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1FEED6">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72"/>
          <w:highlight w:val="none"/>
        </w:rPr>
      </w:pPr>
      <w:bookmarkStart w:id="13" w:name="_GoBack"/>
    </w:p>
    <w:p w14:paraId="1D2C6DD5">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72"/>
          <w:highlight w:val="none"/>
          <w:lang w:eastAsia="zh-CN"/>
        </w:rPr>
      </w:pPr>
    </w:p>
    <w:p w14:paraId="3819E058">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lang w:eastAsia="zh-CN"/>
        </w:rPr>
      </w:pPr>
      <w:r>
        <w:rPr>
          <w:rFonts w:hint="eastAsia" w:ascii="宋体" w:hAnsi="宋体" w:eastAsia="宋体" w:cs="宋体"/>
          <w:b/>
          <w:sz w:val="72"/>
          <w:highlight w:val="none"/>
          <w:lang w:eastAsia="zh-CN"/>
        </w:rPr>
        <w:t>太仓市政府采购</w:t>
      </w:r>
    </w:p>
    <w:p w14:paraId="58708FF6">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lang w:eastAsia="zh-CN"/>
        </w:rPr>
      </w:pPr>
      <w:r>
        <w:rPr>
          <w:rFonts w:hint="eastAsia" w:ascii="宋体" w:hAnsi="宋体" w:eastAsia="宋体" w:cs="宋体"/>
          <w:b/>
          <w:sz w:val="72"/>
          <w:highlight w:val="none"/>
          <w:lang w:eastAsia="zh-CN"/>
        </w:rPr>
        <w:t> </w:t>
      </w:r>
    </w:p>
    <w:p w14:paraId="75C8F2F0">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lang w:eastAsia="zh-CN"/>
        </w:rPr>
      </w:pPr>
      <w:r>
        <w:rPr>
          <w:rFonts w:hint="eastAsia" w:ascii="宋体" w:hAnsi="宋体" w:eastAsia="宋体" w:cs="宋体"/>
          <w:b/>
          <w:sz w:val="72"/>
          <w:highlight w:val="none"/>
          <w:lang w:eastAsia="zh-CN"/>
        </w:rPr>
        <w:t>招 标 文 件</w:t>
      </w:r>
    </w:p>
    <w:p w14:paraId="2244EF81">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lang w:eastAsia="zh-CN"/>
        </w:rPr>
      </w:pPr>
      <w:r>
        <w:rPr>
          <w:rFonts w:hint="eastAsia" w:ascii="宋体" w:hAnsi="宋体" w:eastAsia="宋体" w:cs="宋体"/>
          <w:highlight w:val="none"/>
          <w:lang w:eastAsia="zh-CN"/>
        </w:rPr>
        <w:t> </w:t>
      </w:r>
    </w:p>
    <w:p w14:paraId="1AFC615B">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lang w:eastAsia="zh-CN"/>
        </w:rPr>
      </w:pPr>
      <w:r>
        <w:rPr>
          <w:rFonts w:hint="eastAsia" w:ascii="宋体" w:hAnsi="宋体" w:eastAsia="宋体" w:cs="宋体"/>
          <w:highlight w:val="none"/>
          <w:lang w:eastAsia="zh-CN"/>
        </w:rPr>
        <w:t> </w:t>
      </w:r>
    </w:p>
    <w:p w14:paraId="32382D6A">
      <w:pPr>
        <w:pBdr>
          <w:top w:val="none" w:color="000000" w:sz="0" w:space="0"/>
          <w:left w:val="none" w:color="000000" w:sz="0" w:space="0"/>
          <w:bottom w:val="none" w:color="000000" w:sz="0" w:space="0"/>
          <w:right w:val="none" w:color="000000" w:sz="0" w:space="0"/>
        </w:pBdr>
        <w:spacing w:line="85" w:lineRule="atLeast"/>
        <w:jc w:val="right"/>
        <w:rPr>
          <w:rFonts w:ascii="宋体" w:hAnsi="宋体" w:eastAsia="宋体" w:cs="宋体"/>
          <w:highlight w:val="none"/>
          <w:lang w:eastAsia="zh-CN"/>
        </w:rPr>
      </w:pPr>
      <w:r>
        <w:rPr>
          <w:rFonts w:hint="eastAsia" w:ascii="宋体" w:hAnsi="宋体" w:eastAsia="宋体" w:cs="宋体"/>
          <w:sz w:val="32"/>
          <w:highlight w:val="none"/>
          <w:lang w:eastAsia="zh-CN"/>
        </w:rPr>
        <w:t> </w:t>
      </w:r>
    </w:p>
    <w:p w14:paraId="393C084F">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highlight w:val="none"/>
          <w:lang w:eastAsia="zh-CN"/>
        </w:rPr>
      </w:pPr>
      <w:bookmarkStart w:id="0" w:name="OLE_LINK1"/>
      <w:r>
        <w:rPr>
          <w:rFonts w:hint="eastAsia" w:ascii="宋体" w:hAnsi="宋体" w:eastAsia="宋体" w:cs="宋体"/>
          <w:b/>
          <w:sz w:val="36"/>
          <w:highlight w:val="none"/>
          <w:lang w:eastAsia="zh-CN"/>
        </w:rPr>
        <w:t>项目编号：JSZC-320585-JZCG-G2026-0018</w:t>
      </w:r>
    </w:p>
    <w:p w14:paraId="44CF9536">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highlight w:val="none"/>
          <w:lang w:eastAsia="zh-CN"/>
        </w:rPr>
      </w:pPr>
      <w:r>
        <w:rPr>
          <w:rFonts w:hint="eastAsia" w:ascii="宋体" w:hAnsi="宋体" w:eastAsia="宋体" w:cs="宋体"/>
          <w:b/>
          <w:sz w:val="36"/>
          <w:highlight w:val="none"/>
          <w:lang w:eastAsia="zh-CN"/>
        </w:rPr>
        <w:t>项目名称：2026年科教新城智慧技防小区项目（二期）</w:t>
      </w:r>
    </w:p>
    <w:p w14:paraId="3E9C0937">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highlight w:val="none"/>
          <w:lang w:eastAsia="zh-CN"/>
        </w:rPr>
      </w:pPr>
      <w:r>
        <w:rPr>
          <w:rFonts w:hint="eastAsia" w:ascii="宋体" w:hAnsi="宋体" w:eastAsia="宋体" w:cs="宋体"/>
          <w:b/>
          <w:sz w:val="36"/>
          <w:highlight w:val="none"/>
          <w:lang w:eastAsia="zh-CN"/>
        </w:rPr>
        <w:t>采购单位：太仓市科教新城管理委员会</w:t>
      </w:r>
    </w:p>
    <w:bookmarkEnd w:id="0"/>
    <w:p w14:paraId="3194ED79">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highlight w:val="none"/>
          <w:lang w:eastAsia="zh-CN"/>
        </w:rPr>
      </w:pPr>
      <w:r>
        <w:rPr>
          <w:rFonts w:hint="eastAsia" w:ascii="宋体" w:hAnsi="宋体" w:eastAsia="宋体" w:cs="宋体"/>
          <w:b/>
          <w:sz w:val="36"/>
          <w:highlight w:val="none"/>
          <w:lang w:eastAsia="zh-CN"/>
        </w:rPr>
        <w:t>采购项目类别：服务类</w:t>
      </w:r>
    </w:p>
    <w:p w14:paraId="3795FF09">
      <w:pPr>
        <w:pBdr>
          <w:top w:val="none" w:color="000000" w:sz="0" w:space="0"/>
          <w:left w:val="none" w:color="000000" w:sz="0" w:space="0"/>
          <w:bottom w:val="none" w:color="000000" w:sz="0" w:space="0"/>
          <w:right w:val="none" w:color="000000" w:sz="0" w:space="0"/>
        </w:pBdr>
        <w:spacing w:line="440" w:lineRule="exact"/>
        <w:ind w:firstLine="1084"/>
        <w:rPr>
          <w:rFonts w:ascii="宋体" w:hAnsi="宋体" w:eastAsia="宋体" w:cs="宋体"/>
          <w:b/>
          <w:sz w:val="36"/>
          <w:highlight w:val="none"/>
          <w:lang w:eastAsia="zh-CN"/>
        </w:rPr>
      </w:pPr>
      <w:r>
        <w:rPr>
          <w:rFonts w:hint="eastAsia" w:ascii="宋体" w:hAnsi="宋体" w:eastAsia="宋体" w:cs="宋体"/>
          <w:b/>
          <w:sz w:val="36"/>
          <w:highlight w:val="none"/>
          <w:lang w:eastAsia="zh-CN"/>
        </w:rPr>
        <w:t>标的所属行业：（十二）软件和信息服务业</w:t>
      </w:r>
    </w:p>
    <w:p w14:paraId="748A2EFC">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44"/>
          <w:highlight w:val="none"/>
          <w:lang w:eastAsia="zh-CN"/>
        </w:rPr>
      </w:pPr>
    </w:p>
    <w:p w14:paraId="21E189CA">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highlight w:val="none"/>
          <w:lang w:eastAsia="zh-CN"/>
        </w:rPr>
      </w:pPr>
      <w:r>
        <w:rPr>
          <w:rFonts w:hint="eastAsia" w:ascii="宋体" w:hAnsi="宋体" w:eastAsia="宋体" w:cs="宋体"/>
          <w:sz w:val="44"/>
          <w:highlight w:val="none"/>
          <w:lang w:eastAsia="zh-CN"/>
        </w:rPr>
        <w:t>苏州市公共资源交易中心太仓分中心</w:t>
      </w:r>
    </w:p>
    <w:p w14:paraId="62A54C32">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44"/>
          <w:highlight w:val="none"/>
          <w:lang w:eastAsia="zh-CN"/>
        </w:rPr>
      </w:pPr>
    </w:p>
    <w:p w14:paraId="4FB04167">
      <w:pPr>
        <w:pBdr>
          <w:top w:val="none" w:color="000000" w:sz="0" w:space="0"/>
          <w:left w:val="none" w:color="000000" w:sz="0" w:space="0"/>
          <w:bottom w:val="none" w:color="000000" w:sz="0" w:space="0"/>
          <w:right w:val="none" w:color="000000" w:sz="0" w:space="0"/>
        </w:pBdr>
        <w:spacing w:line="440" w:lineRule="exact"/>
        <w:jc w:val="center"/>
        <w:rPr>
          <w:rFonts w:ascii="宋体" w:hAnsi="宋体" w:eastAsia="宋体" w:cs="宋体"/>
          <w:sz w:val="28"/>
          <w:highlight w:val="none"/>
          <w:lang w:eastAsia="zh-CN"/>
        </w:rPr>
      </w:pPr>
      <w:r>
        <w:rPr>
          <w:rFonts w:hint="eastAsia" w:ascii="宋体" w:hAnsi="宋体" w:eastAsia="宋体" w:cs="宋体"/>
          <w:sz w:val="44"/>
          <w:highlight w:val="none"/>
          <w:lang w:eastAsia="zh-CN"/>
        </w:rPr>
        <w:t>2026年</w:t>
      </w:r>
      <w:r>
        <w:rPr>
          <w:rFonts w:hint="eastAsia" w:ascii="宋体" w:hAnsi="宋体" w:eastAsia="宋体" w:cs="宋体"/>
          <w:sz w:val="44"/>
          <w:highlight w:val="none"/>
          <w:lang w:val="en-US" w:eastAsia="zh-CN"/>
        </w:rPr>
        <w:t>3</w:t>
      </w:r>
      <w:r>
        <w:rPr>
          <w:rFonts w:hint="eastAsia" w:ascii="宋体" w:hAnsi="宋体" w:eastAsia="宋体" w:cs="宋体"/>
          <w:sz w:val="44"/>
          <w:highlight w:val="none"/>
          <w:lang w:eastAsia="zh-CN"/>
        </w:rPr>
        <w:t>月</w:t>
      </w:r>
    </w:p>
    <w:p w14:paraId="55B5EFB6">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highlight w:val="none"/>
          <w:lang w:eastAsia="zh-CN"/>
        </w:rPr>
      </w:pPr>
    </w:p>
    <w:p w14:paraId="6550D067">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highlight w:val="none"/>
          <w:lang w:eastAsia="zh-CN"/>
        </w:rPr>
      </w:pPr>
    </w:p>
    <w:p w14:paraId="1A4A1D71">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highlight w:val="none"/>
          <w:lang w:eastAsia="zh-CN"/>
        </w:rPr>
      </w:pPr>
    </w:p>
    <w:p w14:paraId="5727EC18">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highlight w:val="none"/>
          <w:lang w:eastAsia="zh-CN"/>
        </w:rPr>
      </w:pPr>
    </w:p>
    <w:p w14:paraId="65CF8BD0">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highlight w:val="none"/>
          <w:lang w:eastAsia="zh-CN"/>
        </w:rPr>
      </w:pPr>
    </w:p>
    <w:p w14:paraId="042E05B8">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lang w:eastAsia="zh-CN"/>
        </w:rPr>
      </w:pPr>
      <w:r>
        <w:rPr>
          <w:rFonts w:hint="eastAsia" w:ascii="宋体" w:hAnsi="宋体" w:eastAsia="宋体" w:cs="宋体"/>
          <w:b/>
          <w:sz w:val="36"/>
          <w:highlight w:val="none"/>
          <w:lang w:eastAsia="zh-CN"/>
        </w:rPr>
        <w:t>目 录</w:t>
      </w:r>
    </w:p>
    <w:p w14:paraId="129B653D">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sz w:val="30"/>
          <w:highlight w:val="none"/>
          <w:lang w:eastAsia="zh-CN"/>
        </w:rPr>
      </w:pPr>
    </w:p>
    <w:p w14:paraId="030B2EF8">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lang w:eastAsia="zh-CN"/>
        </w:rPr>
      </w:pPr>
      <w:r>
        <w:rPr>
          <w:rFonts w:hint="eastAsia" w:ascii="宋体" w:hAnsi="宋体" w:eastAsia="宋体" w:cs="宋体"/>
          <w:sz w:val="30"/>
          <w:highlight w:val="none"/>
          <w:lang w:eastAsia="zh-CN"/>
        </w:rPr>
        <w:t>第一部分：招标公告</w:t>
      </w:r>
    </w:p>
    <w:p w14:paraId="3D0094E1">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lang w:eastAsia="zh-CN"/>
        </w:rPr>
      </w:pPr>
      <w:r>
        <w:rPr>
          <w:rFonts w:hint="eastAsia" w:ascii="宋体" w:hAnsi="宋体" w:eastAsia="宋体" w:cs="宋体"/>
          <w:sz w:val="30"/>
          <w:highlight w:val="none"/>
          <w:lang w:eastAsia="zh-CN"/>
        </w:rPr>
        <w:t>第二部分：投标人须知</w:t>
      </w:r>
    </w:p>
    <w:p w14:paraId="05314F9F">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lang w:eastAsia="zh-CN"/>
        </w:rPr>
      </w:pPr>
      <w:r>
        <w:rPr>
          <w:rFonts w:hint="eastAsia" w:ascii="宋体" w:hAnsi="宋体" w:eastAsia="宋体" w:cs="宋体"/>
          <w:sz w:val="30"/>
          <w:highlight w:val="none"/>
          <w:lang w:eastAsia="zh-CN"/>
        </w:rPr>
        <w:t>第三部分：项目需求</w:t>
      </w:r>
    </w:p>
    <w:p w14:paraId="03D4475C">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lang w:eastAsia="zh-CN"/>
        </w:rPr>
      </w:pPr>
      <w:r>
        <w:rPr>
          <w:rFonts w:hint="eastAsia" w:ascii="宋体" w:hAnsi="宋体" w:eastAsia="宋体" w:cs="宋体"/>
          <w:sz w:val="30"/>
          <w:highlight w:val="none"/>
          <w:lang w:eastAsia="zh-CN"/>
        </w:rPr>
        <w:t>第四部分：投标文件格式</w:t>
      </w:r>
    </w:p>
    <w:p w14:paraId="783C35B6">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lang w:eastAsia="zh-CN"/>
        </w:rPr>
      </w:pPr>
      <w:r>
        <w:rPr>
          <w:rFonts w:hint="eastAsia" w:ascii="宋体" w:hAnsi="宋体" w:eastAsia="宋体" w:cs="宋体"/>
          <w:sz w:val="30"/>
          <w:highlight w:val="none"/>
          <w:lang w:eastAsia="zh-CN"/>
        </w:rPr>
        <w:t>第五部分：评标方法与评标标准</w:t>
      </w:r>
    </w:p>
    <w:p w14:paraId="54DE5E34">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lang w:eastAsia="zh-CN"/>
        </w:rPr>
      </w:pPr>
      <w:r>
        <w:rPr>
          <w:rFonts w:hint="eastAsia" w:ascii="宋体" w:hAnsi="宋体" w:eastAsia="宋体" w:cs="宋体"/>
          <w:sz w:val="30"/>
          <w:highlight w:val="none"/>
          <w:lang w:eastAsia="zh-CN"/>
        </w:rPr>
        <w:t>第六部分：合同主要条款</w:t>
      </w:r>
    </w:p>
    <w:p w14:paraId="03CD799C">
      <w:pPr>
        <w:pBdr>
          <w:top w:val="none" w:color="000000" w:sz="0" w:space="0"/>
          <w:left w:val="none" w:color="000000" w:sz="0" w:space="0"/>
          <w:bottom w:val="none" w:color="000000" w:sz="0" w:space="0"/>
          <w:right w:val="none" w:color="000000" w:sz="0" w:space="0"/>
        </w:pBdr>
        <w:spacing w:before="240" w:after="240" w:line="520" w:lineRule="exact"/>
        <w:rPr>
          <w:rFonts w:ascii="宋体" w:hAnsi="宋体" w:eastAsia="宋体" w:cs="宋体"/>
          <w:highlight w:val="none"/>
          <w:lang w:eastAsia="zh-CN"/>
        </w:rPr>
      </w:pPr>
      <w:r>
        <w:rPr>
          <w:rFonts w:hint="eastAsia" w:ascii="宋体" w:hAnsi="宋体" w:eastAsia="宋体" w:cs="宋体"/>
          <w:sz w:val="24"/>
          <w:highlight w:val="none"/>
          <w:lang w:eastAsia="zh-CN"/>
        </w:rPr>
        <w:t> </w:t>
      </w:r>
    </w:p>
    <w:p w14:paraId="5B9261C7">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highlight w:val="none"/>
          <w:lang w:eastAsia="zh-CN"/>
        </w:rPr>
      </w:pPr>
      <w:r>
        <w:rPr>
          <w:rFonts w:hint="eastAsia" w:ascii="宋体" w:hAnsi="宋体" w:eastAsia="宋体" w:cs="宋体"/>
          <w:sz w:val="24"/>
          <w:highlight w:val="none"/>
          <w:lang w:eastAsia="zh-CN"/>
        </w:rPr>
        <w:t> </w:t>
      </w:r>
    </w:p>
    <w:p w14:paraId="49746B5B">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highlight w:val="none"/>
          <w:lang w:eastAsia="zh-CN"/>
        </w:rPr>
      </w:pPr>
      <w:r>
        <w:rPr>
          <w:rFonts w:hint="eastAsia" w:ascii="宋体" w:hAnsi="宋体" w:eastAsia="宋体" w:cs="宋体"/>
          <w:sz w:val="24"/>
          <w:highlight w:val="none"/>
          <w:lang w:eastAsia="zh-CN"/>
        </w:rPr>
        <w:t> </w:t>
      </w:r>
    </w:p>
    <w:p w14:paraId="39858CCD">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highlight w:val="none"/>
          <w:lang w:eastAsia="zh-CN"/>
        </w:rPr>
      </w:pPr>
      <w:r>
        <w:rPr>
          <w:rFonts w:hint="eastAsia" w:ascii="宋体" w:hAnsi="宋体" w:eastAsia="宋体" w:cs="宋体"/>
          <w:sz w:val="24"/>
          <w:highlight w:val="none"/>
          <w:lang w:eastAsia="zh-CN"/>
        </w:rPr>
        <w:t> </w:t>
      </w:r>
    </w:p>
    <w:p w14:paraId="2E5E1761">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highlight w:val="none"/>
          <w:lang w:eastAsia="zh-CN"/>
        </w:rPr>
      </w:pPr>
      <w:r>
        <w:rPr>
          <w:rFonts w:hint="eastAsia" w:ascii="宋体" w:hAnsi="宋体" w:eastAsia="宋体" w:cs="宋体"/>
          <w:sz w:val="24"/>
          <w:highlight w:val="none"/>
          <w:lang w:eastAsia="zh-CN"/>
        </w:rPr>
        <w:t> </w:t>
      </w:r>
    </w:p>
    <w:p w14:paraId="052052A9">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highlight w:val="none"/>
          <w:lang w:eastAsia="zh-CN"/>
        </w:rPr>
      </w:pPr>
      <w:r>
        <w:rPr>
          <w:rFonts w:hint="eastAsia" w:ascii="宋体" w:hAnsi="宋体" w:eastAsia="宋体" w:cs="宋体"/>
          <w:sz w:val="24"/>
          <w:highlight w:val="none"/>
          <w:lang w:eastAsia="zh-CN"/>
        </w:rPr>
        <w:t> </w:t>
      </w:r>
    </w:p>
    <w:p w14:paraId="56772349">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6F825B9E">
      <w:pPr>
        <w:jc w:val="center"/>
        <w:rPr>
          <w:rFonts w:ascii="宋体" w:hAnsi="宋体" w:eastAsia="宋体" w:cs="宋体"/>
          <w:b/>
          <w:sz w:val="44"/>
          <w:highlight w:val="none"/>
        </w:rPr>
      </w:pPr>
      <w:r>
        <w:rPr>
          <w:rFonts w:hint="eastAsia" w:ascii="宋体" w:hAnsi="宋体" w:eastAsia="宋体" w:cs="宋体"/>
          <w:b/>
          <w:sz w:val="44"/>
          <w:highlight w:val="none"/>
        </w:rPr>
        <w:t>第一部分</w:t>
      </w:r>
      <w:r>
        <w:rPr>
          <w:rFonts w:hint="eastAsia" w:ascii="宋体" w:hAnsi="宋体" w:eastAsia="宋体" w:cs="宋体"/>
          <w:b/>
          <w:sz w:val="44"/>
          <w:highlight w:val="none"/>
          <w:lang w:eastAsia="zh-CN"/>
        </w:rPr>
        <w:t xml:space="preserve">   </w:t>
      </w:r>
      <w:r>
        <w:rPr>
          <w:rFonts w:hint="eastAsia" w:ascii="宋体" w:hAnsi="宋体" w:eastAsia="宋体" w:cs="宋体"/>
          <w:b/>
          <w:sz w:val="44"/>
          <w:highlight w:val="none"/>
        </w:rPr>
        <w:t>招标公告</w:t>
      </w:r>
    </w:p>
    <w:tbl>
      <w:tblPr>
        <w:tblStyle w:val="43"/>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33"/>
      </w:tblGrid>
      <w:tr w14:paraId="0ACCF53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vAlign w:val="center"/>
          </w:tcPr>
          <w:p w14:paraId="2644886D">
            <w:pPr>
              <w:pStyle w:val="39"/>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项目概况</w:t>
            </w:r>
          </w:p>
          <w:p w14:paraId="263F7BBC">
            <w:pPr>
              <w:pStyle w:val="39"/>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2026年科教新城智慧技防小区项目（二期） JSZC-320585-JZCG-G2026-0018招标项目的潜在投标人应在“苏采云</w:t>
            </w:r>
            <w:r>
              <w:rPr>
                <w:rFonts w:hint="eastAsia" w:ascii="宋体" w:hAnsi="宋体" w:eastAsia="宋体" w:cs="宋体"/>
                <w:sz w:val="24"/>
                <w:szCs w:val="24"/>
                <w:highlight w:val="none"/>
                <w:shd w:val="clear" w:color="auto" w:fill="FFFFFF"/>
                <w:lang w:eastAsia="zh-CN"/>
              </w:rPr>
              <w:t>”系统（网址：http://jszfcg.jsczt.cn/）自行下载 获取招标文件，并于</w:t>
            </w:r>
            <w:r>
              <w:rPr>
                <w:rFonts w:hint="eastAsia" w:ascii="宋体" w:hAnsi="宋体" w:eastAsia="宋体" w:cs="宋体"/>
                <w:sz w:val="24"/>
                <w:szCs w:val="24"/>
                <w:highlight w:val="none"/>
                <w:shd w:val="clear" w:color="auto" w:fill="FFFFFF"/>
                <w:lang w:eastAsia="zh-CN"/>
              </w:rPr>
              <w:t>2026-04-14 09:30</w:t>
            </w:r>
            <w:r>
              <w:rPr>
                <w:rFonts w:hint="eastAsia" w:ascii="宋体" w:hAnsi="宋体" w:eastAsia="宋体" w:cs="宋体"/>
                <w:sz w:val="24"/>
                <w:szCs w:val="24"/>
                <w:highlight w:val="none"/>
                <w:shd w:val="clear" w:color="auto" w:fill="FFFFFF"/>
                <w:lang w:eastAsia="zh-CN"/>
              </w:rPr>
              <w:t> （</w:t>
            </w:r>
            <w:r>
              <w:rPr>
                <w:rFonts w:hint="eastAsia" w:ascii="宋体" w:hAnsi="宋体" w:eastAsia="宋体" w:cs="宋体"/>
                <w:sz w:val="24"/>
                <w:szCs w:val="24"/>
                <w:highlight w:val="none"/>
                <w:shd w:val="clear" w:color="auto" w:fill="FFFFFF"/>
                <w:lang w:eastAsia="zh-CN"/>
              </w:rPr>
              <w:t>北京时间）前递交投标文件。</w:t>
            </w:r>
          </w:p>
        </w:tc>
      </w:tr>
    </w:tbl>
    <w:p w14:paraId="01F36DFE">
      <w:pPr>
        <w:pStyle w:val="4"/>
        <w:keepNext w:val="0"/>
        <w:keepLines w:val="0"/>
        <w:spacing w:before="0" w:after="0" w:line="480" w:lineRule="exact"/>
        <w:rPr>
          <w:rFonts w:ascii="宋体" w:hAnsi="宋体" w:eastAsia="宋体" w:cs="宋体"/>
          <w:highlight w:val="none"/>
          <w:lang w:eastAsia="zh-CN"/>
        </w:rPr>
      </w:pPr>
      <w:r>
        <w:rPr>
          <w:rStyle w:val="46"/>
          <w:rFonts w:hint="eastAsia" w:ascii="宋体" w:hAnsi="宋体" w:eastAsia="宋体" w:cs="宋体"/>
          <w:sz w:val="28"/>
          <w:szCs w:val="28"/>
          <w:highlight w:val="none"/>
          <w:shd w:val="clear" w:color="auto" w:fill="FFFFFF"/>
          <w:lang w:eastAsia="zh-CN"/>
        </w:rPr>
        <w:t>一、项目基本情况</w:t>
      </w:r>
    </w:p>
    <w:p w14:paraId="0DA42444">
      <w:pPr>
        <w:pStyle w:val="39"/>
        <w:spacing w:after="0" w:line="480" w:lineRule="exact"/>
        <w:rPr>
          <w:rFonts w:ascii="宋体" w:hAnsi="宋体" w:eastAsia="宋体" w:cs="宋体"/>
          <w:sz w:val="24"/>
          <w:szCs w:val="24"/>
          <w:highlight w:val="none"/>
          <w:lang w:eastAsia="zh-CN"/>
        </w:rPr>
      </w:pPr>
      <w:bookmarkStart w:id="1" w:name="OLE_LINK14"/>
      <w:r>
        <w:rPr>
          <w:rFonts w:hint="eastAsia" w:ascii="宋体" w:hAnsi="宋体" w:eastAsia="宋体" w:cs="宋体"/>
          <w:sz w:val="24"/>
          <w:szCs w:val="24"/>
          <w:highlight w:val="none"/>
          <w:shd w:val="clear" w:color="auto" w:fill="FFFFFF"/>
          <w:lang w:eastAsia="zh-CN"/>
        </w:rPr>
        <w:t>项目编号：JSZC-320585-JZCG-G2026-0018</w:t>
      </w:r>
    </w:p>
    <w:p w14:paraId="44B0410F">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项目名称：2026年科教新城智慧技防小区项目（二期）</w:t>
      </w:r>
    </w:p>
    <w:p w14:paraId="59029925">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预算金额：</w:t>
      </w:r>
      <w:r>
        <w:rPr>
          <w:rFonts w:hint="eastAsia" w:ascii="宋体" w:hAnsi="宋体" w:eastAsia="宋体" w:cs="宋体"/>
          <w:sz w:val="24"/>
          <w:szCs w:val="24"/>
          <w:highlight w:val="none"/>
          <w:shd w:val="clear" w:color="auto" w:fill="FFFFFF"/>
          <w:lang w:val="en-US" w:eastAsia="zh-CN"/>
        </w:rPr>
        <w:t>120</w:t>
      </w:r>
      <w:r>
        <w:rPr>
          <w:rFonts w:hint="eastAsia" w:ascii="宋体" w:hAnsi="宋体" w:eastAsia="宋体" w:cs="宋体"/>
          <w:sz w:val="24"/>
          <w:szCs w:val="24"/>
          <w:highlight w:val="none"/>
          <w:shd w:val="clear" w:color="auto" w:fill="FFFFFF"/>
          <w:lang w:eastAsia="zh-CN"/>
        </w:rPr>
        <w:t xml:space="preserve"> 万元</w:t>
      </w:r>
    </w:p>
    <w:p w14:paraId="20B61372">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最高限价（如有）：无</w:t>
      </w:r>
    </w:p>
    <w:p w14:paraId="10C186B0">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采购方式：公开招标 </w:t>
      </w:r>
    </w:p>
    <w:bookmarkEnd w:id="1"/>
    <w:p w14:paraId="4106CCB3">
      <w:pPr>
        <w:pStyle w:val="39"/>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采购需求：</w:t>
      </w:r>
    </w:p>
    <w:p w14:paraId="7EF477FE">
      <w:pPr>
        <w:pStyle w:val="39"/>
        <w:spacing w:after="0" w:line="48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根据太视频办《太仓市智慧技防小区建设方案》文件要求，针对科教新城小区安防建设现状，对辖区安置小区的安防进行升级。具体内容详见第三部分项目需求。</w:t>
      </w:r>
    </w:p>
    <w:p w14:paraId="2D99F371">
      <w:pPr>
        <w:pStyle w:val="39"/>
        <w:spacing w:after="0" w:line="480" w:lineRule="exact"/>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合同履行期限：</w:t>
      </w:r>
    </w:p>
    <w:p w14:paraId="1A448381">
      <w:pPr>
        <w:pStyle w:val="39"/>
        <w:spacing w:after="0" w:line="48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自合同签订生效后60天内完成全部监控系统的安装调试、光纤接入、无故障运行且经采购人验收合格后交付服务。本项目采取“一次招标三年沿用”的办法，合同履行期共38个月，其中前两个月为安装及试运营阶段。从第三个月开始，每12个月作为一个服务期，共三个服务期，第一和第二个服务期满后，采购人根据相关政策、项目规划、以及中标人服务质量（具体考核办法详见采购文件“附件”）综合考虑是否由中标人继续履行下一个服务期；如合同继续履行的，中标单价不予调整；如一个服务期满但采购人未获得预算批复或需求取消或采购项目出现其他不可抗力因素，则经采购人提前书面通知中标人后，采购项目终止，不再顺延。</w:t>
      </w:r>
    </w:p>
    <w:p w14:paraId="300CBE00">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本项目（是/否）接受联合体投标：不接受联合体</w:t>
      </w:r>
    </w:p>
    <w:p w14:paraId="7CF644D1">
      <w:pPr>
        <w:pStyle w:val="4"/>
        <w:keepNext w:val="0"/>
        <w:keepLines w:val="0"/>
        <w:spacing w:before="0" w:after="0" w:line="480" w:lineRule="exact"/>
        <w:rPr>
          <w:rFonts w:ascii="宋体" w:hAnsi="宋体" w:eastAsia="宋体" w:cs="宋体"/>
          <w:highlight w:val="none"/>
          <w:lang w:eastAsia="zh-CN"/>
        </w:rPr>
      </w:pPr>
      <w:r>
        <w:rPr>
          <w:rStyle w:val="46"/>
          <w:rFonts w:hint="eastAsia" w:ascii="宋体" w:hAnsi="宋体" w:eastAsia="宋体" w:cs="宋体"/>
          <w:sz w:val="28"/>
          <w:szCs w:val="28"/>
          <w:highlight w:val="none"/>
          <w:shd w:val="clear" w:color="auto" w:fill="FFFFFF"/>
          <w:lang w:eastAsia="zh-CN"/>
        </w:rPr>
        <w:t>二、申请人的资格要求</w:t>
      </w:r>
    </w:p>
    <w:p w14:paraId="0D6FBFB4">
      <w:pPr>
        <w:pStyle w:val="39"/>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（一）满足《中华人民共和国政府采购法》第二十二条规定；</w:t>
      </w:r>
    </w:p>
    <w:p w14:paraId="55B37A1E">
      <w:pPr>
        <w:pStyle w:val="39"/>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1.具有独立承担民事责任的能力证明。包括法人或者其他组织的营业执照等证明文件，自然人的身份证明；</w:t>
      </w:r>
    </w:p>
    <w:p w14:paraId="4D1C5F34">
      <w:pPr>
        <w:pStyle w:val="39"/>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2.具有良好的商业信誉和健全的财务会计制度证明。</w:t>
      </w:r>
    </w:p>
    <w:p w14:paraId="44672508">
      <w:pPr>
        <w:pStyle w:val="39"/>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3.具备履行合同所必需的设备和专业技术能力的证明材料或承诺；</w:t>
      </w:r>
    </w:p>
    <w:p w14:paraId="7ED1E1A7">
      <w:pPr>
        <w:pStyle w:val="39"/>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4.依法缴纳税收和社会保障资金的相关资料；</w:t>
      </w:r>
    </w:p>
    <w:p w14:paraId="247C1335">
      <w:pPr>
        <w:pStyle w:val="39"/>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5.参加政府采购活动前三年内在经营活动中没有重大违法记录的书面声明函；</w:t>
      </w:r>
    </w:p>
    <w:p w14:paraId="52F0E567">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rPr>
        <w:t>6.未被“信用中国”网站（www.creditchina.gov.cn）列入失信被执行人、重大税收违法案</w:t>
      </w:r>
      <w:r>
        <w:rPr>
          <w:rFonts w:hint="eastAsia" w:ascii="宋体" w:hAnsi="宋体" w:eastAsia="宋体" w:cs="宋体"/>
          <w:sz w:val="24"/>
          <w:szCs w:val="24"/>
          <w:highlight w:val="none"/>
          <w:shd w:val="clear" w:color="auto" w:fill="FFFFFF"/>
          <w:lang w:eastAsia="zh-CN"/>
        </w:rPr>
        <w:t>件当事人名单、政府采购严重失信行为记录名单。</w:t>
      </w:r>
    </w:p>
    <w:p w14:paraId="0851378D">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7.采购文件要求的其他资格证明文件</w:t>
      </w:r>
    </w:p>
    <w:p w14:paraId="032BF86B">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（二）落实政府采购政策需满足的资格要求：</w:t>
      </w:r>
    </w:p>
    <w:p w14:paraId="7C63268C">
      <w:pPr>
        <w:pStyle w:val="39"/>
        <w:spacing w:after="0" w:line="48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本项目非专门面向中小企业采购</w:t>
      </w:r>
    </w:p>
    <w:p w14:paraId="011EC8D5">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（三）本项目的特定资格要求： </w:t>
      </w:r>
    </w:p>
    <w:p w14:paraId="7800B638">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6AF183F0">
      <w:pPr>
        <w:pStyle w:val="39"/>
        <w:adjustRightInd w:val="0"/>
        <w:snapToGrid w:val="0"/>
        <w:spacing w:line="50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b/>
          <w:bCs/>
          <w:color w:val="auto"/>
          <w:sz w:val="24"/>
          <w:szCs w:val="24"/>
          <w:highlight w:val="none"/>
          <w:shd w:val="clear" w:color="auto" w:fill="FFFFFF"/>
          <w:lang w:eastAsia="zh-CN"/>
        </w:rPr>
        <w:t>2、具备增值电信业务经营许可证，且许可证业务种类至少包括内容分发网络业务、互联网信息服务业务、互联网接入业务三项业务其中之一；或者获得经工信部出具的增值电信业务经营许可授权（包括内容分发网络业务、互联网信息服务业务、互联网接入业务三项业务其中之一）</w:t>
      </w:r>
    </w:p>
    <w:p w14:paraId="0B991F11">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（四）拒绝下述供应商参加本次采购活动：</w:t>
      </w:r>
    </w:p>
    <w:p w14:paraId="288834F6">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1、供应商单位负责人为同一人或者存在直接控股、管理关系的不同供应商，不得参加同一合同项下的政府采购活动。</w:t>
      </w:r>
    </w:p>
    <w:p w14:paraId="4276F647">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2、凡为采购项目提供整体设计、规范编制或者项目管理、监理、检测等服务的供应商，不得再参加本项目的采购活动。</w:t>
      </w:r>
    </w:p>
    <w:p w14:paraId="64D339E3">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3、法人的分支机构不得参加响应活动（除银行、保险、石油石化、电力、电信等行业特殊情况外）。</w:t>
      </w:r>
    </w:p>
    <w:p w14:paraId="770F0D61">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119597D5">
      <w:pPr>
        <w:pStyle w:val="4"/>
        <w:keepNext w:val="0"/>
        <w:keepLines w:val="0"/>
        <w:spacing w:before="0" w:after="0" w:line="480" w:lineRule="exact"/>
        <w:rPr>
          <w:rFonts w:ascii="宋体" w:hAnsi="宋体" w:eastAsia="宋体" w:cs="宋体"/>
          <w:highlight w:val="none"/>
          <w:lang w:eastAsia="zh-CN"/>
        </w:rPr>
      </w:pPr>
      <w:r>
        <w:rPr>
          <w:rStyle w:val="46"/>
          <w:rFonts w:hint="eastAsia" w:ascii="宋体" w:hAnsi="宋体" w:eastAsia="宋体" w:cs="宋体"/>
          <w:sz w:val="28"/>
          <w:szCs w:val="28"/>
          <w:highlight w:val="none"/>
          <w:shd w:val="clear" w:color="auto" w:fill="FFFFFF"/>
          <w:lang w:eastAsia="zh-CN"/>
        </w:rPr>
        <w:t>三、获取招标文件</w:t>
      </w:r>
    </w:p>
    <w:p w14:paraId="3692A64F">
      <w:pPr>
        <w:pStyle w:val="39"/>
        <w:spacing w:after="0"/>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时间：自招标文件公告发布之日起5个工作日</w:t>
      </w:r>
    </w:p>
    <w:p w14:paraId="18E93D09">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地点：“苏采云”系统（网址：http://jszfcg.jsczt.cn/）自行下载 </w:t>
      </w:r>
    </w:p>
    <w:p w14:paraId="491FD3A4">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方式：自行下载 </w:t>
      </w:r>
    </w:p>
    <w:p w14:paraId="56A01E82">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售价：0.00元 </w:t>
      </w:r>
    </w:p>
    <w:p w14:paraId="2D642DF6">
      <w:pPr>
        <w:pStyle w:val="4"/>
        <w:keepNext w:val="0"/>
        <w:keepLines w:val="0"/>
        <w:spacing w:before="0" w:after="0" w:line="480" w:lineRule="exact"/>
        <w:rPr>
          <w:rFonts w:ascii="宋体" w:hAnsi="宋体" w:eastAsia="宋体" w:cs="宋体"/>
          <w:highlight w:val="none"/>
          <w:lang w:eastAsia="zh-CN"/>
        </w:rPr>
      </w:pPr>
      <w:r>
        <w:rPr>
          <w:rStyle w:val="46"/>
          <w:rFonts w:hint="eastAsia" w:ascii="宋体" w:hAnsi="宋体" w:eastAsia="宋体" w:cs="宋体"/>
          <w:sz w:val="28"/>
          <w:szCs w:val="28"/>
          <w:highlight w:val="none"/>
          <w:shd w:val="clear" w:color="auto" w:fill="FFFFFF"/>
          <w:lang w:eastAsia="zh-CN"/>
        </w:rPr>
        <w:t>四、提交投标文件截止时间、开标时间和地点</w:t>
      </w:r>
    </w:p>
    <w:p w14:paraId="186BCF7D">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2026-04-14 09:30</w:t>
      </w:r>
      <w:r>
        <w:rPr>
          <w:rFonts w:hint="eastAsia" w:ascii="宋体" w:hAnsi="宋体" w:eastAsia="宋体" w:cs="宋体"/>
          <w:sz w:val="24"/>
          <w:szCs w:val="24"/>
          <w:highlight w:val="none"/>
          <w:shd w:val="clear" w:color="auto" w:fill="FFFFFF"/>
          <w:lang w:eastAsia="zh-CN"/>
        </w:rPr>
        <w:t> （北京时间）</w:t>
      </w:r>
    </w:p>
    <w:p w14:paraId="00B3008F">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地点：苏采云系统 </w:t>
      </w:r>
    </w:p>
    <w:p w14:paraId="4416E2BF">
      <w:pPr>
        <w:pStyle w:val="4"/>
        <w:keepNext w:val="0"/>
        <w:keepLines w:val="0"/>
        <w:shd w:val="clear" w:color="auto" w:fill="FFFFFF"/>
        <w:spacing w:before="0" w:after="0" w:line="480" w:lineRule="exact"/>
        <w:rPr>
          <w:rFonts w:ascii="宋体" w:hAnsi="宋体" w:eastAsia="宋体" w:cs="宋体"/>
          <w:highlight w:val="none"/>
          <w:lang w:eastAsia="zh-CN"/>
        </w:rPr>
      </w:pPr>
      <w:r>
        <w:rPr>
          <w:rStyle w:val="46"/>
          <w:rFonts w:hint="eastAsia" w:ascii="宋体" w:hAnsi="宋体" w:eastAsia="宋体" w:cs="宋体"/>
          <w:sz w:val="28"/>
          <w:szCs w:val="28"/>
          <w:highlight w:val="none"/>
          <w:shd w:val="clear" w:color="auto" w:fill="FFFFFF"/>
          <w:lang w:eastAsia="zh-CN"/>
        </w:rPr>
        <w:t>五、公告期限</w:t>
      </w:r>
    </w:p>
    <w:p w14:paraId="438AD35B">
      <w:pPr>
        <w:pStyle w:val="39"/>
        <w:shd w:val="clear" w:color="auto" w:fill="FFFFFF"/>
        <w:spacing w:after="0"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自本公告发布之日起5个工作日。</w:t>
      </w:r>
    </w:p>
    <w:p w14:paraId="054DC499">
      <w:pPr>
        <w:pStyle w:val="4"/>
        <w:keepNext w:val="0"/>
        <w:keepLines w:val="0"/>
        <w:spacing w:before="0" w:after="0" w:line="440" w:lineRule="exact"/>
        <w:rPr>
          <w:rFonts w:ascii="宋体" w:hAnsi="宋体" w:eastAsia="宋体" w:cs="宋体"/>
          <w:highlight w:val="none"/>
          <w:lang w:eastAsia="zh-CN"/>
        </w:rPr>
      </w:pPr>
      <w:r>
        <w:rPr>
          <w:rStyle w:val="46"/>
          <w:rFonts w:hint="eastAsia" w:ascii="宋体" w:hAnsi="宋体" w:eastAsia="宋体" w:cs="宋体"/>
          <w:sz w:val="28"/>
          <w:szCs w:val="28"/>
          <w:highlight w:val="none"/>
          <w:shd w:val="clear" w:color="auto" w:fill="FFFFFF"/>
          <w:lang w:eastAsia="zh-CN"/>
        </w:rPr>
        <w:t>六、其他补充事宜</w:t>
      </w:r>
    </w:p>
    <w:p w14:paraId="7DC39574">
      <w:pPr>
        <w:spacing w:after="0" w:line="500" w:lineRule="atLeas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1、本项目需要使用CA数字证书制作、上传电子投标文件完成电子投标，请供应商在参加投标活动前办理好CA数字证书申领及电子签章等操作。</w:t>
      </w:r>
    </w:p>
    <w:p w14:paraId="38E0EDDB">
      <w:pPr>
        <w:spacing w:after="0" w:line="500" w:lineRule="atLeas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4F32E584">
      <w:pPr>
        <w:spacing w:after="0" w:line="500" w:lineRule="atLeast"/>
        <w:rPr>
          <w:rFonts w:ascii="宋体" w:hAnsi="宋体" w:eastAsia="宋体" w:cs="宋体"/>
          <w:sz w:val="24"/>
          <w:szCs w:val="24"/>
          <w:highlight w:val="none"/>
          <w:lang w:eastAsia="zh-CN"/>
        </w:rPr>
      </w:pPr>
      <w:r>
        <w:rPr>
          <w:rFonts w:hint="eastAsia" w:ascii="宋体" w:hAnsi="宋体" w:eastAsia="宋体" w:cs="宋体"/>
          <w:b/>
          <w:sz w:val="24"/>
          <w:szCs w:val="24"/>
          <w:highlight w:val="none"/>
          <w:lang w:eastAsia="zh-CN"/>
        </w:rPr>
        <w:t>3、本项目采用不见面开标，投标人开标时无需到开标现场进行解密，采取网上开标大厅解密电子投标文件，投标人远程解密要求如下：</w:t>
      </w:r>
    </w:p>
    <w:p w14:paraId="5BB21C11">
      <w:pPr>
        <w:spacing w:after="0" w:line="500" w:lineRule="atLeas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1）投标人使用CA数字证书进行远程解密，解密的CA数字证书与生成加密电子投标文件时的CA数字证书需为同一个CA数字证书，否则无法解密，造成的后果由投标人自行负责。</w:t>
      </w:r>
    </w:p>
    <w:p w14:paraId="784221A5">
      <w:pPr>
        <w:spacing w:after="0" w:line="500" w:lineRule="atLeas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2）投标人登录苏采云系统，点击开标大厅，选择开标项目，完成不见面开标流程。</w:t>
      </w:r>
    </w:p>
    <w:p w14:paraId="59DCBE93">
      <w:pPr>
        <w:spacing w:after="0" w:line="500" w:lineRule="atLeas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3）投标截止时间后根据系统提示解密电子投标文件。</w:t>
      </w:r>
      <w:r>
        <w:rPr>
          <w:rFonts w:hint="eastAsia" w:ascii="宋体" w:hAnsi="宋体" w:eastAsia="宋体" w:cs="宋体"/>
          <w:b/>
          <w:sz w:val="24"/>
          <w:szCs w:val="24"/>
          <w:highlight w:val="none"/>
          <w:lang w:eastAsia="zh-CN"/>
        </w:rPr>
        <w:t>解密时间为15分钟，</w:t>
      </w:r>
      <w:r>
        <w:rPr>
          <w:rFonts w:hint="eastAsia" w:ascii="宋体" w:hAnsi="宋体" w:eastAsia="宋体" w:cs="宋体"/>
          <w:sz w:val="24"/>
          <w:szCs w:val="24"/>
          <w:highlight w:val="none"/>
          <w:lang w:eastAsia="zh-CN"/>
        </w:rPr>
        <w:t>未在规定时间内完成解密，其投标文件将被拒绝，不参与后续投标流程。</w:t>
      </w:r>
    </w:p>
    <w:p w14:paraId="2B521BA6">
      <w:pPr>
        <w:spacing w:after="0" w:line="500" w:lineRule="atLeas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4）在开标、评标过程中投标单位代表须在网上不见面开标系统中保持在线状态，以应对可能发生的澄清、说明等回复，由于投标单位代表不在线所造成的一切后果由投标人自行承担。</w:t>
      </w:r>
    </w:p>
    <w:p w14:paraId="16539BCA">
      <w:pPr>
        <w:spacing w:after="0" w:line="500" w:lineRule="atLeas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w:t>
      </w:r>
      <w:r>
        <w:rPr>
          <w:rFonts w:hint="eastAsia" w:ascii="宋体" w:hAnsi="宋体" w:eastAsia="宋体" w:cs="宋体"/>
          <w:b/>
          <w:sz w:val="24"/>
          <w:szCs w:val="24"/>
          <w:highlight w:val="none"/>
          <w:lang w:eastAsia="zh-CN"/>
        </w:rPr>
        <w:t>有关苏采云系统驱动安装，</w:t>
      </w:r>
      <w:r>
        <w:rPr>
          <w:rFonts w:hint="eastAsia" w:ascii="宋体" w:hAnsi="宋体" w:eastAsia="宋体" w:cs="宋体"/>
          <w:sz w:val="24"/>
          <w:szCs w:val="24"/>
          <w:highlight w:val="none"/>
          <w:lang w:eastAsia="zh-CN"/>
        </w:rPr>
        <w:t>登录苏州政府采购网，点击页面底部苏采云图标，进入苏采云政府采购一体化平台，点击“驱动下载”，下载</w:t>
      </w:r>
      <w:r>
        <w:rPr>
          <w:rFonts w:hint="eastAsia" w:ascii="宋体" w:hAnsi="宋体" w:eastAsia="宋体" w:cs="宋体"/>
          <w:b/>
          <w:sz w:val="24"/>
          <w:szCs w:val="24"/>
          <w:highlight w:val="none"/>
          <w:lang w:eastAsia="zh-CN"/>
        </w:rPr>
        <w:t>“政务CA、方正签章控件驱动安装包及安装说明”</w:t>
      </w:r>
      <w:r>
        <w:rPr>
          <w:rFonts w:hint="eastAsia" w:ascii="宋体" w:hAnsi="宋体" w:eastAsia="宋体" w:cs="宋体"/>
          <w:sz w:val="24"/>
          <w:szCs w:val="24"/>
          <w:highlight w:val="none"/>
          <w:lang w:eastAsia="zh-CN"/>
        </w:rPr>
        <w:t>文件，按要求安装驱动。</w:t>
      </w:r>
    </w:p>
    <w:p w14:paraId="4BC87560">
      <w:pPr>
        <w:spacing w:after="0" w:line="500" w:lineRule="atLeas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w:t>
      </w:r>
      <w:r>
        <w:rPr>
          <w:rFonts w:hint="eastAsia" w:ascii="宋体" w:hAnsi="宋体" w:eastAsia="宋体" w:cs="宋体"/>
          <w:b/>
          <w:sz w:val="24"/>
          <w:szCs w:val="24"/>
          <w:highlight w:val="none"/>
          <w:lang w:eastAsia="zh-CN"/>
        </w:rPr>
        <w:t>有关供应商注册、报名、下载电子招标文件、制作上传电子投标文件</w:t>
      </w:r>
      <w:r>
        <w:rPr>
          <w:rFonts w:hint="eastAsia" w:ascii="宋体" w:hAnsi="宋体" w:eastAsia="宋体" w:cs="宋体"/>
          <w:sz w:val="24"/>
          <w:szCs w:val="24"/>
          <w:highlight w:val="none"/>
          <w:lang w:eastAsia="zh-CN"/>
        </w:rPr>
        <w:t>、不见面开标及其他注意事项登录苏州政府采购网，在“下载中心”栏目下载“</w:t>
      </w:r>
      <w:r>
        <w:rPr>
          <w:rFonts w:hint="eastAsia" w:ascii="宋体" w:hAnsi="宋体" w:eastAsia="宋体" w:cs="宋体"/>
          <w:b/>
          <w:sz w:val="24"/>
          <w:szCs w:val="24"/>
          <w:highlight w:val="none"/>
          <w:lang w:eastAsia="zh-CN"/>
        </w:rPr>
        <w:t>苏采云系统供应商操作</w:t>
      </w:r>
      <w:r>
        <w:rPr>
          <w:rFonts w:hint="eastAsia" w:ascii="宋体" w:hAnsi="宋体" w:eastAsia="宋体" w:cs="宋体"/>
          <w:b/>
          <w:bCs/>
          <w:sz w:val="24"/>
          <w:szCs w:val="24"/>
          <w:highlight w:val="none"/>
          <w:lang w:eastAsia="zh-CN"/>
        </w:rPr>
        <w:t>手册</w:t>
      </w:r>
      <w:r>
        <w:rPr>
          <w:rFonts w:hint="eastAsia" w:ascii="宋体" w:hAnsi="宋体" w:eastAsia="宋体" w:cs="宋体"/>
          <w:sz w:val="24"/>
          <w:szCs w:val="24"/>
          <w:highlight w:val="none"/>
          <w:lang w:eastAsia="zh-CN"/>
        </w:rPr>
        <w:t>”查阅。</w:t>
      </w:r>
    </w:p>
    <w:p w14:paraId="01C28B05">
      <w:pPr>
        <w:pStyle w:val="39"/>
        <w:spacing w:after="0" w:line="500" w:lineRule="atLeas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6、有关办理CA数字申领及电子签章事项，登录苏州政府采购网，点击页面底部苏采云图标，进入苏采云政府采购一体化平台，下载“新CA办理指南”文件查阅。</w:t>
      </w:r>
    </w:p>
    <w:p w14:paraId="2339057B">
      <w:pPr>
        <w:pStyle w:val="39"/>
        <w:spacing w:after="0" w:line="500" w:lineRule="atLeas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7、有关电子投标制作技术疑问，请咨询苏采云软件公司客服：13914088964、18261002950、0519-86722802</w:t>
      </w:r>
    </w:p>
    <w:p w14:paraId="4C366BA3">
      <w:pPr>
        <w:pStyle w:val="39"/>
        <w:spacing w:after="0" w:line="500" w:lineRule="atLeas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8、政府采购监督电话：0512-53512539</w:t>
      </w:r>
    </w:p>
    <w:p w14:paraId="1D9467ED">
      <w:pPr>
        <w:pStyle w:val="39"/>
        <w:spacing w:after="0" w:line="500" w:lineRule="atLeas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9、本次招标投标保证金：本项目无须缴纳投标保证金。</w:t>
      </w:r>
    </w:p>
    <w:p w14:paraId="08586038">
      <w:pPr>
        <w:pStyle w:val="39"/>
        <w:spacing w:after="0" w:line="500" w:lineRule="atLeas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10、政府采购信用融资政策：中标供应商可凭政府采购合同办理融资贷款，详情请见江苏政府采购网“政采贷”专栏。</w:t>
      </w:r>
    </w:p>
    <w:p w14:paraId="56064EC6">
      <w:pPr>
        <w:pStyle w:val="39"/>
        <w:spacing w:after="0" w:line="500" w:lineRule="atLeas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7C432A7E">
      <w:pPr>
        <w:pStyle w:val="4"/>
        <w:keepNext w:val="0"/>
        <w:keepLines w:val="0"/>
        <w:spacing w:before="0" w:after="0" w:line="480" w:lineRule="exact"/>
        <w:rPr>
          <w:rFonts w:ascii="宋体" w:hAnsi="宋体" w:eastAsia="宋体" w:cs="宋体"/>
          <w:highlight w:val="none"/>
          <w:lang w:eastAsia="zh-CN"/>
        </w:rPr>
      </w:pPr>
      <w:r>
        <w:rPr>
          <w:rStyle w:val="46"/>
          <w:rFonts w:hint="eastAsia" w:ascii="宋体" w:hAnsi="宋体" w:eastAsia="宋体" w:cs="宋体"/>
          <w:sz w:val="28"/>
          <w:szCs w:val="28"/>
          <w:highlight w:val="none"/>
          <w:shd w:val="clear" w:color="auto" w:fill="FFFFFF"/>
          <w:lang w:eastAsia="zh-CN"/>
        </w:rPr>
        <w:t>七、对本次招标提出询问，请按以下方式联系</w:t>
      </w:r>
    </w:p>
    <w:p w14:paraId="47F7F64B">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1.采购人信息 </w:t>
      </w:r>
    </w:p>
    <w:p w14:paraId="4F7BD80A">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单位名称：太仓市科教新城管理委员会</w:t>
      </w:r>
    </w:p>
    <w:p w14:paraId="553D104F">
      <w:pPr>
        <w:pStyle w:val="39"/>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单位地址：太仓市书院路101号镜湖点金2号楼</w:t>
      </w:r>
    </w:p>
    <w:p w14:paraId="51489E43">
      <w:pPr>
        <w:pStyle w:val="39"/>
        <w:spacing w:after="0" w:line="480" w:lineRule="exac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联系人：卞佳伟</w:t>
      </w:r>
    </w:p>
    <w:p w14:paraId="5848AA19">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联系电话 ：0512-53402322</w:t>
      </w:r>
    </w:p>
    <w:p w14:paraId="2DE9958B">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2.采购代理机构信息（如有）</w:t>
      </w:r>
    </w:p>
    <w:p w14:paraId="3C8C62C0">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单位名称：苏州市公共资源交易中心太仓分中心</w:t>
      </w:r>
    </w:p>
    <w:p w14:paraId="0F31751D">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单位地址：太仓市陆渡街道万金北路88号3栋</w:t>
      </w:r>
    </w:p>
    <w:p w14:paraId="52FAAA49">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联系人：张倩</w:t>
      </w:r>
    </w:p>
    <w:p w14:paraId="2FB706C7">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联系电话：0512-53890581</w:t>
      </w:r>
    </w:p>
    <w:p w14:paraId="146004FF">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3.项目联系方式</w:t>
      </w:r>
    </w:p>
    <w:p w14:paraId="6B60391A">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项目联系人：张倩</w:t>
      </w:r>
    </w:p>
    <w:p w14:paraId="39FF38B1">
      <w:pPr>
        <w:pStyle w:val="39"/>
        <w:spacing w:after="0" w:line="480" w:lineRule="exac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电话：0512-53890581</w:t>
      </w:r>
    </w:p>
    <w:p w14:paraId="69997FCB">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highlight w:val="none"/>
          <w:lang w:eastAsia="zh-CN"/>
        </w:rPr>
      </w:pPr>
    </w:p>
    <w:p w14:paraId="3DEC123C">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highlight w:val="none"/>
          <w:lang w:eastAsia="zh-CN"/>
        </w:rPr>
      </w:pPr>
    </w:p>
    <w:p w14:paraId="58E0F666">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highlight w:val="none"/>
          <w:lang w:eastAsia="zh-CN"/>
        </w:rPr>
      </w:pPr>
    </w:p>
    <w:p w14:paraId="081CB180">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b/>
          <w:color w:val="000000"/>
          <w:sz w:val="44"/>
          <w:highlight w:val="none"/>
          <w:lang w:eastAsia="zh-CN"/>
        </w:rPr>
      </w:pPr>
    </w:p>
    <w:p w14:paraId="2D389BE6">
      <w:pPr>
        <w:pBdr>
          <w:top w:val="none" w:color="000000" w:sz="0" w:space="0"/>
          <w:left w:val="none" w:color="000000" w:sz="0" w:space="0"/>
          <w:bottom w:val="none" w:color="000000" w:sz="0" w:space="0"/>
          <w:right w:val="none" w:color="000000" w:sz="0" w:space="0"/>
        </w:pBdr>
        <w:spacing w:after="0" w:line="312" w:lineRule="atLeast"/>
        <w:jc w:val="center"/>
        <w:rPr>
          <w:rFonts w:ascii="宋体" w:hAnsi="宋体" w:eastAsia="宋体" w:cs="宋体"/>
          <w:highlight w:val="none"/>
          <w:lang w:eastAsia="zh-CN"/>
        </w:rPr>
      </w:pPr>
      <w:r>
        <w:rPr>
          <w:rFonts w:hint="eastAsia" w:ascii="宋体" w:hAnsi="宋体" w:eastAsia="宋体" w:cs="宋体"/>
          <w:b/>
          <w:color w:val="000000"/>
          <w:sz w:val="44"/>
          <w:highlight w:val="none"/>
          <w:lang w:eastAsia="zh-CN"/>
        </w:rPr>
        <w:t>第二部分  投标人须知</w:t>
      </w:r>
    </w:p>
    <w:p w14:paraId="31A3AD50">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一、说明和释义</w:t>
      </w:r>
    </w:p>
    <w:p w14:paraId="315CC4F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 说明</w:t>
      </w:r>
    </w:p>
    <w:p w14:paraId="1EDC035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1.1本招标文件仅适用于苏州市公共资源交易中心太仓分中心组织的招标活动。</w:t>
      </w:r>
    </w:p>
    <w:p w14:paraId="443AE50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1.2本次招标活动及因本次招标产生的合同受中国法律制约和保护。</w:t>
      </w:r>
    </w:p>
    <w:p w14:paraId="5BCF22D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1.3本招标文件的解释权属于苏州市公共资源交易中心太仓分中心。</w:t>
      </w:r>
    </w:p>
    <w:p w14:paraId="2E9C4C5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 词语释义</w:t>
      </w:r>
    </w:p>
    <w:p w14:paraId="0DF28D3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2.1采购代理机构：具体组织实施招标活动的法人。本项目采购代理机构是苏州市公共资源交易中心太仓分中心。</w:t>
      </w:r>
    </w:p>
    <w:p w14:paraId="7AA2D87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2.2投标人：经认定有资格响应招标，参加投标竞争的法人或其他组织和自然人。</w:t>
      </w:r>
    </w:p>
    <w:p w14:paraId="01CB2C4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2.3响应：投标人根据采购人或采购代理机构发布的招标文件，编制投标文件并按规定投标的行为。</w:t>
      </w:r>
    </w:p>
    <w:p w14:paraId="2C719A5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2.4合同：采供双方根据招标文件和中标的投标文件及中标通知书规定的内容签署的以书面形式所达成的协议，包括所有的附件、附录和构成协议的所有文件。</w:t>
      </w:r>
    </w:p>
    <w:p w14:paraId="75AB7A9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2.5甲方（采购方）：合同中明确规定的实际购买货物和服务的法人或其他组织和自然人（采购人）</w:t>
      </w:r>
    </w:p>
    <w:p w14:paraId="0715935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2.6乙方（供应商）：合同中规定的向采购方提供货物和服务的法人或其他组织和自然人（中标人）</w:t>
      </w:r>
    </w:p>
    <w:p w14:paraId="0B337A5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2.7货物：系指乙方按招标采购文件规定，应向甲方提供的一切设备、备品、备件、工具、手册及其它有关技术资料和材料。</w:t>
      </w:r>
    </w:p>
    <w:p w14:paraId="39D9197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2.8服务：系指本次招标采购文件规定乙方应承担的与提供货物和服务有关的辅助服务，比如运输、保险、安装、调试、验收、提供技术援助、培训、配合措施、维修响应及合同中规定乙方应承担的其它义务。</w:t>
      </w:r>
    </w:p>
    <w:p w14:paraId="589B241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2.9知识产权：指专利权、商标权、著作权等无形财产专有权的统称。</w:t>
      </w:r>
    </w:p>
    <w:p w14:paraId="2E0C24A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2.10天：日历日。</w:t>
      </w:r>
    </w:p>
    <w:p w14:paraId="6EF5E6C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2.11交货地点：合同中明确约定的乙方提交的货物和服务最终到达地点。</w:t>
      </w:r>
    </w:p>
    <w:p w14:paraId="69420A0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2.12 合同价款：根据合同规定，乙方在正确地履行合同义务后甲方应支付乙方的价款。</w:t>
      </w:r>
    </w:p>
    <w:p w14:paraId="3578A44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2.13 产地：货物开采、生长、生产、最终制造、加工或提供服务的来源地。</w:t>
      </w:r>
    </w:p>
    <w:p w14:paraId="70F6BF1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2.14不可抗力：不能预见、不能避免并且不能克服的客观情况。</w:t>
      </w:r>
    </w:p>
    <w:p w14:paraId="65E672A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2.15 实质性响应：满足有关本次采购标的、数量、质量、价款或者报酬、履行期限、履行地点和方式、违约责任和解决争议方法等要求。</w:t>
      </w:r>
    </w:p>
    <w:p w14:paraId="3421253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280C1A4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2.17进口产品：指通过中国海关报关验收进入中国境内且产自境外的产品。</w:t>
      </w:r>
    </w:p>
    <w:p w14:paraId="2766169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2.18书面形式：指书面文字、合同书、信件和传真等可以有形地表现所载内容的形式。</w:t>
      </w:r>
    </w:p>
    <w:p w14:paraId="1E1E55F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二、 投标人</w:t>
      </w:r>
    </w:p>
    <w:p w14:paraId="2BA5CEF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3. 合格投标人的基本条件</w:t>
      </w:r>
    </w:p>
    <w:p w14:paraId="01BBA13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3.1符合《中华人民共和国政府采购法》第二十二条第一款之规定；</w:t>
      </w:r>
    </w:p>
    <w:p w14:paraId="2FD4F92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3.2满足本文件实质性条款的规定。</w:t>
      </w:r>
    </w:p>
    <w:p w14:paraId="2DAF79C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4．合格投标人的特定条件</w:t>
      </w:r>
    </w:p>
    <w:p w14:paraId="581E305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4.1 按招标公告规定。</w:t>
      </w:r>
    </w:p>
    <w:p w14:paraId="0AFE9FF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5. 投标人代表</w:t>
      </w:r>
    </w:p>
    <w:p w14:paraId="515E2CB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5.1指全权代表投标人参加投标活动并签署投标文件的人，如果投标人代表不是法人代表，须持有《法人代表授权委托书》（详见统一格式）。</w:t>
      </w:r>
    </w:p>
    <w:p w14:paraId="09EDB63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6. 联合投标</w:t>
      </w:r>
    </w:p>
    <w:p w14:paraId="6A0A3C8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6.1按招标公告规定。</w:t>
      </w:r>
    </w:p>
    <w:p w14:paraId="76D92AF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 xml:space="preserve">7. 投标费用 </w:t>
      </w:r>
    </w:p>
    <w:p w14:paraId="245B3F2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7.1投标人应自行承担所有准备及参加投标的相关费用。不论投标结果如何，采购代理机构在任何情况下均无义务也无责任承担这些费用。</w:t>
      </w:r>
    </w:p>
    <w:p w14:paraId="368AAF8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7.2 本次招标项目不收取标书费及中标服务费，请投标人在投标时充分考虑这一因素。</w:t>
      </w:r>
    </w:p>
    <w:p w14:paraId="637BB55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三、招标文件说明</w:t>
      </w:r>
    </w:p>
    <w:p w14:paraId="5F2D6FF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8. 招标文件</w:t>
      </w:r>
    </w:p>
    <w:p w14:paraId="2A25CE4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116B0D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8.2招标文件及其更正文件不是直接从采购代理机构或指定媒体获得的，采购代理机构对招标文件及其补遗的真实性、完整性不承担任何责任。</w:t>
      </w:r>
    </w:p>
    <w:p w14:paraId="7C40758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9. 招标文件的澄清</w:t>
      </w:r>
    </w:p>
    <w:p w14:paraId="643F991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9.1投标人在获取招标文件后，若有疑问，应于投标截止时间之前，向采购代理机构提出，采购代理机构将予以解答。</w:t>
      </w:r>
    </w:p>
    <w:p w14:paraId="707DE60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9.2如有必要，问题答复将以“变更公告”形式由采购代理机构按照本须知第10条的规定发出。</w:t>
      </w:r>
    </w:p>
    <w:p w14:paraId="25EAA18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10.招标文件的修改</w:t>
      </w:r>
    </w:p>
    <w:p w14:paraId="7C04DB0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10.1采购代理机构无论出于自己的考虑，还是出于对投标人提问的澄清，均可对已发出的招标文件用补充文件的方式进行必要澄清或者修改。</w:t>
      </w:r>
    </w:p>
    <w:p w14:paraId="58F50AB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10.2为使投标人有足够的时间按招标文件的修改要求考虑修正投标文件，或出于其他原因，采购代理机构有权推迟投标截止日期和开标日期，并将此变更以补充通知的形式在网上发布公告。</w:t>
      </w:r>
    </w:p>
    <w:p w14:paraId="7A62D6C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10.3招标文件的更正（含澄清、修改等）内容与原招标文件在同一内容上表述不一致时，以发出日期最接近开标时间的公告为准。</w:t>
      </w:r>
    </w:p>
    <w:p w14:paraId="4234880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14:paraId="2C77539B">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10.5招标文件若有最新的答疑文件，投标供应商必须下载并使用该文件制作新的电子投标文件，否则将无法完成电子投标文件的上传及投标。</w:t>
      </w:r>
    </w:p>
    <w:p w14:paraId="327CD50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11.质疑</w:t>
      </w:r>
    </w:p>
    <w:p w14:paraId="7E018DD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5A87AF8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11.2 提出质疑的供应商应当是参与所质疑项目采购活动的供应商，未参加投标活动的供应商或在投标活动中自身权益未受到损害的供应商所提出的质疑不予受理。</w:t>
      </w:r>
    </w:p>
    <w:p w14:paraId="4F08A66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11.3上述应知其权益受到损害之日是指：</w:t>
      </w:r>
    </w:p>
    <w:p w14:paraId="23A226D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11.3.1对采购文件提出质疑的，为获取采购文件或者采购文件公告期限届满之日起计算；</w:t>
      </w:r>
    </w:p>
    <w:p w14:paraId="32617DB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11.3.2对采购过程提出质疑的，自采购程序环节结束之日起计算；</w:t>
      </w:r>
    </w:p>
    <w:p w14:paraId="4DD2BA8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11.3.3对中标结果提出质疑的，自中标结果公告期限届满之日起计算。</w:t>
      </w:r>
    </w:p>
    <w:p w14:paraId="0061B01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11.4 供应商提出质疑应当提交质疑函和必要的证明材料。质疑函应当包括下列内容：</w:t>
      </w:r>
    </w:p>
    <w:p w14:paraId="2AF6B79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11.4.1 供应商的姓名或者名称、地址、邮编、联系人及联系电话；</w:t>
      </w:r>
    </w:p>
    <w:p w14:paraId="1EDDAA2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11.4.2 质疑项目的名称、编号；</w:t>
      </w:r>
    </w:p>
    <w:p w14:paraId="023991E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11.4.3 具体、明确的质疑事项和与质疑事项相关的请求；</w:t>
      </w:r>
    </w:p>
    <w:p w14:paraId="7825FAD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11.4.4 事实依据；</w:t>
      </w:r>
    </w:p>
    <w:p w14:paraId="5491944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11.4.5 必要的法律依据；</w:t>
      </w:r>
    </w:p>
    <w:p w14:paraId="6EEB5A9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11.4.6 提出质疑的日期。</w:t>
      </w:r>
    </w:p>
    <w:p w14:paraId="0BEC867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11.5质疑函的格式和内容应当符合财政部《政府采购供应商质疑函范本》 要求，质疑函范本在财政部官网上提供下载。</w:t>
      </w:r>
    </w:p>
    <w:p w14:paraId="2564046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11.6 提交质疑函同时应当附如下证明材料：</w:t>
      </w:r>
    </w:p>
    <w:p w14:paraId="7D93F73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11.6.1对采购文件提出质疑的供应商提供参加本项目的“交易文件下载确认单”；</w:t>
      </w:r>
    </w:p>
    <w:p w14:paraId="00EAE02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11.6.2质疑供应商的营业执照复印件加盖单位公章；</w:t>
      </w:r>
    </w:p>
    <w:p w14:paraId="420C65D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11.6.3质疑供应商法定代表人身份证复印件加盖单位公章；</w:t>
      </w:r>
    </w:p>
    <w:p w14:paraId="0CB048D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11.6.4质疑供应商若委托代理人进行质疑的，提供法人授权委托书及代理人身份证复印件加盖单位公章，授权委托书应载明代理人的姓名或者名称、代理事项、具体权限、期限和相关事项；</w:t>
      </w:r>
    </w:p>
    <w:p w14:paraId="06EED88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xml:space="preserve">11.7 供应商为自然人的，应当由本人签字；供应商为法人或者其他组织的，应当由法定代表人、主要负责人，或者其授权代表签字或者盖章，并加盖公章。 </w:t>
      </w:r>
    </w:p>
    <w:p w14:paraId="3AA70D0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11.8供应商对招标项目技术、商务及其他要求，以及评审细则、标准提出询问或质疑的，应向采购人提出；供应商对采购过程及中标结果提出询问或质疑的，应向采购代理机构提出；</w:t>
      </w:r>
    </w:p>
    <w:p w14:paraId="0E7273A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11.9 供应商如对本项目提出质疑须在法定质疑期内一次性提出针对同一采购程序环节的质疑。</w:t>
      </w:r>
    </w:p>
    <w:p w14:paraId="00E545C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11.10接受质疑函联系方式见采购公告联系事项。</w:t>
      </w:r>
    </w:p>
    <w:p w14:paraId="26103A1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四、 投标文件说明</w:t>
      </w:r>
    </w:p>
    <w:p w14:paraId="07DF9D3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12、提示与要求</w:t>
      </w:r>
    </w:p>
    <w:p w14:paraId="21793DD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12.1投标人应仔细阅读招标文件的所有内容，按招标文件的要求提供投标文件，并保证所提供的全部资料的真实性，以使其投标对招标文件做出实质性响应，否则，其投标可能被拒绝。</w:t>
      </w:r>
    </w:p>
    <w:p w14:paraId="255D089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12.2无论是否递交投标文件，投标人都应将招标文件及以后的所有通知、文件等视为保密文件。</w:t>
      </w:r>
    </w:p>
    <w:p w14:paraId="7D09159E">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13. 投标文件计量单位和使用文字</w:t>
      </w:r>
    </w:p>
    <w:p w14:paraId="4A758E1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13.1投标文件中所使用的计量单位，除招标文件中有特殊要求外，均应使用中华人民共和国法定计量单位。</w:t>
      </w:r>
    </w:p>
    <w:p w14:paraId="7AE2CFE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5F24D9D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14. 知识产权</w:t>
      </w:r>
    </w:p>
    <w:p w14:paraId="7386860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4B4F720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15. 投标文件的组成</w:t>
      </w:r>
    </w:p>
    <w:p w14:paraId="03C15DE2">
      <w:pPr>
        <w:pBdr>
          <w:top w:val="none" w:color="000000" w:sz="0" w:space="0"/>
          <w:left w:val="none" w:color="000000" w:sz="0" w:space="0"/>
          <w:bottom w:val="none" w:color="000000" w:sz="0" w:space="0"/>
          <w:right w:val="none" w:color="000000" w:sz="0" w:space="0"/>
        </w:pBdr>
        <w:spacing w:after="0" w:line="439" w:lineRule="atLeast"/>
        <w:ind w:firstLine="120"/>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15.1报价部分（详见投标文件格式）：</w:t>
      </w:r>
    </w:p>
    <w:p w14:paraId="1D7E255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15.1.1封面</w:t>
      </w:r>
    </w:p>
    <w:p w14:paraId="2B96727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15.1.2《开标一览表》(统一格式)；</w:t>
      </w:r>
    </w:p>
    <w:p w14:paraId="5BC5164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15.1.3公开分项报价表；</w:t>
      </w:r>
    </w:p>
    <w:p w14:paraId="2FA95ED1">
      <w:pPr>
        <w:pBdr>
          <w:top w:val="none" w:color="000000" w:sz="0" w:space="0"/>
          <w:left w:val="none" w:color="000000" w:sz="0" w:space="0"/>
          <w:bottom w:val="none" w:color="000000" w:sz="0" w:space="0"/>
          <w:right w:val="none" w:color="000000" w:sz="0" w:space="0"/>
        </w:pBdr>
        <w:spacing w:after="0" w:line="439" w:lineRule="atLeast"/>
        <w:ind w:firstLine="120"/>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15.2 投标正文部分（包含资质证明和技术部分）</w:t>
      </w:r>
    </w:p>
    <w:p w14:paraId="027F2617">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15.2.1资质证明文件部分</w:t>
      </w:r>
    </w:p>
    <w:p w14:paraId="534C2E6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15.2.1.1关于资格文件的声明函（详见投标文件格式）；</w:t>
      </w:r>
    </w:p>
    <w:p w14:paraId="621881B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15.2.1.2投标承诺函（详见投标文件格式）；</w:t>
      </w:r>
    </w:p>
    <w:p w14:paraId="2DFF849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15.2.1.3投标人基本情况表（详见投标文件格式）；</w:t>
      </w:r>
    </w:p>
    <w:p w14:paraId="7AECC7A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15.2.1.4投标人法定代表人身份证复印件；</w:t>
      </w:r>
    </w:p>
    <w:p w14:paraId="0B23A2E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15.2.1.5投标人法定代表人授权委托书原件（如有授权）（详见投标文件格式）</w:t>
      </w:r>
    </w:p>
    <w:p w14:paraId="462FD07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15.2.1.6投标人授权代理人身份证复印件（如有授权）</w:t>
      </w:r>
    </w:p>
    <w:p w14:paraId="4A86649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15.2.1.7投标单位营业执照副本或三证合一营业执照复印件；</w:t>
      </w:r>
    </w:p>
    <w:p w14:paraId="12D9927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15.2.1.8投标人参加本次政府采购活动前的财务状况报告或者银行出具的资信证明；</w:t>
      </w:r>
    </w:p>
    <w:p w14:paraId="31CD3CE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15.2.1.9投标人根据项目需求提供履行合同所必需的设备和专业技术能力的证明材料；</w:t>
      </w:r>
    </w:p>
    <w:p w14:paraId="712B67D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15.2.1.10投标人参加本次政府采购活动前半年（至少一个月）依法缴纳税收和社会保障资金的证明材料；</w:t>
      </w:r>
    </w:p>
    <w:p w14:paraId="620384B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15.2.1.11投标人参加政府采购活动前三年在经营活动中没有重大违法记录的书面申明（详见投标文件格式）；</w:t>
      </w:r>
    </w:p>
    <w:p w14:paraId="6732A11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15.2.1.12投标人证明其符合招标文件规定的投标人特定资格条件的证书、证明和文件材料；（如有）</w:t>
      </w:r>
    </w:p>
    <w:p w14:paraId="33C5B6F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15.2.1.13中小企业声明函</w:t>
      </w:r>
    </w:p>
    <w:p w14:paraId="64F9D9B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15.2.1.14残疾人福利性单位声明函（如有）；</w:t>
      </w:r>
    </w:p>
    <w:p w14:paraId="4763B52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b/>
          <w:color w:val="000000"/>
          <w:sz w:val="24"/>
          <w:highlight w:val="none"/>
          <w:lang w:eastAsia="zh-CN"/>
        </w:rPr>
      </w:pPr>
      <w:r>
        <w:rPr>
          <w:rFonts w:hint="eastAsia" w:ascii="宋体" w:hAnsi="宋体" w:eastAsia="宋体" w:cs="宋体"/>
          <w:color w:val="000000"/>
          <w:sz w:val="24"/>
          <w:highlight w:val="none"/>
          <w:lang w:eastAsia="zh-CN"/>
        </w:rPr>
        <w:t>15.2.1.15监狱企业证明文件（如有）</w:t>
      </w:r>
    </w:p>
    <w:p w14:paraId="251C082B">
      <w:pPr>
        <w:pBdr>
          <w:top w:val="none" w:color="000000" w:sz="0" w:space="0"/>
          <w:left w:val="none" w:color="000000" w:sz="0" w:space="0"/>
          <w:bottom w:val="none" w:color="000000" w:sz="0" w:space="0"/>
          <w:right w:val="none" w:color="000000" w:sz="0" w:space="0"/>
        </w:pBdr>
        <w:spacing w:after="0" w:line="439" w:lineRule="atLeast"/>
        <w:ind w:firstLine="361"/>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15.2.2技术部分</w:t>
      </w:r>
    </w:p>
    <w:p w14:paraId="20B54E4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15.2.2.1服务要求偏离表（详见投标文件格式）；</w:t>
      </w:r>
    </w:p>
    <w:p w14:paraId="0FA8D99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15.2.2.2商务要求偏离表（详见投标文件格式）；</w:t>
      </w:r>
    </w:p>
    <w:p w14:paraId="0E34EE2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15.2.2.3项目的技术及服务方案；</w:t>
      </w:r>
    </w:p>
    <w:p w14:paraId="79626BE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15.2.2.4项目实施方案和进度方案；</w:t>
      </w:r>
    </w:p>
    <w:p w14:paraId="1A13002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15.2.2.5质量保证措施和承诺；</w:t>
      </w:r>
    </w:p>
    <w:p w14:paraId="36CDB01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15.2.2.6售后服务内容；</w:t>
      </w:r>
    </w:p>
    <w:p w14:paraId="59EB74C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15.2.2.7企业类似业绩一览表</w:t>
      </w:r>
    </w:p>
    <w:p w14:paraId="415E1F8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15.2.2.8投入本项目技术（服务）人员一览表及相关证明材料；</w:t>
      </w:r>
    </w:p>
    <w:p w14:paraId="364CC89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15.2.2.9其他投标人认为需要提供的材料；</w:t>
      </w:r>
    </w:p>
    <w:p w14:paraId="66A0C59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1EAE87CD">
      <w:pPr>
        <w:pBdr>
          <w:top w:val="none" w:color="000000" w:sz="0" w:space="0"/>
          <w:left w:val="none" w:color="000000" w:sz="0" w:space="0"/>
          <w:bottom w:val="none" w:color="000000" w:sz="0" w:space="0"/>
          <w:right w:val="none" w:color="000000" w:sz="0" w:space="0"/>
        </w:pBdr>
        <w:spacing w:after="0" w:line="439" w:lineRule="atLeast"/>
        <w:ind w:firstLine="14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15.3投标文件由15.1、15.2款规定的内容共同组成。</w:t>
      </w:r>
    </w:p>
    <w:p w14:paraId="2DEB0A9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16. 投标文件编制要求   </w:t>
      </w:r>
    </w:p>
    <w:p w14:paraId="32FCDA6D">
      <w:pPr>
        <w:pBdr>
          <w:top w:val="none" w:color="000000" w:sz="0" w:space="0"/>
          <w:left w:val="none" w:color="000000" w:sz="0" w:space="0"/>
          <w:bottom w:val="none" w:color="000000" w:sz="0" w:space="0"/>
          <w:right w:val="none" w:color="000000" w:sz="0" w:space="0"/>
        </w:pBdr>
        <w:spacing w:after="0" w:line="439" w:lineRule="atLeast"/>
        <w:ind w:firstLine="424"/>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16.1</w:t>
      </w:r>
      <w:r>
        <w:rPr>
          <w:rFonts w:hint="eastAsia" w:ascii="宋体" w:hAnsi="宋体" w:eastAsia="宋体" w:cs="宋体"/>
          <w:b/>
          <w:color w:val="000000"/>
          <w:sz w:val="24"/>
          <w:highlight w:val="none"/>
          <w:lang w:eastAsia="zh-CN"/>
        </w:rPr>
        <w:t>电子投标文件编制要求：</w:t>
      </w:r>
      <w:r>
        <w:rPr>
          <w:rFonts w:hint="eastAsia" w:ascii="宋体" w:hAnsi="宋体" w:eastAsia="宋体" w:cs="宋体"/>
          <w:color w:val="000000"/>
          <w:sz w:val="24"/>
          <w:highlight w:val="none"/>
          <w:lang w:eastAsia="zh-CN"/>
        </w:rPr>
        <w:t>投标人应使用</w:t>
      </w:r>
      <w:r>
        <w:rPr>
          <w:rFonts w:hint="eastAsia" w:ascii="宋体" w:hAnsi="宋体" w:eastAsia="宋体" w:cs="宋体"/>
          <w:b/>
          <w:color w:val="000000"/>
          <w:sz w:val="24"/>
          <w:highlight w:val="none"/>
          <w:lang w:eastAsia="zh-CN"/>
        </w:rPr>
        <w:t>招标文件要求的投标文件制作软件制作电子投标文件</w:t>
      </w:r>
      <w:r>
        <w:rPr>
          <w:rFonts w:hint="eastAsia" w:ascii="宋体" w:hAnsi="宋体" w:eastAsia="宋体" w:cs="宋体"/>
          <w:color w:val="000000"/>
          <w:sz w:val="24"/>
          <w:highlight w:val="none"/>
          <w:lang w:eastAsia="zh-CN"/>
        </w:rPr>
        <w:t>，电子投标文件按招标文件规定的格式制作，如果未按要求制作上传，可能导致投标无效。</w:t>
      </w:r>
    </w:p>
    <w:p w14:paraId="7A2FBA57">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17. 投标报价（编制）要求的说明</w:t>
      </w:r>
    </w:p>
    <w:p w14:paraId="5EFA1C1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4B67C93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7322544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17.3 一项投标内容只允许一个报价，采购代理机构不接受任何有选择性的投标报价。</w:t>
      </w:r>
    </w:p>
    <w:p w14:paraId="212EA8F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17.4投标文件报价中的单价和总价全部采用人民币表示，除非合同的特殊条款另有规定。</w:t>
      </w:r>
    </w:p>
    <w:p w14:paraId="280E60D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17.5最低的投标报价或最高的折扣比例是中标的重要条件，但不是中标的唯一条件。</w:t>
      </w:r>
    </w:p>
    <w:p w14:paraId="074BBDD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18. 投标保证金</w:t>
      </w:r>
    </w:p>
    <w:p w14:paraId="7F870E0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本项目无须缴纳投标保证金</w:t>
      </w:r>
      <w:r>
        <w:rPr>
          <w:rFonts w:hint="eastAsia" w:ascii="宋体" w:hAnsi="宋体" w:eastAsia="宋体" w:cs="宋体"/>
          <w:b/>
          <w:color w:val="000000"/>
          <w:sz w:val="24"/>
          <w:highlight w:val="none"/>
          <w:lang w:eastAsia="zh-CN"/>
        </w:rPr>
        <w:t>。</w:t>
      </w:r>
    </w:p>
    <w:p w14:paraId="75F9C3F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19. 投标文件的有效期</w:t>
      </w:r>
    </w:p>
    <w:p w14:paraId="0FD9CC8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19.1在本招标文件规定的开标之日起九十（90）天内，投标人所提交的投标文件应保持有效。</w:t>
      </w:r>
      <w:r>
        <w:rPr>
          <w:rFonts w:hint="eastAsia" w:ascii="宋体" w:hAnsi="宋体" w:eastAsia="宋体" w:cs="宋体"/>
          <w:b/>
          <w:color w:val="000000"/>
          <w:sz w:val="24"/>
          <w:highlight w:val="none"/>
          <w:lang w:eastAsia="zh-CN"/>
        </w:rPr>
        <w:t>有效期短于这个规定期限的投标文件，将被认定为未实质性响应招标文件要求。</w:t>
      </w:r>
    </w:p>
    <w:p w14:paraId="11D70F2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19.2在特殊情况下，采购代理机构位可与投标人协商延长投标书的有效期。这种要求和答复都应以书面形式进行。同意延长有效期的投标人不能修改投标文件。拒绝接受延期要求的投标人的投标将被拒绝。</w:t>
      </w:r>
    </w:p>
    <w:p w14:paraId="33440C2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五、 投标文件的提交、撤回和修改</w:t>
      </w:r>
    </w:p>
    <w:p w14:paraId="7C672F8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20. 投标文件的上传、提交</w:t>
      </w:r>
    </w:p>
    <w:p w14:paraId="6E9A04BA">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20.</w:t>
      </w:r>
      <w:r>
        <w:rPr>
          <w:rFonts w:hint="eastAsia" w:ascii="宋体" w:hAnsi="宋体" w:eastAsia="宋体" w:cs="宋体"/>
          <w:b/>
          <w:color w:val="000000"/>
          <w:sz w:val="24"/>
          <w:highlight w:val="none"/>
          <w:lang w:eastAsia="zh-CN"/>
        </w:rPr>
        <w:t>1投标人应将制作好的加密电子投标文件按要求在投标截止时间前上传到交易系统平台中。</w:t>
      </w:r>
    </w:p>
    <w:p w14:paraId="5614A0F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21. 投标截止时间</w:t>
      </w:r>
    </w:p>
    <w:p w14:paraId="60F557C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21.1</w:t>
      </w:r>
      <w:r>
        <w:rPr>
          <w:rFonts w:hint="eastAsia" w:ascii="宋体" w:hAnsi="宋体" w:eastAsia="宋体" w:cs="宋体"/>
          <w:b/>
          <w:color w:val="000000"/>
          <w:sz w:val="24"/>
          <w:highlight w:val="none"/>
          <w:lang w:eastAsia="zh-CN"/>
        </w:rPr>
        <w:t>电子投标文件必须按招标公告中规定的网上投标截止时间前提交</w:t>
      </w:r>
      <w:r>
        <w:rPr>
          <w:rFonts w:hint="eastAsia" w:ascii="宋体" w:hAnsi="宋体" w:eastAsia="宋体" w:cs="宋体"/>
          <w:color w:val="000000"/>
          <w:sz w:val="24"/>
          <w:highlight w:val="none"/>
          <w:lang w:eastAsia="zh-CN"/>
        </w:rPr>
        <w:t>，</w:t>
      </w:r>
      <w:r>
        <w:rPr>
          <w:rFonts w:hint="eastAsia" w:ascii="宋体" w:hAnsi="宋体" w:eastAsia="宋体" w:cs="宋体"/>
          <w:b/>
          <w:color w:val="000000"/>
          <w:sz w:val="24"/>
          <w:highlight w:val="none"/>
          <w:lang w:eastAsia="zh-CN"/>
        </w:rPr>
        <w:t>否则投标无效</w:t>
      </w:r>
      <w:r>
        <w:rPr>
          <w:rFonts w:hint="eastAsia" w:ascii="宋体" w:hAnsi="宋体" w:eastAsia="宋体" w:cs="宋体"/>
          <w:color w:val="000000"/>
          <w:sz w:val="24"/>
          <w:highlight w:val="none"/>
          <w:lang w:eastAsia="zh-CN"/>
        </w:rPr>
        <w:t>。</w:t>
      </w:r>
    </w:p>
    <w:p w14:paraId="5996909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21.2采购代理机构推迟投标截止时间时，应以更正公告的形式，通知所有投标人。在这种情况下，采购代理机构和投标人的权利和义务将受到新的截止期的约束。</w:t>
      </w:r>
    </w:p>
    <w:p w14:paraId="1765359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21.3在投标截止时间止，采购代理机构于本项目（或标段）收到的电子投标文件少于三份的，采购代理机构有权宣布本项目（或标段）招标失败。</w:t>
      </w:r>
    </w:p>
    <w:p w14:paraId="42F507D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22. 投标文件的修改和撤回</w:t>
      </w:r>
    </w:p>
    <w:p w14:paraId="6D44B1C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22.1投标人在提交投标文件截止时间前，可对其投标文件进行撤回或修改。</w:t>
      </w:r>
    </w:p>
    <w:p w14:paraId="1087182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23.2开标后投标人不得撤回投标。</w:t>
      </w:r>
    </w:p>
    <w:p w14:paraId="1CAC16E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六、开标和评标</w:t>
      </w:r>
    </w:p>
    <w:p w14:paraId="3D4723F3">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23. 开标</w:t>
      </w:r>
    </w:p>
    <w:p w14:paraId="7F8E091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23.1采购代理机构按采购公告规定的时间、地点主持不见面开标活动。开标仪式由采购代理机构、采购人等主持。</w:t>
      </w:r>
    </w:p>
    <w:p w14:paraId="10635E5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23.2</w:t>
      </w:r>
      <w:r>
        <w:rPr>
          <w:rFonts w:hint="eastAsia" w:ascii="宋体" w:hAnsi="宋体" w:eastAsia="宋体" w:cs="宋体"/>
          <w:b/>
          <w:color w:val="000000"/>
          <w:sz w:val="24"/>
          <w:highlight w:val="none"/>
          <w:lang w:eastAsia="zh-CN"/>
        </w:rPr>
        <w:t>参加开标的投标法定代表人或授权代理人须在项目开标前登录苏采云不见面开标系统，进入网上不见面开标大厅，做好相关准备工作。</w:t>
      </w:r>
    </w:p>
    <w:p w14:paraId="489ACA9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23.3</w:t>
      </w:r>
      <w:r>
        <w:rPr>
          <w:rFonts w:hint="eastAsia" w:ascii="宋体" w:hAnsi="宋体" w:eastAsia="宋体" w:cs="宋体"/>
          <w:b/>
          <w:color w:val="000000"/>
          <w:sz w:val="24"/>
          <w:highlight w:val="none"/>
          <w:lang w:eastAsia="zh-CN"/>
        </w:rPr>
        <w:t>本项目开标后在规定的解密时间内，投标人须自行登录网上开标大厅解密投标文件，解密时间为30分钟，因自身原因导致解密失败的，由投标人自行承担相关责任。</w:t>
      </w:r>
    </w:p>
    <w:p w14:paraId="4B1181E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23.4采购代理机构在开标仪式上，将公布投标人的名称、投标价格，并将作唱标记录。</w:t>
      </w:r>
    </w:p>
    <w:p w14:paraId="1CACC82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23.5投标人代表对开标过程和开标记录有疑义，以及认为采购人、采购代理机构相关工作人员有需要回避的情形的，</w:t>
      </w:r>
      <w:r>
        <w:rPr>
          <w:rFonts w:hint="eastAsia" w:ascii="宋体" w:hAnsi="宋体" w:eastAsia="宋体" w:cs="宋体"/>
          <w:b/>
          <w:color w:val="000000"/>
          <w:sz w:val="24"/>
          <w:highlight w:val="none"/>
          <w:lang w:eastAsia="zh-CN"/>
        </w:rPr>
        <w:t>应通过不见面开标大厅提出</w:t>
      </w:r>
      <w:r>
        <w:rPr>
          <w:rFonts w:hint="eastAsia" w:ascii="宋体" w:hAnsi="宋体" w:eastAsia="宋体" w:cs="宋体"/>
          <w:color w:val="000000"/>
          <w:sz w:val="24"/>
          <w:highlight w:val="none"/>
          <w:lang w:eastAsia="zh-CN"/>
        </w:rPr>
        <w:t>询问或者回避申请。采购人、采购代理机构对投标人代表提出的询问或者回避申请应当及时处理。</w:t>
      </w:r>
    </w:p>
    <w:p w14:paraId="7FC1CEA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24. 评标委员会</w:t>
      </w:r>
    </w:p>
    <w:p w14:paraId="0426A36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24.1评标委员会由采购人或委托采购代理机构依法组建，负责本项目的评标事务。</w:t>
      </w:r>
    </w:p>
    <w:p w14:paraId="5EA621A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24.2评标委员会独立履行下列职责：</w:t>
      </w:r>
    </w:p>
    <w:p w14:paraId="7FB8168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24.2.1审查投标文件是否符合招标文件的要求，并作出评价；</w:t>
      </w:r>
    </w:p>
    <w:p w14:paraId="5930991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24.2.2可以要求投标供应商对投标文件有关事项作出解释或澄清；</w:t>
      </w:r>
    </w:p>
    <w:p w14:paraId="537ACF2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24.2.3推荐中标候选供应商名单，或者受采购人委托按照事先确定的办法直接确定中标供应商；</w:t>
      </w:r>
    </w:p>
    <w:p w14:paraId="515E5F4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24.2.4向采购代理机构或者有关部门报告非法干预评标工作的行为；</w:t>
      </w:r>
    </w:p>
    <w:p w14:paraId="037A747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24.3评标委员会成员应当履行下列义务：</w:t>
      </w:r>
    </w:p>
    <w:p w14:paraId="674C719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24.3.1遵纪守法，客观、公正、廉洁地履行职责；</w:t>
      </w:r>
    </w:p>
    <w:p w14:paraId="1310797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24.3.2按照招标文件规定的评标办法和评标标准进行评标，对评审意见承担个人责任；</w:t>
      </w:r>
    </w:p>
    <w:p w14:paraId="49F8F28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24.3.3对评标过程和结果，以及投标人的商业秘密保密；</w:t>
      </w:r>
    </w:p>
    <w:p w14:paraId="1E4672D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24.3.4参与评标报告的起草；</w:t>
      </w:r>
    </w:p>
    <w:p w14:paraId="5942339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24.3.5配合采购代理机构答复投标供应商提出的质疑；</w:t>
      </w:r>
    </w:p>
    <w:p w14:paraId="236349B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24.3.6配合相关部门的投诉处理工作；</w:t>
      </w:r>
    </w:p>
    <w:p w14:paraId="04A9485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25. 评标内容的保密</w:t>
      </w:r>
    </w:p>
    <w:p w14:paraId="3D80E21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25.1公开开标后，直到宣布授予中标供应商合同为止，凡属于审查、澄清、评价和比较投标的所有资料，有关授予合同的信息都不应向投标人或与评标无关的其他人泄露。</w:t>
      </w:r>
    </w:p>
    <w:p w14:paraId="7D93EFD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25.2 在投标文件的审查、澄清、评价和比较以及授予合同的过程中，投标人对采购代理机构和评标委员会成员施加影响的任何行为，都将取消其投标资格。</w:t>
      </w:r>
    </w:p>
    <w:p w14:paraId="2ADCC1B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25.3在评标期间，采购代理机构将通过指定联络人与投标人进行联系。</w:t>
      </w:r>
    </w:p>
    <w:p w14:paraId="4770975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26.对投标文件初审</w:t>
      </w:r>
    </w:p>
    <w:p w14:paraId="27E88B6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26.1投标文件初审分为资格性检查和符合性检查。</w:t>
      </w:r>
    </w:p>
    <w:p w14:paraId="73D534A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26.1.1资格性检查。依据法律法规和招标文件的规定，采购人或者采购代理机构依法对投标人的资格进行审查。对投标文件中的资格证明等进行审查，以确定投标供应商是否具备投标资格。</w:t>
      </w:r>
    </w:p>
    <w:p w14:paraId="0D4F9B5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26.1.2 关于信用记录查询：</w:t>
      </w:r>
    </w:p>
    <w:p w14:paraId="6248C70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0EB5C7A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26.1.2.1查询时间：评标阶段</w:t>
      </w:r>
    </w:p>
    <w:p w14:paraId="20CB9EA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26.1.2.2查询渠道：通过“信用中国”网站、中国政府采购网等渠道查询相关主体信用记录。</w:t>
      </w:r>
    </w:p>
    <w:p w14:paraId="7CB3E86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700E068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26.1.2.4信用记录使用规则：评审小组在对供应商进行资格性审查时，应根据查询结果对供应商的不良信用记录逐项甄别确认。</w:t>
      </w:r>
    </w:p>
    <w:p w14:paraId="5F37C40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26.1.3符合性检查。依据招标文件的规定，从投标文件的有效性、完整性和对招标文件的响应程度进行审查，以确定是否对招标文件的实质性要求作出响应。</w:t>
      </w:r>
    </w:p>
    <w:p w14:paraId="64CB7E3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26.2开标后，评标委员会将审查投标文件是否实质性响应招标文件的要求、内容是否完整、价格构成有无计算错误、文件签署是否齐全等。投标文件属下列情况之一的，评标委员会将按无效投标处理：</w:t>
      </w:r>
    </w:p>
    <w:p w14:paraId="1FCFF8A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26.2.1 不同投标人的投标文件由同一单位或者个人编制；</w:t>
      </w:r>
    </w:p>
    <w:p w14:paraId="3514993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26.2.2不同投标人委托同一单位或者个人办理投标事宜；</w:t>
      </w:r>
    </w:p>
    <w:p w14:paraId="70CEC45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26.2.3不同投标人的投标文件载明的项目管理成员或者联系人员为同一人；</w:t>
      </w:r>
    </w:p>
    <w:p w14:paraId="4BDAD39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26.2.4不同投标人的投标文件异常一致或者投标报价呈规律性差异；</w:t>
      </w:r>
    </w:p>
    <w:p w14:paraId="3283BFB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26.2.5不同投标人的投标文件相互混装；</w:t>
      </w:r>
    </w:p>
    <w:p w14:paraId="11BCE50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0A6EDB4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3BAFE65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26.5评标委员会将允许修改投标中不构成重大偏离的微小的、非正规、不一致或不规则的地方，但这些修改不能影响任何投标单位的名次相应排列。投标单位不得对招标文件进行实质性修改，否则投标文件将被拒绝。</w:t>
      </w:r>
    </w:p>
    <w:p w14:paraId="7BAADF2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26.6评标委员会将对确定为实质性响应的投标进行审核，看其是否有计算上或累加上的算术错误，修正错误的原则如下：</w:t>
      </w:r>
    </w:p>
    <w:p w14:paraId="7CBE140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26.6.1投标文件中开标一览表（报价表）内容与投标文件中相应内容不一致的，以开标一览表（报价表）为准；</w:t>
      </w:r>
    </w:p>
    <w:p w14:paraId="08C9C52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26.6.2大写金额和小写金额不一致的，以大写金额为准；</w:t>
      </w:r>
    </w:p>
    <w:p w14:paraId="3F3E979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26.6.3单价金额小数点或者百分比有明显错位的，以开标一览表的总价为准，并修改单价；</w:t>
      </w:r>
    </w:p>
    <w:p w14:paraId="2529489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26.6.4总价金额与按单价汇总金额不一致的，以单价金额计算结果为准。</w:t>
      </w:r>
    </w:p>
    <w:p w14:paraId="7824EB4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同时出现两种以上不一致的，按照前款规定的顺序修正。修正后的报价按照本须知26.6条规定经投标人确认后产生约束力，投标人不确认的，其投标无效。</w:t>
      </w:r>
    </w:p>
    <w:p w14:paraId="681539F5">
      <w:pPr>
        <w:pStyle w:val="198"/>
        <w:spacing w:line="480" w:lineRule="exact"/>
        <w:ind w:firstLine="482" w:firstLineChars="200"/>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hint="eastAsia" w:cs="微软雅黑" w:asciiTheme="minorEastAsia" w:hAnsiTheme="minorEastAsia" w:eastAsiaTheme="minorEastAsia"/>
          <w:b/>
          <w:sz w:val="24"/>
          <w:szCs w:val="24"/>
          <w:highlight w:val="none"/>
          <w:lang w:eastAsia="zh-CN"/>
        </w:rPr>
        <w:t>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highlight w:val="none"/>
          <w:lang w:eastAsia="zh-CN"/>
        </w:rPr>
        <w:t>2026</w:t>
      </w:r>
      <w:r>
        <w:rPr>
          <w:rFonts w:hint="eastAsia" w:cs="微软雅黑"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2号</w:t>
      </w:r>
      <w:r>
        <w:rPr>
          <w:rFonts w:hint="eastAsia" w:cs="微软雅黑" w:asciiTheme="minorEastAsia" w:hAnsiTheme="minorEastAsia" w:eastAsiaTheme="minorEastAsia"/>
          <w:b/>
          <w:sz w:val="24"/>
          <w:szCs w:val="24"/>
          <w:highlight w:val="none"/>
          <w:lang w:eastAsia="zh-CN"/>
        </w:rPr>
        <w:t>），应当要求其在不见面开标大厅内合理的时间内提供说明，必要时提交相关证明材料：投标人不能证明其报价合理性的，评标委员会应当将其作为无效投标处理。：</w:t>
      </w:r>
    </w:p>
    <w:p w14:paraId="5250218A">
      <w:pPr>
        <w:pStyle w:val="198"/>
        <w:spacing w:line="480" w:lineRule="exact"/>
        <w:ind w:firstLine="482" w:firstLineChars="200"/>
        <w:rPr>
          <w:rFonts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异常低价投标（响应）审查的情形和具体要求如下：</w:t>
      </w:r>
    </w:p>
    <w:p w14:paraId="6AFCEA3C">
      <w:pPr>
        <w:pStyle w:val="198"/>
        <w:spacing w:line="480" w:lineRule="exact"/>
        <w:ind w:firstLine="482" w:firstLineChars="200"/>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7.1</w:t>
      </w:r>
      <w:r>
        <w:rPr>
          <w:rFonts w:asciiTheme="minorEastAsia" w:hAnsiTheme="minorEastAsia" w:eastAsiaTheme="minorEastAsia"/>
          <w:b/>
          <w:sz w:val="24"/>
          <w:szCs w:val="24"/>
          <w:highlight w:val="none"/>
          <w:lang w:eastAsia="zh-CN"/>
        </w:rPr>
        <w:t xml:space="preserve"> </w:t>
      </w:r>
      <w:r>
        <w:rPr>
          <w:rFonts w:hint="eastAsia" w:cs="微软雅黑" w:asciiTheme="minorEastAsia" w:hAnsiTheme="minorEastAsia" w:eastAsiaTheme="minorEastAsia"/>
          <w:b/>
          <w:sz w:val="24"/>
          <w:szCs w:val="24"/>
          <w:highlight w:val="none"/>
          <w:lang w:eastAsia="zh-CN"/>
        </w:rPr>
        <w:t>投标（响应）报价低于全部通过符合性审查供应商投标（响应）报价平均值</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的，即投标（响应）报价</w:t>
      </w:r>
      <w:r>
        <w:rPr>
          <w:rFonts w:asciiTheme="minorEastAsia" w:hAnsiTheme="minorEastAsia" w:eastAsiaTheme="minorEastAsia"/>
          <w:b/>
          <w:sz w:val="24"/>
          <w:szCs w:val="24"/>
          <w:highlight w:val="none"/>
          <w:lang w:eastAsia="zh-CN"/>
        </w:rPr>
        <w:t>&lt;</w:t>
      </w:r>
      <w:r>
        <w:rPr>
          <w:rFonts w:hint="eastAsia" w:cs="微软雅黑" w:asciiTheme="minorEastAsia" w:hAnsiTheme="minorEastAsia" w:eastAsiaTheme="minorEastAsia"/>
          <w:b/>
          <w:sz w:val="24"/>
          <w:szCs w:val="24"/>
          <w:highlight w:val="none"/>
          <w:lang w:eastAsia="zh-CN"/>
        </w:rPr>
        <w:t>全部通过符合性审查供应商投标（响应）报价平均值</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w:t>
      </w:r>
    </w:p>
    <w:p w14:paraId="696F7683">
      <w:pPr>
        <w:pStyle w:val="198"/>
        <w:spacing w:line="480" w:lineRule="exact"/>
        <w:ind w:firstLine="482" w:firstLineChars="200"/>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asciiTheme="minorEastAsia" w:hAnsiTheme="minorEastAsia" w:eastAsiaTheme="minorEastAsia"/>
          <w:b/>
          <w:sz w:val="24"/>
          <w:szCs w:val="24"/>
          <w:highlight w:val="none"/>
          <w:lang w:eastAsia="zh-CN"/>
        </w:rPr>
        <w:t xml:space="preserve">.2 </w:t>
      </w:r>
      <w:r>
        <w:rPr>
          <w:rFonts w:hint="eastAsia" w:cs="微软雅黑" w:asciiTheme="minorEastAsia" w:hAnsiTheme="minorEastAsia" w:eastAsiaTheme="minorEastAsia"/>
          <w:b/>
          <w:sz w:val="24"/>
          <w:szCs w:val="24"/>
          <w:highlight w:val="none"/>
          <w:lang w:eastAsia="zh-CN"/>
        </w:rPr>
        <w:t>投标（响应）报价低于通过符合性审查的次低报价供应商投标（响应）报价</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的，即投标（响应）报价</w:t>
      </w:r>
      <w:r>
        <w:rPr>
          <w:rFonts w:asciiTheme="minorEastAsia" w:hAnsiTheme="minorEastAsia" w:eastAsiaTheme="minorEastAsia"/>
          <w:b/>
          <w:sz w:val="24"/>
          <w:szCs w:val="24"/>
          <w:highlight w:val="none"/>
          <w:lang w:eastAsia="zh-CN"/>
        </w:rPr>
        <w:t>&lt;</w:t>
      </w:r>
      <w:r>
        <w:rPr>
          <w:rFonts w:hint="eastAsia" w:cs="微软雅黑" w:asciiTheme="minorEastAsia" w:hAnsiTheme="minorEastAsia" w:eastAsiaTheme="minorEastAsia"/>
          <w:b/>
          <w:sz w:val="24"/>
          <w:szCs w:val="24"/>
          <w:highlight w:val="none"/>
          <w:lang w:eastAsia="zh-CN"/>
        </w:rPr>
        <w:t>通过符合性审查的次低报价供应商投标（响应）报价</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w:t>
      </w:r>
    </w:p>
    <w:p w14:paraId="02898966">
      <w:pPr>
        <w:pStyle w:val="198"/>
        <w:spacing w:line="480" w:lineRule="exact"/>
        <w:ind w:firstLine="482" w:firstLineChars="200"/>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asciiTheme="minorEastAsia" w:hAnsiTheme="minorEastAsia" w:eastAsiaTheme="minorEastAsia"/>
          <w:b/>
          <w:sz w:val="24"/>
          <w:szCs w:val="24"/>
          <w:highlight w:val="none"/>
          <w:lang w:eastAsia="zh-CN"/>
        </w:rPr>
        <w:t xml:space="preserve">.3 </w:t>
      </w:r>
      <w:r>
        <w:rPr>
          <w:rFonts w:hint="eastAsia" w:cs="微软雅黑" w:asciiTheme="minorEastAsia" w:hAnsiTheme="minorEastAsia" w:eastAsiaTheme="minorEastAsia"/>
          <w:b/>
          <w:sz w:val="24"/>
          <w:szCs w:val="24"/>
          <w:highlight w:val="none"/>
          <w:lang w:eastAsia="zh-CN"/>
        </w:rPr>
        <w:t>投标（响应）报价低于采购项目最高限价</w:t>
      </w:r>
      <w:r>
        <w:rPr>
          <w:rFonts w:asciiTheme="minorEastAsia" w:hAnsiTheme="minorEastAsia" w:eastAsiaTheme="minorEastAsia"/>
          <w:b/>
          <w:sz w:val="24"/>
          <w:szCs w:val="24"/>
          <w:highlight w:val="none"/>
          <w:lang w:eastAsia="zh-CN"/>
        </w:rPr>
        <w:t>45%</w:t>
      </w:r>
      <w:r>
        <w:rPr>
          <w:rFonts w:hint="eastAsia" w:cs="微软雅黑" w:asciiTheme="minorEastAsia" w:hAnsiTheme="minorEastAsia" w:eastAsiaTheme="minorEastAsia"/>
          <w:b/>
          <w:sz w:val="24"/>
          <w:szCs w:val="24"/>
          <w:highlight w:val="none"/>
          <w:lang w:eastAsia="zh-CN"/>
        </w:rPr>
        <w:t>的，即投标（响应）报价</w:t>
      </w:r>
      <w:r>
        <w:rPr>
          <w:rFonts w:asciiTheme="minorEastAsia" w:hAnsiTheme="minorEastAsia" w:eastAsiaTheme="minorEastAsia"/>
          <w:b/>
          <w:sz w:val="24"/>
          <w:szCs w:val="24"/>
          <w:highlight w:val="none"/>
          <w:lang w:eastAsia="zh-CN"/>
        </w:rPr>
        <w:t>&lt;</w:t>
      </w:r>
      <w:r>
        <w:rPr>
          <w:rFonts w:hint="eastAsia" w:cs="微软雅黑" w:asciiTheme="minorEastAsia" w:hAnsiTheme="minorEastAsia" w:eastAsiaTheme="minorEastAsia"/>
          <w:b/>
          <w:sz w:val="24"/>
          <w:szCs w:val="24"/>
          <w:highlight w:val="none"/>
          <w:lang w:eastAsia="zh-CN"/>
        </w:rPr>
        <w:t>采购项目最高限价</w:t>
      </w:r>
      <w:r>
        <w:rPr>
          <w:rFonts w:asciiTheme="minorEastAsia" w:hAnsiTheme="minorEastAsia" w:eastAsiaTheme="minorEastAsia"/>
          <w:b/>
          <w:sz w:val="24"/>
          <w:szCs w:val="24"/>
          <w:highlight w:val="none"/>
          <w:lang w:eastAsia="zh-CN"/>
        </w:rPr>
        <w:t>×45%</w:t>
      </w:r>
      <w:r>
        <w:rPr>
          <w:rFonts w:hint="eastAsia" w:cs="微软雅黑" w:asciiTheme="minorEastAsia" w:hAnsiTheme="minorEastAsia" w:eastAsiaTheme="minorEastAsia"/>
          <w:b/>
          <w:sz w:val="24"/>
          <w:szCs w:val="24"/>
          <w:highlight w:val="none"/>
          <w:lang w:eastAsia="zh-CN"/>
        </w:rPr>
        <w:t>；</w:t>
      </w:r>
    </w:p>
    <w:p w14:paraId="706FF457">
      <w:pPr>
        <w:pStyle w:val="198"/>
        <w:spacing w:line="480" w:lineRule="exact"/>
        <w:ind w:firstLine="482" w:firstLineChars="200"/>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asciiTheme="minorEastAsia" w:hAnsiTheme="minorEastAsia" w:eastAsiaTheme="minorEastAsia"/>
          <w:b/>
          <w:sz w:val="24"/>
          <w:szCs w:val="24"/>
          <w:highlight w:val="none"/>
          <w:lang w:eastAsia="zh-CN"/>
        </w:rPr>
        <w:t xml:space="preserve">.4 </w:t>
      </w:r>
      <w:r>
        <w:rPr>
          <w:rFonts w:hint="eastAsia" w:cs="微软雅黑" w:asciiTheme="minorEastAsia" w:hAnsiTheme="minorEastAsia" w:eastAsiaTheme="minorEastAsia"/>
          <w:b/>
          <w:sz w:val="24"/>
          <w:szCs w:val="24"/>
          <w:highlight w:val="none"/>
          <w:lang w:eastAsia="zh-CN"/>
        </w:rPr>
        <w:t>评审委员会基于专业判断，认为供应商报价过低，有可能影响产品质量或者不能诚信履约的其他情形。</w:t>
      </w:r>
    </w:p>
    <w:p w14:paraId="7039DB16">
      <w:pPr>
        <w:pStyle w:val="198"/>
        <w:spacing w:line="480" w:lineRule="exact"/>
        <w:ind w:firstLine="482" w:firstLineChars="200"/>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26.8</w:t>
      </w:r>
      <w:r>
        <w:rPr>
          <w:rFonts w:asciiTheme="minorEastAsia" w:hAnsiTheme="minorEastAsia" w:eastAsiaTheme="minorEastAsia"/>
          <w:b/>
          <w:sz w:val="24"/>
          <w:szCs w:val="24"/>
          <w:highlight w:val="none"/>
          <w:lang w:eastAsia="zh-CN"/>
        </w:rPr>
        <w:t xml:space="preserve"> </w:t>
      </w:r>
      <w:r>
        <w:rPr>
          <w:rFonts w:hint="eastAsia" w:ascii="宋体" w:hAnsi="宋体" w:eastAsia="宋体" w:cs="宋体"/>
          <w:b/>
          <w:bCs/>
          <w:sz w:val="24"/>
          <w:highlight w:val="none"/>
          <w:lang w:eastAsia="zh-CN"/>
        </w:rPr>
        <w:t>评审委员会启动异常低价投标（响应）审查后，属于前述第</w:t>
      </w:r>
      <w:r>
        <w:rPr>
          <w:rFonts w:ascii="宋体" w:hAnsi="宋体" w:cs="宋体"/>
          <w:b/>
          <w:bCs/>
          <w:sz w:val="24"/>
          <w:highlight w:val="none"/>
          <w:lang w:eastAsia="zh-CN"/>
        </w:rPr>
        <w:t>1</w:t>
      </w:r>
      <w:r>
        <w:rPr>
          <w:rFonts w:hint="eastAsia" w:ascii="宋体" w:hAnsi="宋体" w:eastAsia="宋体" w:cs="宋体"/>
          <w:b/>
          <w:bCs/>
          <w:sz w:val="24"/>
          <w:highlight w:val="none"/>
          <w:lang w:eastAsia="zh-CN"/>
        </w:rPr>
        <w:t>项至第</w:t>
      </w:r>
      <w:r>
        <w:rPr>
          <w:rFonts w:ascii="宋体" w:hAnsi="宋体" w:cs="宋体"/>
          <w:b/>
          <w:bCs/>
          <w:sz w:val="24"/>
          <w:highlight w:val="none"/>
          <w:lang w:eastAsia="zh-CN"/>
        </w:rPr>
        <w:t>4</w:t>
      </w:r>
      <w:r>
        <w:rPr>
          <w:rFonts w:hint="eastAsia" w:ascii="宋体" w:hAnsi="宋体" w:eastAsia="宋体" w:cs="宋体"/>
          <w:b/>
          <w:bCs/>
          <w:sz w:val="24"/>
          <w:highlight w:val="none"/>
          <w:lang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highlight w:val="none"/>
          <w:lang w:eastAsia="zh-CN"/>
        </w:rPr>
        <w:t>30</w:t>
      </w:r>
      <w:r>
        <w:rPr>
          <w:rFonts w:hint="eastAsia" w:ascii="宋体" w:hAnsi="宋体" w:eastAsia="宋体" w:cs="宋体"/>
          <w:b/>
          <w:bCs/>
          <w:sz w:val="24"/>
          <w:highlight w:val="none"/>
          <w:lang w:eastAsia="zh-CN"/>
        </w:rPr>
        <w:t>分钟。其中，属于第</w:t>
      </w:r>
      <w:r>
        <w:rPr>
          <w:rFonts w:ascii="宋体" w:hAnsi="宋体" w:cs="宋体"/>
          <w:b/>
          <w:bCs/>
          <w:sz w:val="24"/>
          <w:highlight w:val="none"/>
          <w:lang w:eastAsia="zh-CN"/>
        </w:rPr>
        <w:t>3</w:t>
      </w:r>
      <w:r>
        <w:rPr>
          <w:rFonts w:hint="eastAsia" w:ascii="宋体" w:hAnsi="宋体" w:eastAsia="宋体" w:cs="宋体"/>
          <w:b/>
          <w:bCs/>
          <w:sz w:val="24"/>
          <w:highlight w:val="none"/>
          <w:lang w:eastAsia="zh-CN"/>
        </w:rPr>
        <w:t>项情形，供应商已随投标（响应）文件一并提交相关书面说明及必要的证明材料的，在评审现场可不再重复提交。</w:t>
      </w:r>
      <w:r>
        <w:rPr>
          <w:rFonts w:hint="eastAsia" w:cs="微软雅黑" w:asciiTheme="minorEastAsia" w:hAnsiTheme="minorEastAsia" w:eastAsiaTheme="minorEastAsia"/>
          <w:b/>
          <w:sz w:val="24"/>
          <w:szCs w:val="24"/>
          <w:highlight w:val="none"/>
          <w:lang w:eastAsia="zh-CN"/>
        </w:rPr>
        <w:t>。</w:t>
      </w:r>
      <w:r>
        <w:rPr>
          <w:rFonts w:asciiTheme="minorEastAsia" w:hAnsiTheme="minorEastAsia" w:eastAsiaTheme="minorEastAsia"/>
          <w:b/>
          <w:sz w:val="24"/>
          <w:szCs w:val="24"/>
          <w:highlight w:val="none"/>
          <w:lang w:eastAsia="zh-CN"/>
        </w:rPr>
        <w:br w:type="textWrapping"/>
      </w:r>
      <w:r>
        <w:rPr>
          <w:rFonts w:hint="eastAsia" w:asciiTheme="minorEastAsia" w:hAnsiTheme="minorEastAsia" w:eastAsiaTheme="minorEastAsia"/>
          <w:b/>
          <w:sz w:val="24"/>
          <w:szCs w:val="24"/>
          <w:highlight w:val="none"/>
          <w:lang w:eastAsia="zh-CN"/>
        </w:rPr>
        <w:t xml:space="preserve">    26.</w:t>
      </w:r>
      <w:r>
        <w:rPr>
          <w:rFonts w:asciiTheme="minorEastAsia" w:hAnsiTheme="minorEastAsia" w:eastAsiaTheme="minorEastAsia"/>
          <w:b/>
          <w:sz w:val="24"/>
          <w:szCs w:val="24"/>
          <w:highlight w:val="none"/>
          <w:lang w:eastAsia="zh-CN"/>
        </w:rPr>
        <w:t xml:space="preserve">9 </w:t>
      </w:r>
      <w:r>
        <w:rPr>
          <w:rFonts w:hint="eastAsia" w:ascii="宋体" w:hAnsi="宋体" w:eastAsia="宋体" w:cs="宋体"/>
          <w:b/>
          <w:bCs/>
          <w:sz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2C97361">
      <w:pPr>
        <w:pStyle w:val="198"/>
        <w:spacing w:line="480" w:lineRule="exact"/>
        <w:ind w:firstLine="480" w:firstLineChars="200"/>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26.1</w:t>
      </w:r>
      <w:r>
        <w:rPr>
          <w:rFonts w:asciiTheme="minorEastAsia" w:hAnsiTheme="minorEastAsia" w:eastAsiaTheme="minorEastAsia"/>
          <w:sz w:val="24"/>
          <w:szCs w:val="24"/>
          <w:highlight w:val="none"/>
          <w:lang w:eastAsia="zh-CN"/>
        </w:rPr>
        <w:t xml:space="preserve">0 </w:t>
      </w:r>
      <w:r>
        <w:rPr>
          <w:rFonts w:hint="eastAsia" w:cs="微软雅黑" w:asciiTheme="minorEastAsia" w:hAnsiTheme="minorEastAsia" w:eastAsiaTheme="minorEastAsia"/>
          <w:sz w:val="24"/>
          <w:szCs w:val="24"/>
          <w:highlight w:val="none"/>
          <w:lang w:eastAsia="zh-CN"/>
        </w:rPr>
        <w:t>评标委员会对投标文件的判定，只依据投标内容本身，不依靠开标后的任何外来证明。</w:t>
      </w:r>
    </w:p>
    <w:p w14:paraId="72AF11F9">
      <w:pPr>
        <w:pStyle w:val="198"/>
        <w:spacing w:line="480" w:lineRule="exact"/>
        <w:ind w:firstLine="480" w:firstLineChars="200"/>
        <w:rPr>
          <w:rFonts w:ascii="宋体" w:hAnsi="宋体" w:eastAsia="宋体" w:cs="宋体"/>
          <w:color w:val="000000"/>
          <w:sz w:val="24"/>
          <w:highlight w:val="none"/>
          <w:lang w:eastAsia="zh-CN"/>
        </w:rPr>
      </w:pPr>
      <w:r>
        <w:rPr>
          <w:rFonts w:hint="eastAsia" w:asciiTheme="minorEastAsia" w:hAnsiTheme="minorEastAsia" w:eastAsiaTheme="minorEastAsia"/>
          <w:sz w:val="24"/>
          <w:szCs w:val="24"/>
          <w:highlight w:val="none"/>
          <w:lang w:eastAsia="zh-CN"/>
        </w:rPr>
        <w:t>26.1</w:t>
      </w:r>
      <w:r>
        <w:rPr>
          <w:rFonts w:asciiTheme="minorEastAsia" w:hAnsiTheme="minorEastAsia" w:eastAsiaTheme="minorEastAsia"/>
          <w:sz w:val="24"/>
          <w:szCs w:val="24"/>
          <w:highlight w:val="none"/>
          <w:lang w:eastAsia="zh-CN"/>
        </w:rPr>
        <w:t xml:space="preserve">1 </w:t>
      </w:r>
      <w:r>
        <w:rPr>
          <w:rFonts w:hint="eastAsia" w:cs="微软雅黑" w:asciiTheme="minorEastAsia" w:hAnsiTheme="minorEastAsia" w:eastAsiaTheme="minorEastAsia"/>
          <w:sz w:val="24"/>
          <w:szCs w:val="24"/>
          <w:highlight w:val="none"/>
          <w:lang w:eastAsia="zh-CN"/>
        </w:rPr>
        <w:t>评标委员会将拒绝被确定为非实质性响应的投标，投标人不能通过修正或撤销不符之处而使其投标成为实质性响应的投标。</w:t>
      </w:r>
    </w:p>
    <w:p w14:paraId="7B3CB86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27.投标的澄清</w:t>
      </w:r>
    </w:p>
    <w:p w14:paraId="193F794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4644093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28.无效投标和废标</w:t>
      </w:r>
    </w:p>
    <w:p w14:paraId="5B87D89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28.1无效投标的具体情形有：  </w:t>
      </w:r>
    </w:p>
    <w:p w14:paraId="522259C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28.1.1投标文件未按招标文件要求签署、盖章或电子签章的；</w:t>
      </w:r>
    </w:p>
    <w:p w14:paraId="78B887A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28.1.2不具备招标文件中规定的资格要求的；</w:t>
      </w:r>
    </w:p>
    <w:p w14:paraId="1FE4516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28.1.3报价超过招标文件中规定的预算金额或者最高限价的；</w:t>
      </w:r>
    </w:p>
    <w:p w14:paraId="649940B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28.1.4</w:t>
      </w:r>
      <w:r>
        <w:rPr>
          <w:rFonts w:hint="eastAsia" w:ascii="宋体" w:hAnsi="宋体" w:eastAsia="宋体" w:cs="宋体"/>
          <w:b/>
          <w:color w:val="000000"/>
          <w:sz w:val="24"/>
          <w:highlight w:val="none"/>
          <w:lang w:eastAsia="zh-CN"/>
        </w:rPr>
        <w:t>不同投标人的投标文件使用同一台电脑编制的；</w:t>
      </w:r>
    </w:p>
    <w:p w14:paraId="5DF930E8">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28.1.5投标文件含有采购人不能接受的附加条件的；</w:t>
      </w:r>
    </w:p>
    <w:p w14:paraId="526695B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28.1.6法律、法规和招标文件规定的其他无效情形。</w:t>
      </w:r>
    </w:p>
    <w:p w14:paraId="2921BB4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28.2 在招标采购中，出现下列情形之一的，应予废标：</w:t>
      </w:r>
    </w:p>
    <w:p w14:paraId="39B5744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28.2.1符合专业条件的供应商或者对招标文件作实质响应的供应商不足三家的；</w:t>
      </w:r>
    </w:p>
    <w:p w14:paraId="13FAD58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28.2.2出现影响采购公正的违法、违规行为的；</w:t>
      </w:r>
    </w:p>
    <w:p w14:paraId="7131DBD9">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28.2.3投标人的报价均超过了采购预算，采购人不能支付的；</w:t>
      </w:r>
    </w:p>
    <w:p w14:paraId="3CBF827A">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28.2.4因重大变故，采购任务取消的。</w:t>
      </w:r>
    </w:p>
    <w:p w14:paraId="5B35365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28.3 废标后，采购人应当将废标理由通知所有投标人。</w:t>
      </w:r>
    </w:p>
    <w:p w14:paraId="65D3A68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29. 投标文件的评价和比较</w:t>
      </w:r>
    </w:p>
    <w:p w14:paraId="620CEC6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29.1评标委员会按招标文件规定的评标方法和标准，仅对资格性检查和符合性检查合格的投标文件进行商务和技术评估，综合比较与评价。</w:t>
      </w:r>
    </w:p>
    <w:p w14:paraId="359502A4">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7D66FBF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29.2.1服务的质量保证（保障）内容；</w:t>
      </w:r>
    </w:p>
    <w:p w14:paraId="1FCA91C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29.2.2服务配备的人员；</w:t>
      </w:r>
    </w:p>
    <w:p w14:paraId="0DF0C76C">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29.2.3投标者的资信情况和履约能力；</w:t>
      </w:r>
    </w:p>
    <w:p w14:paraId="75F6C82F">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29.2.4投标者提供的其他优惠条件；</w:t>
      </w:r>
    </w:p>
    <w:p w14:paraId="6C0F119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29.2.5参与本项目政府采购工作的态度及信誉；</w:t>
      </w:r>
    </w:p>
    <w:p w14:paraId="6357FF12">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29.2.6最低的投标报价或最高的折扣比例是中标的重要条件，但不是唯一条件。</w:t>
      </w:r>
    </w:p>
    <w:p w14:paraId="18924A3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七、授予合同</w:t>
      </w:r>
    </w:p>
    <w:p w14:paraId="2EB6EC9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30. 中标供应商的确认          </w:t>
      </w:r>
    </w:p>
    <w:p w14:paraId="0ED2FFD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30.1评标委员会按招标文件规定的评标方法和标准进行详细评审后，按采购人的委托向采购人推荐中标候选单位或根据采购人授权直接确定中标供应商。</w:t>
      </w:r>
    </w:p>
    <w:p w14:paraId="2BC3AFE7">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30.2经评标委员会评审并确定中标供应商后，采购人或授权采购代理机构将在规定的时间内将中标结果在相关媒体上予以公告。</w:t>
      </w:r>
    </w:p>
    <w:p w14:paraId="7B889D2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p>
    <w:p w14:paraId="7024B003">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30.4质疑函递交地点及联系方式详见公告内容</w:t>
      </w:r>
    </w:p>
    <w:p w14:paraId="1C1CDE9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31. 合同授予标准</w:t>
      </w:r>
    </w:p>
    <w:p w14:paraId="167DD9C0">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31.1采购人将把合同授予其投标文件在实质上响应招标文件要求和按本须知规定评选出的投标人。确定为中标的投标人必须具有实施本合同的能力和资源。</w:t>
      </w:r>
    </w:p>
    <w:p w14:paraId="679CA381">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2FE693D4">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32. 中标通知书</w:t>
      </w:r>
    </w:p>
    <w:p w14:paraId="0D03B9F8">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0C4A3551">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 xml:space="preserve"> </w:t>
      </w:r>
      <w:r>
        <w:rPr>
          <w:rFonts w:hint="eastAsia" w:ascii="宋体" w:hAnsi="宋体" w:eastAsia="宋体" w:cs="宋体"/>
          <w:b/>
          <w:bCs/>
          <w:sz w:val="24"/>
          <w:szCs w:val="24"/>
          <w:highlight w:val="none"/>
          <w:lang w:eastAsia="zh-CN"/>
        </w:rPr>
        <w:t>32.2中标通知书在中标公告发布后将发布在苏采云系统中，中标通知书发布之日视为中标供应商领取之日，中标供应商在中标结果公告届满之日起30日内自行在苏采云系统中下载打印。</w:t>
      </w:r>
    </w:p>
    <w:p w14:paraId="23992D08">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32.3因系统存储空间有限，自中标结果公告届满之日起30日后，“苏采云”系统不再保证提供下载中标通知书服务,因未及时下载而造成的不利后果由中标供应商自行承担。</w:t>
      </w:r>
    </w:p>
    <w:p w14:paraId="69704B15">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32.4中标通知书将成为合同的组成部分。</w:t>
      </w:r>
    </w:p>
    <w:p w14:paraId="0D5CA0A1">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highlight w:val="none"/>
          <w:lang w:eastAsia="zh-CN"/>
        </w:rPr>
      </w:pPr>
      <w:r>
        <w:rPr>
          <w:rFonts w:hint="eastAsia" w:ascii="宋体" w:hAnsi="宋体" w:eastAsia="宋体" w:cs="宋体"/>
          <w:sz w:val="24"/>
          <w:szCs w:val="24"/>
          <w:highlight w:val="none"/>
          <w:lang w:eastAsia="zh-CN"/>
        </w:rPr>
        <w:t xml:space="preserve"> 32.5采购代理机构对未中标供应商不承担解释未中标原因的义务。</w:t>
      </w:r>
    </w:p>
    <w:p w14:paraId="40249CF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33.履约保证金</w:t>
      </w:r>
    </w:p>
    <w:p w14:paraId="1C3A29F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33.1中标供应商按合同约定要求提交履约保证金。</w:t>
      </w:r>
    </w:p>
    <w:p w14:paraId="225E00B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33.2履约保证金用以约束供应商在合同履行中的行为，弥补合同执行中由于自身行为可能给采购人带来的各种损失。</w:t>
      </w:r>
    </w:p>
    <w:p w14:paraId="31A59E7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33.3履约保证金（无息）将在中标供应商合同履行完毕且质保期满后，采购人在五个工作日内退返中标供应商。</w:t>
      </w:r>
    </w:p>
    <w:p w14:paraId="59F8C17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color w:val="000000"/>
          <w:sz w:val="24"/>
          <w:highlight w:val="none"/>
          <w:lang w:eastAsia="zh-CN"/>
        </w:rPr>
      </w:pPr>
      <w:r>
        <w:rPr>
          <w:rFonts w:ascii="宋体" w:hAnsi="宋体" w:eastAsia="宋体" w:cs="宋体"/>
          <w:sz w:val="24"/>
          <w:szCs w:val="24"/>
          <w:highlight w:val="none"/>
          <w:lang w:eastAsia="zh-CN"/>
        </w:rPr>
        <w:t>33.4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p>
    <w:p w14:paraId="64F1C6D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34. 合同的签订</w:t>
      </w:r>
    </w:p>
    <w:p w14:paraId="3A0448D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08F0DA4E">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34.2中标供应商应按中标通知书中中规定，由法定代表人或授权代理人与采购人代表签订合同，否则按放弃中标权处理。</w:t>
      </w:r>
    </w:p>
    <w:p w14:paraId="5293D18D">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34.3签订合同及合同条款应以招标文件和中标供应商的投标文件及其澄清文件为依据。</w:t>
      </w:r>
    </w:p>
    <w:p w14:paraId="0E29D326">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34.4中标人无正当理由拒签合同的，或在签订合同时向采购人提出附加条件或者更改合同实质性内容的，采购人可取消其中标资格，同时由中标人承担相应的法律责任。</w:t>
      </w:r>
    </w:p>
    <w:p w14:paraId="039BF315">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34.5签订合同后，中标人不得将货物及其他相关服务进行转包。未经采购人同意，中标人也不得采用分包的形式履行合同，否则采购人有权终止合同。转包或分包造成采购人损失的，中标人应承担相应赔偿责任。</w:t>
      </w:r>
    </w:p>
    <w:p w14:paraId="0593866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八、政府采购相关政策</w:t>
      </w:r>
    </w:p>
    <w:p w14:paraId="2B86378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35.节能产品和环境标志产品</w:t>
      </w:r>
    </w:p>
    <w:p w14:paraId="7D89FF5B">
      <w:pPr>
        <w:pBdr>
          <w:top w:val="none" w:color="000000" w:sz="0" w:space="0"/>
          <w:left w:val="none" w:color="000000" w:sz="0" w:space="0"/>
          <w:bottom w:val="none" w:color="000000" w:sz="0" w:space="0"/>
          <w:right w:val="none" w:color="000000" w:sz="0" w:space="0"/>
        </w:pBdr>
        <w:spacing w:after="0" w:line="439" w:lineRule="atLeast"/>
        <w:ind w:firstLine="3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color w:val="000000"/>
          <w:sz w:val="24"/>
          <w:highlight w:val="none"/>
          <w:lang w:eastAsia="zh-CN"/>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24B84115">
      <w:pPr>
        <w:pBdr>
          <w:top w:val="none" w:color="000000" w:sz="0" w:space="0"/>
          <w:left w:val="none" w:color="000000" w:sz="0" w:space="0"/>
          <w:bottom w:val="none" w:color="000000" w:sz="0" w:space="0"/>
          <w:right w:val="none" w:color="000000" w:sz="0" w:space="0"/>
        </w:pBdr>
        <w:spacing w:after="0" w:line="500" w:lineRule="exact"/>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36.</w:t>
      </w:r>
      <w:r>
        <w:rPr>
          <w:rFonts w:ascii="宋体" w:hAnsi="宋体" w:eastAsia="宋体" w:cs="宋体"/>
          <w:b/>
          <w:bCs/>
          <w:color w:val="auto"/>
          <w:sz w:val="24"/>
          <w:szCs w:val="24"/>
          <w:highlight w:val="none"/>
          <w:lang w:eastAsia="zh-CN"/>
        </w:rPr>
        <w:t>中小企业相关政策：</w:t>
      </w:r>
    </w:p>
    <w:p w14:paraId="4BA58324">
      <w:pPr>
        <w:pBdr>
          <w:top w:val="none" w:color="000000" w:sz="0" w:space="0"/>
          <w:left w:val="none" w:color="000000" w:sz="0" w:space="0"/>
          <w:bottom w:val="none" w:color="000000" w:sz="0" w:space="0"/>
          <w:right w:val="none" w:color="000000" w:sz="0" w:space="0"/>
        </w:pBdr>
        <w:spacing w:after="0" w:line="460" w:lineRule="exact"/>
        <w:ind w:firstLine="482"/>
        <w:rPr>
          <w:rFonts w:cs="宋体" w:asciiTheme="minorEastAsia" w:hAnsiTheme="minorEastAsia"/>
          <w:bCs/>
          <w:color w:val="auto"/>
          <w:sz w:val="24"/>
          <w:highlight w:val="none"/>
          <w:lang w:eastAsia="zh-CN"/>
        </w:rPr>
      </w:pPr>
      <w:r>
        <w:rPr>
          <w:rFonts w:hint="eastAsia" w:cs="宋体" w:asciiTheme="minorEastAsia" w:hAnsiTheme="minorEastAsia"/>
          <w:bCs/>
          <w:color w:val="auto"/>
          <w:sz w:val="24"/>
          <w:highlight w:val="none"/>
          <w:lang w:eastAsia="zh-CN"/>
        </w:rPr>
        <w:t>36.1</w:t>
      </w:r>
      <w:r>
        <w:rPr>
          <w:rFonts w:hint="eastAsia" w:cs="仿宋" w:asciiTheme="minorEastAsia" w:hAnsiTheme="minorEastAsia"/>
          <w:color w:val="auto"/>
          <w:sz w:val="24"/>
          <w:szCs w:val="24"/>
          <w:highlight w:val="none"/>
          <w:lang w:eastAsia="zh-CN"/>
        </w:rPr>
        <w:t>根据《政府采购促进中小企业发展管理办法》（财库﹝</w:t>
      </w:r>
      <w:r>
        <w:rPr>
          <w:rFonts w:cs="仿宋" w:asciiTheme="minorEastAsia" w:hAnsiTheme="minorEastAsia"/>
          <w:color w:val="auto"/>
          <w:sz w:val="24"/>
          <w:szCs w:val="24"/>
          <w:highlight w:val="none"/>
          <w:lang w:eastAsia="zh-CN"/>
        </w:rPr>
        <w:t>2020﹞46号）</w:t>
      </w:r>
      <w:r>
        <w:rPr>
          <w:rFonts w:hint="eastAsia" w:cs="仿宋" w:asciiTheme="minorEastAsia" w:hAnsiTheme="minorEastAsia"/>
          <w:color w:val="auto"/>
          <w:sz w:val="24"/>
          <w:szCs w:val="24"/>
          <w:highlight w:val="none"/>
          <w:lang w:eastAsia="zh-CN"/>
        </w:rPr>
        <w:t>规定，</w:t>
      </w:r>
      <w:r>
        <w:rPr>
          <w:rFonts w:cs="仿宋" w:asciiTheme="minorEastAsia" w:hAnsiTheme="minorEastAsia"/>
          <w:color w:val="auto"/>
          <w:sz w:val="24"/>
          <w:szCs w:val="24"/>
          <w:highlight w:val="none"/>
          <w:lang w:eastAsia="zh-CN"/>
        </w:rPr>
        <w:t>第二条 本办法所称中小企业，是指在中华人民共和国境内依法设立，依据国务院批准的中小企业划分标准确定的中型企业、小型企业和微型企业，</w:t>
      </w:r>
      <w:r>
        <w:rPr>
          <w:rFonts w:cs="仿宋" w:asciiTheme="minorEastAsia" w:hAnsiTheme="minorEastAsia"/>
          <w:b/>
          <w:color w:val="auto"/>
          <w:sz w:val="24"/>
          <w:szCs w:val="24"/>
          <w:highlight w:val="none"/>
          <w:lang w:eastAsia="zh-CN"/>
        </w:rPr>
        <w:t>但与大企业的负责人为同一人，或者与大企业存在直接控股、管理关系的除外</w:t>
      </w:r>
      <w:r>
        <w:rPr>
          <w:rFonts w:cs="仿宋" w:asciiTheme="minorEastAsia" w:hAnsiTheme="minorEastAsia"/>
          <w:color w:val="auto"/>
          <w:sz w:val="24"/>
          <w:szCs w:val="24"/>
          <w:highlight w:val="none"/>
          <w:lang w:eastAsia="zh-CN"/>
        </w:rPr>
        <w:t>。符合中小企业划分标准的个体工商户，</w:t>
      </w:r>
      <w:r>
        <w:rPr>
          <w:rFonts w:cs="仿宋" w:asciiTheme="minorEastAsia" w:hAnsiTheme="minorEastAsia"/>
          <w:color w:val="auto"/>
          <w:sz w:val="24"/>
          <w:highlight w:val="none"/>
          <w:lang w:eastAsia="zh-CN"/>
        </w:rPr>
        <w:t>在政府采购活动中视同中小企业。</w:t>
      </w:r>
    </w:p>
    <w:p w14:paraId="27A4E4FB">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color w:val="auto"/>
          <w:sz w:val="24"/>
          <w:highlight w:val="none"/>
          <w:lang w:eastAsia="zh-CN"/>
        </w:rPr>
      </w:pPr>
      <w:r>
        <w:rPr>
          <w:rFonts w:cs="仿宋" w:asciiTheme="minorEastAsia" w:hAnsiTheme="minorEastAsia"/>
          <w:color w:val="auto"/>
          <w:sz w:val="24"/>
          <w:highlight w:val="none"/>
          <w:lang w:eastAsia="zh-CN"/>
        </w:rPr>
        <w:t>（</w:t>
      </w:r>
      <w:r>
        <w:rPr>
          <w:rFonts w:hint="eastAsia" w:cs="仿宋" w:asciiTheme="minorEastAsia" w:hAnsiTheme="minorEastAsia"/>
          <w:color w:val="auto"/>
          <w:sz w:val="24"/>
          <w:highlight w:val="none"/>
          <w:lang w:eastAsia="zh-CN"/>
        </w:rPr>
        <w:t>1</w:t>
      </w:r>
      <w:r>
        <w:rPr>
          <w:rFonts w:cs="仿宋" w:asciiTheme="minorEastAsia" w:hAnsiTheme="minorEastAsia"/>
          <w:color w:val="auto"/>
          <w:sz w:val="24"/>
          <w:highlight w:val="none"/>
          <w:lang w:eastAsia="zh-CN"/>
        </w:rPr>
        <w:t>）在货物采购项目中，货物由小、微企业制造，即货物由小、微企业生产且使用该小、微企业商号或者注册商标。对其报价给予20%的扣除，扣除后的价格参与价格评审。</w:t>
      </w:r>
    </w:p>
    <w:p w14:paraId="7BF1300C">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color w:val="auto"/>
          <w:sz w:val="24"/>
          <w:highlight w:val="none"/>
          <w:lang w:eastAsia="zh-CN"/>
        </w:rPr>
      </w:pPr>
      <w:r>
        <w:rPr>
          <w:rFonts w:cs="仿宋" w:asciiTheme="minorEastAsia" w:hAnsiTheme="minorEastAsia"/>
          <w:color w:val="auto"/>
          <w:sz w:val="24"/>
          <w:highlight w:val="none"/>
          <w:lang w:eastAsia="zh-CN"/>
        </w:rPr>
        <w:t>（</w:t>
      </w:r>
      <w:r>
        <w:rPr>
          <w:rFonts w:hint="eastAsia" w:cs="仿宋" w:asciiTheme="minorEastAsia" w:hAnsiTheme="minorEastAsia"/>
          <w:color w:val="auto"/>
          <w:sz w:val="24"/>
          <w:highlight w:val="none"/>
          <w:lang w:eastAsia="zh-CN"/>
        </w:rPr>
        <w:t>2</w:t>
      </w:r>
      <w:r>
        <w:rPr>
          <w:rFonts w:cs="仿宋" w:asciiTheme="minorEastAsia" w:hAnsiTheme="minorEastAsia"/>
          <w:color w:val="auto"/>
          <w:sz w:val="24"/>
          <w:highlight w:val="none"/>
          <w:lang w:eastAsia="zh-CN"/>
        </w:rPr>
        <w:t>）在服务采购项目中，服务由小、微企业承接，即提供服务的人员为小、微企业依照《中华人民共和国劳动合同法》订立劳动合同的从业人员。对其报价给予20%的扣除，扣除后的价格参与价格评审。</w:t>
      </w:r>
    </w:p>
    <w:p w14:paraId="6ECD2568">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color w:val="auto"/>
          <w:sz w:val="24"/>
          <w:highlight w:val="none"/>
          <w:lang w:eastAsia="zh-CN"/>
        </w:rPr>
      </w:pPr>
      <w:r>
        <w:rPr>
          <w:rFonts w:cs="仿宋" w:asciiTheme="minorEastAsia" w:hAnsiTheme="minorEastAsia"/>
          <w:color w:val="auto"/>
          <w:sz w:val="24"/>
          <w:highlight w:val="none"/>
          <w:lang w:eastAsia="zh-CN"/>
        </w:rPr>
        <w:t>（</w:t>
      </w:r>
      <w:r>
        <w:rPr>
          <w:rFonts w:hint="eastAsia" w:cs="仿宋" w:asciiTheme="minorEastAsia" w:hAnsiTheme="minorEastAsia"/>
          <w:color w:val="auto"/>
          <w:sz w:val="24"/>
          <w:highlight w:val="none"/>
          <w:lang w:eastAsia="zh-CN"/>
        </w:rPr>
        <w:t>3</w:t>
      </w:r>
      <w:r>
        <w:rPr>
          <w:rFonts w:cs="仿宋" w:asciiTheme="minorEastAsia" w:hAnsiTheme="minorEastAsia"/>
          <w:color w:val="auto"/>
          <w:sz w:val="24"/>
          <w:highlight w:val="none"/>
          <w:lang w:eastAsia="zh-CN"/>
        </w:rPr>
        <w:t>）在货物采购项目中，供应商提供的货物既有小、微企业制造货物，也有中、大型企业制造货物的，不享受本办法规定的小、微企业价格扶持政策。</w:t>
      </w:r>
    </w:p>
    <w:p w14:paraId="4F20FA18">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color w:val="auto"/>
          <w:sz w:val="24"/>
          <w:highlight w:val="none"/>
          <w:lang w:eastAsia="zh-CN"/>
        </w:rPr>
      </w:pPr>
      <w:r>
        <w:rPr>
          <w:rFonts w:cs="仿宋" w:asciiTheme="minorEastAsia" w:hAnsiTheme="minorEastAsia"/>
          <w:color w:val="auto"/>
          <w:sz w:val="24"/>
          <w:highlight w:val="none"/>
          <w:lang w:eastAsia="zh-CN"/>
        </w:rPr>
        <w:t>（</w:t>
      </w:r>
      <w:r>
        <w:rPr>
          <w:rFonts w:hint="eastAsia" w:cs="仿宋" w:asciiTheme="minorEastAsia" w:hAnsiTheme="minorEastAsia"/>
          <w:color w:val="auto"/>
          <w:sz w:val="24"/>
          <w:highlight w:val="none"/>
          <w:lang w:eastAsia="zh-CN"/>
        </w:rPr>
        <w:t>4</w:t>
      </w:r>
      <w:r>
        <w:rPr>
          <w:rFonts w:cs="仿宋" w:asciiTheme="minorEastAsia" w:hAnsiTheme="minorEastAsia"/>
          <w:color w:val="auto"/>
          <w:sz w:val="24"/>
          <w:highlight w:val="none"/>
          <w:lang w:eastAsia="zh-CN"/>
        </w:rPr>
        <w:t>）以联合体形式参加政府采购活动，联合体各方均为中小企业的，联合体视同中小企业。其中，联合体各方均为小微企业的，联合体视同小微企业。</w:t>
      </w:r>
    </w:p>
    <w:p w14:paraId="3F27598A">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color w:val="auto"/>
          <w:sz w:val="24"/>
          <w:highlight w:val="none"/>
          <w:lang w:eastAsia="zh-CN"/>
        </w:rPr>
      </w:pPr>
      <w:r>
        <w:rPr>
          <w:rFonts w:cs="仿宋" w:asciiTheme="minorEastAsia" w:hAnsiTheme="minorEastAsia"/>
          <w:color w:val="auto"/>
          <w:sz w:val="24"/>
          <w:highlight w:val="none"/>
          <w:lang w:eastAsia="zh-CN"/>
        </w:rPr>
        <w:t>（</w:t>
      </w:r>
      <w:r>
        <w:rPr>
          <w:rFonts w:hint="eastAsia" w:cs="仿宋" w:asciiTheme="minorEastAsia" w:hAnsiTheme="minorEastAsia"/>
          <w:color w:val="auto"/>
          <w:sz w:val="24"/>
          <w:highlight w:val="none"/>
          <w:lang w:eastAsia="zh-CN"/>
        </w:rPr>
        <w:t>5</w:t>
      </w:r>
      <w:r>
        <w:rPr>
          <w:rFonts w:cs="仿宋" w:asciiTheme="minorEastAsia" w:hAnsiTheme="minorEastAsia"/>
          <w:color w:val="auto"/>
          <w:sz w:val="24"/>
          <w:highlight w:val="none"/>
          <w:lang w:eastAsia="zh-CN"/>
        </w:rPr>
        <w:t>）符合中小企业划分标准的个体工商户，在政府采购活动中视同中小企业。</w:t>
      </w:r>
    </w:p>
    <w:p w14:paraId="63A2CF68">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color w:val="auto"/>
          <w:sz w:val="24"/>
          <w:highlight w:val="none"/>
          <w:lang w:eastAsia="zh-CN"/>
        </w:rPr>
      </w:pPr>
      <w:r>
        <w:rPr>
          <w:rFonts w:cs="仿宋" w:asciiTheme="minorEastAsia" w:hAnsiTheme="minorEastAsia"/>
          <w:color w:val="auto"/>
          <w:sz w:val="24"/>
          <w:highlight w:val="none"/>
          <w:lang w:eastAsia="zh-CN"/>
        </w:rPr>
        <w:t>（</w:t>
      </w:r>
      <w:r>
        <w:rPr>
          <w:rFonts w:hint="eastAsia" w:cs="仿宋" w:asciiTheme="minorEastAsia" w:hAnsiTheme="minorEastAsia"/>
          <w:color w:val="auto"/>
          <w:sz w:val="24"/>
          <w:highlight w:val="none"/>
          <w:lang w:eastAsia="zh-CN"/>
        </w:rPr>
        <w:t>6</w:t>
      </w:r>
      <w:r>
        <w:rPr>
          <w:rFonts w:cs="仿宋" w:asciiTheme="minorEastAsia" w:hAnsiTheme="minorEastAsia"/>
          <w:color w:val="auto"/>
          <w:sz w:val="24"/>
          <w:highlight w:val="none"/>
          <w:lang w:eastAsia="zh-CN"/>
        </w:rPr>
        <w:t>）残疾人福利性单位及监狱企业视同小型企业，享受评审中价格扣除等促进中小企业发展的政府采购政策。</w:t>
      </w:r>
    </w:p>
    <w:p w14:paraId="2596007D">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bCs/>
          <w:color w:val="000000"/>
          <w:sz w:val="24"/>
          <w:highlight w:val="none"/>
          <w:lang w:eastAsia="zh-CN"/>
        </w:rPr>
      </w:pPr>
      <w:r>
        <w:rPr>
          <w:rFonts w:cs="仿宋" w:asciiTheme="minorEastAsia" w:hAnsiTheme="minorEastAsia"/>
          <w:color w:val="auto"/>
          <w:sz w:val="24"/>
          <w:highlight w:val="none"/>
          <w:lang w:eastAsia="zh-CN"/>
        </w:rPr>
        <w:t>（</w:t>
      </w:r>
      <w:r>
        <w:rPr>
          <w:rFonts w:hint="eastAsia" w:cs="仿宋" w:asciiTheme="minorEastAsia" w:hAnsiTheme="minorEastAsia"/>
          <w:color w:val="auto"/>
          <w:sz w:val="24"/>
          <w:highlight w:val="none"/>
          <w:lang w:eastAsia="zh-CN"/>
        </w:rPr>
        <w:t>7</w:t>
      </w:r>
      <w:r>
        <w:rPr>
          <w:rFonts w:cs="仿宋" w:asciiTheme="minorEastAsia" w:hAnsiTheme="minorEastAsia"/>
          <w:color w:val="auto"/>
          <w:sz w:val="24"/>
          <w:highlight w:val="none"/>
          <w:lang w:eastAsia="zh-CN"/>
        </w:rPr>
        <w:t xml:space="preserve">）供应商按照本办法规定提供声明函内容不实的，属于提供虚假材料谋取中标、 </w:t>
      </w:r>
      <w:r>
        <w:rPr>
          <w:rFonts w:hint="eastAsia" w:cs="仿宋" w:asciiTheme="minorEastAsia" w:hAnsiTheme="minorEastAsia"/>
          <w:color w:val="auto"/>
          <w:sz w:val="24"/>
          <w:highlight w:val="none"/>
          <w:lang w:eastAsia="zh-CN"/>
        </w:rPr>
        <w:t>成交，</w:t>
      </w:r>
      <w:r>
        <w:rPr>
          <w:rFonts w:cs="仿宋" w:asciiTheme="minorEastAsia" w:hAnsiTheme="minorEastAsia"/>
          <w:color w:val="auto"/>
          <w:sz w:val="24"/>
          <w:highlight w:val="none"/>
          <w:lang w:eastAsia="zh-CN"/>
        </w:rPr>
        <w:t xml:space="preserve"> </w:t>
      </w:r>
      <w:r>
        <w:rPr>
          <w:rFonts w:hint="eastAsia" w:cs="仿宋" w:asciiTheme="minorEastAsia" w:hAnsiTheme="minorEastAsia"/>
          <w:color w:val="auto"/>
          <w:sz w:val="24"/>
          <w:highlight w:val="none"/>
          <w:lang w:eastAsia="zh-CN"/>
        </w:rPr>
        <w:t>依照《中华人民共和国政府采购法》</w:t>
      </w:r>
      <w:r>
        <w:rPr>
          <w:rFonts w:cs="仿宋" w:asciiTheme="minorEastAsia" w:hAnsiTheme="minorEastAsia"/>
          <w:color w:val="auto"/>
          <w:sz w:val="24"/>
          <w:highlight w:val="none"/>
          <w:lang w:eastAsia="zh-CN"/>
        </w:rPr>
        <w:t xml:space="preserve"> </w:t>
      </w:r>
      <w:r>
        <w:rPr>
          <w:rFonts w:hint="eastAsia" w:cs="仿宋" w:asciiTheme="minorEastAsia" w:hAnsiTheme="minorEastAsia"/>
          <w:color w:val="auto"/>
          <w:sz w:val="24"/>
          <w:highlight w:val="none"/>
          <w:lang w:eastAsia="zh-CN"/>
        </w:rPr>
        <w:t>等国家有关规定追究相应责任。</w:t>
      </w:r>
    </w:p>
    <w:p w14:paraId="65B1ABA5">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37.绿色数据中心政策</w:t>
      </w:r>
    </w:p>
    <w:p w14:paraId="3D2B745D">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color w:val="000000"/>
          <w:sz w:val="24"/>
          <w:highlight w:val="none"/>
          <w:lang w:eastAsia="zh-CN"/>
        </w:rPr>
      </w:pPr>
      <w:r>
        <w:rPr>
          <w:rFonts w:hint="eastAsia" w:ascii="宋体" w:hAnsi="宋体" w:eastAsia="宋体" w:cs="宋体"/>
          <w:sz w:val="24"/>
          <w:highlight w:val="none"/>
          <w:lang w:eastAsia="zh-CN"/>
        </w:rPr>
        <w:t>37.1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4235322">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38.商品包装、快递包装政策</w:t>
      </w:r>
    </w:p>
    <w:p w14:paraId="4AD2D980">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b/>
          <w:color w:val="000000"/>
          <w:sz w:val="24"/>
          <w:highlight w:val="none"/>
          <w:lang w:eastAsia="zh-CN"/>
        </w:rPr>
      </w:pPr>
      <w:r>
        <w:rPr>
          <w:rFonts w:hint="eastAsia" w:ascii="宋体" w:hAnsi="宋体" w:eastAsia="宋体" w:cs="宋体"/>
          <w:sz w:val="24"/>
          <w:highlight w:val="none"/>
          <w:lang w:eastAsia="zh-CN"/>
        </w:rPr>
        <w:t>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4D2CD0C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九、其他事项</w:t>
      </w:r>
    </w:p>
    <w:p w14:paraId="1E8D901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39. 监督和公证</w:t>
      </w:r>
    </w:p>
    <w:p w14:paraId="11D46D67">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39.1政府有关监督部门将对招投标全过程进行监督。</w:t>
      </w:r>
    </w:p>
    <w:p w14:paraId="59786F55">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39.2采购代理机构的招标过程将依采购人申请，通过公证机关进行公证。</w:t>
      </w:r>
    </w:p>
    <w:p w14:paraId="73E41F5C">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b/>
          <w:bCs/>
          <w:sz w:val="24"/>
          <w:highlight w:val="none"/>
          <w:lang w:eastAsia="zh-CN"/>
        </w:rPr>
      </w:pPr>
      <w:r>
        <w:rPr>
          <w:rFonts w:hint="eastAsia" w:ascii="宋体" w:hAnsi="宋体" w:eastAsia="宋体" w:cs="宋体"/>
          <w:b/>
          <w:bCs/>
          <w:sz w:val="24"/>
          <w:highlight w:val="none"/>
          <w:lang w:eastAsia="zh-CN"/>
        </w:rPr>
        <w:t>40.未尽事宜</w:t>
      </w:r>
    </w:p>
    <w:p w14:paraId="08DD0A49">
      <w:pPr>
        <w:pBdr>
          <w:top w:val="none" w:color="000000" w:sz="0" w:space="0"/>
          <w:left w:val="none" w:color="000000" w:sz="0" w:space="0"/>
          <w:bottom w:val="none" w:color="000000" w:sz="0" w:space="0"/>
          <w:right w:val="none" w:color="000000" w:sz="0" w:space="0"/>
        </w:pBdr>
        <w:spacing w:after="0"/>
        <w:ind w:firstLine="480" w:firstLineChars="200"/>
        <w:rPr>
          <w:rFonts w:ascii="宋体" w:hAnsi="宋体" w:eastAsia="宋体" w:cs="宋体"/>
          <w:highlight w:val="none"/>
          <w:lang w:eastAsia="zh-CN"/>
        </w:rPr>
      </w:pPr>
      <w:r>
        <w:rPr>
          <w:rFonts w:hint="eastAsia" w:ascii="宋体" w:hAnsi="宋体" w:eastAsia="宋体" w:cs="宋体"/>
          <w:sz w:val="24"/>
          <w:highlight w:val="none"/>
          <w:lang w:eastAsia="zh-CN"/>
        </w:rPr>
        <w:t>按《中华人民共和国政府采购法》及其他有关法律法规的规定执行。</w:t>
      </w:r>
      <w:r>
        <w:rPr>
          <w:rFonts w:hint="eastAsia" w:ascii="宋体" w:hAnsi="宋体" w:eastAsia="宋体" w:cs="宋体"/>
          <w:highlight w:val="none"/>
          <w:lang w:eastAsia="zh-CN"/>
        </w:rPr>
        <w:br w:type="page" w:clear="all"/>
      </w:r>
    </w:p>
    <w:p w14:paraId="13C18CFA">
      <w:pPr>
        <w:pBdr>
          <w:top w:val="none" w:color="000000" w:sz="0" w:space="0"/>
          <w:left w:val="none" w:color="000000" w:sz="0" w:space="0"/>
          <w:bottom w:val="none" w:color="000000" w:sz="0" w:space="0"/>
          <w:right w:val="none" w:color="000000" w:sz="0" w:space="0"/>
        </w:pBdr>
        <w:spacing w:after="0"/>
        <w:ind w:firstLine="440" w:firstLineChars="200"/>
        <w:rPr>
          <w:rFonts w:ascii="宋体" w:hAnsi="宋体" w:eastAsia="宋体" w:cs="宋体"/>
          <w:highlight w:val="none"/>
          <w:lang w:eastAsia="zh-CN"/>
        </w:rPr>
      </w:pPr>
    </w:p>
    <w:p w14:paraId="5D7E9BB7">
      <w:pPr>
        <w:pBdr>
          <w:top w:val="none" w:color="000000" w:sz="0" w:space="0"/>
          <w:left w:val="none" w:color="000000" w:sz="0" w:space="0"/>
          <w:bottom w:val="none" w:color="000000" w:sz="0" w:space="0"/>
          <w:right w:val="none" w:color="000000" w:sz="0" w:space="0"/>
        </w:pBdr>
        <w:spacing w:after="0" w:line="440" w:lineRule="exact"/>
        <w:jc w:val="center"/>
        <w:rPr>
          <w:rFonts w:ascii="宋体" w:hAnsi="宋体" w:eastAsia="宋体" w:cs="宋体"/>
          <w:b/>
          <w:color w:val="000000"/>
          <w:sz w:val="44"/>
          <w:highlight w:val="none"/>
          <w:lang w:eastAsia="zh-CN"/>
        </w:rPr>
      </w:pPr>
      <w:bookmarkStart w:id="2" w:name="OLE_LINK4"/>
      <w:r>
        <w:rPr>
          <w:rFonts w:hint="eastAsia" w:ascii="宋体" w:hAnsi="宋体" w:eastAsia="宋体" w:cs="宋体"/>
          <w:b/>
          <w:color w:val="000000"/>
          <w:sz w:val="44"/>
          <w:highlight w:val="none"/>
          <w:lang w:eastAsia="zh-CN"/>
        </w:rPr>
        <w:t>第三部分   项目需求</w:t>
      </w:r>
      <w:bookmarkEnd w:id="2"/>
      <w:bookmarkStart w:id="3" w:name="_Toc19021"/>
    </w:p>
    <w:bookmarkEnd w:id="3"/>
    <w:p w14:paraId="47C594E3">
      <w:pPr>
        <w:pStyle w:val="198"/>
        <w:spacing w:line="500" w:lineRule="exact"/>
        <w:jc w:val="both"/>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一、项目背景</w:t>
      </w:r>
    </w:p>
    <w:p w14:paraId="3091DE4C">
      <w:pPr>
        <w:spacing w:after="0" w:line="500" w:lineRule="exact"/>
        <w:ind w:firstLine="482"/>
        <w:rPr>
          <w:rFonts w:ascii="宋体" w:hAnsi="宋体"/>
          <w:color w:val="auto"/>
          <w:sz w:val="24"/>
          <w:szCs w:val="24"/>
          <w:highlight w:val="none"/>
          <w:lang w:eastAsia="zh-CN"/>
        </w:rPr>
      </w:pPr>
      <w:r>
        <w:rPr>
          <w:rFonts w:hint="eastAsia" w:ascii="宋体" w:hAnsi="宋体"/>
          <w:color w:val="auto"/>
          <w:sz w:val="24"/>
          <w:szCs w:val="24"/>
          <w:highlight w:val="none"/>
          <w:lang w:eastAsia="zh-CN"/>
        </w:rPr>
        <w:t>为切实提高全市居民小区治安防控水平，支撑平安太仓建设。根据中共江苏省委政法委员会、省公安厅、省科技厅《全省 “智慧技防校园”和“智慧技防小区”建设规范》、《苏州市“智慧技防小区”暨苏州市居民住宅小区安全防范系统建设要求（2019版）》以及《太仓市智慧技防小区建设方案》的建设要求，开展太仓市智慧技防小区工程项目建设。</w:t>
      </w:r>
    </w:p>
    <w:p w14:paraId="0044E5A2">
      <w:pPr>
        <w:spacing w:after="0" w:line="500" w:lineRule="exact"/>
        <w:ind w:firstLine="482"/>
        <w:rPr>
          <w:rFonts w:ascii="宋体" w:hAnsi="宋体" w:eastAsia="宋体" w:cs="宋体"/>
          <w:b/>
          <w:color w:val="auto"/>
          <w:sz w:val="24"/>
          <w:szCs w:val="24"/>
          <w:highlight w:val="none"/>
          <w:lang w:eastAsia="zh-CN"/>
        </w:rPr>
      </w:pPr>
      <w:r>
        <w:rPr>
          <w:rFonts w:hint="eastAsia" w:ascii="宋体" w:hAnsi="宋体"/>
          <w:color w:val="auto"/>
          <w:sz w:val="24"/>
          <w:szCs w:val="24"/>
          <w:highlight w:val="none"/>
          <w:lang w:eastAsia="zh-CN"/>
        </w:rPr>
        <w:t>针对周界、小区大门、门卫室、小区进出通道、室外人员集中区域、室久消防通道、室内道宇通道区域等重点防范部位进行智慧技防建设。运用人脸识别技术、图像处理技术、异常行为分析等技术，提前预警发现危险可疑“人、事、物”，强化警校联动机制，提前介入，互相补位，共同参与，切实减少、排除隐患，实现小区风险防控从事后应急处置向事前预知预警转变，建设稳定、可靠、安全的小区居住环境。</w:t>
      </w:r>
    </w:p>
    <w:p w14:paraId="05B8FD6C">
      <w:pPr>
        <w:pStyle w:val="198"/>
        <w:numPr>
          <w:ilvl w:val="0"/>
          <w:numId w:val="2"/>
        </w:numPr>
        <w:spacing w:line="5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项目需求</w:t>
      </w:r>
    </w:p>
    <w:p w14:paraId="1AFE4261">
      <w:pPr>
        <w:spacing w:after="0" w:line="500" w:lineRule="exact"/>
        <w:ind w:firstLine="482" w:firstLineChars="200"/>
        <w:rPr>
          <w:rFonts w:ascii="宋体" w:hAnsi="宋体" w:eastAsia="宋体" w:cs="宋体"/>
          <w:b/>
          <w:color w:val="auto"/>
          <w:sz w:val="24"/>
          <w:highlight w:val="none"/>
          <w:lang w:eastAsia="zh-CN"/>
        </w:rPr>
      </w:pPr>
      <w:r>
        <w:rPr>
          <w:rFonts w:ascii="宋体" w:hAnsi="宋体" w:eastAsia="宋体" w:cs="宋体"/>
          <w:b/>
          <w:color w:val="auto"/>
          <w:sz w:val="24"/>
          <w:szCs w:val="24"/>
          <w:highlight w:val="none"/>
        </w:rPr>
        <w:t>（一）</w:t>
      </w:r>
      <w:r>
        <w:rPr>
          <w:rFonts w:hint="eastAsia" w:ascii="宋体" w:hAnsi="宋体" w:eastAsia="宋体" w:cs="宋体"/>
          <w:b/>
          <w:color w:val="auto"/>
          <w:sz w:val="24"/>
          <w:highlight w:val="none"/>
          <w:lang w:eastAsia="zh-CN"/>
        </w:rPr>
        <w:t>建设依据</w:t>
      </w:r>
    </w:p>
    <w:p w14:paraId="18246626">
      <w:pPr>
        <w:spacing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《苏州市“智慧技防小区”暨苏州市居民住宅小区安全防范系统建设要求（2019版）》</w:t>
      </w:r>
    </w:p>
    <w:p w14:paraId="223E1883">
      <w:pPr>
        <w:spacing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《关于贯彻落实中央和省关于推进社会治理现代化相关部署要求进一步加强智能化建设的指导意见》</w:t>
      </w:r>
    </w:p>
    <w:p w14:paraId="0ED337D5">
      <w:pPr>
        <w:spacing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《全省“智慧技防校园”和“智慧技防小区”建设规范》；</w:t>
      </w:r>
    </w:p>
    <w:p w14:paraId="7C989DD7">
      <w:pPr>
        <w:spacing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《太仓市智慧技防小区建设方案》；</w:t>
      </w:r>
    </w:p>
    <w:p w14:paraId="22935FFC">
      <w:pPr>
        <w:spacing w:after="0" w:line="500" w:lineRule="exact"/>
        <w:ind w:firstLine="482" w:firstLineChars="200"/>
        <w:rPr>
          <w:rFonts w:ascii="宋体" w:hAnsi="宋体" w:eastAsia="宋体" w:cs="宋体"/>
          <w:b/>
          <w:color w:val="auto"/>
          <w:sz w:val="24"/>
          <w:highlight w:val="none"/>
          <w:lang w:eastAsia="zh-CN"/>
        </w:rPr>
      </w:pPr>
      <w:r>
        <w:rPr>
          <w:rFonts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eastAsia="zh-CN"/>
        </w:rPr>
        <w:t>二</w:t>
      </w:r>
      <w:r>
        <w:rPr>
          <w:rFonts w:ascii="宋体" w:hAnsi="宋体" w:eastAsia="宋体" w:cs="宋体"/>
          <w:b/>
          <w:color w:val="auto"/>
          <w:sz w:val="24"/>
          <w:szCs w:val="24"/>
          <w:highlight w:val="none"/>
          <w:lang w:eastAsia="zh-CN"/>
        </w:rPr>
        <w:t>）</w:t>
      </w:r>
      <w:r>
        <w:rPr>
          <w:rFonts w:hint="eastAsia" w:ascii="宋体" w:hAnsi="宋体" w:eastAsia="宋体" w:cs="宋体"/>
          <w:b/>
          <w:color w:val="auto"/>
          <w:sz w:val="24"/>
          <w:highlight w:val="none"/>
          <w:lang w:eastAsia="zh-CN"/>
        </w:rPr>
        <w:t>项目建设目标</w:t>
      </w:r>
    </w:p>
    <w:p w14:paraId="15883977">
      <w:pPr>
        <w:spacing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小区旧改通过综合运用现代科学技术，结合当地实际，整合社区各类资源，加强社区服务能力建设，初步建成智慧社区示范点。示范点应具备完善的基础设施、高效的社区服务和治理水平、多元化的社区公共服务、智能化的便民利民服务能力，以及具备良好的政策、组织、人才、资金等保障条件。</w:t>
      </w:r>
    </w:p>
    <w:p w14:paraId="1733C5DD">
      <w:pPr>
        <w:spacing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小区旧改需要通过综合运用现代科学技术，整合区域人、地、物、情、事、组织和房屋等信息，统筹公共管理、公共服务和商业服务等资源，以智慧社区综合信息服务平台为支撑，依托适度领先的基础设施建设，提升社区治理和社区管理现代化，促进公共服务和便民利民服务智能化的一种社区管理和服务的创新模式，也是实现新型城镇化发展目标和社区服务体系建设目标的重要举措之一。</w:t>
      </w:r>
    </w:p>
    <w:p w14:paraId="0B4CAEAE">
      <w:pPr>
        <w:spacing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通过综合运用现代科学技术，结合当地实际，整合社区各类资源，加强社区服务能力建设，初步建成智慧社区示范点。示范点具备完善的基础设施、高效的社区服务和治理水平、多元化的社区公共服务、智能化的便民利民服务能力，以及具备良好的政策、组织、人才、资金等保障条件。</w:t>
      </w:r>
    </w:p>
    <w:p w14:paraId="359CD745">
      <w:pPr>
        <w:pStyle w:val="198"/>
        <w:numPr>
          <w:ilvl w:val="0"/>
          <w:numId w:val="0"/>
        </w:numPr>
        <w:spacing w:line="500" w:lineRule="exact"/>
        <w:rPr>
          <w:rStyle w:val="212"/>
          <w:rFonts w:hint="eastAsia" w:ascii="宋体" w:hAnsi="宋体" w:cs="宋体"/>
          <w:b/>
          <w:color w:val="auto"/>
          <w:sz w:val="24"/>
          <w:szCs w:val="24"/>
          <w:highlight w:val="none"/>
          <w:lang w:eastAsia="zh-CN"/>
        </w:rPr>
      </w:pPr>
      <w:r>
        <w:rPr>
          <w:rStyle w:val="212"/>
          <w:rFonts w:hint="eastAsia" w:ascii="宋体" w:hAnsi="宋体" w:cs="宋体"/>
          <w:b/>
          <w:color w:val="auto"/>
          <w:sz w:val="24"/>
          <w:szCs w:val="24"/>
          <w:highlight w:val="none"/>
          <w:lang w:eastAsia="zh-CN"/>
        </w:rPr>
        <w:t>（</w:t>
      </w:r>
      <w:r>
        <w:rPr>
          <w:rStyle w:val="212"/>
          <w:rFonts w:hint="eastAsia" w:ascii="宋体" w:hAnsi="宋体" w:cs="宋体"/>
          <w:b/>
          <w:color w:val="auto"/>
          <w:sz w:val="24"/>
          <w:szCs w:val="24"/>
          <w:highlight w:val="none"/>
          <w:lang w:val="en-US" w:eastAsia="zh-CN"/>
        </w:rPr>
        <w:t>三）</w:t>
      </w:r>
      <w:r>
        <w:rPr>
          <w:rStyle w:val="212"/>
          <w:rFonts w:hint="eastAsia" w:ascii="宋体" w:hAnsi="宋体" w:cs="宋体"/>
          <w:b/>
          <w:color w:val="auto"/>
          <w:sz w:val="24"/>
          <w:szCs w:val="24"/>
          <w:highlight w:val="none"/>
          <w:lang w:eastAsia="zh-CN"/>
        </w:rPr>
        <w:t>租赁清单</w:t>
      </w:r>
    </w:p>
    <w:tbl>
      <w:tblPr>
        <w:tblStyle w:val="4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90"/>
        <w:gridCol w:w="1884"/>
        <w:gridCol w:w="5400"/>
        <w:gridCol w:w="800"/>
        <w:gridCol w:w="897"/>
      </w:tblGrid>
      <w:tr w14:paraId="67AC6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30B815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小区名称：东仓花园</w:t>
            </w:r>
          </w:p>
        </w:tc>
      </w:tr>
      <w:tr w14:paraId="7EBEB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51CAFE">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序号</w:t>
            </w:r>
          </w:p>
        </w:tc>
        <w:tc>
          <w:tcPr>
            <w:tcW w:w="98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9FBE7A">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分项名称</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1EA02A">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服务功能要求</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51F022">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单位</w:t>
            </w:r>
          </w:p>
        </w:tc>
        <w:tc>
          <w:tcPr>
            <w:tcW w:w="46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44D16D">
            <w:pPr>
              <w:keepNext w:val="0"/>
              <w:keepLines w:val="0"/>
              <w:widowControl/>
              <w:suppressLineNumbers w:val="0"/>
              <w:jc w:val="center"/>
              <w:textAlignment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kern w:val="0"/>
                <w:sz w:val="24"/>
                <w:szCs w:val="24"/>
                <w:highlight w:val="none"/>
                <w:u w:val="none"/>
                <w:lang w:val="en-US" w:eastAsia="zh-CN" w:bidi="ar"/>
              </w:rPr>
              <w:t>数量</w:t>
            </w:r>
          </w:p>
        </w:tc>
      </w:tr>
      <w:tr w14:paraId="376F5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4DA62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0E6169">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智能警戒摄像机租赁服务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ACCB7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设定围栏警戒区域后告警联动，(含电源供电、设备箱、网络设备、立杆、管线等)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0ADE2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F189E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19 </w:t>
            </w:r>
          </w:p>
        </w:tc>
      </w:tr>
      <w:tr w14:paraId="055A3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BC149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A8C426">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出入口车辆抓拍单元租赁服务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187AF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900万环保车辆人脸超级卡口(含相机、爆闪灯、频闪灯、电源供电、设备箱、网络设备、立杆、管线等)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A6EDC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nil"/>
              <w:right w:val="single" w:color="000000" w:sz="4" w:space="0"/>
            </w:tcBorders>
            <w:shd w:val="clear" w:color="auto" w:fill="FFFFFF"/>
            <w:noWrap/>
            <w:vAlign w:val="center"/>
          </w:tcPr>
          <w:p w14:paraId="344C071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 </w:t>
            </w:r>
          </w:p>
        </w:tc>
      </w:tr>
      <w:tr w14:paraId="41815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E31F8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D3158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消防通道占用摄像枪机租赁服务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47402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设定消防通道占用告警功能，(含电源供电、设备箱、网络设备、立杆、管线等)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95244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50130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 </w:t>
            </w:r>
          </w:p>
        </w:tc>
      </w:tr>
      <w:tr w14:paraId="525F3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72599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ABEF96">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400万全彩筒型网络摄像机租赁服务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FB6D8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400万全彩筒型网络摄像机，(含电源供电、设备箱、网络设备、立杆、管线等)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94B3A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06630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15 </w:t>
            </w:r>
          </w:p>
        </w:tc>
      </w:tr>
      <w:tr w14:paraId="53022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31861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98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47B27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存储图像服务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ED31B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前端图像存储服务，存储时间不少于30天   </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E1913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F9707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 </w:t>
            </w:r>
          </w:p>
        </w:tc>
      </w:tr>
      <w:tr w14:paraId="004A9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C159A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98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5AFB8B">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光纤服务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6D9C8B">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投标单位需自行对各点位情况现场勘查核实。采用VPN专线方式。视频数据分别送至政法委（不低于100M）、公安局(不低于20M）、城管局(不低于10M）</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1FBB9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8B5D0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 </w:t>
            </w:r>
          </w:p>
        </w:tc>
      </w:tr>
      <w:tr w14:paraId="5CA90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4113" w:type="pct"/>
            <w:gridSpan w:val="3"/>
            <w:tcBorders>
              <w:top w:val="single" w:color="000000" w:sz="4" w:space="0"/>
              <w:left w:val="single" w:color="000000" w:sz="4" w:space="0"/>
              <w:bottom w:val="single" w:color="000000" w:sz="4" w:space="0"/>
              <w:right w:val="nil"/>
            </w:tcBorders>
            <w:shd w:val="clear" w:color="auto" w:fill="D9D9D9"/>
            <w:noWrap/>
            <w:vAlign w:val="center"/>
          </w:tcPr>
          <w:p w14:paraId="43149954">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小区名称：群星花园</w:t>
            </w:r>
          </w:p>
        </w:tc>
        <w:tc>
          <w:tcPr>
            <w:tcW w:w="417" w:type="pct"/>
            <w:tcBorders>
              <w:top w:val="single" w:color="000000" w:sz="4" w:space="0"/>
              <w:left w:val="nil"/>
              <w:bottom w:val="single" w:color="000000" w:sz="4" w:space="0"/>
              <w:right w:val="nil"/>
            </w:tcBorders>
            <w:shd w:val="clear" w:color="auto" w:fill="D9D9D9"/>
            <w:noWrap/>
            <w:vAlign w:val="center"/>
          </w:tcPr>
          <w:p w14:paraId="68B14031">
            <w:pPr>
              <w:jc w:val="left"/>
              <w:rPr>
                <w:rFonts w:hint="eastAsia" w:ascii="宋体" w:hAnsi="宋体" w:eastAsia="宋体" w:cs="宋体"/>
                <w:i w:val="0"/>
                <w:iCs w:val="0"/>
                <w:color w:val="000000"/>
                <w:sz w:val="24"/>
                <w:szCs w:val="24"/>
                <w:highlight w:val="none"/>
                <w:u w:val="none"/>
              </w:rPr>
            </w:pPr>
          </w:p>
        </w:tc>
        <w:tc>
          <w:tcPr>
            <w:tcW w:w="468" w:type="pct"/>
            <w:tcBorders>
              <w:top w:val="single" w:color="000000" w:sz="4" w:space="0"/>
              <w:left w:val="nil"/>
              <w:bottom w:val="single" w:color="000000" w:sz="4" w:space="0"/>
              <w:right w:val="single" w:color="000000" w:sz="4" w:space="0"/>
            </w:tcBorders>
            <w:shd w:val="clear" w:color="auto" w:fill="D9D9D9"/>
            <w:noWrap/>
            <w:vAlign w:val="center"/>
          </w:tcPr>
          <w:p w14:paraId="23455612">
            <w:pPr>
              <w:jc w:val="left"/>
              <w:rPr>
                <w:rFonts w:hint="eastAsia" w:ascii="宋体" w:hAnsi="宋体" w:eastAsia="宋体" w:cs="宋体"/>
                <w:i w:val="0"/>
                <w:iCs w:val="0"/>
                <w:color w:val="000000"/>
                <w:sz w:val="24"/>
                <w:szCs w:val="24"/>
                <w:highlight w:val="none"/>
                <w:u w:val="none"/>
              </w:rPr>
            </w:pPr>
          </w:p>
        </w:tc>
      </w:tr>
      <w:tr w14:paraId="7505D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C55B2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D59C4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智能警戒摄像机租赁服务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1D28F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设定围栏警戒区域后告警联动，(含电源供电、设备箱、网络设备、立杆、管线等)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FE517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E5914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28 </w:t>
            </w:r>
          </w:p>
        </w:tc>
      </w:tr>
      <w:tr w14:paraId="7F7C2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293AE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CF0F7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出入口车辆抓拍单元租赁服务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3FF63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900万环保车辆人脸超级卡口(含相机、爆闪灯、频闪灯、电源供电、设备箱、网络设备、立杆、管线等)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5B6F3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nil"/>
              <w:right w:val="single" w:color="000000" w:sz="4" w:space="0"/>
            </w:tcBorders>
            <w:shd w:val="clear" w:color="auto" w:fill="FFFFFF"/>
            <w:noWrap/>
            <w:vAlign w:val="center"/>
          </w:tcPr>
          <w:p w14:paraId="5AB326C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 </w:t>
            </w:r>
          </w:p>
        </w:tc>
      </w:tr>
      <w:tr w14:paraId="330548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C99A6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0A1ED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消防通道占用摄像枪机租赁服务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E4163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设定消防通道占用告警功能，(含电源供电、设备箱、网络设备、立杆、管线等)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FEC04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EE039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 </w:t>
            </w:r>
          </w:p>
        </w:tc>
      </w:tr>
      <w:tr w14:paraId="43525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03A17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10</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5FBDC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400万全彩筒型网络摄像机租赁服务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47B5D5">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400万全彩筒型网络摄像机，(含电源供电、设备箱、网络设备、立杆、管线等)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A2EE8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CCF1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30 </w:t>
            </w:r>
          </w:p>
        </w:tc>
      </w:tr>
      <w:tr w14:paraId="02885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B9E1C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98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04BE9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存储图像服务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AF92D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前端图像存储服务，存储时间不少于30天   </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16671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E820C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 </w:t>
            </w:r>
          </w:p>
        </w:tc>
      </w:tr>
      <w:tr w14:paraId="32A64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22D55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12</w:t>
            </w:r>
          </w:p>
        </w:tc>
        <w:tc>
          <w:tcPr>
            <w:tcW w:w="98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DDABA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光纤服务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FE185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投标单位需自行对各点位情况现场勘查核实。采用VPN专线方式。视频数据分别送至政法委（不低于100M）、公安局(不低于20M）、城管局(不低于10M）</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FC71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1C0E7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 </w:t>
            </w:r>
          </w:p>
        </w:tc>
      </w:tr>
      <w:tr w14:paraId="7D7EF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4113" w:type="pct"/>
            <w:gridSpan w:val="3"/>
            <w:tcBorders>
              <w:top w:val="single" w:color="000000" w:sz="4" w:space="0"/>
              <w:left w:val="single" w:color="000000" w:sz="4" w:space="0"/>
              <w:bottom w:val="single" w:color="000000" w:sz="4" w:space="0"/>
              <w:right w:val="nil"/>
            </w:tcBorders>
            <w:shd w:val="clear" w:color="auto" w:fill="D9D9D9"/>
            <w:noWrap/>
            <w:vAlign w:val="center"/>
          </w:tcPr>
          <w:p w14:paraId="4DDAC82A">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小区名称：桔园一村</w:t>
            </w:r>
          </w:p>
        </w:tc>
        <w:tc>
          <w:tcPr>
            <w:tcW w:w="417" w:type="pct"/>
            <w:tcBorders>
              <w:top w:val="single" w:color="000000" w:sz="4" w:space="0"/>
              <w:left w:val="nil"/>
              <w:bottom w:val="single" w:color="000000" w:sz="4" w:space="0"/>
              <w:right w:val="nil"/>
            </w:tcBorders>
            <w:shd w:val="clear" w:color="auto" w:fill="D9D9D9"/>
            <w:noWrap/>
            <w:vAlign w:val="center"/>
          </w:tcPr>
          <w:p w14:paraId="73D01065">
            <w:pPr>
              <w:jc w:val="left"/>
              <w:rPr>
                <w:rFonts w:hint="eastAsia" w:ascii="宋体" w:hAnsi="宋体" w:eastAsia="宋体" w:cs="宋体"/>
                <w:i w:val="0"/>
                <w:iCs w:val="0"/>
                <w:color w:val="000000"/>
                <w:sz w:val="24"/>
                <w:szCs w:val="24"/>
                <w:highlight w:val="none"/>
                <w:u w:val="none"/>
              </w:rPr>
            </w:pPr>
          </w:p>
        </w:tc>
        <w:tc>
          <w:tcPr>
            <w:tcW w:w="468" w:type="pct"/>
            <w:tcBorders>
              <w:top w:val="single" w:color="000000" w:sz="4" w:space="0"/>
              <w:left w:val="nil"/>
              <w:bottom w:val="single" w:color="000000" w:sz="4" w:space="0"/>
              <w:right w:val="single" w:color="000000" w:sz="4" w:space="0"/>
            </w:tcBorders>
            <w:shd w:val="clear" w:color="auto" w:fill="D9D9D9"/>
            <w:noWrap/>
            <w:vAlign w:val="center"/>
          </w:tcPr>
          <w:p w14:paraId="7A414DD8">
            <w:pPr>
              <w:jc w:val="left"/>
              <w:rPr>
                <w:rFonts w:hint="eastAsia" w:ascii="宋体" w:hAnsi="宋体" w:eastAsia="宋体" w:cs="宋体"/>
                <w:i w:val="0"/>
                <w:iCs w:val="0"/>
                <w:color w:val="000000"/>
                <w:sz w:val="24"/>
                <w:szCs w:val="24"/>
                <w:highlight w:val="none"/>
                <w:u w:val="none"/>
              </w:rPr>
            </w:pPr>
          </w:p>
        </w:tc>
      </w:tr>
      <w:tr w14:paraId="2C586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362ED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13</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6803C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智能警戒摄像机租赁服务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9C8D9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设定围栏警戒区域后告警联动，(含电源供电、设备箱、网络设备、立杆、管线等)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C2878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ECD7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5 </w:t>
            </w:r>
          </w:p>
        </w:tc>
      </w:tr>
      <w:tr w14:paraId="67593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03C9A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12AA8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公安人像识别摄像机租赁服务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B1727B">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400万人脸图像附图(含相机、电源供电、设备箱、网络设备、支架、管线等)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9AAFC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86214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 </w:t>
            </w:r>
          </w:p>
        </w:tc>
      </w:tr>
      <w:tr w14:paraId="4A391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BEF3A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78C7C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全结构化相机租赁服务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3C2E3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400万人脸图像附图(含相机、电源供电、设备箱、网络设备、支架、管线等)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C5434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E99A9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 </w:t>
            </w:r>
          </w:p>
        </w:tc>
      </w:tr>
      <w:tr w14:paraId="20563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DFB44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16</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2A7502">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出入口车辆抓拍单元租赁服务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A411D5">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900万环保车辆人脸超级卡口(含相机、爆闪灯、频闪灯、电源供电、设备箱、网络设备、立杆、管线等)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0E2DD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nil"/>
              <w:right w:val="single" w:color="000000" w:sz="4" w:space="0"/>
            </w:tcBorders>
            <w:shd w:val="clear" w:color="auto" w:fill="FFFFFF"/>
            <w:noWrap/>
            <w:vAlign w:val="center"/>
          </w:tcPr>
          <w:p w14:paraId="0BA2DA0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 </w:t>
            </w:r>
          </w:p>
        </w:tc>
      </w:tr>
      <w:tr w14:paraId="58AFA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77AB8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E89A2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消防通道占用摄像枪机租赁服务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E95EA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设定消防通道占用告警功能，(含电源供电、设备箱、网络设备、立杆、管线等)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6286E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844AD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 </w:t>
            </w:r>
          </w:p>
        </w:tc>
      </w:tr>
      <w:tr w14:paraId="7878F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25801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18</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6D7A12">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车辆识别设备租赁服务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37499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设定车辆出入口识别功能，(含电源供电、道闸、设备箱、网络设备、管线等)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725D1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EEDB0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 </w:t>
            </w:r>
          </w:p>
        </w:tc>
      </w:tr>
      <w:tr w14:paraId="0ECA1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A2407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19</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DE927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400万全彩筒型网络摄像机租赁服务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top"/>
          </w:tcPr>
          <w:p w14:paraId="3AF095F0">
            <w:pPr>
              <w:keepNext w:val="0"/>
              <w:keepLines w:val="0"/>
              <w:widowControl/>
              <w:suppressLineNumbers w:val="0"/>
              <w:jc w:val="left"/>
              <w:textAlignment w:val="top"/>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400万全彩筒型网络摄像机，(含电源供电、设备箱、网络设备、立杆、管线等)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3BF2D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7ABC1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10 </w:t>
            </w:r>
          </w:p>
        </w:tc>
      </w:tr>
      <w:tr w14:paraId="0F942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4297A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20</w:t>
            </w:r>
          </w:p>
        </w:tc>
        <w:tc>
          <w:tcPr>
            <w:tcW w:w="98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EC407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存储图像服务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0C6856">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前端图像存储服务，存储时间不少于30天   </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C2416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07713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 </w:t>
            </w:r>
          </w:p>
        </w:tc>
      </w:tr>
      <w:tr w14:paraId="078D1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9027D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21</w:t>
            </w:r>
          </w:p>
        </w:tc>
        <w:tc>
          <w:tcPr>
            <w:tcW w:w="98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CCC7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光纤服务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8F093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投标单位需自行对各点位情况现场勘查核实。采用VPN专线方式。视频数据分别送至政法委（不低于100M）、公安局(不低于20M）、城管局(不低于10M）</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43228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50F1C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 </w:t>
            </w:r>
          </w:p>
        </w:tc>
      </w:tr>
      <w:tr w14:paraId="4D9C2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4113" w:type="pct"/>
            <w:gridSpan w:val="3"/>
            <w:tcBorders>
              <w:top w:val="single" w:color="000000" w:sz="4" w:space="0"/>
              <w:left w:val="single" w:color="000000" w:sz="4" w:space="0"/>
              <w:bottom w:val="single" w:color="000000" w:sz="4" w:space="0"/>
              <w:right w:val="nil"/>
            </w:tcBorders>
            <w:shd w:val="clear" w:color="auto" w:fill="D9D9D9"/>
            <w:noWrap/>
            <w:vAlign w:val="center"/>
          </w:tcPr>
          <w:p w14:paraId="3265136F">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小区名称：新园新村</w:t>
            </w:r>
          </w:p>
        </w:tc>
        <w:tc>
          <w:tcPr>
            <w:tcW w:w="417" w:type="pct"/>
            <w:tcBorders>
              <w:top w:val="single" w:color="000000" w:sz="4" w:space="0"/>
              <w:left w:val="nil"/>
              <w:bottom w:val="single" w:color="000000" w:sz="4" w:space="0"/>
              <w:right w:val="nil"/>
            </w:tcBorders>
            <w:shd w:val="clear" w:color="auto" w:fill="D9D9D9"/>
            <w:noWrap/>
            <w:vAlign w:val="center"/>
          </w:tcPr>
          <w:p w14:paraId="2D2F095E">
            <w:pPr>
              <w:jc w:val="left"/>
              <w:rPr>
                <w:rFonts w:hint="eastAsia" w:ascii="宋体" w:hAnsi="宋体" w:eastAsia="宋体" w:cs="宋体"/>
                <w:i w:val="0"/>
                <w:iCs w:val="0"/>
                <w:color w:val="000000"/>
                <w:sz w:val="24"/>
                <w:szCs w:val="24"/>
                <w:highlight w:val="none"/>
                <w:u w:val="none"/>
              </w:rPr>
            </w:pPr>
          </w:p>
        </w:tc>
        <w:tc>
          <w:tcPr>
            <w:tcW w:w="468" w:type="pct"/>
            <w:tcBorders>
              <w:top w:val="single" w:color="000000" w:sz="4" w:space="0"/>
              <w:left w:val="nil"/>
              <w:bottom w:val="single" w:color="000000" w:sz="4" w:space="0"/>
              <w:right w:val="single" w:color="000000" w:sz="4" w:space="0"/>
            </w:tcBorders>
            <w:shd w:val="clear" w:color="auto" w:fill="D9D9D9"/>
            <w:noWrap/>
            <w:vAlign w:val="center"/>
          </w:tcPr>
          <w:p w14:paraId="61F79DC4">
            <w:pPr>
              <w:jc w:val="left"/>
              <w:rPr>
                <w:rFonts w:hint="eastAsia" w:ascii="宋体" w:hAnsi="宋体" w:eastAsia="宋体" w:cs="宋体"/>
                <w:i w:val="0"/>
                <w:iCs w:val="0"/>
                <w:color w:val="000000"/>
                <w:sz w:val="24"/>
                <w:szCs w:val="24"/>
                <w:highlight w:val="none"/>
                <w:u w:val="none"/>
              </w:rPr>
            </w:pPr>
          </w:p>
        </w:tc>
      </w:tr>
      <w:tr w14:paraId="61EDC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57B8C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22</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CDE7D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智能警戒摄像机租赁服务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84C58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设定围栏警戒区域后告警联动，(含电源供电、设备箱、网络设备、立杆、管线等)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212F8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56561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5 </w:t>
            </w:r>
          </w:p>
        </w:tc>
      </w:tr>
      <w:tr w14:paraId="5D4CF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69B10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23</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B4A3BB">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公安人像识别摄像机租赁服务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0FB83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400万人脸图像附图(含相机、电源供电、设备箱、网络设备、支架、管线等)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C9273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BA118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 </w:t>
            </w:r>
          </w:p>
        </w:tc>
      </w:tr>
      <w:tr w14:paraId="6A898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4DE93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94CE15">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全结构化相机租赁服务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91D490">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400万人脸图像附图(含相机、电源供电、设备箱、网络设备、支架、管线等)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45416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222EC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 </w:t>
            </w:r>
          </w:p>
        </w:tc>
      </w:tr>
      <w:tr w14:paraId="2C893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1F43F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25</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9AD3D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出入口车辆抓拍单元租赁服务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01D7C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900万环保车辆人脸超级卡口(含相机、爆闪灯、频闪灯、电源供电、设备箱、网络设备、立杆、管线等)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94ECF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nil"/>
              <w:right w:val="single" w:color="000000" w:sz="4" w:space="0"/>
            </w:tcBorders>
            <w:shd w:val="clear" w:color="auto" w:fill="FFFFFF"/>
            <w:noWrap/>
            <w:vAlign w:val="center"/>
          </w:tcPr>
          <w:p w14:paraId="0FAE11C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 </w:t>
            </w:r>
          </w:p>
        </w:tc>
      </w:tr>
      <w:tr w14:paraId="2A513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97680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26</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9CD0F2">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车辆识别设备租赁服务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F13649">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设定车辆出入口识别功能，(含电源供电、道闸、设备箱、网络设备、管线等)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F3A5C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53B6E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 </w:t>
            </w:r>
          </w:p>
        </w:tc>
      </w:tr>
      <w:tr w14:paraId="1CC4B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FA9D0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27</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DCEA4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消防通道占用摄像枪机租赁服务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4529F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设定消防通道占用告警功能，(含电源供电、设备箱、网络设备、立杆、管线等)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A386A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C5352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 </w:t>
            </w:r>
          </w:p>
        </w:tc>
      </w:tr>
      <w:tr w14:paraId="00E2B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A1ABA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28</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2C6DF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400万全彩筒型网络摄像机租赁服务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top"/>
          </w:tcPr>
          <w:p w14:paraId="05BDAB4B">
            <w:pPr>
              <w:keepNext w:val="0"/>
              <w:keepLines w:val="0"/>
              <w:widowControl/>
              <w:suppressLineNumbers w:val="0"/>
              <w:jc w:val="left"/>
              <w:textAlignment w:val="top"/>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400万全彩筒型网络摄像机，(含电源供电、设备箱、网络设备、立杆、管线等)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4DBE4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6ACDE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15 </w:t>
            </w:r>
          </w:p>
        </w:tc>
      </w:tr>
      <w:tr w14:paraId="20761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7C04F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29</w:t>
            </w:r>
          </w:p>
        </w:tc>
        <w:tc>
          <w:tcPr>
            <w:tcW w:w="98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D43C1B">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存储图像服务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8BA09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前端图像存储服务，存储时间不少于30天   </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5AF3F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B9201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 </w:t>
            </w:r>
          </w:p>
        </w:tc>
      </w:tr>
      <w:tr w14:paraId="7D432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08708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30</w:t>
            </w:r>
          </w:p>
        </w:tc>
        <w:tc>
          <w:tcPr>
            <w:tcW w:w="98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64CBD2">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光纤服务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8C589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投标单位需自行对各点位情况现场勘查核实。采用VPN专线方式。视频数据分别送至政法委（不低于100M）、公安局(不低于20M）、城管局(不低于10M）</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41A57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592FF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 </w:t>
            </w:r>
          </w:p>
        </w:tc>
      </w:tr>
      <w:tr w14:paraId="6DDDE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4113" w:type="pct"/>
            <w:gridSpan w:val="3"/>
            <w:tcBorders>
              <w:top w:val="single" w:color="000000" w:sz="4" w:space="0"/>
              <w:left w:val="single" w:color="000000" w:sz="4" w:space="0"/>
              <w:bottom w:val="single" w:color="000000" w:sz="4" w:space="0"/>
              <w:right w:val="nil"/>
            </w:tcBorders>
            <w:shd w:val="clear" w:color="auto" w:fill="D9D9D9"/>
            <w:noWrap/>
            <w:vAlign w:val="center"/>
          </w:tcPr>
          <w:p w14:paraId="589FBCFA">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小区名称：利民花园</w:t>
            </w:r>
          </w:p>
        </w:tc>
        <w:tc>
          <w:tcPr>
            <w:tcW w:w="417" w:type="pct"/>
            <w:tcBorders>
              <w:top w:val="single" w:color="000000" w:sz="4" w:space="0"/>
              <w:left w:val="nil"/>
              <w:bottom w:val="single" w:color="000000" w:sz="4" w:space="0"/>
              <w:right w:val="nil"/>
            </w:tcBorders>
            <w:shd w:val="clear" w:color="auto" w:fill="D9D9D9"/>
            <w:noWrap/>
            <w:vAlign w:val="center"/>
          </w:tcPr>
          <w:p w14:paraId="16277887">
            <w:pPr>
              <w:jc w:val="left"/>
              <w:rPr>
                <w:rFonts w:hint="eastAsia" w:ascii="宋体" w:hAnsi="宋体" w:eastAsia="宋体" w:cs="宋体"/>
                <w:i w:val="0"/>
                <w:iCs w:val="0"/>
                <w:color w:val="000000"/>
                <w:sz w:val="24"/>
                <w:szCs w:val="24"/>
                <w:highlight w:val="none"/>
                <w:u w:val="none"/>
              </w:rPr>
            </w:pPr>
          </w:p>
        </w:tc>
        <w:tc>
          <w:tcPr>
            <w:tcW w:w="468" w:type="pct"/>
            <w:tcBorders>
              <w:top w:val="single" w:color="000000" w:sz="4" w:space="0"/>
              <w:left w:val="nil"/>
              <w:bottom w:val="single" w:color="000000" w:sz="4" w:space="0"/>
              <w:right w:val="single" w:color="000000" w:sz="4" w:space="0"/>
            </w:tcBorders>
            <w:shd w:val="clear" w:color="auto" w:fill="D9D9D9"/>
            <w:noWrap/>
            <w:vAlign w:val="center"/>
          </w:tcPr>
          <w:p w14:paraId="3304DBAD">
            <w:pPr>
              <w:jc w:val="left"/>
              <w:rPr>
                <w:rFonts w:hint="eastAsia" w:ascii="宋体" w:hAnsi="宋体" w:eastAsia="宋体" w:cs="宋体"/>
                <w:i w:val="0"/>
                <w:iCs w:val="0"/>
                <w:color w:val="000000"/>
                <w:sz w:val="24"/>
                <w:szCs w:val="24"/>
                <w:highlight w:val="none"/>
                <w:u w:val="none"/>
              </w:rPr>
            </w:pPr>
          </w:p>
        </w:tc>
      </w:tr>
      <w:tr w14:paraId="3D42C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A8376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31</w:t>
            </w:r>
          </w:p>
        </w:tc>
        <w:tc>
          <w:tcPr>
            <w:tcW w:w="98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311B72">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周界电子围栏设备租赁服务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968FF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设定周界电子围栏，(含主机、控制器、供电、设备箱、网络设备、立杆、管线等)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877DD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02A67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 </w:t>
            </w:r>
          </w:p>
        </w:tc>
      </w:tr>
      <w:tr w14:paraId="3F5AC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639F9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32</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AFA086">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智能警戒摄像机租赁服务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DE8E7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设定围栏警戒区域后告警联动，(含电源供电、设备箱、网络设备、立杆、管线等)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84724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90BCC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28 </w:t>
            </w:r>
          </w:p>
        </w:tc>
      </w:tr>
      <w:tr w14:paraId="6ED87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00BE5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33</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AD587C">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出入口车辆抓拍单元租赁服务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F2208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900万环保车辆人脸超级卡口(含相机、爆闪灯、频闪灯、电源供电、设备箱、网络设备、立杆、管线等)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EDD82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nil"/>
              <w:right w:val="single" w:color="000000" w:sz="4" w:space="0"/>
            </w:tcBorders>
            <w:shd w:val="clear" w:color="auto" w:fill="FFFFFF"/>
            <w:noWrap/>
            <w:vAlign w:val="center"/>
          </w:tcPr>
          <w:p w14:paraId="70A8887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 </w:t>
            </w:r>
          </w:p>
        </w:tc>
      </w:tr>
      <w:tr w14:paraId="494E1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31F7C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34</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17A5ED">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紧急求助报警装置租赁服务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6F7C8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设定紧急报警装置(含电源供电、设备箱、网络设备、管线等)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8FDE7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29035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 </w:t>
            </w:r>
          </w:p>
        </w:tc>
      </w:tr>
      <w:tr w14:paraId="2904F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7DC2E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35</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2017B5">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CK一键报警设备租赁服务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05A9E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设定一键报警装置(含电源供电、设备箱、网络设备、管线等)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B9FB9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25C8F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 </w:t>
            </w:r>
          </w:p>
        </w:tc>
      </w:tr>
      <w:tr w14:paraId="24348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258C3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36</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DEB919">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访客一体机设备租赁服务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43BCAB">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设定人员登记，(含电源供电、内置人脸识别终端、网络设备、管线等)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B241A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F2562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 </w:t>
            </w:r>
          </w:p>
        </w:tc>
      </w:tr>
      <w:tr w14:paraId="6ED80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5518F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37</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85B43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人行闸机设备租赁服务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B0EFC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设定人行闸机人脸识别功能，(含电源供电、人脸识别终端、设备箱、网络设备、管线等)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2F3DD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79A17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2 </w:t>
            </w:r>
          </w:p>
        </w:tc>
      </w:tr>
      <w:tr w14:paraId="14690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5AB7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38</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21A36A">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车辆识别设备租赁服务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701EE4">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设定车辆出入口识别功能，(含电源供电、道闸、设备箱、网络设备、管线等)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7B284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1E1F4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4 </w:t>
            </w:r>
          </w:p>
        </w:tc>
      </w:tr>
      <w:tr w14:paraId="07F5F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74072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39</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4FD7E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单元门人脸刷卡设备租赁服务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F18BD6">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设定单元门人脸刷卡功能，(含电源供电、磁力锁、出门开关、设备箱、网络设备、管线等)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3700D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27DF0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9 </w:t>
            </w:r>
          </w:p>
        </w:tc>
      </w:tr>
      <w:tr w14:paraId="48ADDB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80F66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D5AB4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400万单元门监控摄像机租赁服务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BED4A9">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400万全彩筒型网络摄像机，(含电源供电、设备箱、网络设备、立杆、管线等)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DE58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5B0DC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64 </w:t>
            </w:r>
          </w:p>
        </w:tc>
      </w:tr>
      <w:tr w14:paraId="2D4FF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432A0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41</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8AFCE8">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烟感探测器设备租赁服务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16DE5F">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设定烟雾探测功能，(含电源供电、管线等)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5659A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017E0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144 </w:t>
            </w:r>
          </w:p>
        </w:tc>
      </w:tr>
      <w:tr w14:paraId="36850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B400A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42</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8F27F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可燃气体探测器租赁服务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842DB7">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设定可燃气体探测器功能，(含电源供电、管线等)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62EAE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5F9C7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144 </w:t>
            </w:r>
          </w:p>
        </w:tc>
      </w:tr>
      <w:tr w14:paraId="62165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677BD7">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43</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28E009">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全彩全景枪球智能一体机租赁服务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top"/>
          </w:tcPr>
          <w:p w14:paraId="6869AC4C">
            <w:pPr>
              <w:keepNext w:val="0"/>
              <w:keepLines w:val="0"/>
              <w:widowControl/>
              <w:suppressLineNumbers w:val="0"/>
              <w:jc w:val="left"/>
              <w:textAlignment w:val="top"/>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400万全彩全景枪球智能网络摄像机，(含电源供电、设备箱、网络设备、立杆、管线等)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5FA6E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A57EB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 </w:t>
            </w:r>
          </w:p>
        </w:tc>
      </w:tr>
      <w:tr w14:paraId="02F38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8B0ED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44</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EBD8F9">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高空抛物图像服务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top"/>
          </w:tcPr>
          <w:p w14:paraId="6085F285">
            <w:pPr>
              <w:keepNext w:val="0"/>
              <w:keepLines w:val="0"/>
              <w:widowControl/>
              <w:suppressLineNumbers w:val="0"/>
              <w:jc w:val="left"/>
              <w:textAlignment w:val="top"/>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400万高空抛物网络摄像机，(含电源供电、设备箱、网络设备、立杆、管线等)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ED04E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036DF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15 </w:t>
            </w:r>
          </w:p>
        </w:tc>
      </w:tr>
      <w:tr w14:paraId="20EDB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C2394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45</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C50E81">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消防通道占用摄像枪机租赁服务 </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426C66">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设定消防通道占用告警功能，(含电源供电、设备箱、网络设备、立杆、管线等)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31013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E67EC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9 </w:t>
            </w:r>
          </w:p>
        </w:tc>
      </w:tr>
      <w:tr w14:paraId="5A08C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FE37D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46</w:t>
            </w:r>
          </w:p>
        </w:tc>
        <w:tc>
          <w:tcPr>
            <w:tcW w:w="98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81BA25">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400万全彩筒型网络摄像机租赁服务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top"/>
          </w:tcPr>
          <w:p w14:paraId="522F2AB1">
            <w:pPr>
              <w:keepNext w:val="0"/>
              <w:keepLines w:val="0"/>
              <w:widowControl/>
              <w:suppressLineNumbers w:val="0"/>
              <w:jc w:val="left"/>
              <w:textAlignment w:val="top"/>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400万全彩筒型网络摄像机，(含电源供电、设备箱、网络设备、立杆、管线等)</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C0215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57A2D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35 </w:t>
            </w:r>
          </w:p>
        </w:tc>
      </w:tr>
      <w:tr w14:paraId="00C8A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F196B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47</w:t>
            </w:r>
          </w:p>
        </w:tc>
        <w:tc>
          <w:tcPr>
            <w:tcW w:w="98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08DA93">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存储图像服务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25964E">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前端图像存储服务，存储时间不少于30天   </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A9F71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38EC2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 </w:t>
            </w:r>
          </w:p>
        </w:tc>
      </w:tr>
      <w:tr w14:paraId="1F4C6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30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9B457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48</w:t>
            </w:r>
          </w:p>
        </w:tc>
        <w:tc>
          <w:tcPr>
            <w:tcW w:w="98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2995AB">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光纤服务</w:t>
            </w:r>
          </w:p>
        </w:tc>
        <w:tc>
          <w:tcPr>
            <w:tcW w:w="282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1F0C06">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投标单位需自行对各点位情况现场勘查核实。采用VPN专线方式。视频数据分别送至政法委（不低于100M）、公安局(不低于20M）、城管局(不低于10M）</w:t>
            </w:r>
          </w:p>
        </w:tc>
        <w:tc>
          <w:tcPr>
            <w:tcW w:w="4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A0DE0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F1D02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3 </w:t>
            </w:r>
          </w:p>
        </w:tc>
      </w:tr>
    </w:tbl>
    <w:p w14:paraId="43A8F918">
      <w:pPr>
        <w:pStyle w:val="198"/>
        <w:numPr>
          <w:ilvl w:val="0"/>
          <w:numId w:val="0"/>
        </w:numPr>
        <w:spacing w:line="500" w:lineRule="exact"/>
        <w:ind w:firstLine="241" w:firstLineChars="100"/>
        <w:rPr>
          <w:rStyle w:val="212"/>
          <w:rFonts w:hint="eastAsia" w:ascii="宋体" w:hAnsi="宋体" w:cs="宋体"/>
          <w:b/>
          <w:color w:val="auto"/>
          <w:sz w:val="24"/>
          <w:szCs w:val="24"/>
          <w:highlight w:val="none"/>
          <w:lang w:eastAsia="zh-CN"/>
        </w:rPr>
      </w:pPr>
      <w:r>
        <w:rPr>
          <w:rStyle w:val="212"/>
          <w:rFonts w:hint="eastAsia" w:ascii="宋体" w:hAnsi="宋体" w:eastAsia="宋体" w:cs="宋体"/>
          <w:b/>
          <w:color w:val="auto"/>
          <w:sz w:val="24"/>
          <w:szCs w:val="24"/>
          <w:highlight w:val="none"/>
          <w:lang w:eastAsia="zh-CN"/>
        </w:rPr>
        <w:t>（</w:t>
      </w:r>
      <w:r>
        <w:rPr>
          <w:rStyle w:val="212"/>
          <w:rFonts w:hint="eastAsia" w:ascii="宋体" w:hAnsi="宋体" w:eastAsia="宋体" w:cs="宋体"/>
          <w:b/>
          <w:color w:val="auto"/>
          <w:sz w:val="24"/>
          <w:szCs w:val="24"/>
          <w:highlight w:val="none"/>
          <w:lang w:val="en-US" w:eastAsia="zh-CN"/>
        </w:rPr>
        <w:t>四）</w:t>
      </w:r>
      <w:r>
        <w:rPr>
          <w:rStyle w:val="212"/>
          <w:rFonts w:hint="eastAsia" w:ascii="宋体" w:hAnsi="宋体" w:eastAsia="宋体" w:cs="宋体"/>
          <w:b/>
          <w:color w:val="auto"/>
          <w:sz w:val="24"/>
          <w:szCs w:val="24"/>
          <w:highlight w:val="none"/>
          <w:lang w:eastAsia="zh-CN"/>
        </w:rPr>
        <w:t>系统功能技术参数</w:t>
      </w:r>
    </w:p>
    <w:p w14:paraId="43B1DDCB">
      <w:pPr>
        <w:tabs>
          <w:tab w:val="left" w:pos="360"/>
          <w:tab w:val="left" w:pos="567"/>
        </w:tabs>
        <w:snapToGrid w:val="0"/>
        <w:spacing w:after="0" w:line="500" w:lineRule="exact"/>
        <w:ind w:firstLine="48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1、视频要求：</w:t>
      </w:r>
    </w:p>
    <w:p w14:paraId="0D400871">
      <w:pPr>
        <w:tabs>
          <w:tab w:val="left" w:pos="360"/>
          <w:tab w:val="left" w:pos="567"/>
        </w:tabs>
        <w:snapToGrid w:val="0"/>
        <w:spacing w:after="0" w:line="500" w:lineRule="exact"/>
        <w:ind w:firstLine="480"/>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1.1、送达的视频应流畅，无拖影、无动画感，图像延迟不能超过200毫秒，实时视频调出时的响应时间应小于1秒，视频控制切换响应时间小于1秒，前端设备控制延时小于1秒，监控视频显示与实际事件发生时间差小于1秒，设同步服务器并应予同步。</w:t>
      </w:r>
    </w:p>
    <w:p w14:paraId="0B87B6A0">
      <w:pPr>
        <w:tabs>
          <w:tab w:val="left" w:pos="360"/>
          <w:tab w:val="left" w:pos="567"/>
        </w:tabs>
        <w:snapToGrid w:val="0"/>
        <w:spacing w:after="0" w:line="500" w:lineRule="exact"/>
        <w:ind w:firstLine="480"/>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1.2、系统以1个服务点位为一个计量单位。</w:t>
      </w:r>
    </w:p>
    <w:p w14:paraId="7EC85502">
      <w:pPr>
        <w:tabs>
          <w:tab w:val="left" w:pos="360"/>
          <w:tab w:val="left" w:pos="567"/>
        </w:tabs>
        <w:snapToGrid w:val="0"/>
        <w:spacing w:after="0" w:line="500" w:lineRule="exact"/>
        <w:ind w:firstLine="480"/>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1.3、高清治安监控图像服务技术参数不低于图像服务技术性能参数要求。</w:t>
      </w:r>
    </w:p>
    <w:p w14:paraId="1BF70D58">
      <w:pPr>
        <w:tabs>
          <w:tab w:val="left" w:pos="360"/>
          <w:tab w:val="left" w:pos="567"/>
        </w:tabs>
        <w:snapToGrid w:val="0"/>
        <w:spacing w:after="0" w:line="500" w:lineRule="exact"/>
        <w:ind w:firstLine="48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2、网络传输要求：</w:t>
      </w:r>
    </w:p>
    <w:p w14:paraId="2FC92BA7">
      <w:pPr>
        <w:tabs>
          <w:tab w:val="left" w:pos="360"/>
          <w:tab w:val="left" w:pos="567"/>
          <w:tab w:val="left" w:pos="644"/>
          <w:tab w:val="left" w:pos="786"/>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2.1、网络传输介质按照设计方案要求采用单模光纤作传输介质，基于EPON架构的 IP 传输技术组建监控视频专网。</w:t>
      </w:r>
    </w:p>
    <w:p w14:paraId="076511A5">
      <w:pPr>
        <w:tabs>
          <w:tab w:val="left" w:pos="360"/>
          <w:tab w:val="left" w:pos="567"/>
          <w:tab w:val="left" w:pos="644"/>
          <w:tab w:val="left" w:pos="786"/>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2.2、每个点位的传输带宽不小于</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0M；各汇聚机房到中心机房传输带宽不小于10G；通过适当的QOS策略确保当汇聚交换机处理正常的数据交换业务均能传送优质的图象画面，保证网络的数据传输实时、准确、完整。</w:t>
      </w:r>
    </w:p>
    <w:p w14:paraId="6BF4476F">
      <w:pPr>
        <w:tabs>
          <w:tab w:val="left" w:pos="360"/>
          <w:tab w:val="left" w:pos="567"/>
          <w:tab w:val="left" w:pos="644"/>
          <w:tab w:val="left" w:pos="786"/>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2.3、在大流量、突发性数据流冲击带宽时，视频运作平稳，不影响画质，上行方向传输平均时延≤0.1ms，下行方向传输平均时延≤0.1ms。</w:t>
      </w:r>
    </w:p>
    <w:p w14:paraId="62D78FB4">
      <w:pPr>
        <w:tabs>
          <w:tab w:val="left" w:pos="360"/>
          <w:tab w:val="left" w:pos="567"/>
          <w:tab w:val="left" w:pos="644"/>
          <w:tab w:val="left" w:pos="786"/>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2.4、网络应具备冗余链路，两条链路须全程保持不同物理路由，防止因同路由光纤链路中断而导致网络中断，双链路捆绑后满足MTTF 99.99%的要求，单路光纤链路MTTR 4小时。</w:t>
      </w:r>
    </w:p>
    <w:p w14:paraId="71FBC4FF">
      <w:pPr>
        <w:tabs>
          <w:tab w:val="left" w:pos="360"/>
          <w:tab w:val="left" w:pos="567"/>
          <w:tab w:val="left" w:pos="644"/>
          <w:tab w:val="left" w:pos="786"/>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2.5、具有网络管理系统，具有图形化网络管界面；具备全网自动监控报警功能；系统配置功能：网管系统可根据系统所有设备的网管地址在中心网管软件上进行添加，并更加系统实际拓扑构建拓扑图，支持树型列表，并可根据需要修改网络拓扑结构。</w:t>
      </w:r>
    </w:p>
    <w:p w14:paraId="15C883AE">
      <w:pPr>
        <w:tabs>
          <w:tab w:val="left" w:pos="360"/>
          <w:tab w:val="left" w:pos="567"/>
          <w:tab w:val="left" w:pos="644"/>
          <w:tab w:val="left" w:pos="786"/>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2.6、网络传输使用的路由器、交换机、OLT、ONU、光纤及其他网络设备技术参数不低于设备技术性能参数要求。</w:t>
      </w:r>
    </w:p>
    <w:p w14:paraId="279E1DBF">
      <w:pPr>
        <w:snapToGrid w:val="0"/>
        <w:spacing w:after="0" w:line="500" w:lineRule="exact"/>
        <w:ind w:firstLine="48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3、图像存储服务，服务要求：</w:t>
      </w:r>
    </w:p>
    <w:p w14:paraId="43F92E61">
      <w:pPr>
        <w:snapToGrid w:val="0"/>
        <w:spacing w:after="0" w:line="500" w:lineRule="exact"/>
        <w:ind w:firstLine="482"/>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3.1、云存储</w:t>
      </w:r>
    </w:p>
    <w:p w14:paraId="2D7D1CC4">
      <w:pPr>
        <w:snapToGrid w:val="0"/>
        <w:spacing w:after="0" w:line="500" w:lineRule="exact"/>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3.1.1、图像云存储服务部署</w:t>
      </w:r>
    </w:p>
    <w:p w14:paraId="1A01E876">
      <w:pPr>
        <w:snapToGrid w:val="0"/>
        <w:spacing w:after="0" w:line="500" w:lineRule="exact"/>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应部署于标准机房。</w:t>
      </w:r>
    </w:p>
    <w:p w14:paraId="11B8B677">
      <w:pPr>
        <w:snapToGrid w:val="0"/>
        <w:spacing w:after="0" w:line="500" w:lineRule="exact"/>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3.1.2、视频云存储软件</w:t>
      </w:r>
    </w:p>
    <w:p w14:paraId="1CC0F2BA">
      <w:pPr>
        <w:snapToGrid w:val="0"/>
        <w:spacing w:after="0" w:line="500" w:lineRule="exact"/>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3.1.2.1、</w:t>
      </w:r>
      <w:r>
        <w:rPr>
          <w:rFonts w:hint="eastAsia" w:ascii="宋体" w:hAnsi="宋体" w:eastAsia="宋体" w:cs="宋体"/>
          <w:bCs/>
          <w:color w:val="auto"/>
          <w:sz w:val="24"/>
          <w:szCs w:val="24"/>
          <w:highlight w:val="none"/>
          <w:lang w:eastAsia="zh-CN"/>
        </w:rPr>
        <w:t>系统由管理节点和/或存储节点组成，且系统可扩容，增加管理或存储节点。在多节点系统中，任何一个存储节点出现故障，应不影响数据的正常存取；</w:t>
      </w:r>
    </w:p>
    <w:p w14:paraId="1A5B6B59">
      <w:pPr>
        <w:snapToGrid w:val="0"/>
        <w:spacing w:after="0" w:line="500" w:lineRule="exact"/>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3.1.2.2、</w:t>
      </w:r>
      <w:r>
        <w:rPr>
          <w:rFonts w:hint="eastAsia" w:ascii="宋体" w:hAnsi="宋体" w:eastAsia="宋体" w:cs="宋体"/>
          <w:bCs/>
          <w:color w:val="auto"/>
          <w:sz w:val="24"/>
          <w:szCs w:val="24"/>
          <w:highlight w:val="none"/>
          <w:lang w:eastAsia="zh-CN"/>
        </w:rPr>
        <w:t>支持基于硬盘性能和容量的负载均衡，具备一定热备冗余能力。</w:t>
      </w:r>
    </w:p>
    <w:p w14:paraId="2C69B55B">
      <w:pPr>
        <w:snapToGrid w:val="0"/>
        <w:spacing w:after="0" w:line="500" w:lineRule="exact"/>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3.1.2.3、</w:t>
      </w:r>
      <w:r>
        <w:rPr>
          <w:rFonts w:hint="eastAsia" w:ascii="宋体" w:hAnsi="宋体" w:eastAsia="宋体" w:cs="宋体"/>
          <w:bCs/>
          <w:color w:val="auto"/>
          <w:sz w:val="24"/>
          <w:szCs w:val="24"/>
          <w:highlight w:val="none"/>
          <w:lang w:eastAsia="zh-CN"/>
        </w:rPr>
        <w:t>支持硬盘热插拔，即插即用。</w:t>
      </w:r>
    </w:p>
    <w:p w14:paraId="48D8632A">
      <w:pPr>
        <w:snapToGrid w:val="0"/>
        <w:spacing w:after="0" w:line="500" w:lineRule="exact"/>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3.1.2.4、</w:t>
      </w:r>
      <w:r>
        <w:rPr>
          <w:rFonts w:hint="eastAsia" w:ascii="宋体" w:hAnsi="宋体" w:eastAsia="宋体" w:cs="宋体"/>
          <w:bCs/>
          <w:color w:val="auto"/>
          <w:sz w:val="24"/>
          <w:szCs w:val="24"/>
          <w:highlight w:val="none"/>
          <w:lang w:eastAsia="zh-CN"/>
        </w:rPr>
        <w:t>支持前端设备和存储设备之间直接存储</w:t>
      </w:r>
    </w:p>
    <w:p w14:paraId="1058E577">
      <w:pPr>
        <w:snapToGrid w:val="0"/>
        <w:spacing w:after="0" w:line="500" w:lineRule="exact"/>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3.1.2.5、</w:t>
      </w:r>
      <w:r>
        <w:rPr>
          <w:rFonts w:hint="eastAsia" w:ascii="宋体" w:hAnsi="宋体" w:eastAsia="宋体" w:cs="宋体"/>
          <w:bCs/>
          <w:color w:val="auto"/>
          <w:sz w:val="24"/>
          <w:szCs w:val="24"/>
          <w:highlight w:val="none"/>
          <w:lang w:eastAsia="zh-CN"/>
        </w:rPr>
        <w:t>系统支持按需弹性扩容</w:t>
      </w:r>
    </w:p>
    <w:p w14:paraId="1040EB45">
      <w:pPr>
        <w:snapToGrid w:val="0"/>
        <w:spacing w:after="0" w:line="500" w:lineRule="exact"/>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3.1.2.6、</w:t>
      </w:r>
      <w:r>
        <w:rPr>
          <w:rFonts w:hint="eastAsia" w:ascii="宋体" w:hAnsi="宋体" w:eastAsia="宋体" w:cs="宋体"/>
          <w:bCs/>
          <w:color w:val="auto"/>
          <w:sz w:val="24"/>
          <w:szCs w:val="24"/>
          <w:highlight w:val="none"/>
          <w:lang w:eastAsia="zh-CN"/>
        </w:rPr>
        <w:t>一个控制器内支持双系统，当主系统异常时，能从备系统启动；支持控制器热插拔</w:t>
      </w:r>
    </w:p>
    <w:p w14:paraId="2B41A1CE">
      <w:pPr>
        <w:snapToGrid w:val="0"/>
        <w:spacing w:after="0" w:line="500" w:lineRule="exact"/>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3.1.2.7、</w:t>
      </w:r>
      <w:r>
        <w:rPr>
          <w:rFonts w:hint="eastAsia" w:ascii="宋体" w:hAnsi="宋体" w:eastAsia="宋体" w:cs="宋体"/>
          <w:bCs/>
          <w:color w:val="auto"/>
          <w:sz w:val="24"/>
          <w:szCs w:val="24"/>
          <w:highlight w:val="none"/>
          <w:lang w:eastAsia="zh-CN"/>
        </w:rPr>
        <w:t>支持录像完整率检测、监控点在线状态检测、硬盘状态检测；</w:t>
      </w:r>
    </w:p>
    <w:p w14:paraId="5D4BFB2D">
      <w:pPr>
        <w:snapToGrid w:val="0"/>
        <w:spacing w:after="0" w:line="500" w:lineRule="exact"/>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3.1.3、视频云存储运维软件</w:t>
      </w:r>
    </w:p>
    <w:p w14:paraId="31A7C69F">
      <w:pPr>
        <w:snapToGrid w:val="0"/>
        <w:spacing w:after="0" w:line="5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集成视频云存储的运维系统，可进行软件、硬件、系统的运维。</w:t>
      </w:r>
    </w:p>
    <w:p w14:paraId="70C9EF9A">
      <w:pPr>
        <w:snapToGrid w:val="0"/>
        <w:spacing w:after="0" w:line="500" w:lineRule="exact"/>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3.2、NVR存储</w:t>
      </w:r>
    </w:p>
    <w:p w14:paraId="75EA90D4">
      <w:pPr>
        <w:snapToGrid w:val="0"/>
        <w:spacing w:after="0" w:line="500" w:lineRule="exact"/>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3.2.1、</w:t>
      </w:r>
      <w:r>
        <w:rPr>
          <w:rFonts w:hint="eastAsia" w:ascii="宋体" w:hAnsi="宋体" w:eastAsia="宋体" w:cs="宋体"/>
          <w:bCs/>
          <w:color w:val="auto"/>
          <w:sz w:val="24"/>
          <w:szCs w:val="24"/>
          <w:highlight w:val="none"/>
          <w:lang w:eastAsia="zh-CN"/>
        </w:rPr>
        <w:t>支持音频设备与视频设备独立管理，支持网络拾音器的接入、校时；最大16路音频设备管理；</w:t>
      </w:r>
    </w:p>
    <w:p w14:paraId="7DEE5179">
      <w:pPr>
        <w:snapToGrid w:val="0"/>
        <w:spacing w:after="0" w:line="500" w:lineRule="exact"/>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3.2.2、</w:t>
      </w:r>
      <w:r>
        <w:rPr>
          <w:rFonts w:hint="eastAsia" w:ascii="宋体" w:hAnsi="宋体" w:eastAsia="宋体" w:cs="宋体"/>
          <w:bCs/>
          <w:color w:val="auto"/>
          <w:sz w:val="24"/>
          <w:szCs w:val="24"/>
          <w:highlight w:val="none"/>
          <w:lang w:eastAsia="zh-CN"/>
        </w:rPr>
        <w:t>支持音视频动态调整组合分配功能，可将任一路音频与任一路视频组合成复合流编码；</w:t>
      </w:r>
    </w:p>
    <w:p w14:paraId="07080253">
      <w:pPr>
        <w:snapToGrid w:val="0"/>
        <w:spacing w:after="0" w:line="500" w:lineRule="exact"/>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3.2.3、</w:t>
      </w:r>
      <w:r>
        <w:rPr>
          <w:rFonts w:hint="eastAsia" w:ascii="宋体" w:hAnsi="宋体" w:eastAsia="宋体" w:cs="宋体"/>
          <w:bCs/>
          <w:color w:val="auto"/>
          <w:sz w:val="24"/>
          <w:szCs w:val="24"/>
          <w:highlight w:val="none"/>
          <w:lang w:eastAsia="zh-CN"/>
        </w:rPr>
        <w:t>支持网络端口扫描行为预警，可自动封禁IP，并上报预警，支持远程下发IP拦截；</w:t>
      </w:r>
    </w:p>
    <w:p w14:paraId="42750119">
      <w:pPr>
        <w:snapToGrid w:val="0"/>
        <w:spacing w:after="0" w:line="5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3.2.4、</w:t>
      </w:r>
      <w:r>
        <w:rPr>
          <w:rFonts w:hint="eastAsia" w:ascii="宋体" w:hAnsi="宋体" w:eastAsia="宋体" w:cs="宋体"/>
          <w:bCs/>
          <w:color w:val="auto"/>
          <w:sz w:val="24"/>
          <w:szCs w:val="24"/>
          <w:highlight w:val="none"/>
        </w:rPr>
        <w:t>支持自动跳转https功能，设备启用自动跳转https功能后不支持http协议访问，http访问入口连接会自动重定向到https入口；</w:t>
      </w:r>
    </w:p>
    <w:p w14:paraId="7239503B">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val="en-US" w:eastAsia="zh-CN"/>
        </w:rPr>
        <w:t>3.2.5、</w:t>
      </w:r>
      <w:r>
        <w:rPr>
          <w:rFonts w:hint="eastAsia" w:ascii="宋体" w:hAnsi="宋体" w:eastAsia="宋体" w:cs="宋体"/>
          <w:bCs/>
          <w:color w:val="auto"/>
          <w:sz w:val="24"/>
          <w:szCs w:val="24"/>
          <w:highlight w:val="none"/>
          <w:lang w:eastAsia="zh-CN"/>
        </w:rPr>
        <w:t>支持查看在线用户信息，包括用户名、用户类型、IP地址和用户最后操作时间等维护信息；</w:t>
      </w:r>
    </w:p>
    <w:p w14:paraId="22869191">
      <w:pPr>
        <w:snapToGrid w:val="0"/>
        <w:spacing w:after="0" w:line="500" w:lineRule="exact"/>
        <w:ind w:firstLine="482"/>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4、图像存储服务其他要求：</w:t>
      </w:r>
    </w:p>
    <w:p w14:paraId="29E7CDDC">
      <w:pPr>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4.1、</w:t>
      </w:r>
      <w:r>
        <w:rPr>
          <w:rFonts w:hint="eastAsia" w:ascii="宋体" w:hAnsi="宋体" w:eastAsia="宋体" w:cs="宋体"/>
          <w:color w:val="auto"/>
          <w:sz w:val="24"/>
          <w:szCs w:val="24"/>
          <w:highlight w:val="none"/>
          <w:lang w:eastAsia="zh-CN"/>
        </w:rPr>
        <w:t>存储系统应采用分布式存储数据库，应具有分布式存储和计算、数据分片机制、数据复制机制、集群负载均衡机制、故障转移机制、水平扩展机制、节点宕机保障机制、数据备份机制、基于数据总线的数据共享机制等。</w:t>
      </w:r>
    </w:p>
    <w:p w14:paraId="527F5E79">
      <w:pPr>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4.2、系统采用数据总线结构，预留与其他信息系统的数据共享、交互接口，如智慧城市数据接口、业务数据接口、标准数据接口（SOA\REST）、市公安局数据接口、第三方数据接口、面向主题的数据接口、中介服务接口等，可实现更高层面的集成与联动。</w:t>
      </w:r>
    </w:p>
    <w:p w14:paraId="091BFD33">
      <w:pPr>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4.3、网络存储设备主要包括分布式存储数据库服务器，数据总线服务器、网络存储设备和存储硬盘等，设备相关技术参数不低于设备技术性能参数要求。</w:t>
      </w:r>
    </w:p>
    <w:p w14:paraId="08ABCF98">
      <w:pPr>
        <w:tabs>
          <w:tab w:val="left" w:pos="567"/>
        </w:tabs>
        <w:snapToGrid w:val="0"/>
        <w:spacing w:after="0" w:line="500" w:lineRule="exact"/>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5、接入要求</w:t>
      </w:r>
    </w:p>
    <w:p w14:paraId="7D2D0F2A">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5.1、监控服务点按属地要求提供派出所网络设备，并在派出所的PC终端上部署监控值守软件，支持64路以上并发访问。</w:t>
      </w:r>
    </w:p>
    <w:p w14:paraId="37E52CB5">
      <w:pPr>
        <w:tabs>
          <w:tab w:val="left" w:pos="567"/>
        </w:tabs>
        <w:snapToGrid w:val="0"/>
        <w:spacing w:after="0" w:line="500" w:lineRule="exact"/>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5.2、</w:t>
      </w:r>
      <w:r>
        <w:rPr>
          <w:rFonts w:hint="eastAsia" w:ascii="宋体" w:hAnsi="宋体" w:eastAsia="宋体" w:cs="宋体"/>
          <w:color w:val="auto"/>
          <w:sz w:val="24"/>
          <w:szCs w:val="24"/>
          <w:highlight w:val="none"/>
          <w:lang w:eastAsia="zh-CN"/>
        </w:rPr>
        <w:t>按设计方案要求，组织实施与视频专网的安全对接。</w:t>
      </w:r>
    </w:p>
    <w:p w14:paraId="3E2B616A">
      <w:pPr>
        <w:tabs>
          <w:tab w:val="left" w:pos="567"/>
        </w:tabs>
        <w:snapToGrid w:val="0"/>
        <w:spacing w:after="0" w:line="500" w:lineRule="exact"/>
        <w:ind w:firstLine="480"/>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lang w:eastAsia="zh-CN"/>
        </w:rPr>
        <w:t>5.3、</w:t>
      </w:r>
      <w:r>
        <w:rPr>
          <w:rFonts w:hint="eastAsia" w:ascii="宋体" w:hAnsi="宋体" w:eastAsia="宋体" w:cs="宋体"/>
          <w:color w:val="auto"/>
          <w:sz w:val="24"/>
          <w:szCs w:val="24"/>
          <w:highlight w:val="none"/>
          <w:lang w:eastAsia="zh-CN"/>
        </w:rPr>
        <w:t>接入所需的网络服务、图像存储服务等相关技术参数不低于服务技术性能参数要求。</w:t>
      </w:r>
    </w:p>
    <w:p w14:paraId="7E620096">
      <w:pPr>
        <w:tabs>
          <w:tab w:val="left" w:pos="567"/>
        </w:tabs>
        <w:snapToGrid w:val="0"/>
        <w:spacing w:after="0" w:line="500" w:lineRule="exact"/>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6、软件系统要求</w:t>
      </w:r>
    </w:p>
    <w:p w14:paraId="1C48767E">
      <w:pPr>
        <w:tabs>
          <w:tab w:val="left" w:pos="567"/>
          <w:tab w:val="left" w:pos="644"/>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6.1、派出所值守系统终端软件</w:t>
      </w:r>
    </w:p>
    <w:p w14:paraId="16FEC1F8">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项目中配置视频客户端软件，可独立运行于装有Windows操作系统的个人电脑上，实现通过网络实时接收视频图像，完整实现接入本派出所板块的数字视频监控的各项功能，主要功能包括：查看直播图像、录像和回放、收藏夹、打开Web界面和图片文件、多画面分割切换、云台控制、视频颜色调节、巡检、事件、日志、电视墙等。</w:t>
      </w:r>
    </w:p>
    <w:p w14:paraId="32D6F95C">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6.2、值守系统</w:t>
      </w:r>
    </w:p>
    <w:p w14:paraId="28B22A1F">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6.2.1、用户管理：对于所有用户采用集中式、分区管理的方式进行组织。用户管理包括用户认证管理、用户查询、用户增加和删除、用户分组管理等基本操作管理以及用户权限管理。</w:t>
      </w:r>
    </w:p>
    <w:p w14:paraId="2B7823BD">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6.2.2、权限管理</w:t>
      </w:r>
    </w:p>
    <w:p w14:paraId="66C1089D">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6.2.2.1、采用分级用户管理机制，每级至少包括管理员和普通用户两个级别，并可以配置不同的权限模版，以方便用户的权限设置。其中管理员可以根据管理内容可分为系统管理员和用户管理员。</w:t>
      </w:r>
    </w:p>
    <w:p w14:paraId="3FDD48C0">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6.2.2.2、用户管理员的权限包括用户管理权限、设备授权权限。用户管理员可以增加、删除、修改用户。用户管理员可以授权用户对视频浏览、摄像机远程控制、录像的删除、复制、浏览等操作行为的权限，同时支持权限优先级，优先级高的用户可以优先占用控制权。权限可以被赋予，也能被收回。用户管理员可以授权下级用户管理员管理权限。</w:t>
      </w:r>
    </w:p>
    <w:p w14:paraId="11E22908">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6.2.2.3、普通用户的权限包括设备控制权限。普通用户由用户管理员的授权对设备进行控制。权限包括视频浏览、摄像机远程控制、录像的删除、复制、浏览等，且普通用户不可更改操作权限。</w:t>
      </w:r>
    </w:p>
    <w:p w14:paraId="702F3BDD">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6.2.3、系统校时：具有统一的时间管理体系，对所有联网设备提供时钟同步接口，包括前端编解码器、DVR、NVR、各应用服务器、存储设备等。软件可灵活设置时间校正周期，如24小时、1小时、10分钟。</w:t>
      </w:r>
    </w:p>
    <w:p w14:paraId="0B5B8161">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6.2.4、实时监控</w:t>
      </w:r>
    </w:p>
    <w:p w14:paraId="17771239">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6.2.4.1、为保证监控范围、图像清晰要求，摄像机采用高清摄像机，分辨率不低于1080P，帧率不低于25fps。</w:t>
      </w:r>
    </w:p>
    <w:p w14:paraId="3C58217E">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6.2.4.2、支持不同画面的显示方式：单画面、4画面、6画面、9画面、12画面、16画面等方式；对于单画面显示，用户可以选择中屏显示和全屏显示两种显示方式。</w:t>
      </w:r>
    </w:p>
    <w:p w14:paraId="219AD2B8">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6.2.4.3、能够实现对前端云台镜头的全功能远程控制，包括云台的旋转和自动扫描、镜头的变倍变焦、快球预置位的设置和启动、快球巡航轨迹的设定和启动。</w:t>
      </w:r>
    </w:p>
    <w:p w14:paraId="2A64159E">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6.2.4.4、软件应提供基于监控画面的摄像机操控功能，可通过直接点击监控画面的方式实现对摄像机的远程控制，如上、下、左、右、拉近、拉远等；操控延时应小于1秒。对监控过程中出现的嫌疑目标（车辆、人或物品），可快速抓图、保存，便于分析、取证。</w:t>
      </w:r>
    </w:p>
    <w:p w14:paraId="29E8371B">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6.2.4.5、设定快球预置位启动计划，在不同的时间自动控制快球转换到需要重点监控的部位。</w:t>
      </w:r>
    </w:p>
    <w:p w14:paraId="24BAEC11">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6.2.4.6、具备图像自动轮巡功能，可以用事先设定的触发序列和时间间隔对监控图像进行轮流显示，参与轮巡的图像和先后顺序可以任意选择；可以指定某些设备在某一时间内执行某种特定的动作；在本机设置多个组间轮视计划，计划包含的内容有组名称、组轮视间隔时间和画面分割方式，在主界面上启动轮视计划。</w:t>
      </w:r>
    </w:p>
    <w:p w14:paraId="668557C1">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6.2.4.7、画面显示：包括组织机构、OSD、标识、通道名称、日期与时间、触发类别等。</w:t>
      </w:r>
    </w:p>
    <w:p w14:paraId="015F5B9D">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6.2.5、录像回放</w:t>
      </w:r>
    </w:p>
    <w:p w14:paraId="24B35A29">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6.2.5.1、支持录像回放，系统主界面可选择要查询的通道，点播类型、文件类型、开始时间、结束时间等。除了对硬盘录像机以及视频记录设备进行回放，还包括对视频图像的处理：编辑、上传、下载等功能。</w:t>
      </w:r>
    </w:p>
    <w:p w14:paraId="0F4A701C">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6.2.5.2、回放的基本功能：单进、单退、快进（1/2/4/8倍数）、剪辑、抓帧、下载等。</w:t>
      </w:r>
    </w:p>
    <w:p w14:paraId="1BD37060">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6.2.6、视频（抓录）功能：操作者在实时监看视频图像、或者在回放视频录像时，发现可疑行为、重要线索、违章车辆等情况，支持进行图像（抓录），并填写相关信息说明。</w:t>
      </w:r>
    </w:p>
    <w:p w14:paraId="665909BE">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6.3、监控设备运维管理平台（具体功能需满足设计方案要求和采购人的实战需要）</w:t>
      </w:r>
    </w:p>
    <w:p w14:paraId="7D642C51">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6.3.1、设备管理：软件提供设备管理功能，包括设备入网认证、属性配置、设备注销、启/停用以及设备信息查询。</w:t>
      </w:r>
    </w:p>
    <w:p w14:paraId="0CABAAA9">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6.3.2、点位信息：可查看点位基础信息，包括点位名称、点位位置、路段走向、所属区域、经纬度坐标、管辖单位、图片保存路径等。</w:t>
      </w:r>
    </w:p>
    <w:p w14:paraId="7FEF9171">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6.3.3、设备状态信息：查看设备相关信息，如当前运行状态、维保单位、维保人、联系电话，还可查看设备维保日志，对设备阶段性运行情况全面掌控，支持查询、统计、导出、打印功能。</w:t>
      </w:r>
    </w:p>
    <w:p w14:paraId="711D9301">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6.3.4、设备运行状态实时检测：软件具备对前端设备和中心的网络设备、服务器、存储设备等设备定时巡检、自动报修的功能，能以不超过十分钟的时间间隔自动巡检设备的工作状态，并记录检测时间、设备状态等信息；同时在软件界面上动态显示。</w:t>
      </w:r>
    </w:p>
    <w:p w14:paraId="3E20474E">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6.3.5、设备报修：当前端设备和中心的网络设备、服务器、存储设备发生异常，授权用户还可人工报修，填报设备故障发生时间、故障现象等信息，便于运维人员及时、有效处理。</w:t>
      </w:r>
    </w:p>
    <w:p w14:paraId="374F8D55">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6.3.6、设备远程维护：授权用户通过软件对前端设备和中心网络设备、DVR、服务器等进行远程参数设置、系统校时、远程升级、断电后自启动等，实现远程维护。</w:t>
      </w:r>
    </w:p>
    <w:p w14:paraId="66369292">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6.3.7、运维人员管理：软件提供运维人员管理功能，可添加运维人员，填报姓名、所属单位、联系电话等信息，并关联负责运维的设备，便于系统运维的正常、高效。</w:t>
      </w:r>
    </w:p>
    <w:p w14:paraId="5AF983B3">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6.3.8、统计报表：软件可根据设备的类别、时间段来生成设备运行情况的统计报表，可以对设备的发生故障总数、不同故障的发生次数和发生时间总长度分别进行统计，便于对系统整体运行情况和主要设备运行稳定性准确掌控，进行针对性的措施。</w:t>
      </w:r>
    </w:p>
    <w:p w14:paraId="0ACFA5FC">
      <w:pPr>
        <w:tabs>
          <w:tab w:val="left" w:pos="567"/>
        </w:tabs>
        <w:snapToGrid w:val="0"/>
        <w:spacing w:after="0" w:line="500" w:lineRule="exact"/>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7、安全要求</w:t>
      </w:r>
    </w:p>
    <w:p w14:paraId="55841CC4">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7.1、根据公安部和公安系统警务管理需求，为确保系统内信息内容的机密性、完整性和可用性，整个系统应具有一定的信息安全性和保密性。</w:t>
      </w:r>
    </w:p>
    <w:p w14:paraId="592FEAEE">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7.2、网络安全：通过对交换机的设置，限制特定端口通过（如高清摄像机、视频服务器、转发服务器等）；应实现MAC地址与交换机端口的绑定，以限定其他未知设备接入图像专网。提供的网络需与因特网及其他社会单位网络物理隔离。</w:t>
      </w:r>
    </w:p>
    <w:p w14:paraId="7AFA0686">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7.3、信息安全性：为了保证信息来源的真实可靠，保证信息使用的合法有效，需要有一种机制来验证系统中各方的真实身份。信息安全是监控系统正常运行的保证，它涉及到访问控制、身份认证、数据完整性和安全审计等过程。在本项目中，采用访问控制和身份认证等安全机制保证整个系统的信息安全。 </w:t>
      </w:r>
    </w:p>
    <w:p w14:paraId="415EC6DF">
      <w:pPr>
        <w:tabs>
          <w:tab w:val="left" w:pos="567"/>
        </w:tabs>
        <w:snapToGrid w:val="0"/>
        <w:spacing w:after="0" w:line="50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7.4、数据安全性：保证数据的安全性，必须确保用户数据和图像数据的安全，确保视频数据在传输过程的安全，并可靠存储。</w:t>
      </w:r>
    </w:p>
    <w:p w14:paraId="30C0337C">
      <w:pPr>
        <w:snapToGrid w:val="0"/>
        <w:spacing w:after="0" w:line="500" w:lineRule="exact"/>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机房（存储服务）要求：提供的机房应达到国家标准C类以上标准。配备精密中央空调保证机房恒温恒湿。配备UPS，电池备用时间≥120分钟，确保7*24小时不间断供电，可以双路供电。7*24小时保安值守，有严格的安检登记制度。</w:t>
      </w:r>
    </w:p>
    <w:p w14:paraId="1BB71847">
      <w:pPr>
        <w:snapToGrid w:val="0"/>
        <w:spacing w:after="0" w:line="500" w:lineRule="exact"/>
        <w:ind w:firstLine="482" w:firstLineChars="200"/>
        <w:rPr>
          <w:rFonts w:hint="eastAsia" w:ascii="宋体" w:hAnsi="宋体" w:eastAsia="宋体" w:cs="宋体"/>
          <w:b/>
          <w:color w:val="auto"/>
          <w:sz w:val="24"/>
          <w:szCs w:val="24"/>
          <w:highlight w:val="none"/>
          <w:lang w:eastAsia="zh-CN"/>
        </w:rPr>
      </w:pPr>
      <w:r>
        <w:rPr>
          <w:rStyle w:val="212"/>
          <w:rFonts w:hint="eastAsia" w:ascii="宋体" w:hAnsi="宋体" w:eastAsia="宋体" w:cs="宋体"/>
          <w:b/>
          <w:color w:val="auto"/>
          <w:sz w:val="24"/>
          <w:szCs w:val="24"/>
          <w:highlight w:val="none"/>
          <w:lang w:eastAsia="zh-CN"/>
        </w:rPr>
        <w:t>（</w:t>
      </w:r>
      <w:r>
        <w:rPr>
          <w:rStyle w:val="212"/>
          <w:rFonts w:hint="eastAsia" w:ascii="宋体" w:hAnsi="宋体" w:eastAsia="宋体" w:cs="宋体"/>
          <w:b/>
          <w:color w:val="auto"/>
          <w:sz w:val="24"/>
          <w:szCs w:val="24"/>
          <w:highlight w:val="none"/>
          <w:lang w:val="en-US" w:eastAsia="zh-CN"/>
        </w:rPr>
        <w:t>五）</w:t>
      </w:r>
      <w:r>
        <w:rPr>
          <w:rFonts w:hint="eastAsia" w:ascii="宋体" w:hAnsi="宋体" w:eastAsia="宋体" w:cs="宋体"/>
          <w:b/>
          <w:color w:val="auto"/>
          <w:sz w:val="24"/>
          <w:szCs w:val="24"/>
          <w:highlight w:val="none"/>
          <w:lang w:eastAsia="zh-CN"/>
        </w:rPr>
        <w:t>设备技术参数要求</w:t>
      </w:r>
    </w:p>
    <w:p w14:paraId="36AB62B6">
      <w:pPr>
        <w:snapToGrid w:val="0"/>
        <w:spacing w:after="0" w:line="500" w:lineRule="exact"/>
        <w:ind w:firstLine="482" w:firstLineChars="200"/>
        <w:rPr>
          <w:rFonts w:hint="eastAsia" w:ascii="宋体" w:hAnsi="宋体" w:eastAsia="宋体" w:cs="宋体"/>
          <w:b/>
          <w:bCs/>
          <w:color w:val="auto"/>
          <w:sz w:val="24"/>
          <w:szCs w:val="24"/>
          <w:highlight w:val="none"/>
          <w:lang w:eastAsia="zh-CN"/>
        </w:rPr>
      </w:pPr>
      <w:r>
        <w:rPr>
          <w:rStyle w:val="212"/>
          <w:rFonts w:hint="eastAsia" w:ascii="宋体" w:hAnsi="宋体" w:eastAsia="宋体" w:cs="宋体"/>
          <w:b/>
          <w:color w:val="auto"/>
          <w:sz w:val="24"/>
          <w:szCs w:val="24"/>
          <w:highlight w:val="none"/>
          <w:lang w:eastAsia="zh-CN"/>
        </w:rPr>
        <w:t xml:space="preserve"> </w:t>
      </w:r>
      <w:r>
        <w:rPr>
          <w:rFonts w:hint="eastAsia" w:ascii="宋体" w:hAnsi="宋体" w:eastAsia="宋体" w:cs="宋体"/>
          <w:b/>
          <w:bCs/>
          <w:color w:val="auto"/>
          <w:sz w:val="24"/>
          <w:szCs w:val="24"/>
          <w:highlight w:val="none"/>
          <w:lang w:eastAsia="zh-CN"/>
        </w:rPr>
        <w:t>1、</w:t>
      </w:r>
      <w:r>
        <w:rPr>
          <w:rFonts w:hint="eastAsia" w:ascii="宋体" w:hAnsi="宋体" w:eastAsia="宋体" w:cs="宋体"/>
          <w:b/>
          <w:color w:val="auto"/>
          <w:sz w:val="24"/>
          <w:szCs w:val="24"/>
          <w:highlight w:val="none"/>
          <w:lang w:eastAsia="zh-CN"/>
        </w:rPr>
        <w:t>智能警戒摄像机租赁服务</w:t>
      </w:r>
    </w:p>
    <w:p w14:paraId="12BE11DC">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eastAsia="zh-CN"/>
        </w:rPr>
        <w:t>最大分辨率2560x1440@25fps。</w:t>
      </w:r>
    </w:p>
    <w:p w14:paraId="48087664">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★最低照度彩色0.0005lx。（提供权威机构开具的CMA认证的检测报告，检测依据: GA/T 1127-2013安全防范视频监控摄像机通用技术要求，GB/T 38673-2020信息技术大数据 大数据系统基本要求）</w:t>
      </w:r>
    </w:p>
    <w:p w14:paraId="116ABBCF">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lang w:eastAsia="zh-CN"/>
        </w:rPr>
        <w:t>靶面尺寸1/1.8英寸，内置GPU芯片，麦克风，扬声器。</w:t>
      </w:r>
    </w:p>
    <w:p w14:paraId="0A4648D3">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lang w:eastAsia="zh-CN"/>
        </w:rPr>
        <w:t>白光灯开启时，可识别距离设备30m处人体轮廓，白天、夜晚均可输出彩色视频图像。</w:t>
      </w:r>
    </w:p>
    <w:p w14:paraId="2EB0F517">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lang w:eastAsia="zh-CN"/>
        </w:rPr>
        <w:t>同一静止场景相同图像质量下，设备在H.264、H.265编码方式时，开启智能编码功能和不开启智能编码相比，码率节约80%。</w:t>
      </w:r>
    </w:p>
    <w:p w14:paraId="23C992F3">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lang w:eastAsia="zh-CN"/>
        </w:rPr>
        <w:t>★支持智能报警防干扰功能，智能分析行为类型为区域入侵、越界、进入区域、离开区域时，报警检测目标设置为人体或车辆时，光线明暗变化，篮球滚动，狗行走，树摇晃，不触发报警。（提供权威机构开具的CMA认证的检测报告，检测依据: GA/T 1127-2013安全防范视频监控摄像机通用技术要求，GB/T 38673-2020信息技术大数据 大数据系统基本要求）</w:t>
      </w:r>
    </w:p>
    <w:p w14:paraId="15B1C97A">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lang w:eastAsia="zh-CN"/>
        </w:rPr>
        <w:t>★当报警产生时，可触发联动声音报警。报警声音类型不低于 12 种，报警音量和重复次数可设置。（提供权威机构开具的CMA认证的检测报告，检测依据: GA/T 1127-2013安全防范视频监控摄像机通用技术要求，GB/T 38673-2020信息技术大数据 大数据系统基本要求）</w:t>
      </w:r>
    </w:p>
    <w:p w14:paraId="35F8943F">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lang w:eastAsia="zh-CN"/>
        </w:rPr>
        <w:t>★可对出现在监控场景内的两眼瞳距不小于19像素的人脸进行检验，并叠加目标提示框。（提供权威机构开具的CMA认证的检测报告，检测依据: GA/T 1127-2013安全防范视频监控摄像机通用技术要求，GB/T 38673-2020信息技术大数据 大数据系统基本要求）</w:t>
      </w:r>
    </w:p>
    <w:p w14:paraId="14AEADBA">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lang w:eastAsia="zh-CN"/>
        </w:rPr>
        <w:t>★可同时对经过设定检测区域内的不低于10 个行人进行人脸检测、跟踪、评分和抓拍。可筛选和抓拍最佳人脸图片存储及上报中心。抓拍图片数量、大小可设，支持上传全景照。（提供权威机构开具的CMA认证的检测报告，检测依据: GA/T 1127-2013安全防范视频监控摄像机通用技术要求，GB/T 38673-2020信息技术大数据 大数据系统基本要求）</w:t>
      </w:r>
    </w:p>
    <w:p w14:paraId="49D327E4">
      <w:pPr>
        <w:snapToGrid w:val="0"/>
        <w:spacing w:after="0" w:line="500" w:lineRule="exact"/>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2、公安人像识别摄像机租赁服务</w:t>
      </w:r>
    </w:p>
    <w:p w14:paraId="0F1591F7">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lang w:eastAsia="zh-CN"/>
        </w:rPr>
        <w:t>设备内置双镜头，可同时采集2路不同场景的音视频码流。</w:t>
      </w:r>
    </w:p>
    <w:p w14:paraId="52E3FCDA">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lang w:eastAsia="zh-CN"/>
        </w:rPr>
        <w:t>内置2颗靶面尺寸均为1/1.8英寸CMOS图像传感器。</w:t>
      </w:r>
    </w:p>
    <w:p w14:paraId="64DF3ED3">
      <w:pPr>
        <w:snapToGrid w:val="0"/>
        <w:spacing w:after="0"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通道一主码流分辨率不小于2688x1520@25fps，通道二主码流分辨率不小于2688x1520@25fps。</w:t>
      </w:r>
    </w:p>
    <w:p w14:paraId="31ABAAB0">
      <w:pPr>
        <w:snapToGrid w:val="0"/>
        <w:spacing w:after="0"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最低照度彩色不大于0.0002 lx，黑白不大于0.0001 lx。</w:t>
      </w:r>
      <w:r>
        <w:rPr>
          <w:rFonts w:hint="eastAsia" w:ascii="宋体" w:hAnsi="宋体" w:eastAsia="宋体" w:cs="宋体"/>
          <w:color w:val="auto"/>
          <w:sz w:val="24"/>
          <w:szCs w:val="24"/>
          <w:highlight w:val="none"/>
          <w:lang w:eastAsia="zh-CN"/>
        </w:rPr>
        <w:t>（提供权威机构开具的CMA认证的检测报告，检测依据: GA/T 1127-2013安全防范视频监控摄像机通用技术要求，GB/T 38673-2020信息技术大数据 大数据系统基本要求）</w:t>
      </w:r>
    </w:p>
    <w:p w14:paraId="62D7CFAA">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lang w:eastAsia="zh-CN"/>
        </w:rPr>
        <w:t>上镜头支持电动变焦。</w:t>
      </w:r>
    </w:p>
    <w:p w14:paraId="7276521F">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2.6、</w:t>
      </w:r>
      <w:r>
        <w:rPr>
          <w:rFonts w:hint="eastAsia" w:ascii="宋体" w:hAnsi="宋体" w:eastAsia="宋体" w:cs="宋体"/>
          <w:color w:val="auto"/>
          <w:sz w:val="24"/>
          <w:szCs w:val="24"/>
          <w:highlight w:val="none"/>
          <w:lang w:eastAsia="zh-CN"/>
        </w:rPr>
        <w:t>★在分辨率1920x1080 @ 25fps，码流设置为1Mbps时，视频图像传输延时不大于60ms。（提供权威机构开具的CMA认证的检测报告，检测依据: GA/T 1127-2013安全防范视频监控摄像机通用技术要求，GB/T 38673-2020信息技术大数据 大数据系统基本要求）</w:t>
      </w:r>
    </w:p>
    <w:p w14:paraId="45D28D77">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2.7、</w:t>
      </w:r>
      <w:r>
        <w:rPr>
          <w:rFonts w:hint="eastAsia" w:ascii="宋体" w:hAnsi="宋体" w:eastAsia="宋体" w:cs="宋体"/>
          <w:color w:val="auto"/>
          <w:sz w:val="24"/>
          <w:szCs w:val="24"/>
          <w:highlight w:val="none"/>
          <w:lang w:eastAsia="zh-CN"/>
        </w:rPr>
        <w:t>★内置2颗CPU、GPU、NPU三合一芯片。（提供权威机构开具的CMA认证的检测报告，检测依据: GA/T 1127-2013安全防范视频监控摄像机通用技术要求，GB/T 38673-2020信息技术大数据 大数据系统基本要求）</w:t>
      </w:r>
    </w:p>
    <w:p w14:paraId="79FA5145">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2.8、</w:t>
      </w:r>
      <w:r>
        <w:rPr>
          <w:rFonts w:hint="eastAsia" w:ascii="宋体" w:hAnsi="宋体" w:eastAsia="宋体" w:cs="宋体"/>
          <w:color w:val="auto"/>
          <w:sz w:val="24"/>
          <w:szCs w:val="24"/>
          <w:highlight w:val="none"/>
          <w:lang w:eastAsia="zh-CN"/>
        </w:rPr>
        <w:t>★设备具有耀光抑制功能，耀光区域≤1%。（提供权威机构开具的CMA认证的检测报告，检测依据: GA/T 1127-2013安全防范视频监控摄像机通用技术要求，GB/T 38673-2020信息技术大数据 大数据系统基本要求）</w:t>
      </w:r>
    </w:p>
    <w:p w14:paraId="3672460A">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lang w:eastAsia="zh-CN"/>
        </w:rPr>
        <w:t>内置不少于6颗混合补光灯。</w:t>
      </w:r>
    </w:p>
    <w:p w14:paraId="65390EA6">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2.10、</w:t>
      </w:r>
      <w:r>
        <w:rPr>
          <w:rFonts w:hint="eastAsia" w:ascii="宋体" w:hAnsi="宋体" w:eastAsia="宋体" w:cs="宋体"/>
          <w:color w:val="auto"/>
          <w:sz w:val="24"/>
          <w:szCs w:val="24"/>
          <w:highlight w:val="none"/>
          <w:lang w:eastAsia="zh-CN"/>
        </w:rPr>
        <w:t>★支持对镜头前盖玻璃加热，去除玻璃上的冰状和水状附着物。（提供权威机构开具的CMA认证的检测报告，检测依据: GA/T 1127-2013安全防范视频监控摄像机通用技术要求，GB/T 38673-2020信息技术大数据 大数据系统基本要求）</w:t>
      </w:r>
    </w:p>
    <w:p w14:paraId="632D481C">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2.11、</w:t>
      </w:r>
      <w:r>
        <w:rPr>
          <w:rFonts w:hint="eastAsia" w:ascii="宋体" w:hAnsi="宋体" w:eastAsia="宋体" w:cs="宋体"/>
          <w:color w:val="auto"/>
          <w:sz w:val="24"/>
          <w:szCs w:val="24"/>
          <w:highlight w:val="none"/>
          <w:lang w:eastAsia="zh-CN"/>
        </w:rPr>
        <w:t>★外部接线口（含电源输入输出接口、音频输入输出接口、报警输入输出接口、RJ45网络接口、RS485接口）未封闭、破损或截断情况下测试，应符合GB/T 4208-2017中IP68 等级的要求(水下 1m，1h)。（提供权威机构开具的CMA认证的检测报告，检测依据: GA/T 1127-2013安全防范视频监控摄像机通用技术要求，GB/T 38673-2020信息技术大数据 大数据系统基本要求）</w:t>
      </w:r>
    </w:p>
    <w:p w14:paraId="69A9F61E">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2.12、</w:t>
      </w:r>
      <w:r>
        <w:rPr>
          <w:rFonts w:hint="eastAsia" w:ascii="宋体" w:hAnsi="宋体" w:eastAsia="宋体" w:cs="宋体"/>
          <w:color w:val="auto"/>
          <w:sz w:val="24"/>
          <w:szCs w:val="24"/>
          <w:highlight w:val="none"/>
          <w:lang w:eastAsia="zh-CN"/>
        </w:rPr>
        <w:t>内置不少于2个麦克风，1个扬声器，3路报警输入，2路报警输出，2路音频输入，1路音频输出，1个SD卡槽，1个DC12V电压输出接口，支持DC12V或POE供电。</w:t>
      </w:r>
    </w:p>
    <w:p w14:paraId="40B66C68">
      <w:pPr>
        <w:snapToGrid w:val="0"/>
        <w:spacing w:after="0" w:line="500" w:lineRule="exact"/>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3、</w:t>
      </w:r>
      <w:r>
        <w:rPr>
          <w:rFonts w:hint="eastAsia" w:ascii="宋体" w:hAnsi="宋体" w:eastAsia="宋体" w:cs="宋体"/>
          <w:b/>
          <w:color w:val="auto"/>
          <w:sz w:val="24"/>
          <w:szCs w:val="24"/>
          <w:highlight w:val="none"/>
          <w:lang w:eastAsia="zh-CN"/>
        </w:rPr>
        <w:t>出入口车辆抓拍单元租赁服务</w:t>
      </w:r>
    </w:p>
    <w:p w14:paraId="233DCB4F">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lang w:eastAsia="zh-CN"/>
        </w:rPr>
        <w:t>★无人驾驶车辆车牌识别功能检查：支持对无人驾驶的车辆进行车牌识别（提供权威机构开具的CMA认证的检测报告，检测依据: GA/T 1127-2013安全防范视频监控摄像机通用技术要求，GB/T 38673-2020信息技术大数据 大数据系统基本要求）</w:t>
      </w:r>
    </w:p>
    <w:p w14:paraId="316279EE">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lang w:eastAsia="zh-CN"/>
        </w:rPr>
        <w:t>★多边形车道配置检查：车道线支持配置成多边形（提供权威机构开具的CMA认证的检测报告，检测依据: GA/T 1127-2013安全防范视频监控摄像机通用技术要求，GB/T 38673-2020信息技术大数据 大数据系统基本要求）</w:t>
      </w:r>
    </w:p>
    <w:p w14:paraId="03A0BB82">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lang w:eastAsia="zh-CN"/>
        </w:rPr>
        <w:t>自动画线功能检测：支持自动画线功能，可自动识别并画出车道线和抓拍检测线；支持辅助生成车道线和车道线类型，可人工确认并修改；支持辅助生产电警场景配置线和信号灯检测框，可人工确认并修改</w:t>
      </w:r>
    </w:p>
    <w:p w14:paraId="234F632B">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3.4、</w:t>
      </w:r>
      <w:r>
        <w:rPr>
          <w:rFonts w:hint="eastAsia" w:ascii="宋体" w:hAnsi="宋体" w:eastAsia="宋体" w:cs="宋体"/>
          <w:color w:val="auto"/>
          <w:sz w:val="24"/>
          <w:szCs w:val="24"/>
          <w:highlight w:val="none"/>
          <w:lang w:eastAsia="zh-CN"/>
        </w:rPr>
        <w:t>★右转弯压实线检测功能检查：支持车辆右转弯压实线检测并抓拍（提供权威机构开具的CMA认证的检测报告，检测依据: GA/T 1127-2013安全防范视频监控摄像机通用技术要求，GB/T 38673-2020信息技术大数据 大数据系统基本要求）</w:t>
      </w:r>
    </w:p>
    <w:p w14:paraId="54DF5427">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3.5、</w:t>
      </w:r>
      <w:r>
        <w:rPr>
          <w:rFonts w:hint="eastAsia" w:ascii="宋体" w:hAnsi="宋体" w:eastAsia="宋体" w:cs="宋体"/>
          <w:color w:val="auto"/>
          <w:sz w:val="24"/>
          <w:szCs w:val="24"/>
          <w:highlight w:val="none"/>
          <w:lang w:eastAsia="zh-CN"/>
        </w:rPr>
        <w:t>★外接雷达功能检查：支持外接多目标检测雷达，可实现雷达视频融合检测，可输出目标编号、车型和雷达速度、位置等信息（提供权威机构开具的CMA认证的检测报告，检测依据: GA/T 1127-2013安全防范视频监控摄像机通用技术要求，GB/T 38673-2020信息技术大数据 大数据系统基本要求）</w:t>
      </w:r>
    </w:p>
    <w:p w14:paraId="64F5E6A7">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3.6、</w:t>
      </w:r>
      <w:r>
        <w:rPr>
          <w:rFonts w:hint="eastAsia" w:ascii="宋体" w:hAnsi="宋体" w:eastAsia="宋体" w:cs="宋体"/>
          <w:color w:val="auto"/>
          <w:sz w:val="24"/>
          <w:szCs w:val="24"/>
          <w:highlight w:val="none"/>
          <w:lang w:eastAsia="zh-CN"/>
        </w:rPr>
        <w:t>★外接鱼眼相机联动功能检查：支持两台设备（一个卡口、一个电警）和外接鱼眼相机，实现车辆的管控取证和违章变道的取证（支持配合终端服务器输出卡口和电警的抓拍合成图，可配置输出合成鱼眼图）。（提供权威机构开具的CMA认证的检测报告，检测依据: GA/T 1127-2013安全防范视频监控摄像机通用技术要求，GB/T 38673-2020信息技术大数据 大数据系统基本要求）</w:t>
      </w:r>
    </w:p>
    <w:p w14:paraId="57DB1BBA">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3.7、</w:t>
      </w:r>
      <w:r>
        <w:rPr>
          <w:rFonts w:hint="eastAsia" w:ascii="宋体" w:hAnsi="宋体" w:eastAsia="宋体" w:cs="宋体"/>
          <w:color w:val="auto"/>
          <w:sz w:val="24"/>
          <w:szCs w:val="24"/>
          <w:highlight w:val="none"/>
          <w:lang w:eastAsia="zh-CN"/>
        </w:rPr>
        <w:t>★视频和雷达测速试验：支持视频测速功能，视频测速误差不大于5%（车速30km/h~65km/h范围内）。支持外接雷达实现测速，并支持视频测速校正雷达测速结果输出（在雷达未标定情况下）（提供权威机构开具的CMA认证的检测报告，检测依据: GA/T 1127-2013安全防范视频监控摄像机通用技术要求，GB/T 38673-2020信息技术大数据 大数据系统基本要求）</w:t>
      </w:r>
    </w:p>
    <w:p w14:paraId="3B33A5BB">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3.8、</w:t>
      </w:r>
      <w:r>
        <w:rPr>
          <w:rFonts w:hint="eastAsia" w:ascii="宋体" w:hAnsi="宋体" w:eastAsia="宋体" w:cs="宋体"/>
          <w:color w:val="auto"/>
          <w:sz w:val="24"/>
          <w:szCs w:val="24"/>
          <w:highlight w:val="none"/>
          <w:lang w:eastAsia="zh-CN"/>
        </w:rPr>
        <w:t>★车牌识别功能检查 ：支持对25×10 像素～1100×3000 像素的机动车车牌进行抓拍并识别号码； （提供权威机构开具的CMA认证的检测报告，检测依据: GA/T 1127-2013安全防范视频监控摄像机通用技术要求，GB/T 38673-2020信息技术大数据 大数据系统基本要求）</w:t>
      </w:r>
    </w:p>
    <w:p w14:paraId="16415E9A">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3.9、</w:t>
      </w:r>
      <w:r>
        <w:rPr>
          <w:rFonts w:hint="eastAsia" w:ascii="宋体" w:hAnsi="宋体" w:eastAsia="宋体" w:cs="宋体"/>
          <w:color w:val="auto"/>
          <w:sz w:val="24"/>
          <w:szCs w:val="24"/>
          <w:highlight w:val="none"/>
          <w:lang w:eastAsia="zh-CN"/>
        </w:rPr>
        <w:t xml:space="preserve">支持抓拍并识别垂直倾斜角度≤45°、水平倾斜角度≤35°、俯仰角度≤40°的机动车车牌号码。 </w:t>
      </w:r>
    </w:p>
    <w:p w14:paraId="4430C4A2">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3.10、</w:t>
      </w:r>
      <w:r>
        <w:rPr>
          <w:rFonts w:hint="eastAsia" w:ascii="宋体" w:hAnsi="宋体" w:eastAsia="宋体" w:cs="宋体"/>
          <w:color w:val="auto"/>
          <w:sz w:val="24"/>
          <w:szCs w:val="24"/>
          <w:highlight w:val="none"/>
          <w:lang w:eastAsia="zh-CN"/>
        </w:rPr>
        <w:t>★目标跟踪功能检查 ：支持检测并跟踪指定区域内不少于 245 个目标，目标包括机动车、非机动车以及行人。 （提供权威机构开具的CMA认证的检测报告，检测依据: GA/T 1127-2013安全防范视频监控摄像机通用技术要求，GB/T 38673-2020信息技术大数据 大数据系统基本要求）</w:t>
      </w:r>
    </w:p>
    <w:p w14:paraId="713FDD5C">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3.11、</w:t>
      </w:r>
      <w:r>
        <w:rPr>
          <w:rFonts w:hint="eastAsia" w:ascii="宋体" w:hAnsi="宋体" w:eastAsia="宋体" w:cs="宋体"/>
          <w:color w:val="auto"/>
          <w:sz w:val="24"/>
          <w:szCs w:val="24"/>
          <w:highlight w:val="none"/>
          <w:lang w:eastAsia="zh-CN"/>
        </w:rPr>
        <w:t>★司乘人员抓拍性能试验：支持前排人脸检测，并识别主驾驶员的性别、是否戴眼镜结构化属性信息，可在抓拍图上叠加主/副驾驶人脸小图和主驾驶员的结构化属性信息。（提供权威机构开具的CMA认证的检测报告，检测依据: GA/T 1127-2013安全防范视频监控摄像机通用技术要求，GB/T 38673-2020信息技术大数据 大数据系统基本要求）</w:t>
      </w:r>
    </w:p>
    <w:p w14:paraId="50A28264">
      <w:pPr>
        <w:snapToGrid w:val="0"/>
        <w:spacing w:after="0" w:line="500" w:lineRule="exact"/>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、存储图像服务</w:t>
      </w:r>
    </w:p>
    <w:p w14:paraId="19C658D1">
      <w:pPr>
        <w:autoSpaceDE/>
        <w:autoSpaceDN/>
        <w:adjustRightInd w:val="0"/>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lang w:eastAsia="zh-CN"/>
        </w:rPr>
        <w:t>服务器配置：≥2颗64位多核处理器，≥32GB内存，内存支持扩展到≥256GB；支持热插拔1+1AC220V</w:t>
      </w:r>
    </w:p>
    <w:p w14:paraId="3DFC825A">
      <w:pPr>
        <w:autoSpaceDE/>
        <w:autoSpaceDN/>
        <w:adjustRightInd w:val="0"/>
        <w:snapToGrid w:val="0"/>
        <w:spacing w:after="0"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4.2、</w:t>
      </w:r>
      <w:r>
        <w:rPr>
          <w:rFonts w:hint="eastAsia" w:ascii="宋体" w:hAnsi="宋体" w:eastAsia="宋体" w:cs="宋体"/>
          <w:color w:val="auto"/>
          <w:sz w:val="24"/>
          <w:szCs w:val="24"/>
          <w:highlight w:val="none"/>
        </w:rPr>
        <w:t>可接入2T/3T/4T/6T/8T/10T/12T/14T/16T/18T/20T/25T/26T SATA/SAS硬盘；支持NL-SAS 硬盘、HDD硬盘、SSD硬盘、氦气硬盘、空气硬盘；支持 CMR或SMR硬盘；支持硬盘交错/分时启动，节省功耗。</w:t>
      </w:r>
    </w:p>
    <w:p w14:paraId="1B0EA827">
      <w:pPr>
        <w:autoSpaceDE/>
        <w:autoSpaceDN/>
        <w:adjustRightInd w:val="0"/>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4.3、</w:t>
      </w:r>
      <w:r>
        <w:rPr>
          <w:rFonts w:hint="eastAsia" w:ascii="宋体" w:hAnsi="宋体" w:eastAsia="宋体" w:cs="宋体"/>
          <w:color w:val="auto"/>
          <w:sz w:val="24"/>
          <w:szCs w:val="24"/>
          <w:highlight w:val="none"/>
          <w:lang w:eastAsia="zh-CN"/>
        </w:rPr>
        <w:t>支持硬盘热插拔设备在读写数据时，热插拔设备内的任意块硬盘，设备正常运行不宕机，硬盘不损坏，数据不丢失，业务不中断。</w:t>
      </w:r>
    </w:p>
    <w:p w14:paraId="5C79DF97">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4.4、</w:t>
      </w:r>
      <w:r>
        <w:rPr>
          <w:rFonts w:hint="eastAsia" w:ascii="宋体" w:hAnsi="宋体" w:eastAsia="宋体" w:cs="宋体"/>
          <w:color w:val="auto"/>
          <w:sz w:val="24"/>
          <w:szCs w:val="24"/>
          <w:highlight w:val="none"/>
          <w:lang w:eastAsia="zh-CN"/>
        </w:rPr>
        <w:t>★系统支持按照24/36/48等盘位、不同性能、不同CPU架构的存储节点混合组网，当出现磁盘或节点故障时，系统可根据CPU利用率、节点连接数、节点吞吐量、节点综合负载等策略提供最优重构速度，最高重构速度可达4TB/h（提供权威机构开具的CMA认证的检测报告，检测依据: GA/T 1127-2013安全防范视频监控摄像机通用技术要求，GB/T 38673-2020信息技术大数据 大数据系统基本要求）</w:t>
      </w:r>
    </w:p>
    <w:p w14:paraId="6E78B9C5">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4.5、</w:t>
      </w:r>
      <w:r>
        <w:rPr>
          <w:rFonts w:hint="eastAsia" w:ascii="宋体" w:hAnsi="宋体" w:eastAsia="宋体" w:cs="宋体"/>
          <w:color w:val="auto"/>
          <w:sz w:val="24"/>
          <w:szCs w:val="24"/>
          <w:highlight w:val="none"/>
          <w:lang w:eastAsia="zh-CN"/>
        </w:rPr>
        <w:t>★支持存储实时视频、视频片段、图片及伴生的智能结构化数据，支持根据结构化数据的类型检索视频，检索条件包括前端点位ID、时间段、视频目标类型（包含人、机动车、非机动车等）（提供权威机构开具的CMA认证的检测报告，检测依据: GA/T 1127-2013安全防范视频监控摄像机通用技术要求，GB/T 38673-2020信息技术大数据 大数据系统基本要求）</w:t>
      </w:r>
    </w:p>
    <w:p w14:paraId="5C10C760">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4.6、</w:t>
      </w:r>
      <w:r>
        <w:rPr>
          <w:rFonts w:hint="eastAsia" w:ascii="宋体" w:hAnsi="宋体" w:eastAsia="宋体" w:cs="宋体"/>
          <w:color w:val="auto"/>
          <w:sz w:val="24"/>
          <w:szCs w:val="24"/>
          <w:highlight w:val="none"/>
          <w:lang w:eastAsia="zh-CN"/>
        </w:rPr>
        <w:t>★系统支持手动、自动对智能事件关联的多个录像片段设置录像标签。支持标签与其关联的录像片段同生命周期管理；支持通过按标签内容查询、回放、下载录像片段数据；支持对标签关联的录像片段进行锁定、备份（提供权威机构开具的CMA认证的检测报告，检测依据: GA/T 1127-2013安全防范视频监控摄像机通用技术要求，GB/T 38673-2020信息技术大数据 大数据系统基本要求）</w:t>
      </w:r>
    </w:p>
    <w:p w14:paraId="7545C206">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4.7、</w:t>
      </w:r>
      <w:r>
        <w:rPr>
          <w:rFonts w:hint="eastAsia" w:ascii="宋体" w:hAnsi="宋体" w:eastAsia="宋体" w:cs="宋体"/>
          <w:color w:val="auto"/>
          <w:sz w:val="24"/>
          <w:szCs w:val="24"/>
          <w:highlight w:val="none"/>
          <w:lang w:eastAsia="zh-CN"/>
        </w:rPr>
        <w:t>★支持图形化页面对图片数据进行处理，包括图片预览、压缩、裁剪、旋转、缩放、格式转换、马赛克、归一化及打文字水印，并支持通过图形化页面下载处理成功的图片数据（提供权威机构开具的CMA认证的检测报告，检测依据: GA/T 1127-2013安全防范视频监控摄像机通用技术要求，GB/T 38673-2020信息技术大数据 大数据系统基本要求）</w:t>
      </w:r>
    </w:p>
    <w:p w14:paraId="31B33717">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4.8、</w:t>
      </w:r>
      <w:r>
        <w:rPr>
          <w:rFonts w:hint="eastAsia" w:ascii="宋体" w:hAnsi="宋体" w:eastAsia="宋体" w:cs="宋体"/>
          <w:color w:val="auto"/>
          <w:sz w:val="24"/>
          <w:szCs w:val="24"/>
          <w:highlight w:val="none"/>
          <w:lang w:eastAsia="zh-CN"/>
        </w:rPr>
        <w:t>★系统同时提供多副本、Erasure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提供权威机构开具的CMA认证的检测报告，检测依据: GA/T 1127-2013安全防范视频监控摄像机通用技术要求，GB/T 38673-2020信息技术大数据 大数据系统基本要求）</w:t>
      </w:r>
    </w:p>
    <w:p w14:paraId="0670B8EC">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4.9、</w:t>
      </w:r>
      <w:r>
        <w:rPr>
          <w:rFonts w:hint="eastAsia" w:ascii="宋体" w:hAnsi="宋体" w:eastAsia="宋体" w:cs="宋体"/>
          <w:color w:val="auto"/>
          <w:sz w:val="24"/>
          <w:szCs w:val="24"/>
          <w:highlight w:val="none"/>
          <w:lang w:eastAsia="zh-CN"/>
        </w:rPr>
        <w:t>★系统以流直存模式进行录像、图片数据存储。系统中的实时视频流、抓拍图片无需经过任何转发服务器/虚拟机即可实现数据流直存，视频与图片数据直存后可即存即取（提供权威机构开具的CMA认证的检测报告，检测依据: GA/T 1127-2013安全防范视频监控摄像机通用技术要求，GB/T 38673-2020信息技术大数据 大数据系统基本要求）</w:t>
      </w:r>
    </w:p>
    <w:p w14:paraId="58AAAAB9">
      <w:pPr>
        <w:snapToGrid w:val="0"/>
        <w:spacing w:after="0"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4.10、</w:t>
      </w:r>
      <w:r>
        <w:rPr>
          <w:rFonts w:hint="eastAsia" w:ascii="宋体" w:hAnsi="宋体" w:eastAsia="宋体" w:cs="宋体"/>
          <w:color w:val="auto"/>
          <w:sz w:val="24"/>
          <w:szCs w:val="24"/>
          <w:highlight w:val="none"/>
          <w:lang w:eastAsia="zh-CN"/>
        </w:rPr>
        <w:t>★支持延迟踢盘，防止误拔硬盘导致数据破坏（提供权威机构开具的CMA认证的检测报告，检测依据: GA/T 1127-2013安全防范视频监控摄像机通用技术要求，GB/T 38673-2020信息技术大数据 大数据系统基本要求）</w:t>
      </w:r>
    </w:p>
    <w:p w14:paraId="6F38320B">
      <w:pPr>
        <w:snapToGrid w:val="0"/>
        <w:spacing w:after="0" w:line="500" w:lineRule="exact"/>
        <w:ind w:firstLine="480"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4.11、</w:t>
      </w:r>
      <w:r>
        <w:rPr>
          <w:rFonts w:hint="eastAsia" w:ascii="宋体" w:hAnsi="宋体" w:eastAsia="宋体" w:cs="宋体"/>
          <w:color w:val="auto"/>
          <w:sz w:val="24"/>
          <w:szCs w:val="24"/>
          <w:highlight w:val="none"/>
          <w:lang w:eastAsia="zh-CN"/>
        </w:rPr>
        <w:t>★设备可对硬盘进行加密解密；支持录像加密功能，当前端相机不支持加密功能时，支持在数据落盘前进行加密；支持从存储出去的数据均为加密后的数据，下载的录像无法通过普通播放器播放，且使用专用播放器播放时，也必须经过授权才可正常解码播放（提供权威机构开具的CMA认证的检测报告，检测依据: GA/T 1127-2013安全防范视频监控摄像机通用技术要求，GB/T 38673-2020信息技术大数据 大数据系统基本要求）</w:t>
      </w:r>
    </w:p>
    <w:p w14:paraId="67BFE30E">
      <w:pPr>
        <w:pStyle w:val="20"/>
        <w:snapToGrid w:val="0"/>
        <w:spacing w:after="0" w:line="500" w:lineRule="exact"/>
        <w:rPr>
          <w:rFonts w:hint="eastAsia" w:hAnsi="宋体" w:eastAsia="宋体" w:cs="宋体"/>
          <w:b/>
          <w:bCs/>
          <w:color w:val="auto"/>
          <w:sz w:val="24"/>
          <w:szCs w:val="24"/>
          <w:highlight w:val="none"/>
          <w:lang w:eastAsia="zh-CN"/>
        </w:rPr>
      </w:pPr>
      <w:r>
        <w:rPr>
          <w:rFonts w:hint="eastAsia" w:hAnsi="宋体" w:eastAsia="宋体" w:cs="宋体"/>
          <w:b/>
          <w:bCs/>
          <w:color w:val="auto"/>
          <w:sz w:val="24"/>
          <w:szCs w:val="24"/>
          <w:highlight w:val="none"/>
          <w:lang w:eastAsia="zh-CN"/>
        </w:rPr>
        <w:t>注：以上“</w:t>
      </w:r>
      <w:r>
        <w:rPr>
          <w:rFonts w:hint="eastAsia" w:ascii="宋体" w:hAnsi="宋体" w:eastAsia="宋体" w:cs="宋体"/>
          <w:color w:val="auto"/>
          <w:sz w:val="24"/>
          <w:szCs w:val="24"/>
          <w:highlight w:val="none"/>
          <w:lang w:eastAsia="zh-CN"/>
        </w:rPr>
        <w:t>★</w:t>
      </w:r>
      <w:r>
        <w:rPr>
          <w:rFonts w:hint="eastAsia" w:hAnsi="宋体" w:eastAsia="宋体" w:cs="宋体"/>
          <w:color w:val="auto"/>
          <w:sz w:val="24"/>
          <w:szCs w:val="24"/>
          <w:highlight w:val="none"/>
          <w:lang w:eastAsia="zh-CN"/>
        </w:rPr>
        <w:t>”</w:t>
      </w:r>
      <w:r>
        <w:rPr>
          <w:rFonts w:hint="eastAsia" w:hAnsi="宋体" w:eastAsia="宋体" w:cs="宋体"/>
          <w:color w:val="auto"/>
          <w:sz w:val="24"/>
          <w:szCs w:val="24"/>
          <w:highlight w:val="none"/>
          <w:lang w:val="en-US" w:eastAsia="zh-CN"/>
        </w:rPr>
        <w:t>项</w:t>
      </w:r>
      <w:r>
        <w:rPr>
          <w:rFonts w:hint="eastAsia" w:hAnsi="宋体" w:eastAsia="宋体" w:cs="宋体"/>
          <w:b/>
          <w:bCs/>
          <w:color w:val="auto"/>
          <w:sz w:val="24"/>
          <w:szCs w:val="24"/>
          <w:highlight w:val="none"/>
          <w:lang w:eastAsia="zh-CN"/>
        </w:rPr>
        <w:t>技术参数要求项目，应满足" GA/T 1127-2013、安全防范视频监控摄像机通用技术要求，GB/T 38673-2020信息技术大数据 大数据系统基本要求。</w:t>
      </w:r>
    </w:p>
    <w:p w14:paraId="0FA13623">
      <w:pPr>
        <w:pStyle w:val="20"/>
        <w:snapToGrid w:val="0"/>
        <w:spacing w:after="0" w:line="500" w:lineRule="exact"/>
        <w:rPr>
          <w:rFonts w:hint="eastAsia" w:hAnsi="宋体" w:eastAsia="宋体" w:cs="宋体"/>
          <w:b/>
          <w:bCs/>
          <w:color w:val="auto"/>
          <w:sz w:val="24"/>
          <w:szCs w:val="24"/>
          <w:highlight w:val="none"/>
          <w:lang w:eastAsia="zh-CN"/>
        </w:rPr>
      </w:pPr>
      <w:r>
        <w:rPr>
          <w:rFonts w:hint="eastAsia" w:hAnsi="宋体" w:eastAsia="宋体" w:cs="宋体"/>
          <w:b/>
          <w:bCs/>
          <w:color w:val="auto"/>
          <w:sz w:val="24"/>
          <w:szCs w:val="24"/>
          <w:highlight w:val="none"/>
          <w:lang w:eastAsia="zh-CN"/>
        </w:rPr>
        <w:t>2019-2023《公安视频监控视频存储技术要求》”为检测依据，采用CMA认证的第三方检测机构按照国家现行标准要求的检测方式，包括但不限于:</w:t>
      </w:r>
    </w:p>
    <w:p w14:paraId="3FF1EB80">
      <w:pPr>
        <w:pStyle w:val="20"/>
        <w:snapToGrid w:val="0"/>
        <w:spacing w:after="0" w:line="500" w:lineRule="exact"/>
        <w:rPr>
          <w:rFonts w:hint="eastAsia" w:hAnsi="宋体" w:eastAsia="宋体" w:cs="宋体"/>
          <w:bCs/>
          <w:color w:val="auto"/>
          <w:sz w:val="24"/>
          <w:szCs w:val="24"/>
          <w:highlight w:val="none"/>
          <w:lang w:eastAsia="zh-CN"/>
        </w:rPr>
      </w:pPr>
      <w:r>
        <w:rPr>
          <w:rFonts w:hint="eastAsia" w:hAnsi="宋体" w:eastAsia="宋体" w:cs="宋体"/>
          <w:bCs/>
          <w:color w:val="auto"/>
          <w:sz w:val="24"/>
          <w:szCs w:val="24"/>
          <w:highlight w:val="none"/>
          <w:lang w:eastAsia="zh-CN"/>
        </w:rPr>
        <w:t>（1）功能检测：视音频存储业务功能测试，对被测视音频存储添加前端监控设备或模拟设备,并制定存储策略，查看存储策略是否正确；检索录像记录是否正确；查看回放视频图像是否正常；查看下载视频图像是否正常；查看被锁定录像记录状态是否正常；再次检索锁定的录像确认录像是否未被覆盖；解锁锁定的录像查看该录像是否恢复未锁定状态；对被测视音频存储进行虚拟化存储空间的创建、修改、查询、删除操作,检查操作是否正常。</w:t>
      </w:r>
    </w:p>
    <w:p w14:paraId="30A5DDCA">
      <w:pPr>
        <w:pStyle w:val="20"/>
        <w:snapToGrid w:val="0"/>
        <w:spacing w:after="0" w:line="500" w:lineRule="exact"/>
        <w:rPr>
          <w:rFonts w:hint="eastAsia" w:hAnsi="宋体" w:eastAsia="宋体" w:cs="宋体"/>
          <w:bCs/>
          <w:color w:val="auto"/>
          <w:sz w:val="24"/>
          <w:szCs w:val="24"/>
          <w:highlight w:val="none"/>
          <w:lang w:eastAsia="zh-CN"/>
        </w:rPr>
      </w:pPr>
      <w:r>
        <w:rPr>
          <w:rFonts w:hint="eastAsia" w:hAnsi="宋体" w:eastAsia="宋体" w:cs="宋体"/>
          <w:bCs/>
          <w:color w:val="auto"/>
          <w:sz w:val="24"/>
          <w:szCs w:val="24"/>
          <w:highlight w:val="none"/>
          <w:lang w:eastAsia="zh-CN"/>
        </w:rPr>
        <w:t>（2）功能检测：视音频存储资源池功能测试，对正在执行存储业务的视音频存储资源池进行增加硬盘(或其他存储介质)的扩容操作(或增加存储节点的扩容操作),查看业务是否正常;</w:t>
      </w:r>
      <w:r>
        <w:rPr>
          <w:rFonts w:hint="eastAsia" w:hAnsi="宋体" w:eastAsia="宋体" w:cs="宋体"/>
          <w:color w:val="auto"/>
          <w:sz w:val="24"/>
          <w:szCs w:val="24"/>
          <w:highlight w:val="none"/>
          <w:lang w:eastAsia="zh-CN"/>
        </w:rPr>
        <w:t xml:space="preserve"> </w:t>
      </w:r>
      <w:r>
        <w:rPr>
          <w:rFonts w:hint="eastAsia" w:hAnsi="宋体" w:eastAsia="宋体" w:cs="宋体"/>
          <w:bCs/>
          <w:color w:val="auto"/>
          <w:sz w:val="24"/>
          <w:szCs w:val="24"/>
          <w:highlight w:val="none"/>
          <w:lang w:eastAsia="zh-CN"/>
        </w:rPr>
        <w:t>在视音频存储资源池的冗余范围内替换1个或多个测试硬盘(或其他存储介质),模拟硬盘(或其他存储介质)故障,查看数据是否丢失,业务是否正常;</w:t>
      </w:r>
      <w:r>
        <w:rPr>
          <w:rFonts w:hint="eastAsia" w:hAnsi="宋体" w:eastAsia="宋体" w:cs="宋体"/>
          <w:color w:val="auto"/>
          <w:sz w:val="24"/>
          <w:szCs w:val="24"/>
          <w:highlight w:val="none"/>
          <w:lang w:eastAsia="zh-CN"/>
        </w:rPr>
        <w:t xml:space="preserve"> </w:t>
      </w:r>
      <w:r>
        <w:rPr>
          <w:rFonts w:hint="eastAsia" w:hAnsi="宋体" w:eastAsia="宋体" w:cs="宋体"/>
          <w:bCs/>
          <w:color w:val="auto"/>
          <w:sz w:val="24"/>
          <w:szCs w:val="24"/>
          <w:highlight w:val="none"/>
          <w:lang w:eastAsia="zh-CN"/>
        </w:rPr>
        <w:t>对视音频存储资源池的视音频录像进行备份操作,查看备份数据是否正确;</w:t>
      </w:r>
      <w:r>
        <w:rPr>
          <w:rFonts w:hint="eastAsia" w:hAnsi="宋体" w:eastAsia="宋体" w:cs="宋体"/>
          <w:color w:val="auto"/>
          <w:sz w:val="24"/>
          <w:szCs w:val="24"/>
          <w:highlight w:val="none"/>
          <w:lang w:eastAsia="zh-CN"/>
        </w:rPr>
        <w:t xml:space="preserve"> </w:t>
      </w:r>
      <w:r>
        <w:rPr>
          <w:rFonts w:hint="eastAsia" w:hAnsi="宋体" w:eastAsia="宋体" w:cs="宋体"/>
          <w:bCs/>
          <w:color w:val="auto"/>
          <w:sz w:val="24"/>
          <w:szCs w:val="24"/>
          <w:highlight w:val="none"/>
          <w:lang w:eastAsia="zh-CN"/>
        </w:rPr>
        <w:t>对视音频存储资源池分别按容量和时间配置存储空间,查看配置空间是否生效;</w:t>
      </w:r>
      <w:r>
        <w:rPr>
          <w:rFonts w:hint="eastAsia" w:hAnsi="宋体" w:eastAsia="宋体" w:cs="宋体"/>
          <w:color w:val="auto"/>
          <w:sz w:val="24"/>
          <w:szCs w:val="24"/>
          <w:highlight w:val="none"/>
          <w:lang w:eastAsia="zh-CN"/>
        </w:rPr>
        <w:t xml:space="preserve"> </w:t>
      </w:r>
      <w:r>
        <w:rPr>
          <w:rFonts w:hint="eastAsia" w:hAnsi="宋体" w:eastAsia="宋体" w:cs="宋体"/>
          <w:bCs/>
          <w:color w:val="auto"/>
          <w:sz w:val="24"/>
          <w:szCs w:val="24"/>
          <w:highlight w:val="none"/>
          <w:lang w:eastAsia="zh-CN"/>
        </w:rPr>
        <w:t>对视音频存储资源池进行块存储操作、文件存储操作,对象存储操作,查看操作是否正常;</w:t>
      </w:r>
    </w:p>
    <w:p w14:paraId="61E44CB5">
      <w:pPr>
        <w:pStyle w:val="20"/>
        <w:snapToGrid w:val="0"/>
        <w:spacing w:after="0" w:line="500" w:lineRule="exact"/>
        <w:rPr>
          <w:rFonts w:hint="eastAsia" w:hAnsi="宋体" w:eastAsia="宋体" w:cs="宋体"/>
          <w:bCs/>
          <w:color w:val="auto"/>
          <w:sz w:val="24"/>
          <w:szCs w:val="24"/>
          <w:highlight w:val="none"/>
          <w:lang w:eastAsia="zh-CN"/>
        </w:rPr>
      </w:pPr>
      <w:r>
        <w:rPr>
          <w:rFonts w:hint="eastAsia" w:hAnsi="宋体" w:eastAsia="宋体" w:cs="宋体"/>
          <w:bCs/>
          <w:color w:val="auto"/>
          <w:sz w:val="24"/>
          <w:szCs w:val="24"/>
          <w:highlight w:val="none"/>
          <w:lang w:eastAsia="zh-CN"/>
        </w:rPr>
        <w:t>（3）功能检测：视音频存储管理功能测试，对视音频存储进行增加、删除、修改等配置操作,查看配置是否生效;</w:t>
      </w:r>
      <w:r>
        <w:rPr>
          <w:rFonts w:hint="eastAsia" w:hAnsi="宋体" w:eastAsia="宋体" w:cs="宋体"/>
          <w:color w:val="auto"/>
          <w:sz w:val="24"/>
          <w:szCs w:val="24"/>
          <w:highlight w:val="none"/>
          <w:lang w:eastAsia="zh-CN"/>
        </w:rPr>
        <w:t xml:space="preserve"> </w:t>
      </w:r>
      <w:r>
        <w:rPr>
          <w:rFonts w:hint="eastAsia" w:hAnsi="宋体" w:eastAsia="宋体" w:cs="宋体"/>
          <w:bCs/>
          <w:color w:val="auto"/>
          <w:sz w:val="24"/>
          <w:szCs w:val="24"/>
          <w:highlight w:val="none"/>
          <w:lang w:eastAsia="zh-CN"/>
        </w:rPr>
        <w:t>查看系统运行状态和系统资源使用情况;</w:t>
      </w:r>
      <w:r>
        <w:rPr>
          <w:rFonts w:hint="eastAsia" w:hAnsi="宋体" w:eastAsia="宋体" w:cs="宋体"/>
          <w:color w:val="auto"/>
          <w:sz w:val="24"/>
          <w:szCs w:val="24"/>
          <w:highlight w:val="none"/>
          <w:lang w:eastAsia="zh-CN"/>
        </w:rPr>
        <w:t xml:space="preserve"> </w:t>
      </w:r>
      <w:r>
        <w:rPr>
          <w:rFonts w:hint="eastAsia" w:hAnsi="宋体" w:eastAsia="宋体" w:cs="宋体"/>
          <w:bCs/>
          <w:color w:val="auto"/>
          <w:sz w:val="24"/>
          <w:szCs w:val="24"/>
          <w:highlight w:val="none"/>
          <w:lang w:eastAsia="zh-CN"/>
        </w:rPr>
        <w:t>模拟电源、硬盘等硬件或软件异常,查看故障报警提示是否正确;</w:t>
      </w:r>
      <w:r>
        <w:rPr>
          <w:rFonts w:hint="eastAsia" w:hAnsi="宋体" w:eastAsia="宋体" w:cs="宋体"/>
          <w:color w:val="auto"/>
          <w:sz w:val="24"/>
          <w:szCs w:val="24"/>
          <w:highlight w:val="none"/>
          <w:lang w:eastAsia="zh-CN"/>
        </w:rPr>
        <w:t xml:space="preserve"> </w:t>
      </w:r>
      <w:r>
        <w:rPr>
          <w:rFonts w:hint="eastAsia" w:hAnsi="宋体" w:eastAsia="宋体" w:cs="宋体"/>
          <w:bCs/>
          <w:color w:val="auto"/>
          <w:sz w:val="24"/>
          <w:szCs w:val="24"/>
          <w:highlight w:val="none"/>
          <w:lang w:eastAsia="zh-CN"/>
        </w:rPr>
        <w:t>查看系统的日志信息,是否包含用户操作行为、负载状态和故障信息等信息;</w:t>
      </w:r>
    </w:p>
    <w:p w14:paraId="092C4928">
      <w:pPr>
        <w:pStyle w:val="20"/>
        <w:snapToGrid w:val="0"/>
        <w:spacing w:after="0" w:line="500" w:lineRule="exact"/>
        <w:rPr>
          <w:rFonts w:hint="eastAsia" w:hAnsi="宋体" w:eastAsia="宋体" w:cs="宋体"/>
          <w:bCs/>
          <w:color w:val="auto"/>
          <w:sz w:val="24"/>
          <w:szCs w:val="24"/>
          <w:highlight w:val="none"/>
          <w:lang w:eastAsia="zh-CN"/>
        </w:rPr>
      </w:pPr>
      <w:r>
        <w:rPr>
          <w:rFonts w:hint="eastAsia" w:hAnsi="宋体" w:eastAsia="宋体" w:cs="宋体"/>
          <w:bCs/>
          <w:color w:val="auto"/>
          <w:sz w:val="24"/>
          <w:szCs w:val="24"/>
          <w:highlight w:val="none"/>
          <w:lang w:eastAsia="zh-CN"/>
        </w:rPr>
        <w:t>（4）接口检测：根据</w:t>
      </w:r>
      <w:r>
        <w:rPr>
          <w:rFonts w:hint="eastAsia" w:hAnsi="宋体" w:eastAsia="宋体" w:cs="宋体"/>
          <w:b/>
          <w:bCs/>
          <w:color w:val="auto"/>
          <w:sz w:val="24"/>
          <w:szCs w:val="24"/>
          <w:highlight w:val="none"/>
          <w:lang w:eastAsia="zh-CN"/>
        </w:rPr>
        <w:t>GA/T 2019-2023</w:t>
      </w:r>
      <w:r>
        <w:rPr>
          <w:rFonts w:hint="eastAsia" w:hAnsi="宋体" w:eastAsia="宋体" w:cs="宋体"/>
          <w:bCs/>
          <w:color w:val="auto"/>
          <w:sz w:val="24"/>
          <w:szCs w:val="24"/>
          <w:highlight w:val="none"/>
          <w:lang w:eastAsia="zh-CN"/>
        </w:rPr>
        <w:t>的具体测试内容和测试准则，检测各项接口测试项是否符合要求。</w:t>
      </w:r>
    </w:p>
    <w:p w14:paraId="3B38A807">
      <w:pPr>
        <w:pStyle w:val="20"/>
        <w:snapToGrid w:val="0"/>
        <w:spacing w:after="0" w:line="500" w:lineRule="exact"/>
        <w:rPr>
          <w:rFonts w:hint="eastAsia" w:hAnsi="宋体" w:eastAsia="宋体" w:cs="宋体"/>
          <w:bCs/>
          <w:color w:val="auto"/>
          <w:sz w:val="24"/>
          <w:szCs w:val="24"/>
          <w:highlight w:val="none"/>
          <w:lang w:eastAsia="zh-CN"/>
        </w:rPr>
      </w:pPr>
      <w:r>
        <w:rPr>
          <w:rFonts w:hint="eastAsia" w:hAnsi="宋体" w:eastAsia="宋体" w:cs="宋体"/>
          <w:bCs/>
          <w:color w:val="auto"/>
          <w:sz w:val="24"/>
          <w:szCs w:val="24"/>
          <w:highlight w:val="none"/>
          <w:lang w:eastAsia="zh-CN"/>
        </w:rPr>
        <w:t>（5）数据安全检测：根据</w:t>
      </w:r>
      <w:r>
        <w:rPr>
          <w:rFonts w:hint="eastAsia" w:hAnsi="宋体" w:eastAsia="宋体" w:cs="宋体"/>
          <w:b/>
          <w:bCs/>
          <w:color w:val="auto"/>
          <w:sz w:val="24"/>
          <w:szCs w:val="24"/>
          <w:highlight w:val="none"/>
          <w:lang w:eastAsia="zh-CN"/>
        </w:rPr>
        <w:t>GA/T 2019-2023</w:t>
      </w:r>
      <w:r>
        <w:rPr>
          <w:rFonts w:hint="eastAsia" w:hAnsi="宋体" w:eastAsia="宋体" w:cs="宋体"/>
          <w:bCs/>
          <w:color w:val="auto"/>
          <w:sz w:val="24"/>
          <w:szCs w:val="24"/>
          <w:highlight w:val="none"/>
          <w:lang w:eastAsia="zh-CN"/>
        </w:rPr>
        <w:t>检查被测视音频存储是否采用规定的数据安全加密算法;</w:t>
      </w:r>
      <w:r>
        <w:rPr>
          <w:rFonts w:hint="eastAsia" w:hAnsi="宋体" w:eastAsia="宋体" w:cs="宋体"/>
          <w:color w:val="auto"/>
          <w:sz w:val="24"/>
          <w:szCs w:val="24"/>
          <w:highlight w:val="none"/>
          <w:lang w:eastAsia="zh-CN"/>
        </w:rPr>
        <w:t xml:space="preserve"> </w:t>
      </w:r>
      <w:r>
        <w:rPr>
          <w:rFonts w:hint="eastAsia" w:hAnsi="宋体" w:eastAsia="宋体" w:cs="宋体"/>
          <w:bCs/>
          <w:color w:val="auto"/>
          <w:sz w:val="24"/>
          <w:szCs w:val="24"/>
          <w:highlight w:val="none"/>
          <w:lang w:eastAsia="zh-CN"/>
        </w:rPr>
        <w:t>模拟被测视音频存储的硬件损坏或文件系统损坏,检查被测视音频存储是否具有数据不完整)性记录。进行数据恢复操作,检查是否具备数据恢复机制;</w:t>
      </w:r>
    </w:p>
    <w:p w14:paraId="0778F785">
      <w:pPr>
        <w:pStyle w:val="20"/>
        <w:snapToGrid/>
        <w:spacing w:after="0" w:line="500" w:lineRule="exact"/>
        <w:ind w:firstLine="482" w:firstLineChars="200"/>
        <w:textAlignment w:val="auto"/>
        <w:rPr>
          <w:rFonts w:hint="eastAsia" w:hAnsi="宋体" w:eastAsia="宋体" w:cs="宋体"/>
          <w:bCs/>
          <w:color w:val="auto"/>
          <w:sz w:val="24"/>
          <w:szCs w:val="24"/>
          <w:highlight w:val="none"/>
          <w:lang w:eastAsia="zh-CN"/>
        </w:rPr>
      </w:pPr>
      <w:r>
        <w:rPr>
          <w:rFonts w:hint="eastAsia" w:hAnsi="宋体" w:eastAsia="宋体" w:cs="宋体"/>
          <w:b/>
          <w:bCs/>
          <w:sz w:val="24"/>
          <w:szCs w:val="24"/>
          <w:highlight w:val="none"/>
          <w:lang w:eastAsia="zh-CN"/>
        </w:rPr>
        <w:t>提供检测结果为“达标”或“符合要求”的报告为佐证。</w:t>
      </w:r>
    </w:p>
    <w:p w14:paraId="1243F1DB">
      <w:pPr>
        <w:pStyle w:val="198"/>
        <w:numPr>
          <w:ilvl w:val="0"/>
          <w:numId w:val="2"/>
        </w:numPr>
        <w:snapToGrid w:val="0"/>
        <w:spacing w:line="50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一般技术服务要求</w:t>
      </w:r>
    </w:p>
    <w:p w14:paraId="27D7F2A9">
      <w:pPr>
        <w:snapToGrid w:val="0"/>
        <w:spacing w:after="0" w:line="500" w:lineRule="exact"/>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1为保证项目质量，提供服务设备的稳定运行，投标单位选用产品应至少能满足具备较高的设备成熟度和行业认可程度，且不得低于技术要求，否则直接影响其评标结果。评标小组针对投标单位提供的服务产品情况有权认定其是否实质性响应招标文件要求。</w:t>
      </w:r>
    </w:p>
    <w:p w14:paraId="0BB69129">
      <w:pPr>
        <w:snapToGrid w:val="0"/>
        <w:spacing w:after="0" w:line="500" w:lineRule="exact"/>
        <w:ind w:firstLine="482"/>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所有设备、附（配）件应具备该类产品的功能要求，无瑕疵和缺陷，质量为合格产品，同时有明确的生产厂商或制造厂商；投标单位明确提供设备的品牌、型号、规格和外形、尺寸、安装、重量及一些必须说明的技术参数，以及使用的材料的清单，同时明确生产厂家、型号规格等，并提供详细的技术参数及性能说明书。</w:t>
      </w:r>
    </w:p>
    <w:p w14:paraId="75DF6B58">
      <w:pPr>
        <w:pStyle w:val="198"/>
        <w:spacing w:line="500" w:lineRule="exact"/>
        <w:outlineLvl w:val="1"/>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四、商务条款</w:t>
      </w:r>
    </w:p>
    <w:p w14:paraId="1F73851F">
      <w:pPr>
        <w:pStyle w:val="198"/>
        <w:spacing w:line="500" w:lineRule="exact"/>
        <w:outlineLvl w:val="1"/>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（一）项目实施要求</w:t>
      </w:r>
    </w:p>
    <w:p w14:paraId="0BCCD5A6">
      <w:pPr>
        <w:pStyle w:val="198"/>
        <w:spacing w:line="500" w:lineRule="exact"/>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1、实施组织和人员要求</w:t>
      </w:r>
    </w:p>
    <w:p w14:paraId="60FCE501">
      <w:pPr>
        <w:pStyle w:val="198"/>
        <w:spacing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（1）项目人员配备及岗位职责：</w:t>
      </w:r>
    </w:p>
    <w:tbl>
      <w:tblPr>
        <w:tblStyle w:val="229"/>
        <w:tblW w:w="517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88"/>
        <w:gridCol w:w="884"/>
        <w:gridCol w:w="711"/>
        <w:gridCol w:w="7412"/>
      </w:tblGrid>
      <w:tr w14:paraId="0B042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4" w:hRule="atLeast"/>
          <w:jc w:val="center"/>
        </w:trPr>
        <w:tc>
          <w:tcPr>
            <w:tcW w:w="658" w:type="dxa"/>
            <w:tcBorders>
              <w:top w:val="single" w:color="000000" w:sz="4" w:space="0"/>
              <w:left w:val="single" w:color="000000" w:sz="4" w:space="0"/>
              <w:bottom w:val="single" w:color="000000" w:sz="4" w:space="0"/>
              <w:right w:val="single" w:color="000000" w:sz="4" w:space="0"/>
            </w:tcBorders>
            <w:noWrap w:val="0"/>
            <w:vAlign w:val="center"/>
          </w:tcPr>
          <w:p w14:paraId="354AC435">
            <w:pPr>
              <w:pStyle w:val="228"/>
              <w:keepNext w:val="0"/>
              <w:keepLines w:val="0"/>
              <w:pageBreakBefore w:val="0"/>
              <w:tabs>
                <w:tab w:val="decimal" w:pos="0"/>
              </w:tabs>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pacing w:val="6"/>
                <w:sz w:val="24"/>
                <w:szCs w:val="24"/>
                <w:highlight w:val="none"/>
              </w:rPr>
              <w:t>序号</w:t>
            </w: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4B9A4CC1">
            <w:pPr>
              <w:pStyle w:val="228"/>
              <w:keepNext w:val="0"/>
              <w:keepLines w:val="0"/>
              <w:pageBreakBefore w:val="0"/>
              <w:tabs>
                <w:tab w:val="decimal" w:pos="0"/>
              </w:tabs>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pacing w:val="4"/>
                <w:sz w:val="24"/>
                <w:szCs w:val="24"/>
                <w:highlight w:val="none"/>
              </w:rPr>
              <w:t>岗位</w:t>
            </w:r>
          </w:p>
        </w:tc>
        <w:tc>
          <w:tcPr>
            <w:tcW w:w="680" w:type="dxa"/>
            <w:tcBorders>
              <w:top w:val="single" w:color="000000" w:sz="4" w:space="0"/>
              <w:left w:val="single" w:color="000000" w:sz="4" w:space="0"/>
              <w:bottom w:val="single" w:color="000000" w:sz="4" w:space="0"/>
              <w:right w:val="single" w:color="000000" w:sz="4" w:space="0"/>
            </w:tcBorders>
            <w:noWrap w:val="0"/>
            <w:vAlign w:val="center"/>
          </w:tcPr>
          <w:p w14:paraId="2C2E8739">
            <w:pPr>
              <w:pStyle w:val="228"/>
              <w:keepNext w:val="0"/>
              <w:keepLines w:val="0"/>
              <w:pageBreakBefore w:val="0"/>
              <w:tabs>
                <w:tab w:val="decimal" w:pos="0"/>
              </w:tabs>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pacing w:val="2"/>
                <w:sz w:val="24"/>
                <w:szCs w:val="24"/>
                <w:highlight w:val="none"/>
              </w:rPr>
              <w:t>人数下限</w:t>
            </w:r>
          </w:p>
        </w:tc>
        <w:tc>
          <w:tcPr>
            <w:tcW w:w="7085" w:type="dxa"/>
            <w:tcBorders>
              <w:top w:val="single" w:color="000000" w:sz="4" w:space="0"/>
              <w:left w:val="single" w:color="000000" w:sz="4" w:space="0"/>
              <w:bottom w:val="single" w:color="000000" w:sz="4" w:space="0"/>
              <w:right w:val="single" w:color="000000" w:sz="4" w:space="0"/>
            </w:tcBorders>
            <w:noWrap w:val="0"/>
            <w:vAlign w:val="center"/>
          </w:tcPr>
          <w:p w14:paraId="614FC039">
            <w:pPr>
              <w:pStyle w:val="228"/>
              <w:keepNext w:val="0"/>
              <w:keepLines w:val="0"/>
              <w:pageBreakBefore w:val="0"/>
              <w:tabs>
                <w:tab w:val="decimal" w:pos="0"/>
              </w:tabs>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pacing w:val="-2"/>
                <w:sz w:val="24"/>
                <w:szCs w:val="24"/>
                <w:highlight w:val="none"/>
              </w:rPr>
              <w:t>基本要求</w:t>
            </w:r>
          </w:p>
        </w:tc>
      </w:tr>
      <w:tr w14:paraId="5C6E0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0" w:hRule="atLeast"/>
          <w:jc w:val="center"/>
        </w:trPr>
        <w:tc>
          <w:tcPr>
            <w:tcW w:w="658" w:type="dxa"/>
            <w:tcBorders>
              <w:top w:val="single" w:color="000000" w:sz="4" w:space="0"/>
              <w:left w:val="single" w:color="000000" w:sz="4" w:space="0"/>
              <w:bottom w:val="single" w:color="000000" w:sz="4" w:space="0"/>
              <w:right w:val="single" w:color="000000" w:sz="4" w:space="0"/>
            </w:tcBorders>
            <w:noWrap w:val="0"/>
            <w:vAlign w:val="center"/>
          </w:tcPr>
          <w:p w14:paraId="62ADD138">
            <w:pPr>
              <w:pStyle w:val="228"/>
              <w:keepNext w:val="0"/>
              <w:keepLines w:val="0"/>
              <w:pageBreakBefore w:val="0"/>
              <w:tabs>
                <w:tab w:val="decimal" w:pos="0"/>
              </w:tabs>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23FD7037">
            <w:pPr>
              <w:pStyle w:val="228"/>
              <w:keepNext w:val="0"/>
              <w:keepLines w:val="0"/>
              <w:pageBreakBefore w:val="0"/>
              <w:tabs>
                <w:tab w:val="decimal" w:pos="0"/>
              </w:tabs>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项目经理</w:t>
            </w:r>
          </w:p>
        </w:tc>
        <w:tc>
          <w:tcPr>
            <w:tcW w:w="680" w:type="dxa"/>
            <w:tcBorders>
              <w:top w:val="single" w:color="000000" w:sz="4" w:space="0"/>
              <w:left w:val="single" w:color="000000" w:sz="4" w:space="0"/>
              <w:bottom w:val="single" w:color="000000" w:sz="4" w:space="0"/>
              <w:right w:val="single" w:color="000000" w:sz="4" w:space="0"/>
            </w:tcBorders>
            <w:noWrap w:val="0"/>
            <w:vAlign w:val="center"/>
          </w:tcPr>
          <w:p w14:paraId="7483A05A">
            <w:pPr>
              <w:pStyle w:val="228"/>
              <w:keepNext w:val="0"/>
              <w:keepLines w:val="0"/>
              <w:pageBreakBefore w:val="0"/>
              <w:tabs>
                <w:tab w:val="decimal" w:pos="0"/>
              </w:tabs>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7085" w:type="dxa"/>
            <w:tcBorders>
              <w:top w:val="single" w:color="000000" w:sz="4" w:space="0"/>
              <w:left w:val="single" w:color="000000" w:sz="4" w:space="0"/>
              <w:bottom w:val="single" w:color="000000" w:sz="4" w:space="0"/>
              <w:right w:val="single" w:color="000000" w:sz="4" w:space="0"/>
            </w:tcBorders>
            <w:noWrap w:val="0"/>
            <w:vAlign w:val="center"/>
          </w:tcPr>
          <w:p w14:paraId="09DB5192">
            <w:pPr>
              <w:keepNext w:val="0"/>
              <w:keepLines w:val="0"/>
              <w:pageBreakBefore w:val="0"/>
              <w:widowControl w:val="0"/>
              <w:kinsoku/>
              <w:wordWrap/>
              <w:overflowPunct/>
              <w:topLinePunct w:val="0"/>
              <w:autoSpaceDE/>
              <w:autoSpaceDN/>
              <w:bidi w:val="0"/>
              <w:adjustRightInd w:val="0"/>
              <w:snapToGrid w:val="0"/>
              <w:spacing w:after="0" w:line="240" w:lineRule="auto"/>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中标人应为服务人员缴纳社保。要求经验丰富的复合型专业人员作为整个项目团队的领导者。主要负责对项目实行质量、安全、进度、管理的责任保证体系和全面提高项目管理水平。负责处理所有事务性质的工作，定义项目目标和范围、制定项目计划、分配任务和资源、监督项目执行、控制项目成本、管理项目风险、沟通和报告。</w:t>
            </w:r>
          </w:p>
        </w:tc>
      </w:tr>
      <w:tr w14:paraId="09455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4" w:hRule="atLeast"/>
          <w:jc w:val="center"/>
        </w:trPr>
        <w:tc>
          <w:tcPr>
            <w:tcW w:w="658" w:type="dxa"/>
            <w:tcBorders>
              <w:top w:val="single" w:color="000000" w:sz="4" w:space="0"/>
              <w:left w:val="single" w:color="000000" w:sz="4" w:space="0"/>
              <w:bottom w:val="single" w:color="000000" w:sz="4" w:space="0"/>
              <w:right w:val="single" w:color="000000" w:sz="4" w:space="0"/>
            </w:tcBorders>
            <w:noWrap w:val="0"/>
            <w:vAlign w:val="center"/>
          </w:tcPr>
          <w:p w14:paraId="6951A657">
            <w:pPr>
              <w:pStyle w:val="228"/>
              <w:keepNext w:val="0"/>
              <w:keepLines w:val="0"/>
              <w:pageBreakBefore w:val="0"/>
              <w:tabs>
                <w:tab w:val="decimal" w:pos="0"/>
              </w:tabs>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688D039">
            <w:pPr>
              <w:pStyle w:val="228"/>
              <w:keepNext w:val="0"/>
              <w:keepLines w:val="0"/>
              <w:pageBreakBefore w:val="0"/>
              <w:tabs>
                <w:tab w:val="decimal" w:pos="0"/>
              </w:tabs>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项目技术负责人</w:t>
            </w:r>
          </w:p>
        </w:tc>
        <w:tc>
          <w:tcPr>
            <w:tcW w:w="680" w:type="dxa"/>
            <w:tcBorders>
              <w:top w:val="single" w:color="000000" w:sz="4" w:space="0"/>
              <w:left w:val="single" w:color="000000" w:sz="4" w:space="0"/>
              <w:bottom w:val="single" w:color="000000" w:sz="4" w:space="0"/>
              <w:right w:val="single" w:color="000000" w:sz="4" w:space="0"/>
            </w:tcBorders>
            <w:noWrap w:val="0"/>
            <w:vAlign w:val="center"/>
          </w:tcPr>
          <w:p w14:paraId="456B1587">
            <w:pPr>
              <w:pStyle w:val="228"/>
              <w:keepNext w:val="0"/>
              <w:keepLines w:val="0"/>
              <w:pageBreakBefore w:val="0"/>
              <w:tabs>
                <w:tab w:val="decimal" w:pos="0"/>
              </w:tabs>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7085" w:type="dxa"/>
            <w:tcBorders>
              <w:top w:val="single" w:color="000000" w:sz="4" w:space="0"/>
              <w:left w:val="single" w:color="000000" w:sz="4" w:space="0"/>
              <w:bottom w:val="single" w:color="000000" w:sz="4" w:space="0"/>
              <w:right w:val="single" w:color="000000" w:sz="4" w:space="0"/>
            </w:tcBorders>
            <w:noWrap w:val="0"/>
            <w:vAlign w:val="center"/>
          </w:tcPr>
          <w:p w14:paraId="6CD3C24B">
            <w:pPr>
              <w:keepNext w:val="0"/>
              <w:keepLines w:val="0"/>
              <w:pageBreakBefore w:val="0"/>
              <w:widowControl w:val="0"/>
              <w:kinsoku/>
              <w:wordWrap/>
              <w:overflowPunct/>
              <w:topLinePunct w:val="0"/>
              <w:autoSpaceDE/>
              <w:autoSpaceDN/>
              <w:bidi w:val="0"/>
              <w:adjustRightInd w:val="0"/>
              <w:snapToGrid w:val="0"/>
              <w:spacing w:after="0" w:line="240" w:lineRule="auto"/>
              <w:jc w:val="both"/>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bidi="ar"/>
              </w:rPr>
              <w:t>中标人应为服务人员缴纳社保。要求经验丰富的复合型专业人员，协助项目负责人开展各项工作，全面负责处理技术问题。负责组织项目组织自检，参加验收。牵头技术部分，主要负责项目配套软件的实施与联调指导、集成系统分析、项目整体管理、弱电实施等工作。</w:t>
            </w:r>
          </w:p>
        </w:tc>
      </w:tr>
      <w:tr w14:paraId="1FAF2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0" w:hRule="atLeast"/>
          <w:jc w:val="center"/>
        </w:trPr>
        <w:tc>
          <w:tcPr>
            <w:tcW w:w="658" w:type="dxa"/>
            <w:tcBorders>
              <w:top w:val="single" w:color="000000" w:sz="4" w:space="0"/>
              <w:left w:val="single" w:color="000000" w:sz="4" w:space="0"/>
              <w:bottom w:val="single" w:color="000000" w:sz="4" w:space="0"/>
              <w:right w:val="single" w:color="000000" w:sz="4" w:space="0"/>
            </w:tcBorders>
            <w:noWrap w:val="0"/>
            <w:vAlign w:val="center"/>
          </w:tcPr>
          <w:p w14:paraId="036D4E81">
            <w:pPr>
              <w:pStyle w:val="228"/>
              <w:keepNext w:val="0"/>
              <w:keepLines w:val="0"/>
              <w:pageBreakBefore w:val="0"/>
              <w:tabs>
                <w:tab w:val="decimal" w:pos="0"/>
              </w:tabs>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w:t>
            </w: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6646A606">
            <w:pPr>
              <w:pStyle w:val="228"/>
              <w:keepNext w:val="0"/>
              <w:keepLines w:val="0"/>
              <w:pageBreakBefore w:val="0"/>
              <w:tabs>
                <w:tab w:val="decimal" w:pos="0"/>
              </w:tabs>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项目维护负责人</w:t>
            </w:r>
          </w:p>
        </w:tc>
        <w:tc>
          <w:tcPr>
            <w:tcW w:w="680" w:type="dxa"/>
            <w:tcBorders>
              <w:top w:val="single" w:color="000000" w:sz="4" w:space="0"/>
              <w:left w:val="single" w:color="000000" w:sz="4" w:space="0"/>
              <w:bottom w:val="single" w:color="000000" w:sz="4" w:space="0"/>
              <w:right w:val="single" w:color="000000" w:sz="4" w:space="0"/>
            </w:tcBorders>
            <w:noWrap w:val="0"/>
            <w:vAlign w:val="center"/>
          </w:tcPr>
          <w:p w14:paraId="07DCCB14">
            <w:pPr>
              <w:pStyle w:val="228"/>
              <w:keepNext w:val="0"/>
              <w:keepLines w:val="0"/>
              <w:pageBreakBefore w:val="0"/>
              <w:tabs>
                <w:tab w:val="decimal" w:pos="0"/>
              </w:tabs>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w:t>
            </w:r>
          </w:p>
        </w:tc>
        <w:tc>
          <w:tcPr>
            <w:tcW w:w="7085" w:type="dxa"/>
            <w:tcBorders>
              <w:top w:val="single" w:color="000000" w:sz="4" w:space="0"/>
              <w:left w:val="single" w:color="000000" w:sz="4" w:space="0"/>
              <w:bottom w:val="single" w:color="000000" w:sz="4" w:space="0"/>
              <w:right w:val="single" w:color="000000" w:sz="4" w:space="0"/>
            </w:tcBorders>
            <w:noWrap w:val="0"/>
            <w:vAlign w:val="center"/>
          </w:tcPr>
          <w:p w14:paraId="5816D947">
            <w:pPr>
              <w:keepNext w:val="0"/>
              <w:keepLines w:val="0"/>
              <w:pageBreakBefore w:val="0"/>
              <w:widowControl w:val="0"/>
              <w:kinsoku/>
              <w:wordWrap/>
              <w:overflowPunct/>
              <w:topLinePunct w:val="0"/>
              <w:autoSpaceDE/>
              <w:autoSpaceDN/>
              <w:bidi w:val="0"/>
              <w:adjustRightInd w:val="0"/>
              <w:snapToGrid w:val="0"/>
              <w:spacing w:after="0" w:line="240" w:lineRule="auto"/>
              <w:jc w:val="both"/>
              <w:textAlignment w:val="auto"/>
              <w:rPr>
                <w:rFonts w:hint="eastAsia" w:ascii="宋体" w:hAnsi="宋体" w:eastAsia="宋体" w:cs="宋体"/>
                <w:bCs/>
                <w:color w:val="auto"/>
                <w:sz w:val="24"/>
                <w:szCs w:val="24"/>
                <w:highlight w:val="none"/>
                <w:lang w:eastAsia="zh-CN" w:bidi="ar"/>
              </w:rPr>
            </w:pPr>
            <w:r>
              <w:rPr>
                <w:rFonts w:hint="eastAsia" w:ascii="宋体" w:hAnsi="宋体" w:eastAsia="宋体" w:cs="宋体"/>
                <w:bCs/>
                <w:color w:val="auto"/>
                <w:sz w:val="24"/>
                <w:szCs w:val="24"/>
                <w:highlight w:val="none"/>
                <w:lang w:eastAsia="zh-CN" w:bidi="ar"/>
              </w:rPr>
              <w:t>中标人应为服务人员缴纳社保。在项目负责人、技术负责人的领导下，完成项目维护工作，确保项目安全顺利进行。具有较好的沟通能力和一定的学历文化水平。</w:t>
            </w:r>
          </w:p>
        </w:tc>
      </w:tr>
    </w:tbl>
    <w:p w14:paraId="59B74527">
      <w:pPr>
        <w:pStyle w:val="198"/>
        <w:spacing w:line="500" w:lineRule="exact"/>
        <w:rPr>
          <w:rFonts w:ascii="Times New Roman" w:hAnsi="Times New Roman" w:eastAsia="宋体"/>
          <w:b/>
          <w:bCs/>
          <w:color w:val="auto"/>
          <w:sz w:val="24"/>
          <w:szCs w:val="24"/>
          <w:highlight w:val="none"/>
          <w:lang w:eastAsia="zh-CN"/>
        </w:rPr>
      </w:pPr>
    </w:p>
    <w:p w14:paraId="7DE3410F">
      <w:pPr>
        <w:pStyle w:val="198"/>
        <w:spacing w:beforeLines="0" w:line="500" w:lineRule="exact"/>
        <w:rPr>
          <w:rFonts w:ascii="Times New Roman" w:hAnsi="Times New Roman" w:eastAsia="宋体"/>
          <w:color w:val="auto"/>
          <w:sz w:val="24"/>
          <w:szCs w:val="24"/>
          <w:highlight w:val="none"/>
          <w:lang w:eastAsia="zh-CN"/>
        </w:rPr>
      </w:pPr>
      <w:r>
        <w:rPr>
          <w:rFonts w:ascii="Times New Roman" w:hAnsi="Times New Roman" w:eastAsia="宋体"/>
          <w:b/>
          <w:bCs/>
          <w:color w:val="auto"/>
          <w:sz w:val="24"/>
          <w:szCs w:val="24"/>
          <w:highlight w:val="none"/>
          <w:lang w:eastAsia="zh-CN"/>
        </w:rPr>
        <w:t>（二）</w:t>
      </w:r>
      <w:r>
        <w:rPr>
          <w:rFonts w:hint="eastAsia" w:ascii="Times New Roman" w:hAnsi="Times New Roman" w:eastAsia="宋体"/>
          <w:b/>
          <w:bCs/>
          <w:color w:val="auto"/>
          <w:sz w:val="24"/>
          <w:szCs w:val="24"/>
          <w:highlight w:val="none"/>
          <w:lang w:eastAsia="zh-CN"/>
        </w:rPr>
        <w:t>服务期限</w:t>
      </w:r>
    </w:p>
    <w:p w14:paraId="747A37FE">
      <w:pPr>
        <w:pStyle w:val="198"/>
        <w:spacing w:beforeLines="0" w:line="500" w:lineRule="exact"/>
        <w:ind w:firstLine="480" w:firstLineChars="20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自合同签订生效后</w:t>
      </w:r>
      <w:r>
        <w:rPr>
          <w:rFonts w:hint="eastAsia" w:ascii="宋体" w:hAnsi="宋体" w:eastAsia="宋体" w:cs="宋体"/>
          <w:color w:val="auto"/>
          <w:sz w:val="24"/>
          <w:szCs w:val="24"/>
          <w:highlight w:val="none"/>
          <w:lang w:val="en-US" w:eastAsia="zh-CN"/>
        </w:rPr>
        <w:t>60</w:t>
      </w:r>
      <w:r>
        <w:rPr>
          <w:rFonts w:ascii="宋体" w:hAnsi="宋体" w:eastAsia="宋体" w:cs="宋体"/>
          <w:color w:val="auto"/>
          <w:sz w:val="24"/>
          <w:szCs w:val="24"/>
          <w:highlight w:val="none"/>
          <w:lang w:eastAsia="zh-CN"/>
        </w:rPr>
        <w:t>天内完成全部监控系统的安装调试、光纤接入、无故障运行且经采购人验收合格后交付服务。本项目采取“一次招标三年沿用”的办法，合同履行期共38个月，其中前两个月为安装及试运营阶段。从第三个月开始，每12个月作为一个服务期，共三个服务期，第一和第二个服务期满后，采购人根据相关政策、项目规划、以及中标人服务质量（具体考核办法详见采购文件“附件”）综合考虑是否由中标人继续履行下一个服务期；如合同继续履行的，中标单价不予调整；如一个服务期满但采购人未获得预算批复或需求取消或采购项目出现其他不可抗力因素，则经采购人提前书面通知中标人后，采购项目终止，不再顺延。</w:t>
      </w:r>
    </w:p>
    <w:p w14:paraId="16DFC8CE">
      <w:pPr>
        <w:pStyle w:val="230"/>
        <w:adjustRightInd w:val="0"/>
        <w:snapToGrid w:val="0"/>
        <w:spacing w:before="0" w:beforeLines="0" w:after="0" w:line="500" w:lineRule="exact"/>
        <w:jc w:val="both"/>
        <w:rPr>
          <w:rFonts w:cs="宋体"/>
          <w:b/>
          <w:bCs/>
          <w:color w:val="auto"/>
          <w:highlight w:val="none"/>
          <w:lang w:eastAsia="zh-CN"/>
        </w:rPr>
      </w:pPr>
      <w:r>
        <w:rPr>
          <w:rFonts w:hint="eastAsia" w:cs="宋体"/>
          <w:b/>
          <w:bCs/>
          <w:color w:val="auto"/>
          <w:highlight w:val="none"/>
          <w:lang w:eastAsia="zh-CN"/>
        </w:rPr>
        <w:t>（三）服务方案要求</w:t>
      </w:r>
    </w:p>
    <w:p w14:paraId="2683C7BC">
      <w:pPr>
        <w:numPr>
          <w:ilvl w:val="1"/>
          <w:numId w:val="0"/>
        </w:numPr>
        <w:adjustRightInd w:val="0"/>
        <w:snapToGrid w:val="0"/>
        <w:spacing w:beforeLines="0" w:after="0" w:line="500" w:lineRule="exact"/>
        <w:ind w:firstLine="482" w:firstLineChars="200"/>
        <w:rPr>
          <w:rFonts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项目实施方案</w:t>
      </w:r>
      <w:r>
        <w:rPr>
          <w:rFonts w:hint="eastAsia" w:ascii="宋体" w:hAnsi="宋体" w:eastAsia="宋体" w:cs="宋体"/>
          <w:b/>
          <w:bCs/>
          <w:color w:val="auto"/>
          <w:sz w:val="24"/>
          <w:szCs w:val="24"/>
          <w:highlight w:val="none"/>
          <w:lang w:val="zh-CN" w:eastAsia="zh-CN"/>
        </w:rPr>
        <w:t>：</w:t>
      </w:r>
    </w:p>
    <w:p w14:paraId="529B3660">
      <w:pPr>
        <w:numPr>
          <w:ilvl w:val="1"/>
          <w:numId w:val="0"/>
        </w:numPr>
        <w:adjustRightInd w:val="0"/>
        <w:snapToGrid w:val="0"/>
        <w:spacing w:beforeLines="0" w:after="0" w:line="500" w:lineRule="exact"/>
        <w:ind w:firstLine="480" w:firstLineChars="200"/>
        <w:rPr>
          <w:rFonts w:ascii="宋体" w:hAnsi="宋体" w:eastAsia="宋体" w:cs="宋体"/>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①</w:t>
      </w:r>
      <w:r>
        <w:rPr>
          <w:rFonts w:hint="eastAsia" w:ascii="宋体" w:hAnsi="宋体" w:eastAsia="宋体" w:cs="宋体"/>
          <w:color w:val="auto"/>
          <w:sz w:val="24"/>
          <w:szCs w:val="24"/>
          <w:highlight w:val="none"/>
          <w:lang w:eastAsia="zh-CN"/>
        </w:rPr>
        <w:t>项目目标与规划</w:t>
      </w:r>
      <w:r>
        <w:rPr>
          <w:rFonts w:hint="eastAsia" w:ascii="宋体" w:hAnsi="宋体" w:eastAsia="宋体" w:cs="宋体"/>
          <w:color w:val="auto"/>
          <w:sz w:val="24"/>
          <w:szCs w:val="24"/>
          <w:highlight w:val="none"/>
          <w:lang w:val="zh-CN" w:eastAsia="zh-CN"/>
        </w:rPr>
        <w:t>包含但不限于</w:t>
      </w:r>
      <w:r>
        <w:rPr>
          <w:rFonts w:hint="eastAsia" w:ascii="宋体" w:hAnsi="宋体" w:eastAsia="宋体" w:cs="宋体"/>
          <w:color w:val="auto"/>
          <w:sz w:val="24"/>
          <w:szCs w:val="24"/>
          <w:highlight w:val="none"/>
          <w:lang w:eastAsia="zh-CN"/>
        </w:rPr>
        <w:t>对项目的理解、项目服务定位</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eastAsia="zh-CN"/>
        </w:rPr>
        <w:t>实施原则</w:t>
      </w:r>
      <w:r>
        <w:rPr>
          <w:rFonts w:hint="eastAsia" w:ascii="宋体" w:hAnsi="宋体" w:eastAsia="宋体" w:cs="宋体"/>
          <w:color w:val="auto"/>
          <w:sz w:val="24"/>
          <w:szCs w:val="24"/>
          <w:highlight w:val="none"/>
          <w:lang w:val="zh-CN" w:eastAsia="zh-CN"/>
        </w:rPr>
        <w:t>等；</w:t>
      </w:r>
      <w:r>
        <w:rPr>
          <w:rFonts w:hint="eastAsia" w:asciiTheme="minorEastAsia" w:hAnsiTheme="minorEastAsia" w:eastAsiaTheme="minorEastAsia" w:cstheme="minorEastAsia"/>
          <w:color w:val="auto"/>
          <w:sz w:val="24"/>
          <w:szCs w:val="24"/>
          <w:highlight w:val="none"/>
          <w:lang w:eastAsia="zh-CN"/>
        </w:rPr>
        <w:t>②</w:t>
      </w:r>
      <w:r>
        <w:rPr>
          <w:rFonts w:hint="eastAsia" w:ascii="宋体" w:hAnsi="宋体" w:eastAsia="宋体" w:cs="宋体"/>
          <w:color w:val="auto"/>
          <w:sz w:val="24"/>
          <w:szCs w:val="24"/>
          <w:highlight w:val="none"/>
          <w:lang w:eastAsia="zh-CN"/>
        </w:rPr>
        <w:t>服务内容与流程</w:t>
      </w:r>
      <w:r>
        <w:rPr>
          <w:rFonts w:hint="eastAsia" w:ascii="宋体" w:hAnsi="宋体" w:eastAsia="宋体" w:cs="宋体"/>
          <w:color w:val="auto"/>
          <w:sz w:val="24"/>
          <w:szCs w:val="24"/>
          <w:highlight w:val="none"/>
          <w:lang w:val="zh-CN" w:eastAsia="zh-CN"/>
        </w:rPr>
        <w:t>包</w:t>
      </w:r>
      <w:r>
        <w:rPr>
          <w:rFonts w:hint="eastAsia" w:ascii="宋体" w:hAnsi="宋体" w:eastAsia="宋体" w:cs="宋体"/>
          <w:color w:val="auto"/>
          <w:sz w:val="24"/>
          <w:szCs w:val="24"/>
          <w:highlight w:val="none"/>
          <w:lang w:eastAsia="zh-CN"/>
        </w:rPr>
        <w:t>含</w:t>
      </w:r>
      <w:r>
        <w:rPr>
          <w:rFonts w:hint="eastAsia" w:ascii="宋体" w:hAnsi="宋体" w:eastAsia="宋体" w:cs="宋体"/>
          <w:color w:val="auto"/>
          <w:sz w:val="24"/>
          <w:szCs w:val="24"/>
          <w:highlight w:val="none"/>
          <w:lang w:val="zh-CN" w:eastAsia="zh-CN"/>
        </w:rPr>
        <w:t>但不限于设备选型与租赁方案、实施流程、</w:t>
      </w:r>
      <w:r>
        <w:rPr>
          <w:rFonts w:hint="eastAsia" w:ascii="宋体" w:hAnsi="宋体" w:eastAsia="宋体" w:cs="宋体"/>
          <w:color w:val="auto"/>
          <w:sz w:val="24"/>
          <w:szCs w:val="24"/>
          <w:highlight w:val="none"/>
          <w:lang w:eastAsia="zh-CN"/>
        </w:rPr>
        <w:t>设备部署</w:t>
      </w:r>
      <w:r>
        <w:rPr>
          <w:rFonts w:hint="eastAsia" w:ascii="宋体" w:hAnsi="宋体" w:eastAsia="宋体" w:cs="宋体"/>
          <w:color w:val="auto"/>
          <w:sz w:val="24"/>
          <w:szCs w:val="24"/>
          <w:highlight w:val="none"/>
          <w:lang w:val="zh-CN" w:eastAsia="zh-CN"/>
        </w:rPr>
        <w:t>等；</w:t>
      </w:r>
      <w:r>
        <w:rPr>
          <w:rFonts w:hint="eastAsia" w:asciiTheme="minorEastAsia" w:hAnsiTheme="minorEastAsia" w:eastAsiaTheme="minorEastAsia" w:cstheme="minorEastAsia"/>
          <w:color w:val="auto"/>
          <w:sz w:val="24"/>
          <w:szCs w:val="24"/>
          <w:highlight w:val="none"/>
          <w:lang w:eastAsia="zh-CN"/>
        </w:rPr>
        <w:t>③</w:t>
      </w:r>
      <w:r>
        <w:rPr>
          <w:rFonts w:hint="eastAsia" w:ascii="宋体" w:hAnsi="宋体" w:eastAsia="宋体" w:cs="宋体"/>
          <w:color w:val="auto"/>
          <w:sz w:val="24"/>
          <w:szCs w:val="24"/>
          <w:highlight w:val="none"/>
          <w:lang w:val="zh-CN" w:eastAsia="zh-CN"/>
        </w:rPr>
        <w:t>项目周期与交付包</w:t>
      </w:r>
      <w:r>
        <w:rPr>
          <w:rFonts w:hint="eastAsia" w:ascii="宋体" w:hAnsi="宋体" w:eastAsia="宋体" w:cs="宋体"/>
          <w:color w:val="auto"/>
          <w:sz w:val="24"/>
          <w:szCs w:val="24"/>
          <w:highlight w:val="none"/>
          <w:lang w:eastAsia="zh-CN"/>
        </w:rPr>
        <w:t>含</w:t>
      </w:r>
      <w:r>
        <w:rPr>
          <w:rFonts w:hint="eastAsia" w:ascii="宋体" w:hAnsi="宋体" w:eastAsia="宋体" w:cs="宋体"/>
          <w:color w:val="auto"/>
          <w:sz w:val="24"/>
          <w:szCs w:val="24"/>
          <w:highlight w:val="none"/>
          <w:lang w:val="zh-CN" w:eastAsia="zh-CN"/>
        </w:rPr>
        <w:t>但不限于</w:t>
      </w:r>
      <w:r>
        <w:rPr>
          <w:rFonts w:hint="eastAsia" w:ascii="宋体" w:hAnsi="宋体" w:eastAsia="宋体" w:cs="宋体"/>
          <w:color w:val="auto"/>
          <w:sz w:val="24"/>
          <w:szCs w:val="24"/>
          <w:highlight w:val="none"/>
          <w:lang w:eastAsia="zh-CN"/>
        </w:rPr>
        <w:t>工期规划、按期完工保证措施等。</w:t>
      </w:r>
    </w:p>
    <w:p w14:paraId="51C3963B">
      <w:pPr>
        <w:numPr>
          <w:ilvl w:val="1"/>
          <w:numId w:val="0"/>
        </w:numPr>
        <w:adjustRightInd w:val="0"/>
        <w:snapToGrid w:val="0"/>
        <w:spacing w:beforeLines="0" w:after="0" w:line="500" w:lineRule="exact"/>
        <w:ind w:firstLine="482" w:firstLineChars="200"/>
        <w:rPr>
          <w:rFonts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 xml:space="preserve"> 系统方案</w:t>
      </w:r>
      <w:r>
        <w:rPr>
          <w:rFonts w:hint="eastAsia" w:ascii="宋体" w:hAnsi="宋体" w:eastAsia="宋体" w:cs="宋体"/>
          <w:b/>
          <w:bCs/>
          <w:color w:val="auto"/>
          <w:sz w:val="24"/>
          <w:szCs w:val="24"/>
          <w:highlight w:val="none"/>
          <w:lang w:val="zh-CN" w:eastAsia="zh-CN"/>
        </w:rPr>
        <w:t>：</w:t>
      </w:r>
    </w:p>
    <w:p w14:paraId="7AC7CB8D">
      <w:pPr>
        <w:numPr>
          <w:ilvl w:val="1"/>
          <w:numId w:val="0"/>
        </w:numPr>
        <w:adjustRightInd w:val="0"/>
        <w:snapToGrid w:val="0"/>
        <w:spacing w:beforeLines="0" w:after="0" w:line="500" w:lineRule="exact"/>
        <w:ind w:firstLine="480" w:firstLineChars="200"/>
        <w:rPr>
          <w:rFonts w:ascii="宋体" w:hAnsi="宋体" w:eastAsia="宋体" w:cs="宋体"/>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①</w:t>
      </w:r>
      <w:r>
        <w:rPr>
          <w:rFonts w:hint="eastAsia" w:ascii="宋体" w:hAnsi="宋体" w:eastAsia="宋体" w:cs="宋体"/>
          <w:color w:val="auto"/>
          <w:sz w:val="24"/>
          <w:szCs w:val="24"/>
          <w:highlight w:val="none"/>
          <w:lang w:eastAsia="zh-CN"/>
        </w:rPr>
        <w:t>监控系统设计方案</w:t>
      </w:r>
      <w:r>
        <w:rPr>
          <w:rFonts w:hint="eastAsia" w:ascii="宋体" w:hAnsi="宋体" w:eastAsia="宋体" w:cs="宋体"/>
          <w:color w:val="auto"/>
          <w:sz w:val="24"/>
          <w:szCs w:val="24"/>
          <w:highlight w:val="none"/>
          <w:lang w:val="zh-CN" w:eastAsia="zh-CN"/>
        </w:rPr>
        <w:t>包含但不限于前端图像采集点架构、摄像机选型、后端存储配置、监控中心及平台功能等；</w:t>
      </w:r>
      <w:r>
        <w:rPr>
          <w:rFonts w:hint="eastAsia" w:asciiTheme="minorEastAsia" w:hAnsiTheme="minorEastAsia" w:eastAsiaTheme="minorEastAsia" w:cstheme="minorEastAsia"/>
          <w:color w:val="auto"/>
          <w:sz w:val="24"/>
          <w:szCs w:val="24"/>
          <w:highlight w:val="none"/>
          <w:lang w:eastAsia="zh-CN"/>
        </w:rPr>
        <w:t>②</w:t>
      </w:r>
      <w:r>
        <w:rPr>
          <w:rFonts w:hint="eastAsia" w:ascii="宋体" w:hAnsi="宋体" w:eastAsia="宋体" w:cs="宋体"/>
          <w:color w:val="auto"/>
          <w:sz w:val="24"/>
          <w:szCs w:val="24"/>
          <w:highlight w:val="none"/>
          <w:lang w:eastAsia="zh-CN"/>
        </w:rPr>
        <w:t>网络架构方案</w:t>
      </w:r>
      <w:r>
        <w:rPr>
          <w:rFonts w:hint="eastAsia" w:ascii="宋体" w:hAnsi="宋体" w:eastAsia="宋体" w:cs="宋体"/>
          <w:color w:val="auto"/>
          <w:sz w:val="24"/>
          <w:szCs w:val="24"/>
          <w:highlight w:val="none"/>
          <w:lang w:val="zh-CN" w:eastAsia="zh-CN"/>
        </w:rPr>
        <w:t>包</w:t>
      </w:r>
      <w:r>
        <w:rPr>
          <w:rFonts w:hint="eastAsia" w:ascii="宋体" w:hAnsi="宋体" w:eastAsia="宋体" w:cs="宋体"/>
          <w:color w:val="auto"/>
          <w:sz w:val="24"/>
          <w:szCs w:val="24"/>
          <w:highlight w:val="none"/>
          <w:lang w:eastAsia="zh-CN"/>
        </w:rPr>
        <w:t>含</w:t>
      </w:r>
      <w:r>
        <w:rPr>
          <w:rFonts w:hint="eastAsia" w:ascii="宋体" w:hAnsi="宋体" w:eastAsia="宋体" w:cs="宋体"/>
          <w:color w:val="auto"/>
          <w:sz w:val="24"/>
          <w:szCs w:val="24"/>
          <w:highlight w:val="none"/>
          <w:lang w:val="zh-CN" w:eastAsia="zh-CN"/>
        </w:rPr>
        <w:t>但不限于网络交换系统，云存储方案设计、与使用单位互联互通实现方案等。</w:t>
      </w:r>
    </w:p>
    <w:p w14:paraId="0B6F0678">
      <w:pPr>
        <w:numPr>
          <w:ilvl w:val="1"/>
          <w:numId w:val="0"/>
        </w:numPr>
        <w:adjustRightInd w:val="0"/>
        <w:snapToGrid w:val="0"/>
        <w:spacing w:beforeLines="0" w:after="0" w:line="500" w:lineRule="exact"/>
        <w:ind w:firstLine="482" w:firstLineChars="200"/>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eastAsia="zh-CN"/>
        </w:rPr>
        <w:t>质量管控方案</w:t>
      </w:r>
      <w:r>
        <w:rPr>
          <w:rFonts w:hint="eastAsia" w:ascii="宋体" w:hAnsi="宋体" w:eastAsia="宋体" w:cs="宋体"/>
          <w:color w:val="auto"/>
          <w:sz w:val="24"/>
          <w:szCs w:val="24"/>
          <w:highlight w:val="none"/>
          <w:lang w:eastAsia="zh-CN"/>
        </w:rPr>
        <w:t>：</w:t>
      </w:r>
    </w:p>
    <w:p w14:paraId="44082A80">
      <w:pPr>
        <w:numPr>
          <w:ilvl w:val="1"/>
          <w:numId w:val="0"/>
        </w:numPr>
        <w:adjustRightInd w:val="0"/>
        <w:snapToGrid w:val="0"/>
        <w:spacing w:beforeLines="0" w:after="0" w:line="500" w:lineRule="exact"/>
        <w:ind w:firstLine="480" w:firstLineChars="200"/>
        <w:rPr>
          <w:rFonts w:ascii="宋体" w:hAnsi="宋体" w:eastAsia="宋体" w:cs="宋体"/>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①</w:t>
      </w:r>
      <w:r>
        <w:rPr>
          <w:rFonts w:hint="eastAsia" w:ascii="宋体" w:hAnsi="宋体" w:eastAsia="宋体" w:cs="宋体"/>
          <w:color w:val="auto"/>
          <w:sz w:val="24"/>
          <w:szCs w:val="24"/>
          <w:highlight w:val="none"/>
          <w:lang w:eastAsia="zh-CN"/>
        </w:rPr>
        <w:t>监控质量管控包含但不限于设备选型与配置、安装与调试、运行维护等，以及设备验收、安装步骤、系统调试等具体技术细节；</w:t>
      </w:r>
      <w:r>
        <w:rPr>
          <w:rFonts w:hint="eastAsia" w:asciiTheme="minorEastAsia" w:hAnsiTheme="minorEastAsia" w:eastAsiaTheme="minorEastAsia" w:cstheme="minorEastAsia"/>
          <w:color w:val="auto"/>
          <w:sz w:val="24"/>
          <w:szCs w:val="24"/>
          <w:highlight w:val="none"/>
          <w:lang w:eastAsia="zh-CN"/>
        </w:rPr>
        <w:t>②</w:t>
      </w:r>
      <w:r>
        <w:rPr>
          <w:rFonts w:hint="eastAsia" w:ascii="宋体" w:hAnsi="宋体" w:eastAsia="宋体" w:cs="宋体"/>
          <w:color w:val="auto"/>
          <w:sz w:val="24"/>
          <w:szCs w:val="24"/>
          <w:highlight w:val="none"/>
          <w:lang w:eastAsia="zh-CN"/>
        </w:rPr>
        <w:t>视频存储质量管控</w:t>
      </w:r>
      <w:r>
        <w:rPr>
          <w:rFonts w:hint="eastAsia" w:ascii="宋体" w:hAnsi="宋体" w:eastAsia="宋体" w:cs="宋体"/>
          <w:color w:val="auto"/>
          <w:sz w:val="24"/>
          <w:szCs w:val="24"/>
          <w:highlight w:val="none"/>
          <w:lang w:val="zh-CN" w:eastAsia="zh-CN"/>
        </w:rPr>
        <w:t>包</w:t>
      </w:r>
      <w:r>
        <w:rPr>
          <w:rFonts w:hint="eastAsia" w:ascii="宋体" w:hAnsi="宋体" w:eastAsia="宋体" w:cs="宋体"/>
          <w:color w:val="auto"/>
          <w:sz w:val="24"/>
          <w:szCs w:val="24"/>
          <w:highlight w:val="none"/>
          <w:lang w:eastAsia="zh-CN"/>
        </w:rPr>
        <w:t>含</w:t>
      </w:r>
      <w:r>
        <w:rPr>
          <w:rFonts w:hint="eastAsia" w:ascii="宋体" w:hAnsi="宋体" w:eastAsia="宋体" w:cs="宋体"/>
          <w:color w:val="auto"/>
          <w:sz w:val="24"/>
          <w:szCs w:val="24"/>
          <w:highlight w:val="none"/>
          <w:lang w:val="zh-CN" w:eastAsia="zh-CN"/>
        </w:rPr>
        <w:t>但不限于</w:t>
      </w:r>
      <w:r>
        <w:rPr>
          <w:rFonts w:hint="eastAsia" w:ascii="宋体" w:hAnsi="宋体" w:eastAsia="宋体" w:cs="宋体"/>
          <w:color w:val="auto"/>
          <w:sz w:val="24"/>
          <w:szCs w:val="24"/>
          <w:highlight w:val="none"/>
          <w:lang w:eastAsia="zh-CN"/>
        </w:rPr>
        <w:t>存储策略、存储设备管理、数据备份与恢复等；</w:t>
      </w:r>
      <w:r>
        <w:rPr>
          <w:rFonts w:hint="eastAsia" w:asciiTheme="minorEastAsia" w:hAnsiTheme="minorEastAsia" w:eastAsiaTheme="minorEastAsia" w:cstheme="minorEastAsia"/>
          <w:color w:val="auto"/>
          <w:sz w:val="24"/>
          <w:szCs w:val="24"/>
          <w:highlight w:val="none"/>
          <w:lang w:eastAsia="zh-CN"/>
        </w:rPr>
        <w:t>③</w:t>
      </w:r>
      <w:r>
        <w:rPr>
          <w:rFonts w:hint="eastAsia" w:ascii="宋体" w:hAnsi="宋体" w:eastAsia="宋体" w:cs="宋体"/>
          <w:color w:val="auto"/>
          <w:sz w:val="24"/>
          <w:szCs w:val="24"/>
          <w:highlight w:val="none"/>
          <w:lang w:eastAsia="zh-CN"/>
        </w:rPr>
        <w:t>综合管控措施</w:t>
      </w:r>
      <w:r>
        <w:rPr>
          <w:rFonts w:hint="eastAsia" w:ascii="宋体" w:hAnsi="宋体" w:eastAsia="宋体" w:cs="宋体"/>
          <w:color w:val="auto"/>
          <w:sz w:val="24"/>
          <w:szCs w:val="24"/>
          <w:highlight w:val="none"/>
          <w:lang w:val="zh-CN" w:eastAsia="zh-CN"/>
        </w:rPr>
        <w:t>包</w:t>
      </w:r>
      <w:r>
        <w:rPr>
          <w:rFonts w:hint="eastAsia" w:ascii="宋体" w:hAnsi="宋体" w:eastAsia="宋体" w:cs="宋体"/>
          <w:color w:val="auto"/>
          <w:sz w:val="24"/>
          <w:szCs w:val="24"/>
          <w:highlight w:val="none"/>
          <w:lang w:eastAsia="zh-CN"/>
        </w:rPr>
        <w:t>含</w:t>
      </w:r>
      <w:r>
        <w:rPr>
          <w:rFonts w:hint="eastAsia" w:ascii="宋体" w:hAnsi="宋体" w:eastAsia="宋体" w:cs="宋体"/>
          <w:color w:val="auto"/>
          <w:sz w:val="24"/>
          <w:szCs w:val="24"/>
          <w:highlight w:val="none"/>
          <w:lang w:val="zh-CN" w:eastAsia="zh-CN"/>
        </w:rPr>
        <w:t>但不限于</w:t>
      </w:r>
      <w:r>
        <w:rPr>
          <w:rFonts w:hint="eastAsia" w:ascii="宋体" w:hAnsi="宋体" w:eastAsia="宋体" w:cs="宋体"/>
          <w:color w:val="auto"/>
          <w:sz w:val="24"/>
          <w:szCs w:val="24"/>
          <w:highlight w:val="none"/>
          <w:lang w:eastAsia="zh-CN"/>
        </w:rPr>
        <w:t>建立监控及视频存储质量管控体系、加强人员培训和管理、引入智能分析技术等。</w:t>
      </w:r>
    </w:p>
    <w:p w14:paraId="43BC796D">
      <w:pPr>
        <w:numPr>
          <w:ilvl w:val="1"/>
          <w:numId w:val="0"/>
        </w:numPr>
        <w:adjustRightInd w:val="0"/>
        <w:snapToGrid w:val="0"/>
        <w:spacing w:beforeLines="0" w:after="0" w:line="500" w:lineRule="exact"/>
        <w:ind w:firstLine="482" w:firstLineChars="200"/>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安全应急方案：</w:t>
      </w:r>
    </w:p>
    <w:p w14:paraId="7D4319CB">
      <w:pPr>
        <w:numPr>
          <w:ilvl w:val="1"/>
          <w:numId w:val="0"/>
        </w:numPr>
        <w:adjustRightInd w:val="0"/>
        <w:snapToGrid w:val="0"/>
        <w:spacing w:beforeLines="0" w:after="0" w:line="500" w:lineRule="exact"/>
        <w:ind w:firstLine="480" w:firstLineChars="200"/>
        <w:rPr>
          <w:rFonts w:ascii="宋体" w:hAnsi="宋体" w:eastAsia="宋体" w:cs="宋体"/>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①</w:t>
      </w:r>
      <w:r>
        <w:rPr>
          <w:rStyle w:val="46"/>
          <w:rFonts w:hint="eastAsia" w:ascii="宋体" w:hAnsi="宋体" w:eastAsia="宋体" w:cs="宋体"/>
          <w:b w:val="0"/>
          <w:color w:val="auto"/>
          <w:sz w:val="24"/>
          <w:szCs w:val="24"/>
          <w:highlight w:val="none"/>
          <w:shd w:val="clear" w:color="auto" w:fill="FFFFFF"/>
          <w:lang w:eastAsia="zh-CN"/>
        </w:rPr>
        <w:t>应急组织架构</w:t>
      </w:r>
      <w:r>
        <w:rPr>
          <w:rFonts w:hint="eastAsia" w:ascii="宋体" w:hAnsi="宋体" w:eastAsia="宋体" w:cs="宋体"/>
          <w:color w:val="auto"/>
          <w:sz w:val="24"/>
          <w:szCs w:val="24"/>
          <w:highlight w:val="none"/>
          <w:lang w:eastAsia="zh-CN"/>
        </w:rPr>
        <w:t>包含但不限于明确</w:t>
      </w:r>
      <w:r>
        <w:rPr>
          <w:rStyle w:val="46"/>
          <w:rFonts w:hint="eastAsia" w:ascii="宋体" w:hAnsi="宋体" w:eastAsia="宋体" w:cs="宋体"/>
          <w:b w:val="0"/>
          <w:color w:val="auto"/>
          <w:sz w:val="24"/>
          <w:szCs w:val="24"/>
          <w:highlight w:val="none"/>
          <w:shd w:val="clear" w:color="auto" w:fill="FFFFFF"/>
          <w:lang w:eastAsia="zh-CN"/>
        </w:rPr>
        <w:t>应急组织架构</w:t>
      </w:r>
      <w:r>
        <w:rPr>
          <w:rFonts w:hint="eastAsia" w:ascii="宋体" w:hAnsi="宋体" w:eastAsia="宋体" w:cs="宋体"/>
          <w:color w:val="auto"/>
          <w:sz w:val="24"/>
          <w:szCs w:val="24"/>
          <w:highlight w:val="none"/>
          <w:lang w:eastAsia="zh-CN"/>
        </w:rPr>
        <w:t>、职责与分工、应急方案实施流程等；</w:t>
      </w:r>
      <w:r>
        <w:rPr>
          <w:rFonts w:hint="eastAsia" w:asciiTheme="minorEastAsia" w:hAnsiTheme="minorEastAsia" w:eastAsiaTheme="minorEastAsia" w:cstheme="minorEastAsia"/>
          <w:color w:val="auto"/>
          <w:sz w:val="24"/>
          <w:szCs w:val="24"/>
          <w:highlight w:val="none"/>
          <w:lang w:eastAsia="zh-CN"/>
        </w:rPr>
        <w:t>②</w:t>
      </w:r>
      <w:r>
        <w:rPr>
          <w:rStyle w:val="46"/>
          <w:rFonts w:hint="eastAsia" w:ascii="宋体" w:hAnsi="宋体" w:eastAsia="宋体" w:cs="宋体"/>
          <w:b w:val="0"/>
          <w:color w:val="auto"/>
          <w:sz w:val="24"/>
          <w:szCs w:val="24"/>
          <w:highlight w:val="none"/>
          <w:shd w:val="clear" w:color="auto" w:fill="FFFFFF"/>
          <w:lang w:eastAsia="zh-CN"/>
        </w:rPr>
        <w:t>监控设备应急措施</w:t>
      </w:r>
      <w:r>
        <w:rPr>
          <w:rFonts w:hint="eastAsia" w:ascii="宋体" w:hAnsi="宋体" w:eastAsia="宋体" w:cs="宋体"/>
          <w:color w:val="auto"/>
          <w:sz w:val="24"/>
          <w:szCs w:val="24"/>
          <w:highlight w:val="none"/>
          <w:lang w:val="zh-CN" w:eastAsia="zh-CN"/>
        </w:rPr>
        <w:t>包</w:t>
      </w:r>
      <w:r>
        <w:rPr>
          <w:rFonts w:hint="eastAsia" w:ascii="宋体" w:hAnsi="宋体" w:eastAsia="宋体" w:cs="宋体"/>
          <w:color w:val="auto"/>
          <w:sz w:val="24"/>
          <w:szCs w:val="24"/>
          <w:highlight w:val="none"/>
          <w:lang w:eastAsia="zh-CN"/>
        </w:rPr>
        <w:t>含</w:t>
      </w:r>
      <w:r>
        <w:rPr>
          <w:rFonts w:hint="eastAsia" w:ascii="宋体" w:hAnsi="宋体" w:eastAsia="宋体" w:cs="宋体"/>
          <w:color w:val="auto"/>
          <w:sz w:val="24"/>
          <w:szCs w:val="24"/>
          <w:highlight w:val="none"/>
          <w:lang w:val="zh-CN" w:eastAsia="zh-CN"/>
        </w:rPr>
        <w:t>但不限于设备故障处理</w:t>
      </w:r>
      <w:r>
        <w:rPr>
          <w:rFonts w:hint="eastAsia" w:ascii="宋体" w:hAnsi="宋体" w:eastAsia="宋体" w:cs="宋体"/>
          <w:color w:val="auto"/>
          <w:sz w:val="24"/>
          <w:szCs w:val="24"/>
          <w:highlight w:val="none"/>
          <w:lang w:eastAsia="zh-CN"/>
        </w:rPr>
        <w:t>、</w:t>
      </w:r>
      <w:r>
        <w:rPr>
          <w:rStyle w:val="46"/>
          <w:rFonts w:hint="eastAsia" w:ascii="宋体" w:hAnsi="宋体" w:eastAsia="宋体" w:cs="宋体"/>
          <w:b w:val="0"/>
          <w:color w:val="auto"/>
          <w:sz w:val="24"/>
          <w:szCs w:val="24"/>
          <w:highlight w:val="none"/>
          <w:shd w:val="clear" w:color="auto" w:fill="FFFFFF"/>
          <w:lang w:eastAsia="zh-CN"/>
        </w:rPr>
        <w:t>异常事件识别</w:t>
      </w:r>
      <w:r>
        <w:rPr>
          <w:rFonts w:hint="eastAsia" w:ascii="宋体" w:hAnsi="宋体" w:eastAsia="宋体" w:cs="宋体"/>
          <w:color w:val="auto"/>
          <w:sz w:val="24"/>
          <w:szCs w:val="24"/>
          <w:highlight w:val="none"/>
          <w:lang w:eastAsia="zh-CN"/>
        </w:rPr>
        <w:t>等；</w:t>
      </w:r>
      <w:r>
        <w:rPr>
          <w:rFonts w:hint="eastAsia" w:asciiTheme="minorEastAsia" w:hAnsiTheme="minorEastAsia" w:eastAsiaTheme="minorEastAsia" w:cstheme="minorEastAsia"/>
          <w:color w:val="auto"/>
          <w:sz w:val="24"/>
          <w:szCs w:val="24"/>
          <w:highlight w:val="none"/>
          <w:lang w:eastAsia="zh-CN"/>
        </w:rPr>
        <w:t>③</w:t>
      </w:r>
      <w:r>
        <w:rPr>
          <w:rFonts w:hint="eastAsia" w:ascii="宋体" w:hAnsi="宋体" w:eastAsia="宋体" w:cs="宋体"/>
          <w:color w:val="auto"/>
          <w:sz w:val="24"/>
          <w:szCs w:val="24"/>
          <w:highlight w:val="none"/>
          <w:lang w:eastAsia="zh-CN"/>
        </w:rPr>
        <w:t>视频存储应急措施</w:t>
      </w:r>
      <w:r>
        <w:rPr>
          <w:rFonts w:hint="eastAsia" w:ascii="宋体" w:hAnsi="宋体" w:eastAsia="宋体" w:cs="宋体"/>
          <w:color w:val="auto"/>
          <w:sz w:val="24"/>
          <w:szCs w:val="24"/>
          <w:highlight w:val="none"/>
          <w:lang w:val="zh-CN" w:eastAsia="zh-CN"/>
        </w:rPr>
        <w:t>包</w:t>
      </w:r>
      <w:r>
        <w:rPr>
          <w:rFonts w:hint="eastAsia" w:ascii="宋体" w:hAnsi="宋体" w:eastAsia="宋体" w:cs="宋体"/>
          <w:color w:val="auto"/>
          <w:sz w:val="24"/>
          <w:szCs w:val="24"/>
          <w:highlight w:val="none"/>
          <w:lang w:eastAsia="zh-CN"/>
        </w:rPr>
        <w:t>含</w:t>
      </w:r>
      <w:r>
        <w:rPr>
          <w:rFonts w:hint="eastAsia" w:ascii="宋体" w:hAnsi="宋体" w:eastAsia="宋体" w:cs="宋体"/>
          <w:color w:val="auto"/>
          <w:sz w:val="24"/>
          <w:szCs w:val="24"/>
          <w:highlight w:val="none"/>
          <w:lang w:val="zh-CN" w:eastAsia="zh-CN"/>
        </w:rPr>
        <w:t>但不限于数据备份</w:t>
      </w:r>
      <w:r>
        <w:rPr>
          <w:rFonts w:hint="eastAsia" w:ascii="宋体" w:hAnsi="宋体" w:eastAsia="宋体" w:cs="宋体"/>
          <w:color w:val="auto"/>
          <w:sz w:val="24"/>
          <w:szCs w:val="24"/>
          <w:highlight w:val="none"/>
          <w:lang w:eastAsia="zh-CN"/>
        </w:rPr>
        <w:t>、</w:t>
      </w:r>
      <w:r>
        <w:rPr>
          <w:rStyle w:val="46"/>
          <w:rFonts w:hint="eastAsia" w:ascii="宋体" w:hAnsi="宋体" w:eastAsia="宋体" w:cs="宋体"/>
          <w:b w:val="0"/>
          <w:color w:val="auto"/>
          <w:sz w:val="24"/>
          <w:szCs w:val="24"/>
          <w:highlight w:val="none"/>
          <w:shd w:val="clear" w:color="auto" w:fill="FFFFFF"/>
          <w:lang w:eastAsia="zh-CN"/>
        </w:rPr>
        <w:t>数据恢复</w:t>
      </w:r>
      <w:r>
        <w:rPr>
          <w:rFonts w:hint="eastAsia" w:ascii="宋体" w:hAnsi="宋体" w:eastAsia="宋体" w:cs="宋体"/>
          <w:color w:val="auto"/>
          <w:sz w:val="24"/>
          <w:szCs w:val="24"/>
          <w:highlight w:val="none"/>
          <w:lang w:eastAsia="zh-CN"/>
        </w:rPr>
        <w:t>等。</w:t>
      </w:r>
    </w:p>
    <w:p w14:paraId="1B2EBAC1">
      <w:pPr>
        <w:numPr>
          <w:ilvl w:val="1"/>
          <w:numId w:val="0"/>
        </w:numPr>
        <w:adjustRightInd w:val="0"/>
        <w:snapToGrid w:val="0"/>
        <w:spacing w:beforeLines="0" w:after="0" w:line="500" w:lineRule="exact"/>
        <w:ind w:firstLine="482" w:firstLineChars="200"/>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eastAsia="zh-CN"/>
        </w:rPr>
        <w:t>售后服务及培训方案：</w:t>
      </w:r>
    </w:p>
    <w:p w14:paraId="12C9960C">
      <w:pPr>
        <w:numPr>
          <w:ilvl w:val="1"/>
          <w:numId w:val="0"/>
        </w:numPr>
        <w:adjustRightInd w:val="0"/>
        <w:snapToGrid w:val="0"/>
        <w:spacing w:beforeLines="0" w:after="0" w:line="500" w:lineRule="exact"/>
        <w:ind w:firstLine="480" w:firstLineChars="200"/>
        <w:rPr>
          <w:rFonts w:ascii="宋体" w:hAnsi="宋体" w:eastAsia="宋体" w:cs="宋体"/>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①</w:t>
      </w:r>
      <w:r>
        <w:rPr>
          <w:rFonts w:hint="eastAsia" w:ascii="宋体" w:hAnsi="宋体" w:eastAsia="宋体" w:cs="宋体"/>
          <w:color w:val="auto"/>
          <w:sz w:val="24"/>
          <w:szCs w:val="24"/>
          <w:highlight w:val="none"/>
          <w:lang w:eastAsia="zh-CN"/>
        </w:rPr>
        <w:t>售后服务机构</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eastAsia="zh-CN"/>
        </w:rPr>
        <w:t>明确</w:t>
      </w:r>
      <w:r>
        <w:rPr>
          <w:rFonts w:hint="eastAsia" w:ascii="宋体" w:hAnsi="宋体" w:eastAsia="宋体" w:cs="宋体"/>
          <w:color w:val="auto"/>
          <w:sz w:val="24"/>
          <w:szCs w:val="24"/>
          <w:highlight w:val="none"/>
          <w:lang w:val="zh-CN" w:eastAsia="zh-CN"/>
        </w:rPr>
        <w:t>售后服务机构，确保响应售后服务要求（7*24小时热线，半小时响应，2小时到达现场，12小时排除故障）</w:t>
      </w:r>
      <w:r>
        <w:rPr>
          <w:rFonts w:hint="eastAsia" w:ascii="宋体" w:hAnsi="宋体" w:eastAsia="宋体" w:cs="宋体"/>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eastAsia="zh-CN"/>
        </w:rPr>
        <w:t>②</w:t>
      </w:r>
      <w:r>
        <w:rPr>
          <w:rFonts w:hint="eastAsia" w:ascii="宋体" w:hAnsi="宋体" w:eastAsia="宋体" w:cs="宋体"/>
          <w:color w:val="auto"/>
          <w:sz w:val="24"/>
          <w:szCs w:val="24"/>
          <w:highlight w:val="none"/>
          <w:lang w:eastAsia="zh-CN"/>
        </w:rPr>
        <w:t>日常维护计划：有明确的日常维护计划；（每日巡检、每周清理镜头、每月清理外罩）</w:t>
      </w:r>
      <w:r>
        <w:rPr>
          <w:rFonts w:hint="eastAsia" w:asciiTheme="minorEastAsia" w:hAnsiTheme="minorEastAsia" w:eastAsiaTheme="minorEastAsia" w:cstheme="minorEastAsia"/>
          <w:color w:val="auto"/>
          <w:sz w:val="24"/>
          <w:szCs w:val="24"/>
          <w:highlight w:val="none"/>
          <w:lang w:eastAsia="zh-CN"/>
        </w:rPr>
        <w:t>③</w:t>
      </w:r>
      <w:r>
        <w:rPr>
          <w:rFonts w:hint="eastAsia" w:ascii="宋体" w:hAnsi="宋体" w:eastAsia="宋体" w:cs="宋体"/>
          <w:color w:val="auto"/>
          <w:sz w:val="24"/>
          <w:szCs w:val="24"/>
          <w:highlight w:val="none"/>
          <w:lang w:eastAsia="zh-CN"/>
        </w:rPr>
        <w:t>培训方案与演练：明确培训方案，包含但不限于培训方式方法、地点、培训步骤、培训计划等，定期演练并对演练进行评估。</w:t>
      </w:r>
    </w:p>
    <w:p w14:paraId="22672A81">
      <w:pPr>
        <w:autoSpaceDE w:val="0"/>
        <w:autoSpaceDN w:val="0"/>
        <w:adjustRightInd w:val="0"/>
        <w:spacing w:beforeLines="0" w:after="0" w:line="500" w:lineRule="exact"/>
        <w:rPr>
          <w:rFonts w:ascii="宋体" w:hAnsi="宋体" w:eastAsia="宋体" w:cs="宋体"/>
          <w:b/>
          <w:bCs/>
          <w:color w:val="auto"/>
          <w:sz w:val="24"/>
          <w:highlight w:val="none"/>
          <w:lang w:val="zh-CN" w:eastAsia="zh-CN"/>
        </w:rPr>
      </w:pPr>
      <w:r>
        <w:rPr>
          <w:rFonts w:hint="eastAsia" w:ascii="宋体" w:hAnsi="宋体" w:eastAsia="宋体" w:cs="宋体"/>
          <w:b/>
          <w:bCs/>
          <w:color w:val="auto"/>
          <w:sz w:val="24"/>
          <w:highlight w:val="none"/>
          <w:lang w:eastAsia="zh-CN"/>
        </w:rPr>
        <w:t>（四）</w:t>
      </w:r>
      <w:r>
        <w:rPr>
          <w:rFonts w:hint="eastAsia" w:ascii="宋体" w:hAnsi="宋体" w:eastAsia="宋体" w:cs="宋体"/>
          <w:b/>
          <w:bCs/>
          <w:color w:val="auto"/>
          <w:sz w:val="24"/>
          <w:highlight w:val="none"/>
          <w:lang w:val="zh-CN" w:eastAsia="zh-CN"/>
        </w:rPr>
        <w:t>报价要求：</w:t>
      </w:r>
    </w:p>
    <w:p w14:paraId="6DB7AF54">
      <w:pPr>
        <w:autoSpaceDE w:val="0"/>
        <w:autoSpaceDN w:val="0"/>
        <w:adjustRightInd w:val="0"/>
        <w:spacing w:beforeLines="0"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1、供应商应对本项目中的所有需求货物和服务进行报价，不得漏报。</w:t>
      </w:r>
    </w:p>
    <w:p w14:paraId="5EA72E0B">
      <w:pPr>
        <w:autoSpaceDE w:val="0"/>
        <w:autoSpaceDN w:val="0"/>
        <w:adjustRightInd w:val="0"/>
        <w:spacing w:beforeLines="0"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本项目报价以人民币报价，报价总价包括：货运费、运输费、安装调试费、质量保证费、光纤租赁费、光纤存储费、软件使用费、货物本身已支付或将支付的各种税费以及其他交付用户使用前所产生的所有费用。</w:t>
      </w:r>
    </w:p>
    <w:p w14:paraId="1B30AB1C">
      <w:pPr>
        <w:autoSpaceDE w:val="0"/>
        <w:autoSpaceDN w:val="0"/>
        <w:adjustRightInd w:val="0"/>
        <w:spacing w:beforeLines="0" w:after="0" w:line="500" w:lineRule="exact"/>
        <w:rPr>
          <w:rFonts w:ascii="宋体" w:hAnsi="宋体" w:eastAsia="宋体" w:cs="宋体"/>
          <w:b/>
          <w:bCs/>
          <w:color w:val="auto"/>
          <w:sz w:val="24"/>
          <w:highlight w:val="none"/>
          <w:lang w:val="zh-CN" w:eastAsia="zh-CN"/>
        </w:rPr>
      </w:pPr>
      <w:r>
        <w:rPr>
          <w:rFonts w:hint="eastAsia" w:ascii="宋体" w:hAnsi="宋体" w:eastAsia="宋体" w:cs="宋体"/>
          <w:b/>
          <w:bCs/>
          <w:color w:val="auto"/>
          <w:sz w:val="24"/>
          <w:highlight w:val="none"/>
          <w:lang w:eastAsia="zh-CN"/>
        </w:rPr>
        <w:t>（五）</w:t>
      </w:r>
      <w:r>
        <w:rPr>
          <w:rFonts w:hint="eastAsia" w:ascii="宋体" w:hAnsi="宋体" w:eastAsia="宋体" w:cs="宋体"/>
          <w:b/>
          <w:bCs/>
          <w:color w:val="auto"/>
          <w:sz w:val="24"/>
          <w:highlight w:val="none"/>
          <w:lang w:val="zh-CN" w:eastAsia="zh-CN"/>
        </w:rPr>
        <w:t>付款方式</w:t>
      </w:r>
    </w:p>
    <w:p w14:paraId="30BCC08C">
      <w:pPr>
        <w:autoSpaceDE w:val="0"/>
        <w:autoSpaceDN w:val="0"/>
        <w:adjustRightInd w:val="0"/>
        <w:spacing w:beforeLines="0"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合同签订</w:t>
      </w:r>
      <w:r>
        <w:rPr>
          <w:rFonts w:hint="eastAsia" w:ascii="宋体" w:hAnsi="宋体" w:eastAsia="宋体" w:cs="宋体"/>
          <w:color w:val="auto"/>
          <w:sz w:val="24"/>
          <w:highlight w:val="none"/>
          <w:lang w:val="en-US" w:eastAsia="zh-CN"/>
        </w:rPr>
        <w:t>完成</w:t>
      </w:r>
      <w:r>
        <w:rPr>
          <w:rFonts w:hint="eastAsia" w:ascii="宋体" w:hAnsi="宋体" w:eastAsia="宋体" w:cs="宋体"/>
          <w:color w:val="auto"/>
          <w:sz w:val="24"/>
          <w:highlight w:val="none"/>
          <w:lang w:eastAsia="zh-CN"/>
        </w:rPr>
        <w:t>后，先支付合同价款的</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0%作为合同预付款。项目完成且验收合格后的十个工作日内，甲方向乙方支付合同总价的</w:t>
      </w: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lang w:eastAsia="zh-CN"/>
        </w:rPr>
        <w:t>%，项目验收合格之日起一年后十个工作日内，甲方向乙方支付合同总价的</w:t>
      </w:r>
      <w:r>
        <w:rPr>
          <w:rFonts w:hint="eastAsia" w:ascii="宋体" w:hAnsi="宋体" w:eastAsia="宋体" w:cs="宋体"/>
          <w:color w:val="auto"/>
          <w:sz w:val="24"/>
          <w:highlight w:val="none"/>
          <w:lang w:val="en-US" w:eastAsia="zh-CN"/>
        </w:rPr>
        <w:t>25</w:t>
      </w:r>
      <w:r>
        <w:rPr>
          <w:rFonts w:hint="eastAsia" w:ascii="宋体" w:hAnsi="宋体" w:eastAsia="宋体" w:cs="宋体"/>
          <w:color w:val="auto"/>
          <w:sz w:val="24"/>
          <w:highlight w:val="none"/>
          <w:lang w:eastAsia="zh-CN"/>
        </w:rPr>
        <w:t>%，项目验收合格之日起两年后十个工作日内，甲方向乙方支付合同总价的</w:t>
      </w:r>
      <w:r>
        <w:rPr>
          <w:rFonts w:hint="eastAsia" w:ascii="宋体" w:hAnsi="宋体" w:eastAsia="宋体" w:cs="宋体"/>
          <w:color w:val="auto"/>
          <w:sz w:val="24"/>
          <w:highlight w:val="none"/>
          <w:lang w:val="en-US" w:eastAsia="zh-CN"/>
        </w:rPr>
        <w:t>25</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剩余25%待项目服务期满后付清</w:t>
      </w:r>
      <w:r>
        <w:rPr>
          <w:rFonts w:hint="eastAsia" w:ascii="宋体" w:hAnsi="宋体" w:eastAsia="宋体" w:cs="宋体"/>
          <w:color w:val="auto"/>
          <w:sz w:val="24"/>
          <w:highlight w:val="none"/>
          <w:lang w:eastAsia="zh-CN"/>
        </w:rPr>
        <w:t>。每个付款期内的考核扣款在同期服务费支付时予以直接扣除。</w:t>
      </w:r>
    </w:p>
    <w:p w14:paraId="1DF7BAFE">
      <w:pPr>
        <w:autoSpaceDE w:val="0"/>
        <w:autoSpaceDN w:val="0"/>
        <w:adjustRightInd w:val="0"/>
        <w:spacing w:beforeLines="0"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甲方将根据实际情况，使用数字人民币、转账等形式支付，并优先使用数字人民币支付。每次付款时需提供正式的发票。</w:t>
      </w:r>
    </w:p>
    <w:p w14:paraId="2330B738">
      <w:pPr>
        <w:autoSpaceDE w:val="0"/>
        <w:autoSpaceDN w:val="0"/>
        <w:adjustRightInd w:val="0"/>
        <w:spacing w:beforeLines="0" w:after="0" w:line="500" w:lineRule="exact"/>
        <w:rPr>
          <w:rFonts w:ascii="宋体" w:hAnsi="宋体" w:eastAsia="宋体" w:cs="宋体"/>
          <w:b/>
          <w:bCs/>
          <w:color w:val="auto"/>
          <w:sz w:val="24"/>
          <w:highlight w:val="none"/>
          <w:lang w:val="zh-CN" w:eastAsia="zh-CN"/>
        </w:rPr>
      </w:pPr>
      <w:r>
        <w:rPr>
          <w:rFonts w:hint="eastAsia" w:ascii="宋体" w:hAnsi="宋体" w:eastAsia="宋体" w:cs="宋体"/>
          <w:b/>
          <w:bCs/>
          <w:color w:val="auto"/>
          <w:sz w:val="24"/>
          <w:highlight w:val="none"/>
          <w:lang w:eastAsia="zh-CN"/>
        </w:rPr>
        <w:t>（六）</w:t>
      </w:r>
      <w:r>
        <w:rPr>
          <w:rFonts w:hint="eastAsia" w:ascii="宋体" w:hAnsi="宋体" w:eastAsia="宋体" w:cs="宋体"/>
          <w:b/>
          <w:bCs/>
          <w:color w:val="auto"/>
          <w:sz w:val="24"/>
          <w:highlight w:val="none"/>
          <w:lang w:val="zh-CN" w:eastAsia="zh-CN"/>
        </w:rPr>
        <w:t>验收标准：</w:t>
      </w:r>
    </w:p>
    <w:p w14:paraId="08B75FFE">
      <w:pPr>
        <w:autoSpaceDE w:val="0"/>
        <w:autoSpaceDN w:val="0"/>
        <w:adjustRightInd w:val="0"/>
        <w:spacing w:beforeLines="0"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1、验收时间：项目完成安装调试后60天内。</w:t>
      </w:r>
    </w:p>
    <w:p w14:paraId="68DCD91C">
      <w:pPr>
        <w:autoSpaceDE w:val="0"/>
        <w:autoSpaceDN w:val="0"/>
        <w:adjustRightInd w:val="0"/>
        <w:spacing w:beforeLines="0"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2、验收应在甲乙双方共同参加下进行。验收时请带齐中标通知书复印件、合同复印件、收货单、安装单、加盖公章的产品注册证（如有）各一份。</w:t>
      </w:r>
    </w:p>
    <w:p w14:paraId="3FEF2DA0">
      <w:pPr>
        <w:autoSpaceDE w:val="0"/>
        <w:autoSpaceDN w:val="0"/>
        <w:adjustRightInd w:val="0"/>
        <w:spacing w:beforeLines="0"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所供设备必须完好，无破损，配置与装箱单相符，数量、质量及性能不低于招标要求。验收按国家有关的规定、规范进行。验收时如发现所交付的设备有短装、次品、损坏或其它不符合招标文件规定之情形者，采购人应做出详尽的现场记录，或由采购人/用户和中标供应商双方签署备忘录。此现场记录或备忘录可用作补充、缺失和更换损坏部件的有效证据。由此产生的有关费用由中标供应商承担。</w:t>
      </w:r>
    </w:p>
    <w:p w14:paraId="128CEEE9">
      <w:pPr>
        <w:autoSpaceDE w:val="0"/>
        <w:autoSpaceDN w:val="0"/>
        <w:adjustRightInd w:val="0"/>
        <w:spacing w:beforeLines="0"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4、如果合同设备运输和安装调试过程中因事故造成货物短缺、损坏，中标供应商应及时安排换货，以保证合同设备安装调试的成功完成。换货的相关费用由中标供应商承担。</w:t>
      </w:r>
    </w:p>
    <w:p w14:paraId="34C4E3B0">
      <w:pPr>
        <w:autoSpaceDE w:val="0"/>
        <w:autoSpaceDN w:val="0"/>
        <w:adjustRightInd w:val="0"/>
        <w:spacing w:beforeLines="0"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5、如双方对验收结果有分歧，则以相关部门的检验结果为准，检验费由中标供应商支付。中标供应商所供货物未达到采购文件规定的技术要求，采购单位有权要求其再次提供符合文件要求的货物，若在规定时间内仍无法满足的，采购单位有权取消其中标资格。</w:t>
      </w:r>
    </w:p>
    <w:p w14:paraId="08A6DE93">
      <w:pPr>
        <w:autoSpaceDE w:val="0"/>
        <w:autoSpaceDN w:val="0"/>
        <w:adjustRightInd w:val="0"/>
        <w:spacing w:beforeLines="0" w:after="0" w:line="500" w:lineRule="exact"/>
        <w:rPr>
          <w:rFonts w:ascii="宋体" w:hAnsi="宋体" w:eastAsia="宋体" w:cs="宋体"/>
          <w:b/>
          <w:bCs/>
          <w:color w:val="auto"/>
          <w:sz w:val="24"/>
          <w:highlight w:val="none"/>
          <w:lang w:val="zh-CN" w:eastAsia="zh-CN"/>
        </w:rPr>
      </w:pPr>
      <w:r>
        <w:rPr>
          <w:rFonts w:hint="eastAsia" w:ascii="宋体" w:hAnsi="宋体" w:eastAsia="宋体" w:cs="宋体"/>
          <w:b/>
          <w:bCs/>
          <w:color w:val="auto"/>
          <w:sz w:val="24"/>
          <w:highlight w:val="none"/>
          <w:lang w:eastAsia="zh-CN"/>
        </w:rPr>
        <w:t>（七）</w:t>
      </w:r>
      <w:r>
        <w:rPr>
          <w:rFonts w:hint="eastAsia" w:ascii="宋体" w:hAnsi="宋体" w:eastAsia="宋体" w:cs="宋体"/>
          <w:b/>
          <w:bCs/>
          <w:color w:val="auto"/>
          <w:sz w:val="24"/>
          <w:highlight w:val="none"/>
          <w:lang w:val="zh-CN" w:eastAsia="zh-CN"/>
        </w:rPr>
        <w:t>售后服务要求：</w:t>
      </w:r>
    </w:p>
    <w:p w14:paraId="018FCA22">
      <w:pPr>
        <w:autoSpaceDE w:val="0"/>
        <w:autoSpaceDN w:val="0"/>
        <w:adjustRightInd w:val="0"/>
        <w:spacing w:beforeLines="0"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1、质保期：</w:t>
      </w:r>
      <w:r>
        <w:rPr>
          <w:rFonts w:hint="eastAsia" w:ascii="宋体" w:hAnsi="宋体" w:eastAsia="宋体" w:cs="宋体"/>
          <w:b/>
          <w:bCs/>
          <w:color w:val="auto"/>
          <w:sz w:val="24"/>
          <w:highlight w:val="none"/>
          <w:lang w:eastAsia="zh-CN"/>
        </w:rPr>
        <w:t>项目质保期为3年（清单中特别说明的产品以清单要求为准）</w:t>
      </w:r>
      <w:r>
        <w:rPr>
          <w:rFonts w:hint="eastAsia" w:ascii="宋体" w:hAnsi="宋体" w:eastAsia="宋体" w:cs="宋体"/>
          <w:color w:val="auto"/>
          <w:sz w:val="24"/>
          <w:highlight w:val="none"/>
          <w:lang w:eastAsia="zh-CN"/>
        </w:rPr>
        <w:t>，时间自验收合格、验收报告签署并交付使用之日起计算。在设备质保期内，投标人应以优良的服务态度，一旦设备发生质量问题，提供30分钟以内响应，2小时到达现场，12小时以内完成采购人提出的免费维修要求；修理、更换或退货，费用由中标供应商负责。质保期间设备的一切质量问题，更换部件及设备本身质量原因造成的直接经济损失应全部由投标人负责。</w:t>
      </w:r>
    </w:p>
    <w:p w14:paraId="142C5417">
      <w:pPr>
        <w:autoSpaceDE w:val="0"/>
        <w:autoSpaceDN w:val="0"/>
        <w:adjustRightInd w:val="0"/>
        <w:spacing w:beforeLines="0"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在质保期内，由承建方提供全部软硬件产品的日常运行维护服务、专线传输，包含设备及线路建设费及质保期内的维修维护费用以及光纤租赁、光纤存储、软件使用等相关费用，由承建方完成从建设到维护的业务全包干。</w:t>
      </w:r>
    </w:p>
    <w:p w14:paraId="6BA974F1">
      <w:pPr>
        <w:autoSpaceDE w:val="0"/>
        <w:autoSpaceDN w:val="0"/>
        <w:adjustRightInd w:val="0"/>
        <w:spacing w:beforeLines="0"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3、运维服务</w:t>
      </w:r>
    </w:p>
    <w:p w14:paraId="12DB6028">
      <w:pPr>
        <w:autoSpaceDE w:val="0"/>
        <w:autoSpaceDN w:val="0"/>
        <w:adjustRightInd w:val="0"/>
        <w:spacing w:beforeLines="0"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3.1 </w:t>
      </w:r>
      <w:r>
        <w:rPr>
          <w:rFonts w:hint="eastAsia" w:ascii="宋体" w:hAnsi="宋体" w:eastAsia="宋体" w:cs="宋体"/>
          <w:color w:val="auto"/>
          <w:sz w:val="24"/>
          <w:highlight w:val="none"/>
          <w:lang w:eastAsia="zh-CN"/>
        </w:rPr>
        <w:t>投标人应与采购人签订保密协议，严格遵循保密协议之规定，确保系统数据安全，任何数据资料未经采购人许可不得向第三方提供。</w:t>
      </w:r>
    </w:p>
    <w:p w14:paraId="445AC006">
      <w:pPr>
        <w:autoSpaceDE w:val="0"/>
        <w:autoSpaceDN w:val="0"/>
        <w:adjustRightInd w:val="0"/>
        <w:spacing w:beforeLines="0"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3.2 </w:t>
      </w:r>
      <w:r>
        <w:rPr>
          <w:rFonts w:hint="eastAsia" w:ascii="宋体" w:hAnsi="宋体" w:eastAsia="宋体" w:cs="宋体"/>
          <w:color w:val="auto"/>
          <w:sz w:val="24"/>
          <w:highlight w:val="none"/>
          <w:lang w:eastAsia="zh-CN"/>
        </w:rPr>
        <w:t>投标人应具有有效详细的运维管理办法，保障监控基本功能正常运行（即时浏览、云台控制、录像回放调取），并负责故障的全程处理。</w:t>
      </w:r>
    </w:p>
    <w:p w14:paraId="3D627A98">
      <w:pPr>
        <w:autoSpaceDE w:val="0"/>
        <w:autoSpaceDN w:val="0"/>
        <w:adjustRightInd w:val="0"/>
        <w:spacing w:beforeLines="0"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3.3 </w:t>
      </w:r>
      <w:r>
        <w:rPr>
          <w:rFonts w:hint="eastAsia" w:ascii="宋体" w:hAnsi="宋体" w:eastAsia="宋体" w:cs="宋体"/>
          <w:color w:val="auto"/>
          <w:sz w:val="24"/>
          <w:highlight w:val="none"/>
          <w:lang w:eastAsia="zh-CN"/>
        </w:rPr>
        <w:t>投标人提供7*24小时热线电话服务，并确定专人协调处理。</w:t>
      </w:r>
    </w:p>
    <w:p w14:paraId="7FC7CDBC">
      <w:pPr>
        <w:autoSpaceDE w:val="0"/>
        <w:autoSpaceDN w:val="0"/>
        <w:adjustRightInd w:val="0"/>
        <w:spacing w:beforeLines="0"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3.4 </w:t>
      </w:r>
      <w:r>
        <w:rPr>
          <w:rFonts w:hint="eastAsia" w:ascii="宋体" w:hAnsi="宋体" w:eastAsia="宋体" w:cs="宋体"/>
          <w:color w:val="auto"/>
          <w:sz w:val="24"/>
          <w:highlight w:val="none"/>
          <w:lang w:eastAsia="zh-CN"/>
        </w:rPr>
        <w:t>投标人应确保整个系统设备完好率不低于97%，镜面清洁率达到100%，无遮挡率达到100%。</w:t>
      </w:r>
    </w:p>
    <w:p w14:paraId="427862BF">
      <w:pPr>
        <w:autoSpaceDE w:val="0"/>
        <w:autoSpaceDN w:val="0"/>
        <w:adjustRightInd w:val="0"/>
        <w:spacing w:beforeLines="0"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3.5 </w:t>
      </w:r>
      <w:r>
        <w:rPr>
          <w:rFonts w:hint="eastAsia" w:ascii="宋体" w:hAnsi="宋体" w:eastAsia="宋体" w:cs="宋体"/>
          <w:color w:val="auto"/>
          <w:sz w:val="24"/>
          <w:highlight w:val="none"/>
          <w:lang w:eastAsia="zh-CN"/>
        </w:rPr>
        <w:t>投标人应确保整个系统数据库具有积极有效的备份和恢复机制。</w:t>
      </w:r>
    </w:p>
    <w:p w14:paraId="4F3D1CE2">
      <w:pPr>
        <w:autoSpaceDE w:val="0"/>
        <w:autoSpaceDN w:val="0"/>
        <w:adjustRightInd w:val="0"/>
        <w:spacing w:beforeLines="0"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3.6 </w:t>
      </w:r>
      <w:r>
        <w:rPr>
          <w:rFonts w:hint="eastAsia" w:ascii="宋体" w:hAnsi="宋体" w:eastAsia="宋体" w:cs="宋体"/>
          <w:color w:val="auto"/>
          <w:sz w:val="24"/>
          <w:highlight w:val="none"/>
          <w:lang w:eastAsia="zh-CN"/>
        </w:rPr>
        <w:t>投标人应</w:t>
      </w:r>
      <w:r>
        <w:rPr>
          <w:rFonts w:hint="eastAsia" w:ascii="宋体" w:hAnsi="宋体" w:eastAsia="宋体" w:cs="宋体"/>
          <w:color w:val="auto"/>
          <w:sz w:val="24"/>
          <w:highlight w:val="none"/>
          <w:lang w:val="en-US" w:eastAsia="zh-CN"/>
        </w:rPr>
        <w:t>具备</w:t>
      </w:r>
      <w:r>
        <w:rPr>
          <w:rFonts w:hint="eastAsia" w:ascii="宋体" w:hAnsi="宋体" w:eastAsia="宋体" w:cs="宋体"/>
          <w:color w:val="auto"/>
          <w:sz w:val="24"/>
          <w:highlight w:val="none"/>
          <w:lang w:eastAsia="zh-CN"/>
        </w:rPr>
        <w:t>运行维护</w:t>
      </w:r>
      <w:r>
        <w:rPr>
          <w:rFonts w:hint="eastAsia" w:ascii="宋体" w:hAnsi="宋体" w:eastAsia="宋体" w:cs="宋体"/>
          <w:color w:val="auto"/>
          <w:sz w:val="24"/>
          <w:highlight w:val="none"/>
          <w:lang w:val="en-US" w:eastAsia="zh-CN"/>
        </w:rPr>
        <w:t>能力</w:t>
      </w:r>
      <w:r>
        <w:rPr>
          <w:rFonts w:hint="eastAsia" w:ascii="宋体" w:hAnsi="宋体" w:eastAsia="宋体" w:cs="宋体"/>
          <w:color w:val="auto"/>
          <w:sz w:val="24"/>
          <w:highlight w:val="none"/>
          <w:lang w:eastAsia="zh-CN"/>
        </w:rPr>
        <w:t>和展示环境。</w:t>
      </w:r>
    </w:p>
    <w:p w14:paraId="7F33A72E">
      <w:pPr>
        <w:autoSpaceDE w:val="0"/>
        <w:autoSpaceDN w:val="0"/>
        <w:adjustRightInd w:val="0"/>
        <w:spacing w:beforeLines="0"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3.7 </w:t>
      </w:r>
      <w:r>
        <w:rPr>
          <w:rFonts w:hint="eastAsia" w:ascii="宋体" w:hAnsi="宋体" w:eastAsia="宋体" w:cs="宋体"/>
          <w:color w:val="auto"/>
          <w:sz w:val="24"/>
          <w:highlight w:val="none"/>
          <w:lang w:eastAsia="zh-CN"/>
        </w:rPr>
        <w:t>投标人针对本项目明确专职管理人员及其他专职运维人员，并配备相应的运维设备。</w:t>
      </w:r>
    </w:p>
    <w:p w14:paraId="7C358B5C">
      <w:pPr>
        <w:autoSpaceDE w:val="0"/>
        <w:autoSpaceDN w:val="0"/>
        <w:adjustRightInd w:val="0"/>
        <w:spacing w:beforeLines="0"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3.8 </w:t>
      </w:r>
      <w:r>
        <w:rPr>
          <w:rFonts w:hint="eastAsia" w:ascii="宋体" w:hAnsi="宋体" w:eastAsia="宋体" w:cs="宋体"/>
          <w:color w:val="auto"/>
          <w:sz w:val="24"/>
          <w:highlight w:val="none"/>
          <w:lang w:eastAsia="zh-CN"/>
        </w:rPr>
        <w:t>投标人针对本项目应配备各类相应的维修机动车辆。</w:t>
      </w:r>
    </w:p>
    <w:p w14:paraId="2AA84F9A">
      <w:pPr>
        <w:autoSpaceDE w:val="0"/>
        <w:autoSpaceDN w:val="0"/>
        <w:adjustRightInd w:val="0"/>
        <w:spacing w:beforeLines="0"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3.9 </w:t>
      </w:r>
      <w:r>
        <w:rPr>
          <w:rFonts w:hint="eastAsia" w:ascii="宋体" w:hAnsi="宋体" w:eastAsia="宋体" w:cs="宋体"/>
          <w:color w:val="auto"/>
          <w:sz w:val="24"/>
          <w:highlight w:val="none"/>
          <w:lang w:eastAsia="zh-CN"/>
        </w:rPr>
        <w:t>每天对设备进行一次巡检，定期进行镜面及外罩清洁，及时进行遮挡树枝的修理。</w:t>
      </w:r>
    </w:p>
    <w:p w14:paraId="01267C48">
      <w:pPr>
        <w:autoSpaceDE w:val="0"/>
        <w:autoSpaceDN w:val="0"/>
        <w:adjustRightInd w:val="0"/>
        <w:spacing w:beforeLines="0"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3.10 </w:t>
      </w:r>
      <w:r>
        <w:rPr>
          <w:rFonts w:hint="eastAsia" w:ascii="宋体" w:hAnsi="宋体" w:eastAsia="宋体" w:cs="宋体"/>
          <w:color w:val="auto"/>
          <w:sz w:val="24"/>
          <w:highlight w:val="none"/>
          <w:lang w:eastAsia="zh-CN"/>
        </w:rPr>
        <w:t>如遇重大活动和重要保障任务时，接采购人通知时应立即进行巡检和清洁，对系统存在的潜在安全或故障隐患进行分析并提出相应的解决方案加以排除。</w:t>
      </w:r>
    </w:p>
    <w:p w14:paraId="75E149ED">
      <w:pPr>
        <w:autoSpaceDE w:val="0"/>
        <w:autoSpaceDN w:val="0"/>
        <w:adjustRightInd w:val="0"/>
        <w:spacing w:beforeLines="0" w:after="0" w:line="500" w:lineRule="exact"/>
        <w:ind w:firstLine="480" w:firstLineChars="200"/>
        <w:rPr>
          <w:rFonts w:ascii="宋体" w:hAnsi="宋体" w:eastAsia="宋体" w:cs="宋体"/>
          <w:b/>
          <w:color w:val="auto"/>
          <w:sz w:val="24"/>
          <w:highlight w:val="none"/>
          <w:lang w:eastAsia="zh-CN" w:bidi="ar"/>
        </w:rPr>
      </w:pPr>
      <w:r>
        <w:rPr>
          <w:rFonts w:hint="eastAsia" w:ascii="宋体" w:hAnsi="宋体" w:eastAsia="宋体" w:cs="宋体"/>
          <w:color w:val="auto"/>
          <w:sz w:val="24"/>
          <w:highlight w:val="none"/>
          <w:lang w:val="en-US" w:eastAsia="zh-CN"/>
        </w:rPr>
        <w:t xml:space="preserve">3.11 </w:t>
      </w:r>
      <w:r>
        <w:rPr>
          <w:rFonts w:hint="eastAsia" w:ascii="宋体" w:hAnsi="宋体" w:eastAsia="宋体" w:cs="宋体"/>
          <w:color w:val="auto"/>
          <w:sz w:val="24"/>
          <w:highlight w:val="none"/>
          <w:lang w:eastAsia="zh-CN"/>
        </w:rPr>
        <w:t>针对本项目中的所有前端设备，投标人需在备件库中有高于或等同于本项目设备型号或系列的备品备件，对无法及时修复的设备先行免费更换；备品储备量需达到本项目设备的5%。</w:t>
      </w:r>
    </w:p>
    <w:p w14:paraId="5CEF04B3">
      <w:pPr>
        <w:autoSpaceDE w:val="0"/>
        <w:autoSpaceDN w:val="0"/>
        <w:adjustRightInd w:val="0"/>
        <w:spacing w:beforeLines="0"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4、系统升级要求</w:t>
      </w:r>
    </w:p>
    <w:p w14:paraId="2A12DF74">
      <w:pPr>
        <w:autoSpaceDE w:val="0"/>
        <w:autoSpaceDN w:val="0"/>
        <w:adjustRightInd w:val="0"/>
        <w:spacing w:beforeLines="0"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在质保期内，系统内各类软、硬件因生产厂家停产、升级导致的无法使用原有型号设备进行维修或更换的，经采购人确认后，投标人可以使用不低于原有型号设备性能的替代产品或使用升级后的产品进行替换。由此引起的原有系统平台以及服务需要更新升级的，采购人不再承担任何费用。</w:t>
      </w:r>
    </w:p>
    <w:p w14:paraId="0B290FF4">
      <w:pPr>
        <w:autoSpaceDE w:val="0"/>
        <w:autoSpaceDN w:val="0"/>
        <w:adjustRightInd w:val="0"/>
        <w:spacing w:beforeLines="0"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如采购人要求该系统接入其他平台，投标人应配合完成，对系统软件和接口进行调整。</w:t>
      </w:r>
    </w:p>
    <w:p w14:paraId="45E36A86">
      <w:pPr>
        <w:autoSpaceDE w:val="0"/>
        <w:autoSpaceDN w:val="0"/>
        <w:adjustRightInd w:val="0"/>
        <w:spacing w:beforeLines="0"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投标人在产品升级前应做好充分准备，并以书面的形式提前告知采购人，在不中断正常服务的前提下进行产品升级，同时做好事件记录。</w:t>
      </w:r>
    </w:p>
    <w:p w14:paraId="0379AF16">
      <w:pPr>
        <w:autoSpaceDE w:val="0"/>
        <w:autoSpaceDN w:val="0"/>
        <w:adjustRightInd w:val="0"/>
        <w:spacing w:beforeLines="0" w:after="0" w:line="500" w:lineRule="exact"/>
        <w:rPr>
          <w:rFonts w:ascii="宋体" w:hAnsi="宋体" w:eastAsia="宋体" w:cs="宋体"/>
          <w:b/>
          <w:bCs/>
          <w:color w:val="auto"/>
          <w:sz w:val="24"/>
          <w:highlight w:val="none"/>
          <w:lang w:val="zh-CN" w:eastAsia="zh-CN"/>
        </w:rPr>
      </w:pPr>
      <w:r>
        <w:rPr>
          <w:rFonts w:hint="eastAsia" w:ascii="宋体" w:hAnsi="宋体" w:eastAsia="宋体" w:cs="宋体"/>
          <w:b/>
          <w:bCs/>
          <w:color w:val="auto"/>
          <w:sz w:val="24"/>
          <w:highlight w:val="none"/>
          <w:lang w:eastAsia="zh-CN"/>
        </w:rPr>
        <w:t>五</w:t>
      </w:r>
      <w:r>
        <w:rPr>
          <w:rFonts w:hint="eastAsia" w:ascii="宋体" w:hAnsi="宋体" w:eastAsia="宋体" w:cs="宋体"/>
          <w:b/>
          <w:bCs/>
          <w:color w:val="auto"/>
          <w:sz w:val="24"/>
          <w:highlight w:val="none"/>
          <w:lang w:val="zh-CN" w:eastAsia="zh-CN"/>
        </w:rPr>
        <w:t>、综合说明</w:t>
      </w:r>
    </w:p>
    <w:p w14:paraId="39C03953">
      <w:pPr>
        <w:spacing w:beforeLines="0" w:after="0" w:line="500" w:lineRule="exact"/>
        <w:ind w:firstLine="424" w:firstLineChars="177"/>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1、响应供应商须保证所提供的响应文件真实有效，如因投标响应单位的响应文件不实而造成的后果由各投标响应单位自行承担。有虚假应标行为经查实的响应文件，评标小组有权予以其废标。</w:t>
      </w:r>
    </w:p>
    <w:p w14:paraId="7F7F4662">
      <w:pPr>
        <w:pStyle w:val="231"/>
        <w:spacing w:beforeLines="0" w:after="0" w:line="500" w:lineRule="exact"/>
        <w:ind w:firstLine="424" w:firstLineChars="177"/>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、投标人应对所投项目的全部内容进行报价，只投其中部分内容者，其标书将被拒绝。</w:t>
      </w:r>
    </w:p>
    <w:p w14:paraId="73C913F2">
      <w:pPr>
        <w:pStyle w:val="231"/>
        <w:spacing w:beforeLines="0" w:after="0" w:line="500" w:lineRule="exact"/>
        <w:ind w:firstLine="424" w:firstLineChars="177"/>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、中标供应商对货物缺陷不予更正，采购有权另请其他单位更正。</w:t>
      </w:r>
    </w:p>
    <w:p w14:paraId="01117C5B">
      <w:pPr>
        <w:pStyle w:val="231"/>
        <w:spacing w:beforeLines="0" w:after="0" w:line="500" w:lineRule="exact"/>
        <w:ind w:firstLine="424" w:firstLineChars="177"/>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、中标供应商须按照本招标文件的要求对该招标项目进行工作。</w:t>
      </w:r>
    </w:p>
    <w:p w14:paraId="474E1800">
      <w:pPr>
        <w:pStyle w:val="231"/>
        <w:spacing w:beforeLines="0" w:after="0" w:line="500" w:lineRule="exact"/>
        <w:ind w:firstLine="424" w:firstLineChars="177"/>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、如遇采购范围内有大的调整情况，采购人将提前告知中标供应商。</w:t>
      </w:r>
    </w:p>
    <w:p w14:paraId="7EFDEB44">
      <w:pPr>
        <w:pStyle w:val="231"/>
        <w:spacing w:beforeLines="0" w:after="0" w:line="500" w:lineRule="exact"/>
        <w:ind w:firstLine="424" w:firstLineChars="177"/>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lang w:eastAsia="zh-CN"/>
        </w:rPr>
        <w:t>、投标单位所提供的相关货物应符合根据国家标准和规范，并遵循招标文件的要求，其货物的质量和标准应达到或优于招标文件要求，并提供详细的说明。如其中某些条款不能完全满足时，应在投标文件中逐条列出。</w:t>
      </w:r>
    </w:p>
    <w:p w14:paraId="65C187E1">
      <w:pPr>
        <w:pStyle w:val="231"/>
        <w:spacing w:beforeLines="0" w:after="0" w:line="500" w:lineRule="exact"/>
        <w:ind w:firstLine="424" w:firstLineChars="177"/>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lang w:eastAsia="zh-CN"/>
        </w:rPr>
        <w:t>、招标文件提出的是最低限度的产品要求，并未对一切细节做出规定，也未充分引述全部有关标准和规范的条文，投标人提供的所有货物内容都应符合已颁布的现行中华人民共和国认可的（部颁、行业）标准和国际标准化组织以及等效或更优的其他国家的权威性标准和规范的有关条文。如果这些标准内容有矛盾时，应按最高标准的条款执行。</w:t>
      </w:r>
    </w:p>
    <w:p w14:paraId="3BF7D267">
      <w:pPr>
        <w:pStyle w:val="231"/>
        <w:spacing w:beforeLines="0" w:after="0" w:line="500" w:lineRule="exact"/>
        <w:ind w:firstLine="424" w:firstLineChars="177"/>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lang w:eastAsia="zh-CN"/>
        </w:rPr>
        <w:t>、在安装调试过程中，应满足采购单位提出的合理要求。</w:t>
      </w:r>
    </w:p>
    <w:p w14:paraId="4A00B325">
      <w:pPr>
        <w:pStyle w:val="231"/>
        <w:spacing w:beforeLines="0" w:after="0" w:line="500" w:lineRule="exact"/>
        <w:ind w:firstLine="424" w:firstLineChars="177"/>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lang w:eastAsia="zh-CN"/>
        </w:rPr>
        <w:t>、凡涉及招标文件的补充说明和修改，均以江苏省政府采购网、苏州市政府采购网发布的内容为准。</w:t>
      </w:r>
    </w:p>
    <w:p w14:paraId="1CE1A607">
      <w:pPr>
        <w:pStyle w:val="198"/>
        <w:spacing w:line="500" w:lineRule="exact"/>
        <w:rPr>
          <w:rFonts w:ascii="宋体" w:hAnsi="宋体" w:eastAsia="宋体" w:cs="宋体"/>
          <w:b/>
          <w:sz w:val="24"/>
          <w:szCs w:val="24"/>
          <w:highlight w:val="none"/>
          <w:lang w:eastAsia="zh-CN"/>
        </w:rPr>
      </w:pPr>
    </w:p>
    <w:p w14:paraId="408E94E7">
      <w:pPr>
        <w:pStyle w:val="198"/>
        <w:spacing w:line="500" w:lineRule="exact"/>
        <w:rPr>
          <w:rFonts w:ascii="宋体" w:hAnsi="宋体" w:eastAsia="宋体" w:cs="宋体"/>
          <w:b/>
          <w:sz w:val="24"/>
          <w:szCs w:val="24"/>
          <w:highlight w:val="none"/>
          <w:lang w:eastAsia="zh-CN"/>
        </w:rPr>
      </w:pPr>
    </w:p>
    <w:p w14:paraId="309F3876">
      <w:pPr>
        <w:pStyle w:val="198"/>
        <w:spacing w:line="460" w:lineRule="exact"/>
        <w:rPr>
          <w:rFonts w:ascii="宋体" w:hAnsi="宋体" w:eastAsia="宋体" w:cs="宋体"/>
          <w:b/>
          <w:sz w:val="24"/>
          <w:szCs w:val="24"/>
          <w:highlight w:val="none"/>
          <w:lang w:eastAsia="zh-CN"/>
        </w:rPr>
      </w:pPr>
    </w:p>
    <w:p w14:paraId="3C4C9DDC">
      <w:pPr>
        <w:pStyle w:val="198"/>
        <w:spacing w:line="460" w:lineRule="exact"/>
        <w:rPr>
          <w:rFonts w:ascii="宋体" w:hAnsi="宋体" w:eastAsia="宋体" w:cs="宋体"/>
          <w:b/>
          <w:sz w:val="24"/>
          <w:szCs w:val="24"/>
          <w:highlight w:val="none"/>
          <w:lang w:eastAsia="zh-CN"/>
        </w:rPr>
      </w:pPr>
    </w:p>
    <w:p w14:paraId="44471788">
      <w:pPr>
        <w:spacing w:line="50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附件1：服务类项目履约验收方案</w:t>
      </w:r>
      <w:r>
        <w:rPr>
          <w:rFonts w:hint="eastAsia" w:ascii="宋体" w:hAnsi="宋体" w:eastAsia="宋体" w:cs="宋体"/>
          <w:sz w:val="24"/>
          <w:szCs w:val="24"/>
          <w:highlight w:val="none"/>
          <w:lang w:eastAsia="zh-CN"/>
        </w:rPr>
        <w:t>（模板，具体验收方案以本项目管理考核办法为准）</w:t>
      </w:r>
    </w:p>
    <w:p w14:paraId="5EDDC8E0">
      <w:pPr>
        <w:pStyle w:val="198"/>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一、项目概况</w:t>
      </w:r>
    </w:p>
    <w:p w14:paraId="68BE39E3">
      <w:pPr>
        <w:pStyle w:val="198"/>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项目编号：</w:t>
      </w:r>
    </w:p>
    <w:p w14:paraId="67C16CF2">
      <w:pPr>
        <w:pStyle w:val="198"/>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项目名称：</w:t>
      </w:r>
    </w:p>
    <w:p w14:paraId="313CE4CA">
      <w:pPr>
        <w:pStyle w:val="198"/>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供应商名称：</w:t>
      </w:r>
    </w:p>
    <w:p w14:paraId="7E520CB9">
      <w:pPr>
        <w:pStyle w:val="198"/>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合同金额：</w:t>
      </w:r>
    </w:p>
    <w:p w14:paraId="6C7B0971">
      <w:pPr>
        <w:pStyle w:val="198"/>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验收主体：</w:t>
      </w:r>
    </w:p>
    <w:p w14:paraId="23C36ACE">
      <w:pPr>
        <w:pStyle w:val="198"/>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二、验收目的</w:t>
      </w:r>
    </w:p>
    <w:p w14:paraId="0B3A8E67">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p>
    <w:p w14:paraId="3F658D88">
      <w:pPr>
        <w:pStyle w:val="198"/>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三、验收依据</w:t>
      </w:r>
    </w:p>
    <w:p w14:paraId="2F0CB4FC">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7E1B203B">
      <w:pPr>
        <w:pStyle w:val="198"/>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四、验收责任主体</w:t>
      </w:r>
    </w:p>
    <w:p w14:paraId="28B8337A">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2E8D60F3">
      <w:pPr>
        <w:pStyle w:val="198"/>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五、验收准备</w:t>
      </w:r>
    </w:p>
    <w:p w14:paraId="0F5D4DED">
      <w:pPr>
        <w:pStyle w:val="198"/>
        <w:spacing w:line="460" w:lineRule="exact"/>
        <w:ind w:firstLine="482" w:firstLineChars="200"/>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5.1、验收准备</w:t>
      </w:r>
    </w:p>
    <w:p w14:paraId="3F49A37C">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5.1.1、政府采购合同约定的履约验收条件达到，采购人应当在5个工作 日内启动履约验收工作，并向供应商发出政府采购履约验收通知单。</w:t>
      </w:r>
    </w:p>
    <w:p w14:paraId="0FD8891C">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5.1.2、供应商应当配合采购人、采购代理机构做好项目验收工作，及时提供与项目验收相关的生产、技术、服务、数量、质量、安全、合格证明及验收所必须具备的其他材料。</w:t>
      </w:r>
    </w:p>
    <w:p w14:paraId="5D824815">
      <w:pPr>
        <w:pStyle w:val="198"/>
        <w:spacing w:line="460" w:lineRule="exact"/>
        <w:ind w:firstLine="482" w:firstLineChars="200"/>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5.2、验收小组</w:t>
      </w:r>
    </w:p>
    <w:p w14:paraId="2FED7090">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72C6BDBD">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7ABAAA11">
      <w:pPr>
        <w:pStyle w:val="198"/>
        <w:spacing w:line="460" w:lineRule="exact"/>
        <w:ind w:firstLine="482" w:firstLineChars="200"/>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5.3、参与验收人员</w:t>
      </w:r>
    </w:p>
    <w:p w14:paraId="5768A679">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5.3.1、技术复杂或专业性强的政府采购项目，可以邀请有资质的第三方专业机构参加验收并出具专业意见。</w:t>
      </w:r>
    </w:p>
    <w:p w14:paraId="7D31F75F">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5.3.2、对于采购人和使用人分离的采购项目，采购人或其委托的采购代理机构应当邀请实际使用人参与验收。</w:t>
      </w:r>
    </w:p>
    <w:p w14:paraId="2BE4DE8E">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5.3.3、政府向社会公众提供的公共服务项目，验收时应当邀请服务对象进行公共服务项目满意度评价，评价结果作为履约验收的参考依据。</w:t>
      </w:r>
    </w:p>
    <w:p w14:paraId="5BEE3339">
      <w:pPr>
        <w:pStyle w:val="198"/>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六、验收方式(形式)</w:t>
      </w:r>
    </w:p>
    <w:p w14:paraId="5A839892">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6.1、日常考核、分段验收</w:t>
      </w:r>
    </w:p>
    <w:p w14:paraId="5A7F1EAA">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对于一次性整体验收不能反映履约情况的服务类项目，需要在服务期内对供应商服务实施情况进行日常考核、分段验收，应科学确定检查周期或分段节点，指派具体考核人员，分别实施验收。</w:t>
      </w:r>
    </w:p>
    <w:p w14:paraId="542AD5AE">
      <w:pPr>
        <w:pStyle w:val="198"/>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七、验收内容：</w:t>
      </w:r>
    </w:p>
    <w:p w14:paraId="651A5322">
      <w:pPr>
        <w:pStyle w:val="198"/>
        <w:spacing w:line="460" w:lineRule="exact"/>
        <w:ind w:firstLine="482" w:firstLineChars="200"/>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7.1、验收内容</w:t>
      </w:r>
    </w:p>
    <w:p w14:paraId="5875FAAF">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p>
    <w:p w14:paraId="15063BF6">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7.1.2、项目验收范围应当完整，与采购合同一致，不得省略、遗漏和缺失，也不得擅自扩大范围。</w:t>
      </w:r>
    </w:p>
    <w:p w14:paraId="3C4EB2F8">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7.1.3、项目验收标准应包括所有客观、量化指标，符合采购合同约定，未进行相应约定的，应当符合法律法规、政策要求、国家标准、行业标准，地方标准或企业标准等有关标准。</w:t>
      </w:r>
    </w:p>
    <w:p w14:paraId="2EC2A4B1">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7.1.4、项目验收意见应当客观真实。验收小组成员意见不一致时，按照少数服从多数的原则作出验收意见。</w:t>
      </w:r>
    </w:p>
    <w:p w14:paraId="237A971E">
      <w:pPr>
        <w:pStyle w:val="198"/>
        <w:spacing w:line="460" w:lineRule="exact"/>
        <w:ind w:firstLine="482" w:firstLineChars="200"/>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7.2、验收记录</w:t>
      </w:r>
    </w:p>
    <w:p w14:paraId="3DB5AB8C">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7.2.1、验收小组应当要求参与验收的供应商、专业机构、专家和服务对象等出具书面意见，作为验收书的重要组成部分。</w:t>
      </w:r>
    </w:p>
    <w:p w14:paraId="0E4797BD">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6507E869">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7.2.3、验收结束后，验收小组应在验收书中作出最终验收意见，验收小组成员对验收意见有异议的，应当在验收意见栏签署不同意见并说明理由，否则视为同意验收意见。验收意见由供应商盖章确认后报采购人。</w:t>
      </w:r>
    </w:p>
    <w:p w14:paraId="2268BF9A">
      <w:pPr>
        <w:pStyle w:val="198"/>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八、验收结果</w:t>
      </w:r>
    </w:p>
    <w:p w14:paraId="2BB6F138">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8.1采购人、供应商应当对验收小组出具的验收意见进行确认，并形成政府采购履约验收书。对验收意见存在异议的，采购人与供应商双方可以协商解决，或通过法律途径解决。</w:t>
      </w:r>
    </w:p>
    <w:p w14:paraId="58EA82E0">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8.2项目履约验收合格的，采购人应当根据政府采购合同约定及时向供应商支付采购资金、退还履约保证金，不得拖延、拖欠或非法扣留。</w:t>
      </w:r>
    </w:p>
    <w:p w14:paraId="0594B4D7">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8.3项目验收不合格的，采购人应当停止支付采购资金，并按照政府采购合同约定追究供应商违约责任。</w:t>
      </w:r>
    </w:p>
    <w:p w14:paraId="35D72DD6">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8.4涉及分期（分段）验收的项目，采购人应当开展阶段性验收，并出具阶段性验收意见，最后形成总验收意见。</w:t>
      </w:r>
    </w:p>
    <w:p w14:paraId="56535463">
      <w:pPr>
        <w:pStyle w:val="198"/>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九、验收资料归档</w:t>
      </w:r>
    </w:p>
    <w:p w14:paraId="722AE633">
      <w:pPr>
        <w:spacing w:after="0" w:line="440" w:lineRule="exact"/>
        <w:ind w:firstLine="425"/>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项目履约验收完结后，采购人应当将验收小组名单、验收方案、验收原始记录、验收结果等资料作为采购项目档案 妥善保管，不得伪造、编造、隐匿或者违规销毁。</w:t>
      </w:r>
    </w:p>
    <w:p w14:paraId="444BC1CE">
      <w:pPr>
        <w:pStyle w:val="198"/>
        <w:spacing w:line="460" w:lineRule="exact"/>
        <w:rPr>
          <w:rFonts w:ascii="宋体" w:hAnsi="宋体" w:eastAsia="宋体" w:cs="宋体"/>
          <w:spacing w:val="9"/>
          <w:sz w:val="24"/>
          <w:szCs w:val="24"/>
          <w:highlight w:val="none"/>
          <w:lang w:eastAsia="zh-CN"/>
        </w:rPr>
      </w:pPr>
    </w:p>
    <w:p w14:paraId="4AE45DDE">
      <w:pPr>
        <w:pStyle w:val="198"/>
        <w:spacing w:line="460" w:lineRule="exact"/>
        <w:rPr>
          <w:rFonts w:ascii="宋体" w:hAnsi="宋体" w:eastAsia="宋体" w:cs="宋体"/>
          <w:spacing w:val="9"/>
          <w:sz w:val="24"/>
          <w:szCs w:val="24"/>
          <w:highlight w:val="none"/>
          <w:lang w:eastAsia="zh-CN"/>
        </w:rPr>
      </w:pPr>
    </w:p>
    <w:p w14:paraId="0EFCF040">
      <w:pPr>
        <w:pStyle w:val="198"/>
        <w:spacing w:line="460" w:lineRule="exact"/>
        <w:rPr>
          <w:rFonts w:ascii="宋体" w:hAnsi="宋体" w:eastAsia="宋体" w:cs="宋体"/>
          <w:spacing w:val="9"/>
          <w:sz w:val="24"/>
          <w:szCs w:val="24"/>
          <w:highlight w:val="none"/>
          <w:lang w:eastAsia="zh-CN"/>
        </w:rPr>
      </w:pPr>
    </w:p>
    <w:p w14:paraId="64E3B828">
      <w:pPr>
        <w:pStyle w:val="198"/>
        <w:spacing w:line="460" w:lineRule="exact"/>
        <w:rPr>
          <w:rFonts w:ascii="宋体" w:hAnsi="宋体" w:eastAsia="宋体" w:cs="宋体"/>
          <w:spacing w:val="9"/>
          <w:sz w:val="24"/>
          <w:szCs w:val="24"/>
          <w:highlight w:val="none"/>
          <w:lang w:eastAsia="zh-CN"/>
        </w:rPr>
      </w:pPr>
    </w:p>
    <w:p w14:paraId="1BCD9252">
      <w:pPr>
        <w:pStyle w:val="198"/>
        <w:spacing w:line="460" w:lineRule="exact"/>
        <w:rPr>
          <w:rFonts w:ascii="宋体" w:hAnsi="宋体" w:eastAsia="宋体" w:cs="宋体"/>
          <w:spacing w:val="9"/>
          <w:sz w:val="24"/>
          <w:szCs w:val="24"/>
          <w:highlight w:val="none"/>
          <w:lang w:eastAsia="zh-CN"/>
        </w:rPr>
      </w:pPr>
    </w:p>
    <w:p w14:paraId="60D820F8">
      <w:pPr>
        <w:spacing w:after="0" w:line="240" w:lineRule="auto"/>
        <w:rPr>
          <w:rFonts w:ascii="宋体" w:hAnsi="宋体" w:eastAsia="宋体" w:cs="宋体"/>
          <w:b/>
          <w:spacing w:val="9"/>
          <w:sz w:val="36"/>
          <w:szCs w:val="36"/>
          <w:highlight w:val="none"/>
          <w:lang w:eastAsia="zh-CN"/>
        </w:rPr>
      </w:pPr>
      <w:r>
        <w:rPr>
          <w:rFonts w:hint="eastAsia" w:ascii="宋体" w:hAnsi="宋体" w:eastAsia="宋体" w:cs="宋体"/>
          <w:b/>
          <w:spacing w:val="9"/>
          <w:sz w:val="36"/>
          <w:szCs w:val="36"/>
          <w:highlight w:val="none"/>
          <w:lang w:eastAsia="zh-CN"/>
        </w:rPr>
        <w:br w:type="page"/>
      </w:r>
    </w:p>
    <w:p w14:paraId="5109FBB2">
      <w:pPr>
        <w:pBdr>
          <w:top w:val="none" w:color="000000" w:sz="0" w:space="0"/>
          <w:left w:val="none" w:color="000000" w:sz="0" w:space="0"/>
          <w:bottom w:val="none" w:color="000000" w:sz="0" w:space="0"/>
          <w:right w:val="none" w:color="000000" w:sz="0" w:space="0"/>
        </w:pBdr>
        <w:spacing w:before="240" w:after="240" w:line="439" w:lineRule="atLeast"/>
        <w:ind w:firstLine="378"/>
        <w:jc w:val="center"/>
        <w:rPr>
          <w:rFonts w:ascii="宋体" w:hAnsi="宋体" w:eastAsia="宋体" w:cs="宋体"/>
          <w:b/>
          <w:sz w:val="44"/>
          <w:highlight w:val="none"/>
          <w:lang w:eastAsia="zh-CN"/>
        </w:rPr>
      </w:pPr>
      <w:r>
        <w:rPr>
          <w:rFonts w:hint="eastAsia" w:ascii="宋体" w:hAnsi="宋体" w:eastAsia="宋体" w:cs="宋体"/>
          <w:b/>
          <w:spacing w:val="9"/>
          <w:sz w:val="36"/>
          <w:szCs w:val="36"/>
          <w:highlight w:val="none"/>
          <w:lang w:eastAsia="zh-CN"/>
        </w:rPr>
        <w:t>政府采购履约验收书(服务类）</w:t>
      </w:r>
    </w:p>
    <w:tbl>
      <w:tblPr>
        <w:tblStyle w:val="43"/>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76"/>
        <w:gridCol w:w="1276"/>
        <w:gridCol w:w="1275"/>
        <w:gridCol w:w="1418"/>
        <w:gridCol w:w="425"/>
        <w:gridCol w:w="851"/>
        <w:gridCol w:w="1134"/>
        <w:gridCol w:w="1842"/>
      </w:tblGrid>
      <w:tr w14:paraId="6EAC8C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29AD368">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采购人</w:t>
            </w:r>
          </w:p>
        </w:tc>
        <w:tc>
          <w:tcPr>
            <w:tcW w:w="1276" w:type="dxa"/>
            <w:tcBorders>
              <w:top w:val="single" w:color="000000" w:sz="2" w:space="0"/>
              <w:left w:val="single" w:color="000000" w:sz="2" w:space="0"/>
              <w:bottom w:val="single" w:color="000000" w:sz="2" w:space="0"/>
              <w:right w:val="single" w:color="000000" w:sz="2" w:space="0"/>
            </w:tcBorders>
            <w:vAlign w:val="center"/>
          </w:tcPr>
          <w:p w14:paraId="0FFDB518">
            <w:pPr>
              <w:spacing w:line="300" w:lineRule="exact"/>
              <w:jc w:val="center"/>
              <w:rPr>
                <w:rFonts w:ascii="宋体" w:hAnsi="宋体" w:eastAsia="宋体" w:cs="宋体"/>
                <w:sz w:val="18"/>
                <w:szCs w:val="18"/>
                <w:highlight w:val="none"/>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5AEFC9CC">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项目名称</w:t>
            </w:r>
          </w:p>
        </w:tc>
        <w:tc>
          <w:tcPr>
            <w:tcW w:w="1418" w:type="dxa"/>
            <w:tcBorders>
              <w:top w:val="single" w:color="000000" w:sz="2" w:space="0"/>
              <w:left w:val="single" w:color="000000" w:sz="2" w:space="0"/>
              <w:bottom w:val="single" w:color="000000" w:sz="2" w:space="0"/>
              <w:right w:val="single" w:color="000000" w:sz="2" w:space="0"/>
            </w:tcBorders>
            <w:vAlign w:val="center"/>
          </w:tcPr>
          <w:p w14:paraId="4D762663">
            <w:pPr>
              <w:spacing w:line="300" w:lineRule="exact"/>
              <w:jc w:val="center"/>
              <w:rPr>
                <w:rFonts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01CFAA8D">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合同名称</w:t>
            </w:r>
          </w:p>
        </w:tc>
        <w:tc>
          <w:tcPr>
            <w:tcW w:w="1842" w:type="dxa"/>
            <w:tcBorders>
              <w:top w:val="single" w:color="000000" w:sz="2" w:space="0"/>
              <w:left w:val="single" w:color="000000" w:sz="2" w:space="0"/>
              <w:bottom w:val="single" w:color="000000" w:sz="2" w:space="0"/>
              <w:right w:val="single" w:color="000000" w:sz="2" w:space="0"/>
            </w:tcBorders>
            <w:vAlign w:val="center"/>
          </w:tcPr>
          <w:p w14:paraId="76B3FCBB">
            <w:pPr>
              <w:spacing w:line="300" w:lineRule="exact"/>
              <w:jc w:val="center"/>
              <w:rPr>
                <w:rFonts w:ascii="宋体" w:hAnsi="宋体" w:eastAsia="宋体" w:cs="宋体"/>
                <w:sz w:val="18"/>
                <w:szCs w:val="18"/>
                <w:highlight w:val="none"/>
                <w:lang w:bidi="ar"/>
              </w:rPr>
            </w:pPr>
          </w:p>
        </w:tc>
      </w:tr>
      <w:tr w14:paraId="3B0BE4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06B1887C">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供应商</w:t>
            </w:r>
          </w:p>
        </w:tc>
        <w:tc>
          <w:tcPr>
            <w:tcW w:w="1276" w:type="dxa"/>
            <w:tcBorders>
              <w:top w:val="single" w:color="000000" w:sz="2" w:space="0"/>
              <w:left w:val="single" w:color="000000" w:sz="2" w:space="0"/>
              <w:bottom w:val="single" w:color="000000" w:sz="2" w:space="0"/>
              <w:right w:val="single" w:color="000000" w:sz="2" w:space="0"/>
            </w:tcBorders>
            <w:vAlign w:val="center"/>
          </w:tcPr>
          <w:p w14:paraId="258C6DFB">
            <w:pPr>
              <w:spacing w:line="300" w:lineRule="exact"/>
              <w:jc w:val="center"/>
              <w:rPr>
                <w:rFonts w:ascii="宋体" w:hAnsi="宋体" w:eastAsia="宋体" w:cs="宋体"/>
                <w:sz w:val="18"/>
                <w:szCs w:val="18"/>
                <w:highlight w:val="none"/>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3F1B55A5">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项目及合同编号</w:t>
            </w:r>
          </w:p>
        </w:tc>
        <w:tc>
          <w:tcPr>
            <w:tcW w:w="1418" w:type="dxa"/>
            <w:tcBorders>
              <w:top w:val="single" w:color="000000" w:sz="2" w:space="0"/>
              <w:left w:val="single" w:color="000000" w:sz="2" w:space="0"/>
              <w:bottom w:val="single" w:color="000000" w:sz="2" w:space="0"/>
              <w:right w:val="single" w:color="000000" w:sz="2" w:space="0"/>
            </w:tcBorders>
            <w:vAlign w:val="center"/>
          </w:tcPr>
          <w:p w14:paraId="01099B00">
            <w:pPr>
              <w:spacing w:line="300" w:lineRule="exact"/>
              <w:jc w:val="center"/>
              <w:rPr>
                <w:rFonts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410EE54F">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合同金额</w:t>
            </w:r>
          </w:p>
        </w:tc>
        <w:tc>
          <w:tcPr>
            <w:tcW w:w="1842" w:type="dxa"/>
            <w:tcBorders>
              <w:top w:val="single" w:color="000000" w:sz="2" w:space="0"/>
              <w:left w:val="single" w:color="000000" w:sz="2" w:space="0"/>
              <w:bottom w:val="single" w:color="000000" w:sz="2" w:space="0"/>
              <w:right w:val="single" w:color="000000" w:sz="2" w:space="0"/>
            </w:tcBorders>
            <w:vAlign w:val="center"/>
          </w:tcPr>
          <w:p w14:paraId="5028BAE6">
            <w:pPr>
              <w:spacing w:line="300" w:lineRule="exact"/>
              <w:jc w:val="center"/>
              <w:rPr>
                <w:rFonts w:ascii="宋体" w:hAnsi="宋体" w:eastAsia="宋体" w:cs="宋体"/>
                <w:sz w:val="18"/>
                <w:szCs w:val="18"/>
                <w:highlight w:val="none"/>
                <w:lang w:bidi="ar"/>
              </w:rPr>
            </w:pPr>
          </w:p>
        </w:tc>
      </w:tr>
      <w:tr w14:paraId="073B2C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115232E2">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分期（段）验收</w:t>
            </w:r>
          </w:p>
        </w:tc>
        <w:tc>
          <w:tcPr>
            <w:tcW w:w="1276" w:type="dxa"/>
            <w:tcBorders>
              <w:top w:val="single" w:color="000000" w:sz="2" w:space="0"/>
              <w:left w:val="single" w:color="000000" w:sz="2" w:space="0"/>
              <w:bottom w:val="single" w:color="000000" w:sz="2" w:space="0"/>
              <w:right w:val="single" w:color="000000" w:sz="2" w:space="0"/>
            </w:tcBorders>
            <w:vAlign w:val="center"/>
          </w:tcPr>
          <w:p w14:paraId="6690762B">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是□   否□</w:t>
            </w:r>
          </w:p>
        </w:tc>
        <w:tc>
          <w:tcPr>
            <w:tcW w:w="1275" w:type="dxa"/>
            <w:tcBorders>
              <w:top w:val="single" w:color="000000" w:sz="2" w:space="0"/>
              <w:left w:val="single" w:color="000000" w:sz="2" w:space="0"/>
              <w:bottom w:val="single" w:color="000000" w:sz="2" w:space="0"/>
              <w:right w:val="single" w:color="000000" w:sz="2" w:space="0"/>
            </w:tcBorders>
            <w:vAlign w:val="center"/>
          </w:tcPr>
          <w:p w14:paraId="4414475C">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分期（段）情况</w:t>
            </w:r>
          </w:p>
        </w:tc>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4D912573">
            <w:pPr>
              <w:spacing w:line="300" w:lineRule="exact"/>
              <w:jc w:val="center"/>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共分   期（段），此为第   期（段）验收</w:t>
            </w:r>
          </w:p>
        </w:tc>
      </w:tr>
      <w:tr w14:paraId="3C0926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8FB14E7">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验收时间</w:t>
            </w:r>
          </w:p>
        </w:tc>
        <w:tc>
          <w:tcPr>
            <w:tcW w:w="1276" w:type="dxa"/>
            <w:tcBorders>
              <w:top w:val="single" w:color="000000" w:sz="2" w:space="0"/>
              <w:left w:val="single" w:color="000000" w:sz="2" w:space="0"/>
              <w:bottom w:val="single" w:color="000000" w:sz="2" w:space="0"/>
              <w:right w:val="single" w:color="000000" w:sz="2" w:space="0"/>
            </w:tcBorders>
            <w:vAlign w:val="center"/>
          </w:tcPr>
          <w:p w14:paraId="53F607C0">
            <w:pPr>
              <w:spacing w:line="300" w:lineRule="exact"/>
              <w:jc w:val="center"/>
              <w:rPr>
                <w:rFonts w:ascii="宋体" w:hAnsi="宋体" w:eastAsia="宋体" w:cs="宋体"/>
                <w:sz w:val="18"/>
                <w:szCs w:val="18"/>
                <w:highlight w:val="none"/>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0CFE3848">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验收地点</w:t>
            </w:r>
          </w:p>
        </w:tc>
        <w:tc>
          <w:tcPr>
            <w:tcW w:w="1418" w:type="dxa"/>
            <w:tcBorders>
              <w:top w:val="single" w:color="000000" w:sz="2" w:space="0"/>
              <w:left w:val="single" w:color="000000" w:sz="2" w:space="0"/>
              <w:bottom w:val="single" w:color="000000" w:sz="2" w:space="0"/>
              <w:right w:val="single" w:color="000000" w:sz="2" w:space="0"/>
            </w:tcBorders>
            <w:vAlign w:val="center"/>
          </w:tcPr>
          <w:p w14:paraId="6FD0C3AB">
            <w:pPr>
              <w:spacing w:line="300" w:lineRule="exact"/>
              <w:jc w:val="center"/>
              <w:rPr>
                <w:rFonts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7ABA54E8">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验收组织形式</w:t>
            </w:r>
          </w:p>
        </w:tc>
        <w:tc>
          <w:tcPr>
            <w:tcW w:w="1842" w:type="dxa"/>
            <w:tcBorders>
              <w:top w:val="single" w:color="000000" w:sz="2" w:space="0"/>
              <w:left w:val="single" w:color="000000" w:sz="2" w:space="0"/>
              <w:bottom w:val="single" w:color="000000" w:sz="2" w:space="0"/>
              <w:right w:val="single" w:color="000000" w:sz="2" w:space="0"/>
            </w:tcBorders>
            <w:vAlign w:val="center"/>
          </w:tcPr>
          <w:p w14:paraId="27BF610C">
            <w:pPr>
              <w:spacing w:line="300" w:lineRule="exact"/>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□自行简易验收</w:t>
            </w:r>
          </w:p>
          <w:p w14:paraId="0F7D544E">
            <w:pPr>
              <w:spacing w:line="300" w:lineRule="exact"/>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□验收小组验收</w:t>
            </w:r>
          </w:p>
          <w:p w14:paraId="36FBC23A">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□采购代理机构验收</w:t>
            </w:r>
          </w:p>
        </w:tc>
      </w:tr>
      <w:tr w14:paraId="550D6E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trPr>
        <w:tc>
          <w:tcPr>
            <w:tcW w:w="1276" w:type="dxa"/>
            <w:vMerge w:val="restart"/>
            <w:tcBorders>
              <w:top w:val="nil"/>
              <w:left w:val="single" w:color="000000" w:sz="2" w:space="0"/>
              <w:bottom w:val="nil"/>
              <w:right w:val="single" w:color="000000" w:sz="2" w:space="0"/>
            </w:tcBorders>
            <w:vAlign w:val="center"/>
          </w:tcPr>
          <w:p w14:paraId="043328E5">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验收内容</w:t>
            </w:r>
          </w:p>
        </w:tc>
        <w:tc>
          <w:tcPr>
            <w:tcW w:w="1276" w:type="dxa"/>
            <w:tcBorders>
              <w:top w:val="single" w:color="000000" w:sz="2" w:space="0"/>
              <w:left w:val="single" w:color="000000" w:sz="2" w:space="0"/>
              <w:bottom w:val="single" w:color="000000" w:sz="2" w:space="0"/>
              <w:right w:val="single" w:color="000000" w:sz="2" w:space="0"/>
            </w:tcBorders>
            <w:vAlign w:val="center"/>
          </w:tcPr>
          <w:p w14:paraId="0A2C4915">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服务质量</w:t>
            </w:r>
          </w:p>
        </w:tc>
        <w:tc>
          <w:tcPr>
            <w:tcW w:w="1275" w:type="dxa"/>
            <w:tcBorders>
              <w:top w:val="single" w:color="000000" w:sz="2" w:space="0"/>
              <w:left w:val="single" w:color="000000" w:sz="2" w:space="0"/>
              <w:bottom w:val="single" w:color="000000" w:sz="2" w:space="0"/>
              <w:right w:val="single" w:color="000000" w:sz="2" w:space="0"/>
            </w:tcBorders>
            <w:vAlign w:val="center"/>
          </w:tcPr>
          <w:p w14:paraId="0C8B8686">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服务进度</w:t>
            </w:r>
          </w:p>
        </w:tc>
        <w:tc>
          <w:tcPr>
            <w:tcW w:w="1418" w:type="dxa"/>
            <w:tcBorders>
              <w:top w:val="single" w:color="000000" w:sz="2" w:space="0"/>
              <w:left w:val="single" w:color="000000" w:sz="2" w:space="0"/>
              <w:bottom w:val="single" w:color="000000" w:sz="2" w:space="0"/>
              <w:right w:val="single" w:color="000000" w:sz="2" w:space="0"/>
            </w:tcBorders>
            <w:vAlign w:val="center"/>
          </w:tcPr>
          <w:p w14:paraId="1DBABC50">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人员、设备 配备情况</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1853BCAF">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行业、安全标准</w:t>
            </w:r>
          </w:p>
        </w:tc>
        <w:tc>
          <w:tcPr>
            <w:tcW w:w="1134" w:type="dxa"/>
            <w:tcBorders>
              <w:top w:val="single" w:color="000000" w:sz="2" w:space="0"/>
              <w:left w:val="single" w:color="000000" w:sz="2" w:space="0"/>
              <w:bottom w:val="single" w:color="000000" w:sz="2" w:space="0"/>
              <w:right w:val="single" w:color="000000" w:sz="2" w:space="0"/>
            </w:tcBorders>
            <w:vAlign w:val="center"/>
          </w:tcPr>
          <w:p w14:paraId="060A8219">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项目需求、服务承诺</w:t>
            </w:r>
          </w:p>
        </w:tc>
        <w:tc>
          <w:tcPr>
            <w:tcW w:w="1842" w:type="dxa"/>
            <w:tcBorders>
              <w:top w:val="single" w:color="000000" w:sz="2" w:space="0"/>
              <w:left w:val="single" w:color="000000" w:sz="2" w:space="0"/>
              <w:bottom w:val="single" w:color="000000" w:sz="2" w:space="0"/>
              <w:right w:val="single" w:color="000000" w:sz="2" w:space="0"/>
            </w:tcBorders>
            <w:vAlign w:val="center"/>
          </w:tcPr>
          <w:p w14:paraId="3EAE000E">
            <w:pPr>
              <w:spacing w:line="300" w:lineRule="exact"/>
              <w:jc w:val="center"/>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合同履约时间、 地点、方式</w:t>
            </w:r>
          </w:p>
        </w:tc>
      </w:tr>
      <w:tr w14:paraId="0F0C01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trPr>
        <w:tc>
          <w:tcPr>
            <w:tcW w:w="1276" w:type="dxa"/>
            <w:vMerge w:val="continue"/>
            <w:tcBorders>
              <w:top w:val="nil"/>
              <w:left w:val="single" w:color="000000" w:sz="2" w:space="0"/>
              <w:bottom w:val="nil"/>
              <w:right w:val="single" w:color="000000" w:sz="2" w:space="0"/>
            </w:tcBorders>
            <w:vAlign w:val="center"/>
          </w:tcPr>
          <w:p w14:paraId="16CA0466">
            <w:pPr>
              <w:spacing w:line="300" w:lineRule="exact"/>
              <w:jc w:val="center"/>
              <w:rPr>
                <w:rFonts w:ascii="宋体" w:hAnsi="宋体" w:eastAsia="宋体" w:cs="宋体"/>
                <w:sz w:val="18"/>
                <w:szCs w:val="18"/>
                <w:highlight w:val="none"/>
                <w:lang w:eastAsia="zh-CN" w:bidi="ar"/>
              </w:rPr>
            </w:pPr>
          </w:p>
        </w:tc>
        <w:tc>
          <w:tcPr>
            <w:tcW w:w="1276" w:type="dxa"/>
            <w:tcBorders>
              <w:top w:val="single" w:color="000000" w:sz="2" w:space="0"/>
              <w:left w:val="single" w:color="000000" w:sz="2" w:space="0"/>
              <w:bottom w:val="single" w:color="000000" w:sz="2" w:space="0"/>
              <w:right w:val="single" w:color="000000" w:sz="2" w:space="0"/>
            </w:tcBorders>
            <w:vAlign w:val="center"/>
          </w:tcPr>
          <w:p w14:paraId="6FBE05FF">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51CCAD12">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275" w:type="dxa"/>
            <w:tcBorders>
              <w:top w:val="single" w:color="000000" w:sz="2" w:space="0"/>
              <w:left w:val="single" w:color="000000" w:sz="2" w:space="0"/>
              <w:bottom w:val="single" w:color="000000" w:sz="2" w:space="0"/>
              <w:right w:val="single" w:color="000000" w:sz="2" w:space="0"/>
            </w:tcBorders>
            <w:vAlign w:val="center"/>
          </w:tcPr>
          <w:p w14:paraId="4B70A3A7">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按  时□ </w:t>
            </w:r>
          </w:p>
          <w:p w14:paraId="1009A33E">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不按时□</w:t>
            </w:r>
          </w:p>
        </w:tc>
        <w:tc>
          <w:tcPr>
            <w:tcW w:w="1418" w:type="dxa"/>
            <w:tcBorders>
              <w:top w:val="single" w:color="000000" w:sz="2" w:space="0"/>
              <w:left w:val="single" w:color="000000" w:sz="2" w:space="0"/>
              <w:bottom w:val="single" w:color="000000" w:sz="2" w:space="0"/>
              <w:right w:val="single" w:color="000000" w:sz="2" w:space="0"/>
            </w:tcBorders>
            <w:vAlign w:val="center"/>
          </w:tcPr>
          <w:p w14:paraId="416E9E0E">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202939C0">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0C1407F8">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1B1CB375">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30DF9ABA">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0CCBF315">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842" w:type="dxa"/>
            <w:tcBorders>
              <w:top w:val="single" w:color="000000" w:sz="2" w:space="0"/>
              <w:left w:val="single" w:color="000000" w:sz="2" w:space="0"/>
              <w:bottom w:val="single" w:color="000000" w:sz="2" w:space="0"/>
              <w:right w:val="single" w:color="000000" w:sz="2" w:space="0"/>
            </w:tcBorders>
            <w:vAlign w:val="center"/>
          </w:tcPr>
          <w:p w14:paraId="06037A3D">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51B0B943">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r>
      <w:tr w14:paraId="1093F7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6B7AD236">
            <w:pPr>
              <w:spacing w:line="300" w:lineRule="exact"/>
              <w:jc w:val="center"/>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专业检测机构情况说明</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1DCDB8E0">
            <w:pPr>
              <w:spacing w:line="300" w:lineRule="exact"/>
              <w:jc w:val="center"/>
              <w:rPr>
                <w:rFonts w:ascii="宋体" w:hAnsi="宋体" w:eastAsia="宋体" w:cs="宋体"/>
                <w:sz w:val="18"/>
                <w:szCs w:val="18"/>
                <w:highlight w:val="none"/>
                <w:lang w:eastAsia="zh-CN" w:bidi="ar"/>
              </w:rPr>
            </w:pPr>
          </w:p>
        </w:tc>
      </w:tr>
      <w:tr w14:paraId="777372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5B37F055">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存在问题</w:t>
            </w:r>
          </w:p>
          <w:p w14:paraId="6021D3AE">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和改进意见</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1CC31A48">
            <w:pPr>
              <w:spacing w:line="300" w:lineRule="exact"/>
              <w:jc w:val="center"/>
              <w:rPr>
                <w:rFonts w:ascii="宋体" w:hAnsi="宋体" w:eastAsia="宋体" w:cs="宋体"/>
                <w:sz w:val="18"/>
                <w:szCs w:val="18"/>
                <w:highlight w:val="none"/>
                <w:lang w:bidi="ar"/>
              </w:rPr>
            </w:pPr>
          </w:p>
        </w:tc>
      </w:tr>
      <w:tr w14:paraId="5EF0AC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3EBE2561">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最终结论</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110F40AA">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合  格□                              不合格□</w:t>
            </w:r>
          </w:p>
        </w:tc>
      </w:tr>
      <w:tr w14:paraId="6744AF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7F3190D7">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验收小组成员</w:t>
            </w:r>
          </w:p>
          <w:p w14:paraId="6EA0C8F6">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签字</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0FD6BF60">
            <w:pPr>
              <w:spacing w:line="300" w:lineRule="exact"/>
              <w:jc w:val="center"/>
              <w:rPr>
                <w:rFonts w:ascii="宋体" w:hAnsi="宋体" w:eastAsia="宋体" w:cs="宋体"/>
                <w:sz w:val="18"/>
                <w:szCs w:val="18"/>
                <w:highlight w:val="none"/>
                <w:lang w:bidi="ar"/>
              </w:rPr>
            </w:pPr>
          </w:p>
        </w:tc>
      </w:tr>
      <w:tr w14:paraId="7A2128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trPr>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4B3D8682">
            <w:pPr>
              <w:spacing w:line="300" w:lineRule="exact"/>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采购代理机构意见</w:t>
            </w:r>
          </w:p>
        </w:tc>
        <w:tc>
          <w:tcPr>
            <w:tcW w:w="3827" w:type="dxa"/>
            <w:gridSpan w:val="3"/>
            <w:tcBorders>
              <w:top w:val="single" w:color="000000" w:sz="2" w:space="0"/>
              <w:left w:val="single" w:color="000000" w:sz="2" w:space="0"/>
              <w:bottom w:val="single" w:color="000000" w:sz="2" w:space="0"/>
              <w:right w:val="single" w:color="000000" w:sz="2" w:space="0"/>
            </w:tcBorders>
            <w:vAlign w:val="center"/>
          </w:tcPr>
          <w:p w14:paraId="7CCFDE46">
            <w:pPr>
              <w:spacing w:line="300" w:lineRule="exact"/>
              <w:jc w:val="center"/>
              <w:rPr>
                <w:rFonts w:ascii="宋体" w:hAnsi="宋体" w:eastAsia="宋体" w:cs="宋体"/>
                <w:sz w:val="18"/>
                <w:szCs w:val="18"/>
                <w:highlight w:val="none"/>
                <w:lang w:bidi="ar"/>
              </w:rPr>
            </w:pPr>
            <w:r>
              <w:rPr>
                <w:rFonts w:hint="eastAsia" w:ascii="宋体" w:hAnsi="宋体" w:eastAsia="宋体" w:cs="宋体"/>
                <w:sz w:val="18"/>
                <w:szCs w:val="18"/>
                <w:highlight w:val="none"/>
                <w:lang w:bidi="ar"/>
              </w:rPr>
              <w:t>采购人意见</w:t>
            </w:r>
          </w:p>
        </w:tc>
      </w:tr>
      <w:tr w14:paraId="57DEF2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5670" w:type="dxa"/>
            <w:gridSpan w:val="5"/>
            <w:tcBorders>
              <w:top w:val="single" w:color="000000" w:sz="2" w:space="0"/>
              <w:left w:val="single" w:color="000000" w:sz="2" w:space="0"/>
              <w:bottom w:val="single" w:color="000000" w:sz="2" w:space="0"/>
              <w:right w:val="single" w:color="000000" w:sz="2" w:space="0"/>
            </w:tcBorders>
          </w:tcPr>
          <w:p w14:paraId="3575D607">
            <w:pPr>
              <w:spacing w:line="300" w:lineRule="exact"/>
              <w:rPr>
                <w:rFonts w:ascii="宋体" w:hAnsi="宋体" w:eastAsia="宋体" w:cs="宋体"/>
                <w:sz w:val="18"/>
                <w:szCs w:val="18"/>
                <w:highlight w:val="none"/>
                <w:lang w:eastAsia="zh-CN" w:bidi="ar"/>
              </w:rPr>
            </w:pPr>
          </w:p>
          <w:p w14:paraId="0400AA64">
            <w:pPr>
              <w:spacing w:line="300" w:lineRule="exact"/>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经办人：         负责人：     （采购代理机构公章）</w:t>
            </w:r>
          </w:p>
        </w:tc>
        <w:tc>
          <w:tcPr>
            <w:tcW w:w="3827" w:type="dxa"/>
            <w:gridSpan w:val="3"/>
            <w:tcBorders>
              <w:top w:val="single" w:color="000000" w:sz="2" w:space="0"/>
              <w:left w:val="single" w:color="000000" w:sz="2" w:space="0"/>
              <w:bottom w:val="single" w:color="000000" w:sz="2" w:space="0"/>
              <w:right w:val="single" w:color="000000" w:sz="2" w:space="0"/>
            </w:tcBorders>
          </w:tcPr>
          <w:p w14:paraId="56C34CE4">
            <w:pPr>
              <w:spacing w:line="300" w:lineRule="exact"/>
              <w:rPr>
                <w:rFonts w:ascii="宋体" w:hAnsi="宋体" w:eastAsia="宋体" w:cs="宋体"/>
                <w:sz w:val="18"/>
                <w:szCs w:val="18"/>
                <w:highlight w:val="none"/>
                <w:lang w:eastAsia="zh-CN" w:bidi="ar"/>
              </w:rPr>
            </w:pPr>
          </w:p>
          <w:p w14:paraId="5138C845">
            <w:pPr>
              <w:spacing w:line="300" w:lineRule="exact"/>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经办人：     负责人：    （采购人公章）</w:t>
            </w:r>
          </w:p>
        </w:tc>
      </w:tr>
      <w:tr w14:paraId="09E548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9497" w:type="dxa"/>
            <w:gridSpan w:val="8"/>
            <w:tcBorders>
              <w:top w:val="single" w:color="000000" w:sz="2" w:space="0"/>
              <w:left w:val="single" w:color="000000" w:sz="2" w:space="0"/>
              <w:bottom w:val="single" w:color="000000" w:sz="2" w:space="0"/>
              <w:right w:val="single" w:color="000000" w:sz="2" w:space="0"/>
            </w:tcBorders>
          </w:tcPr>
          <w:p w14:paraId="6BE2A13B">
            <w:pPr>
              <w:spacing w:line="300" w:lineRule="exact"/>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供应商确认：</w:t>
            </w:r>
          </w:p>
          <w:p w14:paraId="18F3D799">
            <w:pPr>
              <w:spacing w:line="300" w:lineRule="exact"/>
              <w:rPr>
                <w:rFonts w:ascii="宋体" w:hAnsi="宋体" w:eastAsia="宋体" w:cs="宋体"/>
                <w:sz w:val="18"/>
                <w:szCs w:val="18"/>
                <w:highlight w:val="none"/>
                <w:lang w:eastAsia="zh-CN" w:bidi="ar"/>
              </w:rPr>
            </w:pPr>
          </w:p>
          <w:p w14:paraId="01A72793">
            <w:pPr>
              <w:spacing w:line="300" w:lineRule="exact"/>
              <w:rPr>
                <w:rFonts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（单位公章或授权代表签字）</w:t>
            </w:r>
          </w:p>
        </w:tc>
      </w:tr>
    </w:tbl>
    <w:p w14:paraId="44333774">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highlight w:val="none"/>
          <w:lang w:eastAsia="zh-CN"/>
        </w:rPr>
      </w:pPr>
    </w:p>
    <w:p w14:paraId="07970BB8">
      <w:pPr>
        <w:pStyle w:val="18"/>
        <w:rPr>
          <w:rFonts w:ascii="宋体" w:hAnsi="宋体" w:eastAsia="宋体" w:cs="宋体"/>
          <w:b/>
          <w:color w:val="000000"/>
          <w:sz w:val="44"/>
          <w:highlight w:val="none"/>
          <w:lang w:eastAsia="zh-CN"/>
        </w:rPr>
      </w:pPr>
    </w:p>
    <w:tbl>
      <w:tblPr>
        <w:tblStyle w:val="43"/>
        <w:tblW w:w="4714" w:type="pct"/>
        <w:tblInd w:w="174" w:type="dxa"/>
        <w:tblLayout w:type="autofit"/>
        <w:tblCellMar>
          <w:top w:w="0" w:type="dxa"/>
          <w:left w:w="108" w:type="dxa"/>
          <w:bottom w:w="0" w:type="dxa"/>
          <w:right w:w="108" w:type="dxa"/>
        </w:tblCellMar>
      </w:tblPr>
      <w:tblGrid>
        <w:gridCol w:w="3844"/>
        <w:gridCol w:w="751"/>
        <w:gridCol w:w="2655"/>
        <w:gridCol w:w="1774"/>
      </w:tblGrid>
      <w:tr w14:paraId="7EC63F0F">
        <w:tblPrEx>
          <w:tblCellMar>
            <w:top w:w="0" w:type="dxa"/>
            <w:left w:w="108" w:type="dxa"/>
            <w:bottom w:w="0" w:type="dxa"/>
            <w:right w:w="108" w:type="dxa"/>
          </w:tblCellMar>
        </w:tblPrEx>
        <w:trPr>
          <w:trHeight w:val="1180" w:hRule="atLeast"/>
        </w:trPr>
        <w:tc>
          <w:tcPr>
            <w:tcW w:w="5000" w:type="pct"/>
            <w:gridSpan w:val="4"/>
            <w:tcBorders>
              <w:top w:val="nil"/>
              <w:left w:val="nil"/>
              <w:bottom w:val="nil"/>
              <w:right w:val="nil"/>
            </w:tcBorders>
            <w:shd w:val="clear" w:color="auto" w:fill="auto"/>
            <w:noWrap/>
            <w:vAlign w:val="center"/>
          </w:tcPr>
          <w:p w14:paraId="46CAFBD7">
            <w:pPr>
              <w:jc w:val="center"/>
              <w:textAlignment w:val="center"/>
              <w:rPr>
                <w:rFonts w:ascii="宋体" w:hAnsi="宋体" w:eastAsia="宋体" w:cs="宋体"/>
                <w:sz w:val="40"/>
                <w:szCs w:val="40"/>
                <w:highlight w:val="none"/>
                <w:lang w:eastAsia="zh-CN"/>
              </w:rPr>
            </w:pPr>
            <w:r>
              <w:rPr>
                <w:rFonts w:hint="eastAsia" w:ascii="宋体" w:hAnsi="宋体" w:eastAsia="宋体" w:cs="宋体"/>
                <w:sz w:val="40"/>
                <w:szCs w:val="40"/>
                <w:highlight w:val="none"/>
                <w:lang w:eastAsia="zh-CN" w:bidi="ar"/>
              </w:rPr>
              <w:t>政府采购履约验收通知单</w:t>
            </w:r>
          </w:p>
        </w:tc>
      </w:tr>
      <w:tr w14:paraId="2F24433E">
        <w:tblPrEx>
          <w:tblCellMar>
            <w:top w:w="0" w:type="dxa"/>
            <w:left w:w="108" w:type="dxa"/>
            <w:bottom w:w="0" w:type="dxa"/>
            <w:right w:w="108" w:type="dxa"/>
          </w:tblCellMar>
        </w:tblPrEx>
        <w:trPr>
          <w:trHeight w:val="600" w:hRule="atLeast"/>
        </w:trPr>
        <w:tc>
          <w:tcPr>
            <w:tcW w:w="2130" w:type="pct"/>
            <w:tcBorders>
              <w:top w:val="nil"/>
              <w:left w:val="nil"/>
              <w:bottom w:val="nil"/>
              <w:right w:val="nil"/>
            </w:tcBorders>
            <w:shd w:val="clear" w:color="auto" w:fill="auto"/>
            <w:noWrap/>
            <w:vAlign w:val="center"/>
          </w:tcPr>
          <w:p w14:paraId="04003589">
            <w:pP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供应商：</w:t>
            </w:r>
          </w:p>
        </w:tc>
        <w:tc>
          <w:tcPr>
            <w:tcW w:w="416" w:type="pct"/>
            <w:tcBorders>
              <w:top w:val="nil"/>
              <w:left w:val="nil"/>
              <w:bottom w:val="nil"/>
              <w:right w:val="nil"/>
            </w:tcBorders>
            <w:shd w:val="clear" w:color="auto" w:fill="auto"/>
            <w:noWrap/>
            <w:vAlign w:val="center"/>
          </w:tcPr>
          <w:p w14:paraId="653FEBBD">
            <w:pPr>
              <w:jc w:val="center"/>
              <w:rPr>
                <w:rFonts w:ascii="宋体" w:hAnsi="宋体" w:eastAsia="宋体" w:cs="宋体"/>
                <w:sz w:val="24"/>
                <w:szCs w:val="24"/>
                <w:highlight w:val="none"/>
              </w:rPr>
            </w:pPr>
          </w:p>
        </w:tc>
        <w:tc>
          <w:tcPr>
            <w:tcW w:w="1471" w:type="pct"/>
            <w:tcBorders>
              <w:top w:val="nil"/>
              <w:left w:val="nil"/>
              <w:bottom w:val="nil"/>
              <w:right w:val="nil"/>
            </w:tcBorders>
            <w:shd w:val="clear" w:color="auto" w:fill="auto"/>
            <w:noWrap/>
            <w:vAlign w:val="center"/>
          </w:tcPr>
          <w:p w14:paraId="10ACE661">
            <w:pPr>
              <w:jc w:val="center"/>
              <w:rPr>
                <w:rFonts w:ascii="宋体" w:hAnsi="宋体" w:eastAsia="宋体" w:cs="宋体"/>
                <w:sz w:val="24"/>
                <w:szCs w:val="24"/>
                <w:highlight w:val="none"/>
              </w:rPr>
            </w:pPr>
          </w:p>
        </w:tc>
        <w:tc>
          <w:tcPr>
            <w:tcW w:w="981" w:type="pct"/>
            <w:tcBorders>
              <w:top w:val="nil"/>
              <w:left w:val="nil"/>
              <w:bottom w:val="nil"/>
              <w:right w:val="nil"/>
            </w:tcBorders>
            <w:shd w:val="clear" w:color="auto" w:fill="auto"/>
            <w:noWrap/>
            <w:vAlign w:val="center"/>
          </w:tcPr>
          <w:p w14:paraId="0B192638">
            <w:pPr>
              <w:jc w:val="center"/>
              <w:rPr>
                <w:rFonts w:ascii="宋体" w:hAnsi="宋体" w:eastAsia="宋体" w:cs="宋体"/>
                <w:sz w:val="24"/>
                <w:szCs w:val="24"/>
                <w:highlight w:val="none"/>
              </w:rPr>
            </w:pPr>
          </w:p>
        </w:tc>
      </w:tr>
      <w:tr w14:paraId="7AF1017A">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EE88B">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采购人</w:t>
            </w:r>
          </w:p>
        </w:tc>
        <w:tc>
          <w:tcPr>
            <w:tcW w:w="286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9565D">
            <w:pPr>
              <w:jc w:val="center"/>
              <w:rPr>
                <w:rFonts w:ascii="宋体" w:hAnsi="宋体" w:eastAsia="宋体" w:cs="宋体"/>
                <w:sz w:val="24"/>
                <w:szCs w:val="24"/>
                <w:highlight w:val="none"/>
              </w:rPr>
            </w:pPr>
          </w:p>
        </w:tc>
      </w:tr>
      <w:tr w14:paraId="51AF7840">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46894">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项目名称</w:t>
            </w:r>
          </w:p>
        </w:tc>
        <w:tc>
          <w:tcPr>
            <w:tcW w:w="286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D1CA0">
            <w:pPr>
              <w:jc w:val="center"/>
              <w:rPr>
                <w:rFonts w:ascii="宋体" w:hAnsi="宋体" w:eastAsia="宋体" w:cs="宋体"/>
                <w:sz w:val="24"/>
                <w:szCs w:val="24"/>
                <w:highlight w:val="none"/>
              </w:rPr>
            </w:pPr>
          </w:p>
        </w:tc>
      </w:tr>
      <w:tr w14:paraId="597FD102">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4D675">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合同名称</w:t>
            </w:r>
          </w:p>
        </w:tc>
        <w:tc>
          <w:tcPr>
            <w:tcW w:w="286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AD913">
            <w:pPr>
              <w:jc w:val="center"/>
              <w:rPr>
                <w:rFonts w:ascii="宋体" w:hAnsi="宋体" w:eastAsia="宋体" w:cs="宋体"/>
                <w:sz w:val="24"/>
                <w:szCs w:val="24"/>
                <w:highlight w:val="none"/>
              </w:rPr>
            </w:pPr>
          </w:p>
        </w:tc>
      </w:tr>
      <w:tr w14:paraId="3C591D10">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2408D">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合同编号</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80EA6">
            <w:pPr>
              <w:jc w:val="center"/>
              <w:rPr>
                <w:rFonts w:ascii="宋体" w:hAnsi="宋体" w:eastAsia="宋体" w:cs="宋体"/>
                <w:sz w:val="24"/>
                <w:szCs w:val="24"/>
                <w:highlight w:val="none"/>
              </w:rPr>
            </w:pPr>
          </w:p>
        </w:tc>
        <w:tc>
          <w:tcPr>
            <w:tcW w:w="14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A77B6">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合同金额</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5B07D">
            <w:pPr>
              <w:jc w:val="center"/>
              <w:rPr>
                <w:rFonts w:ascii="宋体" w:hAnsi="宋体" w:eastAsia="宋体" w:cs="宋体"/>
                <w:sz w:val="24"/>
                <w:szCs w:val="24"/>
                <w:highlight w:val="none"/>
              </w:rPr>
            </w:pPr>
          </w:p>
        </w:tc>
      </w:tr>
      <w:tr w14:paraId="41F05573">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A9320">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验收时间</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43834">
            <w:pPr>
              <w:jc w:val="center"/>
              <w:rPr>
                <w:rFonts w:ascii="宋体" w:hAnsi="宋体" w:eastAsia="宋体" w:cs="宋体"/>
                <w:sz w:val="24"/>
                <w:szCs w:val="24"/>
                <w:highlight w:val="none"/>
              </w:rPr>
            </w:pPr>
          </w:p>
        </w:tc>
        <w:tc>
          <w:tcPr>
            <w:tcW w:w="14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F9FC8">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验收地点</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A7861">
            <w:pPr>
              <w:jc w:val="center"/>
              <w:rPr>
                <w:rFonts w:ascii="宋体" w:hAnsi="宋体" w:eastAsia="宋体" w:cs="宋体"/>
                <w:sz w:val="24"/>
                <w:szCs w:val="24"/>
                <w:highlight w:val="none"/>
              </w:rPr>
            </w:pPr>
          </w:p>
        </w:tc>
      </w:tr>
      <w:tr w14:paraId="5CC7E316">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29F53">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联系人</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E9E32">
            <w:pPr>
              <w:jc w:val="center"/>
              <w:rPr>
                <w:rFonts w:ascii="宋体" w:hAnsi="宋体" w:eastAsia="宋体" w:cs="宋体"/>
                <w:sz w:val="24"/>
                <w:szCs w:val="24"/>
                <w:highlight w:val="none"/>
              </w:rPr>
            </w:pPr>
          </w:p>
        </w:tc>
        <w:tc>
          <w:tcPr>
            <w:tcW w:w="14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DB0B5">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联系电话</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6B8FB">
            <w:pPr>
              <w:jc w:val="center"/>
              <w:rPr>
                <w:rFonts w:ascii="宋体" w:hAnsi="宋体" w:eastAsia="宋体" w:cs="宋体"/>
                <w:sz w:val="24"/>
                <w:szCs w:val="24"/>
                <w:highlight w:val="none"/>
              </w:rPr>
            </w:pPr>
          </w:p>
        </w:tc>
      </w:tr>
      <w:tr w14:paraId="23E32400">
        <w:tblPrEx>
          <w:tblCellMar>
            <w:top w:w="0" w:type="dxa"/>
            <w:left w:w="108" w:type="dxa"/>
            <w:bottom w:w="0" w:type="dxa"/>
            <w:right w:w="108" w:type="dxa"/>
          </w:tblCellMar>
        </w:tblPrEx>
        <w:trPr>
          <w:trHeight w:val="60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DE892">
            <w:pPr>
              <w:jc w:val="center"/>
              <w:textAlignment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履约验收方案及工作要求</w:t>
            </w:r>
          </w:p>
        </w:tc>
      </w:tr>
      <w:tr w14:paraId="433283C4">
        <w:tblPrEx>
          <w:tblCellMar>
            <w:top w:w="0" w:type="dxa"/>
            <w:left w:w="108" w:type="dxa"/>
            <w:bottom w:w="0" w:type="dxa"/>
            <w:right w:w="108" w:type="dxa"/>
          </w:tblCellMar>
        </w:tblPrEx>
        <w:trPr>
          <w:trHeight w:val="600" w:hRule="atLeast"/>
        </w:trPr>
        <w:tc>
          <w:tcPr>
            <w:tcW w:w="5000" w:type="pct"/>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00A0E4">
            <w:pPr>
              <w:jc w:val="center"/>
              <w:textAlignment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        </w:t>
            </w:r>
          </w:p>
          <w:p w14:paraId="4FE8CE87">
            <w:pPr>
              <w:jc w:val="center"/>
              <w:textAlignment w:val="center"/>
              <w:rPr>
                <w:rFonts w:ascii="宋体" w:hAnsi="宋体" w:eastAsia="宋体" w:cs="宋体"/>
                <w:sz w:val="24"/>
                <w:szCs w:val="24"/>
                <w:highlight w:val="none"/>
                <w:lang w:eastAsia="zh-CN" w:bidi="ar"/>
              </w:rPr>
            </w:pPr>
          </w:p>
          <w:p w14:paraId="5AFA5FD0">
            <w:pPr>
              <w:jc w:val="center"/>
              <w:textAlignment w:val="center"/>
              <w:rPr>
                <w:rFonts w:ascii="宋体" w:hAnsi="宋体" w:eastAsia="宋体" w:cs="宋体"/>
                <w:sz w:val="24"/>
                <w:szCs w:val="24"/>
                <w:highlight w:val="none"/>
                <w:lang w:eastAsia="zh-CN" w:bidi="ar"/>
              </w:rPr>
            </w:pPr>
          </w:p>
          <w:p w14:paraId="71B2C349">
            <w:pPr>
              <w:jc w:val="center"/>
              <w:textAlignment w:val="center"/>
              <w:rPr>
                <w:rFonts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         单位公章</w:t>
            </w:r>
          </w:p>
          <w:p w14:paraId="4BBB1890">
            <w:pPr>
              <w:jc w:val="center"/>
              <w:textAlignment w:val="center"/>
              <w:rPr>
                <w:rFonts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         年 月 日</w:t>
            </w:r>
          </w:p>
        </w:tc>
      </w:tr>
      <w:tr w14:paraId="69B3A90E">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F6561">
            <w:pPr>
              <w:jc w:val="center"/>
              <w:rPr>
                <w:rFonts w:ascii="宋体" w:hAnsi="宋体" w:eastAsia="宋体" w:cs="宋体"/>
                <w:sz w:val="24"/>
                <w:szCs w:val="24"/>
                <w:highlight w:val="none"/>
              </w:rPr>
            </w:pPr>
          </w:p>
        </w:tc>
      </w:tr>
      <w:tr w14:paraId="5B2C4705">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192814">
            <w:pPr>
              <w:jc w:val="center"/>
              <w:rPr>
                <w:rFonts w:ascii="宋体" w:hAnsi="宋体" w:eastAsia="宋体" w:cs="宋体"/>
                <w:sz w:val="24"/>
                <w:szCs w:val="24"/>
                <w:highlight w:val="none"/>
              </w:rPr>
            </w:pPr>
          </w:p>
        </w:tc>
      </w:tr>
      <w:tr w14:paraId="32D266C4">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5C1912">
            <w:pPr>
              <w:jc w:val="center"/>
              <w:rPr>
                <w:rFonts w:ascii="宋体" w:hAnsi="宋体" w:eastAsia="宋体" w:cs="宋体"/>
                <w:sz w:val="24"/>
                <w:szCs w:val="24"/>
                <w:highlight w:val="none"/>
              </w:rPr>
            </w:pPr>
          </w:p>
        </w:tc>
      </w:tr>
      <w:tr w14:paraId="603D6940">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920E39">
            <w:pPr>
              <w:jc w:val="center"/>
              <w:rPr>
                <w:rFonts w:ascii="宋体" w:hAnsi="宋体" w:eastAsia="宋体" w:cs="宋体"/>
                <w:sz w:val="24"/>
                <w:szCs w:val="24"/>
                <w:highlight w:val="none"/>
              </w:rPr>
            </w:pPr>
          </w:p>
        </w:tc>
      </w:tr>
      <w:tr w14:paraId="307DC37F">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70B6D7">
            <w:pPr>
              <w:jc w:val="center"/>
              <w:rPr>
                <w:rFonts w:ascii="宋体" w:hAnsi="宋体" w:eastAsia="宋体" w:cs="宋体"/>
                <w:sz w:val="24"/>
                <w:szCs w:val="24"/>
                <w:highlight w:val="none"/>
              </w:rPr>
            </w:pPr>
          </w:p>
        </w:tc>
      </w:tr>
      <w:tr w14:paraId="0AE08D53">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03CF2">
            <w:pPr>
              <w:jc w:val="center"/>
              <w:rPr>
                <w:rFonts w:ascii="宋体" w:hAnsi="宋体" w:eastAsia="宋体" w:cs="宋体"/>
                <w:sz w:val="24"/>
                <w:szCs w:val="24"/>
                <w:highlight w:val="none"/>
              </w:rPr>
            </w:pPr>
          </w:p>
        </w:tc>
      </w:tr>
      <w:tr w14:paraId="4F65F7CB">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CCF1A7">
            <w:pPr>
              <w:jc w:val="center"/>
              <w:rPr>
                <w:rFonts w:ascii="宋体" w:hAnsi="宋体" w:eastAsia="宋体" w:cs="宋体"/>
                <w:sz w:val="24"/>
                <w:szCs w:val="24"/>
                <w:highlight w:val="none"/>
              </w:rPr>
            </w:pPr>
          </w:p>
        </w:tc>
      </w:tr>
      <w:tr w14:paraId="4FC6C8D8">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0B74EC">
            <w:pPr>
              <w:jc w:val="center"/>
              <w:rPr>
                <w:rFonts w:ascii="宋体" w:hAnsi="宋体" w:eastAsia="宋体" w:cs="宋体"/>
                <w:sz w:val="24"/>
                <w:szCs w:val="24"/>
                <w:highlight w:val="none"/>
              </w:rPr>
            </w:pPr>
          </w:p>
        </w:tc>
      </w:tr>
      <w:tr w14:paraId="77729E06">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73A85C">
            <w:pPr>
              <w:jc w:val="center"/>
              <w:rPr>
                <w:rFonts w:ascii="宋体" w:hAnsi="宋体" w:eastAsia="宋体" w:cs="宋体"/>
                <w:sz w:val="24"/>
                <w:szCs w:val="24"/>
                <w:highlight w:val="none"/>
              </w:rPr>
            </w:pPr>
          </w:p>
        </w:tc>
      </w:tr>
      <w:tr w14:paraId="54D8557C">
        <w:tblPrEx>
          <w:tblCellMar>
            <w:top w:w="0" w:type="dxa"/>
            <w:left w:w="108" w:type="dxa"/>
            <w:bottom w:w="0" w:type="dxa"/>
            <w:right w:w="108" w:type="dxa"/>
          </w:tblCellMar>
        </w:tblPrEx>
        <w:trPr>
          <w:trHeight w:val="558"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065666">
            <w:pPr>
              <w:jc w:val="center"/>
              <w:rPr>
                <w:rFonts w:ascii="宋体" w:hAnsi="宋体" w:eastAsia="宋体" w:cs="宋体"/>
                <w:sz w:val="24"/>
                <w:szCs w:val="24"/>
                <w:highlight w:val="none"/>
              </w:rPr>
            </w:pPr>
          </w:p>
        </w:tc>
      </w:tr>
    </w:tbl>
    <w:p w14:paraId="28A3978B">
      <w:pPr>
        <w:rPr>
          <w:rFonts w:ascii="宋体" w:hAnsi="宋体" w:eastAsia="宋体" w:cs="宋体"/>
          <w:highlight w:val="none"/>
          <w:lang w:eastAsia="zh-CN"/>
        </w:rPr>
      </w:pPr>
    </w:p>
    <w:p w14:paraId="7C7D8932">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highlight w:val="none"/>
          <w:lang w:eastAsia="zh-CN"/>
        </w:rPr>
      </w:pPr>
    </w:p>
    <w:p w14:paraId="49770193">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b/>
          <w:color w:val="000000"/>
          <w:sz w:val="44"/>
          <w:highlight w:val="none"/>
          <w:lang w:eastAsia="zh-CN"/>
        </w:rPr>
      </w:pPr>
    </w:p>
    <w:p w14:paraId="56E31A83">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highlight w:val="none"/>
          <w:lang w:eastAsia="zh-CN"/>
        </w:rPr>
      </w:pPr>
      <w:r>
        <w:rPr>
          <w:rFonts w:hint="eastAsia" w:ascii="宋体" w:hAnsi="宋体" w:eastAsia="宋体" w:cs="宋体"/>
          <w:b/>
          <w:color w:val="000000"/>
          <w:sz w:val="44"/>
          <w:highlight w:val="none"/>
          <w:lang w:eastAsia="zh-CN"/>
        </w:rPr>
        <w:t>第四部分 投标文件格式</w:t>
      </w:r>
    </w:p>
    <w:p w14:paraId="3F4C101E">
      <w:pPr>
        <w:pBdr>
          <w:top w:val="none" w:color="000000" w:sz="0" w:space="0"/>
          <w:left w:val="none" w:color="000000" w:sz="0" w:space="0"/>
          <w:bottom w:val="none" w:color="000000" w:sz="0" w:space="0"/>
          <w:right w:val="none" w:color="000000" w:sz="0" w:space="0"/>
        </w:pBdr>
        <w:spacing w:after="0" w:line="380" w:lineRule="atLeast"/>
        <w:jc w:val="center"/>
        <w:rPr>
          <w:rFonts w:ascii="宋体" w:hAnsi="宋体" w:eastAsia="宋体" w:cs="宋体"/>
          <w:highlight w:val="none"/>
          <w:lang w:eastAsia="zh-CN"/>
        </w:rPr>
      </w:pPr>
      <w:r>
        <w:rPr>
          <w:rFonts w:hint="eastAsia" w:ascii="宋体" w:hAnsi="宋体" w:eastAsia="宋体" w:cs="宋体"/>
          <w:b/>
          <w:color w:val="000000"/>
          <w:sz w:val="24"/>
          <w:highlight w:val="none"/>
          <w:lang w:eastAsia="zh-CN"/>
        </w:rPr>
        <w:t> </w:t>
      </w:r>
    </w:p>
    <w:p w14:paraId="516D165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2BEB7BE4">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highlight w:val="none"/>
          <w:lang w:eastAsia="zh-CN"/>
        </w:rPr>
      </w:pPr>
      <w:r>
        <w:rPr>
          <w:rFonts w:hint="eastAsia" w:ascii="宋体" w:hAnsi="宋体" w:eastAsia="宋体" w:cs="宋体"/>
          <w:color w:val="000000"/>
          <w:sz w:val="24"/>
          <w:highlight w:val="none"/>
          <w:lang w:eastAsia="zh-CN"/>
        </w:rPr>
        <w:t>说明：</w:t>
      </w:r>
    </w:p>
    <w:p w14:paraId="768BFA7B">
      <w:pPr>
        <w:pBdr>
          <w:top w:val="none" w:color="000000" w:sz="0" w:space="0"/>
          <w:left w:val="none" w:color="000000" w:sz="0" w:space="0"/>
          <w:bottom w:val="none" w:color="000000" w:sz="0" w:space="0"/>
          <w:right w:val="none" w:color="000000" w:sz="0" w:space="0"/>
        </w:pBdr>
        <w:spacing w:after="0" w:line="85" w:lineRule="atLeast"/>
        <w:rPr>
          <w:rFonts w:ascii="宋体" w:hAnsi="宋体" w:eastAsia="宋体" w:cs="宋体"/>
          <w:highlight w:val="none"/>
          <w:lang w:eastAsia="zh-CN"/>
        </w:rPr>
      </w:pPr>
      <w:r>
        <w:rPr>
          <w:rFonts w:hint="eastAsia" w:ascii="宋体" w:hAnsi="宋体" w:eastAsia="宋体" w:cs="宋体"/>
          <w:color w:val="000000"/>
          <w:sz w:val="24"/>
          <w:highlight w:val="none"/>
          <w:lang w:eastAsia="zh-CN"/>
        </w:rPr>
        <w:t>对本章所有的投标书格式，投标方可根据自身情况进行补充和修改，但补充和修改不得造成与本格式内容有实质性的违背。</w:t>
      </w:r>
    </w:p>
    <w:p w14:paraId="0E24F113">
      <w:pPr>
        <w:pBdr>
          <w:top w:val="none" w:color="000000" w:sz="0" w:space="0"/>
          <w:left w:val="none" w:color="000000" w:sz="0" w:space="0"/>
          <w:bottom w:val="none" w:color="000000" w:sz="0" w:space="0"/>
          <w:right w:val="none" w:color="000000" w:sz="0" w:space="0"/>
        </w:pBdr>
        <w:spacing w:after="0"/>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067EC78E">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1、</w:t>
      </w:r>
      <w:r>
        <w:rPr>
          <w:rFonts w:hint="eastAsia" w:ascii="宋体" w:hAnsi="宋体" w:eastAsia="宋体" w:cs="宋体"/>
          <w:b/>
          <w:color w:val="000000"/>
          <w:sz w:val="28"/>
          <w:highlight w:val="none"/>
          <w:lang w:eastAsia="zh-CN"/>
        </w:rPr>
        <w:t>关于资格文件的声明函</w:t>
      </w:r>
    </w:p>
    <w:p w14:paraId="2164BFF5">
      <w:pPr>
        <w:pBdr>
          <w:top w:val="none" w:color="000000" w:sz="0" w:space="0"/>
          <w:left w:val="none" w:color="000000" w:sz="0" w:space="0"/>
          <w:bottom w:val="none" w:color="000000" w:sz="0" w:space="0"/>
          <w:right w:val="none" w:color="000000" w:sz="0" w:space="0"/>
        </w:pBdr>
        <w:spacing w:after="0"/>
        <w:ind w:left="1260" w:firstLine="420"/>
        <w:jc w:val="both"/>
        <w:rPr>
          <w:rFonts w:ascii="宋体" w:hAnsi="宋体" w:eastAsia="宋体" w:cs="宋体"/>
          <w:highlight w:val="none"/>
          <w:lang w:eastAsia="zh-CN"/>
        </w:rPr>
      </w:pPr>
      <w:r>
        <w:rPr>
          <w:rFonts w:hint="eastAsia" w:ascii="宋体" w:hAnsi="宋体" w:eastAsia="宋体" w:cs="宋体"/>
          <w:color w:val="000000"/>
          <w:sz w:val="30"/>
          <w:highlight w:val="none"/>
          <w:lang w:eastAsia="zh-CN"/>
        </w:rPr>
        <w:t> </w:t>
      </w:r>
    </w:p>
    <w:p w14:paraId="1B63E45B">
      <w:pPr>
        <w:pBdr>
          <w:top w:val="none" w:color="000000" w:sz="0" w:space="0"/>
          <w:left w:val="none" w:color="000000" w:sz="0" w:space="0"/>
          <w:bottom w:val="none" w:color="000000" w:sz="0" w:space="0"/>
          <w:right w:val="none" w:color="000000" w:sz="0" w:space="0"/>
        </w:pBdr>
        <w:spacing w:after="0"/>
        <w:ind w:left="1260" w:firstLine="420"/>
        <w:jc w:val="both"/>
        <w:rPr>
          <w:rFonts w:ascii="宋体" w:hAnsi="宋体" w:eastAsia="宋体" w:cs="宋体"/>
          <w:highlight w:val="none"/>
          <w:lang w:eastAsia="zh-CN"/>
        </w:rPr>
      </w:pPr>
      <w:r>
        <w:rPr>
          <w:rFonts w:hint="eastAsia" w:ascii="宋体" w:hAnsi="宋体" w:eastAsia="宋体" w:cs="宋体"/>
          <w:color w:val="000000"/>
          <w:sz w:val="30"/>
          <w:highlight w:val="none"/>
          <w:lang w:eastAsia="zh-CN"/>
        </w:rPr>
        <w:t> </w:t>
      </w:r>
    </w:p>
    <w:p w14:paraId="2B465C25">
      <w:pPr>
        <w:pBdr>
          <w:top w:val="none" w:color="000000" w:sz="0" w:space="0"/>
          <w:left w:val="none" w:color="000000" w:sz="0" w:space="0"/>
          <w:bottom w:val="none" w:color="000000" w:sz="0" w:space="0"/>
          <w:right w:val="none" w:color="000000" w:sz="0" w:space="0"/>
        </w:pBdr>
        <w:spacing w:after="0"/>
        <w:ind w:left="1260" w:firstLine="1770"/>
        <w:jc w:val="both"/>
        <w:rPr>
          <w:rFonts w:ascii="宋体" w:hAnsi="宋体" w:eastAsia="宋体" w:cs="宋体"/>
          <w:highlight w:val="none"/>
          <w:lang w:eastAsia="zh-CN"/>
        </w:rPr>
      </w:pPr>
      <w:r>
        <w:rPr>
          <w:rFonts w:hint="eastAsia" w:ascii="宋体" w:hAnsi="宋体" w:eastAsia="宋体" w:cs="宋体"/>
          <w:color w:val="000000"/>
          <w:sz w:val="30"/>
          <w:highlight w:val="none"/>
          <w:lang w:eastAsia="zh-CN"/>
        </w:rPr>
        <w:t>关于资格文件的声明函</w:t>
      </w:r>
    </w:p>
    <w:p w14:paraId="1CCD77C9">
      <w:pPr>
        <w:pBdr>
          <w:top w:val="none" w:color="000000" w:sz="0" w:space="0"/>
          <w:left w:val="none" w:color="000000" w:sz="0" w:space="0"/>
          <w:bottom w:val="none" w:color="000000" w:sz="0" w:space="0"/>
          <w:right w:val="none" w:color="000000" w:sz="0" w:space="0"/>
        </w:pBdr>
        <w:spacing w:after="0"/>
        <w:ind w:left="1260" w:firstLine="420"/>
        <w:jc w:val="center"/>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9AF5EA8">
      <w:pPr>
        <w:pBdr>
          <w:top w:val="none" w:color="000000" w:sz="0" w:space="0"/>
          <w:left w:val="none" w:color="000000" w:sz="0" w:space="0"/>
          <w:bottom w:val="none" w:color="000000" w:sz="0" w:space="0"/>
          <w:right w:val="none" w:color="000000" w:sz="0" w:space="0"/>
        </w:pBdr>
        <w:spacing w:after="0" w:line="499" w:lineRule="atLeast"/>
        <w:ind w:firstLine="240"/>
        <w:jc w:val="both"/>
        <w:rPr>
          <w:rFonts w:ascii="宋体" w:hAnsi="宋体" w:eastAsia="宋体" w:cs="宋体"/>
          <w:highlight w:val="none"/>
          <w:lang w:eastAsia="zh-CN"/>
        </w:rPr>
      </w:pPr>
      <w:r>
        <w:rPr>
          <w:rFonts w:hint="eastAsia" w:ascii="宋体" w:hAnsi="宋体" w:eastAsia="宋体" w:cs="宋体"/>
          <w:color w:val="000000"/>
          <w:sz w:val="24"/>
          <w:highlight w:val="none"/>
          <w:u w:val="single"/>
          <w:lang w:eastAsia="zh-CN"/>
        </w:rPr>
        <w:t>苏州市公共资源交易中心太仓分中心</w:t>
      </w:r>
      <w:r>
        <w:rPr>
          <w:rFonts w:hint="eastAsia" w:ascii="宋体" w:hAnsi="宋体" w:eastAsia="宋体" w:cs="宋体"/>
          <w:color w:val="000000"/>
          <w:sz w:val="24"/>
          <w:highlight w:val="none"/>
          <w:lang w:eastAsia="zh-CN"/>
        </w:rPr>
        <w:t>：</w:t>
      </w:r>
    </w:p>
    <w:p w14:paraId="0C980FE5">
      <w:pPr>
        <w:pBdr>
          <w:top w:val="none" w:color="000000" w:sz="0" w:space="0"/>
          <w:left w:val="none" w:color="000000" w:sz="0" w:space="0"/>
          <w:bottom w:val="none" w:color="000000" w:sz="0" w:space="0"/>
          <w:right w:val="none" w:color="000000" w:sz="0" w:space="0"/>
        </w:pBdr>
        <w:spacing w:after="0" w:line="499" w:lineRule="atLeast"/>
        <w:ind w:left="283" w:right="445" w:firstLine="540"/>
        <w:rPr>
          <w:rFonts w:ascii="宋体" w:hAnsi="宋体" w:eastAsia="宋体" w:cs="宋体"/>
          <w:highlight w:val="none"/>
          <w:lang w:eastAsia="zh-CN"/>
        </w:rPr>
      </w:pPr>
      <w:r>
        <w:rPr>
          <w:rFonts w:hint="eastAsia" w:ascii="宋体" w:hAnsi="宋体" w:eastAsia="宋体" w:cs="宋体"/>
          <w:color w:val="000000"/>
          <w:sz w:val="24"/>
          <w:highlight w:val="none"/>
          <w:lang w:eastAsia="zh-CN"/>
        </w:rPr>
        <w:t>本公司愿就由贵单位组织实施的编号为</w:t>
      </w:r>
      <w:r>
        <w:rPr>
          <w:rFonts w:hint="eastAsia" w:ascii="宋体" w:hAnsi="宋体" w:eastAsia="宋体" w:cs="宋体"/>
          <w:b/>
          <w:sz w:val="24"/>
          <w:highlight w:val="none"/>
          <w:u w:val="single"/>
          <w:lang w:eastAsia="zh-CN"/>
        </w:rPr>
        <w:t xml:space="preserve"> </w:t>
      </w:r>
      <w:r>
        <w:rPr>
          <w:rFonts w:hint="eastAsia" w:ascii="宋体" w:hAnsi="宋体" w:eastAsia="宋体" w:cs="宋体"/>
          <w:b/>
          <w:sz w:val="24"/>
          <w:szCs w:val="24"/>
          <w:highlight w:val="none"/>
          <w:u w:val="single"/>
          <w:lang w:eastAsia="zh-CN"/>
        </w:rPr>
        <w:t>JSZC-320585-JZCG-G2026-0018</w:t>
      </w:r>
      <w:r>
        <w:rPr>
          <w:rFonts w:hint="eastAsia" w:ascii="宋体" w:hAnsi="宋体" w:eastAsia="宋体" w:cs="宋体"/>
          <w:color w:val="000000"/>
          <w:sz w:val="24"/>
          <w:highlight w:val="none"/>
          <w:lang w:eastAsia="zh-CN"/>
        </w:rPr>
        <w:t>号的招标活动进行投标。本公司所提交的投标文件中所有关于投标资格的文件、证明和陈述均是真实的、准确的。若与真实情况不符，本公司愿意承担由此而产生的一切后果。</w:t>
      </w:r>
    </w:p>
    <w:p w14:paraId="255C6AC6">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25F5024">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9F6208C">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投标单位（单位盖章）：</w:t>
      </w:r>
    </w:p>
    <w:p w14:paraId="21F1E23F">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法定代表人或授权代理人（签字或盖章）：</w:t>
      </w:r>
    </w:p>
    <w:p w14:paraId="2D8CCF6D">
      <w:pPr>
        <w:pBdr>
          <w:top w:val="none" w:color="000000" w:sz="0" w:space="0"/>
          <w:left w:val="none" w:color="000000" w:sz="0" w:space="0"/>
          <w:bottom w:val="none" w:color="000000" w:sz="0" w:space="0"/>
          <w:right w:val="none" w:color="000000" w:sz="0" w:space="0"/>
        </w:pBdr>
        <w:spacing w:after="0" w:line="49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投标日期：年月日</w:t>
      </w:r>
    </w:p>
    <w:p w14:paraId="27D379E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C57551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1F800C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8DA8EF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6A99723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219AAF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A94AF0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811A54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6176589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0A7E77F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73EB42F3">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6CFB1F1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370BC98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71B561C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13439C1C">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4AE2582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008707E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3638B24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5B926B2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6DF5644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28"/>
          <w:highlight w:val="none"/>
          <w:lang w:eastAsia="zh-CN"/>
        </w:rPr>
      </w:pPr>
    </w:p>
    <w:p w14:paraId="52C3B9E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28"/>
          <w:highlight w:val="none"/>
          <w:lang w:eastAsia="zh-CN"/>
        </w:rPr>
        <w:t>2、投标承诺函</w:t>
      </w:r>
    </w:p>
    <w:p w14:paraId="00565D54">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highlight w:val="none"/>
          <w:lang w:eastAsia="zh-CN"/>
        </w:rPr>
      </w:pPr>
      <w:r>
        <w:rPr>
          <w:rFonts w:hint="eastAsia" w:ascii="宋体" w:hAnsi="宋体" w:eastAsia="宋体" w:cs="宋体"/>
          <w:b/>
          <w:color w:val="000000"/>
          <w:sz w:val="32"/>
          <w:highlight w:val="none"/>
          <w:lang w:eastAsia="zh-CN"/>
        </w:rPr>
        <w:t>投标承诺函</w:t>
      </w:r>
    </w:p>
    <w:p w14:paraId="2281B945">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u w:val="single"/>
          <w:lang w:eastAsia="zh-CN"/>
        </w:rPr>
        <w:t xml:space="preserve">苏州市公共资源交易中心太仓分中心 </w:t>
      </w:r>
      <w:r>
        <w:rPr>
          <w:rFonts w:hint="eastAsia" w:ascii="宋体" w:hAnsi="宋体" w:eastAsia="宋体" w:cs="宋体"/>
          <w:color w:val="000000"/>
          <w:sz w:val="24"/>
          <w:highlight w:val="none"/>
          <w:lang w:eastAsia="zh-CN"/>
        </w:rPr>
        <w:t xml:space="preserve">：       </w:t>
      </w:r>
    </w:p>
    <w:p w14:paraId="10E4D29A">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6DF944F5">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我们收到贵单位</w:t>
      </w:r>
      <w:r>
        <w:rPr>
          <w:rFonts w:hint="eastAsia" w:ascii="宋体" w:hAnsi="宋体" w:eastAsia="宋体" w:cs="宋体"/>
          <w:b/>
          <w:color w:val="000000"/>
          <w:sz w:val="24"/>
          <w:highlight w:val="none"/>
          <w:u w:val="single"/>
          <w:lang w:eastAsia="zh-CN"/>
        </w:rPr>
        <w:t xml:space="preserve"> </w:t>
      </w:r>
      <w:r>
        <w:rPr>
          <w:rFonts w:hint="eastAsia" w:ascii="宋体" w:hAnsi="宋体" w:eastAsia="宋体" w:cs="宋体"/>
          <w:b/>
          <w:sz w:val="24"/>
          <w:szCs w:val="24"/>
          <w:highlight w:val="none"/>
          <w:u w:val="single"/>
          <w:lang w:eastAsia="zh-CN"/>
        </w:rPr>
        <w:t>2026年科教新城智慧技防小区项目（二期）</w:t>
      </w:r>
      <w:r>
        <w:rPr>
          <w:rFonts w:hint="eastAsia" w:ascii="宋体" w:hAnsi="宋体" w:eastAsia="宋体" w:cs="宋体"/>
          <w:color w:val="000000"/>
          <w:sz w:val="24"/>
          <w:highlight w:val="none"/>
          <w:lang w:eastAsia="zh-CN"/>
        </w:rPr>
        <w:t>招标文件（项目编号：</w:t>
      </w:r>
      <w:r>
        <w:rPr>
          <w:rFonts w:hint="eastAsia" w:ascii="宋体" w:hAnsi="宋体" w:eastAsia="宋体" w:cs="宋体"/>
          <w:b/>
          <w:sz w:val="24"/>
          <w:szCs w:val="24"/>
          <w:highlight w:val="none"/>
          <w:u w:val="single"/>
          <w:lang w:eastAsia="zh-CN"/>
        </w:rPr>
        <w:t>JSZC-320585-JZCG-G2026-0018</w:t>
      </w:r>
      <w:r>
        <w:rPr>
          <w:rFonts w:hint="eastAsia" w:ascii="宋体" w:hAnsi="宋体" w:eastAsia="宋体" w:cs="宋体"/>
          <w:color w:val="000000"/>
          <w:sz w:val="24"/>
          <w:highlight w:val="none"/>
          <w:lang w:eastAsia="zh-CN"/>
        </w:rPr>
        <w:t>），经仔细阅读和研究，我们决定参加投标。</w:t>
      </w:r>
    </w:p>
    <w:p w14:paraId="033FEDC4">
      <w:pPr>
        <w:pBdr>
          <w:top w:val="none" w:color="000000" w:sz="0" w:space="0"/>
          <w:left w:val="none" w:color="000000" w:sz="0" w:space="0"/>
          <w:bottom w:val="none" w:color="000000" w:sz="0" w:space="0"/>
          <w:right w:val="none" w:color="000000" w:sz="0" w:space="0"/>
        </w:pBdr>
        <w:spacing w:after="0" w:line="439" w:lineRule="atLeast"/>
        <w:ind w:firstLine="24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1、我们愿意按照招标文件的一切要求，提供包括完成该项目全部内容的设备、材料及人工、机械、保险、劳保、各种税费以及质保期间的一切费用。</w:t>
      </w:r>
    </w:p>
    <w:p w14:paraId="2EF0867D">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2、如果我们的投标书被接受，我们将严格履行招标文件中规定的每一项要求，按期、按质、按量履行合同的义务。</w:t>
      </w:r>
    </w:p>
    <w:p w14:paraId="1D54DD90">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3、我们同意按招标文件中的规定，本投标书的有效期限为开标后</w:t>
      </w:r>
      <w:r>
        <w:rPr>
          <w:rFonts w:hint="eastAsia" w:ascii="宋体" w:hAnsi="宋体" w:eastAsia="宋体" w:cs="宋体"/>
          <w:b/>
          <w:color w:val="000000"/>
          <w:sz w:val="24"/>
          <w:highlight w:val="none"/>
          <w:u w:val="single"/>
          <w:lang w:eastAsia="zh-CN"/>
        </w:rPr>
        <w:t>90</w:t>
      </w:r>
      <w:r>
        <w:rPr>
          <w:rFonts w:hint="eastAsia" w:ascii="宋体" w:hAnsi="宋体" w:eastAsia="宋体" w:cs="宋体"/>
          <w:color w:val="000000"/>
          <w:sz w:val="24"/>
          <w:highlight w:val="none"/>
          <w:lang w:eastAsia="zh-CN"/>
        </w:rPr>
        <w:t>天。</w:t>
      </w:r>
    </w:p>
    <w:p w14:paraId="558F9CEB">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4、我们愿意提供招标方在招标文件中要求的所有资料。</w:t>
      </w:r>
    </w:p>
    <w:p w14:paraId="0D7121A7">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5、我们认为你们有权决定中标者，还认为你们有权接受或拒绝所有的投标者。</w:t>
      </w:r>
    </w:p>
    <w:p w14:paraId="289A5A26">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6、我们完全理解贵方不一定要接受最低报价的投标或收到的任何投标。</w:t>
      </w:r>
    </w:p>
    <w:p w14:paraId="6C1C0149">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7、我们承诺该项投标在开标后的全过程中保持有效，不作任何更改和变动。</w:t>
      </w:r>
    </w:p>
    <w:p w14:paraId="22C6F6B5">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8、</w:t>
      </w:r>
      <w:r>
        <w:rPr>
          <w:rFonts w:hint="eastAsia" w:ascii="宋体" w:hAnsi="宋体" w:eastAsia="宋体" w:cs="宋体"/>
          <w:b/>
          <w:color w:val="000000"/>
          <w:sz w:val="24"/>
          <w:highlight w:val="none"/>
          <w:lang w:eastAsia="zh-CN"/>
        </w:rPr>
        <w:t>如果中标，我们同意并知晓中标通知书发出方式及发出时间，遵守招标文件和中标通知书规定，在指定时间和地点和采购人签订合同。</w:t>
      </w:r>
    </w:p>
    <w:p w14:paraId="4CB7657E">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9、综合说明：</w:t>
      </w:r>
    </w:p>
    <w:p w14:paraId="4F7D1C31">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（1）伴随服务及配合措施；</w:t>
      </w:r>
    </w:p>
    <w:p w14:paraId="5E04163A">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（2）要求甲方提供的配合；</w:t>
      </w:r>
    </w:p>
    <w:p w14:paraId="51EA4ACD">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（3）对招标文件有不同意见的偏离说明；</w:t>
      </w:r>
    </w:p>
    <w:p w14:paraId="16F4F4D5">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（4）其它说明。</w:t>
      </w:r>
    </w:p>
    <w:p w14:paraId="0D66F1A8">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所有有关标书的函电，请按下列地址联系：</w:t>
      </w:r>
    </w:p>
    <w:p w14:paraId="611DC178">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单位：联系人：</w:t>
      </w:r>
    </w:p>
    <w:p w14:paraId="007A912C">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地址：邮政编码：</w:t>
      </w:r>
    </w:p>
    <w:p w14:paraId="7F94ADC5">
      <w:pPr>
        <w:pBdr>
          <w:top w:val="none" w:color="000000" w:sz="0" w:space="0"/>
          <w:left w:val="none" w:color="000000" w:sz="0" w:space="0"/>
          <w:bottom w:val="none" w:color="000000" w:sz="0" w:space="0"/>
          <w:right w:val="none" w:color="000000" w:sz="0" w:space="0"/>
        </w:pBdr>
        <w:spacing w:after="0" w:line="439"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联系电话：传真：</w:t>
      </w:r>
    </w:p>
    <w:p w14:paraId="3D2C9026">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0CED5F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投标单位：（单位盖章）</w:t>
      </w:r>
    </w:p>
    <w:p w14:paraId="7D89992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法定代表人或授权代理人（签字或盖章）</w:t>
      </w:r>
    </w:p>
    <w:p w14:paraId="62D3AB9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投标日期：年月日</w:t>
      </w:r>
    </w:p>
    <w:p w14:paraId="733E2AC2">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685F3A9A">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3、参加政府采购活动前三年内，在经营活动中没有重大违法记录声明</w:t>
      </w:r>
    </w:p>
    <w:p w14:paraId="11643579">
      <w:pPr>
        <w:pBdr>
          <w:top w:val="none" w:color="000000" w:sz="0" w:space="0"/>
          <w:left w:val="none" w:color="000000" w:sz="0" w:space="0"/>
          <w:bottom w:val="none" w:color="000000" w:sz="0" w:space="0"/>
          <w:right w:val="none" w:color="000000" w:sz="0" w:space="0"/>
        </w:pBdr>
        <w:spacing w:after="0" w:line="85" w:lineRule="atLeast"/>
        <w:ind w:left="-210" w:right="-210"/>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 </w:t>
      </w:r>
    </w:p>
    <w:p w14:paraId="7A226D20">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highlight w:val="none"/>
          <w:lang w:eastAsia="zh-CN"/>
        </w:rPr>
      </w:pPr>
      <w:r>
        <w:rPr>
          <w:rFonts w:hint="eastAsia" w:ascii="宋体" w:hAnsi="宋体" w:eastAsia="宋体" w:cs="宋体"/>
          <w:b/>
          <w:color w:val="000000"/>
          <w:sz w:val="24"/>
          <w:highlight w:val="none"/>
          <w:lang w:eastAsia="zh-CN"/>
        </w:rPr>
        <w:t>参加政府采购活动前三年内，在经营活动中没有重大违法记录声明</w:t>
      </w:r>
    </w:p>
    <w:p w14:paraId="0C27E1F2">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07C655FD">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致：苏州市公共资源交易中心太仓分中心：</w:t>
      </w:r>
    </w:p>
    <w:p w14:paraId="0B1A0D3E">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我单位</w:t>
      </w:r>
      <w:r>
        <w:rPr>
          <w:rFonts w:hint="eastAsia" w:ascii="宋体" w:hAnsi="宋体" w:eastAsia="宋体" w:cs="宋体"/>
          <w:sz w:val="24"/>
          <w:highlight w:val="none"/>
          <w:u w:val="single"/>
          <w:lang w:eastAsia="zh-CN"/>
        </w:rPr>
        <w:t>         </w:t>
      </w:r>
      <w:r>
        <w:rPr>
          <w:rFonts w:hint="eastAsia" w:ascii="宋体" w:hAnsi="宋体" w:eastAsia="宋体" w:cs="宋体"/>
          <w:sz w:val="24"/>
          <w:highlight w:val="none"/>
          <w:lang w:eastAsia="zh-CN"/>
        </w:rPr>
        <w:t>（供应商名称）在参加政府采购活动前三年内，没有重大违法记录，特此声明。</w:t>
      </w:r>
    </w:p>
    <w:p w14:paraId="4E90E807">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若采购代理机构在本项目采购过程中发现我单位近三年内在经营活动中有重大违法记录，我单位将无条件退出本项目的招标，并承担因此引起的一起后果。</w:t>
      </w:r>
    </w:p>
    <w:p w14:paraId="6FE7ED13">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 </w:t>
      </w:r>
    </w:p>
    <w:p w14:paraId="09586CE7">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供应商名称（单位公章）：</w:t>
      </w:r>
    </w:p>
    <w:p w14:paraId="40289B18">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法定代表人（负责人）或代理人（签字或盖章）：</w:t>
      </w:r>
    </w:p>
    <w:p w14:paraId="1E3AA455">
      <w:pPr>
        <w:pBdr>
          <w:top w:val="none" w:color="000000" w:sz="0" w:space="0"/>
          <w:left w:val="none" w:color="000000" w:sz="0" w:space="0"/>
          <w:bottom w:val="none" w:color="000000" w:sz="0" w:space="0"/>
          <w:right w:val="none" w:color="000000" w:sz="0" w:space="0"/>
        </w:pBdr>
        <w:spacing w:after="0" w:line="500" w:lineRule="exact"/>
        <w:jc w:val="both"/>
        <w:rPr>
          <w:rFonts w:ascii="宋体" w:hAnsi="宋体" w:eastAsia="宋体" w:cs="宋体"/>
          <w:sz w:val="24"/>
          <w:highlight w:val="none"/>
          <w:lang w:eastAsia="zh-CN"/>
        </w:rPr>
      </w:pPr>
      <w:r>
        <w:rPr>
          <w:rFonts w:hint="eastAsia" w:ascii="宋体" w:hAnsi="宋体" w:eastAsia="宋体" w:cs="宋体"/>
          <w:sz w:val="24"/>
          <w:highlight w:val="none"/>
          <w:lang w:eastAsia="zh-CN"/>
        </w:rPr>
        <w:t>投标日期： 年 月 日</w:t>
      </w:r>
    </w:p>
    <w:p w14:paraId="1601D55F">
      <w:pPr>
        <w:pBdr>
          <w:top w:val="none" w:color="000000" w:sz="0" w:space="0"/>
          <w:left w:val="none" w:color="000000" w:sz="0" w:space="0"/>
          <w:bottom w:val="none" w:color="000000" w:sz="0" w:space="0"/>
          <w:right w:val="none" w:color="000000" w:sz="0" w:space="0"/>
        </w:pBdr>
        <w:spacing w:after="0" w:line="400" w:lineRule="atLeast"/>
        <w:jc w:val="both"/>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56B6338E">
      <w:pPr>
        <w:pBdr>
          <w:top w:val="none" w:color="000000" w:sz="0" w:space="0"/>
          <w:left w:val="none" w:color="000000" w:sz="0" w:space="0"/>
          <w:bottom w:val="none" w:color="000000" w:sz="0" w:space="0"/>
          <w:right w:val="none" w:color="000000" w:sz="0" w:space="0"/>
        </w:pBdr>
        <w:spacing w:after="0" w:line="400" w:lineRule="atLeast"/>
        <w:jc w:val="both"/>
        <w:rPr>
          <w:rFonts w:ascii="宋体" w:hAnsi="宋体" w:eastAsia="宋体" w:cs="宋体"/>
          <w:highlight w:val="none"/>
          <w:lang w:eastAsia="zh-CN"/>
        </w:rPr>
      </w:pPr>
      <w:r>
        <w:rPr>
          <w:rFonts w:hint="eastAsia" w:ascii="宋体" w:hAnsi="宋体" w:eastAsia="宋体" w:cs="宋体"/>
          <w:b/>
          <w:color w:val="000000"/>
          <w:sz w:val="28"/>
          <w:highlight w:val="none"/>
          <w:lang w:eastAsia="zh-CN"/>
        </w:rPr>
        <w:t>4、投标单位情况表</w:t>
      </w:r>
    </w:p>
    <w:p w14:paraId="4BE7A34A">
      <w:pPr>
        <w:pBdr>
          <w:top w:val="none" w:color="000000" w:sz="0" w:space="0"/>
          <w:left w:val="none" w:color="000000" w:sz="0" w:space="0"/>
          <w:bottom w:val="none" w:color="000000" w:sz="0" w:space="0"/>
          <w:right w:val="none" w:color="000000" w:sz="0" w:space="0"/>
        </w:pBdr>
        <w:spacing w:after="0"/>
        <w:ind w:left="1260" w:firstLine="2175"/>
        <w:jc w:val="both"/>
        <w:rPr>
          <w:rFonts w:ascii="宋体" w:hAnsi="宋体" w:eastAsia="宋体" w:cs="宋体"/>
          <w:highlight w:val="none"/>
          <w:lang w:eastAsia="zh-CN"/>
        </w:rPr>
      </w:pPr>
      <w:r>
        <w:rPr>
          <w:rFonts w:hint="eastAsia" w:ascii="宋体" w:hAnsi="宋体" w:eastAsia="宋体" w:cs="宋体"/>
          <w:color w:val="000000"/>
          <w:sz w:val="30"/>
          <w:highlight w:val="none"/>
          <w:lang w:eastAsia="zh-CN"/>
        </w:rPr>
        <w:t>投标单位情况表</w:t>
      </w:r>
    </w:p>
    <w:p w14:paraId="7AD51D3B">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单位名称（盖章）：</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0"/>
        <w:gridCol w:w="1908"/>
        <w:gridCol w:w="1596"/>
        <w:gridCol w:w="2032"/>
        <w:gridCol w:w="1296"/>
      </w:tblGrid>
      <w:tr w14:paraId="4757602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6" w:hRule="atLeast"/>
        </w:trPr>
        <w:tc>
          <w:tcPr>
            <w:tcW w:w="23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0D3F3E5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法定代表人</w:t>
            </w:r>
          </w:p>
        </w:tc>
        <w:tc>
          <w:tcPr>
            <w:tcW w:w="19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4A8047A">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color w:val="000000"/>
                <w:sz w:val="24"/>
                <w:highlight w:val="none"/>
              </w:rPr>
              <w:t> </w:t>
            </w:r>
          </w:p>
        </w:tc>
        <w:tc>
          <w:tcPr>
            <w:tcW w:w="15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D0A04A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成立日期</w:t>
            </w:r>
          </w:p>
        </w:tc>
        <w:tc>
          <w:tcPr>
            <w:tcW w:w="33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6E2F1065">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color w:val="000000"/>
                <w:sz w:val="24"/>
                <w:highlight w:val="none"/>
              </w:rPr>
              <w:t> </w:t>
            </w:r>
          </w:p>
        </w:tc>
      </w:tr>
      <w:tr w14:paraId="58BACD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15B19A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企业地址</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F3E7BC6">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color w:val="000000"/>
                <w:sz w:val="24"/>
                <w:highlight w:val="none"/>
              </w:rPr>
              <w:t> </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2D5B92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注册资本</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BFF9E2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         万元</w:t>
            </w:r>
          </w:p>
        </w:tc>
      </w:tr>
      <w:tr w14:paraId="285E75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3FB43E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经营范围</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F6AF253">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color w:val="000000"/>
                <w:sz w:val="24"/>
                <w:highlight w:val="none"/>
              </w:rPr>
              <w:t> </w:t>
            </w:r>
          </w:p>
        </w:tc>
      </w:tr>
      <w:tr w14:paraId="76C29D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6D5C56D">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职工人数</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A04A29A">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 </w:t>
            </w:r>
          </w:p>
        </w:tc>
        <w:tc>
          <w:tcPr>
            <w:tcW w:w="36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6650353E">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其中：有中高级以上职称的人数</w:t>
            </w:r>
          </w:p>
        </w:tc>
        <w:tc>
          <w:tcPr>
            <w:tcW w:w="12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208C27BD">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770DA7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439F251">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资产总计</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2944C1A">
            <w:pPr>
              <w:pBdr>
                <w:top w:val="none" w:color="000000" w:sz="0" w:space="0"/>
                <w:left w:val="none" w:color="000000" w:sz="0" w:space="0"/>
                <w:bottom w:val="none" w:color="000000" w:sz="0" w:space="0"/>
                <w:right w:val="none" w:color="000000" w:sz="0" w:space="0"/>
              </w:pBdr>
              <w:spacing w:after="0" w:line="240" w:lineRule="auto"/>
              <w:ind w:firstLine="120"/>
              <w:jc w:val="both"/>
              <w:rPr>
                <w:rFonts w:ascii="宋体" w:hAnsi="宋体" w:eastAsia="宋体" w:cs="宋体"/>
                <w:highlight w:val="none"/>
              </w:rPr>
            </w:pPr>
            <w:r>
              <w:rPr>
                <w:rFonts w:hint="eastAsia" w:ascii="宋体" w:hAnsi="宋体" w:eastAsia="宋体" w:cs="宋体"/>
                <w:color w:val="000000"/>
                <w:sz w:val="24"/>
                <w:highlight w:val="none"/>
              </w:rPr>
              <w:t>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667A2D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净资产</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A384735">
            <w:pPr>
              <w:pBdr>
                <w:top w:val="none" w:color="000000" w:sz="0" w:space="0"/>
                <w:left w:val="none" w:color="000000" w:sz="0" w:space="0"/>
                <w:bottom w:val="none" w:color="000000" w:sz="0" w:space="0"/>
                <w:right w:val="none" w:color="000000" w:sz="0" w:space="0"/>
              </w:pBdr>
              <w:spacing w:after="0" w:line="240" w:lineRule="auto"/>
              <w:ind w:left="1260"/>
              <w:jc w:val="center"/>
              <w:rPr>
                <w:rFonts w:ascii="宋体" w:hAnsi="宋体" w:eastAsia="宋体" w:cs="宋体"/>
                <w:highlight w:val="none"/>
              </w:rPr>
            </w:pPr>
            <w:r>
              <w:rPr>
                <w:rFonts w:hint="eastAsia" w:ascii="宋体" w:hAnsi="宋体" w:eastAsia="宋体" w:cs="宋体"/>
                <w:color w:val="000000"/>
                <w:sz w:val="24"/>
                <w:highlight w:val="none"/>
              </w:rPr>
              <w:t>  万元</w:t>
            </w:r>
          </w:p>
        </w:tc>
      </w:tr>
      <w:tr w14:paraId="2C8400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928A36F">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股东权益</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C052207">
            <w:pPr>
              <w:pBdr>
                <w:top w:val="none" w:color="000000" w:sz="0" w:space="0"/>
                <w:left w:val="none" w:color="000000" w:sz="0" w:space="0"/>
                <w:bottom w:val="none" w:color="000000" w:sz="0" w:space="0"/>
                <w:right w:val="none" w:color="000000" w:sz="0" w:space="0"/>
              </w:pBdr>
              <w:spacing w:after="0" w:line="240" w:lineRule="auto"/>
              <w:ind w:firstLine="960"/>
              <w:jc w:val="both"/>
              <w:rPr>
                <w:rFonts w:ascii="宋体" w:hAnsi="宋体" w:eastAsia="宋体" w:cs="宋体"/>
                <w:highlight w:val="none"/>
              </w:rPr>
            </w:pPr>
            <w:r>
              <w:rPr>
                <w:rFonts w:hint="eastAsia" w:ascii="宋体" w:hAnsi="宋体" w:eastAsia="宋体" w:cs="宋体"/>
                <w:color w:val="000000"/>
                <w:sz w:val="24"/>
                <w:highlight w:val="none"/>
              </w:rPr>
              <w:t>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0115221">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销售收入</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BEE4661">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b/>
                <w:color w:val="000000"/>
                <w:sz w:val="24"/>
                <w:highlight w:val="none"/>
                <w:lang w:eastAsia="zh-CN"/>
              </w:rPr>
              <w:t>2024</w:t>
            </w:r>
            <w:r>
              <w:rPr>
                <w:rFonts w:hint="eastAsia" w:ascii="宋体" w:hAnsi="宋体" w:eastAsia="宋体" w:cs="宋体"/>
                <w:b/>
                <w:color w:val="000000"/>
                <w:sz w:val="24"/>
                <w:highlight w:val="none"/>
              </w:rPr>
              <w:t>年 万元</w:t>
            </w:r>
          </w:p>
        </w:tc>
      </w:tr>
      <w:tr w14:paraId="0D45D7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35"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B3CFB2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实现利润</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BCA35CB">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b/>
                <w:color w:val="000000"/>
                <w:sz w:val="24"/>
                <w:highlight w:val="none"/>
                <w:lang w:eastAsia="zh-CN"/>
              </w:rPr>
              <w:t>2024</w:t>
            </w:r>
            <w:r>
              <w:rPr>
                <w:rFonts w:hint="eastAsia" w:ascii="宋体" w:hAnsi="宋体" w:eastAsia="宋体" w:cs="宋体"/>
                <w:b/>
                <w:color w:val="000000"/>
                <w:sz w:val="24"/>
                <w:highlight w:val="none"/>
              </w:rPr>
              <w:t>年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4BCEBCB">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color w:val="000000"/>
                <w:sz w:val="24"/>
                <w:highlight w:val="none"/>
              </w:rPr>
              <w:t> </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BFB47D1">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color w:val="000000"/>
                <w:sz w:val="24"/>
                <w:highlight w:val="none"/>
              </w:rPr>
              <w:t> </w:t>
            </w:r>
          </w:p>
        </w:tc>
      </w:tr>
      <w:tr w14:paraId="21CA015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BEBA4A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营业面积（含厂房面积）</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71EFC2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lang w:eastAsia="zh-CN"/>
              </w:rPr>
              <w:t>    </w:t>
            </w:r>
            <w:r>
              <w:rPr>
                <w:rFonts w:hint="eastAsia" w:ascii="宋体" w:hAnsi="宋体" w:eastAsia="宋体" w:cs="宋体"/>
                <w:color w:val="000000"/>
                <w:sz w:val="24"/>
                <w:highlight w:val="none"/>
              </w:rPr>
              <w:t>平方米</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460F1F2">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其中</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F4B1884">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自有面积    平方米</w:t>
            </w:r>
          </w:p>
          <w:p w14:paraId="1D00489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承租面积    平方米</w:t>
            </w:r>
          </w:p>
        </w:tc>
      </w:tr>
      <w:tr w14:paraId="7A2876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968A04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单位简历及内设机构情况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CE1091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416AB3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E87B368">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单位优势及特长</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03F12ED">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color w:val="000000"/>
                <w:sz w:val="24"/>
                <w:highlight w:val="none"/>
              </w:rPr>
              <w:t> </w:t>
            </w:r>
          </w:p>
        </w:tc>
      </w:tr>
      <w:tr w14:paraId="1DAA25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5DD02CA">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近两年来完成或正在履行的重大合同情况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A97BB63">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0879DC3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D78FA5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最近2年内在经营过程中受到何种奖励或处分（包括情况和结果）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9A4E30B">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1F8F07C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1C174D1">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最近3年内有无因售假、售劣或是其他原因被消费者投诉或起诉的情况及说明（包括解决方式和结果）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F8844B4">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7D20BD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68EEB3D">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最近3年内主要负责人有无因经济犯罪被司法机关追究的情况及说明</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0C00929">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7258AE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93F3A0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获得技术认证的工程师及简介</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7220769">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42F6A92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259CE57">
            <w:pPr>
              <w:pBdr>
                <w:top w:val="none" w:color="000000" w:sz="0" w:space="0"/>
                <w:left w:val="none" w:color="000000" w:sz="0" w:space="0"/>
                <w:bottom w:val="none" w:color="000000" w:sz="0" w:space="0"/>
                <w:right w:val="none" w:color="000000" w:sz="0" w:space="0"/>
              </w:pBdr>
              <w:spacing w:after="0" w:line="240" w:lineRule="auto"/>
              <w:jc w:val="both"/>
              <w:rPr>
                <w:rFonts w:ascii="宋体" w:hAnsi="宋体" w:eastAsia="宋体" w:cs="宋体"/>
                <w:highlight w:val="none"/>
              </w:rPr>
            </w:pPr>
            <w:r>
              <w:rPr>
                <w:rFonts w:hint="eastAsia" w:ascii="宋体" w:hAnsi="宋体" w:eastAsia="宋体" w:cs="宋体"/>
                <w:color w:val="000000"/>
                <w:sz w:val="24"/>
                <w:highlight w:val="none"/>
              </w:rPr>
              <w:t>其他需要说明的情况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B41B710">
            <w:pPr>
              <w:pBdr>
                <w:top w:val="none" w:color="000000" w:sz="0" w:space="0"/>
                <w:left w:val="none" w:color="000000" w:sz="0" w:space="0"/>
                <w:bottom w:val="none" w:color="000000" w:sz="0" w:space="0"/>
                <w:right w:val="none" w:color="000000" w:sz="0" w:space="0"/>
              </w:pBdr>
              <w:spacing w:after="0" w:line="240" w:lineRule="auto"/>
              <w:ind w:left="1260"/>
              <w:jc w:val="both"/>
              <w:rPr>
                <w:rFonts w:ascii="宋体" w:hAnsi="宋体" w:eastAsia="宋体" w:cs="宋体"/>
                <w:highlight w:val="none"/>
              </w:rPr>
            </w:pPr>
            <w:r>
              <w:rPr>
                <w:rFonts w:hint="eastAsia" w:ascii="宋体" w:hAnsi="宋体" w:eastAsia="宋体" w:cs="宋体"/>
                <w:color w:val="000000"/>
                <w:sz w:val="24"/>
                <w:highlight w:val="none"/>
              </w:rPr>
              <w:t> </w:t>
            </w:r>
          </w:p>
        </w:tc>
      </w:tr>
    </w:tbl>
    <w:p w14:paraId="43BC0FA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rPr>
      </w:pPr>
      <w:r>
        <w:rPr>
          <w:rFonts w:hint="eastAsia" w:ascii="宋体" w:hAnsi="宋体" w:eastAsia="宋体" w:cs="宋体"/>
          <w:highlight w:val="none"/>
        </w:rPr>
        <w:br w:type="page" w:clear="all"/>
      </w:r>
    </w:p>
    <w:p w14:paraId="6AF9C4E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5、法定代表人授权委托书 （如有）</w:t>
      </w:r>
    </w:p>
    <w:p w14:paraId="4E704D65">
      <w:pPr>
        <w:pBdr>
          <w:top w:val="none" w:color="000000" w:sz="0" w:space="0"/>
          <w:left w:val="none" w:color="000000" w:sz="0" w:space="0"/>
          <w:bottom w:val="none" w:color="000000" w:sz="0" w:space="0"/>
          <w:right w:val="none" w:color="000000" w:sz="0" w:space="0"/>
        </w:pBdr>
        <w:spacing w:after="0"/>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573E067">
      <w:pPr>
        <w:pBdr>
          <w:top w:val="none" w:color="000000" w:sz="0" w:space="0"/>
          <w:left w:val="none" w:color="000000" w:sz="0" w:space="0"/>
          <w:bottom w:val="none" w:color="000000" w:sz="0" w:space="0"/>
          <w:right w:val="none" w:color="000000" w:sz="0" w:space="0"/>
        </w:pBdr>
        <w:spacing w:after="0"/>
        <w:ind w:firstLine="420"/>
        <w:jc w:val="center"/>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8FC4B4A">
      <w:pPr>
        <w:pBdr>
          <w:top w:val="none" w:color="000000" w:sz="0" w:space="0"/>
          <w:left w:val="none" w:color="000000" w:sz="0" w:space="0"/>
          <w:bottom w:val="none" w:color="000000" w:sz="0" w:space="0"/>
          <w:right w:val="none" w:color="000000" w:sz="0" w:space="0"/>
        </w:pBdr>
        <w:spacing w:after="0"/>
        <w:ind w:firstLine="420"/>
        <w:jc w:val="center"/>
        <w:rPr>
          <w:rFonts w:ascii="宋体" w:hAnsi="宋体" w:eastAsia="宋体" w:cs="宋体"/>
          <w:highlight w:val="none"/>
          <w:lang w:eastAsia="zh-CN"/>
        </w:rPr>
      </w:pPr>
      <w:r>
        <w:rPr>
          <w:rFonts w:hint="eastAsia" w:ascii="宋体" w:hAnsi="宋体" w:eastAsia="宋体" w:cs="宋体"/>
          <w:color w:val="000000"/>
          <w:sz w:val="32"/>
          <w:highlight w:val="none"/>
          <w:lang w:eastAsia="zh-CN"/>
        </w:rPr>
        <w:t>授权委托书</w:t>
      </w:r>
    </w:p>
    <w:p w14:paraId="0E7249D3">
      <w:pPr>
        <w:pBdr>
          <w:top w:val="none" w:color="000000" w:sz="0" w:space="0"/>
          <w:left w:val="none" w:color="000000" w:sz="0" w:space="0"/>
          <w:bottom w:val="none" w:color="000000" w:sz="0" w:space="0"/>
          <w:right w:val="none" w:color="000000" w:sz="0" w:space="0"/>
        </w:pBdr>
        <w:spacing w:after="0"/>
        <w:ind w:firstLine="420"/>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07ECD87C">
      <w:pPr>
        <w:pBdr>
          <w:top w:val="none" w:color="000000" w:sz="0" w:space="0"/>
          <w:left w:val="none" w:color="000000" w:sz="0" w:space="0"/>
          <w:bottom w:val="none" w:color="000000" w:sz="0" w:space="0"/>
          <w:right w:val="none" w:color="000000" w:sz="0" w:space="0"/>
        </w:pBdr>
        <w:spacing w:after="0"/>
        <w:ind w:firstLine="420"/>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6BCAB5E">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本授权委托书声明：我</w:t>
      </w:r>
      <w:r>
        <w:rPr>
          <w:rFonts w:hint="eastAsia" w:ascii="宋体" w:hAnsi="宋体" w:eastAsia="宋体" w:cs="宋体"/>
          <w:color w:val="000000"/>
          <w:sz w:val="24"/>
          <w:highlight w:val="none"/>
          <w:u w:val="single"/>
          <w:lang w:eastAsia="zh-CN"/>
        </w:rPr>
        <w:t>（姓名）</w:t>
      </w:r>
      <w:r>
        <w:rPr>
          <w:rFonts w:hint="eastAsia" w:ascii="宋体" w:hAnsi="宋体" w:eastAsia="宋体" w:cs="宋体"/>
          <w:color w:val="000000"/>
          <w:sz w:val="24"/>
          <w:highlight w:val="none"/>
          <w:lang w:eastAsia="zh-CN"/>
        </w:rPr>
        <w:t>系</w:t>
      </w:r>
      <w:r>
        <w:rPr>
          <w:rFonts w:hint="eastAsia" w:ascii="宋体" w:hAnsi="宋体" w:eastAsia="宋体" w:cs="宋体"/>
          <w:color w:val="000000"/>
          <w:sz w:val="24"/>
          <w:highlight w:val="none"/>
          <w:u w:val="single"/>
          <w:lang w:eastAsia="zh-CN"/>
        </w:rPr>
        <w:t>（投标单位名称）</w:t>
      </w:r>
      <w:r>
        <w:rPr>
          <w:rFonts w:hint="eastAsia" w:ascii="宋体" w:hAnsi="宋体" w:eastAsia="宋体" w:cs="宋体"/>
          <w:color w:val="000000"/>
          <w:sz w:val="24"/>
          <w:highlight w:val="none"/>
          <w:lang w:eastAsia="zh-CN"/>
        </w:rPr>
        <w:t>的法定代表人，现授权委托</w:t>
      </w:r>
      <w:r>
        <w:rPr>
          <w:rFonts w:hint="eastAsia" w:ascii="宋体" w:hAnsi="宋体" w:eastAsia="宋体" w:cs="宋体"/>
          <w:color w:val="000000"/>
          <w:sz w:val="24"/>
          <w:highlight w:val="none"/>
          <w:u w:val="single"/>
          <w:lang w:eastAsia="zh-CN"/>
        </w:rPr>
        <w:t>（单位名称）</w:t>
      </w:r>
      <w:r>
        <w:rPr>
          <w:rFonts w:hint="eastAsia" w:ascii="宋体" w:hAnsi="宋体" w:eastAsia="宋体" w:cs="宋体"/>
          <w:color w:val="000000"/>
          <w:sz w:val="24"/>
          <w:highlight w:val="none"/>
          <w:lang w:eastAsia="zh-CN"/>
        </w:rPr>
        <w:t>的</w:t>
      </w:r>
      <w:r>
        <w:rPr>
          <w:rFonts w:hint="eastAsia" w:ascii="宋体" w:hAnsi="宋体" w:eastAsia="宋体" w:cs="宋体"/>
          <w:color w:val="000000"/>
          <w:sz w:val="24"/>
          <w:highlight w:val="none"/>
          <w:u w:val="single"/>
          <w:lang w:eastAsia="zh-CN"/>
        </w:rPr>
        <w:t>（姓名）</w:t>
      </w:r>
      <w:r>
        <w:rPr>
          <w:rFonts w:hint="eastAsia" w:ascii="宋体" w:hAnsi="宋体" w:eastAsia="宋体" w:cs="宋体"/>
          <w:color w:val="000000"/>
          <w:sz w:val="24"/>
          <w:highlight w:val="none"/>
          <w:lang w:eastAsia="zh-CN"/>
        </w:rPr>
        <w:t>为我公司代理人，以本公司的名义参加</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组织实施的编号为</w:t>
      </w:r>
      <w:r>
        <w:rPr>
          <w:rFonts w:hint="eastAsia" w:ascii="宋体" w:hAnsi="宋体" w:eastAsia="宋体" w:cs="宋体"/>
          <w:b/>
          <w:color w:val="000000"/>
          <w:sz w:val="24"/>
          <w:highlight w:val="none"/>
          <w:lang w:eastAsia="zh-CN"/>
        </w:rPr>
        <w:t xml:space="preserve"> </w:t>
      </w:r>
      <w:r>
        <w:rPr>
          <w:rFonts w:hint="eastAsia" w:ascii="宋体" w:hAnsi="宋体" w:eastAsia="宋体" w:cs="宋体"/>
          <w:b/>
          <w:sz w:val="24"/>
          <w:szCs w:val="24"/>
          <w:highlight w:val="none"/>
          <w:u w:val="single"/>
          <w:lang w:eastAsia="zh-CN"/>
        </w:rPr>
        <w:t>JSZC-320585-JZCG-G2026-0018</w:t>
      </w:r>
      <w:r>
        <w:rPr>
          <w:rFonts w:hint="eastAsia" w:ascii="宋体" w:hAnsi="宋体" w:eastAsia="宋体" w:cs="宋体"/>
          <w:color w:val="000000"/>
          <w:sz w:val="24"/>
          <w:highlight w:val="none"/>
          <w:lang w:eastAsia="zh-CN"/>
        </w:rPr>
        <w:t>号的招标活动。代理人在开标、评标、合同谈判过程中所签署的一切文件和处理与这有关的一切事务，我均予以承认。</w:t>
      </w:r>
    </w:p>
    <w:p w14:paraId="4450B45A">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代理人在授权委托书有效期内签署的所有文件不因授权委托的撤销而失效，除非有撤销授权委托的书面通知，本授权委托书自投标开始至合同履行完毕止。</w:t>
      </w:r>
    </w:p>
    <w:p w14:paraId="0794C1CB">
      <w:pPr>
        <w:pBdr>
          <w:top w:val="none" w:color="000000" w:sz="0" w:space="0"/>
          <w:left w:val="none" w:color="000000" w:sz="0" w:space="0"/>
          <w:bottom w:val="none" w:color="000000" w:sz="0" w:space="0"/>
          <w:right w:val="none" w:color="000000" w:sz="0" w:space="0"/>
        </w:pBdr>
        <w:spacing w:after="0" w:line="439" w:lineRule="atLeast"/>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代理人无转委托权。特此委托！</w:t>
      </w:r>
    </w:p>
    <w:p w14:paraId="2A0644AD">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6C4DCB48">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投标单位：（盖章）</w:t>
      </w:r>
    </w:p>
    <w:p w14:paraId="3E0AB48A">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法定代表人：（签字或盖章）</w:t>
      </w:r>
    </w:p>
    <w:p w14:paraId="0355C123">
      <w:pPr>
        <w:pBdr>
          <w:top w:val="none" w:color="000000" w:sz="0" w:space="0"/>
          <w:left w:val="none" w:color="000000" w:sz="0" w:space="0"/>
          <w:bottom w:val="none" w:color="000000" w:sz="0" w:space="0"/>
          <w:right w:val="none" w:color="000000" w:sz="0" w:space="0"/>
        </w:pBdr>
        <w:spacing w:after="0"/>
        <w:ind w:firstLine="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授权代理人：（签字或盖章）</w:t>
      </w:r>
    </w:p>
    <w:p w14:paraId="0435D1FC">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投标日期：年月日</w:t>
      </w:r>
    </w:p>
    <w:p w14:paraId="0896167F">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5A21CEB2">
      <w:pPr>
        <w:pBdr>
          <w:top w:val="none" w:color="000000" w:sz="0" w:space="0"/>
          <w:left w:val="none" w:color="000000" w:sz="0" w:space="0"/>
          <w:bottom w:val="none" w:color="000000" w:sz="0" w:space="0"/>
          <w:right w:val="none" w:color="000000" w:sz="0" w:space="0"/>
        </w:pBdr>
        <w:spacing w:after="0" w:line="360" w:lineRule="atLeast"/>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6、开标一览表</w:t>
      </w:r>
    </w:p>
    <w:p w14:paraId="4308D12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21"/>
          <w:highlight w:val="none"/>
          <w:lang w:eastAsia="zh-CN"/>
        </w:rPr>
        <w:t> </w:t>
      </w:r>
    </w:p>
    <w:p w14:paraId="1051120F">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highlight w:val="none"/>
          <w:lang w:eastAsia="zh-CN"/>
        </w:rPr>
      </w:pPr>
      <w:r>
        <w:rPr>
          <w:rFonts w:hint="eastAsia" w:ascii="宋体" w:hAnsi="宋体" w:eastAsia="宋体" w:cs="宋体"/>
          <w:color w:val="000000"/>
          <w:sz w:val="21"/>
          <w:highlight w:val="none"/>
          <w:lang w:eastAsia="zh-CN"/>
        </w:rPr>
        <w:t> </w:t>
      </w:r>
    </w:p>
    <w:p w14:paraId="6EAC5EE3">
      <w:pPr>
        <w:pBdr>
          <w:top w:val="none" w:color="000000" w:sz="0" w:space="0"/>
          <w:left w:val="none" w:color="000000" w:sz="0" w:space="0"/>
          <w:bottom w:val="none" w:color="000000" w:sz="0" w:space="0"/>
          <w:right w:val="none" w:color="000000" w:sz="0" w:space="0"/>
        </w:pBdr>
        <w:spacing w:after="0"/>
        <w:jc w:val="center"/>
        <w:rPr>
          <w:rFonts w:ascii="宋体" w:hAnsi="宋体" w:eastAsia="宋体" w:cs="宋体"/>
          <w:highlight w:val="none"/>
          <w:lang w:eastAsia="zh-CN"/>
        </w:rPr>
      </w:pPr>
      <w:r>
        <w:rPr>
          <w:rFonts w:hint="eastAsia" w:ascii="宋体" w:hAnsi="宋体" w:eastAsia="宋体" w:cs="宋体"/>
          <w:b/>
          <w:color w:val="000000"/>
          <w:sz w:val="32"/>
          <w:highlight w:val="none"/>
          <w:lang w:eastAsia="zh-CN"/>
        </w:rPr>
        <w:t>开标一览表</w:t>
      </w:r>
    </w:p>
    <w:p w14:paraId="59C14BC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75212243">
      <w:pPr>
        <w:pBdr>
          <w:top w:val="none" w:color="000000" w:sz="0" w:space="0"/>
          <w:left w:val="none" w:color="000000" w:sz="0" w:space="0"/>
          <w:bottom w:val="none" w:color="000000" w:sz="0" w:space="0"/>
          <w:right w:val="none" w:color="000000" w:sz="0" w:space="0"/>
        </w:pBdr>
        <w:spacing w:after="0"/>
        <w:ind w:firstLine="7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投标人全称（加盖公章）：供应商名称</w:t>
      </w:r>
    </w:p>
    <w:p w14:paraId="2BD87BAA">
      <w:pPr>
        <w:pBdr>
          <w:top w:val="none" w:color="000000" w:sz="0" w:space="0"/>
          <w:left w:val="none" w:color="000000" w:sz="0" w:space="0"/>
          <w:bottom w:val="none" w:color="000000" w:sz="0" w:space="0"/>
          <w:right w:val="none" w:color="000000" w:sz="0" w:space="0"/>
        </w:pBdr>
        <w:spacing w:after="0"/>
        <w:ind w:firstLine="720"/>
        <w:rPr>
          <w:rFonts w:ascii="宋体" w:hAnsi="宋体" w:eastAsia="宋体" w:cs="宋体"/>
          <w:highlight w:val="none"/>
          <w:lang w:eastAsia="zh-CN"/>
        </w:rPr>
      </w:pPr>
      <w:r>
        <w:rPr>
          <w:rFonts w:hint="eastAsia" w:ascii="宋体" w:hAnsi="宋体" w:eastAsia="宋体" w:cs="宋体"/>
          <w:color w:val="000000"/>
          <w:sz w:val="24"/>
          <w:highlight w:val="none"/>
          <w:lang w:eastAsia="zh-CN"/>
        </w:rPr>
        <w:t>项目编号：</w:t>
      </w:r>
      <w:r>
        <w:rPr>
          <w:rFonts w:hint="eastAsia" w:ascii="宋体" w:hAnsi="宋体" w:eastAsia="宋体" w:cs="宋体"/>
          <w:b/>
          <w:sz w:val="24"/>
          <w:szCs w:val="24"/>
          <w:highlight w:val="none"/>
          <w:lang w:eastAsia="zh-CN"/>
        </w:rPr>
        <w:t>JSZC-320585-JZCG-G2026-0018</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182"/>
        <w:gridCol w:w="4656"/>
      </w:tblGrid>
      <w:tr w14:paraId="4D7F6DC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4" w:hRule="atLeast"/>
        </w:trPr>
        <w:tc>
          <w:tcPr>
            <w:tcW w:w="418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A145619">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highlight w:val="none"/>
              </w:rPr>
            </w:pPr>
            <w:r>
              <w:rPr>
                <w:rFonts w:hint="eastAsia" w:ascii="宋体" w:hAnsi="宋体" w:eastAsia="宋体" w:cs="宋体"/>
                <w:color w:val="000000"/>
                <w:sz w:val="24"/>
                <w:highlight w:val="none"/>
              </w:rPr>
              <w:t>项目名称</w:t>
            </w:r>
          </w:p>
        </w:tc>
        <w:tc>
          <w:tcPr>
            <w:tcW w:w="465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B4A4C0E">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highlight w:val="none"/>
              </w:rPr>
            </w:pPr>
            <w:r>
              <w:rPr>
                <w:rFonts w:hint="eastAsia" w:ascii="宋体" w:hAnsi="宋体" w:eastAsia="宋体" w:cs="宋体"/>
                <w:color w:val="000000"/>
                <w:sz w:val="24"/>
                <w:highlight w:val="none"/>
              </w:rPr>
              <w:t>投标总价</w:t>
            </w:r>
          </w:p>
        </w:tc>
      </w:tr>
      <w:tr w14:paraId="357B72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ADAEB75">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highlight w:val="none"/>
                <w:lang w:eastAsia="zh-CN"/>
              </w:rPr>
            </w:pPr>
            <w:r>
              <w:rPr>
                <w:rFonts w:hint="eastAsia" w:ascii="宋体" w:hAnsi="宋体" w:eastAsia="宋体" w:cs="宋体"/>
                <w:b/>
                <w:bCs/>
                <w:color w:val="000000"/>
                <w:sz w:val="24"/>
                <w:highlight w:val="none"/>
                <w:lang w:eastAsia="zh-CN"/>
              </w:rPr>
              <w:t>2026年科教新城智慧技防小区项目（二期）</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A795E00">
            <w:pPr>
              <w:pBdr>
                <w:top w:val="none" w:color="000000" w:sz="0" w:space="0"/>
                <w:left w:val="none" w:color="000000" w:sz="0" w:space="0"/>
                <w:bottom w:val="none" w:color="000000" w:sz="0" w:space="0"/>
                <w:right w:val="none" w:color="000000" w:sz="0" w:space="0"/>
              </w:pBdr>
              <w:spacing w:after="0" w:line="360" w:lineRule="atLeast"/>
              <w:rPr>
                <w:rFonts w:ascii="宋体" w:hAnsi="宋体" w:eastAsia="宋体" w:cs="宋体"/>
                <w:highlight w:val="none"/>
              </w:rPr>
            </w:pPr>
            <w:r>
              <w:rPr>
                <w:rFonts w:hint="eastAsia" w:ascii="宋体" w:hAnsi="宋体" w:eastAsia="宋体" w:cs="宋体"/>
                <w:color w:val="000000"/>
                <w:sz w:val="24"/>
                <w:highlight w:val="none"/>
              </w:rPr>
              <w:t>小写          （元人民币）</w:t>
            </w:r>
          </w:p>
        </w:tc>
      </w:tr>
      <w:tr w14:paraId="39D14A4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8DFB9E3">
            <w:pPr>
              <w:pBdr>
                <w:top w:val="none" w:color="000000" w:sz="0" w:space="0"/>
                <w:left w:val="none" w:color="000000" w:sz="0" w:space="0"/>
                <w:bottom w:val="none" w:color="000000" w:sz="0" w:space="0"/>
                <w:right w:val="none" w:color="000000" w:sz="0" w:space="0"/>
              </w:pBdr>
              <w:spacing w:after="0" w:line="360" w:lineRule="atLeast"/>
              <w:jc w:val="center"/>
              <w:rPr>
                <w:rFonts w:ascii="宋体" w:hAnsi="宋体" w:eastAsia="宋体" w:cs="宋体"/>
                <w:highlight w:val="none"/>
              </w:rPr>
            </w:pPr>
            <w:r>
              <w:rPr>
                <w:rFonts w:hint="eastAsia" w:ascii="宋体" w:hAnsi="宋体" w:eastAsia="宋体" w:cs="宋体"/>
                <w:color w:val="000000"/>
                <w:sz w:val="24"/>
                <w:highlight w:val="none"/>
              </w:rPr>
              <w:t>投标报价大写金额</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5E02A59">
            <w:pPr>
              <w:pBdr>
                <w:top w:val="none" w:color="000000" w:sz="0" w:space="0"/>
                <w:left w:val="none" w:color="000000" w:sz="0" w:space="0"/>
                <w:bottom w:val="none" w:color="000000" w:sz="0" w:space="0"/>
                <w:right w:val="none" w:color="000000" w:sz="0" w:space="0"/>
              </w:pBdr>
              <w:spacing w:after="0" w:line="360" w:lineRule="atLeast"/>
              <w:rPr>
                <w:rFonts w:ascii="宋体" w:hAnsi="宋体" w:eastAsia="宋体" w:cs="宋体"/>
                <w:highlight w:val="none"/>
              </w:rPr>
            </w:pPr>
            <w:r>
              <w:rPr>
                <w:rFonts w:hint="eastAsia" w:ascii="宋体" w:hAnsi="宋体" w:eastAsia="宋体" w:cs="宋体"/>
                <w:color w:val="000000"/>
                <w:sz w:val="24"/>
                <w:highlight w:val="none"/>
              </w:rPr>
              <w:t>金额大写：</w:t>
            </w:r>
          </w:p>
        </w:tc>
      </w:tr>
    </w:tbl>
    <w:p w14:paraId="32477D2E">
      <w:pPr>
        <w:pBdr>
          <w:top w:val="none" w:color="000000" w:sz="0" w:space="0"/>
          <w:left w:val="none" w:color="000000" w:sz="0" w:space="0"/>
          <w:bottom w:val="none" w:color="000000" w:sz="0" w:space="0"/>
          <w:right w:val="none" w:color="000000" w:sz="0" w:space="0"/>
        </w:pBdr>
        <w:spacing w:after="0"/>
        <w:ind w:firstLine="723"/>
        <w:jc w:val="both"/>
        <w:rPr>
          <w:rFonts w:ascii="宋体" w:hAnsi="宋体" w:eastAsia="宋体" w:cs="宋体"/>
          <w:highlight w:val="none"/>
        </w:rPr>
      </w:pPr>
      <w:r>
        <w:rPr>
          <w:rFonts w:hint="eastAsia" w:ascii="宋体" w:hAnsi="宋体" w:eastAsia="宋体" w:cs="宋体"/>
          <w:b/>
          <w:color w:val="000000"/>
          <w:sz w:val="24"/>
          <w:highlight w:val="none"/>
        </w:rPr>
        <w:t> </w:t>
      </w:r>
    </w:p>
    <w:p w14:paraId="7CF20875">
      <w:pPr>
        <w:pBdr>
          <w:top w:val="none" w:color="000000" w:sz="0" w:space="0"/>
          <w:left w:val="none" w:color="000000" w:sz="0" w:space="0"/>
          <w:bottom w:val="none" w:color="000000" w:sz="0" w:space="0"/>
          <w:right w:val="none" w:color="000000" w:sz="0" w:space="0"/>
        </w:pBdr>
        <w:spacing w:after="0" w:line="460" w:lineRule="atLeast"/>
        <w:ind w:firstLine="3360"/>
        <w:jc w:val="both"/>
        <w:rPr>
          <w:rFonts w:ascii="宋体" w:hAnsi="宋体" w:eastAsia="宋体" w:cs="宋体"/>
          <w:highlight w:val="none"/>
        </w:rPr>
      </w:pPr>
      <w:r>
        <w:rPr>
          <w:rFonts w:hint="eastAsia" w:ascii="宋体" w:hAnsi="宋体" w:eastAsia="宋体" w:cs="宋体"/>
          <w:color w:val="000000"/>
          <w:sz w:val="24"/>
          <w:highlight w:val="none"/>
        </w:rPr>
        <w:t>日期：年月日</w:t>
      </w:r>
    </w:p>
    <w:p w14:paraId="488F2C70">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rPr>
      </w:pPr>
      <w:r>
        <w:rPr>
          <w:rFonts w:hint="eastAsia" w:ascii="宋体" w:hAnsi="宋体" w:eastAsia="宋体" w:cs="宋体"/>
          <w:b/>
          <w:color w:val="000000"/>
          <w:sz w:val="24"/>
          <w:highlight w:val="none"/>
        </w:rPr>
        <w:t> </w:t>
      </w:r>
    </w:p>
    <w:p w14:paraId="0854FA4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rPr>
      </w:pPr>
      <w:r>
        <w:rPr>
          <w:rFonts w:hint="eastAsia" w:ascii="宋体" w:hAnsi="宋体" w:eastAsia="宋体" w:cs="宋体"/>
          <w:highlight w:val="none"/>
        </w:rPr>
        <w:br w:type="page" w:clear="all"/>
      </w:r>
    </w:p>
    <w:p w14:paraId="30EB350A">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rPr>
      </w:pPr>
      <w:r>
        <w:rPr>
          <w:rFonts w:hint="eastAsia" w:ascii="宋体" w:hAnsi="宋体" w:eastAsia="宋体" w:cs="宋体"/>
          <w:b/>
          <w:color w:val="000000"/>
          <w:sz w:val="28"/>
          <w:highlight w:val="none"/>
        </w:rPr>
        <w:t>7、投标报价明细表</w:t>
      </w:r>
    </w:p>
    <w:p w14:paraId="19EA8F75">
      <w:pPr>
        <w:pBdr>
          <w:top w:val="none" w:color="000000" w:sz="0" w:space="0"/>
          <w:left w:val="none" w:color="000000" w:sz="0" w:space="0"/>
          <w:bottom w:val="none" w:color="000000" w:sz="0" w:space="0"/>
          <w:right w:val="none" w:color="000000" w:sz="0" w:space="0"/>
        </w:pBdr>
        <w:spacing w:after="0"/>
        <w:ind w:firstLine="3012"/>
        <w:jc w:val="both"/>
        <w:rPr>
          <w:rFonts w:ascii="宋体" w:hAnsi="宋体" w:eastAsia="宋体" w:cs="宋体"/>
          <w:highlight w:val="none"/>
        </w:rPr>
      </w:pPr>
      <w:r>
        <w:rPr>
          <w:rFonts w:hint="eastAsia" w:ascii="宋体" w:hAnsi="宋体" w:eastAsia="宋体" w:cs="宋体"/>
          <w:b/>
          <w:color w:val="000000"/>
          <w:sz w:val="30"/>
          <w:highlight w:val="none"/>
        </w:rPr>
        <w:t> </w:t>
      </w:r>
    </w:p>
    <w:p w14:paraId="0F4E92F9">
      <w:pPr>
        <w:pBdr>
          <w:top w:val="none" w:color="000000" w:sz="0" w:space="0"/>
          <w:left w:val="none" w:color="000000" w:sz="0" w:space="0"/>
          <w:bottom w:val="none" w:color="000000" w:sz="0" w:space="0"/>
          <w:right w:val="none" w:color="000000" w:sz="0" w:space="0"/>
        </w:pBdr>
        <w:spacing w:after="0"/>
        <w:ind w:firstLine="2811"/>
        <w:jc w:val="both"/>
        <w:rPr>
          <w:rFonts w:ascii="宋体" w:hAnsi="宋体" w:eastAsia="宋体" w:cs="宋体"/>
          <w:highlight w:val="none"/>
        </w:rPr>
      </w:pPr>
      <w:bookmarkStart w:id="4" w:name="OLE_LINK57"/>
      <w:r>
        <w:rPr>
          <w:rFonts w:hint="eastAsia" w:ascii="宋体" w:hAnsi="宋体" w:eastAsia="宋体" w:cs="宋体"/>
          <w:b/>
          <w:color w:val="000000"/>
          <w:sz w:val="28"/>
          <w:highlight w:val="none"/>
        </w:rPr>
        <w:t>（一）投标报价明细表</w:t>
      </w:r>
    </w:p>
    <w:p w14:paraId="66E0EA88">
      <w:pPr>
        <w:pBdr>
          <w:top w:val="none" w:color="000000" w:sz="0" w:space="0"/>
          <w:left w:val="none" w:color="000000" w:sz="0" w:space="0"/>
          <w:bottom w:val="none" w:color="000000" w:sz="0" w:space="0"/>
          <w:right w:val="none" w:color="000000" w:sz="0" w:space="0"/>
        </w:pBdr>
        <w:spacing w:after="0"/>
        <w:ind w:firstLine="3012"/>
        <w:jc w:val="both"/>
        <w:rPr>
          <w:rFonts w:ascii="宋体" w:hAnsi="宋体" w:eastAsia="宋体" w:cs="宋体"/>
          <w:highlight w:val="none"/>
        </w:rPr>
      </w:pPr>
      <w:r>
        <w:rPr>
          <w:rFonts w:hint="eastAsia" w:ascii="宋体" w:hAnsi="宋体" w:eastAsia="宋体" w:cs="宋体"/>
          <w:b/>
          <w:color w:val="000000"/>
          <w:sz w:val="30"/>
          <w:highlight w:val="none"/>
        </w:rPr>
        <w:t> </w:t>
      </w:r>
    </w:p>
    <w:tbl>
      <w:tblPr>
        <w:tblStyle w:val="43"/>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705"/>
        <w:gridCol w:w="1414"/>
        <w:gridCol w:w="2051"/>
        <w:gridCol w:w="1252"/>
        <w:gridCol w:w="711"/>
        <w:gridCol w:w="9"/>
        <w:gridCol w:w="720"/>
        <w:gridCol w:w="720"/>
        <w:gridCol w:w="712"/>
        <w:gridCol w:w="881"/>
      </w:tblGrid>
      <w:tr w14:paraId="770D185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33E687E5">
            <w:pPr>
              <w:jc w:val="center"/>
              <w:rPr>
                <w:rFonts w:ascii="宋体" w:hAnsi="宋体" w:eastAsia="宋体" w:cs="宋体"/>
                <w:bCs/>
                <w:sz w:val="24"/>
                <w:szCs w:val="24"/>
                <w:highlight w:val="none"/>
              </w:rPr>
            </w:pPr>
            <w:r>
              <w:rPr>
                <w:rFonts w:hint="eastAsia" w:ascii="宋体" w:hAnsi="宋体" w:eastAsia="宋体" w:cs="宋体"/>
                <w:bCs/>
                <w:sz w:val="24"/>
                <w:szCs w:val="24"/>
                <w:highlight w:val="none"/>
              </w:rPr>
              <w:t>序号</w:t>
            </w:r>
          </w:p>
        </w:tc>
        <w:tc>
          <w:tcPr>
            <w:tcW w:w="1414" w:type="dxa"/>
            <w:tcBorders>
              <w:top w:val="single" w:color="auto" w:sz="6" w:space="0"/>
              <w:left w:val="single" w:color="auto" w:sz="6" w:space="0"/>
              <w:bottom w:val="single" w:color="auto" w:sz="6" w:space="0"/>
              <w:right w:val="single" w:color="auto" w:sz="6" w:space="0"/>
            </w:tcBorders>
            <w:vAlign w:val="center"/>
          </w:tcPr>
          <w:p w14:paraId="28AFF017">
            <w:pPr>
              <w:jc w:val="center"/>
              <w:rPr>
                <w:rFonts w:ascii="宋体" w:hAnsi="宋体" w:eastAsia="宋体" w:cs="宋体"/>
                <w:bCs/>
                <w:sz w:val="24"/>
                <w:szCs w:val="24"/>
                <w:highlight w:val="none"/>
              </w:rPr>
            </w:pPr>
            <w:r>
              <w:rPr>
                <w:rFonts w:hint="eastAsia" w:ascii="宋体" w:hAnsi="宋体" w:eastAsia="宋体" w:cs="宋体"/>
                <w:bCs/>
                <w:sz w:val="24"/>
                <w:szCs w:val="24"/>
                <w:highlight w:val="none"/>
              </w:rPr>
              <w:t>标的物名称</w:t>
            </w:r>
          </w:p>
        </w:tc>
        <w:tc>
          <w:tcPr>
            <w:tcW w:w="2051" w:type="dxa"/>
            <w:tcBorders>
              <w:top w:val="single" w:color="auto" w:sz="6" w:space="0"/>
              <w:left w:val="single" w:color="auto" w:sz="6" w:space="0"/>
              <w:bottom w:val="single" w:color="auto" w:sz="6" w:space="0"/>
              <w:right w:val="single" w:color="auto" w:sz="6" w:space="0"/>
            </w:tcBorders>
            <w:vAlign w:val="center"/>
          </w:tcPr>
          <w:p w14:paraId="2A18A971">
            <w:pPr>
              <w:jc w:val="center"/>
              <w:rPr>
                <w:rFonts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品牌、规格、型号/服务说明</w:t>
            </w:r>
          </w:p>
        </w:tc>
        <w:tc>
          <w:tcPr>
            <w:tcW w:w="1252" w:type="dxa"/>
            <w:tcBorders>
              <w:top w:val="single" w:color="auto" w:sz="6" w:space="0"/>
              <w:left w:val="single" w:color="auto" w:sz="6" w:space="0"/>
              <w:bottom w:val="single" w:color="auto" w:sz="6" w:space="0"/>
              <w:right w:val="single" w:color="auto" w:sz="6" w:space="0"/>
            </w:tcBorders>
            <w:vAlign w:val="center"/>
          </w:tcPr>
          <w:p w14:paraId="0F2FC38F">
            <w:pPr>
              <w:jc w:val="center"/>
              <w:rPr>
                <w:rFonts w:ascii="宋体" w:hAnsi="宋体" w:eastAsia="宋体" w:cs="宋体"/>
                <w:bCs/>
                <w:sz w:val="24"/>
                <w:szCs w:val="24"/>
                <w:highlight w:val="none"/>
              </w:rPr>
            </w:pPr>
            <w:r>
              <w:rPr>
                <w:rFonts w:hint="eastAsia" w:ascii="宋体" w:hAnsi="宋体" w:eastAsia="宋体" w:cs="宋体"/>
                <w:bCs/>
                <w:sz w:val="24"/>
                <w:szCs w:val="24"/>
                <w:highlight w:val="none"/>
              </w:rPr>
              <w:t>生产厂家</w:t>
            </w:r>
          </w:p>
        </w:tc>
        <w:tc>
          <w:tcPr>
            <w:tcW w:w="720" w:type="dxa"/>
            <w:gridSpan w:val="2"/>
            <w:tcBorders>
              <w:top w:val="single" w:color="auto" w:sz="6" w:space="0"/>
              <w:left w:val="single" w:color="auto" w:sz="6" w:space="0"/>
              <w:bottom w:val="single" w:color="auto" w:sz="6" w:space="0"/>
              <w:right w:val="single" w:color="auto" w:sz="4" w:space="0"/>
            </w:tcBorders>
            <w:vAlign w:val="center"/>
          </w:tcPr>
          <w:p w14:paraId="7D8103A0">
            <w:pPr>
              <w:jc w:val="center"/>
              <w:rPr>
                <w:rFonts w:ascii="宋体" w:hAnsi="宋体" w:eastAsia="宋体" w:cs="宋体"/>
                <w:bCs/>
                <w:sz w:val="24"/>
                <w:szCs w:val="24"/>
                <w:highlight w:val="none"/>
              </w:rPr>
            </w:pPr>
            <w:r>
              <w:rPr>
                <w:rFonts w:hint="eastAsia" w:ascii="宋体" w:hAnsi="宋体" w:eastAsia="宋体" w:cs="宋体"/>
                <w:bCs/>
                <w:sz w:val="24"/>
                <w:szCs w:val="24"/>
                <w:highlight w:val="none"/>
              </w:rPr>
              <w:t>单位</w:t>
            </w:r>
          </w:p>
        </w:tc>
        <w:tc>
          <w:tcPr>
            <w:tcW w:w="720" w:type="dxa"/>
            <w:tcBorders>
              <w:top w:val="single" w:color="auto" w:sz="6" w:space="0"/>
              <w:left w:val="single" w:color="auto" w:sz="4" w:space="0"/>
              <w:bottom w:val="single" w:color="auto" w:sz="6" w:space="0"/>
              <w:right w:val="single" w:color="auto" w:sz="6" w:space="0"/>
            </w:tcBorders>
            <w:vAlign w:val="center"/>
          </w:tcPr>
          <w:p w14:paraId="3B9FE38B">
            <w:pPr>
              <w:jc w:val="center"/>
              <w:rPr>
                <w:rFonts w:ascii="宋体" w:hAnsi="宋体" w:eastAsia="宋体" w:cs="宋体"/>
                <w:bCs/>
                <w:sz w:val="24"/>
                <w:szCs w:val="24"/>
                <w:highlight w:val="none"/>
              </w:rPr>
            </w:pPr>
            <w:r>
              <w:rPr>
                <w:rFonts w:hint="eastAsia" w:ascii="宋体" w:hAnsi="宋体" w:eastAsia="宋体" w:cs="宋体"/>
                <w:bCs/>
                <w:sz w:val="24"/>
                <w:szCs w:val="24"/>
                <w:highlight w:val="none"/>
              </w:rPr>
              <w:t>数量</w:t>
            </w:r>
          </w:p>
        </w:tc>
        <w:tc>
          <w:tcPr>
            <w:tcW w:w="720" w:type="dxa"/>
            <w:tcBorders>
              <w:top w:val="single" w:color="auto" w:sz="6" w:space="0"/>
              <w:left w:val="single" w:color="auto" w:sz="6" w:space="0"/>
              <w:bottom w:val="single" w:color="auto" w:sz="6" w:space="0"/>
              <w:right w:val="single" w:color="auto" w:sz="6" w:space="0"/>
            </w:tcBorders>
            <w:vAlign w:val="center"/>
          </w:tcPr>
          <w:p w14:paraId="6DC1CB4D">
            <w:pPr>
              <w:jc w:val="center"/>
              <w:rPr>
                <w:rFonts w:ascii="宋体" w:hAnsi="宋体" w:eastAsia="宋体" w:cs="宋体"/>
                <w:bCs/>
                <w:sz w:val="24"/>
                <w:szCs w:val="24"/>
                <w:highlight w:val="none"/>
              </w:rPr>
            </w:pPr>
            <w:r>
              <w:rPr>
                <w:rFonts w:hint="eastAsia" w:ascii="宋体" w:hAnsi="宋体" w:eastAsia="宋体" w:cs="宋体"/>
                <w:bCs/>
                <w:sz w:val="24"/>
                <w:szCs w:val="24"/>
                <w:highlight w:val="none"/>
              </w:rPr>
              <w:t>单价</w:t>
            </w:r>
          </w:p>
        </w:tc>
        <w:tc>
          <w:tcPr>
            <w:tcW w:w="712" w:type="dxa"/>
            <w:tcBorders>
              <w:top w:val="single" w:color="auto" w:sz="6" w:space="0"/>
              <w:left w:val="single" w:color="auto" w:sz="6" w:space="0"/>
              <w:bottom w:val="single" w:color="auto" w:sz="6" w:space="0"/>
              <w:right w:val="single" w:color="auto" w:sz="4" w:space="0"/>
            </w:tcBorders>
            <w:vAlign w:val="center"/>
          </w:tcPr>
          <w:p w14:paraId="48C59917">
            <w:pPr>
              <w:jc w:val="center"/>
              <w:rPr>
                <w:rFonts w:ascii="宋体" w:hAnsi="宋体" w:eastAsia="宋体" w:cs="宋体"/>
                <w:bCs/>
                <w:sz w:val="24"/>
                <w:szCs w:val="24"/>
                <w:highlight w:val="none"/>
              </w:rPr>
            </w:pPr>
            <w:r>
              <w:rPr>
                <w:rFonts w:hint="eastAsia" w:ascii="宋体" w:hAnsi="宋体" w:eastAsia="宋体" w:cs="宋体"/>
                <w:bCs/>
                <w:sz w:val="24"/>
                <w:szCs w:val="24"/>
                <w:highlight w:val="none"/>
              </w:rPr>
              <w:t>总价</w:t>
            </w:r>
          </w:p>
        </w:tc>
        <w:tc>
          <w:tcPr>
            <w:tcW w:w="881" w:type="dxa"/>
            <w:tcBorders>
              <w:top w:val="single" w:color="auto" w:sz="6" w:space="0"/>
              <w:left w:val="single" w:color="auto" w:sz="6" w:space="0"/>
              <w:bottom w:val="single" w:color="auto" w:sz="6" w:space="0"/>
              <w:right w:val="single" w:color="auto" w:sz="4" w:space="0"/>
            </w:tcBorders>
            <w:vAlign w:val="center"/>
          </w:tcPr>
          <w:p w14:paraId="35640A57">
            <w:pPr>
              <w:jc w:val="center"/>
              <w:rPr>
                <w:rFonts w:ascii="宋体" w:hAnsi="宋体" w:eastAsia="宋体" w:cs="宋体"/>
                <w:bCs/>
                <w:sz w:val="24"/>
                <w:szCs w:val="24"/>
                <w:highlight w:val="none"/>
              </w:rPr>
            </w:pPr>
            <w:r>
              <w:rPr>
                <w:rFonts w:hint="eastAsia" w:ascii="宋体" w:hAnsi="宋体" w:eastAsia="宋体" w:cs="宋体"/>
                <w:bCs/>
                <w:sz w:val="24"/>
                <w:szCs w:val="24"/>
                <w:highlight w:val="none"/>
              </w:rPr>
              <w:t>备注</w:t>
            </w:r>
          </w:p>
        </w:tc>
      </w:tr>
      <w:tr w14:paraId="72D1E00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72688575">
            <w:pPr>
              <w:jc w:val="center"/>
              <w:rPr>
                <w:rFonts w:ascii="宋体" w:hAnsi="宋体" w:eastAsia="宋体" w:cs="宋体"/>
                <w:bCs/>
                <w:sz w:val="24"/>
                <w:szCs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6FF0C03E">
            <w:pPr>
              <w:ind w:right="-209"/>
              <w:jc w:val="center"/>
              <w:rPr>
                <w:rFonts w:ascii="宋体" w:hAnsi="宋体" w:eastAsia="宋体" w:cs="宋体"/>
                <w:bCs/>
                <w:sz w:val="24"/>
                <w:szCs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085F9DF5">
            <w:pPr>
              <w:jc w:val="center"/>
              <w:rPr>
                <w:rFonts w:ascii="宋体" w:hAnsi="宋体" w:eastAsia="宋体" w:cs="宋体"/>
                <w:bCs/>
                <w:sz w:val="24"/>
                <w:szCs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3A46E5B8">
            <w:pPr>
              <w:jc w:val="center"/>
              <w:rPr>
                <w:rFonts w:ascii="宋体" w:hAnsi="宋体" w:eastAsia="宋体" w:cs="宋体"/>
                <w:bCs/>
                <w:sz w:val="24"/>
                <w:szCs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3E433E43">
            <w:pPr>
              <w:jc w:val="center"/>
              <w:rPr>
                <w:rFonts w:ascii="宋体" w:hAnsi="宋体" w:eastAsia="宋体" w:cs="宋体"/>
                <w:bCs/>
                <w:sz w:val="24"/>
                <w:szCs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7BAFA7D8">
            <w:pPr>
              <w:jc w:val="center"/>
              <w:rPr>
                <w:rFonts w:ascii="宋体" w:hAnsi="宋体" w:eastAsia="宋体" w:cs="宋体"/>
                <w:bCs/>
                <w:sz w:val="24"/>
                <w:szCs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4493581C">
            <w:pPr>
              <w:jc w:val="center"/>
              <w:rPr>
                <w:rFonts w:ascii="宋体" w:hAnsi="宋体" w:eastAsia="宋体" w:cs="宋体"/>
                <w:bCs/>
                <w:sz w:val="24"/>
                <w:szCs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4ABA49AF">
            <w:pPr>
              <w:jc w:val="center"/>
              <w:rPr>
                <w:rFonts w:ascii="宋体" w:hAnsi="宋体" w:eastAsia="宋体" w:cs="宋体"/>
                <w:bCs/>
                <w:sz w:val="24"/>
                <w:szCs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4CF6BBF6">
            <w:pPr>
              <w:jc w:val="center"/>
              <w:rPr>
                <w:rFonts w:ascii="宋体" w:hAnsi="宋体" w:eastAsia="宋体" w:cs="宋体"/>
                <w:bCs/>
                <w:sz w:val="24"/>
                <w:szCs w:val="24"/>
                <w:highlight w:val="none"/>
              </w:rPr>
            </w:pPr>
          </w:p>
        </w:tc>
      </w:tr>
      <w:tr w14:paraId="7136FD7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236E9535">
            <w:pPr>
              <w:jc w:val="center"/>
              <w:rPr>
                <w:rFonts w:ascii="宋体" w:hAnsi="宋体" w:eastAsia="宋体" w:cs="宋体"/>
                <w:bCs/>
                <w:sz w:val="24"/>
                <w:szCs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6A6C0EF9">
            <w:pPr>
              <w:jc w:val="center"/>
              <w:rPr>
                <w:rFonts w:ascii="宋体" w:hAnsi="宋体" w:eastAsia="宋体" w:cs="宋体"/>
                <w:bCs/>
                <w:sz w:val="24"/>
                <w:szCs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2B99975D">
            <w:pPr>
              <w:jc w:val="center"/>
              <w:rPr>
                <w:rFonts w:ascii="宋体" w:hAnsi="宋体" w:eastAsia="宋体" w:cs="宋体"/>
                <w:bCs/>
                <w:sz w:val="24"/>
                <w:szCs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69160837">
            <w:pPr>
              <w:jc w:val="center"/>
              <w:rPr>
                <w:rFonts w:ascii="宋体" w:hAnsi="宋体" w:eastAsia="宋体" w:cs="宋体"/>
                <w:bCs/>
                <w:sz w:val="24"/>
                <w:szCs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7140C046">
            <w:pPr>
              <w:jc w:val="center"/>
              <w:rPr>
                <w:rFonts w:ascii="宋体" w:hAnsi="宋体" w:eastAsia="宋体" w:cs="宋体"/>
                <w:bCs/>
                <w:sz w:val="24"/>
                <w:szCs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291D222A">
            <w:pPr>
              <w:jc w:val="center"/>
              <w:rPr>
                <w:rFonts w:ascii="宋体" w:hAnsi="宋体" w:eastAsia="宋体" w:cs="宋体"/>
                <w:bCs/>
                <w:sz w:val="24"/>
                <w:szCs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2CB14144">
            <w:pPr>
              <w:jc w:val="center"/>
              <w:rPr>
                <w:rFonts w:ascii="宋体" w:hAnsi="宋体" w:eastAsia="宋体" w:cs="宋体"/>
                <w:bCs/>
                <w:sz w:val="24"/>
                <w:szCs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0748F8D5">
            <w:pPr>
              <w:jc w:val="center"/>
              <w:rPr>
                <w:rFonts w:ascii="宋体" w:hAnsi="宋体" w:eastAsia="宋体" w:cs="宋体"/>
                <w:bCs/>
                <w:sz w:val="24"/>
                <w:szCs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4570D568">
            <w:pPr>
              <w:jc w:val="center"/>
              <w:rPr>
                <w:rFonts w:ascii="宋体" w:hAnsi="宋体" w:eastAsia="宋体" w:cs="宋体"/>
                <w:bCs/>
                <w:sz w:val="24"/>
                <w:szCs w:val="24"/>
                <w:highlight w:val="none"/>
              </w:rPr>
            </w:pPr>
          </w:p>
        </w:tc>
      </w:tr>
      <w:tr w14:paraId="1C519BC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30A41B14">
            <w:pPr>
              <w:jc w:val="center"/>
              <w:rPr>
                <w:rFonts w:ascii="宋体" w:hAnsi="宋体" w:eastAsia="宋体" w:cs="宋体"/>
                <w:bCs/>
                <w:sz w:val="24"/>
                <w:szCs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48AE4480">
            <w:pPr>
              <w:jc w:val="center"/>
              <w:rPr>
                <w:rFonts w:ascii="宋体" w:hAnsi="宋体" w:eastAsia="宋体" w:cs="宋体"/>
                <w:bCs/>
                <w:sz w:val="24"/>
                <w:szCs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5F99D99B">
            <w:pPr>
              <w:jc w:val="center"/>
              <w:rPr>
                <w:rFonts w:ascii="宋体" w:hAnsi="宋体" w:eastAsia="宋体" w:cs="宋体"/>
                <w:bCs/>
                <w:sz w:val="24"/>
                <w:szCs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37122B04">
            <w:pPr>
              <w:jc w:val="center"/>
              <w:rPr>
                <w:rFonts w:ascii="宋体" w:hAnsi="宋体" w:eastAsia="宋体" w:cs="宋体"/>
                <w:bCs/>
                <w:sz w:val="24"/>
                <w:szCs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51C2CCC5">
            <w:pPr>
              <w:jc w:val="center"/>
              <w:rPr>
                <w:rFonts w:ascii="宋体" w:hAnsi="宋体" w:eastAsia="宋体" w:cs="宋体"/>
                <w:bCs/>
                <w:sz w:val="24"/>
                <w:szCs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668D576E">
            <w:pPr>
              <w:jc w:val="center"/>
              <w:rPr>
                <w:rFonts w:ascii="宋体" w:hAnsi="宋体" w:eastAsia="宋体" w:cs="宋体"/>
                <w:bCs/>
                <w:sz w:val="24"/>
                <w:szCs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0EBA5465">
            <w:pPr>
              <w:jc w:val="center"/>
              <w:rPr>
                <w:rFonts w:ascii="宋体" w:hAnsi="宋体" w:eastAsia="宋体" w:cs="宋体"/>
                <w:bCs/>
                <w:sz w:val="24"/>
                <w:szCs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3520265B">
            <w:pPr>
              <w:jc w:val="center"/>
              <w:rPr>
                <w:rFonts w:ascii="宋体" w:hAnsi="宋体" w:eastAsia="宋体" w:cs="宋体"/>
                <w:bCs/>
                <w:sz w:val="24"/>
                <w:szCs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489D969E">
            <w:pPr>
              <w:jc w:val="center"/>
              <w:rPr>
                <w:rFonts w:ascii="宋体" w:hAnsi="宋体" w:eastAsia="宋体" w:cs="宋体"/>
                <w:bCs/>
                <w:sz w:val="24"/>
                <w:szCs w:val="24"/>
                <w:highlight w:val="none"/>
              </w:rPr>
            </w:pPr>
          </w:p>
        </w:tc>
      </w:tr>
      <w:tr w14:paraId="5A07ACC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38D1F814">
            <w:pPr>
              <w:jc w:val="center"/>
              <w:rPr>
                <w:rFonts w:ascii="宋体" w:hAnsi="宋体" w:eastAsia="宋体" w:cs="宋体"/>
                <w:bCs/>
                <w:sz w:val="24"/>
                <w:szCs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7A4E1E8C">
            <w:pPr>
              <w:jc w:val="center"/>
              <w:rPr>
                <w:rFonts w:ascii="宋体" w:hAnsi="宋体" w:eastAsia="宋体" w:cs="宋体"/>
                <w:bCs/>
                <w:sz w:val="24"/>
                <w:szCs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67197662">
            <w:pPr>
              <w:jc w:val="center"/>
              <w:rPr>
                <w:rFonts w:ascii="宋体" w:hAnsi="宋体" w:eastAsia="宋体" w:cs="宋体"/>
                <w:bCs/>
                <w:sz w:val="24"/>
                <w:szCs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3BB282C1">
            <w:pPr>
              <w:jc w:val="center"/>
              <w:rPr>
                <w:rFonts w:ascii="宋体" w:hAnsi="宋体" w:eastAsia="宋体" w:cs="宋体"/>
                <w:bCs/>
                <w:sz w:val="24"/>
                <w:szCs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74DF44BB">
            <w:pPr>
              <w:jc w:val="center"/>
              <w:rPr>
                <w:rFonts w:ascii="宋体" w:hAnsi="宋体" w:eastAsia="宋体" w:cs="宋体"/>
                <w:bCs/>
                <w:sz w:val="24"/>
                <w:szCs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5C536D6A">
            <w:pPr>
              <w:jc w:val="center"/>
              <w:rPr>
                <w:rFonts w:ascii="宋体" w:hAnsi="宋体" w:eastAsia="宋体" w:cs="宋体"/>
                <w:bCs/>
                <w:sz w:val="24"/>
                <w:szCs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52AA6507">
            <w:pPr>
              <w:jc w:val="center"/>
              <w:rPr>
                <w:rFonts w:ascii="宋体" w:hAnsi="宋体" w:eastAsia="宋体" w:cs="宋体"/>
                <w:bCs/>
                <w:sz w:val="24"/>
                <w:szCs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0A06966C">
            <w:pPr>
              <w:jc w:val="center"/>
              <w:rPr>
                <w:rFonts w:ascii="宋体" w:hAnsi="宋体" w:eastAsia="宋体" w:cs="宋体"/>
                <w:bCs/>
                <w:sz w:val="24"/>
                <w:szCs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235710E0">
            <w:pPr>
              <w:jc w:val="center"/>
              <w:rPr>
                <w:rFonts w:ascii="宋体" w:hAnsi="宋体" w:eastAsia="宋体" w:cs="宋体"/>
                <w:bCs/>
                <w:sz w:val="24"/>
                <w:szCs w:val="24"/>
                <w:highlight w:val="none"/>
              </w:rPr>
            </w:pPr>
          </w:p>
        </w:tc>
      </w:tr>
      <w:tr w14:paraId="13D0EF8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75656AD7">
            <w:pPr>
              <w:jc w:val="center"/>
              <w:rPr>
                <w:rFonts w:ascii="宋体" w:hAnsi="宋体" w:eastAsia="宋体" w:cs="宋体"/>
                <w:bCs/>
                <w:sz w:val="24"/>
                <w:szCs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40C698F7">
            <w:pPr>
              <w:jc w:val="center"/>
              <w:rPr>
                <w:rFonts w:ascii="宋体" w:hAnsi="宋体" w:eastAsia="宋体" w:cs="宋体"/>
                <w:bCs/>
                <w:sz w:val="24"/>
                <w:szCs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19C166EE">
            <w:pPr>
              <w:jc w:val="center"/>
              <w:rPr>
                <w:rFonts w:ascii="宋体" w:hAnsi="宋体" w:eastAsia="宋体" w:cs="宋体"/>
                <w:bCs/>
                <w:sz w:val="24"/>
                <w:szCs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350BA0B8">
            <w:pPr>
              <w:jc w:val="center"/>
              <w:rPr>
                <w:rFonts w:ascii="宋体" w:hAnsi="宋体" w:eastAsia="宋体" w:cs="宋体"/>
                <w:bCs/>
                <w:sz w:val="24"/>
                <w:szCs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3509FDFD">
            <w:pPr>
              <w:jc w:val="center"/>
              <w:rPr>
                <w:rFonts w:ascii="宋体" w:hAnsi="宋体" w:eastAsia="宋体" w:cs="宋体"/>
                <w:bCs/>
                <w:sz w:val="24"/>
                <w:szCs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75EDB43B">
            <w:pPr>
              <w:jc w:val="center"/>
              <w:rPr>
                <w:rFonts w:ascii="宋体" w:hAnsi="宋体" w:eastAsia="宋体" w:cs="宋体"/>
                <w:bCs/>
                <w:sz w:val="24"/>
                <w:szCs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4AB02AF3">
            <w:pPr>
              <w:jc w:val="center"/>
              <w:rPr>
                <w:rFonts w:ascii="宋体" w:hAnsi="宋体" w:eastAsia="宋体" w:cs="宋体"/>
                <w:bCs/>
                <w:sz w:val="24"/>
                <w:szCs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5594D2AB">
            <w:pPr>
              <w:jc w:val="center"/>
              <w:rPr>
                <w:rFonts w:ascii="宋体" w:hAnsi="宋体" w:eastAsia="宋体" w:cs="宋体"/>
                <w:bCs/>
                <w:sz w:val="24"/>
                <w:szCs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1FB0B8FE">
            <w:pPr>
              <w:jc w:val="center"/>
              <w:rPr>
                <w:rFonts w:ascii="宋体" w:hAnsi="宋体" w:eastAsia="宋体" w:cs="宋体"/>
                <w:bCs/>
                <w:sz w:val="24"/>
                <w:szCs w:val="24"/>
                <w:highlight w:val="none"/>
              </w:rPr>
            </w:pPr>
          </w:p>
        </w:tc>
      </w:tr>
      <w:tr w14:paraId="0F2E621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2119" w:type="dxa"/>
            <w:gridSpan w:val="2"/>
            <w:tcBorders>
              <w:top w:val="single" w:color="auto" w:sz="6" w:space="0"/>
              <w:left w:val="single" w:color="auto" w:sz="6" w:space="0"/>
              <w:bottom w:val="single" w:color="auto" w:sz="6" w:space="0"/>
              <w:right w:val="single" w:color="auto" w:sz="6" w:space="0"/>
            </w:tcBorders>
            <w:vAlign w:val="center"/>
          </w:tcPr>
          <w:p w14:paraId="0C28AC91">
            <w:pPr>
              <w:rPr>
                <w:rFonts w:ascii="宋体" w:hAnsi="宋体" w:eastAsia="宋体" w:cs="宋体"/>
                <w:bCs/>
                <w:sz w:val="24"/>
                <w:szCs w:val="24"/>
                <w:highlight w:val="none"/>
              </w:rPr>
            </w:pPr>
            <w:r>
              <w:rPr>
                <w:rFonts w:hint="eastAsia" w:ascii="宋体" w:hAnsi="宋体" w:eastAsia="宋体" w:cs="宋体"/>
                <w:bCs/>
                <w:sz w:val="24"/>
                <w:szCs w:val="24"/>
                <w:highlight w:val="none"/>
              </w:rPr>
              <w:t>投标总报价：</w:t>
            </w:r>
          </w:p>
        </w:tc>
        <w:tc>
          <w:tcPr>
            <w:tcW w:w="7056" w:type="dxa"/>
            <w:gridSpan w:val="8"/>
            <w:tcBorders>
              <w:top w:val="single" w:color="auto" w:sz="6" w:space="0"/>
              <w:left w:val="single" w:color="auto" w:sz="6" w:space="0"/>
              <w:bottom w:val="single" w:color="auto" w:sz="6" w:space="0"/>
              <w:right w:val="single" w:color="auto" w:sz="6" w:space="0"/>
            </w:tcBorders>
            <w:vAlign w:val="center"/>
          </w:tcPr>
          <w:p w14:paraId="31E698F3">
            <w:pPr>
              <w:rPr>
                <w:rFonts w:ascii="宋体" w:hAnsi="宋体" w:eastAsia="宋体" w:cs="宋体"/>
                <w:bCs/>
                <w:sz w:val="24"/>
                <w:szCs w:val="24"/>
                <w:highlight w:val="none"/>
              </w:rPr>
            </w:pPr>
            <w:r>
              <w:rPr>
                <w:rFonts w:hint="eastAsia" w:ascii="宋体" w:hAnsi="宋体" w:eastAsia="宋体" w:cs="宋体"/>
                <w:bCs/>
                <w:sz w:val="24"/>
                <w:szCs w:val="24"/>
                <w:highlight w:val="none"/>
              </w:rPr>
              <w:t>大写：元； 小写：               元</w:t>
            </w:r>
          </w:p>
        </w:tc>
      </w:tr>
    </w:tbl>
    <w:p w14:paraId="0958F3D6">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highlight w:val="none"/>
        </w:rPr>
      </w:pPr>
      <w:r>
        <w:rPr>
          <w:rFonts w:hint="eastAsia" w:ascii="宋体" w:hAnsi="宋体" w:eastAsia="宋体" w:cs="宋体"/>
          <w:color w:val="000000"/>
          <w:sz w:val="24"/>
          <w:highlight w:val="none"/>
        </w:rPr>
        <w:t> </w:t>
      </w:r>
    </w:p>
    <w:p w14:paraId="44AB5AD9">
      <w:pPr>
        <w:pBdr>
          <w:top w:val="none" w:color="000000" w:sz="0" w:space="0"/>
          <w:left w:val="none" w:color="000000" w:sz="0" w:space="0"/>
          <w:bottom w:val="none" w:color="000000" w:sz="0" w:space="0"/>
          <w:right w:val="none" w:color="000000" w:sz="0" w:space="0"/>
        </w:pBdr>
        <w:spacing w:after="0" w:line="499"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注：1、本表报价的合计金额应与开标一览表报价一致</w:t>
      </w:r>
    </w:p>
    <w:p w14:paraId="2EE2C853">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color w:val="000000"/>
          <w:sz w:val="24"/>
          <w:highlight w:val="none"/>
          <w:lang w:eastAsia="zh-CN"/>
        </w:rPr>
      </w:pPr>
    </w:p>
    <w:p w14:paraId="3F40F70C">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投标单位：（公章）</w:t>
      </w:r>
    </w:p>
    <w:p w14:paraId="7497DF17">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color w:val="000000"/>
          <w:sz w:val="24"/>
          <w:szCs w:val="24"/>
          <w:highlight w:val="none"/>
          <w:lang w:eastAsia="zh-CN"/>
        </w:rPr>
      </w:pPr>
      <w:r>
        <w:rPr>
          <w:rFonts w:hint="eastAsia" w:ascii="宋体" w:hAnsi="宋体" w:eastAsia="宋体" w:cs="宋体"/>
          <w:color w:val="000000"/>
          <w:sz w:val="24"/>
          <w:highlight w:val="none"/>
          <w:lang w:eastAsia="zh-CN"/>
        </w:rPr>
        <w:t xml:space="preserve">法定代表人或委托代理人（签字或盖章）： </w:t>
      </w:r>
    </w:p>
    <w:p w14:paraId="0E95EA7E">
      <w:pPr>
        <w:pBdr>
          <w:top w:val="none" w:color="000000" w:sz="0" w:space="0"/>
          <w:left w:val="none" w:color="000000" w:sz="0" w:space="0"/>
          <w:bottom w:val="none" w:color="000000" w:sz="0" w:space="0"/>
          <w:right w:val="none" w:color="000000" w:sz="0" w:space="0"/>
        </w:pBdr>
        <w:spacing w:after="0" w:line="499" w:lineRule="atLeast"/>
        <w:rPr>
          <w:rFonts w:ascii="宋体" w:hAnsi="宋体" w:eastAsia="宋体" w:cs="宋体"/>
          <w:sz w:val="21"/>
          <w:szCs w:val="21"/>
          <w:highlight w:val="none"/>
          <w:lang w:eastAsia="zh-CN"/>
        </w:rPr>
      </w:pPr>
      <w:r>
        <w:rPr>
          <w:rFonts w:hint="eastAsia" w:ascii="宋体" w:hAnsi="宋体" w:eastAsia="宋体" w:cs="宋体"/>
          <w:color w:val="000000"/>
          <w:sz w:val="24"/>
          <w:highlight w:val="none"/>
          <w:lang w:eastAsia="zh-CN"/>
        </w:rPr>
        <w:t>日期： 年 月 日</w:t>
      </w:r>
    </w:p>
    <w:p w14:paraId="4060C70E">
      <w:pPr>
        <w:pBdr>
          <w:top w:val="none" w:color="000000" w:sz="0" w:space="0"/>
          <w:left w:val="none" w:color="000000" w:sz="0" w:space="0"/>
          <w:bottom w:val="none" w:color="000000" w:sz="0" w:space="0"/>
          <w:right w:val="none" w:color="000000" w:sz="0" w:space="0"/>
        </w:pBdr>
        <w:spacing w:after="0"/>
        <w:ind w:firstLine="1506"/>
        <w:jc w:val="both"/>
        <w:rPr>
          <w:rFonts w:ascii="宋体" w:hAnsi="宋体" w:eastAsia="宋体" w:cs="宋体"/>
          <w:highlight w:val="none"/>
          <w:lang w:eastAsia="zh-CN"/>
        </w:rPr>
      </w:pPr>
      <w:r>
        <w:rPr>
          <w:rFonts w:hint="eastAsia" w:ascii="宋体" w:hAnsi="宋体" w:eastAsia="宋体" w:cs="宋体"/>
          <w:b/>
          <w:color w:val="000000"/>
          <w:sz w:val="30"/>
          <w:highlight w:val="none"/>
          <w:lang w:eastAsia="zh-CN"/>
        </w:rPr>
        <w:t> </w:t>
      </w:r>
    </w:p>
    <w:p w14:paraId="110843E6">
      <w:pPr>
        <w:ind w:firstLine="1200" w:firstLineChars="500"/>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w:t>
      </w:r>
    </w:p>
    <w:p w14:paraId="22094BD7">
      <w:pPr>
        <w:ind w:firstLine="1200" w:firstLineChars="500"/>
        <w:rPr>
          <w:rFonts w:ascii="宋体" w:hAnsi="宋体" w:eastAsia="宋体" w:cs="宋体"/>
          <w:color w:val="000000"/>
          <w:sz w:val="24"/>
          <w:highlight w:val="none"/>
          <w:lang w:eastAsia="zh-CN"/>
        </w:rPr>
      </w:pPr>
    </w:p>
    <w:p w14:paraId="5CC4FDDB">
      <w:pPr>
        <w:ind w:firstLine="1200" w:firstLineChars="500"/>
        <w:rPr>
          <w:rFonts w:ascii="宋体" w:hAnsi="宋体" w:eastAsia="宋体" w:cs="宋体"/>
          <w:color w:val="000000"/>
          <w:sz w:val="24"/>
          <w:highlight w:val="none"/>
          <w:lang w:eastAsia="zh-CN"/>
        </w:rPr>
      </w:pPr>
    </w:p>
    <w:p w14:paraId="3B88F496">
      <w:pPr>
        <w:ind w:firstLine="1200" w:firstLineChars="500"/>
        <w:rPr>
          <w:rFonts w:ascii="宋体" w:hAnsi="宋体" w:eastAsia="宋体" w:cs="宋体"/>
          <w:color w:val="000000"/>
          <w:sz w:val="24"/>
          <w:highlight w:val="none"/>
          <w:lang w:eastAsia="zh-CN"/>
        </w:rPr>
      </w:pPr>
    </w:p>
    <w:p w14:paraId="49C359AA">
      <w:pPr>
        <w:ind w:firstLine="1200" w:firstLineChars="500"/>
        <w:rPr>
          <w:rFonts w:ascii="宋体" w:hAnsi="宋体" w:eastAsia="宋体" w:cs="宋体"/>
          <w:color w:val="000000"/>
          <w:sz w:val="24"/>
          <w:highlight w:val="none"/>
          <w:lang w:eastAsia="zh-CN"/>
        </w:rPr>
      </w:pPr>
    </w:p>
    <w:p w14:paraId="6F72E6C8">
      <w:pPr>
        <w:ind w:firstLine="1200" w:firstLineChars="500"/>
        <w:rPr>
          <w:rFonts w:ascii="宋体" w:hAnsi="宋体" w:eastAsia="宋体" w:cs="宋体"/>
          <w:color w:val="000000"/>
          <w:sz w:val="24"/>
          <w:highlight w:val="none"/>
          <w:lang w:eastAsia="zh-CN"/>
        </w:rPr>
      </w:pPr>
    </w:p>
    <w:p w14:paraId="1C784D1D">
      <w:pPr>
        <w:ind w:firstLine="1200" w:firstLineChars="500"/>
        <w:rPr>
          <w:rFonts w:ascii="宋体" w:hAnsi="宋体" w:eastAsia="宋体" w:cs="宋体"/>
          <w:color w:val="000000"/>
          <w:sz w:val="24"/>
          <w:highlight w:val="none"/>
          <w:lang w:eastAsia="zh-CN"/>
        </w:rPr>
      </w:pPr>
    </w:p>
    <w:p w14:paraId="5E26290A">
      <w:pPr>
        <w:ind w:firstLine="1200" w:firstLineChars="500"/>
        <w:rPr>
          <w:rFonts w:ascii="宋体" w:hAnsi="宋体" w:eastAsia="宋体" w:cs="宋体"/>
          <w:color w:val="000000"/>
          <w:sz w:val="24"/>
          <w:highlight w:val="none"/>
          <w:lang w:eastAsia="zh-CN"/>
        </w:rPr>
      </w:pPr>
    </w:p>
    <w:p w14:paraId="372A7F80">
      <w:pPr>
        <w:ind w:firstLine="1200" w:firstLineChars="500"/>
        <w:rPr>
          <w:rFonts w:ascii="宋体" w:hAnsi="宋体" w:eastAsia="宋体" w:cs="宋体"/>
          <w:color w:val="000000"/>
          <w:sz w:val="24"/>
          <w:highlight w:val="none"/>
          <w:lang w:eastAsia="zh-CN"/>
        </w:rPr>
      </w:pPr>
    </w:p>
    <w:p w14:paraId="22C332E8">
      <w:pPr>
        <w:ind w:firstLine="1506" w:firstLineChars="500"/>
        <w:rPr>
          <w:rFonts w:ascii="宋体" w:hAnsi="宋体" w:eastAsia="宋体" w:cs="宋体"/>
          <w:b/>
          <w:bCs/>
          <w:sz w:val="24"/>
          <w:szCs w:val="24"/>
          <w:highlight w:val="none"/>
          <w:lang w:eastAsia="zh-CN"/>
        </w:rPr>
      </w:pPr>
      <w:r>
        <w:rPr>
          <w:rFonts w:hint="eastAsia" w:ascii="宋体" w:hAnsi="宋体" w:eastAsia="宋体" w:cs="宋体"/>
          <w:b/>
          <w:sz w:val="30"/>
          <w:szCs w:val="30"/>
          <w:highlight w:val="none"/>
          <w:lang w:eastAsia="zh-CN"/>
        </w:rPr>
        <w:t>（二）投标报价合理性说明（如有）</w:t>
      </w:r>
    </w:p>
    <w:p w14:paraId="1B8461B1">
      <w:pPr>
        <w:spacing w:line="420" w:lineRule="exact"/>
        <w:rPr>
          <w:rFonts w:ascii="宋体" w:hAnsi="宋体" w:eastAsia="宋体" w:cs="宋体"/>
          <w:b/>
          <w:sz w:val="24"/>
          <w:szCs w:val="24"/>
          <w:highlight w:val="none"/>
          <w:lang w:eastAsia="zh-CN"/>
        </w:rPr>
      </w:pPr>
    </w:p>
    <w:p w14:paraId="6ED332AE">
      <w:pPr>
        <w:spacing w:line="420" w:lineRule="exact"/>
        <w:rPr>
          <w:rFonts w:ascii="宋体" w:hAnsi="宋体"/>
          <w:b/>
          <w:highlight w:val="none"/>
          <w:lang w:eastAsia="zh-CN"/>
        </w:rPr>
      </w:pPr>
    </w:p>
    <w:p w14:paraId="1AE3D8BB">
      <w:pPr>
        <w:spacing w:line="420" w:lineRule="exact"/>
        <w:ind w:firstLine="480" w:firstLineChars="200"/>
        <w:rPr>
          <w:rFonts w:ascii="宋体" w:hAnsi="宋体" w:cs="宋体"/>
          <w:b/>
          <w:sz w:val="24"/>
          <w:highlight w:val="none"/>
          <w:lang w:eastAsia="zh-CN"/>
        </w:rPr>
      </w:pPr>
      <w:r>
        <w:rPr>
          <w:rFonts w:hint="eastAsia" w:ascii="宋体" w:hAnsi="宋体" w:cs="宋体"/>
          <w:b/>
          <w:sz w:val="24"/>
          <w:highlight w:val="none"/>
          <w:lang w:eastAsia="zh-CN"/>
        </w:rPr>
        <w:t>注：根据</w:t>
      </w:r>
      <w:r>
        <w:rPr>
          <w:rFonts w:hint="eastAsia" w:cs="微软雅黑" w:asciiTheme="minorEastAsia" w:hAnsiTheme="minorEastAsia" w:eastAsiaTheme="minorEastAsia"/>
          <w:b/>
          <w:sz w:val="24"/>
          <w:szCs w:val="24"/>
          <w:highlight w:val="none"/>
          <w:lang w:eastAsia="zh-CN"/>
        </w:rPr>
        <w:t>财政部《关于推动解决政府采购异常低价问题的通知》（财库〔</w:t>
      </w:r>
      <w:r>
        <w:rPr>
          <w:rFonts w:asciiTheme="minorEastAsia" w:hAnsiTheme="minorEastAsia" w:eastAsiaTheme="minorEastAsia"/>
          <w:b/>
          <w:sz w:val="24"/>
          <w:szCs w:val="24"/>
          <w:highlight w:val="none"/>
          <w:lang w:eastAsia="zh-CN"/>
        </w:rPr>
        <w:t>2026</w:t>
      </w:r>
      <w:r>
        <w:rPr>
          <w:rFonts w:hint="eastAsia" w:cs="微软雅黑"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2号</w:t>
      </w:r>
      <w:r>
        <w:rPr>
          <w:rFonts w:hint="eastAsia" w:cs="微软雅黑" w:asciiTheme="minorEastAsia" w:hAnsiTheme="minorEastAsia" w:eastAsiaTheme="minorEastAsia"/>
          <w:b/>
          <w:sz w:val="24"/>
          <w:szCs w:val="24"/>
          <w:highlight w:val="none"/>
          <w:lang w:eastAsia="zh-CN"/>
        </w:rPr>
        <w:t>）</w:t>
      </w:r>
      <w:r>
        <w:rPr>
          <w:rFonts w:hint="eastAsia" w:ascii="宋体" w:hAnsi="宋体" w:cs="宋体"/>
          <w:b/>
          <w:sz w:val="24"/>
          <w:highlight w:val="none"/>
          <w:lang w:eastAsia="zh-CN"/>
        </w:rPr>
        <w:t xml:space="preserve"> ，若投标人的投标（响应）报价满足以下任一条件：</w:t>
      </w:r>
    </w:p>
    <w:p w14:paraId="41A473F1">
      <w:pPr>
        <w:spacing w:line="420" w:lineRule="exact"/>
        <w:ind w:firstLine="480" w:firstLineChars="200"/>
        <w:rPr>
          <w:rFonts w:ascii="宋体" w:hAnsi="宋体" w:cs="宋体"/>
          <w:b/>
          <w:sz w:val="24"/>
          <w:highlight w:val="none"/>
          <w:lang w:eastAsia="zh-CN"/>
        </w:rPr>
      </w:pPr>
      <w:r>
        <w:rPr>
          <w:rFonts w:hint="eastAsia" w:ascii="宋体" w:hAnsi="宋体" w:cs="宋体"/>
          <w:b/>
          <w:sz w:val="24"/>
          <w:highlight w:val="none"/>
          <w:lang w:eastAsia="zh-CN"/>
        </w:rPr>
        <w:t>1）</w:t>
      </w:r>
      <w:r>
        <w:rPr>
          <w:rFonts w:ascii="宋体" w:hAnsi="宋体" w:eastAsia="宋体" w:cs="宋体"/>
          <w:b/>
          <w:bCs/>
          <w:sz w:val="24"/>
          <w:highlight w:val="none"/>
          <w:lang w:eastAsia="zh-CN"/>
        </w:rPr>
        <w:t>投标（响应）报价低于全部通过符合性审查供应商投标（响应）报价平均值50%的，即投标（响应）报价&lt;全部通过符合性审查供应商投标（响应）报价平均值×50%；</w:t>
      </w:r>
      <w:r>
        <w:rPr>
          <w:rFonts w:ascii="宋体" w:hAnsi="宋体" w:eastAsia="宋体" w:cs="宋体"/>
          <w:b/>
          <w:bCs/>
          <w:sz w:val="24"/>
          <w:highlight w:val="none"/>
          <w:lang w:eastAsia="zh-CN"/>
        </w:rPr>
        <w:br w:type="textWrapping"/>
      </w:r>
      <w:r>
        <w:rPr>
          <w:rFonts w:hint="eastAsia" w:ascii="宋体" w:hAnsi="宋体" w:cs="宋体"/>
          <w:b/>
          <w:sz w:val="24"/>
          <w:highlight w:val="none"/>
          <w:lang w:eastAsia="zh-CN"/>
        </w:rPr>
        <w:t>；</w:t>
      </w:r>
    </w:p>
    <w:p w14:paraId="2792BF18">
      <w:pPr>
        <w:spacing w:line="420" w:lineRule="exact"/>
        <w:ind w:firstLine="480" w:firstLineChars="200"/>
        <w:rPr>
          <w:rFonts w:ascii="宋体" w:hAnsi="宋体" w:eastAsia="宋体" w:cs="宋体"/>
          <w:b/>
          <w:sz w:val="24"/>
          <w:highlight w:val="none"/>
          <w:lang w:eastAsia="zh-CN"/>
        </w:rPr>
      </w:pPr>
      <w:r>
        <w:rPr>
          <w:rFonts w:hint="eastAsia" w:ascii="宋体" w:hAnsi="宋体" w:cs="宋体"/>
          <w:b/>
          <w:sz w:val="24"/>
          <w:highlight w:val="none"/>
          <w:lang w:eastAsia="zh-CN"/>
        </w:rPr>
        <w:t>2）</w:t>
      </w:r>
      <w:r>
        <w:rPr>
          <w:rFonts w:ascii="宋体" w:hAnsi="宋体" w:eastAsia="宋体" w:cs="宋体"/>
          <w:b/>
          <w:bCs/>
          <w:sz w:val="24"/>
          <w:highlight w:val="none"/>
          <w:lang w:eastAsia="zh-CN"/>
        </w:rPr>
        <w:t>投标（响应）报价低于通过符合性审查的次低报价供应商投标（响应）报价50%的，即投标（响应）报价&lt;通过符合性审查的次低报价供应商投标（响应）报价×50%</w:t>
      </w:r>
      <w:r>
        <w:rPr>
          <w:rFonts w:hint="eastAsia" w:ascii="宋体" w:hAnsi="宋体" w:cs="宋体"/>
          <w:b/>
          <w:sz w:val="24"/>
          <w:highlight w:val="none"/>
          <w:lang w:eastAsia="zh-CN"/>
        </w:rPr>
        <w:t>；</w:t>
      </w:r>
    </w:p>
    <w:p w14:paraId="436112F5">
      <w:pPr>
        <w:spacing w:line="420" w:lineRule="exact"/>
        <w:ind w:firstLine="480" w:firstLineChars="200"/>
        <w:rPr>
          <w:rFonts w:ascii="宋体" w:hAnsi="宋体" w:cs="宋体"/>
          <w:b/>
          <w:sz w:val="24"/>
          <w:highlight w:val="none"/>
          <w:lang w:eastAsia="zh-CN"/>
        </w:rPr>
      </w:pPr>
      <w:r>
        <w:rPr>
          <w:rFonts w:hint="eastAsia" w:ascii="宋体" w:hAnsi="宋体" w:cs="宋体"/>
          <w:b/>
          <w:bCs/>
          <w:sz w:val="24"/>
          <w:highlight w:val="none"/>
          <w:lang w:eastAsia="zh-CN"/>
        </w:rPr>
        <w:t>3）</w:t>
      </w:r>
      <w:r>
        <w:rPr>
          <w:rFonts w:ascii="宋体" w:hAnsi="宋体" w:eastAsia="宋体" w:cs="宋体"/>
          <w:b/>
          <w:bCs/>
          <w:sz w:val="24"/>
          <w:highlight w:val="none"/>
          <w:lang w:eastAsia="zh-CN"/>
        </w:rPr>
        <w:t>投标（响应）报价低于采购项目最高限价45%的，即投标（响应）报价&lt;采购项目最高限价×45%；</w:t>
      </w:r>
      <w:r>
        <w:rPr>
          <w:rFonts w:ascii="宋体" w:hAnsi="宋体" w:eastAsia="宋体" w:cs="宋体"/>
          <w:b/>
          <w:bCs/>
          <w:sz w:val="24"/>
          <w:highlight w:val="none"/>
          <w:lang w:eastAsia="zh-CN"/>
        </w:rPr>
        <w:br w:type="textWrapping"/>
      </w:r>
      <w:r>
        <w:rPr>
          <w:rFonts w:hint="eastAsia" w:ascii="宋体" w:hAnsi="宋体" w:eastAsia="宋体" w:cs="宋体"/>
          <w:b/>
          <w:bCs/>
          <w:sz w:val="24"/>
          <w:highlight w:val="none"/>
          <w:lang w:eastAsia="zh-CN"/>
        </w:rPr>
        <w:t xml:space="preserve">   </w:t>
      </w:r>
      <w:r>
        <w:rPr>
          <w:rFonts w:hint="eastAsia" w:ascii="宋体" w:hAnsi="宋体" w:cs="宋体"/>
          <w:b/>
          <w:bCs/>
          <w:sz w:val="24"/>
          <w:highlight w:val="none"/>
          <w:lang w:eastAsia="zh-CN"/>
        </w:rPr>
        <w:t>4）</w:t>
      </w:r>
      <w:r>
        <w:rPr>
          <w:rFonts w:ascii="宋体" w:hAnsi="宋体" w:eastAsia="宋体" w:cs="宋体"/>
          <w:b/>
          <w:bCs/>
          <w:sz w:val="24"/>
          <w:highlight w:val="none"/>
          <w:lang w:eastAsia="zh-CN"/>
        </w:rPr>
        <w:t>评审委员会基于专业判断，认为供应商报价过低，有可能影响产品质量或者不能诚信履约的其他情形。</w:t>
      </w:r>
      <w:r>
        <w:rPr>
          <w:rFonts w:ascii="宋体" w:hAnsi="宋体" w:eastAsia="宋体" w:cs="宋体"/>
          <w:b/>
          <w:bCs/>
          <w:sz w:val="24"/>
          <w:highlight w:val="none"/>
          <w:lang w:eastAsia="zh-CN"/>
        </w:rPr>
        <w:br w:type="textWrapping"/>
      </w:r>
      <w:r>
        <w:rPr>
          <w:rFonts w:hint="eastAsia" w:ascii="宋体" w:hAnsi="宋体" w:cs="宋体"/>
          <w:b/>
          <w:bCs/>
          <w:sz w:val="24"/>
          <w:highlight w:val="none"/>
          <w:lang w:eastAsia="zh-CN"/>
        </w:rPr>
        <w:t xml:space="preserve">    </w:t>
      </w:r>
      <w:r>
        <w:rPr>
          <w:rFonts w:ascii="宋体" w:hAnsi="宋体" w:eastAsia="宋体" w:cs="宋体"/>
          <w:b/>
          <w:bCs/>
          <w:sz w:val="24"/>
          <w:highlight w:val="none"/>
          <w:lang w:eastAsia="zh-CN"/>
        </w:rPr>
        <w:t>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b/>
          <w:bCs/>
          <w:sz w:val="24"/>
          <w:highlight w:val="none"/>
          <w:lang w:eastAsia="zh-CN"/>
        </w:rPr>
        <w:br w:type="textWrapping"/>
      </w:r>
    </w:p>
    <w:p w14:paraId="0B87D5A2">
      <w:pPr>
        <w:spacing w:line="420" w:lineRule="exact"/>
        <w:rPr>
          <w:rFonts w:ascii="宋体" w:hAnsi="宋体"/>
          <w:b/>
          <w:highlight w:val="none"/>
          <w:lang w:eastAsia="zh-CN"/>
        </w:rPr>
      </w:pPr>
    </w:p>
    <w:p w14:paraId="59DC0300">
      <w:pPr>
        <w:spacing w:line="420" w:lineRule="exact"/>
        <w:rPr>
          <w:rFonts w:ascii="宋体" w:hAnsi="宋体"/>
          <w:b/>
          <w:highlight w:val="none"/>
          <w:lang w:eastAsia="zh-CN"/>
        </w:rPr>
      </w:pPr>
    </w:p>
    <w:p w14:paraId="12315E0F">
      <w:pPr>
        <w:adjustRightInd w:val="0"/>
        <w:spacing w:line="500" w:lineRule="exact"/>
        <w:textAlignment w:val="baseline"/>
        <w:rPr>
          <w:rFonts w:ascii="宋体" w:hAnsi="宋体" w:eastAsia="宋体" w:cs="宋体"/>
          <w:sz w:val="24"/>
          <w:highlight w:val="none"/>
          <w:lang w:eastAsia="zh-CN"/>
        </w:rPr>
      </w:pPr>
      <w:r>
        <w:rPr>
          <w:rFonts w:hint="eastAsia" w:ascii="宋体" w:hAnsi="宋体" w:eastAsia="宋体" w:cs="宋体"/>
          <w:sz w:val="24"/>
          <w:highlight w:val="none"/>
          <w:lang w:eastAsia="zh-CN"/>
        </w:rPr>
        <w:t>投标单位：（公章）</w:t>
      </w:r>
    </w:p>
    <w:p w14:paraId="701F5CEC">
      <w:pPr>
        <w:adjustRightInd w:val="0"/>
        <w:spacing w:line="500" w:lineRule="exact"/>
        <w:textAlignment w:val="baseline"/>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法定代表人或委托代理人（签字或盖章）： </w:t>
      </w:r>
    </w:p>
    <w:p w14:paraId="4053DC2A">
      <w:pPr>
        <w:pStyle w:val="20"/>
        <w:ind w:firstLine="0"/>
        <w:rPr>
          <w:rFonts w:hAnsi="宋体" w:eastAsia="宋体" w:cs="宋体"/>
          <w:highlight w:val="none"/>
          <w:lang w:eastAsia="zh-CN"/>
        </w:rPr>
      </w:pPr>
      <w:r>
        <w:rPr>
          <w:rFonts w:hint="eastAsia" w:hAnsi="宋体" w:eastAsia="宋体" w:cs="宋体"/>
          <w:sz w:val="24"/>
          <w:highlight w:val="none"/>
          <w:lang w:eastAsia="zh-CN"/>
        </w:rPr>
        <w:t>日期：      年     月     日</w:t>
      </w:r>
      <w:bookmarkEnd w:id="4"/>
    </w:p>
    <w:p w14:paraId="0845E37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0794A35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8、服务要求偏离表</w:t>
      </w:r>
    </w:p>
    <w:p w14:paraId="1A878EA3">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highlight w:val="none"/>
        </w:rPr>
      </w:pPr>
      <w:r>
        <w:rPr>
          <w:rFonts w:hint="eastAsia" w:ascii="宋体" w:hAnsi="宋体" w:eastAsia="宋体" w:cs="宋体"/>
          <w:b/>
          <w:color w:val="000000"/>
          <w:sz w:val="30"/>
          <w:highlight w:val="none"/>
        </w:rPr>
        <w:t>服务要求偏离表</w:t>
      </w:r>
    </w:p>
    <w:p w14:paraId="68F1B27F">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b/>
          <w:color w:val="000000"/>
          <w:spacing w:val="20"/>
          <w:sz w:val="30"/>
          <w:highlight w:val="none"/>
        </w:rPr>
      </w:pPr>
    </w:p>
    <w:tbl>
      <w:tblPr>
        <w:tblStyle w:val="4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14:paraId="50002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92" w:hRule="atLeast"/>
        </w:trPr>
        <w:tc>
          <w:tcPr>
            <w:tcW w:w="959" w:type="dxa"/>
            <w:vAlign w:val="center"/>
          </w:tcPr>
          <w:p w14:paraId="5E9668BF">
            <w:pPr>
              <w:spacing w:line="420" w:lineRule="atLeast"/>
              <w:jc w:val="center"/>
              <w:rPr>
                <w:rFonts w:ascii="宋体" w:hAnsi="宋体" w:eastAsia="宋体" w:cs="宋体"/>
                <w:sz w:val="24"/>
                <w:highlight w:val="none"/>
              </w:rPr>
            </w:pPr>
            <w:r>
              <w:rPr>
                <w:rFonts w:hint="eastAsia" w:ascii="宋体" w:hAnsi="宋体" w:eastAsia="宋体" w:cs="宋体"/>
                <w:sz w:val="24"/>
                <w:highlight w:val="none"/>
              </w:rPr>
              <w:t>序号</w:t>
            </w:r>
          </w:p>
        </w:tc>
        <w:tc>
          <w:tcPr>
            <w:tcW w:w="2010" w:type="dxa"/>
            <w:vAlign w:val="center"/>
          </w:tcPr>
          <w:p w14:paraId="011DA8CC">
            <w:pPr>
              <w:spacing w:line="420" w:lineRule="atLeast"/>
              <w:jc w:val="center"/>
              <w:rPr>
                <w:rFonts w:ascii="宋体" w:hAnsi="宋体" w:eastAsia="宋体" w:cs="宋体"/>
                <w:sz w:val="24"/>
                <w:highlight w:val="none"/>
              </w:rPr>
            </w:pPr>
            <w:r>
              <w:rPr>
                <w:rFonts w:hint="eastAsia" w:ascii="宋体" w:hAnsi="宋体" w:eastAsia="宋体" w:cs="宋体"/>
                <w:sz w:val="24"/>
                <w:highlight w:val="none"/>
              </w:rPr>
              <w:t>内容</w:t>
            </w:r>
          </w:p>
        </w:tc>
        <w:tc>
          <w:tcPr>
            <w:tcW w:w="2526" w:type="dxa"/>
            <w:vAlign w:val="center"/>
          </w:tcPr>
          <w:p w14:paraId="141AC918">
            <w:pPr>
              <w:spacing w:line="420" w:lineRule="atLeast"/>
              <w:jc w:val="center"/>
              <w:rPr>
                <w:rFonts w:ascii="宋体" w:hAnsi="宋体" w:eastAsia="宋体" w:cs="宋体"/>
                <w:sz w:val="24"/>
                <w:highlight w:val="none"/>
              </w:rPr>
            </w:pPr>
            <w:r>
              <w:rPr>
                <w:rFonts w:hint="eastAsia" w:ascii="宋体" w:hAnsi="宋体" w:eastAsia="宋体" w:cs="宋体"/>
                <w:sz w:val="24"/>
                <w:highlight w:val="none"/>
              </w:rPr>
              <w:t>招标文件</w:t>
            </w:r>
          </w:p>
          <w:p w14:paraId="597E0C6D">
            <w:pPr>
              <w:spacing w:line="420" w:lineRule="atLeast"/>
              <w:jc w:val="center"/>
              <w:rPr>
                <w:rFonts w:ascii="宋体" w:hAnsi="宋体" w:eastAsia="宋体" w:cs="宋体"/>
                <w:sz w:val="24"/>
                <w:highlight w:val="none"/>
              </w:rPr>
            </w:pPr>
            <w:r>
              <w:rPr>
                <w:rFonts w:hint="eastAsia" w:ascii="宋体" w:hAnsi="宋体" w:eastAsia="宋体" w:cs="宋体"/>
                <w:sz w:val="24"/>
                <w:highlight w:val="none"/>
              </w:rPr>
              <w:t>技术要求</w:t>
            </w:r>
          </w:p>
        </w:tc>
        <w:tc>
          <w:tcPr>
            <w:tcW w:w="1843" w:type="dxa"/>
            <w:vAlign w:val="center"/>
          </w:tcPr>
          <w:p w14:paraId="5A630B7A">
            <w:pPr>
              <w:spacing w:line="420" w:lineRule="atLeast"/>
              <w:jc w:val="center"/>
              <w:rPr>
                <w:rFonts w:ascii="宋体" w:hAnsi="宋体" w:eastAsia="宋体" w:cs="宋体"/>
                <w:sz w:val="24"/>
                <w:highlight w:val="none"/>
              </w:rPr>
            </w:pPr>
            <w:r>
              <w:rPr>
                <w:rFonts w:hint="eastAsia" w:ascii="宋体" w:hAnsi="宋体" w:eastAsia="宋体" w:cs="宋体"/>
                <w:sz w:val="24"/>
                <w:highlight w:val="none"/>
              </w:rPr>
              <w:t>投标文件</w:t>
            </w:r>
          </w:p>
          <w:p w14:paraId="0DE43F52">
            <w:pPr>
              <w:spacing w:line="420" w:lineRule="atLeast"/>
              <w:jc w:val="center"/>
              <w:rPr>
                <w:rFonts w:ascii="宋体" w:hAnsi="宋体" w:eastAsia="宋体" w:cs="宋体"/>
                <w:sz w:val="24"/>
                <w:highlight w:val="none"/>
              </w:rPr>
            </w:pPr>
            <w:r>
              <w:rPr>
                <w:rFonts w:hint="eastAsia" w:ascii="宋体" w:hAnsi="宋体" w:eastAsia="宋体" w:cs="宋体"/>
                <w:sz w:val="24"/>
                <w:highlight w:val="none"/>
              </w:rPr>
              <w:t>响应要求</w:t>
            </w:r>
          </w:p>
        </w:tc>
        <w:tc>
          <w:tcPr>
            <w:tcW w:w="1559" w:type="dxa"/>
            <w:vAlign w:val="center"/>
          </w:tcPr>
          <w:p w14:paraId="0F7F7D2A">
            <w:pPr>
              <w:spacing w:line="420" w:lineRule="atLeast"/>
              <w:jc w:val="center"/>
              <w:rPr>
                <w:rFonts w:ascii="宋体" w:hAnsi="宋体" w:eastAsia="宋体" w:cs="宋体"/>
                <w:sz w:val="24"/>
                <w:highlight w:val="none"/>
              </w:rPr>
            </w:pPr>
            <w:r>
              <w:rPr>
                <w:rFonts w:hint="eastAsia" w:ascii="宋体" w:hAnsi="宋体" w:eastAsia="宋体" w:cs="宋体"/>
                <w:sz w:val="24"/>
                <w:highlight w:val="none"/>
              </w:rPr>
              <w:t xml:space="preserve"> 偏离情况</w:t>
            </w:r>
          </w:p>
        </w:tc>
      </w:tr>
      <w:tr w14:paraId="46E16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2FEFAAF">
            <w:pPr>
              <w:spacing w:line="400" w:lineRule="atLeast"/>
              <w:jc w:val="center"/>
              <w:rPr>
                <w:rFonts w:ascii="宋体" w:hAnsi="宋体" w:eastAsia="宋体" w:cs="宋体"/>
                <w:sz w:val="24"/>
                <w:highlight w:val="none"/>
              </w:rPr>
            </w:pPr>
            <w:r>
              <w:rPr>
                <w:rFonts w:hint="eastAsia" w:ascii="宋体" w:hAnsi="宋体" w:eastAsia="宋体" w:cs="宋体"/>
                <w:sz w:val="24"/>
                <w:highlight w:val="none"/>
              </w:rPr>
              <w:t>1</w:t>
            </w:r>
          </w:p>
        </w:tc>
        <w:tc>
          <w:tcPr>
            <w:tcW w:w="2010" w:type="dxa"/>
            <w:vAlign w:val="center"/>
          </w:tcPr>
          <w:p w14:paraId="1FA40E24">
            <w:pPr>
              <w:spacing w:line="400" w:lineRule="atLeast"/>
              <w:jc w:val="center"/>
              <w:rPr>
                <w:rFonts w:ascii="宋体" w:hAnsi="宋体" w:eastAsia="宋体" w:cs="宋体"/>
                <w:sz w:val="24"/>
                <w:highlight w:val="none"/>
              </w:rPr>
            </w:pPr>
          </w:p>
        </w:tc>
        <w:tc>
          <w:tcPr>
            <w:tcW w:w="2526" w:type="dxa"/>
            <w:vAlign w:val="center"/>
          </w:tcPr>
          <w:p w14:paraId="3BCBD12D">
            <w:pPr>
              <w:spacing w:line="400" w:lineRule="atLeast"/>
              <w:jc w:val="center"/>
              <w:rPr>
                <w:rFonts w:ascii="宋体" w:hAnsi="宋体" w:eastAsia="宋体" w:cs="宋体"/>
                <w:sz w:val="24"/>
                <w:highlight w:val="none"/>
              </w:rPr>
            </w:pPr>
          </w:p>
        </w:tc>
        <w:tc>
          <w:tcPr>
            <w:tcW w:w="1843" w:type="dxa"/>
            <w:vAlign w:val="center"/>
          </w:tcPr>
          <w:p w14:paraId="5C6342A7">
            <w:pPr>
              <w:spacing w:line="400" w:lineRule="atLeast"/>
              <w:jc w:val="center"/>
              <w:rPr>
                <w:rFonts w:ascii="宋体" w:hAnsi="宋体" w:eastAsia="宋体" w:cs="宋体"/>
                <w:sz w:val="24"/>
                <w:highlight w:val="none"/>
              </w:rPr>
            </w:pPr>
          </w:p>
        </w:tc>
        <w:tc>
          <w:tcPr>
            <w:tcW w:w="1559" w:type="dxa"/>
            <w:vAlign w:val="center"/>
          </w:tcPr>
          <w:p w14:paraId="474D434A">
            <w:pPr>
              <w:spacing w:line="400" w:lineRule="atLeast"/>
              <w:jc w:val="center"/>
              <w:rPr>
                <w:rFonts w:ascii="宋体" w:hAnsi="宋体" w:eastAsia="宋体" w:cs="宋体"/>
                <w:sz w:val="24"/>
                <w:highlight w:val="none"/>
              </w:rPr>
            </w:pPr>
          </w:p>
        </w:tc>
      </w:tr>
      <w:tr w14:paraId="41E70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74B71559">
            <w:pPr>
              <w:spacing w:line="400" w:lineRule="atLeast"/>
              <w:jc w:val="center"/>
              <w:rPr>
                <w:rFonts w:ascii="宋体" w:hAnsi="宋体" w:eastAsia="宋体" w:cs="宋体"/>
                <w:sz w:val="24"/>
                <w:highlight w:val="none"/>
              </w:rPr>
            </w:pPr>
            <w:r>
              <w:rPr>
                <w:rFonts w:hint="eastAsia" w:ascii="宋体" w:hAnsi="宋体" w:eastAsia="宋体" w:cs="宋体"/>
                <w:sz w:val="24"/>
                <w:highlight w:val="none"/>
              </w:rPr>
              <w:t>2</w:t>
            </w:r>
          </w:p>
        </w:tc>
        <w:tc>
          <w:tcPr>
            <w:tcW w:w="2010" w:type="dxa"/>
            <w:vAlign w:val="center"/>
          </w:tcPr>
          <w:p w14:paraId="0FC6FC6E">
            <w:pPr>
              <w:spacing w:line="400" w:lineRule="atLeast"/>
              <w:jc w:val="center"/>
              <w:rPr>
                <w:rFonts w:ascii="宋体" w:hAnsi="宋体" w:eastAsia="宋体" w:cs="宋体"/>
                <w:sz w:val="24"/>
                <w:highlight w:val="none"/>
              </w:rPr>
            </w:pPr>
          </w:p>
        </w:tc>
        <w:tc>
          <w:tcPr>
            <w:tcW w:w="2526" w:type="dxa"/>
            <w:vAlign w:val="center"/>
          </w:tcPr>
          <w:p w14:paraId="1D466566">
            <w:pPr>
              <w:spacing w:line="400" w:lineRule="atLeast"/>
              <w:jc w:val="center"/>
              <w:rPr>
                <w:rFonts w:ascii="宋体" w:hAnsi="宋体" w:eastAsia="宋体" w:cs="宋体"/>
                <w:sz w:val="24"/>
                <w:highlight w:val="none"/>
              </w:rPr>
            </w:pPr>
          </w:p>
        </w:tc>
        <w:tc>
          <w:tcPr>
            <w:tcW w:w="1843" w:type="dxa"/>
            <w:vAlign w:val="center"/>
          </w:tcPr>
          <w:p w14:paraId="582E8A65">
            <w:pPr>
              <w:spacing w:line="400" w:lineRule="atLeast"/>
              <w:jc w:val="center"/>
              <w:rPr>
                <w:rFonts w:ascii="宋体" w:hAnsi="宋体" w:eastAsia="宋体" w:cs="宋体"/>
                <w:sz w:val="24"/>
                <w:highlight w:val="none"/>
              </w:rPr>
            </w:pPr>
          </w:p>
        </w:tc>
        <w:tc>
          <w:tcPr>
            <w:tcW w:w="1559" w:type="dxa"/>
            <w:vAlign w:val="center"/>
          </w:tcPr>
          <w:p w14:paraId="10563893">
            <w:pPr>
              <w:spacing w:line="400" w:lineRule="atLeast"/>
              <w:jc w:val="center"/>
              <w:rPr>
                <w:rFonts w:ascii="宋体" w:hAnsi="宋体" w:eastAsia="宋体" w:cs="宋体"/>
                <w:sz w:val="24"/>
                <w:highlight w:val="none"/>
              </w:rPr>
            </w:pPr>
          </w:p>
        </w:tc>
      </w:tr>
      <w:tr w14:paraId="1EE11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072F0099">
            <w:pPr>
              <w:spacing w:line="400" w:lineRule="atLeast"/>
              <w:jc w:val="center"/>
              <w:rPr>
                <w:rFonts w:ascii="宋体" w:hAnsi="宋体" w:eastAsia="宋体" w:cs="宋体"/>
                <w:sz w:val="24"/>
                <w:highlight w:val="none"/>
              </w:rPr>
            </w:pPr>
            <w:r>
              <w:rPr>
                <w:rFonts w:hint="eastAsia" w:ascii="宋体" w:hAnsi="宋体" w:eastAsia="宋体" w:cs="宋体"/>
                <w:sz w:val="24"/>
                <w:highlight w:val="none"/>
              </w:rPr>
              <w:t>3</w:t>
            </w:r>
          </w:p>
        </w:tc>
        <w:tc>
          <w:tcPr>
            <w:tcW w:w="2010" w:type="dxa"/>
            <w:vAlign w:val="center"/>
          </w:tcPr>
          <w:p w14:paraId="44CB956A">
            <w:pPr>
              <w:spacing w:line="400" w:lineRule="atLeast"/>
              <w:jc w:val="center"/>
              <w:rPr>
                <w:rFonts w:ascii="宋体" w:hAnsi="宋体" w:eastAsia="宋体" w:cs="宋体"/>
                <w:sz w:val="24"/>
                <w:highlight w:val="none"/>
              </w:rPr>
            </w:pPr>
          </w:p>
        </w:tc>
        <w:tc>
          <w:tcPr>
            <w:tcW w:w="2526" w:type="dxa"/>
            <w:vAlign w:val="center"/>
          </w:tcPr>
          <w:p w14:paraId="729AF82F">
            <w:pPr>
              <w:spacing w:line="400" w:lineRule="atLeast"/>
              <w:jc w:val="center"/>
              <w:rPr>
                <w:rFonts w:ascii="宋体" w:hAnsi="宋体" w:eastAsia="宋体" w:cs="宋体"/>
                <w:sz w:val="24"/>
                <w:highlight w:val="none"/>
              </w:rPr>
            </w:pPr>
          </w:p>
        </w:tc>
        <w:tc>
          <w:tcPr>
            <w:tcW w:w="1843" w:type="dxa"/>
            <w:vAlign w:val="center"/>
          </w:tcPr>
          <w:p w14:paraId="53FD97BE">
            <w:pPr>
              <w:spacing w:line="400" w:lineRule="atLeast"/>
              <w:jc w:val="center"/>
              <w:rPr>
                <w:rFonts w:ascii="宋体" w:hAnsi="宋体" w:eastAsia="宋体" w:cs="宋体"/>
                <w:sz w:val="24"/>
                <w:highlight w:val="none"/>
              </w:rPr>
            </w:pPr>
          </w:p>
        </w:tc>
        <w:tc>
          <w:tcPr>
            <w:tcW w:w="1559" w:type="dxa"/>
            <w:vAlign w:val="center"/>
          </w:tcPr>
          <w:p w14:paraId="3C46FD1F">
            <w:pPr>
              <w:spacing w:line="400" w:lineRule="atLeast"/>
              <w:jc w:val="center"/>
              <w:rPr>
                <w:rFonts w:ascii="宋体" w:hAnsi="宋体" w:eastAsia="宋体" w:cs="宋体"/>
                <w:sz w:val="24"/>
                <w:highlight w:val="none"/>
              </w:rPr>
            </w:pPr>
          </w:p>
        </w:tc>
      </w:tr>
      <w:tr w14:paraId="6C078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55431A66">
            <w:pPr>
              <w:spacing w:line="400" w:lineRule="atLeast"/>
              <w:jc w:val="center"/>
              <w:rPr>
                <w:rFonts w:ascii="宋体" w:hAnsi="宋体" w:eastAsia="宋体" w:cs="宋体"/>
                <w:sz w:val="24"/>
                <w:highlight w:val="none"/>
              </w:rPr>
            </w:pPr>
            <w:r>
              <w:rPr>
                <w:rFonts w:hint="eastAsia" w:ascii="宋体" w:hAnsi="宋体" w:eastAsia="宋体" w:cs="宋体"/>
                <w:sz w:val="24"/>
                <w:highlight w:val="none"/>
              </w:rPr>
              <w:t>4</w:t>
            </w:r>
          </w:p>
        </w:tc>
        <w:tc>
          <w:tcPr>
            <w:tcW w:w="2010" w:type="dxa"/>
            <w:vAlign w:val="center"/>
          </w:tcPr>
          <w:p w14:paraId="2A1DA96D">
            <w:pPr>
              <w:spacing w:line="400" w:lineRule="atLeast"/>
              <w:jc w:val="center"/>
              <w:rPr>
                <w:rFonts w:ascii="宋体" w:hAnsi="宋体" w:eastAsia="宋体" w:cs="宋体"/>
                <w:sz w:val="24"/>
                <w:highlight w:val="none"/>
              </w:rPr>
            </w:pPr>
          </w:p>
        </w:tc>
        <w:tc>
          <w:tcPr>
            <w:tcW w:w="2526" w:type="dxa"/>
            <w:vAlign w:val="center"/>
          </w:tcPr>
          <w:p w14:paraId="0E98A48C">
            <w:pPr>
              <w:spacing w:line="400" w:lineRule="atLeast"/>
              <w:jc w:val="center"/>
              <w:rPr>
                <w:rFonts w:ascii="宋体" w:hAnsi="宋体" w:eastAsia="宋体" w:cs="宋体"/>
                <w:sz w:val="24"/>
                <w:highlight w:val="none"/>
              </w:rPr>
            </w:pPr>
          </w:p>
        </w:tc>
        <w:tc>
          <w:tcPr>
            <w:tcW w:w="1843" w:type="dxa"/>
            <w:vAlign w:val="center"/>
          </w:tcPr>
          <w:p w14:paraId="145BB0CE">
            <w:pPr>
              <w:spacing w:line="400" w:lineRule="atLeast"/>
              <w:jc w:val="center"/>
              <w:rPr>
                <w:rFonts w:ascii="宋体" w:hAnsi="宋体" w:eastAsia="宋体" w:cs="宋体"/>
                <w:sz w:val="24"/>
                <w:highlight w:val="none"/>
              </w:rPr>
            </w:pPr>
          </w:p>
        </w:tc>
        <w:tc>
          <w:tcPr>
            <w:tcW w:w="1559" w:type="dxa"/>
            <w:vAlign w:val="center"/>
          </w:tcPr>
          <w:p w14:paraId="37ADB885">
            <w:pPr>
              <w:spacing w:line="400" w:lineRule="atLeast"/>
              <w:jc w:val="center"/>
              <w:rPr>
                <w:rFonts w:ascii="宋体" w:hAnsi="宋体" w:eastAsia="宋体" w:cs="宋体"/>
                <w:sz w:val="24"/>
                <w:highlight w:val="none"/>
              </w:rPr>
            </w:pPr>
          </w:p>
        </w:tc>
      </w:tr>
      <w:tr w14:paraId="60245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B14519B">
            <w:pPr>
              <w:spacing w:line="400" w:lineRule="atLeast"/>
              <w:jc w:val="center"/>
              <w:rPr>
                <w:rFonts w:ascii="宋体" w:hAnsi="宋体" w:eastAsia="宋体" w:cs="宋体"/>
                <w:sz w:val="24"/>
                <w:highlight w:val="none"/>
              </w:rPr>
            </w:pPr>
            <w:r>
              <w:rPr>
                <w:rFonts w:hint="eastAsia" w:ascii="宋体" w:hAnsi="宋体" w:eastAsia="宋体" w:cs="宋体"/>
                <w:sz w:val="24"/>
                <w:highlight w:val="none"/>
              </w:rPr>
              <w:t>5</w:t>
            </w:r>
          </w:p>
        </w:tc>
        <w:tc>
          <w:tcPr>
            <w:tcW w:w="2010" w:type="dxa"/>
            <w:vAlign w:val="center"/>
          </w:tcPr>
          <w:p w14:paraId="6709EDD1">
            <w:pPr>
              <w:spacing w:line="400" w:lineRule="atLeast"/>
              <w:jc w:val="center"/>
              <w:rPr>
                <w:rFonts w:ascii="宋体" w:hAnsi="宋体" w:eastAsia="宋体" w:cs="宋体"/>
                <w:sz w:val="24"/>
                <w:highlight w:val="none"/>
              </w:rPr>
            </w:pPr>
          </w:p>
        </w:tc>
        <w:tc>
          <w:tcPr>
            <w:tcW w:w="2526" w:type="dxa"/>
            <w:vAlign w:val="center"/>
          </w:tcPr>
          <w:p w14:paraId="5712BAE0">
            <w:pPr>
              <w:spacing w:line="400" w:lineRule="atLeast"/>
              <w:jc w:val="center"/>
              <w:rPr>
                <w:rFonts w:ascii="宋体" w:hAnsi="宋体" w:eastAsia="宋体" w:cs="宋体"/>
                <w:sz w:val="24"/>
                <w:highlight w:val="none"/>
              </w:rPr>
            </w:pPr>
          </w:p>
        </w:tc>
        <w:tc>
          <w:tcPr>
            <w:tcW w:w="1843" w:type="dxa"/>
            <w:vAlign w:val="center"/>
          </w:tcPr>
          <w:p w14:paraId="17D1F51E">
            <w:pPr>
              <w:spacing w:line="400" w:lineRule="atLeast"/>
              <w:jc w:val="center"/>
              <w:rPr>
                <w:rFonts w:ascii="宋体" w:hAnsi="宋体" w:eastAsia="宋体" w:cs="宋体"/>
                <w:sz w:val="24"/>
                <w:highlight w:val="none"/>
              </w:rPr>
            </w:pPr>
          </w:p>
        </w:tc>
        <w:tc>
          <w:tcPr>
            <w:tcW w:w="1559" w:type="dxa"/>
            <w:vAlign w:val="center"/>
          </w:tcPr>
          <w:p w14:paraId="0B4BED27">
            <w:pPr>
              <w:spacing w:line="400" w:lineRule="atLeast"/>
              <w:jc w:val="center"/>
              <w:rPr>
                <w:rFonts w:ascii="宋体" w:hAnsi="宋体" w:eastAsia="宋体" w:cs="宋体"/>
                <w:sz w:val="24"/>
                <w:highlight w:val="none"/>
              </w:rPr>
            </w:pPr>
          </w:p>
        </w:tc>
      </w:tr>
      <w:tr w14:paraId="4EE88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42A490C5">
            <w:pPr>
              <w:spacing w:line="400" w:lineRule="atLeast"/>
              <w:jc w:val="center"/>
              <w:rPr>
                <w:rFonts w:ascii="宋体" w:hAnsi="宋体" w:eastAsia="宋体" w:cs="宋体"/>
                <w:sz w:val="24"/>
                <w:highlight w:val="none"/>
              </w:rPr>
            </w:pPr>
            <w:r>
              <w:rPr>
                <w:rFonts w:hint="eastAsia" w:ascii="宋体" w:hAnsi="宋体" w:eastAsia="宋体" w:cs="宋体"/>
                <w:sz w:val="24"/>
                <w:highlight w:val="none"/>
              </w:rPr>
              <w:t>6</w:t>
            </w:r>
          </w:p>
        </w:tc>
        <w:tc>
          <w:tcPr>
            <w:tcW w:w="2010" w:type="dxa"/>
            <w:vAlign w:val="center"/>
          </w:tcPr>
          <w:p w14:paraId="170D0B2F">
            <w:pPr>
              <w:spacing w:line="400" w:lineRule="atLeast"/>
              <w:jc w:val="center"/>
              <w:rPr>
                <w:rFonts w:ascii="宋体" w:hAnsi="宋体" w:eastAsia="宋体" w:cs="宋体"/>
                <w:sz w:val="24"/>
                <w:highlight w:val="none"/>
              </w:rPr>
            </w:pPr>
          </w:p>
        </w:tc>
        <w:tc>
          <w:tcPr>
            <w:tcW w:w="2526" w:type="dxa"/>
            <w:vAlign w:val="center"/>
          </w:tcPr>
          <w:p w14:paraId="7922822E">
            <w:pPr>
              <w:spacing w:line="400" w:lineRule="atLeast"/>
              <w:jc w:val="center"/>
              <w:rPr>
                <w:rFonts w:ascii="宋体" w:hAnsi="宋体" w:eastAsia="宋体" w:cs="宋体"/>
                <w:sz w:val="24"/>
                <w:highlight w:val="none"/>
              </w:rPr>
            </w:pPr>
          </w:p>
        </w:tc>
        <w:tc>
          <w:tcPr>
            <w:tcW w:w="1843" w:type="dxa"/>
            <w:vAlign w:val="center"/>
          </w:tcPr>
          <w:p w14:paraId="6423EAC1">
            <w:pPr>
              <w:spacing w:line="400" w:lineRule="atLeast"/>
              <w:jc w:val="center"/>
              <w:rPr>
                <w:rFonts w:ascii="宋体" w:hAnsi="宋体" w:eastAsia="宋体" w:cs="宋体"/>
                <w:sz w:val="24"/>
                <w:highlight w:val="none"/>
              </w:rPr>
            </w:pPr>
          </w:p>
        </w:tc>
        <w:tc>
          <w:tcPr>
            <w:tcW w:w="1559" w:type="dxa"/>
            <w:vAlign w:val="center"/>
          </w:tcPr>
          <w:p w14:paraId="66FED6B9">
            <w:pPr>
              <w:spacing w:line="400" w:lineRule="atLeast"/>
              <w:jc w:val="center"/>
              <w:rPr>
                <w:rFonts w:ascii="宋体" w:hAnsi="宋体" w:eastAsia="宋体" w:cs="宋体"/>
                <w:sz w:val="24"/>
                <w:highlight w:val="none"/>
              </w:rPr>
            </w:pPr>
          </w:p>
        </w:tc>
      </w:tr>
      <w:tr w14:paraId="5290D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6299BB07">
            <w:pPr>
              <w:spacing w:line="400" w:lineRule="atLeast"/>
              <w:jc w:val="center"/>
              <w:rPr>
                <w:rFonts w:ascii="宋体" w:hAnsi="宋体" w:eastAsia="宋体" w:cs="宋体"/>
                <w:sz w:val="24"/>
                <w:highlight w:val="none"/>
              </w:rPr>
            </w:pPr>
            <w:r>
              <w:rPr>
                <w:rFonts w:hint="eastAsia" w:ascii="宋体" w:hAnsi="宋体" w:eastAsia="宋体" w:cs="宋体"/>
                <w:sz w:val="24"/>
                <w:highlight w:val="none"/>
              </w:rPr>
              <w:t>7</w:t>
            </w:r>
          </w:p>
        </w:tc>
        <w:tc>
          <w:tcPr>
            <w:tcW w:w="2010" w:type="dxa"/>
            <w:vAlign w:val="center"/>
          </w:tcPr>
          <w:p w14:paraId="163E505E">
            <w:pPr>
              <w:spacing w:line="400" w:lineRule="atLeast"/>
              <w:jc w:val="center"/>
              <w:rPr>
                <w:rFonts w:ascii="宋体" w:hAnsi="宋体" w:eastAsia="宋体" w:cs="宋体"/>
                <w:sz w:val="24"/>
                <w:highlight w:val="none"/>
              </w:rPr>
            </w:pPr>
          </w:p>
        </w:tc>
        <w:tc>
          <w:tcPr>
            <w:tcW w:w="2526" w:type="dxa"/>
            <w:vAlign w:val="center"/>
          </w:tcPr>
          <w:p w14:paraId="6F7C28DA">
            <w:pPr>
              <w:spacing w:line="400" w:lineRule="atLeast"/>
              <w:jc w:val="center"/>
              <w:rPr>
                <w:rFonts w:ascii="宋体" w:hAnsi="宋体" w:eastAsia="宋体" w:cs="宋体"/>
                <w:sz w:val="24"/>
                <w:highlight w:val="none"/>
              </w:rPr>
            </w:pPr>
          </w:p>
        </w:tc>
        <w:tc>
          <w:tcPr>
            <w:tcW w:w="1843" w:type="dxa"/>
            <w:vAlign w:val="center"/>
          </w:tcPr>
          <w:p w14:paraId="01896941">
            <w:pPr>
              <w:spacing w:line="400" w:lineRule="atLeast"/>
              <w:jc w:val="center"/>
              <w:rPr>
                <w:rFonts w:ascii="宋体" w:hAnsi="宋体" w:eastAsia="宋体" w:cs="宋体"/>
                <w:sz w:val="24"/>
                <w:highlight w:val="none"/>
              </w:rPr>
            </w:pPr>
          </w:p>
        </w:tc>
        <w:tc>
          <w:tcPr>
            <w:tcW w:w="1559" w:type="dxa"/>
            <w:vAlign w:val="center"/>
          </w:tcPr>
          <w:p w14:paraId="0A282075">
            <w:pPr>
              <w:spacing w:line="400" w:lineRule="atLeast"/>
              <w:jc w:val="center"/>
              <w:rPr>
                <w:rFonts w:ascii="宋体" w:hAnsi="宋体" w:eastAsia="宋体" w:cs="宋体"/>
                <w:sz w:val="24"/>
                <w:highlight w:val="none"/>
              </w:rPr>
            </w:pPr>
          </w:p>
        </w:tc>
      </w:tr>
      <w:tr w14:paraId="4F81C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567C9208">
            <w:pPr>
              <w:spacing w:line="400" w:lineRule="atLeast"/>
              <w:jc w:val="center"/>
              <w:rPr>
                <w:rFonts w:ascii="宋体" w:hAnsi="宋体" w:eastAsia="宋体" w:cs="宋体"/>
                <w:sz w:val="24"/>
                <w:highlight w:val="none"/>
              </w:rPr>
            </w:pPr>
            <w:r>
              <w:rPr>
                <w:rFonts w:hint="eastAsia" w:ascii="宋体" w:hAnsi="宋体" w:eastAsia="宋体" w:cs="宋体"/>
                <w:sz w:val="24"/>
                <w:highlight w:val="none"/>
              </w:rPr>
              <w:t>8</w:t>
            </w:r>
          </w:p>
        </w:tc>
        <w:tc>
          <w:tcPr>
            <w:tcW w:w="2010" w:type="dxa"/>
            <w:vAlign w:val="center"/>
          </w:tcPr>
          <w:p w14:paraId="6CB16E97">
            <w:pPr>
              <w:spacing w:line="400" w:lineRule="atLeast"/>
              <w:jc w:val="center"/>
              <w:rPr>
                <w:rFonts w:ascii="宋体" w:hAnsi="宋体" w:eastAsia="宋体" w:cs="宋体"/>
                <w:sz w:val="24"/>
                <w:highlight w:val="none"/>
              </w:rPr>
            </w:pPr>
          </w:p>
        </w:tc>
        <w:tc>
          <w:tcPr>
            <w:tcW w:w="2526" w:type="dxa"/>
            <w:vAlign w:val="center"/>
          </w:tcPr>
          <w:p w14:paraId="7CFD483D">
            <w:pPr>
              <w:spacing w:line="400" w:lineRule="atLeast"/>
              <w:jc w:val="center"/>
              <w:rPr>
                <w:rFonts w:ascii="宋体" w:hAnsi="宋体" w:eastAsia="宋体" w:cs="宋体"/>
                <w:sz w:val="24"/>
                <w:highlight w:val="none"/>
              </w:rPr>
            </w:pPr>
          </w:p>
        </w:tc>
        <w:tc>
          <w:tcPr>
            <w:tcW w:w="1843" w:type="dxa"/>
            <w:vAlign w:val="center"/>
          </w:tcPr>
          <w:p w14:paraId="34DFE979">
            <w:pPr>
              <w:spacing w:line="400" w:lineRule="atLeast"/>
              <w:jc w:val="center"/>
              <w:rPr>
                <w:rFonts w:ascii="宋体" w:hAnsi="宋体" w:eastAsia="宋体" w:cs="宋体"/>
                <w:sz w:val="24"/>
                <w:highlight w:val="none"/>
              </w:rPr>
            </w:pPr>
          </w:p>
        </w:tc>
        <w:tc>
          <w:tcPr>
            <w:tcW w:w="1559" w:type="dxa"/>
            <w:vAlign w:val="center"/>
          </w:tcPr>
          <w:p w14:paraId="274F7426">
            <w:pPr>
              <w:spacing w:line="400" w:lineRule="atLeast"/>
              <w:jc w:val="center"/>
              <w:rPr>
                <w:rFonts w:ascii="宋体" w:hAnsi="宋体" w:eastAsia="宋体" w:cs="宋体"/>
                <w:sz w:val="24"/>
                <w:highlight w:val="none"/>
              </w:rPr>
            </w:pPr>
          </w:p>
        </w:tc>
      </w:tr>
      <w:tr w14:paraId="47F49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75685EC9">
            <w:pPr>
              <w:spacing w:line="400" w:lineRule="atLeast"/>
              <w:jc w:val="center"/>
              <w:rPr>
                <w:rFonts w:ascii="宋体" w:hAnsi="宋体" w:eastAsia="宋体" w:cs="宋体"/>
                <w:sz w:val="24"/>
                <w:highlight w:val="none"/>
              </w:rPr>
            </w:pPr>
            <w:r>
              <w:rPr>
                <w:rFonts w:hint="eastAsia" w:ascii="宋体" w:hAnsi="宋体" w:eastAsia="宋体" w:cs="宋体"/>
                <w:sz w:val="24"/>
                <w:highlight w:val="none"/>
              </w:rPr>
              <w:t>...</w:t>
            </w:r>
          </w:p>
        </w:tc>
        <w:tc>
          <w:tcPr>
            <w:tcW w:w="2010" w:type="dxa"/>
            <w:vAlign w:val="center"/>
          </w:tcPr>
          <w:p w14:paraId="501FFF42">
            <w:pPr>
              <w:spacing w:line="400" w:lineRule="atLeast"/>
              <w:jc w:val="center"/>
              <w:rPr>
                <w:rFonts w:ascii="宋体" w:hAnsi="宋体" w:eastAsia="宋体" w:cs="宋体"/>
                <w:sz w:val="24"/>
                <w:highlight w:val="none"/>
              </w:rPr>
            </w:pPr>
          </w:p>
        </w:tc>
        <w:tc>
          <w:tcPr>
            <w:tcW w:w="2526" w:type="dxa"/>
            <w:vAlign w:val="center"/>
          </w:tcPr>
          <w:p w14:paraId="1F08A7D5">
            <w:pPr>
              <w:spacing w:line="400" w:lineRule="atLeast"/>
              <w:jc w:val="center"/>
              <w:rPr>
                <w:rFonts w:ascii="宋体" w:hAnsi="宋体" w:eastAsia="宋体" w:cs="宋体"/>
                <w:sz w:val="24"/>
                <w:highlight w:val="none"/>
              </w:rPr>
            </w:pPr>
          </w:p>
        </w:tc>
        <w:tc>
          <w:tcPr>
            <w:tcW w:w="1843" w:type="dxa"/>
            <w:vAlign w:val="center"/>
          </w:tcPr>
          <w:p w14:paraId="6B50A96A">
            <w:pPr>
              <w:spacing w:line="400" w:lineRule="atLeast"/>
              <w:jc w:val="center"/>
              <w:rPr>
                <w:rFonts w:ascii="宋体" w:hAnsi="宋体" w:eastAsia="宋体" w:cs="宋体"/>
                <w:sz w:val="24"/>
                <w:highlight w:val="none"/>
              </w:rPr>
            </w:pPr>
          </w:p>
        </w:tc>
        <w:tc>
          <w:tcPr>
            <w:tcW w:w="1559" w:type="dxa"/>
            <w:vAlign w:val="center"/>
          </w:tcPr>
          <w:p w14:paraId="7CF3B6E3">
            <w:pPr>
              <w:spacing w:line="400" w:lineRule="atLeast"/>
              <w:jc w:val="center"/>
              <w:rPr>
                <w:rFonts w:ascii="宋体" w:hAnsi="宋体" w:eastAsia="宋体" w:cs="宋体"/>
                <w:sz w:val="24"/>
                <w:highlight w:val="none"/>
              </w:rPr>
            </w:pPr>
          </w:p>
        </w:tc>
      </w:tr>
    </w:tbl>
    <w:p w14:paraId="1B7BCC13">
      <w:pPr>
        <w:pBdr>
          <w:top w:val="none" w:color="000000" w:sz="0" w:space="0"/>
          <w:left w:val="none" w:color="000000" w:sz="0" w:space="0"/>
          <w:bottom w:val="none" w:color="000000" w:sz="0" w:space="0"/>
          <w:right w:val="none" w:color="000000" w:sz="0" w:space="0"/>
        </w:pBdr>
        <w:spacing w:after="0" w:line="85" w:lineRule="atLeast"/>
        <w:jc w:val="center"/>
        <w:rPr>
          <w:rFonts w:ascii="宋体" w:hAnsi="宋体" w:eastAsia="宋体" w:cs="宋体"/>
          <w:highlight w:val="none"/>
        </w:rPr>
      </w:pPr>
      <w:r>
        <w:rPr>
          <w:rFonts w:hint="eastAsia" w:ascii="宋体" w:hAnsi="宋体" w:eastAsia="宋体" w:cs="宋体"/>
          <w:b/>
          <w:color w:val="000000"/>
          <w:spacing w:val="20"/>
          <w:sz w:val="30"/>
          <w:highlight w:val="none"/>
        </w:rPr>
        <w:t> </w:t>
      </w:r>
    </w:p>
    <w:p w14:paraId="55D6DCEC">
      <w:pPr>
        <w:pBdr>
          <w:top w:val="none" w:color="000000" w:sz="0" w:space="0"/>
          <w:left w:val="none" w:color="000000" w:sz="0" w:space="0"/>
          <w:bottom w:val="none" w:color="000000" w:sz="0" w:space="0"/>
          <w:right w:val="none" w:color="000000" w:sz="0" w:space="0"/>
        </w:pBdr>
        <w:spacing w:after="0" w:line="85"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注：1.投标人应在本表中对照招标文件技术要求与实际投标技术要求逐项对应列出，并在“偏离说明”项下填写以下内容：优于的，填写“正偏离”；符合的，填写“无偏离”；低于的，填写“负偏离”。</w:t>
      </w:r>
    </w:p>
    <w:p w14:paraId="4CF23165">
      <w:pPr>
        <w:pBdr>
          <w:top w:val="none" w:color="000000" w:sz="0" w:space="0"/>
          <w:left w:val="none" w:color="000000" w:sz="0" w:space="0"/>
          <w:bottom w:val="none" w:color="000000" w:sz="0" w:space="0"/>
          <w:right w:val="none" w:color="000000" w:sz="0" w:space="0"/>
        </w:pBdr>
        <w:spacing w:after="0" w:line="85" w:lineRule="atLeast"/>
        <w:ind w:firstLine="480"/>
        <w:rPr>
          <w:rFonts w:ascii="宋体" w:hAnsi="宋体" w:eastAsia="宋体" w:cs="宋体"/>
          <w:highlight w:val="none"/>
          <w:lang w:eastAsia="zh-CN"/>
        </w:rPr>
      </w:pPr>
      <w:r>
        <w:rPr>
          <w:rFonts w:hint="eastAsia" w:ascii="宋体" w:hAnsi="宋体" w:eastAsia="宋体" w:cs="宋体"/>
          <w:color w:val="000000"/>
          <w:sz w:val="24"/>
          <w:highlight w:val="none"/>
          <w:lang w:eastAsia="zh-CN"/>
        </w:rPr>
        <w:t>2.若事项较多，投标人可根据响应内容的实际情况另纸说明。</w:t>
      </w:r>
    </w:p>
    <w:p w14:paraId="49D190F2">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5D78AFC3">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投标单位：（公章）</w:t>
      </w:r>
    </w:p>
    <w:p w14:paraId="50AE3108">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highlight w:val="none"/>
          <w:lang w:eastAsia="zh-CN"/>
        </w:rPr>
      </w:pPr>
      <w:r>
        <w:rPr>
          <w:rFonts w:hint="eastAsia" w:ascii="宋体" w:hAnsi="宋体" w:eastAsia="宋体" w:cs="宋体"/>
          <w:color w:val="000000"/>
          <w:sz w:val="24"/>
          <w:highlight w:val="none"/>
          <w:lang w:eastAsia="zh-CN"/>
        </w:rPr>
        <w:t>法定代表人或代理人（签字或盖章）：</w:t>
      </w:r>
    </w:p>
    <w:p w14:paraId="66C02DE1">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日期：年月日</w:t>
      </w:r>
    </w:p>
    <w:p w14:paraId="3F09AF43">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2D22B46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2728E16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color w:val="000000"/>
          <w:sz w:val="24"/>
          <w:szCs w:val="24"/>
          <w:highlight w:val="none"/>
          <w:lang w:eastAsia="zh-CN"/>
        </w:rPr>
      </w:pPr>
      <w:r>
        <w:rPr>
          <w:rFonts w:hint="eastAsia" w:ascii="宋体" w:hAnsi="宋体" w:eastAsia="宋体" w:cs="宋体"/>
          <w:color w:val="000000"/>
          <w:sz w:val="24"/>
          <w:highlight w:val="none"/>
          <w:lang w:eastAsia="zh-CN"/>
        </w:rPr>
        <w:t> </w:t>
      </w:r>
    </w:p>
    <w:p w14:paraId="78D7BB0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sz w:val="21"/>
          <w:szCs w:val="21"/>
          <w:highlight w:val="none"/>
          <w:lang w:eastAsia="zh-CN"/>
        </w:rPr>
      </w:pPr>
    </w:p>
    <w:p w14:paraId="537FEA9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sz w:val="21"/>
          <w:szCs w:val="21"/>
          <w:highlight w:val="none"/>
          <w:lang w:eastAsia="zh-CN"/>
        </w:rPr>
      </w:pPr>
    </w:p>
    <w:p w14:paraId="7B870D4D">
      <w:pPr>
        <w:snapToGrid w:val="0"/>
        <w:spacing w:line="360" w:lineRule="auto"/>
        <w:rPr>
          <w:rFonts w:ascii="宋体" w:hAnsi="宋体" w:eastAsia="宋体" w:cs="宋体"/>
          <w:b/>
          <w:bCs/>
          <w:sz w:val="32"/>
          <w:szCs w:val="32"/>
          <w:highlight w:val="none"/>
          <w:lang w:eastAsia="zh-CN"/>
        </w:rPr>
      </w:pPr>
    </w:p>
    <w:p w14:paraId="07842B58">
      <w:pPr>
        <w:snapToGrid w:val="0"/>
        <w:spacing w:line="360" w:lineRule="auto"/>
        <w:rPr>
          <w:rFonts w:ascii="宋体" w:hAnsi="宋体" w:eastAsia="宋体" w:cs="宋体"/>
          <w:b/>
          <w:bCs/>
          <w:sz w:val="32"/>
          <w:szCs w:val="32"/>
          <w:highlight w:val="none"/>
          <w:lang w:eastAsia="zh-CN"/>
        </w:rPr>
      </w:pPr>
    </w:p>
    <w:p w14:paraId="768297A1">
      <w:pPr>
        <w:snapToGrid w:val="0"/>
        <w:spacing w:line="360" w:lineRule="auto"/>
        <w:rPr>
          <w:rFonts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9、商务要求偏离表</w:t>
      </w:r>
    </w:p>
    <w:p w14:paraId="44177525">
      <w:pPr>
        <w:snapToGrid w:val="0"/>
        <w:spacing w:line="360" w:lineRule="auto"/>
        <w:jc w:val="center"/>
        <w:rPr>
          <w:rFonts w:ascii="宋体" w:hAnsi="宋体" w:eastAsia="宋体" w:cs="宋体"/>
          <w:b/>
          <w:spacing w:val="20"/>
          <w:sz w:val="32"/>
          <w:szCs w:val="32"/>
          <w:highlight w:val="none"/>
        </w:rPr>
      </w:pPr>
      <w:r>
        <w:rPr>
          <w:rFonts w:hint="eastAsia" w:ascii="宋体" w:hAnsi="宋体" w:eastAsia="宋体" w:cs="宋体"/>
          <w:b/>
          <w:spacing w:val="20"/>
          <w:sz w:val="32"/>
          <w:szCs w:val="32"/>
          <w:highlight w:val="none"/>
        </w:rPr>
        <w:t>商务要求偏离表</w:t>
      </w:r>
    </w:p>
    <w:tbl>
      <w:tblPr>
        <w:tblStyle w:val="43"/>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38FEC18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348F9A36">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序号</w:t>
            </w:r>
          </w:p>
        </w:tc>
        <w:tc>
          <w:tcPr>
            <w:tcW w:w="2213" w:type="dxa"/>
            <w:tcBorders>
              <w:top w:val="single" w:color="auto" w:sz="8" w:space="0"/>
              <w:left w:val="single" w:color="auto" w:sz="8" w:space="0"/>
              <w:bottom w:val="single" w:color="auto" w:sz="8" w:space="0"/>
              <w:right w:val="single" w:color="auto" w:sz="8" w:space="0"/>
            </w:tcBorders>
            <w:vAlign w:val="center"/>
          </w:tcPr>
          <w:p w14:paraId="398F6E20">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内容</w:t>
            </w:r>
          </w:p>
        </w:tc>
        <w:tc>
          <w:tcPr>
            <w:tcW w:w="1959" w:type="dxa"/>
            <w:tcBorders>
              <w:top w:val="single" w:color="auto" w:sz="8" w:space="0"/>
              <w:left w:val="single" w:color="auto" w:sz="8" w:space="0"/>
              <w:bottom w:val="single" w:color="auto" w:sz="8" w:space="0"/>
              <w:right w:val="single" w:color="auto" w:sz="8" w:space="0"/>
            </w:tcBorders>
            <w:vAlign w:val="center"/>
          </w:tcPr>
          <w:p w14:paraId="1CC1712F">
            <w:pPr>
              <w:snapToGrid w:val="0"/>
              <w:spacing w:line="360" w:lineRule="auto"/>
              <w:jc w:val="center"/>
              <w:rPr>
                <w:rFonts w:ascii="宋体" w:hAnsi="宋体" w:eastAsia="宋体" w:cs="宋体"/>
                <w:bCs/>
                <w:sz w:val="24"/>
                <w:szCs w:val="24"/>
                <w:highlight w:val="none"/>
              </w:rPr>
            </w:pPr>
            <w:r>
              <w:rPr>
                <w:rFonts w:hint="eastAsia" w:ascii="宋体" w:hAnsi="宋体" w:eastAsia="宋体" w:cs="宋体"/>
                <w:kern w:val="1"/>
                <w:sz w:val="24"/>
                <w:szCs w:val="24"/>
                <w:highlight w:val="none"/>
              </w:rPr>
              <w:t>招标文件的商务条款</w:t>
            </w:r>
          </w:p>
        </w:tc>
        <w:tc>
          <w:tcPr>
            <w:tcW w:w="1842" w:type="dxa"/>
            <w:tcBorders>
              <w:top w:val="single" w:color="auto" w:sz="8" w:space="0"/>
              <w:left w:val="single" w:color="auto" w:sz="8" w:space="0"/>
              <w:bottom w:val="single" w:color="auto" w:sz="8" w:space="0"/>
              <w:right w:val="single" w:color="auto" w:sz="8" w:space="0"/>
            </w:tcBorders>
            <w:vAlign w:val="center"/>
          </w:tcPr>
          <w:p w14:paraId="200D53C4">
            <w:pPr>
              <w:snapToGrid w:val="0"/>
              <w:spacing w:line="360" w:lineRule="auto"/>
              <w:jc w:val="center"/>
              <w:rPr>
                <w:rFonts w:ascii="宋体" w:hAnsi="宋体" w:eastAsia="宋体" w:cs="宋体"/>
                <w:bCs/>
                <w:sz w:val="24"/>
                <w:szCs w:val="24"/>
                <w:highlight w:val="none"/>
              </w:rPr>
            </w:pPr>
            <w:r>
              <w:rPr>
                <w:rFonts w:hint="eastAsia" w:ascii="宋体" w:hAnsi="宋体" w:eastAsia="宋体" w:cs="宋体"/>
                <w:kern w:val="1"/>
                <w:sz w:val="24"/>
                <w:szCs w:val="24"/>
                <w:highlight w:val="none"/>
              </w:rPr>
              <w:t>投标文件的商务条款</w:t>
            </w:r>
          </w:p>
        </w:tc>
        <w:tc>
          <w:tcPr>
            <w:tcW w:w="1578" w:type="dxa"/>
            <w:tcBorders>
              <w:top w:val="single" w:color="auto" w:sz="8" w:space="0"/>
              <w:left w:val="single" w:color="auto" w:sz="8" w:space="0"/>
              <w:bottom w:val="single" w:color="auto" w:sz="8" w:space="0"/>
              <w:right w:val="single" w:color="auto" w:sz="8" w:space="0"/>
            </w:tcBorders>
            <w:vAlign w:val="center"/>
          </w:tcPr>
          <w:p w14:paraId="14C199A3">
            <w:pPr>
              <w:snapToGrid w:val="0"/>
              <w:spacing w:line="360" w:lineRule="auto"/>
              <w:jc w:val="center"/>
              <w:rPr>
                <w:rFonts w:ascii="宋体" w:hAnsi="宋体" w:eastAsia="宋体" w:cs="宋体"/>
                <w:kern w:val="1"/>
                <w:sz w:val="24"/>
                <w:szCs w:val="24"/>
                <w:highlight w:val="none"/>
              </w:rPr>
            </w:pPr>
            <w:r>
              <w:rPr>
                <w:rFonts w:hint="eastAsia" w:ascii="宋体" w:hAnsi="宋体" w:eastAsia="宋体" w:cs="宋体"/>
                <w:kern w:val="1"/>
                <w:sz w:val="24"/>
                <w:szCs w:val="24"/>
                <w:highlight w:val="none"/>
              </w:rPr>
              <w:t>偏离说明</w:t>
            </w:r>
          </w:p>
        </w:tc>
        <w:tc>
          <w:tcPr>
            <w:tcW w:w="1000" w:type="dxa"/>
            <w:tcBorders>
              <w:top w:val="single" w:color="auto" w:sz="8" w:space="0"/>
              <w:left w:val="single" w:color="auto" w:sz="8" w:space="0"/>
              <w:bottom w:val="single" w:color="auto" w:sz="8" w:space="0"/>
              <w:right w:val="single" w:color="auto" w:sz="8" w:space="0"/>
            </w:tcBorders>
            <w:vAlign w:val="center"/>
          </w:tcPr>
          <w:p w14:paraId="380D152C">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备注</w:t>
            </w:r>
          </w:p>
        </w:tc>
      </w:tr>
      <w:tr w14:paraId="481016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40439349">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1</w:t>
            </w:r>
          </w:p>
        </w:tc>
        <w:tc>
          <w:tcPr>
            <w:tcW w:w="2213" w:type="dxa"/>
            <w:tcBorders>
              <w:top w:val="single" w:color="auto" w:sz="8" w:space="0"/>
              <w:left w:val="single" w:color="auto" w:sz="8" w:space="0"/>
              <w:bottom w:val="single" w:color="auto" w:sz="8" w:space="0"/>
              <w:right w:val="single" w:color="auto" w:sz="8" w:space="0"/>
            </w:tcBorders>
            <w:vAlign w:val="center"/>
          </w:tcPr>
          <w:p w14:paraId="1656B67F">
            <w:pPr>
              <w:snapToGrid w:val="0"/>
              <w:spacing w:line="360" w:lineRule="auto"/>
              <w:rPr>
                <w:rFonts w:ascii="宋体" w:hAnsi="宋体" w:eastAsia="宋体" w:cs="宋体"/>
                <w:sz w:val="24"/>
                <w:szCs w:val="24"/>
                <w:highlight w:val="none"/>
                <w:lang w:val="zh-CN"/>
              </w:rPr>
            </w:pPr>
            <w:r>
              <w:rPr>
                <w:rFonts w:hint="eastAsia" w:ascii="宋体" w:hAnsi="宋体" w:eastAsia="宋体" w:cs="宋体"/>
                <w:sz w:val="24"/>
                <w:highlight w:val="none"/>
              </w:rPr>
              <w:t>服务</w:t>
            </w:r>
            <w:r>
              <w:rPr>
                <w:rFonts w:hint="eastAsia" w:ascii="宋体" w:hAnsi="宋体" w:eastAsia="宋体" w:cs="宋体"/>
                <w:sz w:val="24"/>
                <w:highlight w:val="none"/>
                <w:lang w:val="zh-CN"/>
              </w:rPr>
              <w:t>时间</w:t>
            </w:r>
          </w:p>
        </w:tc>
        <w:tc>
          <w:tcPr>
            <w:tcW w:w="1959" w:type="dxa"/>
            <w:tcBorders>
              <w:top w:val="single" w:color="auto" w:sz="8" w:space="0"/>
              <w:left w:val="single" w:color="auto" w:sz="8" w:space="0"/>
              <w:bottom w:val="single" w:color="auto" w:sz="8" w:space="0"/>
              <w:right w:val="single" w:color="auto" w:sz="8" w:space="0"/>
            </w:tcBorders>
          </w:tcPr>
          <w:p w14:paraId="00BDAA4E">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551762EE">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6F8268BF">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2D78F3D6">
            <w:pPr>
              <w:snapToGrid w:val="0"/>
              <w:spacing w:line="360" w:lineRule="auto"/>
              <w:rPr>
                <w:rFonts w:ascii="宋体" w:hAnsi="宋体" w:eastAsia="宋体" w:cs="宋体"/>
                <w:sz w:val="24"/>
                <w:szCs w:val="24"/>
                <w:highlight w:val="none"/>
              </w:rPr>
            </w:pPr>
          </w:p>
        </w:tc>
      </w:tr>
      <w:tr w14:paraId="5C4DFDB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0DA869CE">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2</w:t>
            </w:r>
          </w:p>
        </w:tc>
        <w:tc>
          <w:tcPr>
            <w:tcW w:w="2213" w:type="dxa"/>
            <w:tcBorders>
              <w:top w:val="single" w:color="auto" w:sz="8" w:space="0"/>
              <w:left w:val="single" w:color="auto" w:sz="8" w:space="0"/>
              <w:bottom w:val="single" w:color="auto" w:sz="8" w:space="0"/>
              <w:right w:val="single" w:color="auto" w:sz="8" w:space="0"/>
            </w:tcBorders>
            <w:vAlign w:val="center"/>
          </w:tcPr>
          <w:p w14:paraId="12AF99AD">
            <w:pPr>
              <w:snapToGrid w:val="0"/>
              <w:spacing w:line="360" w:lineRule="auto"/>
              <w:rPr>
                <w:rFonts w:ascii="宋体" w:hAnsi="宋体" w:eastAsia="宋体" w:cs="宋体"/>
                <w:sz w:val="24"/>
                <w:szCs w:val="24"/>
                <w:highlight w:val="none"/>
                <w:lang w:val="zh-CN"/>
              </w:rPr>
            </w:pPr>
            <w:r>
              <w:rPr>
                <w:rFonts w:hint="eastAsia" w:ascii="宋体" w:hAnsi="宋体" w:eastAsia="宋体" w:cs="宋体"/>
                <w:sz w:val="24"/>
                <w:highlight w:val="none"/>
              </w:rPr>
              <w:t>服务</w:t>
            </w:r>
            <w:r>
              <w:rPr>
                <w:rFonts w:hint="eastAsia" w:ascii="宋体" w:hAnsi="宋体" w:eastAsia="宋体" w:cs="宋体"/>
                <w:sz w:val="24"/>
                <w:highlight w:val="none"/>
                <w:lang w:val="zh-CN"/>
              </w:rPr>
              <w:t>地点</w:t>
            </w:r>
          </w:p>
        </w:tc>
        <w:tc>
          <w:tcPr>
            <w:tcW w:w="1959" w:type="dxa"/>
            <w:tcBorders>
              <w:top w:val="single" w:color="auto" w:sz="8" w:space="0"/>
              <w:left w:val="single" w:color="auto" w:sz="8" w:space="0"/>
              <w:bottom w:val="single" w:color="auto" w:sz="8" w:space="0"/>
              <w:right w:val="single" w:color="auto" w:sz="8" w:space="0"/>
            </w:tcBorders>
          </w:tcPr>
          <w:p w14:paraId="25A56801">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5EFCECBE">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139AB85B">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0CA09BC1">
            <w:pPr>
              <w:snapToGrid w:val="0"/>
              <w:spacing w:line="360" w:lineRule="auto"/>
              <w:rPr>
                <w:rFonts w:ascii="宋体" w:hAnsi="宋体" w:eastAsia="宋体" w:cs="宋体"/>
                <w:sz w:val="24"/>
                <w:szCs w:val="24"/>
                <w:highlight w:val="none"/>
              </w:rPr>
            </w:pPr>
          </w:p>
        </w:tc>
      </w:tr>
      <w:tr w14:paraId="79B6227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FE5D171">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3</w:t>
            </w:r>
          </w:p>
        </w:tc>
        <w:tc>
          <w:tcPr>
            <w:tcW w:w="2213" w:type="dxa"/>
            <w:tcBorders>
              <w:top w:val="single" w:color="auto" w:sz="8" w:space="0"/>
              <w:left w:val="single" w:color="auto" w:sz="8" w:space="0"/>
              <w:bottom w:val="single" w:color="auto" w:sz="8" w:space="0"/>
              <w:right w:val="single" w:color="auto" w:sz="8" w:space="0"/>
            </w:tcBorders>
            <w:vAlign w:val="center"/>
          </w:tcPr>
          <w:p w14:paraId="03CB85D0">
            <w:pPr>
              <w:snapToGrid w:val="0"/>
              <w:spacing w:line="360" w:lineRule="auto"/>
              <w:rPr>
                <w:rFonts w:ascii="宋体" w:hAnsi="宋体" w:eastAsia="宋体" w:cs="宋体"/>
                <w:sz w:val="24"/>
                <w:szCs w:val="24"/>
                <w:highlight w:val="none"/>
                <w:lang w:val="zh-CN"/>
              </w:rPr>
            </w:pPr>
            <w:r>
              <w:rPr>
                <w:rFonts w:hint="eastAsia" w:ascii="宋体" w:hAnsi="宋体" w:eastAsia="宋体" w:cs="宋体"/>
                <w:sz w:val="24"/>
                <w:highlight w:val="none"/>
                <w:lang w:val="zh-CN"/>
              </w:rPr>
              <w:t>付款方式</w:t>
            </w:r>
          </w:p>
        </w:tc>
        <w:tc>
          <w:tcPr>
            <w:tcW w:w="1959" w:type="dxa"/>
            <w:tcBorders>
              <w:top w:val="single" w:color="auto" w:sz="8" w:space="0"/>
              <w:left w:val="single" w:color="auto" w:sz="8" w:space="0"/>
              <w:bottom w:val="single" w:color="auto" w:sz="8" w:space="0"/>
              <w:right w:val="single" w:color="auto" w:sz="8" w:space="0"/>
            </w:tcBorders>
          </w:tcPr>
          <w:p w14:paraId="0695418F">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18E8AF9B">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5ACD4A8A">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5B238583">
            <w:pPr>
              <w:snapToGrid w:val="0"/>
              <w:spacing w:line="360" w:lineRule="auto"/>
              <w:rPr>
                <w:rFonts w:ascii="宋体" w:hAnsi="宋体" w:eastAsia="宋体" w:cs="宋体"/>
                <w:sz w:val="24"/>
                <w:szCs w:val="24"/>
                <w:highlight w:val="none"/>
              </w:rPr>
            </w:pPr>
          </w:p>
        </w:tc>
      </w:tr>
      <w:tr w14:paraId="6925A9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01007D28">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4</w:t>
            </w:r>
          </w:p>
        </w:tc>
        <w:tc>
          <w:tcPr>
            <w:tcW w:w="2213" w:type="dxa"/>
            <w:tcBorders>
              <w:top w:val="single" w:color="auto" w:sz="8" w:space="0"/>
              <w:left w:val="single" w:color="auto" w:sz="8" w:space="0"/>
              <w:bottom w:val="single" w:color="auto" w:sz="8" w:space="0"/>
              <w:right w:val="single" w:color="auto" w:sz="8" w:space="0"/>
            </w:tcBorders>
            <w:vAlign w:val="center"/>
          </w:tcPr>
          <w:p w14:paraId="3B2ABF91">
            <w:pPr>
              <w:snapToGrid w:val="0"/>
              <w:spacing w:line="360" w:lineRule="auto"/>
              <w:rPr>
                <w:rFonts w:ascii="宋体" w:hAnsi="宋体" w:eastAsia="宋体" w:cs="宋体"/>
                <w:bCs/>
                <w:sz w:val="24"/>
                <w:szCs w:val="24"/>
                <w:highlight w:val="none"/>
              </w:rPr>
            </w:pPr>
            <w:r>
              <w:rPr>
                <w:rFonts w:hint="eastAsia" w:ascii="宋体" w:hAnsi="宋体" w:eastAsia="宋体" w:cs="宋体"/>
                <w:sz w:val="24"/>
                <w:highlight w:val="none"/>
                <w:lang w:val="zh-CN"/>
              </w:rPr>
              <w:t>其他商务要求</w:t>
            </w:r>
          </w:p>
        </w:tc>
        <w:tc>
          <w:tcPr>
            <w:tcW w:w="1959" w:type="dxa"/>
            <w:tcBorders>
              <w:top w:val="single" w:color="auto" w:sz="8" w:space="0"/>
              <w:left w:val="single" w:color="auto" w:sz="8" w:space="0"/>
              <w:bottom w:val="single" w:color="auto" w:sz="8" w:space="0"/>
              <w:right w:val="single" w:color="auto" w:sz="8" w:space="0"/>
            </w:tcBorders>
          </w:tcPr>
          <w:p w14:paraId="0FCD721E">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17A05080">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41477521">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54993A01">
            <w:pPr>
              <w:snapToGrid w:val="0"/>
              <w:spacing w:line="360" w:lineRule="auto"/>
              <w:rPr>
                <w:rFonts w:ascii="宋体" w:hAnsi="宋体" w:eastAsia="宋体" w:cs="宋体"/>
                <w:sz w:val="24"/>
                <w:szCs w:val="24"/>
                <w:highlight w:val="none"/>
              </w:rPr>
            </w:pPr>
          </w:p>
        </w:tc>
      </w:tr>
      <w:tr w14:paraId="4450D93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26A89B0F">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5</w:t>
            </w:r>
          </w:p>
        </w:tc>
        <w:tc>
          <w:tcPr>
            <w:tcW w:w="2213" w:type="dxa"/>
            <w:tcBorders>
              <w:top w:val="single" w:color="auto" w:sz="8" w:space="0"/>
              <w:left w:val="single" w:color="auto" w:sz="8" w:space="0"/>
              <w:bottom w:val="single" w:color="auto" w:sz="8" w:space="0"/>
              <w:right w:val="single" w:color="auto" w:sz="8" w:space="0"/>
            </w:tcBorders>
          </w:tcPr>
          <w:p w14:paraId="5EC2FCD3">
            <w:pPr>
              <w:snapToGrid w:val="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w:t>
            </w:r>
          </w:p>
        </w:tc>
        <w:tc>
          <w:tcPr>
            <w:tcW w:w="1959" w:type="dxa"/>
            <w:tcBorders>
              <w:top w:val="single" w:color="auto" w:sz="8" w:space="0"/>
              <w:left w:val="single" w:color="auto" w:sz="8" w:space="0"/>
              <w:bottom w:val="single" w:color="auto" w:sz="8" w:space="0"/>
              <w:right w:val="single" w:color="auto" w:sz="8" w:space="0"/>
            </w:tcBorders>
          </w:tcPr>
          <w:p w14:paraId="2DE745F5">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4BAC0957">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14FD8803">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24D4CEF1">
            <w:pPr>
              <w:snapToGrid w:val="0"/>
              <w:spacing w:line="360" w:lineRule="auto"/>
              <w:rPr>
                <w:rFonts w:ascii="宋体" w:hAnsi="宋体" w:eastAsia="宋体" w:cs="宋体"/>
                <w:sz w:val="24"/>
                <w:szCs w:val="24"/>
                <w:highlight w:val="none"/>
              </w:rPr>
            </w:pPr>
          </w:p>
        </w:tc>
      </w:tr>
      <w:tr w14:paraId="6F8BDF1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113A259">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6</w:t>
            </w:r>
          </w:p>
        </w:tc>
        <w:tc>
          <w:tcPr>
            <w:tcW w:w="2213" w:type="dxa"/>
            <w:tcBorders>
              <w:top w:val="single" w:color="auto" w:sz="8" w:space="0"/>
              <w:left w:val="single" w:color="auto" w:sz="8" w:space="0"/>
              <w:bottom w:val="single" w:color="auto" w:sz="8" w:space="0"/>
              <w:right w:val="single" w:color="auto" w:sz="8" w:space="0"/>
            </w:tcBorders>
          </w:tcPr>
          <w:p w14:paraId="08A2EE53">
            <w:pPr>
              <w:snapToGrid w:val="0"/>
              <w:spacing w:line="360" w:lineRule="auto"/>
              <w:rPr>
                <w:rFonts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51DDD972">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7E038756">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75C0E3FB">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7400B602">
            <w:pPr>
              <w:snapToGrid w:val="0"/>
              <w:spacing w:line="360" w:lineRule="auto"/>
              <w:rPr>
                <w:rFonts w:ascii="宋体" w:hAnsi="宋体" w:eastAsia="宋体" w:cs="宋体"/>
                <w:sz w:val="24"/>
                <w:szCs w:val="24"/>
                <w:highlight w:val="none"/>
              </w:rPr>
            </w:pPr>
          </w:p>
        </w:tc>
      </w:tr>
      <w:tr w14:paraId="690720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D27D918">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7</w:t>
            </w:r>
          </w:p>
        </w:tc>
        <w:tc>
          <w:tcPr>
            <w:tcW w:w="2213" w:type="dxa"/>
            <w:tcBorders>
              <w:top w:val="single" w:color="auto" w:sz="8" w:space="0"/>
              <w:left w:val="single" w:color="auto" w:sz="8" w:space="0"/>
              <w:bottom w:val="single" w:color="auto" w:sz="8" w:space="0"/>
              <w:right w:val="single" w:color="auto" w:sz="8" w:space="0"/>
            </w:tcBorders>
          </w:tcPr>
          <w:p w14:paraId="0C32AF2E">
            <w:pPr>
              <w:snapToGrid w:val="0"/>
              <w:spacing w:line="360" w:lineRule="auto"/>
              <w:rPr>
                <w:rFonts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60BF305B">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290842EE">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7B69651C">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27B954A0">
            <w:pPr>
              <w:snapToGrid w:val="0"/>
              <w:spacing w:line="360" w:lineRule="auto"/>
              <w:rPr>
                <w:rFonts w:ascii="宋体" w:hAnsi="宋体" w:eastAsia="宋体" w:cs="宋体"/>
                <w:sz w:val="24"/>
                <w:szCs w:val="24"/>
                <w:highlight w:val="none"/>
              </w:rPr>
            </w:pPr>
          </w:p>
        </w:tc>
      </w:tr>
      <w:tr w14:paraId="572A138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21955F0">
            <w:pPr>
              <w:snapToGrid w:val="0"/>
              <w:spacing w:line="360" w:lineRule="auto"/>
              <w:jc w:val="center"/>
              <w:rPr>
                <w:rFonts w:ascii="宋体" w:hAnsi="宋体" w:eastAsia="宋体" w:cs="宋体"/>
                <w:bCs/>
                <w:sz w:val="24"/>
                <w:szCs w:val="24"/>
                <w:highlight w:val="none"/>
              </w:rPr>
            </w:pPr>
            <w:r>
              <w:rPr>
                <w:rFonts w:hint="eastAsia" w:ascii="宋体" w:hAnsi="宋体" w:eastAsia="宋体" w:cs="宋体"/>
                <w:bCs/>
                <w:sz w:val="24"/>
                <w:szCs w:val="24"/>
                <w:highlight w:val="none"/>
              </w:rPr>
              <w:t>…</w:t>
            </w:r>
          </w:p>
        </w:tc>
        <w:tc>
          <w:tcPr>
            <w:tcW w:w="2213" w:type="dxa"/>
            <w:tcBorders>
              <w:top w:val="single" w:color="auto" w:sz="8" w:space="0"/>
              <w:left w:val="single" w:color="auto" w:sz="8" w:space="0"/>
              <w:bottom w:val="single" w:color="auto" w:sz="8" w:space="0"/>
              <w:right w:val="single" w:color="auto" w:sz="8" w:space="0"/>
            </w:tcBorders>
          </w:tcPr>
          <w:p w14:paraId="04EBF36A">
            <w:pPr>
              <w:snapToGrid w:val="0"/>
              <w:spacing w:line="360" w:lineRule="auto"/>
              <w:rPr>
                <w:rFonts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74DDC7AB">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74BA6484">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3960DD06">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6E5014FC">
            <w:pPr>
              <w:snapToGrid w:val="0"/>
              <w:spacing w:line="360" w:lineRule="auto"/>
              <w:rPr>
                <w:rFonts w:ascii="宋体" w:hAnsi="宋体" w:eastAsia="宋体" w:cs="宋体"/>
                <w:sz w:val="24"/>
                <w:szCs w:val="24"/>
                <w:highlight w:val="none"/>
              </w:rPr>
            </w:pPr>
          </w:p>
        </w:tc>
      </w:tr>
      <w:tr w14:paraId="4D9793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749BA22">
            <w:pPr>
              <w:snapToGrid w:val="0"/>
              <w:spacing w:line="360" w:lineRule="auto"/>
              <w:jc w:val="center"/>
              <w:rPr>
                <w:rFonts w:ascii="宋体" w:hAnsi="宋体" w:eastAsia="宋体" w:cs="宋体"/>
                <w:bCs/>
                <w:sz w:val="24"/>
                <w:szCs w:val="24"/>
                <w:highlight w:val="none"/>
              </w:rPr>
            </w:pPr>
          </w:p>
        </w:tc>
        <w:tc>
          <w:tcPr>
            <w:tcW w:w="2213" w:type="dxa"/>
            <w:tcBorders>
              <w:top w:val="single" w:color="auto" w:sz="8" w:space="0"/>
              <w:left w:val="single" w:color="auto" w:sz="8" w:space="0"/>
              <w:bottom w:val="single" w:color="auto" w:sz="8" w:space="0"/>
              <w:right w:val="single" w:color="auto" w:sz="8" w:space="0"/>
            </w:tcBorders>
          </w:tcPr>
          <w:p w14:paraId="03917678">
            <w:pPr>
              <w:snapToGrid w:val="0"/>
              <w:spacing w:line="360" w:lineRule="auto"/>
              <w:rPr>
                <w:rFonts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012716D7">
            <w:pPr>
              <w:snapToGrid w:val="0"/>
              <w:spacing w:line="360" w:lineRule="auto"/>
              <w:rPr>
                <w:rFonts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7289E9AF">
            <w:pPr>
              <w:snapToGrid w:val="0"/>
              <w:spacing w:line="360" w:lineRule="auto"/>
              <w:rPr>
                <w:rFonts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6327127F">
            <w:pPr>
              <w:snapToGrid w:val="0"/>
              <w:spacing w:line="360" w:lineRule="auto"/>
              <w:rPr>
                <w:rFonts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6455259A">
            <w:pPr>
              <w:snapToGrid w:val="0"/>
              <w:spacing w:line="360" w:lineRule="auto"/>
              <w:rPr>
                <w:rFonts w:ascii="宋体" w:hAnsi="宋体" w:eastAsia="宋体" w:cs="宋体"/>
                <w:sz w:val="24"/>
                <w:szCs w:val="24"/>
                <w:highlight w:val="none"/>
              </w:rPr>
            </w:pPr>
          </w:p>
        </w:tc>
      </w:tr>
    </w:tbl>
    <w:p w14:paraId="1F708544">
      <w:pPr>
        <w:snapToGrid w:val="0"/>
        <w:spacing w:line="360" w:lineRule="auto"/>
        <w:ind w:firstLine="482" w:firstLineChars="200"/>
        <w:rPr>
          <w:rFonts w:ascii="宋体" w:hAnsi="宋体" w:eastAsia="宋体" w:cs="宋体"/>
          <w:b/>
          <w:sz w:val="24"/>
          <w:szCs w:val="24"/>
          <w:highlight w:val="none"/>
        </w:rPr>
      </w:pPr>
    </w:p>
    <w:p w14:paraId="5A49F187">
      <w:pPr>
        <w:autoSpaceDE w:val="0"/>
        <w:autoSpaceDN w:val="0"/>
        <w:adjustRightInd w:val="0"/>
        <w:snapToGrid w:val="0"/>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val="zh-CN" w:eastAsia="zh-CN"/>
        </w:rPr>
        <w:t>注：</w:t>
      </w:r>
      <w:r>
        <w:rPr>
          <w:rFonts w:hint="eastAsia" w:ascii="宋体" w:hAnsi="宋体" w:eastAsia="宋体" w:cs="宋体"/>
          <w:sz w:val="24"/>
          <w:szCs w:val="24"/>
          <w:highlight w:val="none"/>
          <w:lang w:eastAsia="zh-CN"/>
        </w:rPr>
        <w:t>1.供应商应在本表中把招标文件商务要求与实际投标商务要求逐项对应列出，并在“偏离说明”项下填写以下内容：优于的，填写“正偏离”；符合的，填写“无偏离”；低于的，填写“负偏离”。</w:t>
      </w:r>
    </w:p>
    <w:p w14:paraId="24D143CF">
      <w:pPr>
        <w:pStyle w:val="14"/>
        <w:overflowPunct w:val="0"/>
        <w:spacing w:line="360" w:lineRule="auto"/>
        <w:ind w:firstLine="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2.若事项较多，投标人可根据响应内容的实际情况另纸说明。</w:t>
      </w:r>
    </w:p>
    <w:p w14:paraId="4A2034A5">
      <w:pPr>
        <w:adjustRightInd w:val="0"/>
        <w:snapToGrid w:val="0"/>
        <w:spacing w:line="360" w:lineRule="auto"/>
        <w:ind w:firstLine="480" w:firstLineChars="200"/>
        <w:rPr>
          <w:rFonts w:ascii="宋体" w:hAnsi="宋体" w:eastAsia="宋体" w:cs="宋体"/>
          <w:sz w:val="24"/>
          <w:szCs w:val="24"/>
          <w:highlight w:val="none"/>
          <w:lang w:eastAsia="zh-CN"/>
        </w:rPr>
      </w:pPr>
    </w:p>
    <w:p w14:paraId="6379768E">
      <w:pPr>
        <w:adjustRightInd w:val="0"/>
        <w:snapToGrid w:val="0"/>
        <w:spacing w:line="360" w:lineRule="auto"/>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供应商：（公章）</w:t>
      </w:r>
    </w:p>
    <w:p w14:paraId="1A92CAC2">
      <w:pPr>
        <w:adjustRightInd w:val="0"/>
        <w:snapToGrid w:val="0"/>
        <w:spacing w:line="360" w:lineRule="auto"/>
        <w:ind w:firstLine="480" w:firstLineChars="200"/>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法定代表人或代理人（签字或盖章）</w:t>
      </w:r>
      <w:r>
        <w:rPr>
          <w:rFonts w:hint="eastAsia" w:ascii="宋体" w:hAnsi="宋体" w:eastAsia="宋体" w:cs="宋体"/>
          <w:bCs/>
          <w:sz w:val="24"/>
          <w:szCs w:val="24"/>
          <w:highlight w:val="none"/>
          <w:lang w:eastAsia="zh-CN"/>
        </w:rPr>
        <w:t>：</w:t>
      </w:r>
    </w:p>
    <w:p w14:paraId="66B1D7FB">
      <w:pPr>
        <w:adjustRightInd w:val="0"/>
        <w:snapToGrid w:val="0"/>
        <w:spacing w:line="360" w:lineRule="auto"/>
        <w:ind w:firstLine="480" w:firstLineChars="200"/>
        <w:rPr>
          <w:rFonts w:ascii="宋体" w:hAnsi="宋体" w:eastAsia="宋体" w:cs="宋体"/>
          <w:sz w:val="24"/>
          <w:szCs w:val="24"/>
          <w:highlight w:val="none"/>
          <w:lang w:eastAsia="zh-CN"/>
        </w:rPr>
      </w:pPr>
      <w:r>
        <w:rPr>
          <w:rFonts w:hint="eastAsia" w:ascii="宋体" w:hAnsi="宋体" w:eastAsia="宋体" w:cs="宋体"/>
          <w:bCs/>
          <w:sz w:val="24"/>
          <w:szCs w:val="24"/>
          <w:highlight w:val="none"/>
          <w:lang w:eastAsia="zh-CN"/>
        </w:rPr>
        <w:t>投标日期:  年  月   日</w:t>
      </w:r>
    </w:p>
    <w:p w14:paraId="2CBCED5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10、项目技术方案及服务方案</w:t>
      </w:r>
    </w:p>
    <w:p w14:paraId="498E5C1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07A91F9">
      <w:pPr>
        <w:pBdr>
          <w:top w:val="none" w:color="000000" w:sz="0" w:space="0"/>
          <w:left w:val="none" w:color="000000" w:sz="0" w:space="0"/>
          <w:bottom w:val="none" w:color="000000" w:sz="0" w:space="0"/>
          <w:right w:val="none" w:color="000000" w:sz="0" w:space="0"/>
        </w:pBdr>
        <w:spacing w:after="0"/>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投标人根据项目需求编写针对本项目的技术方案及服务方案</w:t>
      </w:r>
    </w:p>
    <w:p w14:paraId="64683E8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3C5191B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5583BBE8">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4267E38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4BBA662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6A76BF3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3DF0DBE2">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11、项目实施方案及进度方案</w:t>
      </w:r>
    </w:p>
    <w:p w14:paraId="5771ACA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75FB5D33">
      <w:pPr>
        <w:pBdr>
          <w:top w:val="none" w:color="000000" w:sz="0" w:space="0"/>
          <w:left w:val="none" w:color="000000" w:sz="0" w:space="0"/>
          <w:bottom w:val="none" w:color="000000" w:sz="0" w:space="0"/>
          <w:right w:val="none" w:color="000000" w:sz="0" w:space="0"/>
        </w:pBdr>
        <w:spacing w:after="0" w:line="85"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投标人根据项目需求编写针对本项目的实施方案及进度方案</w:t>
      </w:r>
    </w:p>
    <w:p w14:paraId="74426FC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5836119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6051354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04F1F205">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67C1618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06953A1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12、项目质量保证措施及承诺</w:t>
      </w:r>
    </w:p>
    <w:p w14:paraId="32EB36D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5CCCB0FF">
      <w:pPr>
        <w:pBdr>
          <w:top w:val="none" w:color="000000" w:sz="0" w:space="0"/>
          <w:left w:val="none" w:color="000000" w:sz="0" w:space="0"/>
          <w:bottom w:val="none" w:color="000000" w:sz="0" w:space="0"/>
          <w:right w:val="none" w:color="000000" w:sz="0" w:space="0"/>
        </w:pBdr>
        <w:spacing w:after="0" w:line="85"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投标人根据项目需求编写针对本项目的质量保证措施及承诺</w:t>
      </w:r>
    </w:p>
    <w:p w14:paraId="6A5D4E5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72D99D1F">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6DDA8100">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438F2264">
      <w:pPr>
        <w:pBdr>
          <w:top w:val="none" w:color="000000" w:sz="0" w:space="0"/>
          <w:left w:val="none" w:color="000000" w:sz="0" w:space="0"/>
          <w:bottom w:val="none" w:color="000000" w:sz="0" w:space="0"/>
          <w:right w:val="none" w:color="000000" w:sz="0" w:space="0"/>
        </w:pBdr>
        <w:spacing w:before="240" w:after="240" w:line="85" w:lineRule="atLeast"/>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77A02BC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13、项目售后服务方案</w:t>
      </w:r>
    </w:p>
    <w:p w14:paraId="64DD119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6C139B0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投标人根据项目需求编写针对本项目的售后服务方案</w:t>
      </w:r>
    </w:p>
    <w:p w14:paraId="18F49709">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28EDE49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92F2B0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6F214DB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21541C5C">
      <w:pPr>
        <w:snapToGrid w:val="0"/>
        <w:rPr>
          <w:rFonts w:ascii="宋体" w:hAnsi="宋体" w:eastAsia="宋体" w:cs="宋体"/>
          <w:b/>
          <w:sz w:val="32"/>
          <w:szCs w:val="32"/>
          <w:highlight w:val="none"/>
          <w:lang w:eastAsia="zh-CN"/>
        </w:rPr>
      </w:pPr>
      <w:r>
        <w:rPr>
          <w:rFonts w:hint="eastAsia" w:ascii="宋体" w:hAnsi="宋体" w:eastAsia="宋体" w:cs="宋体"/>
          <w:b/>
          <w:bCs/>
          <w:sz w:val="32"/>
          <w:szCs w:val="32"/>
          <w:highlight w:val="none"/>
          <w:lang w:eastAsia="zh-CN"/>
        </w:rPr>
        <w:t>14、</w:t>
      </w:r>
      <w:r>
        <w:rPr>
          <w:rFonts w:hint="eastAsia" w:ascii="宋体" w:hAnsi="宋体" w:eastAsia="宋体" w:cs="宋体"/>
          <w:b/>
          <w:sz w:val="32"/>
          <w:szCs w:val="32"/>
          <w:highlight w:val="none"/>
          <w:lang w:eastAsia="zh-CN"/>
        </w:rPr>
        <w:t>企业类似业绩一览表</w:t>
      </w:r>
    </w:p>
    <w:p w14:paraId="0179A5CA">
      <w:pPr>
        <w:spacing w:line="360" w:lineRule="auto"/>
        <w:jc w:val="center"/>
        <w:rPr>
          <w:rFonts w:ascii="宋体" w:hAnsi="宋体" w:eastAsia="宋体" w:cs="宋体"/>
          <w:b/>
          <w:sz w:val="28"/>
          <w:szCs w:val="28"/>
          <w:highlight w:val="none"/>
          <w:lang w:eastAsia="zh-CN"/>
        </w:rPr>
      </w:pPr>
    </w:p>
    <w:p w14:paraId="167851CD">
      <w:pPr>
        <w:spacing w:line="360" w:lineRule="auto"/>
        <w:jc w:val="center"/>
        <w:rPr>
          <w:rFonts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企业类似业绩一览表</w:t>
      </w:r>
    </w:p>
    <w:tbl>
      <w:tblPr>
        <w:tblStyle w:val="43"/>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56"/>
        <w:gridCol w:w="1327"/>
        <w:gridCol w:w="1347"/>
        <w:gridCol w:w="1965"/>
        <w:gridCol w:w="1274"/>
      </w:tblGrid>
      <w:tr w14:paraId="14F8B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3F78062">
            <w:pPr>
              <w:spacing w:line="360" w:lineRule="auto"/>
              <w:jc w:val="center"/>
              <w:rPr>
                <w:rFonts w:ascii="宋体" w:hAnsi="宋体" w:eastAsia="宋体" w:cs="宋体"/>
                <w:sz w:val="24"/>
                <w:highlight w:val="none"/>
              </w:rPr>
            </w:pPr>
            <w:r>
              <w:rPr>
                <w:rFonts w:hint="eastAsia" w:ascii="宋体" w:hAnsi="宋体" w:eastAsia="宋体" w:cs="宋体"/>
                <w:sz w:val="24"/>
                <w:highlight w:val="none"/>
              </w:rPr>
              <w:t>序号</w:t>
            </w:r>
          </w:p>
        </w:tc>
        <w:tc>
          <w:tcPr>
            <w:tcW w:w="1356" w:type="dxa"/>
            <w:vAlign w:val="center"/>
          </w:tcPr>
          <w:p w14:paraId="504B0E1F">
            <w:pPr>
              <w:spacing w:line="360" w:lineRule="auto"/>
              <w:jc w:val="center"/>
              <w:rPr>
                <w:rFonts w:ascii="宋体" w:hAnsi="宋体" w:eastAsia="宋体" w:cs="宋体"/>
                <w:sz w:val="24"/>
                <w:highlight w:val="none"/>
              </w:rPr>
            </w:pPr>
            <w:r>
              <w:rPr>
                <w:rFonts w:hint="eastAsia" w:ascii="宋体" w:hAnsi="宋体" w:eastAsia="宋体" w:cs="宋体"/>
                <w:sz w:val="24"/>
                <w:highlight w:val="none"/>
              </w:rPr>
              <w:t>项目名称</w:t>
            </w:r>
          </w:p>
        </w:tc>
        <w:tc>
          <w:tcPr>
            <w:tcW w:w="1327" w:type="dxa"/>
            <w:vAlign w:val="center"/>
          </w:tcPr>
          <w:p w14:paraId="22D6B8B8">
            <w:pPr>
              <w:spacing w:line="360" w:lineRule="auto"/>
              <w:jc w:val="center"/>
              <w:rPr>
                <w:rFonts w:ascii="宋体" w:hAnsi="宋体" w:eastAsia="宋体" w:cs="宋体"/>
                <w:sz w:val="24"/>
                <w:highlight w:val="none"/>
              </w:rPr>
            </w:pPr>
            <w:r>
              <w:rPr>
                <w:rFonts w:hint="eastAsia" w:ascii="宋体" w:hAnsi="宋体" w:eastAsia="宋体" w:cs="宋体"/>
                <w:sz w:val="24"/>
                <w:highlight w:val="none"/>
              </w:rPr>
              <w:t>项目时间</w:t>
            </w:r>
          </w:p>
        </w:tc>
        <w:tc>
          <w:tcPr>
            <w:tcW w:w="1347" w:type="dxa"/>
            <w:vAlign w:val="center"/>
          </w:tcPr>
          <w:p w14:paraId="2641C376">
            <w:pPr>
              <w:tabs>
                <w:tab w:val="left" w:pos="6252"/>
              </w:tabs>
              <w:jc w:val="center"/>
              <w:rPr>
                <w:rFonts w:ascii="宋体" w:hAnsi="宋体" w:eastAsia="宋体" w:cs="宋体"/>
                <w:sz w:val="24"/>
                <w:highlight w:val="none"/>
              </w:rPr>
            </w:pPr>
            <w:r>
              <w:rPr>
                <w:rFonts w:hint="eastAsia" w:ascii="宋体" w:hAnsi="宋体" w:eastAsia="宋体" w:cs="宋体"/>
                <w:sz w:val="24"/>
                <w:highlight w:val="none"/>
              </w:rPr>
              <w:t>合同金额</w:t>
            </w:r>
          </w:p>
          <w:p w14:paraId="1C5575FD">
            <w:pPr>
              <w:tabs>
                <w:tab w:val="left" w:pos="6252"/>
              </w:tabs>
              <w:jc w:val="center"/>
              <w:rPr>
                <w:rFonts w:ascii="宋体" w:hAnsi="宋体" w:eastAsia="宋体" w:cs="宋体"/>
                <w:sz w:val="24"/>
                <w:highlight w:val="none"/>
              </w:rPr>
            </w:pPr>
            <w:r>
              <w:rPr>
                <w:rFonts w:hint="eastAsia" w:ascii="宋体" w:hAnsi="宋体" w:eastAsia="宋体" w:cs="宋体"/>
                <w:sz w:val="24"/>
                <w:highlight w:val="none"/>
              </w:rPr>
              <w:t>（人民币）</w:t>
            </w:r>
          </w:p>
        </w:tc>
        <w:tc>
          <w:tcPr>
            <w:tcW w:w="1965" w:type="dxa"/>
            <w:vAlign w:val="center"/>
          </w:tcPr>
          <w:p w14:paraId="3099399C">
            <w:pPr>
              <w:spacing w:line="360" w:lineRule="auto"/>
              <w:jc w:val="center"/>
              <w:rPr>
                <w:rFonts w:ascii="宋体" w:hAnsi="宋体" w:eastAsia="宋体" w:cs="宋体"/>
                <w:sz w:val="24"/>
                <w:highlight w:val="none"/>
              </w:rPr>
            </w:pPr>
            <w:r>
              <w:rPr>
                <w:rFonts w:hint="eastAsia" w:ascii="宋体" w:hAnsi="宋体" w:eastAsia="宋体" w:cs="宋体"/>
                <w:sz w:val="24"/>
                <w:highlight w:val="none"/>
              </w:rPr>
              <w:t>业主单位</w:t>
            </w:r>
          </w:p>
        </w:tc>
        <w:tc>
          <w:tcPr>
            <w:tcW w:w="1274" w:type="dxa"/>
            <w:vAlign w:val="center"/>
          </w:tcPr>
          <w:p w14:paraId="4188E1D3">
            <w:pPr>
              <w:spacing w:line="360" w:lineRule="auto"/>
              <w:jc w:val="center"/>
              <w:rPr>
                <w:rFonts w:ascii="宋体" w:hAnsi="宋体" w:eastAsia="宋体" w:cs="宋体"/>
                <w:sz w:val="24"/>
                <w:highlight w:val="none"/>
              </w:rPr>
            </w:pPr>
            <w:r>
              <w:rPr>
                <w:rFonts w:hint="eastAsia" w:ascii="宋体" w:hAnsi="宋体" w:eastAsia="宋体" w:cs="宋体"/>
                <w:sz w:val="24"/>
                <w:highlight w:val="none"/>
              </w:rPr>
              <w:t>备注</w:t>
            </w:r>
          </w:p>
        </w:tc>
      </w:tr>
      <w:tr w14:paraId="137C8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A86471A">
            <w:pPr>
              <w:spacing w:line="360" w:lineRule="auto"/>
              <w:jc w:val="center"/>
              <w:rPr>
                <w:rFonts w:ascii="宋体" w:hAnsi="宋体" w:eastAsia="宋体" w:cs="宋体"/>
                <w:sz w:val="24"/>
                <w:highlight w:val="none"/>
              </w:rPr>
            </w:pPr>
            <w:r>
              <w:rPr>
                <w:rFonts w:hint="eastAsia" w:ascii="宋体" w:hAnsi="宋体" w:eastAsia="宋体" w:cs="宋体"/>
                <w:sz w:val="24"/>
                <w:highlight w:val="none"/>
              </w:rPr>
              <w:t>1</w:t>
            </w:r>
          </w:p>
        </w:tc>
        <w:tc>
          <w:tcPr>
            <w:tcW w:w="1356" w:type="dxa"/>
            <w:vAlign w:val="center"/>
          </w:tcPr>
          <w:p w14:paraId="63D6178F">
            <w:pPr>
              <w:spacing w:line="360" w:lineRule="auto"/>
              <w:jc w:val="center"/>
              <w:rPr>
                <w:rFonts w:ascii="宋体" w:hAnsi="宋体" w:eastAsia="宋体" w:cs="宋体"/>
                <w:sz w:val="24"/>
                <w:highlight w:val="none"/>
              </w:rPr>
            </w:pPr>
          </w:p>
        </w:tc>
        <w:tc>
          <w:tcPr>
            <w:tcW w:w="1327" w:type="dxa"/>
          </w:tcPr>
          <w:p w14:paraId="1213DA0A">
            <w:pPr>
              <w:spacing w:line="360" w:lineRule="auto"/>
              <w:jc w:val="center"/>
              <w:rPr>
                <w:rFonts w:ascii="宋体" w:hAnsi="宋体" w:eastAsia="宋体" w:cs="宋体"/>
                <w:sz w:val="24"/>
                <w:highlight w:val="none"/>
              </w:rPr>
            </w:pPr>
          </w:p>
        </w:tc>
        <w:tc>
          <w:tcPr>
            <w:tcW w:w="1347" w:type="dxa"/>
            <w:vAlign w:val="center"/>
          </w:tcPr>
          <w:p w14:paraId="6E7588AB">
            <w:pPr>
              <w:spacing w:line="360" w:lineRule="auto"/>
              <w:jc w:val="center"/>
              <w:rPr>
                <w:rFonts w:ascii="宋体" w:hAnsi="宋体" w:eastAsia="宋体" w:cs="宋体"/>
                <w:sz w:val="24"/>
                <w:highlight w:val="none"/>
              </w:rPr>
            </w:pPr>
          </w:p>
        </w:tc>
        <w:tc>
          <w:tcPr>
            <w:tcW w:w="1965" w:type="dxa"/>
            <w:vAlign w:val="center"/>
          </w:tcPr>
          <w:p w14:paraId="54E00E50">
            <w:pPr>
              <w:spacing w:line="360" w:lineRule="auto"/>
              <w:jc w:val="center"/>
              <w:rPr>
                <w:rFonts w:ascii="宋体" w:hAnsi="宋体" w:eastAsia="宋体" w:cs="宋体"/>
                <w:sz w:val="24"/>
                <w:highlight w:val="none"/>
              </w:rPr>
            </w:pPr>
          </w:p>
        </w:tc>
        <w:tc>
          <w:tcPr>
            <w:tcW w:w="1274" w:type="dxa"/>
            <w:vAlign w:val="center"/>
          </w:tcPr>
          <w:p w14:paraId="694A3A43">
            <w:pPr>
              <w:spacing w:line="360" w:lineRule="auto"/>
              <w:jc w:val="center"/>
              <w:rPr>
                <w:rFonts w:ascii="宋体" w:hAnsi="宋体" w:eastAsia="宋体" w:cs="宋体"/>
                <w:sz w:val="24"/>
                <w:highlight w:val="none"/>
              </w:rPr>
            </w:pPr>
          </w:p>
        </w:tc>
      </w:tr>
      <w:tr w14:paraId="07FDB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248A799">
            <w:pPr>
              <w:spacing w:line="360" w:lineRule="auto"/>
              <w:jc w:val="center"/>
              <w:rPr>
                <w:rFonts w:ascii="宋体" w:hAnsi="宋体" w:eastAsia="宋体" w:cs="宋体"/>
                <w:sz w:val="24"/>
                <w:highlight w:val="none"/>
              </w:rPr>
            </w:pPr>
            <w:r>
              <w:rPr>
                <w:rFonts w:hint="eastAsia" w:ascii="宋体" w:hAnsi="宋体" w:eastAsia="宋体" w:cs="宋体"/>
                <w:sz w:val="24"/>
                <w:highlight w:val="none"/>
              </w:rPr>
              <w:t>2</w:t>
            </w:r>
          </w:p>
        </w:tc>
        <w:tc>
          <w:tcPr>
            <w:tcW w:w="1356" w:type="dxa"/>
            <w:vAlign w:val="center"/>
          </w:tcPr>
          <w:p w14:paraId="0EC946AB">
            <w:pPr>
              <w:spacing w:line="360" w:lineRule="auto"/>
              <w:jc w:val="center"/>
              <w:rPr>
                <w:rFonts w:ascii="宋体" w:hAnsi="宋体" w:eastAsia="宋体" w:cs="宋体"/>
                <w:sz w:val="24"/>
                <w:highlight w:val="none"/>
              </w:rPr>
            </w:pPr>
          </w:p>
        </w:tc>
        <w:tc>
          <w:tcPr>
            <w:tcW w:w="1327" w:type="dxa"/>
          </w:tcPr>
          <w:p w14:paraId="16258370">
            <w:pPr>
              <w:spacing w:line="360" w:lineRule="auto"/>
              <w:jc w:val="center"/>
              <w:rPr>
                <w:rFonts w:ascii="宋体" w:hAnsi="宋体" w:eastAsia="宋体" w:cs="宋体"/>
                <w:sz w:val="24"/>
                <w:highlight w:val="none"/>
              </w:rPr>
            </w:pPr>
          </w:p>
        </w:tc>
        <w:tc>
          <w:tcPr>
            <w:tcW w:w="1347" w:type="dxa"/>
            <w:vAlign w:val="center"/>
          </w:tcPr>
          <w:p w14:paraId="2F341A0C">
            <w:pPr>
              <w:spacing w:line="360" w:lineRule="auto"/>
              <w:jc w:val="center"/>
              <w:rPr>
                <w:rFonts w:ascii="宋体" w:hAnsi="宋体" w:eastAsia="宋体" w:cs="宋体"/>
                <w:sz w:val="24"/>
                <w:highlight w:val="none"/>
              </w:rPr>
            </w:pPr>
          </w:p>
        </w:tc>
        <w:tc>
          <w:tcPr>
            <w:tcW w:w="1965" w:type="dxa"/>
            <w:vAlign w:val="center"/>
          </w:tcPr>
          <w:p w14:paraId="06D4CA81">
            <w:pPr>
              <w:spacing w:line="360" w:lineRule="auto"/>
              <w:jc w:val="center"/>
              <w:rPr>
                <w:rFonts w:ascii="宋体" w:hAnsi="宋体" w:eastAsia="宋体" w:cs="宋体"/>
                <w:sz w:val="24"/>
                <w:highlight w:val="none"/>
              </w:rPr>
            </w:pPr>
          </w:p>
        </w:tc>
        <w:tc>
          <w:tcPr>
            <w:tcW w:w="1274" w:type="dxa"/>
            <w:vAlign w:val="center"/>
          </w:tcPr>
          <w:p w14:paraId="00109E66">
            <w:pPr>
              <w:spacing w:line="360" w:lineRule="auto"/>
              <w:jc w:val="center"/>
              <w:rPr>
                <w:rFonts w:ascii="宋体" w:hAnsi="宋体" w:eastAsia="宋体" w:cs="宋体"/>
                <w:sz w:val="24"/>
                <w:highlight w:val="none"/>
              </w:rPr>
            </w:pPr>
          </w:p>
        </w:tc>
      </w:tr>
      <w:tr w14:paraId="5CC50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B9EBEE7">
            <w:pPr>
              <w:spacing w:line="360" w:lineRule="auto"/>
              <w:jc w:val="center"/>
              <w:rPr>
                <w:rFonts w:ascii="宋体" w:hAnsi="宋体" w:eastAsia="宋体" w:cs="宋体"/>
                <w:sz w:val="24"/>
                <w:highlight w:val="none"/>
              </w:rPr>
            </w:pPr>
            <w:r>
              <w:rPr>
                <w:rFonts w:hint="eastAsia" w:ascii="宋体" w:hAnsi="宋体" w:eastAsia="宋体" w:cs="宋体"/>
                <w:sz w:val="24"/>
                <w:highlight w:val="none"/>
              </w:rPr>
              <w:t>3</w:t>
            </w:r>
          </w:p>
        </w:tc>
        <w:tc>
          <w:tcPr>
            <w:tcW w:w="1356" w:type="dxa"/>
            <w:vAlign w:val="center"/>
          </w:tcPr>
          <w:p w14:paraId="4A5DF293">
            <w:pPr>
              <w:spacing w:line="360" w:lineRule="auto"/>
              <w:jc w:val="center"/>
              <w:rPr>
                <w:rFonts w:ascii="宋体" w:hAnsi="宋体" w:eastAsia="宋体" w:cs="宋体"/>
                <w:sz w:val="24"/>
                <w:highlight w:val="none"/>
              </w:rPr>
            </w:pPr>
          </w:p>
        </w:tc>
        <w:tc>
          <w:tcPr>
            <w:tcW w:w="1327" w:type="dxa"/>
          </w:tcPr>
          <w:p w14:paraId="51A47FDD">
            <w:pPr>
              <w:spacing w:line="360" w:lineRule="auto"/>
              <w:jc w:val="center"/>
              <w:rPr>
                <w:rFonts w:ascii="宋体" w:hAnsi="宋体" w:eastAsia="宋体" w:cs="宋体"/>
                <w:sz w:val="24"/>
                <w:highlight w:val="none"/>
              </w:rPr>
            </w:pPr>
          </w:p>
        </w:tc>
        <w:tc>
          <w:tcPr>
            <w:tcW w:w="1347" w:type="dxa"/>
            <w:vAlign w:val="center"/>
          </w:tcPr>
          <w:p w14:paraId="5F86D40F">
            <w:pPr>
              <w:spacing w:line="360" w:lineRule="auto"/>
              <w:jc w:val="center"/>
              <w:rPr>
                <w:rFonts w:ascii="宋体" w:hAnsi="宋体" w:eastAsia="宋体" w:cs="宋体"/>
                <w:sz w:val="24"/>
                <w:highlight w:val="none"/>
              </w:rPr>
            </w:pPr>
          </w:p>
        </w:tc>
        <w:tc>
          <w:tcPr>
            <w:tcW w:w="1965" w:type="dxa"/>
            <w:vAlign w:val="center"/>
          </w:tcPr>
          <w:p w14:paraId="387DED6E">
            <w:pPr>
              <w:spacing w:line="360" w:lineRule="auto"/>
              <w:jc w:val="center"/>
              <w:rPr>
                <w:rFonts w:ascii="宋体" w:hAnsi="宋体" w:eastAsia="宋体" w:cs="宋体"/>
                <w:sz w:val="24"/>
                <w:highlight w:val="none"/>
              </w:rPr>
            </w:pPr>
          </w:p>
        </w:tc>
        <w:tc>
          <w:tcPr>
            <w:tcW w:w="1274" w:type="dxa"/>
            <w:vAlign w:val="center"/>
          </w:tcPr>
          <w:p w14:paraId="0842F519">
            <w:pPr>
              <w:spacing w:line="360" w:lineRule="auto"/>
              <w:jc w:val="center"/>
              <w:rPr>
                <w:rFonts w:ascii="宋体" w:hAnsi="宋体" w:eastAsia="宋体" w:cs="宋体"/>
                <w:sz w:val="24"/>
                <w:highlight w:val="none"/>
              </w:rPr>
            </w:pPr>
          </w:p>
        </w:tc>
      </w:tr>
      <w:tr w14:paraId="7435B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273A3F58">
            <w:pPr>
              <w:spacing w:line="360" w:lineRule="auto"/>
              <w:jc w:val="center"/>
              <w:rPr>
                <w:rFonts w:ascii="宋体" w:hAnsi="宋体" w:eastAsia="宋体" w:cs="宋体"/>
                <w:sz w:val="24"/>
                <w:highlight w:val="none"/>
              </w:rPr>
            </w:pPr>
            <w:r>
              <w:rPr>
                <w:rFonts w:hint="eastAsia" w:ascii="宋体" w:hAnsi="宋体" w:eastAsia="宋体" w:cs="宋体"/>
                <w:sz w:val="24"/>
                <w:highlight w:val="none"/>
              </w:rPr>
              <w:t>4</w:t>
            </w:r>
          </w:p>
        </w:tc>
        <w:tc>
          <w:tcPr>
            <w:tcW w:w="1356" w:type="dxa"/>
            <w:vAlign w:val="center"/>
          </w:tcPr>
          <w:p w14:paraId="4E177E99">
            <w:pPr>
              <w:spacing w:line="360" w:lineRule="auto"/>
              <w:jc w:val="center"/>
              <w:rPr>
                <w:rFonts w:ascii="宋体" w:hAnsi="宋体" w:eastAsia="宋体" w:cs="宋体"/>
                <w:sz w:val="24"/>
                <w:highlight w:val="none"/>
              </w:rPr>
            </w:pPr>
          </w:p>
        </w:tc>
        <w:tc>
          <w:tcPr>
            <w:tcW w:w="1327" w:type="dxa"/>
          </w:tcPr>
          <w:p w14:paraId="78E39C84">
            <w:pPr>
              <w:spacing w:line="360" w:lineRule="auto"/>
              <w:jc w:val="center"/>
              <w:rPr>
                <w:rFonts w:ascii="宋体" w:hAnsi="宋体" w:eastAsia="宋体" w:cs="宋体"/>
                <w:sz w:val="24"/>
                <w:highlight w:val="none"/>
              </w:rPr>
            </w:pPr>
          </w:p>
        </w:tc>
        <w:tc>
          <w:tcPr>
            <w:tcW w:w="1347" w:type="dxa"/>
            <w:vAlign w:val="center"/>
          </w:tcPr>
          <w:p w14:paraId="0A1DCCC5">
            <w:pPr>
              <w:spacing w:line="360" w:lineRule="auto"/>
              <w:jc w:val="center"/>
              <w:rPr>
                <w:rFonts w:ascii="宋体" w:hAnsi="宋体" w:eastAsia="宋体" w:cs="宋体"/>
                <w:sz w:val="24"/>
                <w:highlight w:val="none"/>
              </w:rPr>
            </w:pPr>
          </w:p>
        </w:tc>
        <w:tc>
          <w:tcPr>
            <w:tcW w:w="1965" w:type="dxa"/>
            <w:vAlign w:val="center"/>
          </w:tcPr>
          <w:p w14:paraId="79FC6975">
            <w:pPr>
              <w:spacing w:line="360" w:lineRule="auto"/>
              <w:jc w:val="center"/>
              <w:rPr>
                <w:rFonts w:ascii="宋体" w:hAnsi="宋体" w:eastAsia="宋体" w:cs="宋体"/>
                <w:sz w:val="24"/>
                <w:highlight w:val="none"/>
              </w:rPr>
            </w:pPr>
          </w:p>
        </w:tc>
        <w:tc>
          <w:tcPr>
            <w:tcW w:w="1274" w:type="dxa"/>
            <w:vAlign w:val="center"/>
          </w:tcPr>
          <w:p w14:paraId="7360291A">
            <w:pPr>
              <w:spacing w:line="360" w:lineRule="auto"/>
              <w:jc w:val="center"/>
              <w:rPr>
                <w:rFonts w:ascii="宋体" w:hAnsi="宋体" w:eastAsia="宋体" w:cs="宋体"/>
                <w:sz w:val="24"/>
                <w:highlight w:val="none"/>
              </w:rPr>
            </w:pPr>
          </w:p>
        </w:tc>
      </w:tr>
      <w:tr w14:paraId="55D56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11918776">
            <w:pPr>
              <w:spacing w:line="360" w:lineRule="auto"/>
              <w:jc w:val="center"/>
              <w:rPr>
                <w:rFonts w:ascii="宋体" w:hAnsi="宋体" w:eastAsia="宋体" w:cs="宋体"/>
                <w:sz w:val="24"/>
                <w:highlight w:val="none"/>
              </w:rPr>
            </w:pPr>
            <w:r>
              <w:rPr>
                <w:rFonts w:hint="eastAsia" w:ascii="宋体" w:hAnsi="宋体" w:eastAsia="宋体" w:cs="宋体"/>
                <w:sz w:val="24"/>
                <w:highlight w:val="none"/>
              </w:rPr>
              <w:t>5</w:t>
            </w:r>
          </w:p>
        </w:tc>
        <w:tc>
          <w:tcPr>
            <w:tcW w:w="1356" w:type="dxa"/>
            <w:vAlign w:val="center"/>
          </w:tcPr>
          <w:p w14:paraId="6ACCDCA0">
            <w:pPr>
              <w:spacing w:line="360" w:lineRule="auto"/>
              <w:jc w:val="center"/>
              <w:rPr>
                <w:rFonts w:ascii="宋体" w:hAnsi="宋体" w:eastAsia="宋体" w:cs="宋体"/>
                <w:sz w:val="24"/>
                <w:highlight w:val="none"/>
              </w:rPr>
            </w:pPr>
          </w:p>
        </w:tc>
        <w:tc>
          <w:tcPr>
            <w:tcW w:w="1327" w:type="dxa"/>
          </w:tcPr>
          <w:p w14:paraId="44D53175">
            <w:pPr>
              <w:spacing w:line="360" w:lineRule="auto"/>
              <w:jc w:val="center"/>
              <w:rPr>
                <w:rFonts w:ascii="宋体" w:hAnsi="宋体" w:eastAsia="宋体" w:cs="宋体"/>
                <w:sz w:val="24"/>
                <w:highlight w:val="none"/>
              </w:rPr>
            </w:pPr>
          </w:p>
        </w:tc>
        <w:tc>
          <w:tcPr>
            <w:tcW w:w="1347" w:type="dxa"/>
            <w:vAlign w:val="center"/>
          </w:tcPr>
          <w:p w14:paraId="0B59F825">
            <w:pPr>
              <w:spacing w:line="360" w:lineRule="auto"/>
              <w:jc w:val="center"/>
              <w:rPr>
                <w:rFonts w:ascii="宋体" w:hAnsi="宋体" w:eastAsia="宋体" w:cs="宋体"/>
                <w:sz w:val="24"/>
                <w:highlight w:val="none"/>
              </w:rPr>
            </w:pPr>
          </w:p>
        </w:tc>
        <w:tc>
          <w:tcPr>
            <w:tcW w:w="1965" w:type="dxa"/>
            <w:vAlign w:val="center"/>
          </w:tcPr>
          <w:p w14:paraId="6DCB0D9E">
            <w:pPr>
              <w:spacing w:line="360" w:lineRule="auto"/>
              <w:jc w:val="center"/>
              <w:rPr>
                <w:rFonts w:ascii="宋体" w:hAnsi="宋体" w:eastAsia="宋体" w:cs="宋体"/>
                <w:sz w:val="24"/>
                <w:highlight w:val="none"/>
              </w:rPr>
            </w:pPr>
          </w:p>
        </w:tc>
        <w:tc>
          <w:tcPr>
            <w:tcW w:w="1274" w:type="dxa"/>
            <w:vAlign w:val="center"/>
          </w:tcPr>
          <w:p w14:paraId="6D2531C5">
            <w:pPr>
              <w:spacing w:line="360" w:lineRule="auto"/>
              <w:jc w:val="center"/>
              <w:rPr>
                <w:rFonts w:ascii="宋体" w:hAnsi="宋体" w:eastAsia="宋体" w:cs="宋体"/>
                <w:sz w:val="24"/>
                <w:highlight w:val="none"/>
              </w:rPr>
            </w:pPr>
          </w:p>
        </w:tc>
      </w:tr>
      <w:tr w14:paraId="295BE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1E588AA">
            <w:pPr>
              <w:spacing w:line="360" w:lineRule="auto"/>
              <w:jc w:val="center"/>
              <w:rPr>
                <w:rFonts w:ascii="宋体" w:hAnsi="宋体" w:eastAsia="宋体" w:cs="宋体"/>
                <w:sz w:val="24"/>
                <w:highlight w:val="none"/>
              </w:rPr>
            </w:pPr>
            <w:r>
              <w:rPr>
                <w:rFonts w:hint="eastAsia" w:ascii="宋体" w:hAnsi="宋体" w:eastAsia="宋体" w:cs="宋体"/>
                <w:sz w:val="24"/>
                <w:highlight w:val="none"/>
              </w:rPr>
              <w:t>6</w:t>
            </w:r>
          </w:p>
        </w:tc>
        <w:tc>
          <w:tcPr>
            <w:tcW w:w="1356" w:type="dxa"/>
            <w:vAlign w:val="center"/>
          </w:tcPr>
          <w:p w14:paraId="335F113F">
            <w:pPr>
              <w:spacing w:line="360" w:lineRule="auto"/>
              <w:jc w:val="center"/>
              <w:rPr>
                <w:rFonts w:ascii="宋体" w:hAnsi="宋体" w:eastAsia="宋体" w:cs="宋体"/>
                <w:sz w:val="24"/>
                <w:highlight w:val="none"/>
              </w:rPr>
            </w:pPr>
          </w:p>
        </w:tc>
        <w:tc>
          <w:tcPr>
            <w:tcW w:w="1327" w:type="dxa"/>
          </w:tcPr>
          <w:p w14:paraId="70A6B644">
            <w:pPr>
              <w:spacing w:line="360" w:lineRule="auto"/>
              <w:jc w:val="center"/>
              <w:rPr>
                <w:rFonts w:ascii="宋体" w:hAnsi="宋体" w:eastAsia="宋体" w:cs="宋体"/>
                <w:sz w:val="24"/>
                <w:highlight w:val="none"/>
              </w:rPr>
            </w:pPr>
          </w:p>
        </w:tc>
        <w:tc>
          <w:tcPr>
            <w:tcW w:w="1347" w:type="dxa"/>
            <w:vAlign w:val="center"/>
          </w:tcPr>
          <w:p w14:paraId="7402F638">
            <w:pPr>
              <w:spacing w:line="360" w:lineRule="auto"/>
              <w:jc w:val="center"/>
              <w:rPr>
                <w:rFonts w:ascii="宋体" w:hAnsi="宋体" w:eastAsia="宋体" w:cs="宋体"/>
                <w:sz w:val="24"/>
                <w:highlight w:val="none"/>
              </w:rPr>
            </w:pPr>
          </w:p>
        </w:tc>
        <w:tc>
          <w:tcPr>
            <w:tcW w:w="1965" w:type="dxa"/>
            <w:vAlign w:val="center"/>
          </w:tcPr>
          <w:p w14:paraId="7BE2BF8F">
            <w:pPr>
              <w:spacing w:line="360" w:lineRule="auto"/>
              <w:jc w:val="center"/>
              <w:rPr>
                <w:rFonts w:ascii="宋体" w:hAnsi="宋体" w:eastAsia="宋体" w:cs="宋体"/>
                <w:sz w:val="24"/>
                <w:highlight w:val="none"/>
              </w:rPr>
            </w:pPr>
          </w:p>
        </w:tc>
        <w:tc>
          <w:tcPr>
            <w:tcW w:w="1274" w:type="dxa"/>
            <w:vAlign w:val="center"/>
          </w:tcPr>
          <w:p w14:paraId="2F232583">
            <w:pPr>
              <w:spacing w:line="360" w:lineRule="auto"/>
              <w:jc w:val="center"/>
              <w:rPr>
                <w:rFonts w:ascii="宋体" w:hAnsi="宋体" w:eastAsia="宋体" w:cs="宋体"/>
                <w:sz w:val="24"/>
                <w:highlight w:val="none"/>
              </w:rPr>
            </w:pPr>
          </w:p>
        </w:tc>
      </w:tr>
      <w:tr w14:paraId="62DBD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2B3F685E">
            <w:pPr>
              <w:spacing w:line="360" w:lineRule="auto"/>
              <w:jc w:val="center"/>
              <w:rPr>
                <w:rFonts w:ascii="宋体" w:hAnsi="宋体" w:eastAsia="宋体" w:cs="宋体"/>
                <w:sz w:val="24"/>
                <w:highlight w:val="none"/>
              </w:rPr>
            </w:pPr>
            <w:r>
              <w:rPr>
                <w:rFonts w:hint="eastAsia" w:ascii="宋体" w:hAnsi="宋体" w:eastAsia="宋体" w:cs="宋体"/>
                <w:sz w:val="24"/>
                <w:highlight w:val="none"/>
              </w:rPr>
              <w:t>……</w:t>
            </w:r>
          </w:p>
        </w:tc>
        <w:tc>
          <w:tcPr>
            <w:tcW w:w="1356" w:type="dxa"/>
            <w:vAlign w:val="center"/>
          </w:tcPr>
          <w:p w14:paraId="7C4B183C">
            <w:pPr>
              <w:spacing w:line="360" w:lineRule="auto"/>
              <w:jc w:val="center"/>
              <w:rPr>
                <w:rFonts w:ascii="宋体" w:hAnsi="宋体" w:eastAsia="宋体" w:cs="宋体"/>
                <w:sz w:val="24"/>
                <w:highlight w:val="none"/>
              </w:rPr>
            </w:pPr>
          </w:p>
        </w:tc>
        <w:tc>
          <w:tcPr>
            <w:tcW w:w="1327" w:type="dxa"/>
          </w:tcPr>
          <w:p w14:paraId="7E346D62">
            <w:pPr>
              <w:spacing w:line="360" w:lineRule="auto"/>
              <w:jc w:val="center"/>
              <w:rPr>
                <w:rFonts w:ascii="宋体" w:hAnsi="宋体" w:eastAsia="宋体" w:cs="宋体"/>
                <w:sz w:val="24"/>
                <w:highlight w:val="none"/>
              </w:rPr>
            </w:pPr>
          </w:p>
        </w:tc>
        <w:tc>
          <w:tcPr>
            <w:tcW w:w="1347" w:type="dxa"/>
            <w:vAlign w:val="center"/>
          </w:tcPr>
          <w:p w14:paraId="199C89D9">
            <w:pPr>
              <w:spacing w:line="360" w:lineRule="auto"/>
              <w:jc w:val="center"/>
              <w:rPr>
                <w:rFonts w:ascii="宋体" w:hAnsi="宋体" w:eastAsia="宋体" w:cs="宋体"/>
                <w:sz w:val="24"/>
                <w:highlight w:val="none"/>
              </w:rPr>
            </w:pPr>
          </w:p>
        </w:tc>
        <w:tc>
          <w:tcPr>
            <w:tcW w:w="1965" w:type="dxa"/>
            <w:vAlign w:val="center"/>
          </w:tcPr>
          <w:p w14:paraId="4CC1BCD5">
            <w:pPr>
              <w:spacing w:line="360" w:lineRule="auto"/>
              <w:jc w:val="center"/>
              <w:rPr>
                <w:rFonts w:ascii="宋体" w:hAnsi="宋体" w:eastAsia="宋体" w:cs="宋体"/>
                <w:sz w:val="24"/>
                <w:highlight w:val="none"/>
              </w:rPr>
            </w:pPr>
          </w:p>
        </w:tc>
        <w:tc>
          <w:tcPr>
            <w:tcW w:w="1274" w:type="dxa"/>
            <w:vAlign w:val="center"/>
          </w:tcPr>
          <w:p w14:paraId="02C34808">
            <w:pPr>
              <w:spacing w:line="360" w:lineRule="auto"/>
              <w:jc w:val="center"/>
              <w:rPr>
                <w:rFonts w:ascii="宋体" w:hAnsi="宋体" w:eastAsia="宋体" w:cs="宋体"/>
                <w:sz w:val="24"/>
                <w:highlight w:val="none"/>
              </w:rPr>
            </w:pPr>
          </w:p>
        </w:tc>
      </w:tr>
    </w:tbl>
    <w:p w14:paraId="44CB4F95">
      <w:pPr>
        <w:spacing w:line="440" w:lineRule="exact"/>
        <w:ind w:firstLine="240" w:firstLineChars="100"/>
        <w:rPr>
          <w:rFonts w:ascii="宋体" w:hAnsi="宋体" w:eastAsia="宋体" w:cs="宋体"/>
          <w:sz w:val="24"/>
          <w:highlight w:val="none"/>
          <w:lang w:eastAsia="zh-CN"/>
        </w:rPr>
      </w:pPr>
      <w:r>
        <w:rPr>
          <w:rFonts w:hint="eastAsia" w:ascii="宋体" w:hAnsi="宋体" w:eastAsia="宋体" w:cs="宋体"/>
          <w:sz w:val="24"/>
          <w:highlight w:val="none"/>
          <w:lang w:eastAsia="zh-CN"/>
        </w:rPr>
        <w:t>附：按照招标文件要求及评分标准提供相应证明材料</w:t>
      </w:r>
    </w:p>
    <w:p w14:paraId="292DBE67">
      <w:pPr>
        <w:spacing w:line="500" w:lineRule="exact"/>
        <w:ind w:firstLine="480" w:firstLineChars="200"/>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投标单位（单位盖章）： </w:t>
      </w:r>
    </w:p>
    <w:p w14:paraId="0B82F7DC">
      <w:pPr>
        <w:spacing w:line="500" w:lineRule="exact"/>
        <w:ind w:firstLine="480" w:firstLineChars="200"/>
        <w:rPr>
          <w:rFonts w:ascii="宋体" w:hAnsi="宋体" w:eastAsia="宋体" w:cs="宋体"/>
          <w:sz w:val="24"/>
          <w:highlight w:val="none"/>
          <w:lang w:eastAsia="zh-CN"/>
        </w:rPr>
      </w:pPr>
      <w:r>
        <w:rPr>
          <w:rFonts w:hint="eastAsia" w:ascii="宋体" w:hAnsi="宋体" w:eastAsia="宋体" w:cs="宋体"/>
          <w:sz w:val="24"/>
          <w:highlight w:val="none"/>
          <w:lang w:eastAsia="zh-CN"/>
        </w:rPr>
        <w:t>法定代表人或代理人（签字或盖章）：</w:t>
      </w:r>
    </w:p>
    <w:p w14:paraId="5B02DDC0">
      <w:pPr>
        <w:ind w:firstLine="480" w:firstLineChars="200"/>
        <w:rPr>
          <w:rFonts w:ascii="宋体" w:hAnsi="宋体" w:eastAsia="宋体" w:cs="宋体"/>
          <w:highlight w:val="none"/>
          <w:lang w:eastAsia="zh-CN"/>
        </w:rPr>
      </w:pPr>
      <w:r>
        <w:rPr>
          <w:rFonts w:hint="eastAsia" w:ascii="宋体" w:hAnsi="宋体" w:eastAsia="宋体" w:cs="宋体"/>
          <w:sz w:val="24"/>
          <w:szCs w:val="24"/>
          <w:highlight w:val="none"/>
          <w:lang w:eastAsia="zh-CN"/>
        </w:rPr>
        <w:t>日期：         年         月       日</w:t>
      </w:r>
    </w:p>
    <w:p w14:paraId="7DBEDF4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highlight w:val="none"/>
          <w:lang w:eastAsia="zh-CN"/>
        </w:rPr>
        <w:br w:type="page" w:clear="all"/>
      </w:r>
    </w:p>
    <w:p w14:paraId="1C04299A">
      <w:pPr>
        <w:snapToGrid w:val="0"/>
        <w:rPr>
          <w:rFonts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15、拟投入本项目的专业技术（服务）人员情况一览表</w:t>
      </w:r>
    </w:p>
    <w:p w14:paraId="74FBFCED">
      <w:pPr>
        <w:pStyle w:val="202"/>
        <w:ind w:firstLine="1043" w:firstLineChars="371"/>
        <w:rPr>
          <w:rFonts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拟投入本项目的专业技术（服务）人员情况一览表</w:t>
      </w:r>
    </w:p>
    <w:tbl>
      <w:tblPr>
        <w:tblStyle w:val="43"/>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766"/>
        <w:gridCol w:w="1168"/>
        <w:gridCol w:w="968"/>
        <w:gridCol w:w="659"/>
        <w:gridCol w:w="1032"/>
        <w:gridCol w:w="1683"/>
        <w:gridCol w:w="898"/>
      </w:tblGrid>
      <w:tr w14:paraId="42185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000000" w:sz="2" w:space="0"/>
              <w:left w:val="single" w:color="000000" w:sz="2" w:space="0"/>
              <w:bottom w:val="single" w:color="000000" w:sz="2" w:space="0"/>
              <w:right w:val="single" w:color="000000" w:sz="2" w:space="0"/>
            </w:tcBorders>
            <w:vAlign w:val="center"/>
          </w:tcPr>
          <w:p w14:paraId="35F09A07">
            <w:pPr>
              <w:jc w:val="center"/>
              <w:rPr>
                <w:rFonts w:ascii="宋体" w:hAnsi="宋体" w:eastAsia="宋体" w:cs="宋体"/>
                <w:b/>
                <w:highlight w:val="none"/>
              </w:rPr>
            </w:pPr>
            <w:r>
              <w:rPr>
                <w:rFonts w:hint="eastAsia" w:ascii="宋体" w:hAnsi="宋体" w:eastAsia="宋体" w:cs="宋体"/>
                <w:b/>
                <w:highlight w:val="none"/>
              </w:rPr>
              <w:t>序号</w:t>
            </w:r>
          </w:p>
        </w:tc>
        <w:tc>
          <w:tcPr>
            <w:tcW w:w="1766" w:type="dxa"/>
            <w:tcBorders>
              <w:top w:val="single" w:color="000000" w:sz="2" w:space="0"/>
              <w:left w:val="single" w:color="auto" w:sz="4" w:space="0"/>
              <w:bottom w:val="single" w:color="000000" w:sz="2" w:space="0"/>
              <w:right w:val="single" w:color="auto" w:sz="4" w:space="0"/>
            </w:tcBorders>
            <w:vAlign w:val="center"/>
          </w:tcPr>
          <w:p w14:paraId="2E30AFAF">
            <w:pPr>
              <w:jc w:val="center"/>
              <w:rPr>
                <w:rFonts w:ascii="宋体" w:hAnsi="宋体" w:eastAsia="宋体" w:cs="宋体"/>
                <w:b/>
                <w:highlight w:val="none"/>
              </w:rPr>
            </w:pPr>
            <w:r>
              <w:rPr>
                <w:rFonts w:hint="eastAsia" w:ascii="宋体" w:hAnsi="宋体" w:eastAsia="宋体" w:cs="宋体"/>
                <w:b/>
                <w:highlight w:val="none"/>
              </w:rPr>
              <w:t>岗位</w:t>
            </w:r>
          </w:p>
        </w:tc>
        <w:tc>
          <w:tcPr>
            <w:tcW w:w="1168" w:type="dxa"/>
            <w:tcBorders>
              <w:top w:val="single" w:color="000000" w:sz="2" w:space="0"/>
              <w:left w:val="single" w:color="auto" w:sz="4" w:space="0"/>
              <w:bottom w:val="single" w:color="000000" w:sz="2" w:space="0"/>
              <w:right w:val="single" w:color="000000" w:sz="2" w:space="0"/>
            </w:tcBorders>
            <w:vAlign w:val="center"/>
          </w:tcPr>
          <w:p w14:paraId="2F66F991">
            <w:pPr>
              <w:jc w:val="center"/>
              <w:rPr>
                <w:rFonts w:ascii="宋体" w:hAnsi="宋体" w:eastAsia="宋体" w:cs="宋体"/>
                <w:b/>
                <w:highlight w:val="none"/>
              </w:rPr>
            </w:pPr>
            <w:r>
              <w:rPr>
                <w:rFonts w:hint="eastAsia" w:ascii="宋体" w:hAnsi="宋体" w:eastAsia="宋体" w:cs="宋体"/>
                <w:b/>
                <w:highlight w:val="none"/>
              </w:rPr>
              <w:t>姓名</w:t>
            </w:r>
          </w:p>
        </w:tc>
        <w:tc>
          <w:tcPr>
            <w:tcW w:w="968" w:type="dxa"/>
            <w:tcBorders>
              <w:top w:val="single" w:color="000000" w:sz="2" w:space="0"/>
              <w:left w:val="single" w:color="auto" w:sz="4" w:space="0"/>
              <w:bottom w:val="single" w:color="000000" w:sz="2" w:space="0"/>
              <w:right w:val="single" w:color="auto" w:sz="4" w:space="0"/>
            </w:tcBorders>
            <w:vAlign w:val="center"/>
          </w:tcPr>
          <w:p w14:paraId="3C3964C4">
            <w:pPr>
              <w:jc w:val="center"/>
              <w:rPr>
                <w:rFonts w:ascii="宋体" w:hAnsi="宋体" w:eastAsia="宋体" w:cs="宋体"/>
                <w:b/>
                <w:highlight w:val="none"/>
              </w:rPr>
            </w:pPr>
            <w:r>
              <w:rPr>
                <w:rFonts w:hint="eastAsia" w:ascii="宋体" w:hAnsi="宋体" w:eastAsia="宋体" w:cs="宋体"/>
                <w:b/>
                <w:highlight w:val="none"/>
              </w:rPr>
              <w:t>性别</w:t>
            </w:r>
          </w:p>
        </w:tc>
        <w:tc>
          <w:tcPr>
            <w:tcW w:w="659" w:type="dxa"/>
            <w:tcBorders>
              <w:top w:val="single" w:color="000000" w:sz="2" w:space="0"/>
              <w:left w:val="single" w:color="auto" w:sz="4" w:space="0"/>
              <w:bottom w:val="single" w:color="000000" w:sz="2" w:space="0"/>
              <w:right w:val="single" w:color="auto" w:sz="4" w:space="0"/>
            </w:tcBorders>
            <w:vAlign w:val="center"/>
          </w:tcPr>
          <w:p w14:paraId="3150FB56">
            <w:pPr>
              <w:jc w:val="center"/>
              <w:rPr>
                <w:rFonts w:ascii="宋体" w:hAnsi="宋体" w:eastAsia="宋体" w:cs="宋体"/>
                <w:b/>
                <w:highlight w:val="none"/>
              </w:rPr>
            </w:pPr>
            <w:r>
              <w:rPr>
                <w:rFonts w:hint="eastAsia" w:ascii="宋体" w:hAnsi="宋体" w:eastAsia="宋体" w:cs="宋体"/>
                <w:b/>
                <w:highlight w:val="none"/>
              </w:rPr>
              <w:t>年龄</w:t>
            </w:r>
          </w:p>
        </w:tc>
        <w:tc>
          <w:tcPr>
            <w:tcW w:w="1032" w:type="dxa"/>
            <w:tcBorders>
              <w:top w:val="single" w:color="000000" w:sz="2" w:space="0"/>
              <w:left w:val="single" w:color="auto" w:sz="4" w:space="0"/>
              <w:bottom w:val="single" w:color="000000" w:sz="2" w:space="0"/>
              <w:right w:val="single" w:color="auto" w:sz="4" w:space="0"/>
            </w:tcBorders>
            <w:vAlign w:val="center"/>
          </w:tcPr>
          <w:p w14:paraId="59C30737">
            <w:pPr>
              <w:jc w:val="center"/>
              <w:rPr>
                <w:rFonts w:ascii="宋体" w:hAnsi="宋体" w:eastAsia="宋体" w:cs="宋体"/>
                <w:b/>
                <w:highlight w:val="none"/>
              </w:rPr>
            </w:pPr>
            <w:r>
              <w:rPr>
                <w:rFonts w:hint="eastAsia" w:ascii="宋体" w:hAnsi="宋体" w:eastAsia="宋体" w:cs="宋体"/>
                <w:b/>
                <w:highlight w:val="none"/>
              </w:rPr>
              <w:t>学历</w:t>
            </w:r>
          </w:p>
        </w:tc>
        <w:tc>
          <w:tcPr>
            <w:tcW w:w="1683" w:type="dxa"/>
            <w:tcBorders>
              <w:top w:val="single" w:color="000000" w:sz="2" w:space="0"/>
              <w:left w:val="single" w:color="auto" w:sz="4" w:space="0"/>
              <w:bottom w:val="single" w:color="000000" w:sz="2" w:space="0"/>
              <w:right w:val="single" w:color="000000" w:sz="2" w:space="0"/>
            </w:tcBorders>
            <w:vAlign w:val="center"/>
          </w:tcPr>
          <w:p w14:paraId="69B9C4BB">
            <w:pPr>
              <w:jc w:val="center"/>
              <w:rPr>
                <w:rFonts w:ascii="宋体" w:hAnsi="宋体" w:eastAsia="宋体" w:cs="宋体"/>
                <w:b/>
                <w:highlight w:val="none"/>
              </w:rPr>
            </w:pPr>
            <w:r>
              <w:rPr>
                <w:rFonts w:hint="eastAsia" w:ascii="宋体" w:hAnsi="宋体" w:eastAsia="宋体" w:cs="宋体"/>
                <w:b/>
                <w:highlight w:val="none"/>
              </w:rPr>
              <w:t>专业技术职称</w:t>
            </w:r>
          </w:p>
        </w:tc>
        <w:tc>
          <w:tcPr>
            <w:tcW w:w="898" w:type="dxa"/>
            <w:tcBorders>
              <w:top w:val="single" w:color="000000" w:sz="2" w:space="0"/>
              <w:left w:val="single" w:color="auto" w:sz="4" w:space="0"/>
              <w:bottom w:val="single" w:color="000000" w:sz="2" w:space="0"/>
              <w:right w:val="single" w:color="000000" w:sz="2" w:space="0"/>
            </w:tcBorders>
            <w:vAlign w:val="center"/>
          </w:tcPr>
          <w:p w14:paraId="1021F76B">
            <w:pPr>
              <w:ind w:firstLine="221" w:firstLineChars="100"/>
              <w:rPr>
                <w:rFonts w:ascii="宋体" w:hAnsi="宋体" w:eastAsia="宋体" w:cs="宋体"/>
                <w:b/>
                <w:highlight w:val="none"/>
              </w:rPr>
            </w:pPr>
            <w:r>
              <w:rPr>
                <w:rFonts w:hint="eastAsia" w:ascii="宋体" w:hAnsi="宋体" w:eastAsia="宋体" w:cs="宋体"/>
                <w:b/>
                <w:highlight w:val="none"/>
              </w:rPr>
              <w:t>备注</w:t>
            </w:r>
          </w:p>
        </w:tc>
      </w:tr>
      <w:tr w14:paraId="5B274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4BE63BF2">
            <w:pPr>
              <w:snapToGrid w:val="0"/>
              <w:ind w:firstLine="220" w:firstLineChars="100"/>
              <w:rPr>
                <w:rFonts w:ascii="宋体" w:hAnsi="宋体" w:eastAsia="宋体" w:cs="宋体"/>
                <w:highlight w:val="none"/>
              </w:rPr>
            </w:pPr>
            <w:r>
              <w:rPr>
                <w:rFonts w:hint="eastAsia" w:ascii="宋体" w:hAnsi="宋体" w:eastAsia="宋体" w:cs="宋体"/>
                <w:highlight w:val="none"/>
              </w:rPr>
              <w:t>1</w:t>
            </w:r>
          </w:p>
        </w:tc>
        <w:tc>
          <w:tcPr>
            <w:tcW w:w="1766" w:type="dxa"/>
            <w:tcBorders>
              <w:top w:val="single" w:color="auto" w:sz="4" w:space="0"/>
              <w:left w:val="single" w:color="auto" w:sz="4" w:space="0"/>
              <w:bottom w:val="single" w:color="000000" w:sz="2" w:space="0"/>
              <w:right w:val="single" w:color="auto" w:sz="4" w:space="0"/>
            </w:tcBorders>
            <w:vAlign w:val="center"/>
          </w:tcPr>
          <w:p w14:paraId="431E9432">
            <w:pPr>
              <w:snapToGrid w:val="0"/>
              <w:jc w:val="center"/>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48E03CB5">
            <w:pPr>
              <w:snapToGrid w:val="0"/>
              <w:ind w:firstLine="480"/>
              <w:jc w:val="center"/>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4F1C8BAB">
            <w:pPr>
              <w:snapToGrid w:val="0"/>
              <w:ind w:firstLine="480"/>
              <w:jc w:val="center"/>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20D6E192">
            <w:pPr>
              <w:snapToGrid w:val="0"/>
              <w:ind w:firstLine="480"/>
              <w:jc w:val="center"/>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6AE0DADD">
            <w:pPr>
              <w:snapToGrid w:val="0"/>
              <w:ind w:firstLine="480"/>
              <w:jc w:val="center"/>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4EC58FDB">
            <w:pPr>
              <w:snapToGrid w:val="0"/>
              <w:ind w:firstLine="480"/>
              <w:jc w:val="center"/>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6A8C2B55">
            <w:pPr>
              <w:snapToGrid w:val="0"/>
              <w:ind w:firstLine="480"/>
              <w:jc w:val="center"/>
              <w:rPr>
                <w:rFonts w:ascii="宋体" w:hAnsi="宋体" w:eastAsia="宋体" w:cs="宋体"/>
                <w:highlight w:val="none"/>
              </w:rPr>
            </w:pPr>
          </w:p>
        </w:tc>
      </w:tr>
      <w:tr w14:paraId="09A19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4957A813">
            <w:pPr>
              <w:snapToGrid w:val="0"/>
              <w:ind w:firstLine="220" w:firstLineChars="100"/>
              <w:rPr>
                <w:rFonts w:ascii="宋体" w:hAnsi="宋体" w:eastAsia="宋体" w:cs="宋体"/>
                <w:highlight w:val="none"/>
              </w:rPr>
            </w:pPr>
            <w:r>
              <w:rPr>
                <w:rFonts w:hint="eastAsia" w:ascii="宋体" w:hAnsi="宋体" w:eastAsia="宋体" w:cs="宋体"/>
                <w:highlight w:val="none"/>
              </w:rPr>
              <w:t>2</w:t>
            </w:r>
          </w:p>
        </w:tc>
        <w:tc>
          <w:tcPr>
            <w:tcW w:w="1766" w:type="dxa"/>
            <w:tcBorders>
              <w:top w:val="single" w:color="auto" w:sz="4" w:space="0"/>
              <w:left w:val="single" w:color="auto" w:sz="4" w:space="0"/>
              <w:bottom w:val="single" w:color="000000" w:sz="2" w:space="0"/>
              <w:right w:val="single" w:color="auto" w:sz="4" w:space="0"/>
            </w:tcBorders>
            <w:vAlign w:val="center"/>
          </w:tcPr>
          <w:p w14:paraId="7D7BAD72">
            <w:pPr>
              <w:snapToGrid w:val="0"/>
              <w:jc w:val="center"/>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42D393FE">
            <w:pPr>
              <w:snapToGrid w:val="0"/>
              <w:ind w:firstLine="480"/>
              <w:jc w:val="center"/>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1298A070">
            <w:pPr>
              <w:snapToGrid w:val="0"/>
              <w:ind w:firstLine="480"/>
              <w:jc w:val="center"/>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5D9E22E2">
            <w:pPr>
              <w:snapToGrid w:val="0"/>
              <w:ind w:firstLine="480"/>
              <w:jc w:val="center"/>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273767D9">
            <w:pPr>
              <w:snapToGrid w:val="0"/>
              <w:ind w:firstLine="480"/>
              <w:jc w:val="center"/>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363569E8">
            <w:pPr>
              <w:snapToGrid w:val="0"/>
              <w:ind w:firstLine="480"/>
              <w:jc w:val="center"/>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6FE22C2B">
            <w:pPr>
              <w:snapToGrid w:val="0"/>
              <w:ind w:firstLine="480"/>
              <w:jc w:val="center"/>
              <w:rPr>
                <w:rFonts w:ascii="宋体" w:hAnsi="宋体" w:eastAsia="宋体" w:cs="宋体"/>
                <w:highlight w:val="none"/>
              </w:rPr>
            </w:pPr>
          </w:p>
        </w:tc>
      </w:tr>
      <w:tr w14:paraId="28CC0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6AB20168">
            <w:pPr>
              <w:snapToGrid w:val="0"/>
              <w:ind w:firstLine="220" w:firstLineChars="100"/>
              <w:rPr>
                <w:rFonts w:ascii="宋体" w:hAnsi="宋体" w:eastAsia="宋体" w:cs="宋体"/>
                <w:highlight w:val="none"/>
              </w:rPr>
            </w:pPr>
            <w:r>
              <w:rPr>
                <w:rFonts w:hint="eastAsia" w:ascii="宋体" w:hAnsi="宋体" w:eastAsia="宋体" w:cs="宋体"/>
                <w:highlight w:val="none"/>
              </w:rPr>
              <w:t>3</w:t>
            </w:r>
          </w:p>
        </w:tc>
        <w:tc>
          <w:tcPr>
            <w:tcW w:w="1766" w:type="dxa"/>
            <w:tcBorders>
              <w:top w:val="single" w:color="auto" w:sz="4" w:space="0"/>
              <w:left w:val="single" w:color="auto" w:sz="4" w:space="0"/>
              <w:bottom w:val="single" w:color="000000" w:sz="2" w:space="0"/>
              <w:right w:val="single" w:color="auto" w:sz="4" w:space="0"/>
            </w:tcBorders>
            <w:vAlign w:val="center"/>
          </w:tcPr>
          <w:p w14:paraId="3A2848AD">
            <w:pPr>
              <w:snapToGrid w:val="0"/>
              <w:jc w:val="center"/>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64A1CBF2">
            <w:pPr>
              <w:snapToGrid w:val="0"/>
              <w:ind w:firstLine="480"/>
              <w:jc w:val="center"/>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6BA97236">
            <w:pPr>
              <w:snapToGrid w:val="0"/>
              <w:ind w:firstLine="480"/>
              <w:jc w:val="center"/>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5673A0B6">
            <w:pPr>
              <w:snapToGrid w:val="0"/>
              <w:ind w:firstLine="480"/>
              <w:jc w:val="center"/>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3E001A97">
            <w:pPr>
              <w:snapToGrid w:val="0"/>
              <w:ind w:firstLine="480"/>
              <w:jc w:val="center"/>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09F1CE79">
            <w:pPr>
              <w:snapToGrid w:val="0"/>
              <w:ind w:firstLine="480"/>
              <w:jc w:val="center"/>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34613D14">
            <w:pPr>
              <w:snapToGrid w:val="0"/>
              <w:ind w:firstLine="480"/>
              <w:jc w:val="center"/>
              <w:rPr>
                <w:rFonts w:ascii="宋体" w:hAnsi="宋体" w:eastAsia="宋体" w:cs="宋体"/>
                <w:highlight w:val="none"/>
              </w:rPr>
            </w:pPr>
          </w:p>
        </w:tc>
      </w:tr>
      <w:tr w14:paraId="18964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6FEE8D73">
            <w:pPr>
              <w:snapToGrid w:val="0"/>
              <w:ind w:firstLine="480"/>
              <w:rPr>
                <w:rFonts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20DE190E">
            <w:pPr>
              <w:snapToGrid w:val="0"/>
              <w:ind w:firstLine="480"/>
              <w:rPr>
                <w:rFonts w:ascii="宋体" w:hAnsi="宋体" w:eastAsia="宋体" w:cs="宋体"/>
                <w:highlight w:val="none"/>
              </w:rPr>
            </w:pPr>
            <w:r>
              <w:rPr>
                <w:rFonts w:hint="eastAsia" w:ascii="宋体" w:hAnsi="宋体" w:eastAsia="宋体" w:cs="宋体"/>
                <w:highlight w:val="none"/>
              </w:rPr>
              <w:t>····</w:t>
            </w:r>
          </w:p>
        </w:tc>
        <w:tc>
          <w:tcPr>
            <w:tcW w:w="1168" w:type="dxa"/>
            <w:tcBorders>
              <w:top w:val="single" w:color="auto" w:sz="4" w:space="0"/>
              <w:left w:val="single" w:color="auto" w:sz="4" w:space="0"/>
              <w:bottom w:val="single" w:color="000000" w:sz="2" w:space="0"/>
              <w:right w:val="single" w:color="000000" w:sz="2" w:space="0"/>
            </w:tcBorders>
            <w:vAlign w:val="center"/>
          </w:tcPr>
          <w:p w14:paraId="08486DB4">
            <w:pPr>
              <w:snapToGrid w:val="0"/>
              <w:ind w:firstLine="480"/>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2D25B7AA">
            <w:pPr>
              <w:snapToGrid w:val="0"/>
              <w:ind w:firstLine="480"/>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35B66562">
            <w:pPr>
              <w:snapToGrid w:val="0"/>
              <w:ind w:firstLine="480"/>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6D9C671F">
            <w:pPr>
              <w:snapToGrid w:val="0"/>
              <w:ind w:firstLine="480"/>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58189C04">
            <w:pPr>
              <w:snapToGrid w:val="0"/>
              <w:ind w:firstLine="480"/>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083A1398">
            <w:pPr>
              <w:snapToGrid w:val="0"/>
              <w:ind w:firstLine="480"/>
              <w:rPr>
                <w:rFonts w:ascii="宋体" w:hAnsi="宋体" w:eastAsia="宋体" w:cs="宋体"/>
                <w:highlight w:val="none"/>
              </w:rPr>
            </w:pPr>
          </w:p>
        </w:tc>
      </w:tr>
      <w:tr w14:paraId="39D95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68FDC045">
            <w:pPr>
              <w:snapToGrid w:val="0"/>
              <w:ind w:firstLine="480"/>
              <w:rPr>
                <w:rFonts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358B556B">
            <w:pPr>
              <w:snapToGrid w:val="0"/>
              <w:ind w:firstLine="480"/>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47FFBB97">
            <w:pPr>
              <w:snapToGrid w:val="0"/>
              <w:ind w:firstLine="480"/>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4DAEAF35">
            <w:pPr>
              <w:snapToGrid w:val="0"/>
              <w:ind w:firstLine="480"/>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602503B0">
            <w:pPr>
              <w:snapToGrid w:val="0"/>
              <w:ind w:firstLine="480"/>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52DC8F54">
            <w:pPr>
              <w:snapToGrid w:val="0"/>
              <w:ind w:firstLine="480"/>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186AF907">
            <w:pPr>
              <w:snapToGrid w:val="0"/>
              <w:ind w:firstLine="480"/>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39F111D5">
            <w:pPr>
              <w:snapToGrid w:val="0"/>
              <w:ind w:firstLine="480"/>
              <w:rPr>
                <w:rFonts w:ascii="宋体" w:hAnsi="宋体" w:eastAsia="宋体" w:cs="宋体"/>
                <w:highlight w:val="none"/>
              </w:rPr>
            </w:pPr>
          </w:p>
        </w:tc>
      </w:tr>
      <w:tr w14:paraId="5FCF1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FC8BC6D">
            <w:pPr>
              <w:snapToGrid w:val="0"/>
              <w:ind w:firstLine="480"/>
              <w:rPr>
                <w:rFonts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76BDA662">
            <w:pPr>
              <w:snapToGrid w:val="0"/>
              <w:ind w:firstLine="480"/>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2483CC8D">
            <w:pPr>
              <w:snapToGrid w:val="0"/>
              <w:ind w:firstLine="480"/>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1221C6BC">
            <w:pPr>
              <w:snapToGrid w:val="0"/>
              <w:ind w:firstLine="480"/>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5B4FDE49">
            <w:pPr>
              <w:snapToGrid w:val="0"/>
              <w:ind w:firstLine="480"/>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7BCE9986">
            <w:pPr>
              <w:snapToGrid w:val="0"/>
              <w:ind w:firstLine="480"/>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3F47CBCA">
            <w:pPr>
              <w:snapToGrid w:val="0"/>
              <w:ind w:firstLine="480"/>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7B0F3F91">
            <w:pPr>
              <w:snapToGrid w:val="0"/>
              <w:ind w:firstLine="480"/>
              <w:rPr>
                <w:rFonts w:ascii="宋体" w:hAnsi="宋体" w:eastAsia="宋体" w:cs="宋体"/>
                <w:highlight w:val="none"/>
              </w:rPr>
            </w:pPr>
          </w:p>
        </w:tc>
      </w:tr>
      <w:tr w14:paraId="3EF91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C5399A9">
            <w:pPr>
              <w:snapToGrid w:val="0"/>
              <w:ind w:firstLine="480"/>
              <w:rPr>
                <w:rFonts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548DF12D">
            <w:pPr>
              <w:snapToGrid w:val="0"/>
              <w:ind w:firstLine="480"/>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3465C114">
            <w:pPr>
              <w:snapToGrid w:val="0"/>
              <w:ind w:firstLine="480"/>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7EAE2C4E">
            <w:pPr>
              <w:snapToGrid w:val="0"/>
              <w:ind w:firstLine="480"/>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753E1DAC">
            <w:pPr>
              <w:snapToGrid w:val="0"/>
              <w:ind w:firstLine="480"/>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6E9DE81D">
            <w:pPr>
              <w:snapToGrid w:val="0"/>
              <w:ind w:firstLine="480"/>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5A1F2F93">
            <w:pPr>
              <w:snapToGrid w:val="0"/>
              <w:ind w:firstLine="480"/>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34AB8AAE">
            <w:pPr>
              <w:snapToGrid w:val="0"/>
              <w:ind w:firstLine="480"/>
              <w:rPr>
                <w:rFonts w:ascii="宋体" w:hAnsi="宋体" w:eastAsia="宋体" w:cs="宋体"/>
                <w:highlight w:val="none"/>
              </w:rPr>
            </w:pPr>
          </w:p>
        </w:tc>
      </w:tr>
      <w:tr w14:paraId="4B3FA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B24A643">
            <w:pPr>
              <w:snapToGrid w:val="0"/>
              <w:ind w:firstLine="480"/>
              <w:rPr>
                <w:rFonts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17F0491D">
            <w:pPr>
              <w:snapToGrid w:val="0"/>
              <w:ind w:firstLine="480"/>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5BFA51CB">
            <w:pPr>
              <w:snapToGrid w:val="0"/>
              <w:ind w:firstLine="480"/>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6F371704">
            <w:pPr>
              <w:snapToGrid w:val="0"/>
              <w:ind w:firstLine="480"/>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38A2F9DC">
            <w:pPr>
              <w:snapToGrid w:val="0"/>
              <w:ind w:firstLine="480"/>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0E9BE3F0">
            <w:pPr>
              <w:snapToGrid w:val="0"/>
              <w:ind w:firstLine="480"/>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74A3C06C">
            <w:pPr>
              <w:snapToGrid w:val="0"/>
              <w:ind w:firstLine="480"/>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1D556534">
            <w:pPr>
              <w:snapToGrid w:val="0"/>
              <w:ind w:firstLine="480"/>
              <w:rPr>
                <w:rFonts w:ascii="宋体" w:hAnsi="宋体" w:eastAsia="宋体" w:cs="宋体"/>
                <w:highlight w:val="none"/>
              </w:rPr>
            </w:pPr>
          </w:p>
        </w:tc>
      </w:tr>
      <w:tr w14:paraId="259AE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1AF47A79">
            <w:pPr>
              <w:snapToGrid w:val="0"/>
              <w:ind w:firstLine="480"/>
              <w:rPr>
                <w:rFonts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3C2629A7">
            <w:pPr>
              <w:snapToGrid w:val="0"/>
              <w:ind w:firstLine="480"/>
              <w:rPr>
                <w:rFonts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590B77FE">
            <w:pPr>
              <w:snapToGrid w:val="0"/>
              <w:ind w:firstLine="480"/>
              <w:rPr>
                <w:rFonts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5190A8CD">
            <w:pPr>
              <w:snapToGrid w:val="0"/>
              <w:ind w:firstLine="480"/>
              <w:rPr>
                <w:rFonts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4093A436">
            <w:pPr>
              <w:snapToGrid w:val="0"/>
              <w:ind w:firstLine="480"/>
              <w:rPr>
                <w:rFonts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01C37EE8">
            <w:pPr>
              <w:snapToGrid w:val="0"/>
              <w:ind w:firstLine="480"/>
              <w:rPr>
                <w:rFonts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4F524698">
            <w:pPr>
              <w:snapToGrid w:val="0"/>
              <w:ind w:firstLine="480"/>
              <w:rPr>
                <w:rFonts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0216A4E4">
            <w:pPr>
              <w:snapToGrid w:val="0"/>
              <w:ind w:firstLine="480"/>
              <w:rPr>
                <w:rFonts w:ascii="宋体" w:hAnsi="宋体" w:eastAsia="宋体" w:cs="宋体"/>
                <w:highlight w:val="none"/>
              </w:rPr>
            </w:pPr>
          </w:p>
        </w:tc>
      </w:tr>
    </w:tbl>
    <w:p w14:paraId="666BC83C">
      <w:pPr>
        <w:spacing w:line="42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附：1、按照招标文件要求提供相应资质证明材料。</w:t>
      </w:r>
    </w:p>
    <w:p w14:paraId="7EBD7309">
      <w:pPr>
        <w:spacing w:line="420" w:lineRule="exact"/>
        <w:rPr>
          <w:rFonts w:ascii="宋体" w:hAnsi="宋体" w:eastAsia="宋体" w:cs="宋体"/>
          <w:sz w:val="24"/>
          <w:highlight w:val="none"/>
          <w:lang w:eastAsia="zh-CN"/>
        </w:rPr>
      </w:pPr>
    </w:p>
    <w:p w14:paraId="0E91C8FA">
      <w:pPr>
        <w:pStyle w:val="20"/>
        <w:rPr>
          <w:rFonts w:hAnsi="宋体" w:eastAsia="宋体" w:cs="宋体"/>
          <w:highlight w:val="none"/>
          <w:lang w:eastAsia="zh-CN"/>
        </w:rPr>
      </w:pPr>
    </w:p>
    <w:p w14:paraId="574DCAEA">
      <w:pPr>
        <w:pStyle w:val="20"/>
        <w:rPr>
          <w:rFonts w:hAnsi="宋体" w:eastAsia="宋体" w:cs="宋体"/>
          <w:highlight w:val="none"/>
          <w:lang w:eastAsia="zh-CN"/>
        </w:rPr>
      </w:pPr>
    </w:p>
    <w:p w14:paraId="10EECE5B">
      <w:pPr>
        <w:spacing w:line="500" w:lineRule="exact"/>
        <w:ind w:firstLine="480" w:firstLineChars="200"/>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投标单位（单位盖章）： </w:t>
      </w:r>
    </w:p>
    <w:p w14:paraId="61F16751">
      <w:pPr>
        <w:spacing w:line="500" w:lineRule="exact"/>
        <w:ind w:firstLine="480" w:firstLineChars="200"/>
        <w:rPr>
          <w:rFonts w:ascii="宋体" w:hAnsi="宋体" w:eastAsia="宋体" w:cs="宋体"/>
          <w:sz w:val="24"/>
          <w:highlight w:val="none"/>
          <w:lang w:eastAsia="zh-CN"/>
        </w:rPr>
      </w:pPr>
      <w:r>
        <w:rPr>
          <w:rFonts w:hint="eastAsia" w:ascii="宋体" w:hAnsi="宋体" w:eastAsia="宋体" w:cs="宋体"/>
          <w:sz w:val="24"/>
          <w:highlight w:val="none"/>
          <w:lang w:eastAsia="zh-CN"/>
        </w:rPr>
        <w:t>法定代表人或代理人（签字或盖章）</w:t>
      </w:r>
    </w:p>
    <w:p w14:paraId="34F75FD2">
      <w:pPr>
        <w:pStyle w:val="20"/>
        <w:rPr>
          <w:rFonts w:hAnsi="宋体" w:eastAsia="宋体" w:cs="宋体"/>
          <w:sz w:val="24"/>
          <w:highlight w:val="none"/>
          <w:lang w:eastAsia="zh-CN"/>
        </w:rPr>
      </w:pPr>
      <w:r>
        <w:rPr>
          <w:rFonts w:hint="eastAsia" w:hAnsi="宋体" w:eastAsia="宋体" w:cs="宋体"/>
          <w:sz w:val="24"/>
          <w:szCs w:val="24"/>
          <w:highlight w:val="none"/>
          <w:lang w:eastAsia="zh-CN"/>
        </w:rPr>
        <w:t>日期：    年    月    日</w:t>
      </w:r>
    </w:p>
    <w:p w14:paraId="42E1A2F9">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highlight w:val="none"/>
          <w:lang w:eastAsia="zh-CN"/>
        </w:rPr>
      </w:pPr>
    </w:p>
    <w:p w14:paraId="7DB154FC">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highlight w:val="none"/>
          <w:lang w:eastAsia="zh-CN"/>
        </w:rPr>
      </w:pPr>
    </w:p>
    <w:p w14:paraId="37826732">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highlight w:val="none"/>
          <w:lang w:eastAsia="zh-CN"/>
        </w:rPr>
      </w:pPr>
    </w:p>
    <w:p w14:paraId="15178264">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ascii="宋体" w:hAnsi="宋体" w:eastAsia="宋体" w:cs="宋体"/>
          <w:b/>
          <w:sz w:val="32"/>
          <w:highlight w:val="none"/>
          <w:lang w:eastAsia="zh-CN"/>
        </w:rPr>
      </w:pPr>
    </w:p>
    <w:p w14:paraId="10F8B1D9">
      <w:pPr>
        <w:spacing w:line="360" w:lineRule="auto"/>
        <w:rPr>
          <w:rFonts w:ascii="宋体" w:hAnsi="宋体" w:eastAsia="宋体" w:cs="宋体"/>
          <w:b/>
          <w:highlight w:val="none"/>
          <w:lang w:eastAsia="zh-CN"/>
        </w:rPr>
      </w:pPr>
      <w:r>
        <w:rPr>
          <w:rFonts w:hint="eastAsia" w:ascii="宋体" w:hAnsi="宋体" w:eastAsia="宋体" w:cs="宋体"/>
          <w:b/>
          <w:sz w:val="32"/>
          <w:szCs w:val="32"/>
          <w:highlight w:val="none"/>
          <w:lang w:eastAsia="zh-CN"/>
        </w:rPr>
        <w:t xml:space="preserve">16、中小企业声明函      </w:t>
      </w:r>
      <w:r>
        <w:rPr>
          <w:rFonts w:hint="eastAsia" w:ascii="宋体" w:hAnsi="宋体" w:eastAsia="宋体" w:cs="宋体"/>
          <w:b/>
          <w:highlight w:val="none"/>
          <w:lang w:eastAsia="zh-CN"/>
        </w:rPr>
        <w:t xml:space="preserve">           </w:t>
      </w:r>
    </w:p>
    <w:p w14:paraId="4C267939">
      <w:pPr>
        <w:autoSpaceDE w:val="0"/>
        <w:autoSpaceDN w:val="0"/>
        <w:adjustRightInd w:val="0"/>
        <w:spacing w:line="400" w:lineRule="exact"/>
        <w:rPr>
          <w:rFonts w:ascii="宋体" w:hAnsi="宋体" w:eastAsia="宋体" w:cs="宋体"/>
          <w:sz w:val="28"/>
          <w:szCs w:val="28"/>
          <w:highlight w:val="none"/>
          <w:lang w:eastAsia="zh-CN"/>
        </w:rPr>
      </w:pPr>
      <w:r>
        <w:rPr>
          <w:rFonts w:hint="eastAsia" w:ascii="宋体" w:hAnsi="宋体" w:eastAsia="宋体" w:cs="宋体"/>
          <w:b/>
          <w:highlight w:val="none"/>
          <w:lang w:eastAsia="zh-CN"/>
        </w:rPr>
        <w:t xml:space="preserve">                         </w:t>
      </w:r>
      <w:r>
        <w:rPr>
          <w:rFonts w:hint="eastAsia" w:ascii="宋体" w:hAnsi="宋体" w:eastAsia="宋体" w:cs="宋体"/>
          <w:sz w:val="28"/>
          <w:szCs w:val="28"/>
          <w:highlight w:val="none"/>
          <w:lang w:eastAsia="zh-CN"/>
        </w:rPr>
        <w:t>中小企业声明函（服务）</w:t>
      </w:r>
    </w:p>
    <w:p w14:paraId="3CF93DA8">
      <w:pPr>
        <w:spacing w:line="440" w:lineRule="exact"/>
        <w:ind w:firstLine="480" w:firstLineChars="200"/>
        <w:rPr>
          <w:rFonts w:ascii="宋体" w:hAnsi="宋体" w:eastAsia="宋体" w:cs="宋体"/>
          <w:sz w:val="24"/>
          <w:highlight w:val="none"/>
          <w:lang w:eastAsia="zh-CN"/>
        </w:rPr>
      </w:pPr>
      <w:r>
        <w:rPr>
          <w:rFonts w:hint="eastAsia" w:ascii="宋体" w:hAnsi="宋体" w:eastAsia="宋体" w:cs="宋体"/>
          <w:sz w:val="24"/>
          <w:highlight w:val="none"/>
          <w:lang w:eastAsia="zh-CN"/>
        </w:rPr>
        <w:t>本公司郑重声明，根据《政府采购促进中小企业发展管理办法》（财库﹝2020﹞46号）的规定，本公司参加</w:t>
      </w:r>
      <w:r>
        <w:rPr>
          <w:rFonts w:hint="eastAsia" w:ascii="宋体" w:hAnsi="宋体" w:eastAsia="宋体" w:cs="宋体"/>
          <w:sz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太仓市科教新城管理委员会  </w:t>
      </w:r>
      <w:r>
        <w:rPr>
          <w:rFonts w:hint="eastAsia" w:ascii="宋体" w:hAnsi="宋体" w:eastAsia="宋体" w:cs="宋体"/>
          <w:sz w:val="24"/>
          <w:highlight w:val="none"/>
          <w:lang w:eastAsia="zh-CN"/>
        </w:rPr>
        <w:t>的</w:t>
      </w:r>
      <w:r>
        <w:rPr>
          <w:rFonts w:hint="eastAsia" w:ascii="宋体" w:hAnsi="宋体" w:eastAsia="宋体" w:cs="宋体"/>
          <w:sz w:val="24"/>
          <w:highlight w:val="none"/>
          <w:u w:val="single"/>
          <w:lang w:eastAsia="zh-CN"/>
        </w:rPr>
        <w:t xml:space="preserve"> </w:t>
      </w:r>
      <w:r>
        <w:rPr>
          <w:rFonts w:hint="eastAsia" w:ascii="宋体" w:hAnsi="宋体" w:eastAsia="宋体" w:cs="宋体"/>
          <w:b/>
          <w:sz w:val="24"/>
          <w:szCs w:val="24"/>
          <w:highlight w:val="none"/>
          <w:u w:val="single"/>
          <w:lang w:eastAsia="zh-CN"/>
        </w:rPr>
        <w:t>2026年科教新城智慧技防小区项目（二期）</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编号 </w:t>
      </w:r>
      <w:r>
        <w:rPr>
          <w:rFonts w:hint="eastAsia" w:ascii="宋体" w:hAnsi="宋体" w:eastAsia="宋体" w:cs="宋体"/>
          <w:b/>
          <w:sz w:val="24"/>
          <w:szCs w:val="24"/>
          <w:highlight w:val="none"/>
          <w:u w:val="single"/>
          <w:lang w:eastAsia="zh-CN"/>
        </w:rPr>
        <w:t>JSZC-320585-JZCG-G2026-0018</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号采购活动，服务全部由符合政策要求的中小企业承接。相关企业的具体情况如下：</w:t>
      </w:r>
    </w:p>
    <w:p w14:paraId="449EF3DE">
      <w:pPr>
        <w:numPr>
          <w:ilvl w:val="0"/>
          <w:numId w:val="3"/>
        </w:numPr>
        <w:spacing w:line="440" w:lineRule="exact"/>
        <w:ind w:firstLine="480" w:firstLineChars="200"/>
        <w:rPr>
          <w:rFonts w:ascii="宋体" w:hAnsi="宋体" w:eastAsia="宋体" w:cs="宋体"/>
          <w:sz w:val="24"/>
          <w:szCs w:val="24"/>
          <w:highlight w:val="none"/>
          <w:lang w:eastAsia="zh-CN"/>
        </w:rPr>
      </w:pPr>
      <w:r>
        <w:rPr>
          <w:rFonts w:hint="eastAsia" w:ascii="宋体" w:hAnsi="宋体" w:eastAsia="宋体" w:cs="宋体"/>
          <w:i/>
          <w:sz w:val="24"/>
          <w:szCs w:val="24"/>
          <w:highlight w:val="none"/>
          <w:u w:val="single"/>
          <w:lang w:eastAsia="zh-CN"/>
        </w:rPr>
        <w:t>（标的名称）</w:t>
      </w:r>
      <w:r>
        <w:rPr>
          <w:rFonts w:hint="eastAsia" w:ascii="宋体" w:hAnsi="宋体" w:eastAsia="宋体" w:cs="宋体"/>
          <w:sz w:val="24"/>
          <w:szCs w:val="24"/>
          <w:highlight w:val="none"/>
          <w:lang w:eastAsia="zh-CN"/>
        </w:rPr>
        <w:t>，属于</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i/>
          <w:sz w:val="24"/>
          <w:szCs w:val="24"/>
          <w:highlight w:val="none"/>
          <w:lang w:eastAsia="zh-CN"/>
        </w:rPr>
        <w:t>行业</w:t>
      </w:r>
      <w:r>
        <w:rPr>
          <w:rFonts w:hint="eastAsia" w:ascii="宋体" w:hAnsi="宋体" w:eastAsia="宋体" w:cs="宋体"/>
          <w:sz w:val="24"/>
          <w:szCs w:val="24"/>
          <w:highlight w:val="none"/>
          <w:lang w:eastAsia="zh-CN"/>
        </w:rPr>
        <w:t>；承接企业为</w:t>
      </w:r>
      <w:r>
        <w:rPr>
          <w:rFonts w:hint="eastAsia" w:ascii="宋体" w:hAnsi="宋体" w:eastAsia="宋体" w:cs="宋体"/>
          <w:i/>
          <w:sz w:val="24"/>
          <w:szCs w:val="24"/>
          <w:highlight w:val="none"/>
          <w:u w:val="single"/>
          <w:lang w:eastAsia="zh-CN"/>
        </w:rPr>
        <w:t>（企业名称）</w:t>
      </w:r>
      <w:r>
        <w:rPr>
          <w:rFonts w:hint="eastAsia" w:ascii="宋体" w:hAnsi="宋体" w:eastAsia="宋体" w:cs="宋体"/>
          <w:sz w:val="24"/>
          <w:szCs w:val="24"/>
          <w:highlight w:val="none"/>
          <w:lang w:eastAsia="zh-CN"/>
        </w:rPr>
        <w:t>，从业人员</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人，营业收入为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万元，资产总额为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万元</w:t>
      </w:r>
      <w:r>
        <w:rPr>
          <w:highlight w:val="none"/>
        </w:rPr>
        <w:fldChar w:fldCharType="begin"/>
      </w:r>
      <w:r>
        <w:rPr>
          <w:highlight w:val="none"/>
        </w:rPr>
        <w:instrText xml:space="preserve"> HYPERLINK \l "_bookmark1" </w:instrText>
      </w:r>
      <w:r>
        <w:rPr>
          <w:highlight w:val="none"/>
        </w:rPr>
        <w:fldChar w:fldCharType="separate"/>
      </w:r>
      <w:r>
        <w:rPr>
          <w:rFonts w:hint="eastAsia" w:ascii="宋体" w:hAnsi="宋体" w:eastAsia="宋体" w:cs="宋体"/>
          <w:position w:val="16"/>
          <w:sz w:val="24"/>
          <w:szCs w:val="24"/>
          <w:highlight w:val="none"/>
          <w:lang w:eastAsia="zh-CN"/>
        </w:rPr>
        <w:t>1</w:t>
      </w:r>
      <w:r>
        <w:rPr>
          <w:rFonts w:hint="eastAsia" w:ascii="宋体" w:hAnsi="宋体" w:eastAsia="宋体" w:cs="宋体"/>
          <w:position w:val="16"/>
          <w:sz w:val="24"/>
          <w:szCs w:val="24"/>
          <w:highlight w:val="none"/>
          <w:lang w:eastAsia="zh-CN"/>
        </w:rPr>
        <w:fldChar w:fldCharType="end"/>
      </w:r>
      <w:r>
        <w:rPr>
          <w:rFonts w:hint="eastAsia" w:ascii="宋体" w:hAnsi="宋体" w:eastAsia="宋体" w:cs="宋体"/>
          <w:sz w:val="24"/>
          <w:szCs w:val="24"/>
          <w:highlight w:val="none"/>
          <w:lang w:eastAsia="zh-CN"/>
        </w:rPr>
        <w:t>，属于</w:t>
      </w:r>
      <w:r>
        <w:rPr>
          <w:rFonts w:hint="eastAsia" w:ascii="宋体" w:hAnsi="宋体" w:eastAsia="宋体" w:cs="宋体"/>
          <w:i/>
          <w:sz w:val="24"/>
          <w:szCs w:val="24"/>
          <w:highlight w:val="none"/>
          <w:u w:val="single"/>
          <w:lang w:eastAsia="zh-CN"/>
        </w:rPr>
        <w:t xml:space="preserve">          </w:t>
      </w:r>
      <w:r>
        <w:rPr>
          <w:rFonts w:hint="eastAsia" w:ascii="宋体" w:hAnsi="宋体" w:eastAsia="宋体" w:cs="宋体"/>
          <w:i/>
          <w:sz w:val="24"/>
          <w:szCs w:val="24"/>
          <w:highlight w:val="none"/>
          <w:lang w:eastAsia="zh-CN"/>
        </w:rPr>
        <w:t>（中型企业、小型企业、微型企业，</w:t>
      </w:r>
      <w:r>
        <w:rPr>
          <w:rFonts w:hint="eastAsia" w:ascii="宋体" w:hAnsi="宋体" w:eastAsia="宋体" w:cs="宋体"/>
          <w:b/>
          <w:bCs/>
          <w:i/>
          <w:sz w:val="24"/>
          <w:szCs w:val="24"/>
          <w:highlight w:val="none"/>
          <w:lang w:eastAsia="zh-CN"/>
        </w:rPr>
        <w:t>三者选一填写</w:t>
      </w:r>
      <w:r>
        <w:rPr>
          <w:rFonts w:hint="eastAsia" w:ascii="宋体" w:hAnsi="宋体" w:eastAsia="宋体" w:cs="宋体"/>
          <w:i/>
          <w:sz w:val="24"/>
          <w:szCs w:val="24"/>
          <w:highlight w:val="none"/>
          <w:lang w:eastAsia="zh-CN"/>
        </w:rPr>
        <w:t>）</w:t>
      </w:r>
      <w:r>
        <w:rPr>
          <w:rFonts w:hint="eastAsia" w:ascii="宋体" w:hAnsi="宋体" w:eastAsia="宋体" w:cs="宋体"/>
          <w:sz w:val="24"/>
          <w:szCs w:val="24"/>
          <w:highlight w:val="none"/>
          <w:lang w:eastAsia="zh-CN"/>
        </w:rPr>
        <w:t>；</w:t>
      </w:r>
    </w:p>
    <w:p w14:paraId="186306DF">
      <w:pPr>
        <w:spacing w:line="440" w:lineRule="exact"/>
        <w:ind w:firstLine="480" w:firstLineChars="200"/>
        <w:rPr>
          <w:rFonts w:ascii="宋体" w:hAnsi="宋体" w:eastAsia="宋体" w:cs="宋体"/>
          <w:sz w:val="24"/>
          <w:highlight w:val="none"/>
          <w:lang w:eastAsia="zh-CN"/>
        </w:rPr>
      </w:pPr>
      <w:r>
        <w:rPr>
          <w:rFonts w:hint="eastAsia" w:ascii="宋体" w:hAnsi="宋体" w:eastAsia="宋体" w:cs="宋体"/>
          <w:sz w:val="24"/>
          <w:highlight w:val="none"/>
          <w:lang w:eastAsia="zh-CN"/>
        </w:rPr>
        <w:t>……</w:t>
      </w:r>
    </w:p>
    <w:p w14:paraId="548F834A">
      <w:pPr>
        <w:spacing w:line="440" w:lineRule="exact"/>
        <w:ind w:firstLine="480" w:firstLineChars="200"/>
        <w:rPr>
          <w:rFonts w:ascii="宋体" w:hAnsi="宋体" w:eastAsia="宋体" w:cs="宋体"/>
          <w:sz w:val="24"/>
          <w:highlight w:val="none"/>
          <w:lang w:eastAsia="zh-CN"/>
        </w:rPr>
      </w:pPr>
      <w:r>
        <w:rPr>
          <w:rFonts w:hint="eastAsia" w:ascii="宋体" w:hAnsi="宋体" w:eastAsia="宋体" w:cs="宋体"/>
          <w:sz w:val="24"/>
          <w:highlight w:val="none"/>
          <w:lang w:eastAsia="zh-CN"/>
        </w:rPr>
        <w:t>以上企业，不属于大企业的分支机构，不存在控股股东为大企业的情形，也不存在与大企业的负责人为同一人的情形。</w:t>
      </w:r>
    </w:p>
    <w:p w14:paraId="79D48B86">
      <w:pPr>
        <w:spacing w:line="440" w:lineRule="exact"/>
        <w:ind w:firstLine="480" w:firstLineChars="200"/>
        <w:rPr>
          <w:rFonts w:ascii="宋体" w:hAnsi="宋体" w:eastAsia="宋体" w:cs="宋体"/>
          <w:sz w:val="24"/>
          <w:highlight w:val="none"/>
          <w:lang w:eastAsia="zh-CN"/>
        </w:rPr>
      </w:pPr>
      <w:r>
        <w:rPr>
          <w:rFonts w:hint="eastAsia" w:ascii="宋体" w:hAnsi="宋体" w:eastAsia="宋体" w:cs="宋体"/>
          <w:sz w:val="24"/>
          <w:highlight w:val="none"/>
          <w:lang w:eastAsia="zh-CN"/>
        </w:rPr>
        <w:t>本企业对上述声明内容的真实性负责。如有虚假，将依法承担相应责任。</w:t>
      </w:r>
    </w:p>
    <w:p w14:paraId="42055725">
      <w:pPr>
        <w:spacing w:line="440" w:lineRule="exact"/>
        <w:ind w:right="960" w:firstLine="4800" w:firstLineChars="2000"/>
        <w:rPr>
          <w:rFonts w:ascii="宋体" w:hAnsi="宋体" w:eastAsia="宋体" w:cs="宋体"/>
          <w:sz w:val="24"/>
          <w:highlight w:val="none"/>
          <w:lang w:eastAsia="zh-CN"/>
        </w:rPr>
      </w:pPr>
      <w:r>
        <w:rPr>
          <w:rFonts w:hint="eastAsia" w:ascii="宋体" w:hAnsi="宋体" w:eastAsia="宋体" w:cs="宋体"/>
          <w:sz w:val="24"/>
          <w:highlight w:val="none"/>
          <w:lang w:eastAsia="zh-CN"/>
        </w:rPr>
        <w:t>企业名称（盖章）：</w:t>
      </w:r>
    </w:p>
    <w:p w14:paraId="06EA037E">
      <w:pPr>
        <w:spacing w:line="440" w:lineRule="exact"/>
        <w:ind w:right="1120" w:firstLine="4800" w:firstLineChars="2000"/>
        <w:rPr>
          <w:rFonts w:ascii="宋体" w:hAnsi="宋体" w:eastAsia="宋体" w:cs="宋体"/>
          <w:sz w:val="24"/>
          <w:highlight w:val="none"/>
          <w:lang w:eastAsia="zh-CN"/>
        </w:rPr>
      </w:pPr>
      <w:r>
        <w:rPr>
          <w:rFonts w:hint="eastAsia" w:ascii="宋体" w:hAnsi="宋体" w:eastAsia="宋体" w:cs="宋体"/>
          <w:sz w:val="24"/>
          <w:highlight w:val="none"/>
          <w:lang w:eastAsia="zh-CN"/>
        </w:rPr>
        <w:t>日期：</w:t>
      </w:r>
    </w:p>
    <w:p w14:paraId="15CDC3CE">
      <w:pPr>
        <w:spacing w:after="0" w:line="44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从</w:t>
      </w:r>
      <w:r>
        <w:rPr>
          <w:rFonts w:hint="eastAsia" w:ascii="宋体" w:hAnsi="宋体" w:eastAsia="宋体" w:cs="宋体"/>
          <w:color w:val="auto"/>
          <w:sz w:val="24"/>
          <w:szCs w:val="24"/>
          <w:highlight w:val="none"/>
          <w:lang w:eastAsia="zh-CN"/>
        </w:rPr>
        <w:t>业人员、营业收入、资产总额填报上一年度数据，无上一年度数据的新成立企业可不填报。</w:t>
      </w:r>
    </w:p>
    <w:p w14:paraId="56DFD2AC">
      <w:pPr>
        <w:spacing w:after="0" w:line="44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备注：</w:t>
      </w:r>
    </w:p>
    <w:p w14:paraId="034AA6C9">
      <w:pPr>
        <w:spacing w:after="0" w:line="44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1、中小企业参加政府采购活动，应当出具《中小企业声明函》，否则不得享受相关中小企业扶持政策。</w:t>
      </w:r>
    </w:p>
    <w:p w14:paraId="76F06882">
      <w:pPr>
        <w:spacing w:after="0" w:line="44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2、在货物采购项目中，供应商提供的货物既有小、微企业制造货物，也有中、大型企业制造货物的，不享受小、微企业的价格扶持政策。</w:t>
      </w:r>
    </w:p>
    <w:p w14:paraId="578FD424">
      <w:pPr>
        <w:spacing w:after="0" w:line="44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3、供应商提供声明函内容不实的，属于提供虚假材料谋取中标、 成交，依照《中华人民共和国政府采购法》 等国家有关规定追究相应责任。</w:t>
      </w:r>
    </w:p>
    <w:p w14:paraId="4459057D">
      <w:pPr>
        <w:adjustRightInd w:val="0"/>
        <w:snapToGrid w:val="0"/>
        <w:spacing w:line="400" w:lineRule="exact"/>
        <w:ind w:firstLine="480" w:firstLineChars="200"/>
        <w:rPr>
          <w:rFonts w:ascii="仿宋" w:hAnsi="仿宋" w:eastAsia="仿宋" w:cs="仿宋"/>
          <w:color w:val="auto"/>
          <w:sz w:val="24"/>
          <w:szCs w:val="24"/>
          <w:highlight w:val="none"/>
          <w:lang w:eastAsia="zh-CN"/>
        </w:rPr>
      </w:pPr>
    </w:p>
    <w:p w14:paraId="02A78433">
      <w:pPr>
        <w:spacing w:after="0" w:line="440" w:lineRule="exact"/>
        <w:ind w:firstLine="480" w:firstLineChars="200"/>
        <w:rPr>
          <w:rFonts w:ascii="宋体" w:hAnsi="宋体" w:eastAsia="宋体" w:cs="宋体"/>
          <w:sz w:val="24"/>
          <w:szCs w:val="24"/>
          <w:highlight w:val="none"/>
          <w:lang w:eastAsia="zh-CN"/>
        </w:rPr>
      </w:pPr>
    </w:p>
    <w:p w14:paraId="0E09FD1C">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t> </w:t>
      </w:r>
    </w:p>
    <w:p w14:paraId="2CBAEB49">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highlight w:val="none"/>
          <w:lang w:eastAsia="zh-CN"/>
        </w:rPr>
      </w:pPr>
    </w:p>
    <w:p w14:paraId="12639222">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color w:val="000000"/>
          <w:sz w:val="32"/>
          <w:highlight w:val="none"/>
          <w:lang w:eastAsia="zh-CN"/>
        </w:rPr>
      </w:pPr>
    </w:p>
    <w:p w14:paraId="33B7A38F">
      <w:pPr>
        <w:pBdr>
          <w:top w:val="none" w:color="000000" w:sz="0" w:space="0"/>
          <w:left w:val="none" w:color="000000" w:sz="0" w:space="0"/>
          <w:bottom w:val="none" w:color="000000" w:sz="0" w:space="0"/>
          <w:right w:val="none" w:color="000000" w:sz="0" w:space="0"/>
        </w:pBdr>
        <w:spacing w:after="0" w:line="439" w:lineRule="atLeast"/>
        <w:rPr>
          <w:rFonts w:ascii="宋体" w:hAnsi="宋体" w:eastAsia="宋体" w:cs="宋体"/>
          <w:b/>
          <w:bCs/>
          <w:color w:val="auto"/>
          <w:sz w:val="32"/>
          <w:szCs w:val="32"/>
          <w:highlight w:val="none"/>
          <w:lang w:eastAsia="zh-CN"/>
        </w:rPr>
      </w:pPr>
      <w:r>
        <w:rPr>
          <w:rFonts w:hint="eastAsia" w:ascii="宋体" w:hAnsi="宋体" w:eastAsia="宋体" w:cs="宋体"/>
          <w:b/>
          <w:color w:val="000000"/>
          <w:sz w:val="32"/>
          <w:highlight w:val="none"/>
          <w:lang w:eastAsia="zh-CN"/>
        </w:rPr>
        <w:t>17、</w:t>
      </w:r>
      <w:r>
        <w:rPr>
          <w:rFonts w:hint="eastAsia" w:ascii="宋体" w:hAnsi="宋体" w:eastAsia="宋体" w:cs="宋体"/>
          <w:b/>
          <w:color w:val="auto"/>
          <w:sz w:val="32"/>
          <w:highlight w:val="none"/>
          <w:lang w:eastAsia="zh-CN"/>
        </w:rPr>
        <w:t>残疾人福利性单位声明函（如有）</w:t>
      </w:r>
    </w:p>
    <w:p w14:paraId="6967B854">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 </w:t>
      </w:r>
    </w:p>
    <w:p w14:paraId="3DAC3FC5">
      <w:pPr>
        <w:pBdr>
          <w:top w:val="none" w:color="000000" w:sz="0" w:space="0"/>
          <w:left w:val="none" w:color="000000" w:sz="0" w:space="0"/>
          <w:bottom w:val="none" w:color="000000" w:sz="0" w:space="0"/>
          <w:right w:val="none" w:color="000000" w:sz="0" w:space="0"/>
        </w:pBdr>
        <w:spacing w:after="0" w:line="479" w:lineRule="atLeast"/>
        <w:ind w:firstLine="2560"/>
        <w:rPr>
          <w:rFonts w:ascii="宋体" w:hAnsi="宋体" w:eastAsia="宋体" w:cs="宋体"/>
          <w:color w:val="auto"/>
          <w:highlight w:val="none"/>
          <w:lang w:eastAsia="zh-CN"/>
        </w:rPr>
      </w:pPr>
      <w:r>
        <w:rPr>
          <w:rFonts w:hint="eastAsia" w:ascii="宋体" w:hAnsi="宋体" w:eastAsia="宋体" w:cs="宋体"/>
          <w:color w:val="auto"/>
          <w:sz w:val="32"/>
          <w:highlight w:val="none"/>
          <w:lang w:eastAsia="zh-CN"/>
        </w:rPr>
        <w:t>残疾人福利性单位声明函</w:t>
      </w:r>
    </w:p>
    <w:p w14:paraId="5F0EC660">
      <w:pPr>
        <w:pBdr>
          <w:top w:val="none" w:color="000000" w:sz="0" w:space="0"/>
          <w:left w:val="none" w:color="000000" w:sz="0" w:space="0"/>
          <w:bottom w:val="none" w:color="000000" w:sz="0" w:space="0"/>
          <w:right w:val="none" w:color="000000" w:sz="0" w:space="0"/>
        </w:pBdr>
        <w:spacing w:after="0" w:line="479" w:lineRule="atLeast"/>
        <w:ind w:firstLine="1928"/>
        <w:rPr>
          <w:rFonts w:ascii="宋体" w:hAnsi="宋体" w:eastAsia="宋体" w:cs="宋体"/>
          <w:color w:val="auto"/>
          <w:highlight w:val="none"/>
          <w:lang w:eastAsia="zh-CN"/>
        </w:rPr>
      </w:pPr>
      <w:r>
        <w:rPr>
          <w:rFonts w:hint="eastAsia" w:ascii="宋体" w:hAnsi="宋体" w:eastAsia="宋体" w:cs="宋体"/>
          <w:b/>
          <w:color w:val="auto"/>
          <w:sz w:val="32"/>
          <w:highlight w:val="none"/>
          <w:lang w:eastAsia="zh-CN"/>
        </w:rPr>
        <w:t> </w:t>
      </w:r>
    </w:p>
    <w:p w14:paraId="11A23F04">
      <w:pPr>
        <w:pBdr>
          <w:top w:val="none" w:color="000000" w:sz="0" w:space="0"/>
          <w:left w:val="none" w:color="000000" w:sz="0" w:space="0"/>
          <w:bottom w:val="none" w:color="000000" w:sz="0" w:space="0"/>
          <w:right w:val="none" w:color="000000" w:sz="0" w:space="0"/>
        </w:pBdr>
        <w:spacing w:after="0" w:line="479" w:lineRule="atLeast"/>
        <w:ind w:firstLine="48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B526D40">
      <w:pPr>
        <w:pBdr>
          <w:top w:val="none" w:color="000000" w:sz="0" w:space="0"/>
          <w:left w:val="none" w:color="000000" w:sz="0" w:space="0"/>
          <w:bottom w:val="none" w:color="000000" w:sz="0" w:space="0"/>
          <w:right w:val="none" w:color="000000" w:sz="0" w:space="0"/>
        </w:pBdr>
        <w:spacing w:after="0" w:line="479" w:lineRule="atLeast"/>
        <w:ind w:firstLine="480"/>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本单位对上述声明的真实性负责。如有虚假，将依法承担相应责任。</w:t>
      </w:r>
    </w:p>
    <w:p w14:paraId="0959A429">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24E1A614">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w:t>
      </w:r>
    </w:p>
    <w:p w14:paraId="1F99C4B0">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color w:val="auto"/>
          <w:highlight w:val="none"/>
          <w:lang w:eastAsia="zh-CN"/>
        </w:rPr>
      </w:pPr>
      <w:r>
        <w:rPr>
          <w:rFonts w:hint="eastAsia" w:ascii="宋体" w:hAnsi="宋体" w:eastAsia="宋体" w:cs="宋体"/>
          <w:color w:val="auto"/>
          <w:sz w:val="24"/>
          <w:highlight w:val="none"/>
          <w:lang w:eastAsia="zh-CN"/>
        </w:rPr>
        <w:t>             单位名称（盖章）：</w:t>
      </w:r>
    </w:p>
    <w:p w14:paraId="41989C9A">
      <w:pPr>
        <w:pBdr>
          <w:top w:val="none" w:color="000000" w:sz="0" w:space="0"/>
          <w:left w:val="none" w:color="000000" w:sz="0" w:space="0"/>
          <w:bottom w:val="none" w:color="000000" w:sz="0" w:space="0"/>
          <w:right w:val="none" w:color="000000" w:sz="0" w:space="0"/>
        </w:pBdr>
        <w:spacing w:after="0" w:line="479" w:lineRule="atLeast"/>
        <w:rPr>
          <w:rFonts w:ascii="宋体" w:hAnsi="宋体" w:eastAsia="宋体" w:cs="宋体"/>
          <w:highlight w:val="none"/>
          <w:lang w:eastAsia="zh-CN"/>
        </w:rPr>
      </w:pPr>
    </w:p>
    <w:p w14:paraId="6918B747">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 </w:t>
      </w:r>
    </w:p>
    <w:p w14:paraId="590B7D8A">
      <w:pPr>
        <w:pBdr>
          <w:top w:val="none" w:color="000000" w:sz="0" w:space="0"/>
          <w:left w:val="none" w:color="000000" w:sz="0" w:space="0"/>
          <w:bottom w:val="none" w:color="000000" w:sz="0" w:space="0"/>
          <w:right w:val="none" w:color="000000" w:sz="0" w:space="0"/>
        </w:pBdr>
        <w:spacing w:after="0"/>
        <w:rPr>
          <w:rFonts w:ascii="宋体" w:hAnsi="宋体" w:eastAsia="宋体" w:cs="宋体"/>
          <w:highlight w:val="none"/>
          <w:lang w:eastAsia="zh-CN"/>
        </w:rPr>
      </w:pPr>
    </w:p>
    <w:p w14:paraId="6791D8AE">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3AAD6C1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680A06BD">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6E71F7D6">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35BD3834">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07A9A94B">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4E67FCAF">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6277A98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24D1E811">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2C12C9B0">
      <w:pPr>
        <w:pBdr>
          <w:top w:val="none" w:color="000000" w:sz="0" w:space="0"/>
          <w:left w:val="none" w:color="000000" w:sz="0" w:space="0"/>
          <w:bottom w:val="none" w:color="000000" w:sz="0" w:space="0"/>
          <w:right w:val="none" w:color="000000" w:sz="0" w:space="0"/>
        </w:pBdr>
        <w:spacing w:after="0"/>
        <w:jc w:val="both"/>
        <w:rPr>
          <w:rFonts w:ascii="宋体" w:hAnsi="宋体" w:eastAsia="宋体" w:cs="宋体"/>
          <w:b/>
          <w:color w:val="000000"/>
          <w:sz w:val="32"/>
          <w:highlight w:val="none"/>
          <w:lang w:eastAsia="zh-CN"/>
        </w:rPr>
      </w:pPr>
    </w:p>
    <w:p w14:paraId="193D3BB9">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b/>
          <w:color w:val="000000"/>
          <w:sz w:val="32"/>
          <w:highlight w:val="none"/>
          <w:lang w:eastAsia="zh-CN"/>
        </w:rPr>
      </w:pPr>
    </w:p>
    <w:p w14:paraId="41EFAA8C">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b/>
          <w:color w:val="000000"/>
          <w:sz w:val="32"/>
          <w:highlight w:val="none"/>
          <w:lang w:eastAsia="zh-CN"/>
        </w:rPr>
      </w:pPr>
    </w:p>
    <w:p w14:paraId="704C4968">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b/>
          <w:color w:val="000000"/>
          <w:sz w:val="32"/>
          <w:highlight w:val="none"/>
          <w:lang w:eastAsia="zh-CN"/>
        </w:rPr>
      </w:pPr>
    </w:p>
    <w:p w14:paraId="3A0E0D9B">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t>18、监狱企业证明文件（如有）</w:t>
      </w:r>
    </w:p>
    <w:p w14:paraId="6141C60B">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000000"/>
          <w:sz w:val="32"/>
          <w:highlight w:val="none"/>
          <w:lang w:eastAsia="zh-CN"/>
        </w:rPr>
      </w:pPr>
    </w:p>
    <w:p w14:paraId="31E20AB3">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b/>
          <w:color w:val="000000"/>
          <w:sz w:val="32"/>
          <w:highlight w:val="none"/>
          <w:lang w:eastAsia="zh-CN"/>
        </w:rPr>
      </w:pPr>
    </w:p>
    <w:p w14:paraId="46156E56">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color w:val="auto"/>
          <w:sz w:val="24"/>
          <w:szCs w:val="24"/>
          <w:highlight w:val="none"/>
          <w:lang w:eastAsia="zh-CN"/>
        </w:rPr>
      </w:pPr>
      <w:r>
        <w:rPr>
          <w:rFonts w:hint="eastAsia" w:ascii="宋体" w:hAnsi="宋体" w:eastAsia="宋体" w:cs="宋体"/>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32"/>
          <w:highlight w:val="none"/>
          <w:lang w:eastAsia="zh-CN"/>
        </w:rPr>
        <w:t>监狱企业证明文件</w:t>
      </w:r>
      <w:r>
        <w:rPr>
          <w:rFonts w:hint="eastAsia" w:ascii="宋体" w:hAnsi="宋体" w:eastAsia="宋体" w:cs="宋体"/>
          <w:color w:val="auto"/>
          <w:sz w:val="32"/>
          <w:highlight w:val="none"/>
          <w:lang w:eastAsia="zh-CN"/>
        </w:rPr>
        <w:br w:type="textWrapping"/>
      </w:r>
      <w:r>
        <w:rPr>
          <w:rFonts w:hint="eastAsia" w:ascii="宋体" w:hAnsi="宋体" w:eastAsia="宋体" w:cs="宋体"/>
          <w:color w:val="auto"/>
          <w:sz w:val="32"/>
          <w:highlight w:val="none"/>
          <w:lang w:eastAsia="zh-CN"/>
        </w:rPr>
        <w:br w:type="textWrapping"/>
      </w:r>
      <w:r>
        <w:rPr>
          <w:rFonts w:hint="eastAsia" w:ascii="宋体" w:hAnsi="宋体" w:eastAsia="宋体" w:cs="宋体"/>
          <w:color w:val="auto"/>
          <w:sz w:val="32"/>
          <w:highlight w:val="none"/>
          <w:lang w:eastAsia="zh-CN"/>
        </w:rPr>
        <w:t xml:space="preserve"> </w:t>
      </w:r>
      <w:r>
        <w:rPr>
          <w:rFonts w:hint="eastAsia" w:ascii="宋体" w:hAnsi="宋体" w:eastAsia="宋体" w:cs="宋体"/>
          <w:color w:val="auto"/>
          <w:sz w:val="24"/>
          <w:highlight w:val="none"/>
          <w:lang w:eastAsia="zh-CN"/>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39BD83D6">
      <w:pPr>
        <w:pBdr>
          <w:top w:val="none" w:color="000000" w:sz="0" w:space="0"/>
          <w:left w:val="none" w:color="000000" w:sz="0" w:space="0"/>
          <w:bottom w:val="none" w:color="000000" w:sz="0" w:space="0"/>
          <w:right w:val="none" w:color="000000" w:sz="0" w:space="0"/>
        </w:pBdr>
        <w:spacing w:after="0" w:line="360" w:lineRule="auto"/>
        <w:jc w:val="both"/>
        <w:rPr>
          <w:rFonts w:ascii="宋体" w:hAnsi="宋体" w:eastAsia="宋体" w:cs="宋体"/>
          <w:color w:val="000000"/>
          <w:sz w:val="24"/>
          <w:highlight w:val="none"/>
          <w:lang w:eastAsia="zh-CN"/>
        </w:rPr>
      </w:pPr>
    </w:p>
    <w:p w14:paraId="48C08B0E">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640FA923">
      <w:pPr>
        <w:pBdr>
          <w:top w:val="none" w:color="000000" w:sz="0" w:space="0"/>
          <w:left w:val="none" w:color="000000" w:sz="0" w:space="0"/>
          <w:bottom w:val="none" w:color="000000" w:sz="0" w:space="0"/>
          <w:right w:val="none" w:color="000000" w:sz="0" w:space="0"/>
        </w:pBdr>
        <w:spacing w:after="0" w:line="360" w:lineRule="auto"/>
        <w:rPr>
          <w:rFonts w:ascii="宋体" w:hAnsi="宋体" w:eastAsia="宋体" w:cs="宋体"/>
          <w:sz w:val="24"/>
          <w:szCs w:val="24"/>
          <w:highlight w:val="none"/>
          <w:lang w:eastAsia="zh-CN"/>
        </w:rPr>
      </w:pPr>
    </w:p>
    <w:p w14:paraId="4152D6A9">
      <w:pPr>
        <w:pBdr>
          <w:top w:val="none" w:color="000000" w:sz="0" w:space="0"/>
          <w:left w:val="none" w:color="000000" w:sz="0" w:space="0"/>
          <w:bottom w:val="none" w:color="000000" w:sz="0" w:space="0"/>
          <w:right w:val="none" w:color="000000" w:sz="0" w:space="0"/>
        </w:pBdr>
        <w:spacing w:after="0"/>
        <w:rPr>
          <w:rFonts w:ascii="宋体" w:hAnsi="宋体" w:eastAsia="宋体" w:cs="宋体"/>
          <w:highlight w:val="none"/>
          <w:lang w:eastAsia="zh-CN"/>
        </w:rPr>
      </w:pPr>
    </w:p>
    <w:p w14:paraId="3B5533D8">
      <w:pPr>
        <w:pBdr>
          <w:top w:val="none" w:color="000000" w:sz="0" w:space="0"/>
          <w:left w:val="none" w:color="000000" w:sz="0" w:space="0"/>
          <w:bottom w:val="none" w:color="000000" w:sz="0" w:space="0"/>
          <w:right w:val="none" w:color="000000" w:sz="0" w:space="0"/>
        </w:pBdr>
        <w:spacing w:after="0"/>
        <w:rPr>
          <w:rFonts w:ascii="宋体" w:hAnsi="宋体" w:eastAsia="宋体" w:cs="宋体"/>
          <w:highlight w:val="none"/>
          <w:lang w:eastAsia="zh-CN"/>
        </w:rPr>
      </w:pPr>
    </w:p>
    <w:p w14:paraId="44E52B0A">
      <w:pPr>
        <w:pBdr>
          <w:top w:val="none" w:color="000000" w:sz="0" w:space="0"/>
          <w:left w:val="none" w:color="000000" w:sz="0" w:space="0"/>
          <w:bottom w:val="none" w:color="000000" w:sz="0" w:space="0"/>
          <w:right w:val="none" w:color="000000" w:sz="0" w:space="0"/>
        </w:pBdr>
        <w:spacing w:after="0"/>
        <w:rPr>
          <w:rFonts w:ascii="宋体" w:hAnsi="宋体" w:eastAsia="宋体" w:cs="宋体"/>
          <w:highlight w:val="none"/>
          <w:lang w:eastAsia="zh-CN"/>
        </w:rPr>
      </w:pPr>
    </w:p>
    <w:p w14:paraId="5D564FD1">
      <w:pPr>
        <w:pBdr>
          <w:top w:val="none" w:color="000000" w:sz="0" w:space="0"/>
          <w:left w:val="none" w:color="000000" w:sz="0" w:space="0"/>
          <w:bottom w:val="none" w:color="000000" w:sz="0" w:space="0"/>
          <w:right w:val="none" w:color="000000" w:sz="0" w:space="0"/>
        </w:pBdr>
        <w:spacing w:after="0"/>
        <w:rPr>
          <w:rFonts w:ascii="宋体" w:hAnsi="宋体" w:eastAsia="宋体" w:cs="宋体"/>
          <w:highlight w:val="none"/>
          <w:lang w:eastAsia="zh-CN"/>
        </w:rPr>
      </w:pPr>
    </w:p>
    <w:p w14:paraId="1F43DA70">
      <w:pPr>
        <w:pBdr>
          <w:top w:val="none" w:color="000000" w:sz="0" w:space="0"/>
          <w:left w:val="none" w:color="000000" w:sz="0" w:space="0"/>
          <w:bottom w:val="none" w:color="000000" w:sz="0" w:space="0"/>
          <w:right w:val="none" w:color="000000" w:sz="0" w:space="0"/>
        </w:pBdr>
        <w:spacing w:after="0"/>
        <w:rPr>
          <w:rFonts w:ascii="宋体" w:hAnsi="宋体" w:eastAsia="宋体" w:cs="宋体"/>
          <w:highlight w:val="none"/>
          <w:lang w:eastAsia="zh-CN"/>
        </w:rPr>
      </w:pPr>
    </w:p>
    <w:p w14:paraId="13FF49FE">
      <w:pPr>
        <w:pBdr>
          <w:top w:val="none" w:color="000000" w:sz="0" w:space="0"/>
          <w:left w:val="none" w:color="000000" w:sz="0" w:space="0"/>
          <w:bottom w:val="none" w:color="000000" w:sz="0" w:space="0"/>
          <w:right w:val="none" w:color="000000" w:sz="0" w:space="0"/>
        </w:pBdr>
        <w:spacing w:after="0"/>
        <w:rPr>
          <w:rFonts w:ascii="宋体" w:hAnsi="宋体" w:eastAsia="宋体" w:cs="宋体"/>
          <w:highlight w:val="none"/>
          <w:lang w:eastAsia="zh-CN"/>
        </w:rPr>
      </w:pPr>
    </w:p>
    <w:p w14:paraId="15325E6B">
      <w:pPr>
        <w:pBdr>
          <w:top w:val="none" w:color="000000" w:sz="0" w:space="0"/>
          <w:left w:val="none" w:color="000000" w:sz="0" w:space="0"/>
          <w:bottom w:val="none" w:color="000000" w:sz="0" w:space="0"/>
          <w:right w:val="none" w:color="000000" w:sz="0" w:space="0"/>
        </w:pBdr>
        <w:spacing w:after="0"/>
        <w:rPr>
          <w:rFonts w:ascii="宋体" w:hAnsi="宋体" w:eastAsia="宋体" w:cs="宋体"/>
          <w:highlight w:val="none"/>
          <w:lang w:eastAsia="zh-CN"/>
        </w:rPr>
      </w:pPr>
    </w:p>
    <w:p w14:paraId="2C8102F3">
      <w:pPr>
        <w:pBdr>
          <w:top w:val="none" w:color="000000" w:sz="0" w:space="0"/>
          <w:left w:val="none" w:color="000000" w:sz="0" w:space="0"/>
          <w:bottom w:val="none" w:color="000000" w:sz="0" w:space="0"/>
          <w:right w:val="none" w:color="000000" w:sz="0" w:space="0"/>
        </w:pBdr>
        <w:spacing w:after="0"/>
        <w:rPr>
          <w:rFonts w:ascii="宋体" w:hAnsi="宋体" w:eastAsia="宋体" w:cs="宋体"/>
          <w:highlight w:val="none"/>
          <w:lang w:eastAsia="zh-CN"/>
        </w:rPr>
      </w:pPr>
    </w:p>
    <w:p w14:paraId="5936C219">
      <w:pPr>
        <w:pBdr>
          <w:top w:val="none" w:color="000000" w:sz="0" w:space="0"/>
          <w:left w:val="none" w:color="000000" w:sz="0" w:space="0"/>
          <w:bottom w:val="none" w:color="000000" w:sz="0" w:space="0"/>
          <w:right w:val="none" w:color="000000" w:sz="0" w:space="0"/>
        </w:pBdr>
        <w:spacing w:after="0"/>
        <w:rPr>
          <w:rFonts w:ascii="宋体" w:hAnsi="宋体" w:eastAsia="宋体" w:cs="宋体"/>
          <w:highlight w:val="none"/>
          <w:lang w:eastAsia="zh-CN"/>
        </w:rPr>
      </w:pPr>
    </w:p>
    <w:p w14:paraId="542F9F48">
      <w:pPr>
        <w:pBdr>
          <w:top w:val="none" w:color="000000" w:sz="0" w:space="0"/>
          <w:left w:val="none" w:color="000000" w:sz="0" w:space="0"/>
          <w:bottom w:val="none" w:color="000000" w:sz="0" w:space="0"/>
          <w:right w:val="none" w:color="000000" w:sz="0" w:space="0"/>
        </w:pBdr>
        <w:spacing w:after="0"/>
        <w:rPr>
          <w:rFonts w:ascii="宋体" w:hAnsi="宋体" w:eastAsia="宋体" w:cs="宋体"/>
          <w:highlight w:val="none"/>
          <w:lang w:eastAsia="zh-CN"/>
        </w:rPr>
      </w:pPr>
    </w:p>
    <w:p w14:paraId="34B2A1D1">
      <w:pPr>
        <w:pBdr>
          <w:top w:val="none" w:color="000000" w:sz="0" w:space="0"/>
          <w:left w:val="none" w:color="000000" w:sz="0" w:space="0"/>
          <w:bottom w:val="none" w:color="000000" w:sz="0" w:space="0"/>
          <w:right w:val="none" w:color="000000" w:sz="0" w:space="0"/>
        </w:pBdr>
        <w:spacing w:after="0"/>
        <w:rPr>
          <w:rFonts w:ascii="宋体" w:hAnsi="宋体" w:eastAsia="宋体" w:cs="宋体"/>
          <w:highlight w:val="none"/>
          <w:lang w:eastAsia="zh-CN"/>
        </w:rPr>
      </w:pPr>
    </w:p>
    <w:p w14:paraId="46E42354">
      <w:pPr>
        <w:pBdr>
          <w:top w:val="none" w:color="000000" w:sz="0" w:space="0"/>
          <w:left w:val="none" w:color="000000" w:sz="0" w:space="0"/>
          <w:bottom w:val="none" w:color="000000" w:sz="0" w:space="0"/>
          <w:right w:val="none" w:color="000000" w:sz="0" w:space="0"/>
        </w:pBdr>
        <w:spacing w:after="0"/>
        <w:rPr>
          <w:rFonts w:ascii="宋体" w:hAnsi="宋体" w:eastAsia="宋体" w:cs="宋体"/>
          <w:highlight w:val="none"/>
          <w:lang w:eastAsia="zh-CN"/>
        </w:rPr>
      </w:pPr>
    </w:p>
    <w:p w14:paraId="5C6BEDBA">
      <w:pPr>
        <w:outlineLvl w:val="0"/>
        <w:rPr>
          <w:rFonts w:ascii="宋体" w:hAnsi="宋体" w:eastAsia="宋体" w:cs="宋体"/>
          <w:b/>
          <w:bCs/>
          <w:sz w:val="30"/>
          <w:szCs w:val="30"/>
          <w:highlight w:val="none"/>
          <w:lang w:eastAsia="zh-CN"/>
        </w:rPr>
      </w:pPr>
    </w:p>
    <w:p w14:paraId="3BCDE71A">
      <w:pPr>
        <w:outlineLvl w:val="0"/>
        <w:rPr>
          <w:rFonts w:ascii="宋体" w:hAnsi="宋体" w:eastAsia="宋体" w:cs="宋体"/>
          <w:b/>
          <w:bCs/>
          <w:sz w:val="30"/>
          <w:szCs w:val="30"/>
          <w:highlight w:val="none"/>
          <w:lang w:eastAsia="zh-CN"/>
        </w:rPr>
      </w:pPr>
    </w:p>
    <w:p w14:paraId="4E85304A">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highlight w:val="none"/>
          <w:lang w:eastAsia="zh-CN"/>
        </w:rPr>
      </w:pPr>
    </w:p>
    <w:p w14:paraId="506D943D">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highlight w:val="none"/>
          <w:lang w:eastAsia="zh-CN"/>
        </w:rPr>
      </w:pPr>
    </w:p>
    <w:p w14:paraId="73C602B4">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highlight w:val="none"/>
          <w:lang w:eastAsia="zh-CN"/>
        </w:rPr>
      </w:pPr>
    </w:p>
    <w:p w14:paraId="46CF21AD">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highlight w:val="none"/>
          <w:lang w:eastAsia="zh-CN"/>
        </w:rPr>
      </w:pPr>
    </w:p>
    <w:p w14:paraId="4E27AD13">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highlight w:val="none"/>
          <w:lang w:eastAsia="zh-CN"/>
        </w:rPr>
      </w:pPr>
    </w:p>
    <w:p w14:paraId="1C216E5A">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highlight w:val="none"/>
          <w:lang w:eastAsia="zh-CN"/>
        </w:rPr>
      </w:pPr>
      <w:r>
        <w:rPr>
          <w:rFonts w:hint="eastAsia" w:ascii="宋体" w:hAnsi="宋体" w:eastAsia="宋体" w:cs="宋体"/>
          <w:b/>
          <w:color w:val="000000"/>
          <w:sz w:val="44"/>
          <w:highlight w:val="none"/>
          <w:lang w:eastAsia="zh-CN"/>
        </w:rPr>
        <w:t>第五部分  评标方法与评标标准</w:t>
      </w:r>
    </w:p>
    <w:p w14:paraId="24C4078F">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评标方法</w:t>
      </w:r>
    </w:p>
    <w:p w14:paraId="297DC1CA">
      <w:pPr>
        <w:numPr>
          <w:ilvl w:val="0"/>
          <w:numId w:val="4"/>
        </w:numPr>
        <w:pBdr>
          <w:top w:val="none" w:color="000000" w:sz="0" w:space="0"/>
          <w:left w:val="none" w:color="000000" w:sz="0" w:space="0"/>
          <w:bottom w:val="none" w:color="000000" w:sz="0" w:space="0"/>
          <w:right w:val="none" w:color="000000" w:sz="0" w:space="0"/>
        </w:pBdr>
        <w:spacing w:after="0" w:line="460" w:lineRule="atLeast"/>
        <w:ind w:firstLine="482"/>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本次招标的评标方法采用综合评分法。即指投标文件满足招标文件全部实质性要求，且按照评审因素的量化指标评审得分最高的投标人为中标候选人的评标方法。采购人书面授权评标委员会直接确定中标供应商。</w:t>
      </w:r>
    </w:p>
    <w:p w14:paraId="4199079F">
      <w:pPr>
        <w:numPr>
          <w:ilvl w:val="0"/>
          <w:numId w:val="4"/>
        </w:numPr>
        <w:pBdr>
          <w:top w:val="none" w:color="000000" w:sz="0" w:space="0"/>
          <w:left w:val="none" w:color="000000" w:sz="0" w:space="0"/>
          <w:bottom w:val="none" w:color="000000" w:sz="0" w:space="0"/>
          <w:right w:val="none" w:color="000000" w:sz="0" w:space="0"/>
        </w:pBdr>
        <w:spacing w:after="0" w:line="460" w:lineRule="atLeast"/>
        <w:ind w:firstLine="482"/>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14:paraId="755786AF">
      <w:pPr>
        <w:numPr>
          <w:ilvl w:val="0"/>
          <w:numId w:val="4"/>
        </w:numPr>
        <w:pBdr>
          <w:top w:val="none" w:color="000000" w:sz="0" w:space="0"/>
          <w:left w:val="none" w:color="000000" w:sz="0" w:space="0"/>
          <w:bottom w:val="none" w:color="000000" w:sz="0" w:space="0"/>
          <w:right w:val="none" w:color="000000" w:sz="0" w:space="0"/>
        </w:pBdr>
        <w:spacing w:after="0" w:line="460" w:lineRule="atLeast"/>
        <w:ind w:firstLine="482"/>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D12EA11">
      <w:pPr>
        <w:numPr>
          <w:ilvl w:val="0"/>
          <w:numId w:val="4"/>
        </w:numPr>
        <w:pBdr>
          <w:top w:val="none" w:color="000000" w:sz="0" w:space="0"/>
          <w:left w:val="none" w:color="000000" w:sz="0" w:space="0"/>
          <w:bottom w:val="none" w:color="000000" w:sz="0" w:space="0"/>
          <w:right w:val="none" w:color="000000" w:sz="0" w:space="0"/>
        </w:pBdr>
        <w:spacing w:after="0" w:line="460" w:lineRule="atLeast"/>
        <w:ind w:firstLine="482"/>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、如出现评审得分最高的投标人有两个或两个以上的，以投标报价较低者优先作为该标段中标候选人，如果投标报价也相同的，则由公证机构组织以抽签方式确定中标候选人。</w:t>
      </w:r>
    </w:p>
    <w:p w14:paraId="1BB536E4">
      <w:pPr>
        <w:pBdr>
          <w:top w:val="none" w:color="000000" w:sz="0" w:space="0"/>
          <w:left w:val="none" w:color="000000" w:sz="0" w:space="0"/>
          <w:bottom w:val="none" w:color="000000" w:sz="0" w:space="0"/>
          <w:right w:val="none" w:color="000000" w:sz="0" w:space="0"/>
        </w:pBdr>
        <w:spacing w:after="0" w:line="460" w:lineRule="atLeast"/>
        <w:ind w:firstLine="480" w:firstLineChars="200"/>
        <w:jc w:val="both"/>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6710AEC">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highlight w:val="none"/>
          <w:lang w:eastAsia="zh-CN"/>
        </w:rPr>
      </w:pPr>
      <w:r>
        <w:rPr>
          <w:rFonts w:hint="eastAsia" w:ascii="宋体" w:hAnsi="宋体" w:eastAsia="宋体" w:cs="宋体"/>
          <w:sz w:val="24"/>
          <w:szCs w:val="24"/>
          <w:highlight w:val="none"/>
          <w:lang w:eastAsia="zh-CN"/>
        </w:rPr>
        <w:t>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p>
    <w:p w14:paraId="43ECEB39">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color w:val="auto"/>
          <w:sz w:val="24"/>
          <w:szCs w:val="24"/>
          <w:highlight w:val="none"/>
          <w:lang w:eastAsia="zh-CN"/>
        </w:rPr>
      </w:pPr>
      <w:r>
        <w:rPr>
          <w:rFonts w:hint="eastAsia" w:ascii="宋体" w:hAnsi="宋体" w:eastAsia="宋体" w:cs="宋体"/>
          <w:sz w:val="24"/>
          <w:highlight w:val="none"/>
          <w:lang w:eastAsia="zh-CN"/>
        </w:rPr>
        <w:t>七、</w:t>
      </w:r>
      <w:r>
        <w:rPr>
          <w:rFonts w:hint="eastAsia" w:ascii="宋体" w:hAnsi="宋体" w:eastAsia="宋体" w:cs="宋体"/>
          <w:color w:val="auto"/>
          <w:sz w:val="24"/>
          <w:szCs w:val="24"/>
          <w:highlight w:val="none"/>
          <w:lang w:eastAsia="zh-CN"/>
        </w:rPr>
        <w:t>中小企业相关政策：</w:t>
      </w:r>
    </w:p>
    <w:p w14:paraId="4ACC6740">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color w:val="auto"/>
          <w:sz w:val="24"/>
          <w:szCs w:val="24"/>
          <w:highlight w:val="none"/>
          <w:lang w:eastAsia="zh-CN"/>
        </w:rPr>
        <w:t>但与大企业的负责人为同一人，或者与大企业存在直接控股、管理关系的除外。</w:t>
      </w:r>
      <w:r>
        <w:rPr>
          <w:rFonts w:hint="eastAsia" w:ascii="宋体" w:hAnsi="宋体" w:eastAsia="宋体" w:cs="宋体"/>
          <w:color w:val="auto"/>
          <w:sz w:val="24"/>
          <w:szCs w:val="24"/>
          <w:highlight w:val="none"/>
          <w:lang w:eastAsia="zh-CN"/>
        </w:rPr>
        <w:t>符合中小企业划分标准的个体工商户，在政府采购活动中视同中小企业：</w:t>
      </w:r>
    </w:p>
    <w:p w14:paraId="0BF48454">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1、在货物采购项目中，货物由小、微企业制造，即货物由小、微企业生产且使用该小、微企业商号或者注册商标。对其报价给予20%的扣除，扣除后的价格参与价格评审。</w:t>
      </w:r>
    </w:p>
    <w:p w14:paraId="4FC1F7F8">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2、在服务采购项目中，服务由小、微企业承接，即提供服务的人员为小、微企业依照《中华人民共和国劳动合同法》订立劳动合同的从业人员。对其报价给予20%的扣除，扣除后的价格参与价格评审。</w:t>
      </w:r>
    </w:p>
    <w:p w14:paraId="3D02D43F">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3、在货物采购项目中，供应商提供的货物既有小、微企业制造货物，也有中、大型企业制造货物的，不享受本办法规定的小、微企业价格扶持政策。</w:t>
      </w:r>
    </w:p>
    <w:p w14:paraId="49AF2CDA">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4、以联合体形式参加政府采购活动，联合体各方均为中小企业的，联合体视同中小企业。其中，联合体各方均为小微企业的，联合体视同小微企业。</w:t>
      </w:r>
    </w:p>
    <w:p w14:paraId="77BE2490">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5、符合中小企业划分标准的个体工商户，在政府采购活动中视同中小企业。</w:t>
      </w:r>
    </w:p>
    <w:p w14:paraId="522F68AB">
      <w:pPr>
        <w:pBdr>
          <w:top w:val="none" w:color="000000" w:sz="0" w:space="0"/>
          <w:left w:val="none" w:color="000000" w:sz="0" w:space="0"/>
          <w:bottom w:val="none" w:color="000000" w:sz="0" w:space="0"/>
          <w:right w:val="none" w:color="000000" w:sz="0" w:space="0"/>
        </w:pBdr>
        <w:spacing w:after="0" w:line="440" w:lineRule="exact"/>
        <w:ind w:firstLine="482"/>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6、残疾人福利性单位及监狱企业视同小型企业，享受评审中价格扣除等促进中小企业发展的政府采购政策。</w:t>
      </w:r>
    </w:p>
    <w:p w14:paraId="7691A321">
      <w:pPr>
        <w:spacing w:after="0" w:line="460" w:lineRule="atLeast"/>
        <w:ind w:firstLine="482"/>
        <w:jc w:val="both"/>
        <w:rPr>
          <w:rFonts w:ascii="宋体" w:hAnsi="宋体" w:eastAsia="宋体" w:cs="宋体"/>
          <w:highlight w:val="none"/>
          <w:lang w:eastAsia="zh-CN"/>
        </w:rPr>
      </w:pPr>
      <w:r>
        <w:rPr>
          <w:rFonts w:hint="eastAsia" w:ascii="宋体" w:hAnsi="宋体" w:eastAsia="宋体" w:cs="宋体"/>
          <w:color w:val="auto"/>
          <w:sz w:val="24"/>
          <w:szCs w:val="24"/>
          <w:highlight w:val="none"/>
          <w:lang w:eastAsia="zh-CN"/>
        </w:rPr>
        <w:t>7、供应商按照本办法规定提供声明函内容不实的，属于提供虚假材料谋取中标、 成交， 依照《中华人民共和国政府采购法》 等国家有关规定追究相应责任。</w:t>
      </w:r>
    </w:p>
    <w:p w14:paraId="405EAB38">
      <w:pPr>
        <w:pStyle w:val="198"/>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w:t>
      </w:r>
    </w:p>
    <w:p w14:paraId="5058D4B2">
      <w:pPr>
        <w:pStyle w:val="198"/>
        <w:spacing w:line="500" w:lineRule="exact"/>
        <w:rPr>
          <w:rFonts w:asciiTheme="minorEastAsia" w:hAnsiTheme="minorEastAsia" w:eastAsiaTheme="minorEastAsia"/>
          <w:b/>
          <w:bCs/>
          <w:sz w:val="24"/>
          <w:szCs w:val="24"/>
          <w:highlight w:val="none"/>
          <w:lang w:eastAsia="zh-CN"/>
        </w:rPr>
      </w:pPr>
      <w:r>
        <w:rPr>
          <w:rFonts w:hint="eastAsia" w:asciiTheme="minorEastAsia" w:hAnsiTheme="minorEastAsia" w:eastAsiaTheme="minorEastAsia"/>
          <w:b/>
          <w:sz w:val="24"/>
          <w:szCs w:val="24"/>
          <w:highlight w:val="none"/>
          <w:lang w:eastAsia="zh-CN"/>
        </w:rPr>
        <w:t>评分标准</w:t>
      </w:r>
      <w:bookmarkStart w:id="5" w:name="_Hlk166575460"/>
      <w:bookmarkStart w:id="6" w:name="OLE_LINK22"/>
    </w:p>
    <w:p w14:paraId="1CA400E8">
      <w:pPr>
        <w:spacing w:after="0" w:line="440" w:lineRule="exact"/>
        <w:outlineLvl w:val="1"/>
        <w:rPr>
          <w:rFonts w:asciiTheme="minorEastAsia" w:hAnsiTheme="minorEastAsia" w:eastAsiaTheme="minorEastAsia" w:cstheme="minorEastAsia"/>
          <w:b/>
          <w:bCs/>
          <w:color w:val="auto"/>
          <w:sz w:val="24"/>
          <w:szCs w:val="24"/>
          <w:highlight w:val="none"/>
          <w:lang w:eastAsia="zh-CN"/>
        </w:rPr>
      </w:pPr>
      <w:bookmarkStart w:id="7" w:name="OLE_LINK7"/>
      <w:bookmarkStart w:id="8" w:name="OLE_LINK8"/>
      <w:r>
        <w:rPr>
          <w:rFonts w:hint="eastAsia" w:asciiTheme="minorEastAsia" w:hAnsiTheme="minorEastAsia" w:eastAsiaTheme="minorEastAsia" w:cstheme="minorEastAsia"/>
          <w:b/>
          <w:bCs/>
          <w:color w:val="auto"/>
          <w:sz w:val="24"/>
          <w:szCs w:val="24"/>
          <w:highlight w:val="none"/>
          <w:lang w:eastAsia="zh-CN"/>
        </w:rPr>
        <w:t>一</w:t>
      </w:r>
      <w:bookmarkStart w:id="9" w:name="OLE_LINK9"/>
      <w:r>
        <w:rPr>
          <w:rFonts w:hint="eastAsia" w:asciiTheme="minorEastAsia" w:hAnsiTheme="minorEastAsia" w:eastAsiaTheme="minorEastAsia" w:cstheme="minorEastAsia"/>
          <w:b/>
          <w:bCs/>
          <w:color w:val="auto"/>
          <w:sz w:val="24"/>
          <w:szCs w:val="24"/>
          <w:highlight w:val="none"/>
          <w:lang w:eastAsia="zh-CN"/>
        </w:rPr>
        <w:t>、</w:t>
      </w:r>
      <w:bookmarkEnd w:id="7"/>
      <w:bookmarkEnd w:id="9"/>
      <w:r>
        <w:rPr>
          <w:rFonts w:hint="eastAsia" w:asciiTheme="minorEastAsia" w:hAnsiTheme="minorEastAsia" w:eastAsiaTheme="minorEastAsia" w:cstheme="minorEastAsia"/>
          <w:b/>
          <w:bCs/>
          <w:color w:val="auto"/>
          <w:sz w:val="24"/>
          <w:szCs w:val="24"/>
          <w:highlight w:val="none"/>
          <w:lang w:eastAsia="zh-CN"/>
        </w:rPr>
        <w:t>投标报价：20分</w:t>
      </w:r>
      <w:bookmarkEnd w:id="8"/>
    </w:p>
    <w:p w14:paraId="5AC382FF">
      <w:pPr>
        <w:spacing w:after="0" w:line="440" w:lineRule="exact"/>
        <w:ind w:firstLine="480"/>
        <w:rPr>
          <w:rFonts w:asciiTheme="minorEastAsia" w:hAnsiTheme="minorEastAsia" w:eastAsiaTheme="minorEastAsia" w:cstheme="minorEastAsia"/>
          <w:color w:val="auto"/>
          <w:sz w:val="24"/>
          <w:szCs w:val="24"/>
          <w:highlight w:val="none"/>
          <w:lang w:eastAsia="zh-CN"/>
        </w:rPr>
      </w:pPr>
      <w:bookmarkStart w:id="10" w:name="OLE_LINK38"/>
      <w:bookmarkStart w:id="11" w:name="OLE_LINK20"/>
      <w:r>
        <w:rPr>
          <w:rFonts w:hint="eastAsia" w:asciiTheme="minorEastAsia" w:hAnsiTheme="minorEastAsia" w:eastAsiaTheme="minorEastAsia" w:cstheme="minorEastAsia"/>
          <w:color w:val="auto"/>
          <w:sz w:val="24"/>
          <w:szCs w:val="24"/>
          <w:highlight w:val="none"/>
          <w:lang w:eastAsia="zh-CN"/>
        </w:rPr>
        <w:t>第一步：投标报价低于或等于财政预算价格的为有效投标报价。超财政预算的投标报价或招标文件规定的报价为无效投标报价。无效投标报价的投标文件不进行评审，也不得标。</w:t>
      </w:r>
    </w:p>
    <w:p w14:paraId="19854BC1">
      <w:pPr>
        <w:spacing w:after="0" w:line="440" w:lineRule="exact"/>
        <w:ind w:firstLine="480"/>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第二步：在所有有效投标报价中满足招标文件要求，且投标价格最低的投标报价为评标基准价，其价格分为20分，其他投标人的价格分按照下列公式计算（计算结果四舍五入保留两位小数）。</w:t>
      </w:r>
    </w:p>
    <w:p w14:paraId="4ECFF1E6">
      <w:pPr>
        <w:pStyle w:val="198"/>
        <w:spacing w:line="500" w:lineRule="exact"/>
        <w:ind w:firstLine="480"/>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投标报价得分＝（评标基准价</w:t>
      </w:r>
      <w:r>
        <w:rPr>
          <w:rFonts w:asciiTheme="minorEastAsia" w:hAnsiTheme="minorEastAsia" w:eastAsiaTheme="minorEastAsia" w:cstheme="minorEastAsia"/>
          <w:color w:val="auto"/>
          <w:sz w:val="24"/>
          <w:szCs w:val="24"/>
          <w:highlight w:val="none"/>
          <w:lang w:eastAsia="zh-CN"/>
        </w:rPr>
        <w:t>/投标报价）×</w:t>
      </w:r>
      <w:r>
        <w:rPr>
          <w:rFonts w:hint="eastAsia" w:asciiTheme="minorEastAsia" w:hAnsiTheme="minorEastAsia" w:eastAsiaTheme="minorEastAsia" w:cstheme="minorEastAsia"/>
          <w:color w:val="auto"/>
          <w:sz w:val="24"/>
          <w:szCs w:val="24"/>
          <w:highlight w:val="none"/>
          <w:lang w:eastAsia="zh-CN"/>
        </w:rPr>
        <w:t>20％×</w:t>
      </w:r>
      <w:r>
        <w:rPr>
          <w:rFonts w:asciiTheme="minorEastAsia" w:hAnsiTheme="minorEastAsia" w:eastAsiaTheme="minorEastAsia" w:cstheme="minorEastAsia"/>
          <w:color w:val="auto"/>
          <w:sz w:val="24"/>
          <w:szCs w:val="24"/>
          <w:highlight w:val="none"/>
          <w:lang w:eastAsia="zh-CN"/>
        </w:rPr>
        <w:t>100</w:t>
      </w:r>
      <w:bookmarkEnd w:id="10"/>
      <w:bookmarkEnd w:id="11"/>
    </w:p>
    <w:p w14:paraId="2264A08B">
      <w:pPr>
        <w:spacing w:after="0" w:line="440" w:lineRule="exact"/>
        <w:rPr>
          <w:rFonts w:asciiTheme="minorEastAsia" w:hAnsiTheme="minorEastAsia" w:eastAsiaTheme="minorEastAsia" w:cstheme="minorEastAsia"/>
          <w:b/>
          <w:bCs/>
          <w:color w:val="auto"/>
          <w:sz w:val="24"/>
          <w:szCs w:val="24"/>
          <w:highlight w:val="none"/>
          <w:lang w:eastAsia="zh-CN"/>
        </w:rPr>
      </w:pPr>
      <w:bookmarkStart w:id="12" w:name="OLE_LINK12"/>
      <w:r>
        <w:rPr>
          <w:rFonts w:hint="eastAsia" w:asciiTheme="minorEastAsia" w:hAnsiTheme="minorEastAsia" w:eastAsiaTheme="minorEastAsia" w:cstheme="minorEastAsia"/>
          <w:b/>
          <w:bCs/>
          <w:color w:val="auto"/>
          <w:sz w:val="24"/>
          <w:szCs w:val="24"/>
          <w:highlight w:val="none"/>
          <w:lang w:eastAsia="zh-CN"/>
        </w:rPr>
        <w:t>二、技术参数响应：</w:t>
      </w:r>
      <w:r>
        <w:rPr>
          <w:rFonts w:hint="eastAsia" w:asciiTheme="minorEastAsia" w:hAnsiTheme="minorEastAsia" w:eastAsiaTheme="minorEastAsia" w:cstheme="minorEastAsia"/>
          <w:b/>
          <w:bCs/>
          <w:color w:val="auto"/>
          <w:sz w:val="24"/>
          <w:szCs w:val="24"/>
          <w:highlight w:val="none"/>
          <w:lang w:val="en-US" w:eastAsia="zh-CN"/>
        </w:rPr>
        <w:t>28</w:t>
      </w:r>
      <w:r>
        <w:rPr>
          <w:rFonts w:hint="eastAsia" w:asciiTheme="minorEastAsia" w:hAnsiTheme="minorEastAsia" w:eastAsiaTheme="minorEastAsia" w:cstheme="minorEastAsia"/>
          <w:b/>
          <w:bCs/>
          <w:color w:val="auto"/>
          <w:sz w:val="24"/>
          <w:szCs w:val="24"/>
          <w:highlight w:val="none"/>
          <w:lang w:eastAsia="zh-CN"/>
        </w:rPr>
        <w:t>分</w:t>
      </w:r>
    </w:p>
    <w:p w14:paraId="41252208">
      <w:pPr>
        <w:spacing w:after="0" w:line="440" w:lineRule="exact"/>
        <w:ind w:firstLine="480"/>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技术参数全部满足或高于招标文件要求的得</w:t>
      </w:r>
      <w:r>
        <w:rPr>
          <w:rFonts w:hint="eastAsia" w:asciiTheme="minorEastAsia" w:hAnsiTheme="minorEastAsia" w:eastAsiaTheme="minorEastAsia" w:cstheme="minorEastAsia"/>
          <w:color w:val="auto"/>
          <w:sz w:val="24"/>
          <w:szCs w:val="24"/>
          <w:highlight w:val="none"/>
          <w:lang w:val="en-US" w:eastAsia="zh-CN"/>
        </w:rPr>
        <w:t>28</w:t>
      </w:r>
      <w:r>
        <w:rPr>
          <w:rFonts w:hint="eastAsia" w:asciiTheme="minorEastAsia" w:hAnsiTheme="minorEastAsia" w:eastAsiaTheme="minorEastAsia" w:cstheme="minorEastAsia"/>
          <w:color w:val="auto"/>
          <w:sz w:val="24"/>
          <w:szCs w:val="24"/>
          <w:highlight w:val="none"/>
          <w:lang w:eastAsia="zh-CN"/>
        </w:rPr>
        <w:t>分；打“★”的技术指标（共</w:t>
      </w:r>
      <w:r>
        <w:rPr>
          <w:rFonts w:hint="eastAsia" w:asciiTheme="minorEastAsia" w:hAnsiTheme="minorEastAsia" w:eastAsiaTheme="minorEastAsia" w:cstheme="minorEastAsia"/>
          <w:color w:val="auto"/>
          <w:sz w:val="24"/>
          <w:szCs w:val="24"/>
          <w:highlight w:val="none"/>
          <w:lang w:val="en-US" w:eastAsia="zh-CN"/>
        </w:rPr>
        <w:t>28</w:t>
      </w:r>
      <w:r>
        <w:rPr>
          <w:rFonts w:hint="eastAsia" w:asciiTheme="minorEastAsia" w:hAnsiTheme="minorEastAsia" w:eastAsiaTheme="minorEastAsia" w:cstheme="minorEastAsia"/>
          <w:color w:val="auto"/>
          <w:sz w:val="24"/>
          <w:szCs w:val="24"/>
          <w:highlight w:val="none"/>
          <w:lang w:eastAsia="zh-CN"/>
        </w:rPr>
        <w:t>项），出现一个负偏离扣1分，最高</w:t>
      </w:r>
      <w:r>
        <w:rPr>
          <w:rFonts w:hint="eastAsia" w:asciiTheme="minorEastAsia" w:hAnsiTheme="minorEastAsia" w:eastAsiaTheme="minorEastAsia" w:cstheme="minorEastAsia"/>
          <w:color w:val="auto"/>
          <w:sz w:val="24"/>
          <w:szCs w:val="24"/>
          <w:highlight w:val="none"/>
          <w:lang w:val="en-US" w:eastAsia="zh-CN"/>
        </w:rPr>
        <w:t>28</w:t>
      </w:r>
      <w:r>
        <w:rPr>
          <w:rFonts w:hint="eastAsia" w:asciiTheme="minorEastAsia" w:hAnsiTheme="minorEastAsia" w:eastAsiaTheme="minorEastAsia" w:cstheme="minorEastAsia"/>
          <w:color w:val="auto"/>
          <w:sz w:val="24"/>
          <w:szCs w:val="24"/>
          <w:highlight w:val="none"/>
          <w:lang w:eastAsia="zh-CN"/>
        </w:rPr>
        <w:t>分扣完为止。</w:t>
      </w:r>
    </w:p>
    <w:p w14:paraId="35AADE45">
      <w:pPr>
        <w:pBdr>
          <w:top w:val="none" w:color="000000" w:sz="0" w:space="0"/>
          <w:left w:val="none" w:color="000000" w:sz="0" w:space="0"/>
          <w:bottom w:val="none" w:color="000000" w:sz="0" w:space="0"/>
          <w:right w:val="none" w:color="000000" w:sz="0" w:space="0"/>
        </w:pBdr>
        <w:spacing w:after="0" w:line="439" w:lineRule="atLeast"/>
        <w:jc w:val="both"/>
        <w:rPr>
          <w:rFonts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注：对带星号（“★”）的技术条款须在投标文件中按照招标文件要求提供相应证明材料，否则视为负偏离不得分。</w:t>
      </w:r>
    </w:p>
    <w:p w14:paraId="6A58EADF">
      <w:pPr>
        <w:spacing w:after="0" w:line="440" w:lineRule="exact"/>
        <w:rPr>
          <w:rFonts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三、服务方案：28分</w:t>
      </w:r>
    </w:p>
    <w:p w14:paraId="6A42C286">
      <w:pPr>
        <w:pBdr>
          <w:top w:val="none" w:color="000000" w:sz="0" w:space="0"/>
          <w:left w:val="none" w:color="000000" w:sz="0" w:space="0"/>
          <w:bottom w:val="none" w:color="000000" w:sz="0" w:space="0"/>
          <w:right w:val="none" w:color="000000" w:sz="0" w:space="0"/>
        </w:pBdr>
        <w:spacing w:after="0" w:line="500" w:lineRule="exact"/>
        <w:rPr>
          <w:rFonts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（一）项目实施方案</w:t>
      </w:r>
      <w:r>
        <w:rPr>
          <w:rFonts w:hint="eastAsia" w:ascii="宋体" w:hAnsi="宋体" w:cs="宋体"/>
          <w:b/>
          <w:bCs/>
          <w:sz w:val="24"/>
          <w:highlight w:val="none"/>
        </w:rPr>
        <w:t>（</w:t>
      </w:r>
      <w:r>
        <w:rPr>
          <w:rFonts w:ascii="宋体" w:hAnsi="宋体" w:cs="宋体"/>
          <w:b/>
          <w:bCs/>
          <w:sz w:val="24"/>
          <w:highlight w:val="none"/>
        </w:rPr>
        <w:t>6</w:t>
      </w:r>
      <w:r>
        <w:rPr>
          <w:rFonts w:hint="eastAsia" w:ascii="宋体" w:hAnsi="宋体" w:cs="宋体"/>
          <w:b/>
          <w:bCs/>
          <w:sz w:val="24"/>
          <w:highlight w:val="none"/>
        </w:rPr>
        <w:t>分）</w:t>
      </w:r>
      <w:r>
        <w:rPr>
          <w:rFonts w:hint="eastAsia" w:asciiTheme="minorEastAsia" w:hAnsiTheme="minorEastAsia" w:eastAsiaTheme="minorEastAsia" w:cstheme="minorEastAsia"/>
          <w:b/>
          <w:bCs/>
          <w:color w:val="auto"/>
          <w:sz w:val="24"/>
          <w:szCs w:val="24"/>
          <w:highlight w:val="none"/>
          <w:lang w:eastAsia="zh-CN"/>
        </w:rPr>
        <w:t>：</w:t>
      </w:r>
    </w:p>
    <w:p w14:paraId="43AA408D">
      <w:pPr>
        <w:spacing w:after="0" w:line="440" w:lineRule="exact"/>
        <w:ind w:firstLine="480"/>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据投标人针对本项目的实施方案进行评分，方案内容至少包括①项目目标与规划；②服务内容与流程；③项目周期与交付等。</w:t>
      </w:r>
    </w:p>
    <w:p w14:paraId="5E6D979A">
      <w:pPr>
        <w:spacing w:after="0" w:line="440" w:lineRule="exact"/>
        <w:ind w:firstLine="480"/>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方案内容针对本项目且满足本项目实际需求的，</w:t>
      </w:r>
      <w:r>
        <w:rPr>
          <w:rFonts w:hint="eastAsia" w:asciiTheme="minorEastAsia" w:hAnsiTheme="minorEastAsia" w:eastAsiaTheme="minorEastAsia" w:cstheme="minorEastAsia"/>
          <w:color w:val="auto"/>
          <w:sz w:val="24"/>
          <w:szCs w:val="24"/>
          <w:highlight w:val="none"/>
          <w:lang w:val="en-US" w:eastAsia="zh-CN"/>
        </w:rPr>
        <w:t>每一项</w:t>
      </w:r>
      <w:r>
        <w:rPr>
          <w:rFonts w:hint="eastAsia" w:asciiTheme="minorEastAsia" w:hAnsiTheme="minorEastAsia" w:eastAsiaTheme="minorEastAsia" w:cstheme="minorEastAsia"/>
          <w:color w:val="auto"/>
          <w:sz w:val="24"/>
          <w:szCs w:val="24"/>
          <w:highlight w:val="none"/>
          <w:lang w:eastAsia="zh-CN"/>
        </w:rPr>
        <w:t>得</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分，</w:t>
      </w:r>
      <w:r>
        <w:rPr>
          <w:rFonts w:hint="eastAsia" w:asciiTheme="minorEastAsia" w:hAnsiTheme="minorEastAsia" w:eastAsiaTheme="minorEastAsia" w:cstheme="minorEastAsia"/>
          <w:color w:val="auto"/>
          <w:sz w:val="24"/>
          <w:szCs w:val="24"/>
          <w:highlight w:val="none"/>
          <w:lang w:val="en-US" w:eastAsia="zh-CN"/>
        </w:rPr>
        <w:t>本项最高得6分</w:t>
      </w:r>
      <w:r>
        <w:rPr>
          <w:rFonts w:hint="eastAsia" w:asciiTheme="minorEastAsia" w:hAnsiTheme="minorEastAsia" w:eastAsiaTheme="minorEastAsia" w:cstheme="minorEastAsia"/>
          <w:color w:val="auto"/>
          <w:sz w:val="24"/>
          <w:szCs w:val="24"/>
          <w:highlight w:val="none"/>
          <w:lang w:eastAsia="zh-CN"/>
        </w:rPr>
        <w:t>。</w:t>
      </w:r>
      <w:r>
        <w:rPr>
          <w:rFonts w:hint="eastAsia" w:ascii="宋体" w:hAnsi="宋体" w:cs="宋体"/>
          <w:sz w:val="24"/>
          <w:highlight w:val="none"/>
        </w:rPr>
        <w:t>每缺少一项内容，或内容非专门针对本项目，或内容不能满足本项目实际需求的，不得分</w:t>
      </w:r>
      <w:r>
        <w:rPr>
          <w:rFonts w:hint="eastAsia" w:ascii="宋体" w:hAnsi="宋体" w:cs="宋体"/>
          <w:bCs w:val="0"/>
          <w:sz w:val="24"/>
          <w:highlight w:val="none"/>
          <w:lang w:val="en-US"/>
        </w:rPr>
        <w:t>。</w:t>
      </w:r>
    </w:p>
    <w:p w14:paraId="6EB9F8DA">
      <w:pPr>
        <w:spacing w:after="0" w:line="440" w:lineRule="exact"/>
        <w:rPr>
          <w:rFonts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（二）系统方案</w:t>
      </w:r>
      <w:r>
        <w:rPr>
          <w:rFonts w:hint="eastAsia" w:ascii="宋体" w:hAnsi="宋体" w:cs="宋体"/>
          <w:b/>
          <w:bCs/>
          <w:sz w:val="24"/>
          <w:highlight w:val="none"/>
        </w:rPr>
        <w:t>（</w:t>
      </w:r>
      <w:r>
        <w:rPr>
          <w:rFonts w:hint="eastAsia" w:ascii="宋体" w:hAnsi="宋体" w:eastAsia="宋体" w:cs="宋体"/>
          <w:b/>
          <w:bCs/>
          <w:sz w:val="24"/>
          <w:highlight w:val="none"/>
          <w:lang w:val="en-US" w:eastAsia="zh-CN"/>
        </w:rPr>
        <w:t>4</w:t>
      </w:r>
      <w:r>
        <w:rPr>
          <w:rFonts w:hint="eastAsia" w:ascii="宋体" w:hAnsi="宋体" w:cs="宋体"/>
          <w:b/>
          <w:bCs/>
          <w:sz w:val="24"/>
          <w:highlight w:val="none"/>
        </w:rPr>
        <w:t>分）</w:t>
      </w:r>
      <w:r>
        <w:rPr>
          <w:rFonts w:hint="eastAsia" w:asciiTheme="minorEastAsia" w:hAnsiTheme="minorEastAsia" w:eastAsiaTheme="minorEastAsia" w:cstheme="minorEastAsia"/>
          <w:b/>
          <w:bCs/>
          <w:color w:val="auto"/>
          <w:sz w:val="24"/>
          <w:szCs w:val="24"/>
          <w:highlight w:val="none"/>
          <w:lang w:eastAsia="zh-CN"/>
        </w:rPr>
        <w:t>：</w:t>
      </w:r>
    </w:p>
    <w:p w14:paraId="707D2502">
      <w:pPr>
        <w:spacing w:after="0" w:line="440" w:lineRule="exact"/>
        <w:ind w:firstLine="480"/>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根据投标人针对本项目的系统方案进行评分，方案内容至少包括：①系统设计方案；②网络架构方案。</w:t>
      </w:r>
    </w:p>
    <w:p w14:paraId="454195C6">
      <w:pPr>
        <w:spacing w:after="0" w:line="440" w:lineRule="exact"/>
        <w:ind w:firstLine="480"/>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方案内容针对本项目且满足本项目实际需求的，每一项得2分，本项最高得4分。每缺少一项内容，或内容非专门针对本项目，或内容不能满足本项目实际需求的，不得分。</w:t>
      </w:r>
    </w:p>
    <w:p w14:paraId="00433141">
      <w:pPr>
        <w:spacing w:after="0" w:line="440" w:lineRule="exact"/>
        <w:rPr>
          <w:rFonts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（三）质量管控方案</w:t>
      </w:r>
      <w:r>
        <w:rPr>
          <w:rFonts w:hint="eastAsia" w:ascii="宋体" w:hAnsi="宋体" w:cs="宋体"/>
          <w:b/>
          <w:bCs/>
          <w:sz w:val="24"/>
          <w:highlight w:val="none"/>
        </w:rPr>
        <w:t>（</w:t>
      </w:r>
      <w:r>
        <w:rPr>
          <w:rFonts w:ascii="宋体" w:hAnsi="宋体" w:cs="宋体"/>
          <w:b/>
          <w:bCs/>
          <w:sz w:val="24"/>
          <w:highlight w:val="none"/>
        </w:rPr>
        <w:t>6</w:t>
      </w:r>
      <w:r>
        <w:rPr>
          <w:rFonts w:hint="eastAsia" w:ascii="宋体" w:hAnsi="宋体" w:cs="宋体"/>
          <w:b/>
          <w:bCs/>
          <w:sz w:val="24"/>
          <w:highlight w:val="none"/>
        </w:rPr>
        <w:t>分）</w:t>
      </w:r>
      <w:r>
        <w:rPr>
          <w:rFonts w:hint="eastAsia" w:asciiTheme="minorEastAsia" w:hAnsiTheme="minorEastAsia" w:eastAsiaTheme="minorEastAsia" w:cstheme="minorEastAsia"/>
          <w:b/>
          <w:bCs/>
          <w:color w:val="auto"/>
          <w:sz w:val="24"/>
          <w:szCs w:val="24"/>
          <w:highlight w:val="none"/>
          <w:lang w:eastAsia="zh-CN"/>
        </w:rPr>
        <w:t>：</w:t>
      </w:r>
    </w:p>
    <w:p w14:paraId="3DFC4D39">
      <w:pPr>
        <w:spacing w:after="0" w:line="440" w:lineRule="exact"/>
        <w:ind w:firstLine="480"/>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根据投标人针对本项目的质量管控方案进行评分，方案内容至少包括：①监控质量管控；②视频存储质量管控；③综合管控措施等。</w:t>
      </w:r>
    </w:p>
    <w:p w14:paraId="5E8548E7">
      <w:pPr>
        <w:spacing w:after="0" w:line="440" w:lineRule="exact"/>
        <w:ind w:firstLine="480"/>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方案内容针对本项目且满足本项目实际需求的，每一项得2分，本项最高得6分。每缺少一项内容，或内容非专门针对本项目，或内容不能满足本项目实际需求的，不得分。</w:t>
      </w:r>
    </w:p>
    <w:p w14:paraId="2B475355">
      <w:pPr>
        <w:spacing w:after="0" w:line="440" w:lineRule="exact"/>
        <w:rPr>
          <w:rFonts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（四）安全应急方案</w:t>
      </w:r>
      <w:r>
        <w:rPr>
          <w:rFonts w:hint="eastAsia" w:ascii="宋体" w:hAnsi="宋体" w:cs="宋体"/>
          <w:b/>
          <w:bCs/>
          <w:sz w:val="24"/>
          <w:highlight w:val="none"/>
        </w:rPr>
        <w:t>（</w:t>
      </w:r>
      <w:r>
        <w:rPr>
          <w:rFonts w:ascii="宋体" w:hAnsi="宋体" w:cs="宋体"/>
          <w:b/>
          <w:bCs/>
          <w:sz w:val="24"/>
          <w:highlight w:val="none"/>
        </w:rPr>
        <w:t>6</w:t>
      </w:r>
      <w:r>
        <w:rPr>
          <w:rFonts w:hint="eastAsia" w:ascii="宋体" w:hAnsi="宋体" w:cs="宋体"/>
          <w:b/>
          <w:bCs/>
          <w:sz w:val="24"/>
          <w:highlight w:val="none"/>
        </w:rPr>
        <w:t>分）</w:t>
      </w:r>
      <w:r>
        <w:rPr>
          <w:rFonts w:hint="eastAsia" w:asciiTheme="minorEastAsia" w:hAnsiTheme="minorEastAsia" w:eastAsiaTheme="minorEastAsia" w:cstheme="minorEastAsia"/>
          <w:b/>
          <w:bCs/>
          <w:color w:val="auto"/>
          <w:sz w:val="24"/>
          <w:szCs w:val="24"/>
          <w:highlight w:val="none"/>
          <w:lang w:eastAsia="zh-CN"/>
        </w:rPr>
        <w:t>：</w:t>
      </w:r>
    </w:p>
    <w:p w14:paraId="2458546E">
      <w:pPr>
        <w:spacing w:after="0" w:line="440" w:lineRule="exact"/>
        <w:ind w:firstLine="480"/>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根据投标人针对本项目的安全应急方案进行评分，方案内容至少包括：①应急组织架构；②监控设备应急措施；③视频存储应急措施等。</w:t>
      </w:r>
    </w:p>
    <w:p w14:paraId="316DCFA0">
      <w:pPr>
        <w:spacing w:after="0" w:line="440" w:lineRule="exact"/>
        <w:ind w:firstLine="480"/>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方案内容针对本项目且满足本项目实际需求的，每一项得2分，本项最高得6分。每缺少一项内容，或内容非专门针对本项目，或内容不能满足本项目实际需求的，不得分。</w:t>
      </w:r>
    </w:p>
    <w:p w14:paraId="752DF7DA">
      <w:pPr>
        <w:spacing w:after="0" w:line="440" w:lineRule="exact"/>
        <w:rPr>
          <w:rFonts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（五）售后服务及培训方案</w:t>
      </w:r>
      <w:r>
        <w:rPr>
          <w:rFonts w:hint="eastAsia" w:ascii="宋体" w:hAnsi="宋体" w:cs="宋体"/>
          <w:b/>
          <w:bCs/>
          <w:sz w:val="24"/>
          <w:highlight w:val="none"/>
        </w:rPr>
        <w:t>（</w:t>
      </w:r>
      <w:r>
        <w:rPr>
          <w:rFonts w:ascii="宋体" w:hAnsi="宋体" w:cs="宋体"/>
          <w:b/>
          <w:bCs/>
          <w:sz w:val="24"/>
          <w:highlight w:val="none"/>
        </w:rPr>
        <w:t>6</w:t>
      </w:r>
      <w:r>
        <w:rPr>
          <w:rFonts w:hint="eastAsia" w:ascii="宋体" w:hAnsi="宋体" w:cs="宋体"/>
          <w:b/>
          <w:bCs/>
          <w:sz w:val="24"/>
          <w:highlight w:val="none"/>
        </w:rPr>
        <w:t>分）</w:t>
      </w:r>
      <w:r>
        <w:rPr>
          <w:rFonts w:hint="eastAsia" w:asciiTheme="minorEastAsia" w:hAnsiTheme="minorEastAsia" w:eastAsiaTheme="minorEastAsia" w:cstheme="minorEastAsia"/>
          <w:b/>
          <w:bCs/>
          <w:color w:val="auto"/>
          <w:sz w:val="24"/>
          <w:szCs w:val="24"/>
          <w:highlight w:val="none"/>
          <w:lang w:eastAsia="zh-CN"/>
        </w:rPr>
        <w:t>：</w:t>
      </w:r>
    </w:p>
    <w:p w14:paraId="6E9E4164">
      <w:pPr>
        <w:spacing w:after="0" w:line="440" w:lineRule="exact"/>
        <w:ind w:firstLine="480"/>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根据投标人针对本项目的售后服务及培训方案进行评分，方案内容至少包括：①售后服务机构；②日常维护计划；③培训方案与演练等。</w:t>
      </w:r>
    </w:p>
    <w:p w14:paraId="7C046ACF">
      <w:pPr>
        <w:pBdr>
          <w:top w:val="none" w:color="auto" w:sz="0" w:space="0"/>
          <w:left w:val="none" w:color="auto" w:sz="0" w:space="0"/>
          <w:bottom w:val="none" w:color="auto" w:sz="0" w:space="0"/>
          <w:right w:val="none" w:color="auto" w:sz="0" w:space="0"/>
        </w:pBdr>
        <w:spacing w:after="0" w:line="440" w:lineRule="exact"/>
        <w:ind w:firstLine="480"/>
        <w:jc w:val="left"/>
        <w:rPr>
          <w:rFonts w:eastAsiaTheme="minorEastAsia"/>
          <w:color w:val="auto"/>
          <w:highlight w:val="none"/>
          <w:lang w:eastAsia="zh-CN"/>
        </w:rPr>
      </w:pPr>
      <w:r>
        <w:rPr>
          <w:rFonts w:hint="eastAsia" w:asciiTheme="minorEastAsia" w:hAnsiTheme="minorEastAsia" w:eastAsiaTheme="minorEastAsia" w:cstheme="minorEastAsia"/>
          <w:color w:val="auto"/>
          <w:sz w:val="24"/>
          <w:szCs w:val="24"/>
          <w:highlight w:val="none"/>
          <w:lang w:eastAsia="zh-CN"/>
        </w:rPr>
        <w:t>方案内容针对本项目且满足本项目实际需求的，每一项得2分，本项最高得6分。每缺少一项内容，或内容非专门针对本项目，或内容不能满足本项目实际需求的，不得分。</w:t>
      </w:r>
    </w:p>
    <w:p w14:paraId="546D5CB4">
      <w:pPr>
        <w:spacing w:after="0" w:line="440" w:lineRule="exact"/>
        <w:rPr>
          <w:rFonts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四、人员配置：</w:t>
      </w:r>
      <w:r>
        <w:rPr>
          <w:rFonts w:hint="eastAsia" w:asciiTheme="minorEastAsia" w:hAnsiTheme="minorEastAsia" w:eastAsiaTheme="minorEastAsia" w:cstheme="minorEastAsia"/>
          <w:b/>
          <w:bCs/>
          <w:color w:val="auto"/>
          <w:sz w:val="24"/>
          <w:szCs w:val="24"/>
          <w:highlight w:val="none"/>
          <w:lang w:val="en-US" w:eastAsia="zh-CN"/>
        </w:rPr>
        <w:t>14</w:t>
      </w:r>
      <w:r>
        <w:rPr>
          <w:rFonts w:hint="eastAsia" w:asciiTheme="minorEastAsia" w:hAnsiTheme="minorEastAsia" w:eastAsiaTheme="minorEastAsia" w:cstheme="minorEastAsia"/>
          <w:b/>
          <w:bCs/>
          <w:color w:val="auto"/>
          <w:sz w:val="24"/>
          <w:szCs w:val="24"/>
          <w:highlight w:val="none"/>
          <w:lang w:eastAsia="zh-CN"/>
        </w:rPr>
        <w:t>分</w:t>
      </w:r>
    </w:p>
    <w:p w14:paraId="6DA676FA">
      <w:pPr>
        <w:spacing w:after="0" w:line="439" w:lineRule="atLeast"/>
        <w:ind w:firstLine="480" w:firstLineChars="200"/>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t>1</w:t>
      </w:r>
      <w:r>
        <w:rPr>
          <w:rFonts w:hint="eastAsia" w:ascii="宋体" w:hAnsi="宋体" w:eastAsia="宋体" w:cs="宋体"/>
          <w:color w:val="auto"/>
          <w:sz w:val="24"/>
          <w:highlight w:val="none"/>
          <w:lang w:eastAsia="zh-CN"/>
        </w:rPr>
        <w:t>、项目经理：投标人拟派往该项目的项目经理具有人社厅颁发的高级信息系统项目管理师、中国信息安全评测中心颁发的注册信息安全专业人员证书、人社厅颁发的高级及以上工程师（数字经济工程或建设工程）职称证书、中国网络网络安全审查技术与认证中心颁发的信息安全保障人员认证证书、中国电子技术标准化研究院颁发的IT服务项目经理证书。每证得</w:t>
      </w:r>
      <w:r>
        <w:rPr>
          <w:rFonts w:ascii="宋体" w:hAnsi="宋体" w:eastAsia="宋体" w:cs="宋体"/>
          <w:color w:val="auto"/>
          <w:sz w:val="24"/>
          <w:highlight w:val="none"/>
          <w:lang w:eastAsia="zh-CN"/>
        </w:rPr>
        <w:t>1</w:t>
      </w:r>
      <w:r>
        <w:rPr>
          <w:rFonts w:hint="eastAsia" w:ascii="宋体" w:hAnsi="宋体" w:eastAsia="宋体" w:cs="宋体"/>
          <w:color w:val="auto"/>
          <w:sz w:val="24"/>
          <w:highlight w:val="none"/>
          <w:lang w:eastAsia="zh-CN"/>
        </w:rPr>
        <w:t>分，仅限一人，单证不重复得分，最多得</w:t>
      </w:r>
      <w:r>
        <w:rPr>
          <w:rFonts w:ascii="宋体" w:hAnsi="宋体" w:eastAsia="宋体" w:cs="宋体"/>
          <w:color w:val="auto"/>
          <w:sz w:val="24"/>
          <w:highlight w:val="none"/>
          <w:lang w:eastAsia="zh-CN"/>
        </w:rPr>
        <w:t>5</w:t>
      </w:r>
      <w:r>
        <w:rPr>
          <w:rFonts w:hint="eastAsia" w:ascii="宋体" w:hAnsi="宋体" w:eastAsia="宋体" w:cs="宋体"/>
          <w:color w:val="auto"/>
          <w:sz w:val="24"/>
          <w:highlight w:val="none"/>
          <w:lang w:eastAsia="zh-CN"/>
        </w:rPr>
        <w:t>分。须提供人员证书复印件加盖公章并提供供应商为其缴纳的近三个月任意一个月社保缴费证明。</w:t>
      </w:r>
    </w:p>
    <w:p w14:paraId="22FD1C2E">
      <w:pPr>
        <w:spacing w:after="0" w:line="439" w:lineRule="atLeas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技术负责人：投标人拟派往该项目的技术负责人具有中国信息安全评测中心颁发的注册信息安全专业人员证书、人社厅颁发高级及以上工程师（数字经济工程或建设工程）职称证书、工业和信息化部教育与考试中心颁发的数据库工程师、工业和信息化部教育与考试中心颁发的弱电系统工程师、应急管理厅颁发的低压电工证书的，</w:t>
      </w:r>
      <w:r>
        <w:rPr>
          <w:rFonts w:hint="eastAsia" w:asciiTheme="minorEastAsia" w:hAnsiTheme="minorEastAsia" w:eastAsiaTheme="minorEastAsia" w:cstheme="minorEastAsia"/>
          <w:color w:val="auto"/>
          <w:sz w:val="24"/>
          <w:szCs w:val="24"/>
          <w:highlight w:val="none"/>
          <w:lang w:eastAsia="zh-CN"/>
        </w:rPr>
        <w:t>每证得</w:t>
      </w:r>
      <w:r>
        <w:rPr>
          <w:rFonts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lang w:eastAsia="zh-CN"/>
        </w:rPr>
        <w:t>分，仅限一人，单证不重复得分，最多得</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eastAsia="zh-CN"/>
        </w:rPr>
        <w:t>分。须提供人员证书复印件加盖公章并提供供应商为其缴纳的近三个月任意一个月社保缴费证明。</w:t>
      </w:r>
    </w:p>
    <w:p w14:paraId="4FFE6BCA">
      <w:pPr>
        <w:spacing w:after="0" w:line="439" w:lineRule="atLeast"/>
        <w:ind w:firstLine="480" w:firstLineChars="200"/>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t>3</w:t>
      </w:r>
      <w:r>
        <w:rPr>
          <w:rFonts w:hint="eastAsia" w:ascii="宋体" w:hAnsi="宋体" w:eastAsia="宋体" w:cs="宋体"/>
          <w:color w:val="auto"/>
          <w:sz w:val="24"/>
          <w:highlight w:val="none"/>
          <w:lang w:eastAsia="zh-CN"/>
        </w:rPr>
        <w:t>、维护负责人：投标人拟派往该项目的维护负责人具有中国电子技术标准化研究院颁发的IT服务工程师证书、中国信息安全评测中心颁发的注册信息安全专业人员证书 、中国网络网络安全审查技术与认证中心颁发的信息安全保障人员认证证书、</w:t>
      </w:r>
      <w:r>
        <w:rPr>
          <w:rFonts w:hint="eastAsia" w:ascii="宋体" w:hAnsi="宋体" w:eastAsia="宋体" w:cs="宋体"/>
          <w:color w:val="auto"/>
          <w:sz w:val="24"/>
          <w:highlight w:val="none"/>
          <w:lang w:val="en-US" w:eastAsia="zh-CN"/>
        </w:rPr>
        <w:t>人社</w:t>
      </w:r>
      <w:r>
        <w:rPr>
          <w:rFonts w:hint="eastAsia" w:ascii="宋体" w:hAnsi="宋体" w:eastAsia="宋体" w:cs="宋体"/>
          <w:color w:val="auto"/>
          <w:sz w:val="24"/>
          <w:highlight w:val="none"/>
          <w:lang w:eastAsia="zh-CN"/>
        </w:rPr>
        <w:t>厅颁发的网络工程师证书的，</w:t>
      </w:r>
      <w:r>
        <w:rPr>
          <w:rFonts w:hint="eastAsia" w:asciiTheme="minorEastAsia" w:hAnsiTheme="minorEastAsia" w:eastAsiaTheme="minorEastAsia" w:cstheme="minorEastAsia"/>
          <w:color w:val="auto"/>
          <w:sz w:val="24"/>
          <w:szCs w:val="24"/>
          <w:highlight w:val="none"/>
          <w:lang w:eastAsia="zh-CN"/>
        </w:rPr>
        <w:t>每证得</w:t>
      </w:r>
      <w:r>
        <w:rPr>
          <w:rFonts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lang w:eastAsia="zh-CN"/>
        </w:rPr>
        <w:t>分，仅限一人，单证不重复得分，最多得</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分。须提供人员证书复印件加盖公章并提供供应商为其缴纳的近三个月任意一个月社保缴费证明。</w:t>
      </w:r>
    </w:p>
    <w:p w14:paraId="72DA6079">
      <w:pPr>
        <w:pBdr>
          <w:top w:val="none" w:color="000000" w:sz="0" w:space="0"/>
          <w:left w:val="none" w:color="000000" w:sz="0" w:space="0"/>
          <w:bottom w:val="none" w:color="000000" w:sz="0" w:space="0"/>
          <w:right w:val="none" w:color="000000" w:sz="0" w:space="0"/>
        </w:pBdr>
        <w:spacing w:after="0" w:line="439" w:lineRule="atLeast"/>
        <w:jc w:val="both"/>
        <w:rPr>
          <w:rFonts w:eastAsiaTheme="minorEastAsia"/>
          <w:color w:val="auto"/>
          <w:highlight w:val="none"/>
          <w:lang w:eastAsia="zh-CN"/>
        </w:rPr>
      </w:pPr>
      <w:r>
        <w:rPr>
          <w:rFonts w:hint="eastAsia" w:ascii="宋体" w:hAnsi="宋体" w:eastAsia="宋体" w:cs="宋体"/>
          <w:color w:val="auto"/>
          <w:sz w:val="24"/>
          <w:highlight w:val="none"/>
          <w:lang w:eastAsia="zh-CN"/>
        </w:rPr>
        <w:t>注：项目经理、技术负责人、维护负责人不能为同一人，且同一人不重复计算得分。</w:t>
      </w:r>
    </w:p>
    <w:p w14:paraId="0D804035">
      <w:pPr>
        <w:spacing w:after="0" w:line="440" w:lineRule="exact"/>
        <w:rPr>
          <w:rFonts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五、类似业绩：</w:t>
      </w:r>
      <w:r>
        <w:rPr>
          <w:rFonts w:hint="eastAsia" w:asciiTheme="minorEastAsia" w:hAnsiTheme="minorEastAsia" w:eastAsiaTheme="minorEastAsia" w:cstheme="minorEastAsia"/>
          <w:b/>
          <w:bCs/>
          <w:color w:val="auto"/>
          <w:sz w:val="24"/>
          <w:szCs w:val="24"/>
          <w:highlight w:val="none"/>
          <w:lang w:val="en-US" w:eastAsia="zh-CN"/>
        </w:rPr>
        <w:t>10</w:t>
      </w:r>
      <w:r>
        <w:rPr>
          <w:rFonts w:hint="eastAsia" w:asciiTheme="minorEastAsia" w:hAnsiTheme="minorEastAsia" w:eastAsiaTheme="minorEastAsia" w:cstheme="minorEastAsia"/>
          <w:b/>
          <w:bCs/>
          <w:color w:val="auto"/>
          <w:sz w:val="24"/>
          <w:szCs w:val="24"/>
          <w:highlight w:val="none"/>
          <w:lang w:eastAsia="zh-CN"/>
        </w:rPr>
        <w:t>分</w:t>
      </w:r>
    </w:p>
    <w:p w14:paraId="5A5FB85C">
      <w:pPr>
        <w:spacing w:after="0" w:line="440" w:lineRule="exact"/>
        <w:ind w:firstLine="480" w:firstLineChars="200"/>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提供202</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年</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月1日起至今（以合同签订日期为准）类似项目业绩，每提供一个得</w:t>
      </w:r>
      <w:r>
        <w:rPr>
          <w:rFonts w:hint="eastAsia" w:asciiTheme="minorEastAsia" w:hAnsiTheme="minorEastAsia" w:eastAsiaTheme="minorEastAsia" w:cstheme="minorEastAsia"/>
          <w:color w:val="auto"/>
          <w:sz w:val="24"/>
          <w:szCs w:val="24"/>
          <w:highlight w:val="none"/>
          <w:lang w:val="en-US" w:eastAsia="zh-CN"/>
        </w:rPr>
        <w:t>2.5</w:t>
      </w:r>
      <w:r>
        <w:rPr>
          <w:rFonts w:hint="eastAsia" w:asciiTheme="minorEastAsia" w:hAnsiTheme="minorEastAsia" w:eastAsiaTheme="minorEastAsia" w:cstheme="minorEastAsia"/>
          <w:color w:val="auto"/>
          <w:sz w:val="24"/>
          <w:szCs w:val="24"/>
          <w:highlight w:val="none"/>
          <w:lang w:eastAsia="zh-CN"/>
        </w:rPr>
        <w:t>分，最高得</w:t>
      </w: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lang w:eastAsia="zh-CN"/>
        </w:rPr>
        <w:t>分。（投标文件中须提供完整的合同复印件并加盖投标人公章，提供不全或未提供不得分）</w:t>
      </w:r>
    </w:p>
    <w:bookmarkEnd w:id="12"/>
    <w:p w14:paraId="17BBC494">
      <w:pPr>
        <w:pStyle w:val="198"/>
        <w:spacing w:line="500" w:lineRule="exact"/>
        <w:rPr>
          <w:rFonts w:asciiTheme="minorEastAsia" w:hAnsiTheme="minorEastAsia" w:eastAsiaTheme="minorEastAsia"/>
          <w:bCs/>
          <w:sz w:val="24"/>
          <w:szCs w:val="24"/>
          <w:highlight w:val="none"/>
          <w:lang w:eastAsia="zh-CN"/>
        </w:rPr>
      </w:pPr>
    </w:p>
    <w:p w14:paraId="4081948D">
      <w:pPr>
        <w:pStyle w:val="198"/>
        <w:spacing w:line="500" w:lineRule="exact"/>
        <w:rPr>
          <w:rFonts w:asciiTheme="minorEastAsia" w:hAnsiTheme="minorEastAsia" w:eastAsiaTheme="minorEastAsia"/>
          <w:bCs/>
          <w:sz w:val="24"/>
          <w:szCs w:val="24"/>
          <w:highlight w:val="none"/>
          <w:lang w:eastAsia="zh-CN"/>
        </w:rPr>
      </w:pPr>
    </w:p>
    <w:p w14:paraId="2623DB1D">
      <w:pPr>
        <w:pStyle w:val="198"/>
        <w:spacing w:line="500" w:lineRule="exact"/>
        <w:rPr>
          <w:rFonts w:asciiTheme="minorEastAsia" w:hAnsiTheme="minorEastAsia" w:eastAsiaTheme="minorEastAsia"/>
          <w:sz w:val="24"/>
          <w:szCs w:val="24"/>
          <w:highlight w:val="none"/>
          <w:lang w:eastAsia="zh-CN"/>
        </w:rPr>
      </w:pPr>
    </w:p>
    <w:bookmarkEnd w:id="5"/>
    <w:bookmarkEnd w:id="6"/>
    <w:p w14:paraId="15C6D231">
      <w:pPr>
        <w:pStyle w:val="198"/>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注： 1、报价超过采购预算的为无效投标。</w:t>
      </w:r>
    </w:p>
    <w:p w14:paraId="6E168338">
      <w:pPr>
        <w:pStyle w:val="198"/>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2、针对评分标准中评分的每一条，投标人均应提供相关电子证明资料并作出相应说明供评委评判，不提供相关电子证明资料的视为不具备该项得分的条件。</w:t>
      </w:r>
    </w:p>
    <w:p w14:paraId="31622798">
      <w:pPr>
        <w:pStyle w:val="198"/>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3、所有复印件字迹须复印清晰可见,复印不全或字迹不清晰的，视为未提供。</w:t>
      </w:r>
    </w:p>
    <w:p w14:paraId="44CB182A">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highlight w:val="none"/>
          <w:lang w:eastAsia="zh-CN"/>
        </w:rPr>
      </w:pPr>
    </w:p>
    <w:p w14:paraId="6160BCFC">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highlight w:val="none"/>
          <w:lang w:eastAsia="zh-CN"/>
        </w:rPr>
      </w:pPr>
    </w:p>
    <w:p w14:paraId="0EECABE9">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b/>
          <w:color w:val="000000"/>
          <w:sz w:val="44"/>
          <w:highlight w:val="none"/>
          <w:lang w:eastAsia="zh-CN"/>
        </w:rPr>
      </w:pPr>
    </w:p>
    <w:p w14:paraId="4B177BE6">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highlight w:val="none"/>
          <w:lang w:eastAsia="zh-CN"/>
        </w:rPr>
      </w:pPr>
      <w:r>
        <w:rPr>
          <w:rFonts w:hint="eastAsia" w:ascii="宋体" w:hAnsi="宋体" w:eastAsia="宋体" w:cs="宋体"/>
          <w:b/>
          <w:color w:val="000000"/>
          <w:sz w:val="44"/>
          <w:highlight w:val="none"/>
          <w:lang w:eastAsia="zh-CN"/>
        </w:rPr>
        <w:t>第六部分 合同格式</w:t>
      </w:r>
    </w:p>
    <w:p w14:paraId="2782F571">
      <w:pPr>
        <w:pBdr>
          <w:top w:val="none" w:color="000000" w:sz="0" w:space="0"/>
          <w:left w:val="none" w:color="000000" w:sz="0" w:space="0"/>
          <w:bottom w:val="none" w:color="000000" w:sz="0" w:space="0"/>
          <w:right w:val="none" w:color="000000" w:sz="0" w:space="0"/>
        </w:pBdr>
        <w:spacing w:after="0" w:line="439"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B7FB297">
      <w:pPr>
        <w:pBdr>
          <w:top w:val="none" w:color="000000" w:sz="0" w:space="0"/>
          <w:left w:val="none" w:color="000000" w:sz="0" w:space="0"/>
          <w:bottom w:val="none" w:color="000000" w:sz="0" w:space="0"/>
          <w:right w:val="none" w:color="000000" w:sz="0" w:space="0"/>
        </w:pBdr>
        <w:spacing w:after="0" w:line="312" w:lineRule="atLeast"/>
        <w:jc w:val="both"/>
        <w:rPr>
          <w:rFonts w:ascii="宋体" w:hAnsi="宋体" w:eastAsia="宋体" w:cs="宋体"/>
          <w:highlight w:val="none"/>
          <w:lang w:eastAsia="zh-CN"/>
        </w:rPr>
      </w:pPr>
      <w:r>
        <w:rPr>
          <w:rFonts w:hint="eastAsia" w:ascii="宋体" w:hAnsi="宋体" w:eastAsia="宋体" w:cs="宋体"/>
          <w:color w:val="000000"/>
          <w:sz w:val="28"/>
          <w:highlight w:val="none"/>
          <w:lang w:eastAsia="zh-CN"/>
        </w:rPr>
        <w:t> </w:t>
      </w:r>
    </w:p>
    <w:p w14:paraId="3FE403F2">
      <w:pPr>
        <w:pBdr>
          <w:top w:val="none" w:color="000000" w:sz="0" w:space="0"/>
          <w:left w:val="none" w:color="000000" w:sz="0" w:space="0"/>
          <w:bottom w:val="none" w:color="000000" w:sz="0" w:space="0"/>
          <w:right w:val="none" w:color="000000" w:sz="0" w:space="0"/>
        </w:pBdr>
        <w:spacing w:after="0" w:line="439" w:lineRule="atLeast"/>
        <w:ind w:firstLine="643"/>
        <w:jc w:val="center"/>
        <w:rPr>
          <w:rFonts w:ascii="宋体" w:hAnsi="宋体" w:eastAsia="宋体" w:cs="宋体"/>
          <w:highlight w:val="none"/>
          <w:lang w:eastAsia="zh-CN"/>
        </w:rPr>
      </w:pPr>
      <w:r>
        <w:rPr>
          <w:rFonts w:hint="eastAsia" w:ascii="宋体" w:hAnsi="宋体" w:eastAsia="宋体" w:cs="宋体"/>
          <w:b/>
          <w:color w:val="000000"/>
          <w:sz w:val="32"/>
          <w:highlight w:val="none"/>
          <w:lang w:eastAsia="zh-CN"/>
        </w:rPr>
        <w:t>合同主要条款</w:t>
      </w:r>
    </w:p>
    <w:p w14:paraId="432AABFF">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采购人（以下称甲方）供应商：（以下称乙方）</w:t>
      </w:r>
    </w:p>
    <w:p w14:paraId="2AD426E4">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地址：地址：</w:t>
      </w:r>
    </w:p>
    <w:p w14:paraId="227492C8">
      <w:p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电话：电话：</w:t>
      </w:r>
    </w:p>
    <w:p w14:paraId="17906785">
      <w:pPr>
        <w:pBdr>
          <w:top w:val="none" w:color="000000" w:sz="0" w:space="0"/>
          <w:left w:val="none" w:color="000000" w:sz="0" w:space="0"/>
          <w:bottom w:val="none" w:color="000000" w:sz="0" w:space="0"/>
          <w:right w:val="none" w:color="000000" w:sz="0" w:space="0"/>
        </w:pBdr>
        <w:spacing w:after="0" w:line="460" w:lineRule="atLeast"/>
        <w:ind w:firstLine="480"/>
        <w:rPr>
          <w:rFonts w:ascii="宋体" w:hAnsi="宋体" w:eastAsia="宋体" w:cs="宋体"/>
          <w:highlight w:val="none"/>
          <w:lang w:eastAsia="zh-CN"/>
        </w:rPr>
      </w:pPr>
      <w:r>
        <w:rPr>
          <w:rFonts w:hint="eastAsia" w:ascii="宋体" w:hAnsi="宋体" w:eastAsia="宋体" w:cs="宋体"/>
          <w:color w:val="000000"/>
          <w:sz w:val="24"/>
          <w:highlight w:val="none"/>
          <w:lang w:eastAsia="zh-CN"/>
        </w:rPr>
        <w:t>根据《中华人民共和国民法典》、《中华人民共和国政府采购法》等法律法规的规定，甲、乙双方按照苏州市公共资源交易中心太仓分中心组织的关于</w:t>
      </w:r>
      <w:r>
        <w:rPr>
          <w:rFonts w:hint="eastAsia" w:ascii="宋体" w:hAnsi="宋体" w:eastAsia="宋体" w:cs="宋体"/>
          <w:b/>
          <w:sz w:val="24"/>
          <w:szCs w:val="24"/>
          <w:highlight w:val="none"/>
          <w:u w:val="single"/>
          <w:lang w:eastAsia="zh-CN"/>
        </w:rPr>
        <w:t>太仓市科教新城管理委员会2026年科教新城智慧技防小区项目（二期）</w:t>
      </w:r>
      <w:r>
        <w:rPr>
          <w:rFonts w:hint="eastAsia" w:ascii="宋体" w:hAnsi="宋体" w:eastAsia="宋体" w:cs="宋体"/>
          <w:color w:val="000000"/>
          <w:sz w:val="24"/>
          <w:highlight w:val="none"/>
          <w:lang w:eastAsia="zh-CN"/>
        </w:rPr>
        <w:t>项目（</w:t>
      </w:r>
      <w:r>
        <w:rPr>
          <w:rFonts w:hint="eastAsia" w:ascii="宋体" w:hAnsi="宋体" w:eastAsia="宋体" w:cs="宋体"/>
          <w:b/>
          <w:color w:val="000000"/>
          <w:sz w:val="24"/>
          <w:highlight w:val="none"/>
          <w:lang w:eastAsia="zh-CN"/>
        </w:rPr>
        <w:t>编号</w:t>
      </w:r>
      <w:r>
        <w:rPr>
          <w:rFonts w:hint="eastAsia" w:ascii="宋体" w:hAnsi="宋体" w:eastAsia="宋体" w:cs="宋体"/>
          <w:b/>
          <w:sz w:val="24"/>
          <w:szCs w:val="24"/>
          <w:highlight w:val="none"/>
          <w:lang w:eastAsia="zh-CN"/>
        </w:rPr>
        <w:t>JSZC-320585-JZCG-G2026-0018</w:t>
      </w:r>
      <w:r>
        <w:rPr>
          <w:rFonts w:hint="eastAsia" w:ascii="宋体" w:hAnsi="宋体" w:eastAsia="宋体" w:cs="宋体"/>
          <w:color w:val="000000"/>
          <w:sz w:val="24"/>
          <w:highlight w:val="none"/>
          <w:lang w:eastAsia="zh-CN"/>
        </w:rPr>
        <w:t>）的招标结果，签订本合同。</w:t>
      </w:r>
    </w:p>
    <w:p w14:paraId="4EB133A0">
      <w:pPr>
        <w:pBdr>
          <w:top w:val="none" w:color="000000" w:sz="0" w:space="0"/>
          <w:left w:val="none" w:color="000000" w:sz="0" w:space="0"/>
          <w:bottom w:val="none" w:color="000000" w:sz="0" w:space="0"/>
          <w:right w:val="none" w:color="000000" w:sz="0" w:space="0"/>
        </w:pBdr>
        <w:spacing w:after="0" w:line="460" w:lineRule="atLeast"/>
        <w:ind w:firstLine="47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第一条 服务范围</w:t>
      </w:r>
    </w:p>
    <w:p w14:paraId="7E513757">
      <w:pPr>
        <w:pBdr>
          <w:top w:val="none" w:color="000000" w:sz="0" w:space="0"/>
          <w:left w:val="none" w:color="000000" w:sz="0" w:space="0"/>
          <w:bottom w:val="none" w:color="000000" w:sz="0" w:space="0"/>
          <w:right w:val="none" w:color="000000" w:sz="0" w:space="0"/>
        </w:pBdr>
        <w:spacing w:after="0" w:line="460" w:lineRule="atLeast"/>
        <w:ind w:left="42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甲方聘请乙方提供以下服务：</w:t>
      </w:r>
    </w:p>
    <w:p w14:paraId="7BD0323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（1）本合同项下的服务指：</w:t>
      </w:r>
    </w:p>
    <w:p w14:paraId="5E197007">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（2）服务内容：</w:t>
      </w:r>
    </w:p>
    <w:p w14:paraId="3070569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（3）服务标准：</w:t>
      </w:r>
    </w:p>
    <w:p w14:paraId="0E31AA5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（4）交付时间、地点：甲方指定。</w:t>
      </w:r>
    </w:p>
    <w:p w14:paraId="1F8F2C88">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 xml:space="preserve">第二条 组成本合同的有关文件 </w:t>
      </w:r>
    </w:p>
    <w:p w14:paraId="0D4DC10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下列与本次采购活动有关的文件及有关附件是本合同不可分割的组成部分，与本合同具有同等法律效力，这些文件包括但不限于：</w:t>
      </w:r>
    </w:p>
    <w:p w14:paraId="77052A4B">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招标采购文件（</w:t>
      </w:r>
      <w:r>
        <w:rPr>
          <w:rFonts w:hint="eastAsia" w:ascii="宋体" w:hAnsi="宋体" w:eastAsia="宋体" w:cs="宋体"/>
          <w:b/>
          <w:color w:val="000000"/>
          <w:sz w:val="24"/>
          <w:highlight w:val="none"/>
          <w:lang w:eastAsia="zh-CN"/>
        </w:rPr>
        <w:t>编号：</w:t>
      </w:r>
      <w:r>
        <w:rPr>
          <w:rFonts w:hint="eastAsia" w:ascii="宋体" w:hAnsi="宋体" w:eastAsia="宋体" w:cs="宋体"/>
          <w:b/>
          <w:sz w:val="24"/>
          <w:szCs w:val="24"/>
          <w:highlight w:val="none"/>
          <w:lang w:eastAsia="zh-CN"/>
        </w:rPr>
        <w:t>JSZC-320585-JZCG-G2026-0018</w:t>
      </w:r>
      <w:r>
        <w:rPr>
          <w:rFonts w:hint="eastAsia" w:ascii="宋体" w:hAnsi="宋体" w:eastAsia="宋体" w:cs="宋体"/>
          <w:color w:val="000000"/>
          <w:sz w:val="24"/>
          <w:highlight w:val="none"/>
          <w:lang w:eastAsia="zh-CN"/>
        </w:rPr>
        <w:t>）</w:t>
      </w:r>
    </w:p>
    <w:p w14:paraId="7755AA6B">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乙方提供的投标文件和投标报价表；</w:t>
      </w:r>
    </w:p>
    <w:p w14:paraId="23A0052A">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乙方在投标过程中所作的其他承诺、声明、书面澄清等；</w:t>
      </w:r>
    </w:p>
    <w:p w14:paraId="3C3402FC">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rPr>
      </w:pPr>
      <w:r>
        <w:rPr>
          <w:rFonts w:hint="eastAsia" w:ascii="宋体" w:hAnsi="宋体" w:eastAsia="宋体" w:cs="宋体"/>
          <w:color w:val="000000"/>
          <w:sz w:val="24"/>
          <w:highlight w:val="none"/>
        </w:rPr>
        <w:t>中标通知书；</w:t>
      </w:r>
    </w:p>
    <w:p w14:paraId="6BF8D9F7">
      <w:pPr>
        <w:numPr>
          <w:ilvl w:val="0"/>
          <w:numId w:val="5"/>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甲乙双方商定的其他文件等。</w:t>
      </w:r>
    </w:p>
    <w:p w14:paraId="3CCF5E08">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 xml:space="preserve">第三条 合同总价款 </w:t>
      </w:r>
    </w:p>
    <w:p w14:paraId="67838DC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合同价格按此次成交价格执行，合同总金额为人民币___________（大写）人民币，小写：（￥：）元整。</w:t>
      </w:r>
    </w:p>
    <w:p w14:paraId="51D40CC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14:paraId="4D846D8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除非合同条款中另有规定，本合同执行期间合同总价款不变。</w:t>
      </w:r>
    </w:p>
    <w:p w14:paraId="736C6AB3">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第四条 合同款支付</w:t>
      </w:r>
    </w:p>
    <w:p w14:paraId="5B37973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1、本合同项下所有款项均以人民币支付。</w:t>
      </w:r>
    </w:p>
    <w:p w14:paraId="79E97DC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2、本合同项下的采购资金由甲方自行支付，乙方向甲方开具发票。</w:t>
      </w:r>
    </w:p>
    <w:p w14:paraId="645D68F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3、根据现行税法对乙方征收的与本合同有关的一切税费均由乙方承担。</w:t>
      </w:r>
    </w:p>
    <w:p w14:paraId="6235A4EF">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4、付款步骤：</w:t>
      </w:r>
    </w:p>
    <w:p w14:paraId="2D7C3376">
      <w:pPr>
        <w:pStyle w:val="18"/>
        <w:rPr>
          <w:rFonts w:ascii="宋体" w:hAnsi="宋体" w:eastAsia="宋体" w:cs="宋体"/>
          <w:highlight w:val="none"/>
          <w:lang w:eastAsia="zh-CN"/>
        </w:rPr>
      </w:pPr>
    </w:p>
    <w:p w14:paraId="0A5BD434">
      <w:pPr>
        <w:pBdr>
          <w:top w:val="none" w:color="000000" w:sz="0" w:space="0"/>
          <w:left w:val="none" w:color="000000" w:sz="0" w:space="0"/>
          <w:bottom w:val="none" w:color="000000" w:sz="0" w:space="0"/>
          <w:right w:val="none" w:color="000000" w:sz="0" w:space="0"/>
        </w:pBdr>
        <w:spacing w:after="0" w:line="85" w:lineRule="atLeast"/>
        <w:ind w:firstLine="482"/>
        <w:jc w:val="both"/>
        <w:rPr>
          <w:rFonts w:ascii="宋体" w:hAnsi="宋体" w:eastAsia="宋体" w:cs="宋体"/>
          <w:highlight w:val="none"/>
          <w:lang w:eastAsia="zh-CN"/>
        </w:rPr>
      </w:pPr>
      <w:r>
        <w:rPr>
          <w:rFonts w:hint="eastAsia" w:ascii="宋体" w:hAnsi="宋体" w:eastAsia="宋体" w:cs="宋体"/>
          <w:b/>
          <w:sz w:val="24"/>
          <w:highlight w:val="none"/>
          <w:lang w:eastAsia="zh-CN"/>
        </w:rPr>
        <w:t>第五条 服务质量、成果要求</w:t>
      </w:r>
    </w:p>
    <w:p w14:paraId="30198D2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sz w:val="24"/>
          <w:highlight w:val="none"/>
          <w:lang w:eastAsia="zh-CN"/>
        </w:rPr>
        <w:t>1、项目完成后甲方将组织专业人员进行项目的验收工作，如存在问题，乙方应进行改进，直至验收合格为止；</w:t>
      </w:r>
    </w:p>
    <w:p w14:paraId="6BEF8D7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2、验收标准: 按采购文件要求、乙方的投标承诺或国家相关标准。</w:t>
      </w:r>
    </w:p>
    <w:p w14:paraId="4BA39BC4">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第六条 甲、乙双方权利义务</w:t>
      </w:r>
    </w:p>
    <w:p w14:paraId="3E0CB9BE">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1、甲方应当为保证项目服务的完成，给予乙方积极支持，为乙方提供项目实施的必要条件；</w:t>
      </w:r>
    </w:p>
    <w:p w14:paraId="069B1107">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2、甲方应当按照本合同约定按时支付合同金额。</w:t>
      </w:r>
    </w:p>
    <w:p w14:paraId="18F3A0FF">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3、乙方提交的服务成果未经甲方书面许可，不得向任何第三方泄露。</w:t>
      </w:r>
    </w:p>
    <w:p w14:paraId="1B13F5D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4、乙方提供必要的技术培训，协助甲方完成其他需要中标单位配合的服务。</w:t>
      </w:r>
    </w:p>
    <w:p w14:paraId="5759D0B1">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5、乙方根据国家标准、行业标准和规范要求及标书规定的服务质量标准和有关要求，保质保量地完成服务工作。</w:t>
      </w:r>
    </w:p>
    <w:p w14:paraId="3A28D00C">
      <w:pPr>
        <w:pStyle w:val="18"/>
        <w:ind w:firstLine="480" w:firstLineChars="200"/>
        <w:rPr>
          <w:rFonts w:ascii="宋体" w:hAnsi="宋体" w:eastAsia="宋体" w:cs="宋体"/>
          <w:highlight w:val="none"/>
          <w:lang w:eastAsia="zh-CN"/>
        </w:rPr>
      </w:pPr>
      <w:r>
        <w:rPr>
          <w:rFonts w:hint="eastAsia" w:ascii="宋体" w:hAnsi="宋体" w:eastAsia="宋体" w:cs="宋体"/>
          <w:color w:val="000000"/>
          <w:sz w:val="24"/>
          <w:highlight w:val="none"/>
          <w:lang w:eastAsia="zh-CN"/>
        </w:rPr>
        <w:t>6、</w:t>
      </w:r>
      <w:r>
        <w:rPr>
          <w:rFonts w:hint="eastAsia" w:ascii="宋体" w:hAnsi="宋体" w:eastAsia="宋体" w:cs="宋体"/>
          <w:bCs/>
          <w:kern w:val="1"/>
          <w:sz w:val="21"/>
          <w:szCs w:val="21"/>
          <w:highlight w:val="none"/>
          <w:lang w:eastAsia="zh-CN"/>
        </w:rPr>
        <w:t>服务期内，乙方应承诺免费提供二次移机服务。</w:t>
      </w:r>
    </w:p>
    <w:p w14:paraId="17AA9C17">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第七条 知识产权</w:t>
      </w:r>
    </w:p>
    <w:p w14:paraId="25B834A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1、在合同履行过程中，由甲方向乙方提供的资料－－包括但不限于程序、文件、报告、说明、图表等均归甲方所有。</w:t>
      </w:r>
    </w:p>
    <w:p w14:paraId="570711A5">
      <w:pPr>
        <w:numPr>
          <w:ilvl w:val="255"/>
          <w:numId w:val="0"/>
        </w:numPr>
        <w:pBdr>
          <w:top w:val="none" w:color="000000" w:sz="0" w:space="0"/>
          <w:left w:val="none" w:color="000000" w:sz="0" w:space="0"/>
          <w:bottom w:val="none" w:color="000000" w:sz="0" w:space="0"/>
          <w:right w:val="none" w:color="000000" w:sz="0" w:space="0"/>
        </w:pBdr>
        <w:spacing w:after="0" w:line="460" w:lineRule="atLeast"/>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2、在合同履行完毕后，乙方依据本合同及本合同附件向甲方提供的任何程序、文件、报告、说明、图表等的知识产权均归甲方所有（但属于乙方或第三方的除外），乙方不得以任何形式使用或向第三方透露。</w:t>
      </w:r>
    </w:p>
    <w:p w14:paraId="70BCA5C6">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第八条 保密条款</w:t>
      </w:r>
    </w:p>
    <w:p w14:paraId="5BCB114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027A2E5C">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第九条 风险责任</w:t>
      </w:r>
    </w:p>
    <w:p w14:paraId="31E8DED7">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6D916C66">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第十条 履约保证金（本项目不涉及）</w:t>
      </w:r>
    </w:p>
    <w:p w14:paraId="77573F2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1、乙方应按招标文件的约定要求提供相应的履约保证金。</w:t>
      </w:r>
    </w:p>
    <w:p w14:paraId="6DFA151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2、履约保证金的有效期为合同生效之日起至合同主要义务履行完毕止。</w:t>
      </w:r>
    </w:p>
    <w:p w14:paraId="4EB1E151">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3、如乙方未能履行合同规定的义务，或因乙方责任应由乙方承担的赔偿未完成，甲方有权从履约保证金中取得补偿。</w:t>
      </w:r>
    </w:p>
    <w:p w14:paraId="613B975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4、履约保证金待合同主要义务全部履行完毕后全额退回（不计息）。</w:t>
      </w:r>
    </w:p>
    <w:p w14:paraId="2AA0AFDD">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第十一条 合同的变更和终止</w:t>
      </w:r>
    </w:p>
    <w:p w14:paraId="47A257D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1、本合同一经签订，甲乙双方不得擅自变更、中止或终止合同。</w:t>
      </w:r>
    </w:p>
    <w:p w14:paraId="7BF98841">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2、除发生法律规定的不能预见、不能避免并不能克服的客观情况外，甲乙双方不得放弃或拒绝履行合同。乙方放弃或拒绝履行合同，保证金不予退还。</w:t>
      </w:r>
    </w:p>
    <w:p w14:paraId="5D783B50">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第十二条 合同的转让</w:t>
      </w:r>
    </w:p>
    <w:p w14:paraId="35F51ABF">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1、乙方不得擅自部分或全部转让其应履行的合同义务。    </w:t>
      </w:r>
    </w:p>
    <w:p w14:paraId="1D531B9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2、乙方在履行合同过程中，不得将服务项目委托给第三方。</w:t>
      </w:r>
    </w:p>
    <w:p w14:paraId="1D4EBD90">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第十三条 违约责任</w:t>
      </w:r>
    </w:p>
    <w:p w14:paraId="5E719B1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1、在合同生效后，甲方无理由要求终止服务的，应向乙方偿付合同总价款的5%，作为违约金，违约金不足以补偿损失的，乙方有权要求甲方补足。</w:t>
      </w:r>
    </w:p>
    <w:p w14:paraId="049FFBD1">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2、甲方逾期付款的，应按照逾期付款金额的每天万分之四支付逾期付款违约金。</w:t>
      </w:r>
    </w:p>
    <w:p w14:paraId="321585E4">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乙方不能按时提供服务（逾期超过十五天视为不能服务），或服务不合格从而影响甲方按期正常使用的，甲方有权解除合同，乙方应向甲方偿付合同总价款5%的违约金，违约金不足以补偿损失的甲方有权要求乙方补足。</w:t>
      </w:r>
    </w:p>
    <w:p w14:paraId="06568DA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4、乙方项目组成员须按招标文件承诺人员配备，未经甲方同意不得擅自更换；如更换需向甲方支付赔偿金。</w:t>
      </w:r>
    </w:p>
    <w:p w14:paraId="474D00E9">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5、乙方在承担上述一项或多项违约责任后，仍应继续履行合同规定的义务（甲方解除合同的除外）。甲方未能及时追究乙方的任何一项违约责任并不表明甲方放弃追究乙方该项或其他违约责任。</w:t>
      </w:r>
    </w:p>
    <w:p w14:paraId="1AE0A20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6、其他未尽事宜，以《民法典》和《政府采购法》等有关法律法规规定为准，无相关规定的，双方协商解决。</w:t>
      </w:r>
    </w:p>
    <w:p w14:paraId="35962451">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第十四条 不可抗力</w:t>
      </w:r>
    </w:p>
    <w:p w14:paraId="7989390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14:paraId="685E44C2">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因合同一方迟延履行后发生不可抗力的，不能免除责任。</w:t>
      </w:r>
    </w:p>
    <w:p w14:paraId="57EEE798">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第十五条 索赔</w:t>
      </w:r>
    </w:p>
    <w:p w14:paraId="2BBD4277">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71010D93">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第十六条 争议的解决</w:t>
      </w:r>
    </w:p>
    <w:p w14:paraId="602C44AD">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1、因服务的质量问题发生争议的，应当邀请国家认可的质量检测机构对服务项目质量进行鉴定。项目符合标准的，鉴定费由甲方承担；项目不符合质量标准的，鉴定费由乙方承担。</w:t>
      </w:r>
    </w:p>
    <w:p w14:paraId="1E607870">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2、因履行本合同引起的或与本合同有关的争议，甲、乙双方应首先通过友好协商解决，如果协商不能解决争议，则向甲方所在地有管辖权的人民法院提起诉讼；</w:t>
      </w:r>
    </w:p>
    <w:p w14:paraId="482172D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3、在法院审理和仲裁期间，除有争议部分外，本合同其他部分应继续履行。</w:t>
      </w:r>
    </w:p>
    <w:p w14:paraId="3871A34C">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 xml:space="preserve">第十七条 诚实信用 </w:t>
      </w:r>
    </w:p>
    <w:p w14:paraId="592319E1">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乙方应诚实信用，严格按照招标文件要求和投标承诺履行合同，不向甲方进行商业贿赂或者提供不正当利益。</w:t>
      </w:r>
    </w:p>
    <w:p w14:paraId="4899DBC7">
      <w:pPr>
        <w:pBdr>
          <w:top w:val="none" w:color="000000" w:sz="0" w:space="0"/>
          <w:left w:val="none" w:color="000000" w:sz="0" w:space="0"/>
          <w:bottom w:val="none" w:color="000000" w:sz="0" w:space="0"/>
          <w:right w:val="none" w:color="000000" w:sz="0" w:space="0"/>
        </w:pBdr>
        <w:spacing w:after="0" w:line="460" w:lineRule="atLeast"/>
        <w:ind w:firstLine="482"/>
        <w:jc w:val="both"/>
        <w:rPr>
          <w:rFonts w:ascii="宋体" w:hAnsi="宋体" w:eastAsia="宋体" w:cs="宋体"/>
          <w:highlight w:val="none"/>
          <w:lang w:eastAsia="zh-CN"/>
        </w:rPr>
      </w:pPr>
      <w:r>
        <w:rPr>
          <w:rFonts w:hint="eastAsia" w:ascii="宋体" w:hAnsi="宋体" w:eastAsia="宋体" w:cs="宋体"/>
          <w:b/>
          <w:color w:val="000000"/>
          <w:sz w:val="24"/>
          <w:highlight w:val="none"/>
          <w:lang w:eastAsia="zh-CN"/>
        </w:rPr>
        <w:t>第十八条 合同生效及其他</w:t>
      </w:r>
    </w:p>
    <w:p w14:paraId="3144FD9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1、本合同自经甲乙双方授权代表签订并加盖公章后，自签订之日起生效。</w:t>
      </w:r>
    </w:p>
    <w:p w14:paraId="4690134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2、本合同一式肆份，甲乙双方各执贰份。</w:t>
      </w:r>
    </w:p>
    <w:p w14:paraId="309F1126">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3、本合同应按照中华人民共和国的现行法律进行解释。</w:t>
      </w:r>
    </w:p>
    <w:p w14:paraId="2B809FB3">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5E14967">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甲方（采购人）：（盖章）                     乙方（供应商）：（盖章）</w:t>
      </w:r>
    </w:p>
    <w:p w14:paraId="2AD239AF">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代表人：                   代表人：</w:t>
      </w:r>
    </w:p>
    <w:p w14:paraId="6C3D3661">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电话：                    电话：</w:t>
      </w:r>
    </w:p>
    <w:p w14:paraId="0D1193D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开户银行：                                   开户银行：</w:t>
      </w:r>
    </w:p>
    <w:p w14:paraId="084617AA">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帐号：                                       帐号：</w:t>
      </w:r>
    </w:p>
    <w:p w14:paraId="191B0AAC">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日期： 年 月  日                             日期：    年  月   日</w:t>
      </w:r>
    </w:p>
    <w:p w14:paraId="6F8CFE48">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AF8237B">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A347C55">
      <w:pPr>
        <w:pBdr>
          <w:top w:val="none" w:color="000000" w:sz="0" w:space="0"/>
          <w:left w:val="none" w:color="000000" w:sz="0" w:space="0"/>
          <w:bottom w:val="none" w:color="000000" w:sz="0" w:space="0"/>
          <w:right w:val="none" w:color="000000" w:sz="0" w:space="0"/>
        </w:pBdr>
        <w:spacing w:after="0" w:line="460" w:lineRule="atLeast"/>
        <w:ind w:firstLine="480"/>
        <w:jc w:val="both"/>
        <w:rPr>
          <w:rFonts w:ascii="宋体" w:hAnsi="宋体" w:eastAsia="宋体" w:cs="宋体"/>
          <w:highlight w:val="none"/>
          <w:lang w:eastAsia="zh-CN"/>
        </w:rPr>
      </w:pPr>
      <w:r>
        <w:rPr>
          <w:rFonts w:hint="eastAsia" w:ascii="宋体" w:hAnsi="宋体" w:eastAsia="宋体" w:cs="宋体"/>
          <w:color w:val="000000"/>
          <w:sz w:val="24"/>
          <w:highlight w:val="none"/>
          <w:lang w:eastAsia="zh-CN"/>
        </w:rPr>
        <w:t xml:space="preserve"> </w:t>
      </w:r>
    </w:p>
    <w:p w14:paraId="2E8091A2">
      <w:pPr>
        <w:pBdr>
          <w:top w:val="none" w:color="000000" w:sz="0" w:space="0"/>
          <w:left w:val="none" w:color="000000" w:sz="0" w:space="0"/>
          <w:bottom w:val="none" w:color="000000" w:sz="0" w:space="0"/>
          <w:right w:val="none" w:color="000000" w:sz="0" w:space="0"/>
        </w:pBdr>
        <w:spacing w:before="240" w:after="240" w:line="460" w:lineRule="atLeast"/>
        <w:ind w:left="1260" w:firstLine="4180" w:firstLineChars="1900"/>
        <w:rPr>
          <w:rFonts w:ascii="宋体" w:hAnsi="宋体" w:eastAsia="宋体" w:cs="宋体"/>
          <w:highlight w:val="none"/>
          <w:lang w:eastAsia="zh-CN"/>
        </w:rPr>
      </w:pPr>
    </w:p>
    <w:p w14:paraId="2B889E7C">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780AF813">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E6CB6C3">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0A05DC1C">
      <w:pPr>
        <w:pBdr>
          <w:top w:val="none" w:color="000000" w:sz="0" w:space="0"/>
          <w:left w:val="none" w:color="000000" w:sz="0" w:space="0"/>
          <w:bottom w:val="none" w:color="000000" w:sz="0" w:space="0"/>
          <w:right w:val="none" w:color="000000" w:sz="0" w:space="0"/>
        </w:pBdr>
        <w:spacing w:after="0" w:line="439" w:lineRule="atLeast"/>
        <w:jc w:val="center"/>
        <w:rPr>
          <w:rFonts w:ascii="宋体" w:hAnsi="宋体" w:eastAsia="宋体" w:cs="宋体"/>
          <w:highlight w:val="none"/>
          <w:lang w:eastAsia="zh-CN"/>
        </w:rPr>
      </w:pPr>
      <w:r>
        <w:rPr>
          <w:rFonts w:hint="eastAsia" w:ascii="宋体" w:hAnsi="宋体" w:eastAsia="宋体" w:cs="宋体"/>
          <w:color w:val="000000"/>
          <w:sz w:val="24"/>
          <w:highlight w:val="none"/>
          <w:lang w:eastAsia="zh-CN"/>
        </w:rPr>
        <w:t>（全文完）</w:t>
      </w:r>
    </w:p>
    <w:p w14:paraId="5C7CDFE4">
      <w:pPr>
        <w:rPr>
          <w:rFonts w:ascii="宋体" w:hAnsi="宋体" w:eastAsia="宋体" w:cs="宋体"/>
          <w:highlight w:val="none"/>
          <w:lang w:eastAsia="zh-CN"/>
        </w:rPr>
      </w:pPr>
    </w:p>
    <w:bookmarkEnd w:id="13"/>
    <w:sectPr>
      <w:pgSz w:w="11906" w:h="16838"/>
      <w:pgMar w:top="1134" w:right="850"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roma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embedRegular r:id="rId1" w:fontKey="{EAF8B5B3-CF33-4E73-B90F-E5539E258315}"/>
  </w:font>
  <w:font w:name="Cambria Math">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embedRegular r:id="rId2" w:fontKey="{41123196-F65D-4AD2-B905-26BE11D1816B}"/>
  </w:font>
  <w:font w:name="仿宋_GB2312">
    <w:altName w:val="仿宋"/>
    <w:panose1 w:val="02010609030101010101"/>
    <w:charset w:val="86"/>
    <w:family w:val="modern"/>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F4A07FC9"/>
    <w:multiLevelType w:val="singleLevel"/>
    <w:tmpl w:val="F4A07FC9"/>
    <w:lvl w:ilvl="0" w:tentative="0">
      <w:start w:val="1"/>
      <w:numFmt w:val="chineseCounting"/>
      <w:suff w:val="nothing"/>
      <w:lvlText w:val="%1、"/>
      <w:lvlJc w:val="left"/>
      <w:rPr>
        <w:rFonts w:hint="eastAsia"/>
      </w:rPr>
    </w:lvl>
  </w:abstractNum>
  <w:abstractNum w:abstractNumId="2">
    <w:nsid w:val="40716661"/>
    <w:multiLevelType w:val="multilevel"/>
    <w:tmpl w:val="40716661"/>
    <w:lvl w:ilvl="0" w:tentative="0">
      <w:start w:val="1"/>
      <w:numFmt w:val="bullet"/>
      <w:pStyle w:val="16"/>
      <w:lvlText w:val=""/>
      <w:lvlJc w:val="left"/>
      <w:pPr>
        <w:ind w:left="420" w:hanging="42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48A17F65"/>
    <w:multiLevelType w:val="singleLevel"/>
    <w:tmpl w:val="48A17F65"/>
    <w:lvl w:ilvl="0" w:tentative="0">
      <w:start w:val="2"/>
      <w:numFmt w:val="chineseCounting"/>
      <w:suff w:val="nothing"/>
      <w:lvlText w:val="%1、"/>
      <w:lvlJc w:val="left"/>
      <w:rPr>
        <w:rFonts w:hint="eastAsia"/>
      </w:rPr>
    </w:lvl>
  </w:abstractNum>
  <w:abstractNum w:abstractNumId="4">
    <w:nsid w:val="700F940D"/>
    <w:multiLevelType w:val="singleLevel"/>
    <w:tmpl w:val="700F940D"/>
    <w:lvl w:ilvl="0" w:tentative="0">
      <w:start w:val="1"/>
      <w:numFmt w:val="decimal"/>
      <w:suff w:val="nothing"/>
      <w:lvlText w:val="%1、"/>
      <w:lvlJc w:val="left"/>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708"/>
  <w:noPunctuationKerning w:val="1"/>
  <w:characterSpacingControl w:val="doNotCompress"/>
  <w:footnotePr>
    <w:footnote w:id="0"/>
    <w:footnote w:id="1"/>
  </w:footnotePr>
  <w:endnotePr>
    <w:endnote w:id="0"/>
    <w:endnote w:id="1"/>
  </w:endnotePr>
  <w:compat>
    <w:balanceSingleByteDoubleByteWidth/>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wMjE2NTg3NmQ5OGFlNmI5NjU3MmMzODI4MTg5NGYifQ=="/>
  </w:docVars>
  <w:rsids>
    <w:rsidRoot w:val="007F0DE6"/>
    <w:rsid w:val="00010B6B"/>
    <w:rsid w:val="00036C66"/>
    <w:rsid w:val="00041FC6"/>
    <w:rsid w:val="0004479D"/>
    <w:rsid w:val="0007014C"/>
    <w:rsid w:val="000729B7"/>
    <w:rsid w:val="00075F06"/>
    <w:rsid w:val="00083134"/>
    <w:rsid w:val="00083CEF"/>
    <w:rsid w:val="00091A06"/>
    <w:rsid w:val="000B2774"/>
    <w:rsid w:val="000D53C5"/>
    <w:rsid w:val="000E11FC"/>
    <w:rsid w:val="000E2B67"/>
    <w:rsid w:val="0010056D"/>
    <w:rsid w:val="00115263"/>
    <w:rsid w:val="00142C8E"/>
    <w:rsid w:val="00155E38"/>
    <w:rsid w:val="00157EAC"/>
    <w:rsid w:val="0016197C"/>
    <w:rsid w:val="00162CCC"/>
    <w:rsid w:val="00174989"/>
    <w:rsid w:val="001818D4"/>
    <w:rsid w:val="001B07CF"/>
    <w:rsid w:val="001B3E8E"/>
    <w:rsid w:val="001E2034"/>
    <w:rsid w:val="001E232E"/>
    <w:rsid w:val="00210BBC"/>
    <w:rsid w:val="00214F01"/>
    <w:rsid w:val="00223343"/>
    <w:rsid w:val="00236AAA"/>
    <w:rsid w:val="00252087"/>
    <w:rsid w:val="00255EDA"/>
    <w:rsid w:val="00266D48"/>
    <w:rsid w:val="00273F62"/>
    <w:rsid w:val="00285A4E"/>
    <w:rsid w:val="0028764F"/>
    <w:rsid w:val="00294C0A"/>
    <w:rsid w:val="002B77CB"/>
    <w:rsid w:val="002C4198"/>
    <w:rsid w:val="002C4AD5"/>
    <w:rsid w:val="0030724E"/>
    <w:rsid w:val="003257DC"/>
    <w:rsid w:val="003301EA"/>
    <w:rsid w:val="00333A07"/>
    <w:rsid w:val="003606C2"/>
    <w:rsid w:val="0038564D"/>
    <w:rsid w:val="0038756E"/>
    <w:rsid w:val="00394D7E"/>
    <w:rsid w:val="0039535E"/>
    <w:rsid w:val="003A3F86"/>
    <w:rsid w:val="003C7CE9"/>
    <w:rsid w:val="003F2D59"/>
    <w:rsid w:val="00434066"/>
    <w:rsid w:val="00446EFD"/>
    <w:rsid w:val="00464508"/>
    <w:rsid w:val="004716E5"/>
    <w:rsid w:val="004746F4"/>
    <w:rsid w:val="004A60E4"/>
    <w:rsid w:val="004F0272"/>
    <w:rsid w:val="005105A1"/>
    <w:rsid w:val="00516C43"/>
    <w:rsid w:val="00517E59"/>
    <w:rsid w:val="005669B5"/>
    <w:rsid w:val="00573A8F"/>
    <w:rsid w:val="00586530"/>
    <w:rsid w:val="005B374D"/>
    <w:rsid w:val="005B5AD8"/>
    <w:rsid w:val="005B655F"/>
    <w:rsid w:val="005C6EC5"/>
    <w:rsid w:val="005E5A6C"/>
    <w:rsid w:val="005F70DF"/>
    <w:rsid w:val="0061491B"/>
    <w:rsid w:val="006431FF"/>
    <w:rsid w:val="00657435"/>
    <w:rsid w:val="006723B2"/>
    <w:rsid w:val="00676780"/>
    <w:rsid w:val="0068271F"/>
    <w:rsid w:val="006B5ED2"/>
    <w:rsid w:val="006B790A"/>
    <w:rsid w:val="006D2CEE"/>
    <w:rsid w:val="006D54EE"/>
    <w:rsid w:val="006E0068"/>
    <w:rsid w:val="006F50E8"/>
    <w:rsid w:val="00704F2B"/>
    <w:rsid w:val="00710B80"/>
    <w:rsid w:val="00714B0F"/>
    <w:rsid w:val="00730946"/>
    <w:rsid w:val="00735C13"/>
    <w:rsid w:val="007451F9"/>
    <w:rsid w:val="00753620"/>
    <w:rsid w:val="007538D2"/>
    <w:rsid w:val="00761877"/>
    <w:rsid w:val="0077294B"/>
    <w:rsid w:val="00776716"/>
    <w:rsid w:val="00784319"/>
    <w:rsid w:val="00786FD7"/>
    <w:rsid w:val="007B4D8B"/>
    <w:rsid w:val="007B7EC5"/>
    <w:rsid w:val="007C11A7"/>
    <w:rsid w:val="007D5EBD"/>
    <w:rsid w:val="007E1BF7"/>
    <w:rsid w:val="007E5911"/>
    <w:rsid w:val="007F0DE6"/>
    <w:rsid w:val="00814CA2"/>
    <w:rsid w:val="0082769A"/>
    <w:rsid w:val="00845D80"/>
    <w:rsid w:val="0087086C"/>
    <w:rsid w:val="008A37EA"/>
    <w:rsid w:val="008C1DA5"/>
    <w:rsid w:val="008D2F90"/>
    <w:rsid w:val="008E50B7"/>
    <w:rsid w:val="008F2AD1"/>
    <w:rsid w:val="008F4677"/>
    <w:rsid w:val="008F4D1E"/>
    <w:rsid w:val="00905DA5"/>
    <w:rsid w:val="009154D1"/>
    <w:rsid w:val="0092301D"/>
    <w:rsid w:val="009310ED"/>
    <w:rsid w:val="0093550D"/>
    <w:rsid w:val="00937BE4"/>
    <w:rsid w:val="00944CF3"/>
    <w:rsid w:val="00954F53"/>
    <w:rsid w:val="00955A38"/>
    <w:rsid w:val="00964CE0"/>
    <w:rsid w:val="00970D4F"/>
    <w:rsid w:val="0097284A"/>
    <w:rsid w:val="00972AB0"/>
    <w:rsid w:val="009836E2"/>
    <w:rsid w:val="009A3B6C"/>
    <w:rsid w:val="009B3FDF"/>
    <w:rsid w:val="009D5F79"/>
    <w:rsid w:val="00A03019"/>
    <w:rsid w:val="00A15ABA"/>
    <w:rsid w:val="00A17D9C"/>
    <w:rsid w:val="00A26497"/>
    <w:rsid w:val="00A26A71"/>
    <w:rsid w:val="00A36FB2"/>
    <w:rsid w:val="00A437C8"/>
    <w:rsid w:val="00A5470E"/>
    <w:rsid w:val="00A6462C"/>
    <w:rsid w:val="00A67FB4"/>
    <w:rsid w:val="00AC4642"/>
    <w:rsid w:val="00AC4F98"/>
    <w:rsid w:val="00AD27E1"/>
    <w:rsid w:val="00AF3487"/>
    <w:rsid w:val="00B241AA"/>
    <w:rsid w:val="00B33CCF"/>
    <w:rsid w:val="00B37F16"/>
    <w:rsid w:val="00B475D8"/>
    <w:rsid w:val="00B72DC6"/>
    <w:rsid w:val="00B77710"/>
    <w:rsid w:val="00B878A3"/>
    <w:rsid w:val="00B93981"/>
    <w:rsid w:val="00B96740"/>
    <w:rsid w:val="00BB2ABD"/>
    <w:rsid w:val="00BC1F45"/>
    <w:rsid w:val="00BF0525"/>
    <w:rsid w:val="00C04AF5"/>
    <w:rsid w:val="00C17033"/>
    <w:rsid w:val="00C30EF1"/>
    <w:rsid w:val="00C3330E"/>
    <w:rsid w:val="00C416AE"/>
    <w:rsid w:val="00C45F8E"/>
    <w:rsid w:val="00CB2D12"/>
    <w:rsid w:val="00CB79AF"/>
    <w:rsid w:val="00CC26BF"/>
    <w:rsid w:val="00CC658F"/>
    <w:rsid w:val="00CD5937"/>
    <w:rsid w:val="00CE2B25"/>
    <w:rsid w:val="00CF5237"/>
    <w:rsid w:val="00D05536"/>
    <w:rsid w:val="00D0587C"/>
    <w:rsid w:val="00D2649C"/>
    <w:rsid w:val="00D45B2D"/>
    <w:rsid w:val="00D46B3E"/>
    <w:rsid w:val="00D517D5"/>
    <w:rsid w:val="00D52C59"/>
    <w:rsid w:val="00D81227"/>
    <w:rsid w:val="00DA25D4"/>
    <w:rsid w:val="00DD4534"/>
    <w:rsid w:val="00DD465E"/>
    <w:rsid w:val="00DE2BD4"/>
    <w:rsid w:val="00DE387B"/>
    <w:rsid w:val="00DF4F6A"/>
    <w:rsid w:val="00E01B1C"/>
    <w:rsid w:val="00E217B4"/>
    <w:rsid w:val="00E35A81"/>
    <w:rsid w:val="00E567D4"/>
    <w:rsid w:val="00E80838"/>
    <w:rsid w:val="00E8090E"/>
    <w:rsid w:val="00EA0414"/>
    <w:rsid w:val="00F038D7"/>
    <w:rsid w:val="00F75474"/>
    <w:rsid w:val="00FD243C"/>
    <w:rsid w:val="00FD69BC"/>
    <w:rsid w:val="0108045C"/>
    <w:rsid w:val="01352A75"/>
    <w:rsid w:val="01594127"/>
    <w:rsid w:val="015A37EA"/>
    <w:rsid w:val="01607B27"/>
    <w:rsid w:val="016B5866"/>
    <w:rsid w:val="017E6F26"/>
    <w:rsid w:val="01816CCD"/>
    <w:rsid w:val="018A439F"/>
    <w:rsid w:val="018C3C07"/>
    <w:rsid w:val="01902A68"/>
    <w:rsid w:val="019A16C2"/>
    <w:rsid w:val="01B05289"/>
    <w:rsid w:val="01BD6FEA"/>
    <w:rsid w:val="01BE5EE2"/>
    <w:rsid w:val="01D362E5"/>
    <w:rsid w:val="01EF7A4A"/>
    <w:rsid w:val="01F95D80"/>
    <w:rsid w:val="020656B2"/>
    <w:rsid w:val="022C3D13"/>
    <w:rsid w:val="023849B2"/>
    <w:rsid w:val="023F0464"/>
    <w:rsid w:val="02685C0C"/>
    <w:rsid w:val="028401BC"/>
    <w:rsid w:val="028D7194"/>
    <w:rsid w:val="02902EC5"/>
    <w:rsid w:val="02AD379B"/>
    <w:rsid w:val="02D346D0"/>
    <w:rsid w:val="02DC29E0"/>
    <w:rsid w:val="02F246D9"/>
    <w:rsid w:val="02F81F47"/>
    <w:rsid w:val="03047538"/>
    <w:rsid w:val="03233E3F"/>
    <w:rsid w:val="032D1344"/>
    <w:rsid w:val="032F65C6"/>
    <w:rsid w:val="03506E80"/>
    <w:rsid w:val="035F0913"/>
    <w:rsid w:val="03682B63"/>
    <w:rsid w:val="037F533E"/>
    <w:rsid w:val="038C4E6B"/>
    <w:rsid w:val="0398305C"/>
    <w:rsid w:val="03DD7476"/>
    <w:rsid w:val="03E2554B"/>
    <w:rsid w:val="03FF5FEC"/>
    <w:rsid w:val="04022533"/>
    <w:rsid w:val="040352F1"/>
    <w:rsid w:val="0409246F"/>
    <w:rsid w:val="042518DB"/>
    <w:rsid w:val="042625A3"/>
    <w:rsid w:val="042942EB"/>
    <w:rsid w:val="04312BCD"/>
    <w:rsid w:val="04386104"/>
    <w:rsid w:val="043D53C4"/>
    <w:rsid w:val="044F7A70"/>
    <w:rsid w:val="04885A51"/>
    <w:rsid w:val="04953B87"/>
    <w:rsid w:val="0495752E"/>
    <w:rsid w:val="049A4F9F"/>
    <w:rsid w:val="049F59C7"/>
    <w:rsid w:val="04A5420D"/>
    <w:rsid w:val="04B675AB"/>
    <w:rsid w:val="04C63673"/>
    <w:rsid w:val="052D0A47"/>
    <w:rsid w:val="053E7B62"/>
    <w:rsid w:val="054860FE"/>
    <w:rsid w:val="05584545"/>
    <w:rsid w:val="05706B86"/>
    <w:rsid w:val="059B2032"/>
    <w:rsid w:val="05CA1591"/>
    <w:rsid w:val="05D57D4F"/>
    <w:rsid w:val="05DF1E68"/>
    <w:rsid w:val="05E473C0"/>
    <w:rsid w:val="05E67E04"/>
    <w:rsid w:val="05EE39D5"/>
    <w:rsid w:val="05F41246"/>
    <w:rsid w:val="06136339"/>
    <w:rsid w:val="063369E2"/>
    <w:rsid w:val="063929D2"/>
    <w:rsid w:val="06583220"/>
    <w:rsid w:val="06671455"/>
    <w:rsid w:val="068E389E"/>
    <w:rsid w:val="06B76715"/>
    <w:rsid w:val="06B97252"/>
    <w:rsid w:val="06C214AB"/>
    <w:rsid w:val="06D5408A"/>
    <w:rsid w:val="06D56BBC"/>
    <w:rsid w:val="06E40CFB"/>
    <w:rsid w:val="06E7071E"/>
    <w:rsid w:val="0708351A"/>
    <w:rsid w:val="07130AA2"/>
    <w:rsid w:val="0726165F"/>
    <w:rsid w:val="072A4378"/>
    <w:rsid w:val="07411695"/>
    <w:rsid w:val="07485C35"/>
    <w:rsid w:val="075616D4"/>
    <w:rsid w:val="07572F4B"/>
    <w:rsid w:val="0763471D"/>
    <w:rsid w:val="07723F20"/>
    <w:rsid w:val="07850796"/>
    <w:rsid w:val="07902912"/>
    <w:rsid w:val="07BE784C"/>
    <w:rsid w:val="07DA0F85"/>
    <w:rsid w:val="07F58830"/>
    <w:rsid w:val="07FE5F67"/>
    <w:rsid w:val="08063F32"/>
    <w:rsid w:val="08070DBA"/>
    <w:rsid w:val="080A371B"/>
    <w:rsid w:val="08206DC6"/>
    <w:rsid w:val="08360F6E"/>
    <w:rsid w:val="08414B1F"/>
    <w:rsid w:val="088071AD"/>
    <w:rsid w:val="088F4F0F"/>
    <w:rsid w:val="08BC2723"/>
    <w:rsid w:val="08C01BD2"/>
    <w:rsid w:val="08DF3C56"/>
    <w:rsid w:val="08E020A1"/>
    <w:rsid w:val="091619D4"/>
    <w:rsid w:val="09280184"/>
    <w:rsid w:val="09283B1E"/>
    <w:rsid w:val="093553CD"/>
    <w:rsid w:val="093735E0"/>
    <w:rsid w:val="095C5111"/>
    <w:rsid w:val="0967158D"/>
    <w:rsid w:val="09716B74"/>
    <w:rsid w:val="09AB2883"/>
    <w:rsid w:val="09AD1FC1"/>
    <w:rsid w:val="09B6385B"/>
    <w:rsid w:val="09BB0699"/>
    <w:rsid w:val="09D44C87"/>
    <w:rsid w:val="09FF081E"/>
    <w:rsid w:val="0A1479AA"/>
    <w:rsid w:val="0A235265"/>
    <w:rsid w:val="0A385297"/>
    <w:rsid w:val="0A68783C"/>
    <w:rsid w:val="0A897917"/>
    <w:rsid w:val="0ABE2077"/>
    <w:rsid w:val="0AC83D78"/>
    <w:rsid w:val="0AD007F3"/>
    <w:rsid w:val="0ADB2E37"/>
    <w:rsid w:val="0AE73BFA"/>
    <w:rsid w:val="0AEB75F3"/>
    <w:rsid w:val="0AF67721"/>
    <w:rsid w:val="0B0E6CE7"/>
    <w:rsid w:val="0B14133A"/>
    <w:rsid w:val="0B3D6F23"/>
    <w:rsid w:val="0B5168CC"/>
    <w:rsid w:val="0B5944A0"/>
    <w:rsid w:val="0B79797A"/>
    <w:rsid w:val="0B8209C4"/>
    <w:rsid w:val="0B8B27F2"/>
    <w:rsid w:val="0BA164E4"/>
    <w:rsid w:val="0BA34338"/>
    <w:rsid w:val="0BA91206"/>
    <w:rsid w:val="0BCF4FF5"/>
    <w:rsid w:val="0BD95485"/>
    <w:rsid w:val="0BE5451F"/>
    <w:rsid w:val="0BF65812"/>
    <w:rsid w:val="0BF815F9"/>
    <w:rsid w:val="0C013567"/>
    <w:rsid w:val="0C187AD8"/>
    <w:rsid w:val="0C3454F2"/>
    <w:rsid w:val="0C3639BD"/>
    <w:rsid w:val="0C50326D"/>
    <w:rsid w:val="0C585ACF"/>
    <w:rsid w:val="0C704BA0"/>
    <w:rsid w:val="0C75510F"/>
    <w:rsid w:val="0C77725A"/>
    <w:rsid w:val="0C7F1F92"/>
    <w:rsid w:val="0C967A0F"/>
    <w:rsid w:val="0C99484A"/>
    <w:rsid w:val="0CB5172B"/>
    <w:rsid w:val="0CB851D1"/>
    <w:rsid w:val="0CC14427"/>
    <w:rsid w:val="0CD42055"/>
    <w:rsid w:val="0CE12497"/>
    <w:rsid w:val="0CF719AC"/>
    <w:rsid w:val="0D2C3290"/>
    <w:rsid w:val="0D47180A"/>
    <w:rsid w:val="0D481FE1"/>
    <w:rsid w:val="0D4D288D"/>
    <w:rsid w:val="0D655436"/>
    <w:rsid w:val="0D8B0691"/>
    <w:rsid w:val="0DA91FA5"/>
    <w:rsid w:val="0DCE43DC"/>
    <w:rsid w:val="0DD34156"/>
    <w:rsid w:val="0DDA49A4"/>
    <w:rsid w:val="0DDE1683"/>
    <w:rsid w:val="0DEF6B59"/>
    <w:rsid w:val="0DF207C8"/>
    <w:rsid w:val="0E0C6F4D"/>
    <w:rsid w:val="0E0F135C"/>
    <w:rsid w:val="0E1636C8"/>
    <w:rsid w:val="0E16687D"/>
    <w:rsid w:val="0E320F7E"/>
    <w:rsid w:val="0E3E1F96"/>
    <w:rsid w:val="0E430CAE"/>
    <w:rsid w:val="0E8C7A87"/>
    <w:rsid w:val="0E974001"/>
    <w:rsid w:val="0E9C7E08"/>
    <w:rsid w:val="0E9E0861"/>
    <w:rsid w:val="0EC463B8"/>
    <w:rsid w:val="0EDF093D"/>
    <w:rsid w:val="0F0A5113"/>
    <w:rsid w:val="0F0C11A0"/>
    <w:rsid w:val="0F4200B5"/>
    <w:rsid w:val="0F627A6F"/>
    <w:rsid w:val="0F674F99"/>
    <w:rsid w:val="0F6E0A41"/>
    <w:rsid w:val="0F6F14C5"/>
    <w:rsid w:val="0F903819"/>
    <w:rsid w:val="0F917D0E"/>
    <w:rsid w:val="0F9964C0"/>
    <w:rsid w:val="0F9D08A1"/>
    <w:rsid w:val="0FB7217C"/>
    <w:rsid w:val="0FBB2C2E"/>
    <w:rsid w:val="0FCB598A"/>
    <w:rsid w:val="0FE47D6F"/>
    <w:rsid w:val="0FE633CA"/>
    <w:rsid w:val="10056E5C"/>
    <w:rsid w:val="100E2CD2"/>
    <w:rsid w:val="101C1378"/>
    <w:rsid w:val="101E40A6"/>
    <w:rsid w:val="102462FF"/>
    <w:rsid w:val="103F0E1E"/>
    <w:rsid w:val="104657FA"/>
    <w:rsid w:val="1056672C"/>
    <w:rsid w:val="10615C9F"/>
    <w:rsid w:val="108E13AA"/>
    <w:rsid w:val="10A3244C"/>
    <w:rsid w:val="10A52ACF"/>
    <w:rsid w:val="10B60D4A"/>
    <w:rsid w:val="10B8469B"/>
    <w:rsid w:val="10C06C14"/>
    <w:rsid w:val="110C7889"/>
    <w:rsid w:val="11266DCE"/>
    <w:rsid w:val="11414DCE"/>
    <w:rsid w:val="11425841"/>
    <w:rsid w:val="11464F6F"/>
    <w:rsid w:val="1146662D"/>
    <w:rsid w:val="114B4D73"/>
    <w:rsid w:val="116025A6"/>
    <w:rsid w:val="116247F2"/>
    <w:rsid w:val="116C2129"/>
    <w:rsid w:val="116F4E15"/>
    <w:rsid w:val="11934328"/>
    <w:rsid w:val="11A15B95"/>
    <w:rsid w:val="11AD71ED"/>
    <w:rsid w:val="11B11256"/>
    <w:rsid w:val="11B377F5"/>
    <w:rsid w:val="11D017E2"/>
    <w:rsid w:val="11D850C2"/>
    <w:rsid w:val="12085E44"/>
    <w:rsid w:val="121305AE"/>
    <w:rsid w:val="121E1571"/>
    <w:rsid w:val="122E5FCD"/>
    <w:rsid w:val="123A2749"/>
    <w:rsid w:val="125D2A83"/>
    <w:rsid w:val="1265240A"/>
    <w:rsid w:val="1269663E"/>
    <w:rsid w:val="127748BA"/>
    <w:rsid w:val="127B0070"/>
    <w:rsid w:val="12872B83"/>
    <w:rsid w:val="12B446BB"/>
    <w:rsid w:val="12BF6EC2"/>
    <w:rsid w:val="12EC63AE"/>
    <w:rsid w:val="12F232D0"/>
    <w:rsid w:val="12F26C28"/>
    <w:rsid w:val="13161EAC"/>
    <w:rsid w:val="131E7C21"/>
    <w:rsid w:val="1369446C"/>
    <w:rsid w:val="1395739F"/>
    <w:rsid w:val="13985350"/>
    <w:rsid w:val="13A36513"/>
    <w:rsid w:val="13CA09F7"/>
    <w:rsid w:val="13CA6201"/>
    <w:rsid w:val="14146680"/>
    <w:rsid w:val="14200360"/>
    <w:rsid w:val="14284B77"/>
    <w:rsid w:val="14587163"/>
    <w:rsid w:val="14595607"/>
    <w:rsid w:val="145E6E6F"/>
    <w:rsid w:val="148C1AFD"/>
    <w:rsid w:val="14B42A8B"/>
    <w:rsid w:val="14CE77A6"/>
    <w:rsid w:val="14E3117E"/>
    <w:rsid w:val="14F00757"/>
    <w:rsid w:val="14F745AC"/>
    <w:rsid w:val="15131D1F"/>
    <w:rsid w:val="151E4E3D"/>
    <w:rsid w:val="152809B3"/>
    <w:rsid w:val="152D1B5C"/>
    <w:rsid w:val="152E179B"/>
    <w:rsid w:val="1534628B"/>
    <w:rsid w:val="15646B25"/>
    <w:rsid w:val="157478D0"/>
    <w:rsid w:val="15942D1C"/>
    <w:rsid w:val="15A13247"/>
    <w:rsid w:val="15AA2780"/>
    <w:rsid w:val="15B37E5A"/>
    <w:rsid w:val="15CA55A0"/>
    <w:rsid w:val="15D3492B"/>
    <w:rsid w:val="15DA0777"/>
    <w:rsid w:val="15DA5BCF"/>
    <w:rsid w:val="15DF4EF3"/>
    <w:rsid w:val="15E85D79"/>
    <w:rsid w:val="15ED6CEF"/>
    <w:rsid w:val="1609570C"/>
    <w:rsid w:val="160A072D"/>
    <w:rsid w:val="163D3ECB"/>
    <w:rsid w:val="163F30A5"/>
    <w:rsid w:val="16543968"/>
    <w:rsid w:val="16651371"/>
    <w:rsid w:val="167A1196"/>
    <w:rsid w:val="167B6ABD"/>
    <w:rsid w:val="167B7165"/>
    <w:rsid w:val="16AD232F"/>
    <w:rsid w:val="16B54F2B"/>
    <w:rsid w:val="16BA3B60"/>
    <w:rsid w:val="16CE6389"/>
    <w:rsid w:val="16E15B36"/>
    <w:rsid w:val="16E96798"/>
    <w:rsid w:val="16ED0036"/>
    <w:rsid w:val="170F7137"/>
    <w:rsid w:val="171B69ED"/>
    <w:rsid w:val="17364111"/>
    <w:rsid w:val="173F62BC"/>
    <w:rsid w:val="17400AAE"/>
    <w:rsid w:val="17405EFF"/>
    <w:rsid w:val="1742154A"/>
    <w:rsid w:val="175F3CBD"/>
    <w:rsid w:val="178C2C73"/>
    <w:rsid w:val="178E059F"/>
    <w:rsid w:val="17A31A07"/>
    <w:rsid w:val="17A5361A"/>
    <w:rsid w:val="17AA3BE9"/>
    <w:rsid w:val="17B30426"/>
    <w:rsid w:val="17BD5C5B"/>
    <w:rsid w:val="17BF2254"/>
    <w:rsid w:val="17D130CA"/>
    <w:rsid w:val="17DB42A1"/>
    <w:rsid w:val="17E65DE2"/>
    <w:rsid w:val="17F11DA8"/>
    <w:rsid w:val="17F92A70"/>
    <w:rsid w:val="17FD0AB3"/>
    <w:rsid w:val="180D5BB3"/>
    <w:rsid w:val="180F1083"/>
    <w:rsid w:val="181A6957"/>
    <w:rsid w:val="1826172F"/>
    <w:rsid w:val="182D1DAB"/>
    <w:rsid w:val="18534811"/>
    <w:rsid w:val="18610453"/>
    <w:rsid w:val="186F2E51"/>
    <w:rsid w:val="187666DE"/>
    <w:rsid w:val="187D2C11"/>
    <w:rsid w:val="189B710E"/>
    <w:rsid w:val="189D1976"/>
    <w:rsid w:val="18C16049"/>
    <w:rsid w:val="18C17C9F"/>
    <w:rsid w:val="18C7725A"/>
    <w:rsid w:val="19097208"/>
    <w:rsid w:val="19121EB7"/>
    <w:rsid w:val="19131A6C"/>
    <w:rsid w:val="19411E32"/>
    <w:rsid w:val="195E352F"/>
    <w:rsid w:val="1986426C"/>
    <w:rsid w:val="199F5D7D"/>
    <w:rsid w:val="19A41797"/>
    <w:rsid w:val="19B03E18"/>
    <w:rsid w:val="19E31C94"/>
    <w:rsid w:val="19E45FFF"/>
    <w:rsid w:val="19E60C62"/>
    <w:rsid w:val="19ED69C8"/>
    <w:rsid w:val="1A295B46"/>
    <w:rsid w:val="1A412A41"/>
    <w:rsid w:val="1A6127ED"/>
    <w:rsid w:val="1A663A40"/>
    <w:rsid w:val="1A7E3DF2"/>
    <w:rsid w:val="1A907657"/>
    <w:rsid w:val="1AA72884"/>
    <w:rsid w:val="1AA94BBC"/>
    <w:rsid w:val="1AD2534F"/>
    <w:rsid w:val="1AD322CA"/>
    <w:rsid w:val="1AEF5429"/>
    <w:rsid w:val="1AF244DC"/>
    <w:rsid w:val="1AF26ABB"/>
    <w:rsid w:val="1B0F0870"/>
    <w:rsid w:val="1B1F2A60"/>
    <w:rsid w:val="1B266CCF"/>
    <w:rsid w:val="1B2D3BD8"/>
    <w:rsid w:val="1B4B60AB"/>
    <w:rsid w:val="1B4E1A56"/>
    <w:rsid w:val="1B5740D5"/>
    <w:rsid w:val="1B600016"/>
    <w:rsid w:val="1B6228FE"/>
    <w:rsid w:val="1B6D6CE7"/>
    <w:rsid w:val="1B7309A0"/>
    <w:rsid w:val="1B835140"/>
    <w:rsid w:val="1B931E27"/>
    <w:rsid w:val="1BD9657D"/>
    <w:rsid w:val="1BDB6ED7"/>
    <w:rsid w:val="1BDE43F2"/>
    <w:rsid w:val="1BE151AB"/>
    <w:rsid w:val="1BEF4FC5"/>
    <w:rsid w:val="1BEF6F05"/>
    <w:rsid w:val="1C057B1D"/>
    <w:rsid w:val="1C180642"/>
    <w:rsid w:val="1C24274C"/>
    <w:rsid w:val="1C3A2374"/>
    <w:rsid w:val="1C506F2C"/>
    <w:rsid w:val="1C570813"/>
    <w:rsid w:val="1CA078F9"/>
    <w:rsid w:val="1CAB6228"/>
    <w:rsid w:val="1CB570DB"/>
    <w:rsid w:val="1CC23D13"/>
    <w:rsid w:val="1CCE2310"/>
    <w:rsid w:val="1CD122BF"/>
    <w:rsid w:val="1CD35F20"/>
    <w:rsid w:val="1CFF5E2E"/>
    <w:rsid w:val="1D08627B"/>
    <w:rsid w:val="1D104023"/>
    <w:rsid w:val="1D1B21C5"/>
    <w:rsid w:val="1D1B264F"/>
    <w:rsid w:val="1D250621"/>
    <w:rsid w:val="1D276139"/>
    <w:rsid w:val="1D29474A"/>
    <w:rsid w:val="1D325D11"/>
    <w:rsid w:val="1D3C0D46"/>
    <w:rsid w:val="1D517485"/>
    <w:rsid w:val="1D5F6A27"/>
    <w:rsid w:val="1D6C1205"/>
    <w:rsid w:val="1D7621D4"/>
    <w:rsid w:val="1D8D4321"/>
    <w:rsid w:val="1D8F11DA"/>
    <w:rsid w:val="1D9A4113"/>
    <w:rsid w:val="1DB7314C"/>
    <w:rsid w:val="1DBA6CF9"/>
    <w:rsid w:val="1DC21E0D"/>
    <w:rsid w:val="1DD978F7"/>
    <w:rsid w:val="1DFF5131"/>
    <w:rsid w:val="1E050847"/>
    <w:rsid w:val="1E150E82"/>
    <w:rsid w:val="1E1C21DC"/>
    <w:rsid w:val="1E264020"/>
    <w:rsid w:val="1E2E3A04"/>
    <w:rsid w:val="1E696F4E"/>
    <w:rsid w:val="1E6D4E62"/>
    <w:rsid w:val="1E84542F"/>
    <w:rsid w:val="1E8C61B7"/>
    <w:rsid w:val="1E8D1673"/>
    <w:rsid w:val="1E9F7E8B"/>
    <w:rsid w:val="1EB7011B"/>
    <w:rsid w:val="1EB8717C"/>
    <w:rsid w:val="1EB94157"/>
    <w:rsid w:val="1EDC65DA"/>
    <w:rsid w:val="1EE5554D"/>
    <w:rsid w:val="1EEC32CA"/>
    <w:rsid w:val="1EF07AD2"/>
    <w:rsid w:val="1F023B78"/>
    <w:rsid w:val="1F513E7C"/>
    <w:rsid w:val="1F5E2AD1"/>
    <w:rsid w:val="1F614B27"/>
    <w:rsid w:val="1F817EB6"/>
    <w:rsid w:val="1F822566"/>
    <w:rsid w:val="1F8C246B"/>
    <w:rsid w:val="1F8F2F11"/>
    <w:rsid w:val="1F962F0F"/>
    <w:rsid w:val="1FC14A30"/>
    <w:rsid w:val="1FD92BF8"/>
    <w:rsid w:val="1FED023F"/>
    <w:rsid w:val="200E17F4"/>
    <w:rsid w:val="20233781"/>
    <w:rsid w:val="202A4B20"/>
    <w:rsid w:val="20341435"/>
    <w:rsid w:val="20491C70"/>
    <w:rsid w:val="204E5186"/>
    <w:rsid w:val="2057109A"/>
    <w:rsid w:val="206B64E3"/>
    <w:rsid w:val="207F3F62"/>
    <w:rsid w:val="207F48C4"/>
    <w:rsid w:val="209764D5"/>
    <w:rsid w:val="209B47E6"/>
    <w:rsid w:val="209E4EDF"/>
    <w:rsid w:val="20AB20EA"/>
    <w:rsid w:val="20C5736E"/>
    <w:rsid w:val="20C665F5"/>
    <w:rsid w:val="20D17711"/>
    <w:rsid w:val="211B34D7"/>
    <w:rsid w:val="211E78C3"/>
    <w:rsid w:val="21247AE2"/>
    <w:rsid w:val="213502B5"/>
    <w:rsid w:val="213E633D"/>
    <w:rsid w:val="2141032E"/>
    <w:rsid w:val="214C1638"/>
    <w:rsid w:val="21765713"/>
    <w:rsid w:val="21974A71"/>
    <w:rsid w:val="219C3471"/>
    <w:rsid w:val="21AD786B"/>
    <w:rsid w:val="21BE0A80"/>
    <w:rsid w:val="21C21E4F"/>
    <w:rsid w:val="21DA2D2D"/>
    <w:rsid w:val="21DC7A2C"/>
    <w:rsid w:val="21E604A4"/>
    <w:rsid w:val="21E90A15"/>
    <w:rsid w:val="222018DF"/>
    <w:rsid w:val="22285AC3"/>
    <w:rsid w:val="222C0A77"/>
    <w:rsid w:val="223E60B1"/>
    <w:rsid w:val="22584856"/>
    <w:rsid w:val="226838C5"/>
    <w:rsid w:val="227504D7"/>
    <w:rsid w:val="2279312F"/>
    <w:rsid w:val="227A269D"/>
    <w:rsid w:val="22857651"/>
    <w:rsid w:val="2288155B"/>
    <w:rsid w:val="2295149B"/>
    <w:rsid w:val="22EB547C"/>
    <w:rsid w:val="23031EF6"/>
    <w:rsid w:val="23150F4C"/>
    <w:rsid w:val="2344433B"/>
    <w:rsid w:val="234A61BC"/>
    <w:rsid w:val="2359307A"/>
    <w:rsid w:val="235A165B"/>
    <w:rsid w:val="23750563"/>
    <w:rsid w:val="2384113B"/>
    <w:rsid w:val="23AE4698"/>
    <w:rsid w:val="23C84743"/>
    <w:rsid w:val="23C924EF"/>
    <w:rsid w:val="23D11896"/>
    <w:rsid w:val="23D43437"/>
    <w:rsid w:val="23E15DC6"/>
    <w:rsid w:val="23F34004"/>
    <w:rsid w:val="24170D14"/>
    <w:rsid w:val="241A26A8"/>
    <w:rsid w:val="24250560"/>
    <w:rsid w:val="24261C56"/>
    <w:rsid w:val="242A4935"/>
    <w:rsid w:val="243A4B0E"/>
    <w:rsid w:val="24486677"/>
    <w:rsid w:val="245174FF"/>
    <w:rsid w:val="24675FCD"/>
    <w:rsid w:val="249266BC"/>
    <w:rsid w:val="24B35575"/>
    <w:rsid w:val="24B52566"/>
    <w:rsid w:val="24BC7A84"/>
    <w:rsid w:val="24DC53BA"/>
    <w:rsid w:val="24F72BE5"/>
    <w:rsid w:val="250172C4"/>
    <w:rsid w:val="250A44A9"/>
    <w:rsid w:val="251F0FA4"/>
    <w:rsid w:val="25333EDC"/>
    <w:rsid w:val="253D662D"/>
    <w:rsid w:val="25402452"/>
    <w:rsid w:val="2548687D"/>
    <w:rsid w:val="25610B70"/>
    <w:rsid w:val="25712922"/>
    <w:rsid w:val="258C10A9"/>
    <w:rsid w:val="258C61DC"/>
    <w:rsid w:val="25953661"/>
    <w:rsid w:val="25990692"/>
    <w:rsid w:val="25A25AF3"/>
    <w:rsid w:val="25B50131"/>
    <w:rsid w:val="25C81AD7"/>
    <w:rsid w:val="25D15F3A"/>
    <w:rsid w:val="25DF3269"/>
    <w:rsid w:val="25EA1E95"/>
    <w:rsid w:val="25F01153"/>
    <w:rsid w:val="25F43BD8"/>
    <w:rsid w:val="26057907"/>
    <w:rsid w:val="26391E74"/>
    <w:rsid w:val="2644443D"/>
    <w:rsid w:val="26574EA4"/>
    <w:rsid w:val="26671C07"/>
    <w:rsid w:val="26960C7A"/>
    <w:rsid w:val="26A83F7A"/>
    <w:rsid w:val="26A91BA1"/>
    <w:rsid w:val="26AB7124"/>
    <w:rsid w:val="26AF11EF"/>
    <w:rsid w:val="26DE174A"/>
    <w:rsid w:val="26F92AA3"/>
    <w:rsid w:val="27064F08"/>
    <w:rsid w:val="27104A8F"/>
    <w:rsid w:val="271733B6"/>
    <w:rsid w:val="271F432B"/>
    <w:rsid w:val="273744E1"/>
    <w:rsid w:val="273E6FA8"/>
    <w:rsid w:val="27475FF3"/>
    <w:rsid w:val="27502BDB"/>
    <w:rsid w:val="27631CD2"/>
    <w:rsid w:val="27707FFD"/>
    <w:rsid w:val="27782A57"/>
    <w:rsid w:val="278B787F"/>
    <w:rsid w:val="278D1E58"/>
    <w:rsid w:val="27925130"/>
    <w:rsid w:val="279322BB"/>
    <w:rsid w:val="27AD2A18"/>
    <w:rsid w:val="27B165EA"/>
    <w:rsid w:val="27BD11FC"/>
    <w:rsid w:val="27CB3EB2"/>
    <w:rsid w:val="27FE0BF3"/>
    <w:rsid w:val="28095660"/>
    <w:rsid w:val="2813684C"/>
    <w:rsid w:val="282E6701"/>
    <w:rsid w:val="284157D3"/>
    <w:rsid w:val="284E1E85"/>
    <w:rsid w:val="284E4D34"/>
    <w:rsid w:val="2860696E"/>
    <w:rsid w:val="28763096"/>
    <w:rsid w:val="287727C3"/>
    <w:rsid w:val="28924D94"/>
    <w:rsid w:val="289D2D0E"/>
    <w:rsid w:val="289E5635"/>
    <w:rsid w:val="28B77DA5"/>
    <w:rsid w:val="28CC13F6"/>
    <w:rsid w:val="28D252DE"/>
    <w:rsid w:val="28E01B29"/>
    <w:rsid w:val="28FC212B"/>
    <w:rsid w:val="290066D8"/>
    <w:rsid w:val="296138D0"/>
    <w:rsid w:val="29820B83"/>
    <w:rsid w:val="29920799"/>
    <w:rsid w:val="29974552"/>
    <w:rsid w:val="29A547A1"/>
    <w:rsid w:val="29A95E08"/>
    <w:rsid w:val="29AF6880"/>
    <w:rsid w:val="29C61EF4"/>
    <w:rsid w:val="29D33005"/>
    <w:rsid w:val="2A085306"/>
    <w:rsid w:val="2A115A11"/>
    <w:rsid w:val="2A2E29E8"/>
    <w:rsid w:val="2A4558DD"/>
    <w:rsid w:val="2A5B2A6E"/>
    <w:rsid w:val="2A6A2869"/>
    <w:rsid w:val="2A930FD0"/>
    <w:rsid w:val="2A993FBF"/>
    <w:rsid w:val="2AA66977"/>
    <w:rsid w:val="2AAF553D"/>
    <w:rsid w:val="2AFA2AC3"/>
    <w:rsid w:val="2B0014CC"/>
    <w:rsid w:val="2B077644"/>
    <w:rsid w:val="2B182B8B"/>
    <w:rsid w:val="2B30380D"/>
    <w:rsid w:val="2B33345C"/>
    <w:rsid w:val="2B3D4247"/>
    <w:rsid w:val="2B411DD3"/>
    <w:rsid w:val="2B4912AC"/>
    <w:rsid w:val="2B5E2C0B"/>
    <w:rsid w:val="2B8A26A1"/>
    <w:rsid w:val="2B97601B"/>
    <w:rsid w:val="2B9C3E60"/>
    <w:rsid w:val="2BA62DAA"/>
    <w:rsid w:val="2BC82991"/>
    <w:rsid w:val="2BCA63F7"/>
    <w:rsid w:val="2BDA1F52"/>
    <w:rsid w:val="2BFC07E7"/>
    <w:rsid w:val="2C0E26AE"/>
    <w:rsid w:val="2C1B123E"/>
    <w:rsid w:val="2C1E7B76"/>
    <w:rsid w:val="2C4E35B4"/>
    <w:rsid w:val="2C5A3F68"/>
    <w:rsid w:val="2C662511"/>
    <w:rsid w:val="2C6B3A80"/>
    <w:rsid w:val="2C6D5CA7"/>
    <w:rsid w:val="2C7C5FF8"/>
    <w:rsid w:val="2C8421F8"/>
    <w:rsid w:val="2C8F50CC"/>
    <w:rsid w:val="2C9372C3"/>
    <w:rsid w:val="2C990D4C"/>
    <w:rsid w:val="2C99144E"/>
    <w:rsid w:val="2CA033FE"/>
    <w:rsid w:val="2CB7174F"/>
    <w:rsid w:val="2CC34636"/>
    <w:rsid w:val="2CCF0BEF"/>
    <w:rsid w:val="2CDE49A3"/>
    <w:rsid w:val="2CEA7B60"/>
    <w:rsid w:val="2CFE6975"/>
    <w:rsid w:val="2D006EBF"/>
    <w:rsid w:val="2D0B6241"/>
    <w:rsid w:val="2D182DED"/>
    <w:rsid w:val="2D2F3858"/>
    <w:rsid w:val="2D3111D5"/>
    <w:rsid w:val="2D314CC9"/>
    <w:rsid w:val="2D3C541C"/>
    <w:rsid w:val="2D454ECA"/>
    <w:rsid w:val="2D470CFE"/>
    <w:rsid w:val="2D5D46E4"/>
    <w:rsid w:val="2D626010"/>
    <w:rsid w:val="2D6A64F5"/>
    <w:rsid w:val="2D753CFA"/>
    <w:rsid w:val="2DA0726B"/>
    <w:rsid w:val="2DB229EA"/>
    <w:rsid w:val="2DB32C12"/>
    <w:rsid w:val="2DC109C9"/>
    <w:rsid w:val="2DC873F9"/>
    <w:rsid w:val="2DDE4C78"/>
    <w:rsid w:val="2DF40C52"/>
    <w:rsid w:val="2DF56325"/>
    <w:rsid w:val="2E24482E"/>
    <w:rsid w:val="2E2B150B"/>
    <w:rsid w:val="2E2E540B"/>
    <w:rsid w:val="2E414930"/>
    <w:rsid w:val="2E44260C"/>
    <w:rsid w:val="2E456552"/>
    <w:rsid w:val="2E5528C9"/>
    <w:rsid w:val="2E57460D"/>
    <w:rsid w:val="2E5E510B"/>
    <w:rsid w:val="2E641567"/>
    <w:rsid w:val="2E6B5CE4"/>
    <w:rsid w:val="2E756E38"/>
    <w:rsid w:val="2E7E37CB"/>
    <w:rsid w:val="2EA3017F"/>
    <w:rsid w:val="2EA85428"/>
    <w:rsid w:val="2EBA17F3"/>
    <w:rsid w:val="2EBF5196"/>
    <w:rsid w:val="2EC92CDF"/>
    <w:rsid w:val="2F243B16"/>
    <w:rsid w:val="2F37573D"/>
    <w:rsid w:val="2F592EEF"/>
    <w:rsid w:val="2F7556D3"/>
    <w:rsid w:val="2F826C7E"/>
    <w:rsid w:val="2F8E0352"/>
    <w:rsid w:val="2F982F1C"/>
    <w:rsid w:val="2F9E7B1A"/>
    <w:rsid w:val="2FAA5090"/>
    <w:rsid w:val="2FF32805"/>
    <w:rsid w:val="3013151E"/>
    <w:rsid w:val="301D177E"/>
    <w:rsid w:val="303C3A3A"/>
    <w:rsid w:val="303E057F"/>
    <w:rsid w:val="30672449"/>
    <w:rsid w:val="306B4469"/>
    <w:rsid w:val="306B61B1"/>
    <w:rsid w:val="306E51E0"/>
    <w:rsid w:val="30757574"/>
    <w:rsid w:val="307A5F4C"/>
    <w:rsid w:val="308068EE"/>
    <w:rsid w:val="308322C9"/>
    <w:rsid w:val="308961B9"/>
    <w:rsid w:val="30B23C05"/>
    <w:rsid w:val="30BF62D4"/>
    <w:rsid w:val="30C056D0"/>
    <w:rsid w:val="30DB7DA5"/>
    <w:rsid w:val="30E07F4C"/>
    <w:rsid w:val="31131BA9"/>
    <w:rsid w:val="311C44E5"/>
    <w:rsid w:val="312B3E8C"/>
    <w:rsid w:val="313A5D95"/>
    <w:rsid w:val="314827FE"/>
    <w:rsid w:val="31505DB0"/>
    <w:rsid w:val="31540D79"/>
    <w:rsid w:val="31551D13"/>
    <w:rsid w:val="31563118"/>
    <w:rsid w:val="31717246"/>
    <w:rsid w:val="3174012A"/>
    <w:rsid w:val="3197003B"/>
    <w:rsid w:val="31A0481E"/>
    <w:rsid w:val="31B7039B"/>
    <w:rsid w:val="31B7111A"/>
    <w:rsid w:val="31B71515"/>
    <w:rsid w:val="31BD078C"/>
    <w:rsid w:val="31CA6854"/>
    <w:rsid w:val="31D44B61"/>
    <w:rsid w:val="31D85471"/>
    <w:rsid w:val="31DE2B4D"/>
    <w:rsid w:val="31E83708"/>
    <w:rsid w:val="31E87A66"/>
    <w:rsid w:val="31EE3C79"/>
    <w:rsid w:val="320E382B"/>
    <w:rsid w:val="3213758F"/>
    <w:rsid w:val="321B1AA4"/>
    <w:rsid w:val="321C1D19"/>
    <w:rsid w:val="3235176B"/>
    <w:rsid w:val="32400C87"/>
    <w:rsid w:val="325918CF"/>
    <w:rsid w:val="325D6B2E"/>
    <w:rsid w:val="32896101"/>
    <w:rsid w:val="32C52C47"/>
    <w:rsid w:val="32C94C9E"/>
    <w:rsid w:val="32DE330D"/>
    <w:rsid w:val="32E05A08"/>
    <w:rsid w:val="32E57833"/>
    <w:rsid w:val="32F26CA9"/>
    <w:rsid w:val="32FB5E03"/>
    <w:rsid w:val="330D60DF"/>
    <w:rsid w:val="33245B12"/>
    <w:rsid w:val="332938DF"/>
    <w:rsid w:val="332B647C"/>
    <w:rsid w:val="333A17C4"/>
    <w:rsid w:val="333F5C66"/>
    <w:rsid w:val="33414383"/>
    <w:rsid w:val="335557CC"/>
    <w:rsid w:val="33600955"/>
    <w:rsid w:val="33613147"/>
    <w:rsid w:val="336E6104"/>
    <w:rsid w:val="33823567"/>
    <w:rsid w:val="339F2A24"/>
    <w:rsid w:val="33A114C1"/>
    <w:rsid w:val="33BA38D4"/>
    <w:rsid w:val="33BB2F25"/>
    <w:rsid w:val="33BC09D9"/>
    <w:rsid w:val="33C04B29"/>
    <w:rsid w:val="33C86994"/>
    <w:rsid w:val="33E32A95"/>
    <w:rsid w:val="33E74A98"/>
    <w:rsid w:val="33EF143A"/>
    <w:rsid w:val="33F3440D"/>
    <w:rsid w:val="33FA021C"/>
    <w:rsid w:val="340115C5"/>
    <w:rsid w:val="340A4636"/>
    <w:rsid w:val="343165C7"/>
    <w:rsid w:val="34517138"/>
    <w:rsid w:val="34607C42"/>
    <w:rsid w:val="34682F8F"/>
    <w:rsid w:val="346B5EFB"/>
    <w:rsid w:val="34895E96"/>
    <w:rsid w:val="348B44B6"/>
    <w:rsid w:val="34970E33"/>
    <w:rsid w:val="34995170"/>
    <w:rsid w:val="349F38B6"/>
    <w:rsid w:val="34A776C4"/>
    <w:rsid w:val="34B169C9"/>
    <w:rsid w:val="34DE60C9"/>
    <w:rsid w:val="34EE5D24"/>
    <w:rsid w:val="34F11E28"/>
    <w:rsid w:val="34F27E01"/>
    <w:rsid w:val="351630D6"/>
    <w:rsid w:val="35243365"/>
    <w:rsid w:val="356E5F25"/>
    <w:rsid w:val="35A32465"/>
    <w:rsid w:val="35A61A02"/>
    <w:rsid w:val="35AB2023"/>
    <w:rsid w:val="35B5088A"/>
    <w:rsid w:val="35C32630"/>
    <w:rsid w:val="35D159BB"/>
    <w:rsid w:val="35D37A1A"/>
    <w:rsid w:val="35D505D5"/>
    <w:rsid w:val="35F66AB0"/>
    <w:rsid w:val="35F70337"/>
    <w:rsid w:val="35FA386B"/>
    <w:rsid w:val="36005014"/>
    <w:rsid w:val="36116644"/>
    <w:rsid w:val="362B3C79"/>
    <w:rsid w:val="365329C9"/>
    <w:rsid w:val="366D1C32"/>
    <w:rsid w:val="36BE3E5D"/>
    <w:rsid w:val="36C5697A"/>
    <w:rsid w:val="3702081D"/>
    <w:rsid w:val="37033A44"/>
    <w:rsid w:val="371E359A"/>
    <w:rsid w:val="37225306"/>
    <w:rsid w:val="37227933"/>
    <w:rsid w:val="3725736F"/>
    <w:rsid w:val="377238F0"/>
    <w:rsid w:val="37735DD8"/>
    <w:rsid w:val="37B87E84"/>
    <w:rsid w:val="37BF2ED1"/>
    <w:rsid w:val="37DA0B41"/>
    <w:rsid w:val="37DD191E"/>
    <w:rsid w:val="37E515AE"/>
    <w:rsid w:val="380C7912"/>
    <w:rsid w:val="381846B4"/>
    <w:rsid w:val="38236F89"/>
    <w:rsid w:val="382D21BA"/>
    <w:rsid w:val="38383D3E"/>
    <w:rsid w:val="38385EF5"/>
    <w:rsid w:val="38637074"/>
    <w:rsid w:val="38697A82"/>
    <w:rsid w:val="387E180D"/>
    <w:rsid w:val="38B1249D"/>
    <w:rsid w:val="38B43A06"/>
    <w:rsid w:val="38BF212A"/>
    <w:rsid w:val="38DC599E"/>
    <w:rsid w:val="38F10CF9"/>
    <w:rsid w:val="38F664F4"/>
    <w:rsid w:val="38FF481D"/>
    <w:rsid w:val="39185737"/>
    <w:rsid w:val="39233807"/>
    <w:rsid w:val="39334BF1"/>
    <w:rsid w:val="393F72EF"/>
    <w:rsid w:val="39432FF0"/>
    <w:rsid w:val="394F5B57"/>
    <w:rsid w:val="396B5856"/>
    <w:rsid w:val="396E021D"/>
    <w:rsid w:val="39756F5A"/>
    <w:rsid w:val="39957901"/>
    <w:rsid w:val="39A9494A"/>
    <w:rsid w:val="39E6217A"/>
    <w:rsid w:val="39E972FE"/>
    <w:rsid w:val="39F3426D"/>
    <w:rsid w:val="3A027683"/>
    <w:rsid w:val="3A1120C1"/>
    <w:rsid w:val="3A1A4D37"/>
    <w:rsid w:val="3A46610D"/>
    <w:rsid w:val="3A5C534F"/>
    <w:rsid w:val="3A86181E"/>
    <w:rsid w:val="3A91205A"/>
    <w:rsid w:val="3A9C0F91"/>
    <w:rsid w:val="3AB619A2"/>
    <w:rsid w:val="3AD0284A"/>
    <w:rsid w:val="3AF1513B"/>
    <w:rsid w:val="3AF90273"/>
    <w:rsid w:val="3B0A5A56"/>
    <w:rsid w:val="3B183E87"/>
    <w:rsid w:val="3B1F6858"/>
    <w:rsid w:val="3B312E76"/>
    <w:rsid w:val="3B530501"/>
    <w:rsid w:val="3B603E1F"/>
    <w:rsid w:val="3B8B1C67"/>
    <w:rsid w:val="3B954FF7"/>
    <w:rsid w:val="3BC40F71"/>
    <w:rsid w:val="3BEC425C"/>
    <w:rsid w:val="3C0E3C43"/>
    <w:rsid w:val="3C207376"/>
    <w:rsid w:val="3C26487D"/>
    <w:rsid w:val="3C2F7D87"/>
    <w:rsid w:val="3C377CDA"/>
    <w:rsid w:val="3C3B0276"/>
    <w:rsid w:val="3C485B8B"/>
    <w:rsid w:val="3C580D2F"/>
    <w:rsid w:val="3C6009E1"/>
    <w:rsid w:val="3C601127"/>
    <w:rsid w:val="3C662C8F"/>
    <w:rsid w:val="3C727FFF"/>
    <w:rsid w:val="3C7544A7"/>
    <w:rsid w:val="3C805325"/>
    <w:rsid w:val="3CB216F4"/>
    <w:rsid w:val="3CBD684B"/>
    <w:rsid w:val="3CF3591C"/>
    <w:rsid w:val="3CF63160"/>
    <w:rsid w:val="3CFE6938"/>
    <w:rsid w:val="3D010F7C"/>
    <w:rsid w:val="3D3D7634"/>
    <w:rsid w:val="3D401C1C"/>
    <w:rsid w:val="3D473543"/>
    <w:rsid w:val="3D6F3A0F"/>
    <w:rsid w:val="3D6F7EA4"/>
    <w:rsid w:val="3D7A4060"/>
    <w:rsid w:val="3D7A4B49"/>
    <w:rsid w:val="3D923A0C"/>
    <w:rsid w:val="3D9537E3"/>
    <w:rsid w:val="3DAE590C"/>
    <w:rsid w:val="3DC7569D"/>
    <w:rsid w:val="3DD903F7"/>
    <w:rsid w:val="3DDC249D"/>
    <w:rsid w:val="3DF40654"/>
    <w:rsid w:val="3DF83775"/>
    <w:rsid w:val="3E065C4A"/>
    <w:rsid w:val="3E2B306F"/>
    <w:rsid w:val="3E394CB4"/>
    <w:rsid w:val="3E476558"/>
    <w:rsid w:val="3E4C5014"/>
    <w:rsid w:val="3E512E53"/>
    <w:rsid w:val="3E520883"/>
    <w:rsid w:val="3E652396"/>
    <w:rsid w:val="3E7A2248"/>
    <w:rsid w:val="3E906C09"/>
    <w:rsid w:val="3EA370A9"/>
    <w:rsid w:val="3EB2415C"/>
    <w:rsid w:val="3EC568C6"/>
    <w:rsid w:val="3ECD587E"/>
    <w:rsid w:val="3EF063A7"/>
    <w:rsid w:val="3EF85B60"/>
    <w:rsid w:val="3EFF66C6"/>
    <w:rsid w:val="3F0763D8"/>
    <w:rsid w:val="3F164A3D"/>
    <w:rsid w:val="3F1B30E3"/>
    <w:rsid w:val="3F1E5052"/>
    <w:rsid w:val="3F2808C8"/>
    <w:rsid w:val="3F291D8B"/>
    <w:rsid w:val="3F3270CF"/>
    <w:rsid w:val="3F45436B"/>
    <w:rsid w:val="3F626D3A"/>
    <w:rsid w:val="3F6D2C48"/>
    <w:rsid w:val="3F956391"/>
    <w:rsid w:val="3F9A3D5F"/>
    <w:rsid w:val="3FBC1912"/>
    <w:rsid w:val="3FBC26A0"/>
    <w:rsid w:val="3FD50AE3"/>
    <w:rsid w:val="3FE5711C"/>
    <w:rsid w:val="3FF525F2"/>
    <w:rsid w:val="401B7EF1"/>
    <w:rsid w:val="40296D17"/>
    <w:rsid w:val="402B0F4A"/>
    <w:rsid w:val="404412B1"/>
    <w:rsid w:val="4049475E"/>
    <w:rsid w:val="404C14EF"/>
    <w:rsid w:val="405859EA"/>
    <w:rsid w:val="408D78A0"/>
    <w:rsid w:val="4099647C"/>
    <w:rsid w:val="40A05660"/>
    <w:rsid w:val="40C03776"/>
    <w:rsid w:val="40C36BE9"/>
    <w:rsid w:val="40DC2D46"/>
    <w:rsid w:val="40F36F47"/>
    <w:rsid w:val="41181BEA"/>
    <w:rsid w:val="41231E08"/>
    <w:rsid w:val="413B58D0"/>
    <w:rsid w:val="414C0395"/>
    <w:rsid w:val="414E7502"/>
    <w:rsid w:val="41606318"/>
    <w:rsid w:val="41630D72"/>
    <w:rsid w:val="41683285"/>
    <w:rsid w:val="419F0609"/>
    <w:rsid w:val="41A67CE3"/>
    <w:rsid w:val="41C55060"/>
    <w:rsid w:val="41DA68BA"/>
    <w:rsid w:val="41DC3706"/>
    <w:rsid w:val="41DF1BFB"/>
    <w:rsid w:val="41EC1C89"/>
    <w:rsid w:val="41FA3722"/>
    <w:rsid w:val="420966BB"/>
    <w:rsid w:val="424C6C0A"/>
    <w:rsid w:val="42557E28"/>
    <w:rsid w:val="425767DC"/>
    <w:rsid w:val="425E43CE"/>
    <w:rsid w:val="426F6322"/>
    <w:rsid w:val="42702226"/>
    <w:rsid w:val="427E1619"/>
    <w:rsid w:val="429D2E2C"/>
    <w:rsid w:val="42A70BDE"/>
    <w:rsid w:val="42A81132"/>
    <w:rsid w:val="42AC6580"/>
    <w:rsid w:val="42AD2B81"/>
    <w:rsid w:val="42C06B42"/>
    <w:rsid w:val="42D74DC6"/>
    <w:rsid w:val="42F93A27"/>
    <w:rsid w:val="42FD26B3"/>
    <w:rsid w:val="43004EEC"/>
    <w:rsid w:val="43150C59"/>
    <w:rsid w:val="431A2A2C"/>
    <w:rsid w:val="43434B7B"/>
    <w:rsid w:val="4346662F"/>
    <w:rsid w:val="435C15FD"/>
    <w:rsid w:val="437F6C93"/>
    <w:rsid w:val="438416AD"/>
    <w:rsid w:val="43A55671"/>
    <w:rsid w:val="43AC46EF"/>
    <w:rsid w:val="43F138B1"/>
    <w:rsid w:val="43F33102"/>
    <w:rsid w:val="440C3942"/>
    <w:rsid w:val="443459F8"/>
    <w:rsid w:val="445C0661"/>
    <w:rsid w:val="44683560"/>
    <w:rsid w:val="447A08AC"/>
    <w:rsid w:val="44B87F40"/>
    <w:rsid w:val="44BC4E35"/>
    <w:rsid w:val="44C86176"/>
    <w:rsid w:val="44DF2E05"/>
    <w:rsid w:val="44F90386"/>
    <w:rsid w:val="44FC5765"/>
    <w:rsid w:val="45041A1C"/>
    <w:rsid w:val="451707F1"/>
    <w:rsid w:val="452366F3"/>
    <w:rsid w:val="4534316D"/>
    <w:rsid w:val="45371EF3"/>
    <w:rsid w:val="45392618"/>
    <w:rsid w:val="45402545"/>
    <w:rsid w:val="4555414A"/>
    <w:rsid w:val="4560294A"/>
    <w:rsid w:val="45637592"/>
    <w:rsid w:val="45833FED"/>
    <w:rsid w:val="45A373E2"/>
    <w:rsid w:val="45B60AD7"/>
    <w:rsid w:val="45BE0849"/>
    <w:rsid w:val="45C225FA"/>
    <w:rsid w:val="45C239A0"/>
    <w:rsid w:val="45E76A91"/>
    <w:rsid w:val="45F730E2"/>
    <w:rsid w:val="45F804FD"/>
    <w:rsid w:val="46100BB2"/>
    <w:rsid w:val="464D66FD"/>
    <w:rsid w:val="4668065B"/>
    <w:rsid w:val="46687D40"/>
    <w:rsid w:val="46714440"/>
    <w:rsid w:val="467153EA"/>
    <w:rsid w:val="468F3F55"/>
    <w:rsid w:val="469311A1"/>
    <w:rsid w:val="46972481"/>
    <w:rsid w:val="46B0631F"/>
    <w:rsid w:val="46B92938"/>
    <w:rsid w:val="46DF10ED"/>
    <w:rsid w:val="46E60531"/>
    <w:rsid w:val="46F54466"/>
    <w:rsid w:val="46F5747F"/>
    <w:rsid w:val="470D5947"/>
    <w:rsid w:val="471C502F"/>
    <w:rsid w:val="472A1C2F"/>
    <w:rsid w:val="473A7B31"/>
    <w:rsid w:val="473F2A28"/>
    <w:rsid w:val="47461C71"/>
    <w:rsid w:val="47490241"/>
    <w:rsid w:val="47522510"/>
    <w:rsid w:val="475226B7"/>
    <w:rsid w:val="477B7BF9"/>
    <w:rsid w:val="478C7274"/>
    <w:rsid w:val="47A17504"/>
    <w:rsid w:val="47A72000"/>
    <w:rsid w:val="47AD6995"/>
    <w:rsid w:val="47EC65DD"/>
    <w:rsid w:val="47F912B4"/>
    <w:rsid w:val="480870D6"/>
    <w:rsid w:val="48124CD0"/>
    <w:rsid w:val="4813365D"/>
    <w:rsid w:val="481C1C7A"/>
    <w:rsid w:val="48544C5D"/>
    <w:rsid w:val="485B2DD8"/>
    <w:rsid w:val="48824E96"/>
    <w:rsid w:val="488841DB"/>
    <w:rsid w:val="488E4926"/>
    <w:rsid w:val="488F751A"/>
    <w:rsid w:val="48A97BAE"/>
    <w:rsid w:val="48B94799"/>
    <w:rsid w:val="48DE105D"/>
    <w:rsid w:val="48E05F8B"/>
    <w:rsid w:val="49075F93"/>
    <w:rsid w:val="4907721A"/>
    <w:rsid w:val="49415542"/>
    <w:rsid w:val="494372C2"/>
    <w:rsid w:val="4945688B"/>
    <w:rsid w:val="49490401"/>
    <w:rsid w:val="494A6D61"/>
    <w:rsid w:val="49674CED"/>
    <w:rsid w:val="496A41BD"/>
    <w:rsid w:val="497924D6"/>
    <w:rsid w:val="497B2F65"/>
    <w:rsid w:val="49851C09"/>
    <w:rsid w:val="49AA7DF1"/>
    <w:rsid w:val="49B37253"/>
    <w:rsid w:val="49CA7BE0"/>
    <w:rsid w:val="49D8709E"/>
    <w:rsid w:val="49E3500C"/>
    <w:rsid w:val="49F05058"/>
    <w:rsid w:val="4A1B6B46"/>
    <w:rsid w:val="4A201680"/>
    <w:rsid w:val="4A3B4335"/>
    <w:rsid w:val="4A445061"/>
    <w:rsid w:val="4A544A27"/>
    <w:rsid w:val="4A7315C2"/>
    <w:rsid w:val="4A7D2570"/>
    <w:rsid w:val="4A86077A"/>
    <w:rsid w:val="4A9F092F"/>
    <w:rsid w:val="4AB34ACD"/>
    <w:rsid w:val="4AD40242"/>
    <w:rsid w:val="4ADA5F2B"/>
    <w:rsid w:val="4AE64A75"/>
    <w:rsid w:val="4B185C3F"/>
    <w:rsid w:val="4B2A6428"/>
    <w:rsid w:val="4B603761"/>
    <w:rsid w:val="4B747171"/>
    <w:rsid w:val="4B767E95"/>
    <w:rsid w:val="4B8450D0"/>
    <w:rsid w:val="4B871B00"/>
    <w:rsid w:val="4B964F6D"/>
    <w:rsid w:val="4B9D78B2"/>
    <w:rsid w:val="4BA00395"/>
    <w:rsid w:val="4BA16EFA"/>
    <w:rsid w:val="4BBB6E8D"/>
    <w:rsid w:val="4BC474BD"/>
    <w:rsid w:val="4BCD3735"/>
    <w:rsid w:val="4BD11AEB"/>
    <w:rsid w:val="4BD35B9A"/>
    <w:rsid w:val="4BE14B27"/>
    <w:rsid w:val="4C0112BA"/>
    <w:rsid w:val="4C1D1C48"/>
    <w:rsid w:val="4C2B42CE"/>
    <w:rsid w:val="4C3127BF"/>
    <w:rsid w:val="4C590416"/>
    <w:rsid w:val="4C5D37B5"/>
    <w:rsid w:val="4C682EEE"/>
    <w:rsid w:val="4C783DA9"/>
    <w:rsid w:val="4C9B7CF9"/>
    <w:rsid w:val="4CA00282"/>
    <w:rsid w:val="4CA54071"/>
    <w:rsid w:val="4CAC7F8B"/>
    <w:rsid w:val="4CAE37E9"/>
    <w:rsid w:val="4CBA1290"/>
    <w:rsid w:val="4CBB5905"/>
    <w:rsid w:val="4CC346AC"/>
    <w:rsid w:val="4CDC11BF"/>
    <w:rsid w:val="4CE44275"/>
    <w:rsid w:val="4CED0D52"/>
    <w:rsid w:val="4D336BF4"/>
    <w:rsid w:val="4D4203D5"/>
    <w:rsid w:val="4D4E1D6A"/>
    <w:rsid w:val="4D5919D7"/>
    <w:rsid w:val="4D5B161B"/>
    <w:rsid w:val="4D676599"/>
    <w:rsid w:val="4D6F3665"/>
    <w:rsid w:val="4D737DF8"/>
    <w:rsid w:val="4DA24324"/>
    <w:rsid w:val="4DAD3044"/>
    <w:rsid w:val="4DBB41D6"/>
    <w:rsid w:val="4DED1250"/>
    <w:rsid w:val="4DED5C61"/>
    <w:rsid w:val="4DF07B9B"/>
    <w:rsid w:val="4DF21B45"/>
    <w:rsid w:val="4DF41387"/>
    <w:rsid w:val="4E056021"/>
    <w:rsid w:val="4E083C63"/>
    <w:rsid w:val="4E305E8F"/>
    <w:rsid w:val="4E3E6654"/>
    <w:rsid w:val="4E44189E"/>
    <w:rsid w:val="4E5616EC"/>
    <w:rsid w:val="4E5976A9"/>
    <w:rsid w:val="4E8F351A"/>
    <w:rsid w:val="4EA002DA"/>
    <w:rsid w:val="4EA12ED9"/>
    <w:rsid w:val="4EA4544E"/>
    <w:rsid w:val="4EB642D5"/>
    <w:rsid w:val="4EC21913"/>
    <w:rsid w:val="4EE103BD"/>
    <w:rsid w:val="4F124412"/>
    <w:rsid w:val="4F312180"/>
    <w:rsid w:val="4F32668A"/>
    <w:rsid w:val="4F443F90"/>
    <w:rsid w:val="4F53261D"/>
    <w:rsid w:val="4F6C1DA7"/>
    <w:rsid w:val="4F72007F"/>
    <w:rsid w:val="4F74161A"/>
    <w:rsid w:val="4F793519"/>
    <w:rsid w:val="4F7A15B8"/>
    <w:rsid w:val="4F7B14BC"/>
    <w:rsid w:val="4F9325A6"/>
    <w:rsid w:val="4FE54CF8"/>
    <w:rsid w:val="4FEC6F37"/>
    <w:rsid w:val="50045E65"/>
    <w:rsid w:val="5013205A"/>
    <w:rsid w:val="50376A42"/>
    <w:rsid w:val="50504BEF"/>
    <w:rsid w:val="505D2EAC"/>
    <w:rsid w:val="506928E4"/>
    <w:rsid w:val="507956C4"/>
    <w:rsid w:val="507B1B23"/>
    <w:rsid w:val="5094661F"/>
    <w:rsid w:val="50987566"/>
    <w:rsid w:val="509A45D8"/>
    <w:rsid w:val="509D3DAA"/>
    <w:rsid w:val="50A24C75"/>
    <w:rsid w:val="50B40124"/>
    <w:rsid w:val="50BF6984"/>
    <w:rsid w:val="50D74521"/>
    <w:rsid w:val="50DB17A5"/>
    <w:rsid w:val="50E35A2B"/>
    <w:rsid w:val="50E74AF8"/>
    <w:rsid w:val="510E2C37"/>
    <w:rsid w:val="511A2EB4"/>
    <w:rsid w:val="51260B39"/>
    <w:rsid w:val="5144471C"/>
    <w:rsid w:val="514914C0"/>
    <w:rsid w:val="514F1ACC"/>
    <w:rsid w:val="51660DAD"/>
    <w:rsid w:val="51826465"/>
    <w:rsid w:val="51D07209"/>
    <w:rsid w:val="51ED28DB"/>
    <w:rsid w:val="51EF337D"/>
    <w:rsid w:val="51FA5962"/>
    <w:rsid w:val="52017789"/>
    <w:rsid w:val="520E3099"/>
    <w:rsid w:val="52234FCD"/>
    <w:rsid w:val="52274682"/>
    <w:rsid w:val="522E2CD6"/>
    <w:rsid w:val="52485DB3"/>
    <w:rsid w:val="52775D30"/>
    <w:rsid w:val="527F119D"/>
    <w:rsid w:val="52944F27"/>
    <w:rsid w:val="529A179A"/>
    <w:rsid w:val="52F83C37"/>
    <w:rsid w:val="53505617"/>
    <w:rsid w:val="535F2EBB"/>
    <w:rsid w:val="53796226"/>
    <w:rsid w:val="539406C4"/>
    <w:rsid w:val="539F3A83"/>
    <w:rsid w:val="539F6178"/>
    <w:rsid w:val="53B67728"/>
    <w:rsid w:val="53B92BED"/>
    <w:rsid w:val="53C03E02"/>
    <w:rsid w:val="53CD67D4"/>
    <w:rsid w:val="53DC1DC4"/>
    <w:rsid w:val="53DF065D"/>
    <w:rsid w:val="53E26D38"/>
    <w:rsid w:val="53EF7165"/>
    <w:rsid w:val="53F4497D"/>
    <w:rsid w:val="541F5701"/>
    <w:rsid w:val="54232489"/>
    <w:rsid w:val="543C3113"/>
    <w:rsid w:val="54620F12"/>
    <w:rsid w:val="546B4F37"/>
    <w:rsid w:val="547005D8"/>
    <w:rsid w:val="54711D95"/>
    <w:rsid w:val="54785A5E"/>
    <w:rsid w:val="54897774"/>
    <w:rsid w:val="549160F4"/>
    <w:rsid w:val="549C7AAA"/>
    <w:rsid w:val="549F7EBB"/>
    <w:rsid w:val="54C969A0"/>
    <w:rsid w:val="54E16D76"/>
    <w:rsid w:val="54F3439D"/>
    <w:rsid w:val="55083CB2"/>
    <w:rsid w:val="550E5E99"/>
    <w:rsid w:val="551E59F9"/>
    <w:rsid w:val="552407A3"/>
    <w:rsid w:val="552433F4"/>
    <w:rsid w:val="55256E5C"/>
    <w:rsid w:val="552E30A9"/>
    <w:rsid w:val="553050B0"/>
    <w:rsid w:val="554274DF"/>
    <w:rsid w:val="554E0741"/>
    <w:rsid w:val="555472DE"/>
    <w:rsid w:val="555B3055"/>
    <w:rsid w:val="555D3D8A"/>
    <w:rsid w:val="559612BE"/>
    <w:rsid w:val="559A3AFF"/>
    <w:rsid w:val="55A5242C"/>
    <w:rsid w:val="55B82B9F"/>
    <w:rsid w:val="55D63B38"/>
    <w:rsid w:val="55DD1092"/>
    <w:rsid w:val="55DD5DA9"/>
    <w:rsid w:val="55E41B6A"/>
    <w:rsid w:val="55F263E2"/>
    <w:rsid w:val="55F50805"/>
    <w:rsid w:val="561F0C3E"/>
    <w:rsid w:val="562F597A"/>
    <w:rsid w:val="56383DC9"/>
    <w:rsid w:val="563927A9"/>
    <w:rsid w:val="564E1B99"/>
    <w:rsid w:val="56575D4A"/>
    <w:rsid w:val="56676AEF"/>
    <w:rsid w:val="567710EF"/>
    <w:rsid w:val="56916559"/>
    <w:rsid w:val="56952EFD"/>
    <w:rsid w:val="569B61BE"/>
    <w:rsid w:val="56A81A8F"/>
    <w:rsid w:val="56C30FD1"/>
    <w:rsid w:val="56C337D5"/>
    <w:rsid w:val="56CF6FE9"/>
    <w:rsid w:val="56DF1078"/>
    <w:rsid w:val="56F86DD6"/>
    <w:rsid w:val="56FD166E"/>
    <w:rsid w:val="56FD3863"/>
    <w:rsid w:val="5703501E"/>
    <w:rsid w:val="570A3D11"/>
    <w:rsid w:val="573F71E7"/>
    <w:rsid w:val="57487D48"/>
    <w:rsid w:val="57593E38"/>
    <w:rsid w:val="575B7AEE"/>
    <w:rsid w:val="5760193C"/>
    <w:rsid w:val="57625063"/>
    <w:rsid w:val="57723665"/>
    <w:rsid w:val="57812E00"/>
    <w:rsid w:val="57902273"/>
    <w:rsid w:val="579A2606"/>
    <w:rsid w:val="57A66A82"/>
    <w:rsid w:val="57BE4AFC"/>
    <w:rsid w:val="57D51C25"/>
    <w:rsid w:val="57DD0A64"/>
    <w:rsid w:val="585B6D7A"/>
    <w:rsid w:val="58617D01"/>
    <w:rsid w:val="58743E37"/>
    <w:rsid w:val="589715D5"/>
    <w:rsid w:val="589B7F70"/>
    <w:rsid w:val="58A77395"/>
    <w:rsid w:val="58AC3D5C"/>
    <w:rsid w:val="58D83DD1"/>
    <w:rsid w:val="58DB2FF0"/>
    <w:rsid w:val="58DF0893"/>
    <w:rsid w:val="58E85C6B"/>
    <w:rsid w:val="58EA6137"/>
    <w:rsid w:val="58F23C38"/>
    <w:rsid w:val="590D718C"/>
    <w:rsid w:val="591C7D2C"/>
    <w:rsid w:val="592340EB"/>
    <w:rsid w:val="593311DC"/>
    <w:rsid w:val="5975259B"/>
    <w:rsid w:val="599B4D8A"/>
    <w:rsid w:val="59AF0C8F"/>
    <w:rsid w:val="59EA4ACE"/>
    <w:rsid w:val="5A0E2BFB"/>
    <w:rsid w:val="5A142D37"/>
    <w:rsid w:val="5A144EA7"/>
    <w:rsid w:val="5A304D8C"/>
    <w:rsid w:val="5A34799E"/>
    <w:rsid w:val="5A5334FD"/>
    <w:rsid w:val="5AAC3830"/>
    <w:rsid w:val="5AAE2000"/>
    <w:rsid w:val="5AD60A52"/>
    <w:rsid w:val="5ADF69B2"/>
    <w:rsid w:val="5AE10618"/>
    <w:rsid w:val="5AF075C8"/>
    <w:rsid w:val="5AFE0E6A"/>
    <w:rsid w:val="5B226B8A"/>
    <w:rsid w:val="5B42452C"/>
    <w:rsid w:val="5B431A4A"/>
    <w:rsid w:val="5B461E74"/>
    <w:rsid w:val="5B4D3762"/>
    <w:rsid w:val="5B971E59"/>
    <w:rsid w:val="5B9D4663"/>
    <w:rsid w:val="5BA34E69"/>
    <w:rsid w:val="5BA57104"/>
    <w:rsid w:val="5BAB60E8"/>
    <w:rsid w:val="5BB55DDF"/>
    <w:rsid w:val="5BC66116"/>
    <w:rsid w:val="5BD10109"/>
    <w:rsid w:val="5BE74688"/>
    <w:rsid w:val="5BEB1544"/>
    <w:rsid w:val="5C0F4D6F"/>
    <w:rsid w:val="5C135436"/>
    <w:rsid w:val="5C147BE6"/>
    <w:rsid w:val="5C25514A"/>
    <w:rsid w:val="5C2E6FD7"/>
    <w:rsid w:val="5C376A17"/>
    <w:rsid w:val="5C3D5B2D"/>
    <w:rsid w:val="5C446E76"/>
    <w:rsid w:val="5C5C5A87"/>
    <w:rsid w:val="5C5F05F6"/>
    <w:rsid w:val="5C610D7B"/>
    <w:rsid w:val="5C845CB7"/>
    <w:rsid w:val="5C924BA4"/>
    <w:rsid w:val="5C9D0FF5"/>
    <w:rsid w:val="5CBA47AC"/>
    <w:rsid w:val="5CBE6030"/>
    <w:rsid w:val="5CDF7904"/>
    <w:rsid w:val="5CEB35C0"/>
    <w:rsid w:val="5CFE5D52"/>
    <w:rsid w:val="5D0601B9"/>
    <w:rsid w:val="5D0B4F44"/>
    <w:rsid w:val="5D1F7DEB"/>
    <w:rsid w:val="5D221657"/>
    <w:rsid w:val="5D313C24"/>
    <w:rsid w:val="5D402CB9"/>
    <w:rsid w:val="5D48660D"/>
    <w:rsid w:val="5D6469BA"/>
    <w:rsid w:val="5D816133"/>
    <w:rsid w:val="5D96002C"/>
    <w:rsid w:val="5D9E3B68"/>
    <w:rsid w:val="5DB74FEB"/>
    <w:rsid w:val="5E02773A"/>
    <w:rsid w:val="5E047C0D"/>
    <w:rsid w:val="5E09467A"/>
    <w:rsid w:val="5E12148A"/>
    <w:rsid w:val="5E157D79"/>
    <w:rsid w:val="5E227B93"/>
    <w:rsid w:val="5E54045B"/>
    <w:rsid w:val="5E551FA8"/>
    <w:rsid w:val="5E5A5D2E"/>
    <w:rsid w:val="5E7D0099"/>
    <w:rsid w:val="5E84255C"/>
    <w:rsid w:val="5E987E55"/>
    <w:rsid w:val="5EAB4FEB"/>
    <w:rsid w:val="5EB717A4"/>
    <w:rsid w:val="5EBB38E1"/>
    <w:rsid w:val="5EC62EAD"/>
    <w:rsid w:val="5EF863A1"/>
    <w:rsid w:val="5F1F3836"/>
    <w:rsid w:val="5F23206C"/>
    <w:rsid w:val="5F3F5C59"/>
    <w:rsid w:val="5F42611B"/>
    <w:rsid w:val="5FAE34B2"/>
    <w:rsid w:val="5FB56B9A"/>
    <w:rsid w:val="5FC53EA4"/>
    <w:rsid w:val="5FC80274"/>
    <w:rsid w:val="5FEB2087"/>
    <w:rsid w:val="5FFE35E1"/>
    <w:rsid w:val="601E6760"/>
    <w:rsid w:val="6047069C"/>
    <w:rsid w:val="6049667C"/>
    <w:rsid w:val="60577B63"/>
    <w:rsid w:val="605D6288"/>
    <w:rsid w:val="608E7761"/>
    <w:rsid w:val="609F1058"/>
    <w:rsid w:val="60AE49C0"/>
    <w:rsid w:val="60B007A2"/>
    <w:rsid w:val="60BC7E32"/>
    <w:rsid w:val="60CF0BDA"/>
    <w:rsid w:val="60D51BC6"/>
    <w:rsid w:val="60EC6C65"/>
    <w:rsid w:val="60EF129E"/>
    <w:rsid w:val="610703E7"/>
    <w:rsid w:val="610942A3"/>
    <w:rsid w:val="611A36A1"/>
    <w:rsid w:val="6126627C"/>
    <w:rsid w:val="613D18B9"/>
    <w:rsid w:val="614C6677"/>
    <w:rsid w:val="61944392"/>
    <w:rsid w:val="619F62BB"/>
    <w:rsid w:val="61AF4F12"/>
    <w:rsid w:val="61B139E9"/>
    <w:rsid w:val="61B30D6E"/>
    <w:rsid w:val="61E626B5"/>
    <w:rsid w:val="61F6319D"/>
    <w:rsid w:val="61FB346D"/>
    <w:rsid w:val="6201768D"/>
    <w:rsid w:val="621A60BA"/>
    <w:rsid w:val="622758AC"/>
    <w:rsid w:val="624F1172"/>
    <w:rsid w:val="625135B1"/>
    <w:rsid w:val="62747A3D"/>
    <w:rsid w:val="628B4387"/>
    <w:rsid w:val="629E3798"/>
    <w:rsid w:val="62A7041D"/>
    <w:rsid w:val="62C23A3B"/>
    <w:rsid w:val="62E1204D"/>
    <w:rsid w:val="62ED7301"/>
    <w:rsid w:val="6310387B"/>
    <w:rsid w:val="63121ACA"/>
    <w:rsid w:val="63247994"/>
    <w:rsid w:val="63691809"/>
    <w:rsid w:val="638E648F"/>
    <w:rsid w:val="63A7460D"/>
    <w:rsid w:val="63D11E16"/>
    <w:rsid w:val="63D12A9E"/>
    <w:rsid w:val="63D14A1D"/>
    <w:rsid w:val="63E654CA"/>
    <w:rsid w:val="63E928BD"/>
    <w:rsid w:val="63F012B1"/>
    <w:rsid w:val="63F8696A"/>
    <w:rsid w:val="641E24E4"/>
    <w:rsid w:val="64316908"/>
    <w:rsid w:val="644274C5"/>
    <w:rsid w:val="645341FF"/>
    <w:rsid w:val="6456713A"/>
    <w:rsid w:val="646D6694"/>
    <w:rsid w:val="64884E90"/>
    <w:rsid w:val="64960F65"/>
    <w:rsid w:val="64962E6A"/>
    <w:rsid w:val="64B522CA"/>
    <w:rsid w:val="64C71FC9"/>
    <w:rsid w:val="64CD65E2"/>
    <w:rsid w:val="64D023BB"/>
    <w:rsid w:val="64D30232"/>
    <w:rsid w:val="64E62A09"/>
    <w:rsid w:val="64FD16B5"/>
    <w:rsid w:val="650107A5"/>
    <w:rsid w:val="65021802"/>
    <w:rsid w:val="65240694"/>
    <w:rsid w:val="652960ED"/>
    <w:rsid w:val="65542320"/>
    <w:rsid w:val="65586590"/>
    <w:rsid w:val="65586FEA"/>
    <w:rsid w:val="656F677D"/>
    <w:rsid w:val="65813C49"/>
    <w:rsid w:val="658B4366"/>
    <w:rsid w:val="658E00B5"/>
    <w:rsid w:val="65920347"/>
    <w:rsid w:val="65EA5E34"/>
    <w:rsid w:val="65FC4B34"/>
    <w:rsid w:val="66000869"/>
    <w:rsid w:val="66092EF7"/>
    <w:rsid w:val="6616520B"/>
    <w:rsid w:val="66274345"/>
    <w:rsid w:val="664621FE"/>
    <w:rsid w:val="665F7929"/>
    <w:rsid w:val="66640801"/>
    <w:rsid w:val="667878EE"/>
    <w:rsid w:val="66815672"/>
    <w:rsid w:val="668876B0"/>
    <w:rsid w:val="668926A2"/>
    <w:rsid w:val="66930427"/>
    <w:rsid w:val="669E782C"/>
    <w:rsid w:val="66A73B58"/>
    <w:rsid w:val="66B41026"/>
    <w:rsid w:val="66C1556A"/>
    <w:rsid w:val="66F308D8"/>
    <w:rsid w:val="67024DD6"/>
    <w:rsid w:val="6715113E"/>
    <w:rsid w:val="67301B85"/>
    <w:rsid w:val="673E5311"/>
    <w:rsid w:val="675D72E6"/>
    <w:rsid w:val="67673F42"/>
    <w:rsid w:val="6783612B"/>
    <w:rsid w:val="67A57AA1"/>
    <w:rsid w:val="67AC2808"/>
    <w:rsid w:val="67AD37C1"/>
    <w:rsid w:val="67FA56DC"/>
    <w:rsid w:val="67FA5D06"/>
    <w:rsid w:val="68130719"/>
    <w:rsid w:val="68194362"/>
    <w:rsid w:val="682C1A00"/>
    <w:rsid w:val="6832133F"/>
    <w:rsid w:val="683902C1"/>
    <w:rsid w:val="68393CDE"/>
    <w:rsid w:val="68530FFC"/>
    <w:rsid w:val="689E282D"/>
    <w:rsid w:val="68AC630D"/>
    <w:rsid w:val="68BB1472"/>
    <w:rsid w:val="68BC0BE4"/>
    <w:rsid w:val="68BC740F"/>
    <w:rsid w:val="68D458E5"/>
    <w:rsid w:val="68F0485E"/>
    <w:rsid w:val="68F33FA2"/>
    <w:rsid w:val="68F81F90"/>
    <w:rsid w:val="68F91E38"/>
    <w:rsid w:val="68FA2A14"/>
    <w:rsid w:val="68FFB27C"/>
    <w:rsid w:val="691F6928"/>
    <w:rsid w:val="69217A0B"/>
    <w:rsid w:val="6928655F"/>
    <w:rsid w:val="693370F8"/>
    <w:rsid w:val="693910C9"/>
    <w:rsid w:val="693B6262"/>
    <w:rsid w:val="69580538"/>
    <w:rsid w:val="695B09A3"/>
    <w:rsid w:val="697B45FB"/>
    <w:rsid w:val="69873CB7"/>
    <w:rsid w:val="69970F50"/>
    <w:rsid w:val="699D27C3"/>
    <w:rsid w:val="69C42446"/>
    <w:rsid w:val="69D232B7"/>
    <w:rsid w:val="69D350CC"/>
    <w:rsid w:val="69D95727"/>
    <w:rsid w:val="69DE01D6"/>
    <w:rsid w:val="69EB6954"/>
    <w:rsid w:val="69EF258C"/>
    <w:rsid w:val="6A104EFC"/>
    <w:rsid w:val="6A370CC1"/>
    <w:rsid w:val="6A3C2CAE"/>
    <w:rsid w:val="6A42201C"/>
    <w:rsid w:val="6A661A33"/>
    <w:rsid w:val="6A6D5267"/>
    <w:rsid w:val="6A6F301B"/>
    <w:rsid w:val="6A7C7C71"/>
    <w:rsid w:val="6A861A5C"/>
    <w:rsid w:val="6A9C494F"/>
    <w:rsid w:val="6AC94753"/>
    <w:rsid w:val="6AD863F4"/>
    <w:rsid w:val="6ADF1F02"/>
    <w:rsid w:val="6AE01F43"/>
    <w:rsid w:val="6AE663EC"/>
    <w:rsid w:val="6AEA61BC"/>
    <w:rsid w:val="6AEB77F4"/>
    <w:rsid w:val="6AF2325E"/>
    <w:rsid w:val="6AF8446A"/>
    <w:rsid w:val="6B2F472F"/>
    <w:rsid w:val="6B547D9C"/>
    <w:rsid w:val="6B7D3886"/>
    <w:rsid w:val="6B804E6F"/>
    <w:rsid w:val="6B884D1B"/>
    <w:rsid w:val="6B9B71D6"/>
    <w:rsid w:val="6B9F218D"/>
    <w:rsid w:val="6BCD255C"/>
    <w:rsid w:val="6BD35BB1"/>
    <w:rsid w:val="6BE1394E"/>
    <w:rsid w:val="6C387E59"/>
    <w:rsid w:val="6C5B5A67"/>
    <w:rsid w:val="6C705245"/>
    <w:rsid w:val="6C7B1437"/>
    <w:rsid w:val="6C8625DB"/>
    <w:rsid w:val="6C866B30"/>
    <w:rsid w:val="6C9A12DE"/>
    <w:rsid w:val="6C9C4351"/>
    <w:rsid w:val="6C9E7C0C"/>
    <w:rsid w:val="6CED3D9E"/>
    <w:rsid w:val="6D2428B6"/>
    <w:rsid w:val="6D4838E0"/>
    <w:rsid w:val="6D643EB4"/>
    <w:rsid w:val="6D6D347A"/>
    <w:rsid w:val="6D6E5977"/>
    <w:rsid w:val="6D7A3069"/>
    <w:rsid w:val="6D8930FC"/>
    <w:rsid w:val="6DA06E95"/>
    <w:rsid w:val="6DAC0E0C"/>
    <w:rsid w:val="6DBB0CF3"/>
    <w:rsid w:val="6DC8568C"/>
    <w:rsid w:val="6DCB42E2"/>
    <w:rsid w:val="6DDB511C"/>
    <w:rsid w:val="6DE557E6"/>
    <w:rsid w:val="6E150C6D"/>
    <w:rsid w:val="6E222F10"/>
    <w:rsid w:val="6E2C5DEA"/>
    <w:rsid w:val="6E46167B"/>
    <w:rsid w:val="6E480461"/>
    <w:rsid w:val="6E48193B"/>
    <w:rsid w:val="6E5579FD"/>
    <w:rsid w:val="6E5C30E1"/>
    <w:rsid w:val="6E6B5A3C"/>
    <w:rsid w:val="6E731AD6"/>
    <w:rsid w:val="6E944B83"/>
    <w:rsid w:val="6E9C37E3"/>
    <w:rsid w:val="6E9F4D96"/>
    <w:rsid w:val="6EDA4C28"/>
    <w:rsid w:val="6EF07839"/>
    <w:rsid w:val="6EFB3413"/>
    <w:rsid w:val="6EFD0845"/>
    <w:rsid w:val="6F022D1A"/>
    <w:rsid w:val="6F132C1E"/>
    <w:rsid w:val="6F14706F"/>
    <w:rsid w:val="6F18019A"/>
    <w:rsid w:val="6F421372"/>
    <w:rsid w:val="6F565098"/>
    <w:rsid w:val="6F573DFF"/>
    <w:rsid w:val="6F58044D"/>
    <w:rsid w:val="6F6477A9"/>
    <w:rsid w:val="6F66668B"/>
    <w:rsid w:val="6F750D54"/>
    <w:rsid w:val="6F8073E4"/>
    <w:rsid w:val="6F93B1CA"/>
    <w:rsid w:val="6F9D4EAA"/>
    <w:rsid w:val="6FBC36FE"/>
    <w:rsid w:val="6FC0545D"/>
    <w:rsid w:val="6FF628E9"/>
    <w:rsid w:val="700D1198"/>
    <w:rsid w:val="70161AAC"/>
    <w:rsid w:val="701B21DD"/>
    <w:rsid w:val="701F1FF4"/>
    <w:rsid w:val="70346D04"/>
    <w:rsid w:val="70432E4B"/>
    <w:rsid w:val="705545FE"/>
    <w:rsid w:val="70586F9C"/>
    <w:rsid w:val="708159DE"/>
    <w:rsid w:val="708D23D2"/>
    <w:rsid w:val="70AA67F9"/>
    <w:rsid w:val="70E433CD"/>
    <w:rsid w:val="70F25AEA"/>
    <w:rsid w:val="710260FA"/>
    <w:rsid w:val="710B293A"/>
    <w:rsid w:val="71124B74"/>
    <w:rsid w:val="713069E7"/>
    <w:rsid w:val="71431EA2"/>
    <w:rsid w:val="71476952"/>
    <w:rsid w:val="716112E1"/>
    <w:rsid w:val="71856D0C"/>
    <w:rsid w:val="71900427"/>
    <w:rsid w:val="71990363"/>
    <w:rsid w:val="71B30207"/>
    <w:rsid w:val="71B30FF0"/>
    <w:rsid w:val="71CA611F"/>
    <w:rsid w:val="71D075FE"/>
    <w:rsid w:val="71EC4AFB"/>
    <w:rsid w:val="71EF3819"/>
    <w:rsid w:val="71FF35FA"/>
    <w:rsid w:val="720154B6"/>
    <w:rsid w:val="72020261"/>
    <w:rsid w:val="72064B2D"/>
    <w:rsid w:val="721F4D5E"/>
    <w:rsid w:val="72284EAE"/>
    <w:rsid w:val="723B1E5C"/>
    <w:rsid w:val="723B5E0C"/>
    <w:rsid w:val="72404382"/>
    <w:rsid w:val="72471037"/>
    <w:rsid w:val="72507D09"/>
    <w:rsid w:val="725D42D9"/>
    <w:rsid w:val="7260088E"/>
    <w:rsid w:val="726C6F84"/>
    <w:rsid w:val="726E0DB1"/>
    <w:rsid w:val="7295239E"/>
    <w:rsid w:val="72A92925"/>
    <w:rsid w:val="72D37E55"/>
    <w:rsid w:val="72E878E2"/>
    <w:rsid w:val="72E9243B"/>
    <w:rsid w:val="72F3049B"/>
    <w:rsid w:val="72FB146A"/>
    <w:rsid w:val="730F5118"/>
    <w:rsid w:val="73154BDF"/>
    <w:rsid w:val="731A0F9A"/>
    <w:rsid w:val="731A56C1"/>
    <w:rsid w:val="731C421F"/>
    <w:rsid w:val="73263829"/>
    <w:rsid w:val="735B7EFD"/>
    <w:rsid w:val="73661E82"/>
    <w:rsid w:val="73682094"/>
    <w:rsid w:val="737B2654"/>
    <w:rsid w:val="73C54E87"/>
    <w:rsid w:val="73C642E9"/>
    <w:rsid w:val="73C7367A"/>
    <w:rsid w:val="73CE0BB5"/>
    <w:rsid w:val="73D55378"/>
    <w:rsid w:val="740C18F7"/>
    <w:rsid w:val="74136DC0"/>
    <w:rsid w:val="74353534"/>
    <w:rsid w:val="74577C79"/>
    <w:rsid w:val="745B748A"/>
    <w:rsid w:val="746A5CE0"/>
    <w:rsid w:val="748C4463"/>
    <w:rsid w:val="748F4A0F"/>
    <w:rsid w:val="74A80B8B"/>
    <w:rsid w:val="74AB224A"/>
    <w:rsid w:val="74AC3AD6"/>
    <w:rsid w:val="74AD4E9D"/>
    <w:rsid w:val="74CB7EBC"/>
    <w:rsid w:val="74D61079"/>
    <w:rsid w:val="74E77CF2"/>
    <w:rsid w:val="74EA07C2"/>
    <w:rsid w:val="74F73C70"/>
    <w:rsid w:val="751A0B78"/>
    <w:rsid w:val="75537292"/>
    <w:rsid w:val="75590FD1"/>
    <w:rsid w:val="75595A2C"/>
    <w:rsid w:val="756E47F6"/>
    <w:rsid w:val="7573EA39"/>
    <w:rsid w:val="7577498F"/>
    <w:rsid w:val="75802848"/>
    <w:rsid w:val="758D09DB"/>
    <w:rsid w:val="75AD2553"/>
    <w:rsid w:val="75B143AB"/>
    <w:rsid w:val="75E96D9A"/>
    <w:rsid w:val="75FB6DC0"/>
    <w:rsid w:val="75FC57C0"/>
    <w:rsid w:val="761E6A3A"/>
    <w:rsid w:val="764667C5"/>
    <w:rsid w:val="76486300"/>
    <w:rsid w:val="76612E69"/>
    <w:rsid w:val="766457E1"/>
    <w:rsid w:val="76646708"/>
    <w:rsid w:val="76654879"/>
    <w:rsid w:val="76822D80"/>
    <w:rsid w:val="76884062"/>
    <w:rsid w:val="76A9541B"/>
    <w:rsid w:val="76B727A1"/>
    <w:rsid w:val="76BF6794"/>
    <w:rsid w:val="76D572EE"/>
    <w:rsid w:val="76D72C36"/>
    <w:rsid w:val="771C0673"/>
    <w:rsid w:val="7737735C"/>
    <w:rsid w:val="773C09D1"/>
    <w:rsid w:val="7758241F"/>
    <w:rsid w:val="77641BAA"/>
    <w:rsid w:val="77993045"/>
    <w:rsid w:val="77A80638"/>
    <w:rsid w:val="77C465EB"/>
    <w:rsid w:val="77C47BFC"/>
    <w:rsid w:val="77D5581E"/>
    <w:rsid w:val="77F51A1C"/>
    <w:rsid w:val="78085BF3"/>
    <w:rsid w:val="78262FA8"/>
    <w:rsid w:val="78397A29"/>
    <w:rsid w:val="783D2EA5"/>
    <w:rsid w:val="785123A8"/>
    <w:rsid w:val="785323F6"/>
    <w:rsid w:val="786334A0"/>
    <w:rsid w:val="788D5FD3"/>
    <w:rsid w:val="78912205"/>
    <w:rsid w:val="78A9238C"/>
    <w:rsid w:val="78C65DC2"/>
    <w:rsid w:val="78DE76B6"/>
    <w:rsid w:val="78E33893"/>
    <w:rsid w:val="78E340F0"/>
    <w:rsid w:val="78E86C9B"/>
    <w:rsid w:val="78F1360E"/>
    <w:rsid w:val="78F429F5"/>
    <w:rsid w:val="79096FB7"/>
    <w:rsid w:val="791D1BC6"/>
    <w:rsid w:val="79454CB6"/>
    <w:rsid w:val="795C61F7"/>
    <w:rsid w:val="795F466D"/>
    <w:rsid w:val="79634262"/>
    <w:rsid w:val="797414BE"/>
    <w:rsid w:val="79970A37"/>
    <w:rsid w:val="79A869D1"/>
    <w:rsid w:val="79AE45E4"/>
    <w:rsid w:val="79AE5B25"/>
    <w:rsid w:val="79B547E6"/>
    <w:rsid w:val="79C169DE"/>
    <w:rsid w:val="79E27FCF"/>
    <w:rsid w:val="7A000CE6"/>
    <w:rsid w:val="7A0A7936"/>
    <w:rsid w:val="7A135964"/>
    <w:rsid w:val="7A1A3230"/>
    <w:rsid w:val="7A3270EA"/>
    <w:rsid w:val="7A484C7B"/>
    <w:rsid w:val="7A5D7C7C"/>
    <w:rsid w:val="7A664E79"/>
    <w:rsid w:val="7A6A2D6F"/>
    <w:rsid w:val="7A76196C"/>
    <w:rsid w:val="7A907EB4"/>
    <w:rsid w:val="7A925C48"/>
    <w:rsid w:val="7AAC0E92"/>
    <w:rsid w:val="7AB04670"/>
    <w:rsid w:val="7AB2517C"/>
    <w:rsid w:val="7AC64CC7"/>
    <w:rsid w:val="7AD03E18"/>
    <w:rsid w:val="7AD832B8"/>
    <w:rsid w:val="7AFF4DAE"/>
    <w:rsid w:val="7B051B2F"/>
    <w:rsid w:val="7B0F352B"/>
    <w:rsid w:val="7B1A0118"/>
    <w:rsid w:val="7B220E2F"/>
    <w:rsid w:val="7B274114"/>
    <w:rsid w:val="7B340A01"/>
    <w:rsid w:val="7B36744F"/>
    <w:rsid w:val="7B4F5C3D"/>
    <w:rsid w:val="7B754522"/>
    <w:rsid w:val="7B79358D"/>
    <w:rsid w:val="7B9513BF"/>
    <w:rsid w:val="7BA137EB"/>
    <w:rsid w:val="7BA778D5"/>
    <w:rsid w:val="7BC8224F"/>
    <w:rsid w:val="7BCC4096"/>
    <w:rsid w:val="7BD8593A"/>
    <w:rsid w:val="7C041B40"/>
    <w:rsid w:val="7C042B76"/>
    <w:rsid w:val="7C044E19"/>
    <w:rsid w:val="7C092D60"/>
    <w:rsid w:val="7C0A5FBE"/>
    <w:rsid w:val="7C0F7F8B"/>
    <w:rsid w:val="7C3D07C3"/>
    <w:rsid w:val="7C512703"/>
    <w:rsid w:val="7C5151E9"/>
    <w:rsid w:val="7C5F6A31"/>
    <w:rsid w:val="7C701FB9"/>
    <w:rsid w:val="7C741461"/>
    <w:rsid w:val="7C8617DD"/>
    <w:rsid w:val="7C924CC6"/>
    <w:rsid w:val="7C9F70CD"/>
    <w:rsid w:val="7CE51EBE"/>
    <w:rsid w:val="7CE85FF3"/>
    <w:rsid w:val="7D003EF5"/>
    <w:rsid w:val="7D1F55E6"/>
    <w:rsid w:val="7D2237C4"/>
    <w:rsid w:val="7D3B060D"/>
    <w:rsid w:val="7D5E4EA5"/>
    <w:rsid w:val="7D6304C0"/>
    <w:rsid w:val="7D711B45"/>
    <w:rsid w:val="7D734A9C"/>
    <w:rsid w:val="7D7B252F"/>
    <w:rsid w:val="7D8121D3"/>
    <w:rsid w:val="7D9F78FE"/>
    <w:rsid w:val="7DB41072"/>
    <w:rsid w:val="7DC44934"/>
    <w:rsid w:val="7DC9331A"/>
    <w:rsid w:val="7DDA0B16"/>
    <w:rsid w:val="7DE60785"/>
    <w:rsid w:val="7DF17F93"/>
    <w:rsid w:val="7E0C5A4C"/>
    <w:rsid w:val="7E125388"/>
    <w:rsid w:val="7E16039D"/>
    <w:rsid w:val="7E1709EC"/>
    <w:rsid w:val="7E315B57"/>
    <w:rsid w:val="7E3415D4"/>
    <w:rsid w:val="7E3851BC"/>
    <w:rsid w:val="7E394D59"/>
    <w:rsid w:val="7E4A2AAE"/>
    <w:rsid w:val="7E512016"/>
    <w:rsid w:val="7E5240FA"/>
    <w:rsid w:val="7E6D459F"/>
    <w:rsid w:val="7E7C433A"/>
    <w:rsid w:val="7E9F5329"/>
    <w:rsid w:val="7EA72D63"/>
    <w:rsid w:val="7EA91D51"/>
    <w:rsid w:val="7EAA0693"/>
    <w:rsid w:val="7EAA33E0"/>
    <w:rsid w:val="7EB02EB2"/>
    <w:rsid w:val="7EBA74F2"/>
    <w:rsid w:val="7EC7148B"/>
    <w:rsid w:val="7EC96572"/>
    <w:rsid w:val="7ED76320"/>
    <w:rsid w:val="7EF426FE"/>
    <w:rsid w:val="7EF71AC3"/>
    <w:rsid w:val="7F2430A7"/>
    <w:rsid w:val="7F334B56"/>
    <w:rsid w:val="7F335D39"/>
    <w:rsid w:val="7F3A7638"/>
    <w:rsid w:val="7F41056D"/>
    <w:rsid w:val="7F6D1B1B"/>
    <w:rsid w:val="7F883B53"/>
    <w:rsid w:val="7F8C5FCC"/>
    <w:rsid w:val="7F9B4AC3"/>
    <w:rsid w:val="7FA455ED"/>
    <w:rsid w:val="7FBB6D75"/>
    <w:rsid w:val="7FBF1BCD"/>
    <w:rsid w:val="7FC339DC"/>
    <w:rsid w:val="7FCE09C9"/>
    <w:rsid w:val="7FF84060"/>
    <w:rsid w:val="8FEDB9A7"/>
    <w:rsid w:val="9EBB360D"/>
    <w:rsid w:val="D5D9E5C7"/>
    <w:rsid w:val="D725A8FE"/>
    <w:rsid w:val="DAFB3086"/>
    <w:rsid w:val="E74FCAD3"/>
    <w:rsid w:val="F5AFDB36"/>
    <w:rsid w:val="FBE380C0"/>
    <w:rsid w:val="FE7FB314"/>
    <w:rsid w:val="FF5FF1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qFormat="1" w:unhideWhenUsed="0" w:uiPriority="0" w:semiHidden="0"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3">
    <w:name w:val="heading 1"/>
    <w:basedOn w:val="1"/>
    <w:next w:val="1"/>
    <w:link w:val="52"/>
    <w:qFormat/>
    <w:uiPriority w:val="9"/>
    <w:pPr>
      <w:keepNext/>
      <w:keepLines/>
      <w:spacing w:before="480"/>
      <w:outlineLvl w:val="0"/>
    </w:pPr>
    <w:rPr>
      <w:rFonts w:ascii="Arial" w:hAnsi="Arial" w:eastAsia="Arial" w:cs="Arial"/>
      <w:sz w:val="40"/>
      <w:szCs w:val="40"/>
    </w:rPr>
  </w:style>
  <w:style w:type="paragraph" w:styleId="4">
    <w:name w:val="heading 2"/>
    <w:basedOn w:val="1"/>
    <w:next w:val="1"/>
    <w:link w:val="53"/>
    <w:unhideWhenUsed/>
    <w:qFormat/>
    <w:uiPriority w:val="9"/>
    <w:pPr>
      <w:keepNext/>
      <w:keepLines/>
      <w:spacing w:before="360"/>
      <w:outlineLvl w:val="1"/>
    </w:pPr>
    <w:rPr>
      <w:rFonts w:ascii="Arial" w:hAnsi="Arial" w:eastAsia="Arial" w:cs="Arial"/>
      <w:sz w:val="34"/>
    </w:rPr>
  </w:style>
  <w:style w:type="paragraph" w:styleId="5">
    <w:name w:val="heading 3"/>
    <w:basedOn w:val="1"/>
    <w:next w:val="1"/>
    <w:link w:val="54"/>
    <w:unhideWhenUsed/>
    <w:qFormat/>
    <w:uiPriority w:val="9"/>
    <w:pPr>
      <w:keepNext/>
      <w:keepLines/>
      <w:spacing w:before="320"/>
      <w:outlineLvl w:val="2"/>
    </w:pPr>
    <w:rPr>
      <w:rFonts w:ascii="Arial" w:hAnsi="Arial" w:eastAsia="Arial" w:cs="Arial"/>
      <w:sz w:val="30"/>
      <w:szCs w:val="30"/>
    </w:rPr>
  </w:style>
  <w:style w:type="paragraph" w:styleId="6">
    <w:name w:val="heading 4"/>
    <w:basedOn w:val="1"/>
    <w:next w:val="1"/>
    <w:link w:val="55"/>
    <w:unhideWhenUsed/>
    <w:qFormat/>
    <w:uiPriority w:val="9"/>
    <w:pPr>
      <w:keepNext/>
      <w:keepLines/>
      <w:spacing w:before="320"/>
      <w:outlineLvl w:val="3"/>
    </w:pPr>
    <w:rPr>
      <w:rFonts w:ascii="Arial" w:hAnsi="Arial" w:eastAsia="Arial" w:cs="Arial"/>
      <w:b/>
      <w:bCs/>
      <w:sz w:val="26"/>
      <w:szCs w:val="26"/>
    </w:rPr>
  </w:style>
  <w:style w:type="paragraph" w:styleId="7">
    <w:name w:val="heading 5"/>
    <w:basedOn w:val="1"/>
    <w:next w:val="1"/>
    <w:link w:val="56"/>
    <w:unhideWhenUsed/>
    <w:qFormat/>
    <w:uiPriority w:val="9"/>
    <w:pPr>
      <w:keepNext/>
      <w:keepLines/>
      <w:spacing w:before="320"/>
      <w:outlineLvl w:val="4"/>
    </w:pPr>
    <w:rPr>
      <w:rFonts w:ascii="Arial" w:hAnsi="Arial" w:eastAsia="Arial" w:cs="Arial"/>
      <w:b/>
      <w:bCs/>
      <w:sz w:val="24"/>
      <w:szCs w:val="24"/>
    </w:rPr>
  </w:style>
  <w:style w:type="paragraph" w:styleId="8">
    <w:name w:val="heading 6"/>
    <w:basedOn w:val="1"/>
    <w:next w:val="1"/>
    <w:link w:val="57"/>
    <w:unhideWhenUsed/>
    <w:qFormat/>
    <w:uiPriority w:val="9"/>
    <w:pPr>
      <w:keepNext/>
      <w:keepLines/>
      <w:spacing w:before="320"/>
      <w:outlineLvl w:val="5"/>
    </w:pPr>
    <w:rPr>
      <w:rFonts w:ascii="Arial" w:hAnsi="Arial" w:eastAsia="Arial" w:cs="Arial"/>
      <w:b/>
      <w:bCs/>
    </w:rPr>
  </w:style>
  <w:style w:type="paragraph" w:styleId="9">
    <w:name w:val="heading 7"/>
    <w:basedOn w:val="1"/>
    <w:next w:val="1"/>
    <w:link w:val="58"/>
    <w:unhideWhenUsed/>
    <w:qFormat/>
    <w:uiPriority w:val="9"/>
    <w:pPr>
      <w:keepNext/>
      <w:keepLines/>
      <w:spacing w:before="320"/>
      <w:outlineLvl w:val="6"/>
    </w:pPr>
    <w:rPr>
      <w:rFonts w:ascii="Arial" w:hAnsi="Arial" w:eastAsia="Arial" w:cs="Arial"/>
      <w:b/>
      <w:bCs/>
      <w:i/>
      <w:iCs/>
    </w:rPr>
  </w:style>
  <w:style w:type="paragraph" w:styleId="10">
    <w:name w:val="heading 8"/>
    <w:basedOn w:val="1"/>
    <w:next w:val="1"/>
    <w:link w:val="59"/>
    <w:unhideWhenUsed/>
    <w:qFormat/>
    <w:uiPriority w:val="9"/>
    <w:pPr>
      <w:keepNext/>
      <w:keepLines/>
      <w:spacing w:before="320"/>
      <w:outlineLvl w:val="7"/>
    </w:pPr>
    <w:rPr>
      <w:rFonts w:ascii="Arial" w:hAnsi="Arial" w:eastAsia="Arial" w:cs="Arial"/>
      <w:i/>
      <w:iCs/>
    </w:rPr>
  </w:style>
  <w:style w:type="paragraph" w:styleId="11">
    <w:name w:val="heading 9"/>
    <w:basedOn w:val="1"/>
    <w:next w:val="1"/>
    <w:link w:val="60"/>
    <w:unhideWhenUsed/>
    <w:qFormat/>
    <w:uiPriority w:val="9"/>
    <w:pPr>
      <w:keepNext/>
      <w:keepLines/>
      <w:spacing w:before="320"/>
      <w:outlineLvl w:val="8"/>
    </w:pPr>
    <w:rPr>
      <w:rFonts w:ascii="Arial" w:hAnsi="Arial" w:eastAsia="Arial" w:cs="Arial"/>
      <w:i/>
      <w:iCs/>
      <w:sz w:val="21"/>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macro"/>
    <w:link w:val="209"/>
    <w:qFormat/>
    <w:uiPriority w:val="0"/>
    <w:pPr>
      <w:widowControl w:val="0"/>
      <w:tabs>
        <w:tab w:val="left" w:pos="480"/>
        <w:tab w:val="left" w:pos="960"/>
        <w:tab w:val="left" w:pos="1440"/>
        <w:tab w:val="left" w:pos="1920"/>
        <w:tab w:val="left" w:pos="2400"/>
        <w:tab w:val="left" w:pos="2880"/>
        <w:tab w:val="left" w:pos="3360"/>
        <w:tab w:val="left" w:pos="3840"/>
        <w:tab w:val="left" w:pos="4320"/>
      </w:tabs>
      <w:ind w:firstLine="440"/>
    </w:pPr>
    <w:rPr>
      <w:rFonts w:ascii="Courier New" w:hAnsi="Courier New" w:eastAsia="宋体" w:cs="Courier New"/>
      <w:sz w:val="24"/>
      <w:szCs w:val="24"/>
      <w:lang w:val="en-US" w:eastAsia="zh-CN" w:bidi="ar-SA"/>
    </w:rPr>
  </w:style>
  <w:style w:type="paragraph" w:styleId="12">
    <w:name w:val="toc 7"/>
    <w:basedOn w:val="1"/>
    <w:next w:val="1"/>
    <w:unhideWhenUsed/>
    <w:qFormat/>
    <w:uiPriority w:val="39"/>
    <w:pPr>
      <w:spacing w:after="57"/>
      <w:ind w:left="1701"/>
    </w:pPr>
  </w:style>
  <w:style w:type="paragraph" w:styleId="13">
    <w:name w:val="index 8"/>
    <w:basedOn w:val="1"/>
    <w:next w:val="1"/>
    <w:qFormat/>
    <w:uiPriority w:val="0"/>
    <w:pPr>
      <w:widowControl w:val="0"/>
      <w:spacing w:after="0" w:line="288" w:lineRule="auto"/>
      <w:ind w:left="1400"/>
      <w:jc w:val="both"/>
    </w:pPr>
    <w:rPr>
      <w:rFonts w:ascii="MiSans" w:hAnsi="MiSans" w:eastAsia="MiSans"/>
      <w:lang w:eastAsia="zh-CN"/>
    </w:rPr>
  </w:style>
  <w:style w:type="paragraph" w:styleId="14">
    <w:name w:val="Normal Indent"/>
    <w:basedOn w:val="1"/>
    <w:next w:val="1"/>
    <w:qFormat/>
    <w:uiPriority w:val="0"/>
    <w:pPr>
      <w:ind w:firstLine="420"/>
    </w:pPr>
  </w:style>
  <w:style w:type="paragraph" w:styleId="15">
    <w:name w:val="caption"/>
    <w:basedOn w:val="1"/>
    <w:next w:val="1"/>
    <w:semiHidden/>
    <w:unhideWhenUsed/>
    <w:qFormat/>
    <w:uiPriority w:val="35"/>
    <w:rPr>
      <w:b/>
      <w:bCs/>
      <w:color w:val="5B9BD5" w:themeColor="accent1"/>
      <w:sz w:val="18"/>
      <w:szCs w:val="18"/>
      <w14:textFill>
        <w14:solidFill>
          <w14:schemeClr w14:val="accent1"/>
        </w14:solidFill>
      </w14:textFill>
    </w:rPr>
  </w:style>
  <w:style w:type="paragraph" w:styleId="16">
    <w:name w:val="List Bullet"/>
    <w:basedOn w:val="1"/>
    <w:qFormat/>
    <w:uiPriority w:val="0"/>
    <w:pPr>
      <w:widowControl w:val="0"/>
      <w:numPr>
        <w:ilvl w:val="0"/>
        <w:numId w:val="1"/>
      </w:numPr>
      <w:spacing w:before="50" w:after="50" w:line="288" w:lineRule="auto"/>
      <w:ind w:left="454" w:hanging="454"/>
      <w:jc w:val="both"/>
    </w:pPr>
    <w:rPr>
      <w:rFonts w:ascii="MiSans" w:hAnsi="MiSans" w:eastAsia="MiSans"/>
      <w:lang w:eastAsia="zh-CN"/>
    </w:rPr>
  </w:style>
  <w:style w:type="paragraph" w:styleId="17">
    <w:name w:val="Document Map"/>
    <w:basedOn w:val="1"/>
    <w:next w:val="18"/>
    <w:qFormat/>
    <w:uiPriority w:val="99"/>
    <w:pPr>
      <w:shd w:val="clear" w:color="auto" w:fill="000080"/>
    </w:pPr>
  </w:style>
  <w:style w:type="paragraph" w:styleId="18">
    <w:name w:val="Body Text"/>
    <w:basedOn w:val="1"/>
    <w:next w:val="1"/>
    <w:qFormat/>
    <w:uiPriority w:val="0"/>
    <w:rPr>
      <w:rFonts w:ascii="楷体_GB2312" w:hAnsi="Arial" w:eastAsia="楷体_GB2312"/>
      <w:sz w:val="28"/>
    </w:rPr>
  </w:style>
  <w:style w:type="paragraph" w:styleId="19">
    <w:name w:val="annotation text"/>
    <w:basedOn w:val="1"/>
    <w:link w:val="224"/>
    <w:qFormat/>
    <w:uiPriority w:val="99"/>
    <w:rPr>
      <w:rFonts w:ascii="Calibri" w:hAnsi="Calibri"/>
    </w:rPr>
  </w:style>
  <w:style w:type="paragraph" w:styleId="20">
    <w:name w:val="Body Text Indent"/>
    <w:basedOn w:val="1"/>
    <w:next w:val="18"/>
    <w:link w:val="206"/>
    <w:qFormat/>
    <w:uiPriority w:val="0"/>
    <w:pPr>
      <w:adjustRightInd w:val="0"/>
      <w:spacing w:line="312" w:lineRule="atLeast"/>
      <w:ind w:firstLine="574"/>
      <w:textAlignment w:val="baseline"/>
    </w:pPr>
    <w:rPr>
      <w:rFonts w:ascii="宋体"/>
      <w:sz w:val="28"/>
    </w:rPr>
  </w:style>
  <w:style w:type="paragraph" w:styleId="21">
    <w:name w:val="Block Text"/>
    <w:basedOn w:val="1"/>
    <w:next w:val="18"/>
    <w:qFormat/>
    <w:uiPriority w:val="0"/>
    <w:pPr>
      <w:tabs>
        <w:tab w:val="left" w:pos="3840"/>
        <w:tab w:val="left" w:pos="6360"/>
      </w:tabs>
      <w:spacing w:line="300" w:lineRule="auto"/>
      <w:ind w:left="182" w:right="-1" w:firstLine="476"/>
    </w:pPr>
    <w:rPr>
      <w:rFonts w:ascii="楷体_GB2312" w:hAnsi="Times New Roman" w:eastAsia="楷体_GB2312"/>
      <w:sz w:val="28"/>
      <w:szCs w:val="20"/>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qFormat/>
    <w:uiPriority w:val="99"/>
    <w:rPr>
      <w:rFonts w:ascii="宋体" w:hAnsi="Courier New"/>
    </w:rPr>
  </w:style>
  <w:style w:type="paragraph" w:styleId="25">
    <w:name w:val="toc 8"/>
    <w:basedOn w:val="1"/>
    <w:next w:val="1"/>
    <w:unhideWhenUsed/>
    <w:qFormat/>
    <w:uiPriority w:val="39"/>
    <w:pPr>
      <w:spacing w:after="57"/>
      <w:ind w:left="1984"/>
    </w:pPr>
  </w:style>
  <w:style w:type="paragraph" w:styleId="26">
    <w:name w:val="endnote text"/>
    <w:basedOn w:val="1"/>
    <w:link w:val="196"/>
    <w:semiHidden/>
    <w:unhideWhenUsed/>
    <w:qFormat/>
    <w:uiPriority w:val="99"/>
    <w:pPr>
      <w:spacing w:after="0" w:line="240" w:lineRule="auto"/>
    </w:pPr>
    <w:rPr>
      <w:sz w:val="20"/>
    </w:rPr>
  </w:style>
  <w:style w:type="paragraph" w:styleId="27">
    <w:name w:val="Balloon Text"/>
    <w:basedOn w:val="1"/>
    <w:link w:val="208"/>
    <w:semiHidden/>
    <w:unhideWhenUsed/>
    <w:qFormat/>
    <w:uiPriority w:val="99"/>
    <w:pPr>
      <w:spacing w:after="0" w:line="240" w:lineRule="auto"/>
    </w:pPr>
    <w:rPr>
      <w:sz w:val="18"/>
      <w:szCs w:val="18"/>
    </w:rPr>
  </w:style>
  <w:style w:type="paragraph" w:styleId="28">
    <w:name w:val="footer"/>
    <w:basedOn w:val="1"/>
    <w:link w:val="69"/>
    <w:unhideWhenUsed/>
    <w:qFormat/>
    <w:uiPriority w:val="99"/>
    <w:pPr>
      <w:tabs>
        <w:tab w:val="center" w:pos="7143"/>
        <w:tab w:val="right" w:pos="14287"/>
      </w:tabs>
      <w:spacing w:after="0" w:line="240" w:lineRule="auto"/>
    </w:pPr>
  </w:style>
  <w:style w:type="paragraph" w:styleId="29">
    <w:name w:val="header"/>
    <w:basedOn w:val="1"/>
    <w:link w:val="67"/>
    <w:unhideWhenUsed/>
    <w:qFormat/>
    <w:uiPriority w:val="99"/>
    <w:pPr>
      <w:tabs>
        <w:tab w:val="center" w:pos="7143"/>
        <w:tab w:val="right" w:pos="14287"/>
      </w:tabs>
      <w:spacing w:after="0" w:line="240" w:lineRule="auto"/>
    </w:pPr>
  </w:style>
  <w:style w:type="paragraph" w:styleId="30">
    <w:name w:val="toc 1"/>
    <w:basedOn w:val="1"/>
    <w:next w:val="1"/>
    <w:unhideWhenUsed/>
    <w:qFormat/>
    <w:uiPriority w:val="39"/>
    <w:pPr>
      <w:spacing w:after="57"/>
    </w:pPr>
  </w:style>
  <w:style w:type="paragraph" w:styleId="31">
    <w:name w:val="toc 4"/>
    <w:basedOn w:val="1"/>
    <w:next w:val="1"/>
    <w:unhideWhenUsed/>
    <w:qFormat/>
    <w:uiPriority w:val="39"/>
    <w:pPr>
      <w:spacing w:after="57"/>
      <w:ind w:left="850"/>
    </w:pPr>
  </w:style>
  <w:style w:type="paragraph" w:styleId="32">
    <w:name w:val="Subtitle"/>
    <w:basedOn w:val="1"/>
    <w:next w:val="1"/>
    <w:link w:val="62"/>
    <w:qFormat/>
    <w:uiPriority w:val="11"/>
    <w:pPr>
      <w:spacing w:before="200"/>
    </w:pPr>
    <w:rPr>
      <w:sz w:val="24"/>
      <w:szCs w:val="24"/>
    </w:rPr>
  </w:style>
  <w:style w:type="paragraph" w:styleId="33">
    <w:name w:val="footnote text"/>
    <w:basedOn w:val="1"/>
    <w:link w:val="195"/>
    <w:semiHidden/>
    <w:unhideWhenUsed/>
    <w:qFormat/>
    <w:uiPriority w:val="99"/>
    <w:pPr>
      <w:spacing w:after="40" w:line="240" w:lineRule="auto"/>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pPr>
      <w:spacing w:after="0"/>
    </w:pPr>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lang w:eastAsia="zh-CN"/>
    </w:rPr>
  </w:style>
  <w:style w:type="paragraph" w:styleId="39">
    <w:name w:val="Normal (Web)"/>
    <w:basedOn w:val="1"/>
    <w:qFormat/>
    <w:uiPriority w:val="0"/>
    <w:rPr>
      <w:szCs w:val="20"/>
    </w:rPr>
  </w:style>
  <w:style w:type="paragraph" w:styleId="40">
    <w:name w:val="Title"/>
    <w:basedOn w:val="1"/>
    <w:next w:val="1"/>
    <w:link w:val="61"/>
    <w:qFormat/>
    <w:uiPriority w:val="10"/>
    <w:pPr>
      <w:spacing w:before="300"/>
      <w:contextualSpacing/>
    </w:pPr>
    <w:rPr>
      <w:sz w:val="48"/>
      <w:szCs w:val="48"/>
    </w:rPr>
  </w:style>
  <w:style w:type="paragraph" w:styleId="41">
    <w:name w:val="annotation subject"/>
    <w:basedOn w:val="19"/>
    <w:next w:val="19"/>
    <w:link w:val="225"/>
    <w:semiHidden/>
    <w:unhideWhenUsed/>
    <w:qFormat/>
    <w:uiPriority w:val="99"/>
    <w:rPr>
      <w:rFonts w:asciiTheme="minorHAnsi" w:hAnsiTheme="minorHAnsi"/>
      <w:b/>
      <w:bCs/>
    </w:rPr>
  </w:style>
  <w:style w:type="paragraph" w:styleId="42">
    <w:name w:val="Body Text First Indent 2"/>
    <w:basedOn w:val="20"/>
    <w:unhideWhenUsed/>
    <w:qFormat/>
    <w:uiPriority w:val="0"/>
    <w:pPr>
      <w:ind w:firstLine="420"/>
    </w:pPr>
    <w:rPr>
      <w:rFonts w:ascii="Times New Roman"/>
      <w:sz w:val="24"/>
      <w:szCs w:val="24"/>
    </w:rPr>
  </w:style>
  <w:style w:type="table" w:styleId="44">
    <w:name w:val="Table Grid"/>
    <w:basedOn w:val="4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Strong"/>
    <w:basedOn w:val="45"/>
    <w:qFormat/>
    <w:uiPriority w:val="22"/>
    <w:rPr>
      <w:b/>
    </w:rPr>
  </w:style>
  <w:style w:type="character" w:styleId="47">
    <w:name w:val="endnote reference"/>
    <w:semiHidden/>
    <w:unhideWhenUsed/>
    <w:qFormat/>
    <w:uiPriority w:val="99"/>
    <w:rPr>
      <w:vertAlign w:val="superscript"/>
    </w:rPr>
  </w:style>
  <w:style w:type="character" w:styleId="48">
    <w:name w:val="Hyperlink"/>
    <w:unhideWhenUsed/>
    <w:qFormat/>
    <w:uiPriority w:val="99"/>
    <w:rPr>
      <w:color w:val="0563C1" w:themeColor="hyperlink"/>
      <w:u w:val="single"/>
      <w14:textFill>
        <w14:solidFill>
          <w14:schemeClr w14:val="hlink"/>
        </w14:solidFill>
      </w14:textFill>
    </w:rPr>
  </w:style>
  <w:style w:type="character" w:styleId="49">
    <w:name w:val="annotation reference"/>
    <w:basedOn w:val="45"/>
    <w:semiHidden/>
    <w:unhideWhenUsed/>
    <w:qFormat/>
    <w:uiPriority w:val="99"/>
    <w:rPr>
      <w:sz w:val="21"/>
      <w:szCs w:val="21"/>
    </w:rPr>
  </w:style>
  <w:style w:type="character" w:styleId="50">
    <w:name w:val="footnote reference"/>
    <w:unhideWhenUsed/>
    <w:qFormat/>
    <w:uiPriority w:val="99"/>
    <w:rPr>
      <w:vertAlign w:val="superscript"/>
    </w:rPr>
  </w:style>
  <w:style w:type="paragraph" w:customStyle="1" w:styleId="51">
    <w:name w:val="正文文本缩进1"/>
    <w:next w:val="1"/>
    <w:qFormat/>
    <w:uiPriority w:val="0"/>
    <w:pPr>
      <w:widowControl w:val="0"/>
      <w:ind w:firstLine="645"/>
      <w:jc w:val="both"/>
    </w:pPr>
    <w:rPr>
      <w:rFonts w:ascii="楷体_GB2312" w:hAnsi="宋体" w:eastAsia="楷体_GB2312" w:cs="宋体"/>
      <w:sz w:val="32"/>
      <w:szCs w:val="32"/>
      <w:lang w:val="en-US" w:eastAsia="zh-CN" w:bidi="ar-SA"/>
    </w:rPr>
  </w:style>
  <w:style w:type="character" w:customStyle="1" w:styleId="52">
    <w:name w:val="标题 1 Char"/>
    <w:link w:val="3"/>
    <w:qFormat/>
    <w:uiPriority w:val="9"/>
    <w:rPr>
      <w:rFonts w:ascii="Arial" w:hAnsi="Arial" w:eastAsia="Arial" w:cs="Arial"/>
      <w:sz w:val="40"/>
      <w:szCs w:val="40"/>
    </w:rPr>
  </w:style>
  <w:style w:type="character" w:customStyle="1" w:styleId="53">
    <w:name w:val="标题 2 Char"/>
    <w:link w:val="4"/>
    <w:qFormat/>
    <w:uiPriority w:val="9"/>
    <w:rPr>
      <w:rFonts w:ascii="Arial" w:hAnsi="Arial" w:eastAsia="Arial" w:cs="Arial"/>
      <w:sz w:val="34"/>
    </w:rPr>
  </w:style>
  <w:style w:type="character" w:customStyle="1" w:styleId="54">
    <w:name w:val="标题 3 Char"/>
    <w:link w:val="5"/>
    <w:qFormat/>
    <w:uiPriority w:val="9"/>
    <w:rPr>
      <w:rFonts w:ascii="Arial" w:hAnsi="Arial" w:eastAsia="Arial" w:cs="Arial"/>
      <w:sz w:val="30"/>
      <w:szCs w:val="30"/>
    </w:rPr>
  </w:style>
  <w:style w:type="character" w:customStyle="1" w:styleId="55">
    <w:name w:val="标题 4 Char"/>
    <w:link w:val="6"/>
    <w:qFormat/>
    <w:uiPriority w:val="9"/>
    <w:rPr>
      <w:rFonts w:ascii="Arial" w:hAnsi="Arial" w:eastAsia="Arial" w:cs="Arial"/>
      <w:b/>
      <w:bCs/>
      <w:sz w:val="26"/>
      <w:szCs w:val="26"/>
    </w:rPr>
  </w:style>
  <w:style w:type="character" w:customStyle="1" w:styleId="56">
    <w:name w:val="标题 5 Char"/>
    <w:link w:val="7"/>
    <w:qFormat/>
    <w:uiPriority w:val="9"/>
    <w:rPr>
      <w:rFonts w:ascii="Arial" w:hAnsi="Arial" w:eastAsia="Arial" w:cs="Arial"/>
      <w:b/>
      <w:bCs/>
      <w:sz w:val="24"/>
      <w:szCs w:val="24"/>
    </w:rPr>
  </w:style>
  <w:style w:type="character" w:customStyle="1" w:styleId="57">
    <w:name w:val="标题 6 Char"/>
    <w:link w:val="8"/>
    <w:qFormat/>
    <w:uiPriority w:val="9"/>
    <w:rPr>
      <w:rFonts w:ascii="Arial" w:hAnsi="Arial" w:eastAsia="Arial" w:cs="Arial"/>
      <w:b/>
      <w:bCs/>
      <w:sz w:val="22"/>
      <w:szCs w:val="22"/>
    </w:rPr>
  </w:style>
  <w:style w:type="character" w:customStyle="1" w:styleId="58">
    <w:name w:val="标题 7 Char"/>
    <w:link w:val="9"/>
    <w:qFormat/>
    <w:uiPriority w:val="9"/>
    <w:rPr>
      <w:rFonts w:ascii="Arial" w:hAnsi="Arial" w:eastAsia="Arial" w:cs="Arial"/>
      <w:b/>
      <w:bCs/>
      <w:i/>
      <w:iCs/>
      <w:sz w:val="22"/>
      <w:szCs w:val="22"/>
    </w:rPr>
  </w:style>
  <w:style w:type="character" w:customStyle="1" w:styleId="59">
    <w:name w:val="标题 8 Char"/>
    <w:link w:val="10"/>
    <w:qFormat/>
    <w:uiPriority w:val="9"/>
    <w:rPr>
      <w:rFonts w:ascii="Arial" w:hAnsi="Arial" w:eastAsia="Arial" w:cs="Arial"/>
      <w:i/>
      <w:iCs/>
      <w:sz w:val="22"/>
      <w:szCs w:val="22"/>
    </w:rPr>
  </w:style>
  <w:style w:type="character" w:customStyle="1" w:styleId="60">
    <w:name w:val="标题 9 Char"/>
    <w:link w:val="11"/>
    <w:qFormat/>
    <w:uiPriority w:val="9"/>
    <w:rPr>
      <w:rFonts w:ascii="Arial" w:hAnsi="Arial" w:eastAsia="Arial" w:cs="Arial"/>
      <w:i/>
      <w:iCs/>
      <w:sz w:val="21"/>
      <w:szCs w:val="21"/>
    </w:rPr>
  </w:style>
  <w:style w:type="character" w:customStyle="1" w:styleId="61">
    <w:name w:val="标题 Char"/>
    <w:link w:val="40"/>
    <w:qFormat/>
    <w:uiPriority w:val="10"/>
    <w:rPr>
      <w:sz w:val="48"/>
      <w:szCs w:val="48"/>
    </w:rPr>
  </w:style>
  <w:style w:type="character" w:customStyle="1" w:styleId="62">
    <w:name w:val="副标题 Char"/>
    <w:link w:val="32"/>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引用 Char"/>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6">
    <w:name w:val="明显引用 Char"/>
    <w:link w:val="65"/>
    <w:qFormat/>
    <w:uiPriority w:val="30"/>
    <w:rPr>
      <w:i/>
    </w:rPr>
  </w:style>
  <w:style w:type="character" w:customStyle="1" w:styleId="67">
    <w:name w:val="页眉 Char"/>
    <w:link w:val="29"/>
    <w:qFormat/>
    <w:uiPriority w:val="99"/>
  </w:style>
  <w:style w:type="character" w:customStyle="1" w:styleId="68">
    <w:name w:val="Footer Char"/>
    <w:qFormat/>
    <w:uiPriority w:val="99"/>
  </w:style>
  <w:style w:type="character" w:customStyle="1" w:styleId="69">
    <w:name w:val="页脚 Char"/>
    <w:link w:val="28"/>
    <w:qFormat/>
    <w:uiPriority w:val="99"/>
  </w:style>
  <w:style w:type="table" w:customStyle="1" w:styleId="70">
    <w:name w:val="Table Grid Light"/>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1">
    <w:name w:val="无格式表格 11"/>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无格式表格 21"/>
    <w:basedOn w:val="4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无格式表格 31"/>
    <w:basedOn w:val="43"/>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41"/>
    <w:basedOn w:val="43"/>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无格式表格 51"/>
    <w:basedOn w:val="43"/>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网格表 1 浅色1"/>
    <w:basedOn w:val="4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basedOn w:val="43"/>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8">
    <w:name w:val="Grid Table 1 Light - Accent 2"/>
    <w:basedOn w:val="4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9">
    <w:name w:val="Grid Table 1 Light - Accent 3"/>
    <w:basedOn w:val="4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0">
    <w:name w:val="Grid Table 1 Light - Accent 4"/>
    <w:basedOn w:val="4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1">
    <w:name w:val="Grid Table 1 Light - Accent 5"/>
    <w:basedOn w:val="43"/>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2">
    <w:name w:val="Grid Table 1 Light - Accent 6"/>
    <w:basedOn w:val="4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3">
    <w:name w:val="网格表 2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basedOn w:val="43"/>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5">
    <w:name w:val="Grid Table 2 - Accent 2"/>
    <w:basedOn w:val="4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6">
    <w:name w:val="Grid Table 2 - Accent 3"/>
    <w:basedOn w:val="4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7">
    <w:name w:val="Grid Table 2 - Accent 4"/>
    <w:basedOn w:val="4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8">
    <w:name w:val="Grid Table 2 - Accent 5"/>
    <w:basedOn w:val="43"/>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9">
    <w:name w:val="Grid Table 2 - Accent 6"/>
    <w:basedOn w:val="43"/>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0">
    <w:name w:val="网格表 3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basedOn w:val="43"/>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2">
    <w:name w:val="Grid Table 3 - Accent 2"/>
    <w:basedOn w:val="4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3">
    <w:name w:val="Grid Table 3 - Accent 3"/>
    <w:basedOn w:val="4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4">
    <w:name w:val="Grid Table 3 - Accent 4"/>
    <w:basedOn w:val="4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5">
    <w:name w:val="Grid Table 3 - Accent 5"/>
    <w:basedOn w:val="43"/>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6">
    <w:name w:val="Grid Table 3 - Accent 6"/>
    <w:basedOn w:val="43"/>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7">
    <w:name w:val="网格表 41"/>
    <w:basedOn w:val="4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basedOn w:val="43"/>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9">
    <w:name w:val="Grid Table 4 - Accent 2"/>
    <w:basedOn w:val="43"/>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0">
    <w:name w:val="Grid Table 4 - Accent 3"/>
    <w:basedOn w:val="43"/>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1">
    <w:name w:val="Grid Table 4 - Accent 4"/>
    <w:basedOn w:val="43"/>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2">
    <w:name w:val="Grid Table 4 - Accent 5"/>
    <w:basedOn w:val="43"/>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3">
    <w:name w:val="Grid Table 4 - Accent 6"/>
    <w:basedOn w:val="43"/>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4">
    <w:name w:val="网格表 5 深色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6">
    <w:name w:val="Grid Table 5 Dark - Accent 2"/>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7">
    <w:name w:val="Grid Table 5 Dark - Accent 3"/>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8">
    <w:name w:val="Grid Table 5 Dark- Accent 4"/>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9">
    <w:name w:val="Grid Table 5 Dark - Accent 5"/>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0">
    <w:name w:val="Grid Table 5 Dark - Accent 6"/>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1">
    <w:name w:val="网格表 6 彩色1"/>
    <w:basedOn w:val="4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6 Colorful - Accent 1"/>
    <w:basedOn w:val="43"/>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3">
    <w:name w:val="Grid Table 6 Colorful - Accent 2"/>
    <w:basedOn w:val="4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4">
    <w:name w:val="Grid Table 6 Colorful - Accent 3"/>
    <w:basedOn w:val="43"/>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5">
    <w:name w:val="Grid Table 6 Colorful - Accent 4"/>
    <w:basedOn w:val="4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6">
    <w:name w:val="Grid Table 6 Colorful - Accent 5"/>
    <w:basedOn w:val="43"/>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7">
    <w:name w:val="Grid Table 6 Colorful - Accent 6"/>
    <w:basedOn w:val="43"/>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8">
    <w:name w:val="网格表 7 彩色1"/>
    <w:basedOn w:val="4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7 Colorful - Accent 1"/>
    <w:basedOn w:val="43"/>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0">
    <w:name w:val="Grid Table 7 Colorful - Accent 2"/>
    <w:basedOn w:val="43"/>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1">
    <w:name w:val="Grid Table 7 Colorful - Accent 3"/>
    <w:basedOn w:val="43"/>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2">
    <w:name w:val="Grid Table 7 Colorful - Accent 4"/>
    <w:basedOn w:val="43"/>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3">
    <w:name w:val="Grid Table 7 Colorful - Accent 5"/>
    <w:basedOn w:val="43"/>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4">
    <w:name w:val="Grid Table 7 Colorful - Accent 6"/>
    <w:basedOn w:val="43"/>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5">
    <w:name w:val="清单表 1 浅色1"/>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6">
    <w:name w:val="List Table 1 Light - Accent 1"/>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7">
    <w:name w:val="List Table 1 Light - Accent 2"/>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8">
    <w:name w:val="List Table 1 Light - Accent 3"/>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9">
    <w:name w:val="List Table 1 Light - Accent 4"/>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0">
    <w:name w:val="List Table 1 Light - Accent 5"/>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1">
    <w:name w:val="List Table 1 Light - Accent 6"/>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2">
    <w:name w:val="清单表 21"/>
    <w:basedOn w:val="4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2 - Accent 1"/>
    <w:basedOn w:val="43"/>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4">
    <w:name w:val="List Table 2 - Accent 2"/>
    <w:basedOn w:val="43"/>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5">
    <w:name w:val="List Table 2 - Accent 3"/>
    <w:basedOn w:val="43"/>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6">
    <w:name w:val="List Table 2 - Accent 4"/>
    <w:basedOn w:val="43"/>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7">
    <w:name w:val="List Table 2 - Accent 5"/>
    <w:basedOn w:val="43"/>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8">
    <w:name w:val="List Table 2 - Accent 6"/>
    <w:basedOn w:val="43"/>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9">
    <w:name w:val="清单表 3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0">
    <w:name w:val="List Table 3 - Accent 1"/>
    <w:basedOn w:val="43"/>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1">
    <w:name w:val="List Table 3 - Accent 2"/>
    <w:basedOn w:val="4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2">
    <w:name w:val="List Table 3 - Accent 3"/>
    <w:basedOn w:val="43"/>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3">
    <w:name w:val="List Table 3 - Accent 4"/>
    <w:basedOn w:val="4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4">
    <w:name w:val="List Table 3 - Accent 5"/>
    <w:basedOn w:val="43"/>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5">
    <w:name w:val="List Table 3 - Accent 6"/>
    <w:basedOn w:val="43"/>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6">
    <w:name w:val="清单表 4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4 - Accent 1"/>
    <w:basedOn w:val="43"/>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8">
    <w:name w:val="List Table 4 - Accent 2"/>
    <w:basedOn w:val="43"/>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9">
    <w:name w:val="List Table 4 - Accent 3"/>
    <w:basedOn w:val="43"/>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0">
    <w:name w:val="List Table 4 - Accent 4"/>
    <w:basedOn w:val="43"/>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1">
    <w:name w:val="List Table 4 - Accent 5"/>
    <w:basedOn w:val="43"/>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2">
    <w:name w:val="List Table 4 - Accent 6"/>
    <w:basedOn w:val="43"/>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3">
    <w:name w:val="清单表 5 深色1"/>
    <w:basedOn w:val="4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4">
    <w:name w:val="List Table 5 Dark - Accent 1"/>
    <w:basedOn w:val="43"/>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5">
    <w:name w:val="List Table 5 Dark - Accent 2"/>
    <w:basedOn w:val="43"/>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6">
    <w:name w:val="List Table 5 Dark - Accent 3"/>
    <w:basedOn w:val="43"/>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7">
    <w:name w:val="List Table 5 Dark - Accent 4"/>
    <w:basedOn w:val="43"/>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8">
    <w:name w:val="List Table 5 Dark - Accent 5"/>
    <w:basedOn w:val="43"/>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9">
    <w:name w:val="List Table 5 Dark - Accent 6"/>
    <w:basedOn w:val="43"/>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0">
    <w:name w:val="清单表 6 彩色1"/>
    <w:basedOn w:val="43"/>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1">
    <w:name w:val="List Table 6 Colorful - Accent 1"/>
    <w:basedOn w:val="43"/>
    <w:qFormat/>
    <w:uiPriority w:val="99"/>
    <w:tblPr>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2">
    <w:name w:val="List Table 6 Colorful - Accent 2"/>
    <w:basedOn w:val="43"/>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3">
    <w:name w:val="List Table 6 Colorful - Accent 3"/>
    <w:basedOn w:val="43"/>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4">
    <w:name w:val="List Table 6 Colorful - Accent 4"/>
    <w:basedOn w:val="43"/>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5">
    <w:name w:val="List Table 6 Colorful - Accent 5"/>
    <w:basedOn w:val="43"/>
    <w:qFormat/>
    <w:uiPriority w:val="99"/>
    <w:tblPr>
      <w:tblBorders>
        <w:top w:val="single" w:color="8EA9DB" w:themeColor="accent5" w:themeTint="9A" w:sz="4" w:space="0"/>
        <w:bottom w:val="single" w:color="8EA9DB" w:themeColor="accent5" w:themeTint="9A" w:sz="4" w:space="0"/>
      </w:tblBorders>
      <w:tblCellMar>
        <w:top w:w="0" w:type="dxa"/>
        <w:left w:w="108" w:type="dxa"/>
        <w:bottom w:w="0" w:type="dxa"/>
        <w:right w:w="108" w:type="dxa"/>
      </w:tblCellMar>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6">
    <w:name w:val="List Table 6 Colorful - Accent 6"/>
    <w:basedOn w:val="43"/>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7">
    <w:name w:val="清单表 7 彩色1"/>
    <w:basedOn w:val="43"/>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List Table 7 Colorful - Accent 1"/>
    <w:basedOn w:val="43"/>
    <w:qFormat/>
    <w:uiPriority w:val="99"/>
    <w:tblPr>
      <w:tblBorders>
        <w:right w:val="single" w:color="5B9BD5" w:themeColor="accent1" w:sz="4" w:space="0"/>
      </w:tblBorders>
      <w:tblCellMar>
        <w:top w:w="0" w:type="dxa"/>
        <w:left w:w="108" w:type="dxa"/>
        <w:bottom w:w="0" w:type="dxa"/>
        <w:right w:w="108" w:type="dxa"/>
      </w:tblCellMar>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9">
    <w:name w:val="List Table 7 Colorful - Accent 2"/>
    <w:basedOn w:val="43"/>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0">
    <w:name w:val="List Table 7 Colorful - Accent 3"/>
    <w:basedOn w:val="43"/>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1">
    <w:name w:val="List Table 7 Colorful - Accent 4"/>
    <w:basedOn w:val="43"/>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2">
    <w:name w:val="List Table 7 Colorful - Accent 5"/>
    <w:basedOn w:val="43"/>
    <w:qFormat/>
    <w:uiPriority w:val="99"/>
    <w:tblPr>
      <w:tblBorders>
        <w:right w:val="single" w:color="8EA9DB" w:themeColor="accent5" w:themeTint="9A" w:sz="4" w:space="0"/>
      </w:tblBorders>
      <w:tblCellMar>
        <w:top w:w="0" w:type="dxa"/>
        <w:left w:w="108" w:type="dxa"/>
        <w:bottom w:w="0" w:type="dxa"/>
        <w:right w:w="108" w:type="dxa"/>
      </w:tblCellMar>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3">
    <w:name w:val="List Table 7 Colorful - Accent 6"/>
    <w:basedOn w:val="43"/>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4">
    <w:name w:val="Lined - Accent"/>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Lined - Accent 1"/>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6">
    <w:name w:val="Lined - Accent 2"/>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7">
    <w:name w:val="Lined - Accent 3"/>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8">
    <w:name w:val="Lined - Accent 4"/>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9">
    <w:name w:val="Lined - Accent 5"/>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0">
    <w:name w:val="Lined - Accent 6"/>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1">
    <w:name w:val="Bordered &amp; Lined - Accent"/>
    <w:basedOn w:val="4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Bordered &amp; Lined - Accent 1"/>
    <w:basedOn w:val="43"/>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3">
    <w:name w:val="Bordered &amp; Lined - Accent 2"/>
    <w:basedOn w:val="43"/>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4">
    <w:name w:val="Bordered &amp; Lined - Accent 3"/>
    <w:basedOn w:val="43"/>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5">
    <w:name w:val="Bordered &amp; Lined - Accent 4"/>
    <w:basedOn w:val="43"/>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6">
    <w:name w:val="Bordered &amp; Lined - Accent 5"/>
    <w:basedOn w:val="43"/>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7">
    <w:name w:val="Bordered &amp; Lined - Accent 6"/>
    <w:basedOn w:val="43"/>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8">
    <w:name w:val="Bordered"/>
    <w:basedOn w:val="4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9">
    <w:name w:val="Bordered - Accent 1"/>
    <w:basedOn w:val="43"/>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0">
    <w:name w:val="Bordered - Accent 2"/>
    <w:basedOn w:val="4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1">
    <w:name w:val="Bordered - Accent 3"/>
    <w:basedOn w:val="4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2">
    <w:name w:val="Bordered - Accent 4"/>
    <w:basedOn w:val="4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3">
    <w:name w:val="Bordered - Accent 5"/>
    <w:basedOn w:val="43"/>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4">
    <w:name w:val="Bordered - Accent 6"/>
    <w:basedOn w:val="4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5">
    <w:name w:val="脚注文本 Char"/>
    <w:link w:val="33"/>
    <w:qFormat/>
    <w:uiPriority w:val="99"/>
    <w:rPr>
      <w:sz w:val="18"/>
    </w:rPr>
  </w:style>
  <w:style w:type="character" w:customStyle="1" w:styleId="196">
    <w:name w:val="尾注文本 Char"/>
    <w:link w:val="26"/>
    <w:qFormat/>
    <w:uiPriority w:val="99"/>
    <w:rPr>
      <w:sz w:val="20"/>
    </w:rPr>
  </w:style>
  <w:style w:type="paragraph" w:customStyle="1" w:styleId="197">
    <w:name w:val="TOC 标题1"/>
    <w:unhideWhenUsed/>
    <w:qFormat/>
    <w:uiPriority w:val="39"/>
    <w:pPr>
      <w:spacing w:after="200" w:line="276" w:lineRule="auto"/>
    </w:pPr>
    <w:rPr>
      <w:rFonts w:asciiTheme="minorHAnsi" w:hAnsiTheme="minorHAnsi" w:eastAsiaTheme="minorHAnsi" w:cstheme="minorBidi"/>
      <w:sz w:val="22"/>
      <w:szCs w:val="22"/>
      <w:lang w:val="en-US" w:eastAsia="en-US" w:bidi="ar-SA"/>
    </w:rPr>
  </w:style>
  <w:style w:type="paragraph" w:styleId="198">
    <w:name w:val="No Spacing"/>
    <w:basedOn w:val="1"/>
    <w:qFormat/>
    <w:uiPriority w:val="99"/>
    <w:pPr>
      <w:spacing w:after="0" w:line="240" w:lineRule="auto"/>
    </w:pPr>
  </w:style>
  <w:style w:type="paragraph" w:styleId="199">
    <w:name w:val="List Paragraph"/>
    <w:basedOn w:val="1"/>
    <w:qFormat/>
    <w:uiPriority w:val="34"/>
    <w:pPr>
      <w:ind w:left="720"/>
      <w:contextualSpacing/>
    </w:pPr>
  </w:style>
  <w:style w:type="paragraph" w:customStyle="1" w:styleId="200">
    <w:name w:val="Plain Text2"/>
    <w:basedOn w:val="1"/>
    <w:qFormat/>
    <w:uiPriority w:val="99"/>
    <w:pPr>
      <w:adjustRightInd w:val="0"/>
    </w:pPr>
    <w:rPr>
      <w:rFonts w:ascii="宋体" w:hAnsi="Courier New" w:eastAsia="楷体_GB2312"/>
      <w:sz w:val="28"/>
    </w:rPr>
  </w:style>
  <w:style w:type="paragraph" w:customStyle="1" w:styleId="201">
    <w:name w:val="纯文本6"/>
    <w:basedOn w:val="1"/>
    <w:qFormat/>
    <w:uiPriority w:val="0"/>
    <w:pPr>
      <w:adjustRightInd w:val="0"/>
      <w:textAlignment w:val="baseline"/>
    </w:pPr>
    <w:rPr>
      <w:rFonts w:ascii="宋体" w:hAnsi="Courier New" w:eastAsia="楷体_GB2312"/>
      <w:sz w:val="26"/>
    </w:rPr>
  </w:style>
  <w:style w:type="paragraph" w:customStyle="1" w:styleId="202">
    <w:name w:val="_正文"/>
    <w:basedOn w:val="1"/>
    <w:qFormat/>
    <w:uiPriority w:val="0"/>
    <w:pPr>
      <w:spacing w:line="360" w:lineRule="auto"/>
      <w:ind w:firstLine="200" w:firstLineChars="200"/>
    </w:pPr>
    <w:rPr>
      <w:sz w:val="24"/>
      <w:szCs w:val="24"/>
    </w:rPr>
  </w:style>
  <w:style w:type="paragraph" w:customStyle="1" w:styleId="203">
    <w:name w:val="纯文本1"/>
    <w:basedOn w:val="1"/>
    <w:qFormat/>
    <w:uiPriority w:val="0"/>
    <w:pPr>
      <w:adjustRightInd w:val="0"/>
      <w:textAlignment w:val="baseline"/>
    </w:pPr>
    <w:rPr>
      <w:rFonts w:ascii="宋体" w:hAnsi="Courier New" w:eastAsia="楷体_GB2312"/>
      <w:sz w:val="26"/>
    </w:rPr>
  </w:style>
  <w:style w:type="paragraph" w:customStyle="1" w:styleId="204">
    <w:name w:val="段"/>
    <w:next w:val="1"/>
    <w:qFormat/>
    <w:uiPriority w:val="0"/>
    <w:pPr>
      <w:ind w:firstLine="200"/>
      <w:jc w:val="both"/>
    </w:pPr>
    <w:rPr>
      <w:rFonts w:ascii="宋体" w:hAnsi="Times New Roman" w:eastAsia="宋体" w:cs="Times New Roman"/>
      <w:lang w:val="en-US" w:eastAsia="zh-CN" w:bidi="ar-SA"/>
    </w:rPr>
  </w:style>
  <w:style w:type="paragraph" w:customStyle="1" w:styleId="205">
    <w:name w:val="纯文本2"/>
    <w:basedOn w:val="1"/>
    <w:qFormat/>
    <w:uiPriority w:val="0"/>
    <w:rPr>
      <w:rFonts w:ascii="宋体" w:hAnsi="Courier New" w:eastAsia="楷体_GB2312" w:cs="Times New Roman"/>
      <w:sz w:val="26"/>
      <w:szCs w:val="20"/>
    </w:rPr>
  </w:style>
  <w:style w:type="character" w:customStyle="1" w:styleId="206">
    <w:name w:val="正文文本缩进 Char"/>
    <w:basedOn w:val="45"/>
    <w:link w:val="20"/>
    <w:qFormat/>
    <w:uiPriority w:val="0"/>
    <w:rPr>
      <w:rFonts w:hint="default" w:ascii="Arial" w:hAnsi="Arial" w:eastAsia="Arial" w:cs="Times New Roman"/>
      <w:sz w:val="22"/>
      <w:szCs w:val="22"/>
      <w:lang w:eastAsia="en-US"/>
    </w:rPr>
  </w:style>
  <w:style w:type="paragraph" w:customStyle="1" w:styleId="207">
    <w:name w:val="纯文本11"/>
    <w:basedOn w:val="1"/>
    <w:qFormat/>
    <w:uiPriority w:val="0"/>
    <w:pPr>
      <w:widowControl w:val="0"/>
      <w:adjustRightInd w:val="0"/>
      <w:jc w:val="both"/>
      <w:textAlignment w:val="baseline"/>
    </w:pPr>
    <w:rPr>
      <w:rFonts w:ascii="宋体" w:hAnsi="Courier New" w:eastAsia="楷体_GB2312"/>
      <w:kern w:val="2"/>
      <w:sz w:val="28"/>
      <w:szCs w:val="20"/>
    </w:rPr>
  </w:style>
  <w:style w:type="character" w:customStyle="1" w:styleId="208">
    <w:name w:val="批注框文本 Char"/>
    <w:basedOn w:val="45"/>
    <w:link w:val="27"/>
    <w:semiHidden/>
    <w:qFormat/>
    <w:uiPriority w:val="99"/>
    <w:rPr>
      <w:rFonts w:asciiTheme="minorHAnsi" w:hAnsiTheme="minorHAnsi" w:eastAsiaTheme="minorHAnsi" w:cstheme="minorBidi"/>
      <w:sz w:val="18"/>
      <w:szCs w:val="18"/>
      <w:lang w:eastAsia="en-US"/>
    </w:rPr>
  </w:style>
  <w:style w:type="character" w:customStyle="1" w:styleId="209">
    <w:name w:val="宏文本 Char"/>
    <w:basedOn w:val="45"/>
    <w:link w:val="2"/>
    <w:qFormat/>
    <w:uiPriority w:val="0"/>
    <w:rPr>
      <w:rFonts w:ascii="Courier New" w:hAnsi="Courier New" w:cs="Courier New"/>
      <w:sz w:val="24"/>
      <w:szCs w:val="24"/>
    </w:rPr>
  </w:style>
  <w:style w:type="paragraph" w:customStyle="1" w:styleId="210">
    <w:name w:val="纯文本3"/>
    <w:basedOn w:val="1"/>
    <w:qFormat/>
    <w:uiPriority w:val="0"/>
    <w:rPr>
      <w:rFonts w:ascii="仿宋" w:hAnsi="Cambria Math" w:eastAsia="Wingdings" w:cs="华文楷体"/>
      <w:sz w:val="26"/>
      <w:szCs w:val="20"/>
    </w:rPr>
  </w:style>
  <w:style w:type="paragraph" w:customStyle="1" w:styleId="211">
    <w:name w:val="普通(网站)1"/>
    <w:basedOn w:val="1"/>
    <w:qFormat/>
    <w:uiPriority w:val="0"/>
    <w:pPr>
      <w:widowControl w:val="0"/>
      <w:spacing w:before="100" w:beforeAutospacing="1" w:after="100" w:afterAutospacing="1" w:line="240" w:lineRule="auto"/>
    </w:pPr>
    <w:rPr>
      <w:rFonts w:ascii="Calibri" w:hAnsi="Calibri" w:eastAsia="宋体" w:cs="Times New Roman"/>
      <w:sz w:val="24"/>
      <w:szCs w:val="24"/>
      <w:lang w:eastAsia="zh-CN"/>
    </w:rPr>
  </w:style>
  <w:style w:type="character" w:customStyle="1" w:styleId="212">
    <w:name w:val="NormalCharacter"/>
    <w:link w:val="213"/>
    <w:semiHidden/>
    <w:qFormat/>
    <w:uiPriority w:val="0"/>
    <w:rPr>
      <w:rFonts w:asciiTheme="minorHAnsi" w:hAnsiTheme="minorHAnsi" w:eastAsiaTheme="minorEastAsia" w:cstheme="minorBidi"/>
      <w:szCs w:val="22"/>
    </w:rPr>
  </w:style>
  <w:style w:type="paragraph" w:customStyle="1" w:styleId="213">
    <w:name w:val="UserStyle_3"/>
    <w:basedOn w:val="1"/>
    <w:link w:val="212"/>
    <w:autoRedefine/>
    <w:qFormat/>
    <w:uiPriority w:val="0"/>
    <w:pPr>
      <w:spacing w:after="160" w:line="240" w:lineRule="exact"/>
    </w:pPr>
    <w:rPr>
      <w:rFonts w:eastAsiaTheme="minorEastAsia"/>
    </w:rPr>
  </w:style>
  <w:style w:type="character" w:customStyle="1" w:styleId="214">
    <w:name w:val="font11"/>
    <w:basedOn w:val="45"/>
    <w:qFormat/>
    <w:uiPriority w:val="0"/>
    <w:rPr>
      <w:rFonts w:hint="eastAsia" w:ascii="宋体" w:hAnsi="宋体" w:eastAsia="宋体" w:cs="宋体"/>
      <w:color w:val="000000"/>
      <w:sz w:val="21"/>
      <w:szCs w:val="21"/>
      <w:u w:val="none"/>
    </w:rPr>
  </w:style>
  <w:style w:type="character" w:customStyle="1" w:styleId="215">
    <w:name w:val="font21"/>
    <w:basedOn w:val="45"/>
    <w:qFormat/>
    <w:uiPriority w:val="0"/>
    <w:rPr>
      <w:rFonts w:ascii="Calibri" w:hAnsi="Calibri" w:cs="Calibri"/>
      <w:color w:val="000000"/>
      <w:sz w:val="21"/>
      <w:szCs w:val="21"/>
      <w:u w:val="none"/>
    </w:rPr>
  </w:style>
  <w:style w:type="character" w:customStyle="1" w:styleId="216">
    <w:name w:val="font31"/>
    <w:basedOn w:val="45"/>
    <w:qFormat/>
    <w:uiPriority w:val="0"/>
    <w:rPr>
      <w:rFonts w:ascii="Arial" w:hAnsi="Arial" w:cs="Arial"/>
      <w:color w:val="000000"/>
      <w:sz w:val="20"/>
      <w:szCs w:val="20"/>
      <w:u w:val="none"/>
    </w:rPr>
  </w:style>
  <w:style w:type="character" w:customStyle="1" w:styleId="217">
    <w:name w:val="font41"/>
    <w:basedOn w:val="45"/>
    <w:qFormat/>
    <w:uiPriority w:val="0"/>
    <w:rPr>
      <w:rFonts w:hint="eastAsia" w:ascii="微软雅黑" w:hAnsi="微软雅黑" w:eastAsia="微软雅黑" w:cs="微软雅黑"/>
      <w:color w:val="000000"/>
      <w:sz w:val="20"/>
      <w:szCs w:val="20"/>
      <w:u w:val="none"/>
      <w:vertAlign w:val="superscript"/>
    </w:rPr>
  </w:style>
  <w:style w:type="paragraph" w:customStyle="1" w:styleId="218">
    <w:name w:val="无间隔1"/>
    <w:basedOn w:val="1"/>
    <w:qFormat/>
    <w:uiPriority w:val="1"/>
    <w:pPr>
      <w:spacing w:after="0" w:line="240" w:lineRule="auto"/>
    </w:pPr>
    <w:rPr>
      <w:rFonts w:ascii="Times New Roman" w:hAnsi="Times New Roman" w:eastAsia="宋体" w:cs="Times New Roman"/>
    </w:rPr>
  </w:style>
  <w:style w:type="paragraph" w:customStyle="1" w:styleId="219">
    <w:name w:val="￥正文"/>
    <w:basedOn w:val="1"/>
    <w:link w:val="221"/>
    <w:qFormat/>
    <w:uiPriority w:val="0"/>
    <w:pPr>
      <w:spacing w:line="360" w:lineRule="auto"/>
      <w:ind w:firstLine="200" w:firstLineChars="200"/>
    </w:pPr>
    <w:rPr>
      <w:rFonts w:ascii="Calibri" w:hAnsi="Calibri"/>
      <w:sz w:val="24"/>
    </w:rPr>
  </w:style>
  <w:style w:type="paragraph" w:customStyle="1" w:styleId="220">
    <w:name w:val="首行缩进"/>
    <w:basedOn w:val="1"/>
    <w:qFormat/>
    <w:uiPriority w:val="0"/>
    <w:pPr>
      <w:spacing w:line="360" w:lineRule="auto"/>
      <w:ind w:firstLine="480" w:firstLineChars="200"/>
    </w:pPr>
    <w:rPr>
      <w:rFonts w:ascii="宋体" w:hAnsi="宋体"/>
      <w:sz w:val="24"/>
      <w:szCs w:val="24"/>
    </w:rPr>
  </w:style>
  <w:style w:type="character" w:customStyle="1" w:styleId="221">
    <w:name w:val="￥正文 Char"/>
    <w:link w:val="219"/>
    <w:qFormat/>
    <w:uiPriority w:val="0"/>
    <w:rPr>
      <w:rFonts w:ascii="Calibri" w:hAnsi="Calibri"/>
      <w:sz w:val="24"/>
      <w:szCs w:val="22"/>
    </w:rPr>
  </w:style>
  <w:style w:type="paragraph" w:customStyle="1" w:styleId="222">
    <w:name w:val="方案正文"/>
    <w:basedOn w:val="1"/>
    <w:qFormat/>
    <w:uiPriority w:val="0"/>
    <w:pPr>
      <w:snapToGrid w:val="0"/>
      <w:spacing w:line="440" w:lineRule="atLeast"/>
    </w:pPr>
    <w:rPr>
      <w:sz w:val="24"/>
    </w:rPr>
  </w:style>
  <w:style w:type="paragraph" w:customStyle="1" w:styleId="223">
    <w:name w:val="修订1"/>
    <w:hidden/>
    <w:unhideWhenUsed/>
    <w:qFormat/>
    <w:uiPriority w:val="99"/>
    <w:rPr>
      <w:rFonts w:asciiTheme="minorHAnsi" w:hAnsiTheme="minorHAnsi" w:eastAsiaTheme="minorHAnsi" w:cstheme="minorBidi"/>
      <w:sz w:val="22"/>
      <w:szCs w:val="22"/>
      <w:lang w:val="en-US" w:eastAsia="en-US" w:bidi="ar-SA"/>
    </w:rPr>
  </w:style>
  <w:style w:type="character" w:customStyle="1" w:styleId="224">
    <w:name w:val="批注文字 Char"/>
    <w:basedOn w:val="45"/>
    <w:link w:val="19"/>
    <w:qFormat/>
    <w:uiPriority w:val="99"/>
    <w:rPr>
      <w:rFonts w:ascii="Calibri" w:hAnsi="Calibri" w:eastAsiaTheme="minorHAnsi" w:cstheme="minorBidi"/>
      <w:sz w:val="22"/>
      <w:szCs w:val="22"/>
      <w:lang w:eastAsia="en-US"/>
    </w:rPr>
  </w:style>
  <w:style w:type="character" w:customStyle="1" w:styleId="225">
    <w:name w:val="批注主题 Char"/>
    <w:basedOn w:val="224"/>
    <w:link w:val="41"/>
    <w:semiHidden/>
    <w:qFormat/>
    <w:uiPriority w:val="99"/>
    <w:rPr>
      <w:rFonts w:asciiTheme="minorHAnsi" w:hAnsiTheme="minorHAnsi" w:eastAsiaTheme="minorHAnsi" w:cstheme="minorBidi"/>
      <w:b/>
      <w:bCs/>
      <w:sz w:val="22"/>
      <w:szCs w:val="22"/>
      <w:lang w:eastAsia="en-US"/>
    </w:rPr>
  </w:style>
  <w:style w:type="paragraph" w:customStyle="1" w:styleId="226">
    <w:name w:val="Heading3"/>
    <w:basedOn w:val="1"/>
    <w:next w:val="1"/>
    <w:autoRedefine/>
    <w:qFormat/>
    <w:uiPriority w:val="0"/>
    <w:pPr>
      <w:keepNext/>
      <w:keepLines/>
      <w:snapToGrid w:val="0"/>
      <w:spacing w:before="156" w:after="156" w:line="360" w:lineRule="auto"/>
    </w:pPr>
    <w:rPr>
      <w:rFonts w:ascii="宋体" w:hAnsi="宋体" w:eastAsia="宋体" w:cs="宋体"/>
      <w:b/>
      <w:bCs/>
      <w:color w:val="000000"/>
      <w:sz w:val="24"/>
      <w:szCs w:val="24"/>
      <w:lang w:eastAsia="zh-CN"/>
    </w:rPr>
  </w:style>
  <w:style w:type="paragraph" w:customStyle="1" w:styleId="227">
    <w:name w:val="null3"/>
    <w:hidden/>
    <w:qFormat/>
    <w:uiPriority w:val="0"/>
    <w:rPr>
      <w:rFonts w:hint="eastAsia" w:asciiTheme="minorHAnsi" w:hAnsiTheme="minorHAnsi" w:eastAsiaTheme="minorEastAsia" w:cstheme="minorBidi"/>
      <w:lang w:val="en-US" w:eastAsia="zh-Hans" w:bidi="ar-SA"/>
    </w:rPr>
  </w:style>
  <w:style w:type="paragraph" w:customStyle="1" w:styleId="228">
    <w:name w:val="Table Text"/>
    <w:basedOn w:val="1"/>
    <w:semiHidden/>
    <w:qFormat/>
    <w:uiPriority w:val="0"/>
    <w:rPr>
      <w:rFonts w:ascii="黑体" w:hAnsi="黑体" w:eastAsia="黑体" w:cs="黑体"/>
      <w:sz w:val="18"/>
      <w:szCs w:val="18"/>
    </w:rPr>
  </w:style>
  <w:style w:type="table" w:customStyle="1" w:styleId="229">
    <w:name w:val="Table Normal"/>
    <w:semiHidden/>
    <w:unhideWhenUsed/>
    <w:qFormat/>
    <w:uiPriority w:val="0"/>
    <w:tblPr>
      <w:tblCellMar>
        <w:top w:w="0" w:type="dxa"/>
        <w:left w:w="0" w:type="dxa"/>
        <w:bottom w:w="0" w:type="dxa"/>
        <w:right w:w="0" w:type="dxa"/>
      </w:tblCellMar>
    </w:tblPr>
  </w:style>
  <w:style w:type="paragraph" w:customStyle="1" w:styleId="230">
    <w:name w:val="*正文"/>
    <w:basedOn w:val="1"/>
    <w:qFormat/>
    <w:uiPriority w:val="0"/>
    <w:pPr>
      <w:spacing w:line="360" w:lineRule="auto"/>
      <w:jc w:val="center"/>
    </w:pPr>
    <w:rPr>
      <w:rFonts w:ascii="宋体" w:hAnsi="宋体" w:eastAsia="宋体" w:cs="仿宋_GB2312"/>
      <w:sz w:val="24"/>
      <w:szCs w:val="24"/>
    </w:rPr>
  </w:style>
  <w:style w:type="paragraph" w:customStyle="1" w:styleId="231">
    <w:name w:val="正文首行缩进1"/>
    <w:basedOn w:val="18"/>
    <w:qFormat/>
    <w:uiPriority w:val="0"/>
    <w:pPr>
      <w:spacing w:after="120"/>
      <w:ind w:firstLine="420" w:firstLineChars="100"/>
      <w:jc w:val="both"/>
    </w:pPr>
    <w:rPr>
      <w:rFonts w:asciiTheme="minorHAnsi" w:hAnsiTheme="minorHAnsi" w:eastAsiaTheme="minorEastAsia"/>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Company>
  <Pages>74</Pages>
  <Words>13811</Words>
  <Characters>15132</Characters>
  <Lines>289</Lines>
  <Paragraphs>81</Paragraphs>
  <TotalTime>95</TotalTime>
  <ScaleCrop>false</ScaleCrop>
  <LinksUpToDate>false</LinksUpToDate>
  <CharactersWithSpaces>15260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2025-05-14T18:46:00Z</dcterms:created>
  <dc:creator>周萌</dc:creator>
  <cp:lastModifiedBy>Only Q</cp:lastModifiedBy>
  <cp:lastPrinted>2025-02-26T23:12:00Z</cp:lastPrinted>
  <dcterms:modified xsi:type="dcterms:W3CDTF">2026-03-16T08:24:36Z</dcterms:modified>
  <cp:revision>115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4B1804905435408D8332A5F103F78EBA_13</vt:lpwstr>
  </property>
  <property fmtid="{D5CDD505-2E9C-101B-9397-08002B2CF9AE}" pid="4" name="KSOTemplateDocerSaveRecord">
    <vt:lpwstr>eyJoZGlkIjoiYzBmMTFkM2YzY2FiNTQ0MmZmMjliOTA5MjdiNmI1NDUiLCJ1c2VySWQiOiI0NTU4MjY1MzAifQ==</vt:lpwstr>
  </property>
</Properties>
</file>