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596A0">
      <w:pPr>
        <w:spacing w:line="360" w:lineRule="auto"/>
        <w:jc w:val="center"/>
        <w:rPr>
          <w:rFonts w:hint="default" w:ascii="宋体" w:hAnsi="宋体" w:eastAsia="宋体" w:cs="宋体"/>
          <w:b/>
          <w:bCs/>
          <w:color w:val="000000"/>
          <w:spacing w:val="80"/>
          <w:sz w:val="84"/>
          <w:szCs w:val="84"/>
          <w:lang w:val="en-US"/>
        </w:rPr>
      </w:pPr>
      <w:r>
        <w:rPr>
          <w:rFonts w:hint="eastAsia" w:ascii="宋体" w:hAnsi="宋体" w:eastAsia="宋体" w:cs="宋体"/>
          <w:b/>
          <w:bCs/>
          <w:color w:val="000000"/>
          <w:spacing w:val="80"/>
          <w:sz w:val="84"/>
          <w:szCs w:val="84"/>
          <w:lang w:val="en-US" w:eastAsia="zh-CN"/>
        </w:rPr>
        <w:t>东海县政府采购</w:t>
      </w:r>
    </w:p>
    <w:p w14:paraId="2893F89B">
      <w:pPr>
        <w:spacing w:line="360" w:lineRule="auto"/>
        <w:ind w:firstLine="947" w:firstLineChars="200"/>
        <w:rPr>
          <w:rFonts w:hint="eastAsia" w:ascii="宋体" w:hAnsi="宋体" w:eastAsia="宋体" w:cs="宋体"/>
          <w:b/>
          <w:bCs/>
          <w:color w:val="000000"/>
          <w:spacing w:val="16"/>
          <w:sz w:val="44"/>
          <w:szCs w:val="24"/>
        </w:rPr>
      </w:pPr>
    </w:p>
    <w:p w14:paraId="4705D4DE">
      <w:pPr>
        <w:spacing w:line="360" w:lineRule="auto"/>
        <w:jc w:val="center"/>
        <w:rPr>
          <w:rFonts w:hint="eastAsia" w:ascii="宋体" w:hAnsi="宋体" w:eastAsia="宋体" w:cs="宋体"/>
          <w:b/>
          <w:bCs/>
          <w:color w:val="000000"/>
          <w:spacing w:val="80"/>
          <w:sz w:val="72"/>
          <w:szCs w:val="72"/>
        </w:rPr>
      </w:pPr>
    </w:p>
    <w:p w14:paraId="2820C2E7">
      <w:pPr>
        <w:spacing w:line="360" w:lineRule="auto"/>
        <w:jc w:val="center"/>
        <w:rPr>
          <w:rFonts w:hint="eastAsia" w:ascii="宋体" w:hAnsi="宋体" w:eastAsia="宋体" w:cs="宋体"/>
          <w:b/>
          <w:bCs/>
          <w:color w:val="000000"/>
          <w:spacing w:val="80"/>
          <w:sz w:val="72"/>
          <w:szCs w:val="72"/>
        </w:rPr>
      </w:pPr>
      <w:r>
        <w:rPr>
          <w:rFonts w:hint="eastAsia" w:ascii="宋体" w:hAnsi="宋体" w:eastAsia="宋体" w:cs="宋体"/>
          <w:b/>
          <w:bCs/>
          <w:color w:val="000000"/>
          <w:spacing w:val="80"/>
          <w:sz w:val="72"/>
          <w:szCs w:val="72"/>
        </w:rPr>
        <w:t>招标文件</w:t>
      </w:r>
    </w:p>
    <w:p w14:paraId="0C9743A5">
      <w:pPr>
        <w:spacing w:line="360" w:lineRule="auto"/>
        <w:ind w:firstLine="947" w:firstLineChars="200"/>
        <w:rPr>
          <w:rFonts w:hint="eastAsia" w:ascii="宋体" w:hAnsi="宋体" w:eastAsia="宋体" w:cs="宋体"/>
          <w:b/>
          <w:bCs/>
          <w:color w:val="000000"/>
          <w:spacing w:val="16"/>
          <w:sz w:val="44"/>
          <w:szCs w:val="24"/>
        </w:rPr>
      </w:pPr>
    </w:p>
    <w:p w14:paraId="39B78071">
      <w:pPr>
        <w:spacing w:line="360" w:lineRule="auto"/>
        <w:ind w:firstLine="947" w:firstLineChars="200"/>
        <w:rPr>
          <w:rFonts w:hint="eastAsia" w:ascii="宋体" w:hAnsi="宋体" w:eastAsia="宋体" w:cs="宋体"/>
          <w:b/>
          <w:bCs/>
          <w:color w:val="000000"/>
          <w:spacing w:val="16"/>
          <w:sz w:val="44"/>
          <w:szCs w:val="24"/>
        </w:rPr>
      </w:pPr>
    </w:p>
    <w:p w14:paraId="6C8F5D55">
      <w:pPr>
        <w:widowControl w:val="0"/>
        <w:spacing w:after="120"/>
        <w:jc w:val="both"/>
        <w:rPr>
          <w:rFonts w:hint="eastAsia" w:ascii="宋体" w:hAnsi="宋体" w:eastAsia="宋体" w:cs="宋体"/>
          <w:b/>
          <w:bCs/>
          <w:color w:val="000000"/>
          <w:spacing w:val="16"/>
          <w:kern w:val="2"/>
          <w:sz w:val="44"/>
          <w:szCs w:val="24"/>
          <w:highlight w:val="none"/>
          <w:lang w:val="en-US" w:eastAsia="zh-CN" w:bidi="ar-SA"/>
        </w:rPr>
      </w:pPr>
    </w:p>
    <w:p w14:paraId="3ED0CE3D">
      <w:pPr>
        <w:rPr>
          <w:rFonts w:hint="eastAsia" w:ascii="宋体" w:hAnsi="宋体" w:eastAsia="宋体" w:cs="宋体"/>
          <w:szCs w:val="22"/>
          <w:highlight w:val="none"/>
        </w:rPr>
      </w:pPr>
    </w:p>
    <w:p w14:paraId="19528B69">
      <w:pPr>
        <w:spacing w:line="360" w:lineRule="auto"/>
        <w:ind w:firstLine="947" w:firstLineChars="200"/>
        <w:rPr>
          <w:rFonts w:hint="eastAsia" w:ascii="宋体" w:hAnsi="宋体" w:eastAsia="宋体" w:cs="宋体"/>
          <w:b/>
          <w:bCs/>
          <w:color w:val="000000"/>
          <w:spacing w:val="16"/>
          <w:sz w:val="44"/>
          <w:szCs w:val="24"/>
          <w:highlight w:val="none"/>
        </w:rPr>
      </w:pPr>
    </w:p>
    <w:p w14:paraId="11E223B2">
      <w:pPr>
        <w:spacing w:line="360" w:lineRule="auto"/>
        <w:ind w:firstLine="1374" w:firstLineChars="600"/>
        <w:rPr>
          <w:rFonts w:hint="eastAsia" w:ascii="宋体" w:hAnsi="宋体" w:eastAsia="宋体" w:cs="宋体"/>
          <w:b/>
          <w:bCs/>
          <w:color w:val="000000"/>
          <w:spacing w:val="16"/>
          <w:sz w:val="24"/>
          <w:szCs w:val="24"/>
          <w:highlight w:val="none"/>
          <w:lang w:val="en-US" w:eastAsia="zh-CN"/>
        </w:rPr>
      </w:pPr>
      <w:r>
        <w:rPr>
          <w:rFonts w:hint="eastAsia" w:ascii="宋体" w:hAnsi="宋体" w:eastAsia="宋体" w:cs="宋体"/>
          <w:b/>
          <w:bCs/>
          <w:color w:val="000000"/>
          <w:w w:val="95"/>
          <w:sz w:val="24"/>
          <w:szCs w:val="24"/>
          <w:highlight w:val="none"/>
          <w:lang w:eastAsia="zh-CN"/>
        </w:rPr>
        <w:t>项目名称</w:t>
      </w:r>
      <w:r>
        <w:rPr>
          <w:rFonts w:hint="eastAsia" w:ascii="宋体" w:hAnsi="宋体" w:eastAsia="宋体" w:cs="宋体"/>
          <w:b/>
          <w:bCs/>
          <w:color w:val="000000"/>
          <w:w w:val="95"/>
          <w:sz w:val="24"/>
          <w:szCs w:val="24"/>
          <w:highlight w:val="none"/>
        </w:rPr>
        <w:t>：</w:t>
      </w:r>
      <w:r>
        <w:rPr>
          <w:rFonts w:hint="eastAsia" w:ascii="宋体" w:hAnsi="宋体" w:eastAsia="宋体" w:cs="宋体"/>
          <w:b/>
          <w:bCs/>
          <w:color w:val="000000"/>
          <w:w w:val="95"/>
          <w:sz w:val="24"/>
          <w:szCs w:val="24"/>
          <w:highlight w:val="none"/>
          <w:lang w:eastAsia="zh-CN"/>
        </w:rPr>
        <w:t>2026年中央农业防灾减灾和水利救灾项目</w:t>
      </w:r>
    </w:p>
    <w:p w14:paraId="20C85A23">
      <w:pPr>
        <w:keepNext w:val="0"/>
        <w:keepLines w:val="0"/>
        <w:pageBreakBefore w:val="0"/>
        <w:widowControl w:val="0"/>
        <w:kinsoku/>
        <w:wordWrap/>
        <w:overflowPunct/>
        <w:topLinePunct w:val="0"/>
        <w:autoSpaceDE/>
        <w:autoSpaceDN/>
        <w:bidi w:val="0"/>
        <w:adjustRightInd/>
        <w:snapToGrid/>
        <w:spacing w:after="0" w:line="360" w:lineRule="auto"/>
        <w:ind w:firstLine="1374" w:firstLineChars="600"/>
        <w:jc w:val="both"/>
        <w:textAlignment w:val="auto"/>
        <w:rPr>
          <w:rFonts w:hint="default" w:ascii="宋体" w:hAnsi="宋体" w:eastAsia="宋体" w:cs="宋体"/>
          <w:b/>
          <w:bCs/>
          <w:color w:val="000000"/>
          <w:w w:val="95"/>
          <w:kern w:val="2"/>
          <w:sz w:val="24"/>
          <w:szCs w:val="24"/>
          <w:highlight w:val="none"/>
          <w:lang w:val="en-US" w:eastAsia="zh-CN" w:bidi="ar-SA"/>
        </w:rPr>
      </w:pPr>
      <w:r>
        <w:rPr>
          <w:rFonts w:hint="eastAsia" w:ascii="宋体" w:hAnsi="宋体" w:eastAsia="宋体" w:cs="宋体"/>
          <w:b/>
          <w:bCs/>
          <w:color w:val="000000"/>
          <w:w w:val="95"/>
          <w:kern w:val="2"/>
          <w:sz w:val="24"/>
          <w:szCs w:val="24"/>
          <w:highlight w:val="none"/>
          <w:lang w:val="en-US" w:eastAsia="zh-CN" w:bidi="ar-SA"/>
        </w:rPr>
        <w:t>项目编号：JSZC-320722-YJXM-G2026-0008</w:t>
      </w:r>
    </w:p>
    <w:p w14:paraId="06D71484">
      <w:pPr>
        <w:widowControl w:val="0"/>
        <w:spacing w:after="120"/>
        <w:jc w:val="both"/>
        <w:rPr>
          <w:rFonts w:hint="eastAsia" w:ascii="Calibri" w:hAnsi="Calibri" w:eastAsia="宋体" w:cs="Times New Roman"/>
          <w:kern w:val="2"/>
          <w:sz w:val="21"/>
          <w:szCs w:val="22"/>
          <w:highlight w:val="none"/>
          <w:lang w:val="en-US" w:eastAsia="zh-CN" w:bidi="ar-SA"/>
        </w:rPr>
      </w:pPr>
    </w:p>
    <w:p w14:paraId="77232956">
      <w:pPr>
        <w:spacing w:line="360" w:lineRule="auto"/>
        <w:ind w:right="-993" w:rightChars="-473"/>
        <w:rPr>
          <w:rFonts w:hint="eastAsia" w:ascii="宋体" w:hAnsi="宋体" w:eastAsia="宋体" w:cs="宋体"/>
          <w:color w:val="000000"/>
          <w:szCs w:val="20"/>
          <w:highlight w:val="none"/>
        </w:rPr>
      </w:pPr>
    </w:p>
    <w:p w14:paraId="6DDA7A44">
      <w:pPr>
        <w:widowControl w:val="0"/>
        <w:spacing w:after="120"/>
        <w:jc w:val="both"/>
        <w:rPr>
          <w:rFonts w:hint="eastAsia" w:ascii="宋体" w:hAnsi="宋体" w:eastAsia="宋体" w:cs="宋体"/>
          <w:color w:val="000000"/>
          <w:kern w:val="2"/>
          <w:sz w:val="21"/>
          <w:szCs w:val="20"/>
          <w:lang w:val="en-US" w:eastAsia="zh-CN" w:bidi="ar-SA"/>
        </w:rPr>
      </w:pPr>
    </w:p>
    <w:p w14:paraId="48554D8F">
      <w:pPr>
        <w:widowControl w:val="0"/>
        <w:spacing w:after="120"/>
        <w:jc w:val="both"/>
        <w:rPr>
          <w:rFonts w:hint="eastAsia" w:ascii="宋体" w:hAnsi="宋体" w:eastAsia="宋体" w:cs="宋体"/>
          <w:color w:val="000000"/>
          <w:kern w:val="2"/>
          <w:sz w:val="21"/>
          <w:szCs w:val="20"/>
          <w:lang w:val="en-US" w:eastAsia="zh-CN" w:bidi="ar-SA"/>
        </w:rPr>
      </w:pPr>
    </w:p>
    <w:p w14:paraId="536D4F63">
      <w:pPr>
        <w:widowControl w:val="0"/>
        <w:spacing w:after="120"/>
        <w:jc w:val="both"/>
        <w:rPr>
          <w:rFonts w:hint="eastAsia" w:ascii="宋体" w:hAnsi="宋体" w:eastAsia="宋体" w:cs="宋体"/>
          <w:color w:val="000000"/>
          <w:kern w:val="2"/>
          <w:sz w:val="21"/>
          <w:szCs w:val="20"/>
          <w:lang w:val="en-US" w:eastAsia="zh-CN" w:bidi="ar-SA"/>
        </w:rPr>
      </w:pPr>
    </w:p>
    <w:p w14:paraId="1E82B3F7">
      <w:pPr>
        <w:rPr>
          <w:rFonts w:hint="eastAsia" w:ascii="宋体" w:hAnsi="宋体" w:eastAsia="宋体" w:cs="宋体"/>
          <w:szCs w:val="22"/>
        </w:rPr>
      </w:pPr>
    </w:p>
    <w:p w14:paraId="3B87E866">
      <w:pPr>
        <w:adjustRightInd w:val="0"/>
        <w:spacing w:before="120" w:after="120" w:line="360" w:lineRule="auto"/>
        <w:ind w:left="840" w:firstLine="643" w:firstLineChars="200"/>
        <w:textAlignment w:val="baseline"/>
        <w:rPr>
          <w:rFonts w:hint="eastAsia" w:ascii="宋体" w:hAnsi="宋体" w:eastAsia="宋体" w:cs="宋体"/>
          <w:b/>
          <w:bCs w:val="0"/>
          <w:color w:val="000000"/>
          <w:kern w:val="0"/>
          <w:sz w:val="32"/>
          <w:szCs w:val="24"/>
          <w:lang w:eastAsia="zh-CN"/>
        </w:rPr>
      </w:pPr>
      <w:r>
        <w:rPr>
          <w:rFonts w:hint="eastAsia" w:ascii="宋体" w:hAnsi="宋体" w:eastAsia="宋体" w:cs="宋体"/>
          <w:b/>
          <w:bCs w:val="0"/>
          <w:color w:val="000000"/>
          <w:kern w:val="0"/>
          <w:sz w:val="32"/>
          <w:szCs w:val="24"/>
        </w:rPr>
        <w:t>采   购   人：</w:t>
      </w:r>
      <w:r>
        <w:rPr>
          <w:rFonts w:hint="eastAsia" w:ascii="宋体" w:hAnsi="宋体" w:eastAsia="宋体" w:cs="宋体"/>
          <w:b/>
          <w:bCs w:val="0"/>
          <w:color w:val="000000"/>
          <w:kern w:val="0"/>
          <w:sz w:val="32"/>
          <w:szCs w:val="24"/>
          <w:lang w:eastAsia="zh-CN"/>
        </w:rPr>
        <w:t>东海县农业技术推广中心</w:t>
      </w:r>
    </w:p>
    <w:p w14:paraId="517A7540">
      <w:pPr>
        <w:adjustRightInd w:val="0"/>
        <w:spacing w:before="120" w:after="120" w:line="360" w:lineRule="auto"/>
        <w:ind w:left="840" w:firstLine="643" w:firstLineChars="200"/>
        <w:jc w:val="left"/>
        <w:textAlignment w:val="baseline"/>
        <w:rPr>
          <w:rFonts w:hint="eastAsia" w:ascii="宋体" w:hAnsi="宋体" w:eastAsia="宋体" w:cs="宋体"/>
          <w:b/>
          <w:bCs w:val="0"/>
          <w:color w:val="000000"/>
          <w:kern w:val="0"/>
          <w:sz w:val="32"/>
          <w:szCs w:val="24"/>
          <w:lang w:eastAsia="zh-CN"/>
        </w:rPr>
      </w:pPr>
      <w:r>
        <w:rPr>
          <w:rFonts w:hint="eastAsia" w:ascii="宋体" w:hAnsi="宋体" w:eastAsia="宋体" w:cs="宋体"/>
          <w:b/>
          <w:bCs w:val="0"/>
          <w:color w:val="000000"/>
          <w:kern w:val="0"/>
          <w:sz w:val="32"/>
          <w:szCs w:val="24"/>
        </w:rPr>
        <w:t>采购代理机构：</w:t>
      </w:r>
      <w:r>
        <w:rPr>
          <w:rFonts w:hint="eastAsia" w:ascii="宋体" w:hAnsi="宋体" w:eastAsia="宋体" w:cs="宋体"/>
          <w:b/>
          <w:bCs w:val="0"/>
          <w:color w:val="000000"/>
          <w:kern w:val="0"/>
          <w:sz w:val="32"/>
          <w:szCs w:val="24"/>
          <w:lang w:eastAsia="zh-CN"/>
        </w:rPr>
        <w:t>连云港云建项目管理有限公司</w:t>
      </w:r>
    </w:p>
    <w:p w14:paraId="25EC48E5">
      <w:pPr>
        <w:keepNext/>
        <w:keepLines/>
        <w:adjustRightInd w:val="0"/>
        <w:spacing w:line="360" w:lineRule="auto"/>
        <w:jc w:val="center"/>
        <w:textAlignment w:val="baseline"/>
        <w:outlineLvl w:val="0"/>
        <w:rPr>
          <w:rFonts w:hint="eastAsia" w:ascii="宋体" w:hAnsi="宋体" w:eastAsia="宋体" w:cs="宋体"/>
          <w:b/>
          <w:kern w:val="44"/>
          <w:sz w:val="36"/>
          <w:szCs w:val="20"/>
        </w:rPr>
      </w:pPr>
      <w:bookmarkStart w:id="0" w:name="_Toc16299"/>
      <w:r>
        <w:rPr>
          <w:rFonts w:hint="eastAsia" w:ascii="宋体" w:hAnsi="宋体" w:eastAsia="宋体" w:cs="宋体"/>
          <w:b/>
          <w:bCs w:val="0"/>
          <w:color w:val="000000"/>
          <w:kern w:val="0"/>
          <w:sz w:val="32"/>
          <w:szCs w:val="24"/>
          <w:lang w:val="en-US" w:eastAsia="zh-CN"/>
        </w:rPr>
        <w:t>二零二六年四月</w:t>
      </w:r>
      <w:r>
        <w:rPr>
          <w:rFonts w:hint="eastAsia" w:ascii="宋体" w:hAnsi="宋体" w:eastAsia="宋体" w:cs="宋体"/>
          <w:b/>
          <w:bCs w:val="0"/>
          <w:kern w:val="0"/>
          <w:sz w:val="28"/>
          <w:szCs w:val="20"/>
        </w:rPr>
        <w:br w:type="page"/>
      </w:r>
      <w:bookmarkStart w:id="1" w:name="_Toc3580"/>
      <w:r>
        <w:rPr>
          <w:rFonts w:hint="eastAsia" w:ascii="宋体" w:hAnsi="宋体" w:eastAsia="宋体" w:cs="宋体"/>
          <w:b/>
          <w:bCs/>
          <w:color w:val="000000"/>
          <w:kern w:val="44"/>
          <w:sz w:val="36"/>
          <w:szCs w:val="20"/>
        </w:rPr>
        <w:t>目     录</w:t>
      </w:r>
      <w:bookmarkEnd w:id="0"/>
      <w:bookmarkEnd w:id="1"/>
    </w:p>
    <w:p w14:paraId="0692FAA3">
      <w:pPr>
        <w:widowControl w:val="0"/>
        <w:tabs>
          <w:tab w:val="right" w:leader="dot" w:pos="9638"/>
        </w:tabs>
        <w:spacing w:before="120" w:line="360" w:lineRule="auto"/>
        <w:ind w:firstLine="562" w:firstLineChars="200"/>
        <w:jc w:val="left"/>
        <w:rPr>
          <w:rFonts w:hint="eastAsia" w:ascii="宋体" w:hAnsi="宋体" w:eastAsia="宋体" w:cs="宋体"/>
          <w:b/>
          <w:bCs/>
          <w:i w:val="0"/>
          <w:iCs w:val="0"/>
          <w:kern w:val="2"/>
          <w:sz w:val="24"/>
          <w:szCs w:val="24"/>
          <w:lang w:val="en-US" w:eastAsia="zh-CN" w:bidi="ar-SA"/>
        </w:rPr>
      </w:pPr>
      <w:r>
        <w:rPr>
          <w:rFonts w:hint="eastAsia" w:ascii="宋体" w:hAnsi="宋体" w:eastAsia="宋体" w:cs="宋体"/>
          <w:b/>
          <w:bCs/>
          <w:i/>
          <w:iCs/>
          <w:color w:val="000000"/>
          <w:kern w:val="2"/>
          <w:sz w:val="28"/>
          <w:szCs w:val="28"/>
          <w:lang w:val="en-US" w:eastAsia="zh-CN" w:bidi="ar-SA"/>
        </w:rPr>
        <w:fldChar w:fldCharType="begin"/>
      </w:r>
      <w:r>
        <w:rPr>
          <w:rFonts w:hint="eastAsia" w:ascii="宋体" w:hAnsi="宋体" w:eastAsia="宋体" w:cs="宋体"/>
          <w:b/>
          <w:bCs/>
          <w:i/>
          <w:iCs/>
          <w:color w:val="000000"/>
          <w:kern w:val="2"/>
          <w:sz w:val="28"/>
          <w:szCs w:val="28"/>
          <w:lang w:val="en-US" w:eastAsia="zh-CN" w:bidi="ar-SA"/>
        </w:rPr>
        <w:instrText xml:space="preserve">TOC \o "1-1" \h \u </w:instrText>
      </w:r>
      <w:r>
        <w:rPr>
          <w:rFonts w:hint="eastAsia" w:ascii="宋体" w:hAnsi="宋体" w:eastAsia="宋体" w:cs="宋体"/>
          <w:b/>
          <w:bCs/>
          <w:i/>
          <w:iCs/>
          <w:color w:val="000000"/>
          <w:kern w:val="2"/>
          <w:sz w:val="28"/>
          <w:szCs w:val="28"/>
          <w:lang w:val="en-US" w:eastAsia="zh-CN" w:bidi="ar-SA"/>
        </w:rPr>
        <w:fldChar w:fldCharType="separate"/>
      </w: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_Toc16299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目     录</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fldChar w:fldCharType="begin"/>
      </w:r>
      <w:r>
        <w:rPr>
          <w:rFonts w:hint="eastAsia" w:ascii="宋体" w:hAnsi="宋体" w:eastAsia="宋体" w:cs="宋体"/>
          <w:b/>
          <w:bCs/>
          <w:i w:val="0"/>
          <w:iCs w:val="0"/>
          <w:kern w:val="2"/>
          <w:sz w:val="24"/>
          <w:szCs w:val="24"/>
          <w:lang w:val="en-US" w:eastAsia="zh-CN" w:bidi="ar-SA"/>
        </w:rPr>
        <w:instrText xml:space="preserve"> PAGEREF _Toc16299 \h </w:instrText>
      </w:r>
      <w:r>
        <w:rPr>
          <w:rFonts w:hint="eastAsia" w:ascii="宋体" w:hAnsi="宋体" w:eastAsia="宋体" w:cs="宋体"/>
          <w:b/>
          <w:bCs/>
          <w:i w:val="0"/>
          <w:iCs w:val="0"/>
          <w:kern w:val="2"/>
          <w:sz w:val="24"/>
          <w:szCs w:val="24"/>
          <w:lang w:val="en-US" w:eastAsia="zh-CN" w:bidi="ar-SA"/>
        </w:rPr>
        <w:fldChar w:fldCharType="separate"/>
      </w:r>
      <w:r>
        <w:rPr>
          <w:rFonts w:hint="eastAsia" w:ascii="宋体" w:hAnsi="宋体" w:eastAsia="宋体" w:cs="宋体"/>
          <w:b/>
          <w:bCs/>
          <w:i w:val="0"/>
          <w:iCs w:val="0"/>
          <w:kern w:val="2"/>
          <w:sz w:val="24"/>
          <w:szCs w:val="24"/>
          <w:lang w:val="en-US" w:eastAsia="zh-CN" w:bidi="ar-SA"/>
        </w:rPr>
        <w:t>1</w:t>
      </w:r>
      <w:r>
        <w:rPr>
          <w:rFonts w:hint="eastAsia" w:ascii="宋体" w:hAnsi="宋体" w:eastAsia="宋体" w:cs="宋体"/>
          <w:b/>
          <w:bCs/>
          <w:i w:val="0"/>
          <w:iCs w:val="0"/>
          <w:kern w:val="2"/>
          <w:sz w:val="24"/>
          <w:szCs w:val="24"/>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fldChar w:fldCharType="end"/>
      </w:r>
    </w:p>
    <w:p w14:paraId="1C11B2CD">
      <w:pPr>
        <w:widowControl w:val="0"/>
        <w:tabs>
          <w:tab w:val="right" w:leader="dot" w:pos="9638"/>
        </w:tabs>
        <w:spacing w:before="120" w:line="360" w:lineRule="auto"/>
        <w:ind w:firstLine="482" w:firstLineChars="200"/>
        <w:jc w:val="left"/>
        <w:rPr>
          <w:rFonts w:hint="eastAsia" w:ascii="宋体" w:hAnsi="宋体" w:eastAsia="宋体" w:cs="宋体"/>
          <w:b/>
          <w:bCs/>
          <w:i w:val="0"/>
          <w:iCs w:val="0"/>
          <w:kern w:val="2"/>
          <w:sz w:val="24"/>
          <w:szCs w:val="24"/>
          <w:lang w:val="en-US" w:eastAsia="zh-CN" w:bidi="ar-SA"/>
        </w:rPr>
      </w:pP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_Toc12726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第一章  招标公告</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fldChar w:fldCharType="begin"/>
      </w:r>
      <w:r>
        <w:rPr>
          <w:rFonts w:hint="eastAsia" w:ascii="宋体" w:hAnsi="宋体" w:eastAsia="宋体" w:cs="宋体"/>
          <w:b/>
          <w:bCs/>
          <w:i w:val="0"/>
          <w:iCs w:val="0"/>
          <w:kern w:val="2"/>
          <w:sz w:val="24"/>
          <w:szCs w:val="24"/>
          <w:lang w:val="en-US" w:eastAsia="zh-CN" w:bidi="ar-SA"/>
        </w:rPr>
        <w:instrText xml:space="preserve"> PAGEREF _Toc12726 \h </w:instrText>
      </w:r>
      <w:r>
        <w:rPr>
          <w:rFonts w:hint="eastAsia" w:ascii="宋体" w:hAnsi="宋体" w:eastAsia="宋体" w:cs="宋体"/>
          <w:b/>
          <w:bCs/>
          <w:i w:val="0"/>
          <w:iCs w:val="0"/>
          <w:kern w:val="2"/>
          <w:sz w:val="24"/>
          <w:szCs w:val="24"/>
          <w:lang w:val="en-US" w:eastAsia="zh-CN" w:bidi="ar-SA"/>
        </w:rPr>
        <w:fldChar w:fldCharType="separate"/>
      </w:r>
      <w:r>
        <w:rPr>
          <w:rFonts w:hint="eastAsia" w:ascii="宋体" w:hAnsi="宋体" w:eastAsia="宋体" w:cs="宋体"/>
          <w:b/>
          <w:bCs/>
          <w:i w:val="0"/>
          <w:iCs w:val="0"/>
          <w:kern w:val="2"/>
          <w:sz w:val="24"/>
          <w:szCs w:val="24"/>
          <w:lang w:val="en-US" w:eastAsia="zh-CN" w:bidi="ar-SA"/>
        </w:rPr>
        <w:t>3</w:t>
      </w:r>
      <w:r>
        <w:rPr>
          <w:rFonts w:hint="eastAsia" w:ascii="宋体" w:hAnsi="宋体" w:eastAsia="宋体" w:cs="宋体"/>
          <w:b/>
          <w:bCs/>
          <w:i w:val="0"/>
          <w:iCs w:val="0"/>
          <w:kern w:val="2"/>
          <w:sz w:val="24"/>
          <w:szCs w:val="24"/>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fldChar w:fldCharType="end"/>
      </w:r>
    </w:p>
    <w:p w14:paraId="2186621D">
      <w:pPr>
        <w:widowControl w:val="0"/>
        <w:tabs>
          <w:tab w:val="right" w:leader="dot" w:pos="9638"/>
        </w:tabs>
        <w:spacing w:before="120" w:line="360" w:lineRule="auto"/>
        <w:ind w:firstLine="482" w:firstLineChars="200"/>
        <w:jc w:val="left"/>
        <w:rPr>
          <w:rFonts w:hint="eastAsia" w:ascii="宋体" w:hAnsi="宋体" w:eastAsia="宋体" w:cs="宋体"/>
          <w:b/>
          <w:bCs/>
          <w:i w:val="0"/>
          <w:iCs w:val="0"/>
          <w:color w:val="000000"/>
          <w:kern w:val="2"/>
          <w:sz w:val="24"/>
          <w:szCs w:val="28"/>
          <w:lang w:val="en-US" w:eastAsia="zh-CN" w:bidi="ar-SA"/>
        </w:rPr>
      </w:pP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_Toc10641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第二章  投标人须知</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fldChar w:fldCharType="begin"/>
      </w:r>
      <w:r>
        <w:rPr>
          <w:rFonts w:hint="eastAsia" w:ascii="宋体" w:hAnsi="宋体" w:eastAsia="宋体" w:cs="宋体"/>
          <w:b/>
          <w:bCs/>
          <w:i w:val="0"/>
          <w:iCs w:val="0"/>
          <w:kern w:val="2"/>
          <w:sz w:val="24"/>
          <w:szCs w:val="24"/>
          <w:lang w:val="en-US" w:eastAsia="zh-CN" w:bidi="ar-SA"/>
        </w:rPr>
        <w:instrText xml:space="preserve"> PAGEREF _Toc10641 \h </w:instrText>
      </w:r>
      <w:r>
        <w:rPr>
          <w:rFonts w:hint="eastAsia" w:ascii="宋体" w:hAnsi="宋体" w:eastAsia="宋体" w:cs="宋体"/>
          <w:b/>
          <w:bCs/>
          <w:i w:val="0"/>
          <w:iCs w:val="0"/>
          <w:kern w:val="2"/>
          <w:sz w:val="24"/>
          <w:szCs w:val="24"/>
          <w:lang w:val="en-US" w:eastAsia="zh-CN" w:bidi="ar-SA"/>
        </w:rPr>
        <w:fldChar w:fldCharType="separate"/>
      </w:r>
      <w:r>
        <w:rPr>
          <w:rFonts w:hint="eastAsia" w:ascii="宋体" w:hAnsi="宋体" w:eastAsia="宋体" w:cs="宋体"/>
          <w:b/>
          <w:bCs/>
          <w:i w:val="0"/>
          <w:iCs w:val="0"/>
          <w:kern w:val="2"/>
          <w:sz w:val="24"/>
          <w:szCs w:val="24"/>
          <w:lang w:val="en-US" w:eastAsia="zh-CN" w:bidi="ar-SA"/>
        </w:rPr>
        <w:t>7</w:t>
      </w:r>
      <w:r>
        <w:rPr>
          <w:rFonts w:hint="eastAsia" w:ascii="宋体" w:hAnsi="宋体" w:eastAsia="宋体" w:cs="宋体"/>
          <w:b/>
          <w:bCs/>
          <w:i w:val="0"/>
          <w:iCs w:val="0"/>
          <w:kern w:val="2"/>
          <w:sz w:val="24"/>
          <w:szCs w:val="24"/>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fldChar w:fldCharType="end"/>
      </w:r>
    </w:p>
    <w:p w14:paraId="11F2D335">
      <w:pPr>
        <w:widowControl w:val="0"/>
        <w:tabs>
          <w:tab w:val="right" w:leader="dot" w:pos="9638"/>
        </w:tabs>
        <w:spacing w:before="120" w:line="360" w:lineRule="auto"/>
        <w:ind w:firstLine="482" w:firstLineChars="200"/>
        <w:jc w:val="left"/>
        <w:rPr>
          <w:rFonts w:hint="eastAsia" w:ascii="宋体" w:hAnsi="宋体" w:eastAsia="宋体" w:cs="宋体"/>
          <w:b/>
          <w:bCs/>
          <w:i w:val="0"/>
          <w:iCs w:val="0"/>
          <w:kern w:val="2"/>
          <w:sz w:val="24"/>
          <w:szCs w:val="24"/>
          <w:lang w:val="en-US" w:eastAsia="zh-CN" w:bidi="ar-SA"/>
        </w:rPr>
      </w:pP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_Toc10641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第三章  政府采购合同格式</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t>1</w:t>
      </w:r>
      <w:r>
        <w:rPr>
          <w:rFonts w:hint="eastAsia" w:ascii="宋体" w:hAnsi="宋体" w:eastAsia="宋体" w:cs="宋体"/>
          <w:b/>
          <w:bCs/>
          <w:i w:val="0"/>
          <w:iCs w:val="0"/>
          <w:color w:val="000000"/>
          <w:kern w:val="2"/>
          <w:sz w:val="24"/>
          <w:szCs w:val="28"/>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t>8</w:t>
      </w:r>
    </w:p>
    <w:p w14:paraId="554CF8EE">
      <w:pPr>
        <w:widowControl w:val="0"/>
        <w:tabs>
          <w:tab w:val="right" w:leader="dot" w:pos="9638"/>
        </w:tabs>
        <w:spacing w:before="120" w:line="360" w:lineRule="auto"/>
        <w:ind w:firstLine="482" w:firstLineChars="200"/>
        <w:jc w:val="left"/>
        <w:rPr>
          <w:rFonts w:hint="eastAsia" w:ascii="宋体" w:hAnsi="宋体" w:eastAsia="宋体" w:cs="宋体"/>
          <w:b/>
          <w:bCs/>
          <w:i w:val="0"/>
          <w:iCs w:val="0"/>
          <w:kern w:val="2"/>
          <w:sz w:val="24"/>
          <w:szCs w:val="24"/>
          <w:lang w:val="en-US" w:eastAsia="zh-CN" w:bidi="ar-SA"/>
        </w:rPr>
      </w:pP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_Toc15100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第四章  投标文件格式</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fldChar w:fldCharType="begin"/>
      </w:r>
      <w:r>
        <w:rPr>
          <w:rFonts w:hint="eastAsia" w:ascii="宋体" w:hAnsi="宋体" w:eastAsia="宋体" w:cs="宋体"/>
          <w:b/>
          <w:bCs/>
          <w:i w:val="0"/>
          <w:iCs w:val="0"/>
          <w:kern w:val="2"/>
          <w:sz w:val="24"/>
          <w:szCs w:val="24"/>
          <w:lang w:val="en-US" w:eastAsia="zh-CN" w:bidi="ar-SA"/>
        </w:rPr>
        <w:instrText xml:space="preserve"> PAGEREF _Toc15100 \h </w:instrText>
      </w:r>
      <w:r>
        <w:rPr>
          <w:rFonts w:hint="eastAsia" w:ascii="宋体" w:hAnsi="宋体" w:eastAsia="宋体" w:cs="宋体"/>
          <w:b/>
          <w:bCs/>
          <w:i w:val="0"/>
          <w:iCs w:val="0"/>
          <w:kern w:val="2"/>
          <w:sz w:val="24"/>
          <w:szCs w:val="24"/>
          <w:lang w:val="en-US" w:eastAsia="zh-CN" w:bidi="ar-SA"/>
        </w:rPr>
        <w:fldChar w:fldCharType="separate"/>
      </w:r>
      <w:r>
        <w:rPr>
          <w:rFonts w:hint="eastAsia" w:ascii="宋体" w:hAnsi="宋体" w:eastAsia="宋体" w:cs="宋体"/>
          <w:b/>
          <w:bCs/>
          <w:i w:val="0"/>
          <w:iCs w:val="0"/>
          <w:kern w:val="2"/>
          <w:sz w:val="24"/>
          <w:szCs w:val="24"/>
          <w:lang w:val="en-US" w:eastAsia="zh-CN" w:bidi="ar-SA"/>
        </w:rPr>
        <w:t>24</w:t>
      </w:r>
      <w:r>
        <w:rPr>
          <w:rFonts w:hint="eastAsia" w:ascii="宋体" w:hAnsi="宋体" w:eastAsia="宋体" w:cs="宋体"/>
          <w:b/>
          <w:bCs/>
          <w:i w:val="0"/>
          <w:iCs w:val="0"/>
          <w:kern w:val="2"/>
          <w:sz w:val="24"/>
          <w:szCs w:val="24"/>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fldChar w:fldCharType="end"/>
      </w:r>
    </w:p>
    <w:p w14:paraId="1926EC07">
      <w:pPr>
        <w:widowControl w:val="0"/>
        <w:tabs>
          <w:tab w:val="right" w:leader="dot" w:pos="9638"/>
        </w:tabs>
        <w:spacing w:before="120" w:line="360" w:lineRule="auto"/>
        <w:ind w:firstLine="482" w:firstLineChars="200"/>
        <w:jc w:val="left"/>
        <w:rPr>
          <w:rFonts w:hint="eastAsia" w:ascii="宋体" w:hAnsi="宋体" w:eastAsia="宋体" w:cs="宋体"/>
          <w:b/>
          <w:bCs/>
          <w:i w:val="0"/>
          <w:iCs w:val="0"/>
          <w:kern w:val="2"/>
          <w:sz w:val="24"/>
          <w:szCs w:val="24"/>
          <w:lang w:val="en-US" w:eastAsia="zh-CN" w:bidi="ar-SA"/>
        </w:rPr>
      </w:pP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_Toc13047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第五章  合同专用条款表</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fldChar w:fldCharType="begin"/>
      </w:r>
      <w:r>
        <w:rPr>
          <w:rFonts w:hint="eastAsia" w:ascii="宋体" w:hAnsi="宋体" w:eastAsia="宋体" w:cs="宋体"/>
          <w:b/>
          <w:bCs/>
          <w:i w:val="0"/>
          <w:iCs w:val="0"/>
          <w:kern w:val="2"/>
          <w:sz w:val="24"/>
          <w:szCs w:val="24"/>
          <w:lang w:val="en-US" w:eastAsia="zh-CN" w:bidi="ar-SA"/>
        </w:rPr>
        <w:instrText xml:space="preserve"> PAGEREF _Toc13047 \h </w:instrText>
      </w:r>
      <w:r>
        <w:rPr>
          <w:rFonts w:hint="eastAsia" w:ascii="宋体" w:hAnsi="宋体" w:eastAsia="宋体" w:cs="宋体"/>
          <w:b/>
          <w:bCs/>
          <w:i w:val="0"/>
          <w:iCs w:val="0"/>
          <w:kern w:val="2"/>
          <w:sz w:val="24"/>
          <w:szCs w:val="24"/>
          <w:lang w:val="en-US" w:eastAsia="zh-CN" w:bidi="ar-SA"/>
        </w:rPr>
        <w:fldChar w:fldCharType="separate"/>
      </w:r>
      <w:r>
        <w:rPr>
          <w:rFonts w:hint="eastAsia" w:ascii="宋体" w:hAnsi="宋体" w:eastAsia="宋体" w:cs="宋体"/>
          <w:b/>
          <w:bCs/>
          <w:i w:val="0"/>
          <w:iCs w:val="0"/>
          <w:kern w:val="2"/>
          <w:sz w:val="24"/>
          <w:szCs w:val="24"/>
          <w:lang w:val="en-US" w:eastAsia="zh-CN" w:bidi="ar-SA"/>
        </w:rPr>
        <w:t>38</w:t>
      </w:r>
      <w:r>
        <w:rPr>
          <w:rFonts w:hint="eastAsia" w:ascii="宋体" w:hAnsi="宋体" w:eastAsia="宋体" w:cs="宋体"/>
          <w:b/>
          <w:bCs/>
          <w:i w:val="0"/>
          <w:iCs w:val="0"/>
          <w:kern w:val="2"/>
          <w:sz w:val="24"/>
          <w:szCs w:val="24"/>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fldChar w:fldCharType="end"/>
      </w:r>
    </w:p>
    <w:p w14:paraId="4D3CED86">
      <w:pPr>
        <w:widowControl w:val="0"/>
        <w:tabs>
          <w:tab w:val="right" w:leader="dot" w:pos="9638"/>
        </w:tabs>
        <w:spacing w:before="120" w:line="360" w:lineRule="auto"/>
        <w:ind w:firstLine="482" w:firstLineChars="200"/>
        <w:jc w:val="left"/>
        <w:rPr>
          <w:rFonts w:hint="eastAsia" w:ascii="宋体" w:hAnsi="宋体" w:eastAsia="宋体" w:cs="宋体"/>
          <w:b/>
          <w:bCs/>
          <w:i w:val="0"/>
          <w:iCs w:val="0"/>
          <w:kern w:val="2"/>
          <w:sz w:val="24"/>
          <w:szCs w:val="24"/>
          <w:lang w:val="en-US" w:eastAsia="zh-CN" w:bidi="ar-SA"/>
        </w:rPr>
      </w:pP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_Toc16577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第六章  项目需求</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fldChar w:fldCharType="begin"/>
      </w:r>
      <w:r>
        <w:rPr>
          <w:rFonts w:hint="eastAsia" w:ascii="宋体" w:hAnsi="宋体" w:eastAsia="宋体" w:cs="宋体"/>
          <w:b/>
          <w:bCs/>
          <w:i w:val="0"/>
          <w:iCs w:val="0"/>
          <w:kern w:val="2"/>
          <w:sz w:val="24"/>
          <w:szCs w:val="24"/>
          <w:lang w:val="en-US" w:eastAsia="zh-CN" w:bidi="ar-SA"/>
        </w:rPr>
        <w:instrText xml:space="preserve"> PAGEREF _Toc16577 \h </w:instrText>
      </w:r>
      <w:r>
        <w:rPr>
          <w:rFonts w:hint="eastAsia" w:ascii="宋体" w:hAnsi="宋体" w:eastAsia="宋体" w:cs="宋体"/>
          <w:b/>
          <w:bCs/>
          <w:i w:val="0"/>
          <w:iCs w:val="0"/>
          <w:kern w:val="2"/>
          <w:sz w:val="24"/>
          <w:szCs w:val="24"/>
          <w:lang w:val="en-US" w:eastAsia="zh-CN" w:bidi="ar-SA"/>
        </w:rPr>
        <w:fldChar w:fldCharType="separate"/>
      </w:r>
      <w:r>
        <w:rPr>
          <w:rFonts w:hint="eastAsia" w:ascii="宋体" w:hAnsi="宋体" w:eastAsia="宋体" w:cs="宋体"/>
          <w:b/>
          <w:bCs/>
          <w:i w:val="0"/>
          <w:iCs w:val="0"/>
          <w:kern w:val="2"/>
          <w:sz w:val="24"/>
          <w:szCs w:val="24"/>
          <w:lang w:val="en-US" w:eastAsia="zh-CN" w:bidi="ar-SA"/>
        </w:rPr>
        <w:t>39</w:t>
      </w:r>
      <w:r>
        <w:rPr>
          <w:rFonts w:hint="eastAsia" w:ascii="宋体" w:hAnsi="宋体" w:eastAsia="宋体" w:cs="宋体"/>
          <w:b/>
          <w:bCs/>
          <w:i w:val="0"/>
          <w:iCs w:val="0"/>
          <w:kern w:val="2"/>
          <w:sz w:val="24"/>
          <w:szCs w:val="24"/>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fldChar w:fldCharType="end"/>
      </w:r>
    </w:p>
    <w:p w14:paraId="58CB967E">
      <w:pPr>
        <w:widowControl w:val="0"/>
        <w:tabs>
          <w:tab w:val="right" w:leader="dot" w:pos="9638"/>
        </w:tabs>
        <w:spacing w:before="120" w:line="360" w:lineRule="auto"/>
        <w:ind w:firstLine="482" w:firstLineChars="200"/>
        <w:jc w:val="left"/>
        <w:rPr>
          <w:rFonts w:ascii="Calibri" w:hAnsi="Calibri" w:eastAsia="宋体" w:cs="Times New Roman"/>
          <w:b/>
          <w:bCs/>
          <w:i/>
          <w:iCs/>
          <w:kern w:val="2"/>
          <w:sz w:val="24"/>
          <w:szCs w:val="24"/>
          <w:lang w:val="en-US" w:eastAsia="zh-CN" w:bidi="ar-SA"/>
        </w:rPr>
      </w:pPr>
      <w:r>
        <w:rPr>
          <w:rFonts w:hint="eastAsia" w:ascii="宋体" w:hAnsi="宋体" w:eastAsia="宋体" w:cs="宋体"/>
          <w:b/>
          <w:bCs/>
          <w:i w:val="0"/>
          <w:iCs w:val="0"/>
          <w:color w:val="000000"/>
          <w:kern w:val="2"/>
          <w:sz w:val="24"/>
          <w:szCs w:val="28"/>
          <w:lang w:val="en-US" w:eastAsia="zh-CN" w:bidi="ar-SA"/>
        </w:rPr>
        <w:fldChar w:fldCharType="begin"/>
      </w:r>
      <w:r>
        <w:rPr>
          <w:rFonts w:hint="eastAsia" w:ascii="宋体" w:hAnsi="宋体" w:eastAsia="宋体" w:cs="宋体"/>
          <w:b/>
          <w:bCs/>
          <w:i w:val="0"/>
          <w:iCs w:val="0"/>
          <w:kern w:val="2"/>
          <w:sz w:val="24"/>
          <w:szCs w:val="28"/>
          <w:lang w:val="en-US" w:eastAsia="zh-CN" w:bidi="ar-SA"/>
        </w:rPr>
        <w:instrText xml:space="preserve"> HYPERLINK \l _Toc1759 </w:instrText>
      </w:r>
      <w:r>
        <w:rPr>
          <w:rFonts w:hint="eastAsia" w:ascii="宋体" w:hAnsi="宋体" w:eastAsia="宋体" w:cs="宋体"/>
          <w:b/>
          <w:bCs/>
          <w:i w:val="0"/>
          <w:iCs w:val="0"/>
          <w:kern w:val="2"/>
          <w:sz w:val="24"/>
          <w:szCs w:val="28"/>
          <w:lang w:val="en-US" w:eastAsia="zh-CN" w:bidi="ar-SA"/>
        </w:rPr>
        <w:fldChar w:fldCharType="separate"/>
      </w:r>
      <w:r>
        <w:rPr>
          <w:rFonts w:hint="eastAsia" w:ascii="宋体" w:hAnsi="宋体" w:eastAsia="宋体" w:cs="宋体"/>
          <w:b/>
          <w:bCs/>
          <w:i w:val="0"/>
          <w:iCs w:val="0"/>
          <w:kern w:val="44"/>
          <w:sz w:val="24"/>
          <w:szCs w:val="20"/>
          <w:lang w:val="en-US" w:eastAsia="zh-CN" w:bidi="ar-SA"/>
        </w:rPr>
        <w:t>第七章  评标办法</w:t>
      </w:r>
      <w:r>
        <w:rPr>
          <w:rFonts w:hint="eastAsia" w:ascii="宋体" w:hAnsi="宋体" w:eastAsia="宋体" w:cs="宋体"/>
          <w:b/>
          <w:bCs/>
          <w:i w:val="0"/>
          <w:iCs w:val="0"/>
          <w:kern w:val="2"/>
          <w:sz w:val="24"/>
          <w:szCs w:val="24"/>
          <w:lang w:val="en-US" w:eastAsia="zh-CN" w:bidi="ar-SA"/>
        </w:rPr>
        <w:tab/>
      </w:r>
      <w:r>
        <w:rPr>
          <w:rFonts w:hint="eastAsia" w:ascii="宋体" w:hAnsi="宋体" w:eastAsia="宋体" w:cs="宋体"/>
          <w:b/>
          <w:bCs/>
          <w:i w:val="0"/>
          <w:iCs w:val="0"/>
          <w:kern w:val="2"/>
          <w:sz w:val="24"/>
          <w:szCs w:val="24"/>
          <w:lang w:val="en-US" w:eastAsia="zh-CN" w:bidi="ar-SA"/>
        </w:rPr>
        <w:fldChar w:fldCharType="begin"/>
      </w:r>
      <w:r>
        <w:rPr>
          <w:rFonts w:hint="eastAsia" w:ascii="宋体" w:hAnsi="宋体" w:eastAsia="宋体" w:cs="宋体"/>
          <w:b/>
          <w:bCs/>
          <w:i w:val="0"/>
          <w:iCs w:val="0"/>
          <w:kern w:val="2"/>
          <w:sz w:val="24"/>
          <w:szCs w:val="24"/>
          <w:lang w:val="en-US" w:eastAsia="zh-CN" w:bidi="ar-SA"/>
        </w:rPr>
        <w:instrText xml:space="preserve"> PAGEREF _Toc1759 \h </w:instrText>
      </w:r>
      <w:r>
        <w:rPr>
          <w:rFonts w:hint="eastAsia" w:ascii="宋体" w:hAnsi="宋体" w:eastAsia="宋体" w:cs="宋体"/>
          <w:b/>
          <w:bCs/>
          <w:i w:val="0"/>
          <w:iCs w:val="0"/>
          <w:kern w:val="2"/>
          <w:sz w:val="24"/>
          <w:szCs w:val="24"/>
          <w:lang w:val="en-US" w:eastAsia="zh-CN" w:bidi="ar-SA"/>
        </w:rPr>
        <w:fldChar w:fldCharType="separate"/>
      </w:r>
      <w:r>
        <w:rPr>
          <w:rFonts w:hint="eastAsia" w:ascii="宋体" w:hAnsi="宋体" w:eastAsia="宋体" w:cs="宋体"/>
          <w:b/>
          <w:bCs/>
          <w:i w:val="0"/>
          <w:iCs w:val="0"/>
          <w:kern w:val="2"/>
          <w:sz w:val="24"/>
          <w:szCs w:val="24"/>
          <w:lang w:val="en-US" w:eastAsia="zh-CN" w:bidi="ar-SA"/>
        </w:rPr>
        <w:t>40</w:t>
      </w:r>
      <w:r>
        <w:rPr>
          <w:rFonts w:hint="eastAsia" w:ascii="宋体" w:hAnsi="宋体" w:eastAsia="宋体" w:cs="宋体"/>
          <w:b/>
          <w:bCs/>
          <w:i w:val="0"/>
          <w:iCs w:val="0"/>
          <w:kern w:val="2"/>
          <w:sz w:val="24"/>
          <w:szCs w:val="24"/>
          <w:lang w:val="en-US" w:eastAsia="zh-CN" w:bidi="ar-SA"/>
        </w:rPr>
        <w:fldChar w:fldCharType="end"/>
      </w:r>
      <w:r>
        <w:rPr>
          <w:rFonts w:hint="eastAsia" w:ascii="宋体" w:hAnsi="宋体" w:eastAsia="宋体" w:cs="宋体"/>
          <w:b/>
          <w:bCs/>
          <w:i w:val="0"/>
          <w:iCs w:val="0"/>
          <w:color w:val="000000"/>
          <w:kern w:val="2"/>
          <w:sz w:val="24"/>
          <w:szCs w:val="28"/>
          <w:lang w:val="en-US" w:eastAsia="zh-CN" w:bidi="ar-SA"/>
        </w:rPr>
        <w:fldChar w:fldCharType="end"/>
      </w:r>
    </w:p>
    <w:p w14:paraId="5C07BB21">
      <w:pPr>
        <w:tabs>
          <w:tab w:val="right" w:leader="dot" w:pos="9638"/>
        </w:tabs>
        <w:spacing w:line="360" w:lineRule="auto"/>
        <w:rPr>
          <w:rFonts w:hint="eastAsia" w:ascii="宋体" w:hAnsi="宋体" w:eastAsia="宋体" w:cs="宋体"/>
          <w:color w:val="000000"/>
          <w:sz w:val="44"/>
          <w:szCs w:val="20"/>
        </w:rPr>
      </w:pPr>
      <w:r>
        <w:rPr>
          <w:rFonts w:hint="eastAsia" w:ascii="宋体" w:hAnsi="宋体" w:eastAsia="宋体" w:cs="宋体"/>
          <w:bCs/>
          <w:color w:val="000000"/>
          <w:szCs w:val="28"/>
        </w:rPr>
        <w:fldChar w:fldCharType="end"/>
      </w:r>
    </w:p>
    <w:p w14:paraId="64526B7F">
      <w:pPr>
        <w:keepNext/>
        <w:keepLines/>
        <w:adjustRightInd w:val="0"/>
        <w:spacing w:line="360" w:lineRule="auto"/>
        <w:jc w:val="center"/>
        <w:textAlignment w:val="baseline"/>
        <w:outlineLvl w:val="0"/>
        <w:rPr>
          <w:rFonts w:hint="eastAsia" w:ascii="宋体" w:hAnsi="宋体" w:eastAsia="宋体" w:cs="宋体"/>
          <w:b/>
          <w:bCs/>
          <w:color w:val="000000"/>
          <w:kern w:val="44"/>
          <w:sz w:val="36"/>
          <w:szCs w:val="20"/>
          <w:lang w:eastAsia="zh-CN"/>
        </w:rPr>
      </w:pPr>
      <w:bookmarkStart w:id="2" w:name="_Toc139967210"/>
      <w:bookmarkStart w:id="3" w:name="_Toc139966426"/>
      <w:r>
        <w:rPr>
          <w:rFonts w:hint="eastAsia" w:ascii="宋体" w:hAnsi="宋体" w:eastAsia="宋体" w:cs="宋体"/>
          <w:color w:val="000000"/>
          <w:kern w:val="44"/>
          <w:sz w:val="36"/>
          <w:szCs w:val="20"/>
        </w:rPr>
        <w:br w:type="page"/>
      </w:r>
      <w:bookmarkStart w:id="4" w:name="_Toc513622226"/>
      <w:bookmarkStart w:id="5" w:name="_Toc12726"/>
      <w:r>
        <w:rPr>
          <w:rFonts w:hint="eastAsia" w:ascii="宋体" w:hAnsi="宋体" w:eastAsia="宋体" w:cs="宋体"/>
          <w:b/>
          <w:bCs/>
          <w:color w:val="000000"/>
          <w:kern w:val="44"/>
          <w:sz w:val="36"/>
          <w:szCs w:val="20"/>
        </w:rPr>
        <w:t xml:space="preserve">第一章 </w:t>
      </w:r>
      <w:bookmarkEnd w:id="4"/>
      <w:r>
        <w:rPr>
          <w:rFonts w:hint="eastAsia" w:ascii="宋体" w:hAnsi="宋体" w:eastAsia="宋体" w:cs="宋体"/>
          <w:b/>
          <w:bCs/>
          <w:color w:val="000000"/>
          <w:kern w:val="44"/>
          <w:sz w:val="36"/>
          <w:szCs w:val="20"/>
          <w:lang w:eastAsia="zh-CN"/>
        </w:rPr>
        <w:t>招标公告</w:t>
      </w:r>
      <w:bookmarkEnd w:id="5"/>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44C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tcPr>
          <w:p w14:paraId="05A1AA1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项目概况</w:t>
            </w:r>
          </w:p>
          <w:p w14:paraId="3EAA9CB2">
            <w:pPr>
              <w:spacing w:line="360" w:lineRule="auto"/>
              <w:ind w:firstLine="480" w:firstLineChars="200"/>
              <w:rPr>
                <w:rFonts w:hint="eastAsia" w:ascii="宋体" w:hAnsi="宋体" w:eastAsia="宋体" w:cs="宋体"/>
                <w:color w:val="000000"/>
                <w:szCs w:val="24"/>
                <w:highlight w:val="none"/>
              </w:rPr>
            </w:pPr>
            <w:r>
              <w:rPr>
                <w:rFonts w:hint="eastAsia" w:ascii="宋体" w:hAnsi="宋体" w:eastAsia="宋体" w:cs="宋体"/>
                <w:sz w:val="24"/>
                <w:szCs w:val="24"/>
                <w:highlight w:val="none"/>
                <w:u w:val="single"/>
                <w:lang w:eastAsia="zh-CN"/>
              </w:rPr>
              <w:t>2026年中央农业防灾减灾和水利救灾项目</w:t>
            </w:r>
            <w:r>
              <w:rPr>
                <w:rFonts w:hint="eastAsia" w:ascii="宋体" w:hAnsi="宋体" w:eastAsia="宋体" w:cs="宋体"/>
                <w:color w:val="000000"/>
                <w:sz w:val="24"/>
                <w:szCs w:val="24"/>
                <w:highlight w:val="none"/>
              </w:rPr>
              <w:t>的潜在投标人应在</w:t>
            </w:r>
            <w:r>
              <w:rPr>
                <w:rFonts w:hint="eastAsia" w:ascii="宋体" w:hAnsi="宋体" w:eastAsia="宋体" w:cs="宋体"/>
                <w:color w:val="000000"/>
                <w:sz w:val="24"/>
                <w:szCs w:val="24"/>
                <w:highlight w:val="none"/>
                <w:u w:val="single"/>
                <w:lang w:eastAsia="zh-CN"/>
              </w:rPr>
              <w:t>苏采云政府采购系统获</w:t>
            </w:r>
            <w:r>
              <w:rPr>
                <w:rFonts w:hint="eastAsia" w:ascii="宋体" w:hAnsi="宋体" w:eastAsia="宋体" w:cs="宋体"/>
                <w:color w:val="000000"/>
                <w:sz w:val="24"/>
                <w:szCs w:val="24"/>
                <w:highlight w:val="none"/>
              </w:rPr>
              <w:t>取招标文件，并于</w:t>
            </w:r>
            <w:r>
              <w:rPr>
                <w:rFonts w:hint="eastAsia" w:ascii="宋体" w:hAnsi="宋体" w:eastAsia="宋体" w:cs="宋体"/>
                <w:b/>
                <w:bCs/>
                <w:sz w:val="24"/>
                <w:szCs w:val="24"/>
                <w:highlight w:val="none"/>
                <w:u w:val="single"/>
                <w:lang w:val="en-US" w:eastAsia="zh-CN"/>
              </w:rPr>
              <w:t>2026年4月30日10点00分00秒</w:t>
            </w:r>
            <w:r>
              <w:rPr>
                <w:rFonts w:hint="eastAsia" w:ascii="宋体" w:hAnsi="宋体" w:eastAsia="宋体" w:cs="宋体"/>
                <w:color w:val="000000"/>
                <w:sz w:val="24"/>
                <w:szCs w:val="24"/>
                <w:highlight w:val="none"/>
              </w:rPr>
              <w:t>（北京时间）前</w:t>
            </w:r>
            <w:r>
              <w:rPr>
                <w:rFonts w:hint="eastAsia" w:ascii="宋体" w:hAnsi="宋体" w:eastAsia="宋体" w:cs="宋体"/>
                <w:b/>
                <w:color w:val="auto"/>
                <w:sz w:val="24"/>
                <w:szCs w:val="24"/>
                <w:highlight w:val="none"/>
              </w:rPr>
              <w:t>上传电子投标文件</w:t>
            </w:r>
            <w:r>
              <w:rPr>
                <w:rFonts w:hint="eastAsia" w:ascii="宋体" w:hAnsi="宋体" w:eastAsia="宋体" w:cs="宋体"/>
                <w:color w:val="000000"/>
                <w:sz w:val="24"/>
                <w:szCs w:val="24"/>
                <w:highlight w:val="none"/>
              </w:rPr>
              <w:t>。</w:t>
            </w:r>
          </w:p>
        </w:tc>
      </w:tr>
    </w:tbl>
    <w:p w14:paraId="11371EA2">
      <w:pPr>
        <w:keepNext/>
        <w:spacing w:line="360" w:lineRule="auto"/>
        <w:textAlignment w:val="baseline"/>
        <w:outlineLvl w:val="1"/>
        <w:rPr>
          <w:rFonts w:hint="eastAsia" w:ascii="宋体" w:hAnsi="宋体" w:eastAsia="宋体" w:cs="宋体"/>
          <w:b/>
          <w:color w:val="000000"/>
          <w:kern w:val="0"/>
          <w:sz w:val="28"/>
          <w:szCs w:val="20"/>
          <w:highlight w:val="none"/>
        </w:rPr>
      </w:pPr>
      <w:r>
        <w:rPr>
          <w:rFonts w:hint="eastAsia" w:ascii="宋体" w:hAnsi="宋体" w:eastAsia="宋体" w:cs="宋体"/>
          <w:b/>
          <w:color w:val="000000"/>
          <w:kern w:val="0"/>
          <w:sz w:val="28"/>
          <w:szCs w:val="20"/>
        </w:rPr>
        <w:t>一、项目基本</w:t>
      </w:r>
      <w:r>
        <w:rPr>
          <w:rFonts w:hint="eastAsia" w:ascii="宋体" w:hAnsi="宋体" w:eastAsia="宋体" w:cs="宋体"/>
          <w:b/>
          <w:color w:val="000000"/>
          <w:kern w:val="0"/>
          <w:sz w:val="28"/>
          <w:szCs w:val="20"/>
          <w:highlight w:val="none"/>
        </w:rPr>
        <w:t>情况</w:t>
      </w:r>
    </w:p>
    <w:p w14:paraId="72AAE552">
      <w:pPr>
        <w:spacing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项目编号</w:t>
      </w:r>
      <w:r>
        <w:rPr>
          <w:rFonts w:hint="eastAsia" w:ascii="宋体" w:hAnsi="宋体" w:eastAsia="宋体" w:cs="宋体"/>
          <w:i w:val="0"/>
          <w:iCs w:val="0"/>
          <w:color w:val="000000"/>
          <w:sz w:val="24"/>
          <w:szCs w:val="24"/>
          <w:highlight w:val="none"/>
          <w:u w:val="single"/>
          <w:lang w:eastAsia="zh-CN"/>
        </w:rPr>
        <w:t>：JSZC-320722-YJXM-G2026-0008；</w:t>
      </w:r>
    </w:p>
    <w:p w14:paraId="7BBBD592">
      <w:pPr>
        <w:spacing w:line="360" w:lineRule="auto"/>
        <w:ind w:firstLine="480" w:firstLineChars="200"/>
        <w:rPr>
          <w:rFonts w:hint="eastAsia" w:ascii="宋体" w:hAnsi="宋体" w:eastAsia="宋体" w:cs="宋体"/>
          <w:i w:val="0"/>
          <w:iCs w:val="0"/>
          <w:color w:val="000000"/>
          <w:sz w:val="24"/>
          <w:szCs w:val="24"/>
          <w:highlight w:val="none"/>
          <w:u w:val="singl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项目名称</w:t>
      </w:r>
      <w:r>
        <w:rPr>
          <w:rFonts w:hint="eastAsia" w:ascii="宋体" w:hAnsi="宋体" w:eastAsia="宋体" w:cs="宋体"/>
          <w:color w:val="000000"/>
          <w:sz w:val="24"/>
          <w:szCs w:val="24"/>
          <w:highlight w:val="none"/>
        </w:rPr>
        <w:t>：</w:t>
      </w:r>
      <w:r>
        <w:rPr>
          <w:rFonts w:hint="eastAsia" w:ascii="宋体" w:hAnsi="宋体" w:eastAsia="宋体" w:cs="宋体"/>
          <w:i w:val="0"/>
          <w:iCs w:val="0"/>
          <w:color w:val="000000"/>
          <w:sz w:val="24"/>
          <w:szCs w:val="24"/>
          <w:highlight w:val="none"/>
          <w:u w:val="single"/>
          <w:lang w:eastAsia="zh-CN"/>
        </w:rPr>
        <w:t>2026年中央农业防灾减灾和水利救灾项目；</w:t>
      </w:r>
    </w:p>
    <w:p w14:paraId="45E6D9AB">
      <w:pPr>
        <w:spacing w:line="360" w:lineRule="auto"/>
        <w:ind w:firstLine="480" w:firstLineChars="200"/>
        <w:rPr>
          <w:rFonts w:hint="default" w:ascii="宋体" w:hAnsi="宋体" w:eastAsia="宋体" w:cs="宋体"/>
          <w:i w:val="0"/>
          <w:iCs w:val="0"/>
          <w:color w:val="000000"/>
          <w:sz w:val="24"/>
          <w:szCs w:val="24"/>
          <w:u w:val="single"/>
          <w:lang w:val="en-US" w:eastAsia="zh-CN"/>
        </w:rPr>
      </w:pPr>
      <w:r>
        <w:rPr>
          <w:rFonts w:hint="eastAsia" w:ascii="宋体" w:hAnsi="宋体" w:eastAsia="宋体" w:cs="宋体"/>
          <w:i w:val="0"/>
          <w:iCs w:val="0"/>
          <w:color w:val="000000"/>
          <w:sz w:val="24"/>
          <w:szCs w:val="24"/>
          <w:highlight w:val="none"/>
          <w:u w:val="none"/>
          <w:lang w:val="en-US" w:eastAsia="zh-CN"/>
        </w:rPr>
        <w:t>3、采购方式：</w:t>
      </w:r>
      <w:r>
        <w:rPr>
          <w:rFonts w:hint="eastAsia" w:ascii="宋体" w:hAnsi="宋体" w:eastAsia="宋体" w:cs="宋体"/>
          <w:i w:val="0"/>
          <w:iCs w:val="0"/>
          <w:color w:val="000000"/>
          <w:sz w:val="24"/>
          <w:szCs w:val="24"/>
          <w:highlight w:val="none"/>
          <w:u w:val="single"/>
          <w:lang w:val="en-US" w:eastAsia="zh-CN"/>
        </w:rPr>
        <w:t>公开招标</w:t>
      </w:r>
      <w:r>
        <w:rPr>
          <w:rFonts w:hint="eastAsia" w:ascii="宋体" w:hAnsi="宋体" w:eastAsia="宋体" w:cs="宋体"/>
          <w:i w:val="0"/>
          <w:iCs w:val="0"/>
          <w:color w:val="000000"/>
          <w:sz w:val="24"/>
          <w:szCs w:val="24"/>
          <w:u w:val="single"/>
          <w:lang w:val="en-US" w:eastAsia="zh-CN"/>
        </w:rPr>
        <w:t>；</w:t>
      </w:r>
    </w:p>
    <w:p w14:paraId="18B460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u w:val="none"/>
        </w:rPr>
        <w:t>预算金额</w:t>
      </w:r>
      <w:r>
        <w:rPr>
          <w:rFonts w:hint="eastAsia" w:ascii="宋体" w:hAnsi="宋体" w:eastAsia="宋体" w:cs="宋体"/>
          <w:color w:val="000000"/>
          <w:sz w:val="24"/>
          <w:szCs w:val="24"/>
          <w:u w:val="none"/>
          <w:lang w:eastAsia="zh-CN"/>
        </w:rPr>
        <w:t>：</w:t>
      </w:r>
      <w:r>
        <w:rPr>
          <w:rFonts w:hint="eastAsia" w:ascii="宋体" w:hAnsi="宋体" w:eastAsia="宋体" w:cs="宋体"/>
          <w:i w:val="0"/>
          <w:iCs w:val="0"/>
          <w:color w:val="auto"/>
          <w:sz w:val="24"/>
          <w:szCs w:val="24"/>
          <w:u w:val="single"/>
          <w:lang w:val="en-US" w:eastAsia="zh-CN"/>
        </w:rPr>
        <w:t>本项</w:t>
      </w:r>
      <w:r>
        <w:rPr>
          <w:rFonts w:hint="eastAsia" w:ascii="宋体" w:hAnsi="宋体" w:eastAsia="宋体" w:cs="宋体"/>
          <w:b w:val="0"/>
          <w:bCs w:val="0"/>
          <w:i w:val="0"/>
          <w:iCs w:val="0"/>
          <w:color w:val="auto"/>
          <w:sz w:val="24"/>
          <w:szCs w:val="24"/>
          <w:u w:val="single"/>
          <w:lang w:val="en-US" w:eastAsia="zh-CN"/>
        </w:rPr>
        <w:t>目</w:t>
      </w:r>
      <w:r>
        <w:rPr>
          <w:rFonts w:hint="eastAsia" w:ascii="宋体" w:hAnsi="宋体" w:eastAsia="宋体" w:cs="宋体"/>
          <w:b w:val="0"/>
          <w:bCs w:val="0"/>
          <w:i w:val="0"/>
          <w:iCs w:val="0"/>
          <w:color w:val="auto"/>
          <w:sz w:val="24"/>
          <w:szCs w:val="24"/>
          <w:u w:val="single"/>
          <w:lang w:eastAsia="zh-CN"/>
        </w:rPr>
        <w:t>总预算为</w:t>
      </w:r>
      <w:r>
        <w:rPr>
          <w:rFonts w:hint="eastAsia" w:ascii="宋体" w:hAnsi="宋体" w:eastAsia="宋体" w:cs="宋体"/>
          <w:b w:val="0"/>
          <w:bCs w:val="0"/>
          <w:i w:val="0"/>
          <w:iCs w:val="0"/>
          <w:color w:val="auto"/>
          <w:sz w:val="24"/>
          <w:szCs w:val="24"/>
          <w:u w:val="single"/>
          <w:lang w:val="en-US" w:eastAsia="zh-CN"/>
        </w:rPr>
        <w:t>692</w:t>
      </w:r>
      <w:r>
        <w:rPr>
          <w:rFonts w:hint="eastAsia" w:ascii="宋体" w:hAnsi="宋体" w:eastAsia="宋体" w:cs="宋体"/>
          <w:b w:val="0"/>
          <w:bCs w:val="0"/>
          <w:i w:val="0"/>
          <w:iCs w:val="0"/>
          <w:color w:val="auto"/>
          <w:sz w:val="24"/>
          <w:szCs w:val="24"/>
          <w:u w:val="single"/>
          <w:lang w:eastAsia="zh-CN"/>
        </w:rPr>
        <w:t>万元，共分为</w:t>
      </w:r>
      <w:r>
        <w:rPr>
          <w:rFonts w:hint="eastAsia" w:ascii="宋体" w:hAnsi="宋体" w:eastAsia="宋体" w:cs="宋体"/>
          <w:b w:val="0"/>
          <w:bCs w:val="0"/>
          <w:i w:val="0"/>
          <w:iCs w:val="0"/>
          <w:color w:val="auto"/>
          <w:sz w:val="24"/>
          <w:szCs w:val="24"/>
          <w:u w:val="single"/>
          <w:lang w:val="en-US" w:eastAsia="zh-CN"/>
        </w:rPr>
        <w:t>六</w:t>
      </w:r>
      <w:r>
        <w:rPr>
          <w:rFonts w:hint="eastAsia" w:ascii="宋体" w:hAnsi="宋体" w:eastAsia="宋体" w:cs="宋体"/>
          <w:b w:val="0"/>
          <w:bCs w:val="0"/>
          <w:i w:val="0"/>
          <w:iCs w:val="0"/>
          <w:color w:val="auto"/>
          <w:sz w:val="24"/>
          <w:szCs w:val="24"/>
          <w:u w:val="single"/>
          <w:lang w:eastAsia="zh-CN"/>
        </w:rPr>
        <w:t>个标段，</w:t>
      </w:r>
      <w:r>
        <w:rPr>
          <w:rFonts w:hint="eastAsia" w:ascii="宋体" w:hAnsi="宋体" w:eastAsia="宋体" w:cs="宋体"/>
          <w:b w:val="0"/>
          <w:bCs w:val="0"/>
          <w:color w:val="auto"/>
          <w:sz w:val="24"/>
          <w:szCs w:val="24"/>
          <w:u w:val="none"/>
          <w:lang w:val="en-US" w:eastAsia="zh-CN"/>
        </w:rPr>
        <w:t>本次采</w:t>
      </w:r>
      <w:r>
        <w:rPr>
          <w:rFonts w:hint="eastAsia" w:ascii="宋体" w:hAnsi="宋体" w:eastAsia="宋体" w:cs="宋体"/>
          <w:color w:val="auto"/>
          <w:sz w:val="24"/>
          <w:szCs w:val="24"/>
          <w:u w:val="none"/>
          <w:lang w:val="en-US" w:eastAsia="zh-CN"/>
        </w:rPr>
        <w:t>购为预算金</w:t>
      </w:r>
      <w:r>
        <w:rPr>
          <w:rFonts w:hint="eastAsia" w:ascii="宋体" w:hAnsi="宋体" w:eastAsia="宋体" w:cs="宋体"/>
          <w:b w:val="0"/>
          <w:bCs w:val="0"/>
          <w:color w:val="auto"/>
          <w:sz w:val="24"/>
          <w:szCs w:val="24"/>
          <w:u w:val="none"/>
          <w:lang w:val="en-US" w:eastAsia="zh-CN"/>
        </w:rPr>
        <w:t>额足额采购，每个标段的供应商所报的物资采购价不得高于最高限价，否则响应文件视为无效文件。</w:t>
      </w:r>
    </w:p>
    <w:p w14:paraId="4DBDFBA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val="0"/>
          <w:bCs w:val="0"/>
          <w:color w:val="auto"/>
          <w:sz w:val="24"/>
          <w:szCs w:val="24"/>
          <w:u w:val="none"/>
          <w:lang w:val="en-US" w:eastAsia="zh-CN"/>
        </w:rPr>
      </w:pPr>
      <w:r>
        <w:rPr>
          <w:rFonts w:hint="eastAsia" w:ascii="宋体" w:hAnsi="宋体" w:eastAsia="宋体" w:cs="宋体"/>
          <w:b/>
          <w:bCs/>
          <w:color w:val="auto"/>
          <w:sz w:val="24"/>
          <w:szCs w:val="24"/>
          <w:u w:val="none"/>
          <w:lang w:val="en-US" w:eastAsia="zh-CN"/>
        </w:rPr>
        <w:t>（注:本项目按分包一至分包六的顺序开标、评标、定标，每个供应商可以参与全部分包的投标，但只能中一个分包，被推荐为第一中标候选人的，可以参与其他分包的评标。但不参与其它分包中标候选人的推荐）。</w:t>
      </w:r>
    </w:p>
    <w:p w14:paraId="7B94EA18">
      <w:pPr>
        <w:keepNext w:val="0"/>
        <w:keepLines w:val="0"/>
        <w:widowControl/>
        <w:suppressLineNumbers w:val="0"/>
        <w:ind w:firstLine="480" w:firstLineChars="20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5、采购需求及各标段最高限价：</w:t>
      </w:r>
      <w:r>
        <w:rPr>
          <w:rFonts w:hint="eastAsia" w:ascii="宋体" w:hAnsi="宋体" w:eastAsia="宋体" w:cs="宋体"/>
          <w:color w:val="auto"/>
          <w:sz w:val="24"/>
          <w:szCs w:val="24"/>
          <w:u w:val="none"/>
          <w:lang w:val="en-US" w:eastAsia="zh-CN"/>
        </w:rPr>
        <w:t>（开标、评标顺序以一标段至六标段顺序依次进行。）</w:t>
      </w:r>
    </w:p>
    <w:tbl>
      <w:tblPr>
        <w:tblStyle w:val="12"/>
        <w:tblW w:w="10821" w:type="dxa"/>
        <w:jc w:val="center"/>
        <w:tblLayout w:type="fixed"/>
        <w:tblCellMar>
          <w:top w:w="21" w:type="dxa"/>
          <w:left w:w="0" w:type="dxa"/>
          <w:bottom w:w="0" w:type="dxa"/>
          <w:right w:w="2" w:type="dxa"/>
        </w:tblCellMar>
      </w:tblPr>
      <w:tblGrid>
        <w:gridCol w:w="810"/>
        <w:gridCol w:w="5059"/>
        <w:gridCol w:w="917"/>
        <w:gridCol w:w="1215"/>
        <w:gridCol w:w="1020"/>
        <w:gridCol w:w="1800"/>
      </w:tblGrid>
      <w:tr w14:paraId="689CAD8F">
        <w:tblPrEx>
          <w:tblCellMar>
            <w:top w:w="21" w:type="dxa"/>
            <w:left w:w="0" w:type="dxa"/>
            <w:bottom w:w="0" w:type="dxa"/>
            <w:right w:w="2" w:type="dxa"/>
          </w:tblCellMar>
        </w:tblPrEx>
        <w:trPr>
          <w:trHeight w:val="959" w:hRule="exact"/>
          <w:jc w:val="center"/>
        </w:trPr>
        <w:tc>
          <w:tcPr>
            <w:tcW w:w="810" w:type="dxa"/>
            <w:tcBorders>
              <w:top w:val="single" w:color="000000" w:sz="2" w:space="0"/>
              <w:left w:val="single" w:color="000000" w:sz="2" w:space="0"/>
              <w:bottom w:val="single" w:color="000000" w:sz="2" w:space="0"/>
              <w:right w:val="single" w:color="000000" w:sz="2" w:space="0"/>
            </w:tcBorders>
            <w:vAlign w:val="center"/>
          </w:tcPr>
          <w:p w14:paraId="3CD2636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标段</w:t>
            </w:r>
          </w:p>
        </w:tc>
        <w:tc>
          <w:tcPr>
            <w:tcW w:w="5059" w:type="dxa"/>
            <w:tcBorders>
              <w:top w:val="single" w:color="000000" w:sz="2" w:space="0"/>
              <w:left w:val="single" w:color="000000" w:sz="2" w:space="0"/>
              <w:bottom w:val="single" w:color="000000" w:sz="2" w:space="0"/>
              <w:right w:val="single" w:color="000000" w:sz="2" w:space="0"/>
            </w:tcBorders>
            <w:vAlign w:val="center"/>
          </w:tcPr>
          <w:p w14:paraId="511ED66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货物名称及规格、参数</w:t>
            </w:r>
          </w:p>
        </w:tc>
        <w:tc>
          <w:tcPr>
            <w:tcW w:w="917" w:type="dxa"/>
            <w:tcBorders>
              <w:top w:val="single" w:color="000000" w:sz="2" w:space="0"/>
              <w:left w:val="single" w:color="000000" w:sz="2" w:space="0"/>
              <w:bottom w:val="single" w:color="000000" w:sz="2" w:space="0"/>
              <w:right w:val="single" w:color="000000" w:sz="2" w:space="0"/>
            </w:tcBorders>
            <w:vAlign w:val="center"/>
          </w:tcPr>
          <w:p w14:paraId="40552F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p w14:paraId="78CBF9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（吨）</w:t>
            </w:r>
          </w:p>
        </w:tc>
        <w:tc>
          <w:tcPr>
            <w:tcW w:w="1215" w:type="dxa"/>
            <w:tcBorders>
              <w:top w:val="single" w:color="000000" w:sz="2" w:space="0"/>
              <w:left w:val="single" w:color="000000" w:sz="2" w:space="0"/>
              <w:bottom w:val="single" w:color="000000" w:sz="2" w:space="0"/>
              <w:right w:val="single" w:color="000000" w:sz="2" w:space="0"/>
            </w:tcBorders>
            <w:vAlign w:val="center"/>
          </w:tcPr>
          <w:p w14:paraId="7A27EA8C">
            <w:pPr>
              <w:spacing w:after="0"/>
              <w:ind w:right="28"/>
              <w:jc w:val="center"/>
              <w:rPr>
                <w:rFonts w:ascii="Calibri" w:hAnsi="Calibri" w:eastAsia="宋体" w:cs="Times New Roman"/>
                <w:b/>
                <w:bCs/>
                <w:kern w:val="0"/>
                <w:szCs w:val="20"/>
                <w:highlight w:val="none"/>
              </w:rPr>
            </w:pPr>
            <w:r>
              <w:rPr>
                <w:rFonts w:ascii="Calibri" w:hAnsi="Calibri" w:eastAsia="宋体" w:cs="Times New Roman"/>
                <w:b/>
                <w:bCs/>
                <w:kern w:val="0"/>
                <w:szCs w:val="20"/>
                <w:highlight w:val="none"/>
              </w:rPr>
              <w:t>单价</w:t>
            </w:r>
          </w:p>
          <w:p w14:paraId="2DC35E4C">
            <w:pPr>
              <w:spacing w:after="0"/>
              <w:ind w:right="28" w:rightChars="0"/>
              <w:jc w:val="center"/>
              <w:rPr>
                <w:rFonts w:hint="default" w:ascii="宋体" w:hAnsi="宋体" w:eastAsia="宋体" w:cs="宋体"/>
                <w:b/>
                <w:bCs/>
                <w:i w:val="0"/>
                <w:iCs w:val="0"/>
                <w:color w:val="000000"/>
                <w:kern w:val="0"/>
                <w:sz w:val="24"/>
                <w:szCs w:val="24"/>
                <w:highlight w:val="none"/>
                <w:u w:val="none"/>
                <w:lang w:val="en-US" w:eastAsia="zh-CN" w:bidi="ar"/>
              </w:rPr>
            </w:pPr>
            <w:r>
              <w:rPr>
                <w:rFonts w:ascii="Calibri" w:hAnsi="Calibri" w:eastAsia="宋体" w:cs="Times New Roman"/>
                <w:b/>
                <w:bCs/>
                <w:kern w:val="0"/>
                <w:szCs w:val="20"/>
                <w:highlight w:val="none"/>
              </w:rPr>
              <w:t>（</w:t>
            </w:r>
            <w:r>
              <w:rPr>
                <w:rFonts w:hint="eastAsia" w:ascii="Calibri" w:hAnsi="Calibri" w:eastAsia="宋体" w:cs="Times New Roman"/>
                <w:b/>
                <w:bCs/>
                <w:kern w:val="0"/>
                <w:szCs w:val="20"/>
                <w:highlight w:val="none"/>
                <w:lang w:eastAsia="zh-CN"/>
              </w:rPr>
              <w:t>万</w:t>
            </w:r>
            <w:r>
              <w:rPr>
                <w:rFonts w:ascii="Calibri" w:hAnsi="Calibri" w:eastAsia="宋体" w:cs="Times New Roman"/>
                <w:b/>
                <w:bCs/>
                <w:kern w:val="0"/>
                <w:szCs w:val="20"/>
                <w:highlight w:val="none"/>
              </w:rPr>
              <w:t>元</w:t>
            </w:r>
            <w:r>
              <w:rPr>
                <w:rFonts w:hint="eastAsia" w:ascii="Calibri" w:hAnsi="Calibri" w:eastAsia="宋体" w:cs="Times New Roman"/>
                <w:b/>
                <w:bCs/>
                <w:kern w:val="0"/>
                <w:szCs w:val="20"/>
                <w:highlight w:val="none"/>
                <w:lang w:val="en-US" w:eastAsia="zh-CN"/>
              </w:rPr>
              <w:t>/吨</w:t>
            </w:r>
            <w:r>
              <w:rPr>
                <w:rFonts w:ascii="Calibri" w:hAnsi="Calibri" w:eastAsia="宋体" w:cs="Times New Roman"/>
                <w:b/>
                <w:bCs/>
                <w:kern w:val="0"/>
                <w:szCs w:val="20"/>
                <w:highlight w:val="none"/>
              </w:rPr>
              <w:t>）</w:t>
            </w:r>
          </w:p>
        </w:tc>
        <w:tc>
          <w:tcPr>
            <w:tcW w:w="1020" w:type="dxa"/>
            <w:tcBorders>
              <w:top w:val="single" w:color="000000" w:sz="2" w:space="0"/>
              <w:left w:val="single" w:color="000000" w:sz="2" w:space="0"/>
              <w:bottom w:val="single" w:color="000000" w:sz="2" w:space="0"/>
              <w:right w:val="single" w:color="000000" w:sz="2" w:space="0"/>
            </w:tcBorders>
            <w:vAlign w:val="center"/>
          </w:tcPr>
          <w:p w14:paraId="3AF8F4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合计</w:t>
            </w:r>
          </w:p>
          <w:p w14:paraId="025D2FB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（万元）</w:t>
            </w:r>
          </w:p>
        </w:tc>
        <w:tc>
          <w:tcPr>
            <w:tcW w:w="1800" w:type="dxa"/>
            <w:tcBorders>
              <w:top w:val="single" w:color="000000" w:sz="2" w:space="0"/>
              <w:left w:val="single" w:color="000000" w:sz="2" w:space="0"/>
              <w:bottom w:val="single" w:color="000000" w:sz="2" w:space="0"/>
              <w:right w:val="single" w:color="000000" w:sz="2" w:space="0"/>
            </w:tcBorders>
            <w:vAlign w:val="center"/>
          </w:tcPr>
          <w:p w14:paraId="1344DB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EC2336E">
        <w:tblPrEx>
          <w:tblCellMar>
            <w:top w:w="21" w:type="dxa"/>
            <w:left w:w="0" w:type="dxa"/>
            <w:bottom w:w="0" w:type="dxa"/>
            <w:right w:w="2" w:type="dxa"/>
          </w:tblCellMar>
        </w:tblPrEx>
        <w:trPr>
          <w:trHeight w:val="680" w:hRule="exact"/>
          <w:jc w:val="center"/>
        </w:trPr>
        <w:tc>
          <w:tcPr>
            <w:tcW w:w="810" w:type="dxa"/>
            <w:tcBorders>
              <w:top w:val="single" w:color="000000" w:sz="2" w:space="0"/>
              <w:left w:val="single" w:color="000000" w:sz="2" w:space="0"/>
              <w:bottom w:val="single" w:color="auto" w:sz="4" w:space="0"/>
              <w:right w:val="single" w:color="000000" w:sz="2" w:space="0"/>
            </w:tcBorders>
            <w:vAlign w:val="center"/>
          </w:tcPr>
          <w:p w14:paraId="384CD9ED">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p>
        </w:tc>
        <w:tc>
          <w:tcPr>
            <w:tcW w:w="5059" w:type="dxa"/>
            <w:tcBorders>
              <w:top w:val="single" w:color="000000" w:sz="2" w:space="0"/>
              <w:left w:val="single" w:color="000000" w:sz="2" w:space="0"/>
              <w:bottom w:val="single" w:color="auto" w:sz="4" w:space="0"/>
              <w:right w:val="single" w:color="000000" w:sz="2" w:space="0"/>
            </w:tcBorders>
            <w:vAlign w:val="center"/>
          </w:tcPr>
          <w:p w14:paraId="6F0B4193">
            <w:pPr>
              <w:keepNext w:val="0"/>
              <w:keepLines w:val="0"/>
              <w:widowControl/>
              <w:suppressLineNumbers w:val="0"/>
              <w:jc w:val="left"/>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大量元素水溶肥料（含磷酸二氢钾）。</w:t>
            </w:r>
            <w:r>
              <w:rPr>
                <w:rFonts w:hint="eastAsia" w:ascii="宋体" w:hAnsi="宋体" w:eastAsia="宋体" w:cs="宋体"/>
                <w:color w:val="000000" w:themeColor="text1"/>
                <w:sz w:val="21"/>
                <w:szCs w:val="21"/>
                <w14:textFill>
                  <w14:solidFill>
                    <w14:schemeClr w14:val="tx1"/>
                  </w14:solidFill>
                </w14:textFill>
              </w:rPr>
              <w:t>P₂O₅</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sz w:val="21"/>
                <w:szCs w:val="21"/>
                <w14:textFill>
                  <w14:solidFill>
                    <w14:schemeClr w14:val="tx1"/>
                  </w14:solidFill>
                </w14:textFill>
              </w:rPr>
              <w:t>K₂O</w:t>
            </w:r>
            <w:r>
              <w:rPr>
                <w:rFonts w:hint="eastAsia" w:ascii="宋体" w:hAnsi="宋体" w:eastAsia="宋体" w:cs="宋体"/>
                <w:i w:val="0"/>
                <w:iCs w:val="0"/>
                <w:color w:val="000000"/>
                <w:kern w:val="0"/>
                <w:sz w:val="21"/>
                <w:szCs w:val="21"/>
                <w:u w:val="none"/>
                <w:lang w:val="en-US" w:eastAsia="zh-CN" w:bidi="ar"/>
              </w:rPr>
              <w:t>≥550g/L，Zn：2-30g/L；水剂，100g/袋或1000g/瓶</w:t>
            </w:r>
          </w:p>
        </w:tc>
        <w:tc>
          <w:tcPr>
            <w:tcW w:w="917" w:type="dxa"/>
            <w:tcBorders>
              <w:top w:val="single" w:color="000000" w:sz="2" w:space="0"/>
              <w:left w:val="single" w:color="000000" w:sz="2" w:space="0"/>
              <w:bottom w:val="single" w:color="000000" w:sz="2" w:space="0"/>
              <w:right w:val="single" w:color="000000" w:sz="2" w:space="0"/>
            </w:tcBorders>
            <w:vAlign w:val="center"/>
          </w:tcPr>
          <w:p w14:paraId="4DB06A0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1215" w:type="dxa"/>
            <w:tcBorders>
              <w:top w:val="single" w:color="000000" w:sz="2" w:space="0"/>
              <w:left w:val="single" w:color="000000" w:sz="2" w:space="0"/>
              <w:bottom w:val="single" w:color="000000" w:sz="2" w:space="0"/>
              <w:right w:val="single" w:color="000000" w:sz="2" w:space="0"/>
            </w:tcBorders>
            <w:vAlign w:val="center"/>
          </w:tcPr>
          <w:p w14:paraId="26D3455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20" w:type="dxa"/>
            <w:tcBorders>
              <w:top w:val="single" w:color="000000" w:sz="2" w:space="0"/>
              <w:left w:val="single" w:color="000000" w:sz="2" w:space="0"/>
              <w:bottom w:val="single" w:color="000000" w:sz="2" w:space="0"/>
              <w:right w:val="single" w:color="000000" w:sz="2" w:space="0"/>
            </w:tcBorders>
            <w:vAlign w:val="center"/>
          </w:tcPr>
          <w:p w14:paraId="1F54461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104.00 </w:t>
            </w:r>
          </w:p>
        </w:tc>
        <w:tc>
          <w:tcPr>
            <w:tcW w:w="1800" w:type="dxa"/>
            <w:tcBorders>
              <w:top w:val="single" w:color="000000" w:sz="2" w:space="0"/>
              <w:left w:val="single" w:color="000000" w:sz="2" w:space="0"/>
              <w:bottom w:val="single" w:color="000000" w:sz="2" w:space="0"/>
              <w:right w:val="single" w:color="000000" w:sz="2" w:space="0"/>
            </w:tcBorders>
            <w:vAlign w:val="center"/>
          </w:tcPr>
          <w:p w14:paraId="1514394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5B98E03C">
        <w:tblPrEx>
          <w:tblCellMar>
            <w:top w:w="21" w:type="dxa"/>
            <w:left w:w="0" w:type="dxa"/>
            <w:bottom w:w="0" w:type="dxa"/>
            <w:right w:w="2" w:type="dxa"/>
          </w:tblCellMar>
        </w:tblPrEx>
        <w:trPr>
          <w:trHeight w:val="750" w:hRule="exact"/>
          <w:jc w:val="center"/>
        </w:trPr>
        <w:tc>
          <w:tcPr>
            <w:tcW w:w="810" w:type="dxa"/>
            <w:tcBorders>
              <w:top w:val="single" w:color="auto" w:sz="4" w:space="0"/>
              <w:left w:val="single" w:color="000000" w:sz="2" w:space="0"/>
              <w:bottom w:val="single" w:color="000000" w:sz="2" w:space="0"/>
              <w:right w:val="single" w:color="000000" w:sz="2" w:space="0"/>
            </w:tcBorders>
            <w:vAlign w:val="center"/>
          </w:tcPr>
          <w:p w14:paraId="4474CCF7">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p>
        </w:tc>
        <w:tc>
          <w:tcPr>
            <w:tcW w:w="5059" w:type="dxa"/>
            <w:tcBorders>
              <w:top w:val="single" w:color="auto" w:sz="4" w:space="0"/>
              <w:left w:val="single" w:color="000000" w:sz="2" w:space="0"/>
              <w:bottom w:val="single" w:color="000000" w:sz="2" w:space="0"/>
              <w:right w:val="single" w:color="000000" w:sz="2" w:space="0"/>
            </w:tcBorders>
            <w:vAlign w:val="center"/>
          </w:tcPr>
          <w:p w14:paraId="4E1DEDDE">
            <w:pPr>
              <w:keepNext w:val="0"/>
              <w:keepLines w:val="0"/>
              <w:widowControl/>
              <w:suppressLineNumbers w:val="0"/>
              <w:jc w:val="left"/>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含氨基酸水溶肥料。氨基酸≥100g/L，Cu+Fe+Mn+Zn+B+Mo≥30g/L；水剂，100g/袋或1000g/瓶</w:t>
            </w:r>
          </w:p>
        </w:tc>
        <w:tc>
          <w:tcPr>
            <w:tcW w:w="917" w:type="dxa"/>
            <w:tcBorders>
              <w:top w:val="single" w:color="000000" w:sz="2" w:space="0"/>
              <w:left w:val="single" w:color="000000" w:sz="2" w:space="0"/>
              <w:bottom w:val="single" w:color="000000" w:sz="2" w:space="0"/>
              <w:right w:val="single" w:color="000000" w:sz="2" w:space="0"/>
            </w:tcBorders>
            <w:vAlign w:val="center"/>
          </w:tcPr>
          <w:p w14:paraId="66AC42E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51.48</w:t>
            </w:r>
          </w:p>
        </w:tc>
        <w:tc>
          <w:tcPr>
            <w:tcW w:w="1215" w:type="dxa"/>
            <w:tcBorders>
              <w:top w:val="single" w:color="000000" w:sz="2" w:space="0"/>
              <w:left w:val="single" w:color="000000" w:sz="2" w:space="0"/>
              <w:bottom w:val="single" w:color="000000" w:sz="2" w:space="0"/>
              <w:right w:val="single" w:color="000000" w:sz="2" w:space="0"/>
            </w:tcBorders>
            <w:vAlign w:val="center"/>
          </w:tcPr>
          <w:p w14:paraId="416D375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020" w:type="dxa"/>
            <w:tcBorders>
              <w:top w:val="single" w:color="000000" w:sz="2" w:space="0"/>
              <w:left w:val="single" w:color="000000" w:sz="2" w:space="0"/>
              <w:bottom w:val="single" w:color="000000" w:sz="2" w:space="0"/>
              <w:right w:val="single" w:color="000000" w:sz="2" w:space="0"/>
            </w:tcBorders>
            <w:vAlign w:val="center"/>
          </w:tcPr>
          <w:p w14:paraId="4608A16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128.70 </w:t>
            </w:r>
          </w:p>
        </w:tc>
        <w:tc>
          <w:tcPr>
            <w:tcW w:w="1800" w:type="dxa"/>
            <w:tcBorders>
              <w:top w:val="single" w:color="000000" w:sz="2" w:space="0"/>
              <w:left w:val="single" w:color="000000" w:sz="2" w:space="0"/>
              <w:bottom w:val="single" w:color="000000" w:sz="2" w:space="0"/>
              <w:right w:val="single" w:color="000000" w:sz="2" w:space="0"/>
            </w:tcBorders>
            <w:vAlign w:val="center"/>
          </w:tcPr>
          <w:p w14:paraId="2B1EF0A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3CBD1C67">
        <w:tblPrEx>
          <w:tblCellMar>
            <w:top w:w="21" w:type="dxa"/>
            <w:left w:w="0" w:type="dxa"/>
            <w:bottom w:w="0" w:type="dxa"/>
            <w:right w:w="2" w:type="dxa"/>
          </w:tblCellMar>
        </w:tblPrEx>
        <w:trPr>
          <w:trHeight w:val="731" w:hRule="exact"/>
          <w:jc w:val="center"/>
        </w:trPr>
        <w:tc>
          <w:tcPr>
            <w:tcW w:w="810" w:type="dxa"/>
            <w:tcBorders>
              <w:top w:val="single" w:color="000000" w:sz="2" w:space="0"/>
              <w:left w:val="single" w:color="000000" w:sz="2" w:space="0"/>
              <w:bottom w:val="single" w:color="auto" w:sz="4" w:space="0"/>
              <w:right w:val="single" w:color="000000" w:sz="2" w:space="0"/>
            </w:tcBorders>
            <w:vAlign w:val="center"/>
          </w:tcPr>
          <w:p w14:paraId="3E93474E">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p>
        </w:tc>
        <w:tc>
          <w:tcPr>
            <w:tcW w:w="5059" w:type="dxa"/>
            <w:tcBorders>
              <w:top w:val="single" w:color="000000" w:sz="2" w:space="0"/>
              <w:left w:val="single" w:color="000000" w:sz="2" w:space="0"/>
              <w:bottom w:val="single" w:color="auto" w:sz="4" w:space="0"/>
              <w:right w:val="single" w:color="000000" w:sz="2" w:space="0"/>
            </w:tcBorders>
            <w:vAlign w:val="center"/>
          </w:tcPr>
          <w:p w14:paraId="611D7E02">
            <w:pPr>
              <w:keepNext w:val="0"/>
              <w:keepLines w:val="0"/>
              <w:widowControl/>
              <w:suppressLineNumbers w:val="0"/>
              <w:jc w:val="left"/>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含氨基酸水溶肥料。氨基酸≥100g/L，Mg≥30g/L，Cu+Fe+Mn+Zn+B≥3g/L，水剂 ，100g/袋或1000g/瓶</w:t>
            </w:r>
          </w:p>
        </w:tc>
        <w:tc>
          <w:tcPr>
            <w:tcW w:w="917" w:type="dxa"/>
            <w:tcBorders>
              <w:top w:val="single" w:color="000000" w:sz="2" w:space="0"/>
              <w:left w:val="single" w:color="000000" w:sz="2" w:space="0"/>
              <w:bottom w:val="single" w:color="000000" w:sz="2" w:space="0"/>
              <w:right w:val="single" w:color="000000" w:sz="2" w:space="0"/>
            </w:tcBorders>
            <w:vAlign w:val="center"/>
          </w:tcPr>
          <w:p w14:paraId="28C406B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51.48</w:t>
            </w:r>
          </w:p>
        </w:tc>
        <w:tc>
          <w:tcPr>
            <w:tcW w:w="1215" w:type="dxa"/>
            <w:tcBorders>
              <w:top w:val="single" w:color="000000" w:sz="2" w:space="0"/>
              <w:left w:val="single" w:color="000000" w:sz="2" w:space="0"/>
              <w:bottom w:val="single" w:color="000000" w:sz="2" w:space="0"/>
              <w:right w:val="single" w:color="000000" w:sz="2" w:space="0"/>
            </w:tcBorders>
            <w:vAlign w:val="center"/>
          </w:tcPr>
          <w:p w14:paraId="0DABC0E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020" w:type="dxa"/>
            <w:tcBorders>
              <w:top w:val="single" w:color="000000" w:sz="2" w:space="0"/>
              <w:left w:val="single" w:color="000000" w:sz="2" w:space="0"/>
              <w:bottom w:val="single" w:color="000000" w:sz="2" w:space="0"/>
              <w:right w:val="single" w:color="000000" w:sz="2" w:space="0"/>
            </w:tcBorders>
            <w:vAlign w:val="center"/>
          </w:tcPr>
          <w:p w14:paraId="02A3C45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128.70 </w:t>
            </w:r>
          </w:p>
        </w:tc>
        <w:tc>
          <w:tcPr>
            <w:tcW w:w="1800" w:type="dxa"/>
            <w:tcBorders>
              <w:top w:val="single" w:color="000000" w:sz="2" w:space="0"/>
              <w:left w:val="single" w:color="000000" w:sz="2" w:space="0"/>
              <w:bottom w:val="single" w:color="000000" w:sz="2" w:space="0"/>
              <w:right w:val="single" w:color="000000" w:sz="2" w:space="0"/>
            </w:tcBorders>
            <w:vAlign w:val="center"/>
          </w:tcPr>
          <w:p w14:paraId="03591E7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6C25A152">
        <w:tblPrEx>
          <w:tblCellMar>
            <w:top w:w="21" w:type="dxa"/>
            <w:left w:w="0" w:type="dxa"/>
            <w:bottom w:w="0" w:type="dxa"/>
            <w:right w:w="2" w:type="dxa"/>
          </w:tblCellMar>
        </w:tblPrEx>
        <w:trPr>
          <w:trHeight w:val="716" w:hRule="exact"/>
          <w:jc w:val="center"/>
        </w:trPr>
        <w:tc>
          <w:tcPr>
            <w:tcW w:w="810" w:type="dxa"/>
            <w:tcBorders>
              <w:top w:val="single" w:color="auto" w:sz="4" w:space="0"/>
              <w:left w:val="single" w:color="000000" w:sz="2" w:space="0"/>
              <w:bottom w:val="single" w:color="auto" w:sz="4" w:space="0"/>
              <w:right w:val="single" w:color="000000" w:sz="2" w:space="0"/>
            </w:tcBorders>
            <w:vAlign w:val="center"/>
          </w:tcPr>
          <w:p w14:paraId="58FB82D3">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p>
        </w:tc>
        <w:tc>
          <w:tcPr>
            <w:tcW w:w="5059" w:type="dxa"/>
            <w:tcBorders>
              <w:top w:val="single" w:color="auto" w:sz="4" w:space="0"/>
              <w:left w:val="single" w:color="000000" w:sz="2" w:space="0"/>
              <w:bottom w:val="single" w:color="auto" w:sz="4" w:space="0"/>
              <w:right w:val="single" w:color="000000" w:sz="2" w:space="0"/>
            </w:tcBorders>
            <w:shd w:val="clear" w:color="auto" w:fill="auto"/>
            <w:vAlign w:val="center"/>
          </w:tcPr>
          <w:p w14:paraId="2B7022E9">
            <w:pPr>
              <w:keepNext w:val="0"/>
              <w:keepLines w:val="0"/>
              <w:widowControl/>
              <w:suppressLineNumbers w:val="0"/>
              <w:jc w:val="left"/>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含氨基酸水溶肥料。氨基酸≥20%，Cu+Fe+Mn+Zn+B≥2.0%；粉剂，100g/袋或500g/袋</w:t>
            </w:r>
          </w:p>
        </w:tc>
        <w:tc>
          <w:tcPr>
            <w:tcW w:w="9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5956D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51.48</w:t>
            </w:r>
          </w:p>
        </w:tc>
        <w:tc>
          <w:tcPr>
            <w:tcW w:w="12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1772D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79D11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128.70 </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C56A9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39196586">
        <w:tblPrEx>
          <w:tblCellMar>
            <w:top w:w="21" w:type="dxa"/>
            <w:left w:w="0" w:type="dxa"/>
            <w:bottom w:w="0" w:type="dxa"/>
            <w:right w:w="2" w:type="dxa"/>
          </w:tblCellMar>
        </w:tblPrEx>
        <w:trPr>
          <w:trHeight w:val="680" w:hRule="exact"/>
          <w:jc w:val="center"/>
        </w:trPr>
        <w:tc>
          <w:tcPr>
            <w:tcW w:w="810" w:type="dxa"/>
            <w:tcBorders>
              <w:top w:val="single" w:color="auto" w:sz="4" w:space="0"/>
              <w:left w:val="single" w:color="000000" w:sz="2" w:space="0"/>
              <w:bottom w:val="single" w:color="auto" w:sz="4" w:space="0"/>
              <w:right w:val="single" w:color="000000" w:sz="2" w:space="0"/>
            </w:tcBorders>
            <w:vAlign w:val="center"/>
          </w:tcPr>
          <w:p w14:paraId="30BA8228">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p>
        </w:tc>
        <w:tc>
          <w:tcPr>
            <w:tcW w:w="5059" w:type="dxa"/>
            <w:tcBorders>
              <w:top w:val="single" w:color="auto" w:sz="4" w:space="0"/>
              <w:left w:val="single" w:color="000000" w:sz="2" w:space="0"/>
              <w:bottom w:val="single" w:color="auto" w:sz="4" w:space="0"/>
              <w:right w:val="single" w:color="000000" w:sz="2" w:space="0"/>
            </w:tcBorders>
            <w:vAlign w:val="center"/>
          </w:tcPr>
          <w:p w14:paraId="4FAE7BB8">
            <w:pPr>
              <w:keepNext w:val="0"/>
              <w:keepLines w:val="0"/>
              <w:widowControl/>
              <w:suppressLineNumbers w:val="0"/>
              <w:jc w:val="left"/>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含腐殖酸水溶肥料。腐殖酸≥40g/L，N+</w:t>
            </w:r>
            <w:r>
              <w:rPr>
                <w:rFonts w:hint="eastAsia" w:ascii="宋体" w:hAnsi="宋体" w:eastAsia="宋体" w:cs="宋体"/>
                <w:color w:val="000000" w:themeColor="text1"/>
                <w:sz w:val="21"/>
                <w:szCs w:val="21"/>
                <w14:textFill>
                  <w14:solidFill>
                    <w14:schemeClr w14:val="tx1"/>
                  </w14:solidFill>
                </w14:textFill>
              </w:rPr>
              <w:t>K₂O</w:t>
            </w:r>
            <w:r>
              <w:rPr>
                <w:rFonts w:hint="eastAsia" w:ascii="宋体" w:hAnsi="宋体" w:eastAsia="宋体" w:cs="宋体"/>
                <w:i w:val="0"/>
                <w:iCs w:val="0"/>
                <w:color w:val="000000"/>
                <w:kern w:val="0"/>
                <w:sz w:val="21"/>
                <w:szCs w:val="21"/>
                <w:u w:val="none"/>
                <w:lang w:val="en-US" w:eastAsia="zh-CN" w:bidi="ar"/>
              </w:rPr>
              <w:t>≥250g/L，水剂，50g/袋或1000g/瓶</w:t>
            </w:r>
          </w:p>
        </w:tc>
        <w:tc>
          <w:tcPr>
            <w:tcW w:w="917" w:type="dxa"/>
            <w:tcBorders>
              <w:top w:val="single" w:color="000000" w:sz="2" w:space="0"/>
              <w:left w:val="single" w:color="000000" w:sz="2" w:space="0"/>
              <w:bottom w:val="single" w:color="000000" w:sz="2" w:space="0"/>
              <w:right w:val="single" w:color="000000" w:sz="2" w:space="0"/>
            </w:tcBorders>
            <w:vAlign w:val="center"/>
          </w:tcPr>
          <w:p w14:paraId="04D271F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1215" w:type="dxa"/>
            <w:tcBorders>
              <w:top w:val="single" w:color="000000" w:sz="2" w:space="0"/>
              <w:left w:val="single" w:color="000000" w:sz="2" w:space="0"/>
              <w:bottom w:val="single" w:color="000000" w:sz="2" w:space="0"/>
              <w:right w:val="single" w:color="000000" w:sz="2" w:space="0"/>
            </w:tcBorders>
            <w:vAlign w:val="center"/>
          </w:tcPr>
          <w:p w14:paraId="0CE50BC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20" w:type="dxa"/>
            <w:tcBorders>
              <w:top w:val="single" w:color="000000" w:sz="2" w:space="0"/>
              <w:left w:val="single" w:color="000000" w:sz="2" w:space="0"/>
              <w:bottom w:val="single" w:color="000000" w:sz="2" w:space="0"/>
              <w:right w:val="single" w:color="000000" w:sz="2" w:space="0"/>
            </w:tcBorders>
            <w:vAlign w:val="center"/>
          </w:tcPr>
          <w:p w14:paraId="2212D90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100.00 </w:t>
            </w:r>
          </w:p>
        </w:tc>
        <w:tc>
          <w:tcPr>
            <w:tcW w:w="1800" w:type="dxa"/>
            <w:tcBorders>
              <w:top w:val="single" w:color="000000" w:sz="2" w:space="0"/>
              <w:left w:val="single" w:color="000000" w:sz="2" w:space="0"/>
              <w:bottom w:val="single" w:color="000000" w:sz="2" w:space="0"/>
              <w:right w:val="single" w:color="000000" w:sz="2" w:space="0"/>
            </w:tcBorders>
            <w:vAlign w:val="center"/>
          </w:tcPr>
          <w:p w14:paraId="6EC25AD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3E789055">
        <w:tblPrEx>
          <w:tblCellMar>
            <w:top w:w="21" w:type="dxa"/>
            <w:left w:w="0" w:type="dxa"/>
            <w:bottom w:w="0" w:type="dxa"/>
            <w:right w:w="2" w:type="dxa"/>
          </w:tblCellMar>
        </w:tblPrEx>
        <w:trPr>
          <w:trHeight w:val="1022" w:hRule="exact"/>
          <w:jc w:val="center"/>
        </w:trPr>
        <w:tc>
          <w:tcPr>
            <w:tcW w:w="810" w:type="dxa"/>
            <w:tcBorders>
              <w:top w:val="single" w:color="auto" w:sz="4" w:space="0"/>
              <w:left w:val="single" w:color="000000" w:sz="2" w:space="0"/>
              <w:bottom w:val="single" w:color="000000" w:sz="2" w:space="0"/>
              <w:right w:val="single" w:color="000000" w:sz="2" w:space="0"/>
            </w:tcBorders>
            <w:vAlign w:val="center"/>
          </w:tcPr>
          <w:p w14:paraId="04E323DF">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w:t>
            </w:r>
          </w:p>
        </w:tc>
        <w:tc>
          <w:tcPr>
            <w:tcW w:w="5059" w:type="dxa"/>
            <w:tcBorders>
              <w:top w:val="single" w:color="auto" w:sz="4" w:space="0"/>
              <w:left w:val="single" w:color="000000" w:sz="2" w:space="0"/>
              <w:bottom w:val="single" w:color="000000" w:sz="2" w:space="0"/>
              <w:right w:val="single" w:color="000000" w:sz="2" w:space="0"/>
            </w:tcBorders>
            <w:vAlign w:val="center"/>
          </w:tcPr>
          <w:p w14:paraId="2C979971">
            <w:pPr>
              <w:keepNext w:val="0"/>
              <w:keepLines w:val="0"/>
              <w:widowControl/>
              <w:suppressLineNumbers w:val="0"/>
              <w:jc w:val="left"/>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磷酸二氢钾。符合HG/T 2321-2016标准，产品为99%粉剂，膨化全水溶，</w:t>
            </w:r>
            <w:r>
              <w:rPr>
                <w:rFonts w:hint="eastAsia" w:ascii="宋体" w:hAnsi="宋体" w:eastAsia="宋体" w:cs="宋体"/>
                <w:color w:val="000000" w:themeColor="text1"/>
                <w:sz w:val="21"/>
                <w:szCs w:val="21"/>
                <w14:textFill>
                  <w14:solidFill>
                    <w14:schemeClr w14:val="tx1"/>
                  </w14:solidFill>
                </w14:textFill>
              </w:rPr>
              <w:t>KH₂PO₄</w:t>
            </w:r>
            <w:r>
              <w:rPr>
                <w:rFonts w:hint="eastAsia" w:ascii="宋体" w:hAnsi="宋体" w:eastAsia="宋体" w:cs="宋体"/>
                <w:i w:val="0"/>
                <w:iCs w:val="0"/>
                <w:color w:val="000000"/>
                <w:kern w:val="0"/>
                <w:sz w:val="21"/>
                <w:szCs w:val="21"/>
                <w:u w:val="none"/>
                <w:lang w:val="en-US" w:eastAsia="zh-CN" w:bidi="ar"/>
              </w:rPr>
              <w:t>≥99%，</w:t>
            </w:r>
            <w:r>
              <w:rPr>
                <w:rFonts w:hint="eastAsia" w:ascii="宋体" w:hAnsi="宋体" w:eastAsia="宋体" w:cs="宋体"/>
                <w:color w:val="000000" w:themeColor="text1"/>
                <w:sz w:val="21"/>
                <w:szCs w:val="21"/>
                <w14:textFill>
                  <w14:solidFill>
                    <w14:schemeClr w14:val="tx1"/>
                  </w14:solidFill>
                </w14:textFill>
              </w:rPr>
              <w:t>P₂O₅</w:t>
            </w:r>
            <w:r>
              <w:rPr>
                <w:rFonts w:hint="eastAsia" w:ascii="宋体" w:hAnsi="宋体" w:eastAsia="宋体" w:cs="宋体"/>
                <w:i w:val="0"/>
                <w:iCs w:val="0"/>
                <w:color w:val="000000"/>
                <w:kern w:val="0"/>
                <w:sz w:val="21"/>
                <w:szCs w:val="21"/>
                <w:u w:val="none"/>
                <w:lang w:val="en-US" w:eastAsia="zh-CN" w:bidi="ar"/>
              </w:rPr>
              <w:t>≥52%、</w:t>
            </w:r>
            <w:r>
              <w:rPr>
                <w:rFonts w:hint="eastAsia" w:ascii="宋体" w:hAnsi="宋体" w:eastAsia="宋体" w:cs="宋体"/>
                <w:color w:val="000000" w:themeColor="text1"/>
                <w:sz w:val="21"/>
                <w:szCs w:val="21"/>
                <w14:textFill>
                  <w14:solidFill>
                    <w14:schemeClr w14:val="tx1"/>
                  </w14:solidFill>
                </w14:textFill>
              </w:rPr>
              <w:t>K₂O</w:t>
            </w:r>
            <w:r>
              <w:rPr>
                <w:rFonts w:hint="eastAsia" w:ascii="宋体" w:hAnsi="宋体" w:eastAsia="宋体" w:cs="宋体"/>
                <w:i w:val="0"/>
                <w:iCs w:val="0"/>
                <w:color w:val="000000"/>
                <w:kern w:val="0"/>
                <w:sz w:val="21"/>
                <w:szCs w:val="21"/>
                <w:u w:val="none"/>
                <w:lang w:val="en-US" w:eastAsia="zh-CN" w:bidi="ar"/>
              </w:rPr>
              <w:t>≥34%，包装规格100g/袋或1kg/袋</w:t>
            </w:r>
          </w:p>
        </w:tc>
        <w:tc>
          <w:tcPr>
            <w:tcW w:w="917" w:type="dxa"/>
            <w:tcBorders>
              <w:top w:val="single" w:color="000000" w:sz="2" w:space="0"/>
              <w:left w:val="single" w:color="000000" w:sz="2" w:space="0"/>
              <w:bottom w:val="single" w:color="000000" w:sz="2" w:space="0"/>
              <w:right w:val="single" w:color="000000" w:sz="2" w:space="0"/>
            </w:tcBorders>
            <w:vAlign w:val="center"/>
          </w:tcPr>
          <w:p w14:paraId="77AEC96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50.95</w:t>
            </w:r>
          </w:p>
        </w:tc>
        <w:tc>
          <w:tcPr>
            <w:tcW w:w="1215" w:type="dxa"/>
            <w:tcBorders>
              <w:top w:val="single" w:color="000000" w:sz="2" w:space="0"/>
              <w:left w:val="single" w:color="000000" w:sz="2" w:space="0"/>
              <w:bottom w:val="single" w:color="000000" w:sz="2" w:space="0"/>
              <w:right w:val="single" w:color="000000" w:sz="2" w:space="0"/>
            </w:tcBorders>
            <w:vAlign w:val="center"/>
          </w:tcPr>
          <w:p w14:paraId="7AED59B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20" w:type="dxa"/>
            <w:tcBorders>
              <w:top w:val="single" w:color="000000" w:sz="2" w:space="0"/>
              <w:left w:val="single" w:color="000000" w:sz="2" w:space="0"/>
              <w:bottom w:val="single" w:color="000000" w:sz="2" w:space="0"/>
              <w:right w:val="single" w:color="000000" w:sz="2" w:space="0"/>
            </w:tcBorders>
            <w:vAlign w:val="center"/>
          </w:tcPr>
          <w:p w14:paraId="7EAF948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101.90 </w:t>
            </w:r>
          </w:p>
        </w:tc>
        <w:tc>
          <w:tcPr>
            <w:tcW w:w="1800" w:type="dxa"/>
            <w:tcBorders>
              <w:top w:val="single" w:color="000000" w:sz="2" w:space="0"/>
              <w:left w:val="single" w:color="000000" w:sz="2" w:space="0"/>
              <w:bottom w:val="single" w:color="000000" w:sz="2" w:space="0"/>
              <w:right w:val="single" w:color="000000" w:sz="2" w:space="0"/>
            </w:tcBorders>
            <w:vAlign w:val="center"/>
          </w:tcPr>
          <w:p w14:paraId="3199937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bl>
    <w:p w14:paraId="10CA53C4">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6、</w:t>
      </w:r>
      <w:r>
        <w:rPr>
          <w:rFonts w:hint="eastAsia" w:ascii="宋体" w:hAnsi="宋体" w:eastAsia="宋体" w:cs="宋体"/>
          <w:b/>
          <w:bCs/>
          <w:color w:val="000000"/>
          <w:sz w:val="24"/>
          <w:szCs w:val="24"/>
        </w:rPr>
        <w:t>对项目采购需求部分的询问、质疑请与采购人联系，由采购人负责答复</w:t>
      </w:r>
      <w:r>
        <w:rPr>
          <w:rFonts w:hint="eastAsia" w:ascii="宋体" w:hAnsi="宋体" w:eastAsia="宋体" w:cs="宋体"/>
          <w:b/>
          <w:bCs/>
          <w:color w:val="000000"/>
          <w:sz w:val="24"/>
          <w:szCs w:val="24"/>
          <w:lang w:eastAsia="zh-CN"/>
        </w:rPr>
        <w:t>；</w:t>
      </w:r>
    </w:p>
    <w:p w14:paraId="2F11A456">
      <w:pPr>
        <w:spacing w:line="360" w:lineRule="auto"/>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u w:val="none"/>
          <w:lang w:val="en-US" w:eastAsia="zh-CN"/>
        </w:rPr>
        <w:t>7、报价包含但不限于产品价格、供货、运输（含装卸）、验收、售后服务及其它相关服</w:t>
      </w:r>
      <w:r>
        <w:rPr>
          <w:rFonts w:hint="eastAsia" w:ascii="宋体" w:hAnsi="宋体" w:eastAsia="宋体" w:cs="宋体"/>
          <w:b w:val="0"/>
          <w:bCs w:val="0"/>
          <w:color w:val="auto"/>
          <w:sz w:val="24"/>
          <w:szCs w:val="24"/>
          <w:u w:val="none"/>
          <w:lang w:val="en-US" w:eastAsia="zh-CN"/>
        </w:rPr>
        <w:t>务，中标后费用不再另行增加，请投标人综合考虑。供应方负责产品的上下力资、分发、技术服务、质量检验、第三方核查等伴随服务，并考虑应承担的风险；</w:t>
      </w:r>
    </w:p>
    <w:p w14:paraId="18EA071C">
      <w:pPr>
        <w:spacing w:line="360" w:lineRule="auto"/>
        <w:ind w:firstLine="480" w:firstLineChars="20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合同履行期限：</w:t>
      </w:r>
      <w:r>
        <w:rPr>
          <w:rFonts w:hint="eastAsia" w:ascii="宋体" w:hAnsi="宋体" w:eastAsia="宋体" w:cs="宋体"/>
          <w:bCs/>
          <w:color w:val="auto"/>
          <w:sz w:val="24"/>
          <w:szCs w:val="24"/>
          <w:highlight w:val="none"/>
          <w:u w:val="single"/>
          <w:lang w:eastAsia="zh-CN"/>
        </w:rPr>
        <w:t>接到采购人通知起10日内交货</w:t>
      </w:r>
      <w:r>
        <w:rPr>
          <w:rFonts w:hint="eastAsia" w:ascii="宋体" w:hAnsi="宋体" w:eastAsia="宋体" w:cs="宋体"/>
          <w:color w:val="000000"/>
          <w:sz w:val="24"/>
          <w:szCs w:val="24"/>
          <w:highlight w:val="none"/>
          <w:u w:val="single"/>
          <w:lang w:val="en-US" w:eastAsia="zh-CN"/>
        </w:rPr>
        <w:t>；</w:t>
      </w:r>
    </w:p>
    <w:p w14:paraId="070A39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本项目</w:t>
      </w:r>
      <w:r>
        <w:rPr>
          <w:rFonts w:hint="eastAsia" w:ascii="宋体" w:hAnsi="宋体" w:eastAsia="宋体" w:cs="宋体"/>
          <w:sz w:val="24"/>
          <w:szCs w:val="24"/>
          <w:u w:val="single"/>
        </w:rPr>
        <w:t>（是</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否</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color w:val="000000"/>
          <w:sz w:val="24"/>
          <w:szCs w:val="24"/>
        </w:rPr>
        <w:t>接受联合体投标。</w:t>
      </w:r>
    </w:p>
    <w:p w14:paraId="5E602A96">
      <w:pPr>
        <w:keepNext/>
        <w:spacing w:line="360" w:lineRule="auto"/>
        <w:textAlignment w:val="baseline"/>
        <w:outlineLvl w:val="1"/>
        <w:rPr>
          <w:rFonts w:hint="eastAsia" w:ascii="宋体" w:hAnsi="宋体" w:eastAsia="宋体" w:cs="宋体"/>
          <w:b/>
          <w:color w:val="000000"/>
          <w:kern w:val="0"/>
          <w:sz w:val="28"/>
          <w:szCs w:val="20"/>
        </w:rPr>
      </w:pPr>
      <w:r>
        <w:rPr>
          <w:rFonts w:hint="eastAsia" w:ascii="宋体" w:hAnsi="宋体" w:eastAsia="宋体" w:cs="宋体"/>
          <w:b/>
          <w:color w:val="000000"/>
          <w:kern w:val="0"/>
          <w:sz w:val="28"/>
          <w:szCs w:val="20"/>
        </w:rPr>
        <w:t>二、申请人的资格要求</w:t>
      </w:r>
    </w:p>
    <w:p w14:paraId="0D786A51">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1.满足《中华人民共和国政府采购法》第二十二条规定，提供下列材料：</w:t>
      </w:r>
    </w:p>
    <w:p w14:paraId="2035CE4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（1）法人或者其他组织的营业执照等证明文件，自然人的身份证明；</w:t>
      </w:r>
    </w:p>
    <w:p w14:paraId="71B597DE">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（2）上一年度的财务状况报告。（成立不满一个年度的不需提供）；</w:t>
      </w:r>
    </w:p>
    <w:p w14:paraId="13F9812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（3）依法缴纳税收和社会保障资金的相关材料；</w:t>
      </w:r>
    </w:p>
    <w:p w14:paraId="0448010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（4）具有履行合同所必需的设备和专业技术能力的证明材料；</w:t>
      </w:r>
    </w:p>
    <w:p w14:paraId="75FFDA2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（5）参加政府采购活动前三年内在经营活动中没有重大违法记录的书面声明；</w:t>
      </w:r>
    </w:p>
    <w:p w14:paraId="3F25F8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333333"/>
          <w:kern w:val="0"/>
          <w:sz w:val="24"/>
          <w:szCs w:val="24"/>
          <w:lang w:val="en-US" w:eastAsia="zh-CN" w:bidi="ar"/>
        </w:rPr>
        <w:t>根据连财购〔2023〕4号文件精神，第（2）、（3）项可以提供《财务状况报告及税收、社会保障资金缴纳情况承诺函》，详见投标文件格式。</w:t>
      </w:r>
    </w:p>
    <w:p w14:paraId="6D550DC2">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lang w:val="en-US" w:eastAsia="zh-CN"/>
        </w:rPr>
        <w:t>2.落实政府采购需满足的资格要求：根据财政部、工业和信息化部关于印发《政府采购促进中心企业发展管理办法》的通知（财库〔2020〕46号）等相关文件要求，本项目专门面向中型企业、小型企业、微型企业、残疾人福利性单位、监狱企业进行采购。（符合要求的</w:t>
      </w:r>
      <w:r>
        <w:rPr>
          <w:rFonts w:hint="eastAsia" w:ascii="宋体" w:hAnsi="宋体" w:eastAsia="宋体" w:cs="宋体"/>
          <w:color w:val="auto"/>
          <w:sz w:val="24"/>
          <w:szCs w:val="24"/>
          <w:highlight w:val="none"/>
          <w:lang w:val="en-US" w:eastAsia="zh-CN"/>
        </w:rPr>
        <w:t>供应商提供《中小企业声明函》或《残疾人福利性单位声明函》或属于监狱企业的证明文件，否则按无效响应处理。</w:t>
      </w:r>
    </w:p>
    <w:p w14:paraId="242EA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47FDD25E">
      <w:pPr>
        <w:spacing w:line="360" w:lineRule="auto"/>
        <w:ind w:firstLine="480" w:firstLineChars="200"/>
        <w:jc w:val="left"/>
        <w:rPr>
          <w:rFonts w:hint="eastAsia" w:ascii="宋体" w:hAnsi="宋体" w:eastAsia="宋体" w:cs="宋体"/>
          <w:b/>
          <w:bCs/>
          <w:i w:val="0"/>
          <w:iCs w:val="0"/>
          <w:caps w:val="0"/>
          <w:color w:val="000000"/>
          <w:spacing w:val="0"/>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i w:val="0"/>
          <w:iCs w:val="0"/>
          <w:caps w:val="0"/>
          <w:color w:val="000000"/>
          <w:spacing w:val="0"/>
          <w:kern w:val="0"/>
          <w:sz w:val="24"/>
          <w:szCs w:val="24"/>
          <w:highlight w:val="none"/>
          <w:lang w:val="en-US" w:eastAsia="zh-CN"/>
        </w:rPr>
        <w:t>1标段投标人所投产品须已在农业行政主管部门登记或备案(须</w:t>
      </w:r>
      <w:bookmarkStart w:id="28" w:name="_GoBack"/>
      <w:bookmarkEnd w:id="28"/>
      <w:r>
        <w:rPr>
          <w:rFonts w:hint="eastAsia" w:ascii="宋体" w:hAnsi="宋体" w:eastAsia="宋体" w:cs="宋体"/>
          <w:b/>
          <w:bCs/>
          <w:i w:val="0"/>
          <w:iCs w:val="0"/>
          <w:caps w:val="0"/>
          <w:color w:val="000000"/>
          <w:spacing w:val="0"/>
          <w:kern w:val="0"/>
          <w:sz w:val="24"/>
          <w:szCs w:val="24"/>
          <w:highlight w:val="none"/>
          <w:lang w:val="en-US" w:eastAsia="zh-CN"/>
        </w:rPr>
        <w:t>提供有效期内加盖公章的登记或备案证明材料复印件)。</w:t>
      </w:r>
    </w:p>
    <w:p w14:paraId="1E538224">
      <w:pPr>
        <w:spacing w:line="360" w:lineRule="auto"/>
        <w:ind w:firstLine="480" w:firstLineChars="200"/>
        <w:jc w:val="left"/>
        <w:rPr>
          <w:rFonts w:hint="eastAsia" w:ascii="宋体" w:hAnsi="宋体" w:eastAsia="宋体" w:cs="宋体"/>
          <w:b/>
          <w:bCs/>
          <w:i w:val="0"/>
          <w:iCs w:val="0"/>
          <w:caps w:val="0"/>
          <w:color w:val="000000"/>
          <w:spacing w:val="0"/>
          <w:kern w:val="0"/>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bCs/>
          <w:i w:val="0"/>
          <w:iCs w:val="0"/>
          <w:caps w:val="0"/>
          <w:color w:val="000000"/>
          <w:spacing w:val="0"/>
          <w:kern w:val="0"/>
          <w:sz w:val="24"/>
          <w:szCs w:val="24"/>
          <w:highlight w:val="none"/>
          <w:lang w:val="en-US" w:eastAsia="zh-CN"/>
        </w:rPr>
        <w:t>2-5标段投标人所投产品须已在农业行政主管部门登记或备案(登记或备案的主要技术指标不低于采购需求并在投标文件中提供有效期内加盖公章的登记或备案证明材料复印件)。</w:t>
      </w:r>
    </w:p>
    <w:p w14:paraId="0F8305A6">
      <w:pPr>
        <w:spacing w:line="360" w:lineRule="auto"/>
        <w:ind w:firstLine="482" w:firstLineChars="200"/>
        <w:jc w:val="left"/>
        <w:rPr>
          <w:rFonts w:hint="eastAsia" w:ascii="宋体" w:hAnsi="宋体" w:eastAsia="宋体" w:cs="宋体"/>
          <w:b/>
          <w:bCs/>
          <w:i w:val="0"/>
          <w:iCs w:val="0"/>
          <w:caps w:val="0"/>
          <w:color w:val="000000"/>
          <w:spacing w:val="0"/>
          <w:kern w:val="0"/>
          <w:sz w:val="24"/>
          <w:szCs w:val="24"/>
          <w:highlight w:val="none"/>
          <w:lang w:val="en-US" w:eastAsia="zh-CN"/>
        </w:rPr>
      </w:pPr>
    </w:p>
    <w:p w14:paraId="29240B0C">
      <w:pPr>
        <w:spacing w:line="360" w:lineRule="auto"/>
        <w:ind w:firstLine="480" w:firstLineChars="200"/>
        <w:jc w:val="left"/>
        <w:rPr>
          <w:rFonts w:hint="default" w:ascii="宋体" w:hAnsi="宋体" w:eastAsia="宋体" w:cs="宋体"/>
          <w:b/>
          <w:bCs/>
          <w:i w:val="0"/>
          <w:iCs w:val="0"/>
          <w:caps w:val="0"/>
          <w:color w:val="000000"/>
          <w:spacing w:val="0"/>
          <w:kern w:val="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i w:val="0"/>
          <w:iCs w:val="0"/>
          <w:caps w:val="0"/>
          <w:color w:val="000000"/>
          <w:spacing w:val="0"/>
          <w:kern w:val="0"/>
          <w:sz w:val="24"/>
          <w:szCs w:val="24"/>
          <w:highlight w:val="none"/>
          <w:lang w:val="en-US" w:eastAsia="zh-CN"/>
        </w:rPr>
        <w:t>6标段须符合</w:t>
      </w:r>
      <w:r>
        <w:rPr>
          <w:rFonts w:hint="default" w:ascii="宋体" w:hAnsi="宋体" w:eastAsia="宋体" w:cs="宋体"/>
          <w:b/>
          <w:bCs/>
          <w:i w:val="0"/>
          <w:iCs w:val="0"/>
          <w:caps w:val="0"/>
          <w:color w:val="000000"/>
          <w:spacing w:val="0"/>
          <w:kern w:val="0"/>
          <w:sz w:val="24"/>
          <w:szCs w:val="24"/>
          <w:highlight w:val="none"/>
          <w:lang w:val="en-US" w:eastAsia="zh-CN"/>
        </w:rPr>
        <w:t>HG/T 2321-2016标准</w:t>
      </w:r>
      <w:r>
        <w:rPr>
          <w:rFonts w:hint="eastAsia" w:ascii="宋体" w:hAnsi="宋体" w:eastAsia="宋体" w:cs="宋体"/>
          <w:b/>
          <w:bCs/>
          <w:i w:val="0"/>
          <w:iCs w:val="0"/>
          <w:caps w:val="0"/>
          <w:color w:val="000000"/>
          <w:spacing w:val="0"/>
          <w:kern w:val="0"/>
          <w:sz w:val="24"/>
          <w:szCs w:val="24"/>
          <w:highlight w:val="none"/>
          <w:lang w:val="en-US" w:eastAsia="zh-CN"/>
        </w:rPr>
        <w:t>。</w:t>
      </w:r>
    </w:p>
    <w:p w14:paraId="5E8071C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4.本项目的其他资格要求：</w:t>
      </w:r>
    </w:p>
    <w:p w14:paraId="6EE12CE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（1）投标文件递交截止前，被信用中国、中国政府采购网列入失信被执行人、重大税收违法案件当事人名单、政府采购严重违法失信行为记录名单的供应商，拒绝其参与政府采购活动。</w:t>
      </w:r>
    </w:p>
    <w:p w14:paraId="5E98AFB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备注：采购人或采购代理机构通过信用中国网站（www.creditchina.gov.cn）、中国政府采购网（www.ccgp.gov.cn），对供应商信用记录情况进行查询，查询结果页面打印留存。</w:t>
      </w:r>
    </w:p>
    <w:p w14:paraId="05C9881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（2）本项目不接受进口产品（进口产品是指通过中国海关报关验放进入中国境内且产自关境外的产品），中标后不允许分包或转包。</w:t>
      </w:r>
    </w:p>
    <w:p w14:paraId="7CAB5F7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5.法律法规规定的其他条件。</w:t>
      </w:r>
    </w:p>
    <w:p w14:paraId="01F3A0CF">
      <w:pPr>
        <w:keepNext/>
        <w:spacing w:line="360" w:lineRule="auto"/>
        <w:textAlignment w:val="baseline"/>
        <w:outlineLvl w:val="1"/>
        <w:rPr>
          <w:rFonts w:hint="eastAsia" w:ascii="宋体" w:hAnsi="宋体" w:eastAsia="宋体" w:cs="宋体"/>
          <w:b/>
          <w:color w:val="000000"/>
          <w:kern w:val="0"/>
          <w:sz w:val="28"/>
          <w:szCs w:val="20"/>
          <w:highlight w:val="none"/>
        </w:rPr>
      </w:pPr>
      <w:r>
        <w:rPr>
          <w:rFonts w:hint="eastAsia" w:ascii="宋体" w:hAnsi="宋体" w:eastAsia="宋体" w:cs="宋体"/>
          <w:b/>
          <w:color w:val="000000"/>
          <w:kern w:val="0"/>
          <w:sz w:val="28"/>
          <w:szCs w:val="20"/>
        </w:rPr>
        <w:t>三、</w:t>
      </w:r>
      <w:r>
        <w:rPr>
          <w:rFonts w:hint="eastAsia" w:ascii="宋体" w:hAnsi="宋体" w:eastAsia="宋体" w:cs="宋体"/>
          <w:b/>
          <w:color w:val="000000"/>
          <w:kern w:val="0"/>
          <w:sz w:val="28"/>
          <w:szCs w:val="20"/>
          <w:highlight w:val="none"/>
        </w:rPr>
        <w:t>获取招标文件</w:t>
      </w:r>
    </w:p>
    <w:p w14:paraId="2E239362">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时间：</w:t>
      </w:r>
      <w:r>
        <w:rPr>
          <w:rFonts w:hint="eastAsia" w:ascii="宋体" w:hAnsi="宋体" w:eastAsia="宋体" w:cs="宋体"/>
          <w:b/>
          <w:bCs/>
          <w:sz w:val="24"/>
          <w:szCs w:val="24"/>
          <w:highlight w:val="none"/>
          <w:lang w:val="en-US" w:eastAsia="zh-CN"/>
        </w:rPr>
        <w:t>2026</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日至</w:t>
      </w:r>
      <w:r>
        <w:rPr>
          <w:rFonts w:hint="eastAsia" w:ascii="宋体" w:hAnsi="宋体" w:eastAsia="宋体" w:cs="宋体"/>
          <w:b/>
          <w:bCs/>
          <w:sz w:val="24"/>
          <w:szCs w:val="24"/>
          <w:highlight w:val="none"/>
          <w:lang w:val="en-US" w:eastAsia="zh-CN"/>
        </w:rPr>
        <w:t>2026</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17</w:t>
      </w:r>
      <w:r>
        <w:rPr>
          <w:rFonts w:hint="eastAsia" w:ascii="宋体" w:hAnsi="宋体" w:eastAsia="宋体" w:cs="宋体"/>
          <w:b/>
          <w:bCs/>
          <w:sz w:val="24"/>
          <w:szCs w:val="24"/>
          <w:highlight w:val="none"/>
        </w:rPr>
        <w:t>日</w:t>
      </w:r>
      <w:r>
        <w:rPr>
          <w:rFonts w:hint="eastAsia" w:ascii="宋体" w:hAnsi="宋体" w:eastAsia="宋体" w:cs="宋体"/>
          <w:b/>
          <w:bCs/>
          <w:sz w:val="24"/>
          <w:szCs w:val="24"/>
          <w:highlight w:val="none"/>
          <w:lang w:val="en-US" w:eastAsia="zh-CN"/>
        </w:rPr>
        <w:t>18</w:t>
      </w:r>
      <w:r>
        <w:rPr>
          <w:rFonts w:hint="eastAsia" w:ascii="宋体" w:hAnsi="宋体" w:eastAsia="宋体" w:cs="宋体"/>
          <w:b/>
          <w:bCs/>
          <w:sz w:val="24"/>
          <w:szCs w:val="24"/>
          <w:highlight w:val="none"/>
        </w:rPr>
        <w:t>:00:00止（北京时间）</w:t>
      </w:r>
    </w:p>
    <w:p w14:paraId="43B1CB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方式：在“江苏政府采购网”自行免费下载招标文件。</w:t>
      </w:r>
    </w:p>
    <w:p w14:paraId="414554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网址：http://218.92.36.85:8186/PSPBidder/memberLogin </w:t>
      </w:r>
    </w:p>
    <w:p w14:paraId="799727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方式：在线获取</w:t>
      </w:r>
    </w:p>
    <w:p w14:paraId="3FC06A79">
      <w:pPr>
        <w:keepNext/>
        <w:spacing w:line="360" w:lineRule="auto"/>
        <w:textAlignment w:val="baseline"/>
        <w:outlineLvl w:val="1"/>
        <w:rPr>
          <w:rFonts w:hint="eastAsia" w:ascii="宋体" w:hAnsi="宋体" w:eastAsia="宋体" w:cs="宋体"/>
          <w:b/>
          <w:color w:val="000000"/>
          <w:kern w:val="0"/>
          <w:sz w:val="28"/>
          <w:szCs w:val="20"/>
          <w:highlight w:val="none"/>
        </w:rPr>
      </w:pPr>
      <w:r>
        <w:rPr>
          <w:rFonts w:hint="eastAsia" w:ascii="宋体" w:hAnsi="宋体" w:eastAsia="宋体" w:cs="宋体"/>
          <w:b/>
          <w:color w:val="000000"/>
          <w:kern w:val="0"/>
          <w:sz w:val="28"/>
          <w:szCs w:val="20"/>
          <w:highlight w:val="none"/>
        </w:rPr>
        <w:t>四、提交投标文件截止时间、开标时间和地点</w:t>
      </w:r>
    </w:p>
    <w:p w14:paraId="04FF1DA6">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1.投标文件接收时间与地点</w:t>
      </w:r>
    </w:p>
    <w:p w14:paraId="7FC00803">
      <w:pPr>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投标文件接收截止时间</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2026</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日上午</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:00:00（北京时间）</w:t>
      </w:r>
    </w:p>
    <w:p w14:paraId="4063AAB5">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电子投标文件上传地址：</w:t>
      </w:r>
      <w:r>
        <w:rPr>
          <w:rFonts w:hint="eastAsia" w:ascii="宋体" w:hAnsi="宋体" w:eastAsia="宋体" w:cs="宋体"/>
          <w:sz w:val="24"/>
          <w:szCs w:val="24"/>
          <w:highlight w:val="none"/>
          <w:lang w:eastAsia="zh-CN"/>
        </w:rPr>
        <w:t>“苏采云”政府采购交易系统。</w:t>
      </w:r>
    </w:p>
    <w:p w14:paraId="43705B1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2.开标时间与地点</w:t>
      </w:r>
    </w:p>
    <w:p w14:paraId="1DD1CCCA">
      <w:pPr>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开标时间：</w:t>
      </w:r>
      <w:r>
        <w:rPr>
          <w:rFonts w:hint="eastAsia" w:ascii="宋体" w:hAnsi="宋体" w:eastAsia="宋体" w:cs="宋体"/>
          <w:b/>
          <w:bCs/>
          <w:sz w:val="24"/>
          <w:szCs w:val="24"/>
          <w:highlight w:val="none"/>
          <w:lang w:val="en-US" w:eastAsia="zh-CN"/>
        </w:rPr>
        <w:t>2026</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日上午</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:00:00（北京时间）</w:t>
      </w:r>
    </w:p>
    <w:p w14:paraId="00C15763">
      <w:pPr>
        <w:keepNext/>
        <w:spacing w:line="360" w:lineRule="auto"/>
        <w:ind w:firstLine="480" w:firstLineChars="200"/>
        <w:textAlignment w:val="baseline"/>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eastAsia="zh-CN"/>
        </w:rPr>
        <w:t>“苏采云”政府采购交易系统网上开标大厅。</w:t>
      </w:r>
    </w:p>
    <w:p w14:paraId="7EF4BC99">
      <w:pPr>
        <w:keepNext/>
        <w:spacing w:line="360" w:lineRule="auto"/>
        <w:textAlignment w:val="baseline"/>
        <w:outlineLvl w:val="1"/>
        <w:rPr>
          <w:rFonts w:hint="eastAsia" w:ascii="宋体" w:hAnsi="宋体" w:eastAsia="宋体" w:cs="宋体"/>
          <w:b/>
          <w:color w:val="000000"/>
          <w:kern w:val="0"/>
          <w:sz w:val="28"/>
          <w:szCs w:val="20"/>
          <w:highlight w:val="none"/>
        </w:rPr>
      </w:pPr>
      <w:r>
        <w:rPr>
          <w:rFonts w:hint="eastAsia" w:ascii="宋体" w:hAnsi="宋体" w:eastAsia="宋体" w:cs="宋体"/>
          <w:b/>
          <w:color w:val="000000"/>
          <w:kern w:val="0"/>
          <w:sz w:val="28"/>
          <w:szCs w:val="20"/>
          <w:highlight w:val="none"/>
        </w:rPr>
        <w:t>五、公告期限</w:t>
      </w:r>
    </w:p>
    <w:p w14:paraId="3502E87A">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35BA28D2">
      <w:pPr>
        <w:keepNext/>
        <w:spacing w:line="360" w:lineRule="auto"/>
        <w:textAlignment w:val="baseline"/>
        <w:outlineLvl w:val="1"/>
        <w:rPr>
          <w:rFonts w:hint="eastAsia" w:ascii="宋体" w:hAnsi="宋体" w:eastAsia="宋体" w:cs="宋体"/>
          <w:b/>
          <w:color w:val="000000"/>
          <w:kern w:val="0"/>
          <w:sz w:val="28"/>
          <w:szCs w:val="20"/>
        </w:rPr>
      </w:pPr>
      <w:r>
        <w:rPr>
          <w:rFonts w:hint="eastAsia" w:ascii="宋体" w:hAnsi="宋体" w:eastAsia="宋体" w:cs="宋体"/>
          <w:b/>
          <w:color w:val="000000"/>
          <w:kern w:val="0"/>
          <w:sz w:val="28"/>
          <w:szCs w:val="20"/>
        </w:rPr>
        <w:t>六、其他补充事宜</w:t>
      </w:r>
    </w:p>
    <w:p w14:paraId="25612B8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1.本次公开招标不收取投标保证金。</w:t>
      </w:r>
    </w:p>
    <w:p w14:paraId="26E0191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2.本招标文件中标注★的款项为实质性响应要求和条件，如不满足将按无效响应处理。</w:t>
      </w:r>
    </w:p>
    <w:p w14:paraId="23352E6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3.无论出于何种原因，采购人在采购活动开始前可对采购文件进行修改、补充或变更，其内容作为采购文件的重要组成部分，请各供应商关注</w:t>
      </w:r>
      <w:r>
        <w:rPr>
          <w:rFonts w:hint="eastAsia" w:ascii="宋体" w:hAnsi="宋体" w:eastAsia="宋体" w:cs="宋体"/>
          <w:sz w:val="24"/>
          <w:szCs w:val="24"/>
          <w:lang w:eastAsia="zh-CN"/>
        </w:rPr>
        <w:t>“苏采云”政府采购交易系统</w:t>
      </w:r>
      <w:r>
        <w:rPr>
          <w:rFonts w:hint="eastAsia" w:ascii="宋体" w:hAnsi="宋体" w:eastAsia="宋体" w:cs="宋体"/>
          <w:sz w:val="24"/>
          <w:szCs w:val="24"/>
        </w:rPr>
        <w:t xml:space="preserve">。若因供应商自身原因未及时关注本项目有关修改、补充或变更信息，导致投标文件编制或提交失误，由此造成的一切损失由供应商自行承担。  </w:t>
      </w:r>
    </w:p>
    <w:p w14:paraId="0B8786F8">
      <w:pPr>
        <w:keepNext/>
        <w:spacing w:line="360" w:lineRule="auto"/>
        <w:textAlignment w:val="baseline"/>
        <w:outlineLvl w:val="1"/>
        <w:rPr>
          <w:rFonts w:hint="eastAsia" w:ascii="宋体" w:hAnsi="宋体" w:eastAsia="宋体" w:cs="宋体"/>
          <w:b/>
          <w:color w:val="000000"/>
          <w:kern w:val="0"/>
          <w:sz w:val="28"/>
          <w:szCs w:val="20"/>
        </w:rPr>
      </w:pPr>
      <w:r>
        <w:rPr>
          <w:rFonts w:hint="eastAsia" w:ascii="宋体" w:hAnsi="宋体" w:eastAsia="宋体" w:cs="宋体"/>
          <w:b/>
          <w:color w:val="000000"/>
          <w:kern w:val="0"/>
          <w:sz w:val="28"/>
          <w:szCs w:val="20"/>
        </w:rPr>
        <w:t>七、对本次招标提出询问，请按以下方式联系</w:t>
      </w:r>
    </w:p>
    <w:p w14:paraId="1A64886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p>
    <w:p w14:paraId="521D3A36">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东海县农业技术推广中心</w:t>
      </w:r>
    </w:p>
    <w:p w14:paraId="6A4FFC21">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东海县牛山街道府苑路26号</w:t>
      </w:r>
    </w:p>
    <w:p w14:paraId="52E01D6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尹建国</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13851214627</w:t>
      </w:r>
    </w:p>
    <w:p w14:paraId="7DDFBBE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招标代理信息</w:t>
      </w:r>
    </w:p>
    <w:p w14:paraId="51E276FF">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连云港云建项目管理有限公司</w:t>
      </w:r>
    </w:p>
    <w:p w14:paraId="6F85C2C3">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东海县牛山镇幸福北路166号新城·水榭花都14-1-64</w:t>
      </w:r>
    </w:p>
    <w:p w14:paraId="465F14E0">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联系方式：</w:t>
      </w:r>
      <w:bookmarkStart w:id="6" w:name="_Toc35393639"/>
      <w:bookmarkStart w:id="7" w:name="_Toc28359021"/>
      <w:bookmarkStart w:id="8" w:name="_Toc35393808"/>
      <w:bookmarkStart w:id="9" w:name="_Toc28359098"/>
      <w:r>
        <w:rPr>
          <w:rFonts w:hint="eastAsia" w:ascii="宋体" w:hAnsi="宋体" w:eastAsia="宋体" w:cs="宋体"/>
          <w:sz w:val="24"/>
          <w:szCs w:val="24"/>
          <w:lang w:eastAsia="zh-CN"/>
        </w:rPr>
        <w:t>崔文杰  15150947435</w:t>
      </w:r>
    </w:p>
    <w:p w14:paraId="1148529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3.项目联系方式</w:t>
      </w:r>
      <w:bookmarkEnd w:id="6"/>
      <w:bookmarkEnd w:id="7"/>
      <w:bookmarkEnd w:id="8"/>
      <w:bookmarkEnd w:id="9"/>
    </w:p>
    <w:p w14:paraId="15E07FA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eastAsia="zh-CN"/>
        </w:rPr>
        <w:t>尹建国</w:t>
      </w:r>
      <w:r>
        <w:rPr>
          <w:rFonts w:hint="eastAsia" w:ascii="宋体" w:hAnsi="宋体" w:eastAsia="宋体" w:cs="宋体"/>
          <w:sz w:val="24"/>
          <w:szCs w:val="24"/>
        </w:rPr>
        <w:t xml:space="preserve">  </w:t>
      </w:r>
    </w:p>
    <w:p w14:paraId="7F7D63C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13851214627</w:t>
      </w:r>
    </w:p>
    <w:p w14:paraId="57A43F3A">
      <w:pPr>
        <w:keepNext/>
        <w:keepLines w:val="0"/>
        <w:pageBreakBefore w:val="0"/>
        <w:kinsoku/>
        <w:wordWrap/>
        <w:overflowPunct/>
        <w:topLinePunct w:val="0"/>
        <w:autoSpaceDE/>
        <w:autoSpaceDN/>
        <w:bidi w:val="0"/>
        <w:adjustRightInd/>
        <w:snapToGrid/>
        <w:spacing w:line="360" w:lineRule="auto"/>
        <w:textAlignment w:val="baseline"/>
        <w:outlineLvl w:val="1"/>
        <w:rPr>
          <w:rFonts w:hint="eastAsia" w:ascii="宋体" w:hAnsi="宋体" w:eastAsia="宋体" w:cs="宋体"/>
          <w:b/>
          <w:color w:val="000000"/>
          <w:kern w:val="0"/>
          <w:sz w:val="28"/>
          <w:szCs w:val="20"/>
        </w:rPr>
      </w:pPr>
      <w:r>
        <w:rPr>
          <w:rFonts w:hint="eastAsia" w:ascii="宋体" w:hAnsi="宋体" w:eastAsia="宋体" w:cs="宋体"/>
          <w:b/>
          <w:color w:val="000000"/>
          <w:kern w:val="0"/>
          <w:sz w:val="28"/>
          <w:szCs w:val="20"/>
        </w:rPr>
        <w:t>八、电子招投标说明</w:t>
      </w:r>
    </w:p>
    <w:p w14:paraId="6622B0F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http://www.ccgp-jiangsu.gov.cn/jiangsu/zlxz/ee/ee3a4bc5a3454aa2b0d9312230633ce9.html。</w:t>
      </w:r>
      <w:r>
        <w:rPr>
          <w:rFonts w:hint="eastAsia" w:ascii="宋体" w:hAnsi="宋体" w:eastAsia="宋体" w:cs="宋体"/>
          <w:sz w:val="24"/>
          <w:szCs w:val="24"/>
          <w:lang w:val="en-US" w:eastAsia="zh-CN"/>
        </w:rPr>
        <w:t>请</w:t>
      </w:r>
      <w:r>
        <w:rPr>
          <w:rFonts w:hint="eastAsia" w:ascii="宋体" w:hAnsi="宋体" w:eastAsia="宋体" w:cs="宋体"/>
          <w:sz w:val="24"/>
          <w:szCs w:val="24"/>
        </w:rPr>
        <w:t>按《操作手册》要求制作、上传电子投标文件。</w:t>
      </w:r>
    </w:p>
    <w:p w14:paraId="1888169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有关本次招标的事项若存在变动或修改，敬请及时关注</w:t>
      </w:r>
      <w:r>
        <w:rPr>
          <w:rFonts w:hint="eastAsia" w:ascii="宋体" w:hAnsi="宋体" w:eastAsia="宋体" w:cs="宋体"/>
          <w:sz w:val="24"/>
          <w:szCs w:val="24"/>
          <w:lang w:val="en-US" w:eastAsia="zh-CN"/>
        </w:rPr>
        <w:t>连云港云建项目管理有限公司</w:t>
      </w:r>
      <w:r>
        <w:rPr>
          <w:rFonts w:hint="eastAsia" w:ascii="宋体" w:hAnsi="宋体" w:eastAsia="宋体" w:cs="宋体"/>
          <w:sz w:val="24"/>
          <w:szCs w:val="24"/>
        </w:rPr>
        <w:t>在“江苏政府采购网”发布的更正公告。</w:t>
      </w:r>
    </w:p>
    <w:p w14:paraId="739F025D">
      <w:pPr>
        <w:spacing w:line="360" w:lineRule="auto"/>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连云港云建项目管理有限公司</w:t>
      </w:r>
    </w:p>
    <w:p w14:paraId="62B1C9C3">
      <w:pPr>
        <w:keepNext/>
        <w:keepLines/>
        <w:adjustRightInd w:val="0"/>
        <w:spacing w:line="360" w:lineRule="auto"/>
        <w:jc w:val="center"/>
        <w:textAlignment w:val="baseline"/>
        <w:outlineLvl w:val="0"/>
        <w:rPr>
          <w:rFonts w:hint="eastAsia" w:ascii="宋体" w:hAnsi="宋体" w:eastAsia="宋体" w:cs="宋体"/>
          <w:b/>
          <w:color w:val="000000"/>
          <w:kern w:val="44"/>
          <w:sz w:val="36"/>
          <w:szCs w:val="36"/>
        </w:rPr>
      </w:pPr>
      <w:r>
        <w:rPr>
          <w:rFonts w:hint="eastAsia" w:ascii="宋体" w:hAnsi="宋体" w:eastAsia="宋体" w:cs="宋体"/>
          <w:b/>
          <w:kern w:val="44"/>
          <w:sz w:val="36"/>
          <w:szCs w:val="20"/>
        </w:rPr>
        <w:br w:type="page"/>
      </w:r>
      <w:bookmarkStart w:id="10" w:name="_Toc10641"/>
      <w:bookmarkStart w:id="11" w:name="_Toc513622227"/>
      <w:r>
        <w:rPr>
          <w:rFonts w:hint="eastAsia" w:ascii="宋体" w:hAnsi="宋体" w:eastAsia="宋体" w:cs="宋体"/>
          <w:b/>
          <w:bCs/>
          <w:color w:val="000000"/>
          <w:kern w:val="44"/>
          <w:sz w:val="36"/>
          <w:szCs w:val="20"/>
        </w:rPr>
        <w:t>第二章  投标人须知</w:t>
      </w:r>
      <w:bookmarkEnd w:id="2"/>
      <w:bookmarkEnd w:id="3"/>
      <w:bookmarkEnd w:id="10"/>
      <w:bookmarkEnd w:id="11"/>
    </w:p>
    <w:p w14:paraId="0A830B2C">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一、总则</w:t>
      </w:r>
    </w:p>
    <w:p w14:paraId="6F4B9924">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1、采购方式</w:t>
      </w:r>
    </w:p>
    <w:p w14:paraId="5690EA7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 本次招标采取公开招标方式，本招标文件仅适用于招标公告中所述项目。</w:t>
      </w:r>
    </w:p>
    <w:p w14:paraId="494487C4">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2、合格的投标人</w:t>
      </w:r>
    </w:p>
    <w:p w14:paraId="2CF6721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 满足招标公告中申请人的资格要求的规定。</w:t>
      </w:r>
    </w:p>
    <w:p w14:paraId="3CEA184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67797B8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 满足本招标文件全部实质性要求和条件的规定。</w:t>
      </w:r>
    </w:p>
    <w:p w14:paraId="632BF0F2">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 符合上述条件的投标人应承担投标及履约过程应承担的全部责任与义务。</w:t>
      </w:r>
    </w:p>
    <w:p w14:paraId="0D5D2622">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3、适用法律</w:t>
      </w:r>
    </w:p>
    <w:p w14:paraId="2533CC2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 本次招标及由此产生的合同受中华人民共和国有关的法律法规制约和保护。</w:t>
      </w:r>
    </w:p>
    <w:p w14:paraId="44C75238">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4、投标费用</w:t>
      </w:r>
    </w:p>
    <w:p w14:paraId="14DF5079">
      <w:pPr>
        <w:keepNext w:val="0"/>
        <w:keepLines w:val="0"/>
        <w:widowControl/>
        <w:suppressLineNumbers w:val="0"/>
        <w:spacing w:line="360" w:lineRule="auto"/>
        <w:ind w:firstLine="480" w:firstLineChars="200"/>
        <w:jc w:val="left"/>
        <w:rPr>
          <w:rFonts w:hint="eastAsia" w:ascii="宋体" w:hAnsi="宋体" w:eastAsia="宋体" w:cs="宋体"/>
          <w:szCs w:val="22"/>
        </w:rPr>
      </w:pPr>
      <w:r>
        <w:rPr>
          <w:rFonts w:hint="eastAsia" w:ascii="宋体" w:hAnsi="宋体" w:eastAsia="宋体" w:cs="宋体"/>
          <w:color w:val="000000"/>
          <w:kern w:val="0"/>
          <w:sz w:val="24"/>
          <w:szCs w:val="24"/>
          <w:lang w:val="en-US" w:eastAsia="zh-CN" w:bidi="ar"/>
        </w:rPr>
        <w:t xml:space="preserve">4.1无论投标过程中的作法和结果如何，投标人自行承担所有与参加投标有关的全部费用。 </w:t>
      </w:r>
    </w:p>
    <w:p w14:paraId="581684B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4.2</w:t>
      </w:r>
      <w:r>
        <w:rPr>
          <w:rFonts w:hint="eastAsia" w:ascii="宋体" w:hAnsi="宋体" w:eastAsia="宋体" w:cs="宋体"/>
          <w:color w:val="000000"/>
          <w:kern w:val="0"/>
          <w:sz w:val="24"/>
          <w:szCs w:val="24"/>
          <w:lang w:val="en-US" w:eastAsia="zh-CN" w:bidi="ar"/>
        </w:rPr>
        <w:t xml:space="preserve">本次招标采购代理服务费用按“苏招协[2022]002 号文关于印发《江苏省招标代理服务收费的指导意见》的通知”收费标准计取；请各投标人报价时综合考虑以上费用，不得单列，涉及本次采购的其他费用，按相关规定执行。 </w:t>
      </w:r>
    </w:p>
    <w:p w14:paraId="2D7A0DC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4.3评审费用按实际发生支付。</w:t>
      </w:r>
    </w:p>
    <w:p w14:paraId="2CBB5D2D">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5、招标文件的约束力</w:t>
      </w:r>
    </w:p>
    <w:p w14:paraId="055994C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 投标人一旦参与本项目采购活动，即被认为接受了本招标文件的规定和约束。</w:t>
      </w:r>
    </w:p>
    <w:p w14:paraId="6CFB44B5">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二、招标文件</w:t>
      </w:r>
    </w:p>
    <w:p w14:paraId="71F2C6A0">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6、招标文件的构成</w:t>
      </w:r>
    </w:p>
    <w:p w14:paraId="02CC200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 招标文件由以下部分构成：</w:t>
      </w:r>
    </w:p>
    <w:p w14:paraId="39A7D7B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（1）投标邀请</w:t>
      </w:r>
    </w:p>
    <w:p w14:paraId="0D57D5B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（2）投标人须知</w:t>
      </w:r>
    </w:p>
    <w:p w14:paraId="080AE75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（3）合同文本</w:t>
      </w:r>
    </w:p>
    <w:p w14:paraId="1E82434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投标文件格式</w:t>
      </w:r>
    </w:p>
    <w:p w14:paraId="13FABE7C">
      <w:pPr>
        <w:spacing w:line="5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合同专用条款</w:t>
      </w:r>
    </w:p>
    <w:p w14:paraId="45BEB0DD">
      <w:pPr>
        <w:spacing w:line="5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采购需求</w:t>
      </w:r>
    </w:p>
    <w:p w14:paraId="4E1B2856">
      <w:pPr>
        <w:numPr>
          <w:ilvl w:val="0"/>
          <w:numId w:val="2"/>
        </w:num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评标方法与评标标准</w:t>
      </w:r>
    </w:p>
    <w:p w14:paraId="0A2A75C0">
      <w:pPr>
        <w:numPr>
          <w:ilvl w:val="0"/>
          <w:numId w:val="2"/>
        </w:num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请仔细检查招标文件是否齐全，如有缺漏请立即与</w:t>
      </w:r>
      <w:r>
        <w:rPr>
          <w:rFonts w:hint="eastAsia" w:ascii="宋体" w:hAnsi="宋体" w:eastAsia="宋体" w:cs="宋体"/>
          <w:sz w:val="24"/>
          <w:szCs w:val="24"/>
          <w:lang w:eastAsia="zh-CN"/>
        </w:rPr>
        <w:t>代理机构</w:t>
      </w:r>
      <w:r>
        <w:rPr>
          <w:rFonts w:hint="eastAsia" w:ascii="宋体" w:hAnsi="宋体" w:eastAsia="宋体" w:cs="宋体"/>
          <w:sz w:val="24"/>
          <w:szCs w:val="24"/>
        </w:rPr>
        <w:t>联系解决。</w:t>
      </w:r>
    </w:p>
    <w:p w14:paraId="2EA0E05E">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7、招标文件的澄清</w:t>
      </w:r>
    </w:p>
    <w:p w14:paraId="63C8176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 任何要求对招标文件进行澄清的投标人，应在投标截止时间十日前按招标公告中的通讯地址，以书面形式通知采购人或者</w:t>
      </w:r>
      <w:r>
        <w:rPr>
          <w:rFonts w:hint="eastAsia" w:ascii="宋体" w:hAnsi="宋体" w:eastAsia="宋体" w:cs="宋体"/>
          <w:sz w:val="24"/>
          <w:szCs w:val="24"/>
          <w:lang w:eastAsia="zh-CN"/>
        </w:rPr>
        <w:t>代理机构</w:t>
      </w:r>
      <w:r>
        <w:rPr>
          <w:rFonts w:hint="eastAsia" w:ascii="宋体" w:hAnsi="宋体" w:eastAsia="宋体" w:cs="宋体"/>
          <w:sz w:val="24"/>
          <w:szCs w:val="24"/>
        </w:rPr>
        <w:t>。</w:t>
      </w:r>
    </w:p>
    <w:p w14:paraId="28410CB7">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8、招标文件的修改</w:t>
      </w:r>
    </w:p>
    <w:p w14:paraId="3208991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8.1 在投标截止时间前，采购人和</w:t>
      </w:r>
      <w:r>
        <w:rPr>
          <w:rFonts w:hint="eastAsia" w:ascii="宋体" w:hAnsi="宋体" w:eastAsia="宋体" w:cs="宋体"/>
          <w:sz w:val="24"/>
          <w:szCs w:val="24"/>
          <w:lang w:eastAsia="zh-CN"/>
        </w:rPr>
        <w:t>代理机构</w:t>
      </w:r>
      <w:r>
        <w:rPr>
          <w:rFonts w:hint="eastAsia" w:ascii="宋体" w:hAnsi="宋体" w:eastAsia="宋体" w:cs="宋体"/>
          <w:sz w:val="24"/>
          <w:szCs w:val="24"/>
        </w:rPr>
        <w:t>可以对招标文件进行修改。</w:t>
      </w:r>
    </w:p>
    <w:p w14:paraId="7A88058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采购人和</w:t>
      </w:r>
      <w:r>
        <w:rPr>
          <w:rFonts w:hint="eastAsia" w:ascii="宋体" w:hAnsi="宋体" w:eastAsia="宋体" w:cs="宋体"/>
          <w:sz w:val="24"/>
          <w:szCs w:val="24"/>
          <w:lang w:eastAsia="zh-CN"/>
        </w:rPr>
        <w:t>代理机构</w:t>
      </w:r>
      <w:r>
        <w:rPr>
          <w:rFonts w:hint="eastAsia" w:ascii="宋体" w:hAnsi="宋体" w:eastAsia="宋体" w:cs="宋体"/>
          <w:sz w:val="24"/>
          <w:szCs w:val="24"/>
        </w:rPr>
        <w:t>有权按照法定的要求推迟投标截止时间和开标时间。</w:t>
      </w:r>
    </w:p>
    <w:p w14:paraId="28265BF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8.3 招标文件的修改将在江苏政府采购网公布，补充文件将作为招标文件的组成部分，并对投标人具有约束力。</w:t>
      </w:r>
    </w:p>
    <w:p w14:paraId="016ABBBD">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三、投标文件编制</w:t>
      </w:r>
    </w:p>
    <w:p w14:paraId="27479195">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9、投标文件编写注意事项</w:t>
      </w:r>
    </w:p>
    <w:p w14:paraId="137005D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9.1 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4921177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9.2 对招标文件提出的实质性要求和条件作出响应是指投标人必须对招标文件中标明实质性要求和条件的技术参数及性能配置、数量、价格、售后服务、合同主要条款及其它要求等内容逐条作出满足原要求和条件的响应。</w:t>
      </w:r>
    </w:p>
    <w:p w14:paraId="392CE291">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10、投标文件的语言及度量衡单位</w:t>
      </w:r>
    </w:p>
    <w:p w14:paraId="3ACCAE3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10.1 除专用术语外，投标人提交的投标文件以及投标人与采购人和</w:t>
      </w:r>
      <w:r>
        <w:rPr>
          <w:rFonts w:hint="eastAsia" w:ascii="宋体" w:hAnsi="宋体" w:eastAsia="宋体" w:cs="宋体"/>
          <w:sz w:val="24"/>
          <w:szCs w:val="24"/>
          <w:lang w:eastAsia="zh-CN"/>
        </w:rPr>
        <w:t>代理机构</w:t>
      </w:r>
      <w:r>
        <w:rPr>
          <w:rFonts w:hint="eastAsia" w:ascii="宋体" w:hAnsi="宋体" w:eastAsia="宋体" w:cs="宋体"/>
          <w:sz w:val="24"/>
          <w:szCs w:val="24"/>
        </w:rPr>
        <w:t>就有关投标的所有来往通知、函件和文件均应使用简体中文。必要时专用术语应附有中文解释。投标人提交的支持资料和已印制的文献可以使用外文，但相应内容应附有中文翻译本，在解释投标文件时以中文翻译本为准。未附中文翻译本或翻译本中文内容明显与外文内容不一致的，其不利后果由投标人自行承担。</w:t>
      </w:r>
    </w:p>
    <w:p w14:paraId="3E89FE7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10.2 除技术性能另有规定外，投标文件所使用的度量衡单位，均须采用国家法定计量单位。</w:t>
      </w:r>
    </w:p>
    <w:p w14:paraId="0C19B7E7">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11、投标文件的构成</w:t>
      </w:r>
    </w:p>
    <w:p w14:paraId="08378BC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投标人编写的投标文件应包括资格证明文件、符合性证明文件、投标分项报价表、技术要求响应及偏离表、商务要求响应及偏离表、其他证明文件、投标函、开标一览表等部分。</w:t>
      </w:r>
    </w:p>
    <w:p w14:paraId="0A03456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 如投标文件制作工具中格式和内容与江苏政府采购网发布的招标文件不一致，请以江苏政府采购网发布的招标文件为准。</w:t>
      </w:r>
    </w:p>
    <w:p w14:paraId="4376049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 特别提醒投标人，混乱的编排导致投标文件被误读或评标委员会（以下简称评委会）查找不到有效文件是投标人的风险。</w:t>
      </w:r>
    </w:p>
    <w:p w14:paraId="551058AB">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12、证明投标人及投标标的符合招标文件规定的文件</w:t>
      </w:r>
    </w:p>
    <w:p w14:paraId="0D2C566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投标人应按照招标文件要求提交证明文件，证明其及投标标的符合招标文件规定。</w:t>
      </w:r>
    </w:p>
    <w:p w14:paraId="22064FC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12.2 招标文件对证明文件无明确形式要求的，证明文件可以以文字资料、图纸和数据等形式提交。</w:t>
      </w:r>
    </w:p>
    <w:p w14:paraId="188C5E5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 投标人委托代理时应当提交授权委托书，请按招标文件第</w:t>
      </w:r>
      <w:r>
        <w:rPr>
          <w:rFonts w:hint="eastAsia" w:ascii="宋体" w:hAnsi="宋体" w:eastAsia="宋体" w:cs="宋体"/>
          <w:sz w:val="24"/>
          <w:szCs w:val="24"/>
          <w:lang w:val="en-US" w:eastAsia="zh-CN"/>
        </w:rPr>
        <w:t>四</w:t>
      </w:r>
      <w:r>
        <w:rPr>
          <w:rFonts w:hint="eastAsia" w:ascii="宋体" w:hAnsi="宋体" w:eastAsia="宋体" w:cs="宋体"/>
          <w:sz w:val="24"/>
          <w:szCs w:val="24"/>
        </w:rPr>
        <w:t>章给定格式及要求填写并附法定代表人（单位负责人）与委托代理人身份证明。</w:t>
      </w:r>
    </w:p>
    <w:p w14:paraId="2B9FB9B1">
      <w:pPr>
        <w:keepNext/>
        <w:keepLines/>
        <w:widowControl w:val="0"/>
        <w:spacing w:before="0" w:after="0" w:line="360" w:lineRule="auto"/>
        <w:ind w:firstLine="562" w:firstLineChars="200"/>
        <w:jc w:val="left"/>
        <w:outlineLvl w:val="2"/>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28"/>
          <w:szCs w:val="28"/>
          <w:lang w:val="en-US" w:eastAsia="zh-CN" w:bidi="ar-SA"/>
        </w:rPr>
        <w:t>13、投标分项报价表</w:t>
      </w:r>
    </w:p>
    <w:p w14:paraId="53A3A00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投标报价指货物（标的）的报价和标准附件、备品备件、专用工具、运输、装卸、验收合格所需的各种费用及必要的保险费用和各项税金等所有费用的总和。投标报价为现场交货价，投标报价必须含以下部分：</w:t>
      </w:r>
    </w:p>
    <w:p w14:paraId="6CB85E8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（1）投标的货物总价；</w:t>
      </w:r>
    </w:p>
    <w:p w14:paraId="2DDCB91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（2）货物的标准附件、备品备件、专用工具、运输、装卸等各种费用；</w:t>
      </w:r>
    </w:p>
    <w:p w14:paraId="2E29D0F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（3）必要的保险费用和各项税金；</w:t>
      </w:r>
    </w:p>
    <w:p w14:paraId="1B05902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（4）投标总价要求包含安装维保费用。</w:t>
      </w:r>
    </w:p>
    <w:p w14:paraId="6E557DF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投标人应根据投标报价要求在投标分项报价表中列明各项投标单价、总价等，未全部列示的作无效响应处理。</w:t>
      </w:r>
    </w:p>
    <w:p w14:paraId="74F857F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13.3 投标文件中的单价和总价无特殊规定的采用人民币报价，以元为单位标注。招标文件中另有规定的按规定执行。</w:t>
      </w:r>
    </w:p>
    <w:p w14:paraId="36202E85">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14、技术要求响应及偏离表、商务要求响应及偏离表</w:t>
      </w:r>
    </w:p>
    <w:p w14:paraId="00CF645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投标人应对招标文件中的技术要求与商务要求逐项作出响应或偏离。</w:t>
      </w:r>
    </w:p>
    <w:p w14:paraId="3C1FE96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投标人可在投标文件中提供认为需要的其他技术文件或说明。</w:t>
      </w:r>
    </w:p>
    <w:p w14:paraId="1D185C9B">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15、服务承诺、培训计划、人员安排及其他</w:t>
      </w:r>
    </w:p>
    <w:p w14:paraId="54A764F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15.1 投标人应根据招标文件要求提供有关售后服务的管理制度，售后服务机构的分布情况，售后服务人员的数量、素质、技术水平及售后服务的反应能力等。</w:t>
      </w:r>
    </w:p>
    <w:p w14:paraId="1BDD056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15.2 投标人应根据招标文件要求提供培训计划、人员安排等。</w:t>
      </w:r>
    </w:p>
    <w:p w14:paraId="5039278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投标人应根据招标文件要求提供所投标的的主要组成部分、功能设计、实现思路及关键技术等。</w:t>
      </w:r>
    </w:p>
    <w:p w14:paraId="61394729">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16、投标函和开标一览表</w:t>
      </w:r>
    </w:p>
    <w:p w14:paraId="7EB1711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 投标人应按照招标文件提供的格式完整、正确填写投标函、开标一览表。</w:t>
      </w:r>
    </w:p>
    <w:p w14:paraId="41A50EE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 对于采用货币报价的项目，开标一览表中的投标总报价应与投标分项报价表中的投标总报价一致，如不一致，不作无效投标处理，但评标时以开标一览表中价格为准。</w:t>
      </w:r>
    </w:p>
    <w:p w14:paraId="31617986">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17、投标有效期</w:t>
      </w:r>
    </w:p>
    <w:p w14:paraId="260CDD3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投标有效期为招标文件规定的开标之日后六十（60）天。投标有效期比规定短的将被视为未实质性响应招标文件而予以拒绝。</w:t>
      </w:r>
    </w:p>
    <w:p w14:paraId="6DC36A7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在特殊情况下，</w:t>
      </w:r>
      <w:r>
        <w:rPr>
          <w:rFonts w:hint="eastAsia" w:ascii="宋体" w:hAnsi="宋体" w:eastAsia="宋体" w:cs="宋体"/>
          <w:sz w:val="24"/>
          <w:szCs w:val="24"/>
          <w:lang w:eastAsia="zh-CN"/>
        </w:rPr>
        <w:t>代理机构</w:t>
      </w:r>
      <w:r>
        <w:rPr>
          <w:rFonts w:hint="eastAsia" w:ascii="宋体" w:hAnsi="宋体" w:eastAsia="宋体" w:cs="宋体"/>
          <w:sz w:val="24"/>
          <w:szCs w:val="24"/>
        </w:rPr>
        <w:t>于原投标有效期满之前，可向投标人提出延长投标有效期的要求。这种要求与答复均应采用书面形式。投标人可以拒绝</w:t>
      </w:r>
      <w:r>
        <w:rPr>
          <w:rFonts w:hint="eastAsia" w:ascii="宋体" w:hAnsi="宋体" w:eastAsia="宋体" w:cs="宋体"/>
          <w:sz w:val="24"/>
          <w:szCs w:val="24"/>
          <w:lang w:eastAsia="zh-CN"/>
        </w:rPr>
        <w:t>代理机构</w:t>
      </w:r>
      <w:r>
        <w:rPr>
          <w:rFonts w:hint="eastAsia" w:ascii="宋体" w:hAnsi="宋体" w:eastAsia="宋体" w:cs="宋体"/>
          <w:sz w:val="24"/>
          <w:szCs w:val="24"/>
        </w:rPr>
        <w:t>的这一要求而放弃投标，同意延长投标有效期的投标人既不能要求也不允许修改其投标文件。受投标有效期约束的所有权利与义务均延长至新的有效期。</w:t>
      </w:r>
    </w:p>
    <w:p w14:paraId="2843B713">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四、投标文件递交</w:t>
      </w:r>
    </w:p>
    <w:p w14:paraId="4D122A45">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18、电子投标文件的递交</w:t>
      </w:r>
    </w:p>
    <w:p w14:paraId="7D65A1B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投标人应当按照《操作手册》规定，在投标截止时间前制作并递交（上传）电子投标文件。</w:t>
      </w:r>
    </w:p>
    <w:p w14:paraId="28B5DF8D">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19、投标截止时间</w:t>
      </w:r>
    </w:p>
    <w:p w14:paraId="36BFE63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19.1 投标人递交（上传）电子投标文件的时间不得迟于招标公告中规定的投标截止时间。</w:t>
      </w:r>
    </w:p>
    <w:p w14:paraId="2B83FA7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投标人应充分考虑计算机硬件、软件及网络环境等风险因素，如因投标人自身原因造成电子投标文件递交（上传）不成功的按照本招标文件第二章第27.1条规定作无效投标处理。</w:t>
      </w:r>
    </w:p>
    <w:p w14:paraId="506CDEF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19.2 采购人和</w:t>
      </w:r>
      <w:r>
        <w:rPr>
          <w:rFonts w:hint="eastAsia" w:ascii="宋体" w:hAnsi="宋体" w:eastAsia="宋体" w:cs="宋体"/>
          <w:sz w:val="24"/>
          <w:szCs w:val="24"/>
          <w:lang w:eastAsia="zh-CN"/>
        </w:rPr>
        <w:t>代理机构</w:t>
      </w:r>
      <w:r>
        <w:rPr>
          <w:rFonts w:hint="eastAsia" w:ascii="宋体" w:hAnsi="宋体" w:eastAsia="宋体" w:cs="宋体"/>
          <w:sz w:val="24"/>
          <w:szCs w:val="24"/>
        </w:rPr>
        <w:t>可以按照规定，通过修改招标文件酌情延长投标截止时间，在此情况下，投标人的所有权利和义务以及投标人受制的截止时间均应以延长后新的截止时间为准。</w:t>
      </w:r>
    </w:p>
    <w:p w14:paraId="4D0EA261">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20、投标文件的拒收</w:t>
      </w:r>
    </w:p>
    <w:p w14:paraId="5614809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eastAsia="zh-CN"/>
        </w:rPr>
        <w:t>代理机构</w:t>
      </w:r>
      <w:r>
        <w:rPr>
          <w:rFonts w:hint="eastAsia" w:ascii="宋体" w:hAnsi="宋体" w:eastAsia="宋体" w:cs="宋体"/>
          <w:sz w:val="24"/>
          <w:szCs w:val="24"/>
        </w:rPr>
        <w:t>拒绝接收在招标文件规定的投标截止时间后递交（上传）的任何投标文件。</w:t>
      </w:r>
    </w:p>
    <w:p w14:paraId="28358831">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21、投标文件的撤回和修改</w:t>
      </w:r>
    </w:p>
    <w:p w14:paraId="20629D0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21.1 投标人可在投标截止时间前，撤回其电子投标文件，具体操作方法见《操作手册》。投标人撤回电子投标文件的，则认为其不再参与本项目采购活动。</w:t>
      </w:r>
    </w:p>
    <w:p w14:paraId="7709F8E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21.2 投标人可在投标截止时间前，对其电子投标文件进行修改，具体操作方法见《操作手册》。在投标截止时间之后，投标人不得对其电子投标文件做任何修改。</w:t>
      </w:r>
    </w:p>
    <w:p w14:paraId="07C2F0E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21.3 在投标截止时间至招标文件规定的投标有效期满之间的这段时间内，投标人不得撤回其投标。</w:t>
      </w:r>
    </w:p>
    <w:p w14:paraId="0E54A56F">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五、开标与评标</w:t>
      </w:r>
    </w:p>
    <w:p w14:paraId="177E3546">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22、开标</w:t>
      </w:r>
    </w:p>
    <w:p w14:paraId="18ADF38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22.1 </w:t>
      </w:r>
      <w:r>
        <w:rPr>
          <w:rFonts w:hint="eastAsia" w:ascii="宋体" w:hAnsi="宋体" w:eastAsia="宋体" w:cs="宋体"/>
          <w:sz w:val="24"/>
          <w:szCs w:val="24"/>
          <w:lang w:eastAsia="zh-CN"/>
        </w:rPr>
        <w:t>代理机构</w:t>
      </w:r>
      <w:r>
        <w:rPr>
          <w:rFonts w:hint="eastAsia" w:ascii="宋体" w:hAnsi="宋体" w:eastAsia="宋体" w:cs="宋体"/>
          <w:sz w:val="24"/>
          <w:szCs w:val="24"/>
        </w:rPr>
        <w:t>将在招标公告中规定的时间和地点组织公开开标。投标人应当按时参加开标活动，并在“苏采云”系统规定的时间内对其投标文件进行解密。</w:t>
      </w:r>
    </w:p>
    <w:p w14:paraId="4005742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22.2 开标仪式由</w:t>
      </w:r>
      <w:r>
        <w:rPr>
          <w:rFonts w:hint="eastAsia" w:ascii="宋体" w:hAnsi="宋体" w:eastAsia="宋体" w:cs="宋体"/>
          <w:sz w:val="24"/>
          <w:szCs w:val="24"/>
          <w:lang w:eastAsia="zh-CN"/>
        </w:rPr>
        <w:t>代理机构</w:t>
      </w:r>
      <w:r>
        <w:rPr>
          <w:rFonts w:hint="eastAsia" w:ascii="宋体" w:hAnsi="宋体" w:eastAsia="宋体" w:cs="宋体"/>
          <w:sz w:val="24"/>
          <w:szCs w:val="24"/>
        </w:rPr>
        <w:t>组织。“苏采云”系统将自动对项目进行开标，并宣布各投标人名称和投标价格。</w:t>
      </w:r>
    </w:p>
    <w:p w14:paraId="5A58ECD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 投标人在开标过程中涉及到的投标文件解密、开标结果确认等工作，应当按照《操作手册》规定执行。</w:t>
      </w:r>
    </w:p>
    <w:p w14:paraId="5D7B6ED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 投标人如果对开标过程和开标记录有疑义，应当按照《操作手册》规定提出，未在“苏采云”系统《开标记录表》宣布后5分钟内提出的，视同认可开标结果。</w:t>
      </w:r>
    </w:p>
    <w:p w14:paraId="7783124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22.5 投标人未参加开标的，视同认可开标结果。</w:t>
      </w:r>
    </w:p>
    <w:p w14:paraId="10C6566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22.6 投标人在开标、评标全过程中应保持通讯畅通，及时登录“苏采云”系统查阅、答复相关信息，并安排专人与</w:t>
      </w:r>
      <w:r>
        <w:rPr>
          <w:rFonts w:hint="eastAsia" w:ascii="宋体" w:hAnsi="宋体" w:eastAsia="宋体" w:cs="宋体"/>
          <w:sz w:val="24"/>
          <w:szCs w:val="24"/>
          <w:lang w:eastAsia="zh-CN"/>
        </w:rPr>
        <w:t>代理机构</w:t>
      </w:r>
      <w:r>
        <w:rPr>
          <w:rFonts w:hint="eastAsia" w:ascii="宋体" w:hAnsi="宋体" w:eastAsia="宋体" w:cs="宋体"/>
          <w:sz w:val="24"/>
          <w:szCs w:val="24"/>
        </w:rPr>
        <w:t>及评委会联系。</w:t>
      </w:r>
    </w:p>
    <w:p w14:paraId="1D6F2850">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23、评标委员会</w:t>
      </w:r>
    </w:p>
    <w:p w14:paraId="475C2A9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23.1 开标后，</w:t>
      </w:r>
      <w:r>
        <w:rPr>
          <w:rFonts w:hint="eastAsia" w:ascii="宋体" w:hAnsi="宋体" w:eastAsia="宋体" w:cs="宋体"/>
          <w:sz w:val="24"/>
          <w:szCs w:val="24"/>
          <w:lang w:eastAsia="zh-CN"/>
        </w:rPr>
        <w:t>代理机构</w:t>
      </w:r>
      <w:r>
        <w:rPr>
          <w:rFonts w:hint="eastAsia" w:ascii="宋体" w:hAnsi="宋体" w:eastAsia="宋体" w:cs="宋体"/>
          <w:sz w:val="24"/>
          <w:szCs w:val="24"/>
        </w:rPr>
        <w:t>将组织评委会进行评标。</w:t>
      </w:r>
    </w:p>
    <w:p w14:paraId="486B1EB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23.2 评委会由采购人代表和有关技术、经济等方面的评审专家组成，且人员构成符合政府采购有关规定。</w:t>
      </w:r>
    </w:p>
    <w:p w14:paraId="05269A4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23.3 评委会按照采购文件规定的评审程序、评审方法和评审标准进行独立评审并确定中标候选人。</w:t>
      </w:r>
    </w:p>
    <w:p w14:paraId="037FC7EC">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24、评标过程的保密与公正</w:t>
      </w:r>
    </w:p>
    <w:p w14:paraId="293C3B3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24.1 凡是与审查、澄清、评价和比较投标的有关资料以及授标建议等，采购人、评审专家、</w:t>
      </w:r>
      <w:r>
        <w:rPr>
          <w:rFonts w:hint="eastAsia" w:ascii="宋体" w:hAnsi="宋体" w:eastAsia="宋体" w:cs="宋体"/>
          <w:sz w:val="24"/>
          <w:szCs w:val="24"/>
          <w:lang w:eastAsia="zh-CN"/>
        </w:rPr>
        <w:t>代理机构</w:t>
      </w:r>
      <w:r>
        <w:rPr>
          <w:rFonts w:hint="eastAsia" w:ascii="宋体" w:hAnsi="宋体" w:eastAsia="宋体" w:cs="宋体"/>
          <w:sz w:val="24"/>
          <w:szCs w:val="24"/>
        </w:rPr>
        <w:t>均不得向投标人或与评标无关的其他人员透露。</w:t>
      </w:r>
    </w:p>
    <w:p w14:paraId="67F3F84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24.2 在评标过程中，投标人不得以任何行为影响评标过程，否则其投标文件将被作为无效投标文件。</w:t>
      </w:r>
    </w:p>
    <w:p w14:paraId="7D0B0A7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24.3 </w:t>
      </w:r>
      <w:r>
        <w:rPr>
          <w:rFonts w:hint="eastAsia" w:ascii="宋体" w:hAnsi="宋体" w:eastAsia="宋体" w:cs="宋体"/>
          <w:sz w:val="24"/>
          <w:szCs w:val="24"/>
          <w:lang w:eastAsia="zh-CN"/>
        </w:rPr>
        <w:t>代理机构</w:t>
      </w:r>
      <w:r>
        <w:rPr>
          <w:rFonts w:hint="eastAsia" w:ascii="宋体" w:hAnsi="宋体" w:eastAsia="宋体" w:cs="宋体"/>
          <w:sz w:val="24"/>
          <w:szCs w:val="24"/>
        </w:rPr>
        <w:t>和评委会不向未中标的投标人解释未中标原因，也不公布评标过程中的相关细节。</w:t>
      </w:r>
    </w:p>
    <w:p w14:paraId="1006F48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24.4 采用综合评分法的项目，未中标的投标人可于中标结果公告期限届满之日起通过“苏采云”系统查看自己的评审得分及排序情况。</w:t>
      </w:r>
    </w:p>
    <w:p w14:paraId="04E983CB">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25、投标文件的澄清</w:t>
      </w:r>
    </w:p>
    <w:p w14:paraId="67DAB19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25.1 评标期间，评委会对投标文件中含义不明确、同类问题表述不一致或者有明显文字和计算错误的内容，有权要求投标人作出必要的澄清、说明或者补正。</w:t>
      </w:r>
    </w:p>
    <w:p w14:paraId="2D30DED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投标人的澄清、说明或者补正应当采用书面形式，并加盖公章，或者由法定代表人（单位负责人）或其授权的代表签字。投标人的澄清、说明或者补正不得超出投标文件的范围或者改变投标文件的实质性内容。</w:t>
      </w:r>
    </w:p>
    <w:p w14:paraId="43E20D7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评委会并非对每个投标人都提出澄清、说明或者补正要求。</w:t>
      </w:r>
    </w:p>
    <w:p w14:paraId="03EA170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25.2 需要供应商进行澄清、说明或者补正的，评委会将通过“苏采云”系统向供应商发出“澄清要求函”，接到“澄清要求函”的投标人应当按照要求在“苏采云”系统中提交“澄清响应函”，并加盖CA电子公章。澄清、说明或者补正的内容作为投标文件的补充部分，具体操作方法见《操作手册》。</w:t>
      </w:r>
    </w:p>
    <w:p w14:paraId="6854442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25.3 接到评委会澄清、说明或者补正要求的投标人如未按要求响应，其风险由投标人自行承担。</w:t>
      </w:r>
    </w:p>
    <w:p w14:paraId="0958D4A8">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26、对投标文件的初审</w:t>
      </w:r>
    </w:p>
    <w:p w14:paraId="4DFD992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26.1 投标文件初审分为资格审查和符合性审查。</w:t>
      </w:r>
    </w:p>
    <w:p w14:paraId="3D61E0C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（1）资格审查：采购人依据法律法规和招标文件的规定，对投标文件中的资格证明文件进行审查。资格审查的结论，采购人以书面形式向评委会进行反馈。</w:t>
      </w:r>
    </w:p>
    <w:p w14:paraId="08236F7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采购人在进行资格审查的同时，将在信用中国网站（www.creditchina.gov.cn）、中国政府采购网（www.ccgp.gov.cn）查询投标人的信用记录，以确定投标人是否具备投标资格，查询结果留存并归档。</w:t>
      </w:r>
    </w:p>
    <w:p w14:paraId="252F200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5639F8D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（2）符合性审查：评委会依据招标文件的规定，从投标文件的有效性、完整性和对招标文件的响应程度进行审查，以确定其是否对招标文件的全部实质性要求作出响应。</w:t>
      </w:r>
    </w:p>
    <w:p w14:paraId="4006DF0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未通过资格审查或符合性审查的投标人，将通过“苏采云”系统中告知其未通过的原因，评审结束后，将不再告知。</w:t>
      </w:r>
    </w:p>
    <w:p w14:paraId="5326172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26.2 在详细评标之前，评委会将首先审查每份投标文件是否实质性响应了招标文件的要求。实质性响应的投标应当是与招标文件要求的全部条款、条件和规格相符，没有重大偏离或保留的投标。</w:t>
      </w:r>
    </w:p>
    <w:p w14:paraId="32A2ACC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所谓重大偏离或保留是指与招标文件规定的实质性要求存在负偏离，或者在实质上与招标文件不一致，而且限制了合同中买方和</w:t>
      </w:r>
      <w:r>
        <w:rPr>
          <w:rFonts w:hint="eastAsia" w:ascii="宋体" w:hAnsi="宋体" w:eastAsia="宋体" w:cs="宋体"/>
          <w:sz w:val="24"/>
          <w:szCs w:val="24"/>
          <w:lang w:eastAsia="zh-CN"/>
        </w:rPr>
        <w:t>代理机构</w:t>
      </w:r>
      <w:r>
        <w:rPr>
          <w:rFonts w:hint="eastAsia" w:ascii="宋体" w:hAnsi="宋体" w:eastAsia="宋体" w:cs="宋体"/>
          <w:sz w:val="24"/>
          <w:szCs w:val="24"/>
        </w:rPr>
        <w:t>的权利或投标人的义务，纠正这些偏离或保留将会对其他实质性响应要求的投标人的竞争地位产生不公正的影响。重大偏离的认定须经过评委会以少数服从多数的原则作出结论。评委会决定投标文件的响应性只根据投标文件本身的内容，而不寻求外部的证据。</w:t>
      </w:r>
    </w:p>
    <w:p w14:paraId="66B24EE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26.3 如果投标文件实质上没有响应招标文件的要求，评委会将予以拒绝，投标人不得通过修改或撤销不符合要求的偏离或保留而使其投标成为实质性响应的投标。</w:t>
      </w:r>
    </w:p>
    <w:p w14:paraId="1A73FB5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26.4 评委会将对确定为实质性响应的投标进行进一步审核，看其是否有计算上或累加上的算术错误，修正错误的原则如下：</w:t>
      </w:r>
    </w:p>
    <w:p w14:paraId="419FB00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14:paraId="0D57FCD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047D2992">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14:paraId="26DA337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14:paraId="3F7C825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同时出现两种以上错误的，按照前款规定的顺序修正。</w:t>
      </w:r>
    </w:p>
    <w:p w14:paraId="21321C8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26.5 评委会将按上述修正错误的方法调整投标文件中的投标报价，并通过“苏采云”系统告知投标人，调整后的价格对投标人具有约束力。如果投标人不接受修正后的价格，则其投标将被拒绝。</w:t>
      </w:r>
    </w:p>
    <w:p w14:paraId="12A17E1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26.6 采用最低评标价法的采购项目，提供相同品牌产品的不同投标人参加同一合同项下投标的，以其中通过资格审查、符合性审查且报价最低的参加评标；报价相同的，由评委会按照招标文件规定的方式确定一个参加评标的投标人，招标文件未规定的采取随机抽取方式确定，其他投标无效。</w:t>
      </w:r>
    </w:p>
    <w:p w14:paraId="1825640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评委会按照招标文件规定的方式确定一个投标人获得中标人推荐资格，招标文件未规定的采取随机抽取方式确定，其他同品牌投标人不作为中标候选人。</w:t>
      </w:r>
    </w:p>
    <w:p w14:paraId="5DCF664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非单一产品采购项目，招标文件中将载明核心产品。多家投标人提供的核心产品品牌相同的，按前两款规定处理。</w:t>
      </w:r>
    </w:p>
    <w:p w14:paraId="79D9D838">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27、无效投标条款和废标条款</w:t>
      </w:r>
    </w:p>
    <w:p w14:paraId="2B04C192">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27.1 无效投标条款：</w:t>
      </w:r>
    </w:p>
    <w:p w14:paraId="523D86A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（1）投标人未按照招标文件要求递交（上传）电子投标文件的。</w:t>
      </w:r>
    </w:p>
    <w:p w14:paraId="7C6E40A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（2）投标人在“苏采云”系统规定的时间内未成功解密电子投标文件的。</w:t>
      </w:r>
    </w:p>
    <w:p w14:paraId="23728C2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（3）投标人不具备招标文件中规定的资格要求的。</w:t>
      </w:r>
    </w:p>
    <w:p w14:paraId="6995287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投标人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05999E3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（5）投标人提交两个（含两个）以上不同的投标报价的。</w:t>
      </w:r>
    </w:p>
    <w:p w14:paraId="3EF8417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（6）投标人的报价超过了采购预算或者最高限价的。</w:t>
      </w:r>
    </w:p>
    <w:p w14:paraId="7986446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评委会认为投标人的报价明显低于其他通过符合性审查投标人的报价，有可能影响产品质量或者不能诚信履约，将通过“苏采云”系统要求其在合理的时间内提供说明，必要时提交相关证明材料，投标人不能证明其报价合理性的。</w:t>
      </w:r>
    </w:p>
    <w:p w14:paraId="2A1FAC0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（8）不符合招标文件规定的实质性要求和条件的。（本招标文件中斜体且有下划线部分为实质性要求和条件）</w:t>
      </w:r>
    </w:p>
    <w:p w14:paraId="436C1DC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本项目采购产品（如有）被财政部、国家发改委、生态环境部等列入“节能产品品目清单”“环境标志产品品目清单”强制采购范围，而投标人投标产品不在强制采购范围内或者未按要求提供国家确定的认证机构出具的、处于有效期之内的节能产品认证证书的。</w:t>
      </w:r>
    </w:p>
    <w:p w14:paraId="59EB8C2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（10）投标人未通过符合性审查的。</w:t>
      </w:r>
    </w:p>
    <w:p w14:paraId="0AB2B80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（11）投标文件含有采购人不能接受的附加条件的。</w:t>
      </w:r>
    </w:p>
    <w:p w14:paraId="399BA33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（12）投标文件未按照招标文件要求加盖公章（CA电子公章）的。</w:t>
      </w:r>
    </w:p>
    <w:p w14:paraId="1E1D95B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（13）其他法律、法规及本招标文件规定的属于无效投标的情形。</w:t>
      </w:r>
    </w:p>
    <w:p w14:paraId="4A24DED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27.2 有下列情形之一的，视为投标人串通投标，投标无效：</w:t>
      </w:r>
    </w:p>
    <w:p w14:paraId="53D73E5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（1）不同投标人的投标文件由同一单位或者个人编制。</w:t>
      </w:r>
    </w:p>
    <w:p w14:paraId="31DA928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（2）不同投标人委托同一单位或者个人办理投标事宜。</w:t>
      </w:r>
    </w:p>
    <w:p w14:paraId="7CCC4B0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（3）不同投标人的投标文件载明的项目管理成员或者联系人员为同一人。</w:t>
      </w:r>
    </w:p>
    <w:p w14:paraId="109D1E0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（4）不同投标人的投标文件异常一致或者投标报价呈规律性差异。</w:t>
      </w:r>
    </w:p>
    <w:p w14:paraId="319CED7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（5）不同投标人的投标文件相互混装。</w:t>
      </w:r>
    </w:p>
    <w:p w14:paraId="345B6C4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27.3 废标条款：</w:t>
      </w:r>
    </w:p>
    <w:p w14:paraId="05E98F4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（1）因“苏采云”系统故障原因造成开标不成功的。</w:t>
      </w:r>
    </w:p>
    <w:p w14:paraId="2147305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（2）评委会认定招标文件存在歧义、重大缺陷导致评标工作无法进行，或者招标文件内容违反国家有关强制性规定的。</w:t>
      </w:r>
    </w:p>
    <w:p w14:paraId="5A32602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（3）符合专业条件的供应商或者对招标文件作实质响应的供应商不足三家的。</w:t>
      </w:r>
    </w:p>
    <w:p w14:paraId="7445781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（4）出现影响采购公正的违法、违规行为的。</w:t>
      </w:r>
    </w:p>
    <w:p w14:paraId="5131CF9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（5）因重大变故，采购任务取消的。</w:t>
      </w:r>
    </w:p>
    <w:p w14:paraId="281A4CD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27.4 出现投标截止时间结束后参加投标的供应商或者在评标期间对招标文件做出实质响应的供应商不足三家情况的，按照政府采购有关规定执行。</w:t>
      </w:r>
    </w:p>
    <w:p w14:paraId="0E91BB47">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六、定标</w:t>
      </w:r>
    </w:p>
    <w:p w14:paraId="7448F2EE">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28、确定中标单位</w:t>
      </w:r>
    </w:p>
    <w:p w14:paraId="5024CED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28.1 中标候选人的选取原则和数量详见招标文件第五章规定。 </w:t>
      </w:r>
    </w:p>
    <w:p w14:paraId="09C3F3D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28.2 采购人应根据评委会推荐的中标候选人确定中标人。</w:t>
      </w:r>
    </w:p>
    <w:p w14:paraId="0B7EC64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28.3 </w:t>
      </w:r>
      <w:r>
        <w:rPr>
          <w:rFonts w:hint="eastAsia" w:ascii="宋体" w:hAnsi="宋体" w:eastAsia="宋体" w:cs="宋体"/>
          <w:sz w:val="24"/>
          <w:szCs w:val="24"/>
          <w:lang w:eastAsia="zh-CN"/>
        </w:rPr>
        <w:t>代理机构</w:t>
      </w:r>
      <w:r>
        <w:rPr>
          <w:rFonts w:hint="eastAsia" w:ascii="宋体" w:hAnsi="宋体" w:eastAsia="宋体" w:cs="宋体"/>
          <w:sz w:val="24"/>
          <w:szCs w:val="24"/>
        </w:rPr>
        <w:t>将在江苏政府采购网发布中标公告，公告期限为1个工作日。</w:t>
      </w:r>
    </w:p>
    <w:p w14:paraId="1BC2D56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28.4 若有充分证据证明，中标人存在下列情形之一的，一经查实，将被取消中标资格：</w:t>
      </w:r>
    </w:p>
    <w:p w14:paraId="6597624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（1）提供虚假材料谋取中标、成交的。</w:t>
      </w:r>
    </w:p>
    <w:p w14:paraId="63EDE50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（2）采取不正当手段诋毁、排挤其他供应商的。</w:t>
      </w:r>
    </w:p>
    <w:p w14:paraId="27B173D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（3）与采购人、其他供应商或者</w:t>
      </w:r>
      <w:r>
        <w:rPr>
          <w:rFonts w:hint="eastAsia" w:ascii="宋体" w:hAnsi="宋体" w:eastAsia="宋体" w:cs="宋体"/>
          <w:sz w:val="24"/>
          <w:szCs w:val="24"/>
          <w:lang w:eastAsia="zh-CN"/>
        </w:rPr>
        <w:t>代理机构</w:t>
      </w:r>
      <w:r>
        <w:rPr>
          <w:rFonts w:hint="eastAsia" w:ascii="宋体" w:hAnsi="宋体" w:eastAsia="宋体" w:cs="宋体"/>
          <w:sz w:val="24"/>
          <w:szCs w:val="24"/>
        </w:rPr>
        <w:t>恶意串通的。</w:t>
      </w:r>
    </w:p>
    <w:p w14:paraId="6BA85C9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（4）向采购人、</w:t>
      </w:r>
      <w:r>
        <w:rPr>
          <w:rFonts w:hint="eastAsia" w:ascii="宋体" w:hAnsi="宋体" w:eastAsia="宋体" w:cs="宋体"/>
          <w:sz w:val="24"/>
          <w:szCs w:val="24"/>
          <w:lang w:eastAsia="zh-CN"/>
        </w:rPr>
        <w:t>代理机构</w:t>
      </w:r>
      <w:r>
        <w:rPr>
          <w:rFonts w:hint="eastAsia" w:ascii="宋体" w:hAnsi="宋体" w:eastAsia="宋体" w:cs="宋体"/>
          <w:sz w:val="24"/>
          <w:szCs w:val="24"/>
        </w:rPr>
        <w:t>行贿或者提供其他不正当利益的。</w:t>
      </w:r>
    </w:p>
    <w:p w14:paraId="730C902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（5）在招标采购过程中与采购人进行协商谈判的。</w:t>
      </w:r>
    </w:p>
    <w:p w14:paraId="0E368E8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（6）属于本招标文件规定的无效情形，但在评标过程中又未被评委会发现的。</w:t>
      </w:r>
    </w:p>
    <w:p w14:paraId="2168CE0A">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29、中标通知书</w:t>
      </w:r>
    </w:p>
    <w:p w14:paraId="645D27A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29.1 中标结果确定后，</w:t>
      </w:r>
      <w:r>
        <w:rPr>
          <w:rFonts w:hint="eastAsia" w:ascii="宋体" w:hAnsi="宋体" w:eastAsia="宋体" w:cs="宋体"/>
          <w:sz w:val="24"/>
          <w:szCs w:val="24"/>
          <w:lang w:eastAsia="zh-CN"/>
        </w:rPr>
        <w:t>代理机构</w:t>
      </w:r>
      <w:r>
        <w:rPr>
          <w:rFonts w:hint="eastAsia" w:ascii="宋体" w:hAnsi="宋体" w:eastAsia="宋体" w:cs="宋体"/>
          <w:sz w:val="24"/>
          <w:szCs w:val="24"/>
        </w:rPr>
        <w:t>将向中标人发出中标通知书。请中标人在中标结果公告届满之日起30日内，登录“苏采云”系统及时领取（下载）中标通知书。因系统存储空间有限，自中标结果公告届满之日起30日后，“苏采云”系统不再保证提供中标通知书下载服务，因未及时下载造成的不利后果由中标人自行承担。</w:t>
      </w:r>
    </w:p>
    <w:p w14:paraId="323E82C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29.2 中标通知书将作为政府采购合同的一个组成部分。对采购人和中标人均具有法律效力。中标通知书发出后，采购人改变中标结果的，或者中标人放弃中标项目的，应当依法承担法律责任。</w:t>
      </w:r>
    </w:p>
    <w:p w14:paraId="10AD194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29.3 中标人应在中标后七个工作日内，向采购人和</w:t>
      </w:r>
      <w:r>
        <w:rPr>
          <w:rFonts w:hint="eastAsia" w:ascii="宋体" w:hAnsi="宋体" w:eastAsia="宋体" w:cs="宋体"/>
          <w:sz w:val="24"/>
          <w:szCs w:val="24"/>
          <w:lang w:eastAsia="zh-CN"/>
        </w:rPr>
        <w:t>代理机构</w:t>
      </w:r>
      <w:r>
        <w:rPr>
          <w:rFonts w:hint="eastAsia" w:ascii="宋体" w:hAnsi="宋体" w:eastAsia="宋体" w:cs="宋体"/>
          <w:sz w:val="24"/>
          <w:szCs w:val="24"/>
        </w:rPr>
        <w:t>各提供一份与电子投标文件一致的纸质打印胶装投标文件，封面、骑缝需加盖公章。</w:t>
      </w:r>
    </w:p>
    <w:p w14:paraId="3E6B0D09">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七、授予合同</w:t>
      </w:r>
    </w:p>
    <w:p w14:paraId="7ECCA13C">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30、签订合同</w:t>
      </w:r>
    </w:p>
    <w:p w14:paraId="264B60A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30.1 中标人应当在中标通知书发出之日起三十日内，按照招标文件和中标人投标文件的规定，与采购人签订政府采购合同。</w:t>
      </w:r>
    </w:p>
    <w:p w14:paraId="75716B7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30.2 招标文件、中标人的投标文件及招标过程中有关澄清、承诺等文件均应作为合同附件。</w:t>
      </w:r>
    </w:p>
    <w:p w14:paraId="65C850B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30.3 签订合同后，中标人不得将合同标的转包。未经采购人同意，中标人也不得采用分包的形式履行合同，否则采购人有权终止合同。转包或分包造成采购人损失的，中标人应承担相应赔偿责任。</w:t>
      </w:r>
    </w:p>
    <w:p w14:paraId="34884DE7">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31、合同标的的追加</w:t>
      </w:r>
    </w:p>
    <w:p w14:paraId="5690DC6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59B6679E">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32、政府采购履约资金扶持政策</w:t>
      </w:r>
    </w:p>
    <w:p w14:paraId="017924D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32.1 中标人可凭政府采购合同办理融资贷款，详情请见江苏政府采购网“政采贷”专栏。</w:t>
      </w:r>
    </w:p>
    <w:p w14:paraId="0DCC2E94">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八、询问与质疑</w:t>
      </w:r>
    </w:p>
    <w:p w14:paraId="076A35E8">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33、询问</w:t>
      </w:r>
    </w:p>
    <w:p w14:paraId="35A726B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33.1 供应商对政府采购活动事项有疑问的，可以提出询问，采购人或者</w:t>
      </w:r>
      <w:r>
        <w:rPr>
          <w:rFonts w:hint="eastAsia" w:ascii="宋体" w:hAnsi="宋体" w:eastAsia="宋体" w:cs="宋体"/>
          <w:sz w:val="24"/>
          <w:szCs w:val="24"/>
          <w:lang w:eastAsia="zh-CN"/>
        </w:rPr>
        <w:t>代理机构</w:t>
      </w:r>
      <w:r>
        <w:rPr>
          <w:rFonts w:hint="eastAsia" w:ascii="宋体" w:hAnsi="宋体" w:eastAsia="宋体" w:cs="宋体"/>
          <w:sz w:val="24"/>
          <w:szCs w:val="24"/>
        </w:rPr>
        <w:t>应当在3个工作日内对投标人依法提出的询问作出答复，但答复的内容不得涉及商业秘密。供应商提出的询问超出采购人对</w:t>
      </w:r>
      <w:r>
        <w:rPr>
          <w:rFonts w:hint="eastAsia" w:ascii="宋体" w:hAnsi="宋体" w:eastAsia="宋体" w:cs="宋体"/>
          <w:sz w:val="24"/>
          <w:szCs w:val="24"/>
          <w:lang w:eastAsia="zh-CN"/>
        </w:rPr>
        <w:t>代理机构</w:t>
      </w:r>
      <w:r>
        <w:rPr>
          <w:rFonts w:hint="eastAsia" w:ascii="宋体" w:hAnsi="宋体" w:eastAsia="宋体" w:cs="宋体"/>
          <w:sz w:val="24"/>
          <w:szCs w:val="24"/>
        </w:rPr>
        <w:t>委托授权范围的，</w:t>
      </w:r>
      <w:r>
        <w:rPr>
          <w:rFonts w:hint="eastAsia" w:ascii="宋体" w:hAnsi="宋体" w:eastAsia="宋体" w:cs="宋体"/>
          <w:sz w:val="24"/>
          <w:szCs w:val="24"/>
          <w:lang w:eastAsia="zh-CN"/>
        </w:rPr>
        <w:t>代理机构</w:t>
      </w:r>
      <w:r>
        <w:rPr>
          <w:rFonts w:hint="eastAsia" w:ascii="宋体" w:hAnsi="宋体" w:eastAsia="宋体" w:cs="宋体"/>
          <w:sz w:val="24"/>
          <w:szCs w:val="24"/>
        </w:rPr>
        <w:t>应当告知其向采购人提出。</w:t>
      </w:r>
    </w:p>
    <w:p w14:paraId="5B6D1898">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34、质疑提出</w:t>
      </w:r>
    </w:p>
    <w:p w14:paraId="71FE815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34.1 提出质疑的供应商应当是参与所质疑项目采购活动的供应商。</w:t>
      </w:r>
    </w:p>
    <w:p w14:paraId="1B51323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34.2 供应商认为采购文件、采购过程、采购结果使自己的权益受到损害的，可以在知道或者应知其权益受到损害之日（获取采购文件之日、中标公告发布之日）起七个工作日内以书面形式向采购人、</w:t>
      </w:r>
      <w:r>
        <w:rPr>
          <w:rFonts w:hint="eastAsia" w:ascii="宋体" w:hAnsi="宋体" w:eastAsia="宋体" w:cs="宋体"/>
          <w:sz w:val="24"/>
          <w:szCs w:val="24"/>
          <w:lang w:eastAsia="zh-CN"/>
        </w:rPr>
        <w:t>代理机构</w:t>
      </w:r>
      <w:r>
        <w:rPr>
          <w:rFonts w:hint="eastAsia" w:ascii="宋体" w:hAnsi="宋体" w:eastAsia="宋体" w:cs="宋体"/>
          <w:sz w:val="24"/>
          <w:szCs w:val="24"/>
        </w:rPr>
        <w:t>提出质疑。</w:t>
      </w:r>
    </w:p>
    <w:p w14:paraId="78BA504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供应商应当在法定质疑期内一次性提出针对同一采购程序环节的质疑，供应商如在法定期限内对同一采购程序环节提出多次质疑的，采购人、</w:t>
      </w:r>
      <w:r>
        <w:rPr>
          <w:rFonts w:hint="eastAsia" w:ascii="宋体" w:hAnsi="宋体" w:eastAsia="宋体" w:cs="宋体"/>
          <w:sz w:val="24"/>
          <w:szCs w:val="24"/>
          <w:lang w:eastAsia="zh-CN"/>
        </w:rPr>
        <w:t>代理机构</w:t>
      </w:r>
      <w:r>
        <w:rPr>
          <w:rFonts w:hint="eastAsia" w:ascii="宋体" w:hAnsi="宋体" w:eastAsia="宋体" w:cs="宋体"/>
          <w:sz w:val="24"/>
          <w:szCs w:val="24"/>
        </w:rPr>
        <w:t>将只对供应商第一次质疑作出答复。</w:t>
      </w:r>
    </w:p>
    <w:p w14:paraId="15ED511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未按照采购公告要求获取采购文件的供应商，视为未参与该项目采购活动，不具备对该采购文件提出质疑的法定权利。</w:t>
      </w:r>
    </w:p>
    <w:p w14:paraId="1C675CE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34.3 提出质疑时，必须坚持“实事求是”的原则，不能臆测。属于须由法定部门调查、侦查或先行作出相关认定的事项，质疑供应商应当依法申请具有法定职权的部门查清、认定，并将相关结果提供给采购人、</w:t>
      </w:r>
      <w:r>
        <w:rPr>
          <w:rFonts w:hint="eastAsia" w:ascii="宋体" w:hAnsi="宋体" w:eastAsia="宋体" w:cs="宋体"/>
          <w:sz w:val="24"/>
          <w:szCs w:val="24"/>
          <w:lang w:eastAsia="zh-CN"/>
        </w:rPr>
        <w:t>代理机构</w:t>
      </w:r>
      <w:r>
        <w:rPr>
          <w:rFonts w:hint="eastAsia" w:ascii="宋体" w:hAnsi="宋体" w:eastAsia="宋体" w:cs="宋体"/>
          <w:sz w:val="24"/>
          <w:szCs w:val="24"/>
        </w:rPr>
        <w:t>。采购人、</w:t>
      </w:r>
      <w:r>
        <w:rPr>
          <w:rFonts w:hint="eastAsia" w:ascii="宋体" w:hAnsi="宋体" w:eastAsia="宋体" w:cs="宋体"/>
          <w:sz w:val="24"/>
          <w:szCs w:val="24"/>
          <w:lang w:eastAsia="zh-CN"/>
        </w:rPr>
        <w:t>代理机构</w:t>
      </w:r>
      <w:r>
        <w:rPr>
          <w:rFonts w:hint="eastAsia" w:ascii="宋体" w:hAnsi="宋体" w:eastAsia="宋体" w:cs="宋体"/>
          <w:sz w:val="24"/>
          <w:szCs w:val="24"/>
        </w:rPr>
        <w:t>不具有法定调查、认定权限。</w:t>
      </w:r>
    </w:p>
    <w:p w14:paraId="2858670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34.4 质疑函的接收方式为供应商书面原件提交。联系部门、联系电话和通讯地址详见招标文件第一章。质疑实行实名制，不得进行虚假、恶意质疑。</w:t>
      </w:r>
    </w:p>
    <w:p w14:paraId="1650D62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34.5 质疑函应当使用范本，详见招标文件第</w:t>
      </w:r>
      <w:r>
        <w:rPr>
          <w:rFonts w:hint="eastAsia" w:ascii="宋体" w:hAnsi="宋体" w:eastAsia="宋体" w:cs="宋体"/>
          <w:sz w:val="24"/>
          <w:szCs w:val="24"/>
          <w:lang w:val="en-US" w:eastAsia="zh-CN"/>
        </w:rPr>
        <w:t>四</w:t>
      </w:r>
      <w:r>
        <w:rPr>
          <w:rFonts w:hint="eastAsia" w:ascii="宋体" w:hAnsi="宋体" w:eastAsia="宋体" w:cs="宋体"/>
          <w:sz w:val="24"/>
          <w:szCs w:val="24"/>
        </w:rPr>
        <w:t>章。供应商提出质疑应当提交质疑函和必要的证明材料，应当包括下列内容：</w:t>
      </w:r>
    </w:p>
    <w:p w14:paraId="79262F9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w:t>
      </w:r>
    </w:p>
    <w:p w14:paraId="6DBF898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（2）质疑项目的名称、编号；</w:t>
      </w:r>
    </w:p>
    <w:p w14:paraId="7DFE9C1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477D7FD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（4）事实依据；</w:t>
      </w:r>
    </w:p>
    <w:p w14:paraId="69E09DD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（5）必要的法律依据；</w:t>
      </w:r>
    </w:p>
    <w:p w14:paraId="0BDA48F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（6）提出质疑的日期；</w:t>
      </w:r>
    </w:p>
    <w:p w14:paraId="757BBED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（7）必要的证明材料；</w:t>
      </w:r>
    </w:p>
    <w:p w14:paraId="70984F4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（8）营业执照复印件及授权委托书原件、法定代表人（单位负责人）身份证复印件、委托代理人身份证复印件。</w:t>
      </w:r>
    </w:p>
    <w:p w14:paraId="648C958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供应商为自然人的，应当由本人签字；供应商为法人或者其他组织的，应当由法定代表人、主要负责人，或者其委托代理人签字或者盖章，并加盖单位公章。</w:t>
      </w:r>
    </w:p>
    <w:p w14:paraId="17956C5D">
      <w:pPr>
        <w:keepNext/>
        <w:keepLines/>
        <w:widowControl w:val="0"/>
        <w:spacing w:before="0" w:after="0" w:line="360" w:lineRule="auto"/>
        <w:ind w:firstLine="562" w:firstLineChars="200"/>
        <w:jc w:val="left"/>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8"/>
          <w:szCs w:val="28"/>
          <w:lang w:val="en-US" w:eastAsia="zh-CN" w:bidi="ar-SA"/>
        </w:rPr>
        <w:t>35、质疑函的受理和答复</w:t>
      </w:r>
    </w:p>
    <w:p w14:paraId="7D29FBF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hint="eastAsia" w:ascii="宋体" w:hAnsi="宋体" w:eastAsia="宋体" w:cs="宋体"/>
          <w:sz w:val="24"/>
          <w:szCs w:val="24"/>
          <w:lang w:eastAsia="zh-CN"/>
        </w:rPr>
        <w:t>代理机构</w:t>
      </w:r>
      <w:r>
        <w:rPr>
          <w:rFonts w:hint="eastAsia" w:ascii="宋体" w:hAnsi="宋体" w:eastAsia="宋体" w:cs="宋体"/>
          <w:sz w:val="24"/>
          <w:szCs w:val="24"/>
        </w:rPr>
        <w:t>不负责搜集必要的证明材料等工作。</w:t>
      </w:r>
    </w:p>
    <w:p w14:paraId="5F670CE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35.2 对符合法定要求的质疑，采购人、</w:t>
      </w:r>
      <w:r>
        <w:rPr>
          <w:rFonts w:hint="eastAsia" w:ascii="宋体" w:hAnsi="宋体" w:eastAsia="宋体" w:cs="宋体"/>
          <w:sz w:val="24"/>
          <w:szCs w:val="24"/>
          <w:lang w:eastAsia="zh-CN"/>
        </w:rPr>
        <w:t>代理机构</w:t>
      </w:r>
      <w:r>
        <w:rPr>
          <w:rFonts w:hint="eastAsia" w:ascii="宋体" w:hAnsi="宋体" w:eastAsia="宋体" w:cs="宋体"/>
          <w:sz w:val="24"/>
          <w:szCs w:val="24"/>
        </w:rPr>
        <w:t>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4A8B5F4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35.3 对不符合质疑要求的，采购人、</w:t>
      </w:r>
      <w:r>
        <w:rPr>
          <w:rFonts w:hint="eastAsia" w:ascii="宋体" w:hAnsi="宋体" w:eastAsia="宋体" w:cs="宋体"/>
          <w:sz w:val="24"/>
          <w:szCs w:val="24"/>
          <w:lang w:eastAsia="zh-CN"/>
        </w:rPr>
        <w:t>代理机构</w:t>
      </w:r>
      <w:r>
        <w:rPr>
          <w:rFonts w:hint="eastAsia" w:ascii="宋体" w:hAnsi="宋体" w:eastAsia="宋体" w:cs="宋体"/>
          <w:sz w:val="24"/>
          <w:szCs w:val="24"/>
        </w:rPr>
        <w:t>有权要求其补充必要的证明材料，质疑供应商未在法定时间内补充必要的证明材料的，视同放弃质疑。</w:t>
      </w:r>
    </w:p>
    <w:p w14:paraId="197BB13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35.4 以下情形的质疑依法不予受理：</w:t>
      </w:r>
    </w:p>
    <w:p w14:paraId="492BC76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（1）内容不符合《政府采购质疑和投诉办法》第十二条规定的质疑。</w:t>
      </w:r>
    </w:p>
    <w:p w14:paraId="38A5D744">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（2）超出政府采购法定期限的质疑。</w:t>
      </w:r>
    </w:p>
    <w:p w14:paraId="3107715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（3）以传真、电子邮件等方式递交的非原件形式的质疑。</w:t>
      </w:r>
    </w:p>
    <w:p w14:paraId="7F34AA3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（4）未参与采购活动或在采购活动中自身权益未受到损害的供应商提出的质疑。</w:t>
      </w:r>
    </w:p>
    <w:p w14:paraId="084E67C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（5）供应商组成联合体，联合体中任何一方或多方未按要求签字（盖章）、加盖公章的质疑。</w:t>
      </w:r>
    </w:p>
    <w:p w14:paraId="1D42E05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35.5 采购人、</w:t>
      </w:r>
      <w:r>
        <w:rPr>
          <w:rFonts w:hint="eastAsia" w:ascii="宋体" w:hAnsi="宋体" w:eastAsia="宋体" w:cs="宋体"/>
          <w:sz w:val="24"/>
          <w:szCs w:val="24"/>
          <w:lang w:eastAsia="zh-CN"/>
        </w:rPr>
        <w:t>代理机构</w:t>
      </w:r>
      <w:r>
        <w:rPr>
          <w:rFonts w:hint="eastAsia" w:ascii="宋体" w:hAnsi="宋体" w:eastAsia="宋体" w:cs="宋体"/>
          <w:sz w:val="24"/>
          <w:szCs w:val="24"/>
        </w:rPr>
        <w:t>依法受理的质疑，将按照政府采购有关规定，在法定期限内作出答复。</w:t>
      </w:r>
    </w:p>
    <w:p w14:paraId="19CB779F">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36、质疑处理</w:t>
      </w:r>
    </w:p>
    <w:p w14:paraId="68EF33F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36.1 质疑供应商未按照法定程序进行质疑投诉的，视为一般失信行为。</w:t>
      </w:r>
    </w:p>
    <w:p w14:paraId="1670BF4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36.2 质疑供应商不配合或者采取不正当手段干扰政府采购质疑、投诉处理工作的，视为一般失信行为。</w:t>
      </w:r>
    </w:p>
    <w:p w14:paraId="7797A93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36.3 质疑供应商投诉受理期间，就同一事项多头举报，干扰财政部门投诉处理的，视为一般失信行为。</w:t>
      </w:r>
    </w:p>
    <w:p w14:paraId="4E1C0E9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36.4 质疑供应商在全国范围12个月内三次以上质疑查无实据的，视为一般失信行为。</w:t>
      </w:r>
    </w:p>
    <w:p w14:paraId="331C401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6A289AA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36.6 质疑供应商在全国范围12个月内三次以上投诉查无实据的，视为严重失信行为。</w:t>
      </w:r>
    </w:p>
    <w:p w14:paraId="118ECF5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36.7 未尽事宜，依照有关法律、法规执行。</w:t>
      </w:r>
    </w:p>
    <w:p w14:paraId="2AD12AA0">
      <w:pPr>
        <w:keepNext/>
        <w:keepLines/>
        <w:widowControl w:val="0"/>
        <w:spacing w:before="0" w:after="0" w:line="360" w:lineRule="auto"/>
        <w:jc w:val="both"/>
        <w:outlineLvl w:val="1"/>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九、政府采购政策功能</w:t>
      </w:r>
    </w:p>
    <w:p w14:paraId="79668426">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37、促进中小企业发展</w:t>
      </w:r>
    </w:p>
    <w:p w14:paraId="64ED779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37.1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对小型企业、微型企业、监狱企业、残疾人福利性单位报价以扣除优惠比率后的价格参与评审。</w:t>
      </w:r>
    </w:p>
    <w:p w14:paraId="426D74D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37.2 投标人提供的货物全部由小型企业、微型企业、残疾人福利性单位、监狱企业制造的，对其报价给予10%的扣除，用扣除后的价格参与评审。提供的货物既有小微型企业制造，也有大中型企业制造的，不享受该扶持政策。</w:t>
      </w:r>
    </w:p>
    <w:p w14:paraId="21CDCA2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本项目同意联合体投标或同意分包履行合同，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4%的价格扣除，用扣除后的价格参与评审。联合体各方均为小型、微型企业（残疾人福利单位、监狱企业）的，联合体视同小型、微型企业。</w:t>
      </w:r>
    </w:p>
    <w:p w14:paraId="10CA805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37.3 参加本项目政府采购活动的供应商享受价格评审优惠的应当提供的材料： </w:t>
      </w:r>
    </w:p>
    <w:p w14:paraId="2A24E33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（1）投标人提供的货物全部由小型企业、微型企业制造的，提供《中小企业声明函》（第</w:t>
      </w:r>
      <w:r>
        <w:rPr>
          <w:rFonts w:hint="eastAsia" w:ascii="宋体" w:hAnsi="宋体" w:eastAsia="宋体" w:cs="宋体"/>
          <w:sz w:val="24"/>
          <w:szCs w:val="24"/>
          <w:lang w:val="en-US" w:eastAsia="zh-CN"/>
        </w:rPr>
        <w:t>四</w:t>
      </w:r>
      <w:r>
        <w:rPr>
          <w:rFonts w:hint="eastAsia" w:ascii="宋体" w:hAnsi="宋体" w:eastAsia="宋体" w:cs="宋体"/>
          <w:sz w:val="24"/>
          <w:szCs w:val="24"/>
        </w:rPr>
        <w:t>章 投标文件格式）。</w:t>
      </w:r>
    </w:p>
    <w:p w14:paraId="328743E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（2）符合《关于促进残疾人就业政府采购政策的通知》（财库〔2017〕141号）规定的条件并提供《残疾人福利性单位声明函》（第</w:t>
      </w:r>
      <w:r>
        <w:rPr>
          <w:rFonts w:hint="eastAsia" w:ascii="宋体" w:hAnsi="宋体" w:eastAsia="宋体" w:cs="宋体"/>
          <w:sz w:val="24"/>
          <w:szCs w:val="24"/>
          <w:lang w:val="en-US" w:eastAsia="zh-CN"/>
        </w:rPr>
        <w:t>四</w:t>
      </w:r>
      <w:r>
        <w:rPr>
          <w:rFonts w:hint="eastAsia" w:ascii="宋体" w:hAnsi="宋体" w:eastAsia="宋体" w:cs="宋体"/>
          <w:sz w:val="24"/>
          <w:szCs w:val="24"/>
        </w:rPr>
        <w:t>章 投标文件格式）的残疾人福利性单位视同小型、微型企业。</w:t>
      </w:r>
    </w:p>
    <w:p w14:paraId="19E5A1D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14:paraId="32598FE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37.4 残疾人福利单位、监狱企业属于小型、微型企业的，不重复享受政策。</w:t>
      </w:r>
    </w:p>
    <w:p w14:paraId="3DEF2C3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37.5 享受扶持政策获得政府采购合同的，小微型企业不得将合同分包给大中型企业，中型企业不得将合同分包给大型企业。</w:t>
      </w:r>
    </w:p>
    <w:p w14:paraId="6797CA6E">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38、支持绿色发展</w:t>
      </w:r>
    </w:p>
    <w:p w14:paraId="3D1A81C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38.1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投标人须按招标文件要求提供相关产品认证证书。</w:t>
      </w:r>
    </w:p>
    <w:p w14:paraId="126D191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38.2 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14:paraId="1E133104">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39、政府采购需求标准</w:t>
      </w:r>
    </w:p>
    <w:p w14:paraId="1D710C7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39.1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16D451A4">
      <w:pPr>
        <w:keepNext/>
        <w:keepLines/>
        <w:widowControl w:val="0"/>
        <w:spacing w:before="0" w:after="0" w:line="360" w:lineRule="auto"/>
        <w:ind w:firstLine="562" w:firstLineChars="200"/>
        <w:jc w:val="left"/>
        <w:outlineLvl w:val="2"/>
        <w:rPr>
          <w:rFonts w:hint="eastAsia" w:ascii="宋体" w:hAnsi="宋体" w:eastAsia="宋体" w:cs="宋体"/>
          <w:b/>
          <w:bCs/>
          <w:kern w:val="2"/>
          <w:sz w:val="28"/>
          <w:szCs w:val="28"/>
          <w:lang w:val="zh-CN" w:eastAsia="zh-CN" w:bidi="ar-SA"/>
        </w:rPr>
      </w:pPr>
      <w:r>
        <w:rPr>
          <w:rFonts w:hint="eastAsia" w:ascii="宋体" w:hAnsi="宋体" w:eastAsia="宋体" w:cs="宋体"/>
          <w:b/>
          <w:bCs/>
          <w:kern w:val="2"/>
          <w:sz w:val="28"/>
          <w:szCs w:val="28"/>
          <w:lang w:val="en-US" w:eastAsia="zh-CN" w:bidi="ar-SA"/>
        </w:rPr>
        <w:t>40</w:t>
      </w:r>
      <w:r>
        <w:rPr>
          <w:rFonts w:hint="eastAsia" w:ascii="宋体" w:hAnsi="宋体" w:eastAsia="宋体" w:cs="宋体"/>
          <w:b/>
          <w:bCs/>
          <w:kern w:val="2"/>
          <w:sz w:val="28"/>
          <w:szCs w:val="28"/>
          <w:lang w:val="zh-CN" w:eastAsia="zh-CN" w:bidi="ar-SA"/>
        </w:rPr>
        <w:t>、实施本国产品标准及相关政策</w:t>
      </w:r>
    </w:p>
    <w:p w14:paraId="611CA7C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2"/>
          <w:lang w:val="zh-CN" w:eastAsia="zh-CN"/>
        </w:rPr>
      </w:pPr>
      <w:r>
        <w:rPr>
          <w:rFonts w:hint="eastAsia" w:ascii="宋体" w:hAnsi="宋体" w:eastAsia="宋体" w:cs="宋体"/>
          <w:color w:val="auto"/>
          <w:kern w:val="0"/>
          <w:sz w:val="24"/>
          <w:szCs w:val="22"/>
          <w:lang w:val="en-US" w:eastAsia="zh-CN"/>
        </w:rPr>
        <w:t>40.</w:t>
      </w:r>
      <w:r>
        <w:rPr>
          <w:rFonts w:hint="eastAsia" w:ascii="宋体" w:hAnsi="宋体" w:eastAsia="宋体" w:cs="宋体"/>
          <w:color w:val="auto"/>
          <w:kern w:val="0"/>
          <w:sz w:val="24"/>
          <w:szCs w:val="22"/>
          <w:lang w:val="zh-CN" w:eastAsia="zh-CN"/>
        </w:rPr>
        <w:t>1</w:t>
      </w:r>
      <w:r>
        <w:rPr>
          <w:rFonts w:hint="eastAsia" w:ascii="宋体" w:hAnsi="宋体" w:eastAsia="宋体" w:cs="宋体"/>
          <w:color w:val="auto"/>
          <w:kern w:val="0"/>
          <w:sz w:val="24"/>
          <w:szCs w:val="22"/>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关于落实在政府采购中实施本国产品标准及相关政策的通知》（宁财购通〔2025〕78号）等文件规定，在政府采购中实施本国产品标准及相关政策</w:t>
      </w:r>
      <w:r>
        <w:rPr>
          <w:rFonts w:hint="eastAsia" w:ascii="宋体" w:hAnsi="宋体" w:eastAsia="宋体" w:cs="宋体"/>
          <w:color w:val="auto"/>
          <w:kern w:val="0"/>
          <w:sz w:val="24"/>
          <w:szCs w:val="22"/>
          <w:lang w:val="zh-CN" w:eastAsia="zh-CN"/>
        </w:rPr>
        <w:t>。</w:t>
      </w:r>
    </w:p>
    <w:p w14:paraId="5FC288C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i w:val="0"/>
          <w:iCs w:val="0"/>
          <w:caps w:val="0"/>
          <w:color w:val="auto"/>
          <w:spacing w:val="0"/>
          <w:kern w:val="0"/>
          <w:sz w:val="24"/>
          <w:szCs w:val="22"/>
          <w:shd w:val="clear" w:color="auto" w:fill="auto"/>
          <w:lang w:val="zh-CN" w:eastAsia="zh-CN"/>
        </w:rPr>
      </w:pPr>
      <w:r>
        <w:rPr>
          <w:rFonts w:hint="eastAsia" w:ascii="宋体" w:hAnsi="宋体" w:eastAsia="宋体" w:cs="宋体"/>
          <w:color w:val="auto"/>
          <w:kern w:val="0"/>
          <w:sz w:val="24"/>
          <w:szCs w:val="22"/>
          <w:lang w:val="zh-CN" w:eastAsia="zh-CN"/>
        </w:rPr>
        <w:t>40.2</w:t>
      </w:r>
      <w:r>
        <w:rPr>
          <w:rFonts w:hint="eastAsia" w:ascii="宋体" w:hAnsi="宋体" w:eastAsia="宋体" w:cs="宋体"/>
          <w:i w:val="0"/>
          <w:iCs w:val="0"/>
          <w:caps w:val="0"/>
          <w:color w:val="auto"/>
          <w:spacing w:val="0"/>
          <w:kern w:val="0"/>
          <w:sz w:val="24"/>
          <w:szCs w:val="22"/>
          <w:shd w:val="clear" w:color="auto" w:fill="auto"/>
          <w:lang w:val="zh-CN"/>
        </w:rPr>
        <w:t>本国产品应当符合以下条件</w:t>
      </w:r>
      <w:r>
        <w:rPr>
          <w:rFonts w:hint="eastAsia" w:ascii="宋体" w:hAnsi="宋体" w:eastAsia="宋体" w:cs="宋体"/>
          <w:i w:val="0"/>
          <w:iCs w:val="0"/>
          <w:caps w:val="0"/>
          <w:color w:val="auto"/>
          <w:spacing w:val="0"/>
          <w:kern w:val="0"/>
          <w:sz w:val="24"/>
          <w:szCs w:val="22"/>
          <w:shd w:val="clear" w:color="auto" w:fill="auto"/>
          <w:lang w:val="zh-CN" w:eastAsia="zh-CN"/>
        </w:rPr>
        <w:t>：</w:t>
      </w:r>
    </w:p>
    <w:p w14:paraId="18B187D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i w:val="0"/>
          <w:iCs w:val="0"/>
          <w:caps w:val="0"/>
          <w:color w:val="auto"/>
          <w:spacing w:val="0"/>
          <w:kern w:val="0"/>
          <w:sz w:val="24"/>
          <w:szCs w:val="22"/>
          <w:shd w:val="clear" w:color="auto" w:fill="auto"/>
          <w:lang w:val="zh-CN" w:eastAsia="zh-CN"/>
        </w:rPr>
      </w:pPr>
      <w:r>
        <w:rPr>
          <w:rFonts w:hint="eastAsia" w:ascii="宋体" w:hAnsi="宋体" w:eastAsia="宋体" w:cs="宋体"/>
          <w:i w:val="0"/>
          <w:iCs w:val="0"/>
          <w:caps w:val="0"/>
          <w:color w:val="auto"/>
          <w:spacing w:val="0"/>
          <w:kern w:val="0"/>
          <w:sz w:val="24"/>
          <w:szCs w:val="22"/>
          <w:shd w:val="clear" w:color="auto" w:fill="auto"/>
          <w:lang w:val="zh-CN" w:eastAsia="zh-CN"/>
        </w:rPr>
        <w:t>（1）在中国境内生产</w:t>
      </w:r>
    </w:p>
    <w:p w14:paraId="1EF1152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i w:val="0"/>
          <w:iCs w:val="0"/>
          <w:caps w:val="0"/>
          <w:color w:val="auto"/>
          <w:spacing w:val="0"/>
          <w:kern w:val="0"/>
          <w:sz w:val="24"/>
          <w:szCs w:val="22"/>
          <w:shd w:val="clear" w:color="auto" w:fill="auto"/>
          <w:lang w:val="zh-CN" w:eastAsia="zh-CN"/>
        </w:rPr>
      </w:pPr>
      <w:r>
        <w:rPr>
          <w:rFonts w:hint="eastAsia" w:ascii="宋体" w:hAnsi="宋体" w:eastAsia="宋体" w:cs="宋体"/>
          <w:i w:val="0"/>
          <w:iCs w:val="0"/>
          <w:caps w:val="0"/>
          <w:color w:val="auto"/>
          <w:spacing w:val="0"/>
          <w:kern w:val="0"/>
          <w:sz w:val="24"/>
          <w:szCs w:val="22"/>
          <w:shd w:val="clear" w:color="auto" w:fill="auto"/>
          <w:lang w:val="zh-CN" w:eastAsia="zh-CN"/>
        </w:rPr>
        <w:t>产品应当在中国境内生产，即在中华人民共和国关境内实现从原材料、组件到产品的属性改变。属性改变具体定义和标准详见《国务院办公厅关于在政府采购中实施本国产品标准及相关政策的通知》（国办发〔2025〕34号）规定。</w:t>
      </w:r>
    </w:p>
    <w:p w14:paraId="6678D32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2"/>
          <w:lang w:val="zh-CN" w:eastAsia="zh-CN"/>
        </w:rPr>
      </w:pPr>
      <w:r>
        <w:rPr>
          <w:rFonts w:hint="eastAsia" w:ascii="宋体" w:hAnsi="宋体" w:eastAsia="宋体" w:cs="宋体"/>
          <w:i w:val="0"/>
          <w:iCs w:val="0"/>
          <w:caps w:val="0"/>
          <w:color w:val="auto"/>
          <w:spacing w:val="0"/>
          <w:kern w:val="0"/>
          <w:sz w:val="24"/>
          <w:szCs w:val="22"/>
          <w:shd w:val="clear" w:color="auto" w:fill="auto"/>
          <w:lang w:val="zh-CN" w:eastAsia="zh-CN"/>
        </w:rPr>
        <w:t>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0E0C37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2"/>
          <w:lang w:val="zh-CN" w:eastAsia="zh-CN"/>
        </w:rPr>
      </w:pPr>
      <w:r>
        <w:rPr>
          <w:rFonts w:hint="eastAsia" w:ascii="宋体" w:hAnsi="宋体" w:eastAsia="宋体" w:cs="宋体"/>
          <w:color w:val="auto"/>
          <w:kern w:val="0"/>
          <w:sz w:val="24"/>
          <w:szCs w:val="22"/>
          <w:lang w:val="zh-CN" w:eastAsia="zh-CN"/>
        </w:rPr>
        <w:t>（2）在中国境内生产的组件成本占比达到规定比例</w:t>
      </w:r>
    </w:p>
    <w:p w14:paraId="488AD40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i w:val="0"/>
          <w:iCs w:val="0"/>
          <w:caps w:val="0"/>
          <w:color w:val="auto"/>
          <w:spacing w:val="0"/>
          <w:kern w:val="0"/>
          <w:sz w:val="24"/>
          <w:szCs w:val="22"/>
          <w:shd w:val="clear" w:color="auto" w:fill="auto"/>
          <w:lang w:val="zh-CN"/>
        </w:rPr>
      </w:pPr>
      <w:r>
        <w:rPr>
          <w:rFonts w:hint="eastAsia" w:ascii="宋体" w:hAnsi="宋体" w:eastAsia="宋体" w:cs="宋体"/>
          <w:color w:val="auto"/>
          <w:kern w:val="0"/>
          <w:sz w:val="24"/>
          <w:szCs w:val="22"/>
          <w:lang w:val="zh-CN" w:eastAsia="zh-CN"/>
        </w:rPr>
        <w:t>比例计算公式</w:t>
      </w:r>
      <w:r>
        <w:rPr>
          <w:rFonts w:hint="eastAsia" w:ascii="宋体" w:hAnsi="宋体" w:eastAsia="宋体" w:cs="宋体"/>
          <w:i w:val="0"/>
          <w:iCs w:val="0"/>
          <w:caps w:val="0"/>
          <w:color w:val="auto"/>
          <w:spacing w:val="0"/>
          <w:kern w:val="0"/>
          <w:sz w:val="24"/>
          <w:szCs w:val="22"/>
          <w:shd w:val="clear" w:color="auto" w:fill="auto"/>
          <w:lang w:val="zh-CN" w:eastAsia="zh-CN"/>
        </w:rPr>
        <w:t>详见《国务院办公厅关于在政府采购中实施本国产品标准及相关政策的通知》（国办发〔2025〕34号）规定。</w:t>
      </w:r>
      <w:r>
        <w:rPr>
          <w:rFonts w:hint="eastAsia" w:ascii="宋体" w:hAnsi="宋体" w:eastAsia="宋体" w:cs="宋体"/>
          <w:i w:val="0"/>
          <w:iCs w:val="0"/>
          <w:caps w:val="0"/>
          <w:color w:val="auto"/>
          <w:spacing w:val="0"/>
          <w:kern w:val="0"/>
          <w:sz w:val="24"/>
          <w:szCs w:val="22"/>
          <w:shd w:val="clear" w:color="auto" w:fill="auto"/>
          <w:lang w:val="zh-CN"/>
        </w:rPr>
        <w:t>财政部会同有关行业主管部门，分产品确定在中国境内生产的组件成本占比应当达到的规定比例。在分产品的中国境内生产的组件成本占比相关要求实施前，</w:t>
      </w:r>
      <w:r>
        <w:rPr>
          <w:rFonts w:hint="eastAsia" w:ascii="宋体" w:hAnsi="宋体" w:eastAsia="宋体" w:cs="宋体"/>
          <w:i w:val="0"/>
          <w:iCs w:val="0"/>
          <w:caps w:val="0"/>
          <w:color w:val="auto"/>
          <w:spacing w:val="0"/>
          <w:kern w:val="0"/>
          <w:sz w:val="24"/>
          <w:szCs w:val="22"/>
          <w:shd w:val="clear" w:color="auto" w:fill="auto"/>
          <w:lang w:val="zh-CN" w:eastAsia="zh-CN"/>
        </w:rPr>
        <w:t>符合上述第（1）条“在中国境内生产”</w:t>
      </w:r>
      <w:r>
        <w:rPr>
          <w:rFonts w:hint="eastAsia" w:ascii="宋体" w:hAnsi="宋体" w:eastAsia="宋体" w:cs="宋体"/>
          <w:i w:val="0"/>
          <w:iCs w:val="0"/>
          <w:caps w:val="0"/>
          <w:color w:val="auto"/>
          <w:spacing w:val="0"/>
          <w:kern w:val="0"/>
          <w:sz w:val="24"/>
          <w:szCs w:val="22"/>
          <w:shd w:val="clear" w:color="auto" w:fill="auto"/>
          <w:lang w:val="zh-CN"/>
        </w:rPr>
        <w:t>条件的产品在政府采购活动中视同本国产品。</w:t>
      </w:r>
    </w:p>
    <w:p w14:paraId="0F60EE1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i w:val="0"/>
          <w:iCs w:val="0"/>
          <w:caps w:val="0"/>
          <w:color w:val="auto"/>
          <w:spacing w:val="0"/>
          <w:kern w:val="0"/>
          <w:sz w:val="24"/>
          <w:szCs w:val="22"/>
          <w:shd w:val="clear" w:color="auto" w:fill="auto"/>
          <w:lang w:val="zh-CN" w:eastAsia="zh-CN"/>
        </w:rPr>
      </w:pPr>
      <w:r>
        <w:rPr>
          <w:rFonts w:hint="eastAsia" w:ascii="宋体" w:hAnsi="宋体" w:eastAsia="宋体" w:cs="宋体"/>
          <w:i w:val="0"/>
          <w:iCs w:val="0"/>
          <w:caps w:val="0"/>
          <w:color w:val="auto"/>
          <w:spacing w:val="0"/>
          <w:kern w:val="0"/>
          <w:sz w:val="24"/>
          <w:szCs w:val="22"/>
          <w:shd w:val="clear" w:color="auto" w:fill="auto"/>
          <w:lang w:val="zh-CN" w:eastAsia="zh-CN"/>
        </w:rPr>
        <w:t>（3）特定产品的关键组件、关键工序符合相关要求</w:t>
      </w:r>
    </w:p>
    <w:p w14:paraId="058BBDB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i w:val="0"/>
          <w:iCs w:val="0"/>
          <w:caps w:val="0"/>
          <w:color w:val="auto"/>
          <w:spacing w:val="0"/>
          <w:kern w:val="0"/>
          <w:sz w:val="24"/>
          <w:szCs w:val="22"/>
          <w:shd w:val="clear" w:color="auto" w:fill="auto"/>
          <w:lang w:val="zh-CN" w:eastAsia="zh-CN"/>
        </w:rPr>
      </w:pPr>
      <w:r>
        <w:rPr>
          <w:rFonts w:hint="eastAsia" w:ascii="宋体" w:hAnsi="宋体" w:eastAsia="宋体" w:cs="宋体"/>
          <w:i w:val="0"/>
          <w:iCs w:val="0"/>
          <w:caps w:val="0"/>
          <w:color w:val="auto"/>
          <w:spacing w:val="0"/>
          <w:kern w:val="0"/>
          <w:sz w:val="24"/>
          <w:szCs w:val="22"/>
          <w:shd w:val="clear" w:color="auto" w:fill="auto"/>
          <w:lang w:val="zh-CN"/>
        </w:rPr>
        <w:t>对特定产品，在符合本通知第一条第（一）项和第（二）项条件的基础上，应当符合财政部会同有关行业主管部门确定的其关键组件、关键工序在中国境内生产、完成等要求。</w:t>
      </w:r>
    </w:p>
    <w:p w14:paraId="731A0B3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2"/>
          <w:lang w:val="zh-CN" w:eastAsia="zh-CN"/>
        </w:rPr>
      </w:pPr>
      <w:r>
        <w:rPr>
          <w:rFonts w:hint="eastAsia" w:ascii="宋体" w:hAnsi="宋体" w:eastAsia="宋体" w:cs="宋体"/>
          <w:color w:val="auto"/>
          <w:kern w:val="0"/>
          <w:sz w:val="24"/>
          <w:szCs w:val="22"/>
          <w:lang w:val="zh-CN" w:eastAsia="zh-CN"/>
        </w:rPr>
        <w:t>40.3本国产品标准的适用范围</w:t>
      </w:r>
    </w:p>
    <w:p w14:paraId="69CB58C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2"/>
          <w:lang w:val="zh-CN" w:eastAsia="zh-CN"/>
        </w:rPr>
      </w:pPr>
      <w:r>
        <w:rPr>
          <w:rFonts w:hint="eastAsia" w:ascii="宋体" w:hAnsi="宋体" w:eastAsia="宋体" w:cs="宋体"/>
          <w:color w:val="auto"/>
          <w:kern w:val="0"/>
          <w:sz w:val="24"/>
          <w:szCs w:val="22"/>
          <w:lang w:val="zh-CN"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B52CF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40.4对本国产品的支持政策</w:t>
      </w:r>
    </w:p>
    <w:p w14:paraId="042AE227">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kern w:val="0"/>
          <w:sz w:val="24"/>
          <w:szCs w:val="22"/>
          <w:lang w:val="en-US" w:eastAsia="zh-CN"/>
        </w:rPr>
      </w:pPr>
      <w:r>
        <w:rPr>
          <w:rFonts w:hint="eastAsia" w:ascii="宋体" w:hAnsi="宋体" w:eastAsia="宋体" w:cs="宋体"/>
          <w:b/>
          <w:bCs/>
          <w:color w:val="auto"/>
          <w:kern w:val="0"/>
          <w:sz w:val="24"/>
          <w:szCs w:val="22"/>
          <w:lang w:val="en-US" w:eastAsia="zh-CN"/>
        </w:rPr>
        <w:t>本项目如</w:t>
      </w:r>
      <w:r>
        <w:rPr>
          <w:rFonts w:hint="eastAsia" w:ascii="宋体" w:hAnsi="宋体" w:eastAsia="宋体" w:cs="宋体"/>
          <w:b/>
          <w:bCs/>
          <w:color w:val="auto"/>
          <w:kern w:val="0"/>
          <w:sz w:val="24"/>
          <w:szCs w:val="22"/>
          <w:lang w:val="zh-CN" w:eastAsia="zh-CN"/>
        </w:rPr>
        <w:t>既有本国产品又有非本国产品参与竞争，依法对本国产品给予价格评审优惠，</w:t>
      </w:r>
      <w:r>
        <w:rPr>
          <w:rFonts w:hint="eastAsia" w:ascii="宋体" w:hAnsi="宋体" w:eastAsia="宋体" w:cs="宋体"/>
          <w:b/>
          <w:bCs/>
          <w:color w:val="auto"/>
          <w:kern w:val="0"/>
          <w:sz w:val="24"/>
          <w:szCs w:val="22"/>
          <w:lang w:val="en-US" w:eastAsia="zh-CN"/>
        </w:rPr>
        <w:t>具体详见第七章。</w:t>
      </w:r>
    </w:p>
    <w:p w14:paraId="5559307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kern w:val="0"/>
          <w:sz w:val="24"/>
          <w:szCs w:val="22"/>
          <w:lang w:val="en-US" w:eastAsia="zh-CN"/>
        </w:rPr>
      </w:pPr>
      <w:r>
        <w:rPr>
          <w:rFonts w:hint="eastAsia" w:ascii="宋体" w:hAnsi="宋体" w:eastAsia="宋体" w:cs="宋体"/>
          <w:b w:val="0"/>
          <w:bCs w:val="0"/>
          <w:color w:val="auto"/>
          <w:kern w:val="0"/>
          <w:sz w:val="24"/>
          <w:szCs w:val="22"/>
          <w:lang w:val="en-US" w:eastAsia="zh-CN"/>
        </w:rPr>
        <w:t>40.5政策执行要求</w:t>
      </w:r>
    </w:p>
    <w:p w14:paraId="11B2DE7B">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i w:val="0"/>
          <w:iCs w:val="0"/>
          <w:caps w:val="0"/>
          <w:color w:val="333333"/>
          <w:spacing w:val="0"/>
          <w:kern w:val="0"/>
          <w:sz w:val="24"/>
          <w:szCs w:val="24"/>
          <w:shd w:val="clear" w:color="auto" w:fill="FFFFFF"/>
          <w:lang w:val="en-US" w:eastAsia="zh-CN"/>
        </w:rPr>
      </w:pPr>
      <w:r>
        <w:rPr>
          <w:rFonts w:hint="eastAsia" w:ascii="宋体" w:hAnsi="宋体" w:eastAsia="宋体" w:cs="宋体"/>
          <w:color w:val="auto"/>
          <w:kern w:val="0"/>
          <w:sz w:val="24"/>
          <w:szCs w:val="22"/>
          <w:lang w:val="zh-CN" w:eastAsia="zh-CN"/>
        </w:rPr>
        <w:t>（</w:t>
      </w:r>
      <w:r>
        <w:rPr>
          <w:rFonts w:hint="eastAsia" w:ascii="宋体" w:hAnsi="宋体" w:eastAsia="宋体" w:cs="宋体"/>
          <w:color w:val="auto"/>
          <w:kern w:val="0"/>
          <w:sz w:val="24"/>
          <w:szCs w:val="22"/>
          <w:lang w:val="en-US" w:eastAsia="zh-CN"/>
        </w:rPr>
        <w:t>1</w:t>
      </w:r>
      <w:r>
        <w:rPr>
          <w:rFonts w:hint="eastAsia" w:ascii="宋体" w:hAnsi="宋体" w:eastAsia="宋体" w:cs="宋体"/>
          <w:color w:val="auto"/>
          <w:kern w:val="0"/>
          <w:sz w:val="24"/>
          <w:szCs w:val="22"/>
          <w:lang w:val="zh-CN" w:eastAsia="zh-CN"/>
        </w:rPr>
        <w:t>）产品在中国境内生产的组件成本核算规则。产品在中国境内生产的组件成本，按照《中国境内生产的组件成本核算基本规则》计算，</w:t>
      </w:r>
      <w:r>
        <w:rPr>
          <w:rFonts w:hint="eastAsia" w:ascii="宋体" w:hAnsi="宋体" w:eastAsia="宋体" w:cs="宋体"/>
          <w:color w:val="auto"/>
          <w:kern w:val="0"/>
          <w:sz w:val="24"/>
          <w:szCs w:val="22"/>
          <w:lang w:val="en-US" w:eastAsia="zh-CN"/>
        </w:rPr>
        <w:t>详见</w:t>
      </w:r>
      <w:r>
        <w:rPr>
          <w:rFonts w:hint="eastAsia" w:ascii="宋体" w:hAnsi="宋体" w:eastAsia="宋体" w:cs="宋体"/>
          <w:i w:val="0"/>
          <w:iCs w:val="0"/>
          <w:caps w:val="0"/>
          <w:color w:val="333333"/>
          <w:spacing w:val="0"/>
          <w:kern w:val="0"/>
          <w:sz w:val="24"/>
          <w:szCs w:val="24"/>
          <w:shd w:val="clear" w:color="auto" w:fill="FFFFFF"/>
          <w:lang w:val="en-US" w:eastAsia="zh-CN"/>
        </w:rPr>
        <w:t>《国务院办公厅关于在政府采购中实施本国产品标准及相关政策的通知》（国办发〔2025〕34号）规定。</w:t>
      </w:r>
    </w:p>
    <w:p w14:paraId="632D4F12">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kern w:val="0"/>
          <w:sz w:val="24"/>
          <w:szCs w:val="22"/>
          <w:lang w:val="en-US" w:eastAsia="zh-CN"/>
        </w:rPr>
      </w:pPr>
      <w:r>
        <w:rPr>
          <w:rFonts w:hint="eastAsia" w:ascii="宋体" w:hAnsi="宋体" w:eastAsia="宋体" w:cs="宋体"/>
          <w:color w:val="auto"/>
          <w:kern w:val="0"/>
          <w:sz w:val="24"/>
          <w:szCs w:val="22"/>
          <w:lang w:val="zh-CN" w:eastAsia="zh-CN"/>
        </w:rPr>
        <w:t>（2）有关证明文件。</w:t>
      </w:r>
      <w:r>
        <w:rPr>
          <w:rFonts w:hint="eastAsia" w:ascii="宋体" w:hAnsi="宋体" w:eastAsia="宋体" w:cs="宋体"/>
          <w:b/>
          <w:bCs/>
          <w:color w:val="auto"/>
          <w:kern w:val="0"/>
          <w:sz w:val="24"/>
          <w:szCs w:val="22"/>
          <w:lang w:val="en-US" w:eastAsia="zh-CN"/>
        </w:rPr>
        <w:t>供应商对提供的本国产品出具《关于符合本国产品标准的声明函》（格式见第四章）或财政部会同有关部门规定的有关证明文件，出具符合要求的《关于符合本国产品标准的声明函》或有关证明文件的，该产品视为本国产品，不再要求供应商提供其他证明材料。供应商提供虚假《关于符合本国产品标准的声明函》、虚假证明文件谋取中标（成交）的，依照《中华人民共和国政府采购法》等法律法规规定追究相应责任。</w:t>
      </w:r>
    </w:p>
    <w:p w14:paraId="0430D75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2"/>
          <w:lang w:val="zh-CN" w:eastAsia="zh-CN"/>
        </w:rPr>
      </w:pPr>
      <w:r>
        <w:rPr>
          <w:rFonts w:hint="eastAsia" w:ascii="宋体" w:hAnsi="宋体" w:eastAsia="宋体" w:cs="宋体"/>
          <w:i w:val="0"/>
          <w:iCs w:val="0"/>
          <w:caps w:val="0"/>
          <w:color w:val="auto"/>
          <w:spacing w:val="0"/>
          <w:kern w:val="0"/>
          <w:sz w:val="24"/>
          <w:szCs w:val="22"/>
          <w:shd w:val="clear" w:color="auto" w:fill="auto"/>
          <w:lang w:val="zh-CN" w:eastAsia="zh-CN"/>
        </w:rPr>
        <w:t>评审委员会评审</w:t>
      </w:r>
      <w:r>
        <w:rPr>
          <w:rFonts w:hint="eastAsia" w:ascii="宋体" w:hAnsi="宋体" w:eastAsia="宋体" w:cs="宋体"/>
          <w:i w:val="0"/>
          <w:iCs w:val="0"/>
          <w:caps w:val="0"/>
          <w:color w:val="auto"/>
          <w:spacing w:val="0"/>
          <w:kern w:val="0"/>
          <w:sz w:val="24"/>
          <w:szCs w:val="22"/>
          <w:shd w:val="clear" w:color="auto" w:fill="auto"/>
          <w:lang w:val="zh-CN"/>
        </w:rPr>
        <w:t>中发现</w:t>
      </w:r>
      <w:r>
        <w:rPr>
          <w:rFonts w:hint="eastAsia" w:ascii="宋体" w:hAnsi="宋体" w:eastAsia="宋体" w:cs="宋体"/>
          <w:i w:val="0"/>
          <w:iCs w:val="0"/>
          <w:caps w:val="0"/>
          <w:color w:val="auto"/>
          <w:spacing w:val="0"/>
          <w:kern w:val="0"/>
          <w:sz w:val="24"/>
          <w:szCs w:val="22"/>
          <w:shd w:val="clear" w:color="auto" w:fill="auto"/>
          <w:lang w:val="zh-CN" w:eastAsia="zh-CN"/>
        </w:rPr>
        <w:t>供应商提供的</w:t>
      </w:r>
      <w:r>
        <w:rPr>
          <w:rFonts w:hint="eastAsia" w:ascii="宋体" w:hAnsi="宋体" w:eastAsia="宋体" w:cs="宋体"/>
          <w:i w:val="0"/>
          <w:iCs w:val="0"/>
          <w:caps w:val="0"/>
          <w:color w:val="auto"/>
          <w:spacing w:val="0"/>
          <w:kern w:val="0"/>
          <w:sz w:val="24"/>
          <w:szCs w:val="22"/>
          <w:shd w:val="clear" w:color="auto" w:fill="auto"/>
          <w:lang w:val="zh-CN"/>
        </w:rPr>
        <w:t>《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i w:val="0"/>
          <w:iCs w:val="0"/>
          <w:caps w:val="0"/>
          <w:color w:val="auto"/>
          <w:spacing w:val="0"/>
          <w:kern w:val="0"/>
          <w:sz w:val="24"/>
          <w:szCs w:val="22"/>
          <w:shd w:val="clear" w:color="auto" w:fill="auto"/>
          <w:lang w:val="zh-CN" w:eastAsia="zh-CN"/>
        </w:rPr>
        <w:t>在</w:t>
      </w:r>
      <w:r>
        <w:rPr>
          <w:rFonts w:hint="eastAsia" w:ascii="宋体" w:hAnsi="宋体" w:eastAsia="宋体" w:cs="宋体"/>
          <w:i w:val="0"/>
          <w:iCs w:val="0"/>
          <w:caps w:val="0"/>
          <w:color w:val="auto"/>
          <w:spacing w:val="0"/>
          <w:kern w:val="0"/>
          <w:sz w:val="24"/>
          <w:szCs w:val="22"/>
          <w:shd w:val="clear" w:color="auto" w:fill="auto"/>
          <w:lang w:val="zh-CN"/>
        </w:rPr>
        <w:t>政府采购中实施本国产品标准及相关政策规定要求的，供应商提供的相关产品视为不符合本国产品标准。</w:t>
      </w:r>
    </w:p>
    <w:p w14:paraId="11BC4EB3">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color w:val="000000"/>
          <w:kern w:val="0"/>
          <w:sz w:val="24"/>
          <w:szCs w:val="24"/>
          <w:lang w:val="en-US" w:eastAsia="zh-CN" w:bidi="ar"/>
        </w:rPr>
      </w:pPr>
    </w:p>
    <w:p w14:paraId="0B39B9BE">
      <w:pPr>
        <w:rPr>
          <w:rFonts w:hint="eastAsia" w:ascii="宋体" w:hAnsi="宋体" w:eastAsia="宋体" w:cs="宋体"/>
          <w:b/>
          <w:bCs/>
          <w:color w:val="000000"/>
          <w:kern w:val="44"/>
          <w:sz w:val="36"/>
          <w:szCs w:val="20"/>
        </w:rPr>
      </w:pPr>
      <w:bookmarkStart w:id="12" w:name="_Toc513622228"/>
      <w:bookmarkStart w:id="13" w:name="_Toc139967211"/>
      <w:bookmarkStart w:id="14" w:name="_Toc139966427"/>
      <w:r>
        <w:rPr>
          <w:rFonts w:hint="eastAsia" w:ascii="宋体" w:hAnsi="宋体" w:eastAsia="宋体" w:cs="宋体"/>
          <w:b/>
          <w:bCs/>
          <w:color w:val="000000"/>
          <w:kern w:val="44"/>
          <w:sz w:val="36"/>
          <w:szCs w:val="20"/>
        </w:rPr>
        <w:br w:type="page"/>
      </w:r>
    </w:p>
    <w:p w14:paraId="7A02E644">
      <w:pPr>
        <w:keepNext w:val="0"/>
        <w:keepLines w:val="0"/>
        <w:widowControl/>
        <w:suppressLineNumbers w:val="0"/>
        <w:spacing w:line="360" w:lineRule="auto"/>
        <w:ind w:firstLine="361" w:firstLineChars="100"/>
        <w:jc w:val="center"/>
        <w:rPr>
          <w:rFonts w:hint="eastAsia" w:ascii="宋体" w:hAnsi="宋体" w:eastAsia="宋体" w:cs="宋体"/>
          <w:b/>
          <w:kern w:val="44"/>
          <w:sz w:val="36"/>
          <w:szCs w:val="20"/>
        </w:rPr>
      </w:pPr>
      <w:r>
        <w:rPr>
          <w:rFonts w:hint="eastAsia" w:ascii="宋体" w:hAnsi="宋体" w:eastAsia="宋体" w:cs="宋体"/>
          <w:b/>
          <w:bCs/>
          <w:color w:val="000000"/>
          <w:kern w:val="44"/>
          <w:sz w:val="36"/>
          <w:szCs w:val="20"/>
        </w:rPr>
        <w:t>第三章  政府采购合同格式</w:t>
      </w:r>
      <w:bookmarkEnd w:id="12"/>
      <w:bookmarkEnd w:id="13"/>
      <w:bookmarkEnd w:id="14"/>
    </w:p>
    <w:p w14:paraId="027F2DF1">
      <w:pPr>
        <w:spacing w:line="360" w:lineRule="auto"/>
        <w:ind w:firstLine="880" w:firstLineChars="200"/>
        <w:rPr>
          <w:rFonts w:hint="eastAsia" w:ascii="宋体" w:hAnsi="宋体" w:eastAsia="宋体" w:cs="宋体"/>
          <w:color w:val="000000"/>
          <w:sz w:val="44"/>
          <w:szCs w:val="24"/>
        </w:rPr>
      </w:pPr>
    </w:p>
    <w:p w14:paraId="0E73D175">
      <w:pPr>
        <w:spacing w:line="360" w:lineRule="auto"/>
        <w:ind w:firstLine="880" w:firstLineChars="200"/>
        <w:rPr>
          <w:rFonts w:hint="eastAsia" w:ascii="宋体" w:hAnsi="宋体" w:eastAsia="宋体" w:cs="宋体"/>
          <w:color w:val="000000"/>
          <w:sz w:val="44"/>
          <w:szCs w:val="24"/>
        </w:rPr>
      </w:pPr>
    </w:p>
    <w:p w14:paraId="298710B2">
      <w:pPr>
        <w:spacing w:line="360" w:lineRule="auto"/>
        <w:ind w:firstLine="880" w:firstLineChars="200"/>
        <w:rPr>
          <w:rFonts w:hint="eastAsia" w:ascii="宋体" w:hAnsi="宋体" w:eastAsia="宋体" w:cs="宋体"/>
          <w:color w:val="000000"/>
          <w:sz w:val="44"/>
          <w:szCs w:val="24"/>
        </w:rPr>
      </w:pPr>
    </w:p>
    <w:p w14:paraId="01B150A0">
      <w:pPr>
        <w:spacing w:line="360" w:lineRule="auto"/>
        <w:ind w:firstLine="880" w:firstLineChars="200"/>
        <w:rPr>
          <w:rFonts w:hint="eastAsia" w:ascii="宋体" w:hAnsi="宋体" w:eastAsia="宋体" w:cs="宋体"/>
          <w:color w:val="000000"/>
          <w:sz w:val="44"/>
          <w:szCs w:val="24"/>
        </w:rPr>
      </w:pPr>
    </w:p>
    <w:p w14:paraId="2D7116C3">
      <w:pPr>
        <w:spacing w:line="360" w:lineRule="auto"/>
        <w:ind w:firstLine="2078" w:firstLineChars="398"/>
        <w:rPr>
          <w:rFonts w:hint="eastAsia" w:ascii="宋体" w:hAnsi="宋体" w:eastAsia="宋体" w:cs="宋体"/>
          <w:b/>
          <w:bCs/>
          <w:color w:val="000000"/>
          <w:sz w:val="52"/>
          <w:szCs w:val="24"/>
        </w:rPr>
      </w:pPr>
      <w:r>
        <w:rPr>
          <w:rFonts w:hint="eastAsia" w:ascii="宋体" w:hAnsi="宋体" w:eastAsia="宋体" w:cs="宋体"/>
          <w:b/>
          <w:bCs/>
          <w:color w:val="000000"/>
          <w:sz w:val="52"/>
          <w:szCs w:val="24"/>
          <w:lang w:val="en-US" w:eastAsia="zh-CN"/>
        </w:rPr>
        <w:t>东 海 县</w:t>
      </w:r>
      <w:r>
        <w:rPr>
          <w:rFonts w:hint="eastAsia" w:ascii="宋体" w:hAnsi="宋体" w:eastAsia="宋体" w:cs="宋体"/>
          <w:b/>
          <w:bCs/>
          <w:color w:val="000000"/>
          <w:sz w:val="52"/>
          <w:szCs w:val="24"/>
        </w:rPr>
        <w:t xml:space="preserve"> 政 府 采 购</w:t>
      </w:r>
    </w:p>
    <w:p w14:paraId="3011616F">
      <w:pPr>
        <w:spacing w:line="360" w:lineRule="auto"/>
        <w:ind w:firstLine="420" w:firstLineChars="200"/>
        <w:rPr>
          <w:rFonts w:hint="eastAsia" w:ascii="宋体" w:hAnsi="宋体" w:eastAsia="宋体" w:cs="宋体"/>
          <w:color w:val="000000"/>
          <w:szCs w:val="24"/>
        </w:rPr>
      </w:pPr>
    </w:p>
    <w:p w14:paraId="5CBE2866">
      <w:pPr>
        <w:spacing w:line="360" w:lineRule="auto"/>
        <w:ind w:firstLine="883" w:firstLineChars="200"/>
        <w:jc w:val="center"/>
        <w:rPr>
          <w:rFonts w:hint="eastAsia" w:ascii="宋体" w:hAnsi="宋体" w:eastAsia="宋体" w:cs="宋体"/>
          <w:b/>
          <w:bCs/>
          <w:color w:val="000000"/>
          <w:sz w:val="44"/>
          <w:szCs w:val="24"/>
        </w:rPr>
      </w:pPr>
      <w:r>
        <w:rPr>
          <w:rFonts w:hint="eastAsia" w:ascii="宋体" w:hAnsi="宋体" w:eastAsia="宋体" w:cs="宋体"/>
          <w:b/>
          <w:bCs/>
          <w:color w:val="000000"/>
          <w:sz w:val="44"/>
          <w:szCs w:val="24"/>
          <w:u w:val="single"/>
        </w:rPr>
        <w:t xml:space="preserve">                    </w:t>
      </w:r>
      <w:r>
        <w:rPr>
          <w:rFonts w:hint="eastAsia" w:ascii="宋体" w:hAnsi="宋体" w:eastAsia="宋体" w:cs="宋体"/>
          <w:b/>
          <w:bCs/>
          <w:color w:val="000000"/>
          <w:sz w:val="44"/>
          <w:szCs w:val="24"/>
        </w:rPr>
        <w:t>合同</w:t>
      </w:r>
    </w:p>
    <w:p w14:paraId="073736F3">
      <w:pPr>
        <w:spacing w:line="360" w:lineRule="auto"/>
        <w:ind w:firstLine="420" w:firstLineChars="200"/>
        <w:rPr>
          <w:rFonts w:hint="eastAsia" w:ascii="宋体" w:hAnsi="宋体" w:eastAsia="宋体" w:cs="宋体"/>
          <w:color w:val="000000"/>
          <w:szCs w:val="24"/>
        </w:rPr>
      </w:pPr>
    </w:p>
    <w:p w14:paraId="37912861">
      <w:pPr>
        <w:spacing w:line="360" w:lineRule="auto"/>
        <w:ind w:firstLine="3507" w:firstLineChars="794"/>
        <w:rPr>
          <w:rFonts w:hint="eastAsia" w:ascii="宋体" w:hAnsi="宋体" w:eastAsia="宋体" w:cs="宋体"/>
          <w:b/>
          <w:bCs/>
          <w:color w:val="000000"/>
          <w:sz w:val="44"/>
          <w:szCs w:val="24"/>
        </w:rPr>
      </w:pPr>
    </w:p>
    <w:p w14:paraId="5C56C717">
      <w:pPr>
        <w:spacing w:line="360" w:lineRule="auto"/>
        <w:ind w:firstLine="3507" w:firstLineChars="794"/>
        <w:rPr>
          <w:rFonts w:hint="eastAsia" w:ascii="宋体" w:hAnsi="宋体" w:eastAsia="宋体" w:cs="宋体"/>
          <w:b/>
          <w:bCs/>
          <w:color w:val="000000"/>
          <w:sz w:val="44"/>
          <w:szCs w:val="24"/>
        </w:rPr>
      </w:pPr>
    </w:p>
    <w:p w14:paraId="42AB0963">
      <w:pPr>
        <w:spacing w:line="360" w:lineRule="auto"/>
        <w:ind w:firstLine="3507" w:firstLineChars="794"/>
        <w:rPr>
          <w:rFonts w:hint="eastAsia" w:ascii="宋体" w:hAnsi="宋体" w:eastAsia="宋体" w:cs="宋体"/>
          <w:b/>
          <w:bCs/>
          <w:color w:val="000000"/>
          <w:sz w:val="44"/>
          <w:szCs w:val="24"/>
        </w:rPr>
      </w:pPr>
    </w:p>
    <w:p w14:paraId="6D3FE468">
      <w:pPr>
        <w:spacing w:line="360" w:lineRule="auto"/>
        <w:ind w:firstLine="1802" w:firstLineChars="408"/>
        <w:rPr>
          <w:rFonts w:hint="eastAsia" w:ascii="宋体" w:hAnsi="宋体" w:eastAsia="宋体" w:cs="宋体"/>
          <w:color w:val="000000"/>
          <w:sz w:val="44"/>
          <w:szCs w:val="24"/>
        </w:rPr>
      </w:pPr>
      <w:r>
        <w:rPr>
          <w:rFonts w:hint="eastAsia" w:ascii="宋体" w:hAnsi="宋体" w:eastAsia="宋体" w:cs="宋体"/>
          <w:b/>
          <w:bCs/>
          <w:color w:val="000000"/>
          <w:sz w:val="44"/>
          <w:szCs w:val="44"/>
        </w:rPr>
        <w:t>合同编号：</w:t>
      </w:r>
    </w:p>
    <w:p w14:paraId="1A238D38">
      <w:pPr>
        <w:spacing w:line="360" w:lineRule="auto"/>
        <w:ind w:firstLine="880" w:firstLineChars="200"/>
        <w:rPr>
          <w:rFonts w:hint="eastAsia" w:ascii="宋体" w:hAnsi="宋体" w:eastAsia="宋体" w:cs="宋体"/>
          <w:color w:val="000000"/>
          <w:sz w:val="44"/>
          <w:szCs w:val="24"/>
        </w:rPr>
      </w:pPr>
    </w:p>
    <w:p w14:paraId="10B6A4E1">
      <w:pPr>
        <w:spacing w:line="360" w:lineRule="auto"/>
        <w:ind w:firstLine="1758" w:firstLineChars="398"/>
        <w:rPr>
          <w:rFonts w:hint="eastAsia" w:ascii="宋体" w:hAnsi="宋体" w:eastAsia="宋体" w:cs="宋体"/>
          <w:b/>
          <w:bCs/>
          <w:color w:val="000000"/>
          <w:sz w:val="44"/>
          <w:szCs w:val="24"/>
        </w:rPr>
      </w:pPr>
      <w:r>
        <w:rPr>
          <w:rFonts w:hint="eastAsia" w:ascii="宋体" w:hAnsi="宋体" w:eastAsia="宋体" w:cs="宋体"/>
          <w:b/>
          <w:bCs/>
          <w:color w:val="000000"/>
          <w:sz w:val="44"/>
          <w:szCs w:val="24"/>
        </w:rPr>
        <w:t>采购人：</w:t>
      </w:r>
    </w:p>
    <w:p w14:paraId="28192F42">
      <w:pPr>
        <w:spacing w:line="360" w:lineRule="auto"/>
        <w:ind w:firstLine="1758" w:firstLineChars="398"/>
        <w:rPr>
          <w:rFonts w:hint="eastAsia" w:ascii="宋体" w:hAnsi="宋体" w:eastAsia="宋体" w:cs="宋体"/>
          <w:b/>
          <w:bCs/>
          <w:color w:val="000000"/>
          <w:sz w:val="44"/>
          <w:szCs w:val="24"/>
        </w:rPr>
      </w:pPr>
      <w:r>
        <w:rPr>
          <w:rFonts w:hint="eastAsia" w:ascii="宋体" w:hAnsi="宋体" w:eastAsia="宋体" w:cs="宋体"/>
          <w:b/>
          <w:bCs/>
          <w:color w:val="000000"/>
          <w:sz w:val="44"/>
          <w:szCs w:val="24"/>
        </w:rPr>
        <w:t>中标人：</w:t>
      </w:r>
    </w:p>
    <w:p w14:paraId="65353C55">
      <w:pPr>
        <w:spacing w:line="360" w:lineRule="auto"/>
        <w:ind w:firstLine="420" w:firstLineChars="200"/>
        <w:rPr>
          <w:rFonts w:hint="eastAsia" w:ascii="宋体" w:hAnsi="宋体" w:eastAsia="宋体" w:cs="宋体"/>
          <w:color w:val="000000"/>
          <w:szCs w:val="24"/>
        </w:rPr>
      </w:pPr>
    </w:p>
    <w:p w14:paraId="5279523D">
      <w:pPr>
        <w:spacing w:line="360" w:lineRule="auto"/>
        <w:ind w:firstLine="420" w:firstLineChars="200"/>
        <w:rPr>
          <w:rFonts w:hint="eastAsia" w:ascii="宋体" w:hAnsi="宋体" w:eastAsia="宋体" w:cs="宋体"/>
          <w:color w:val="000000"/>
          <w:szCs w:val="24"/>
        </w:rPr>
      </w:pPr>
    </w:p>
    <w:p w14:paraId="460E1672">
      <w:pPr>
        <w:spacing w:line="360" w:lineRule="auto"/>
        <w:ind w:firstLine="420" w:firstLineChars="200"/>
        <w:rPr>
          <w:rFonts w:hint="eastAsia" w:ascii="宋体" w:hAnsi="宋体" w:eastAsia="宋体" w:cs="宋体"/>
          <w:color w:val="000000"/>
          <w:szCs w:val="24"/>
        </w:rPr>
      </w:pPr>
    </w:p>
    <w:p w14:paraId="78D7FBDF">
      <w:pPr>
        <w:spacing w:line="360" w:lineRule="auto"/>
        <w:ind w:firstLine="560" w:firstLineChars="200"/>
        <w:rPr>
          <w:rFonts w:hint="eastAsia" w:ascii="宋体" w:hAnsi="宋体" w:eastAsia="宋体" w:cs="宋体"/>
          <w:color w:val="000000"/>
          <w:sz w:val="28"/>
          <w:szCs w:val="24"/>
        </w:rPr>
      </w:pPr>
    </w:p>
    <w:p w14:paraId="1D87E8BC">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75754A66">
      <w:pPr>
        <w:spacing w:line="360" w:lineRule="auto"/>
        <w:ind w:left="359" w:leftChars="171" w:firstLine="228" w:firstLineChars="71"/>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目  录</w:t>
      </w:r>
    </w:p>
    <w:p w14:paraId="767A9B54">
      <w:pPr>
        <w:tabs>
          <w:tab w:val="left" w:pos="1170"/>
        </w:tabs>
        <w:spacing w:line="360" w:lineRule="auto"/>
        <w:ind w:left="359" w:leftChars="171" w:firstLine="198" w:firstLineChars="71"/>
        <w:rPr>
          <w:rFonts w:hint="eastAsia" w:ascii="宋体" w:hAnsi="宋体" w:eastAsia="宋体" w:cs="宋体"/>
          <w:color w:val="000000"/>
          <w:sz w:val="28"/>
          <w:szCs w:val="24"/>
        </w:rPr>
      </w:pPr>
      <w:r>
        <w:rPr>
          <w:rFonts w:hint="eastAsia" w:ascii="宋体" w:hAnsi="宋体" w:eastAsia="宋体" w:cs="宋体"/>
          <w:color w:val="000000"/>
          <w:sz w:val="28"/>
          <w:szCs w:val="24"/>
        </w:rPr>
        <w:tab/>
      </w:r>
    </w:p>
    <w:p w14:paraId="154C2E58">
      <w:pPr>
        <w:numPr>
          <w:ilvl w:val="0"/>
          <w:numId w:val="3"/>
        </w:numPr>
        <w:spacing w:line="360" w:lineRule="auto"/>
        <w:ind w:left="357" w:firstLine="560" w:firstLineChars="200"/>
        <w:rPr>
          <w:rFonts w:hint="eastAsia" w:ascii="宋体" w:hAnsi="宋体" w:eastAsia="宋体" w:cs="宋体"/>
          <w:color w:val="000000"/>
          <w:sz w:val="28"/>
          <w:szCs w:val="24"/>
        </w:rPr>
      </w:pPr>
      <w:r>
        <w:rPr>
          <w:rFonts w:hint="eastAsia" w:ascii="宋体" w:hAnsi="宋体" w:eastAsia="宋体" w:cs="宋体"/>
          <w:color w:val="000000"/>
          <w:sz w:val="28"/>
          <w:szCs w:val="24"/>
        </w:rPr>
        <w:t>合同书</w:t>
      </w:r>
    </w:p>
    <w:p w14:paraId="14439D54">
      <w:pPr>
        <w:numPr>
          <w:ilvl w:val="0"/>
          <w:numId w:val="3"/>
        </w:numPr>
        <w:spacing w:line="360" w:lineRule="auto"/>
        <w:ind w:left="357" w:firstLine="560" w:firstLineChars="200"/>
        <w:rPr>
          <w:rFonts w:hint="eastAsia" w:ascii="宋体" w:hAnsi="宋体" w:eastAsia="宋体" w:cs="宋体"/>
          <w:color w:val="000000"/>
          <w:sz w:val="28"/>
          <w:szCs w:val="24"/>
        </w:rPr>
      </w:pPr>
      <w:r>
        <w:rPr>
          <w:rFonts w:hint="eastAsia" w:ascii="宋体" w:hAnsi="宋体" w:eastAsia="宋体" w:cs="宋体"/>
          <w:color w:val="000000"/>
          <w:sz w:val="28"/>
          <w:szCs w:val="24"/>
        </w:rPr>
        <w:t>中标通知书</w:t>
      </w:r>
    </w:p>
    <w:p w14:paraId="36EB4E94">
      <w:pPr>
        <w:numPr>
          <w:ilvl w:val="0"/>
          <w:numId w:val="3"/>
        </w:numPr>
        <w:spacing w:line="360" w:lineRule="auto"/>
        <w:ind w:left="357" w:firstLine="560" w:firstLineChars="200"/>
        <w:rPr>
          <w:rFonts w:hint="eastAsia" w:ascii="宋体" w:hAnsi="宋体" w:eastAsia="宋体" w:cs="宋体"/>
          <w:color w:val="000000"/>
          <w:sz w:val="28"/>
          <w:szCs w:val="24"/>
        </w:rPr>
      </w:pPr>
      <w:r>
        <w:rPr>
          <w:rFonts w:hint="eastAsia" w:ascii="宋体" w:hAnsi="宋体" w:eastAsia="宋体" w:cs="宋体"/>
          <w:color w:val="000000"/>
          <w:sz w:val="28"/>
          <w:szCs w:val="24"/>
        </w:rPr>
        <w:t>招标文件项目需求</w:t>
      </w:r>
    </w:p>
    <w:p w14:paraId="45987939">
      <w:pPr>
        <w:numPr>
          <w:ilvl w:val="0"/>
          <w:numId w:val="3"/>
        </w:numPr>
        <w:spacing w:line="360" w:lineRule="auto"/>
        <w:ind w:left="357" w:firstLine="560" w:firstLineChars="200"/>
        <w:rPr>
          <w:rFonts w:hint="eastAsia" w:ascii="宋体" w:hAnsi="宋体" w:eastAsia="宋体" w:cs="宋体"/>
          <w:color w:val="000000"/>
          <w:sz w:val="28"/>
          <w:szCs w:val="24"/>
        </w:rPr>
      </w:pPr>
      <w:r>
        <w:rPr>
          <w:rFonts w:hint="eastAsia" w:ascii="宋体" w:hAnsi="宋体" w:eastAsia="宋体" w:cs="宋体"/>
          <w:color w:val="000000"/>
          <w:sz w:val="28"/>
          <w:szCs w:val="24"/>
        </w:rPr>
        <w:t>项目更改及补充文件</w:t>
      </w:r>
    </w:p>
    <w:p w14:paraId="56D38468">
      <w:pPr>
        <w:numPr>
          <w:ilvl w:val="0"/>
          <w:numId w:val="3"/>
        </w:numPr>
        <w:spacing w:line="360" w:lineRule="auto"/>
        <w:ind w:firstLine="560" w:firstLineChars="200"/>
        <w:rPr>
          <w:rFonts w:hint="eastAsia" w:ascii="宋体" w:hAnsi="宋体" w:eastAsia="宋体" w:cs="宋体"/>
          <w:color w:val="000000"/>
          <w:sz w:val="28"/>
          <w:szCs w:val="24"/>
        </w:rPr>
      </w:pPr>
      <w:r>
        <w:rPr>
          <w:rFonts w:hint="eastAsia" w:ascii="宋体" w:hAnsi="宋体" w:eastAsia="宋体" w:cs="宋体"/>
          <w:color w:val="000000"/>
          <w:sz w:val="28"/>
          <w:szCs w:val="24"/>
        </w:rPr>
        <w:t>投标报价表</w:t>
      </w:r>
    </w:p>
    <w:p w14:paraId="07B65CA4">
      <w:pPr>
        <w:numPr>
          <w:ilvl w:val="0"/>
          <w:numId w:val="3"/>
        </w:numPr>
        <w:spacing w:line="360" w:lineRule="auto"/>
        <w:ind w:firstLine="560" w:firstLineChars="200"/>
        <w:rPr>
          <w:rFonts w:hint="eastAsia" w:ascii="宋体" w:hAnsi="宋体" w:eastAsia="宋体" w:cs="宋体"/>
          <w:color w:val="000000"/>
          <w:sz w:val="28"/>
          <w:szCs w:val="24"/>
        </w:rPr>
      </w:pPr>
      <w:r>
        <w:rPr>
          <w:rFonts w:hint="eastAsia" w:ascii="宋体" w:hAnsi="宋体" w:eastAsia="宋体" w:cs="宋体"/>
          <w:color w:val="000000"/>
          <w:sz w:val="28"/>
          <w:szCs w:val="24"/>
        </w:rPr>
        <w:t>商务条款偏离表</w:t>
      </w:r>
    </w:p>
    <w:p w14:paraId="62B135BA">
      <w:pPr>
        <w:numPr>
          <w:ilvl w:val="0"/>
          <w:numId w:val="3"/>
        </w:numPr>
        <w:spacing w:line="360" w:lineRule="auto"/>
        <w:ind w:firstLine="560" w:firstLineChars="200"/>
        <w:rPr>
          <w:rFonts w:hint="eastAsia" w:ascii="宋体" w:hAnsi="宋体" w:eastAsia="宋体" w:cs="宋体"/>
          <w:color w:val="000000"/>
          <w:sz w:val="28"/>
          <w:szCs w:val="24"/>
        </w:rPr>
      </w:pPr>
      <w:r>
        <w:rPr>
          <w:rFonts w:hint="eastAsia" w:ascii="宋体" w:hAnsi="宋体" w:eastAsia="宋体" w:cs="宋体"/>
          <w:color w:val="000000"/>
          <w:sz w:val="28"/>
          <w:szCs w:val="24"/>
        </w:rPr>
        <w:t>中标供应商澄清函</w:t>
      </w:r>
    </w:p>
    <w:p w14:paraId="7A955A92">
      <w:pPr>
        <w:spacing w:line="560" w:lineRule="exact"/>
        <w:jc w:val="center"/>
        <w:rPr>
          <w:rFonts w:hint="eastAsia" w:ascii="宋体" w:hAnsi="宋体" w:eastAsia="宋体" w:cs="宋体"/>
          <w:bCs/>
          <w:szCs w:val="24"/>
        </w:rPr>
      </w:pPr>
      <w:r>
        <w:rPr>
          <w:rFonts w:hint="eastAsia" w:ascii="宋体" w:hAnsi="宋体" w:eastAsia="宋体" w:cs="宋体"/>
          <w:sz w:val="28"/>
          <w:szCs w:val="24"/>
        </w:rPr>
        <w:br w:type="page"/>
      </w:r>
      <w:r>
        <w:rPr>
          <w:rFonts w:hint="eastAsia" w:ascii="宋体" w:hAnsi="宋体" w:eastAsia="宋体" w:cs="宋体"/>
          <w:b/>
          <w:sz w:val="52"/>
          <w:szCs w:val="52"/>
          <w:lang w:val="en-US" w:eastAsia="zh-CN"/>
        </w:rPr>
        <w:t xml:space="preserve">东 海 县 政 府 采 购 </w:t>
      </w:r>
      <w:r>
        <w:rPr>
          <w:rFonts w:hint="eastAsia" w:ascii="宋体" w:hAnsi="宋体" w:eastAsia="宋体" w:cs="宋体"/>
          <w:b/>
          <w:sz w:val="52"/>
          <w:szCs w:val="52"/>
        </w:rPr>
        <w:t>合</w:t>
      </w:r>
      <w:r>
        <w:rPr>
          <w:rFonts w:hint="eastAsia" w:ascii="宋体" w:hAnsi="宋体" w:eastAsia="宋体" w:cs="宋体"/>
          <w:b/>
          <w:sz w:val="52"/>
          <w:szCs w:val="52"/>
          <w:lang w:val="en-US" w:eastAsia="zh-CN"/>
        </w:rPr>
        <w:t xml:space="preserve"> </w:t>
      </w:r>
      <w:r>
        <w:rPr>
          <w:rFonts w:hint="eastAsia" w:ascii="宋体" w:hAnsi="宋体" w:eastAsia="宋体" w:cs="宋体"/>
          <w:b/>
          <w:sz w:val="52"/>
          <w:szCs w:val="52"/>
        </w:rPr>
        <w:t>同</w:t>
      </w:r>
    </w:p>
    <w:p w14:paraId="1881B012">
      <w:pPr>
        <w:spacing w:line="360" w:lineRule="auto"/>
        <w:ind w:firstLine="643" w:firstLineChars="200"/>
        <w:jc w:val="center"/>
        <w:rPr>
          <w:rFonts w:hint="eastAsia" w:ascii="宋体" w:hAnsi="宋体" w:eastAsia="宋体" w:cs="宋体"/>
          <w:b/>
          <w:color w:val="000000"/>
          <w:sz w:val="32"/>
          <w:szCs w:val="20"/>
        </w:rPr>
      </w:pPr>
    </w:p>
    <w:p w14:paraId="14CFE918">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w:t>
      </w:r>
      <w:r>
        <w:rPr>
          <w:rFonts w:hint="eastAsia" w:ascii="宋体" w:hAnsi="宋体" w:eastAsia="宋体" w:cs="宋体"/>
          <w:color w:val="000000"/>
          <w:sz w:val="24"/>
          <w:szCs w:val="24"/>
          <w:lang w:eastAsia="zh-CN"/>
        </w:rPr>
        <w:t>东海县农业技术推广中心</w:t>
      </w:r>
    </w:p>
    <w:p w14:paraId="0829F11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sz w:val="24"/>
          <w:szCs w:val="24"/>
        </w:rPr>
        <w:t>（卖方）_________</w:t>
      </w:r>
    </w:p>
    <w:p w14:paraId="7E957D5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见证方：</w:t>
      </w:r>
    </w:p>
    <w:p w14:paraId="60A7159C">
      <w:pPr>
        <w:spacing w:line="360" w:lineRule="auto"/>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甲、乙双方根据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lang w:val="en-US" w:eastAsia="zh-CN"/>
        </w:rPr>
        <w:t xml:space="preserve">          项目</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标段</w:t>
      </w:r>
      <w:r>
        <w:rPr>
          <w:rFonts w:hint="eastAsia" w:ascii="宋体" w:hAnsi="宋体" w:eastAsia="宋体" w:cs="宋体"/>
          <w:color w:val="000000"/>
          <w:sz w:val="24"/>
          <w:szCs w:val="24"/>
          <w:highlight w:val="none"/>
          <w:lang w:eastAsia="zh-CN"/>
        </w:rPr>
        <w:t>编号</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）的采购结果，签订本合同。</w:t>
      </w:r>
    </w:p>
    <w:p w14:paraId="52983254">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一、货物内容</w:t>
      </w:r>
    </w:p>
    <w:p w14:paraId="22546953">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1.1 货物名称：</w:t>
      </w:r>
      <w:r>
        <w:rPr>
          <w:rFonts w:hint="eastAsia" w:ascii="宋体" w:hAnsi="宋体" w:eastAsia="宋体" w:cs="宋体"/>
          <w:sz w:val="24"/>
          <w:szCs w:val="24"/>
        </w:rPr>
        <w:t>_________</w:t>
      </w:r>
      <w:r>
        <w:rPr>
          <w:rFonts w:hint="eastAsia" w:ascii="宋体" w:hAnsi="宋体" w:eastAsia="宋体" w:cs="宋体"/>
          <w:sz w:val="24"/>
          <w:szCs w:val="24"/>
          <w:lang w:eastAsia="zh-CN"/>
        </w:rPr>
        <w:t>；</w:t>
      </w:r>
    </w:p>
    <w:p w14:paraId="33C87EC5">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 型号规格：</w:t>
      </w:r>
      <w:r>
        <w:rPr>
          <w:rFonts w:hint="eastAsia" w:ascii="宋体" w:hAnsi="宋体" w:eastAsia="宋体" w:cs="宋体"/>
          <w:sz w:val="24"/>
          <w:szCs w:val="24"/>
        </w:rPr>
        <w:t>_________</w:t>
      </w:r>
      <w:r>
        <w:rPr>
          <w:rFonts w:hint="eastAsia" w:ascii="宋体" w:hAnsi="宋体" w:eastAsia="宋体" w:cs="宋体"/>
          <w:sz w:val="24"/>
          <w:szCs w:val="24"/>
          <w:lang w:eastAsia="zh-CN"/>
        </w:rPr>
        <w:t>；</w:t>
      </w:r>
    </w:p>
    <w:p w14:paraId="7E00E9BD">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1.3 技术参数：</w:t>
      </w:r>
      <w:r>
        <w:rPr>
          <w:rFonts w:hint="eastAsia" w:ascii="宋体" w:hAnsi="宋体" w:eastAsia="宋体" w:cs="宋体"/>
          <w:sz w:val="24"/>
          <w:szCs w:val="24"/>
        </w:rPr>
        <w:t>_________</w:t>
      </w:r>
      <w:r>
        <w:rPr>
          <w:rFonts w:hint="eastAsia" w:ascii="宋体" w:hAnsi="宋体" w:eastAsia="宋体" w:cs="宋体"/>
          <w:sz w:val="24"/>
          <w:szCs w:val="24"/>
          <w:lang w:eastAsia="zh-CN"/>
        </w:rPr>
        <w:t>；</w:t>
      </w:r>
    </w:p>
    <w:p w14:paraId="0C60692A">
      <w:pPr>
        <w:spacing w:line="360" w:lineRule="auto"/>
        <w:ind w:firstLine="480" w:firstLineChars="200"/>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rPr>
        <w:t>1.4 数量（单位）：</w:t>
      </w:r>
      <w:r>
        <w:rPr>
          <w:rFonts w:hint="eastAsia" w:ascii="宋体" w:hAnsi="宋体" w:eastAsia="宋体" w:cs="宋体"/>
          <w:sz w:val="24"/>
          <w:szCs w:val="24"/>
        </w:rPr>
        <w:t>_________</w:t>
      </w:r>
      <w:r>
        <w:rPr>
          <w:rFonts w:hint="eastAsia" w:ascii="宋体" w:hAnsi="宋体" w:eastAsia="宋体" w:cs="宋体"/>
          <w:sz w:val="24"/>
          <w:szCs w:val="24"/>
          <w:lang w:eastAsia="zh-CN"/>
        </w:rPr>
        <w:t>。</w:t>
      </w:r>
    </w:p>
    <w:p w14:paraId="05C2B7A4">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二、合同金额</w:t>
      </w:r>
    </w:p>
    <w:p w14:paraId="74777A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 本合同金额为（大写）：_______________元（¥_____________）人民币。</w:t>
      </w:r>
    </w:p>
    <w:p w14:paraId="7D4ACF2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（详见投标报价表）</w:t>
      </w:r>
    </w:p>
    <w:p w14:paraId="57B95B3D">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三、技术资料</w:t>
      </w:r>
    </w:p>
    <w:p w14:paraId="0C9E22F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乙方应按招标文件规定的时间向甲方提供使用货物的有关技术资料。</w:t>
      </w:r>
    </w:p>
    <w:p w14:paraId="6AA558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871ADF">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四、知识产权</w:t>
      </w:r>
    </w:p>
    <w:p w14:paraId="5E47214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 乙方应保证所提供的货物或其任何一部分均不会侵犯任何第三方的专利权、商标权或著作权</w:t>
      </w:r>
      <w:r>
        <w:rPr>
          <w:rFonts w:hint="eastAsia" w:ascii="宋体" w:hAnsi="宋体" w:eastAsia="宋体" w:cs="宋体"/>
          <w:b/>
          <w:bCs/>
          <w:color w:val="000000"/>
          <w:sz w:val="24"/>
          <w:szCs w:val="24"/>
        </w:rPr>
        <w:t>。</w:t>
      </w:r>
    </w:p>
    <w:p w14:paraId="687B8213">
      <w:pPr>
        <w:spacing w:line="360" w:lineRule="auto"/>
        <w:rPr>
          <w:rFonts w:hint="eastAsia" w:ascii="宋体" w:hAnsi="宋体" w:eastAsia="宋体" w:cs="宋体"/>
          <w:color w:val="000000"/>
          <w:sz w:val="24"/>
          <w:szCs w:val="24"/>
          <w:u w:val="single"/>
        </w:rPr>
      </w:pPr>
      <w:r>
        <w:rPr>
          <w:rFonts w:hint="eastAsia" w:ascii="宋体" w:hAnsi="宋体" w:eastAsia="宋体" w:cs="宋体"/>
          <w:b/>
          <w:color w:val="000000"/>
          <w:sz w:val="24"/>
          <w:szCs w:val="24"/>
        </w:rPr>
        <w:t>五、无产权瑕疵条款</w:t>
      </w:r>
    </w:p>
    <w:p w14:paraId="12BE0155">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5.1 乙方保证所交付的货物的所有权完全属于乙方且无任何抵押、查封等产权瑕疵。如乙方所交货物有产权瑕疵的，视为乙方违约，按照本合同第13条第3款的约定处理。但在已经全部支付完合同款后才发现有产权瑕疵的，除了支付违约金，乙方还应负担由此而产生的一切损失。</w:t>
      </w:r>
    </w:p>
    <w:p w14:paraId="4F844EE4">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六、履约保证金</w:t>
      </w:r>
    </w:p>
    <w:p w14:paraId="278C270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6.1本项目不收取履约保证金。</w:t>
      </w:r>
    </w:p>
    <w:p w14:paraId="25B59684">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七、质保期和质保金</w:t>
      </w:r>
    </w:p>
    <w:p w14:paraId="2270D82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7.1 质保期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壹</w:t>
      </w:r>
      <w:r>
        <w:rPr>
          <w:rFonts w:hint="eastAsia" w:ascii="宋体" w:hAnsi="宋体" w:eastAsia="宋体" w:cs="宋体"/>
          <w:color w:val="auto"/>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年（自交货验收合格之日起计）。</w:t>
      </w:r>
    </w:p>
    <w:p w14:paraId="7FCBA17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7.2 质保金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6055273">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八、交货期、交货方式及交货地点</w:t>
      </w:r>
    </w:p>
    <w:p w14:paraId="47B1F1E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交货期：</w:t>
      </w:r>
      <w:r>
        <w:rPr>
          <w:rFonts w:hint="eastAsia" w:ascii="宋体" w:hAnsi="宋体" w:eastAsia="宋体" w:cs="宋体"/>
          <w:bCs/>
          <w:color w:val="auto"/>
          <w:sz w:val="24"/>
          <w:szCs w:val="24"/>
          <w:highlight w:val="none"/>
          <w:u w:val="single"/>
          <w:lang w:eastAsia="zh-CN"/>
        </w:rPr>
        <w:t>接到采购人通知起10日内交货</w:t>
      </w:r>
      <w:r>
        <w:rPr>
          <w:rFonts w:hint="eastAsia" w:ascii="宋体" w:hAnsi="宋体" w:eastAsia="宋体" w:cs="宋体"/>
          <w:color w:val="000000"/>
          <w:sz w:val="24"/>
          <w:szCs w:val="24"/>
          <w:highlight w:val="none"/>
        </w:rPr>
        <w:t>。</w:t>
      </w:r>
    </w:p>
    <w:p w14:paraId="65154B9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交货方式：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现场验收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22CC5CE">
      <w:pPr>
        <w:spacing w:line="360" w:lineRule="auto"/>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8.3 交货地点：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甲方指定地点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39CAF65E">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九、合同款支付</w:t>
      </w:r>
    </w:p>
    <w:p w14:paraId="647561C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9.1 付款方式：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货到验收合格后，中标单位提供相应发票，</w:t>
      </w:r>
      <w:r>
        <w:rPr>
          <w:rFonts w:hint="eastAsia" w:ascii="宋体" w:hAnsi="宋体" w:eastAsia="宋体" w:cs="宋体"/>
          <w:color w:val="000000"/>
          <w:sz w:val="24"/>
          <w:szCs w:val="24"/>
          <w:u w:val="single"/>
          <w:lang w:val="en-US" w:eastAsia="zh-CN"/>
        </w:rPr>
        <w:t>待财政资金到账后</w:t>
      </w:r>
      <w:r>
        <w:rPr>
          <w:rFonts w:hint="eastAsia" w:ascii="宋体" w:hAnsi="宋体" w:eastAsia="宋体" w:cs="宋体"/>
          <w:color w:val="000000"/>
          <w:sz w:val="24"/>
          <w:szCs w:val="24"/>
          <w:u w:val="single"/>
          <w:lang w:eastAsia="zh-CN"/>
        </w:rPr>
        <w:t>甲方一次性付清款项</w:t>
      </w:r>
      <w:r>
        <w:rPr>
          <w:rFonts w:hint="eastAsia" w:ascii="宋体" w:hAnsi="宋体" w:eastAsia="宋体" w:cs="宋体"/>
          <w:color w:val="000000"/>
          <w:sz w:val="24"/>
          <w:szCs w:val="24"/>
        </w:rPr>
        <w:t>。</w:t>
      </w:r>
    </w:p>
    <w:p w14:paraId="1372F78B">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9.2 当采购数量与实际使用数量不一致时，乙方根据实际使用量提供产品和服务，合同的最终结算金额按实际使用量乘以中标单价进行计算。</w:t>
      </w:r>
    </w:p>
    <w:p w14:paraId="21396E0D">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十、质量保证及售后服务</w:t>
      </w:r>
    </w:p>
    <w:p w14:paraId="3E911A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10.1 乙方应按招标文件规定的货物性能、技术要求、质量标准向甲方提供未经使用的全新产品。</w:t>
      </w:r>
    </w:p>
    <w:p w14:paraId="403E71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10.2 乙方提供的货物在质保期内因货物本身的质量问题发生故障，乙方应负责免费更换。对达不到技术要求者，根据实际情况，经双方协商，可按以下办法处理：</w:t>
      </w:r>
    </w:p>
    <w:p w14:paraId="01DBA30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（1）更换：由乙方承担所发生的全部费用。</w:t>
      </w:r>
    </w:p>
    <w:p w14:paraId="40A2AB7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（2）贬值处理：由甲乙双方合议定价。</w:t>
      </w:r>
    </w:p>
    <w:p w14:paraId="70E948B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（3）退货处理：乙方应退还甲方支付的合同款，同时应承担该货物的直接费用（运输、保险、检验、合同款利息及银行手续费等）。</w:t>
      </w:r>
    </w:p>
    <w:p w14:paraId="03F095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10.3 测试要求：乙方安装后现场测试，提供测试报告，甲方验收签字确认。</w:t>
      </w:r>
    </w:p>
    <w:p w14:paraId="5E7D9284">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10.4甲方收货后，随机抽取样品，委托有资质的第三方进行质量检测，质量以第三方检测报告为准。检测费用由乙方支付。。</w:t>
      </w:r>
    </w:p>
    <w:p w14:paraId="540A5C9E">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十一、调试和验收</w:t>
      </w:r>
    </w:p>
    <w:p w14:paraId="10DCF4F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 甲方对乙方提交的货物依据招标文件上的技术规格要求和国家有关质量标准进行现场初步验收，外观、说明书符合招标文件技术要求的，给予签收，初步验收不合格的不予签收并可立即要求退换。货到后，甲方需在五个工作日内验收。在采购人将所有的货物按招标文件要求和国家标准或行业标准进行检测验收后，发现有其他非故意的损坏或质量问题的，由中标供应商立即予以更换，不得拒绝和延误。</w:t>
      </w:r>
    </w:p>
    <w:p w14:paraId="1890431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 乙方交货前应对产品作出全面检查和对验收文件进行整理，并列出清单，作为甲方收货验收和使用的技术条件依据，检验的结果应随货物交甲方。</w:t>
      </w:r>
    </w:p>
    <w:p w14:paraId="22F2FEA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甲方对乙方提供的货物在使用前进行调试时，乙方需负责安装并培训甲方的使用操作人员，并协助甲方一起调试，直到符合技术要求，甲方才做最终验收。</w:t>
      </w:r>
    </w:p>
    <w:p w14:paraId="394E02C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 验收时乙方必须在现场，验收完毕后作出验收结果报告；安装调试费用由中标供应商负责。</w:t>
      </w:r>
    </w:p>
    <w:p w14:paraId="48097FB4">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11.5 对技术复杂的项目，甲方可组织有关部门和专家进行验收，并出具验收报告，相关费用由甲乙双方协商解决。</w:t>
      </w:r>
    </w:p>
    <w:p w14:paraId="447329CB">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十二、货物包装、发运及运输</w:t>
      </w:r>
    </w:p>
    <w:p w14:paraId="30CCA8F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12.1 乙方应在货物发运前对其进行满足运输距离、防潮、防震、防锈和防破损装卸等要求包装，以保证货物安全运达甲方指定地点。</w:t>
      </w:r>
    </w:p>
    <w:p w14:paraId="3C48C83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12.2 使用说明书、质量检验证明书、随配附件和工具以及清单一并附于货物内。</w:t>
      </w:r>
    </w:p>
    <w:p w14:paraId="04C14BC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乙方在货物发运手续办理完毕后24小时内或货到甲方48小时前通知甲方，以准备接货。</w:t>
      </w:r>
    </w:p>
    <w:p w14:paraId="070D11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 货物在交付甲方前发生的风险均由乙方负责。</w:t>
      </w:r>
    </w:p>
    <w:p w14:paraId="54898A88">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12.5 货物在规定的交付期限内由乙方送达甲方指定的地点视为交付，乙方同时需通知甲方货物已送达。</w:t>
      </w:r>
    </w:p>
    <w:p w14:paraId="6BE60308">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十三、违约责任</w:t>
      </w:r>
    </w:p>
    <w:p w14:paraId="0960A05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 甲方无正当理由拒收货物的，甲方向乙方偿付拒收合同款总值的百分之五违约金。</w:t>
      </w:r>
    </w:p>
    <w:p w14:paraId="2AFDDE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13.2 甲方无故逾期验收和办理合同款支付手续的，甲方应按逾期付款总额每日千分之五向乙方支付违约金。</w:t>
      </w:r>
    </w:p>
    <w:p w14:paraId="554DA9A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13.3 乙方逾期交付货物的，乙方应按逾期交货总额每日千分之五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901C95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851CB20">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十四、不可抗力事件处理</w:t>
      </w:r>
    </w:p>
    <w:p w14:paraId="376C5FD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 在合同有效期内，任何一方因不可抗力事件导致不能履行合同，则合同履行期可延长，其延长期与不可抗力影响期相同。</w:t>
      </w:r>
    </w:p>
    <w:p w14:paraId="77BD260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14.2 不可抗力事件发生后，应立即通知对方，并寄送有关权威机构出具的证明。</w:t>
      </w:r>
    </w:p>
    <w:p w14:paraId="002A06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14.3 不可抗力事件延续120天以上，双方应通过友好协商，确定是否继续履行合同。</w:t>
      </w:r>
    </w:p>
    <w:p w14:paraId="64E8D14C">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十五、争议解决</w:t>
      </w:r>
    </w:p>
    <w:p w14:paraId="6C6B805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15.1 双方在执行合同中所发生的一切争议，应通过协商解决。如协商不成，按下列第</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种方式解决：</w:t>
      </w:r>
    </w:p>
    <w:p w14:paraId="2EFE1A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lang w:val="en-US" w:eastAsia="zh-CN"/>
        </w:rPr>
        <w:t>东海县</w:t>
      </w:r>
      <w:r>
        <w:rPr>
          <w:rFonts w:hint="eastAsia" w:ascii="宋体" w:hAnsi="宋体" w:eastAsia="宋体" w:cs="宋体"/>
          <w:color w:val="000000"/>
          <w:sz w:val="24"/>
          <w:szCs w:val="24"/>
        </w:rPr>
        <w:t>仲裁委员会申请仲裁。</w:t>
      </w:r>
    </w:p>
    <w:p w14:paraId="3E0E5A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（2）向合同签订地法院起诉，合同签订地在此约定为</w:t>
      </w:r>
      <w:r>
        <w:rPr>
          <w:rFonts w:hint="eastAsia" w:ascii="宋体" w:hAnsi="宋体" w:eastAsia="宋体" w:cs="宋体"/>
          <w:color w:val="000000"/>
          <w:sz w:val="24"/>
          <w:szCs w:val="24"/>
          <w:lang w:val="en-US" w:eastAsia="zh-CN"/>
        </w:rPr>
        <w:t>东海县</w:t>
      </w:r>
      <w:r>
        <w:rPr>
          <w:rFonts w:hint="eastAsia" w:ascii="宋体" w:hAnsi="宋体" w:eastAsia="宋体" w:cs="宋体"/>
          <w:color w:val="000000"/>
          <w:sz w:val="24"/>
          <w:szCs w:val="24"/>
        </w:rPr>
        <w:t>。</w:t>
      </w:r>
    </w:p>
    <w:p w14:paraId="5AAA5B90">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十六、合同生效及其它</w:t>
      </w:r>
    </w:p>
    <w:p w14:paraId="2920EFB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合同经双方法定代表人或授权委托代理人签字并加盖单位公章后生效。</w:t>
      </w:r>
    </w:p>
    <w:p w14:paraId="1FC7F84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16.2 下述合同附件为本合同不可分割的部分并与本合同具有同等效力：</w:t>
      </w:r>
    </w:p>
    <w:p w14:paraId="055BCCB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（1）供货清单和分项价格表</w:t>
      </w:r>
    </w:p>
    <w:p w14:paraId="1E6A22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（2）技术规格</w:t>
      </w:r>
    </w:p>
    <w:p w14:paraId="1E0E330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（3）乙方报价函的内容及其澄清内容</w:t>
      </w:r>
    </w:p>
    <w:p w14:paraId="1EC425B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（4）其他与本合同相关的资料</w:t>
      </w:r>
    </w:p>
    <w:p w14:paraId="25F55AE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（5）本合同适用的特殊条款</w:t>
      </w:r>
    </w:p>
    <w:p w14:paraId="31602C0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16.3 本合同未尽事宜，遵照《中华人民共和国民法典》有关条文执行。</w:t>
      </w:r>
    </w:p>
    <w:p w14:paraId="04D63EC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16.4 本合同正本一式</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份，具有同等法律效力，甲乙双方、</w:t>
      </w:r>
      <w:r>
        <w:rPr>
          <w:rFonts w:hint="eastAsia" w:ascii="宋体" w:hAnsi="宋体" w:eastAsia="宋体" w:cs="宋体"/>
          <w:color w:val="000000"/>
          <w:sz w:val="24"/>
          <w:szCs w:val="24"/>
          <w:lang w:val="en-US" w:eastAsia="zh-CN"/>
        </w:rPr>
        <w:t>代理机构</w:t>
      </w:r>
      <w:r>
        <w:rPr>
          <w:rFonts w:hint="eastAsia" w:ascii="宋体" w:hAnsi="宋体" w:eastAsia="宋体" w:cs="宋体"/>
          <w:color w:val="000000"/>
          <w:sz w:val="24"/>
          <w:szCs w:val="24"/>
        </w:rPr>
        <w:t>各执</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w:t>
      </w:r>
    </w:p>
    <w:p w14:paraId="1D41961B">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甲方：                                  乙方：                     </w:t>
      </w:r>
    </w:p>
    <w:p w14:paraId="612B935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地址：                                  地址：                     </w:t>
      </w:r>
    </w:p>
    <w:p w14:paraId="211C32E1">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48D4904">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委托代理人：                            委托代理人：           </w:t>
      </w:r>
    </w:p>
    <w:p w14:paraId="2BCD13D7">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电话：                                  电话：                     </w:t>
      </w:r>
    </w:p>
    <w:p w14:paraId="5E00B88D">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传真：                                  传真：                     </w:t>
      </w:r>
    </w:p>
    <w:p w14:paraId="11A63952">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签订日期：      年  月  日</w:t>
      </w:r>
    </w:p>
    <w:p w14:paraId="25E3EEA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见 证 方：          </w:t>
      </w:r>
    </w:p>
    <w:p w14:paraId="000DF0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见证日期：      年  月  日</w:t>
      </w:r>
    </w:p>
    <w:p w14:paraId="1016B0EA">
      <w:pPr>
        <w:keepNext/>
        <w:keepLines/>
        <w:adjustRightInd w:val="0"/>
        <w:spacing w:line="360" w:lineRule="auto"/>
        <w:jc w:val="center"/>
        <w:textAlignment w:val="baseline"/>
        <w:outlineLvl w:val="0"/>
        <w:rPr>
          <w:rFonts w:hint="eastAsia" w:ascii="宋体" w:hAnsi="宋体" w:eastAsia="宋体" w:cs="宋体"/>
          <w:b/>
          <w:bCs/>
          <w:color w:val="000000"/>
          <w:kern w:val="44"/>
          <w:sz w:val="36"/>
          <w:szCs w:val="20"/>
        </w:rPr>
      </w:pPr>
      <w:bookmarkStart w:id="15" w:name="_Toc139967212"/>
      <w:bookmarkStart w:id="16" w:name="_Toc15100"/>
      <w:bookmarkStart w:id="17" w:name="_Toc513622229"/>
      <w:bookmarkStart w:id="18" w:name="_Toc139966428"/>
      <w:r>
        <w:rPr>
          <w:rFonts w:hint="eastAsia" w:ascii="宋体" w:hAnsi="宋体" w:eastAsia="宋体" w:cs="宋体"/>
          <w:b/>
          <w:bCs/>
          <w:color w:val="000000"/>
          <w:kern w:val="44"/>
          <w:sz w:val="36"/>
          <w:szCs w:val="20"/>
        </w:rPr>
        <w:t>第四章  投标文件格式</w:t>
      </w:r>
      <w:bookmarkEnd w:id="15"/>
      <w:bookmarkEnd w:id="16"/>
      <w:bookmarkEnd w:id="17"/>
      <w:bookmarkEnd w:id="18"/>
    </w:p>
    <w:p w14:paraId="15ECBDC7">
      <w:pPr>
        <w:spacing w:line="360" w:lineRule="auto"/>
        <w:ind w:firstLine="1044" w:firstLineChars="200"/>
        <w:jc w:val="center"/>
        <w:rPr>
          <w:rFonts w:hint="eastAsia" w:ascii="宋体" w:hAnsi="宋体" w:eastAsia="宋体" w:cs="宋体"/>
          <w:b/>
          <w:color w:val="000000"/>
          <w:sz w:val="52"/>
          <w:szCs w:val="52"/>
        </w:rPr>
      </w:pPr>
    </w:p>
    <w:p w14:paraId="54F0B1D7">
      <w:pPr>
        <w:spacing w:line="360" w:lineRule="auto"/>
        <w:jc w:val="center"/>
        <w:rPr>
          <w:rFonts w:hint="eastAsia" w:ascii="宋体" w:hAnsi="宋体" w:eastAsia="宋体" w:cs="宋体"/>
          <w:b/>
          <w:color w:val="000000"/>
          <w:sz w:val="52"/>
          <w:szCs w:val="52"/>
        </w:rPr>
      </w:pPr>
      <w:r>
        <w:rPr>
          <w:rFonts w:hint="eastAsia" w:ascii="宋体" w:hAnsi="宋体" w:eastAsia="宋体" w:cs="宋体"/>
          <w:b/>
          <w:color w:val="000000"/>
          <w:sz w:val="52"/>
          <w:szCs w:val="52"/>
          <w:lang w:val="en-US" w:eastAsia="zh-CN"/>
        </w:rPr>
        <w:t xml:space="preserve">东 海 县 </w:t>
      </w:r>
      <w:r>
        <w:rPr>
          <w:rFonts w:hint="eastAsia" w:ascii="宋体" w:hAnsi="宋体" w:eastAsia="宋体" w:cs="宋体"/>
          <w:b/>
          <w:color w:val="000000"/>
          <w:sz w:val="52"/>
          <w:szCs w:val="52"/>
        </w:rPr>
        <w:t>政 府 采 购</w:t>
      </w:r>
    </w:p>
    <w:p w14:paraId="626DAAD9">
      <w:pPr>
        <w:spacing w:line="360" w:lineRule="auto"/>
        <w:jc w:val="center"/>
        <w:rPr>
          <w:rFonts w:hint="eastAsia" w:ascii="宋体" w:hAnsi="宋体" w:eastAsia="宋体" w:cs="宋体"/>
          <w:b/>
          <w:color w:val="000000"/>
          <w:sz w:val="72"/>
          <w:szCs w:val="21"/>
        </w:rPr>
      </w:pPr>
      <w:r>
        <w:rPr>
          <w:rFonts w:hint="eastAsia" w:ascii="宋体" w:hAnsi="宋体" w:eastAsia="宋体" w:cs="宋体"/>
          <w:b/>
          <w:color w:val="000000"/>
          <w:sz w:val="72"/>
          <w:szCs w:val="21"/>
        </w:rPr>
        <w:t>投标文件</w:t>
      </w:r>
    </w:p>
    <w:p w14:paraId="22A9CE3E">
      <w:pPr>
        <w:spacing w:line="360" w:lineRule="auto"/>
        <w:ind w:firstLine="643" w:firstLineChars="200"/>
        <w:jc w:val="center"/>
        <w:rPr>
          <w:rFonts w:hint="eastAsia" w:ascii="宋体" w:hAnsi="宋体" w:eastAsia="宋体" w:cs="宋体"/>
          <w:b/>
          <w:color w:val="000000"/>
          <w:sz w:val="32"/>
          <w:szCs w:val="32"/>
        </w:rPr>
      </w:pPr>
    </w:p>
    <w:p w14:paraId="33317480">
      <w:pPr>
        <w:spacing w:line="360" w:lineRule="auto"/>
        <w:ind w:firstLine="1084" w:firstLineChars="300"/>
        <w:rPr>
          <w:rFonts w:hint="eastAsia" w:ascii="宋体" w:hAnsi="宋体" w:eastAsia="宋体" w:cs="宋体"/>
          <w:b/>
          <w:color w:val="000000"/>
          <w:sz w:val="36"/>
          <w:szCs w:val="21"/>
        </w:rPr>
      </w:pPr>
    </w:p>
    <w:p w14:paraId="5755DD2C">
      <w:pPr>
        <w:autoSpaceDE w:val="0"/>
        <w:autoSpaceDN w:val="0"/>
        <w:adjustRightInd w:val="0"/>
        <w:jc w:val="left"/>
        <w:rPr>
          <w:rFonts w:hint="eastAsia" w:ascii="宋体" w:hAnsi="宋体" w:eastAsia="宋体" w:cs="宋体"/>
          <w:color w:val="000000"/>
          <w:szCs w:val="24"/>
        </w:rPr>
      </w:pPr>
    </w:p>
    <w:p w14:paraId="6719582D">
      <w:pPr>
        <w:autoSpaceDE w:val="0"/>
        <w:autoSpaceDN w:val="0"/>
        <w:adjustRightInd w:val="0"/>
        <w:jc w:val="left"/>
        <w:rPr>
          <w:rFonts w:hint="eastAsia" w:ascii="宋体" w:hAnsi="宋体" w:eastAsia="宋体" w:cs="宋体"/>
          <w:color w:val="000000"/>
          <w:szCs w:val="24"/>
        </w:rPr>
      </w:pPr>
    </w:p>
    <w:p w14:paraId="0F8EE59A">
      <w:pPr>
        <w:autoSpaceDE w:val="0"/>
        <w:autoSpaceDN w:val="0"/>
        <w:adjustRightInd w:val="0"/>
        <w:jc w:val="left"/>
        <w:rPr>
          <w:rFonts w:hint="eastAsia" w:ascii="宋体" w:hAnsi="宋体" w:eastAsia="宋体" w:cs="宋体"/>
          <w:color w:val="000000"/>
          <w:szCs w:val="24"/>
        </w:rPr>
      </w:pPr>
    </w:p>
    <w:p w14:paraId="248B0851">
      <w:pPr>
        <w:autoSpaceDE w:val="0"/>
        <w:autoSpaceDN w:val="0"/>
        <w:adjustRightInd w:val="0"/>
        <w:jc w:val="left"/>
        <w:rPr>
          <w:rFonts w:hint="eastAsia" w:ascii="宋体" w:hAnsi="宋体" w:eastAsia="宋体" w:cs="宋体"/>
          <w:color w:val="000000"/>
          <w:szCs w:val="24"/>
        </w:rPr>
      </w:pPr>
    </w:p>
    <w:p w14:paraId="19DF951C">
      <w:pPr>
        <w:spacing w:line="360" w:lineRule="auto"/>
        <w:ind w:firstLine="1084" w:firstLineChars="300"/>
        <w:rPr>
          <w:rFonts w:hint="eastAsia" w:ascii="宋体" w:hAnsi="宋体" w:eastAsia="宋体" w:cs="宋体"/>
          <w:b/>
          <w:color w:val="000000"/>
          <w:sz w:val="36"/>
          <w:szCs w:val="21"/>
        </w:rPr>
      </w:pPr>
    </w:p>
    <w:p w14:paraId="12EB53D8">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标段</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lang w:eastAsia="zh-CN"/>
        </w:rPr>
        <w:t>名称</w:t>
      </w:r>
      <w:r>
        <w:rPr>
          <w:rFonts w:hint="eastAsia" w:ascii="宋体" w:hAnsi="宋体" w:eastAsia="宋体" w:cs="宋体"/>
          <w:b/>
          <w:color w:val="000000"/>
          <w:sz w:val="24"/>
          <w:szCs w:val="24"/>
        </w:rPr>
        <w:t>：</w:t>
      </w:r>
    </w:p>
    <w:p w14:paraId="3AA3EF5A">
      <w:pPr>
        <w:spacing w:line="360" w:lineRule="auto"/>
        <w:ind w:firstLine="723" w:firstLineChars="3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标</w:t>
      </w:r>
      <w:r>
        <w:rPr>
          <w:rFonts w:hint="eastAsia" w:ascii="宋体" w:hAnsi="宋体" w:eastAsia="宋体" w:cs="宋体"/>
          <w:b/>
          <w:color w:val="000000"/>
          <w:sz w:val="24"/>
          <w:szCs w:val="24"/>
          <w:lang w:val="en-US" w:eastAsia="zh-CN"/>
        </w:rPr>
        <w:t xml:space="preserve">段 </w:t>
      </w:r>
      <w:r>
        <w:rPr>
          <w:rFonts w:hint="eastAsia" w:ascii="宋体" w:hAnsi="宋体" w:eastAsia="宋体" w:cs="宋体"/>
          <w:b/>
          <w:color w:val="000000"/>
          <w:sz w:val="24"/>
          <w:szCs w:val="24"/>
        </w:rPr>
        <w:t>编号</w:t>
      </w:r>
      <w:r>
        <w:rPr>
          <w:rFonts w:hint="eastAsia" w:ascii="宋体" w:hAnsi="宋体" w:eastAsia="宋体" w:cs="宋体"/>
          <w:b/>
          <w:color w:val="000000"/>
          <w:sz w:val="24"/>
          <w:szCs w:val="24"/>
          <w:lang w:eastAsia="zh-CN"/>
        </w:rPr>
        <w:t>：</w:t>
      </w:r>
    </w:p>
    <w:p w14:paraId="28522DC2">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投标人名称：</w:t>
      </w:r>
    </w:p>
    <w:p w14:paraId="648696A3">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投标人地址： </w:t>
      </w:r>
    </w:p>
    <w:p w14:paraId="610F9D6A">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p>
    <w:p w14:paraId="5E04484B">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委托代理人（委托代理时填写）：</w:t>
      </w:r>
    </w:p>
    <w:p w14:paraId="7D4FC92B">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日      期：</w:t>
      </w:r>
    </w:p>
    <w:p w14:paraId="4F15B896">
      <w:pPr>
        <w:keepNext/>
        <w:spacing w:line="360" w:lineRule="auto"/>
        <w:textAlignment w:val="baseline"/>
        <w:outlineLvl w:val="1"/>
        <w:rPr>
          <w:rFonts w:hint="eastAsia" w:ascii="宋体" w:hAnsi="宋体" w:eastAsia="宋体" w:cs="宋体"/>
          <w:color w:val="000000"/>
          <w:kern w:val="0"/>
          <w:sz w:val="24"/>
          <w:szCs w:val="24"/>
        </w:rPr>
      </w:pPr>
      <w:r>
        <w:rPr>
          <w:rFonts w:hint="eastAsia" w:ascii="宋体" w:hAnsi="宋体" w:eastAsia="宋体" w:cs="宋体"/>
          <w:b/>
          <w:color w:val="000000"/>
          <w:kern w:val="0"/>
          <w:sz w:val="36"/>
          <w:szCs w:val="20"/>
        </w:rPr>
        <w:br w:type="page"/>
      </w:r>
      <w:bookmarkStart w:id="19" w:name="_Toc139967215"/>
      <w:bookmarkStart w:id="20" w:name="_Toc139966431"/>
      <w:r>
        <w:rPr>
          <w:rFonts w:hint="eastAsia" w:ascii="宋体" w:hAnsi="宋体" w:eastAsia="宋体" w:cs="宋体"/>
          <w:b/>
          <w:bCs/>
          <w:color w:val="000000"/>
          <w:kern w:val="0"/>
          <w:sz w:val="24"/>
          <w:szCs w:val="24"/>
        </w:rPr>
        <w:t>格式1、响应函</w:t>
      </w:r>
    </w:p>
    <w:p w14:paraId="1C5018CB">
      <w:pPr>
        <w:jc w:val="center"/>
        <w:rPr>
          <w:rFonts w:hint="eastAsia" w:ascii="宋体" w:hAnsi="宋体" w:eastAsia="宋体" w:cs="宋体"/>
          <w:b/>
          <w:bCs w:val="0"/>
          <w:sz w:val="36"/>
          <w:szCs w:val="28"/>
        </w:rPr>
      </w:pPr>
      <w:r>
        <w:rPr>
          <w:rFonts w:hint="eastAsia" w:ascii="宋体" w:hAnsi="宋体" w:eastAsia="宋体" w:cs="宋体"/>
          <w:b/>
          <w:bCs w:val="0"/>
          <w:sz w:val="36"/>
          <w:szCs w:val="28"/>
        </w:rPr>
        <w:t>响应函</w:t>
      </w:r>
    </w:p>
    <w:p w14:paraId="1708916A">
      <w:pPr>
        <w:spacing w:line="480" w:lineRule="exact"/>
        <w:rPr>
          <w:rFonts w:hint="eastAsia" w:ascii="宋体" w:hAnsi="宋体" w:eastAsia="宋体" w:cs="宋体"/>
          <w:color w:val="000000"/>
          <w:szCs w:val="24"/>
          <w:lang w:eastAsia="zh-CN"/>
        </w:rPr>
      </w:pPr>
      <w:r>
        <w:rPr>
          <w:rFonts w:hint="eastAsia" w:ascii="宋体" w:hAnsi="宋体" w:eastAsia="宋体" w:cs="宋体"/>
          <w:color w:val="000000"/>
          <w:szCs w:val="24"/>
        </w:rPr>
        <w:t>致：</w:t>
      </w:r>
      <w:r>
        <w:rPr>
          <w:rFonts w:hint="eastAsia" w:ascii="宋体" w:hAnsi="宋体" w:eastAsia="宋体" w:cs="宋体"/>
          <w:color w:val="000000"/>
          <w:szCs w:val="24"/>
          <w:lang w:eastAsia="zh-CN"/>
        </w:rPr>
        <w:t>东海县农业技术推广中心</w:t>
      </w:r>
    </w:p>
    <w:p w14:paraId="144F750F">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根据贵方</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标段（</w:t>
      </w:r>
      <w:r>
        <w:rPr>
          <w:rFonts w:hint="eastAsia" w:ascii="宋体" w:hAnsi="宋体" w:eastAsia="宋体" w:cs="宋体"/>
          <w:color w:val="000000"/>
          <w:szCs w:val="24"/>
          <w:lang w:eastAsia="zh-CN"/>
        </w:rPr>
        <w:t>标段编号</w:t>
      </w:r>
      <w:r>
        <w:rPr>
          <w:rFonts w:hint="eastAsia" w:ascii="宋体" w:hAnsi="宋体" w:eastAsia="宋体" w:cs="宋体"/>
          <w:color w:val="000000"/>
          <w:szCs w:val="24"/>
        </w:rPr>
        <w:t>：</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）采购文件，正式授权下述签字人</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全权代表</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参加贵方组织的采购活动，按照采购文件要求提交响应文件。</w:t>
      </w:r>
    </w:p>
    <w:p w14:paraId="112098B9">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据此函，签字人兹宣布同意如下：</w:t>
      </w:r>
    </w:p>
    <w:p w14:paraId="3F8AB329">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1.按采购文件项目需求提交响应报价，报价、交货期等详见开标一览表。</w:t>
      </w:r>
    </w:p>
    <w:p w14:paraId="79FA2C05">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2.我方同意在本标段采购文件中规定的响应文件递交截止之日起60天内遵守本响应文件中的承诺且在此期限期满之前均具有约束力。</w:t>
      </w:r>
    </w:p>
    <w:p w14:paraId="73064CD4">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3.我方承诺已经具备《中华人民共和国政府采购法》中规定的参加政府采购活动的供应商应当具备的条件：</w:t>
      </w:r>
    </w:p>
    <w:p w14:paraId="5EF46190">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(1)具有独立承担民事责任的能力；</w:t>
      </w:r>
    </w:p>
    <w:p w14:paraId="616AFA8C">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(2)具有良好的商业信誉和健全的财务会计制度；</w:t>
      </w:r>
    </w:p>
    <w:p w14:paraId="2C25DF6D">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(3)具有履行合同所必需的设备和专业技术能力；</w:t>
      </w:r>
    </w:p>
    <w:p w14:paraId="75F1D148">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(4)有依法缴纳税收和社会保障资金的良好记录；</w:t>
      </w:r>
    </w:p>
    <w:p w14:paraId="261370BD">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(5)参加此项采购活动前三年内，在经营活动中没有重大违法记录。</w:t>
      </w:r>
    </w:p>
    <w:p w14:paraId="21BCC6CB">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4.我方根据采购文件的规定，承担完成合同的责任和义务。</w:t>
      </w:r>
    </w:p>
    <w:p w14:paraId="27181F65">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4.我方根据采购文件的规定，承担完成合同的责任和义务。 </w:t>
      </w:r>
    </w:p>
    <w:p w14:paraId="4C75EB35">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5.我方已详细审核采购文件，我方知道必须放弃提出含糊不清或误解问题的权利。 </w:t>
      </w:r>
    </w:p>
    <w:p w14:paraId="15F7EED6">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6.如果在投标文件有效期内撤回或者有其他违约行为，我方的保证金可被贵方全部 </w:t>
      </w:r>
    </w:p>
    <w:p w14:paraId="4C5D1769">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或部分没收。 </w:t>
      </w:r>
    </w:p>
    <w:p w14:paraId="4CE57007">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7.同意应贵方要求提供与本次采购活动有关的任何数据或资料。 </w:t>
      </w:r>
    </w:p>
    <w:p w14:paraId="0843E3CE">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8.我方完全理解，最低报价不是中标（成交）的唯一条件。 </w:t>
      </w:r>
    </w:p>
    <w:p w14:paraId="12951574">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9.若贵方需要，我方愿意提供我方作出的一切承诺的证明材料。 </w:t>
      </w:r>
    </w:p>
    <w:p w14:paraId="651B2207">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10.我方将严格遵守《中华人民共和国政府采购法》第七十七条规定，供应商有下 </w:t>
      </w:r>
    </w:p>
    <w:p w14:paraId="26E5F2CA">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列情形之一的，处以采购金额 5‰以上 10‰以下的罚款，列入不良行为记录名单，在一 </w:t>
      </w:r>
    </w:p>
    <w:p w14:paraId="3008151F">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至三年内禁止参加政府采购活动，有违法所得的，并处没收违法所得，情节严重的，由 </w:t>
      </w:r>
    </w:p>
    <w:p w14:paraId="160EA9E8">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工商行政管理机关吊销营业执照；构成犯罪的，依法追究刑事责任： </w:t>
      </w:r>
    </w:p>
    <w:p w14:paraId="42486BD0">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(1)提供虚假材料谋取中标、成交的； </w:t>
      </w:r>
    </w:p>
    <w:p w14:paraId="3805A821">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(2)采取不正当手段诋毁、排挤其他供应商的； </w:t>
      </w:r>
    </w:p>
    <w:p w14:paraId="704E54B5">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(3)与采购人、其他供应商或者采购代理机构恶意串通的； </w:t>
      </w:r>
    </w:p>
    <w:p w14:paraId="0FA70CD4">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(4)向采购人、采购代理机构行贿或者提供其他不正当利益的； </w:t>
      </w:r>
    </w:p>
    <w:p w14:paraId="0EE90CA2">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(5)在招标采购过程中与采购人进行协商谈判的； </w:t>
      </w:r>
    </w:p>
    <w:p w14:paraId="712F3E06">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(6)拒绝有关部门监督检查或提供虚假情况的。 </w:t>
      </w:r>
    </w:p>
    <w:p w14:paraId="24366EDE">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法定代表人或其委托代理人签字（或盖章）： </w:t>
      </w:r>
    </w:p>
    <w:p w14:paraId="137707F9">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投标人公章： </w:t>
      </w:r>
    </w:p>
    <w:p w14:paraId="7DA600A1">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日期： </w:t>
      </w:r>
    </w:p>
    <w:p w14:paraId="44ADDE1D">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注：未按照本响应函的格式要求填写的，将造成非实质响应，从而导致该供应商响 </w:t>
      </w:r>
    </w:p>
    <w:p w14:paraId="73176374">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应无效</w:t>
      </w:r>
    </w:p>
    <w:p w14:paraId="04C2526F">
      <w:pPr>
        <w:spacing w:line="48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br w:type="page"/>
      </w:r>
    </w:p>
    <w:p w14:paraId="15E3E804">
      <w:pPr>
        <w:keepNext/>
        <w:spacing w:line="360" w:lineRule="auto"/>
        <w:textAlignment w:val="baseline"/>
        <w:outlineLvl w:val="1"/>
        <w:rPr>
          <w:rFonts w:hint="eastAsia" w:ascii="宋体" w:hAnsi="宋体" w:eastAsia="宋体" w:cs="宋体"/>
          <w:b/>
          <w:kern w:val="0"/>
          <w:sz w:val="28"/>
          <w:szCs w:val="20"/>
        </w:rPr>
      </w:pPr>
      <w:r>
        <w:rPr>
          <w:rFonts w:hint="eastAsia" w:ascii="宋体" w:hAnsi="宋体" w:eastAsia="宋体" w:cs="宋体"/>
          <w:b/>
          <w:bCs/>
          <w:color w:val="000000"/>
          <w:kern w:val="0"/>
          <w:sz w:val="24"/>
          <w:szCs w:val="24"/>
        </w:rPr>
        <w:t>格式2、开标一览表</w:t>
      </w:r>
    </w:p>
    <w:p w14:paraId="269D3198">
      <w:pPr>
        <w:jc w:val="center"/>
        <w:rPr>
          <w:rFonts w:hint="eastAsia" w:ascii="宋体" w:hAnsi="宋体" w:eastAsia="宋体" w:cs="宋体"/>
          <w:b/>
          <w:bCs w:val="0"/>
          <w:sz w:val="36"/>
          <w:szCs w:val="28"/>
        </w:rPr>
      </w:pPr>
      <w:r>
        <w:rPr>
          <w:rFonts w:hint="eastAsia" w:ascii="宋体" w:hAnsi="宋体" w:eastAsia="宋体" w:cs="宋体"/>
          <w:b/>
          <w:bCs w:val="0"/>
          <w:sz w:val="36"/>
          <w:szCs w:val="28"/>
        </w:rPr>
        <w:t>开标一览表</w:t>
      </w:r>
    </w:p>
    <w:p w14:paraId="2ABFBDC7">
      <w:pPr>
        <w:autoSpaceDE w:val="0"/>
        <w:autoSpaceDN w:val="0"/>
        <w:adjustRightInd w:val="0"/>
        <w:spacing w:line="360" w:lineRule="auto"/>
        <w:ind w:firstLine="720" w:firstLineChars="3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标段编号</w:t>
      </w:r>
      <w:r>
        <w:rPr>
          <w:rFonts w:hint="eastAsia" w:ascii="宋体" w:hAnsi="宋体" w:eastAsia="宋体" w:cs="宋体"/>
          <w:color w:val="000000"/>
          <w:sz w:val="24"/>
          <w:szCs w:val="24"/>
        </w:rPr>
        <w:t>：</w:t>
      </w:r>
    </w:p>
    <w:p w14:paraId="07A93157">
      <w:pPr>
        <w:autoSpaceDE w:val="0"/>
        <w:autoSpaceDN w:val="0"/>
        <w:adjustRightInd w:val="0"/>
        <w:spacing w:line="360" w:lineRule="auto"/>
        <w:ind w:firstLine="720" w:firstLineChars="300"/>
        <w:jc w:val="left"/>
        <w:rPr>
          <w:rFonts w:hint="eastAsia" w:ascii="宋体" w:hAnsi="宋体" w:eastAsia="宋体" w:cs="宋体"/>
          <w:bCs/>
          <w:color w:val="000000"/>
          <w:sz w:val="24"/>
          <w:szCs w:val="24"/>
          <w:lang w:eastAsia="zh-CN"/>
        </w:rPr>
      </w:pPr>
      <w:r>
        <w:rPr>
          <w:rFonts w:hint="eastAsia" w:ascii="宋体" w:hAnsi="宋体" w:eastAsia="宋体" w:cs="宋体"/>
          <w:color w:val="000000"/>
          <w:sz w:val="24"/>
          <w:szCs w:val="24"/>
          <w:lang w:eastAsia="zh-CN"/>
        </w:rPr>
        <w:t>标段名称</w:t>
      </w:r>
      <w:r>
        <w:rPr>
          <w:rFonts w:hint="eastAsia" w:ascii="宋体" w:hAnsi="宋体" w:eastAsia="宋体" w:cs="宋体"/>
          <w:color w:val="000000"/>
          <w:sz w:val="24"/>
          <w:szCs w:val="24"/>
        </w:rPr>
        <w:t>：</w:t>
      </w:r>
    </w:p>
    <w:p w14:paraId="155113E9">
      <w:pPr>
        <w:autoSpaceDE w:val="0"/>
        <w:autoSpaceDN w:val="0"/>
        <w:adjustRightInd w:val="0"/>
        <w:jc w:val="left"/>
        <w:rPr>
          <w:rFonts w:hint="eastAsia" w:ascii="宋体" w:hAnsi="宋体" w:eastAsia="宋体" w:cs="宋体"/>
          <w:color w:val="000000"/>
          <w:sz w:val="24"/>
          <w:szCs w:val="24"/>
        </w:rPr>
      </w:pPr>
    </w:p>
    <w:tbl>
      <w:tblPr>
        <w:tblStyle w:val="8"/>
        <w:tblW w:w="7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3"/>
        <w:gridCol w:w="3651"/>
      </w:tblGrid>
      <w:tr w14:paraId="3EC7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14:paraId="34AF5276">
            <w:pPr>
              <w:spacing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标题</w:t>
            </w:r>
          </w:p>
        </w:tc>
        <w:tc>
          <w:tcPr>
            <w:tcW w:w="3651" w:type="dxa"/>
            <w:vAlign w:val="center"/>
          </w:tcPr>
          <w:p w14:paraId="597C1274">
            <w:pPr>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内容</w:t>
            </w:r>
          </w:p>
        </w:tc>
      </w:tr>
      <w:tr w14:paraId="16F9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14:paraId="3F577382">
            <w:pPr>
              <w:spacing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投标报价</w:t>
            </w:r>
          </w:p>
        </w:tc>
        <w:tc>
          <w:tcPr>
            <w:tcW w:w="3651" w:type="dxa"/>
            <w:vAlign w:val="center"/>
          </w:tcPr>
          <w:p w14:paraId="33D9180D">
            <w:pPr>
              <w:spacing w:line="360" w:lineRule="auto"/>
              <w:jc w:val="center"/>
              <w:rPr>
                <w:rFonts w:hint="eastAsia" w:ascii="宋体" w:hAnsi="宋体" w:eastAsia="宋体" w:cs="宋体"/>
                <w:color w:val="000000"/>
                <w:sz w:val="28"/>
                <w:szCs w:val="28"/>
              </w:rPr>
            </w:pPr>
          </w:p>
        </w:tc>
      </w:tr>
      <w:tr w14:paraId="7260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14:paraId="54015FE6">
            <w:pPr>
              <w:spacing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交货期</w:t>
            </w:r>
          </w:p>
        </w:tc>
        <w:tc>
          <w:tcPr>
            <w:tcW w:w="3651" w:type="dxa"/>
            <w:vAlign w:val="center"/>
          </w:tcPr>
          <w:p w14:paraId="0C676219">
            <w:pPr>
              <w:spacing w:line="360" w:lineRule="auto"/>
              <w:jc w:val="center"/>
              <w:rPr>
                <w:rFonts w:hint="eastAsia" w:ascii="宋体" w:hAnsi="宋体" w:eastAsia="宋体" w:cs="宋体"/>
                <w:color w:val="000000"/>
                <w:sz w:val="28"/>
                <w:szCs w:val="28"/>
              </w:rPr>
            </w:pPr>
          </w:p>
        </w:tc>
      </w:tr>
    </w:tbl>
    <w:p w14:paraId="1469D41D">
      <w:pPr>
        <w:autoSpaceDE w:val="0"/>
        <w:autoSpaceDN w:val="0"/>
        <w:adjustRightInd w:val="0"/>
        <w:spacing w:line="360" w:lineRule="auto"/>
        <w:ind w:firstLine="420" w:firstLineChars="200"/>
        <w:jc w:val="left"/>
        <w:rPr>
          <w:rFonts w:hint="eastAsia" w:ascii="宋体" w:hAnsi="宋体" w:eastAsia="宋体" w:cs="宋体"/>
          <w:bCs/>
          <w:color w:val="000000"/>
          <w:szCs w:val="24"/>
        </w:rPr>
      </w:pPr>
    </w:p>
    <w:p w14:paraId="01EA2D38">
      <w:pPr>
        <w:autoSpaceDE w:val="0"/>
        <w:autoSpaceDN w:val="0"/>
        <w:adjustRightInd w:val="0"/>
        <w:spacing w:line="360" w:lineRule="auto"/>
        <w:ind w:firstLine="420" w:firstLineChars="200"/>
        <w:jc w:val="left"/>
        <w:rPr>
          <w:rFonts w:hint="eastAsia" w:ascii="宋体" w:hAnsi="宋体" w:eastAsia="宋体" w:cs="宋体"/>
          <w:bCs/>
          <w:color w:val="000000"/>
          <w:szCs w:val="24"/>
        </w:rPr>
      </w:pPr>
    </w:p>
    <w:p w14:paraId="5A0061EB">
      <w:pPr>
        <w:autoSpaceDE w:val="0"/>
        <w:autoSpaceDN w:val="0"/>
        <w:adjustRightInd w:val="0"/>
        <w:spacing w:line="360" w:lineRule="auto"/>
        <w:ind w:firstLine="420" w:firstLineChars="200"/>
        <w:jc w:val="left"/>
        <w:rPr>
          <w:rFonts w:hint="eastAsia" w:ascii="宋体" w:hAnsi="宋体" w:eastAsia="宋体" w:cs="宋体"/>
          <w:bCs/>
          <w:color w:val="000000"/>
          <w:szCs w:val="24"/>
        </w:rPr>
      </w:pPr>
    </w:p>
    <w:p w14:paraId="3A7599A1">
      <w:pPr>
        <w:spacing w:line="360" w:lineRule="auto"/>
        <w:ind w:firstLine="420" w:firstLineChars="200"/>
        <w:rPr>
          <w:rFonts w:hint="eastAsia" w:ascii="宋体" w:hAnsi="宋体" w:eastAsia="宋体" w:cs="宋体"/>
          <w:color w:val="000000"/>
          <w:szCs w:val="24"/>
        </w:rPr>
      </w:pPr>
    </w:p>
    <w:p w14:paraId="0B4A928B">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投标人（盖章）：</w:t>
      </w:r>
    </w:p>
    <w:p w14:paraId="010EA224">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法定代表人或委托代理人（签字或盖章）：</w:t>
      </w:r>
    </w:p>
    <w:p w14:paraId="75DE709E">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日期：    年     月     日</w:t>
      </w:r>
    </w:p>
    <w:p w14:paraId="7A17FCE2">
      <w:pPr>
        <w:spacing w:line="360" w:lineRule="auto"/>
        <w:ind w:firstLine="420" w:firstLineChars="200"/>
        <w:rPr>
          <w:rFonts w:hint="eastAsia" w:ascii="宋体" w:hAnsi="宋体" w:eastAsia="宋体" w:cs="宋体"/>
          <w:color w:val="000000"/>
          <w:szCs w:val="24"/>
        </w:rPr>
      </w:pPr>
    </w:p>
    <w:p w14:paraId="09174AA5">
      <w:pPr>
        <w:keepNext/>
        <w:spacing w:line="360" w:lineRule="auto"/>
        <w:textAlignment w:val="baseline"/>
        <w:outlineLvl w:val="1"/>
        <w:rPr>
          <w:rFonts w:hint="eastAsia" w:hAnsi="宋体"/>
          <w:b w:val="0"/>
          <w:color w:val="000000"/>
          <w:kern w:val="0"/>
          <w:sz w:val="32"/>
        </w:rPr>
      </w:pPr>
      <w:r>
        <w:rPr>
          <w:rFonts w:hint="eastAsia" w:ascii="宋体" w:hAnsi="宋体" w:eastAsia="宋体" w:cs="宋体"/>
          <w:color w:val="000000"/>
          <w:kern w:val="0"/>
          <w:sz w:val="32"/>
          <w:szCs w:val="20"/>
        </w:rPr>
        <w:br w:type="page"/>
      </w:r>
      <w:r>
        <w:rPr>
          <w:rFonts w:hint="eastAsia" w:ascii="宋体" w:hAnsi="宋体" w:eastAsia="宋体" w:cs="宋体"/>
          <w:b/>
          <w:bCs/>
          <w:color w:val="000000"/>
          <w:kern w:val="0"/>
          <w:sz w:val="24"/>
          <w:szCs w:val="24"/>
        </w:rPr>
        <w:t>格式3、报价明细表</w:t>
      </w:r>
    </w:p>
    <w:p w14:paraId="3398602A">
      <w:pPr>
        <w:spacing w:line="240" w:lineRule="auto"/>
        <w:ind w:firstLine="0"/>
        <w:jc w:val="center"/>
        <w:rPr>
          <w:rFonts w:hint="eastAsia" w:ascii="黑体" w:hAnsi="黑体" w:eastAsia="黑体" w:cs="宋体"/>
          <w:bCs/>
          <w:kern w:val="0"/>
          <w:sz w:val="36"/>
          <w:szCs w:val="28"/>
        </w:rPr>
      </w:pPr>
      <w:r>
        <w:rPr>
          <w:rFonts w:hint="eastAsia" w:ascii="黑体" w:hAnsi="黑体" w:eastAsia="黑体" w:cs="宋体"/>
          <w:bCs/>
          <w:kern w:val="0"/>
          <w:sz w:val="36"/>
          <w:szCs w:val="28"/>
        </w:rPr>
        <w:t>报价明细表</w:t>
      </w:r>
    </w:p>
    <w:p w14:paraId="13C44E26">
      <w:pPr>
        <w:spacing w:line="360" w:lineRule="auto"/>
        <w:ind w:firstLine="0"/>
        <w:jc w:val="left"/>
        <w:rPr>
          <w:rFonts w:hint="default" w:ascii="宋体" w:hAnsi="宋体" w:eastAsia="宋体" w:cs="Times New Roman"/>
          <w:bCs/>
          <w:color w:val="000000"/>
          <w:kern w:val="0"/>
          <w:sz w:val="24"/>
        </w:rPr>
      </w:pPr>
      <w:r>
        <w:rPr>
          <w:rFonts w:hint="eastAsia" w:ascii="宋体" w:hAnsi="宋体" w:eastAsia="宋体" w:cs="方正仿宋_GBK"/>
          <w:color w:val="000000"/>
          <w:kern w:val="0"/>
          <w:sz w:val="24"/>
        </w:rPr>
        <w:t>标段名称：【标段名称】                      标段编号：【标段编号】</w:t>
      </w:r>
    </w:p>
    <w:p w14:paraId="53D3B054">
      <w:pPr>
        <w:pStyle w:val="17"/>
        <w:ind w:firstLine="0"/>
        <w:jc w:val="right"/>
        <w:rPr>
          <w:rFonts w:hAnsi="宋体"/>
          <w:color w:val="000000"/>
          <w:kern w:val="0"/>
          <w:szCs w:val="24"/>
        </w:rPr>
      </w:pPr>
      <w:r>
        <w:rPr>
          <w:rFonts w:hint="eastAsia" w:hAnsi="宋体"/>
          <w:color w:val="000000"/>
          <w:kern w:val="0"/>
          <w:szCs w:val="24"/>
        </w:rPr>
        <w:t>单位：元</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34"/>
        <w:gridCol w:w="709"/>
        <w:gridCol w:w="1134"/>
        <w:gridCol w:w="850"/>
        <w:gridCol w:w="1134"/>
        <w:gridCol w:w="709"/>
        <w:gridCol w:w="1134"/>
        <w:gridCol w:w="1094"/>
        <w:gridCol w:w="1047"/>
      </w:tblGrid>
      <w:tr w14:paraId="3999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726" w:type="dxa"/>
            <w:noWrap w:val="0"/>
            <w:vAlign w:val="center"/>
          </w:tcPr>
          <w:p w14:paraId="40A77CC0">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项号</w:t>
            </w:r>
          </w:p>
        </w:tc>
        <w:tc>
          <w:tcPr>
            <w:tcW w:w="1134" w:type="dxa"/>
            <w:noWrap w:val="0"/>
            <w:vAlign w:val="center"/>
          </w:tcPr>
          <w:p w14:paraId="024F8026">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货物名称</w:t>
            </w:r>
          </w:p>
        </w:tc>
        <w:tc>
          <w:tcPr>
            <w:tcW w:w="709" w:type="dxa"/>
            <w:noWrap w:val="0"/>
            <w:vAlign w:val="center"/>
          </w:tcPr>
          <w:p w14:paraId="7B2CFC08">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品牌</w:t>
            </w:r>
          </w:p>
        </w:tc>
        <w:tc>
          <w:tcPr>
            <w:tcW w:w="1134" w:type="dxa"/>
            <w:noWrap w:val="0"/>
            <w:vAlign w:val="center"/>
          </w:tcPr>
          <w:p w14:paraId="27F16BE3">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规格型号</w:t>
            </w:r>
          </w:p>
        </w:tc>
        <w:tc>
          <w:tcPr>
            <w:tcW w:w="850" w:type="dxa"/>
            <w:noWrap w:val="0"/>
            <w:vAlign w:val="center"/>
          </w:tcPr>
          <w:p w14:paraId="1B98CA50">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制造商</w:t>
            </w:r>
          </w:p>
        </w:tc>
        <w:tc>
          <w:tcPr>
            <w:tcW w:w="1134" w:type="dxa"/>
            <w:noWrap w:val="0"/>
            <w:vAlign w:val="center"/>
          </w:tcPr>
          <w:p w14:paraId="5FA1F76C">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
                <w:color w:val="000000"/>
                <w:kern w:val="0"/>
              </w:rPr>
              <w:t>制造商企业类型</w:t>
            </w:r>
          </w:p>
        </w:tc>
        <w:tc>
          <w:tcPr>
            <w:tcW w:w="709" w:type="dxa"/>
            <w:noWrap w:val="0"/>
            <w:vAlign w:val="center"/>
          </w:tcPr>
          <w:p w14:paraId="456505B8">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
                <w:color w:val="000000"/>
                <w:kern w:val="0"/>
              </w:rPr>
              <w:t>单价</w:t>
            </w:r>
          </w:p>
        </w:tc>
        <w:tc>
          <w:tcPr>
            <w:tcW w:w="1134" w:type="dxa"/>
            <w:noWrap w:val="0"/>
            <w:vAlign w:val="center"/>
          </w:tcPr>
          <w:p w14:paraId="57DD2F75">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采购数量</w:t>
            </w:r>
          </w:p>
        </w:tc>
        <w:tc>
          <w:tcPr>
            <w:tcW w:w="1094" w:type="dxa"/>
            <w:noWrap w:val="0"/>
            <w:vAlign w:val="center"/>
          </w:tcPr>
          <w:p w14:paraId="61C860E5">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计量单位</w:t>
            </w:r>
          </w:p>
        </w:tc>
        <w:tc>
          <w:tcPr>
            <w:tcW w:w="1047" w:type="dxa"/>
            <w:noWrap w:val="0"/>
            <w:vAlign w:val="center"/>
          </w:tcPr>
          <w:p w14:paraId="142A23F3">
            <w:pPr>
              <w:widowControl/>
              <w:spacing w:line="360" w:lineRule="auto"/>
              <w:ind w:firstLine="0"/>
              <w:jc w:val="center"/>
              <w:rPr>
                <w:rFonts w:hint="default" w:ascii="Times New Roman" w:hAnsi="Times New Roman" w:eastAsia="宋体" w:cs="Times New Roman"/>
                <w:bCs/>
                <w:color w:val="000000"/>
                <w:kern w:val="0"/>
              </w:rPr>
            </w:pPr>
            <w:r>
              <w:rPr>
                <w:rFonts w:hint="default" w:ascii="Times New Roman" w:hAnsi="Times New Roman" w:eastAsia="宋体" w:cs="Times New Roman"/>
                <w:bCs/>
                <w:color w:val="000000"/>
                <w:kern w:val="0"/>
              </w:rPr>
              <w:t>总价</w:t>
            </w:r>
          </w:p>
        </w:tc>
      </w:tr>
      <w:tr w14:paraId="7282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726" w:type="dxa"/>
            <w:noWrap w:val="0"/>
            <w:vAlign w:val="center"/>
          </w:tcPr>
          <w:p w14:paraId="179023A1">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2CCAA7D6">
            <w:pPr>
              <w:widowControl/>
              <w:spacing w:line="360" w:lineRule="auto"/>
              <w:ind w:firstLine="0"/>
              <w:rPr>
                <w:rFonts w:hint="default" w:ascii="Times New Roman" w:hAnsi="Times New Roman" w:eastAsia="宋体" w:cs="Times New Roman"/>
                <w:color w:val="000000"/>
                <w:kern w:val="0"/>
              </w:rPr>
            </w:pPr>
          </w:p>
        </w:tc>
        <w:tc>
          <w:tcPr>
            <w:tcW w:w="709" w:type="dxa"/>
            <w:noWrap w:val="0"/>
            <w:vAlign w:val="center"/>
          </w:tcPr>
          <w:p w14:paraId="3D026F8C">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52A49701">
            <w:pPr>
              <w:widowControl/>
              <w:spacing w:line="360" w:lineRule="auto"/>
              <w:ind w:firstLine="0"/>
              <w:rPr>
                <w:rFonts w:hint="default" w:ascii="Times New Roman" w:hAnsi="Times New Roman" w:eastAsia="宋体" w:cs="Times New Roman"/>
                <w:color w:val="000000"/>
                <w:kern w:val="0"/>
              </w:rPr>
            </w:pPr>
          </w:p>
        </w:tc>
        <w:tc>
          <w:tcPr>
            <w:tcW w:w="850" w:type="dxa"/>
            <w:noWrap w:val="0"/>
            <w:vAlign w:val="center"/>
          </w:tcPr>
          <w:p w14:paraId="46E0F4BD">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1C5025C7">
            <w:pPr>
              <w:widowControl/>
              <w:spacing w:line="360" w:lineRule="auto"/>
              <w:ind w:firstLine="0"/>
              <w:rPr>
                <w:rFonts w:hint="default" w:ascii="Times New Roman" w:hAnsi="Times New Roman" w:eastAsia="宋体" w:cs="Times New Roman"/>
                <w:color w:val="000000"/>
                <w:kern w:val="0"/>
              </w:rPr>
            </w:pPr>
          </w:p>
        </w:tc>
        <w:tc>
          <w:tcPr>
            <w:tcW w:w="709" w:type="dxa"/>
            <w:noWrap w:val="0"/>
            <w:vAlign w:val="center"/>
          </w:tcPr>
          <w:p w14:paraId="4C5E6E90">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6C343E58">
            <w:pPr>
              <w:widowControl/>
              <w:spacing w:line="360" w:lineRule="auto"/>
              <w:ind w:firstLine="0"/>
              <w:rPr>
                <w:rFonts w:hint="default" w:ascii="Times New Roman" w:hAnsi="Times New Roman" w:eastAsia="宋体" w:cs="Times New Roman"/>
                <w:color w:val="000000"/>
                <w:kern w:val="0"/>
              </w:rPr>
            </w:pPr>
          </w:p>
        </w:tc>
        <w:tc>
          <w:tcPr>
            <w:tcW w:w="1094" w:type="dxa"/>
            <w:noWrap w:val="0"/>
            <w:vAlign w:val="center"/>
          </w:tcPr>
          <w:p w14:paraId="68B1D26F">
            <w:pPr>
              <w:widowControl/>
              <w:spacing w:line="360" w:lineRule="auto"/>
              <w:ind w:firstLine="0"/>
              <w:rPr>
                <w:rFonts w:hint="default" w:ascii="Times New Roman" w:hAnsi="Times New Roman" w:eastAsia="宋体" w:cs="Times New Roman"/>
                <w:color w:val="000000"/>
                <w:kern w:val="0"/>
              </w:rPr>
            </w:pPr>
          </w:p>
        </w:tc>
        <w:tc>
          <w:tcPr>
            <w:tcW w:w="1047" w:type="dxa"/>
            <w:noWrap w:val="0"/>
            <w:vAlign w:val="center"/>
          </w:tcPr>
          <w:p w14:paraId="48933E04">
            <w:pPr>
              <w:widowControl/>
              <w:spacing w:line="360" w:lineRule="auto"/>
              <w:ind w:firstLine="0"/>
              <w:rPr>
                <w:rFonts w:hint="default" w:ascii="Times New Roman" w:hAnsi="Times New Roman" w:eastAsia="宋体" w:cs="Times New Roman"/>
                <w:color w:val="000000"/>
                <w:kern w:val="0"/>
              </w:rPr>
            </w:pPr>
          </w:p>
        </w:tc>
      </w:tr>
      <w:tr w14:paraId="43A2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6" w:type="dxa"/>
            <w:noWrap w:val="0"/>
            <w:vAlign w:val="center"/>
          </w:tcPr>
          <w:p w14:paraId="65385D1B">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016939BA">
            <w:pPr>
              <w:widowControl/>
              <w:spacing w:line="360" w:lineRule="auto"/>
              <w:ind w:firstLine="0"/>
              <w:rPr>
                <w:rFonts w:hint="default" w:ascii="Times New Roman" w:hAnsi="Times New Roman" w:eastAsia="宋体" w:cs="Times New Roman"/>
                <w:color w:val="000000"/>
                <w:kern w:val="0"/>
              </w:rPr>
            </w:pPr>
          </w:p>
        </w:tc>
        <w:tc>
          <w:tcPr>
            <w:tcW w:w="709" w:type="dxa"/>
            <w:noWrap w:val="0"/>
            <w:vAlign w:val="center"/>
          </w:tcPr>
          <w:p w14:paraId="5606CAF2">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5F39D025">
            <w:pPr>
              <w:widowControl/>
              <w:spacing w:line="360" w:lineRule="auto"/>
              <w:ind w:firstLine="0"/>
              <w:rPr>
                <w:rFonts w:hint="default" w:ascii="Times New Roman" w:hAnsi="Times New Roman" w:eastAsia="宋体" w:cs="Times New Roman"/>
                <w:color w:val="000000"/>
                <w:kern w:val="0"/>
              </w:rPr>
            </w:pPr>
          </w:p>
        </w:tc>
        <w:tc>
          <w:tcPr>
            <w:tcW w:w="850" w:type="dxa"/>
            <w:noWrap w:val="0"/>
            <w:vAlign w:val="center"/>
          </w:tcPr>
          <w:p w14:paraId="548CB74F">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6395CFED">
            <w:pPr>
              <w:widowControl/>
              <w:spacing w:line="360" w:lineRule="auto"/>
              <w:ind w:firstLine="0"/>
              <w:rPr>
                <w:rFonts w:hint="default" w:ascii="Times New Roman" w:hAnsi="Times New Roman" w:eastAsia="宋体" w:cs="Times New Roman"/>
                <w:color w:val="000000"/>
                <w:kern w:val="0"/>
              </w:rPr>
            </w:pPr>
          </w:p>
        </w:tc>
        <w:tc>
          <w:tcPr>
            <w:tcW w:w="709" w:type="dxa"/>
            <w:noWrap w:val="0"/>
            <w:vAlign w:val="center"/>
          </w:tcPr>
          <w:p w14:paraId="278396EF">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5430F608">
            <w:pPr>
              <w:widowControl/>
              <w:spacing w:line="360" w:lineRule="auto"/>
              <w:ind w:firstLine="0"/>
              <w:rPr>
                <w:rFonts w:hint="default" w:ascii="Times New Roman" w:hAnsi="Times New Roman" w:eastAsia="宋体" w:cs="Times New Roman"/>
                <w:color w:val="000000"/>
                <w:kern w:val="0"/>
              </w:rPr>
            </w:pPr>
          </w:p>
        </w:tc>
        <w:tc>
          <w:tcPr>
            <w:tcW w:w="1094" w:type="dxa"/>
            <w:noWrap w:val="0"/>
            <w:vAlign w:val="center"/>
          </w:tcPr>
          <w:p w14:paraId="751AB2FA">
            <w:pPr>
              <w:widowControl/>
              <w:spacing w:line="360" w:lineRule="auto"/>
              <w:ind w:firstLine="0"/>
              <w:rPr>
                <w:rFonts w:hint="default" w:ascii="Times New Roman" w:hAnsi="Times New Roman" w:eastAsia="宋体" w:cs="Times New Roman"/>
                <w:color w:val="000000"/>
                <w:kern w:val="0"/>
              </w:rPr>
            </w:pPr>
          </w:p>
        </w:tc>
        <w:tc>
          <w:tcPr>
            <w:tcW w:w="1047" w:type="dxa"/>
            <w:noWrap w:val="0"/>
            <w:vAlign w:val="center"/>
          </w:tcPr>
          <w:p w14:paraId="44A8B783">
            <w:pPr>
              <w:widowControl/>
              <w:spacing w:line="360" w:lineRule="auto"/>
              <w:ind w:firstLine="0"/>
              <w:rPr>
                <w:rFonts w:hint="default" w:ascii="Times New Roman" w:hAnsi="Times New Roman" w:eastAsia="宋体" w:cs="Times New Roman"/>
                <w:color w:val="000000"/>
                <w:kern w:val="0"/>
              </w:rPr>
            </w:pPr>
          </w:p>
        </w:tc>
      </w:tr>
      <w:tr w14:paraId="5439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726" w:type="dxa"/>
            <w:noWrap w:val="0"/>
            <w:vAlign w:val="center"/>
          </w:tcPr>
          <w:p w14:paraId="5A104C06">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274C7C3C">
            <w:pPr>
              <w:widowControl/>
              <w:spacing w:line="360" w:lineRule="auto"/>
              <w:ind w:firstLine="0"/>
              <w:rPr>
                <w:rFonts w:hint="default" w:ascii="Times New Roman" w:hAnsi="Times New Roman" w:eastAsia="宋体" w:cs="Times New Roman"/>
                <w:color w:val="000000"/>
                <w:kern w:val="0"/>
              </w:rPr>
            </w:pPr>
          </w:p>
        </w:tc>
        <w:tc>
          <w:tcPr>
            <w:tcW w:w="709" w:type="dxa"/>
            <w:noWrap w:val="0"/>
            <w:vAlign w:val="center"/>
          </w:tcPr>
          <w:p w14:paraId="33112F23">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3BFFED13">
            <w:pPr>
              <w:widowControl/>
              <w:spacing w:line="360" w:lineRule="auto"/>
              <w:ind w:firstLine="0"/>
              <w:rPr>
                <w:rFonts w:hint="default" w:ascii="Times New Roman" w:hAnsi="Times New Roman" w:eastAsia="宋体" w:cs="Times New Roman"/>
                <w:color w:val="000000"/>
                <w:kern w:val="0"/>
              </w:rPr>
            </w:pPr>
          </w:p>
        </w:tc>
        <w:tc>
          <w:tcPr>
            <w:tcW w:w="850" w:type="dxa"/>
            <w:noWrap w:val="0"/>
            <w:vAlign w:val="center"/>
          </w:tcPr>
          <w:p w14:paraId="3E3C1CD8">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3B1BB40D">
            <w:pPr>
              <w:widowControl/>
              <w:spacing w:line="360" w:lineRule="auto"/>
              <w:ind w:firstLine="0"/>
              <w:rPr>
                <w:rFonts w:hint="default" w:ascii="Times New Roman" w:hAnsi="Times New Roman" w:eastAsia="宋体" w:cs="Times New Roman"/>
                <w:color w:val="000000"/>
                <w:kern w:val="0"/>
              </w:rPr>
            </w:pPr>
          </w:p>
        </w:tc>
        <w:tc>
          <w:tcPr>
            <w:tcW w:w="709" w:type="dxa"/>
            <w:noWrap w:val="0"/>
            <w:vAlign w:val="center"/>
          </w:tcPr>
          <w:p w14:paraId="0358E9C8">
            <w:pPr>
              <w:widowControl/>
              <w:spacing w:line="360" w:lineRule="auto"/>
              <w:ind w:firstLine="0"/>
              <w:rPr>
                <w:rFonts w:hint="default" w:ascii="Times New Roman" w:hAnsi="Times New Roman" w:eastAsia="宋体" w:cs="Times New Roman"/>
                <w:color w:val="000000"/>
                <w:kern w:val="0"/>
              </w:rPr>
            </w:pPr>
          </w:p>
        </w:tc>
        <w:tc>
          <w:tcPr>
            <w:tcW w:w="1134" w:type="dxa"/>
            <w:noWrap w:val="0"/>
            <w:vAlign w:val="center"/>
          </w:tcPr>
          <w:p w14:paraId="486D5092">
            <w:pPr>
              <w:widowControl/>
              <w:spacing w:line="360" w:lineRule="auto"/>
              <w:ind w:firstLine="0"/>
              <w:rPr>
                <w:rFonts w:hint="default" w:ascii="Times New Roman" w:hAnsi="Times New Roman" w:eastAsia="宋体" w:cs="Times New Roman"/>
                <w:color w:val="000000"/>
                <w:kern w:val="0"/>
              </w:rPr>
            </w:pPr>
          </w:p>
        </w:tc>
        <w:tc>
          <w:tcPr>
            <w:tcW w:w="1094" w:type="dxa"/>
            <w:noWrap w:val="0"/>
            <w:vAlign w:val="center"/>
          </w:tcPr>
          <w:p w14:paraId="57649386">
            <w:pPr>
              <w:widowControl/>
              <w:spacing w:line="360" w:lineRule="auto"/>
              <w:ind w:firstLine="0"/>
              <w:rPr>
                <w:rFonts w:hint="default" w:ascii="Times New Roman" w:hAnsi="Times New Roman" w:eastAsia="宋体" w:cs="Times New Roman"/>
                <w:color w:val="000000"/>
                <w:kern w:val="0"/>
              </w:rPr>
            </w:pPr>
          </w:p>
        </w:tc>
        <w:tc>
          <w:tcPr>
            <w:tcW w:w="1047" w:type="dxa"/>
            <w:noWrap w:val="0"/>
            <w:vAlign w:val="center"/>
          </w:tcPr>
          <w:p w14:paraId="55478930">
            <w:pPr>
              <w:widowControl/>
              <w:spacing w:line="360" w:lineRule="auto"/>
              <w:ind w:firstLine="0"/>
              <w:rPr>
                <w:rFonts w:hint="default" w:ascii="Times New Roman" w:hAnsi="Times New Roman" w:eastAsia="宋体" w:cs="Times New Roman"/>
                <w:color w:val="000000"/>
                <w:kern w:val="0"/>
              </w:rPr>
            </w:pPr>
          </w:p>
        </w:tc>
      </w:tr>
      <w:tr w14:paraId="4F689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71" w:type="dxa"/>
            <w:gridSpan w:val="10"/>
            <w:noWrap w:val="0"/>
            <w:vAlign w:val="center"/>
          </w:tcPr>
          <w:p w14:paraId="6D726EE8">
            <w:pPr>
              <w:widowControl/>
              <w:spacing w:line="360" w:lineRule="auto"/>
              <w:ind w:firstLine="0"/>
              <w:rPr>
                <w:rFonts w:hint="default" w:ascii="Times New Roman" w:hAnsi="Times New Roman" w:eastAsia="宋体" w:cs="Times New Roman"/>
                <w:color w:val="000000"/>
                <w:kern w:val="0"/>
              </w:rPr>
            </w:pPr>
            <w:r>
              <w:rPr>
                <w:rFonts w:hint="eastAsia" w:ascii="Times New Roman" w:hAnsi="Times New Roman" w:eastAsia="宋体" w:cs="Times New Roman"/>
                <w:color w:val="FF0000"/>
                <w:kern w:val="0"/>
                <w:szCs w:val="24"/>
                <w:highlight w:val="none"/>
              </w:rPr>
              <w:t>本采购包中提供的符合本国产品标准的产品成本之和占该采购包提供的全部产品成本之和的比例为</w:t>
            </w:r>
            <w:r>
              <w:rPr>
                <w:rFonts w:hint="eastAsia" w:ascii="Times New Roman" w:hAnsi="Times New Roman" w:eastAsia="宋体" w:cs="Times New Roman"/>
                <w:color w:val="FF0000"/>
                <w:kern w:val="0"/>
                <w:szCs w:val="24"/>
                <w:highlight w:val="none"/>
                <w:u w:val="single"/>
                <w:lang w:val="en-US" w:eastAsia="zh-CN"/>
              </w:rPr>
              <w:t xml:space="preserve">       </w:t>
            </w:r>
            <w:r>
              <w:rPr>
                <w:rFonts w:hint="eastAsia" w:ascii="Times New Roman" w:hAnsi="Times New Roman" w:eastAsia="宋体" w:cs="Times New Roman"/>
                <w:color w:val="FF0000"/>
                <w:kern w:val="0"/>
                <w:szCs w:val="24"/>
                <w:highlight w:val="none"/>
              </w:rPr>
              <w:t>%。</w:t>
            </w:r>
          </w:p>
        </w:tc>
      </w:tr>
    </w:tbl>
    <w:p w14:paraId="24C66C79">
      <w:pPr>
        <w:spacing w:line="360" w:lineRule="auto"/>
        <w:ind w:firstLine="420"/>
        <w:rPr>
          <w:rFonts w:hint="eastAsia" w:ascii="Times New Roman" w:hAnsi="Times New Roman" w:eastAsia="宋体" w:cs="Times New Roman"/>
          <w:color w:val="000000"/>
          <w:kern w:val="0"/>
        </w:rPr>
      </w:pPr>
    </w:p>
    <w:p w14:paraId="1D392B17">
      <w:pPr>
        <w:spacing w:line="360" w:lineRule="auto"/>
        <w:ind w:firstLine="420"/>
        <w:rPr>
          <w:rFonts w:hint="default" w:ascii="Times New Roman" w:hAnsi="Times New Roman" w:eastAsia="宋体" w:cs="Times New Roman"/>
          <w:color w:val="000000"/>
          <w:kern w:val="0"/>
        </w:rPr>
      </w:pPr>
      <w:r>
        <w:rPr>
          <w:rFonts w:hint="eastAsia" w:ascii="Times New Roman" w:hAnsi="Times New Roman" w:eastAsia="宋体" w:cs="Times New Roman"/>
          <w:color w:val="000000"/>
          <w:kern w:val="0"/>
        </w:rPr>
        <w:t>投标人（盖章）：</w:t>
      </w:r>
    </w:p>
    <w:p w14:paraId="60F193E4">
      <w:pPr>
        <w:spacing w:line="360" w:lineRule="auto"/>
        <w:ind w:firstLine="420"/>
        <w:rPr>
          <w:rFonts w:hint="default" w:ascii="Times New Roman" w:hAnsi="Times New Roman" w:eastAsia="宋体" w:cs="Times New Roman"/>
          <w:color w:val="000000"/>
          <w:kern w:val="0"/>
        </w:rPr>
      </w:pPr>
      <w:r>
        <w:rPr>
          <w:rFonts w:hint="eastAsia" w:ascii="Times New Roman" w:hAnsi="Times New Roman" w:eastAsia="宋体" w:cs="Times New Roman"/>
          <w:color w:val="000000"/>
          <w:kern w:val="0"/>
        </w:rPr>
        <w:t>法定代表人或委托代理人（签字或盖章）：</w:t>
      </w:r>
    </w:p>
    <w:p w14:paraId="4C01DF9C">
      <w:pPr>
        <w:spacing w:line="360" w:lineRule="auto"/>
        <w:ind w:firstLine="420"/>
        <w:rPr>
          <w:rFonts w:hint="default" w:ascii="Times New Roman" w:hAnsi="宋体" w:eastAsia="宋体" w:cs="Times New Roman"/>
          <w:color w:val="000000"/>
          <w:kern w:val="0"/>
        </w:rPr>
      </w:pPr>
      <w:r>
        <w:rPr>
          <w:rFonts w:hint="eastAsia" w:ascii="Times New Roman" w:hAnsi="Times New Roman" w:eastAsia="宋体" w:cs="Times New Roman"/>
          <w:color w:val="000000"/>
          <w:kern w:val="0"/>
        </w:rPr>
        <w:t>日期：    年     月     日</w:t>
      </w:r>
    </w:p>
    <w:p w14:paraId="7461436A">
      <w:pPr>
        <w:pStyle w:val="17"/>
        <w:ind w:firstLine="420"/>
        <w:rPr>
          <w:rFonts w:hint="eastAsia" w:hAnsi="宋体"/>
          <w:color w:val="000000"/>
          <w:kern w:val="0"/>
          <w:szCs w:val="24"/>
        </w:rPr>
      </w:pPr>
      <w:r>
        <w:rPr>
          <w:rFonts w:hint="eastAsia" w:hAnsi="宋体"/>
          <w:color w:val="000000"/>
          <w:kern w:val="0"/>
          <w:szCs w:val="24"/>
        </w:rPr>
        <w:t>填报说明：</w:t>
      </w:r>
    </w:p>
    <w:p w14:paraId="1FB41083">
      <w:pPr>
        <w:pStyle w:val="17"/>
        <w:ind w:firstLine="420"/>
        <w:rPr>
          <w:rFonts w:hint="eastAsia" w:hAnsi="宋体"/>
          <w:color w:val="000000"/>
          <w:kern w:val="0"/>
          <w:szCs w:val="24"/>
        </w:rPr>
      </w:pPr>
      <w:r>
        <w:rPr>
          <w:rFonts w:hint="eastAsia" w:hAnsi="宋体"/>
          <w:color w:val="000000"/>
          <w:kern w:val="0"/>
          <w:szCs w:val="24"/>
        </w:rPr>
        <w:t>1、</w:t>
      </w:r>
      <w:r>
        <w:rPr>
          <w:rFonts w:hint="eastAsia" w:hAnsi="宋体"/>
          <w:b/>
          <w:bCs/>
          <w:color w:val="000000"/>
          <w:kern w:val="0"/>
          <w:szCs w:val="24"/>
        </w:rPr>
        <w:t>“制造商企业类型”栏填写内容为“大型”“中型”“小型”“微型”“监狱企业”或“残疾人福利性单位”。</w:t>
      </w:r>
      <w:r>
        <w:rPr>
          <w:rFonts w:hint="eastAsia" w:hAnsi="宋体"/>
          <w:color w:val="000000"/>
          <w:kern w:val="0"/>
          <w:szCs w:val="24"/>
        </w:rPr>
        <w:t>如供应商提供的货物制造商全部为小微企业的，提供《中小企业声明函》（见格式）；供应商为残疾人福利性单位且提供的货物全部由残疾人福利性单位制造的，提供《残疾人福利性单位声明函》（见格式）；供应商为监狱企业或提供的货物由监狱企业制造的，提供由省级以上监狱管理局、戒毒管理局(含新疆生产建设兵团)出具的属于监狱企业的证明文件。否则不享受扶持政策。</w:t>
      </w:r>
    </w:p>
    <w:p w14:paraId="051F40D8">
      <w:pPr>
        <w:pStyle w:val="17"/>
        <w:ind w:firstLine="420"/>
        <w:rPr>
          <w:rFonts w:hint="eastAsia" w:hAnsi="宋体"/>
          <w:color w:val="000000"/>
          <w:kern w:val="0"/>
          <w:szCs w:val="24"/>
        </w:rPr>
      </w:pPr>
      <w:r>
        <w:rPr>
          <w:rFonts w:hint="eastAsia" w:hAnsi="宋体"/>
          <w:color w:val="000000"/>
          <w:kern w:val="0"/>
          <w:szCs w:val="24"/>
        </w:rPr>
        <w:t>2、以上总价包含货物费用、运杂费、安装施工费、集成费、税金和其他费用。</w:t>
      </w:r>
    </w:p>
    <w:p w14:paraId="4B718A0C">
      <w:pPr>
        <w:pStyle w:val="17"/>
        <w:ind w:firstLine="420"/>
        <w:rPr>
          <w:rFonts w:hint="eastAsia" w:hAnsi="宋体"/>
          <w:color w:val="000000"/>
          <w:kern w:val="0"/>
          <w:szCs w:val="24"/>
        </w:rPr>
      </w:pPr>
      <w:r>
        <w:rPr>
          <w:rFonts w:hint="eastAsia" w:hAnsi="宋体"/>
          <w:color w:val="000000"/>
          <w:kern w:val="0"/>
          <w:szCs w:val="24"/>
        </w:rPr>
        <w:t>3、请供应商正确填写本表，所填内容将作为评审的依据，其内容应与对应的证明资料相符。</w:t>
      </w:r>
    </w:p>
    <w:p w14:paraId="0ACC4902">
      <w:pPr>
        <w:pStyle w:val="17"/>
        <w:ind w:firstLine="420"/>
        <w:rPr>
          <w:rFonts w:hint="eastAsia" w:hAnsi="宋体"/>
          <w:color w:val="000000"/>
          <w:kern w:val="0"/>
          <w:szCs w:val="24"/>
        </w:rPr>
      </w:pPr>
      <w:r>
        <w:rPr>
          <w:rFonts w:hint="eastAsia" w:hAnsi="宋体"/>
          <w:color w:val="000000"/>
          <w:kern w:val="0"/>
          <w:szCs w:val="24"/>
        </w:rPr>
        <w:t>4、本表中事项填写不得有缺失，请如实填写，行数或事项不够，可自行增加。</w:t>
      </w:r>
    </w:p>
    <w:p w14:paraId="108971BA">
      <w:pPr>
        <w:widowControl w:val="0"/>
        <w:spacing w:line="360" w:lineRule="auto"/>
        <w:ind w:firstLine="420"/>
        <w:jc w:val="both"/>
        <w:rPr>
          <w:rFonts w:hint="eastAsia" w:ascii="宋体" w:hAnsi="宋体" w:eastAsia="宋体" w:cs="Times New Roman"/>
          <w:kern w:val="0"/>
          <w:sz w:val="21"/>
          <w:szCs w:val="24"/>
          <w:highlight w:val="none"/>
          <w:lang w:val="en-US" w:eastAsia="zh-CN" w:bidi="ar-SA"/>
        </w:rPr>
      </w:pPr>
      <w:r>
        <w:rPr>
          <w:rFonts w:hint="eastAsia" w:ascii="Times New Roman" w:hAnsi="Times New Roman" w:eastAsia="宋体" w:cs="Times New Roman"/>
          <w:color w:val="FF0000"/>
          <w:kern w:val="0"/>
          <w:sz w:val="21"/>
          <w:szCs w:val="24"/>
          <w:highlight w:val="none"/>
          <w:lang w:val="en-US" w:eastAsia="zh-CN" w:bidi="ar-SA"/>
        </w:rPr>
        <w:t>5、本采购包中含有多种产品时，供应商在本表中未填写本采购包中提供的符合本国产品标准的产品成本之和占该采购包提供的全部产品成本之和的比例数值的，或未提供《关于符合本国产品标准的声明函》，或本表与《关于符合本国产品标准的声明函》填写的占比数据不一致的，或比例数值未达到80%的，将不享受本国产品价格评审优惠。</w:t>
      </w:r>
    </w:p>
    <w:p w14:paraId="73378664">
      <w:pPr>
        <w:keepNext/>
        <w:spacing w:line="360" w:lineRule="auto"/>
        <w:textAlignment w:val="baseline"/>
        <w:outlineLvl w:val="1"/>
        <w:rPr>
          <w:rFonts w:hint="eastAsia" w:ascii="宋体" w:hAnsi="宋体" w:eastAsia="宋体" w:cs="宋体"/>
          <w:b/>
          <w:bCs/>
          <w:color w:val="000000"/>
          <w:kern w:val="0"/>
          <w:sz w:val="28"/>
          <w:szCs w:val="20"/>
        </w:rPr>
      </w:pPr>
      <w:r>
        <w:rPr>
          <w:rFonts w:hint="eastAsia" w:ascii="宋体" w:hAnsi="宋体" w:eastAsia="宋体" w:cs="宋体"/>
          <w:b/>
          <w:bCs/>
          <w:color w:val="000000"/>
          <w:kern w:val="0"/>
          <w:sz w:val="24"/>
          <w:szCs w:val="24"/>
        </w:rPr>
        <w:t>格式4、中小企业声明函</w:t>
      </w:r>
    </w:p>
    <w:p w14:paraId="4CEC2F70">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中小企业声明函</w:t>
      </w:r>
    </w:p>
    <w:p w14:paraId="4D2E9F99">
      <w:pPr>
        <w:autoSpaceDE w:val="0"/>
        <w:autoSpaceDN w:val="0"/>
        <w:adjustRightInd w:val="0"/>
        <w:jc w:val="left"/>
        <w:rPr>
          <w:rFonts w:hint="eastAsia" w:ascii="宋体" w:hAnsi="宋体" w:eastAsia="宋体" w:cs="宋体"/>
          <w:color w:val="000000"/>
          <w:szCs w:val="24"/>
        </w:rPr>
      </w:pPr>
    </w:p>
    <w:p w14:paraId="3E2B1CB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标段名称</w:t>
      </w:r>
      <w:r>
        <w:rPr>
          <w:rFonts w:hint="eastAsia" w:ascii="宋体" w:hAnsi="宋体" w:eastAsia="宋体" w:cs="宋体"/>
          <w:sz w:val="24"/>
          <w:szCs w:val="24"/>
          <w:u w:val="single"/>
        </w:rPr>
        <w:t>）</w:t>
      </w:r>
      <w:r>
        <w:rPr>
          <w:rFonts w:hint="eastAsia" w:ascii="宋体" w:hAnsi="宋体" w:eastAsia="宋体" w:cs="宋体"/>
          <w:sz w:val="24"/>
          <w:szCs w:val="24"/>
        </w:rPr>
        <w:t>采购活动，提供的货物全部由符合政策要求的中小企业制造。相关企业的具体情况如下：</w:t>
      </w:r>
    </w:p>
    <w:p w14:paraId="16B5AC1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 </w:t>
      </w:r>
      <w:r>
        <w:rPr>
          <w:rFonts w:hint="eastAsia" w:ascii="宋体" w:hAnsi="宋体" w:eastAsia="宋体" w:cs="宋体"/>
          <w:sz w:val="24"/>
          <w:szCs w:val="24"/>
          <w:highlight w:val="none"/>
          <w:u w:val="single"/>
        </w:rPr>
        <w:t xml:space="preserve">（货物名称）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en-US" w:eastAsia="zh-CN"/>
        </w:rPr>
        <w:t>工业（制造业</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3DE8F9A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 </w:t>
      </w:r>
    </w:p>
    <w:p w14:paraId="7CAFEE9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以上企业，不属于大企业的分支机构，不存在控股股东为大企业的情形，也不存在与大企业的负责人为同一人的情形。 </w:t>
      </w:r>
    </w:p>
    <w:p w14:paraId="025EBDE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本企业对上述声明内容的真实性负责。如有虚假，将依法承担相应责任。 </w:t>
      </w:r>
    </w:p>
    <w:p w14:paraId="6F28AE1A">
      <w:pPr>
        <w:snapToGrid w:val="0"/>
        <w:spacing w:line="360" w:lineRule="auto"/>
        <w:ind w:firstLine="480" w:firstLineChars="200"/>
        <w:rPr>
          <w:rFonts w:hint="eastAsia" w:ascii="宋体" w:hAnsi="宋体" w:eastAsia="宋体" w:cs="宋体"/>
          <w:sz w:val="24"/>
          <w:szCs w:val="24"/>
        </w:rPr>
      </w:pPr>
    </w:p>
    <w:p w14:paraId="559BEE31">
      <w:pPr>
        <w:snapToGrid w:val="0"/>
        <w:spacing w:line="360" w:lineRule="auto"/>
        <w:ind w:right="480" w:firstLine="4920" w:firstLineChars="2050"/>
        <w:rPr>
          <w:rFonts w:hint="eastAsia" w:ascii="宋体" w:hAnsi="宋体" w:eastAsia="宋体" w:cs="宋体"/>
          <w:sz w:val="24"/>
          <w:szCs w:val="24"/>
        </w:rPr>
      </w:pPr>
    </w:p>
    <w:p w14:paraId="584A5E03">
      <w:pPr>
        <w:snapToGrid w:val="0"/>
        <w:spacing w:line="360" w:lineRule="auto"/>
        <w:ind w:right="480" w:firstLine="4920" w:firstLineChars="205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A478375">
      <w:pPr>
        <w:snapToGrid w:val="0"/>
        <w:spacing w:line="360" w:lineRule="auto"/>
        <w:ind w:right="480" w:firstLine="4920" w:firstLineChars="2050"/>
        <w:rPr>
          <w:rFonts w:hint="eastAsia" w:ascii="宋体" w:hAnsi="宋体" w:eastAsia="宋体" w:cs="宋体"/>
          <w:sz w:val="24"/>
          <w:szCs w:val="24"/>
        </w:rPr>
      </w:pPr>
      <w:r>
        <w:rPr>
          <w:rFonts w:hint="eastAsia" w:ascii="宋体" w:hAnsi="宋体" w:eastAsia="宋体" w:cs="宋体"/>
          <w:sz w:val="24"/>
          <w:szCs w:val="24"/>
        </w:rPr>
        <w:t>日 期：   年   月   日</w:t>
      </w:r>
    </w:p>
    <w:p w14:paraId="7A426D69">
      <w:pPr>
        <w:snapToGrid w:val="0"/>
        <w:spacing w:line="360" w:lineRule="auto"/>
        <w:ind w:right="480"/>
        <w:rPr>
          <w:rFonts w:hint="eastAsia" w:ascii="宋体" w:hAnsi="宋体" w:eastAsia="宋体" w:cs="宋体"/>
          <w:b/>
          <w:sz w:val="24"/>
          <w:szCs w:val="24"/>
        </w:rPr>
      </w:pPr>
    </w:p>
    <w:p w14:paraId="3CD83922">
      <w:pPr>
        <w:snapToGrid w:val="0"/>
        <w:spacing w:line="360" w:lineRule="auto"/>
        <w:ind w:right="480" w:firstLine="482" w:firstLineChars="200"/>
        <w:rPr>
          <w:rFonts w:hint="eastAsia" w:ascii="宋体" w:hAnsi="宋体" w:eastAsia="宋体" w:cs="宋体"/>
          <w:b/>
          <w:sz w:val="24"/>
          <w:szCs w:val="24"/>
        </w:rPr>
      </w:pPr>
    </w:p>
    <w:p w14:paraId="6BDDDA8F">
      <w:pPr>
        <w:snapToGrid w:val="0"/>
        <w:spacing w:line="360" w:lineRule="auto"/>
        <w:ind w:right="480" w:firstLine="482" w:firstLineChars="200"/>
        <w:rPr>
          <w:rFonts w:hint="eastAsia" w:ascii="宋体" w:hAnsi="宋体" w:eastAsia="宋体" w:cs="宋体"/>
          <w:b/>
          <w:sz w:val="24"/>
          <w:szCs w:val="24"/>
        </w:rPr>
      </w:pPr>
    </w:p>
    <w:p w14:paraId="76CE1FA5">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rPr>
        <w:t>填报说明：</w:t>
      </w:r>
    </w:p>
    <w:p w14:paraId="14EA5663">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066DCEC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2、请供应商如实填写，所填内容将作为评审的依据。其内容填写须与报价明细表一致，如填写不完整或不一致，将不享受扶持政策。</w:t>
      </w:r>
    </w:p>
    <w:p w14:paraId="3A26E770">
      <w:pPr>
        <w:snapToGrid w:val="0"/>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3、中标供应商的《中小企业声明函》随中标结果公开。</w:t>
      </w:r>
    </w:p>
    <w:p w14:paraId="02E4F909">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p>
    <w:p w14:paraId="29C36B1C">
      <w:pPr>
        <w:keepNext/>
        <w:spacing w:line="360" w:lineRule="auto"/>
        <w:textAlignment w:val="baseline"/>
        <w:outlineLvl w:val="1"/>
        <w:rPr>
          <w:rFonts w:hint="eastAsia" w:ascii="宋体" w:hAnsi="宋体" w:eastAsia="宋体" w:cs="宋体"/>
          <w:b/>
          <w:bCs/>
          <w:kern w:val="0"/>
          <w:sz w:val="28"/>
          <w:szCs w:val="20"/>
        </w:rPr>
      </w:pPr>
      <w:r>
        <w:rPr>
          <w:rFonts w:hint="eastAsia" w:ascii="宋体" w:hAnsi="宋体" w:eastAsia="宋体" w:cs="宋体"/>
          <w:b/>
          <w:bCs/>
          <w:color w:val="000000"/>
          <w:kern w:val="0"/>
          <w:sz w:val="24"/>
          <w:szCs w:val="24"/>
        </w:rPr>
        <w:t>格式5、残疾人福利性企业声明函</w:t>
      </w:r>
    </w:p>
    <w:p w14:paraId="5755C2EF">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残疾人福利性单位声明函</w:t>
      </w:r>
    </w:p>
    <w:p w14:paraId="7D1E3DDE">
      <w:pPr>
        <w:autoSpaceDE w:val="0"/>
        <w:autoSpaceDN w:val="0"/>
        <w:adjustRightInd w:val="0"/>
        <w:jc w:val="left"/>
        <w:rPr>
          <w:rFonts w:hint="eastAsia" w:ascii="宋体" w:hAnsi="宋体" w:eastAsia="宋体" w:cs="宋体"/>
          <w:color w:val="000000"/>
          <w:szCs w:val="24"/>
        </w:rPr>
      </w:pPr>
    </w:p>
    <w:p w14:paraId="52262C6B">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本单位郑重声明，根据《财政部民政部中国残疾人联合会关于促进残疾人就业政府 </w:t>
      </w:r>
    </w:p>
    <w:p w14:paraId="63EC0828">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采购政策的通知》（财库〔</w:t>
      </w:r>
      <w:r>
        <w:rPr>
          <w:rFonts w:hint="default" w:ascii="宋体" w:hAnsi="宋体" w:eastAsia="宋体" w:cs="宋体"/>
          <w:sz w:val="24"/>
          <w:szCs w:val="24"/>
          <w:lang w:val="en-US" w:eastAsia="zh-CN"/>
        </w:rPr>
        <w:t>2017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141 </w:t>
      </w:r>
      <w:r>
        <w:rPr>
          <w:rFonts w:hint="eastAsia" w:ascii="宋体" w:hAnsi="宋体" w:eastAsia="宋体" w:cs="宋体"/>
          <w:sz w:val="24"/>
          <w:szCs w:val="24"/>
          <w:lang w:val="en-US" w:eastAsia="zh-CN"/>
        </w:rPr>
        <w:t>号）的规定，本单位为符合条件的残疾人福利性 单位，且本单位参加</w:t>
      </w:r>
      <w:r>
        <w:rPr>
          <w:rFonts w:hint="default" w:ascii="宋体" w:hAnsi="宋体" w:eastAsia="宋体" w:cs="宋体"/>
          <w:sz w:val="24"/>
          <w:szCs w:val="24"/>
          <w:lang w:val="en-US" w:eastAsia="zh-CN"/>
        </w:rPr>
        <w:t>_____</w:t>
      </w:r>
      <w:r>
        <w:rPr>
          <w:rFonts w:hint="eastAsia" w:ascii="宋体" w:hAnsi="宋体" w:eastAsia="宋体" w:cs="宋体"/>
          <w:sz w:val="24"/>
          <w:szCs w:val="24"/>
          <w:lang w:val="en-US" w:eastAsia="zh-CN"/>
        </w:rPr>
        <w:t>单位的</w:t>
      </w:r>
      <w:r>
        <w:rPr>
          <w:rFonts w:hint="default" w:ascii="宋体" w:hAnsi="宋体" w:eastAsia="宋体" w:cs="宋体"/>
          <w:sz w:val="24"/>
          <w:szCs w:val="24"/>
          <w:lang w:val="en-US" w:eastAsia="zh-CN"/>
        </w:rPr>
        <w:t>_____</w:t>
      </w:r>
      <w:r>
        <w:rPr>
          <w:rFonts w:hint="eastAsia" w:ascii="宋体" w:hAnsi="宋体" w:eastAsia="宋体" w:cs="宋体"/>
          <w:sz w:val="24"/>
          <w:szCs w:val="24"/>
          <w:lang w:val="en-US" w:eastAsia="zh-CN"/>
        </w:rPr>
        <w:t xml:space="preserve">项目采购活动由本单位提供全部服务。 </w:t>
      </w:r>
    </w:p>
    <w:p w14:paraId="5DB67E9A">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本单位对上述声明的真实性负责。如有虚假，将依法承担相应责任。 </w:t>
      </w:r>
    </w:p>
    <w:p w14:paraId="1EE06193">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企业名称（盖章）： </w:t>
      </w:r>
    </w:p>
    <w:p w14:paraId="4236CE51">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日 期： </w:t>
      </w:r>
    </w:p>
    <w:p w14:paraId="14D393FE">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填报说明： </w:t>
      </w:r>
    </w:p>
    <w:p w14:paraId="7AE51243">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1、请供应商如实填写，所填内容将作为评审的依据。如填写不完整，将不享受扶 </w:t>
      </w:r>
    </w:p>
    <w:p w14:paraId="5F62100C">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持政策。 </w:t>
      </w:r>
    </w:p>
    <w:p w14:paraId="72E66A94">
      <w:pPr>
        <w:snapToGrid w:val="0"/>
        <w:spacing w:line="360" w:lineRule="auto"/>
        <w:ind w:right="48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2、中标供应商的《残疾人福利性单位声明函》随中标结果公开</w:t>
      </w:r>
    </w:p>
    <w:p w14:paraId="2A1CEF33">
      <w:pPr>
        <w:snapToGrid w:val="0"/>
        <w:spacing w:line="360" w:lineRule="auto"/>
        <w:ind w:right="480" w:firstLine="480" w:firstLineChars="200"/>
        <w:rPr>
          <w:rFonts w:hint="eastAsia" w:ascii="宋体" w:hAnsi="宋体" w:eastAsia="宋体" w:cs="宋体"/>
          <w:sz w:val="24"/>
          <w:szCs w:val="24"/>
        </w:rPr>
      </w:pPr>
    </w:p>
    <w:p w14:paraId="61246E47">
      <w:pPr>
        <w:snapToGrid w:val="0"/>
        <w:spacing w:line="360" w:lineRule="auto"/>
        <w:ind w:firstLine="442" w:firstLineChars="200"/>
        <w:rPr>
          <w:rFonts w:hint="eastAsia" w:ascii="宋体" w:hAnsi="宋体" w:eastAsia="宋体" w:cs="宋体"/>
          <w:b/>
          <w:sz w:val="22"/>
          <w:szCs w:val="21"/>
        </w:rPr>
      </w:pPr>
    </w:p>
    <w:p w14:paraId="387C75CE">
      <w:pPr>
        <w:snapToGrid w:val="0"/>
        <w:spacing w:line="360" w:lineRule="auto"/>
        <w:ind w:firstLine="442" w:firstLineChars="200"/>
        <w:rPr>
          <w:rFonts w:hint="eastAsia" w:ascii="宋体" w:hAnsi="宋体" w:eastAsia="宋体" w:cs="宋体"/>
          <w:b/>
          <w:sz w:val="22"/>
          <w:szCs w:val="21"/>
        </w:rPr>
      </w:pPr>
    </w:p>
    <w:p w14:paraId="24710170">
      <w:pPr>
        <w:snapToGrid w:val="0"/>
        <w:spacing w:line="360" w:lineRule="auto"/>
        <w:ind w:firstLine="442" w:firstLineChars="200"/>
        <w:rPr>
          <w:rFonts w:hint="eastAsia" w:ascii="宋体" w:hAnsi="宋体" w:eastAsia="宋体" w:cs="宋体"/>
          <w:b/>
          <w:sz w:val="22"/>
          <w:szCs w:val="21"/>
        </w:rPr>
      </w:pPr>
    </w:p>
    <w:p w14:paraId="423A7F1E">
      <w:pPr>
        <w:snapToGrid w:val="0"/>
        <w:spacing w:line="360" w:lineRule="auto"/>
        <w:ind w:firstLine="442" w:firstLineChars="200"/>
        <w:rPr>
          <w:rFonts w:hint="eastAsia" w:ascii="宋体" w:hAnsi="宋体" w:eastAsia="宋体" w:cs="宋体"/>
          <w:b/>
          <w:sz w:val="22"/>
          <w:szCs w:val="21"/>
        </w:rPr>
      </w:pPr>
    </w:p>
    <w:p w14:paraId="691B9157">
      <w:pPr>
        <w:keepNext/>
        <w:spacing w:line="360" w:lineRule="auto"/>
        <w:textAlignment w:val="baseline"/>
        <w:outlineLvl w:val="1"/>
        <w:rPr>
          <w:rFonts w:hint="eastAsia" w:ascii="宋体" w:hAnsi="宋体" w:eastAsia="宋体" w:cs="宋体"/>
          <w:b/>
          <w:bCs/>
          <w:color w:val="000000"/>
          <w:kern w:val="0"/>
          <w:sz w:val="28"/>
          <w:szCs w:val="20"/>
        </w:rPr>
      </w:pPr>
      <w:r>
        <w:rPr>
          <w:rFonts w:hint="eastAsia" w:ascii="宋体" w:hAnsi="宋体" w:eastAsia="宋体" w:cs="宋体"/>
          <w:b/>
          <w:kern w:val="0"/>
          <w:sz w:val="28"/>
          <w:szCs w:val="20"/>
        </w:rPr>
        <w:br w:type="page"/>
      </w:r>
      <w:r>
        <w:rPr>
          <w:rFonts w:hint="eastAsia" w:ascii="宋体" w:hAnsi="宋体" w:eastAsia="宋体" w:cs="宋体"/>
          <w:b/>
          <w:bCs/>
          <w:color w:val="000000"/>
          <w:kern w:val="0"/>
          <w:sz w:val="24"/>
          <w:szCs w:val="24"/>
        </w:rPr>
        <w:t>格式6、具备履行合同所必需的设备和专业技术能力的声明及证明材料</w:t>
      </w:r>
    </w:p>
    <w:p w14:paraId="1CCE1970">
      <w:pPr>
        <w:autoSpaceDE w:val="0"/>
        <w:autoSpaceDN w:val="0"/>
        <w:adjustRightInd w:val="0"/>
        <w:jc w:val="left"/>
        <w:rPr>
          <w:rFonts w:hint="eastAsia" w:ascii="宋体" w:hAnsi="宋体" w:eastAsia="宋体" w:cs="宋体"/>
          <w:b/>
          <w:bCs/>
          <w:color w:val="000000"/>
          <w:szCs w:val="24"/>
        </w:rPr>
      </w:pPr>
    </w:p>
    <w:p w14:paraId="20E95B1B">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具备履行合同所必需的设备和专业技术能力的声明</w:t>
      </w:r>
    </w:p>
    <w:p w14:paraId="272E15C2">
      <w:pPr>
        <w:spacing w:line="360" w:lineRule="auto"/>
        <w:rPr>
          <w:rFonts w:hint="eastAsia" w:ascii="宋体" w:hAnsi="宋体" w:eastAsia="宋体" w:cs="宋体"/>
          <w:color w:val="000000"/>
          <w:sz w:val="24"/>
          <w:szCs w:val="24"/>
        </w:rPr>
      </w:pPr>
    </w:p>
    <w:p w14:paraId="5AE516B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（供应商名称）</w:t>
      </w:r>
      <w:r>
        <w:rPr>
          <w:rFonts w:hint="eastAsia" w:ascii="宋体" w:hAnsi="宋体" w:eastAsia="宋体" w:cs="宋体"/>
          <w:color w:val="000000"/>
          <w:sz w:val="24"/>
          <w:szCs w:val="24"/>
        </w:rPr>
        <w:t>郑重声明：我单位具备履行本项采购合同所必需的设备和专业技术能力，为履行本项采购合同我单位具备如下主要设备和主要专业技术能力：</w:t>
      </w:r>
    </w:p>
    <w:p w14:paraId="619EC67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主要设备有：</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83072E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主要专业技术能力有：</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7D0901E">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注：须附证明材料。</w:t>
      </w:r>
    </w:p>
    <w:p w14:paraId="57F7CE9A">
      <w:pPr>
        <w:spacing w:line="360" w:lineRule="auto"/>
        <w:ind w:firstLine="480" w:firstLineChars="200"/>
        <w:rPr>
          <w:rFonts w:hint="eastAsia" w:ascii="宋体" w:hAnsi="宋体" w:eastAsia="宋体" w:cs="宋体"/>
          <w:color w:val="000000"/>
          <w:sz w:val="24"/>
          <w:szCs w:val="24"/>
        </w:rPr>
      </w:pPr>
    </w:p>
    <w:p w14:paraId="2D271387">
      <w:pPr>
        <w:spacing w:line="360" w:lineRule="auto"/>
        <w:ind w:firstLine="480" w:firstLineChars="200"/>
        <w:rPr>
          <w:rFonts w:hint="eastAsia" w:ascii="宋体" w:hAnsi="宋体" w:eastAsia="宋体" w:cs="宋体"/>
          <w:color w:val="000000"/>
          <w:sz w:val="24"/>
          <w:szCs w:val="24"/>
        </w:rPr>
      </w:pPr>
    </w:p>
    <w:p w14:paraId="66F3F5EC">
      <w:pPr>
        <w:spacing w:line="360" w:lineRule="auto"/>
        <w:ind w:firstLine="5400" w:firstLineChars="2250"/>
        <w:rPr>
          <w:rFonts w:hint="eastAsia" w:ascii="宋体" w:hAnsi="宋体" w:eastAsia="宋体" w:cs="宋体"/>
          <w:color w:val="000000"/>
          <w:sz w:val="24"/>
          <w:szCs w:val="24"/>
        </w:rPr>
      </w:pPr>
      <w:r>
        <w:rPr>
          <w:rFonts w:hint="eastAsia" w:ascii="宋体" w:hAnsi="宋体" w:eastAsia="宋体" w:cs="宋体"/>
          <w:color w:val="000000"/>
          <w:sz w:val="24"/>
          <w:szCs w:val="24"/>
        </w:rPr>
        <w:t>声明人（盖章）：</w:t>
      </w:r>
    </w:p>
    <w:p w14:paraId="4BD194C3">
      <w:pPr>
        <w:spacing w:line="360" w:lineRule="auto"/>
        <w:ind w:firstLine="5400" w:firstLineChars="2250"/>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p>
    <w:p w14:paraId="4E50FAA1">
      <w:pPr>
        <w:spacing w:line="460" w:lineRule="exact"/>
        <w:ind w:firstLine="422" w:firstLineChars="200"/>
        <w:rPr>
          <w:rFonts w:hint="eastAsia" w:ascii="宋体" w:hAnsi="宋体" w:eastAsia="宋体" w:cs="宋体"/>
          <w:b/>
          <w:color w:val="000000"/>
          <w:szCs w:val="24"/>
        </w:rPr>
      </w:pPr>
    </w:p>
    <w:p w14:paraId="4C027A2E">
      <w:pPr>
        <w:spacing w:line="460" w:lineRule="exact"/>
        <w:ind w:firstLine="422" w:firstLineChars="200"/>
        <w:rPr>
          <w:rFonts w:hint="eastAsia" w:ascii="宋体" w:hAnsi="宋体" w:eastAsia="宋体" w:cs="宋体"/>
          <w:b/>
          <w:color w:val="000000"/>
          <w:szCs w:val="24"/>
        </w:rPr>
      </w:pPr>
    </w:p>
    <w:p w14:paraId="65778A81">
      <w:pPr>
        <w:spacing w:line="460" w:lineRule="exact"/>
        <w:ind w:firstLine="422" w:firstLineChars="200"/>
        <w:rPr>
          <w:rFonts w:hint="eastAsia" w:ascii="宋体" w:hAnsi="宋体" w:eastAsia="宋体" w:cs="宋体"/>
          <w:b/>
          <w:color w:val="000000"/>
          <w:szCs w:val="24"/>
        </w:rPr>
      </w:pPr>
    </w:p>
    <w:p w14:paraId="1C799254">
      <w:pPr>
        <w:spacing w:line="460" w:lineRule="exact"/>
        <w:ind w:firstLine="422" w:firstLineChars="200"/>
        <w:rPr>
          <w:rFonts w:hint="eastAsia" w:ascii="宋体" w:hAnsi="宋体" w:eastAsia="宋体" w:cs="宋体"/>
          <w:b/>
          <w:color w:val="000000"/>
          <w:szCs w:val="24"/>
        </w:rPr>
      </w:pPr>
    </w:p>
    <w:p w14:paraId="784F8E43">
      <w:pPr>
        <w:keepNext/>
        <w:spacing w:line="360" w:lineRule="auto"/>
        <w:textAlignment w:val="baseline"/>
        <w:outlineLvl w:val="1"/>
        <w:rPr>
          <w:rFonts w:hint="eastAsia" w:ascii="宋体" w:hAnsi="宋体" w:eastAsia="宋体" w:cs="宋体"/>
          <w:b/>
          <w:bCs/>
          <w:color w:val="000000"/>
          <w:kern w:val="0"/>
          <w:sz w:val="28"/>
          <w:szCs w:val="20"/>
        </w:rPr>
      </w:pPr>
      <w:r>
        <w:rPr>
          <w:rFonts w:hint="eastAsia" w:ascii="宋体" w:hAnsi="宋体" w:eastAsia="宋体" w:cs="宋体"/>
          <w:kern w:val="0"/>
          <w:sz w:val="28"/>
          <w:szCs w:val="20"/>
        </w:rPr>
        <w:br w:type="page"/>
      </w:r>
      <w:r>
        <w:rPr>
          <w:rFonts w:hint="eastAsia" w:ascii="宋体" w:hAnsi="宋体" w:eastAsia="宋体" w:cs="宋体"/>
          <w:b/>
          <w:bCs/>
          <w:color w:val="000000"/>
          <w:kern w:val="0"/>
          <w:sz w:val="24"/>
          <w:szCs w:val="24"/>
        </w:rPr>
        <w:t>格式7、参加政府采购活动前 3 年内在经营活动中没有重大违法记录的书面声明</w:t>
      </w:r>
    </w:p>
    <w:p w14:paraId="7B093AD1">
      <w:pPr>
        <w:spacing w:line="360" w:lineRule="auto"/>
        <w:ind w:firstLine="422" w:firstLineChars="200"/>
        <w:rPr>
          <w:rFonts w:hint="eastAsia" w:ascii="宋体" w:hAnsi="宋体" w:eastAsia="宋体" w:cs="宋体"/>
          <w:b/>
          <w:bCs/>
          <w:szCs w:val="24"/>
        </w:rPr>
      </w:pPr>
    </w:p>
    <w:p w14:paraId="7F34DA7B">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声  明</w:t>
      </w:r>
    </w:p>
    <w:p w14:paraId="4D4BD36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我公司郑重声明：参加本次政府采购活动前 3 年内，我公司在经营活动中没有因违法经营受到刑事处罚或者责令停产停业、吊销许可证或者执照、较大数额罚款等行政处罚。</w:t>
      </w:r>
    </w:p>
    <w:p w14:paraId="4FC0BF78">
      <w:pPr>
        <w:spacing w:line="360" w:lineRule="auto"/>
        <w:ind w:firstLine="480" w:firstLineChars="200"/>
        <w:rPr>
          <w:rFonts w:hint="eastAsia" w:ascii="宋体" w:hAnsi="宋体" w:eastAsia="宋体" w:cs="宋体"/>
          <w:bCs/>
          <w:color w:val="000000"/>
          <w:sz w:val="24"/>
          <w:szCs w:val="24"/>
        </w:rPr>
      </w:pPr>
    </w:p>
    <w:p w14:paraId="4B88056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投标人（盖章）：</w:t>
      </w:r>
    </w:p>
    <w:p w14:paraId="6DF2856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法定代表人或委托代理人（签字或盖章）：</w:t>
      </w:r>
    </w:p>
    <w:p w14:paraId="15E3C2D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p>
    <w:p w14:paraId="3672CB49">
      <w:pPr>
        <w:rPr>
          <w:rFonts w:ascii="黑体" w:hAnsi="黑体" w:eastAsia="黑体" w:cs="黑体"/>
          <w:spacing w:val="9"/>
          <w:sz w:val="35"/>
          <w:szCs w:val="35"/>
        </w:rPr>
      </w:pPr>
      <w:r>
        <w:rPr>
          <w:rFonts w:ascii="黑体" w:hAnsi="黑体" w:eastAsia="黑体" w:cs="黑体"/>
          <w:spacing w:val="9"/>
          <w:sz w:val="35"/>
          <w:szCs w:val="35"/>
        </w:rPr>
        <w:br w:type="page"/>
      </w:r>
    </w:p>
    <w:p w14:paraId="57C98071">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财务状况报告及税收、社会保障资金缴纳情况承诺函</w:t>
      </w:r>
    </w:p>
    <w:p w14:paraId="56D0C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致：【采购单位】 </w:t>
      </w:r>
    </w:p>
    <w:p w14:paraId="7AD0E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我方 供应商名称 参加【</w:t>
      </w:r>
      <w:r>
        <w:rPr>
          <w:rFonts w:hint="eastAsia" w:ascii="宋体" w:hAnsi="宋体" w:eastAsia="宋体" w:cs="宋体"/>
          <w:color w:val="000000"/>
          <w:sz w:val="24"/>
          <w:szCs w:val="24"/>
          <w:u w:val="single"/>
          <w:lang w:val="en-US" w:eastAsia="zh-CN"/>
        </w:rPr>
        <w:t>标段名称</w:t>
      </w:r>
      <w:r>
        <w:rPr>
          <w:rFonts w:hint="eastAsia" w:ascii="宋体" w:hAnsi="宋体" w:eastAsia="宋体" w:cs="宋体"/>
          <w:color w:val="000000"/>
          <w:sz w:val="24"/>
          <w:szCs w:val="24"/>
          <w:lang w:val="en-US" w:eastAsia="zh-CN"/>
        </w:rPr>
        <w:t>】（标段编号：【</w:t>
      </w:r>
      <w:r>
        <w:rPr>
          <w:rFonts w:hint="eastAsia" w:ascii="宋体" w:hAnsi="宋体" w:eastAsia="宋体" w:cs="宋体"/>
          <w:color w:val="000000"/>
          <w:sz w:val="24"/>
          <w:szCs w:val="24"/>
          <w:u w:val="single"/>
          <w:lang w:val="en-US" w:eastAsia="zh-CN"/>
        </w:rPr>
        <w:t>标段编号</w:t>
      </w:r>
      <w:r>
        <w:rPr>
          <w:rFonts w:hint="eastAsia" w:ascii="宋体" w:hAnsi="宋体" w:eastAsia="宋体" w:cs="宋体"/>
          <w:color w:val="000000"/>
          <w:sz w:val="24"/>
          <w:szCs w:val="24"/>
          <w:lang w:val="en-US" w:eastAsia="zh-CN"/>
        </w:rPr>
        <w:t xml:space="preserve">】）采购，根据《关于简化政府采购供应商资格审查有关事项的通知》（连财购〔2023〕4 号），我方承诺具备《中华人民共和国政府采购法》第二十二条第（二）、第（四）项，《中华人民共和国政府采购法实施条例》第十七条第（二）项规定条件的，具体包括： </w:t>
      </w:r>
    </w:p>
    <w:p w14:paraId="35C890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（1）具有良好的商业信誉和健全的财务会计制度（财务状况报告）； </w:t>
      </w:r>
    </w:p>
    <w:p w14:paraId="6C3A7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（2）有依法缴纳税收和社会保障资金的良好记录。 </w:t>
      </w:r>
    </w:p>
    <w:p w14:paraId="7CA92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我方对上述承诺的真实性负责，如有虚假，将依法承担提供虚假材料谋取中标、成交责任，同时同意有关主管部门将相关失信信息记入公共信用信息系统并在相关政府门户网站公开。 特此承诺 ！</w:t>
      </w:r>
    </w:p>
    <w:p w14:paraId="7C570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供应商名称（盖章）： </w:t>
      </w:r>
    </w:p>
    <w:p w14:paraId="75CAF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法定代表人或委托代理人（签字或盖章）： </w:t>
      </w:r>
    </w:p>
    <w:p w14:paraId="0B27E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kern w:val="0"/>
          <w:sz w:val="24"/>
          <w:szCs w:val="24"/>
        </w:rPr>
      </w:pPr>
      <w:r>
        <w:rPr>
          <w:rFonts w:hint="eastAsia" w:ascii="宋体" w:hAnsi="宋体" w:eastAsia="宋体" w:cs="宋体"/>
          <w:color w:val="000000"/>
          <w:sz w:val="24"/>
          <w:szCs w:val="24"/>
          <w:lang w:val="en-US" w:eastAsia="zh-CN"/>
        </w:rPr>
        <w:t>日期： 年 月 日</w:t>
      </w:r>
      <w:r>
        <w:rPr>
          <w:rFonts w:hint="eastAsia" w:ascii="宋体" w:hAnsi="宋体" w:eastAsia="宋体" w:cs="宋体"/>
          <w:b/>
          <w:bCs/>
          <w:color w:val="000000"/>
          <w:kern w:val="0"/>
          <w:sz w:val="24"/>
          <w:szCs w:val="24"/>
        </w:rPr>
        <w:br w:type="page"/>
      </w:r>
    </w:p>
    <w:p w14:paraId="02B6F388">
      <w:pPr>
        <w:keepNext/>
        <w:spacing w:line="360" w:lineRule="auto"/>
        <w:textAlignment w:val="baseline"/>
        <w:outlineLvl w:val="1"/>
        <w:rPr>
          <w:rFonts w:hint="eastAsia" w:ascii="宋体" w:hAnsi="宋体" w:eastAsia="宋体" w:cs="宋体"/>
          <w:b/>
          <w:bCs/>
          <w:kern w:val="0"/>
          <w:sz w:val="28"/>
          <w:szCs w:val="20"/>
        </w:rPr>
      </w:pPr>
      <w:r>
        <w:rPr>
          <w:rFonts w:hint="eastAsia" w:ascii="宋体" w:hAnsi="宋体" w:eastAsia="宋体" w:cs="宋体"/>
          <w:b/>
          <w:bCs/>
          <w:color w:val="000000"/>
          <w:kern w:val="0"/>
          <w:sz w:val="24"/>
          <w:szCs w:val="24"/>
        </w:rPr>
        <w:t>格式8、法定代表人授权委托书</w:t>
      </w:r>
    </w:p>
    <w:p w14:paraId="14BD4AE4">
      <w:pPr>
        <w:spacing w:line="360" w:lineRule="auto"/>
        <w:ind w:firstLine="723" w:firstLineChars="200"/>
        <w:jc w:val="center"/>
        <w:rPr>
          <w:rFonts w:hint="eastAsia" w:ascii="宋体" w:hAnsi="宋体" w:eastAsia="宋体" w:cs="宋体"/>
          <w:b/>
          <w:bCs/>
          <w:sz w:val="36"/>
          <w:szCs w:val="28"/>
        </w:rPr>
      </w:pPr>
    </w:p>
    <w:p w14:paraId="44C7899A">
      <w:pPr>
        <w:spacing w:line="360" w:lineRule="auto"/>
        <w:ind w:firstLine="723" w:firstLineChars="200"/>
        <w:jc w:val="center"/>
        <w:rPr>
          <w:rFonts w:hint="eastAsia" w:ascii="宋体" w:hAnsi="宋体" w:eastAsia="宋体" w:cs="宋体"/>
          <w:b/>
          <w:bCs/>
          <w:sz w:val="36"/>
          <w:szCs w:val="28"/>
        </w:rPr>
      </w:pPr>
      <w:r>
        <w:rPr>
          <w:rFonts w:hint="eastAsia" w:ascii="宋体" w:hAnsi="宋体" w:eastAsia="宋体" w:cs="宋体"/>
          <w:b/>
          <w:bCs/>
          <w:sz w:val="36"/>
          <w:szCs w:val="28"/>
        </w:rPr>
        <w:t>法定代表人授权委托书</w:t>
      </w:r>
    </w:p>
    <w:p w14:paraId="5E6BCB06">
      <w:pPr>
        <w:spacing w:line="500" w:lineRule="exact"/>
        <w:ind w:firstLine="420" w:firstLineChars="200"/>
        <w:rPr>
          <w:rFonts w:hint="eastAsia" w:ascii="宋体" w:hAnsi="宋体" w:eastAsia="宋体" w:cs="宋体"/>
          <w:szCs w:val="20"/>
        </w:rPr>
      </w:pPr>
    </w:p>
    <w:p w14:paraId="38F3CA72">
      <w:pPr>
        <w:spacing w:line="360" w:lineRule="auto"/>
        <w:rPr>
          <w:rFonts w:hint="eastAsia" w:ascii="宋体" w:hAnsi="宋体" w:eastAsia="宋体" w:cs="宋体"/>
          <w:b/>
          <w:bCs/>
          <w:sz w:val="24"/>
          <w:szCs w:val="24"/>
        </w:rPr>
      </w:pPr>
      <w:r>
        <w:rPr>
          <w:rFonts w:hint="eastAsia" w:ascii="宋体" w:hAnsi="宋体" w:eastAsia="宋体" w:cs="宋体"/>
          <w:sz w:val="24"/>
          <w:szCs w:val="24"/>
          <w:lang w:eastAsia="zh-CN"/>
        </w:rPr>
        <w:t>东海县农业技术推广中心</w:t>
      </w:r>
      <w:r>
        <w:rPr>
          <w:rFonts w:hint="eastAsia" w:ascii="宋体" w:hAnsi="宋体" w:eastAsia="宋体" w:cs="宋体"/>
          <w:sz w:val="24"/>
          <w:szCs w:val="24"/>
        </w:rPr>
        <w:t>：</w:t>
      </w:r>
    </w:p>
    <w:p w14:paraId="325F82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（委托单位全称） </w:t>
      </w:r>
      <w:r>
        <w:rPr>
          <w:rFonts w:hint="eastAsia" w:ascii="宋体" w:hAnsi="宋体" w:eastAsia="宋体" w:cs="宋体"/>
          <w:sz w:val="24"/>
          <w:szCs w:val="24"/>
        </w:rPr>
        <w:t>的法定代表人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代表本公司授权</w:t>
      </w:r>
      <w:r>
        <w:rPr>
          <w:rFonts w:hint="eastAsia" w:ascii="宋体" w:hAnsi="宋体" w:eastAsia="宋体" w:cs="宋体"/>
          <w:sz w:val="24"/>
          <w:szCs w:val="24"/>
          <w:u w:val="single"/>
        </w:rPr>
        <w:t>（姓名和职务）</w:t>
      </w:r>
      <w:r>
        <w:rPr>
          <w:rFonts w:hint="eastAsia" w:ascii="宋体" w:hAnsi="宋体" w:eastAsia="宋体" w:cs="宋体"/>
          <w:sz w:val="24"/>
          <w:szCs w:val="24"/>
        </w:rPr>
        <w:t>为本公司合法代理人，就贵方组织的有关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项目</w:t>
      </w:r>
      <w:r>
        <w:rPr>
          <w:rFonts w:hint="eastAsia" w:ascii="宋体" w:hAnsi="宋体" w:eastAsia="宋体" w:cs="宋体"/>
          <w:sz w:val="24"/>
          <w:szCs w:val="24"/>
        </w:rPr>
        <w:t>（</w:t>
      </w:r>
      <w:r>
        <w:rPr>
          <w:rFonts w:hint="eastAsia" w:ascii="宋体" w:hAnsi="宋体" w:eastAsia="宋体" w:cs="宋体"/>
          <w:sz w:val="24"/>
          <w:szCs w:val="24"/>
          <w:lang w:eastAsia="zh-CN"/>
        </w:rPr>
        <w:t>标段编号</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）的招标采购及合同签订、执行、完成，以本单位名义处理一切与之有关的事务。</w:t>
      </w:r>
    </w:p>
    <w:p w14:paraId="69494F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日签字（或盖章）生效，特此声明。</w:t>
      </w:r>
    </w:p>
    <w:p w14:paraId="7CC898D5">
      <w:pPr>
        <w:spacing w:line="360" w:lineRule="auto"/>
        <w:ind w:firstLine="480" w:firstLineChars="200"/>
        <w:rPr>
          <w:rFonts w:hint="eastAsia" w:ascii="宋体" w:hAnsi="宋体" w:eastAsia="宋体" w:cs="宋体"/>
          <w:sz w:val="24"/>
          <w:szCs w:val="24"/>
        </w:rPr>
      </w:pPr>
    </w:p>
    <w:p w14:paraId="358A7B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委托单位（盖章）：                      法定代表人（签字或盖章）：</w:t>
      </w:r>
    </w:p>
    <w:p w14:paraId="6838BCA6">
      <w:pPr>
        <w:spacing w:line="360" w:lineRule="auto"/>
        <w:ind w:firstLine="480" w:firstLineChars="200"/>
        <w:rPr>
          <w:rFonts w:hint="eastAsia" w:ascii="宋体" w:hAnsi="宋体" w:eastAsia="宋体" w:cs="宋体"/>
          <w:sz w:val="24"/>
          <w:szCs w:val="24"/>
        </w:rPr>
      </w:pPr>
    </w:p>
    <w:p w14:paraId="0DEB75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E6DAA2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附法定代表人与委托代理人身份证明正反面电子件。</w:t>
      </w:r>
    </w:p>
    <w:p w14:paraId="462C4F17">
      <w:pPr>
        <w:spacing w:line="360" w:lineRule="auto"/>
        <w:ind w:firstLine="480" w:firstLineChars="200"/>
        <w:rPr>
          <w:rFonts w:hint="eastAsia" w:ascii="宋体" w:hAnsi="宋体" w:eastAsia="宋体" w:cs="宋体"/>
          <w:sz w:val="24"/>
          <w:szCs w:val="24"/>
        </w:rPr>
      </w:pPr>
    </w:p>
    <w:p w14:paraId="64A908E8">
      <w:pPr>
        <w:spacing w:line="360" w:lineRule="auto"/>
        <w:ind w:firstLine="480" w:firstLineChars="200"/>
        <w:rPr>
          <w:rFonts w:hint="eastAsia" w:ascii="宋体" w:hAnsi="宋体" w:eastAsia="宋体" w:cs="宋体"/>
          <w:sz w:val="24"/>
          <w:szCs w:val="24"/>
        </w:rPr>
      </w:pPr>
    </w:p>
    <w:p w14:paraId="721F5E77">
      <w:pPr>
        <w:spacing w:line="360" w:lineRule="auto"/>
        <w:ind w:firstLine="480" w:firstLineChars="200"/>
        <w:rPr>
          <w:rFonts w:hint="eastAsia" w:ascii="宋体" w:hAnsi="宋体" w:eastAsia="宋体" w:cs="宋体"/>
          <w:sz w:val="24"/>
          <w:szCs w:val="24"/>
        </w:rPr>
      </w:pPr>
    </w:p>
    <w:p w14:paraId="1FA86754">
      <w:pPr>
        <w:spacing w:line="360" w:lineRule="auto"/>
        <w:ind w:firstLine="480" w:firstLineChars="200"/>
        <w:rPr>
          <w:rFonts w:hint="eastAsia" w:ascii="宋体" w:hAnsi="宋体" w:eastAsia="宋体" w:cs="宋体"/>
          <w:sz w:val="24"/>
          <w:szCs w:val="24"/>
        </w:rPr>
      </w:pPr>
    </w:p>
    <w:p w14:paraId="6ECE59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299AE2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1．委托书内容填写应当明确、文字工整清楚，涂改无效。</w:t>
      </w:r>
    </w:p>
    <w:p w14:paraId="5A773F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2．委托书不得转借、转让、买卖。</w:t>
      </w:r>
    </w:p>
    <w:p w14:paraId="39C1DC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3．委托代理人根据授权范围，以委托单位的名义签订合同，并将此委托书提交给对方作为合同附件。</w:t>
      </w:r>
    </w:p>
    <w:p w14:paraId="404CAEA9">
      <w:pPr>
        <w:keepNext/>
        <w:spacing w:line="360" w:lineRule="auto"/>
        <w:textAlignment w:val="baseline"/>
        <w:outlineLvl w:val="1"/>
        <w:rPr>
          <w:rFonts w:hint="eastAsia" w:ascii="宋体" w:hAnsi="宋体" w:eastAsia="宋体" w:cs="宋体"/>
          <w:b/>
          <w:bCs/>
          <w:color w:val="000000"/>
          <w:kern w:val="0"/>
          <w:sz w:val="32"/>
          <w:szCs w:val="21"/>
        </w:rPr>
      </w:pPr>
      <w:r>
        <w:rPr>
          <w:rFonts w:hint="eastAsia" w:ascii="宋体" w:hAnsi="宋体" w:eastAsia="宋体" w:cs="宋体"/>
          <w:b/>
          <w:color w:val="000000"/>
          <w:kern w:val="0"/>
          <w:sz w:val="28"/>
          <w:szCs w:val="20"/>
        </w:rPr>
        <w:br w:type="page"/>
      </w:r>
      <w:r>
        <w:rPr>
          <w:rFonts w:hint="eastAsia" w:ascii="宋体" w:hAnsi="宋体" w:eastAsia="宋体" w:cs="宋体"/>
          <w:b/>
          <w:bCs/>
          <w:color w:val="000000"/>
          <w:kern w:val="0"/>
          <w:sz w:val="24"/>
          <w:szCs w:val="24"/>
        </w:rPr>
        <w:t>格式9、商务条款偏离表</w:t>
      </w:r>
    </w:p>
    <w:p w14:paraId="45F565C3">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商务条款偏离表</w:t>
      </w:r>
    </w:p>
    <w:p w14:paraId="61B572FD">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请逐条对应采购文件“项目需求”等内容要求的商务条件，填写该表。</w:t>
      </w:r>
    </w:p>
    <w:tbl>
      <w:tblPr>
        <w:tblStyle w:val="8"/>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774"/>
        <w:gridCol w:w="2927"/>
        <w:gridCol w:w="2444"/>
      </w:tblGrid>
      <w:tr w14:paraId="641A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vAlign w:val="center"/>
          </w:tcPr>
          <w:p w14:paraId="0F2844D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项号</w:t>
            </w:r>
          </w:p>
        </w:tc>
        <w:tc>
          <w:tcPr>
            <w:tcW w:w="2774" w:type="dxa"/>
            <w:vAlign w:val="center"/>
          </w:tcPr>
          <w:p w14:paraId="1207911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采购文件的商务条款</w:t>
            </w:r>
          </w:p>
        </w:tc>
        <w:tc>
          <w:tcPr>
            <w:tcW w:w="2927" w:type="dxa"/>
            <w:vAlign w:val="center"/>
          </w:tcPr>
          <w:p w14:paraId="23C8B37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响应文件的商务条款</w:t>
            </w:r>
          </w:p>
        </w:tc>
        <w:tc>
          <w:tcPr>
            <w:tcW w:w="2444" w:type="dxa"/>
            <w:vAlign w:val="center"/>
          </w:tcPr>
          <w:p w14:paraId="0C597F1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偏离说明</w:t>
            </w:r>
          </w:p>
        </w:tc>
      </w:tr>
      <w:tr w14:paraId="3059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1D811A9A">
            <w:pPr>
              <w:spacing w:line="360" w:lineRule="auto"/>
              <w:ind w:firstLine="480" w:firstLineChars="200"/>
              <w:jc w:val="center"/>
              <w:rPr>
                <w:rFonts w:hint="eastAsia" w:ascii="宋体" w:hAnsi="宋体" w:eastAsia="宋体" w:cs="宋体"/>
                <w:color w:val="000000"/>
                <w:sz w:val="24"/>
                <w:szCs w:val="24"/>
              </w:rPr>
            </w:pPr>
          </w:p>
        </w:tc>
        <w:tc>
          <w:tcPr>
            <w:tcW w:w="2774" w:type="dxa"/>
          </w:tcPr>
          <w:p w14:paraId="1B109540">
            <w:pPr>
              <w:spacing w:line="360" w:lineRule="auto"/>
              <w:ind w:firstLine="480" w:firstLineChars="200"/>
              <w:jc w:val="center"/>
              <w:rPr>
                <w:rFonts w:hint="eastAsia" w:ascii="宋体" w:hAnsi="宋体" w:eastAsia="宋体" w:cs="宋体"/>
                <w:color w:val="000000"/>
                <w:sz w:val="24"/>
                <w:szCs w:val="24"/>
              </w:rPr>
            </w:pPr>
          </w:p>
        </w:tc>
        <w:tc>
          <w:tcPr>
            <w:tcW w:w="2927" w:type="dxa"/>
          </w:tcPr>
          <w:p w14:paraId="729ECB0A">
            <w:pPr>
              <w:spacing w:line="360" w:lineRule="auto"/>
              <w:ind w:firstLine="480" w:firstLineChars="200"/>
              <w:jc w:val="center"/>
              <w:rPr>
                <w:rFonts w:hint="eastAsia" w:ascii="宋体" w:hAnsi="宋体" w:eastAsia="宋体" w:cs="宋体"/>
                <w:color w:val="000000"/>
                <w:sz w:val="24"/>
                <w:szCs w:val="24"/>
              </w:rPr>
            </w:pPr>
          </w:p>
        </w:tc>
        <w:tc>
          <w:tcPr>
            <w:tcW w:w="2444" w:type="dxa"/>
          </w:tcPr>
          <w:p w14:paraId="73C51D83">
            <w:pPr>
              <w:spacing w:line="360" w:lineRule="auto"/>
              <w:ind w:firstLine="480" w:firstLineChars="200"/>
              <w:jc w:val="center"/>
              <w:rPr>
                <w:rFonts w:hint="eastAsia" w:ascii="宋体" w:hAnsi="宋体" w:eastAsia="宋体" w:cs="宋体"/>
                <w:color w:val="000000"/>
                <w:sz w:val="24"/>
                <w:szCs w:val="24"/>
              </w:rPr>
            </w:pPr>
          </w:p>
        </w:tc>
      </w:tr>
      <w:tr w14:paraId="52E6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1DD8395D">
            <w:pPr>
              <w:spacing w:line="360" w:lineRule="auto"/>
              <w:ind w:firstLine="480" w:firstLineChars="200"/>
              <w:jc w:val="center"/>
              <w:rPr>
                <w:rFonts w:hint="eastAsia" w:ascii="宋体" w:hAnsi="宋体" w:eastAsia="宋体" w:cs="宋体"/>
                <w:color w:val="000000"/>
                <w:sz w:val="24"/>
                <w:szCs w:val="24"/>
              </w:rPr>
            </w:pPr>
          </w:p>
        </w:tc>
        <w:tc>
          <w:tcPr>
            <w:tcW w:w="2774" w:type="dxa"/>
          </w:tcPr>
          <w:p w14:paraId="704E859D">
            <w:pPr>
              <w:spacing w:line="360" w:lineRule="auto"/>
              <w:ind w:firstLine="480" w:firstLineChars="200"/>
              <w:jc w:val="center"/>
              <w:rPr>
                <w:rFonts w:hint="eastAsia" w:ascii="宋体" w:hAnsi="宋体" w:eastAsia="宋体" w:cs="宋体"/>
                <w:color w:val="000000"/>
                <w:sz w:val="24"/>
                <w:szCs w:val="24"/>
              </w:rPr>
            </w:pPr>
          </w:p>
        </w:tc>
        <w:tc>
          <w:tcPr>
            <w:tcW w:w="2927" w:type="dxa"/>
          </w:tcPr>
          <w:p w14:paraId="44E4ADD3">
            <w:pPr>
              <w:spacing w:line="360" w:lineRule="auto"/>
              <w:ind w:firstLine="480" w:firstLineChars="200"/>
              <w:jc w:val="center"/>
              <w:rPr>
                <w:rFonts w:hint="eastAsia" w:ascii="宋体" w:hAnsi="宋体" w:eastAsia="宋体" w:cs="宋体"/>
                <w:color w:val="000000"/>
                <w:sz w:val="24"/>
                <w:szCs w:val="24"/>
              </w:rPr>
            </w:pPr>
          </w:p>
        </w:tc>
        <w:tc>
          <w:tcPr>
            <w:tcW w:w="2444" w:type="dxa"/>
          </w:tcPr>
          <w:p w14:paraId="10C275AC">
            <w:pPr>
              <w:spacing w:line="360" w:lineRule="auto"/>
              <w:ind w:firstLine="480" w:firstLineChars="200"/>
              <w:jc w:val="center"/>
              <w:rPr>
                <w:rFonts w:hint="eastAsia" w:ascii="宋体" w:hAnsi="宋体" w:eastAsia="宋体" w:cs="宋体"/>
                <w:color w:val="000000"/>
                <w:sz w:val="24"/>
                <w:szCs w:val="24"/>
              </w:rPr>
            </w:pPr>
          </w:p>
        </w:tc>
      </w:tr>
      <w:tr w14:paraId="474D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7DAB2FF5">
            <w:pPr>
              <w:spacing w:line="360" w:lineRule="auto"/>
              <w:ind w:firstLine="480" w:firstLineChars="200"/>
              <w:jc w:val="center"/>
              <w:rPr>
                <w:rFonts w:hint="eastAsia" w:ascii="宋体" w:hAnsi="宋体" w:eastAsia="宋体" w:cs="宋体"/>
                <w:color w:val="000000"/>
                <w:sz w:val="24"/>
                <w:szCs w:val="24"/>
              </w:rPr>
            </w:pPr>
          </w:p>
        </w:tc>
        <w:tc>
          <w:tcPr>
            <w:tcW w:w="2774" w:type="dxa"/>
          </w:tcPr>
          <w:p w14:paraId="75ED2D5C">
            <w:pPr>
              <w:spacing w:line="360" w:lineRule="auto"/>
              <w:ind w:firstLine="480" w:firstLineChars="200"/>
              <w:jc w:val="center"/>
              <w:rPr>
                <w:rFonts w:hint="eastAsia" w:ascii="宋体" w:hAnsi="宋体" w:eastAsia="宋体" w:cs="宋体"/>
                <w:color w:val="000000"/>
                <w:sz w:val="24"/>
                <w:szCs w:val="24"/>
              </w:rPr>
            </w:pPr>
          </w:p>
        </w:tc>
        <w:tc>
          <w:tcPr>
            <w:tcW w:w="2927" w:type="dxa"/>
          </w:tcPr>
          <w:p w14:paraId="281BA82C">
            <w:pPr>
              <w:spacing w:line="360" w:lineRule="auto"/>
              <w:ind w:firstLine="480" w:firstLineChars="200"/>
              <w:jc w:val="center"/>
              <w:rPr>
                <w:rFonts w:hint="eastAsia" w:ascii="宋体" w:hAnsi="宋体" w:eastAsia="宋体" w:cs="宋体"/>
                <w:color w:val="000000"/>
                <w:sz w:val="24"/>
                <w:szCs w:val="24"/>
              </w:rPr>
            </w:pPr>
          </w:p>
        </w:tc>
        <w:tc>
          <w:tcPr>
            <w:tcW w:w="2444" w:type="dxa"/>
          </w:tcPr>
          <w:p w14:paraId="56F9CBB7">
            <w:pPr>
              <w:spacing w:line="360" w:lineRule="auto"/>
              <w:ind w:firstLine="480" w:firstLineChars="200"/>
              <w:jc w:val="center"/>
              <w:rPr>
                <w:rFonts w:hint="eastAsia" w:ascii="宋体" w:hAnsi="宋体" w:eastAsia="宋体" w:cs="宋体"/>
                <w:color w:val="000000"/>
                <w:sz w:val="24"/>
                <w:szCs w:val="24"/>
              </w:rPr>
            </w:pPr>
          </w:p>
        </w:tc>
      </w:tr>
      <w:tr w14:paraId="4827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495AA0F2">
            <w:pPr>
              <w:spacing w:line="360" w:lineRule="auto"/>
              <w:ind w:firstLine="480" w:firstLineChars="200"/>
              <w:jc w:val="center"/>
              <w:rPr>
                <w:rFonts w:hint="eastAsia" w:ascii="宋体" w:hAnsi="宋体" w:eastAsia="宋体" w:cs="宋体"/>
                <w:color w:val="000000"/>
                <w:sz w:val="24"/>
                <w:szCs w:val="24"/>
              </w:rPr>
            </w:pPr>
          </w:p>
        </w:tc>
        <w:tc>
          <w:tcPr>
            <w:tcW w:w="2774" w:type="dxa"/>
          </w:tcPr>
          <w:p w14:paraId="60B73348">
            <w:pPr>
              <w:spacing w:line="360" w:lineRule="auto"/>
              <w:ind w:firstLine="480" w:firstLineChars="200"/>
              <w:jc w:val="center"/>
              <w:rPr>
                <w:rFonts w:hint="eastAsia" w:ascii="宋体" w:hAnsi="宋体" w:eastAsia="宋体" w:cs="宋体"/>
                <w:color w:val="000000"/>
                <w:sz w:val="24"/>
                <w:szCs w:val="24"/>
              </w:rPr>
            </w:pPr>
          </w:p>
        </w:tc>
        <w:tc>
          <w:tcPr>
            <w:tcW w:w="2927" w:type="dxa"/>
          </w:tcPr>
          <w:p w14:paraId="245DE70C">
            <w:pPr>
              <w:spacing w:line="360" w:lineRule="auto"/>
              <w:ind w:firstLine="480" w:firstLineChars="200"/>
              <w:jc w:val="center"/>
              <w:rPr>
                <w:rFonts w:hint="eastAsia" w:ascii="宋体" w:hAnsi="宋体" w:eastAsia="宋体" w:cs="宋体"/>
                <w:color w:val="000000"/>
                <w:sz w:val="24"/>
                <w:szCs w:val="24"/>
              </w:rPr>
            </w:pPr>
          </w:p>
        </w:tc>
        <w:tc>
          <w:tcPr>
            <w:tcW w:w="2444" w:type="dxa"/>
          </w:tcPr>
          <w:p w14:paraId="029525E2">
            <w:pPr>
              <w:spacing w:line="360" w:lineRule="auto"/>
              <w:ind w:firstLine="480" w:firstLineChars="200"/>
              <w:jc w:val="center"/>
              <w:rPr>
                <w:rFonts w:hint="eastAsia" w:ascii="宋体" w:hAnsi="宋体" w:eastAsia="宋体" w:cs="宋体"/>
                <w:color w:val="000000"/>
                <w:sz w:val="24"/>
                <w:szCs w:val="24"/>
              </w:rPr>
            </w:pPr>
          </w:p>
        </w:tc>
      </w:tr>
      <w:tr w14:paraId="3FA5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42361603">
            <w:pPr>
              <w:spacing w:line="360" w:lineRule="auto"/>
              <w:ind w:firstLine="480" w:firstLineChars="200"/>
              <w:jc w:val="center"/>
              <w:rPr>
                <w:rFonts w:hint="eastAsia" w:ascii="宋体" w:hAnsi="宋体" w:eastAsia="宋体" w:cs="宋体"/>
                <w:color w:val="000000"/>
                <w:sz w:val="24"/>
                <w:szCs w:val="24"/>
              </w:rPr>
            </w:pPr>
          </w:p>
        </w:tc>
        <w:tc>
          <w:tcPr>
            <w:tcW w:w="2774" w:type="dxa"/>
          </w:tcPr>
          <w:p w14:paraId="1632D548">
            <w:pPr>
              <w:spacing w:line="360" w:lineRule="auto"/>
              <w:ind w:firstLine="480" w:firstLineChars="200"/>
              <w:jc w:val="center"/>
              <w:rPr>
                <w:rFonts w:hint="eastAsia" w:ascii="宋体" w:hAnsi="宋体" w:eastAsia="宋体" w:cs="宋体"/>
                <w:color w:val="000000"/>
                <w:sz w:val="24"/>
                <w:szCs w:val="24"/>
              </w:rPr>
            </w:pPr>
          </w:p>
        </w:tc>
        <w:tc>
          <w:tcPr>
            <w:tcW w:w="2927" w:type="dxa"/>
          </w:tcPr>
          <w:p w14:paraId="0E4B8664">
            <w:pPr>
              <w:spacing w:line="360" w:lineRule="auto"/>
              <w:ind w:firstLine="480" w:firstLineChars="200"/>
              <w:jc w:val="center"/>
              <w:rPr>
                <w:rFonts w:hint="eastAsia" w:ascii="宋体" w:hAnsi="宋体" w:eastAsia="宋体" w:cs="宋体"/>
                <w:color w:val="000000"/>
                <w:sz w:val="24"/>
                <w:szCs w:val="24"/>
              </w:rPr>
            </w:pPr>
          </w:p>
        </w:tc>
        <w:tc>
          <w:tcPr>
            <w:tcW w:w="2444" w:type="dxa"/>
          </w:tcPr>
          <w:p w14:paraId="45E40FE5">
            <w:pPr>
              <w:spacing w:line="360" w:lineRule="auto"/>
              <w:ind w:firstLine="480" w:firstLineChars="200"/>
              <w:jc w:val="center"/>
              <w:rPr>
                <w:rFonts w:hint="eastAsia" w:ascii="宋体" w:hAnsi="宋体" w:eastAsia="宋体" w:cs="宋体"/>
                <w:color w:val="000000"/>
                <w:sz w:val="24"/>
                <w:szCs w:val="24"/>
              </w:rPr>
            </w:pPr>
          </w:p>
        </w:tc>
      </w:tr>
      <w:tr w14:paraId="2E83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0590F7EC">
            <w:pPr>
              <w:spacing w:line="360" w:lineRule="auto"/>
              <w:ind w:firstLine="480" w:firstLineChars="200"/>
              <w:jc w:val="center"/>
              <w:rPr>
                <w:rFonts w:hint="eastAsia" w:ascii="宋体" w:hAnsi="宋体" w:eastAsia="宋体" w:cs="宋体"/>
                <w:color w:val="000000"/>
                <w:sz w:val="24"/>
                <w:szCs w:val="24"/>
              </w:rPr>
            </w:pPr>
          </w:p>
        </w:tc>
        <w:tc>
          <w:tcPr>
            <w:tcW w:w="2774" w:type="dxa"/>
          </w:tcPr>
          <w:p w14:paraId="2444A6F1">
            <w:pPr>
              <w:spacing w:line="360" w:lineRule="auto"/>
              <w:ind w:firstLine="480" w:firstLineChars="200"/>
              <w:jc w:val="center"/>
              <w:rPr>
                <w:rFonts w:hint="eastAsia" w:ascii="宋体" w:hAnsi="宋体" w:eastAsia="宋体" w:cs="宋体"/>
                <w:color w:val="000000"/>
                <w:sz w:val="24"/>
                <w:szCs w:val="24"/>
              </w:rPr>
            </w:pPr>
          </w:p>
        </w:tc>
        <w:tc>
          <w:tcPr>
            <w:tcW w:w="2927" w:type="dxa"/>
          </w:tcPr>
          <w:p w14:paraId="7ECE119C">
            <w:pPr>
              <w:spacing w:line="360" w:lineRule="auto"/>
              <w:ind w:firstLine="480" w:firstLineChars="200"/>
              <w:jc w:val="center"/>
              <w:rPr>
                <w:rFonts w:hint="eastAsia" w:ascii="宋体" w:hAnsi="宋体" w:eastAsia="宋体" w:cs="宋体"/>
                <w:color w:val="000000"/>
                <w:sz w:val="24"/>
                <w:szCs w:val="24"/>
              </w:rPr>
            </w:pPr>
          </w:p>
        </w:tc>
        <w:tc>
          <w:tcPr>
            <w:tcW w:w="2444" w:type="dxa"/>
          </w:tcPr>
          <w:p w14:paraId="2B019408">
            <w:pPr>
              <w:spacing w:line="360" w:lineRule="auto"/>
              <w:ind w:firstLine="480" w:firstLineChars="200"/>
              <w:jc w:val="center"/>
              <w:rPr>
                <w:rFonts w:hint="eastAsia" w:ascii="宋体" w:hAnsi="宋体" w:eastAsia="宋体" w:cs="宋体"/>
                <w:color w:val="000000"/>
                <w:sz w:val="24"/>
                <w:szCs w:val="24"/>
              </w:rPr>
            </w:pPr>
          </w:p>
        </w:tc>
      </w:tr>
      <w:tr w14:paraId="0CDA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7484063A">
            <w:pPr>
              <w:spacing w:line="360" w:lineRule="auto"/>
              <w:ind w:firstLine="480" w:firstLineChars="200"/>
              <w:jc w:val="center"/>
              <w:rPr>
                <w:rFonts w:hint="eastAsia" w:ascii="宋体" w:hAnsi="宋体" w:eastAsia="宋体" w:cs="宋体"/>
                <w:color w:val="000000"/>
                <w:sz w:val="24"/>
                <w:szCs w:val="24"/>
              </w:rPr>
            </w:pPr>
          </w:p>
        </w:tc>
        <w:tc>
          <w:tcPr>
            <w:tcW w:w="2774" w:type="dxa"/>
          </w:tcPr>
          <w:p w14:paraId="505B7550">
            <w:pPr>
              <w:spacing w:line="360" w:lineRule="auto"/>
              <w:ind w:firstLine="480" w:firstLineChars="200"/>
              <w:jc w:val="center"/>
              <w:rPr>
                <w:rFonts w:hint="eastAsia" w:ascii="宋体" w:hAnsi="宋体" w:eastAsia="宋体" w:cs="宋体"/>
                <w:color w:val="000000"/>
                <w:sz w:val="24"/>
                <w:szCs w:val="24"/>
              </w:rPr>
            </w:pPr>
          </w:p>
        </w:tc>
        <w:tc>
          <w:tcPr>
            <w:tcW w:w="2927" w:type="dxa"/>
          </w:tcPr>
          <w:p w14:paraId="44996D8E">
            <w:pPr>
              <w:spacing w:line="360" w:lineRule="auto"/>
              <w:ind w:firstLine="480" w:firstLineChars="200"/>
              <w:jc w:val="center"/>
              <w:rPr>
                <w:rFonts w:hint="eastAsia" w:ascii="宋体" w:hAnsi="宋体" w:eastAsia="宋体" w:cs="宋体"/>
                <w:color w:val="000000"/>
                <w:sz w:val="24"/>
                <w:szCs w:val="24"/>
              </w:rPr>
            </w:pPr>
          </w:p>
        </w:tc>
        <w:tc>
          <w:tcPr>
            <w:tcW w:w="2444" w:type="dxa"/>
          </w:tcPr>
          <w:p w14:paraId="0C9429A1">
            <w:pPr>
              <w:spacing w:line="360" w:lineRule="auto"/>
              <w:ind w:firstLine="480" w:firstLineChars="200"/>
              <w:jc w:val="center"/>
              <w:rPr>
                <w:rFonts w:hint="eastAsia" w:ascii="宋体" w:hAnsi="宋体" w:eastAsia="宋体" w:cs="宋体"/>
                <w:color w:val="000000"/>
                <w:sz w:val="24"/>
                <w:szCs w:val="24"/>
              </w:rPr>
            </w:pPr>
          </w:p>
        </w:tc>
      </w:tr>
      <w:tr w14:paraId="1FA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559B0A41">
            <w:pPr>
              <w:spacing w:line="360" w:lineRule="auto"/>
              <w:ind w:firstLine="480" w:firstLineChars="200"/>
              <w:jc w:val="center"/>
              <w:rPr>
                <w:rFonts w:hint="eastAsia" w:ascii="宋体" w:hAnsi="宋体" w:eastAsia="宋体" w:cs="宋体"/>
                <w:color w:val="000000"/>
                <w:sz w:val="24"/>
                <w:szCs w:val="24"/>
              </w:rPr>
            </w:pPr>
          </w:p>
        </w:tc>
        <w:tc>
          <w:tcPr>
            <w:tcW w:w="2774" w:type="dxa"/>
          </w:tcPr>
          <w:p w14:paraId="25211856">
            <w:pPr>
              <w:spacing w:line="360" w:lineRule="auto"/>
              <w:ind w:firstLine="480" w:firstLineChars="200"/>
              <w:jc w:val="center"/>
              <w:rPr>
                <w:rFonts w:hint="eastAsia" w:ascii="宋体" w:hAnsi="宋体" w:eastAsia="宋体" w:cs="宋体"/>
                <w:color w:val="000000"/>
                <w:sz w:val="24"/>
                <w:szCs w:val="24"/>
              </w:rPr>
            </w:pPr>
          </w:p>
        </w:tc>
        <w:tc>
          <w:tcPr>
            <w:tcW w:w="2927" w:type="dxa"/>
          </w:tcPr>
          <w:p w14:paraId="730F3170">
            <w:pPr>
              <w:spacing w:line="360" w:lineRule="auto"/>
              <w:ind w:firstLine="480" w:firstLineChars="200"/>
              <w:jc w:val="center"/>
              <w:rPr>
                <w:rFonts w:hint="eastAsia" w:ascii="宋体" w:hAnsi="宋体" w:eastAsia="宋体" w:cs="宋体"/>
                <w:color w:val="000000"/>
                <w:sz w:val="24"/>
                <w:szCs w:val="24"/>
              </w:rPr>
            </w:pPr>
          </w:p>
        </w:tc>
        <w:tc>
          <w:tcPr>
            <w:tcW w:w="2444" w:type="dxa"/>
          </w:tcPr>
          <w:p w14:paraId="47E8677D">
            <w:pPr>
              <w:spacing w:line="360" w:lineRule="auto"/>
              <w:ind w:firstLine="480" w:firstLineChars="200"/>
              <w:jc w:val="center"/>
              <w:rPr>
                <w:rFonts w:hint="eastAsia" w:ascii="宋体" w:hAnsi="宋体" w:eastAsia="宋体" w:cs="宋体"/>
                <w:color w:val="000000"/>
                <w:sz w:val="24"/>
                <w:szCs w:val="24"/>
              </w:rPr>
            </w:pPr>
          </w:p>
        </w:tc>
      </w:tr>
      <w:tr w14:paraId="726E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437DCAE8">
            <w:pPr>
              <w:spacing w:line="360" w:lineRule="auto"/>
              <w:ind w:firstLine="480" w:firstLineChars="200"/>
              <w:jc w:val="center"/>
              <w:rPr>
                <w:rFonts w:hint="eastAsia" w:ascii="宋体" w:hAnsi="宋体" w:eastAsia="宋体" w:cs="宋体"/>
                <w:color w:val="000000"/>
                <w:sz w:val="24"/>
                <w:szCs w:val="24"/>
              </w:rPr>
            </w:pPr>
          </w:p>
        </w:tc>
        <w:tc>
          <w:tcPr>
            <w:tcW w:w="2774" w:type="dxa"/>
          </w:tcPr>
          <w:p w14:paraId="7EE56FAC">
            <w:pPr>
              <w:spacing w:line="360" w:lineRule="auto"/>
              <w:ind w:firstLine="480" w:firstLineChars="200"/>
              <w:jc w:val="center"/>
              <w:rPr>
                <w:rFonts w:hint="eastAsia" w:ascii="宋体" w:hAnsi="宋体" w:eastAsia="宋体" w:cs="宋体"/>
                <w:color w:val="000000"/>
                <w:sz w:val="24"/>
                <w:szCs w:val="24"/>
              </w:rPr>
            </w:pPr>
          </w:p>
        </w:tc>
        <w:tc>
          <w:tcPr>
            <w:tcW w:w="2927" w:type="dxa"/>
          </w:tcPr>
          <w:p w14:paraId="5EE9767C">
            <w:pPr>
              <w:spacing w:line="360" w:lineRule="auto"/>
              <w:ind w:firstLine="480" w:firstLineChars="200"/>
              <w:jc w:val="center"/>
              <w:rPr>
                <w:rFonts w:hint="eastAsia" w:ascii="宋体" w:hAnsi="宋体" w:eastAsia="宋体" w:cs="宋体"/>
                <w:color w:val="000000"/>
                <w:sz w:val="24"/>
                <w:szCs w:val="24"/>
              </w:rPr>
            </w:pPr>
          </w:p>
        </w:tc>
        <w:tc>
          <w:tcPr>
            <w:tcW w:w="2444" w:type="dxa"/>
          </w:tcPr>
          <w:p w14:paraId="7E7FC94F">
            <w:pPr>
              <w:spacing w:line="360" w:lineRule="auto"/>
              <w:ind w:firstLine="480" w:firstLineChars="200"/>
              <w:jc w:val="center"/>
              <w:rPr>
                <w:rFonts w:hint="eastAsia" w:ascii="宋体" w:hAnsi="宋体" w:eastAsia="宋体" w:cs="宋体"/>
                <w:color w:val="000000"/>
                <w:sz w:val="24"/>
                <w:szCs w:val="24"/>
              </w:rPr>
            </w:pPr>
          </w:p>
        </w:tc>
      </w:tr>
      <w:tr w14:paraId="4130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14:paraId="6007E080">
            <w:pPr>
              <w:spacing w:line="360" w:lineRule="auto"/>
              <w:ind w:firstLine="480" w:firstLineChars="200"/>
              <w:jc w:val="center"/>
              <w:rPr>
                <w:rFonts w:hint="eastAsia" w:ascii="宋体" w:hAnsi="宋体" w:eastAsia="宋体" w:cs="宋体"/>
                <w:color w:val="000000"/>
                <w:sz w:val="24"/>
                <w:szCs w:val="24"/>
              </w:rPr>
            </w:pPr>
          </w:p>
        </w:tc>
        <w:tc>
          <w:tcPr>
            <w:tcW w:w="2774" w:type="dxa"/>
          </w:tcPr>
          <w:p w14:paraId="429FDF29">
            <w:pPr>
              <w:spacing w:line="360" w:lineRule="auto"/>
              <w:ind w:firstLine="480" w:firstLineChars="200"/>
              <w:jc w:val="center"/>
              <w:rPr>
                <w:rFonts w:hint="eastAsia" w:ascii="宋体" w:hAnsi="宋体" w:eastAsia="宋体" w:cs="宋体"/>
                <w:color w:val="000000"/>
                <w:sz w:val="24"/>
                <w:szCs w:val="24"/>
              </w:rPr>
            </w:pPr>
          </w:p>
        </w:tc>
        <w:tc>
          <w:tcPr>
            <w:tcW w:w="2927" w:type="dxa"/>
          </w:tcPr>
          <w:p w14:paraId="32022C39">
            <w:pPr>
              <w:spacing w:line="360" w:lineRule="auto"/>
              <w:ind w:firstLine="480" w:firstLineChars="200"/>
              <w:jc w:val="center"/>
              <w:rPr>
                <w:rFonts w:hint="eastAsia" w:ascii="宋体" w:hAnsi="宋体" w:eastAsia="宋体" w:cs="宋体"/>
                <w:color w:val="000000"/>
                <w:sz w:val="24"/>
                <w:szCs w:val="24"/>
              </w:rPr>
            </w:pPr>
          </w:p>
        </w:tc>
        <w:tc>
          <w:tcPr>
            <w:tcW w:w="2444" w:type="dxa"/>
          </w:tcPr>
          <w:p w14:paraId="3EA3DF1C">
            <w:pPr>
              <w:spacing w:line="360" w:lineRule="auto"/>
              <w:ind w:firstLine="480" w:firstLineChars="200"/>
              <w:jc w:val="center"/>
              <w:rPr>
                <w:rFonts w:hint="eastAsia" w:ascii="宋体" w:hAnsi="宋体" w:eastAsia="宋体" w:cs="宋体"/>
                <w:color w:val="000000"/>
                <w:sz w:val="24"/>
                <w:szCs w:val="24"/>
              </w:rPr>
            </w:pPr>
          </w:p>
        </w:tc>
      </w:tr>
    </w:tbl>
    <w:p w14:paraId="019E168A">
      <w:pPr>
        <w:spacing w:line="400" w:lineRule="exact"/>
        <w:ind w:firstLine="480" w:firstLineChars="200"/>
        <w:rPr>
          <w:rFonts w:hint="eastAsia" w:ascii="宋体" w:hAnsi="宋体" w:eastAsia="宋体" w:cs="宋体"/>
          <w:szCs w:val="20"/>
        </w:rPr>
      </w:pPr>
      <w:r>
        <w:rPr>
          <w:rFonts w:hint="eastAsia" w:ascii="宋体" w:hAnsi="宋体" w:eastAsia="宋体" w:cs="宋体"/>
          <w:color w:val="000000"/>
          <w:sz w:val="24"/>
          <w:szCs w:val="24"/>
        </w:rPr>
        <w:t>注：“偏离说明”填写“正偏离”“负偏离”或“无偏离”。</w:t>
      </w:r>
    </w:p>
    <w:p w14:paraId="045EA478">
      <w:pPr>
        <w:spacing w:line="360" w:lineRule="auto"/>
        <w:ind w:firstLine="480" w:firstLineChars="200"/>
        <w:rPr>
          <w:rFonts w:hint="eastAsia" w:ascii="宋体" w:hAnsi="宋体" w:eastAsia="宋体" w:cs="宋体"/>
          <w:color w:val="000000"/>
          <w:sz w:val="24"/>
          <w:szCs w:val="24"/>
        </w:rPr>
      </w:pPr>
    </w:p>
    <w:p w14:paraId="381A207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投标人（盖章）：</w:t>
      </w:r>
    </w:p>
    <w:p w14:paraId="06CF2AB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法定代表人或委托代理人（签字或盖章）：</w:t>
      </w:r>
    </w:p>
    <w:p w14:paraId="5850C2B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p>
    <w:p w14:paraId="03D3922C">
      <w:pPr>
        <w:spacing w:line="600" w:lineRule="exact"/>
        <w:ind w:firstLine="420" w:firstLineChars="200"/>
        <w:rPr>
          <w:rFonts w:hint="eastAsia" w:ascii="宋体" w:hAnsi="宋体" w:eastAsia="宋体" w:cs="宋体"/>
          <w:color w:val="000000"/>
          <w:szCs w:val="20"/>
        </w:rPr>
      </w:pPr>
    </w:p>
    <w:p w14:paraId="320DF88E">
      <w:pPr>
        <w:keepNext/>
        <w:spacing w:line="360" w:lineRule="auto"/>
        <w:textAlignment w:val="baseline"/>
        <w:outlineLvl w:val="1"/>
        <w:rPr>
          <w:rFonts w:hint="eastAsia" w:ascii="宋体" w:hAnsi="宋体" w:eastAsia="宋体" w:cs="宋体"/>
          <w:b/>
          <w:bCs/>
          <w:color w:val="000000"/>
          <w:kern w:val="0"/>
          <w:sz w:val="28"/>
          <w:szCs w:val="21"/>
        </w:rPr>
      </w:pPr>
      <w:r>
        <w:rPr>
          <w:rFonts w:hint="eastAsia" w:ascii="宋体" w:hAnsi="宋体" w:eastAsia="宋体" w:cs="宋体"/>
          <w:b/>
          <w:kern w:val="0"/>
          <w:sz w:val="28"/>
          <w:szCs w:val="20"/>
        </w:rPr>
        <w:br w:type="page"/>
      </w:r>
      <w:r>
        <w:rPr>
          <w:rFonts w:hint="eastAsia" w:ascii="宋体" w:hAnsi="宋体" w:eastAsia="宋体" w:cs="宋体"/>
          <w:b/>
          <w:bCs/>
          <w:color w:val="000000"/>
          <w:kern w:val="0"/>
          <w:sz w:val="24"/>
          <w:szCs w:val="24"/>
        </w:rPr>
        <w:t>格式10、售后服务承诺书</w:t>
      </w:r>
    </w:p>
    <w:p w14:paraId="54AAF93C">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售后服务承诺书</w:t>
      </w:r>
    </w:p>
    <w:p w14:paraId="58C072E0">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（请按“项目需求”要求的售后服务及内容自行填写）</w:t>
      </w:r>
    </w:p>
    <w:p w14:paraId="55DA3710">
      <w:pPr>
        <w:spacing w:line="360" w:lineRule="auto"/>
        <w:ind w:firstLine="480" w:firstLineChars="200"/>
        <w:rPr>
          <w:rFonts w:hint="eastAsia" w:ascii="宋体" w:hAnsi="宋体" w:eastAsia="宋体" w:cs="宋体"/>
          <w:color w:val="000000"/>
          <w:sz w:val="24"/>
          <w:szCs w:val="24"/>
        </w:rPr>
      </w:pPr>
    </w:p>
    <w:p w14:paraId="24033471">
      <w:pPr>
        <w:spacing w:line="360" w:lineRule="auto"/>
        <w:ind w:firstLine="480" w:firstLineChars="200"/>
        <w:rPr>
          <w:rFonts w:hint="eastAsia" w:ascii="宋体" w:hAnsi="宋体" w:eastAsia="宋体" w:cs="宋体"/>
          <w:color w:val="000000"/>
          <w:sz w:val="24"/>
          <w:szCs w:val="24"/>
        </w:rPr>
      </w:pPr>
    </w:p>
    <w:p w14:paraId="6A08A258">
      <w:pPr>
        <w:spacing w:line="360" w:lineRule="auto"/>
        <w:ind w:firstLine="480" w:firstLineChars="200"/>
        <w:rPr>
          <w:rFonts w:hint="eastAsia" w:ascii="宋体" w:hAnsi="宋体" w:eastAsia="宋体" w:cs="宋体"/>
          <w:color w:val="000000"/>
          <w:sz w:val="24"/>
          <w:szCs w:val="24"/>
        </w:rPr>
      </w:pPr>
    </w:p>
    <w:p w14:paraId="101DD2D1">
      <w:pPr>
        <w:spacing w:line="360" w:lineRule="auto"/>
        <w:ind w:firstLine="480" w:firstLineChars="200"/>
        <w:rPr>
          <w:rFonts w:hint="eastAsia" w:ascii="宋体" w:hAnsi="宋体" w:eastAsia="宋体" w:cs="宋体"/>
          <w:color w:val="000000"/>
          <w:sz w:val="24"/>
          <w:szCs w:val="24"/>
        </w:rPr>
      </w:pPr>
    </w:p>
    <w:p w14:paraId="2C3B6714">
      <w:pPr>
        <w:spacing w:line="360" w:lineRule="auto"/>
        <w:ind w:firstLine="480" w:firstLineChars="200"/>
        <w:rPr>
          <w:rFonts w:hint="eastAsia" w:ascii="宋体" w:hAnsi="宋体" w:eastAsia="宋体" w:cs="宋体"/>
          <w:color w:val="000000"/>
          <w:sz w:val="24"/>
          <w:szCs w:val="24"/>
        </w:rPr>
      </w:pPr>
    </w:p>
    <w:p w14:paraId="14231DC2">
      <w:pPr>
        <w:spacing w:line="360" w:lineRule="auto"/>
        <w:ind w:firstLine="480" w:firstLineChars="200"/>
        <w:rPr>
          <w:rFonts w:hint="eastAsia" w:ascii="宋体" w:hAnsi="宋体" w:eastAsia="宋体" w:cs="宋体"/>
          <w:color w:val="000000"/>
          <w:sz w:val="24"/>
          <w:szCs w:val="24"/>
        </w:rPr>
      </w:pPr>
    </w:p>
    <w:p w14:paraId="6DA3F457">
      <w:pPr>
        <w:spacing w:line="360" w:lineRule="auto"/>
        <w:ind w:firstLine="480" w:firstLineChars="200"/>
        <w:rPr>
          <w:rFonts w:hint="eastAsia" w:ascii="宋体" w:hAnsi="宋体" w:eastAsia="宋体" w:cs="宋体"/>
          <w:color w:val="000000"/>
          <w:sz w:val="24"/>
          <w:szCs w:val="24"/>
        </w:rPr>
      </w:pPr>
    </w:p>
    <w:p w14:paraId="75219161">
      <w:pPr>
        <w:spacing w:line="360" w:lineRule="auto"/>
        <w:ind w:firstLine="480" w:firstLineChars="200"/>
        <w:rPr>
          <w:rFonts w:hint="eastAsia" w:ascii="宋体" w:hAnsi="宋体" w:eastAsia="宋体" w:cs="宋体"/>
          <w:color w:val="000000"/>
          <w:sz w:val="24"/>
          <w:szCs w:val="24"/>
        </w:rPr>
      </w:pPr>
    </w:p>
    <w:p w14:paraId="4EC90AB9">
      <w:pPr>
        <w:spacing w:line="360" w:lineRule="auto"/>
        <w:ind w:firstLine="480" w:firstLineChars="200"/>
        <w:rPr>
          <w:rFonts w:hint="eastAsia" w:ascii="宋体" w:hAnsi="宋体" w:eastAsia="宋体" w:cs="宋体"/>
          <w:color w:val="000000"/>
          <w:sz w:val="24"/>
          <w:szCs w:val="24"/>
        </w:rPr>
      </w:pPr>
    </w:p>
    <w:p w14:paraId="2B0BB472">
      <w:pPr>
        <w:spacing w:line="360" w:lineRule="auto"/>
        <w:ind w:firstLine="480" w:firstLineChars="200"/>
        <w:rPr>
          <w:rFonts w:hint="eastAsia" w:ascii="宋体" w:hAnsi="宋体" w:eastAsia="宋体" w:cs="宋体"/>
          <w:color w:val="000000"/>
          <w:sz w:val="24"/>
          <w:szCs w:val="24"/>
        </w:rPr>
      </w:pPr>
    </w:p>
    <w:p w14:paraId="7A91EC6E">
      <w:pPr>
        <w:spacing w:line="360" w:lineRule="auto"/>
        <w:ind w:firstLine="480" w:firstLineChars="200"/>
        <w:rPr>
          <w:rFonts w:hint="eastAsia" w:ascii="宋体" w:hAnsi="宋体" w:eastAsia="宋体" w:cs="宋体"/>
          <w:color w:val="000000"/>
          <w:sz w:val="24"/>
          <w:szCs w:val="24"/>
        </w:rPr>
      </w:pPr>
    </w:p>
    <w:p w14:paraId="2E5001CD">
      <w:pPr>
        <w:spacing w:line="360" w:lineRule="auto"/>
        <w:ind w:firstLine="480" w:firstLineChars="200"/>
        <w:rPr>
          <w:rFonts w:hint="eastAsia" w:ascii="宋体" w:hAnsi="宋体" w:eastAsia="宋体" w:cs="宋体"/>
          <w:color w:val="000000"/>
          <w:sz w:val="24"/>
          <w:szCs w:val="24"/>
        </w:rPr>
      </w:pPr>
    </w:p>
    <w:p w14:paraId="76FAAA39">
      <w:pPr>
        <w:spacing w:line="360" w:lineRule="auto"/>
        <w:ind w:firstLine="480" w:firstLineChars="200"/>
        <w:rPr>
          <w:rFonts w:hint="eastAsia" w:ascii="宋体" w:hAnsi="宋体" w:eastAsia="宋体" w:cs="宋体"/>
          <w:color w:val="000000"/>
          <w:sz w:val="24"/>
          <w:szCs w:val="24"/>
        </w:rPr>
      </w:pPr>
    </w:p>
    <w:p w14:paraId="16D710B6">
      <w:pPr>
        <w:spacing w:line="360" w:lineRule="auto"/>
        <w:ind w:firstLine="480" w:firstLineChars="200"/>
        <w:rPr>
          <w:rFonts w:hint="eastAsia" w:ascii="宋体" w:hAnsi="宋体" w:eastAsia="宋体" w:cs="宋体"/>
          <w:color w:val="000000"/>
          <w:sz w:val="24"/>
          <w:szCs w:val="24"/>
        </w:rPr>
      </w:pPr>
    </w:p>
    <w:p w14:paraId="6A47B2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投标人（盖章）：</w:t>
      </w:r>
    </w:p>
    <w:p w14:paraId="69CFAA4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法定代表人或委托代理人（签字或盖章）：</w:t>
      </w:r>
    </w:p>
    <w:p w14:paraId="1C55BA4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p>
    <w:p w14:paraId="4F74A71D">
      <w:pPr>
        <w:keepNext/>
        <w:spacing w:line="360" w:lineRule="auto"/>
        <w:textAlignment w:val="baseline"/>
        <w:outlineLvl w:val="1"/>
        <w:rPr>
          <w:rFonts w:hint="eastAsia" w:ascii="宋体" w:hAnsi="宋体" w:eastAsia="宋体" w:cs="宋体"/>
          <w:b/>
          <w:bCs/>
          <w:kern w:val="0"/>
          <w:sz w:val="28"/>
          <w:szCs w:val="20"/>
        </w:rPr>
      </w:pPr>
      <w:r>
        <w:rPr>
          <w:rFonts w:hint="eastAsia" w:ascii="宋体" w:hAnsi="宋体" w:eastAsia="宋体" w:cs="宋体"/>
          <w:b/>
          <w:kern w:val="0"/>
          <w:sz w:val="28"/>
          <w:szCs w:val="20"/>
        </w:rPr>
        <w:br w:type="page"/>
      </w:r>
      <w:r>
        <w:rPr>
          <w:rFonts w:hint="eastAsia" w:ascii="宋体" w:hAnsi="宋体" w:eastAsia="宋体" w:cs="宋体"/>
          <w:b/>
          <w:bCs/>
          <w:color w:val="000000"/>
          <w:kern w:val="0"/>
          <w:sz w:val="24"/>
          <w:szCs w:val="24"/>
        </w:rPr>
        <w:t>格式12、项目需求响应</w:t>
      </w:r>
    </w:p>
    <w:p w14:paraId="3EAD1105">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项目需求响应</w:t>
      </w:r>
    </w:p>
    <w:p w14:paraId="7251EEDA">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（请按“项目需求”要求自行填写，格式自定）</w:t>
      </w:r>
    </w:p>
    <w:p w14:paraId="5D753D66">
      <w:pPr>
        <w:spacing w:line="360" w:lineRule="auto"/>
        <w:ind w:firstLine="480" w:firstLineChars="200"/>
        <w:rPr>
          <w:rFonts w:hint="eastAsia" w:ascii="宋体" w:hAnsi="宋体" w:eastAsia="宋体" w:cs="宋体"/>
          <w:color w:val="000000"/>
          <w:sz w:val="24"/>
          <w:szCs w:val="24"/>
        </w:rPr>
      </w:pPr>
    </w:p>
    <w:p w14:paraId="7B8FCA0F">
      <w:pPr>
        <w:spacing w:line="360" w:lineRule="auto"/>
        <w:ind w:firstLine="480" w:firstLineChars="200"/>
        <w:rPr>
          <w:rFonts w:hint="eastAsia" w:ascii="宋体" w:hAnsi="宋体" w:eastAsia="宋体" w:cs="宋体"/>
          <w:color w:val="000000"/>
          <w:sz w:val="24"/>
          <w:szCs w:val="24"/>
        </w:rPr>
      </w:pPr>
    </w:p>
    <w:p w14:paraId="32073E4E">
      <w:pPr>
        <w:spacing w:line="360" w:lineRule="auto"/>
        <w:ind w:firstLine="480" w:firstLineChars="200"/>
        <w:rPr>
          <w:rFonts w:hint="eastAsia" w:ascii="宋体" w:hAnsi="宋体" w:eastAsia="宋体" w:cs="宋体"/>
          <w:color w:val="000000"/>
          <w:sz w:val="24"/>
          <w:szCs w:val="24"/>
        </w:rPr>
      </w:pPr>
    </w:p>
    <w:p w14:paraId="6DB63FD9">
      <w:pPr>
        <w:spacing w:line="360" w:lineRule="auto"/>
        <w:ind w:firstLine="480" w:firstLineChars="200"/>
        <w:rPr>
          <w:rFonts w:hint="eastAsia" w:ascii="宋体" w:hAnsi="宋体" w:eastAsia="宋体" w:cs="宋体"/>
          <w:color w:val="000000"/>
          <w:sz w:val="24"/>
          <w:szCs w:val="24"/>
        </w:rPr>
      </w:pPr>
    </w:p>
    <w:p w14:paraId="2C07837A">
      <w:pPr>
        <w:spacing w:line="360" w:lineRule="auto"/>
        <w:ind w:firstLine="480" w:firstLineChars="200"/>
        <w:rPr>
          <w:rFonts w:hint="eastAsia" w:ascii="宋体" w:hAnsi="宋体" w:eastAsia="宋体" w:cs="宋体"/>
          <w:color w:val="000000"/>
          <w:sz w:val="24"/>
          <w:szCs w:val="24"/>
        </w:rPr>
      </w:pPr>
    </w:p>
    <w:p w14:paraId="5E560AF0">
      <w:pPr>
        <w:spacing w:line="360" w:lineRule="auto"/>
        <w:ind w:firstLine="480" w:firstLineChars="200"/>
        <w:rPr>
          <w:rFonts w:hint="eastAsia" w:ascii="宋体" w:hAnsi="宋体" w:eastAsia="宋体" w:cs="宋体"/>
          <w:color w:val="000000"/>
          <w:sz w:val="24"/>
          <w:szCs w:val="24"/>
        </w:rPr>
      </w:pPr>
    </w:p>
    <w:p w14:paraId="7B3BD054">
      <w:pPr>
        <w:spacing w:line="360" w:lineRule="auto"/>
        <w:ind w:firstLine="480" w:firstLineChars="200"/>
        <w:rPr>
          <w:rFonts w:hint="eastAsia" w:ascii="宋体" w:hAnsi="宋体" w:eastAsia="宋体" w:cs="宋体"/>
          <w:color w:val="000000"/>
          <w:sz w:val="24"/>
          <w:szCs w:val="24"/>
        </w:rPr>
      </w:pPr>
    </w:p>
    <w:p w14:paraId="16CF9013">
      <w:pPr>
        <w:spacing w:line="360" w:lineRule="auto"/>
        <w:ind w:firstLine="480" w:firstLineChars="200"/>
        <w:rPr>
          <w:rFonts w:hint="eastAsia" w:ascii="宋体" w:hAnsi="宋体" w:eastAsia="宋体" w:cs="宋体"/>
          <w:color w:val="000000"/>
          <w:sz w:val="24"/>
          <w:szCs w:val="24"/>
        </w:rPr>
      </w:pPr>
    </w:p>
    <w:p w14:paraId="650C7A0A">
      <w:pPr>
        <w:spacing w:line="360" w:lineRule="auto"/>
        <w:ind w:firstLine="480" w:firstLineChars="200"/>
        <w:rPr>
          <w:rFonts w:hint="eastAsia" w:ascii="宋体" w:hAnsi="宋体" w:eastAsia="宋体" w:cs="宋体"/>
          <w:color w:val="000000"/>
          <w:sz w:val="24"/>
          <w:szCs w:val="24"/>
        </w:rPr>
      </w:pPr>
    </w:p>
    <w:p w14:paraId="0C37CFED">
      <w:pPr>
        <w:spacing w:line="360" w:lineRule="auto"/>
        <w:ind w:firstLine="480" w:firstLineChars="200"/>
        <w:rPr>
          <w:rFonts w:hint="eastAsia" w:ascii="宋体" w:hAnsi="宋体" w:eastAsia="宋体" w:cs="宋体"/>
          <w:color w:val="000000"/>
          <w:sz w:val="24"/>
          <w:szCs w:val="24"/>
        </w:rPr>
      </w:pPr>
    </w:p>
    <w:p w14:paraId="75816F50">
      <w:pPr>
        <w:spacing w:line="360" w:lineRule="auto"/>
        <w:ind w:firstLine="480" w:firstLineChars="200"/>
        <w:rPr>
          <w:rFonts w:hint="eastAsia" w:ascii="宋体" w:hAnsi="宋体" w:eastAsia="宋体" w:cs="宋体"/>
          <w:color w:val="000000"/>
          <w:sz w:val="24"/>
          <w:szCs w:val="24"/>
        </w:rPr>
      </w:pPr>
    </w:p>
    <w:p w14:paraId="3F04741E">
      <w:pPr>
        <w:spacing w:line="360" w:lineRule="auto"/>
        <w:ind w:firstLine="480" w:firstLineChars="200"/>
        <w:rPr>
          <w:rFonts w:hint="eastAsia" w:ascii="宋体" w:hAnsi="宋体" w:eastAsia="宋体" w:cs="宋体"/>
          <w:color w:val="000000"/>
          <w:sz w:val="24"/>
          <w:szCs w:val="24"/>
        </w:rPr>
      </w:pPr>
    </w:p>
    <w:p w14:paraId="0E034A7E">
      <w:pPr>
        <w:spacing w:line="360" w:lineRule="auto"/>
        <w:ind w:firstLine="480" w:firstLineChars="200"/>
        <w:rPr>
          <w:rFonts w:hint="eastAsia" w:ascii="宋体" w:hAnsi="宋体" w:eastAsia="宋体" w:cs="宋体"/>
          <w:color w:val="000000"/>
          <w:sz w:val="24"/>
          <w:szCs w:val="24"/>
        </w:rPr>
      </w:pPr>
    </w:p>
    <w:p w14:paraId="5B898757">
      <w:pPr>
        <w:spacing w:line="360" w:lineRule="auto"/>
        <w:ind w:firstLine="480" w:firstLineChars="200"/>
        <w:rPr>
          <w:rFonts w:hint="eastAsia" w:ascii="宋体" w:hAnsi="宋体" w:eastAsia="宋体" w:cs="宋体"/>
          <w:color w:val="000000"/>
          <w:sz w:val="24"/>
          <w:szCs w:val="24"/>
        </w:rPr>
      </w:pPr>
    </w:p>
    <w:p w14:paraId="2930511C">
      <w:pPr>
        <w:spacing w:line="360" w:lineRule="auto"/>
        <w:ind w:firstLine="480" w:firstLineChars="200"/>
        <w:rPr>
          <w:rFonts w:hint="eastAsia" w:ascii="宋体" w:hAnsi="宋体" w:eastAsia="宋体" w:cs="宋体"/>
          <w:color w:val="000000"/>
          <w:sz w:val="24"/>
          <w:szCs w:val="24"/>
        </w:rPr>
      </w:pPr>
    </w:p>
    <w:p w14:paraId="361B5903">
      <w:pPr>
        <w:spacing w:line="360" w:lineRule="auto"/>
        <w:ind w:firstLine="480" w:firstLineChars="200"/>
        <w:rPr>
          <w:rFonts w:hint="eastAsia" w:ascii="宋体" w:hAnsi="宋体" w:eastAsia="宋体" w:cs="宋体"/>
          <w:color w:val="000000"/>
          <w:sz w:val="24"/>
          <w:szCs w:val="24"/>
        </w:rPr>
      </w:pPr>
    </w:p>
    <w:p w14:paraId="45F0E3EA">
      <w:pPr>
        <w:spacing w:line="360" w:lineRule="auto"/>
        <w:ind w:firstLine="480" w:firstLineChars="200"/>
        <w:rPr>
          <w:rFonts w:hint="eastAsia" w:ascii="宋体" w:hAnsi="宋体" w:eastAsia="宋体" w:cs="宋体"/>
          <w:color w:val="000000"/>
          <w:sz w:val="24"/>
          <w:szCs w:val="24"/>
        </w:rPr>
      </w:pPr>
    </w:p>
    <w:p w14:paraId="53483E8D">
      <w:pPr>
        <w:spacing w:line="360" w:lineRule="auto"/>
        <w:ind w:firstLine="480" w:firstLineChars="200"/>
        <w:rPr>
          <w:rFonts w:hint="eastAsia" w:ascii="宋体" w:hAnsi="宋体" w:eastAsia="宋体" w:cs="宋体"/>
          <w:color w:val="000000"/>
          <w:sz w:val="24"/>
          <w:szCs w:val="24"/>
        </w:rPr>
      </w:pPr>
    </w:p>
    <w:p w14:paraId="6A8207D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投标人（盖章）：</w:t>
      </w:r>
    </w:p>
    <w:p w14:paraId="460A9C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法定代表人或委托代理人（签字或盖章）：</w:t>
      </w:r>
    </w:p>
    <w:p w14:paraId="3EEDEF16">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日期：    年     月     日</w:t>
      </w:r>
    </w:p>
    <w:p w14:paraId="5B1DBB9D">
      <w:pPr>
        <w:rPr>
          <w:rFonts w:hint="eastAsia" w:ascii="宋体" w:hAnsi="宋体" w:eastAsia="宋体" w:cs="宋体"/>
          <w:b/>
          <w:color w:val="000000"/>
          <w:kern w:val="44"/>
          <w:sz w:val="36"/>
          <w:szCs w:val="20"/>
        </w:rPr>
      </w:pPr>
      <w:r>
        <w:rPr>
          <w:rFonts w:hint="eastAsia" w:ascii="宋体" w:hAnsi="宋体" w:eastAsia="宋体" w:cs="宋体"/>
          <w:b/>
          <w:color w:val="000000"/>
          <w:kern w:val="44"/>
          <w:sz w:val="36"/>
          <w:szCs w:val="20"/>
        </w:rPr>
        <w:br w:type="page"/>
      </w:r>
    </w:p>
    <w:p w14:paraId="35880812">
      <w:pPr>
        <w:spacing w:line="360" w:lineRule="auto"/>
        <w:jc w:val="center"/>
        <w:rPr>
          <w:rFonts w:hint="eastAsia" w:ascii="宋体" w:hAnsi="宋体" w:eastAsia="宋体" w:cs="宋体"/>
          <w:b/>
          <w:bCs/>
          <w:sz w:val="36"/>
          <w:szCs w:val="28"/>
        </w:rPr>
      </w:pPr>
      <w:r>
        <w:rPr>
          <w:rFonts w:hint="eastAsia" w:ascii="宋体" w:hAnsi="宋体" w:eastAsia="宋体" w:cs="宋体"/>
          <w:b/>
          <w:bCs/>
          <w:sz w:val="36"/>
          <w:szCs w:val="28"/>
        </w:rPr>
        <w:t>关于符合本国产品标准的声明函</w:t>
      </w:r>
    </w:p>
    <w:p w14:paraId="69AD55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F1DAE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158693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Style w:val="11"/>
          <w:rFonts w:hint="eastAsia" w:ascii="宋体" w:hAnsi="宋体" w:eastAsia="宋体" w:cs="宋体"/>
          <w:i w:val="0"/>
          <w:iCs w:val="0"/>
          <w:caps w:val="0"/>
          <w:color w:val="333333"/>
          <w:spacing w:val="0"/>
          <w:sz w:val="24"/>
          <w:szCs w:val="24"/>
          <w:u w:val="single"/>
          <w:shd w:val="clear" w:fill="FFFFFF"/>
        </w:rPr>
        <w:t>（产品名称1）</w:t>
      </w:r>
      <w:r>
        <w:rPr>
          <w:rStyle w:val="11"/>
          <w:rFonts w:hint="eastAsia" w:ascii="宋体" w:hAnsi="宋体" w:eastAsia="宋体" w:cs="宋体"/>
          <w:i w:val="0"/>
          <w:iCs w:val="0"/>
          <w:caps w:val="0"/>
          <w:color w:val="333333"/>
          <w:spacing w:val="0"/>
          <w:sz w:val="24"/>
          <w:szCs w:val="24"/>
          <w:u w:val="none"/>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Style w:val="11"/>
          <w:rFonts w:hint="eastAsia" w:ascii="宋体" w:hAnsi="宋体" w:eastAsia="宋体" w:cs="宋体"/>
          <w:i w:val="0"/>
          <w:iCs w:val="0"/>
          <w:caps w:val="0"/>
          <w:color w:val="333333"/>
          <w:spacing w:val="0"/>
          <w:sz w:val="24"/>
          <w:szCs w:val="24"/>
          <w:u w:val="single"/>
          <w:shd w:val="clear" w:fill="FFFFFF"/>
        </w:rPr>
        <w:t>（厂名）</w:t>
      </w:r>
      <w:r>
        <w:rPr>
          <w:rStyle w:val="11"/>
          <w:rFonts w:hint="eastAsia" w:ascii="宋体" w:hAnsi="宋体" w:eastAsia="宋体" w:cs="宋体"/>
          <w:i w:val="0"/>
          <w:iCs w:val="0"/>
          <w:caps w:val="0"/>
          <w:color w:val="333333"/>
          <w:spacing w:val="0"/>
          <w:sz w:val="24"/>
          <w:szCs w:val="24"/>
          <w:u w:val="none"/>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Style w:val="11"/>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11"/>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Style w:val="11"/>
          <w:rFonts w:hint="eastAsia" w:ascii="宋体" w:hAnsi="宋体" w:eastAsia="宋体" w:cs="宋体"/>
          <w:i w:val="0"/>
          <w:iCs w:val="0"/>
          <w:caps w:val="0"/>
          <w:color w:val="333333"/>
          <w:spacing w:val="0"/>
          <w:sz w:val="24"/>
          <w:szCs w:val="24"/>
          <w:u w:val="single"/>
          <w:shd w:val="clear" w:fill="FFFFFF"/>
        </w:rPr>
        <w:t>（规定比例）</w:t>
      </w:r>
      <w:r>
        <w:rPr>
          <w:rStyle w:val="11"/>
          <w:rFonts w:hint="eastAsia" w:ascii="宋体" w:hAnsi="宋体" w:eastAsia="宋体" w:cs="宋体"/>
          <w:i w:val="0"/>
          <w:iCs w:val="0"/>
          <w:caps w:val="0"/>
          <w:color w:val="333333"/>
          <w:spacing w:val="0"/>
          <w:sz w:val="24"/>
          <w:szCs w:val="24"/>
          <w:u w:val="none"/>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Style w:val="11"/>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11"/>
          <w:rFonts w:hint="eastAsia" w:ascii="宋体" w:hAnsi="宋体" w:eastAsia="宋体" w:cs="宋体"/>
          <w:i w:val="0"/>
          <w:iCs w:val="0"/>
          <w:caps w:val="0"/>
          <w:color w:val="333333"/>
          <w:spacing w:val="0"/>
          <w:sz w:val="24"/>
          <w:szCs w:val="24"/>
          <w:u w:val="single"/>
          <w:shd w:val="clear" w:fill="FFFFFF"/>
        </w:rPr>
        <w:t>（关键组件）</w:t>
      </w:r>
      <w:r>
        <w:rPr>
          <w:rStyle w:val="11"/>
          <w:rFonts w:hint="eastAsia" w:ascii="宋体" w:hAnsi="宋体" w:eastAsia="宋体" w:cs="宋体"/>
          <w:i w:val="0"/>
          <w:iCs w:val="0"/>
          <w:caps w:val="0"/>
          <w:color w:val="333333"/>
          <w:spacing w:val="0"/>
          <w:sz w:val="24"/>
          <w:szCs w:val="24"/>
          <w:u w:val="none"/>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Style w:val="11"/>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11"/>
          <w:rFonts w:hint="eastAsia" w:ascii="宋体" w:hAnsi="宋体" w:eastAsia="宋体" w:cs="宋体"/>
          <w:i w:val="0"/>
          <w:iCs w:val="0"/>
          <w:caps w:val="0"/>
          <w:color w:val="333333"/>
          <w:spacing w:val="0"/>
          <w:sz w:val="24"/>
          <w:szCs w:val="24"/>
          <w:u w:val="single"/>
          <w:shd w:val="clear" w:fill="FFFFFF"/>
        </w:rPr>
        <w:t>（关键工序）</w:t>
      </w:r>
      <w:r>
        <w:rPr>
          <w:rStyle w:val="11"/>
          <w:rFonts w:hint="eastAsia" w:ascii="宋体" w:hAnsi="宋体" w:eastAsia="宋体" w:cs="宋体"/>
          <w:i w:val="0"/>
          <w:iCs w:val="0"/>
          <w:caps w:val="0"/>
          <w:color w:val="333333"/>
          <w:spacing w:val="0"/>
          <w:sz w:val="24"/>
          <w:szCs w:val="24"/>
          <w:u w:val="none"/>
          <w:shd w:val="clear" w:fill="FFFFFF"/>
          <w:vertAlign w:val="superscript"/>
        </w:rPr>
        <w:t>5</w:t>
      </w:r>
      <w:r>
        <w:rPr>
          <w:rFonts w:hint="eastAsia" w:ascii="宋体" w:hAnsi="宋体" w:eastAsia="宋体" w:cs="宋体"/>
          <w:i w:val="0"/>
          <w:iCs w:val="0"/>
          <w:caps w:val="0"/>
          <w:color w:val="333333"/>
          <w:spacing w:val="0"/>
          <w:sz w:val="24"/>
          <w:szCs w:val="24"/>
          <w:shd w:val="clear" w:fill="FFFFFF"/>
        </w:rPr>
        <w:t>在中国境内完成。</w:t>
      </w:r>
    </w:p>
    <w:p w14:paraId="21CA6A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Style w:val="11"/>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，生产厂为</w:t>
      </w:r>
      <w:r>
        <w:rPr>
          <w:rStyle w:val="11"/>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rPr>
        <w:t>，厂址为</w:t>
      </w:r>
      <w:r>
        <w:rPr>
          <w:rStyle w:val="11"/>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11"/>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的中国境内生产的组件成本占比≥</w:t>
      </w:r>
      <w:r>
        <w:rPr>
          <w:rStyle w:val="11"/>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rPr>
        <w:t>。</w:t>
      </w:r>
      <w:r>
        <w:rPr>
          <w:rStyle w:val="11"/>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11"/>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rPr>
        <w:t>在中国境内生产。</w:t>
      </w:r>
      <w:r>
        <w:rPr>
          <w:rStyle w:val="11"/>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11"/>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rPr>
        <w:t>在中国境内完成。</w:t>
      </w:r>
    </w:p>
    <w:p w14:paraId="7524B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p>
    <w:p w14:paraId="1061C1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本公司（单位）对上述声明内容的真实性负责。如有虚假，愿承担相应法律责任。</w:t>
      </w:r>
    </w:p>
    <w:p w14:paraId="4ADEB5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0"/>
        <w:rPr>
          <w:rFonts w:hint="eastAsia" w:ascii="宋体" w:hAnsi="宋体" w:eastAsia="宋体" w:cs="宋体"/>
          <w:i w:val="0"/>
          <w:iCs w:val="0"/>
          <w:caps w:val="0"/>
          <w:color w:val="333333"/>
          <w:spacing w:val="0"/>
          <w:sz w:val="24"/>
          <w:szCs w:val="24"/>
        </w:rPr>
      </w:pPr>
    </w:p>
    <w:p w14:paraId="2C9F20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651446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738E29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__________________</w:t>
      </w:r>
    </w:p>
    <w:p w14:paraId="324CDB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791417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663891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743CB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76C26B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p>
    <w:p w14:paraId="27D4EB47">
      <w:pPr>
        <w:rPr>
          <w:rFonts w:hint="eastAsia" w:ascii="宋体" w:hAnsi="宋体" w:eastAsia="宋体" w:cs="宋体"/>
          <w:b/>
          <w:color w:val="000000"/>
          <w:kern w:val="44"/>
          <w:sz w:val="24"/>
          <w:szCs w:val="24"/>
        </w:rPr>
      </w:pPr>
      <w:r>
        <w:rPr>
          <w:rFonts w:hint="eastAsia" w:ascii="宋体" w:hAnsi="宋体" w:eastAsia="宋体" w:cs="宋体"/>
          <w:b/>
          <w:color w:val="000000"/>
          <w:kern w:val="44"/>
          <w:sz w:val="24"/>
          <w:szCs w:val="24"/>
        </w:rPr>
        <w:br w:type="page"/>
      </w:r>
    </w:p>
    <w:p w14:paraId="2048FB90">
      <w:pPr>
        <w:jc w:val="center"/>
        <w:rPr>
          <w:rFonts w:ascii="黑体" w:hAnsi="黑体" w:eastAsia="黑体" w:cs="仿宋"/>
          <w:bCs/>
          <w:color w:val="000000"/>
          <w:kern w:val="0"/>
          <w:sz w:val="40"/>
          <w:szCs w:val="32"/>
        </w:rPr>
      </w:pPr>
      <w:r>
        <w:rPr>
          <w:rFonts w:hint="eastAsia" w:ascii="黑体" w:hAnsi="黑体" w:eastAsia="黑体" w:cs="仿宋"/>
          <w:bCs/>
          <w:color w:val="000000"/>
          <w:kern w:val="0"/>
          <w:sz w:val="40"/>
          <w:szCs w:val="32"/>
        </w:rPr>
        <w:t>质疑函范本</w:t>
      </w:r>
    </w:p>
    <w:p w14:paraId="4E33C268">
      <w:pPr>
        <w:spacing w:line="500" w:lineRule="exact"/>
        <w:rPr>
          <w:rFonts w:ascii="宋体" w:hAnsi="宋体" w:eastAsia="宋体" w:cs="仿宋"/>
          <w:bCs/>
          <w:color w:val="000000"/>
          <w:kern w:val="0"/>
          <w:sz w:val="24"/>
          <w:szCs w:val="24"/>
        </w:rPr>
      </w:pPr>
      <w:r>
        <w:rPr>
          <w:rFonts w:hint="eastAsia" w:ascii="宋体" w:hAnsi="宋体" w:eastAsia="宋体" w:cs="仿宋"/>
          <w:bCs/>
          <w:color w:val="000000"/>
          <w:kern w:val="0"/>
          <w:sz w:val="24"/>
          <w:szCs w:val="24"/>
        </w:rPr>
        <w:t>致：</w:t>
      </w:r>
      <w:r>
        <w:rPr>
          <w:rFonts w:hint="eastAsia" w:ascii="宋体" w:hAnsi="宋体" w:eastAsia="宋体" w:cs="仿宋"/>
          <w:color w:val="000000"/>
          <w:kern w:val="0"/>
          <w:sz w:val="24"/>
          <w:szCs w:val="24"/>
          <w:u w:val="single"/>
        </w:rPr>
        <w:t xml:space="preserve">                                                                 </w:t>
      </w:r>
    </w:p>
    <w:p w14:paraId="74C7324B">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一、质疑供应商基本信息</w:t>
      </w:r>
    </w:p>
    <w:p w14:paraId="795054DD">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质疑供应商：</w:t>
      </w:r>
      <w:r>
        <w:rPr>
          <w:rFonts w:hint="eastAsia" w:ascii="宋体" w:hAnsi="宋体" w:eastAsia="宋体" w:cs="仿宋"/>
          <w:color w:val="000000"/>
          <w:kern w:val="0"/>
          <w:sz w:val="24"/>
          <w:szCs w:val="24"/>
          <w:u w:val="single"/>
        </w:rPr>
        <w:t xml:space="preserve">                                                         </w:t>
      </w:r>
    </w:p>
    <w:p w14:paraId="570126CA">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地址：</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rPr>
        <w:t>邮编：</w:t>
      </w:r>
      <w:r>
        <w:rPr>
          <w:rFonts w:hint="eastAsia" w:ascii="宋体" w:hAnsi="宋体" w:eastAsia="宋体" w:cs="仿宋"/>
          <w:color w:val="000000"/>
          <w:kern w:val="0"/>
          <w:sz w:val="24"/>
          <w:szCs w:val="24"/>
          <w:u w:val="single"/>
        </w:rPr>
        <w:t xml:space="preserve">                            </w:t>
      </w:r>
    </w:p>
    <w:p w14:paraId="2181F31B">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联系人：</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rPr>
        <w:t>联系电话：</w:t>
      </w:r>
      <w:r>
        <w:rPr>
          <w:rFonts w:hint="eastAsia" w:ascii="宋体" w:hAnsi="宋体" w:eastAsia="宋体" w:cs="仿宋"/>
          <w:color w:val="000000"/>
          <w:kern w:val="0"/>
          <w:sz w:val="24"/>
          <w:szCs w:val="24"/>
          <w:u w:val="single"/>
        </w:rPr>
        <w:t xml:space="preserve">                             </w:t>
      </w:r>
    </w:p>
    <w:p w14:paraId="03881EBE">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授权代表：</w:t>
      </w:r>
      <w:r>
        <w:rPr>
          <w:rFonts w:hint="eastAsia" w:ascii="宋体" w:hAnsi="宋体" w:eastAsia="宋体" w:cs="仿宋"/>
          <w:color w:val="000000"/>
          <w:kern w:val="0"/>
          <w:sz w:val="24"/>
          <w:szCs w:val="24"/>
          <w:u w:val="single"/>
        </w:rPr>
        <w:t xml:space="preserve">                                                           </w:t>
      </w:r>
    </w:p>
    <w:p w14:paraId="774A0318">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联系电话：</w:t>
      </w:r>
      <w:r>
        <w:rPr>
          <w:rFonts w:hint="eastAsia" w:ascii="宋体" w:hAnsi="宋体" w:eastAsia="宋体" w:cs="仿宋"/>
          <w:color w:val="000000"/>
          <w:kern w:val="0"/>
          <w:sz w:val="24"/>
          <w:szCs w:val="24"/>
          <w:u w:val="single"/>
        </w:rPr>
        <w:t xml:space="preserve">                                                           </w:t>
      </w:r>
    </w:p>
    <w:p w14:paraId="01986357">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地址：</w:t>
      </w:r>
      <w:r>
        <w:rPr>
          <w:rFonts w:ascii="宋体" w:hAnsi="宋体" w:eastAsia="宋体" w:cs="仿宋"/>
          <w:color w:val="000000"/>
          <w:kern w:val="0"/>
          <w:sz w:val="24"/>
          <w:szCs w:val="24"/>
        </w:rPr>
        <w:t xml:space="preserve"> </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rPr>
        <w:t>邮编：</w:t>
      </w:r>
      <w:r>
        <w:rPr>
          <w:rFonts w:hint="eastAsia" w:ascii="宋体" w:hAnsi="宋体" w:eastAsia="宋体" w:cs="仿宋"/>
          <w:color w:val="000000"/>
          <w:kern w:val="0"/>
          <w:sz w:val="24"/>
          <w:szCs w:val="24"/>
          <w:u w:val="single"/>
        </w:rPr>
        <w:t xml:space="preserve">                                </w:t>
      </w:r>
    </w:p>
    <w:p w14:paraId="5F78F636">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二、质疑项目基本情况</w:t>
      </w:r>
    </w:p>
    <w:p w14:paraId="464B0572">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质疑项目的名称：</w:t>
      </w:r>
      <w:r>
        <w:rPr>
          <w:rFonts w:hint="eastAsia" w:ascii="宋体" w:hAnsi="宋体" w:eastAsia="宋体" w:cs="仿宋"/>
          <w:color w:val="000000"/>
          <w:kern w:val="0"/>
          <w:sz w:val="24"/>
          <w:szCs w:val="24"/>
          <w:u w:val="single"/>
        </w:rPr>
        <w:t xml:space="preserve">                                                     </w:t>
      </w:r>
    </w:p>
    <w:p w14:paraId="482B9F29">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质疑项目的编号：</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rPr>
        <w:t>包号：</w:t>
      </w:r>
      <w:r>
        <w:rPr>
          <w:rFonts w:hint="eastAsia" w:ascii="宋体" w:hAnsi="宋体" w:eastAsia="宋体" w:cs="仿宋"/>
          <w:color w:val="000000"/>
          <w:kern w:val="0"/>
          <w:sz w:val="24"/>
          <w:szCs w:val="24"/>
          <w:u w:val="single"/>
        </w:rPr>
        <w:t xml:space="preserve">                      </w:t>
      </w:r>
    </w:p>
    <w:p w14:paraId="0DD62679">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采购人名称：</w:t>
      </w:r>
      <w:r>
        <w:rPr>
          <w:rFonts w:hint="eastAsia" w:ascii="宋体" w:hAnsi="宋体" w:eastAsia="宋体" w:cs="仿宋"/>
          <w:color w:val="000000"/>
          <w:kern w:val="0"/>
          <w:sz w:val="24"/>
          <w:szCs w:val="24"/>
          <w:u w:val="single"/>
        </w:rPr>
        <w:t xml:space="preserve">                                                         </w:t>
      </w:r>
    </w:p>
    <w:p w14:paraId="2C1636FA">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采购文件获取日期：</w:t>
      </w:r>
      <w:r>
        <w:rPr>
          <w:rFonts w:hint="eastAsia" w:ascii="宋体" w:hAnsi="宋体" w:eastAsia="宋体" w:cs="仿宋"/>
          <w:color w:val="000000"/>
          <w:kern w:val="0"/>
          <w:sz w:val="24"/>
          <w:szCs w:val="24"/>
          <w:u w:val="single"/>
        </w:rPr>
        <w:t xml:space="preserve">                                                   </w:t>
      </w:r>
    </w:p>
    <w:p w14:paraId="26466F7C">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三、质疑事项具体内容</w:t>
      </w:r>
    </w:p>
    <w:p w14:paraId="11F8DE25">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质疑事项1：</w:t>
      </w:r>
      <w:r>
        <w:rPr>
          <w:rFonts w:hint="eastAsia" w:ascii="宋体" w:hAnsi="宋体" w:eastAsia="宋体" w:cs="仿宋"/>
          <w:color w:val="000000"/>
          <w:kern w:val="0"/>
          <w:sz w:val="24"/>
          <w:szCs w:val="24"/>
          <w:u w:val="single"/>
        </w:rPr>
        <w:t xml:space="preserve">                                                          </w:t>
      </w:r>
    </w:p>
    <w:p w14:paraId="6C2C00DF">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事实依据：</w:t>
      </w:r>
      <w:r>
        <w:rPr>
          <w:rFonts w:hint="eastAsia" w:ascii="宋体" w:hAnsi="宋体" w:eastAsia="宋体" w:cs="仿宋"/>
          <w:color w:val="000000"/>
          <w:kern w:val="0"/>
          <w:sz w:val="24"/>
          <w:szCs w:val="24"/>
          <w:u w:val="single"/>
        </w:rPr>
        <w:t xml:space="preserve">                                                            </w:t>
      </w:r>
    </w:p>
    <w:p w14:paraId="297D68CF">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u w:val="single"/>
        </w:rPr>
        <w:t xml:space="preserve">                                                                      </w:t>
      </w:r>
    </w:p>
    <w:p w14:paraId="683DE8F0">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法律依据：</w:t>
      </w:r>
      <w:r>
        <w:rPr>
          <w:rFonts w:hint="eastAsia" w:ascii="宋体" w:hAnsi="宋体" w:eastAsia="宋体" w:cs="仿宋"/>
          <w:color w:val="000000"/>
          <w:kern w:val="0"/>
          <w:sz w:val="24"/>
          <w:szCs w:val="24"/>
          <w:u w:val="single"/>
        </w:rPr>
        <w:t xml:space="preserve">                                                            </w:t>
      </w:r>
    </w:p>
    <w:p w14:paraId="36FE326A">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u w:val="single"/>
        </w:rPr>
        <w:t xml:space="preserve">                                                                      </w:t>
      </w:r>
    </w:p>
    <w:p w14:paraId="464F8AC9">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质疑事项2</w:t>
      </w:r>
    </w:p>
    <w:p w14:paraId="6B72F625">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w:t>
      </w:r>
    </w:p>
    <w:p w14:paraId="740D51BF">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四、与质疑事项相关的质疑请求</w:t>
      </w:r>
    </w:p>
    <w:p w14:paraId="2E04183C">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请求：</w:t>
      </w:r>
      <w:r>
        <w:rPr>
          <w:rFonts w:hint="eastAsia" w:ascii="宋体" w:hAnsi="宋体" w:eastAsia="宋体" w:cs="仿宋"/>
          <w:color w:val="000000"/>
          <w:kern w:val="0"/>
          <w:sz w:val="24"/>
          <w:szCs w:val="24"/>
          <w:u w:val="single"/>
        </w:rPr>
        <w:t xml:space="preserve">                                                                </w:t>
      </w:r>
    </w:p>
    <w:p w14:paraId="29EB5B50">
      <w:pPr>
        <w:spacing w:line="500" w:lineRule="exac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签字（签章）：                   公章：                      </w:t>
      </w:r>
    </w:p>
    <w:p w14:paraId="7E29F0A7">
      <w:pPr>
        <w:spacing w:line="500" w:lineRule="exac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日期：    </w:t>
      </w:r>
    </w:p>
    <w:p w14:paraId="63C7C635">
      <w:pPr>
        <w:spacing w:line="500" w:lineRule="exact"/>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质疑函制作说明：</w:t>
      </w:r>
    </w:p>
    <w:p w14:paraId="077652D3">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1.供应商提出质疑时，应提交质疑函和必要的证明材料。</w:t>
      </w:r>
    </w:p>
    <w:p w14:paraId="25987C6E">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023D1232">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3.质疑供应商若对项目的某一分包进行质疑，质疑函中应列明具体分包号。</w:t>
      </w:r>
    </w:p>
    <w:p w14:paraId="1403462C">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4.质疑函的质疑事项应具体、明确，并有必要的事实依据和法律依据。</w:t>
      </w:r>
    </w:p>
    <w:p w14:paraId="435DD01B">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5.质疑函的质疑请求应与质疑事项相关。</w:t>
      </w:r>
    </w:p>
    <w:p w14:paraId="5C86BB48">
      <w:pPr>
        <w:widowControl/>
        <w:spacing w:line="500" w:lineRule="exact"/>
        <w:ind w:firstLine="480"/>
        <w:jc w:val="left"/>
        <w:rPr>
          <w:rFonts w:ascii="Calibri" w:hAnsi="Calibri" w:eastAsia="宋体" w:cs="Times New Roman"/>
          <w:sz w:val="24"/>
          <w:szCs w:val="24"/>
        </w:rPr>
      </w:pPr>
      <w:r>
        <w:rPr>
          <w:rFonts w:hint="eastAsia" w:ascii="宋体" w:hAnsi="宋体" w:eastAsia="宋体" w:cs="Times New Roman"/>
          <w:b/>
          <w:color w:val="FF0000"/>
          <w:kern w:val="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66A16243">
      <w:pPr>
        <w:keepNext/>
        <w:keepLines/>
        <w:pageBreakBefore w:val="0"/>
        <w:kinsoku/>
        <w:wordWrap/>
        <w:overflowPunct/>
        <w:topLinePunct w:val="0"/>
        <w:autoSpaceDE/>
        <w:autoSpaceDN/>
        <w:bidi w:val="0"/>
        <w:adjustRightInd w:val="0"/>
        <w:snapToGrid/>
        <w:spacing w:line="360" w:lineRule="auto"/>
        <w:jc w:val="center"/>
        <w:textAlignment w:val="baseline"/>
        <w:outlineLvl w:val="0"/>
        <w:rPr>
          <w:rFonts w:hint="eastAsia" w:ascii="宋体" w:hAnsi="宋体" w:eastAsia="宋体" w:cs="宋体"/>
          <w:b/>
          <w:color w:val="000000"/>
          <w:kern w:val="44"/>
          <w:sz w:val="36"/>
          <w:szCs w:val="20"/>
        </w:rPr>
      </w:pPr>
      <w:r>
        <w:rPr>
          <w:rFonts w:hint="eastAsia" w:ascii="宋体" w:hAnsi="宋体" w:eastAsia="宋体" w:cs="宋体"/>
          <w:b/>
          <w:color w:val="000000"/>
          <w:kern w:val="44"/>
          <w:sz w:val="24"/>
          <w:szCs w:val="24"/>
        </w:rPr>
        <w:br w:type="page"/>
      </w:r>
      <w:bookmarkStart w:id="21" w:name="_Toc13047"/>
      <w:r>
        <w:rPr>
          <w:rFonts w:hint="eastAsia" w:ascii="宋体" w:hAnsi="宋体" w:eastAsia="宋体" w:cs="宋体"/>
          <w:b/>
          <w:color w:val="000000"/>
          <w:kern w:val="44"/>
          <w:sz w:val="36"/>
          <w:szCs w:val="20"/>
        </w:rPr>
        <w:t>第五章  合同专用条款表</w:t>
      </w:r>
      <w:bookmarkEnd w:id="21"/>
    </w:p>
    <w:p w14:paraId="030DDC6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本表是对第三章“政府采购合同格式”的补充和修改。如果两者之间有抵触，以本专用条款表为准。</w:t>
      </w:r>
    </w:p>
    <w:tbl>
      <w:tblPr>
        <w:tblStyle w:val="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8561"/>
      </w:tblGrid>
      <w:tr w14:paraId="617E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79" w:type="dxa"/>
            <w:vAlign w:val="center"/>
          </w:tcPr>
          <w:p w14:paraId="70EF0E86">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8561" w:type="dxa"/>
            <w:vAlign w:val="center"/>
          </w:tcPr>
          <w:p w14:paraId="475C081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内容</w:t>
            </w:r>
          </w:p>
        </w:tc>
      </w:tr>
      <w:tr w14:paraId="7643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9" w:type="dxa"/>
            <w:vAlign w:val="center"/>
          </w:tcPr>
          <w:p w14:paraId="580AA02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8561" w:type="dxa"/>
            <w:vAlign w:val="center"/>
          </w:tcPr>
          <w:p w14:paraId="4034ED5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履约保证金：本项目不收取履约保证金。</w:t>
            </w:r>
          </w:p>
        </w:tc>
      </w:tr>
      <w:tr w14:paraId="70C3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9" w:type="dxa"/>
            <w:vAlign w:val="center"/>
          </w:tcPr>
          <w:p w14:paraId="10A82EF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8561" w:type="dxa"/>
            <w:vAlign w:val="center"/>
          </w:tcPr>
          <w:p w14:paraId="41D278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★免费质保期：验收合格后</w:t>
            </w:r>
            <w:r>
              <w:rPr>
                <w:rFonts w:hint="eastAsia" w:ascii="宋体" w:hAnsi="宋体" w:eastAsia="宋体" w:cs="宋体"/>
                <w:b/>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质保</w:t>
            </w:r>
            <w:r>
              <w:rPr>
                <w:rFonts w:hint="eastAsia" w:ascii="宋体" w:hAnsi="宋体" w:eastAsia="宋体" w:cs="宋体"/>
                <w:color w:val="auto"/>
                <w:sz w:val="24"/>
                <w:szCs w:val="24"/>
                <w:highlight w:val="none"/>
              </w:rPr>
              <w:t>。质保期间，中标人免费</w:t>
            </w:r>
            <w:r>
              <w:rPr>
                <w:rFonts w:hint="eastAsia" w:ascii="宋体" w:hAnsi="宋体" w:eastAsia="宋体" w:cs="宋体"/>
                <w:color w:val="auto"/>
                <w:sz w:val="24"/>
                <w:szCs w:val="24"/>
                <w:highlight w:val="none"/>
                <w:lang w:val="en-US" w:eastAsia="zh-CN"/>
              </w:rPr>
              <w:t>提供质保</w:t>
            </w:r>
            <w:r>
              <w:rPr>
                <w:rFonts w:hint="eastAsia" w:ascii="宋体" w:hAnsi="宋体" w:eastAsia="宋体" w:cs="宋体"/>
                <w:color w:val="auto"/>
                <w:sz w:val="24"/>
                <w:szCs w:val="24"/>
                <w:highlight w:val="none"/>
              </w:rPr>
              <w:t>、调换。</w:t>
            </w:r>
          </w:p>
        </w:tc>
      </w:tr>
      <w:tr w14:paraId="4B7A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79" w:type="dxa"/>
            <w:vAlign w:val="center"/>
          </w:tcPr>
          <w:p w14:paraId="797D59B2">
            <w:pPr>
              <w:spacing w:line="360" w:lineRule="auto"/>
              <w:jc w:val="center"/>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8</w:t>
            </w:r>
          </w:p>
        </w:tc>
        <w:tc>
          <w:tcPr>
            <w:tcW w:w="8561" w:type="dxa"/>
            <w:vAlign w:val="center"/>
          </w:tcPr>
          <w:p w14:paraId="47C59E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1.交货期：</w:t>
            </w:r>
            <w:r>
              <w:rPr>
                <w:rFonts w:hint="eastAsia" w:ascii="宋体" w:hAnsi="宋体" w:eastAsia="宋体" w:cs="宋体"/>
                <w:bCs/>
                <w:color w:val="auto"/>
                <w:sz w:val="24"/>
                <w:szCs w:val="24"/>
                <w:highlight w:val="none"/>
                <w:lang w:eastAsia="zh-CN"/>
              </w:rPr>
              <w:t>接到采购人通知起10日内交货</w:t>
            </w:r>
            <w:r>
              <w:rPr>
                <w:rFonts w:hint="eastAsia" w:ascii="宋体" w:hAnsi="宋体" w:eastAsia="宋体" w:cs="宋体"/>
                <w:bCs/>
                <w:color w:val="auto"/>
                <w:sz w:val="24"/>
                <w:szCs w:val="24"/>
                <w:highlight w:val="none"/>
              </w:rPr>
              <w:t>。</w:t>
            </w:r>
          </w:p>
          <w:p w14:paraId="134FB5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交货方式：现场验收。</w:t>
            </w:r>
          </w:p>
          <w:p w14:paraId="71801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交货地点：采购人指定。</w:t>
            </w:r>
          </w:p>
          <w:p w14:paraId="7EB35D38">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lang w:eastAsia="zh-CN"/>
              </w:rPr>
              <w:t>甲方收货后，随机抽取样品，委托有资质的第三方进行质量检测，质量以第三方检测报告为准。检测费用由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lang w:eastAsia="zh-CN"/>
              </w:rPr>
              <w:t>方支付。</w:t>
            </w:r>
          </w:p>
        </w:tc>
      </w:tr>
      <w:tr w14:paraId="7EB9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79" w:type="dxa"/>
            <w:vAlign w:val="center"/>
          </w:tcPr>
          <w:p w14:paraId="5DE735E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8561" w:type="dxa"/>
            <w:vAlign w:val="center"/>
          </w:tcPr>
          <w:p w14:paraId="0F01D597">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★付款方式：</w:t>
            </w:r>
            <w:r>
              <w:rPr>
                <w:rFonts w:hint="eastAsia" w:ascii="宋体" w:hAnsi="宋体" w:eastAsia="宋体" w:cs="宋体"/>
                <w:color w:val="000000"/>
                <w:sz w:val="24"/>
                <w:szCs w:val="24"/>
                <w:u w:val="none"/>
                <w:lang w:eastAsia="zh-CN"/>
              </w:rPr>
              <w:t>货到验收合格后，中标单位提供相应发票，</w:t>
            </w:r>
            <w:r>
              <w:rPr>
                <w:rFonts w:hint="eastAsia" w:ascii="宋体" w:hAnsi="宋体" w:eastAsia="宋体" w:cs="宋体"/>
                <w:color w:val="000000"/>
                <w:sz w:val="24"/>
                <w:szCs w:val="24"/>
                <w:u w:val="none"/>
                <w:lang w:val="en-US" w:eastAsia="zh-CN"/>
              </w:rPr>
              <w:t>待财政资金到账后</w:t>
            </w:r>
            <w:r>
              <w:rPr>
                <w:rFonts w:hint="eastAsia" w:ascii="宋体" w:hAnsi="宋体" w:eastAsia="宋体" w:cs="宋体"/>
                <w:color w:val="000000"/>
                <w:sz w:val="24"/>
                <w:szCs w:val="24"/>
                <w:u w:val="none"/>
                <w:lang w:eastAsia="zh-CN"/>
              </w:rPr>
              <w:t>甲方一次性付清款项。</w:t>
            </w:r>
          </w:p>
        </w:tc>
      </w:tr>
      <w:tr w14:paraId="2A4E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79" w:type="dxa"/>
            <w:vAlign w:val="center"/>
          </w:tcPr>
          <w:p w14:paraId="7650F2F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10.3</w:t>
            </w:r>
          </w:p>
        </w:tc>
        <w:tc>
          <w:tcPr>
            <w:tcW w:w="8561" w:type="dxa"/>
            <w:vAlign w:val="center"/>
          </w:tcPr>
          <w:p w14:paraId="024587F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测试要求：依据技术要求中的条款进行验收测试。</w:t>
            </w:r>
          </w:p>
        </w:tc>
      </w:tr>
      <w:tr w14:paraId="36D5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9" w:type="dxa"/>
            <w:tcBorders>
              <w:bottom w:val="single" w:color="auto" w:sz="4" w:space="0"/>
            </w:tcBorders>
            <w:vAlign w:val="center"/>
          </w:tcPr>
          <w:p w14:paraId="0CAEB8D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8561" w:type="dxa"/>
            <w:tcBorders>
              <w:bottom w:val="single" w:color="auto" w:sz="4" w:space="0"/>
            </w:tcBorders>
            <w:vAlign w:val="center"/>
          </w:tcPr>
          <w:p w14:paraId="43CD392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违约责任：具体违约条款及其它未尽事宜，将在双方签订合同时议定。</w:t>
            </w:r>
          </w:p>
        </w:tc>
      </w:tr>
    </w:tbl>
    <w:p w14:paraId="7D3FB8FC">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注：招标文件中标注★号的部分为实质性要求和条件，投标人必须作出满足或者优于原要求和条件的响应，否则投标无效。</w:t>
      </w:r>
    </w:p>
    <w:p w14:paraId="49132EAD">
      <w:pPr>
        <w:keepNext/>
        <w:keepLines/>
        <w:adjustRightInd w:val="0"/>
        <w:spacing w:line="360" w:lineRule="auto"/>
        <w:jc w:val="center"/>
        <w:textAlignment w:val="baseline"/>
        <w:outlineLvl w:val="0"/>
        <w:rPr>
          <w:rFonts w:hint="eastAsia" w:ascii="宋体" w:hAnsi="宋体" w:eastAsia="宋体" w:cs="宋体"/>
          <w:b/>
          <w:bCs/>
          <w:color w:val="000000"/>
          <w:kern w:val="44"/>
          <w:sz w:val="36"/>
          <w:szCs w:val="20"/>
        </w:rPr>
      </w:pPr>
      <w:r>
        <w:rPr>
          <w:rFonts w:hint="eastAsia" w:ascii="宋体" w:hAnsi="宋体" w:eastAsia="宋体" w:cs="宋体"/>
          <w:bCs/>
          <w:color w:val="000000"/>
          <w:kern w:val="44"/>
          <w:sz w:val="36"/>
          <w:szCs w:val="20"/>
        </w:rPr>
        <w:br w:type="page"/>
      </w:r>
      <w:bookmarkEnd w:id="19"/>
      <w:bookmarkEnd w:id="20"/>
      <w:bookmarkStart w:id="22" w:name="_Toc513622230"/>
      <w:bookmarkStart w:id="23" w:name="_Toc16577"/>
      <w:r>
        <w:rPr>
          <w:rFonts w:hint="eastAsia" w:ascii="宋体" w:hAnsi="宋体" w:eastAsia="宋体" w:cs="宋体"/>
          <w:b/>
          <w:bCs/>
          <w:color w:val="000000"/>
          <w:kern w:val="44"/>
          <w:sz w:val="36"/>
          <w:szCs w:val="20"/>
        </w:rPr>
        <w:t>第六章  项目需求</w:t>
      </w:r>
      <w:bookmarkEnd w:id="22"/>
      <w:bookmarkEnd w:id="23"/>
    </w:p>
    <w:p w14:paraId="02A61A77">
      <w:pPr>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说明：本项目属性为</w:t>
      </w:r>
      <w:r>
        <w:rPr>
          <w:rFonts w:hint="eastAsia" w:ascii="宋体" w:hAnsi="宋体" w:eastAsia="宋体" w:cs="宋体"/>
          <w:b/>
          <w:bCs/>
          <w:color w:val="000000"/>
          <w:sz w:val="24"/>
          <w:szCs w:val="24"/>
          <w:u w:val="single"/>
        </w:rPr>
        <w:t>货物</w:t>
      </w:r>
      <w:r>
        <w:rPr>
          <w:rFonts w:hint="eastAsia" w:ascii="宋体" w:hAnsi="宋体" w:eastAsia="宋体" w:cs="宋体"/>
          <w:b/>
          <w:bCs/>
          <w:color w:val="000000"/>
          <w:sz w:val="24"/>
          <w:szCs w:val="24"/>
        </w:rPr>
        <w:t>，</w:t>
      </w:r>
      <w:r>
        <w:rPr>
          <w:rFonts w:hint="eastAsia" w:ascii="宋体" w:hAnsi="宋体" w:eastAsia="宋体" w:cs="宋体"/>
          <w:b/>
          <w:sz w:val="24"/>
          <w:szCs w:val="21"/>
        </w:rPr>
        <w:t>采购标的对应的中小企业划分标准所属行业为</w:t>
      </w:r>
      <w:r>
        <w:rPr>
          <w:rFonts w:hint="eastAsia" w:ascii="宋体" w:hAnsi="宋体" w:eastAsia="宋体" w:cs="宋体"/>
          <w:b/>
          <w:sz w:val="24"/>
          <w:szCs w:val="21"/>
          <w:u w:val="single"/>
          <w:lang w:val="en-US" w:eastAsia="zh-CN"/>
        </w:rPr>
        <w:t>工业（制造业</w:t>
      </w:r>
      <w:r>
        <w:rPr>
          <w:rFonts w:hint="eastAsia" w:ascii="宋体" w:hAnsi="宋体" w:eastAsia="宋体" w:cs="宋体"/>
          <w:b/>
          <w:sz w:val="24"/>
          <w:szCs w:val="21"/>
          <w:u w:val="single"/>
          <w:lang w:eastAsia="zh-CN"/>
        </w:rPr>
        <w:t>）</w:t>
      </w:r>
      <w:r>
        <w:rPr>
          <w:rFonts w:hint="eastAsia" w:ascii="宋体" w:hAnsi="宋体" w:eastAsia="宋体" w:cs="宋体"/>
          <w:b/>
          <w:sz w:val="24"/>
          <w:szCs w:val="21"/>
        </w:rPr>
        <w:t>。</w:t>
      </w:r>
    </w:p>
    <w:p w14:paraId="1AB1B713">
      <w:pPr>
        <w:autoSpaceDE w:val="0"/>
        <w:autoSpaceDN w:val="0"/>
        <w:adjustRightInd w:val="0"/>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bCs/>
          <w:color w:val="000000"/>
          <w:sz w:val="24"/>
          <w:szCs w:val="24"/>
        </w:rPr>
        <w:t>本项目需求中标注★号的部分为实质性要求和条件，投标人必须作出满足或者优于原要求和条件的响应，否则投标无效。</w:t>
      </w:r>
    </w:p>
    <w:p w14:paraId="139E4BB1">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b/>
          <w:bCs/>
          <w:color w:val="auto"/>
          <w:sz w:val="24"/>
          <w:szCs w:val="24"/>
          <w:highlight w:val="none"/>
          <w:lang w:val="en-US" w:eastAsia="zh-CN"/>
        </w:rPr>
        <w:t>2、采购内容</w:t>
      </w:r>
    </w:p>
    <w:tbl>
      <w:tblPr>
        <w:tblStyle w:val="12"/>
        <w:tblW w:w="10478" w:type="dxa"/>
        <w:jc w:val="center"/>
        <w:tblLayout w:type="fixed"/>
        <w:tblCellMar>
          <w:top w:w="21" w:type="dxa"/>
          <w:left w:w="0" w:type="dxa"/>
          <w:bottom w:w="0" w:type="dxa"/>
          <w:right w:w="2" w:type="dxa"/>
        </w:tblCellMar>
      </w:tblPr>
      <w:tblGrid>
        <w:gridCol w:w="803"/>
        <w:gridCol w:w="5134"/>
        <w:gridCol w:w="810"/>
        <w:gridCol w:w="1110"/>
        <w:gridCol w:w="1065"/>
        <w:gridCol w:w="1556"/>
      </w:tblGrid>
      <w:tr w14:paraId="7AA45AE2">
        <w:tblPrEx>
          <w:tblCellMar>
            <w:top w:w="21" w:type="dxa"/>
            <w:left w:w="0" w:type="dxa"/>
            <w:bottom w:w="0" w:type="dxa"/>
            <w:right w:w="2" w:type="dxa"/>
          </w:tblCellMar>
        </w:tblPrEx>
        <w:trPr>
          <w:trHeight w:val="908" w:hRule="exact"/>
          <w:jc w:val="center"/>
        </w:trPr>
        <w:tc>
          <w:tcPr>
            <w:tcW w:w="803" w:type="dxa"/>
            <w:tcBorders>
              <w:top w:val="single" w:color="000000" w:sz="2" w:space="0"/>
              <w:left w:val="single" w:color="000000" w:sz="2" w:space="0"/>
              <w:bottom w:val="single" w:color="000000" w:sz="2" w:space="0"/>
              <w:right w:val="single" w:color="000000" w:sz="2" w:space="0"/>
            </w:tcBorders>
            <w:vAlign w:val="center"/>
          </w:tcPr>
          <w:p w14:paraId="3C0B43D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标段</w:t>
            </w:r>
          </w:p>
        </w:tc>
        <w:tc>
          <w:tcPr>
            <w:tcW w:w="5134" w:type="dxa"/>
            <w:tcBorders>
              <w:top w:val="single" w:color="000000" w:sz="2" w:space="0"/>
              <w:left w:val="single" w:color="000000" w:sz="2" w:space="0"/>
              <w:bottom w:val="single" w:color="000000" w:sz="2" w:space="0"/>
              <w:right w:val="single" w:color="000000" w:sz="2" w:space="0"/>
            </w:tcBorders>
            <w:vAlign w:val="center"/>
          </w:tcPr>
          <w:p w14:paraId="165CBD4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货物名称及规格、参数</w:t>
            </w:r>
          </w:p>
        </w:tc>
        <w:tc>
          <w:tcPr>
            <w:tcW w:w="810" w:type="dxa"/>
            <w:tcBorders>
              <w:top w:val="single" w:color="000000" w:sz="2" w:space="0"/>
              <w:left w:val="single" w:color="000000" w:sz="2" w:space="0"/>
              <w:bottom w:val="single" w:color="000000" w:sz="2" w:space="0"/>
              <w:right w:val="single" w:color="000000" w:sz="2" w:space="0"/>
            </w:tcBorders>
            <w:vAlign w:val="center"/>
          </w:tcPr>
          <w:p w14:paraId="2E98CB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p w14:paraId="330B6E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（吨）</w:t>
            </w:r>
          </w:p>
        </w:tc>
        <w:tc>
          <w:tcPr>
            <w:tcW w:w="1110" w:type="dxa"/>
            <w:tcBorders>
              <w:top w:val="single" w:color="000000" w:sz="2" w:space="0"/>
              <w:left w:val="single" w:color="000000" w:sz="2" w:space="0"/>
              <w:bottom w:val="single" w:color="000000" w:sz="2" w:space="0"/>
              <w:right w:val="single" w:color="000000" w:sz="2" w:space="0"/>
            </w:tcBorders>
            <w:vAlign w:val="center"/>
          </w:tcPr>
          <w:p w14:paraId="3FC76C0E">
            <w:pPr>
              <w:spacing w:after="0"/>
              <w:ind w:right="28"/>
              <w:jc w:val="center"/>
              <w:rPr>
                <w:rFonts w:ascii="Calibri" w:hAnsi="Calibri" w:eastAsia="宋体" w:cs="Times New Roman"/>
                <w:b/>
                <w:bCs/>
                <w:kern w:val="0"/>
                <w:szCs w:val="20"/>
                <w:highlight w:val="none"/>
              </w:rPr>
            </w:pPr>
            <w:r>
              <w:rPr>
                <w:rFonts w:ascii="Calibri" w:hAnsi="Calibri" w:eastAsia="宋体" w:cs="Times New Roman"/>
                <w:b/>
                <w:bCs/>
                <w:kern w:val="0"/>
                <w:szCs w:val="20"/>
                <w:highlight w:val="none"/>
              </w:rPr>
              <w:t>单价</w:t>
            </w:r>
          </w:p>
          <w:p w14:paraId="319CA83C">
            <w:pPr>
              <w:spacing w:after="0"/>
              <w:ind w:right="28" w:rightChars="0"/>
              <w:jc w:val="center"/>
              <w:rPr>
                <w:rFonts w:hint="default" w:ascii="宋体" w:hAnsi="宋体" w:eastAsia="宋体" w:cs="宋体"/>
                <w:b/>
                <w:bCs/>
                <w:i w:val="0"/>
                <w:iCs w:val="0"/>
                <w:color w:val="000000"/>
                <w:kern w:val="0"/>
                <w:sz w:val="24"/>
                <w:szCs w:val="24"/>
                <w:highlight w:val="none"/>
                <w:u w:val="none"/>
                <w:lang w:val="en-US" w:eastAsia="zh-CN" w:bidi="ar"/>
              </w:rPr>
            </w:pPr>
            <w:r>
              <w:rPr>
                <w:rFonts w:ascii="Calibri" w:hAnsi="Calibri" w:eastAsia="宋体" w:cs="Times New Roman"/>
                <w:b/>
                <w:bCs/>
                <w:kern w:val="0"/>
                <w:szCs w:val="20"/>
                <w:highlight w:val="none"/>
              </w:rPr>
              <w:t>（</w:t>
            </w:r>
            <w:r>
              <w:rPr>
                <w:rFonts w:hint="eastAsia" w:ascii="Calibri" w:hAnsi="Calibri" w:eastAsia="宋体" w:cs="Times New Roman"/>
                <w:b/>
                <w:bCs/>
                <w:kern w:val="0"/>
                <w:szCs w:val="20"/>
                <w:highlight w:val="none"/>
                <w:lang w:eastAsia="zh-CN"/>
              </w:rPr>
              <w:t>万</w:t>
            </w:r>
            <w:r>
              <w:rPr>
                <w:rFonts w:ascii="Calibri" w:hAnsi="Calibri" w:eastAsia="宋体" w:cs="Times New Roman"/>
                <w:b/>
                <w:bCs/>
                <w:kern w:val="0"/>
                <w:szCs w:val="20"/>
                <w:highlight w:val="none"/>
              </w:rPr>
              <w:t>元</w:t>
            </w:r>
            <w:r>
              <w:rPr>
                <w:rFonts w:hint="eastAsia" w:ascii="Calibri" w:hAnsi="Calibri" w:eastAsia="宋体" w:cs="Times New Roman"/>
                <w:b/>
                <w:bCs/>
                <w:kern w:val="0"/>
                <w:szCs w:val="20"/>
                <w:highlight w:val="none"/>
                <w:lang w:val="en-US" w:eastAsia="zh-CN"/>
              </w:rPr>
              <w:t>/吨</w:t>
            </w:r>
            <w:r>
              <w:rPr>
                <w:rFonts w:ascii="Calibri" w:hAnsi="Calibri" w:eastAsia="宋体" w:cs="Times New Roman"/>
                <w:b/>
                <w:bCs/>
                <w:kern w:val="0"/>
                <w:szCs w:val="20"/>
                <w:highlight w:val="none"/>
              </w:rPr>
              <w:t>）</w:t>
            </w:r>
          </w:p>
        </w:tc>
        <w:tc>
          <w:tcPr>
            <w:tcW w:w="1065" w:type="dxa"/>
            <w:tcBorders>
              <w:top w:val="single" w:color="000000" w:sz="2" w:space="0"/>
              <w:left w:val="single" w:color="000000" w:sz="2" w:space="0"/>
              <w:bottom w:val="single" w:color="000000" w:sz="2" w:space="0"/>
              <w:right w:val="single" w:color="000000" w:sz="2" w:space="0"/>
            </w:tcBorders>
            <w:vAlign w:val="center"/>
          </w:tcPr>
          <w:p w14:paraId="0F0E98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合计</w:t>
            </w:r>
          </w:p>
          <w:p w14:paraId="1677C45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（万元）</w:t>
            </w:r>
          </w:p>
        </w:tc>
        <w:tc>
          <w:tcPr>
            <w:tcW w:w="1556" w:type="dxa"/>
            <w:tcBorders>
              <w:top w:val="single" w:color="000000" w:sz="2" w:space="0"/>
              <w:left w:val="single" w:color="000000" w:sz="2" w:space="0"/>
              <w:bottom w:val="single" w:color="000000" w:sz="2" w:space="0"/>
              <w:right w:val="single" w:color="000000" w:sz="2" w:space="0"/>
            </w:tcBorders>
            <w:vAlign w:val="center"/>
          </w:tcPr>
          <w:p w14:paraId="7A82BC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9F33A83">
        <w:tblPrEx>
          <w:tblCellMar>
            <w:top w:w="21" w:type="dxa"/>
            <w:left w:w="0" w:type="dxa"/>
            <w:bottom w:w="0" w:type="dxa"/>
            <w:right w:w="2" w:type="dxa"/>
          </w:tblCellMar>
        </w:tblPrEx>
        <w:trPr>
          <w:trHeight w:val="1273" w:hRule="exact"/>
          <w:jc w:val="center"/>
        </w:trPr>
        <w:tc>
          <w:tcPr>
            <w:tcW w:w="803" w:type="dxa"/>
            <w:tcBorders>
              <w:top w:val="single" w:color="000000" w:sz="2" w:space="0"/>
              <w:left w:val="single" w:color="000000" w:sz="2" w:space="0"/>
              <w:bottom w:val="single" w:color="auto" w:sz="4" w:space="0"/>
              <w:right w:val="single" w:color="000000" w:sz="2" w:space="0"/>
            </w:tcBorders>
            <w:vAlign w:val="center"/>
          </w:tcPr>
          <w:p w14:paraId="1107EFCF">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p>
        </w:tc>
        <w:tc>
          <w:tcPr>
            <w:tcW w:w="5134" w:type="dxa"/>
            <w:tcBorders>
              <w:top w:val="single" w:color="000000" w:sz="2" w:space="0"/>
              <w:left w:val="single" w:color="000000" w:sz="2" w:space="0"/>
              <w:bottom w:val="single" w:color="auto" w:sz="4" w:space="0"/>
              <w:right w:val="single" w:color="000000" w:sz="2" w:space="0"/>
            </w:tcBorders>
            <w:vAlign w:val="center"/>
          </w:tcPr>
          <w:p w14:paraId="0ACFF57C">
            <w:pPr>
              <w:spacing w:line="360" w:lineRule="auto"/>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大量元素水溶肥料（含磷酸二氢钾）。P</w:t>
            </w:r>
            <w:r>
              <w:rPr>
                <w:rFonts w:hint="eastAsia" w:ascii="宋体" w:hAnsi="宋体" w:eastAsia="宋体" w:cs="宋体"/>
                <w:color w:val="auto"/>
                <w:sz w:val="21"/>
                <w:szCs w:val="21"/>
                <w:highlight w:val="none"/>
                <w:lang w:val="en-US" w:eastAsia="zh-CN"/>
              </w:rPr>
              <w:t>₂O₅+K₂O≥550g/L，Zn：2-30g/L；水剂，100g/袋或1000g/瓶</w:t>
            </w:r>
          </w:p>
        </w:tc>
        <w:tc>
          <w:tcPr>
            <w:tcW w:w="810" w:type="dxa"/>
            <w:tcBorders>
              <w:top w:val="single" w:color="000000" w:sz="2" w:space="0"/>
              <w:left w:val="single" w:color="000000" w:sz="2" w:space="0"/>
              <w:bottom w:val="single" w:color="000000" w:sz="2" w:space="0"/>
              <w:right w:val="single" w:color="000000" w:sz="2" w:space="0"/>
            </w:tcBorders>
            <w:vAlign w:val="center"/>
          </w:tcPr>
          <w:p w14:paraId="133AB990">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1110" w:type="dxa"/>
            <w:tcBorders>
              <w:top w:val="single" w:color="000000" w:sz="2" w:space="0"/>
              <w:left w:val="single" w:color="000000" w:sz="2" w:space="0"/>
              <w:bottom w:val="single" w:color="000000" w:sz="2" w:space="0"/>
              <w:right w:val="single" w:color="000000" w:sz="2" w:space="0"/>
            </w:tcBorders>
            <w:vAlign w:val="center"/>
          </w:tcPr>
          <w:p w14:paraId="3E792B56">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65" w:type="dxa"/>
            <w:tcBorders>
              <w:top w:val="single" w:color="000000" w:sz="2" w:space="0"/>
              <w:left w:val="single" w:color="000000" w:sz="2" w:space="0"/>
              <w:bottom w:val="single" w:color="000000" w:sz="2" w:space="0"/>
              <w:right w:val="single" w:color="000000" w:sz="2" w:space="0"/>
            </w:tcBorders>
            <w:vAlign w:val="center"/>
          </w:tcPr>
          <w:p w14:paraId="0473C9E3">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104.00 </w:t>
            </w:r>
          </w:p>
        </w:tc>
        <w:tc>
          <w:tcPr>
            <w:tcW w:w="1556" w:type="dxa"/>
            <w:tcBorders>
              <w:top w:val="single" w:color="000000" w:sz="2" w:space="0"/>
              <w:left w:val="single" w:color="000000" w:sz="2" w:space="0"/>
              <w:bottom w:val="single" w:color="000000" w:sz="2" w:space="0"/>
              <w:right w:val="single" w:color="000000" w:sz="2" w:space="0"/>
            </w:tcBorders>
            <w:vAlign w:val="center"/>
          </w:tcPr>
          <w:p w14:paraId="41941B4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4C5F9ACB">
        <w:tblPrEx>
          <w:tblCellMar>
            <w:top w:w="21" w:type="dxa"/>
            <w:left w:w="0" w:type="dxa"/>
            <w:bottom w:w="0" w:type="dxa"/>
            <w:right w:w="2" w:type="dxa"/>
          </w:tblCellMar>
        </w:tblPrEx>
        <w:trPr>
          <w:trHeight w:val="1077" w:hRule="exact"/>
          <w:jc w:val="center"/>
        </w:trPr>
        <w:tc>
          <w:tcPr>
            <w:tcW w:w="803" w:type="dxa"/>
            <w:tcBorders>
              <w:top w:val="single" w:color="auto" w:sz="4" w:space="0"/>
              <w:left w:val="single" w:color="000000" w:sz="2" w:space="0"/>
              <w:bottom w:val="single" w:color="000000" w:sz="2" w:space="0"/>
              <w:right w:val="single" w:color="000000" w:sz="2" w:space="0"/>
            </w:tcBorders>
            <w:vAlign w:val="center"/>
          </w:tcPr>
          <w:p w14:paraId="381AC580">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p>
        </w:tc>
        <w:tc>
          <w:tcPr>
            <w:tcW w:w="5134" w:type="dxa"/>
            <w:tcBorders>
              <w:top w:val="single" w:color="auto" w:sz="4" w:space="0"/>
              <w:left w:val="single" w:color="000000" w:sz="2" w:space="0"/>
              <w:bottom w:val="single" w:color="000000" w:sz="2" w:space="0"/>
              <w:right w:val="single" w:color="000000" w:sz="2" w:space="0"/>
            </w:tcBorders>
            <w:vAlign w:val="center"/>
          </w:tcPr>
          <w:p w14:paraId="7F95F1D0">
            <w:pPr>
              <w:spacing w:line="360" w:lineRule="auto"/>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含氨基酸水溶肥料。氨基酸≥100g/L，Cu+Fe+Mn+Zn+B+Mo≥30g/L；水剂，100g/袋或1000g/瓶</w:t>
            </w:r>
          </w:p>
        </w:tc>
        <w:tc>
          <w:tcPr>
            <w:tcW w:w="810" w:type="dxa"/>
            <w:tcBorders>
              <w:top w:val="single" w:color="000000" w:sz="2" w:space="0"/>
              <w:left w:val="single" w:color="000000" w:sz="2" w:space="0"/>
              <w:bottom w:val="single" w:color="000000" w:sz="2" w:space="0"/>
              <w:right w:val="single" w:color="000000" w:sz="2" w:space="0"/>
            </w:tcBorders>
            <w:vAlign w:val="center"/>
          </w:tcPr>
          <w:p w14:paraId="6BB2F90A">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51.48</w:t>
            </w:r>
          </w:p>
        </w:tc>
        <w:tc>
          <w:tcPr>
            <w:tcW w:w="1110" w:type="dxa"/>
            <w:tcBorders>
              <w:top w:val="single" w:color="000000" w:sz="2" w:space="0"/>
              <w:left w:val="single" w:color="000000" w:sz="2" w:space="0"/>
              <w:bottom w:val="single" w:color="000000" w:sz="2" w:space="0"/>
              <w:right w:val="single" w:color="000000" w:sz="2" w:space="0"/>
            </w:tcBorders>
            <w:vAlign w:val="center"/>
          </w:tcPr>
          <w:p w14:paraId="1F20802A">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065" w:type="dxa"/>
            <w:tcBorders>
              <w:top w:val="single" w:color="000000" w:sz="2" w:space="0"/>
              <w:left w:val="single" w:color="000000" w:sz="2" w:space="0"/>
              <w:bottom w:val="single" w:color="000000" w:sz="2" w:space="0"/>
              <w:right w:val="single" w:color="000000" w:sz="2" w:space="0"/>
            </w:tcBorders>
            <w:vAlign w:val="center"/>
          </w:tcPr>
          <w:p w14:paraId="2B56F9A2">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128.70 </w:t>
            </w:r>
          </w:p>
        </w:tc>
        <w:tc>
          <w:tcPr>
            <w:tcW w:w="1556" w:type="dxa"/>
            <w:tcBorders>
              <w:top w:val="single" w:color="000000" w:sz="2" w:space="0"/>
              <w:left w:val="single" w:color="000000" w:sz="2" w:space="0"/>
              <w:bottom w:val="single" w:color="000000" w:sz="2" w:space="0"/>
              <w:right w:val="single" w:color="000000" w:sz="2" w:space="0"/>
            </w:tcBorders>
            <w:vAlign w:val="center"/>
          </w:tcPr>
          <w:p w14:paraId="15ABBF0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4E8EF1FD">
        <w:tblPrEx>
          <w:tblCellMar>
            <w:top w:w="21" w:type="dxa"/>
            <w:left w:w="0" w:type="dxa"/>
            <w:bottom w:w="0" w:type="dxa"/>
            <w:right w:w="2" w:type="dxa"/>
          </w:tblCellMar>
        </w:tblPrEx>
        <w:trPr>
          <w:trHeight w:val="1294" w:hRule="exact"/>
          <w:jc w:val="center"/>
        </w:trPr>
        <w:tc>
          <w:tcPr>
            <w:tcW w:w="803" w:type="dxa"/>
            <w:tcBorders>
              <w:top w:val="single" w:color="000000" w:sz="2" w:space="0"/>
              <w:left w:val="single" w:color="000000" w:sz="2" w:space="0"/>
              <w:bottom w:val="single" w:color="auto" w:sz="4" w:space="0"/>
              <w:right w:val="single" w:color="000000" w:sz="2" w:space="0"/>
            </w:tcBorders>
            <w:vAlign w:val="center"/>
          </w:tcPr>
          <w:p w14:paraId="0044FD9B">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p>
        </w:tc>
        <w:tc>
          <w:tcPr>
            <w:tcW w:w="5134" w:type="dxa"/>
            <w:tcBorders>
              <w:top w:val="single" w:color="000000" w:sz="2" w:space="0"/>
              <w:left w:val="single" w:color="000000" w:sz="2" w:space="0"/>
              <w:bottom w:val="single" w:color="auto" w:sz="4" w:space="0"/>
              <w:right w:val="single" w:color="000000" w:sz="2" w:space="0"/>
            </w:tcBorders>
            <w:vAlign w:val="center"/>
          </w:tcPr>
          <w:p w14:paraId="3D6B117B">
            <w:pPr>
              <w:spacing w:line="360" w:lineRule="auto"/>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含氨基酸水溶肥料。氨基酸≥100g/L，Mg≥30g/L，Cu+Fe+Mn+Zn+B≥3g/L，水剂 ，100g/袋或1000g/瓶</w:t>
            </w:r>
          </w:p>
        </w:tc>
        <w:tc>
          <w:tcPr>
            <w:tcW w:w="810" w:type="dxa"/>
            <w:tcBorders>
              <w:top w:val="single" w:color="000000" w:sz="2" w:space="0"/>
              <w:left w:val="single" w:color="000000" w:sz="2" w:space="0"/>
              <w:bottom w:val="single" w:color="000000" w:sz="2" w:space="0"/>
              <w:right w:val="single" w:color="000000" w:sz="2" w:space="0"/>
            </w:tcBorders>
            <w:vAlign w:val="center"/>
          </w:tcPr>
          <w:p w14:paraId="57D20001">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51.48</w:t>
            </w:r>
          </w:p>
        </w:tc>
        <w:tc>
          <w:tcPr>
            <w:tcW w:w="1110" w:type="dxa"/>
            <w:tcBorders>
              <w:top w:val="single" w:color="000000" w:sz="2" w:space="0"/>
              <w:left w:val="single" w:color="000000" w:sz="2" w:space="0"/>
              <w:bottom w:val="single" w:color="000000" w:sz="2" w:space="0"/>
              <w:right w:val="single" w:color="000000" w:sz="2" w:space="0"/>
            </w:tcBorders>
            <w:vAlign w:val="center"/>
          </w:tcPr>
          <w:p w14:paraId="5AE75D28">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065" w:type="dxa"/>
            <w:tcBorders>
              <w:top w:val="single" w:color="000000" w:sz="2" w:space="0"/>
              <w:left w:val="single" w:color="000000" w:sz="2" w:space="0"/>
              <w:bottom w:val="single" w:color="000000" w:sz="2" w:space="0"/>
              <w:right w:val="single" w:color="000000" w:sz="2" w:space="0"/>
            </w:tcBorders>
            <w:vAlign w:val="center"/>
          </w:tcPr>
          <w:p w14:paraId="5CE01C6D">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128.70 </w:t>
            </w:r>
          </w:p>
        </w:tc>
        <w:tc>
          <w:tcPr>
            <w:tcW w:w="1556" w:type="dxa"/>
            <w:tcBorders>
              <w:top w:val="single" w:color="000000" w:sz="2" w:space="0"/>
              <w:left w:val="single" w:color="000000" w:sz="2" w:space="0"/>
              <w:bottom w:val="single" w:color="000000" w:sz="2" w:space="0"/>
              <w:right w:val="single" w:color="000000" w:sz="2" w:space="0"/>
            </w:tcBorders>
            <w:vAlign w:val="center"/>
          </w:tcPr>
          <w:p w14:paraId="37129E1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2F943AB8">
        <w:tblPrEx>
          <w:tblCellMar>
            <w:top w:w="21" w:type="dxa"/>
            <w:left w:w="0" w:type="dxa"/>
            <w:bottom w:w="0" w:type="dxa"/>
            <w:right w:w="2" w:type="dxa"/>
          </w:tblCellMar>
        </w:tblPrEx>
        <w:trPr>
          <w:trHeight w:val="1209" w:hRule="exact"/>
          <w:jc w:val="center"/>
        </w:trPr>
        <w:tc>
          <w:tcPr>
            <w:tcW w:w="803" w:type="dxa"/>
            <w:tcBorders>
              <w:top w:val="single" w:color="auto" w:sz="4" w:space="0"/>
              <w:left w:val="single" w:color="000000" w:sz="2" w:space="0"/>
              <w:bottom w:val="single" w:color="auto" w:sz="4" w:space="0"/>
              <w:right w:val="single" w:color="000000" w:sz="2" w:space="0"/>
            </w:tcBorders>
            <w:vAlign w:val="center"/>
          </w:tcPr>
          <w:p w14:paraId="4140E437">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p>
        </w:tc>
        <w:tc>
          <w:tcPr>
            <w:tcW w:w="5134" w:type="dxa"/>
            <w:tcBorders>
              <w:top w:val="single" w:color="auto" w:sz="4" w:space="0"/>
              <w:left w:val="single" w:color="000000" w:sz="2" w:space="0"/>
              <w:bottom w:val="single" w:color="auto" w:sz="4" w:space="0"/>
              <w:right w:val="single" w:color="000000" w:sz="2" w:space="0"/>
            </w:tcBorders>
            <w:shd w:val="clear" w:color="auto" w:fill="auto"/>
            <w:vAlign w:val="center"/>
          </w:tcPr>
          <w:p w14:paraId="2AE2F221">
            <w:pPr>
              <w:spacing w:line="360" w:lineRule="auto"/>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含氨基酸水溶肥料。氨基酸≥20%，Cu+Fe+Mn+Zn+B≥2.0%；粉剂，100g/袋或500g/袋</w:t>
            </w:r>
          </w:p>
        </w:tc>
        <w:tc>
          <w:tcPr>
            <w:tcW w:w="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6A8933">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51.48</w:t>
            </w: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DB9382">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07D3E1">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128.70 </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E82B6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2CA4996B">
        <w:tblPrEx>
          <w:tblCellMar>
            <w:top w:w="21" w:type="dxa"/>
            <w:left w:w="0" w:type="dxa"/>
            <w:bottom w:w="0" w:type="dxa"/>
            <w:right w:w="2" w:type="dxa"/>
          </w:tblCellMar>
        </w:tblPrEx>
        <w:trPr>
          <w:trHeight w:val="938" w:hRule="exact"/>
          <w:jc w:val="center"/>
        </w:trPr>
        <w:tc>
          <w:tcPr>
            <w:tcW w:w="803" w:type="dxa"/>
            <w:tcBorders>
              <w:top w:val="single" w:color="auto" w:sz="4" w:space="0"/>
              <w:left w:val="single" w:color="000000" w:sz="2" w:space="0"/>
              <w:bottom w:val="single" w:color="auto" w:sz="4" w:space="0"/>
              <w:right w:val="single" w:color="000000" w:sz="2" w:space="0"/>
            </w:tcBorders>
            <w:vAlign w:val="center"/>
          </w:tcPr>
          <w:p w14:paraId="0013735F">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p>
        </w:tc>
        <w:tc>
          <w:tcPr>
            <w:tcW w:w="5134" w:type="dxa"/>
            <w:tcBorders>
              <w:top w:val="single" w:color="auto" w:sz="4" w:space="0"/>
              <w:left w:val="single" w:color="000000" w:sz="2" w:space="0"/>
              <w:bottom w:val="single" w:color="auto" w:sz="4" w:space="0"/>
              <w:right w:val="single" w:color="000000" w:sz="2" w:space="0"/>
            </w:tcBorders>
            <w:vAlign w:val="center"/>
          </w:tcPr>
          <w:p w14:paraId="54001586">
            <w:pPr>
              <w:spacing w:line="360" w:lineRule="auto"/>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含腐殖酸水溶肥料。腐殖酸≥40g/L，N+K</w:t>
            </w:r>
            <w:r>
              <w:rPr>
                <w:rFonts w:hint="eastAsia" w:ascii="宋体" w:hAnsi="宋体" w:eastAsia="宋体" w:cs="宋体"/>
                <w:color w:val="auto"/>
                <w:sz w:val="21"/>
                <w:szCs w:val="21"/>
                <w:highlight w:val="none"/>
                <w:lang w:val="en-US" w:eastAsia="zh-CN"/>
              </w:rPr>
              <w:t>₂O≥250g/L，水剂，</w:t>
            </w:r>
            <w:r>
              <w:rPr>
                <w:rFonts w:hint="eastAsia" w:ascii="宋体" w:hAnsi="宋体" w:eastAsia="宋体" w:cs="宋体"/>
                <w:i w:val="0"/>
                <w:iCs w:val="0"/>
                <w:color w:val="000000"/>
                <w:kern w:val="0"/>
                <w:sz w:val="21"/>
                <w:szCs w:val="21"/>
                <w:u w:val="none"/>
                <w:lang w:val="en-US" w:eastAsia="zh-CN" w:bidi="ar"/>
              </w:rPr>
              <w:t>50g/袋或1000g/瓶</w:t>
            </w:r>
          </w:p>
        </w:tc>
        <w:tc>
          <w:tcPr>
            <w:tcW w:w="810" w:type="dxa"/>
            <w:tcBorders>
              <w:top w:val="single" w:color="000000" w:sz="2" w:space="0"/>
              <w:left w:val="single" w:color="000000" w:sz="2" w:space="0"/>
              <w:bottom w:val="single" w:color="000000" w:sz="2" w:space="0"/>
              <w:right w:val="single" w:color="000000" w:sz="2" w:space="0"/>
            </w:tcBorders>
            <w:vAlign w:val="center"/>
          </w:tcPr>
          <w:p w14:paraId="7DFE1679">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110" w:type="dxa"/>
            <w:tcBorders>
              <w:top w:val="single" w:color="000000" w:sz="2" w:space="0"/>
              <w:left w:val="single" w:color="000000" w:sz="2" w:space="0"/>
              <w:bottom w:val="single" w:color="000000" w:sz="2" w:space="0"/>
              <w:right w:val="single" w:color="000000" w:sz="2" w:space="0"/>
            </w:tcBorders>
            <w:vAlign w:val="center"/>
          </w:tcPr>
          <w:p w14:paraId="5F2816E1">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65" w:type="dxa"/>
            <w:tcBorders>
              <w:top w:val="single" w:color="000000" w:sz="2" w:space="0"/>
              <w:left w:val="single" w:color="000000" w:sz="2" w:space="0"/>
              <w:bottom w:val="single" w:color="000000" w:sz="2" w:space="0"/>
              <w:right w:val="single" w:color="000000" w:sz="2" w:space="0"/>
            </w:tcBorders>
            <w:vAlign w:val="center"/>
          </w:tcPr>
          <w:p w14:paraId="4FB7EF1A">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100.00 </w:t>
            </w:r>
          </w:p>
        </w:tc>
        <w:tc>
          <w:tcPr>
            <w:tcW w:w="1556" w:type="dxa"/>
            <w:tcBorders>
              <w:top w:val="single" w:color="000000" w:sz="2" w:space="0"/>
              <w:left w:val="single" w:color="000000" w:sz="2" w:space="0"/>
              <w:bottom w:val="single" w:color="000000" w:sz="2" w:space="0"/>
              <w:right w:val="single" w:color="000000" w:sz="2" w:space="0"/>
            </w:tcBorders>
            <w:vAlign w:val="center"/>
          </w:tcPr>
          <w:p w14:paraId="0ADD0B7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r w14:paraId="4743F1A5">
        <w:tblPrEx>
          <w:tblCellMar>
            <w:top w:w="21" w:type="dxa"/>
            <w:left w:w="0" w:type="dxa"/>
            <w:bottom w:w="0" w:type="dxa"/>
            <w:right w:w="2" w:type="dxa"/>
          </w:tblCellMar>
        </w:tblPrEx>
        <w:trPr>
          <w:trHeight w:val="1531" w:hRule="exact"/>
          <w:jc w:val="center"/>
        </w:trPr>
        <w:tc>
          <w:tcPr>
            <w:tcW w:w="803" w:type="dxa"/>
            <w:tcBorders>
              <w:top w:val="single" w:color="auto" w:sz="4" w:space="0"/>
              <w:left w:val="single" w:color="000000" w:sz="2" w:space="0"/>
              <w:bottom w:val="single" w:color="000000" w:sz="2" w:space="0"/>
              <w:right w:val="single" w:color="000000" w:sz="2" w:space="0"/>
            </w:tcBorders>
            <w:vAlign w:val="center"/>
          </w:tcPr>
          <w:p w14:paraId="079B6385">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w:t>
            </w:r>
          </w:p>
        </w:tc>
        <w:tc>
          <w:tcPr>
            <w:tcW w:w="5134" w:type="dxa"/>
            <w:tcBorders>
              <w:top w:val="single" w:color="auto" w:sz="4" w:space="0"/>
              <w:left w:val="single" w:color="000000" w:sz="2" w:space="0"/>
              <w:bottom w:val="single" w:color="000000" w:sz="2" w:space="0"/>
              <w:right w:val="single" w:color="000000" w:sz="2" w:space="0"/>
            </w:tcBorders>
            <w:vAlign w:val="center"/>
          </w:tcPr>
          <w:p w14:paraId="20A4ABC7">
            <w:pPr>
              <w:spacing w:line="360" w:lineRule="auto"/>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磷酸二氢钾。符合HG/T 2321-2016标准，产品为99%粉剂，膨化全水溶，KH</w:t>
            </w:r>
            <w:r>
              <w:rPr>
                <w:rFonts w:hint="eastAsia" w:ascii="宋体" w:hAnsi="宋体" w:eastAsia="宋体" w:cs="宋体"/>
                <w:color w:val="auto"/>
                <w:sz w:val="21"/>
                <w:szCs w:val="21"/>
                <w:highlight w:val="none"/>
                <w:lang w:val="en-US" w:eastAsia="zh-CN"/>
              </w:rPr>
              <w:t>₂PO₄≥99%，P₂O₅≥52%、K₂O≥34%，包装规格100g/袋或1kg/袋</w:t>
            </w:r>
          </w:p>
        </w:tc>
        <w:tc>
          <w:tcPr>
            <w:tcW w:w="810" w:type="dxa"/>
            <w:tcBorders>
              <w:top w:val="single" w:color="000000" w:sz="2" w:space="0"/>
              <w:left w:val="single" w:color="000000" w:sz="2" w:space="0"/>
              <w:bottom w:val="single" w:color="000000" w:sz="2" w:space="0"/>
              <w:right w:val="single" w:color="000000" w:sz="2" w:space="0"/>
            </w:tcBorders>
            <w:vAlign w:val="center"/>
          </w:tcPr>
          <w:p w14:paraId="6B528561">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50.95</w:t>
            </w:r>
          </w:p>
        </w:tc>
        <w:tc>
          <w:tcPr>
            <w:tcW w:w="1110" w:type="dxa"/>
            <w:tcBorders>
              <w:top w:val="single" w:color="000000" w:sz="2" w:space="0"/>
              <w:left w:val="single" w:color="000000" w:sz="2" w:space="0"/>
              <w:bottom w:val="single" w:color="000000" w:sz="2" w:space="0"/>
              <w:right w:val="single" w:color="000000" w:sz="2" w:space="0"/>
            </w:tcBorders>
            <w:vAlign w:val="center"/>
          </w:tcPr>
          <w:p w14:paraId="68AD5E46">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65" w:type="dxa"/>
            <w:tcBorders>
              <w:top w:val="single" w:color="000000" w:sz="2" w:space="0"/>
              <w:left w:val="single" w:color="000000" w:sz="2" w:space="0"/>
              <w:bottom w:val="single" w:color="000000" w:sz="2" w:space="0"/>
              <w:right w:val="single" w:color="000000" w:sz="2" w:space="0"/>
            </w:tcBorders>
            <w:vAlign w:val="center"/>
          </w:tcPr>
          <w:p w14:paraId="705E5C4F">
            <w:pPr>
              <w:keepNext w:val="0"/>
              <w:keepLines w:val="0"/>
              <w:widowControl/>
              <w:suppressLineNumbers w:val="0"/>
              <w:jc w:val="center"/>
              <w:textAlignment w:val="center"/>
              <w:rPr>
                <w:rFonts w:hint="eastAsia" w:ascii="宋体" w:hAnsi="宋体" w:eastAsia="宋体" w:cs="宋体"/>
                <w:b w:val="0"/>
                <w:b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101.90 </w:t>
            </w:r>
          </w:p>
        </w:tc>
        <w:tc>
          <w:tcPr>
            <w:tcW w:w="1556" w:type="dxa"/>
            <w:tcBorders>
              <w:top w:val="single" w:color="000000" w:sz="2" w:space="0"/>
              <w:left w:val="single" w:color="000000" w:sz="2" w:space="0"/>
              <w:bottom w:val="single" w:color="000000" w:sz="2" w:space="0"/>
              <w:right w:val="single" w:color="000000" w:sz="2" w:space="0"/>
            </w:tcBorders>
            <w:vAlign w:val="center"/>
          </w:tcPr>
          <w:p w14:paraId="68BE01F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登记作物含小麦</w:t>
            </w:r>
          </w:p>
        </w:tc>
      </w:tr>
    </w:tbl>
    <w:p w14:paraId="1B1A4065">
      <w:pPr>
        <w:widowControl w:val="0"/>
        <w:autoSpaceDE w:val="0"/>
        <w:autoSpaceDN w:val="0"/>
        <w:adjustRightInd w:val="0"/>
        <w:ind w:firstLine="240" w:firstLineChars="100"/>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b/>
          <w:bCs/>
          <w:color w:val="auto"/>
          <w:kern w:val="2"/>
          <w:sz w:val="22"/>
          <w:szCs w:val="28"/>
          <w:highlight w:val="none"/>
          <w:lang w:val="en-US" w:eastAsia="zh-CN" w:bidi="ar-SA"/>
        </w:rPr>
        <w:t>3、服务要求</w:t>
      </w:r>
    </w:p>
    <w:p w14:paraId="355ECA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（1）在质量保证期内因货物本身的质量问题发生故障，应负责免费更换。如在使用过程中发生质量问题，在接到通知后在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rPr>
        <w:t>内到达现场。</w:t>
      </w:r>
    </w:p>
    <w:p w14:paraId="510A732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（2）提供所投产品详细的配置清单，包括产品名称、品牌、规格型号、数量等。</w:t>
      </w:r>
    </w:p>
    <w:p w14:paraId="0E0C9F5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）提供详细的售后服务方案。</w:t>
      </w:r>
    </w:p>
    <w:p w14:paraId="2BBA7B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）投标人须提供所投产品生产厂家服务机构情况，包括地址、联系方式及技术人员数量等。</w:t>
      </w:r>
    </w:p>
    <w:p w14:paraId="46005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）大小包装按照实际需求比例提供，最终提供的具体规格按照采购人实际需求比例提供。</w:t>
      </w:r>
    </w:p>
    <w:p w14:paraId="1D831A50">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）各标段产品需提供近2年内有资质的第三方检测机构出具的产品检测合格报告。</w:t>
      </w:r>
    </w:p>
    <w:p w14:paraId="7CF4BA0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）甲方收货后，随机抽取样品，委托有资质的第三方进行质量检测，质量以第三方检测报告为准。检测费用由中标方支付。</w:t>
      </w:r>
    </w:p>
    <w:p w14:paraId="6018A8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p>
    <w:p w14:paraId="41B67BB9">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注：本项目为足额采购（投标总价超过最高投标限价均为无效投标报价）总价不变，数量和单价各潜在供应商可根据实际情况进行调整。</w:t>
      </w:r>
    </w:p>
    <w:p w14:paraId="0E20860D">
      <w:pPr>
        <w:spacing w:line="360" w:lineRule="auto"/>
        <w:ind w:firstLine="480" w:firstLineChars="200"/>
        <w:rPr>
          <w:rFonts w:hint="eastAsia" w:ascii="宋体" w:hAnsi="宋体" w:eastAsia="宋体" w:cs="宋体"/>
          <w:color w:val="auto"/>
          <w:sz w:val="24"/>
          <w:szCs w:val="24"/>
        </w:rPr>
      </w:pPr>
    </w:p>
    <w:p w14:paraId="058FC9A8">
      <w:pPr>
        <w:autoSpaceDE w:val="0"/>
        <w:autoSpaceDN w:val="0"/>
        <w:adjustRightInd w:val="0"/>
        <w:jc w:val="left"/>
        <w:rPr>
          <w:rFonts w:hint="eastAsia" w:ascii="宋体" w:hAnsi="宋体" w:eastAsia="宋体" w:cs="宋体"/>
          <w:color w:val="000000"/>
          <w:szCs w:val="24"/>
        </w:rPr>
      </w:pPr>
    </w:p>
    <w:p w14:paraId="39701585">
      <w:pPr>
        <w:rPr>
          <w:rFonts w:hint="eastAsia" w:ascii="宋体" w:hAnsi="宋体" w:eastAsia="宋体" w:cs="宋体"/>
          <w:b/>
          <w:color w:val="000000"/>
          <w:kern w:val="44"/>
          <w:sz w:val="36"/>
          <w:szCs w:val="20"/>
        </w:rPr>
      </w:pPr>
      <w:bookmarkStart w:id="24" w:name="_Toc513622231"/>
      <w:bookmarkStart w:id="25" w:name="_Toc139967217"/>
      <w:bookmarkStart w:id="26" w:name="_Toc139966433"/>
      <w:r>
        <w:rPr>
          <w:rFonts w:hint="eastAsia" w:ascii="宋体" w:hAnsi="宋体" w:eastAsia="宋体" w:cs="宋体"/>
          <w:b/>
          <w:color w:val="000000"/>
          <w:kern w:val="44"/>
          <w:sz w:val="36"/>
          <w:szCs w:val="20"/>
        </w:rPr>
        <w:br w:type="page"/>
      </w:r>
    </w:p>
    <w:p w14:paraId="3D0CABEB">
      <w:pPr>
        <w:keepNext/>
        <w:keepLines/>
        <w:adjustRightInd w:val="0"/>
        <w:spacing w:line="360" w:lineRule="auto"/>
        <w:jc w:val="center"/>
        <w:textAlignment w:val="baseline"/>
        <w:outlineLvl w:val="0"/>
        <w:rPr>
          <w:rFonts w:hint="eastAsia" w:ascii="宋体" w:hAnsi="宋体" w:eastAsia="宋体" w:cs="宋体"/>
          <w:b/>
          <w:color w:val="000000"/>
          <w:kern w:val="44"/>
          <w:sz w:val="36"/>
          <w:szCs w:val="20"/>
        </w:rPr>
      </w:pPr>
      <w:bookmarkStart w:id="27" w:name="_Toc1759"/>
      <w:r>
        <w:rPr>
          <w:rFonts w:hint="eastAsia" w:ascii="宋体" w:hAnsi="宋体" w:eastAsia="宋体" w:cs="宋体"/>
          <w:b/>
          <w:color w:val="000000"/>
          <w:kern w:val="44"/>
          <w:sz w:val="36"/>
          <w:szCs w:val="20"/>
        </w:rPr>
        <w:t>第七章  评标办法</w:t>
      </w:r>
      <w:bookmarkEnd w:id="24"/>
      <w:bookmarkEnd w:id="27"/>
    </w:p>
    <w:p w14:paraId="68194582">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一、</w:t>
      </w:r>
      <w:r>
        <w:rPr>
          <w:rFonts w:hint="eastAsia" w:ascii="宋体" w:hAnsi="宋体" w:eastAsia="宋体" w:cs="宋体"/>
          <w:b/>
          <w:bCs/>
          <w:color w:val="000000"/>
          <w:sz w:val="24"/>
          <w:szCs w:val="24"/>
        </w:rPr>
        <w:t>评标委员会构成</w:t>
      </w:r>
      <w:r>
        <w:rPr>
          <w:rFonts w:hint="eastAsia" w:ascii="宋体" w:hAnsi="宋体" w:eastAsia="宋体" w:cs="宋体"/>
          <w:b/>
          <w:color w:val="000000"/>
          <w:sz w:val="24"/>
          <w:szCs w:val="24"/>
        </w:rPr>
        <w:t>：</w:t>
      </w:r>
    </w:p>
    <w:p w14:paraId="054AB43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本采购项目评标委员会的评委由采购人代表、相关专家组成。</w:t>
      </w:r>
    </w:p>
    <w:p w14:paraId="2DB246CF">
      <w:pPr>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二、</w:t>
      </w:r>
      <w:r>
        <w:rPr>
          <w:rFonts w:hint="eastAsia" w:ascii="宋体" w:hAnsi="宋体" w:eastAsia="宋体" w:cs="宋体"/>
          <w:b/>
          <w:bCs/>
          <w:color w:val="000000"/>
          <w:sz w:val="24"/>
          <w:szCs w:val="24"/>
        </w:rPr>
        <w:t>评标方法</w:t>
      </w:r>
      <w:r>
        <w:rPr>
          <w:rFonts w:hint="eastAsia" w:ascii="宋体" w:hAnsi="宋体" w:eastAsia="宋体" w:cs="宋体"/>
          <w:b/>
          <w:color w:val="000000"/>
          <w:sz w:val="24"/>
          <w:szCs w:val="24"/>
        </w:rPr>
        <w:t>：</w:t>
      </w:r>
      <w:r>
        <w:rPr>
          <w:rFonts w:hint="eastAsia" w:ascii="宋体" w:hAnsi="宋体" w:eastAsia="宋体" w:cs="宋体"/>
          <w:color w:val="000000"/>
          <w:sz w:val="24"/>
          <w:szCs w:val="24"/>
        </w:rPr>
        <w:t xml:space="preserve"> </w:t>
      </w:r>
    </w:p>
    <w:p w14:paraId="1AAE679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本项目评标方法采用综合评分法。综合评分法，是指投标文件满足招标文件全部实质性要求，且按照评审因素的量化指标评审得分最高的投标人为中标候选人的评标方法。</w:t>
      </w:r>
    </w:p>
    <w:p w14:paraId="41CAC80E">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三、</w:t>
      </w:r>
      <w:r>
        <w:rPr>
          <w:rFonts w:hint="eastAsia" w:ascii="宋体" w:hAnsi="宋体" w:eastAsia="宋体" w:cs="宋体"/>
          <w:b/>
          <w:bCs/>
          <w:color w:val="000000"/>
          <w:sz w:val="24"/>
          <w:szCs w:val="24"/>
        </w:rPr>
        <w:t>评标原则</w:t>
      </w:r>
      <w:r>
        <w:rPr>
          <w:rFonts w:hint="eastAsia" w:ascii="宋体" w:hAnsi="宋体" w:eastAsia="宋体" w:cs="宋体"/>
          <w:b/>
          <w:color w:val="000000"/>
          <w:sz w:val="24"/>
          <w:szCs w:val="24"/>
        </w:rPr>
        <w:t>：</w:t>
      </w:r>
    </w:p>
    <w:p w14:paraId="0D82A52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评标委员会必须公平、公正、客观，不带任何倾向性和启发性；不得向外界透露任何与评标有关的内容；任何单位和个人不得干扰、影响评标的正常进行；评标委员会及有关工作人员不得私下与供应商接触。</w:t>
      </w:r>
    </w:p>
    <w:p w14:paraId="0F720630">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四、</w:t>
      </w:r>
      <w:r>
        <w:rPr>
          <w:rFonts w:hint="eastAsia" w:ascii="宋体" w:hAnsi="宋体" w:eastAsia="宋体" w:cs="宋体"/>
          <w:b/>
          <w:bCs/>
          <w:color w:val="000000"/>
          <w:sz w:val="24"/>
          <w:szCs w:val="24"/>
        </w:rPr>
        <w:t>评标标准</w:t>
      </w:r>
      <w:r>
        <w:rPr>
          <w:rFonts w:hint="eastAsia" w:ascii="宋体" w:hAnsi="宋体" w:eastAsia="宋体" w:cs="宋体"/>
          <w:b/>
          <w:color w:val="000000"/>
          <w:sz w:val="24"/>
          <w:szCs w:val="24"/>
        </w:rPr>
        <w:t>：</w:t>
      </w:r>
    </w:p>
    <w:p w14:paraId="15438A6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（一）评标时，评标委员会以招标文件为评标依据，评标委员会各成员独立对每个投标人的投标文件进行评价，并汇总每个投标人的得分。</w:t>
      </w:r>
    </w:p>
    <w:p w14:paraId="696EE5B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（二）本项目评分总分为100分，按四舍五入取至小数点后两位。</w:t>
      </w:r>
    </w:p>
    <w:p w14:paraId="563FAE4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（三）总得分 =价格分 + 商务技术分 </w:t>
      </w:r>
    </w:p>
    <w:p w14:paraId="2E20DDC5">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 w:val="24"/>
          <w:szCs w:val="24"/>
        </w:rPr>
        <w:t>（四）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93B2BF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综合评分法</w:t>
      </w:r>
    </w:p>
    <w:p w14:paraId="40E0086E">
      <w:pPr>
        <w:spacing w:line="360" w:lineRule="auto"/>
        <w:rPr>
          <w:rFonts w:hint="eastAsia" w:ascii="宋体" w:hAnsi="宋体" w:eastAsia="宋体" w:cs="宋体"/>
          <w:b/>
          <w:color w:val="000000"/>
          <w:sz w:val="24"/>
          <w:szCs w:val="32"/>
        </w:rPr>
      </w:pPr>
      <w:r>
        <w:rPr>
          <w:rFonts w:hint="eastAsia" w:ascii="宋体" w:hAnsi="宋体" w:eastAsia="宋体" w:cs="宋体"/>
          <w:b/>
          <w:color w:val="000000"/>
          <w:sz w:val="24"/>
          <w:szCs w:val="32"/>
        </w:rPr>
        <w:t>1.价格分（</w:t>
      </w:r>
      <w:r>
        <w:rPr>
          <w:rFonts w:hint="eastAsia" w:ascii="宋体" w:hAnsi="宋体" w:eastAsia="宋体" w:cs="宋体"/>
          <w:b/>
          <w:color w:val="000000"/>
          <w:sz w:val="24"/>
          <w:szCs w:val="32"/>
          <w:lang w:val="en-US" w:eastAsia="zh-CN"/>
        </w:rPr>
        <w:t>30</w:t>
      </w:r>
      <w:r>
        <w:rPr>
          <w:rFonts w:hint="eastAsia" w:ascii="宋体" w:hAnsi="宋体" w:eastAsia="宋体" w:cs="宋体"/>
          <w:b/>
          <w:color w:val="000000"/>
          <w:sz w:val="24"/>
          <w:szCs w:val="32"/>
        </w:rPr>
        <w:t>分）</w:t>
      </w:r>
    </w:p>
    <w:p w14:paraId="4EBF48A4">
      <w:pPr>
        <w:spacing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采用低价优先法计算，即满足招标文件要求且投标价格最低的投标报价为评标基准价，其价格分为满分。其他投标人的价格分统一按照下列公式计算：</w:t>
      </w:r>
    </w:p>
    <w:p w14:paraId="1585B9B7">
      <w:pPr>
        <w:spacing w:line="360" w:lineRule="auto"/>
        <w:ind w:firstLine="480"/>
        <w:rPr>
          <w:rFonts w:hint="default" w:ascii="宋体" w:hAnsi="宋体" w:eastAsia="宋体" w:cs="Times New Roman"/>
          <w:color w:val="000000"/>
          <w:kern w:val="0"/>
          <w:sz w:val="24"/>
        </w:rPr>
      </w:pPr>
      <w:r>
        <w:rPr>
          <w:rFonts w:hint="eastAsia" w:ascii="宋体" w:hAnsi="宋体" w:eastAsia="宋体" w:cs="宋体"/>
          <w:color w:val="000000"/>
          <w:sz w:val="24"/>
          <w:szCs w:val="32"/>
        </w:rPr>
        <w:t xml:space="preserve">投标报价得分= （评标基准价/投标报价）× </w:t>
      </w:r>
      <w:r>
        <w:rPr>
          <w:rFonts w:hint="eastAsia" w:ascii="宋体" w:hAnsi="宋体" w:eastAsia="宋体" w:cs="宋体"/>
          <w:color w:val="000000"/>
          <w:sz w:val="24"/>
          <w:szCs w:val="32"/>
          <w:lang w:val="en-US" w:eastAsia="zh-CN"/>
        </w:rPr>
        <w:t>30</w:t>
      </w:r>
      <w:r>
        <w:rPr>
          <w:rFonts w:hint="eastAsia" w:ascii="宋体" w:hAnsi="宋体" w:eastAsia="宋体" w:cs="宋体"/>
          <w:color w:val="000000"/>
          <w:sz w:val="24"/>
          <w:szCs w:val="32"/>
        </w:rPr>
        <w:t>分。</w:t>
      </w:r>
    </w:p>
    <w:p w14:paraId="57F58417">
      <w:pPr>
        <w:spacing w:line="360" w:lineRule="auto"/>
        <w:ind w:firstLine="480"/>
        <w:rPr>
          <w:rFonts w:hint="default" w:ascii="宋体" w:hAnsi="宋体" w:eastAsia="宋体" w:cs="Times New Roman"/>
          <w:color w:val="000000"/>
          <w:kern w:val="0"/>
          <w:sz w:val="24"/>
        </w:rPr>
      </w:pPr>
      <w:r>
        <w:rPr>
          <w:rFonts w:hint="eastAsia" w:ascii="宋体" w:hAnsi="Times New Roman" w:eastAsia="宋体" w:cs="Times New Roman"/>
          <w:color w:val="000000"/>
          <w:kern w:val="0"/>
          <w:sz w:val="24"/>
        </w:rPr>
        <w:t>落实政府采购政策进行价格评审调整的，以调整后的价格计算投标基准价和投标报价，小数点后保留两位。</w:t>
      </w:r>
    </w:p>
    <w:p w14:paraId="37E97C81">
      <w:pPr>
        <w:spacing w:line="360" w:lineRule="auto"/>
        <w:ind w:firstLine="480"/>
        <w:rPr>
          <w:rFonts w:hint="eastAsia" w:ascii="宋体" w:hAnsi="宋体" w:eastAsia="宋体" w:cs="Times New Roman"/>
          <w:color w:val="FF0000"/>
          <w:kern w:val="0"/>
          <w:sz w:val="24"/>
          <w:highlight w:val="none"/>
          <w:lang w:eastAsia="zh-CN"/>
        </w:rPr>
      </w:pPr>
      <w:r>
        <w:rPr>
          <w:rFonts w:hint="eastAsia" w:ascii="宋体" w:hAnsi="宋体" w:eastAsia="宋体" w:cs="Times New Roman"/>
          <w:color w:val="FF0000"/>
          <w:kern w:val="0"/>
          <w:sz w:val="24"/>
          <w:highlight w:val="none"/>
        </w:rPr>
        <w:t>政府采购政策功能落实</w:t>
      </w:r>
      <w:r>
        <w:rPr>
          <w:rFonts w:hint="eastAsia" w:ascii="宋体" w:hAnsi="宋体" w:eastAsia="宋体" w:cs="Times New Roman"/>
          <w:color w:val="FF0000"/>
          <w:kern w:val="0"/>
          <w:sz w:val="24"/>
          <w:highlight w:val="none"/>
          <w:lang w:eastAsia="zh-CN"/>
        </w:rPr>
        <w:t>：</w:t>
      </w:r>
      <w:r>
        <w:rPr>
          <w:rFonts w:hint="eastAsia" w:ascii="宋体" w:hAnsi="宋体" w:eastAsia="宋体" w:cs="Times New Roman"/>
          <w:color w:val="FF0000"/>
          <w:kern w:val="0"/>
          <w:sz w:val="24"/>
          <w:highlight w:val="none"/>
        </w:rPr>
        <w:t>采购本国产品的支持政策</w:t>
      </w:r>
    </w:p>
    <w:p w14:paraId="410B3846">
      <w:pPr>
        <w:spacing w:line="360" w:lineRule="auto"/>
        <w:ind w:firstLine="480"/>
        <w:rPr>
          <w:rFonts w:hint="eastAsia" w:ascii="宋体" w:hAnsi="宋体" w:eastAsia="宋体" w:cs="Times New Roman"/>
          <w:color w:val="FF0000"/>
          <w:kern w:val="0"/>
          <w:sz w:val="24"/>
          <w:highlight w:val="none"/>
        </w:rPr>
      </w:pPr>
      <w:r>
        <w:rPr>
          <w:rFonts w:hint="eastAsia" w:ascii="宋体" w:hAnsi="宋体" w:eastAsia="宋体" w:cs="Times New Roman"/>
          <w:color w:val="FF0000"/>
          <w:kern w:val="0"/>
          <w:sz w:val="24"/>
          <w:highlight w:val="none"/>
        </w:rPr>
        <w:t>本项目政府采购活动中既有本国产品又有非本国产品参与竞争的，依法对本国产品给予价格评审优惠，对本国产品的报价给予20%的价格扣除，用扣除后的价格参与评审。</w:t>
      </w:r>
    </w:p>
    <w:p w14:paraId="12B82C39">
      <w:pPr>
        <w:spacing w:line="360" w:lineRule="auto"/>
        <w:ind w:firstLine="480"/>
        <w:rPr>
          <w:rFonts w:hint="eastAsia" w:ascii="宋体" w:hAnsi="宋体" w:eastAsia="宋体" w:cs="Times New Roman"/>
          <w:color w:val="FF0000"/>
          <w:kern w:val="0"/>
          <w:sz w:val="24"/>
          <w:highlight w:val="none"/>
        </w:rPr>
      </w:pPr>
      <w:r>
        <w:rPr>
          <w:rFonts w:hint="eastAsia" w:ascii="宋体" w:hAnsi="宋体" w:eastAsia="宋体" w:cs="Times New Roman"/>
          <w:color w:val="FF0000"/>
          <w:kern w:val="0"/>
          <w:sz w:val="24"/>
          <w:highlight w:val="none"/>
        </w:rPr>
        <w:t>当采购项目或者采购包中含有多种产品，供应商为该采购项目或者采购包提供的符合本国产品标准的产品成本之和占该供应商提供的全部产品成本之和的比例达到80%以上时（供应商需在“第</w:t>
      </w:r>
      <w:r>
        <w:rPr>
          <w:rFonts w:hint="eastAsia" w:ascii="宋体" w:hAnsi="宋体" w:eastAsia="宋体" w:cs="Times New Roman"/>
          <w:color w:val="FF0000"/>
          <w:kern w:val="0"/>
          <w:sz w:val="24"/>
          <w:highlight w:val="none"/>
          <w:lang w:val="en-US" w:eastAsia="zh-CN"/>
        </w:rPr>
        <w:t>四</w:t>
      </w:r>
      <w:r>
        <w:rPr>
          <w:rFonts w:hint="eastAsia" w:ascii="宋体" w:hAnsi="宋体" w:eastAsia="宋体" w:cs="Times New Roman"/>
          <w:color w:val="FF0000"/>
          <w:kern w:val="0"/>
          <w:sz w:val="24"/>
          <w:highlight w:val="none"/>
        </w:rPr>
        <w:t>章投标文件格式”的“</w:t>
      </w:r>
      <w:r>
        <w:rPr>
          <w:rFonts w:hint="eastAsia" w:ascii="宋体" w:hAnsi="宋体" w:eastAsia="宋体" w:cs="Times New Roman"/>
          <w:color w:val="FF0000"/>
          <w:kern w:val="0"/>
          <w:sz w:val="24"/>
          <w:highlight w:val="none"/>
          <w:lang w:val="en-US" w:eastAsia="zh-CN"/>
        </w:rPr>
        <w:t>格式三</w:t>
      </w:r>
      <w:r>
        <w:rPr>
          <w:rFonts w:hint="eastAsia" w:ascii="宋体" w:hAnsi="宋体" w:eastAsia="宋体" w:cs="Times New Roman"/>
          <w:color w:val="FF0000"/>
          <w:kern w:val="0"/>
          <w:sz w:val="24"/>
          <w:highlight w:val="none"/>
        </w:rPr>
        <w:t>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B25426E">
      <w:pPr>
        <w:spacing w:line="360" w:lineRule="auto"/>
        <w:ind w:firstLine="480"/>
        <w:rPr>
          <w:rFonts w:hint="eastAsia" w:ascii="宋体" w:hAnsi="宋体" w:eastAsia="宋体" w:cs="Times New Roman"/>
          <w:color w:val="FF0000"/>
          <w:kern w:val="0"/>
          <w:sz w:val="24"/>
          <w:highlight w:val="none"/>
        </w:rPr>
      </w:pPr>
      <w:r>
        <w:rPr>
          <w:rFonts w:hint="eastAsia" w:ascii="宋体" w:hAnsi="宋体" w:eastAsia="宋体" w:cs="Times New Roman"/>
          <w:color w:val="FF0000"/>
          <w:kern w:val="0"/>
          <w:sz w:val="24"/>
          <w:highlight w:val="none"/>
        </w:rPr>
        <w:t>供应商需按照招标文件的要求提供《关于符合本国产品标准的声明函》（以下简称《声明函》），如不提供将不享受本国产品价格评审优惠。</w:t>
      </w:r>
    </w:p>
    <w:p w14:paraId="44F5535C">
      <w:pPr>
        <w:spacing w:line="360" w:lineRule="auto"/>
        <w:ind w:firstLine="480"/>
        <w:rPr>
          <w:rFonts w:hint="eastAsia" w:ascii="宋体" w:hAnsi="宋体" w:eastAsia="宋体" w:cs="Times New Roman"/>
          <w:color w:val="FF0000"/>
          <w:kern w:val="0"/>
          <w:sz w:val="24"/>
          <w:highlight w:val="none"/>
        </w:rPr>
      </w:pPr>
      <w:r>
        <w:rPr>
          <w:rFonts w:hint="eastAsia" w:ascii="宋体" w:hAnsi="宋体" w:eastAsia="宋体" w:cs="Times New Roman"/>
          <w:color w:val="FF0000"/>
          <w:kern w:val="0"/>
          <w:sz w:val="24"/>
          <w:highlight w:val="none"/>
        </w:rPr>
        <w:t>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CCF64E8">
      <w:pPr>
        <w:spacing w:line="360" w:lineRule="auto"/>
        <w:ind w:firstLine="482"/>
        <w:rPr>
          <w:rFonts w:hint="eastAsia" w:ascii="宋体" w:hAnsi="宋体" w:eastAsia="宋体" w:cs="宋体"/>
          <w:color w:val="000000"/>
          <w:sz w:val="24"/>
          <w:szCs w:val="32"/>
        </w:rPr>
      </w:pPr>
      <w:r>
        <w:rPr>
          <w:rFonts w:hint="eastAsia" w:ascii="宋体" w:hAnsi="宋体" w:eastAsia="宋体" w:cs="Times New Roman"/>
          <w:color w:val="FF0000"/>
          <w:kern w:val="0"/>
          <w:sz w:val="24"/>
          <w:highlight w:val="none"/>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742D555A">
      <w:pPr>
        <w:widowControl w:val="0"/>
        <w:spacing w:after="120"/>
        <w:ind w:firstLine="482" w:firstLineChars="200"/>
        <w:jc w:val="both"/>
        <w:rPr>
          <w:rFonts w:hint="eastAsia" w:ascii="宋体" w:hAnsi="宋体" w:eastAsia="宋体" w:cs="宋体"/>
          <w:b/>
          <w:bCs/>
          <w:color w:val="000000"/>
          <w:kern w:val="2"/>
          <w:sz w:val="24"/>
          <w:szCs w:val="32"/>
          <w:lang w:val="en-US" w:eastAsia="zh-CN" w:bidi="ar-SA"/>
        </w:rPr>
      </w:pPr>
      <w:r>
        <w:rPr>
          <w:rFonts w:hint="eastAsia" w:ascii="宋体" w:hAnsi="宋体" w:eastAsia="宋体" w:cs="宋体"/>
          <w:b/>
          <w:bCs/>
          <w:color w:val="000000"/>
          <w:kern w:val="2"/>
          <w:sz w:val="24"/>
          <w:szCs w:val="32"/>
          <w:lang w:val="en-US" w:eastAsia="zh-CN" w:bidi="ar-SA"/>
        </w:rPr>
        <w:t>注：1、投标报价得分是以“投标单价”</w:t>
      </w:r>
      <w:r>
        <w:rPr>
          <w:rFonts w:hint="default" w:ascii="宋体" w:hAnsi="宋体" w:eastAsia="宋体" w:cs="宋体"/>
          <w:b/>
          <w:bCs/>
          <w:color w:val="000000"/>
          <w:kern w:val="2"/>
          <w:sz w:val="24"/>
          <w:szCs w:val="32"/>
          <w:lang w:val="en-US" w:eastAsia="zh-CN" w:bidi="ar-SA"/>
        </w:rPr>
        <w:t>×</w:t>
      </w:r>
      <w:r>
        <w:rPr>
          <w:rFonts w:hint="eastAsia" w:ascii="宋体" w:hAnsi="宋体" w:eastAsia="宋体" w:cs="宋体"/>
          <w:b/>
          <w:bCs/>
          <w:color w:val="000000"/>
          <w:kern w:val="2"/>
          <w:sz w:val="24"/>
          <w:szCs w:val="32"/>
          <w:lang w:val="en-US" w:eastAsia="zh-CN" w:bidi="ar-SA"/>
        </w:rPr>
        <w:t>招标文件规定的数量来计算投标报价得分。</w:t>
      </w:r>
    </w:p>
    <w:p w14:paraId="36927542">
      <w:pPr>
        <w:spacing w:line="360" w:lineRule="auto"/>
        <w:ind w:firstLine="960" w:firstLineChars="400"/>
        <w:rPr>
          <w:rFonts w:hint="eastAsia" w:ascii="宋体" w:hAnsi="宋体" w:eastAsia="宋体" w:cs="宋体"/>
          <w:color w:val="000000"/>
          <w:sz w:val="24"/>
          <w:szCs w:val="32"/>
        </w:rPr>
      </w:pPr>
      <w:r>
        <w:rPr>
          <w:rFonts w:hint="eastAsia" w:ascii="宋体" w:hAnsi="宋体" w:eastAsia="宋体" w:cs="宋体"/>
          <w:color w:val="000000"/>
          <w:sz w:val="24"/>
          <w:szCs w:val="32"/>
          <w:lang w:val="en-US" w:eastAsia="zh-CN"/>
        </w:rPr>
        <w:t>2、</w:t>
      </w:r>
      <w:r>
        <w:rPr>
          <w:rFonts w:hint="eastAsia" w:ascii="宋体" w:hAnsi="宋体" w:eastAsia="宋体" w:cs="宋体"/>
          <w:color w:val="000000"/>
          <w:sz w:val="24"/>
          <w:szCs w:val="32"/>
        </w:rPr>
        <w:t>评标过程中，不得去掉报价中的最高报价和最低报价。</w:t>
      </w:r>
    </w:p>
    <w:p w14:paraId="546F2306">
      <w:pPr>
        <w:spacing w:line="360" w:lineRule="auto"/>
        <w:rPr>
          <w:rFonts w:hint="eastAsia" w:ascii="宋体" w:hAnsi="宋体" w:eastAsia="宋体" w:cs="宋体"/>
          <w:b/>
          <w:color w:val="000000"/>
          <w:sz w:val="24"/>
          <w:szCs w:val="32"/>
        </w:rPr>
      </w:pPr>
      <w:r>
        <w:rPr>
          <w:rFonts w:hint="eastAsia" w:ascii="宋体" w:hAnsi="宋体" w:eastAsia="宋体" w:cs="宋体"/>
          <w:b/>
          <w:color w:val="000000"/>
          <w:sz w:val="24"/>
          <w:szCs w:val="32"/>
        </w:rPr>
        <w:t>2.商务</w:t>
      </w:r>
      <w:r>
        <w:rPr>
          <w:rFonts w:hint="eastAsia" w:ascii="宋体" w:hAnsi="宋体" w:eastAsia="宋体" w:cs="宋体"/>
          <w:b/>
          <w:color w:val="000000"/>
          <w:sz w:val="24"/>
          <w:szCs w:val="32"/>
          <w:lang w:val="en-US" w:eastAsia="zh-CN"/>
        </w:rPr>
        <w:t>技术</w:t>
      </w:r>
      <w:r>
        <w:rPr>
          <w:rFonts w:hint="eastAsia" w:ascii="宋体" w:hAnsi="宋体" w:eastAsia="宋体" w:cs="宋体"/>
          <w:b/>
          <w:color w:val="000000"/>
          <w:sz w:val="24"/>
          <w:szCs w:val="32"/>
        </w:rPr>
        <w:t>分（</w:t>
      </w:r>
      <w:r>
        <w:rPr>
          <w:rFonts w:hint="eastAsia" w:ascii="宋体" w:hAnsi="宋体" w:eastAsia="宋体" w:cs="宋体"/>
          <w:b/>
          <w:color w:val="000000"/>
          <w:sz w:val="24"/>
          <w:szCs w:val="32"/>
          <w:lang w:val="en-US" w:eastAsia="zh-CN"/>
        </w:rPr>
        <w:t>70</w:t>
      </w:r>
      <w:r>
        <w:rPr>
          <w:rFonts w:hint="eastAsia" w:ascii="宋体" w:hAnsi="宋体" w:eastAsia="宋体" w:cs="宋体"/>
          <w:b/>
          <w:color w:val="000000"/>
          <w:sz w:val="24"/>
          <w:szCs w:val="32"/>
        </w:rPr>
        <w:t>分）</w:t>
      </w:r>
    </w:p>
    <w:tbl>
      <w:tblPr>
        <w:tblStyle w:val="8"/>
        <w:tblW w:w="9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8517"/>
      </w:tblGrid>
      <w:tr w14:paraId="1E24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54" w:type="dxa"/>
            <w:vAlign w:val="center"/>
          </w:tcPr>
          <w:p w14:paraId="16F5CB8E">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jc w:val="center"/>
              <w:textAlignment w:val="auto"/>
              <w:rPr>
                <w:rFonts w:hint="eastAsia" w:ascii="宋体" w:hAnsi="宋体" w:eastAsia="宋体" w:cs="宋体"/>
                <w:b/>
                <w:color w:val="auto"/>
                <w:sz w:val="24"/>
                <w:szCs w:val="32"/>
              </w:rPr>
            </w:pPr>
            <w:r>
              <w:rPr>
                <w:rFonts w:hint="eastAsia" w:ascii="宋体" w:hAnsi="宋体" w:eastAsia="宋体" w:cs="宋体"/>
                <w:b/>
                <w:color w:val="auto"/>
                <w:sz w:val="24"/>
                <w:szCs w:val="32"/>
              </w:rPr>
              <w:t>评审因素</w:t>
            </w:r>
          </w:p>
        </w:tc>
        <w:tc>
          <w:tcPr>
            <w:tcW w:w="8517" w:type="dxa"/>
            <w:vAlign w:val="center"/>
          </w:tcPr>
          <w:p w14:paraId="20D5A2AE">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jc w:val="center"/>
              <w:textAlignment w:val="auto"/>
              <w:rPr>
                <w:rFonts w:hint="eastAsia" w:ascii="宋体" w:hAnsi="宋体" w:eastAsia="宋体" w:cs="宋体"/>
                <w:b/>
                <w:color w:val="auto"/>
                <w:sz w:val="24"/>
                <w:szCs w:val="32"/>
              </w:rPr>
            </w:pPr>
            <w:r>
              <w:rPr>
                <w:rFonts w:hint="eastAsia" w:ascii="宋体" w:hAnsi="宋体" w:eastAsia="宋体" w:cs="宋体"/>
                <w:b/>
                <w:color w:val="auto"/>
                <w:sz w:val="24"/>
                <w:szCs w:val="32"/>
              </w:rPr>
              <w:t>评审标准</w:t>
            </w:r>
          </w:p>
        </w:tc>
      </w:tr>
      <w:tr w14:paraId="5177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71" w:type="dxa"/>
            <w:gridSpan w:val="2"/>
            <w:vAlign w:val="center"/>
          </w:tcPr>
          <w:p w14:paraId="55E2FBA4">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jc w:val="left"/>
              <w:textAlignment w:val="auto"/>
              <w:rPr>
                <w:rFonts w:hint="eastAsia" w:ascii="宋体" w:hAnsi="宋体" w:eastAsia="宋体" w:cs="宋体"/>
                <w:b/>
                <w:color w:val="auto"/>
                <w:sz w:val="24"/>
                <w:szCs w:val="32"/>
                <w:lang w:val="en-US" w:eastAsia="zh-CN"/>
              </w:rPr>
            </w:pPr>
            <w:r>
              <w:rPr>
                <w:rFonts w:hint="eastAsia" w:ascii="宋体" w:hAnsi="宋体" w:eastAsia="宋体" w:cs="宋体"/>
                <w:b/>
                <w:color w:val="auto"/>
                <w:sz w:val="24"/>
                <w:szCs w:val="32"/>
                <w:lang w:val="en-US" w:eastAsia="zh-CN"/>
              </w:rPr>
              <w:t>商务部分（30分）</w:t>
            </w:r>
          </w:p>
        </w:tc>
      </w:tr>
      <w:tr w14:paraId="0EC7A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454" w:type="dxa"/>
            <w:vAlign w:val="center"/>
          </w:tcPr>
          <w:p w14:paraId="3CFB7226">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业绩</w:t>
            </w:r>
          </w:p>
          <w:p w14:paraId="1342D4F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b w:val="0"/>
                <w:bCs/>
                <w:color w:val="auto"/>
                <w:kern w:val="2"/>
                <w:sz w:val="24"/>
                <w:szCs w:val="32"/>
                <w:lang w:val="en-US" w:eastAsia="zh-CN" w:bidi="ar-SA"/>
              </w:rPr>
              <w:t>（9分）</w:t>
            </w:r>
          </w:p>
        </w:tc>
        <w:tc>
          <w:tcPr>
            <w:tcW w:w="8517" w:type="dxa"/>
          </w:tcPr>
          <w:p w14:paraId="09E7313E">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完全按照以下要求提供与本项目内容</w:t>
            </w:r>
            <w:r>
              <w:rPr>
                <w:rFonts w:hint="eastAsia" w:ascii="宋体" w:hAnsi="宋体" w:eastAsia="宋体" w:cs="宋体"/>
                <w:color w:val="auto"/>
                <w:sz w:val="24"/>
                <w:szCs w:val="28"/>
                <w:lang w:val="en-US" w:eastAsia="zh-CN"/>
              </w:rPr>
              <w:t>类似的相关</w:t>
            </w:r>
            <w:r>
              <w:rPr>
                <w:rFonts w:hint="eastAsia" w:ascii="宋体" w:hAnsi="宋体" w:eastAsia="宋体" w:cs="宋体"/>
                <w:color w:val="auto"/>
                <w:sz w:val="24"/>
                <w:szCs w:val="28"/>
              </w:rPr>
              <w:t>业绩，提供的证明材料均不得遮挡涂黑，否则不予认定加分。</w:t>
            </w:r>
          </w:p>
          <w:p w14:paraId="48869EC1">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合同扫描件（合同签订时间为20</w:t>
            </w:r>
            <w:r>
              <w:rPr>
                <w:rFonts w:hint="eastAsia" w:ascii="宋体" w:hAnsi="宋体" w:eastAsia="宋体" w:cs="宋体"/>
                <w:color w:val="auto"/>
                <w:sz w:val="24"/>
                <w:szCs w:val="28"/>
                <w:lang w:val="en-US" w:eastAsia="zh-CN"/>
              </w:rPr>
              <w:t>23</w:t>
            </w:r>
            <w:r>
              <w:rPr>
                <w:rFonts w:hint="eastAsia" w:ascii="宋体" w:hAnsi="宋体" w:eastAsia="宋体" w:cs="宋体"/>
                <w:color w:val="auto"/>
                <w:sz w:val="24"/>
                <w:szCs w:val="28"/>
              </w:rPr>
              <w:t>年1月1日至今）。包括合同金额、买卖双方名称及盖章、合同清单。</w:t>
            </w:r>
          </w:p>
          <w:p w14:paraId="23BE7433">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2、</w:t>
            </w:r>
            <w:r>
              <w:rPr>
                <w:rFonts w:hint="eastAsia" w:ascii="宋体" w:hAnsi="宋体" w:eastAsia="宋体" w:cs="宋体"/>
                <w:color w:val="auto"/>
                <w:sz w:val="24"/>
                <w:szCs w:val="28"/>
              </w:rPr>
              <w:t>用户盖章的成功履行合同的相关证明材料。</w:t>
            </w:r>
          </w:p>
          <w:p w14:paraId="67318809">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以上两项同时具备方可得分，否则不予认定。</w:t>
            </w:r>
            <w:r>
              <w:rPr>
                <w:rFonts w:hint="eastAsia" w:ascii="宋体" w:hAnsi="宋体" w:eastAsia="宋体" w:cs="宋体"/>
                <w:b/>
                <w:bCs/>
                <w:color w:val="auto"/>
                <w:sz w:val="24"/>
                <w:szCs w:val="28"/>
              </w:rPr>
              <w:t>1个业绩</w:t>
            </w:r>
            <w:r>
              <w:rPr>
                <w:rFonts w:hint="eastAsia" w:ascii="宋体" w:hAnsi="宋体" w:eastAsia="宋体" w:cs="宋体"/>
                <w:b/>
                <w:bCs/>
                <w:color w:val="auto"/>
                <w:sz w:val="24"/>
                <w:szCs w:val="28"/>
                <w:lang w:val="en-US" w:eastAsia="zh-CN"/>
              </w:rPr>
              <w:t>3</w:t>
            </w:r>
            <w:r>
              <w:rPr>
                <w:rFonts w:hint="eastAsia" w:ascii="宋体" w:hAnsi="宋体" w:eastAsia="宋体" w:cs="宋体"/>
                <w:b/>
                <w:bCs/>
                <w:color w:val="auto"/>
                <w:sz w:val="24"/>
                <w:szCs w:val="28"/>
              </w:rPr>
              <w:t>分，</w:t>
            </w:r>
            <w:r>
              <w:rPr>
                <w:rFonts w:hint="eastAsia" w:ascii="宋体" w:hAnsi="宋体" w:eastAsia="宋体" w:cs="宋体"/>
                <w:b/>
                <w:bCs/>
                <w:color w:val="auto"/>
                <w:sz w:val="24"/>
                <w:szCs w:val="28"/>
                <w:lang w:val="en-US" w:eastAsia="zh-CN"/>
              </w:rPr>
              <w:t>满分9</w:t>
            </w:r>
            <w:r>
              <w:rPr>
                <w:rFonts w:hint="eastAsia" w:ascii="宋体" w:hAnsi="宋体" w:eastAsia="宋体" w:cs="宋体"/>
                <w:b/>
                <w:bCs/>
                <w:color w:val="auto"/>
                <w:sz w:val="24"/>
                <w:szCs w:val="28"/>
              </w:rPr>
              <w:t>分。</w:t>
            </w:r>
          </w:p>
        </w:tc>
      </w:tr>
      <w:tr w14:paraId="571C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454" w:type="dxa"/>
            <w:vAlign w:val="center"/>
          </w:tcPr>
          <w:p w14:paraId="4B0CABEC">
            <w:pPr>
              <w:keepNext w:val="0"/>
              <w:keepLines w:val="0"/>
              <w:pageBreakBefore w:val="0"/>
              <w:widowControl w:val="0"/>
              <w:spacing w:before="69" w:line="264" w:lineRule="auto"/>
              <w:jc w:val="center"/>
              <w:rPr>
                <w:rFonts w:ascii="宋体" w:hAnsi="宋体" w:eastAsia="宋体" w:cs="宋体"/>
                <w:color w:val="000000"/>
                <w:spacing w:val="-2"/>
                <w:sz w:val="22"/>
                <w:highlight w:val="none"/>
              </w:rPr>
            </w:pPr>
            <w:r>
              <w:rPr>
                <w:rFonts w:ascii="宋体" w:hAnsi="宋体" w:eastAsia="宋体" w:cs="宋体"/>
                <w:color w:val="000000"/>
                <w:spacing w:val="-2"/>
                <w:sz w:val="22"/>
                <w:highlight w:val="none"/>
              </w:rPr>
              <w:t>人员配置</w:t>
            </w:r>
          </w:p>
          <w:p w14:paraId="79E748D0">
            <w:pPr>
              <w:keepNext w:val="0"/>
              <w:keepLines w:val="0"/>
              <w:pageBreakBefore w:val="0"/>
              <w:widowControl w:val="0"/>
              <w:spacing w:before="69" w:line="264" w:lineRule="auto"/>
              <w:jc w:val="center"/>
              <w:rPr>
                <w:rFonts w:hint="eastAsia" w:ascii="宋体" w:hAnsi="宋体" w:eastAsia="宋体" w:cs="宋体"/>
                <w:b w:val="0"/>
                <w:bCs/>
                <w:color w:val="auto"/>
                <w:kern w:val="2"/>
                <w:sz w:val="24"/>
                <w:szCs w:val="32"/>
                <w:highlight w:val="none"/>
                <w:lang w:val="en-US" w:eastAsia="zh-CN" w:bidi="ar-SA"/>
              </w:rPr>
            </w:pPr>
            <w:r>
              <w:rPr>
                <w:rFonts w:hint="eastAsia" w:ascii="宋体" w:hAnsi="宋体" w:eastAsia="宋体" w:cs="宋体"/>
                <w:color w:val="000000"/>
                <w:spacing w:val="-2"/>
                <w:sz w:val="22"/>
                <w:highlight w:val="none"/>
                <w:lang w:eastAsia="zh-CN"/>
              </w:rPr>
              <w:t>（</w:t>
            </w:r>
            <w:r>
              <w:rPr>
                <w:rFonts w:hint="eastAsia" w:ascii="宋体" w:hAnsi="宋体" w:eastAsia="宋体" w:cs="宋体"/>
                <w:color w:val="000000"/>
                <w:spacing w:val="-2"/>
                <w:sz w:val="22"/>
                <w:highlight w:val="none"/>
                <w:lang w:val="en-US" w:eastAsia="zh-CN"/>
              </w:rPr>
              <w:t>9分</w:t>
            </w:r>
            <w:r>
              <w:rPr>
                <w:rFonts w:hint="eastAsia" w:ascii="宋体" w:hAnsi="宋体" w:eastAsia="宋体" w:cs="宋体"/>
                <w:color w:val="000000"/>
                <w:spacing w:val="-2"/>
                <w:sz w:val="22"/>
                <w:highlight w:val="none"/>
                <w:lang w:eastAsia="zh-CN"/>
              </w:rPr>
              <w:t>）</w:t>
            </w:r>
          </w:p>
        </w:tc>
        <w:tc>
          <w:tcPr>
            <w:tcW w:w="8517" w:type="dxa"/>
            <w:vAlign w:val="center"/>
          </w:tcPr>
          <w:p w14:paraId="2DE5E1BF">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000000"/>
                <w:sz w:val="22"/>
                <w:highlight w:val="none"/>
                <w:lang w:val="en-US" w:eastAsia="zh-CN"/>
              </w:rPr>
              <w:t>1、</w:t>
            </w:r>
            <w:r>
              <w:rPr>
                <w:rFonts w:hint="eastAsia" w:ascii="宋体" w:hAnsi="宋体" w:eastAsia="宋体" w:cs="宋体"/>
                <w:color w:val="auto"/>
                <w:sz w:val="24"/>
                <w:szCs w:val="28"/>
                <w:highlight w:val="none"/>
              </w:rPr>
              <w:t>至少有2</w:t>
            </w:r>
            <w:r>
              <w:rPr>
                <w:rFonts w:hint="eastAsia" w:ascii="宋体" w:hAnsi="宋体" w:eastAsia="宋体" w:cs="宋体"/>
                <w:color w:val="auto"/>
                <w:sz w:val="24"/>
                <w:szCs w:val="28"/>
                <w:highlight w:val="none"/>
                <w:lang w:val="en-US" w:eastAsia="zh-CN"/>
              </w:rPr>
              <w:t>名工作人员</w:t>
            </w:r>
            <w:r>
              <w:rPr>
                <w:rFonts w:hint="eastAsia" w:ascii="宋体" w:hAnsi="宋体" w:eastAsia="宋体" w:cs="宋体"/>
                <w:color w:val="auto"/>
                <w:sz w:val="24"/>
                <w:szCs w:val="28"/>
                <w:highlight w:val="none"/>
              </w:rPr>
              <w:t>专门负责本项目售后</w:t>
            </w:r>
            <w:r>
              <w:rPr>
                <w:rFonts w:hint="eastAsia" w:ascii="宋体" w:hAnsi="宋体" w:eastAsia="宋体" w:cs="宋体"/>
                <w:color w:val="auto"/>
                <w:sz w:val="24"/>
                <w:szCs w:val="28"/>
                <w:highlight w:val="none"/>
                <w:lang w:val="en-US" w:eastAsia="zh-CN"/>
              </w:rPr>
              <w:t>及</w:t>
            </w:r>
            <w:r>
              <w:rPr>
                <w:rFonts w:hint="eastAsia" w:ascii="宋体" w:hAnsi="宋体" w:eastAsia="宋体" w:cs="宋体"/>
                <w:color w:val="auto"/>
                <w:sz w:val="24"/>
                <w:szCs w:val="28"/>
                <w:highlight w:val="none"/>
              </w:rPr>
              <w:t>技术服务</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且</w:t>
            </w:r>
            <w:r>
              <w:rPr>
                <w:rFonts w:hint="eastAsia" w:ascii="宋体" w:hAnsi="宋体" w:eastAsia="宋体" w:cs="宋体"/>
                <w:color w:val="auto"/>
                <w:sz w:val="24"/>
                <w:szCs w:val="28"/>
                <w:highlight w:val="none"/>
              </w:rPr>
              <w:t>及时按要求做好供货台账，按时卸货并分发到位，并配备送货车辆1辆（自有或租赁均可）</w:t>
            </w:r>
            <w:r>
              <w:rPr>
                <w:rFonts w:hint="eastAsia" w:ascii="宋体" w:hAnsi="宋体" w:eastAsia="宋体" w:cs="宋体"/>
                <w:b/>
                <w:bCs/>
                <w:color w:val="auto"/>
                <w:sz w:val="24"/>
                <w:szCs w:val="28"/>
                <w:highlight w:val="none"/>
              </w:rPr>
              <w:t>满足要求得</w:t>
            </w:r>
            <w:r>
              <w:rPr>
                <w:rFonts w:hint="eastAsia" w:ascii="宋体" w:hAnsi="宋体" w:eastAsia="宋体" w:cs="宋体"/>
                <w:b/>
                <w:bCs/>
                <w:color w:val="auto"/>
                <w:sz w:val="24"/>
                <w:szCs w:val="28"/>
                <w:highlight w:val="none"/>
                <w:lang w:val="en-US" w:eastAsia="zh-CN"/>
              </w:rPr>
              <w:t>6</w:t>
            </w:r>
            <w:r>
              <w:rPr>
                <w:rFonts w:hint="eastAsia" w:ascii="宋体" w:hAnsi="宋体" w:eastAsia="宋体" w:cs="宋体"/>
                <w:b/>
                <w:bCs/>
                <w:color w:val="auto"/>
                <w:sz w:val="24"/>
                <w:szCs w:val="28"/>
                <w:highlight w:val="none"/>
              </w:rPr>
              <w:t>分</w:t>
            </w:r>
            <w:r>
              <w:rPr>
                <w:rFonts w:hint="eastAsia" w:ascii="宋体" w:hAnsi="宋体" w:eastAsia="宋体" w:cs="宋体"/>
                <w:color w:val="auto"/>
                <w:sz w:val="24"/>
                <w:szCs w:val="28"/>
                <w:highlight w:val="none"/>
                <w:lang w:eastAsia="zh-CN"/>
              </w:rPr>
              <w:t>。</w:t>
            </w:r>
          </w:p>
          <w:p w14:paraId="581EEC15">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b/>
                <w:bCs/>
                <w:color w:val="auto"/>
                <w:sz w:val="24"/>
                <w:szCs w:val="28"/>
                <w:highlight w:val="none"/>
                <w:lang w:val="en-US" w:eastAsia="zh-CN"/>
              </w:rPr>
            </w:pPr>
            <w:r>
              <w:rPr>
                <w:rFonts w:hint="eastAsia" w:ascii="宋体" w:hAnsi="宋体" w:eastAsia="宋体" w:cs="宋体"/>
                <w:color w:val="auto"/>
                <w:sz w:val="24"/>
                <w:szCs w:val="28"/>
                <w:highlight w:val="none"/>
                <w:lang w:val="en-US" w:eastAsia="zh-CN"/>
              </w:rPr>
              <w:t>2、上述人员</w:t>
            </w:r>
            <w:r>
              <w:rPr>
                <w:rFonts w:hint="eastAsia" w:ascii="宋体" w:hAnsi="宋体" w:eastAsia="宋体" w:cs="宋体"/>
                <w:color w:val="auto"/>
                <w:sz w:val="24"/>
                <w:szCs w:val="28"/>
                <w:highlight w:val="none"/>
              </w:rPr>
              <w:t>有</w:t>
            </w:r>
            <w:r>
              <w:rPr>
                <w:rFonts w:hint="eastAsia" w:ascii="宋体" w:hAnsi="宋体" w:eastAsia="宋体" w:cs="宋体"/>
                <w:color w:val="auto"/>
                <w:sz w:val="24"/>
                <w:szCs w:val="28"/>
                <w:highlight w:val="none"/>
                <w:lang w:val="en-US" w:eastAsia="zh-CN"/>
              </w:rPr>
              <w:t>农业技术中级或以上</w:t>
            </w:r>
            <w:r>
              <w:rPr>
                <w:rFonts w:hint="eastAsia" w:ascii="宋体" w:hAnsi="宋体" w:eastAsia="宋体" w:cs="宋体"/>
                <w:color w:val="auto"/>
                <w:sz w:val="24"/>
                <w:szCs w:val="28"/>
                <w:highlight w:val="none"/>
              </w:rPr>
              <w:t>职称证书的加</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分</w:t>
            </w:r>
            <w:r>
              <w:rPr>
                <w:rFonts w:hint="eastAsia" w:ascii="宋体" w:hAnsi="宋体" w:eastAsia="宋体" w:cs="宋体"/>
                <w:color w:val="auto"/>
                <w:sz w:val="24"/>
                <w:szCs w:val="28"/>
                <w:highlight w:val="none"/>
                <w:lang w:eastAsia="zh-CN"/>
              </w:rPr>
              <w:t>。</w:t>
            </w:r>
            <w:r>
              <w:rPr>
                <w:rFonts w:hint="eastAsia" w:ascii="宋体" w:hAnsi="宋体" w:eastAsia="宋体" w:cs="宋体"/>
                <w:b/>
                <w:bCs/>
                <w:color w:val="auto"/>
                <w:sz w:val="24"/>
                <w:szCs w:val="28"/>
                <w:highlight w:val="none"/>
              </w:rPr>
              <w:t>满足要求得</w:t>
            </w:r>
            <w:r>
              <w:rPr>
                <w:rFonts w:hint="eastAsia" w:ascii="宋体" w:hAnsi="宋体" w:eastAsia="宋体" w:cs="宋体"/>
                <w:b/>
                <w:bCs/>
                <w:color w:val="auto"/>
                <w:sz w:val="24"/>
                <w:szCs w:val="28"/>
                <w:highlight w:val="none"/>
                <w:lang w:val="en-US" w:eastAsia="zh-CN"/>
              </w:rPr>
              <w:t>3</w:t>
            </w:r>
            <w:r>
              <w:rPr>
                <w:rFonts w:hint="eastAsia" w:ascii="宋体" w:hAnsi="宋体" w:eastAsia="宋体" w:cs="宋体"/>
                <w:b/>
                <w:bCs/>
                <w:color w:val="auto"/>
                <w:sz w:val="24"/>
                <w:szCs w:val="28"/>
                <w:highlight w:val="none"/>
              </w:rPr>
              <w:t>分</w:t>
            </w:r>
            <w:r>
              <w:rPr>
                <w:rFonts w:hint="eastAsia" w:ascii="宋体" w:hAnsi="宋体" w:eastAsia="宋体" w:cs="宋体"/>
                <w:b/>
                <w:bCs/>
                <w:color w:val="auto"/>
                <w:sz w:val="24"/>
                <w:szCs w:val="28"/>
                <w:highlight w:val="none"/>
                <w:lang w:val="en-US" w:eastAsia="zh-CN"/>
              </w:rPr>
              <w:t>.</w:t>
            </w:r>
          </w:p>
          <w:p w14:paraId="1997158C">
            <w:pPr>
              <w:keepNext w:val="0"/>
              <w:keepLines w:val="0"/>
              <w:pageBreakBefore w:val="0"/>
              <w:widowControl w:val="0"/>
              <w:kinsoku/>
              <w:wordWrap/>
              <w:overflowPunct/>
              <w:topLinePunct w:val="0"/>
              <w:bidi w:val="0"/>
              <w:snapToGrid/>
              <w:spacing w:line="240" w:lineRule="auto"/>
              <w:ind w:firstLine="482" w:firstLineChars="200"/>
              <w:textAlignment w:val="auto"/>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lang w:val="en-US" w:eastAsia="zh-CN"/>
              </w:rPr>
              <w:t>注：</w:t>
            </w:r>
            <w:r>
              <w:rPr>
                <w:rFonts w:hint="eastAsia" w:ascii="宋体" w:hAnsi="宋体" w:eastAsia="宋体" w:cs="宋体"/>
                <w:b w:val="0"/>
                <w:bCs w:val="0"/>
                <w:color w:val="auto"/>
                <w:sz w:val="24"/>
                <w:szCs w:val="28"/>
                <w:highlight w:val="none"/>
                <w:lang w:val="en-US" w:eastAsia="zh-CN"/>
              </w:rPr>
              <w:t>以上人员</w:t>
            </w:r>
            <w:r>
              <w:rPr>
                <w:rFonts w:hint="eastAsia" w:ascii="宋体" w:hAnsi="宋体" w:eastAsia="宋体" w:cs="宋体"/>
                <w:color w:val="auto"/>
                <w:sz w:val="24"/>
                <w:szCs w:val="28"/>
                <w:highlight w:val="none"/>
              </w:rPr>
              <w:t>须</w:t>
            </w:r>
            <w:r>
              <w:rPr>
                <w:rFonts w:hint="eastAsia" w:ascii="宋体" w:hAnsi="宋体" w:eastAsia="宋体" w:cs="宋体"/>
                <w:b w:val="0"/>
                <w:bCs w:val="0"/>
                <w:color w:val="auto"/>
                <w:sz w:val="24"/>
                <w:szCs w:val="28"/>
                <w:highlight w:val="none"/>
                <w:lang w:val="en-US" w:eastAsia="zh-CN"/>
              </w:rPr>
              <w:t>提供相关劳动合同证明或聘用证书</w:t>
            </w:r>
            <w:r>
              <w:rPr>
                <w:rFonts w:hint="eastAsia" w:ascii="宋体" w:hAnsi="宋体" w:eastAsia="宋体" w:cs="宋体"/>
                <w:b/>
                <w:bCs/>
                <w:color w:val="auto"/>
                <w:sz w:val="24"/>
                <w:szCs w:val="28"/>
                <w:highlight w:val="none"/>
                <w:lang w:val="en-US" w:eastAsia="zh-CN"/>
              </w:rPr>
              <w:t>，</w:t>
            </w:r>
            <w:r>
              <w:rPr>
                <w:rFonts w:hint="eastAsia" w:ascii="宋体" w:hAnsi="宋体" w:eastAsia="宋体" w:cs="宋体"/>
                <w:color w:val="auto"/>
                <w:sz w:val="24"/>
                <w:szCs w:val="28"/>
                <w:highlight w:val="none"/>
              </w:rPr>
              <w:t>配备车辆须提供车辆机动车登记证书或租赁合同（租赁合同期限覆盖此次采购供货期限）</w:t>
            </w:r>
            <w:r>
              <w:rPr>
                <w:rFonts w:hint="eastAsia" w:ascii="宋体" w:hAnsi="宋体" w:eastAsia="宋体" w:cs="宋体"/>
                <w:color w:val="auto"/>
                <w:sz w:val="24"/>
                <w:szCs w:val="28"/>
                <w:highlight w:val="none"/>
                <w:lang w:eastAsia="zh-CN"/>
              </w:rPr>
              <w:t>。</w:t>
            </w:r>
          </w:p>
        </w:tc>
      </w:tr>
      <w:tr w14:paraId="142F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454" w:type="dxa"/>
            <w:vAlign w:val="center"/>
          </w:tcPr>
          <w:p w14:paraId="7461BF3E">
            <w:pPr>
              <w:numPr>
                <w:ilvl w:val="0"/>
                <w:numId w:val="0"/>
              </w:numPr>
              <w:ind w:left="0" w:leftChars="0" w:firstLine="0" w:firstLineChars="0"/>
              <w:jc w:val="center"/>
              <w:rPr>
                <w:rFonts w:ascii="宋体" w:hAnsi="宋体" w:eastAsia="宋体" w:cs="宋体"/>
                <w:color w:val="000000"/>
                <w:spacing w:val="-2"/>
                <w:sz w:val="22"/>
                <w:highlight w:val="none"/>
              </w:rPr>
            </w:pPr>
            <w:r>
              <w:rPr>
                <w:rFonts w:ascii="宋体" w:hAnsi="宋体" w:eastAsia="宋体" w:cs="宋体"/>
                <w:color w:val="000000"/>
                <w:spacing w:val="-2"/>
                <w:sz w:val="22"/>
                <w:highlight w:val="none"/>
              </w:rPr>
              <w:t>产品包装及使用说明</w:t>
            </w:r>
          </w:p>
          <w:p w14:paraId="62E35B80">
            <w:pPr>
              <w:numPr>
                <w:ilvl w:val="0"/>
                <w:numId w:val="0"/>
              </w:numPr>
              <w:ind w:left="0" w:leftChars="0" w:firstLine="0" w:firstLineChars="0"/>
              <w:jc w:val="center"/>
              <w:rPr>
                <w:rFonts w:ascii="宋体" w:hAnsi="宋体" w:eastAsia="宋体" w:cs="宋体"/>
                <w:color w:val="000000"/>
                <w:spacing w:val="-2"/>
                <w:sz w:val="22"/>
                <w:highlight w:val="none"/>
              </w:rPr>
            </w:pPr>
            <w:r>
              <w:rPr>
                <w:rFonts w:hint="eastAsia"/>
                <w:color w:val="000000" w:themeColor="text1"/>
                <w:sz w:val="24"/>
                <w:szCs w:val="24"/>
                <w:highlight w:val="none"/>
                <w:lang w:val="en-US" w:eastAsia="zh-CN"/>
                <w14:textFill>
                  <w14:solidFill>
                    <w14:schemeClr w14:val="tx1"/>
                  </w14:solidFill>
                </w14:textFill>
              </w:rPr>
              <w:t>（6分）</w:t>
            </w:r>
          </w:p>
        </w:tc>
        <w:tc>
          <w:tcPr>
            <w:tcW w:w="8517" w:type="dxa"/>
            <w:vAlign w:val="top"/>
          </w:tcPr>
          <w:p w14:paraId="406B7F0C">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rPr>
                <w:rFonts w:hint="default" w:ascii="宋体" w:hAnsi="宋体" w:eastAsia="宋体" w:cs="宋体"/>
                <w:color w:val="000000"/>
                <w:kern w:val="0"/>
                <w:sz w:val="22"/>
                <w:szCs w:val="22"/>
                <w:highlight w:val="none"/>
              </w:rPr>
            </w:pPr>
            <w:r>
              <w:rPr>
                <w:rFonts w:hint="eastAsia" w:ascii="宋体" w:hAnsi="宋体" w:eastAsia="宋体" w:cs="宋体"/>
                <w:color w:val="000000"/>
                <w:kern w:val="0"/>
                <w:sz w:val="21"/>
                <w:szCs w:val="21"/>
                <w:highlight w:val="none"/>
                <w:lang w:val="en-US" w:eastAsia="zh-CN" w:bidi="ar-SA"/>
              </w:rPr>
              <w:t>（1）</w:t>
            </w:r>
            <w:r>
              <w:rPr>
                <w:rFonts w:hint="default" w:ascii="宋体" w:hAnsi="宋体" w:eastAsia="宋体" w:cs="宋体"/>
                <w:color w:val="000000"/>
                <w:kern w:val="0"/>
                <w:sz w:val="22"/>
                <w:szCs w:val="22"/>
                <w:highlight w:val="none"/>
              </w:rPr>
              <w:t>提供产品包装袋。包装袋上产品信息、规格、生产日期、产地、保质期、联系电话齐全</w:t>
            </w:r>
            <w:r>
              <w:rPr>
                <w:rFonts w:hint="eastAsia" w:ascii="宋体" w:hAnsi="宋体" w:eastAsia="宋体" w:cs="宋体"/>
                <w:color w:val="000000"/>
                <w:kern w:val="0"/>
                <w:sz w:val="22"/>
                <w:szCs w:val="22"/>
                <w:highlight w:val="none"/>
                <w:lang w:eastAsia="zh-CN"/>
              </w:rPr>
              <w:t>，</w:t>
            </w:r>
            <w:r>
              <w:rPr>
                <w:rFonts w:hint="eastAsia" w:ascii="宋体" w:hAnsi="宋体" w:eastAsia="宋体" w:cs="宋体"/>
                <w:b/>
                <w:bCs/>
                <w:color w:val="000000"/>
                <w:kern w:val="0"/>
                <w:sz w:val="22"/>
                <w:szCs w:val="22"/>
                <w:highlight w:val="none"/>
                <w:lang w:val="en-US" w:eastAsia="zh-CN"/>
              </w:rPr>
              <w:t>满分</w:t>
            </w:r>
            <w:r>
              <w:rPr>
                <w:rFonts w:hint="default" w:ascii="宋体" w:hAnsi="宋体" w:eastAsia="宋体" w:cs="宋体"/>
                <w:b/>
                <w:bCs/>
                <w:color w:val="000000"/>
                <w:kern w:val="0"/>
                <w:sz w:val="22"/>
                <w:szCs w:val="22"/>
                <w:highlight w:val="none"/>
              </w:rPr>
              <w:t>得</w:t>
            </w:r>
            <w:r>
              <w:rPr>
                <w:rFonts w:hint="eastAsia" w:ascii="宋体" w:hAnsi="宋体" w:eastAsia="宋体" w:cs="宋体"/>
                <w:b/>
                <w:bCs/>
                <w:color w:val="000000"/>
                <w:kern w:val="0"/>
                <w:sz w:val="22"/>
                <w:szCs w:val="22"/>
                <w:highlight w:val="none"/>
                <w:lang w:val="en-US" w:eastAsia="zh-CN"/>
              </w:rPr>
              <w:t>3</w:t>
            </w:r>
            <w:r>
              <w:rPr>
                <w:rFonts w:hint="default" w:ascii="宋体" w:hAnsi="宋体" w:eastAsia="宋体" w:cs="宋体"/>
                <w:b/>
                <w:bCs/>
                <w:color w:val="000000"/>
                <w:kern w:val="0"/>
                <w:sz w:val="22"/>
                <w:szCs w:val="22"/>
                <w:highlight w:val="none"/>
              </w:rPr>
              <w:t>分</w:t>
            </w:r>
            <w:r>
              <w:rPr>
                <w:rFonts w:hint="eastAsia" w:ascii="宋体" w:hAnsi="宋体" w:eastAsia="宋体" w:cs="宋体"/>
                <w:b/>
                <w:bCs/>
                <w:color w:val="000000"/>
                <w:kern w:val="0"/>
                <w:sz w:val="22"/>
                <w:szCs w:val="22"/>
                <w:highlight w:val="none"/>
                <w:lang w:val="en-US" w:eastAsia="zh-CN"/>
              </w:rPr>
              <w:t xml:space="preserve"> ，</w:t>
            </w:r>
            <w:r>
              <w:rPr>
                <w:rFonts w:hint="default" w:ascii="宋体" w:hAnsi="宋体" w:eastAsia="宋体" w:cs="宋体"/>
                <w:b/>
                <w:bCs/>
                <w:color w:val="000000"/>
                <w:kern w:val="0"/>
                <w:sz w:val="22"/>
                <w:szCs w:val="22"/>
                <w:highlight w:val="none"/>
              </w:rPr>
              <w:t>尚齐全得1分</w:t>
            </w:r>
            <w:r>
              <w:rPr>
                <w:rFonts w:hint="default" w:ascii="宋体" w:hAnsi="宋体" w:eastAsia="宋体" w:cs="宋体"/>
                <w:color w:val="000000"/>
                <w:kern w:val="0"/>
                <w:sz w:val="22"/>
                <w:szCs w:val="22"/>
                <w:highlight w:val="none"/>
              </w:rPr>
              <w:t>，不提供不得分；</w:t>
            </w:r>
          </w:p>
          <w:p w14:paraId="50807EAF">
            <w:pPr>
              <w:rPr>
                <w:rFonts w:hint="eastAsia" w:ascii="宋体" w:hAnsi="宋体" w:eastAsia="宋体" w:cs="宋体"/>
                <w:color w:val="000000"/>
                <w:sz w:val="22"/>
                <w:highlight w:val="none"/>
                <w:lang w:val="en-US" w:eastAsia="zh-CN"/>
              </w:rPr>
            </w:pPr>
            <w:r>
              <w:rPr>
                <w:rFonts w:hint="eastAsia" w:ascii="宋体" w:hAnsi="宋体" w:eastAsia="宋体" w:cs="宋体"/>
                <w:color w:val="000000"/>
                <w:sz w:val="21"/>
                <w:szCs w:val="21"/>
                <w:highlight w:val="none"/>
                <w:lang w:val="en-US" w:eastAsia="zh-CN" w:bidi="ar-SA"/>
              </w:rPr>
              <w:t>（2）</w:t>
            </w:r>
            <w:r>
              <w:rPr>
                <w:rFonts w:hint="default" w:ascii="宋体" w:hAnsi="宋体" w:eastAsia="宋体" w:cs="宋体"/>
                <w:color w:val="000000"/>
                <w:sz w:val="22"/>
                <w:szCs w:val="22"/>
                <w:highlight w:val="none"/>
                <w:lang w:val="zh-CN" w:eastAsia="zh-CN" w:bidi="zh-CN"/>
              </w:rPr>
              <w:t>提供产品使用说明书。说明书有亩用量、用法、使用条件齐全，</w:t>
            </w:r>
            <w:r>
              <w:rPr>
                <w:rFonts w:hint="eastAsia" w:ascii="宋体" w:hAnsi="宋体" w:eastAsia="宋体" w:cs="宋体"/>
                <w:b/>
                <w:bCs/>
                <w:color w:val="000000"/>
                <w:sz w:val="22"/>
                <w:szCs w:val="22"/>
                <w:highlight w:val="none"/>
                <w:lang w:val="en-US" w:eastAsia="zh-CN" w:bidi="zh-CN"/>
              </w:rPr>
              <w:t>满分</w:t>
            </w:r>
            <w:r>
              <w:rPr>
                <w:rFonts w:hint="default" w:ascii="宋体" w:hAnsi="宋体" w:eastAsia="宋体" w:cs="宋体"/>
                <w:b/>
                <w:bCs/>
                <w:color w:val="000000"/>
                <w:sz w:val="22"/>
                <w:szCs w:val="22"/>
                <w:highlight w:val="none"/>
                <w:lang w:val="zh-CN" w:eastAsia="zh-CN" w:bidi="zh-CN"/>
              </w:rPr>
              <w:t>得</w:t>
            </w:r>
            <w:r>
              <w:rPr>
                <w:rFonts w:hint="eastAsia" w:ascii="宋体" w:hAnsi="宋体" w:eastAsia="宋体" w:cs="宋体"/>
                <w:b/>
                <w:bCs/>
                <w:color w:val="000000"/>
                <w:sz w:val="22"/>
                <w:szCs w:val="22"/>
                <w:highlight w:val="none"/>
                <w:lang w:val="en-US" w:eastAsia="zh-CN" w:bidi="zh-CN"/>
              </w:rPr>
              <w:t>3</w:t>
            </w:r>
            <w:r>
              <w:rPr>
                <w:rFonts w:hint="default" w:ascii="宋体" w:hAnsi="宋体" w:eastAsia="宋体" w:cs="宋体"/>
                <w:b/>
                <w:bCs/>
                <w:color w:val="000000"/>
                <w:sz w:val="22"/>
                <w:szCs w:val="22"/>
                <w:highlight w:val="none"/>
                <w:lang w:val="zh-CN" w:eastAsia="zh-CN" w:bidi="zh-CN"/>
              </w:rPr>
              <w:t>分</w:t>
            </w:r>
            <w:r>
              <w:rPr>
                <w:rFonts w:hint="default" w:ascii="宋体" w:hAnsi="宋体" w:eastAsia="宋体" w:cs="宋体"/>
                <w:color w:val="000000"/>
                <w:sz w:val="22"/>
                <w:szCs w:val="22"/>
                <w:highlight w:val="none"/>
                <w:lang w:val="zh-CN" w:eastAsia="zh-CN" w:bidi="zh-CN"/>
              </w:rPr>
              <w:t>，不提供不得分。</w:t>
            </w:r>
          </w:p>
        </w:tc>
      </w:tr>
      <w:tr w14:paraId="1C414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54" w:type="dxa"/>
            <w:vAlign w:val="center"/>
          </w:tcPr>
          <w:p w14:paraId="55FA2215">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8"/>
                <w:highlight w:val="none"/>
              </w:rPr>
              <w:t>资质证书（</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rPr>
              <w:t>）</w:t>
            </w:r>
          </w:p>
        </w:tc>
        <w:tc>
          <w:tcPr>
            <w:tcW w:w="8517" w:type="dxa"/>
          </w:tcPr>
          <w:p w14:paraId="5F293A61">
            <w:pPr>
              <w:spacing w:line="100" w:lineRule="atLeas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val="en-US" w:eastAsia="zh-CN"/>
              </w:rPr>
              <w:t>1、投标人或</w:t>
            </w:r>
            <w:r>
              <w:rPr>
                <w:rFonts w:hint="eastAsia" w:ascii="宋体" w:hAnsi="宋体" w:eastAsia="宋体" w:cs="宋体"/>
                <w:b w:val="0"/>
                <w:bCs w:val="0"/>
                <w:color w:val="000000"/>
                <w:kern w:val="0"/>
                <w:sz w:val="24"/>
                <w:szCs w:val="24"/>
                <w:lang w:val="en-US" w:eastAsia="zh-CN"/>
              </w:rPr>
              <w:t>生产厂商具备质量管理体系认证、环境管理体系认证、职业健康安全管理体系认证</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提供证书复印件加盖公章；</w:t>
            </w:r>
            <w:r>
              <w:rPr>
                <w:rFonts w:hint="eastAsia" w:ascii="宋体" w:hAnsi="宋体" w:eastAsia="宋体" w:cs="宋体"/>
                <w:b/>
                <w:bCs/>
                <w:color w:val="auto"/>
                <w:sz w:val="24"/>
                <w:szCs w:val="28"/>
                <w:highlight w:val="none"/>
                <w:lang w:val="en-US" w:eastAsia="zh-CN"/>
              </w:rPr>
              <w:t>提供1个得2分，满分6</w:t>
            </w:r>
            <w:r>
              <w:rPr>
                <w:rFonts w:hint="eastAsia" w:ascii="宋体" w:hAnsi="宋体" w:eastAsia="宋体" w:cs="宋体"/>
                <w:b/>
                <w:bCs/>
                <w:color w:val="auto"/>
                <w:sz w:val="24"/>
                <w:szCs w:val="28"/>
                <w:highlight w:val="none"/>
              </w:rPr>
              <w:t>分</w:t>
            </w:r>
            <w:r>
              <w:rPr>
                <w:rFonts w:hint="eastAsia" w:ascii="宋体" w:hAnsi="宋体" w:eastAsia="宋体" w:cs="宋体"/>
                <w:b/>
                <w:bCs/>
                <w:color w:val="auto"/>
                <w:sz w:val="24"/>
                <w:szCs w:val="28"/>
                <w:highlight w:val="none"/>
                <w:lang w:eastAsia="zh-CN"/>
              </w:rPr>
              <w:t>；</w:t>
            </w:r>
            <w:r>
              <w:rPr>
                <w:rFonts w:hint="eastAsia" w:ascii="宋体" w:hAnsi="宋体" w:eastAsia="宋体" w:cs="宋体"/>
                <w:b/>
                <w:bCs/>
                <w:color w:val="auto"/>
                <w:sz w:val="24"/>
                <w:szCs w:val="28"/>
                <w:highlight w:val="none"/>
                <w:lang w:val="en-US" w:eastAsia="zh-CN"/>
              </w:rPr>
              <w:t>不提供不得分。</w:t>
            </w:r>
          </w:p>
        </w:tc>
      </w:tr>
      <w:tr w14:paraId="70A83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9971" w:type="dxa"/>
            <w:gridSpan w:val="2"/>
            <w:vAlign w:val="center"/>
          </w:tcPr>
          <w:p w14:paraId="77D2DB6D">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jc w:val="left"/>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b/>
                <w:color w:val="auto"/>
                <w:sz w:val="24"/>
                <w:szCs w:val="32"/>
                <w:lang w:val="en-US" w:eastAsia="zh-CN"/>
              </w:rPr>
              <w:t>技术部分（40分）</w:t>
            </w:r>
          </w:p>
        </w:tc>
      </w:tr>
      <w:tr w14:paraId="7BC5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0" w:hRule="atLeast"/>
          <w:jc w:val="center"/>
        </w:trPr>
        <w:tc>
          <w:tcPr>
            <w:tcW w:w="1454" w:type="dxa"/>
            <w:vAlign w:val="center"/>
          </w:tcPr>
          <w:p w14:paraId="624CB135">
            <w:pPr>
              <w:spacing w:line="100" w:lineRule="atLeast"/>
              <w:jc w:val="center"/>
              <w:rPr>
                <w:rFonts w:hint="eastAsia" w:ascii="宋体" w:hAnsi="宋体" w:eastAsia="宋体" w:cs="宋体"/>
                <w:color w:val="auto"/>
                <w:sz w:val="24"/>
                <w:szCs w:val="32"/>
              </w:rPr>
            </w:pPr>
            <w:r>
              <w:rPr>
                <w:rFonts w:hint="eastAsia" w:ascii="宋体" w:hAnsi="宋体" w:eastAsia="宋体" w:cs="宋体"/>
                <w:color w:val="000000"/>
                <w:kern w:val="0"/>
                <w:sz w:val="24"/>
                <w:szCs w:val="24"/>
                <w:lang w:val="en-US" w:eastAsia="zh-CN"/>
              </w:rPr>
              <w:t>生产能力评价（10分）</w:t>
            </w:r>
          </w:p>
        </w:tc>
        <w:tc>
          <w:tcPr>
            <w:tcW w:w="8517" w:type="dxa"/>
          </w:tcPr>
          <w:p w14:paraId="5170A87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生产设备齐全且与生产能力匹配，工艺先进合理，提供本企业产品生产场地、关键设备实景照片。</w:t>
            </w:r>
          </w:p>
          <w:p w14:paraId="0D57157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（1）生产设备齐全且与生产能力匹配，工艺先进合理，优于项目需求的8-10分。</w:t>
            </w:r>
          </w:p>
          <w:p w14:paraId="01FC5941">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b w:val="0"/>
                <w:bCs w:val="0"/>
                <w:color w:val="auto"/>
                <w:sz w:val="24"/>
                <w:szCs w:val="28"/>
                <w:lang w:val="en-US" w:eastAsia="zh-CN"/>
              </w:rPr>
            </w:pPr>
            <w:r>
              <w:rPr>
                <w:rFonts w:hint="eastAsia" w:ascii="宋体" w:hAnsi="宋体" w:eastAsia="宋体" w:cs="宋体"/>
                <w:color w:val="000000"/>
                <w:sz w:val="24"/>
                <w:szCs w:val="24"/>
                <w:lang w:val="en-US" w:eastAsia="zh-CN" w:bidi="ar"/>
              </w:rPr>
              <w:t>（2）生产设备齐全且与生产能力较匹配，工艺合理，满足项目需求的5-7分</w:t>
            </w:r>
          </w:p>
          <w:p w14:paraId="13B3A307">
            <w:pPr>
              <w:keepNext w:val="0"/>
              <w:keepLines w:val="0"/>
              <w:widowControl/>
              <w:suppressLineNumbers w:val="0"/>
              <w:jc w:val="left"/>
              <w:rPr>
                <w:rFonts w:hint="eastAsia" w:ascii="宋体" w:hAnsi="宋体" w:eastAsia="宋体" w:cs="宋体"/>
                <w:b w:val="0"/>
                <w:bCs w:val="0"/>
                <w:color w:val="auto"/>
                <w:sz w:val="24"/>
                <w:szCs w:val="28"/>
                <w:lang w:val="en-US" w:eastAsia="zh-CN"/>
              </w:rPr>
            </w:pPr>
            <w:r>
              <w:rPr>
                <w:rFonts w:hint="eastAsia" w:ascii="宋体" w:hAnsi="宋体" w:eastAsia="宋体" w:cs="宋体"/>
                <w:color w:val="000000"/>
                <w:kern w:val="0"/>
                <w:sz w:val="24"/>
                <w:szCs w:val="24"/>
                <w:lang w:val="en-US" w:eastAsia="zh-CN" w:bidi="ar"/>
              </w:rPr>
              <w:t>（3）生产设备齐全且与生产能基本匹配，工艺基本合理，部分满足项目需求的1-4分。</w:t>
            </w:r>
          </w:p>
          <w:p w14:paraId="15D50514">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b w:val="0"/>
                <w:bCs w:val="0"/>
                <w:color w:val="auto"/>
                <w:sz w:val="24"/>
                <w:szCs w:val="28"/>
                <w:lang w:val="en-US" w:eastAsia="zh-CN"/>
              </w:rPr>
            </w:pPr>
            <w:r>
              <w:rPr>
                <w:rFonts w:hint="eastAsia" w:ascii="宋体" w:hAnsi="宋体" w:eastAsia="宋体" w:cs="宋体"/>
                <w:color w:val="000000"/>
                <w:sz w:val="24"/>
                <w:szCs w:val="24"/>
                <w:lang w:val="en-US" w:eastAsia="zh-CN" w:bidi="ar"/>
              </w:rPr>
              <w:t>（4）未提供0分。</w:t>
            </w:r>
          </w:p>
        </w:tc>
      </w:tr>
      <w:tr w14:paraId="41FC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2" w:hRule="atLeast"/>
          <w:jc w:val="center"/>
        </w:trPr>
        <w:tc>
          <w:tcPr>
            <w:tcW w:w="1454" w:type="dxa"/>
            <w:vAlign w:val="center"/>
          </w:tcPr>
          <w:p w14:paraId="2F454381">
            <w:pPr>
              <w:spacing w:line="100" w:lineRule="atLeast"/>
              <w:jc w:val="center"/>
              <w:rPr>
                <w:rFonts w:hint="eastAsia" w:ascii="宋体" w:hAnsi="宋体" w:eastAsia="宋体" w:cs="宋体"/>
                <w:color w:val="auto"/>
                <w:sz w:val="24"/>
                <w:szCs w:val="28"/>
              </w:rPr>
            </w:pPr>
            <w:r>
              <w:rPr>
                <w:rFonts w:hint="eastAsia" w:ascii="宋体" w:hAnsi="宋体" w:eastAsia="宋体" w:cs="宋体"/>
                <w:color w:val="000000"/>
                <w:kern w:val="0"/>
                <w:sz w:val="24"/>
                <w:szCs w:val="24"/>
              </w:rPr>
              <w:t>质量保障措施（</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p>
        </w:tc>
        <w:tc>
          <w:tcPr>
            <w:tcW w:w="8517" w:type="dxa"/>
          </w:tcPr>
          <w:p w14:paraId="21A11518">
            <w:pPr>
              <w:spacing w:line="100" w:lineRule="atLeas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根据投标文件中质量保障措施方案进行评分；</w:t>
            </w:r>
          </w:p>
          <w:p w14:paraId="6F9ECF63">
            <w:pPr>
              <w:spacing w:line="100" w:lineRule="atLeas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质量保证措施阐述科学、合理、切实可行，对货物的质量控制和不可避免质量问题有较强的保障得</w:t>
            </w:r>
            <w:r>
              <w:rPr>
                <w:rFonts w:hint="eastAsia" w:ascii="宋体" w:hAnsi="宋体" w:eastAsia="宋体" w:cs="宋体"/>
                <w:color w:val="000000"/>
                <w:kern w:val="0"/>
                <w:sz w:val="24"/>
                <w:szCs w:val="24"/>
                <w:lang w:val="en-US" w:eastAsia="zh-CN"/>
              </w:rPr>
              <w:t>5-6</w:t>
            </w:r>
            <w:r>
              <w:rPr>
                <w:rFonts w:hint="eastAsia" w:ascii="宋体" w:hAnsi="宋体" w:eastAsia="宋体" w:cs="宋体"/>
                <w:color w:val="000000"/>
                <w:kern w:val="0"/>
                <w:sz w:val="24"/>
                <w:szCs w:val="24"/>
              </w:rPr>
              <w:t>分；</w:t>
            </w:r>
          </w:p>
          <w:p w14:paraId="52926181">
            <w:pPr>
              <w:spacing w:line="100" w:lineRule="atLeast"/>
              <w:rPr>
                <w:rFonts w:hint="eastAsia" w:ascii="宋体" w:hAnsi="宋体" w:eastAsia="宋体" w:cs="宋体"/>
                <w:color w:val="auto"/>
                <w:sz w:val="24"/>
                <w:szCs w:val="28"/>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质量保证措施阐述科学、合理、切实可行，对货物的质量控制有较好的保障得</w:t>
            </w:r>
            <w:r>
              <w:rPr>
                <w:rFonts w:hint="eastAsia" w:ascii="宋体" w:hAnsi="宋体" w:eastAsia="宋体" w:cs="宋体"/>
                <w:color w:val="000000"/>
                <w:kern w:val="0"/>
                <w:sz w:val="24"/>
                <w:szCs w:val="24"/>
                <w:lang w:val="en-US" w:eastAsia="zh-CN"/>
              </w:rPr>
              <w:t>3-4</w:t>
            </w:r>
            <w:r>
              <w:rPr>
                <w:rFonts w:hint="eastAsia" w:ascii="宋体" w:hAnsi="宋体" w:eastAsia="宋体" w:cs="宋体"/>
                <w:color w:val="000000"/>
                <w:kern w:val="0"/>
                <w:sz w:val="24"/>
                <w:szCs w:val="24"/>
              </w:rPr>
              <w:t>分；</w:t>
            </w:r>
          </w:p>
          <w:p w14:paraId="25A2F7F8">
            <w:pPr>
              <w:spacing w:line="100" w:lineRule="atLeast"/>
              <w:rPr>
                <w:rFonts w:hint="eastAsia" w:ascii="宋体" w:hAnsi="宋体" w:eastAsia="宋体" w:cs="宋体"/>
                <w:color w:val="auto"/>
                <w:sz w:val="24"/>
                <w:szCs w:val="28"/>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质量保证措施阐述简单，未能体现对本项目货物的质量保障得</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分；</w:t>
            </w:r>
          </w:p>
          <w:p w14:paraId="0F76E027">
            <w:pPr>
              <w:keepNext w:val="0"/>
              <w:keepLines w:val="0"/>
              <w:pageBreakBefore w:val="0"/>
              <w:widowControl w:val="0"/>
              <w:numPr>
                <w:ilvl w:val="0"/>
                <w:numId w:val="0"/>
              </w:numPr>
              <w:kinsoku/>
              <w:wordWrap/>
              <w:overflowPunct/>
              <w:topLinePunct w:val="0"/>
              <w:bidi w:val="0"/>
              <w:snapToGrid/>
              <w:spacing w:line="240" w:lineRule="auto"/>
              <w:textAlignment w:val="auto"/>
              <w:rPr>
                <w:rFonts w:hint="eastAsia" w:ascii="宋体" w:hAnsi="宋体" w:eastAsia="宋体" w:cs="宋体"/>
                <w:color w:val="auto"/>
                <w:sz w:val="24"/>
                <w:szCs w:val="28"/>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未提供的不得分。</w:t>
            </w:r>
          </w:p>
        </w:tc>
      </w:tr>
      <w:tr w14:paraId="12874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jc w:val="center"/>
        </w:trPr>
        <w:tc>
          <w:tcPr>
            <w:tcW w:w="1454" w:type="dxa"/>
            <w:vAlign w:val="center"/>
          </w:tcPr>
          <w:p w14:paraId="33F5202A">
            <w:pPr>
              <w:spacing w:line="100" w:lineRule="atLeast"/>
              <w:jc w:val="center"/>
              <w:rPr>
                <w:rFonts w:hint="eastAsia" w:ascii="宋体" w:hAnsi="宋体" w:eastAsia="宋体" w:cs="宋体"/>
                <w:color w:val="auto"/>
                <w:sz w:val="24"/>
                <w:szCs w:val="28"/>
              </w:rPr>
            </w:pPr>
            <w:r>
              <w:rPr>
                <w:rFonts w:hint="eastAsia" w:ascii="宋体" w:hAnsi="宋体" w:eastAsia="宋体" w:cs="宋体"/>
                <w:color w:val="000000" w:themeColor="text1"/>
                <w:sz w:val="24"/>
                <w:szCs w:val="24"/>
                <w:lang w:val="en-US" w:eastAsia="zh-CN"/>
                <w14:textFill>
                  <w14:solidFill>
                    <w14:schemeClr w14:val="tx1"/>
                  </w14:solidFill>
                </w14:textFill>
              </w:rPr>
              <w:t>自检能力评价（6分）</w:t>
            </w:r>
          </w:p>
        </w:tc>
        <w:tc>
          <w:tcPr>
            <w:tcW w:w="8517" w:type="dxa"/>
            <w:vAlign w:val="center"/>
          </w:tcPr>
          <w:p w14:paraId="19976FD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根据投标文件中</w:t>
            </w:r>
            <w:r>
              <w:rPr>
                <w:rFonts w:hint="eastAsia" w:ascii="宋体" w:hAnsi="宋体" w:eastAsia="宋体" w:cs="宋体"/>
                <w:color w:val="000000" w:themeColor="text1"/>
                <w:sz w:val="24"/>
                <w:szCs w:val="24"/>
                <w:lang w:val="en-US" w:eastAsia="zh-CN"/>
                <w14:textFill>
                  <w14:solidFill>
                    <w14:schemeClr w14:val="tx1"/>
                  </w14:solidFill>
                </w14:textFill>
              </w:rPr>
              <w:t>投标人提供的自检能力</w:t>
            </w:r>
            <w:r>
              <w:rPr>
                <w:rFonts w:hint="eastAsia" w:ascii="宋体" w:hAnsi="宋体" w:eastAsia="宋体" w:cs="宋体"/>
                <w:color w:val="000000" w:themeColor="text1"/>
                <w:sz w:val="24"/>
                <w:szCs w:val="24"/>
                <w14:textFill>
                  <w14:solidFill>
                    <w14:schemeClr w14:val="tx1"/>
                  </w14:solidFill>
                </w14:textFill>
              </w:rPr>
              <w:t>方案进行评分；</w:t>
            </w:r>
          </w:p>
          <w:p w14:paraId="7B8BA103">
            <w:pPr>
              <w:spacing w:line="1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自检能力</w:t>
            </w:r>
            <w:r>
              <w:rPr>
                <w:rFonts w:hint="eastAsia" w:ascii="宋体" w:hAnsi="宋体" w:eastAsia="宋体" w:cs="宋体"/>
                <w:color w:val="000000" w:themeColor="text1"/>
                <w:sz w:val="24"/>
                <w:szCs w:val="24"/>
                <w14:textFill>
                  <w14:solidFill>
                    <w14:schemeClr w14:val="tx1"/>
                  </w14:solidFill>
                </w14:textFill>
              </w:rPr>
              <w:t>方案阐述科学、合理、切实可行，对货物的</w:t>
            </w:r>
            <w:r>
              <w:rPr>
                <w:rFonts w:hint="eastAsia" w:ascii="宋体" w:hAnsi="宋体" w:eastAsia="宋体" w:cs="宋体"/>
                <w:color w:val="000000" w:themeColor="text1"/>
                <w:sz w:val="24"/>
                <w:szCs w:val="24"/>
                <w:lang w:val="en-US" w:eastAsia="zh-CN"/>
                <w14:textFill>
                  <w14:solidFill>
                    <w14:schemeClr w14:val="tx1"/>
                  </w14:solidFill>
                </w14:textFill>
              </w:rPr>
              <w:t>自检方法及过程</w:t>
            </w:r>
            <w:r>
              <w:rPr>
                <w:rFonts w:hint="eastAsia" w:ascii="宋体" w:hAnsi="宋体" w:eastAsia="宋体" w:cs="宋体"/>
                <w:color w:val="000000" w:themeColor="text1"/>
                <w:sz w:val="24"/>
                <w:szCs w:val="24"/>
                <w14:textFill>
                  <w14:solidFill>
                    <w14:schemeClr w14:val="tx1"/>
                  </w14:solidFill>
                </w14:textFill>
              </w:rPr>
              <w:t>有较强的保障得</w:t>
            </w:r>
            <w:r>
              <w:rPr>
                <w:rFonts w:hint="eastAsia" w:ascii="宋体" w:hAnsi="宋体" w:eastAsia="宋体" w:cs="宋体"/>
                <w:color w:val="000000" w:themeColor="text1"/>
                <w:sz w:val="24"/>
                <w:szCs w:val="24"/>
                <w:lang w:val="en-US" w:eastAsia="zh-CN"/>
                <w14:textFill>
                  <w14:solidFill>
                    <w14:schemeClr w14:val="tx1"/>
                  </w14:solidFill>
                </w14:textFill>
              </w:rPr>
              <w:t>5-6</w:t>
            </w:r>
            <w:r>
              <w:rPr>
                <w:rFonts w:hint="eastAsia" w:ascii="宋体" w:hAnsi="宋体" w:eastAsia="宋体" w:cs="宋体"/>
                <w:color w:val="000000" w:themeColor="text1"/>
                <w:sz w:val="24"/>
                <w:szCs w:val="24"/>
                <w14:textFill>
                  <w14:solidFill>
                    <w14:schemeClr w14:val="tx1"/>
                  </w14:solidFill>
                </w14:textFill>
              </w:rPr>
              <w:t>分；</w:t>
            </w:r>
          </w:p>
          <w:p w14:paraId="6911F14C">
            <w:pPr>
              <w:spacing w:line="1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自检能力</w:t>
            </w:r>
            <w:r>
              <w:rPr>
                <w:rFonts w:hint="eastAsia" w:ascii="宋体" w:hAnsi="宋体" w:eastAsia="宋体" w:cs="宋体"/>
                <w:color w:val="000000" w:themeColor="text1"/>
                <w:sz w:val="24"/>
                <w:szCs w:val="24"/>
                <w14:textFill>
                  <w14:solidFill>
                    <w14:schemeClr w14:val="tx1"/>
                  </w14:solidFill>
                </w14:textFill>
              </w:rPr>
              <w:t>方案阐述科学、合理、切实可行，对货物的</w:t>
            </w:r>
            <w:r>
              <w:rPr>
                <w:rFonts w:hint="eastAsia" w:ascii="宋体" w:hAnsi="宋体" w:eastAsia="宋体" w:cs="宋体"/>
                <w:color w:val="000000" w:themeColor="text1"/>
                <w:sz w:val="24"/>
                <w:szCs w:val="24"/>
                <w:lang w:val="en-US" w:eastAsia="zh-CN"/>
                <w14:textFill>
                  <w14:solidFill>
                    <w14:schemeClr w14:val="tx1"/>
                  </w14:solidFill>
                </w14:textFill>
              </w:rPr>
              <w:t>自检方法及过程</w:t>
            </w:r>
            <w:r>
              <w:rPr>
                <w:rFonts w:hint="eastAsia" w:ascii="宋体" w:hAnsi="宋体" w:eastAsia="宋体" w:cs="宋体"/>
                <w:color w:val="000000" w:themeColor="text1"/>
                <w:sz w:val="24"/>
                <w:szCs w:val="24"/>
                <w14:textFill>
                  <w14:solidFill>
                    <w14:schemeClr w14:val="tx1"/>
                  </w14:solidFill>
                </w14:textFill>
              </w:rPr>
              <w:t>有较好的保障得</w:t>
            </w:r>
            <w:r>
              <w:rPr>
                <w:rFonts w:hint="eastAsia" w:ascii="宋体" w:hAnsi="宋体" w:eastAsia="宋体" w:cs="宋体"/>
                <w:color w:val="000000" w:themeColor="text1"/>
                <w:sz w:val="24"/>
                <w:szCs w:val="24"/>
                <w:lang w:val="en-US" w:eastAsia="zh-CN"/>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分；</w:t>
            </w:r>
          </w:p>
          <w:p w14:paraId="36B243D9">
            <w:pPr>
              <w:spacing w:line="1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自检能力</w:t>
            </w:r>
            <w:r>
              <w:rPr>
                <w:rFonts w:hint="eastAsia" w:ascii="宋体" w:hAnsi="宋体" w:eastAsia="宋体" w:cs="宋体"/>
                <w:color w:val="000000" w:themeColor="text1"/>
                <w:sz w:val="24"/>
                <w:szCs w:val="24"/>
                <w14:textFill>
                  <w14:solidFill>
                    <w14:schemeClr w14:val="tx1"/>
                  </w14:solidFill>
                </w14:textFill>
              </w:rPr>
              <w:t>方案阐述简单，未能体现对本项目货物的质量保障得</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分；</w:t>
            </w:r>
          </w:p>
          <w:p w14:paraId="147CD773">
            <w:pPr>
              <w:rPr>
                <w:rFonts w:hint="eastAsia" w:ascii="宋体" w:hAnsi="宋体" w:eastAsia="宋体" w:cs="宋体"/>
                <w:color w:val="auto"/>
                <w:sz w:val="24"/>
                <w:szCs w:val="28"/>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未提供的不得分。</w:t>
            </w:r>
          </w:p>
        </w:tc>
      </w:tr>
      <w:tr w14:paraId="4C1B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454" w:type="dxa"/>
            <w:vAlign w:val="center"/>
          </w:tcPr>
          <w:p w14:paraId="601932BE">
            <w:pPr>
              <w:keepNext w:val="0"/>
              <w:keepLines w:val="0"/>
              <w:widowControl/>
              <w:suppressLineNumbers w:val="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运输服务</w:t>
            </w:r>
          </w:p>
          <w:p w14:paraId="733424C4">
            <w:pPr>
              <w:keepNext w:val="0"/>
              <w:keepLines w:val="0"/>
              <w:widowControl/>
              <w:suppressLineNumbers w:val="0"/>
              <w:jc w:val="center"/>
              <w:rPr>
                <w:rFonts w:hint="eastAsia" w:ascii="宋体" w:hAnsi="宋体" w:eastAsia="宋体" w:cs="宋体"/>
                <w:color w:val="auto"/>
                <w:sz w:val="24"/>
                <w:szCs w:val="28"/>
              </w:rPr>
            </w:pPr>
            <w:r>
              <w:rPr>
                <w:rFonts w:hint="eastAsia" w:ascii="宋体" w:hAnsi="宋体" w:eastAsia="宋体" w:cs="宋体"/>
                <w:color w:val="000000" w:themeColor="text1"/>
                <w:sz w:val="24"/>
                <w:szCs w:val="24"/>
                <w:lang w:val="en-US" w:eastAsia="zh-CN" w:bidi="ar"/>
                <w14:textFill>
                  <w14:solidFill>
                    <w14:schemeClr w14:val="tx1"/>
                  </w14:solidFill>
                </w14:textFill>
              </w:rPr>
              <w:t>方案（4分）</w:t>
            </w:r>
          </w:p>
        </w:tc>
        <w:tc>
          <w:tcPr>
            <w:tcW w:w="8517" w:type="dxa"/>
            <w:vAlign w:val="center"/>
          </w:tcPr>
          <w:p w14:paraId="366E6D7F">
            <w:pPr>
              <w:spacing w:line="1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运输服务方案</w:t>
            </w:r>
            <w:r>
              <w:rPr>
                <w:rFonts w:hint="eastAsia" w:ascii="宋体" w:hAnsi="宋体" w:eastAsia="宋体" w:cs="宋体"/>
                <w:color w:val="000000" w:themeColor="text1"/>
                <w:sz w:val="24"/>
                <w:szCs w:val="24"/>
                <w14:textFill>
                  <w14:solidFill>
                    <w14:schemeClr w14:val="tx1"/>
                  </w14:solidFill>
                </w14:textFill>
              </w:rPr>
              <w:t>施阐述科学、合理、切实可行，对货物的</w:t>
            </w:r>
            <w:r>
              <w:rPr>
                <w:rFonts w:hint="eastAsia" w:ascii="宋体" w:hAnsi="宋体" w:eastAsia="宋体" w:cs="宋体"/>
                <w:color w:val="000000" w:themeColor="text1"/>
                <w:sz w:val="24"/>
                <w:szCs w:val="24"/>
                <w:lang w:val="en-US" w:eastAsia="zh-CN"/>
                <w14:textFill>
                  <w14:solidFill>
                    <w14:schemeClr w14:val="tx1"/>
                  </w14:solidFill>
                </w14:textFill>
              </w:rPr>
              <w:t>配送</w:t>
            </w:r>
            <w:r>
              <w:rPr>
                <w:rFonts w:hint="eastAsia" w:ascii="宋体" w:hAnsi="宋体" w:eastAsia="宋体" w:cs="宋体"/>
                <w:color w:val="000000" w:themeColor="text1"/>
                <w:sz w:val="24"/>
                <w:szCs w:val="24"/>
                <w14:textFill>
                  <w14:solidFill>
                    <w14:schemeClr w14:val="tx1"/>
                  </w14:solidFill>
                </w14:textFill>
              </w:rPr>
              <w:t>问题有较强的保障得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p w14:paraId="23B21593">
            <w:pPr>
              <w:spacing w:line="1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运输服务方案</w:t>
            </w:r>
            <w:r>
              <w:rPr>
                <w:rFonts w:hint="eastAsia" w:ascii="宋体" w:hAnsi="宋体" w:eastAsia="宋体" w:cs="宋体"/>
                <w:color w:val="000000" w:themeColor="text1"/>
                <w:sz w:val="24"/>
                <w:szCs w:val="24"/>
                <w14:textFill>
                  <w14:solidFill>
                    <w14:schemeClr w14:val="tx1"/>
                  </w14:solidFill>
                </w14:textFill>
              </w:rPr>
              <w:t>施阐述科学、合理、切实可行，对货物的</w:t>
            </w:r>
            <w:r>
              <w:rPr>
                <w:rFonts w:hint="eastAsia" w:ascii="宋体" w:hAnsi="宋体" w:eastAsia="宋体" w:cs="宋体"/>
                <w:color w:val="000000" w:themeColor="text1"/>
                <w:sz w:val="24"/>
                <w:szCs w:val="24"/>
                <w:lang w:val="en-US" w:eastAsia="zh-CN"/>
                <w14:textFill>
                  <w14:solidFill>
                    <w14:schemeClr w14:val="tx1"/>
                  </w14:solidFill>
                </w14:textFill>
              </w:rPr>
              <w:t>配送</w:t>
            </w:r>
            <w:r>
              <w:rPr>
                <w:rFonts w:hint="eastAsia" w:ascii="宋体" w:hAnsi="宋体" w:eastAsia="宋体" w:cs="宋体"/>
                <w:color w:val="000000" w:themeColor="text1"/>
                <w:sz w:val="24"/>
                <w:szCs w:val="24"/>
                <w14:textFill>
                  <w14:solidFill>
                    <w14:schemeClr w14:val="tx1"/>
                  </w14:solidFill>
                </w14:textFill>
              </w:rPr>
              <w:t>问题有较好的保障得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2F98FA25">
            <w:pPr>
              <w:spacing w:line="1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运输服务方案</w:t>
            </w:r>
            <w:r>
              <w:rPr>
                <w:rFonts w:hint="eastAsia" w:ascii="宋体" w:hAnsi="宋体" w:eastAsia="宋体" w:cs="宋体"/>
                <w:color w:val="000000" w:themeColor="text1"/>
                <w:sz w:val="24"/>
                <w:szCs w:val="24"/>
                <w14:textFill>
                  <w14:solidFill>
                    <w14:schemeClr w14:val="tx1"/>
                  </w14:solidFill>
                </w14:textFill>
              </w:rPr>
              <w:t>阐述简单，未能体现对本项目货物的</w:t>
            </w:r>
            <w:r>
              <w:rPr>
                <w:rFonts w:hint="eastAsia" w:ascii="宋体" w:hAnsi="宋体" w:eastAsia="宋体" w:cs="宋体"/>
                <w:color w:val="000000" w:themeColor="text1"/>
                <w:sz w:val="24"/>
                <w:szCs w:val="24"/>
                <w:lang w:val="en-US" w:eastAsia="zh-CN"/>
                <w14:textFill>
                  <w14:solidFill>
                    <w14:schemeClr w14:val="tx1"/>
                  </w14:solidFill>
                </w14:textFill>
              </w:rPr>
              <w:t>配送</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p w14:paraId="48C0E928">
            <w:pPr>
              <w:keepNext w:val="0"/>
              <w:keepLines w:val="0"/>
              <w:widowControl/>
              <w:suppressLineNumbers w:val="0"/>
              <w:jc w:val="left"/>
              <w:rPr>
                <w:rFonts w:hint="eastAsia" w:ascii="宋体" w:hAnsi="宋体" w:eastAsia="宋体" w:cs="宋体"/>
                <w:color w:val="auto"/>
                <w:sz w:val="24"/>
                <w:szCs w:val="28"/>
                <w:lang w:eastAsia="zh-CN"/>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未提供的不得分</w:t>
            </w:r>
          </w:p>
        </w:tc>
      </w:tr>
      <w:tr w14:paraId="343B3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1454" w:type="dxa"/>
            <w:vAlign w:val="center"/>
          </w:tcPr>
          <w:p w14:paraId="5DE073B0">
            <w:pPr>
              <w:keepNext w:val="0"/>
              <w:keepLines w:val="0"/>
              <w:widowControl/>
              <w:suppressLineNumbers w:val="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应急预案</w:t>
            </w:r>
          </w:p>
          <w:p w14:paraId="2B614F3A">
            <w:pPr>
              <w:keepNext w:val="0"/>
              <w:keepLines w:val="0"/>
              <w:widowControl/>
              <w:suppressLineNumbers w:val="0"/>
              <w:jc w:val="center"/>
              <w:rPr>
                <w:rFonts w:hint="eastAsia" w:ascii="宋体" w:hAnsi="宋体" w:eastAsia="宋体" w:cs="宋体"/>
                <w:color w:val="auto"/>
                <w:sz w:val="24"/>
                <w:szCs w:val="28"/>
              </w:rPr>
            </w:pPr>
            <w:r>
              <w:rPr>
                <w:rFonts w:hint="eastAsia" w:ascii="宋体" w:hAnsi="宋体" w:eastAsia="宋体" w:cs="宋体"/>
                <w:color w:val="000000" w:themeColor="text1"/>
                <w:sz w:val="24"/>
                <w:szCs w:val="24"/>
                <w:lang w:val="en-US" w:eastAsia="zh-CN" w:bidi="ar"/>
                <w14:textFill>
                  <w14:solidFill>
                    <w14:schemeClr w14:val="tx1"/>
                  </w14:solidFill>
                </w14:textFill>
              </w:rPr>
              <w:t>评价（4分）</w:t>
            </w:r>
          </w:p>
        </w:tc>
        <w:tc>
          <w:tcPr>
            <w:tcW w:w="8517" w:type="dxa"/>
            <w:vAlign w:val="center"/>
          </w:tcPr>
          <w:p w14:paraId="5706FC70">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 xml:space="preserve">各项应急预案实用、经济、切实可行：4分； </w:t>
            </w:r>
          </w:p>
          <w:p w14:paraId="7487E6C7">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 xml:space="preserve">各项应急预案实用性、经济性一般、但基本可行：2 分； </w:t>
            </w:r>
          </w:p>
          <w:p w14:paraId="5875915D">
            <w:pPr>
              <w:keepNext w:val="0"/>
              <w:keepLines w:val="0"/>
              <w:widowControl/>
              <w:suppressLineNumbers w:val="0"/>
              <w:jc w:val="left"/>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各项应急预案不实用、经济、可行性差或无描述：1分。</w:t>
            </w:r>
          </w:p>
          <w:p w14:paraId="158CDEBB">
            <w:pPr>
              <w:pStyle w:val="3"/>
              <w:rPr>
                <w:rFonts w:hint="eastAsia" w:ascii="宋体" w:hAnsi="宋体" w:eastAsia="宋体" w:cs="宋体"/>
                <w:color w:val="auto"/>
                <w:sz w:val="24"/>
                <w:szCs w:val="28"/>
                <w:lang w:eastAsia="zh-CN"/>
              </w:rPr>
            </w:pPr>
            <w:r>
              <w:rPr>
                <w:rFonts w:hint="eastAsia"/>
                <w:color w:val="000000" w:themeColor="text1"/>
                <w:sz w:val="24"/>
                <w:szCs w:val="24"/>
                <w:lang w:val="en-US" w:eastAsia="zh-CN"/>
                <w14:textFill>
                  <w14:solidFill>
                    <w14:schemeClr w14:val="tx1"/>
                  </w14:solidFill>
                </w14:textFill>
              </w:rPr>
              <w:t>（4）未提供0分。</w:t>
            </w:r>
          </w:p>
        </w:tc>
      </w:tr>
      <w:tr w14:paraId="28A1B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jc w:val="center"/>
        </w:trPr>
        <w:tc>
          <w:tcPr>
            <w:tcW w:w="1454" w:type="dxa"/>
            <w:vAlign w:val="center"/>
          </w:tcPr>
          <w:p w14:paraId="045F5ED6">
            <w:pPr>
              <w:numPr>
                <w:ilvl w:val="0"/>
                <w:numId w:val="0"/>
              </w:numPr>
              <w:ind w:left="0" w:firstLine="0"/>
              <w:jc w:val="center"/>
              <w:rPr>
                <w:rFonts w:hint="eastAsia" w:ascii="宋体" w:hAnsi="宋体" w:eastAsia="宋体" w:cs="宋体"/>
                <w:color w:val="auto"/>
                <w:sz w:val="24"/>
                <w:szCs w:val="28"/>
              </w:rPr>
            </w:pPr>
            <w:r>
              <w:rPr>
                <w:rFonts w:hint="eastAsia"/>
                <w:color w:val="000000" w:themeColor="text1"/>
                <w:sz w:val="24"/>
                <w:szCs w:val="24"/>
                <w14:textFill>
                  <w14:solidFill>
                    <w14:schemeClr w14:val="tx1"/>
                  </w14:solidFill>
                </w14:textFill>
              </w:rPr>
              <w:t>售后服务</w:t>
            </w:r>
            <w:r>
              <w:rPr>
                <w:rFonts w:hint="eastAsia"/>
                <w:color w:val="000000" w:themeColor="text1"/>
                <w:sz w:val="24"/>
                <w:szCs w:val="24"/>
                <w:lang w:eastAsia="zh-CN"/>
                <w14:textFill>
                  <w14:solidFill>
                    <w14:schemeClr w14:val="tx1"/>
                  </w14:solidFill>
                </w14:textFill>
              </w:rPr>
              <w:t>方案</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分）</w:t>
            </w:r>
          </w:p>
        </w:tc>
        <w:tc>
          <w:tcPr>
            <w:tcW w:w="8517" w:type="dxa"/>
            <w:vAlign w:val="top"/>
          </w:tcPr>
          <w:p w14:paraId="662244D3">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能提供本企业详细的供货到点、分发到户及售后服务方案（明确、量化的服务承诺及对用户的技术要求等）。能够承诺对用户反映的问题在1个工作日内予以及时、妥善处置。</w:t>
            </w:r>
          </w:p>
          <w:p w14:paraId="065A69DF">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）较好的方案（能结合项目要求，提出较完善的服务承诺方案，能满足并高于招标文件的要求）：</w:t>
            </w:r>
            <w:r>
              <w:rPr>
                <w:rFonts w:hint="eastAsia"/>
                <w:color w:val="000000" w:themeColor="text1"/>
                <w:sz w:val="24"/>
                <w:szCs w:val="24"/>
                <w:lang w:val="en-US" w:eastAsia="zh-CN"/>
                <w14:textFill>
                  <w14:solidFill>
                    <w14:schemeClr w14:val="tx1"/>
                  </w14:solidFill>
                </w14:textFill>
              </w:rPr>
              <w:t>5-6</w:t>
            </w:r>
            <w:r>
              <w:rPr>
                <w:rFonts w:hint="eastAsia"/>
                <w:color w:val="000000" w:themeColor="text1"/>
                <w:sz w:val="24"/>
                <w:szCs w:val="24"/>
                <w:lang w:eastAsia="zh-CN"/>
                <w14:textFill>
                  <w14:solidFill>
                    <w14:schemeClr w14:val="tx1"/>
                  </w14:solidFill>
                </w14:textFill>
              </w:rPr>
              <w:t>分</w:t>
            </w:r>
          </w:p>
          <w:p w14:paraId="4C6F6C34">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）方案标准和条件满足招标文件的要求：</w:t>
            </w:r>
            <w:r>
              <w:rPr>
                <w:rFonts w:hint="eastAsia"/>
                <w:color w:val="000000" w:themeColor="text1"/>
                <w:sz w:val="24"/>
                <w:szCs w:val="24"/>
                <w:lang w:val="en-US" w:eastAsia="zh-CN"/>
                <w14:textFill>
                  <w14:solidFill>
                    <w14:schemeClr w14:val="tx1"/>
                  </w14:solidFill>
                </w14:textFill>
              </w:rPr>
              <w:t>3-4</w:t>
            </w:r>
            <w:r>
              <w:rPr>
                <w:rFonts w:hint="eastAsia"/>
                <w:color w:val="000000" w:themeColor="text1"/>
                <w:sz w:val="24"/>
                <w:szCs w:val="24"/>
                <w:lang w:eastAsia="zh-CN"/>
                <w14:textFill>
                  <w14:solidFill>
                    <w14:schemeClr w14:val="tx1"/>
                  </w14:solidFill>
                </w14:textFill>
              </w:rPr>
              <w:t>分</w:t>
            </w:r>
          </w:p>
          <w:p w14:paraId="05CE6733">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方案标准和条件</w:t>
            </w:r>
            <w:r>
              <w:rPr>
                <w:rFonts w:hint="eastAsia"/>
                <w:color w:val="000000" w:themeColor="text1"/>
                <w:sz w:val="24"/>
                <w:szCs w:val="24"/>
                <w:lang w:val="en-US" w:eastAsia="zh-CN"/>
                <w14:textFill>
                  <w14:solidFill>
                    <w14:schemeClr w14:val="tx1"/>
                  </w14:solidFill>
                </w14:textFill>
              </w:rPr>
              <w:t>部分满</w:t>
            </w:r>
            <w:r>
              <w:rPr>
                <w:rFonts w:hint="eastAsia"/>
                <w:color w:val="000000" w:themeColor="text1"/>
                <w:sz w:val="24"/>
                <w:szCs w:val="24"/>
                <w:lang w:eastAsia="zh-CN"/>
                <w14:textFill>
                  <w14:solidFill>
                    <w14:schemeClr w14:val="tx1"/>
                  </w14:solidFill>
                </w14:textFill>
              </w:rPr>
              <w:t>足招标文件的要求：</w:t>
            </w:r>
            <w:r>
              <w:rPr>
                <w:rFonts w:hint="eastAsia"/>
                <w:color w:val="000000" w:themeColor="text1"/>
                <w:sz w:val="24"/>
                <w:szCs w:val="24"/>
                <w:lang w:val="en-US" w:eastAsia="zh-CN"/>
                <w14:textFill>
                  <w14:solidFill>
                    <w14:schemeClr w14:val="tx1"/>
                  </w14:solidFill>
                </w14:textFill>
              </w:rPr>
              <w:t>1-2</w:t>
            </w:r>
            <w:r>
              <w:rPr>
                <w:rFonts w:hint="eastAsia"/>
                <w:color w:val="000000" w:themeColor="text1"/>
                <w:sz w:val="24"/>
                <w:szCs w:val="24"/>
                <w:lang w:eastAsia="zh-CN"/>
                <w14:textFill>
                  <w14:solidFill>
                    <w14:schemeClr w14:val="tx1"/>
                  </w14:solidFill>
                </w14:textFill>
              </w:rPr>
              <w:t>分</w:t>
            </w:r>
          </w:p>
          <w:p w14:paraId="0D3AA988">
            <w:pPr>
              <w:rPr>
                <w:rFonts w:hint="eastAsia" w:ascii="宋体" w:hAnsi="宋体" w:eastAsia="宋体" w:cs="宋体"/>
                <w:color w:val="auto"/>
                <w:sz w:val="24"/>
                <w:szCs w:val="28"/>
                <w:lang w:val="en-US" w:eastAsia="zh-CN"/>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未提供0分。</w:t>
            </w:r>
          </w:p>
        </w:tc>
      </w:tr>
      <w:tr w14:paraId="19DA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jc w:val="center"/>
        </w:trPr>
        <w:tc>
          <w:tcPr>
            <w:tcW w:w="1454" w:type="dxa"/>
            <w:vAlign w:val="center"/>
          </w:tcPr>
          <w:p w14:paraId="5615FBFF">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培训方案评价</w:t>
            </w:r>
            <w:r>
              <w:rPr>
                <w:rFonts w:hint="eastAsia" w:ascii="宋体" w:hAnsi="宋体" w:eastAsia="宋体" w:cs="宋体"/>
                <w:color w:val="000000" w:themeColor="text1"/>
                <w:sz w:val="24"/>
                <w:szCs w:val="24"/>
                <w:lang w:val="en-US" w:eastAsia="zh-CN"/>
                <w14:textFill>
                  <w14:solidFill>
                    <w14:schemeClr w14:val="tx1"/>
                  </w14:solidFill>
                </w14:textFill>
              </w:rPr>
              <w:t>（4分）</w:t>
            </w:r>
          </w:p>
        </w:tc>
        <w:tc>
          <w:tcPr>
            <w:tcW w:w="8517" w:type="dxa"/>
            <w:vAlign w:val="center"/>
          </w:tcPr>
          <w:p w14:paraId="10055BFA">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根据投标文件中</w:t>
            </w:r>
            <w:r>
              <w:rPr>
                <w:rFonts w:hint="eastAsia"/>
                <w:color w:val="000000" w:themeColor="text1"/>
                <w:sz w:val="24"/>
                <w:szCs w:val="24"/>
                <w:lang w:val="en-US" w:eastAsia="zh-CN"/>
                <w14:textFill>
                  <w14:solidFill>
                    <w14:schemeClr w14:val="tx1"/>
                  </w14:solidFill>
                </w14:textFill>
              </w:rPr>
              <w:t>投标人提供的培训</w:t>
            </w:r>
            <w:r>
              <w:rPr>
                <w:rFonts w:hint="eastAsia"/>
                <w:color w:val="000000" w:themeColor="text1"/>
                <w:sz w:val="24"/>
                <w:szCs w:val="24"/>
                <w:lang w:eastAsia="zh-CN"/>
                <w14:textFill>
                  <w14:solidFill>
                    <w14:schemeClr w14:val="tx1"/>
                  </w14:solidFill>
                </w14:textFill>
              </w:rPr>
              <w:t>方案进行评分；</w:t>
            </w:r>
          </w:p>
          <w:p w14:paraId="77D51D73">
            <w:pPr>
              <w:rPr>
                <w:rFonts w:hint="eastAsia"/>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w:t>
            </w:r>
            <w:r>
              <w:rPr>
                <w:rFonts w:hint="eastAsia" w:ascii="Times New Roman" w:eastAsia="宋体"/>
                <w:color w:val="000000" w:themeColor="text1"/>
                <w:sz w:val="24"/>
                <w:szCs w:val="24"/>
                <w:lang w:val="en-US" w:eastAsia="zh-CN"/>
                <w14:textFill>
                  <w14:solidFill>
                    <w14:schemeClr w14:val="tx1"/>
                  </w14:solidFill>
                </w14:textFill>
              </w:rPr>
              <w:t>1</w:t>
            </w:r>
            <w:r>
              <w:rPr>
                <w:rFonts w:hint="eastAsia" w:eastAsia="宋体"/>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培训方案合理可行、能满足招标文件，</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分；</w:t>
            </w:r>
          </w:p>
          <w:p w14:paraId="796B7571">
            <w:pPr>
              <w:rPr>
                <w:rFonts w:hint="eastAsia"/>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w:t>
            </w:r>
            <w:r>
              <w:rPr>
                <w:rFonts w:hint="eastAsia" w:ascii="Times New Roman" w:eastAsia="宋体"/>
                <w:color w:val="000000" w:themeColor="text1"/>
                <w:sz w:val="24"/>
                <w:szCs w:val="24"/>
                <w:lang w:val="en-US" w:eastAsia="zh-CN"/>
                <w14:textFill>
                  <w14:solidFill>
                    <w14:schemeClr w14:val="tx1"/>
                  </w14:solidFill>
                </w14:textFill>
              </w:rPr>
              <w:t>2</w:t>
            </w:r>
            <w:r>
              <w:rPr>
                <w:rFonts w:hint="eastAsia" w:eastAsia="宋体"/>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培训方案较为合理可行、较能满足招标文件，</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分；</w:t>
            </w:r>
          </w:p>
          <w:p w14:paraId="6445661A">
            <w:pPr>
              <w:rPr>
                <w:rFonts w:hint="eastAsia"/>
                <w:color w:val="000000" w:themeColor="text1"/>
                <w:sz w:val="24"/>
                <w:szCs w:val="24"/>
                <w:lang w:val="en-US" w:eastAsia="zh-CN"/>
                <w14:textFill>
                  <w14:solidFill>
                    <w14:schemeClr w14:val="tx1"/>
                  </w14:solidFill>
                </w14:textFill>
              </w:rPr>
            </w:pPr>
            <w:r>
              <w:rPr>
                <w:rFonts w:hint="eastAsia" w:ascii="Times New Roman" w:eastAsia="宋体"/>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培训方案较差，基本满足招标文件，1分；</w:t>
            </w:r>
          </w:p>
          <w:p w14:paraId="0C074770">
            <w:pPr>
              <w:rPr>
                <w:rFonts w:hint="eastAsia" w:ascii="宋体" w:hAnsi="宋体" w:eastAsia="宋体" w:cs="宋体"/>
                <w:color w:val="auto"/>
                <w:sz w:val="24"/>
                <w:szCs w:val="28"/>
                <w:lang w:val="en-US" w:eastAsia="zh-CN"/>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）未提供的不得分。</w:t>
            </w:r>
          </w:p>
        </w:tc>
      </w:tr>
      <w:bookmarkEnd w:id="25"/>
      <w:bookmarkEnd w:id="26"/>
    </w:tbl>
    <w:p w14:paraId="37544230">
      <w:pPr>
        <w:tabs>
          <w:tab w:val="left" w:pos="2436"/>
        </w:tabs>
        <w:bidi w:val="0"/>
        <w:jc w:val="left"/>
        <w:rPr>
          <w:rFonts w:ascii="Calibri" w:hAnsi="Calibri" w:eastAsia="宋体" w:cs="Times New Roman"/>
          <w:szCs w:val="22"/>
          <w:lang w:val="en-US" w:eastAsia="zh-CN"/>
        </w:rPr>
      </w:pPr>
    </w:p>
    <w:p w14:paraId="07DD21B4"/>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720" w:footer="720" w:gutter="0"/>
      <w:pgNumType w:fmt="decimal" w:start="1"/>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485F">
    <w:pPr>
      <w:ind w:firstLine="420"/>
      <w:rPr>
        <w:rFonts w:ascii="Calibri" w:hAnsi="Calibri" w:eastAsia="宋体" w:cs="Times New Roman"/>
        <w:szCs w:val="22"/>
      </w:rPr>
    </w:pPr>
    <w:r>
      <w:rPr>
        <w:rFonts w:ascii="Calibri" w:hAnsi="Calibri" w:eastAsia="宋体" w:cs="Times New Roman"/>
        <w:sz w:val="21"/>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44896">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w:fldChar w:fldCharType="begin"/>
                          </w:r>
                          <w:r>
                            <w:rPr>
                              <w:rFonts w:ascii="Calibri" w:hAnsi="Calibri" w:eastAsia="宋体" w:cs="Times New Roman"/>
                              <w:kern w:val="2"/>
                              <w:sz w:val="18"/>
                              <w:szCs w:val="22"/>
                              <w:lang w:val="en-US" w:eastAsia="zh-CN" w:bidi="ar-SA"/>
                            </w:rPr>
                            <w:instrText xml:space="preserve"> PAGE  \* MERGEFORMAT </w:instrText>
                          </w:r>
                          <w:r>
                            <w:rPr>
                              <w:rFonts w:ascii="Calibri" w:hAnsi="Calibri" w:eastAsia="宋体" w:cs="Times New Roman"/>
                              <w:kern w:val="2"/>
                              <w:sz w:val="18"/>
                              <w:szCs w:val="22"/>
                              <w:lang w:val="en-US" w:eastAsia="zh-CN" w:bidi="ar-SA"/>
                            </w:rPr>
                            <w:fldChar w:fldCharType="separate"/>
                          </w:r>
                          <w:r>
                            <w:rPr>
                              <w:rFonts w:ascii="Calibri" w:hAnsi="Calibri" w:eastAsia="宋体" w:cs="Times New Roman"/>
                              <w:kern w:val="2"/>
                              <w:sz w:val="18"/>
                              <w:szCs w:val="22"/>
                              <w:lang w:val="en-US" w:eastAsia="zh-CN" w:bidi="ar-SA"/>
                            </w:rPr>
                            <w:t>2</w:t>
                          </w:r>
                          <w:r>
                            <w:rPr>
                              <w:rFonts w:ascii="Calibri" w:hAnsi="Calibri" w:eastAsia="宋体"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E244896">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w:fldChar w:fldCharType="begin"/>
                    </w:r>
                    <w:r>
                      <w:rPr>
                        <w:rFonts w:ascii="Calibri" w:hAnsi="Calibri" w:eastAsia="宋体" w:cs="Times New Roman"/>
                        <w:kern w:val="2"/>
                        <w:sz w:val="18"/>
                        <w:szCs w:val="22"/>
                        <w:lang w:val="en-US" w:eastAsia="zh-CN" w:bidi="ar-SA"/>
                      </w:rPr>
                      <w:instrText xml:space="preserve"> PAGE  \* MERGEFORMAT </w:instrText>
                    </w:r>
                    <w:r>
                      <w:rPr>
                        <w:rFonts w:ascii="Calibri" w:hAnsi="Calibri" w:eastAsia="宋体" w:cs="Times New Roman"/>
                        <w:kern w:val="2"/>
                        <w:sz w:val="18"/>
                        <w:szCs w:val="22"/>
                        <w:lang w:val="en-US" w:eastAsia="zh-CN" w:bidi="ar-SA"/>
                      </w:rPr>
                      <w:fldChar w:fldCharType="separate"/>
                    </w:r>
                    <w:r>
                      <w:rPr>
                        <w:rFonts w:ascii="Calibri" w:hAnsi="Calibri" w:eastAsia="宋体" w:cs="Times New Roman"/>
                        <w:kern w:val="2"/>
                        <w:sz w:val="18"/>
                        <w:szCs w:val="22"/>
                        <w:lang w:val="en-US" w:eastAsia="zh-CN" w:bidi="ar-SA"/>
                      </w:rPr>
                      <w:t>2</w:t>
                    </w:r>
                    <w:r>
                      <w:rPr>
                        <w:rFonts w:ascii="Calibri" w:hAnsi="Calibri" w:eastAsia="宋体" w:cs="Times New Roman"/>
                        <w:kern w:val="2"/>
                        <w:sz w:val="18"/>
                        <w:szCs w:val="2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40AE">
    <w:pPr>
      <w:framePr w:wrap="around" w:vAnchor="text" w:hAnchor="margin" w:xAlign="center" w:y="1"/>
      <w:ind w:firstLine="420"/>
      <w:rPr>
        <w:rFonts w:ascii="Calibri" w:hAnsi="Calibri" w:eastAsia="宋体" w:cs="Times New Roman"/>
        <w:szCs w:val="22"/>
      </w:rPr>
    </w:pPr>
    <w:r>
      <w:rPr>
        <w:rFonts w:ascii="Calibri" w:hAnsi="Calibri" w:eastAsia="宋体" w:cs="Times New Roman"/>
        <w:szCs w:val="22"/>
      </w:rPr>
      <w:fldChar w:fldCharType="begin"/>
    </w:r>
    <w:r>
      <w:rPr>
        <w:rFonts w:ascii="Calibri" w:hAnsi="Calibri" w:eastAsia="宋体" w:cs="Times New Roman"/>
        <w:szCs w:val="22"/>
      </w:rPr>
      <w:instrText xml:space="preserve">PAGE  </w:instrText>
    </w:r>
    <w:r>
      <w:rPr>
        <w:rFonts w:ascii="Calibri" w:hAnsi="Calibri" w:eastAsia="宋体" w:cs="Times New Roman"/>
        <w:szCs w:val="22"/>
      </w:rPr>
      <w:fldChar w:fldCharType="separate"/>
    </w:r>
    <w:r>
      <w:rPr>
        <w:rFonts w:ascii="Calibri" w:hAnsi="Calibri" w:eastAsia="宋体" w:cs="Times New Roman"/>
        <w:szCs w:val="22"/>
      </w:rPr>
      <w:t>34</w:t>
    </w:r>
    <w:r>
      <w:rPr>
        <w:rFonts w:ascii="Calibri" w:hAnsi="Calibri" w:eastAsia="宋体" w:cs="Times New Roman"/>
        <w:szCs w:val="22"/>
      </w:rPr>
      <w:fldChar w:fldCharType="end"/>
    </w:r>
  </w:p>
  <w:p w14:paraId="42EEE5CB">
    <w:pPr>
      <w:ind w:firstLine="420"/>
      <w:rPr>
        <w:rFonts w:ascii="Calibri" w:hAnsi="Calibri" w:eastAsia="宋体" w:cs="Times New Roman"/>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E86B">
    <w:pPr>
      <w:ind w:firstLine="420"/>
      <w:rPr>
        <w:rFonts w:ascii="Calibri" w:hAnsi="Calibri" w:eastAsia="宋体" w:cs="Times New Roman"/>
        <w:szCs w:val="22"/>
      </w:rPr>
    </w:pPr>
    <w:r>
      <w:rPr>
        <w:rFonts w:ascii="Calibri" w:hAnsi="Calibri" w:eastAsia="宋体" w:cs="Times New Roman"/>
        <w:sz w:val="21"/>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1AF01">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w:fldChar w:fldCharType="begin"/>
                          </w:r>
                          <w:r>
                            <w:rPr>
                              <w:rFonts w:ascii="Calibri" w:hAnsi="Calibri" w:eastAsia="宋体" w:cs="Times New Roman"/>
                              <w:kern w:val="2"/>
                              <w:sz w:val="18"/>
                              <w:szCs w:val="22"/>
                              <w:lang w:val="en-US" w:eastAsia="zh-CN" w:bidi="ar-SA"/>
                            </w:rPr>
                            <w:instrText xml:space="preserve"> PAGE  \* MERGEFORMAT </w:instrText>
                          </w:r>
                          <w:r>
                            <w:rPr>
                              <w:rFonts w:ascii="Calibri" w:hAnsi="Calibri" w:eastAsia="宋体" w:cs="Times New Roman"/>
                              <w:kern w:val="2"/>
                              <w:sz w:val="18"/>
                              <w:szCs w:val="22"/>
                              <w:lang w:val="en-US" w:eastAsia="zh-CN" w:bidi="ar-SA"/>
                            </w:rPr>
                            <w:fldChar w:fldCharType="separate"/>
                          </w:r>
                          <w:r>
                            <w:rPr>
                              <w:rFonts w:ascii="Calibri" w:hAnsi="Calibri" w:eastAsia="宋体" w:cs="Times New Roman"/>
                              <w:kern w:val="2"/>
                              <w:sz w:val="18"/>
                              <w:szCs w:val="22"/>
                              <w:lang w:val="en-US" w:eastAsia="zh-CN" w:bidi="ar-SA"/>
                            </w:rPr>
                            <w:t>1</w:t>
                          </w:r>
                          <w:r>
                            <w:rPr>
                              <w:rFonts w:ascii="Calibri" w:hAnsi="Calibri" w:eastAsia="宋体"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961AF01">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w:fldChar w:fldCharType="begin"/>
                    </w:r>
                    <w:r>
                      <w:rPr>
                        <w:rFonts w:ascii="Calibri" w:hAnsi="Calibri" w:eastAsia="宋体" w:cs="Times New Roman"/>
                        <w:kern w:val="2"/>
                        <w:sz w:val="18"/>
                        <w:szCs w:val="22"/>
                        <w:lang w:val="en-US" w:eastAsia="zh-CN" w:bidi="ar-SA"/>
                      </w:rPr>
                      <w:instrText xml:space="preserve"> PAGE  \* MERGEFORMAT </w:instrText>
                    </w:r>
                    <w:r>
                      <w:rPr>
                        <w:rFonts w:ascii="Calibri" w:hAnsi="Calibri" w:eastAsia="宋体" w:cs="Times New Roman"/>
                        <w:kern w:val="2"/>
                        <w:sz w:val="18"/>
                        <w:szCs w:val="22"/>
                        <w:lang w:val="en-US" w:eastAsia="zh-CN" w:bidi="ar-SA"/>
                      </w:rPr>
                      <w:fldChar w:fldCharType="separate"/>
                    </w:r>
                    <w:r>
                      <w:rPr>
                        <w:rFonts w:ascii="Calibri" w:hAnsi="Calibri" w:eastAsia="宋体" w:cs="Times New Roman"/>
                        <w:kern w:val="2"/>
                        <w:sz w:val="18"/>
                        <w:szCs w:val="22"/>
                        <w:lang w:val="en-US" w:eastAsia="zh-CN" w:bidi="ar-SA"/>
                      </w:rPr>
                      <w:t>1</w:t>
                    </w:r>
                    <w:r>
                      <w:rPr>
                        <w:rFonts w:ascii="Calibri" w:hAnsi="Calibri" w:eastAsia="宋体" w:cs="Times New Roman"/>
                        <w:kern w:val="2"/>
                        <w:sz w:val="18"/>
                        <w:szCs w:val="22"/>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D1C1">
    <w:pPr>
      <w:pBdr>
        <w:bottom w:val="none" w:color="auto" w:sz="0" w:space="1"/>
      </w:pBdr>
      <w:rPr>
        <w:rFonts w:ascii="Calibri" w:hAnsi="Calibri" w:eastAsia="宋体" w:cs="Times New Roma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A9F9">
    <w:pPr>
      <w:ind w:firstLine="420"/>
      <w:rPr>
        <w:rFonts w:ascii="Calibri" w:hAnsi="Calibri" w:eastAsia="宋体" w:cs="Times New Roman"/>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FF9E">
    <w:pPr>
      <w:ind w:firstLine="420"/>
      <w:rPr>
        <w:rFonts w:ascii="Calibri" w:hAnsi="Calibri" w:eastAsia="宋体" w:cs="Times New Roman"/>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0E0A5"/>
    <w:multiLevelType w:val="singleLevel"/>
    <w:tmpl w:val="E4F0E0A5"/>
    <w:lvl w:ilvl="0" w:tentative="0">
      <w:start w:val="7"/>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360"/>
        </w:tabs>
        <w:ind w:left="284" w:hanging="284"/>
      </w:pPr>
      <w:rPr>
        <w:rFonts w:ascii="Times New Roman" w:hAnsi="Times New Roman"/>
        <w:b/>
        <w:i w:val="0"/>
        <w:sz w:val="28"/>
      </w:rPr>
    </w:lvl>
    <w:lvl w:ilvl="1" w:tentative="0">
      <w:start w:val="1"/>
      <w:numFmt w:val="decimal"/>
      <w:pStyle w:val="16"/>
      <w:lvlText w:val="%1.%2"/>
      <w:lvlJc w:val="left"/>
      <w:pPr>
        <w:tabs>
          <w:tab w:val="left" w:pos="1021"/>
        </w:tabs>
        <w:ind w:left="1021" w:hanging="596"/>
      </w:pPr>
      <w:rPr>
        <w:rFonts w:ascii="Times New Roman" w:hAnsi="Times New Roman"/>
        <w:b/>
        <w:i w:val="0"/>
        <w:sz w:val="28"/>
      </w:rPr>
    </w:lvl>
    <w:lvl w:ilvl="2" w:tentative="0">
      <w:start w:val="1"/>
      <w:numFmt w:val="decimal"/>
      <w:lvlText w:val="%1.%2.%3"/>
      <w:lvlJc w:val="left"/>
      <w:pPr>
        <w:tabs>
          <w:tab w:val="left" w:pos="1588"/>
        </w:tabs>
        <w:ind w:left="1588" w:hanging="737"/>
      </w:pPr>
      <w:rPr>
        <w:rFonts w:ascii="Times New Roman" w:hAnsi="Times New Roman"/>
        <w:b/>
        <w:i w:val="0"/>
        <w:sz w:val="24"/>
      </w:rPr>
    </w:lvl>
    <w:lvl w:ilvl="3" w:tentative="0">
      <w:start w:val="1"/>
      <w:numFmt w:val="decimal"/>
      <w:lvlText w:val="%1.%2.%3.%4"/>
      <w:lvlJc w:val="left"/>
      <w:pPr>
        <w:tabs>
          <w:tab w:val="left" w:pos="2155"/>
        </w:tabs>
        <w:ind w:left="2155" w:hanging="1078"/>
      </w:pPr>
      <w:rPr>
        <w:rFonts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20B6157B"/>
    <w:multiLevelType w:val="multilevel"/>
    <w:tmpl w:val="20B6157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66019"/>
    <w:rsid w:val="017A5A39"/>
    <w:rsid w:val="040D6474"/>
    <w:rsid w:val="04875745"/>
    <w:rsid w:val="06853934"/>
    <w:rsid w:val="07F43A9E"/>
    <w:rsid w:val="09AE701A"/>
    <w:rsid w:val="0B9E2C4F"/>
    <w:rsid w:val="0BE640BF"/>
    <w:rsid w:val="0D0879E1"/>
    <w:rsid w:val="0EAD7C8D"/>
    <w:rsid w:val="0F9A7DAE"/>
    <w:rsid w:val="102A407F"/>
    <w:rsid w:val="104355C3"/>
    <w:rsid w:val="126E7722"/>
    <w:rsid w:val="12904312"/>
    <w:rsid w:val="17374F14"/>
    <w:rsid w:val="178C3CF3"/>
    <w:rsid w:val="17E66019"/>
    <w:rsid w:val="18DD37FB"/>
    <w:rsid w:val="19102702"/>
    <w:rsid w:val="19325F8D"/>
    <w:rsid w:val="19B8054C"/>
    <w:rsid w:val="1CE86EC0"/>
    <w:rsid w:val="1FC95BF4"/>
    <w:rsid w:val="1FCD7B79"/>
    <w:rsid w:val="208B6CC9"/>
    <w:rsid w:val="20DD1FC2"/>
    <w:rsid w:val="215D68C4"/>
    <w:rsid w:val="21B56656"/>
    <w:rsid w:val="295A37DF"/>
    <w:rsid w:val="2CEB72F1"/>
    <w:rsid w:val="31786504"/>
    <w:rsid w:val="31C93CED"/>
    <w:rsid w:val="34957682"/>
    <w:rsid w:val="359B1EC5"/>
    <w:rsid w:val="36EB7E4D"/>
    <w:rsid w:val="37353FEC"/>
    <w:rsid w:val="37391D4E"/>
    <w:rsid w:val="37B3246E"/>
    <w:rsid w:val="39B03675"/>
    <w:rsid w:val="3A5D7D74"/>
    <w:rsid w:val="3D585EA6"/>
    <w:rsid w:val="3EA04702"/>
    <w:rsid w:val="3F1A78F2"/>
    <w:rsid w:val="41B50218"/>
    <w:rsid w:val="448A3E94"/>
    <w:rsid w:val="459E5B8E"/>
    <w:rsid w:val="45B64A16"/>
    <w:rsid w:val="46761547"/>
    <w:rsid w:val="48D2721B"/>
    <w:rsid w:val="48F646F7"/>
    <w:rsid w:val="499917D4"/>
    <w:rsid w:val="4D5271DA"/>
    <w:rsid w:val="4E054C28"/>
    <w:rsid w:val="4E7E12B5"/>
    <w:rsid w:val="51EF400F"/>
    <w:rsid w:val="551C60C2"/>
    <w:rsid w:val="557A2D58"/>
    <w:rsid w:val="569B62E9"/>
    <w:rsid w:val="577E575A"/>
    <w:rsid w:val="58B36179"/>
    <w:rsid w:val="5B1233D8"/>
    <w:rsid w:val="5B8046EB"/>
    <w:rsid w:val="5DB55CCD"/>
    <w:rsid w:val="5E3F1F4F"/>
    <w:rsid w:val="5E741A32"/>
    <w:rsid w:val="5F3D2D36"/>
    <w:rsid w:val="60F05737"/>
    <w:rsid w:val="61765C08"/>
    <w:rsid w:val="63C411DD"/>
    <w:rsid w:val="668D13A7"/>
    <w:rsid w:val="6B2C05AD"/>
    <w:rsid w:val="6CFF3306"/>
    <w:rsid w:val="6DC7350C"/>
    <w:rsid w:val="6E730891"/>
    <w:rsid w:val="73677B82"/>
    <w:rsid w:val="743A31DF"/>
    <w:rsid w:val="758B1779"/>
    <w:rsid w:val="75DD115A"/>
    <w:rsid w:val="77517BD9"/>
    <w:rsid w:val="77A63959"/>
    <w:rsid w:val="77B2066E"/>
    <w:rsid w:val="7BE7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rPr>
      <w:rFonts w:ascii="Calibri" w:hAnsi="Calibri" w:eastAsia="宋体" w:cs="Times New Roman"/>
    </w:rPr>
  </w:style>
  <w:style w:type="paragraph" w:styleId="4">
    <w:name w:val="Body Text Indent"/>
    <w:basedOn w:val="1"/>
    <w:next w:val="5"/>
    <w:unhideWhenUsed/>
    <w:qFormat/>
    <w:uiPriority w:val="0"/>
    <w:pPr>
      <w:spacing w:after="120"/>
      <w:ind w:left="420"/>
    </w:pPr>
  </w:style>
  <w:style w:type="paragraph" w:styleId="5">
    <w:name w:val="envelope return"/>
    <w:basedOn w:val="1"/>
    <w:qFormat/>
    <w:uiPriority w:val="0"/>
    <w:rPr>
      <w:rFonts w:ascii="Arial" w:hAnsi="Arial" w:eastAsia="宋体" w:cs="宋体"/>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spacing w:after="0" w:line="360" w:lineRule="auto"/>
      <w:ind w:left="0" w:firstLine="420"/>
    </w:pPr>
    <w:rPr>
      <w:rFonts w:ascii="宋体" w:hAnsi="宋体" w:eastAsia="宋体" w:cs="Times New Roman"/>
      <w:szCs w:val="20"/>
    </w:rPr>
  </w:style>
  <w:style w:type="character" w:styleId="10">
    <w:name w:val="Strong"/>
    <w:basedOn w:val="9"/>
    <w:qFormat/>
    <w:uiPriority w:val="0"/>
    <w:rPr>
      <w:b/>
    </w:rPr>
  </w:style>
  <w:style w:type="character" w:styleId="11">
    <w:name w:val="Emphasis"/>
    <w:basedOn w:val="9"/>
    <w:qFormat/>
    <w:uiPriority w:val="0"/>
    <w:rPr>
      <w:i/>
    </w:rPr>
  </w:style>
  <w:style w:type="table" w:customStyle="1" w:styleId="12">
    <w:name w:val="TableGrid"/>
    <w:autoRedefine/>
    <w:qFormat/>
    <w:uiPriority w:val="0"/>
    <w:rPr>
      <w:kern w:val="0"/>
      <w:sz w:val="20"/>
      <w:szCs w:val="20"/>
    </w:rPr>
    <w:tblPr>
      <w:tblCellMar>
        <w:top w:w="0" w:type="dxa"/>
        <w:left w:w="0" w:type="dxa"/>
        <w:bottom w:w="0" w:type="dxa"/>
        <w:right w:w="0" w:type="dxa"/>
      </w:tblCellMar>
    </w:tbl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11"/>
    <w:basedOn w:val="9"/>
    <w:qFormat/>
    <w:uiPriority w:val="0"/>
    <w:rPr>
      <w:rFonts w:hint="default" w:ascii="方正仿宋_GBK" w:hAnsi="方正仿宋_GBK" w:eastAsia="方正仿宋_GBK" w:cs="方正仿宋_GBK"/>
      <w:color w:val="000000"/>
      <w:sz w:val="20"/>
      <w:szCs w:val="20"/>
      <w:u w:val="none"/>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标题 211"/>
    <w:next w:val="1"/>
    <w:qFormat/>
    <w:uiPriority w:val="0"/>
    <w:pPr>
      <w:keepNext/>
      <w:widowControl w:val="0"/>
      <w:numPr>
        <w:ilvl w:val="1"/>
        <w:numId w:val="1"/>
      </w:numPr>
      <w:spacing w:line="360" w:lineRule="auto"/>
      <w:ind w:firstLine="922"/>
      <w:jc w:val="both"/>
      <w:outlineLvl w:val="1"/>
    </w:pPr>
    <w:rPr>
      <w:rFonts w:hint="default" w:ascii="Times New Roman" w:hAnsi="Times New Roman" w:eastAsia="黑体" w:cs="Times New Roman"/>
      <w:b/>
      <w:sz w:val="28"/>
      <w:szCs w:val="20"/>
      <w:lang w:val="en-US" w:eastAsia="zh-CN" w:bidi="ar-SA"/>
    </w:rPr>
  </w:style>
  <w:style w:type="paragraph" w:customStyle="1" w:styleId="17">
    <w:name w:val="纯文本11"/>
    <w:next w:val="1"/>
    <w:qFormat/>
    <w:uiPriority w:val="0"/>
    <w:pPr>
      <w:widowControl w:val="0"/>
      <w:spacing w:line="360" w:lineRule="auto"/>
      <w:ind w:firstLine="922"/>
      <w:jc w:val="both"/>
    </w:pPr>
    <w:rPr>
      <w:rFonts w:hint="default" w:ascii="宋体" w:hAnsi="Courier New"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20423</Words>
  <Characters>21766</Characters>
  <Lines>0</Lines>
  <Paragraphs>0</Paragraphs>
  <TotalTime>41</TotalTime>
  <ScaleCrop>false</ScaleCrop>
  <LinksUpToDate>false</LinksUpToDate>
  <CharactersWithSpaces>22785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2026-03-26T06:06:00Z</dcterms:created>
  <dc:creator>小崔</dc:creator>
  <cp:lastModifiedBy>小崔</cp:lastModifiedBy>
  <dcterms:modified xsi:type="dcterms:W3CDTF">2026-04-13T07:13:04Z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81EF39922D9F4BE9AD99DE2D8F7920DF_13</vt:lpwstr>
  </property>
  <property fmtid="{D5CDD505-2E9C-101B-9397-08002B2CF9AE}" pid="4" name="KSOTemplateDocerSaveRecord">
    <vt:lpwstr>eyJoZGlkIjoiMWM0ODcxMDhmNTg2MGQ5ZDY4YzMzOGE1ZjBiZjI2ZjgiLCJ1c2VySWQiOiI0MTU3ODA2MjUifQ==</vt:lpwstr>
  </property>
</Properties>
</file>