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JSZC-320200-PXGJ-G2026-0026</w:t>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无锡市中医医院医用液氧、瓶氧及其他医用气体采购项目（</w:t>
      </w:r>
      <w:r>
        <w:rPr>
          <w:rFonts w:hint="eastAsia" w:ascii="Arial" w:hAnsi="Arial" w:eastAsia="宋体"/>
          <w:bCs/>
          <w:color w:val="auto"/>
          <w:sz w:val="30"/>
          <w:szCs w:val="30"/>
          <w:highlight w:val="none"/>
          <w:lang w:val="en-US" w:eastAsia="zh-CN"/>
        </w:rPr>
        <w:t xml:space="preserve">第二次）</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四</w:t>
      </w:r>
      <w:r>
        <w:rPr>
          <w:rFonts w:hint="eastAsia" w:ascii="宋体" w:hAnsi="宋体" w:eastAsia="宋体" w:cs="宋体"/>
          <w:bCs/>
          <w:color w:val="auto"/>
          <w:sz w:val="44"/>
          <w:szCs w:val="44"/>
          <w:highlight w:val="none"/>
        </w:rPr>
        <w:t xml:space="preserve">月</w:t>
      </w:r>
      <w:r/>
    </w:p>
    <w:p>
      <w:pPr>
        <w:spacing w:line="360" w:lineRule="auto"/>
        <w:rPr>
          <w:rStyle w:val="890"/>
          <w:rFonts w:ascii="Arial" w:hAnsi="Arial"/>
          <w:bCs/>
          <w:color w:val="auto"/>
          <w:sz w:val="48"/>
          <w:highlight w:val="none"/>
        </w:rPr>
      </w:pPr>
      <w:r>
        <w:rPr>
          <w:rFonts w:ascii="Arial" w:hAnsi="Arial"/>
          <w:bCs/>
          <w:color w:val="auto"/>
          <w:sz w:val="48"/>
          <w:highlight w:val="none"/>
        </w:rPr>
      </w:r>
      <w:r/>
    </w:p>
    <w:p>
      <w:pPr>
        <w:jc w:val="center"/>
        <w:spacing w:line="360" w:lineRule="auto"/>
        <w:rPr>
          <w:rStyle w:val="890"/>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90"/>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890"/>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90"/>
          <w:rFonts w:ascii="Arial" w:hAnsi="Arial"/>
          <w:bCs/>
          <w:color w:val="auto"/>
          <w:sz w:val="48"/>
          <w:highlight w:val="none"/>
          <w:u w:val="none"/>
        </w:rPr>
      </w:pPr>
      <w:r>
        <w:rPr>
          <w:rFonts w:ascii="Arial" w:hAnsi="Arial"/>
          <w:bCs/>
          <w:color w:val="auto"/>
          <w:sz w:val="48"/>
          <w:highlight w:val="none"/>
          <w:u w:val="none"/>
        </w:rPr>
      </w:r>
      <w:r/>
    </w:p>
    <w:p>
      <w:pPr>
        <w:pStyle w:val="1197"/>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31"/>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无锡市中医医院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无锡市中医医院医用液氧、瓶氧及其他医用气体采购项目（</w:t>
      </w:r>
      <w:r>
        <w:rPr>
          <w:rFonts w:hint="eastAsia" w:ascii="Arial" w:hAnsi="Arial" w:eastAsia="宋体"/>
          <w:bCs/>
          <w:color w:val="auto"/>
          <w:sz w:val="24"/>
          <w:szCs w:val="24"/>
          <w:highlight w:val="none"/>
          <w:u w:val="single"/>
          <w:lang w:val="en-US" w:eastAsia="zh-CN"/>
        </w:rPr>
        <w:t xml:space="preserve">第二次）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无锡市中医医院医用液氧、瓶氧及其他医用气体采购项目</w:t>
      </w:r>
      <w:r>
        <w:rPr>
          <w:rFonts w:hint="eastAsia" w:ascii="Arial" w:hAnsi="Arial" w:eastAsia="宋体"/>
          <w:bCs/>
          <w:color w:val="auto"/>
          <w:sz w:val="24"/>
          <w:szCs w:val="24"/>
          <w:highlight w:val="none"/>
          <w:u w:val="single"/>
          <w:lang w:eastAsia="zh-CN"/>
        </w:rPr>
        <w:t xml:space="preserve">（</w:t>
      </w:r>
      <w:r>
        <w:rPr>
          <w:rFonts w:hint="eastAsia" w:ascii="Arial" w:hAnsi="Arial" w:eastAsia="宋体"/>
          <w:bCs/>
          <w:color w:val="auto"/>
          <w:sz w:val="24"/>
          <w:szCs w:val="24"/>
          <w:highlight w:val="none"/>
          <w:u w:val="single"/>
          <w:lang w:val="en-US" w:eastAsia="zh-CN"/>
        </w:rPr>
        <w:t xml:space="preserve">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无锡市中医医院医用液氧、瓶氧及其他医用气体采购项目（</w:t>
      </w:r>
      <w:r>
        <w:rPr>
          <w:rFonts w:hint="eastAsia" w:ascii="Arial" w:hAnsi="Arial" w:eastAsia="宋体" w:cs="宋体"/>
          <w:color w:val="auto"/>
          <w:sz w:val="24"/>
          <w:szCs w:val="24"/>
          <w:highlight w:val="none"/>
          <w:lang w:val="en-US" w:eastAsia="zh-CN"/>
        </w:rPr>
        <w:t xml:space="preserve">第二次）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JSZC-320200-PXGJ-G2026-0026</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3.</w:t>
      </w:r>
      <w:r>
        <w:rPr>
          <w:rFonts w:ascii="Arial" w:hAnsi="Arial" w:cs="宋体"/>
          <w:color w:val="auto"/>
          <w:sz w:val="24"/>
          <w:szCs w:val="24"/>
          <w:highlight w:val="none"/>
        </w:rPr>
        <w:t xml:space="preserve">项目</w:t>
      </w:r>
      <w:r>
        <w:rPr>
          <w:rFonts w:hint="eastAsia" w:ascii="Arial" w:hAnsi="Arial"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万元/年；</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rPr>
          <w:rFonts w:hint="eastAsia" w:ascii="宋体" w:hAnsi="宋体" w:eastAsia="宋体" w:cs="宋体"/>
          <w:color w:val="auto"/>
          <w:sz w:val="24"/>
          <w:szCs w:val="24"/>
          <w:highlight w:val="none"/>
          <w:lang w:val="en-US" w:eastAsia="zh-CN"/>
        </w:rPr>
        <w:t xml:space="preserve">为规范采购流程、降低采购成本、保障临床诊疗（手术室、ICU、急诊转运等）及科研（创新中心）场景的气体供应安全及时，现对全院所需医用液氧、瓶装氧气及其他辅助医用气体实施统一集中采购。具体内容</w:t>
      </w:r>
      <w:r>
        <w:rPr>
          <w:rFonts w:hint="eastAsia" w:ascii="宋体" w:hAnsi="宋体" w:eastAsia="宋体" w:cs="宋体"/>
          <w:color w:val="auto"/>
          <w:sz w:val="24"/>
          <w:szCs w:val="24"/>
          <w:highlight w:val="none"/>
        </w:rPr>
        <w:t xml:space="preserve">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5.服务期限：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（自合同签订之日起算）</w:t>
      </w:r>
      <w:r>
        <w:rPr>
          <w:rFonts w:hint="eastAsia" w:ascii="宋体" w:hAnsi="宋体" w:eastAsia="宋体" w:cs="宋体"/>
          <w:color w:val="auto"/>
          <w:sz w:val="24"/>
          <w:szCs w:val="24"/>
          <w:highlight w:val="none"/>
        </w:rPr>
        <w:t xml:space="preserve">；服务期期满或累计服务费达到预算限额，其中任意一项最先达到即为本项目完成。</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8.本项目无需提交履约保证金。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cs="Times New Roman"/>
          <w:color w:val="auto"/>
          <w:sz w:val="24"/>
          <w:szCs w:val="24"/>
          <w:highlight w:val="none"/>
        </w:rPr>
        <w:t xml:space="preserve">采购人根据采购项目的特殊要求规定的特定条件，并提供符合特殊要求的证明材料</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（1）如投标人为气体制造商：必须同时具备有效期内的《药品生产许可证》</w:t>
      </w:r>
      <w:r>
        <w:rPr>
          <w:rFonts w:hint="eastAsia" w:ascii="宋体" w:hAnsi="宋体" w:eastAsia="宋体" w:cs="宋体"/>
          <w:bCs/>
          <w:color w:val="auto"/>
          <w:sz w:val="24"/>
          <w:highlight w:val="none"/>
        </w:rPr>
        <w:t xml:space="preserve">（许可范围包含</w:t>
      </w:r>
      <w:r>
        <w:rPr>
          <w:rFonts w:hint="eastAsia" w:ascii="宋体" w:hAnsi="宋体" w:eastAsia="宋体" w:cs="宋体"/>
          <w:bCs/>
          <w:color w:val="auto"/>
          <w:sz w:val="24"/>
          <w:highlight w:val="none"/>
          <w:lang w:val="en-US" w:eastAsia="zh-CN"/>
        </w:rPr>
        <w:t xml:space="preserve">医用氧</w:t>
      </w:r>
      <w:r>
        <w:rPr>
          <w:rFonts w:hint="eastAsia" w:ascii="宋体" w:hAnsi="宋体" w:eastAsia="宋体" w:cs="宋体"/>
          <w:bCs/>
          <w:color w:val="auto"/>
          <w:sz w:val="24"/>
          <w:highlight w:val="none"/>
        </w:rPr>
        <w:t xml:space="preserve">）</w:t>
      </w:r>
      <w:r>
        <w:rPr>
          <w:rFonts w:ascii="宋体" w:hAnsi="宋体" w:eastAsia="宋体" w:cs="宋体"/>
          <w:color w:val="auto"/>
          <w:sz w:val="24"/>
          <w:szCs w:val="24"/>
          <w:highlight w:val="none"/>
        </w:rPr>
        <w:t xml:space="preserve">、《安全生产许可证</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危险化学品经营许可证》</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经营范围须明确包含氧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二氧化碳、氮、一氧化碳等气体范围类别</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，（投标人需提供上述证书复印件并加盖投标人单位公章）。</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如投标人为代理商/经销商</w:t>
      </w:r>
      <w:r>
        <w:rPr>
          <w:rFonts w:hint="eastAsia" w:ascii="宋体" w:hAnsi="宋体" w:eastAsia="宋体" w:cs="宋体"/>
          <w:color w:val="auto"/>
          <w:sz w:val="24"/>
          <w:szCs w:val="24"/>
          <w:highlight w:val="none"/>
          <w:lang w:val="en-US" w:eastAsia="zh-CN"/>
        </w:rPr>
        <w:t xml:space="preserve">需同时具备以下条件</w:t>
      </w:r>
      <w:r>
        <w:rPr>
          <w:rFonts w:ascii="宋体" w:hAnsi="宋体" w:eastAsia="宋体" w:cs="宋体"/>
          <w:color w:val="auto"/>
          <w:sz w:val="24"/>
          <w:szCs w:val="24"/>
          <w:highlight w:val="none"/>
        </w:rPr>
        <w:t xml:space="preserve">：</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a. 必须同时具备有效期内的《药品经营许可证》</w:t>
      </w:r>
      <w:r>
        <w:rPr>
          <w:rFonts w:hint="eastAsia" w:ascii="宋体" w:hAnsi="宋体" w:eastAsia="宋体" w:cs="宋体"/>
          <w:bCs/>
          <w:color w:val="auto"/>
          <w:sz w:val="24"/>
          <w:highlight w:val="none"/>
        </w:rPr>
        <w:t xml:space="preserve">（许可范围包含</w:t>
      </w:r>
      <w:r>
        <w:rPr>
          <w:rFonts w:hint="eastAsia" w:ascii="宋体" w:hAnsi="宋体" w:eastAsia="宋体" w:cs="宋体"/>
          <w:bCs/>
          <w:color w:val="auto"/>
          <w:sz w:val="24"/>
          <w:highlight w:val="none"/>
          <w:lang w:val="en-US" w:eastAsia="zh-CN"/>
        </w:rPr>
        <w:t xml:space="preserve">医用氧</w:t>
      </w:r>
      <w:r>
        <w:rPr>
          <w:rFonts w:hint="eastAsia" w:ascii="宋体" w:hAnsi="宋体" w:eastAsia="宋体" w:cs="宋体"/>
          <w:bCs/>
          <w:color w:val="auto"/>
          <w:sz w:val="24"/>
          <w:highlight w:val="none"/>
        </w:rPr>
        <w:t xml:space="preserve">）</w:t>
      </w:r>
      <w:r>
        <w:rPr>
          <w:rFonts w:hint="eastAsia" w:ascii="宋体" w:hAnsi="宋体" w:eastAsia="宋体" w:cs="宋体"/>
          <w:bCs/>
          <w:strike w:val="0"/>
          <w:color w:val="auto"/>
          <w:sz w:val="24"/>
          <w:highlight w:val="none"/>
          <w:lang w:val="en-US" w:eastAsia="zh-CN"/>
        </w:rPr>
        <w:t xml:space="preserve">或当地药监部门公示的医用氧经营备案信息等符合相关规定的医用氧经营资质</w:t>
      </w:r>
      <w:r>
        <w:rPr>
          <w:rFonts w:ascii="宋体" w:hAnsi="宋体" w:eastAsia="宋体" w:cs="宋体"/>
          <w:strike w:val="0"/>
          <w:color w:val="auto"/>
          <w:sz w:val="24"/>
          <w:szCs w:val="24"/>
          <w:highlight w:val="none"/>
        </w:rPr>
        <w:t xml:space="preserve">、</w:t>
      </w:r>
      <w:r>
        <w:rPr>
          <w:rFonts w:ascii="宋体" w:hAnsi="宋体" w:eastAsia="宋体" w:cs="宋体"/>
          <w:color w:val="auto"/>
          <w:sz w:val="24"/>
          <w:szCs w:val="24"/>
          <w:highlight w:val="none"/>
        </w:rPr>
        <w:t xml:space="preserve">《危险化学品经营许可证》</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经营范围须明确包含氧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二氧化碳、氮、一氧化碳等气体范围类别</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（投标人需提供上述证书复印件并加盖投标人单位公章）；</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b. 必须提供其气体制造商有效期内的《药品生产许可证》</w:t>
      </w:r>
      <w:r>
        <w:rPr>
          <w:rFonts w:hint="eastAsia" w:ascii="宋体" w:hAnsi="宋体" w:eastAsia="宋体" w:cs="宋体"/>
          <w:bCs/>
          <w:color w:val="auto"/>
          <w:sz w:val="24"/>
          <w:highlight w:val="none"/>
        </w:rPr>
        <w:t xml:space="preserve">（许可范围包含</w:t>
      </w:r>
      <w:r>
        <w:rPr>
          <w:rFonts w:hint="eastAsia" w:ascii="宋体" w:hAnsi="宋体" w:eastAsia="宋体" w:cs="宋体"/>
          <w:bCs/>
          <w:color w:val="auto"/>
          <w:sz w:val="24"/>
          <w:highlight w:val="none"/>
          <w:lang w:val="en-US" w:eastAsia="zh-CN"/>
        </w:rPr>
        <w:t xml:space="preserve">医用氧</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olor w:val="auto"/>
          <w:sz w:val="24"/>
          <w:szCs w:val="24"/>
          <w:highlight w:val="none"/>
        </w:rPr>
        <w:t xml:space="preserve">《安全生产许可证</w:t>
      </w:r>
      <w:r>
        <w:rPr>
          <w:rFonts w:hint="eastAsia" w:ascii="宋体" w:hAnsi="宋体" w:eastAsia="宋体"/>
          <w:color w:val="auto"/>
          <w:sz w:val="24"/>
          <w:szCs w:val="24"/>
          <w:highlight w:val="none"/>
        </w:rPr>
        <w:t xml:space="preserve">》</w:t>
      </w:r>
      <w:r>
        <w:rPr>
          <w:rFonts w:ascii="宋体" w:hAnsi="宋体" w:eastAsia="宋体" w:cs="宋体"/>
          <w:color w:val="auto"/>
          <w:sz w:val="24"/>
          <w:szCs w:val="24"/>
          <w:highlight w:val="none"/>
        </w:rPr>
        <w:t xml:space="preserve">（复印件均须加盖该制造商单位公章）；</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（2）如气体由投标人负责充装，则提供投标人在有效期内的《气瓶充装许可证》；如非投标人自己充装，需提供充装单位有效期内的《气瓶充装许可证》</w:t>
      </w:r>
      <w:r>
        <w:rPr>
          <w:rFonts w:ascii="宋体" w:hAnsi="宋体" w:eastAsia="宋体" w:cs="宋体"/>
          <w:color w:val="auto"/>
          <w:sz w:val="24"/>
          <w:szCs w:val="24"/>
          <w:highlight w:val="none"/>
        </w:rPr>
        <w:t xml:space="preserve">以及提供与</w:t>
      </w:r>
      <w:r>
        <w:rPr>
          <w:rFonts w:hint="eastAsia" w:ascii="宋体" w:hAnsi="宋体" w:eastAsia="宋体" w:cs="宋体"/>
          <w:color w:val="auto"/>
          <w:sz w:val="24"/>
          <w:szCs w:val="24"/>
          <w:highlight w:val="none"/>
          <w:lang w:val="en-US" w:eastAsia="zh-CN"/>
        </w:rPr>
        <w:t xml:space="preserve">充装</w:t>
      </w:r>
      <w:r>
        <w:rPr>
          <w:rFonts w:ascii="宋体" w:hAnsi="宋体" w:eastAsia="宋体" w:cs="宋体"/>
          <w:color w:val="auto"/>
          <w:sz w:val="24"/>
          <w:szCs w:val="24"/>
          <w:highlight w:val="none"/>
        </w:rPr>
        <w:t xml:space="preserve">单位签订的有效协议</w:t>
      </w:r>
      <w:r>
        <w:rPr>
          <w:rFonts w:ascii="宋体" w:hAnsi="宋体" w:eastAsia="宋体" w:cs="宋体"/>
          <w:color w:val="auto"/>
          <w:sz w:val="24"/>
          <w:szCs w:val="24"/>
          <w:highlight w:val="none"/>
        </w:rPr>
        <w:t xml:space="preserve">（投标人需提供上述证书复印件并加盖</w:t>
      </w:r>
      <w:r>
        <w:rPr>
          <w:rFonts w:hint="eastAsia" w:ascii="宋体" w:hAnsi="宋体" w:eastAsia="宋体" w:cs="宋体"/>
          <w:color w:val="auto"/>
          <w:sz w:val="24"/>
          <w:szCs w:val="24"/>
          <w:highlight w:val="none"/>
          <w:lang w:val="en-US" w:eastAsia="zh-CN"/>
        </w:rPr>
        <w:t xml:space="preserve">投标人</w:t>
      </w:r>
      <w:r>
        <w:rPr>
          <w:rFonts w:ascii="宋体" w:hAnsi="宋体" w:eastAsia="宋体" w:cs="宋体"/>
          <w:color w:val="auto"/>
          <w:sz w:val="24"/>
          <w:szCs w:val="24"/>
          <w:highlight w:val="none"/>
        </w:rPr>
        <w:t xml:space="preserve">公章）。</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（3）投标人所投</w:t>
      </w:r>
      <w:r>
        <w:rPr>
          <w:rFonts w:hint="eastAsia" w:ascii="宋体" w:hAnsi="宋体" w:eastAsia="宋体" w:cs="宋体"/>
          <w:color w:val="auto"/>
          <w:sz w:val="24"/>
          <w:szCs w:val="24"/>
          <w:highlight w:val="none"/>
          <w:lang w:val="en-US" w:eastAsia="zh-CN"/>
        </w:rPr>
        <w:t xml:space="preserve">氧</w:t>
      </w:r>
      <w:r>
        <w:rPr>
          <w:rFonts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eastAsia="zh-CN"/>
        </w:rPr>
        <w:t xml:space="preserve">具有</w:t>
      </w:r>
      <w:r>
        <w:rPr>
          <w:rFonts w:ascii="宋体" w:hAnsi="宋体" w:eastAsia="宋体" w:cs="宋体"/>
          <w:color w:val="auto"/>
          <w:sz w:val="24"/>
          <w:szCs w:val="24"/>
          <w:highlight w:val="none"/>
        </w:rPr>
        <w:t xml:space="preserve">有效期内的《药品注册证》或《药品注册批件》或《药品再注册批件》（投标人需提供证书复印件并加盖投标人单位公章）；</w:t>
      </w:r>
      <w:r/>
    </w:p>
    <w:p>
      <w:pPr>
        <w:ind w:left="0" w:right="0" w:firstLine="424"/>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（4）投标人需提供有效期内的</w:t>
      </w:r>
      <w:r>
        <w:rPr>
          <w:rFonts w:hint="eastAsia" w:ascii="宋体" w:hAnsi="宋体" w:eastAsia="宋体" w:cs="宋体"/>
          <w:color w:val="auto"/>
          <w:sz w:val="24"/>
          <w:szCs w:val="24"/>
          <w:highlight w:val="none"/>
        </w:rPr>
        <w:t xml:space="preserve">《道路危险货物运输许可证》或</w:t>
      </w:r>
      <w:r>
        <w:rPr>
          <w:rFonts w:ascii="宋体" w:hAnsi="宋体" w:eastAsia="宋体" w:cs="宋体"/>
          <w:color w:val="auto"/>
          <w:sz w:val="24"/>
          <w:szCs w:val="24"/>
          <w:highlight w:val="none"/>
        </w:rPr>
        <w:t xml:space="preserve">《道路运输经营许可证》（含危险货物运输），如投标人委托具有相应资质的单位承担气体运输服务的，则投标人须提供该运输单位有效期内的《营业执照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《道路危险货物运输许可证》或</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道路运输经营许可证》（含危险货物运输），以及提供与运输单位签订的有效委托协议（投标人须提供上述协议和证书复印件，并加盖公章）。</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58"/>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bookmarkStart w:id="159" w:name="_GoBack"/>
      <w:r/>
      <w:bookmarkEnd w:id="159"/>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曾舒</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3057331267</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shd w:val="nil" w:color="auto"/>
        <w:rPr>
          <w:rFonts w:ascii="Arial" w:hAnsi="Arial"/>
          <w:b/>
          <w:bCs/>
          <w:color w:val="auto"/>
          <w:sz w:val="28"/>
          <w:szCs w:val="28"/>
          <w:highlight w:val="none"/>
        </w:rPr>
      </w:pPr>
      <w:r>
        <w:rPr>
          <w:highlight w:val="none"/>
        </w:rPr>
        <w:br w:type="page" w:clear="all"/>
      </w:r>
      <w:r>
        <w:rPr>
          <w:highlight w:val="none"/>
        </w:rPr>
      </w:r>
      <w:r/>
    </w:p>
    <w:p>
      <w:pPr>
        <w:jc w:val="center"/>
        <w:spacing w:line="360" w:lineRule="auto"/>
        <w:widowControl/>
        <w:rPr>
          <w:highlight w:val="none"/>
        </w:rPr>
      </w:pPr>
      <w:r>
        <w:rPr>
          <w:rFonts w:hint="eastAsia" w:ascii="黑体" w:hAnsi="黑体" w:eastAsia="黑体"/>
          <w:color w:val="auto"/>
          <w:sz w:val="36"/>
          <w:szCs w:val="36"/>
          <w:highlight w:val="none"/>
        </w:rPr>
        <w:t xml:space="preserve">第二章  </w:t>
      </w:r>
      <w:bookmarkEnd w:id="1"/>
      <w:r/>
      <w:bookmarkStart w:id="2" w:name="_Toc120614213"/>
      <w:r/>
      <w:bookmarkStart w:id="3" w:name="_Toc16938518"/>
      <w:r/>
      <w:bookmarkStart w:id="4" w:name="_Toc513029202"/>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58"/>
        <w:ind w:firstLine="452"/>
        <w:keepLines w:val="0"/>
        <w:keepNext w:val="0"/>
        <w:spacing w:before="0" w:after="0" w:line="360" w:lineRule="auto"/>
        <w:rPr>
          <w:color w:val="auto"/>
          <w:sz w:val="30"/>
          <w:szCs w:val="30"/>
          <w:highlight w:val="none"/>
          <w:lang w:eastAsia="zh-CN"/>
        </w:rPr>
      </w:pPr>
      <w:r/>
      <w:bookmarkStart w:id="6" w:name="_Toc120614214"/>
      <w:r/>
      <w:bookmarkStart w:id="7" w:name="_Toc513029203"/>
      <w:r/>
      <w:bookmarkStart w:id="8" w:name="_Toc20823275"/>
      <w:r/>
      <w:bookmarkStart w:id="9" w:name="_Toc16938519"/>
      <w:r>
        <w:rPr>
          <w:rFonts w:hint="eastAsia"/>
          <w:color w:val="auto"/>
          <w:sz w:val="30"/>
          <w:szCs w:val="30"/>
          <w:highlight w:val="none"/>
          <w:lang w:eastAsia="zh-CN"/>
        </w:rPr>
        <w:t xml:space="preserve">一、总则</w:t>
      </w:r>
      <w:bookmarkEnd w:id="6"/>
      <w:r/>
      <w:bookmarkEnd w:id="7"/>
      <w:r/>
      <w:bookmarkEnd w:id="8"/>
      <w:r/>
      <w:bookmarkEnd w:id="9"/>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20823276"/>
      <w:r/>
      <w:bookmarkStart w:id="12" w:name="_Toc16938520"/>
      <w:r/>
      <w:bookmarkStart w:id="13" w:name="_Toc513029204"/>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4" w:name="_Toc16938521"/>
      <w:r/>
      <w:bookmarkStart w:id="15" w:name="_Toc513029205"/>
      <w:r/>
      <w:bookmarkStart w:id="16" w:name="_Toc20823277"/>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16938522"/>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20" w:name="_Toc16938523"/>
      <w:r/>
      <w:bookmarkStart w:id="21" w:name="_Toc20823279"/>
      <w:r/>
      <w:bookmarkStart w:id="22" w:name="_Toc462564067"/>
      <w:r/>
      <w:bookmarkStart w:id="23" w:name="_Toc51302920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预算</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58"/>
        <w:ind w:firstLine="452"/>
        <w:keepLines w:val="0"/>
        <w:keepNext w:val="0"/>
        <w:spacing w:before="0" w:after="0" w:line="360" w:lineRule="auto"/>
        <w:rPr>
          <w:color w:val="auto"/>
          <w:sz w:val="30"/>
          <w:szCs w:val="30"/>
          <w:highlight w:val="none"/>
          <w:lang w:eastAsia="zh-CN"/>
        </w:rPr>
      </w:pPr>
      <w:r/>
      <w:bookmarkStart w:id="24" w:name="_Toc16938525"/>
      <w:r/>
      <w:bookmarkStart w:id="25" w:name="_Toc120614215"/>
      <w:r/>
      <w:bookmarkStart w:id="26" w:name="_Toc513029209"/>
      <w:r/>
      <w:bookmarkStart w:id="27" w:name="_Toc20823281"/>
      <w:r>
        <w:rPr>
          <w:rFonts w:hint="eastAsia"/>
          <w:color w:val="auto"/>
          <w:sz w:val="30"/>
          <w:szCs w:val="30"/>
          <w:highlight w:val="none"/>
          <w:lang w:eastAsia="zh-CN"/>
        </w:rPr>
        <w:t xml:space="preserve">二、招标文件</w:t>
      </w:r>
      <w:bookmarkEnd w:id="24"/>
      <w:r/>
      <w:bookmarkEnd w:id="25"/>
      <w:r/>
      <w:bookmarkEnd w:id="26"/>
      <w:r/>
      <w:bookmarkEnd w:id="27"/>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28" w:name="_Toc20823282"/>
      <w:r/>
      <w:bookmarkStart w:id="29" w:name="_Toc513029210"/>
      <w:r/>
      <w:bookmarkStart w:id="30" w:name="_Toc16938526"/>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31" w:name="_Toc513029211"/>
      <w:r/>
      <w:bookmarkStart w:id="32" w:name="_Toc16938527"/>
      <w:r/>
      <w:bookmarkStart w:id="33" w:name="_Toc462564070"/>
      <w:r/>
      <w:bookmarkStart w:id="34" w:name="_Toc20823283"/>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35" w:name="_Toc513029212"/>
      <w:r/>
      <w:bookmarkStart w:id="36" w:name="_Toc462564071"/>
      <w:r/>
      <w:bookmarkStart w:id="37" w:name="_Toc16938528"/>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58"/>
        <w:ind w:firstLine="452"/>
        <w:keepLines w:val="0"/>
        <w:keepNext w:val="0"/>
        <w:spacing w:before="0" w:after="0" w:line="360" w:lineRule="auto"/>
        <w:rPr>
          <w:color w:val="auto"/>
          <w:sz w:val="30"/>
          <w:szCs w:val="30"/>
          <w:highlight w:val="none"/>
          <w:lang w:eastAsia="zh-CN"/>
        </w:rPr>
      </w:pPr>
      <w:r/>
      <w:bookmarkStart w:id="39" w:name="_Toc20823285"/>
      <w:r/>
      <w:bookmarkStart w:id="40" w:name="_Toc462564072"/>
      <w:r/>
      <w:bookmarkStart w:id="41" w:name="_Toc513029213"/>
      <w:r/>
      <w:bookmarkStart w:id="42" w:name="_Toc16938529"/>
      <w:r/>
      <w:bookmarkStart w:id="43" w:name="_Toc120614216"/>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44" w:name="_Toc462564073"/>
      <w:r/>
      <w:bookmarkStart w:id="45" w:name="_Toc20823286"/>
      <w:r/>
      <w:bookmarkStart w:id="46" w:name="_Toc513029214"/>
      <w:r/>
      <w:bookmarkStart w:id="47" w:name="_Toc16938530"/>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48" w:name="_Toc20823287"/>
      <w:r/>
      <w:bookmarkStart w:id="49" w:name="_Toc513029215"/>
      <w:r/>
      <w:bookmarkStart w:id="50" w:name="_Toc462564074"/>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52" w:name="_Hlt26668975"/>
      <w:r/>
      <w:bookmarkEnd w:id="52"/>
      <w:r/>
      <w:bookmarkStart w:id="53" w:name="_Hlt26954838"/>
      <w:r/>
      <w:bookmarkEnd w:id="53"/>
      <w:r/>
      <w:bookmarkStart w:id="54" w:name="_Hlt26670360"/>
      <w:r/>
      <w:bookmarkEnd w:id="54"/>
      <w:r/>
      <w:bookmarkStart w:id="55" w:name="_Toc49090507"/>
      <w:r/>
      <w:bookmarkStart w:id="56" w:name="_Toc14577357"/>
      <w:r/>
      <w:bookmarkStart w:id="57" w:name="_Toc14577354"/>
      <w:r/>
      <w:bookmarkStart w:id="58" w:name="_Toc513029219"/>
      <w:r/>
      <w:bookmarkStart w:id="59" w:name="_Toc49090509"/>
      <w:r/>
      <w:bookmarkStart w:id="60" w:name="_Toc513029216"/>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49090508"/>
      <w:r/>
      <w:bookmarkStart w:id="62"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67" w:name="_Hlt26954842"/>
      <w:r/>
      <w:bookmarkEnd w:id="67"/>
      <w:r/>
      <w:bookmarkStart w:id="68" w:name="_Hlt26670425"/>
      <w:r/>
      <w:bookmarkEnd w:id="68"/>
      <w:r/>
      <w:bookmarkStart w:id="69" w:name="_Hlt26954844"/>
      <w:r/>
      <w:bookmarkEnd w:id="69"/>
      <w:r/>
      <w:bookmarkStart w:id="70" w:name="_Hlt26668983"/>
      <w:r/>
      <w:bookmarkEnd w:id="70"/>
      <w:r/>
      <w:bookmarkStart w:id="71" w:name="_Hlt26670486"/>
      <w:r/>
      <w:bookmarkEnd w:id="71"/>
      <w:r/>
      <w:bookmarkStart w:id="72" w:name="_Hlt26954731"/>
      <w:r/>
      <w:bookmarkEnd w:id="72"/>
      <w:r/>
      <w:bookmarkStart w:id="73" w:name="_Hlt26670482"/>
      <w:r/>
      <w:bookmarkEnd w:id="73"/>
      <w:r/>
      <w:bookmarkStart w:id="74" w:name="_Hlt26954848"/>
      <w:r/>
      <w:bookmarkEnd w:id="74"/>
      <w:r/>
      <w:bookmarkStart w:id="75" w:name="_Hlt26670403"/>
      <w:r/>
      <w:bookmarkEnd w:id="75"/>
      <w:r/>
      <w:bookmarkStart w:id="76" w:name="_Hlt2695484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58"/>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120614217"/>
      <w:r/>
      <w:bookmarkStart w:id="85" w:name="_Toc20823296"/>
      <w:r/>
      <w:bookmarkStart w:id="86" w:name="_Toc513029224"/>
      <w:r/>
      <w:bookmarkStart w:id="87" w:name="_Toc16938540"/>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88" w:name="_Toc462564084"/>
      <w:r/>
      <w:bookmarkStart w:id="89" w:name="_Toc20823297"/>
      <w:r/>
      <w:bookmarkStart w:id="90" w:name="_Toc16938541"/>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11"/>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16938542"/>
      <w:r/>
      <w:bookmarkStart w:id="93" w:name="_Toc513029226"/>
      <w:r/>
      <w:bookmarkStart w:id="94" w:name="_Toc20823298"/>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95" w:name="_Toc513029227"/>
      <w:r/>
      <w:bookmarkStart w:id="96" w:name="_Toc16938543"/>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98" w:name="_Toc20823300"/>
      <w:r/>
      <w:bookmarkStart w:id="99" w:name="_Toc513029228"/>
      <w:r/>
      <w:bookmarkStart w:id="100" w:name="_Toc16938544"/>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58"/>
        <w:ind w:firstLine="452"/>
        <w:keepLines w:val="0"/>
        <w:keepNext w:val="0"/>
        <w:spacing w:before="0" w:after="0" w:line="360" w:lineRule="auto"/>
        <w:rPr>
          <w:color w:val="auto"/>
          <w:sz w:val="30"/>
          <w:szCs w:val="30"/>
          <w:highlight w:val="none"/>
          <w:lang w:eastAsia="zh-CN"/>
        </w:rPr>
      </w:pPr>
      <w:r/>
      <w:bookmarkStart w:id="101" w:name="_Toc513029229"/>
      <w:r/>
      <w:bookmarkStart w:id="102" w:name="_Toc20823301"/>
      <w:r/>
      <w:bookmarkStart w:id="103" w:name="_Toc120614218"/>
      <w:r/>
      <w:bookmarkStart w:id="104" w:name="_Toc16938545"/>
      <w:r>
        <w:rPr>
          <w:rFonts w:hint="eastAsia"/>
          <w:color w:val="auto"/>
          <w:sz w:val="30"/>
          <w:szCs w:val="30"/>
          <w:highlight w:val="none"/>
          <w:lang w:eastAsia="zh-CN"/>
        </w:rPr>
        <w:t xml:space="preserve">五、开标与评标</w:t>
      </w:r>
      <w:bookmarkEnd w:id="101"/>
      <w:r/>
      <w:bookmarkEnd w:id="102"/>
      <w:r/>
      <w:bookmarkEnd w:id="103"/>
      <w:r/>
      <w:bookmarkEnd w:id="104"/>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05" w:name="_Toc16938546"/>
      <w:r/>
      <w:bookmarkStart w:id="106" w:name="_Toc20823302"/>
      <w:r/>
      <w:bookmarkStart w:id="107" w:name="_Toc513029230"/>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08" w:name="_Toc20823303"/>
      <w:r/>
      <w:bookmarkStart w:id="109" w:name="_Toc513029231"/>
      <w:r/>
      <w:bookmarkStart w:id="110" w:name="_Toc16938547"/>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11" w:name="_Toc20823304"/>
      <w:r/>
      <w:bookmarkStart w:id="112" w:name="_Toc16938548"/>
      <w:r/>
      <w:bookmarkStart w:id="113" w:name="_Toc513029232"/>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14" w:name="_Toc513029233"/>
      <w:r/>
      <w:bookmarkStart w:id="115" w:name="_Toc16938549"/>
      <w:r/>
      <w:bookmarkStart w:id="116" w:name="_Toc20823305"/>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513029234"/>
      <w:r/>
      <w:bookmarkStart w:id="118" w:name="_Toc20823306"/>
      <w:r/>
      <w:bookmarkStart w:id="119" w:name="_Toc16938550"/>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27"/>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27"/>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513029235"/>
      <w:r/>
      <w:bookmarkStart w:id="121" w:name="_Toc20823307"/>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58"/>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8"/>
        <w:ind w:firstLine="452"/>
        <w:keepLines w:val="0"/>
        <w:keepNext w:val="0"/>
        <w:spacing w:before="0" w:after="0" w:line="360" w:lineRule="auto"/>
        <w:rPr>
          <w:color w:val="auto"/>
          <w:sz w:val="30"/>
          <w:szCs w:val="30"/>
          <w:highlight w:val="none"/>
          <w:lang w:eastAsia="zh-CN"/>
        </w:rPr>
      </w:pPr>
      <w:r/>
      <w:bookmarkStart w:id="128" w:name="_Toc513029236"/>
      <w:r/>
      <w:bookmarkStart w:id="129" w:name="_Toc16938552"/>
      <w:r/>
      <w:bookmarkStart w:id="130" w:name="_Toc120614220"/>
      <w:r/>
      <w:bookmarkStart w:id="131" w:name="_Toc20823308"/>
      <w:r>
        <w:rPr>
          <w:rFonts w:hint="eastAsia"/>
          <w:color w:val="auto"/>
          <w:sz w:val="30"/>
          <w:szCs w:val="30"/>
          <w:highlight w:val="none"/>
          <w:lang w:eastAsia="zh-CN"/>
        </w:rPr>
        <w:t xml:space="preserve">七、授予合同</w:t>
      </w:r>
      <w:bookmarkEnd w:id="128"/>
      <w:r/>
      <w:bookmarkEnd w:id="129"/>
      <w:r/>
      <w:bookmarkEnd w:id="130"/>
      <w:r/>
      <w:bookmarkEnd w:id="131"/>
      <w:r/>
      <w:r/>
    </w:p>
    <w:p>
      <w:pPr>
        <w:pStyle w:val="1127"/>
        <w:ind w:firstLine="422"/>
        <w:keepLines w:val="0"/>
        <w:keepNext w:val="0"/>
        <w:spacing w:before="0" w:after="0" w:line="360" w:lineRule="auto"/>
        <w:rPr>
          <w:rFonts w:ascii="宋体" w:hAnsi="宋体" w:eastAsia="宋体"/>
          <w:bCs w:val="0"/>
          <w:color w:val="auto"/>
          <w:highlight w:val="none"/>
          <w:lang w:eastAsia="zh-CN"/>
        </w:rPr>
      </w:pPr>
      <w:r/>
      <w:bookmarkStart w:id="132" w:name="_Toc16938553"/>
      <w:r/>
      <w:bookmarkStart w:id="133" w:name="_Toc20823309"/>
      <w:r/>
      <w:bookmarkStart w:id="134" w:name="_Toc513029237"/>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2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2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2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12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24"/>
        <w:ind w:firstLine="0"/>
        <w:spacing w:line="360" w:lineRule="auto"/>
        <w:rPr>
          <w:rFonts w:ascii="黑体" w:eastAsia="黑体"/>
          <w:bCs/>
          <w:color w:val="auto"/>
          <w:sz w:val="36"/>
          <w:szCs w:val="36"/>
          <w:highlight w:val="none"/>
          <w:lang w:eastAsia="zh-CN"/>
        </w:rPr>
      </w:pPr>
      <w:r/>
      <w:bookmarkStart w:id="135" w:name="_Toc20823314"/>
      <w:r/>
      <w:bookmarkStart w:id="136" w:name="_Toc120614221"/>
      <w:r/>
      <w:bookmarkStart w:id="137" w:name="_Toc479757207"/>
      <w:r/>
      <w:bookmarkStart w:id="138" w:name="_Toc16938558"/>
      <w:r/>
      <w:bookmarkStart w:id="139" w:name="_Toc513029242"/>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24"/>
        <w:numPr>
          <w:ilvl w:val="0"/>
          <w:numId w:val="8"/>
        </w:numPr>
        <w:ind w:firstLine="0"/>
        <w:jc w:val="center"/>
        <w:spacing w:line="360" w:lineRule="auto"/>
        <w:rPr>
          <w:rFonts w:ascii="黑体" w:eastAsia="黑体"/>
          <w:bCs/>
          <w:color w:val="auto"/>
          <w:sz w:val="36"/>
          <w:szCs w:val="36"/>
          <w:highlight w:val="none"/>
          <w:lang w:eastAsia="zh-CN"/>
        </w:rPr>
      </w:pPr>
      <w:r/>
      <w:bookmarkStart w:id="140" w:name="_Toc513029243"/>
      <w:r/>
      <w:bookmarkStart w:id="141" w:name="_Toc20823315"/>
      <w:r/>
      <w:bookmarkStart w:id="142" w:name="_Toc16938559"/>
      <w:r>
        <w:rPr>
          <w:rFonts w:hint="eastAsia" w:ascii="黑体" w:eastAsia="黑体"/>
          <w:bCs/>
          <w:color w:val="auto"/>
          <w:sz w:val="36"/>
          <w:szCs w:val="36"/>
          <w:highlight w:val="none"/>
          <w:lang w:eastAsia="zh-CN"/>
        </w:rPr>
        <w:t xml:space="preserve"> 合同文本</w:t>
      </w:r>
      <w:bookmarkEnd w:id="140"/>
      <w:r/>
      <w:bookmarkEnd w:id="141"/>
      <w:r/>
      <w:bookmarkEnd w:id="142"/>
      <w:r/>
      <w:r/>
    </w:p>
    <w:p>
      <w:pPr>
        <w:ind w:firstLine="560"/>
        <w:jc w:val="center"/>
        <w:spacing w:line="360" w:lineRule="auto"/>
        <w:rPr>
          <w:rFonts w:hint="eastAsia" w:ascii="宋体" w:hAnsi="宋体" w:eastAsia="宋体" w:cs="宋体"/>
          <w:bCs/>
          <w:color w:val="auto"/>
          <w:sz w:val="24"/>
          <w:szCs w:val="24"/>
          <w:highlight w:val="none"/>
        </w:rPr>
      </w:pPr>
      <w:r/>
      <w:bookmarkStart w:id="143" w:name="_Hlt16619350"/>
      <w:r/>
      <w:bookmarkStart w:id="144" w:name="_Toc120614244"/>
      <w:r/>
      <w:bookmarkStart w:id="145" w:name="_Toc16938590"/>
      <w:r/>
      <w:bookmarkStart w:id="146" w:name="_Toc20823346"/>
      <w:r>
        <w:rPr>
          <w:rFonts w:hint="eastAsia" w:ascii="宋体" w:hAnsi="宋体" w:eastAsia="宋体" w:cs="宋体"/>
          <w:bCs/>
          <w:color w:val="auto"/>
          <w:sz w:val="24"/>
          <w:szCs w:val="24"/>
          <w:highlight w:val="none"/>
        </w:rPr>
        <w:t xml:space="preserve">合同书（货物）格式条款</w:t>
      </w:r>
      <w:r/>
    </w:p>
    <w:p>
      <w:pPr>
        <w:ind w:firstLine="471"/>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）采购及有关事项协商一致，共同达成如下协议：</w:t>
      </w:r>
      <w:r/>
    </w:p>
    <w:p>
      <w:pPr>
        <w:ind w:firstLine="480"/>
        <w:spacing w:line="360" w:lineRule="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需方（采购人）：</w:t>
      </w:r>
      <w:r>
        <w:rPr>
          <w:rFonts w:hint="eastAsia" w:ascii="宋体" w:hAnsi="宋体" w:eastAsia="宋体"/>
          <w:color w:val="auto"/>
          <w:sz w:val="24"/>
          <w:szCs w:val="24"/>
          <w:highlight w:val="none"/>
          <w:u w:val="single"/>
          <w:lang w:eastAsia="zh-CN"/>
        </w:rPr>
        <w:t xml:space="preserve">无锡市中医医院</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供方（中标方）：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采购项目编号：</w:t>
      </w:r>
      <w:r>
        <w:rPr>
          <w:rFonts w:hint="eastAsia" w:ascii="宋体" w:hAnsi="宋体" w:eastAsia="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二、采购项目名称：</w:t>
      </w:r>
      <w:r>
        <w:rPr>
          <w:rFonts w:hint="eastAsia" w:ascii="宋体" w:hAnsi="宋体"/>
          <w:b/>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eastAsia="宋体"/>
          <w:color w:val="auto"/>
          <w:sz w:val="24"/>
          <w:szCs w:val="24"/>
          <w:highlight w:val="none"/>
        </w:rPr>
        <w:t xml:space="preserve">中标优惠率</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（小写）；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四、供货期：</w:t>
      </w:r>
      <w:r>
        <w:rPr>
          <w:rFonts w:hint="eastAsia" w:ascii="宋体" w:hAnsi="宋体" w:eastAsia="宋体"/>
          <w:color w:val="auto"/>
          <w:sz w:val="24"/>
          <w:szCs w:val="24"/>
          <w:highlight w:val="none"/>
          <w:u w:val="single"/>
          <w:lang w:val="en-US" w:eastAsia="zh-CN"/>
        </w:rPr>
        <w:t xml:space="preserve">一</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rPr>
        <w:t xml:space="preserve">（</w:t>
      </w:r>
      <w:r>
        <w:rPr>
          <w:rFonts w:hint="eastAsia" w:ascii="Arial" w:hAnsi="Arial" w:cs="宋体"/>
          <w:color w:val="auto"/>
          <w:sz w:val="24"/>
          <w:szCs w:val="24"/>
          <w:highlight w:val="none"/>
        </w:rPr>
        <w:t xml:space="preserve">服务期期满或累计服务费达到预算限额</w:t>
      </w:r>
      <w:r>
        <w:rPr>
          <w:rFonts w:hint="eastAsia" w:ascii="Arial" w:hAnsi="Arial" w:eastAsia="宋体" w:cs="宋体"/>
          <w:b w:val="0"/>
          <w:bCs w:val="0"/>
          <w:color w:val="auto"/>
          <w:sz w:val="24"/>
          <w:szCs w:val="24"/>
          <w:highlight w:val="none"/>
          <w:lang w:eastAsia="zh-CN"/>
        </w:rPr>
        <w:t xml:space="preserve">（</w:t>
      </w:r>
      <w:r>
        <w:rPr>
          <w:rFonts w:hint="eastAsia" w:ascii="Arial" w:hAnsi="Arial" w:eastAsia="宋体" w:cs="宋体"/>
          <w:b w:val="0"/>
          <w:bCs w:val="0"/>
          <w:color w:val="auto"/>
          <w:sz w:val="24"/>
          <w:szCs w:val="24"/>
          <w:highlight w:val="none"/>
          <w:lang w:val="en-US" w:eastAsia="zh-CN"/>
        </w:rPr>
        <w:t xml:space="preserve">130万元/年）</w:t>
      </w:r>
      <w:r>
        <w:rPr>
          <w:rFonts w:hint="eastAsia" w:ascii="Arial" w:hAnsi="Arial" w:cs="宋体"/>
          <w:color w:val="auto"/>
          <w:sz w:val="24"/>
          <w:szCs w:val="24"/>
          <w:highlight w:val="none"/>
        </w:rPr>
        <w:t xml:space="preserve">，其中任意一项最先达到即为本项目完成</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五、质量标准：合格且各项检测指标均符合采购需求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六、交货地点和方式：</w:t>
      </w:r>
      <w:r>
        <w:rPr>
          <w:rFonts w:hint="eastAsia" w:ascii="宋体" w:hAnsi="宋体" w:eastAsia="宋体"/>
          <w:color w:val="auto"/>
          <w:sz w:val="24"/>
          <w:szCs w:val="24"/>
          <w:highlight w:val="none"/>
          <w:lang w:eastAsia="zh-CN"/>
        </w:rPr>
        <w:t xml:space="preserve">无锡市中医医院</w:t>
      </w:r>
      <w:r>
        <w:rPr>
          <w:rFonts w:hint="eastAsia" w:ascii="宋体" w:hAnsi="宋体"/>
          <w:color w:val="auto"/>
          <w:sz w:val="24"/>
          <w:szCs w:val="24"/>
          <w:highlight w:val="none"/>
        </w:rPr>
        <w:t xml:space="preserve">，按需方要求将本项目中货物送到指定地点（包括可能的分布范围）。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w:t>
      </w:r>
      <w:r>
        <w:rPr>
          <w:rFonts w:hint="eastAsia" w:ascii="宋体" w:hAnsi="宋体" w:eastAsia="宋体"/>
          <w:color w:val="auto"/>
          <w:sz w:val="24"/>
          <w:szCs w:val="24"/>
          <w:highlight w:val="none"/>
        </w:rPr>
        <w:t xml:space="preserve">付款方式</w:t>
      </w:r>
      <w:r>
        <w:rPr>
          <w:rFonts w:hint="eastAsia" w:ascii="宋体" w:hAnsi="宋体"/>
          <w:color w:val="auto"/>
          <w:sz w:val="24"/>
          <w:szCs w:val="24"/>
          <w:highlight w:val="none"/>
        </w:rPr>
        <w:t xml:space="preserve">： </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合同签订后，每月根据实际供货量及考核结果结算，结算金额=实际用量×中标结算单价－合理损耗核减－考核扣款；供应商需先开具合规发票（项目注明对应气体名称及规格），医院在收到发票后30日内以银行转账方式支付款项；合理损耗≤0.5%，超额部分从货款中核减；结算单价=单价限价×（1－中标优惠率），中标优惠率为固定值，合同履行期间不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八、合同书不可分割部分：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招标（采购）文件、投标（报价）文件、合同条款及中标（成交）通知书，供方在投标（报价）、评标（评审）过程中所作其它有关承诺、声明、书面澄清等均为合同</w:t>
      </w:r>
      <w:r>
        <w:rPr>
          <w:rFonts w:hint="eastAsia" w:ascii="宋体" w:hAnsi="宋体" w:eastAsia="宋体"/>
          <w:color w:val="auto"/>
          <w:sz w:val="24"/>
          <w:szCs w:val="24"/>
          <w:highlight w:val="none"/>
          <w:lang w:val="en-US" w:eastAsia="zh-CN"/>
        </w:rPr>
        <w:t xml:space="preserve">在履行中</w:t>
      </w:r>
      <w:r>
        <w:rPr>
          <w:rFonts w:hint="eastAsia" w:ascii="宋体" w:hAnsi="宋体"/>
          <w:color w:val="auto"/>
          <w:sz w:val="24"/>
          <w:szCs w:val="24"/>
          <w:highlight w:val="none"/>
        </w:rPr>
        <w:t xml:space="preserve">不可分割的部分，与主合同具有同等法律效力。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九、合同书组成：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书由格式条款和合同条款两部分组成。合同条款应当包含法定必备条款和采购需求的所有内容，并应与“合同书不可分割部分”的内容一致，包括但不限于合同类型，标的名称、采购标的质量、数量，履行时间、地点和方式，包装方式，履约保证金要求，价款或报酬、付款进度安排、与履约验收挂钩的资金支付条件及时间，验收、交付标准和方法，质量保修范围和保修期，违约责任与解决争议的方法，</w:t>
      </w:r>
      <w:r>
        <w:rPr>
          <w:rFonts w:hint="eastAsia" w:ascii="宋体" w:hAnsi="宋体" w:eastAsia="宋体"/>
          <w:color w:val="auto"/>
          <w:sz w:val="24"/>
          <w:szCs w:val="24"/>
          <w:highlight w:val="none"/>
          <w:lang w:val="en-US" w:eastAsia="zh-CN"/>
        </w:rPr>
        <w:t xml:space="preserve">供需双方</w:t>
      </w:r>
      <w:r>
        <w:rPr>
          <w:rFonts w:hint="eastAsia" w:ascii="宋体" w:hAnsi="宋体"/>
          <w:color w:val="auto"/>
          <w:sz w:val="24"/>
          <w:szCs w:val="24"/>
          <w:highlight w:val="none"/>
        </w:rPr>
        <w:t xml:space="preserve">权利与义务，合同分包要求等。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十、合同书生效及注意事项：</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需方</w:t>
      </w:r>
      <w:r>
        <w:rPr>
          <w:rFonts w:hint="eastAsia" w:ascii="宋体" w:hAnsi="宋体"/>
          <w:color w:val="auto"/>
          <w:sz w:val="24"/>
          <w:szCs w:val="24"/>
          <w:highlight w:val="none"/>
        </w:rPr>
        <w:t xml:space="preserve">在确定中标（成交）供应商之日起三十日历天内，完成合同书签订工作。供需双方在合同书上确认签章后，合同即生效并经系统将合同书推送“</w:t>
      </w:r>
      <w:r>
        <w:rPr>
          <w:rFonts w:hint="eastAsia" w:ascii="宋体" w:hAnsi="宋体" w:eastAsia="宋体"/>
          <w:color w:val="auto"/>
          <w:sz w:val="24"/>
          <w:szCs w:val="24"/>
          <w:highlight w:val="none"/>
          <w:lang w:val="en-US" w:eastAsia="zh-CN"/>
        </w:rPr>
        <w:t xml:space="preserve">江苏省</w:t>
      </w:r>
      <w:r>
        <w:rPr>
          <w:rFonts w:hint="eastAsia" w:ascii="宋体" w:hAnsi="宋体"/>
          <w:color w:val="auto"/>
          <w:sz w:val="24"/>
          <w:szCs w:val="24"/>
          <w:highlight w:val="none"/>
        </w:rPr>
        <w:t xml:space="preserve">政府采购网”进行公示。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eastAsia="宋体"/>
          <w:color w:val="auto"/>
          <w:sz w:val="24"/>
          <w:szCs w:val="24"/>
          <w:highlight w:val="none"/>
          <w:lang w:val="en-US" w:eastAsia="zh-CN"/>
        </w:rPr>
        <w:t xml:space="preserve">一</w:t>
      </w:r>
      <w:r>
        <w:rPr>
          <w:rFonts w:hint="eastAsia" w:ascii="宋体" w:hAnsi="宋体"/>
          <w:color w:val="auto"/>
          <w:sz w:val="24"/>
          <w:szCs w:val="24"/>
          <w:highlight w:val="none"/>
        </w:rPr>
        <w:t xml:space="preserve">、根据《</w:t>
      </w:r>
      <w:r>
        <w:rPr>
          <w:rFonts w:hint="eastAsia" w:ascii="宋体" w:hAnsi="宋体" w:eastAsia="宋体"/>
          <w:color w:val="auto"/>
          <w:sz w:val="24"/>
          <w:szCs w:val="24"/>
          <w:highlight w:val="none"/>
          <w:lang w:eastAsia="zh-CN"/>
        </w:rPr>
        <w:t xml:space="preserve">中华人民共和国政府采购法</w:t>
      </w:r>
      <w:r>
        <w:rPr>
          <w:rFonts w:hint="eastAsia" w:ascii="宋体" w:hAnsi="宋体"/>
          <w:color w:val="auto"/>
          <w:sz w:val="24"/>
          <w:szCs w:val="24"/>
          <w:highlight w:val="none"/>
        </w:rPr>
        <w:t xml:space="preserve">》第四十九、五十条规定，供需双方不得擅自变更、中止或终止合同。</w:t>
      </w:r>
      <w:r/>
    </w:p>
    <w:p>
      <w:pPr>
        <w:pStyle w:val="949"/>
        <w:numPr>
          <w:ilvl w:val="0"/>
          <w:numId w:val="0"/>
        </w:numPr>
        <w:ind w:firstLine="480"/>
        <w:spacing w:line="360" w:lineRule="auto"/>
        <w:rPr>
          <w:rFonts w:ascii="宋体" w:hAnsi="宋体" w:cs="Times New Roman"/>
          <w:b w:val="0"/>
          <w:color w:val="auto"/>
          <w:szCs w:val="24"/>
          <w:highlight w:val="none"/>
        </w:rPr>
      </w:pPr>
      <w:r>
        <w:rPr>
          <w:rFonts w:hint="eastAsia" w:ascii="宋体" w:hAnsi="宋体" w:eastAsia="Arial" w:cs="Times New Roman"/>
          <w:b w:val="0"/>
          <w:color w:val="auto"/>
          <w:szCs w:val="24"/>
          <w:highlight w:val="none"/>
        </w:rPr>
        <w:t xml:space="preserve">十</w:t>
      </w:r>
      <w:r>
        <w:rPr>
          <w:rFonts w:hint="eastAsia" w:ascii="宋体" w:hAnsi="宋体" w:eastAsia="宋体" w:cs="Times New Roman"/>
          <w:b w:val="0"/>
          <w:color w:val="auto"/>
          <w:szCs w:val="24"/>
          <w:highlight w:val="none"/>
          <w:lang w:val="en-US" w:eastAsia="zh-CN"/>
        </w:rPr>
        <w:t xml:space="preserve">二</w:t>
      </w:r>
      <w:r>
        <w:rPr>
          <w:rFonts w:hint="eastAsia" w:ascii="宋体" w:hAnsi="宋体" w:eastAsia="Arial" w:cs="Times New Roman"/>
          <w:b w:val="0"/>
          <w:color w:val="auto"/>
          <w:szCs w:val="24"/>
          <w:highlight w:val="none"/>
        </w:rPr>
        <w:t xml:space="preserve">、合同份数：合同一式</w:t>
      </w:r>
      <w:r>
        <w:rPr>
          <w:rFonts w:hint="eastAsia" w:ascii="宋体" w:hAnsi="宋体" w:cs="Times New Roman"/>
          <w:b w:val="0"/>
          <w:color w:val="auto"/>
          <w:szCs w:val="24"/>
          <w:highlight w:val="none"/>
        </w:rPr>
        <w:t xml:space="preserve">六</w:t>
      </w:r>
      <w:r>
        <w:rPr>
          <w:rFonts w:hint="eastAsia" w:ascii="宋体" w:hAnsi="宋体" w:eastAsia="Arial" w:cs="Times New Roman"/>
          <w:b w:val="0"/>
          <w:color w:val="auto"/>
          <w:szCs w:val="24"/>
          <w:highlight w:val="none"/>
        </w:rPr>
        <w:t xml:space="preserve">份，</w:t>
      </w:r>
      <w:r>
        <w:rPr>
          <w:rFonts w:hint="eastAsia" w:ascii="宋体" w:hAnsi="宋体" w:cs="Times New Roman"/>
          <w:b w:val="0"/>
          <w:color w:val="auto"/>
          <w:szCs w:val="24"/>
          <w:highlight w:val="none"/>
        </w:rPr>
        <w:t xml:space="preserve">需方</w:t>
      </w:r>
      <w:r>
        <w:rPr>
          <w:rFonts w:hint="eastAsia" w:ascii="宋体" w:hAnsi="宋体" w:eastAsia="Arial" w:cs="Times New Roman"/>
          <w:b w:val="0"/>
          <w:color w:val="auto"/>
          <w:szCs w:val="24"/>
          <w:highlight w:val="none"/>
        </w:rPr>
        <w:t xml:space="preserve">三份，</w:t>
      </w:r>
      <w:r>
        <w:rPr>
          <w:rFonts w:hint="eastAsia" w:ascii="宋体" w:hAnsi="宋体" w:cs="Times New Roman"/>
          <w:b w:val="0"/>
          <w:color w:val="auto"/>
          <w:szCs w:val="24"/>
          <w:highlight w:val="none"/>
        </w:rPr>
        <w:t xml:space="preserve">供方二</w:t>
      </w:r>
      <w:r>
        <w:rPr>
          <w:rFonts w:hint="eastAsia" w:ascii="宋体" w:hAnsi="宋体" w:eastAsia="Arial" w:cs="Times New Roman"/>
          <w:b w:val="0"/>
          <w:color w:val="auto"/>
          <w:szCs w:val="24"/>
          <w:highlight w:val="none"/>
        </w:rPr>
        <w:t xml:space="preserve">份</w:t>
      </w:r>
      <w:r>
        <w:rPr>
          <w:rFonts w:hint="eastAsia" w:ascii="宋体" w:hAnsi="宋体" w:cs="Times New Roman"/>
          <w:b w:val="0"/>
          <w:color w:val="auto"/>
          <w:szCs w:val="24"/>
          <w:highlight w:val="none"/>
        </w:rPr>
        <w:t xml:space="preserve">，采购代理机构一份。</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需方（采购人）：（签章）                 供方（中标方）：（签章）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法定（授权）代表人：                     法定（授权）代表人：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    月    日                           年      月       日</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34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供方户名：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color w:val="auto"/>
          <w:sz w:val="24"/>
          <w:szCs w:val="24"/>
          <w:highlight w:val="none"/>
        </w:rPr>
        <w:t xml:space="preserve">供方开户银行：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color w:val="auto"/>
          <w:sz w:val="24"/>
          <w:szCs w:val="24"/>
          <w:highlight w:val="none"/>
        </w:rPr>
        <w:t xml:space="preserve"> 供方账号：</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pStyle w:val="823"/>
        <w:ind w:left="267" w:right="369" w:firstLine="464"/>
        <w:jc w:val="center"/>
        <w:tabs>
          <w:tab w:val="left" w:pos="360" w:leader="none"/>
          <w:tab w:val="left" w:pos="720" w:leader="none"/>
        </w:tabs>
        <w:rPr>
          <w:color w:val="auto"/>
          <w:sz w:val="21"/>
          <w:szCs w:val="21"/>
          <w:highlight w:val="none"/>
        </w:rPr>
      </w:pPr>
      <w:r>
        <w:rPr>
          <w:color w:val="auto"/>
          <w:sz w:val="21"/>
          <w:szCs w:val="21"/>
          <w:highlight w:val="none"/>
        </w:rPr>
      </w:r>
      <w:r/>
    </w:p>
    <w:p>
      <w:pPr>
        <w:spacing w:line="360" w:lineRule="auto"/>
        <w:rPr>
          <w:rFonts w:hint="eastAsia" w:ascii="宋体" w:hAnsi="宋体" w:eastAsiaTheme="minorEastAsia"/>
          <w:b/>
          <w:bCs/>
          <w:color w:val="auto"/>
          <w:sz w:val="32"/>
          <w:szCs w:val="32"/>
          <w:highlight w:val="none"/>
        </w:rPr>
      </w:pPr>
      <w:r>
        <w:rPr>
          <w:rFonts w:hint="eastAsia" w:ascii="宋体" w:hAnsi="宋体" w:eastAsiaTheme="minorEastAsia"/>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ind w:firstLine="480"/>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合同条款</w:t>
      </w:r>
      <w:r/>
    </w:p>
    <w:p>
      <w:pPr>
        <w:ind w:firstLine="48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（根据相关法律规定以及采购文件确定事项订立）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（一）合同内容：需方向供方购买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（二）价格及支付：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按此次中标</w:t>
      </w:r>
      <w:r>
        <w:rPr>
          <w:rFonts w:hint="eastAsia" w:ascii="宋体" w:hAnsi="宋体" w:eastAsia="宋体"/>
          <w:color w:val="auto"/>
          <w:sz w:val="24"/>
          <w:szCs w:val="24"/>
          <w:highlight w:val="none"/>
        </w:rPr>
        <w:t xml:space="preserve">优惠率</w:t>
      </w:r>
      <w:r>
        <w:rPr>
          <w:rFonts w:hint="eastAsia" w:ascii="宋体" w:hAnsi="宋体"/>
          <w:color w:val="auto"/>
          <w:sz w:val="24"/>
          <w:szCs w:val="24"/>
          <w:highlight w:val="none"/>
        </w:rPr>
        <w:t xml:space="preserve">执行，中标单价如下：</w:t>
      </w:r>
      <w:r/>
    </w:p>
    <w:tbl>
      <w:tblPr>
        <w:tblStyle w:val="843"/>
        <w:tblW w:w="4156" w:type="pct"/>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718"/>
        <w:gridCol w:w="2402"/>
        <w:gridCol w:w="1072"/>
        <w:gridCol w:w="1500"/>
      </w:tblGrid>
      <w:tr>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10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5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液氧（医用）</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≥99.5%（符合2020版药典、GMP标准）</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吨</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≥99.5%、2升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≥99.5%、3升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液氮</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升</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氮气</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普通二氧化碳</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高纯二氧化碳</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乙炔</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A级99%、5公斤</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氩气</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≥99.95%、40升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氩气</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≥99.95%、10升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二元混合气（氧气21.4%，氦气平衡）</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四元混合气（一氧化碳0.296%，氦气10%，氧气20.13%，氮气平衡）</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高纯空气</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高纯空气</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钢瓶</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钢瓶</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碳纤维瓶</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2718"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碳纤维瓶</w:t>
            </w:r>
            <w:r/>
          </w:p>
        </w:tc>
        <w:tc>
          <w:tcPr>
            <w:tcW w:w="240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3升</w:t>
            </w:r>
            <w:r/>
          </w:p>
        </w:tc>
        <w:tc>
          <w:tcPr>
            <w:tcW w:w="1072"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5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上述表格中的单价=采购清单中单价限价*（1-中标优惠率）。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付款方式：</w:t>
      </w:r>
      <w:r>
        <w:rPr>
          <w:rFonts w:hint="eastAsia" w:ascii="宋体" w:hAnsi="宋体" w:eastAsia="宋体" w:cs="Times New Roman"/>
          <w:color w:val="auto"/>
          <w:sz w:val="24"/>
          <w:szCs w:val="24"/>
          <w:highlight w:val="none"/>
          <w:lang w:val="en-US" w:eastAsia="zh-CN"/>
        </w:rPr>
        <w:t xml:space="preserve">合同签订后，每月根据实际供货量及考核结果结算，结算金额=实际用量×中标结算单价－合理损耗核减－考核扣款；供应商需先开具合规增值税专用发票（项目注明对应气体名称及规格），医院在收到发票后30日内以银行转账方式支付款项；合理损耗≤0.5%，超额部分从货款中核减；结算单价=单价限价×（1－中标优惠率），中标优惠率为固定值，合同履行期间不变。</w:t>
      </w:r>
      <w:r>
        <w:rPr>
          <w:rFonts w:hint="eastAsia"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（三）知识产权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供方应保证需方在使用其交付物、服务及其任何部分时不受到第三方关于侵犯专利权、商标权或软件著作权等知识产权的指控。任何第三方如果提出侵权指控，供方应承担一切法律责任和费用。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本项目无需提交履约保证金。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（五）质量要求与检验：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1.供方应严格按照招标文件的有关规定和供方投标文件提供合格的货物及服务。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3.货物的到货验收包括：规格、数量、外观质量等随机资料及包装完整无破损。</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olor w:val="auto"/>
          <w:sz w:val="24"/>
          <w:szCs w:val="24"/>
          <w:highlight w:val="none"/>
        </w:rPr>
        <w:t xml:space="preserve">4.货物和系统调试验收标准：按行业通行标准、厂方出厂标准和中标单位投标文件的承诺及合同约定，并不低于国家相关标准。验收和使用过程中发现有质量问题的，即给予无条件换货。</w:t>
      </w:r>
      <w:r>
        <w:rPr>
          <w:rFonts w:hint="eastAsia" w:ascii="宋体" w:hAnsi="宋体" w:eastAsia="宋体" w:cs="宋体"/>
          <w:color w:val="auto"/>
          <w:sz w:val="24"/>
          <w:szCs w:val="24"/>
          <w:highlight w:val="none"/>
        </w:rPr>
        <w:t xml:space="preserve">所有气体产品需符合《中华人民共和国药典（2020版）</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医用气体工程技术规范》（GB 50751-2012）等国家强制标准，其中医用液氧纯度≥99.5%，</w:t>
      </w:r>
      <w:r>
        <w:rPr>
          <w:rFonts w:hint="eastAsia" w:ascii="宋体" w:hAnsi="宋体" w:eastAsia="宋体" w:cs="宋体"/>
          <w:color w:val="auto"/>
          <w:sz w:val="24"/>
          <w:szCs w:val="24"/>
          <w:highlight w:val="none"/>
        </w:rPr>
        <w:t xml:space="preserve">其他气体纯度符合对应规格要求；每批次供货需附带《药品检验报告</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出库复核单</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且标注产品批号，批号需在生产记录、检验报告、出库复核单中保持一致；支持与医院药品管理系统对接，实现入出库、使用全链条追溯。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5.货物运到需方指定地点并经需方验证签收后，由于需方保管不善造成的质量问题，供方应负责修理，但有关费用由需方承担。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6.经验收不合格的，供方应当按照需方要求</w:t>
      </w:r>
      <w:r>
        <w:rPr>
          <w:rFonts w:hint="eastAsia" w:ascii="宋体" w:hAnsi="宋体" w:eastAsia="宋体"/>
          <w:color w:val="auto"/>
          <w:sz w:val="24"/>
          <w:szCs w:val="24"/>
          <w:highlight w:val="none"/>
          <w:lang w:val="en-US" w:eastAsia="zh-CN"/>
        </w:rPr>
        <w:t xml:space="preserve">进行换货或退款退货</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（六）交货条件：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1.供货期：</w:t>
      </w:r>
      <w:r>
        <w:rPr>
          <w:rFonts w:hint="eastAsia" w:ascii="宋体" w:hAnsi="宋体" w:eastAsia="宋体"/>
          <w:color w:val="auto"/>
          <w:sz w:val="24"/>
          <w:szCs w:val="24"/>
          <w:highlight w:val="none"/>
          <w:lang w:val="en-US" w:eastAsia="zh-CN"/>
        </w:rPr>
        <w:t xml:space="preserve">1</w:t>
      </w:r>
      <w:r>
        <w:rPr>
          <w:rFonts w:hint="eastAsia" w:ascii="宋体" w:hAnsi="宋体"/>
          <w:color w:val="auto"/>
          <w:sz w:val="24"/>
          <w:szCs w:val="24"/>
          <w:highlight w:val="none"/>
        </w:rPr>
        <w:t xml:space="preserve">年（服务期期满或累计服务费达到预算限额，其中任意一项最先达到即为本项目完成）；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2.供方在验收时应先用信函、传真、电子邮件等书面方式通知需方。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.运输及到货地点：由供方负责办理运输并承担所有费用，直接送到需方指定地点，即：以合同书上的地点为准。</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5.售后响应时间：</w:t>
      </w:r>
      <w:r>
        <w:rPr>
          <w:rFonts w:hint="eastAsia" w:ascii="宋体" w:hAnsi="宋体" w:eastAsia="宋体"/>
          <w:color w:val="auto"/>
          <w:sz w:val="24"/>
          <w:szCs w:val="24"/>
          <w:highlight w:val="none"/>
          <w:lang w:val="en-US" w:eastAsia="zh-CN"/>
        </w:rPr>
        <w:t xml:space="preserve">供方</w:t>
      </w:r>
      <w:r>
        <w:rPr>
          <w:rFonts w:hint="eastAsia" w:ascii="宋体" w:hAnsi="宋体" w:eastAsia="宋体"/>
          <w:color w:val="auto"/>
          <w:sz w:val="24"/>
          <w:szCs w:val="24"/>
          <w:highlight w:val="none"/>
          <w:lang w:val="en-US" w:eastAsia="zh-CN"/>
        </w:rPr>
        <w:t xml:space="preserve">须按采购单位的要求进行送货，日常所有气体在收到</w:t>
      </w:r>
      <w:r>
        <w:rPr>
          <w:rFonts w:hint="eastAsia" w:ascii="宋体" w:hAnsi="宋体" w:eastAsia="宋体"/>
          <w:strike w:val="0"/>
          <w:color w:val="auto"/>
          <w:sz w:val="24"/>
          <w:szCs w:val="24"/>
          <w:highlight w:val="none"/>
          <w:lang w:val="en-US" w:eastAsia="zh-CN"/>
        </w:rPr>
        <w:t xml:space="preserve">需方</w:t>
      </w:r>
      <w:r>
        <w:rPr>
          <w:rFonts w:hint="eastAsia" w:ascii="宋体" w:hAnsi="宋体" w:eastAsia="宋体"/>
          <w:color w:val="auto"/>
          <w:sz w:val="24"/>
          <w:szCs w:val="24"/>
          <w:highlight w:val="none"/>
          <w:lang w:val="en-US" w:eastAsia="zh-CN"/>
        </w:rPr>
        <w:t xml:space="preserve">通知后12小时内送达指定场地，特殊气体须在收到通知后2小时内送达指定场地）。不得以送货数量的多少、距离远近等拖延送货。设备故障后2小时内到场处置；应急备用气源需单独配置，确保生命支持区域（手术室、ICU等）≥4h用气量，且应急备用气源不得由液氧系统或分子筛制氧系统供应，需提供储备能力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（七）质量保证：</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color w:val="auto"/>
          <w:sz w:val="24"/>
          <w:szCs w:val="24"/>
          <w:highlight w:val="none"/>
        </w:rPr>
        <w:t xml:space="preserve">所供产品经需方验收后，如出现品种规格上的差错，数量上的差错和质量上的不合格，</w:t>
      </w:r>
      <w:r>
        <w:rPr>
          <w:rFonts w:hint="eastAsia" w:ascii="宋体" w:hAnsi="宋体" w:eastAsia="宋体"/>
          <w:color w:val="auto"/>
          <w:sz w:val="24"/>
          <w:szCs w:val="24"/>
          <w:highlight w:val="none"/>
          <w:lang w:val="en-US" w:eastAsia="zh-CN"/>
        </w:rPr>
        <w:t xml:space="preserve">供方</w:t>
      </w:r>
      <w:r>
        <w:rPr>
          <w:rFonts w:hint="eastAsia" w:ascii="宋体" w:hAnsi="宋体"/>
          <w:color w:val="auto"/>
          <w:sz w:val="24"/>
          <w:szCs w:val="24"/>
          <w:highlight w:val="none"/>
        </w:rPr>
        <w:t xml:space="preserve">承担相关责任：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w:t>
      </w:r>
      <w:r>
        <w:rPr>
          <w:rFonts w:hint="eastAsia" w:ascii="宋体" w:hAnsi="宋体" w:eastAsia="宋体"/>
          <w:strike w:val="0"/>
          <w:color w:val="auto"/>
          <w:sz w:val="24"/>
          <w:szCs w:val="24"/>
          <w:highlight w:val="none"/>
          <w:lang w:val="en-US" w:eastAsia="zh-CN"/>
        </w:rPr>
        <w:t xml:space="preserve">需方</w:t>
      </w:r>
      <w:r>
        <w:rPr>
          <w:rFonts w:hint="eastAsia" w:ascii="宋体" w:hAnsi="宋体"/>
          <w:color w:val="auto"/>
          <w:sz w:val="24"/>
          <w:szCs w:val="24"/>
          <w:highlight w:val="none"/>
        </w:rPr>
        <w:t xml:space="preserve">造成实际损失的，供货方承担采购人相应的经济损失。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strike w:val="0"/>
          <w:color w:val="auto"/>
          <w:sz w:val="24"/>
          <w:szCs w:val="24"/>
          <w:highlight w:val="none"/>
          <w:lang w:val="en-US" w:eastAsia="zh-CN"/>
        </w:rPr>
        <w:t xml:space="preserve">需方</w:t>
      </w:r>
      <w:r>
        <w:rPr>
          <w:rFonts w:hint="eastAsia" w:ascii="宋体" w:hAnsi="宋体"/>
          <w:color w:val="auto"/>
          <w:sz w:val="24"/>
          <w:szCs w:val="24"/>
          <w:highlight w:val="none"/>
        </w:rPr>
        <w:t xml:space="preserve">有权终止此项目的供货合同。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（3）供方应第一时间对</w:t>
      </w:r>
      <w:r>
        <w:rPr>
          <w:rFonts w:hint="eastAsia" w:ascii="宋体" w:hAnsi="宋体" w:eastAsia="宋体"/>
          <w:color w:val="auto"/>
          <w:sz w:val="24"/>
          <w:szCs w:val="24"/>
          <w:highlight w:val="none"/>
          <w:lang w:val="en-US" w:eastAsia="zh-CN"/>
        </w:rPr>
        <w:t xml:space="preserve">货物</w:t>
      </w:r>
      <w:r>
        <w:rPr>
          <w:rFonts w:hint="eastAsia" w:ascii="宋体" w:hAnsi="宋体"/>
          <w:color w:val="auto"/>
          <w:sz w:val="24"/>
          <w:szCs w:val="24"/>
          <w:highlight w:val="none"/>
        </w:rPr>
        <w:t xml:space="preserve">产品进行更换，并主动放弃这一批次药剂产品的货款。</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配合医院制定液氧泄漏、火灾、停电等应急预案，每年联合开展1次应急演练，出具演练评估报告</w:t>
      </w:r>
      <w:r>
        <w:rPr>
          <w:rFonts w:hint="eastAsia" w:ascii="宋体" w:hAnsi="宋体" w:eastAsia="宋体" w:cs="宋体"/>
          <w:color w:val="auto"/>
          <w:sz w:val="24"/>
          <w:szCs w:val="24"/>
          <w:highlight w:val="none"/>
          <w:lang w:eastAsia="zh-CN"/>
        </w:rPr>
        <w:t xml:space="preserve">。</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承诺所供产品为全新、完整、未使用过的良好介质，与采购文件要求一致。</w:t>
      </w:r>
      <w:r/>
    </w:p>
    <w:p>
      <w:pPr>
        <w:pStyle w:val="840"/>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4.供方应确保合同期内具备履行合同的相应资质，如因资质问题出现瑕疵，需方有权解除合同。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（八）违约责任：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1.在履行合同的过程中，如果供方遇到</w:t>
      </w:r>
      <w:r>
        <w:rPr>
          <w:rFonts w:hint="eastAsia" w:ascii="宋体" w:hAnsi="宋体" w:eastAsia="宋体"/>
          <w:color w:val="auto"/>
          <w:sz w:val="24"/>
          <w:szCs w:val="24"/>
          <w:highlight w:val="none"/>
          <w:lang w:val="en-US" w:eastAsia="zh-CN"/>
        </w:rPr>
        <w:t xml:space="preserve">无法</w:t>
      </w:r>
      <w:r>
        <w:rPr>
          <w:rFonts w:hint="eastAsia" w:ascii="宋体" w:hAnsi="宋体"/>
          <w:color w:val="auto"/>
          <w:sz w:val="24"/>
          <w:szCs w:val="24"/>
          <w:highlight w:val="none"/>
        </w:rPr>
        <w:t xml:space="preserve">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2.如供方逾期交货且未经需方同意延长交货时间，除不可抗力外，每逾期一日，供方应按照逾期交货金额的万分之五的标准累计计算向需方支付违约金。</w:t>
      </w:r>
      <w:r>
        <w:rPr>
          <w:rFonts w:hint="eastAsia" w:ascii="宋体" w:hAnsi="宋体" w:eastAsia="宋体"/>
          <w:color w:val="auto"/>
          <w:sz w:val="24"/>
          <w:szCs w:val="24"/>
          <w:highlight w:val="none"/>
          <w:lang w:val="en-US" w:eastAsia="zh-CN"/>
        </w:rPr>
        <w:t xml:space="preserve">合同期内累计超过两次延迟供货的</w:t>
      </w:r>
      <w:r>
        <w:rPr>
          <w:rFonts w:hint="eastAsia" w:ascii="宋体" w:hAnsi="宋体"/>
          <w:color w:val="auto"/>
          <w:sz w:val="24"/>
          <w:szCs w:val="24"/>
          <w:highlight w:val="none"/>
        </w:rPr>
        <w:t xml:space="preserve">，需方有权解除合同，需方如已支付费用的，供方全部返还，且供方应按照合同总价的30%向需方支付违约金，如给需方造成损失的，还应赔偿损失。</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color w:val="auto"/>
          <w:sz w:val="24"/>
          <w:szCs w:val="24"/>
          <w:highlight w:val="none"/>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.招标文件及合同中所述之“不可抗力”系指不可预见、不可避免、不可克服的事件，包括但不限于：战争、洪水、台风、地震及其他法律法规规定的事件。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（九）合同生效及其他：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1.合同经供需双方代表签字并盖章后生效。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合同签订后供需双方即直接产生权利与义务的关系，合同执行过程中出现的问题应按照合同约定、法律法规的规定办理。在合同履行过程中，双方如有争议，由供需双方协商处理，若协商不成，可选择以下方式处理：</w:t>
      </w:r>
      <w:r>
        <w:rPr>
          <w:rFonts w:hint="eastAsia" w:ascii="宋体" w:hAnsi="宋体"/>
          <w:color w:val="auto"/>
          <w:sz w:val="24"/>
          <w:szCs w:val="24"/>
          <w:highlight w:val="none"/>
          <w:u w:val="single"/>
        </w:rPr>
        <w:t xml:space="preserve">（2）</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（1）向无锡仲裁委员会申请仲裁。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（2）向需方所在地法院提起诉讼。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4.合同中未有约定的按照有关的法律法规以及国家行业标准或技术文件规定予以解决。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5.供需双方确认：对本合同条款及后果均已知悉，一致确认不存在欺诈、胁迫、乘人之危、重大误解、显失公平等任何可能导致合同无效或被撤销的情形。</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需方（采购人）：（签章）                 供方（中标方）：（签章）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法定（授权）代表人：                     法定（授权）代表人：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    月    日                           年      月       日</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ascii="宋体" w:hAnsi="宋体" w:cs="宋体"/>
          <w:b/>
          <w:bCs/>
          <w:color w:val="auto"/>
          <w:sz w:val="24"/>
          <w:szCs w:val="24"/>
          <w:highlight w:val="none"/>
        </w:rPr>
      </w:pPr>
      <w:r>
        <w:rPr>
          <w:rFonts w:hint="eastAsia" w:ascii="宋体" w:hAnsi="宋体" w:cs="宋体"/>
          <w:b/>
          <w:color w:val="auto"/>
          <w:sz w:val="24"/>
          <w:highlight w:val="none"/>
        </w:rPr>
        <w:t xml:space="preserve">附件1</w:t>
      </w:r>
      <w:r/>
    </w:p>
    <w:p>
      <w:pPr>
        <w:ind w:firstLine="3649"/>
        <w:spacing w:before="143" w:line="580" w:lineRule="exact"/>
        <w:rPr>
          <w:rFonts w:ascii="宋体" w:hAnsi="宋体" w:eastAsia="宋体" w:cs="宋体"/>
          <w:color w:val="auto"/>
          <w:sz w:val="24"/>
          <w:szCs w:val="24"/>
          <w:highlight w:val="none"/>
        </w:rPr>
      </w:pPr>
      <w:r>
        <w:rPr>
          <w:rFonts w:hint="eastAsia" w:ascii="宋体" w:hAnsi="宋体" w:eastAsia="宋体" w:cs="宋体"/>
          <w:b/>
          <w:bCs/>
          <w:color w:val="auto"/>
          <w:spacing w:val="22"/>
          <w:position w:val="5"/>
          <w:sz w:val="36"/>
          <w:szCs w:val="36"/>
          <w:highlight w:val="none"/>
        </w:rPr>
        <w:t xml:space="preserve">廉洁承诺书</w:t>
      </w:r>
      <w:r/>
    </w:p>
    <w:p>
      <w:pPr>
        <w:spacing w:before="88" w:line="360" w:lineRule="auto"/>
        <w:rPr>
          <w:rFonts w:ascii="宋体" w:hAnsi="宋体" w:eastAsia="宋体" w:cs="宋体"/>
          <w:color w:val="auto"/>
          <w:sz w:val="24"/>
          <w:szCs w:val="24"/>
          <w:highlight w:val="none"/>
        </w:rPr>
      </w:pPr>
      <w:r>
        <w:rPr>
          <w:rFonts w:hint="eastAsia" w:ascii="宋体" w:hAnsi="宋体" w:eastAsia="宋体" w:cs="宋体"/>
          <w:b/>
          <w:bCs/>
          <w:color w:val="auto"/>
          <w:spacing w:val="11"/>
          <w:sz w:val="24"/>
          <w:szCs w:val="24"/>
          <w:highlight w:val="none"/>
        </w:rPr>
        <w:t xml:space="preserve">（甲方）单位：无锡市中医医院</w:t>
      </w:r>
      <w:r/>
    </w:p>
    <w:p>
      <w:pPr>
        <w:spacing w:before="84" w:line="360" w:lineRule="auto"/>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（乙方）单位：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为进一步加强医院党风廉政和行风建设，规范从业行为，切实抵制各项经济活动中的不正之风，确保双方合约正常履行，遵守廉政准入规定，甲乙双方签订廉洁承诺如下：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、乙方保证在各项经济活动中，不向甲方的工作人员及其家属输送任何名义、任何形式的利益。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二、乙方保证不以任何理由安排甲方的工作人员及其家属参加吃请、娱乐休闲活动等。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三、乙方保证不在甲方诊疗区域内从事任何形式的销售相关活动。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、乙方保证不采取隐蔽手段获取医院各类药品、耗材试剂、器械设备及其他物资方面的信息。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 、乙方保证不以任何方式违规记录、存储、复制、泄露甲方未公开的医院管理、业务等信息。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 、甲方规范本单位干部职工，不得接受乙方吃请，不得收受和索要乙方以任何名义、任何形式输送的利益，不得参加乙方组织的有 可能影响公正履职的各种娱乐休闲、境内外旅游等不规范行为。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七、甲方工作人员有违反第六条者，乙方应向甲方党委、纪委和监察专员办公室举报反映。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 、乙方如出现违反上述条款第一条至第五条的情况，甲方有权 通知乙方终止合同履行。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 、本承诺书一式四份，双方各执二份。盖章签字后，与双方签订的合同同时生效。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乙方：  （盖章）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签名                                 签名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ascii="宋体" w:hAnsi="宋体" w:eastAsia="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eastAsia="宋体" w:cs="宋体"/>
          <w:b/>
          <w:color w:val="auto"/>
          <w:sz w:val="24"/>
          <w:highlight w:val="none"/>
        </w:rPr>
        <w:t xml:space="preserve">2</w:t>
      </w:r>
      <w:r/>
    </w:p>
    <w:p>
      <w:pPr>
        <w:rPr>
          <w:rFonts w:ascii="黑体" w:eastAsia="黑体"/>
          <w:bCs/>
          <w:color w:val="auto"/>
          <w:sz w:val="36"/>
          <w:szCs w:val="36"/>
          <w:highlight w:val="none"/>
        </w:rPr>
      </w:pPr>
      <w:r>
        <w:rPr>
          <w:rFonts w:ascii="黑体" w:eastAsia="黑体"/>
          <w:bCs/>
          <w:color w:val="auto"/>
          <w:sz w:val="36"/>
          <w:szCs w:val="36"/>
          <w:highlight w:val="none"/>
        </w:rPr>
      </w:r>
      <w:r/>
    </w:p>
    <w:tbl>
      <w:tblPr>
        <w:tblStyle w:val="807"/>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3615"/>
        <w:gridCol w:w="2340"/>
        <w:gridCol w:w="2220"/>
        <w:gridCol w:w="1285"/>
        <w:gridCol w:w="96"/>
      </w:tblGrid>
      <w:tr>
        <w:trPr>
          <w:trHeight w:val="855"/>
        </w:trPr>
        <w:tc>
          <w:tcPr>
            <w:gridSpan w:val="5"/>
            <w:tcBorders>
              <w:top w:val="none" w:color="000000" w:sz="4" w:space="0"/>
              <w:left w:val="none" w:color="000000" w:sz="4" w:space="0"/>
              <w:bottom w:val="none" w:color="000000" w:sz="4" w:space="0"/>
              <w:right w:val="none" w:color="000000" w:sz="4" w:space="0"/>
            </w:tcBorders>
            <w:tcW w:w="9556" w:type="dxa"/>
            <w:vAlign w:val="center"/>
            <w:textDirection w:val="lrTb"/>
            <w:noWrap w:val="false"/>
          </w:tcPr>
          <w:p>
            <w:pPr>
              <w:jc w:val="center"/>
              <w:spacing w:line="360" w:lineRule="auto"/>
              <w:rPr>
                <w:rFonts w:ascii="宋体" w:hAnsi="宋体" w:cs="宋体"/>
                <w:b/>
                <w:bCs/>
                <w:color w:val="auto"/>
                <w:sz w:val="28"/>
                <w:szCs w:val="28"/>
                <w:highlight w:val="none"/>
              </w:rPr>
            </w:pPr>
            <w:r>
              <w:rPr>
                <w:rFonts w:hint="eastAsia" w:ascii="Arial" w:hAnsi="Arial" w:eastAsia="宋体"/>
                <w:b/>
                <w:bCs w:val="0"/>
                <w:color w:val="auto"/>
                <w:sz w:val="30"/>
                <w:szCs w:val="30"/>
                <w:highlight w:val="none"/>
                <w:lang w:eastAsia="zh-CN"/>
              </w:rPr>
              <w:t xml:space="preserve">无锡市中医医院医用液氧、瓶氧及其他医用气体采购项目</w:t>
            </w:r>
            <w:r>
              <w:rPr>
                <w:rFonts w:hint="eastAsia" w:ascii="宋体" w:hAnsi="宋体" w:cs="宋体"/>
                <w:b/>
                <w:bCs w:val="0"/>
                <w:color w:val="auto"/>
                <w:sz w:val="28"/>
                <w:szCs w:val="28"/>
                <w:highlight w:val="none"/>
              </w:rPr>
              <w:t xml:space="preserve">服务考核表</w:t>
            </w:r>
            <w:r/>
          </w:p>
        </w:tc>
      </w:tr>
      <w:tr>
        <w:trPr>
          <w:gridAfter w:val="1"/>
          <w:trHeight w:val="555"/>
        </w:trPr>
        <w:tc>
          <w:tcPr>
            <w:tcBorders>
              <w:top w:val="single" w:color="000000" w:sz="8" w:space="0"/>
              <w:left w:val="single" w:color="000000" w:sz="8" w:space="0"/>
              <w:bottom w:val="single" w:color="000000" w:sz="4" w:space="0"/>
              <w:right w:val="single" w:color="000000" w:sz="4" w:space="0"/>
            </w:tcBorders>
            <w:tcW w:w="3615" w:type="dxa"/>
            <w:vAlign w:val="center"/>
            <w:textDirection w:val="lrTb"/>
            <w:noWrap w:val="false"/>
          </w:tcPr>
          <w:p>
            <w:pPr>
              <w:jc w:val="cente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考核内容</w:t>
            </w:r>
            <w:r/>
          </w:p>
        </w:tc>
        <w:tc>
          <w:tcPr>
            <w:tcBorders>
              <w:top w:val="single" w:color="000000" w:sz="8" w:space="0"/>
              <w:left w:val="none" w:color="000000" w:sz="4" w:space="0"/>
              <w:bottom w:val="single" w:color="000000" w:sz="4" w:space="0"/>
              <w:right w:val="single" w:color="000000" w:sz="4" w:space="0"/>
            </w:tcBorders>
            <w:tcW w:w="2340" w:type="dxa"/>
            <w:vAlign w:val="center"/>
            <w:textDirection w:val="lrTb"/>
            <w:noWrap w:val="false"/>
          </w:tcPr>
          <w:p>
            <w:pPr>
              <w:jc w:val="cente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扣款细则</w:t>
            </w:r>
            <w:r/>
          </w:p>
        </w:tc>
        <w:tc>
          <w:tcPr>
            <w:tcBorders>
              <w:top w:val="single" w:color="000000" w:sz="8"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考核存在问题</w:t>
            </w:r>
            <w:r/>
          </w:p>
        </w:tc>
        <w:tc>
          <w:tcPr>
            <w:tcBorders>
              <w:top w:val="single" w:color="000000" w:sz="8"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扣款</w:t>
            </w:r>
            <w:r/>
          </w:p>
        </w:tc>
      </w:tr>
      <w:tr>
        <w:trPr>
          <w:gridAfter w:val="1"/>
          <w:trHeight w:val="825"/>
        </w:trPr>
        <w:tc>
          <w:tcPr>
            <w:tcBorders>
              <w:top w:val="none" w:color="000000" w:sz="4" w:space="0"/>
              <w:left w:val="single" w:color="000000" w:sz="8" w:space="0"/>
              <w:bottom w:val="single" w:color="000000" w:sz="4" w:space="0"/>
              <w:right w:val="single" w:color="000000" w:sz="4" w:space="0"/>
            </w:tcBorders>
            <w:tcW w:w="361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color w:val="auto"/>
                <w:sz w:val="24"/>
                <w:szCs w:val="24"/>
                <w:highlight w:val="none"/>
              </w:rPr>
              <w:t xml:space="preserve">工作人员遵守医院规章制度，服从工作安排</w:t>
            </w:r>
            <w:r/>
          </w:p>
        </w:tc>
        <w:tc>
          <w:tcPr>
            <w:tcBorders>
              <w:top w:val="none" w:color="000000" w:sz="4" w:space="0"/>
              <w:left w:val="none" w:color="000000" w:sz="4" w:space="0"/>
              <w:bottom w:val="single" w:color="000000" w:sz="4" w:space="0"/>
              <w:right w:val="single" w:color="000000" w:sz="4" w:space="0"/>
            </w:tcBorders>
            <w:tcW w:w="2340"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未做到一次扣50元</w:t>
            </w:r>
            <w:r/>
          </w:p>
        </w:tc>
        <w:tc>
          <w:tcPr>
            <w:tcBorders>
              <w:top w:val="none" w:color="000000" w:sz="4"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gridAfter w:val="1"/>
          <w:trHeight w:val="645"/>
        </w:trPr>
        <w:tc>
          <w:tcPr>
            <w:tcBorders>
              <w:top w:val="none" w:color="000000" w:sz="4" w:space="0"/>
              <w:left w:val="single" w:color="000000" w:sz="8" w:space="0"/>
              <w:bottom w:val="single" w:color="000000" w:sz="4" w:space="0"/>
              <w:right w:val="single" w:color="000000" w:sz="4" w:space="0"/>
            </w:tcBorders>
            <w:tcW w:w="361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color w:val="auto"/>
                <w:sz w:val="24"/>
                <w:szCs w:val="24"/>
                <w:highlight w:val="none"/>
              </w:rPr>
              <w:t xml:space="preserve">工作人员服务规范、及时、文明礼貌</w:t>
            </w:r>
            <w:r/>
          </w:p>
        </w:tc>
        <w:tc>
          <w:tcPr>
            <w:tcBorders>
              <w:top w:val="none" w:color="000000" w:sz="4" w:space="0"/>
              <w:left w:val="none" w:color="000000" w:sz="4" w:space="0"/>
              <w:bottom w:val="single" w:color="000000" w:sz="4" w:space="0"/>
              <w:right w:val="single" w:color="000000" w:sz="4" w:space="0"/>
            </w:tcBorders>
            <w:tcW w:w="2340"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一次服务不规范扣50元</w:t>
            </w:r>
            <w:r/>
          </w:p>
        </w:tc>
        <w:tc>
          <w:tcPr>
            <w:tcBorders>
              <w:top w:val="none" w:color="000000" w:sz="4"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gridAfter w:val="1"/>
          <w:trHeight w:val="825"/>
        </w:trPr>
        <w:tc>
          <w:tcPr>
            <w:tcBorders>
              <w:top w:val="none" w:color="000000" w:sz="4" w:space="0"/>
              <w:left w:val="single" w:color="000000" w:sz="8" w:space="0"/>
              <w:bottom w:val="single" w:color="000000" w:sz="4" w:space="0"/>
              <w:right w:val="single" w:color="000000" w:sz="4" w:space="0"/>
            </w:tcBorders>
            <w:tcW w:w="361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color w:val="auto"/>
                <w:sz w:val="24"/>
                <w:szCs w:val="24"/>
                <w:highlight w:val="none"/>
              </w:rPr>
              <w:t xml:space="preserve">按院方要求将货物在规定时间内送达，特殊情况提前通知</w:t>
            </w:r>
            <w:r/>
          </w:p>
        </w:tc>
        <w:tc>
          <w:tcPr>
            <w:tcBorders>
              <w:top w:val="none" w:color="000000" w:sz="4" w:space="0"/>
              <w:left w:val="none" w:color="000000" w:sz="4" w:space="0"/>
              <w:bottom w:val="single" w:color="000000" w:sz="4" w:space="0"/>
              <w:right w:val="single" w:color="000000" w:sz="4" w:space="0"/>
            </w:tcBorders>
            <w:tcW w:w="2340"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一次不符合要求扣100元</w:t>
            </w:r>
            <w:r/>
          </w:p>
        </w:tc>
        <w:tc>
          <w:tcPr>
            <w:tcBorders>
              <w:top w:val="none" w:color="000000" w:sz="4"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gridAfter w:val="1"/>
          <w:trHeight w:val="945"/>
        </w:trPr>
        <w:tc>
          <w:tcPr>
            <w:tcBorders>
              <w:top w:val="none" w:color="000000" w:sz="4" w:space="0"/>
              <w:left w:val="single" w:color="000000" w:sz="8" w:space="0"/>
              <w:bottom w:val="single" w:color="000000" w:sz="4" w:space="0"/>
              <w:right w:val="single" w:color="000000" w:sz="4" w:space="0"/>
            </w:tcBorders>
            <w:tcW w:w="361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color w:val="auto"/>
                <w:sz w:val="24"/>
                <w:szCs w:val="24"/>
                <w:highlight w:val="none"/>
              </w:rPr>
              <w:t xml:space="preserve">安全生产、文明操作，遵守液氧站管理规定（禁穿油污衣物、禁抽烟等）</w:t>
            </w:r>
            <w:r/>
          </w:p>
        </w:tc>
        <w:tc>
          <w:tcPr>
            <w:tcBorders>
              <w:top w:val="none" w:color="000000" w:sz="4" w:space="0"/>
              <w:left w:val="none" w:color="000000" w:sz="4" w:space="0"/>
              <w:bottom w:val="single" w:color="000000" w:sz="4" w:space="0"/>
              <w:right w:val="single" w:color="000000" w:sz="4" w:space="0"/>
            </w:tcBorders>
            <w:tcW w:w="2340"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一次不符合要求扣50元</w:t>
            </w:r>
            <w:r/>
          </w:p>
        </w:tc>
        <w:tc>
          <w:tcPr>
            <w:tcBorders>
              <w:top w:val="none" w:color="000000" w:sz="4"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gridAfter w:val="1"/>
          <w:trHeight w:val="685"/>
        </w:trPr>
        <w:tc>
          <w:tcPr>
            <w:tcBorders>
              <w:top w:val="none" w:color="000000" w:sz="4" w:space="0"/>
              <w:left w:val="single" w:color="000000" w:sz="8" w:space="0"/>
              <w:bottom w:val="single" w:color="000000" w:sz="4" w:space="0"/>
              <w:right w:val="single" w:color="000000" w:sz="4" w:space="0"/>
            </w:tcBorders>
            <w:tcW w:w="361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color w:val="auto"/>
                <w:sz w:val="24"/>
                <w:szCs w:val="24"/>
                <w:highlight w:val="none"/>
              </w:rPr>
              <w:t xml:space="preserve">保持操作场所环境卫生整洁</w:t>
            </w:r>
            <w:r/>
          </w:p>
        </w:tc>
        <w:tc>
          <w:tcPr>
            <w:tcBorders>
              <w:top w:val="none" w:color="000000" w:sz="4" w:space="0"/>
              <w:left w:val="none" w:color="000000" w:sz="4" w:space="0"/>
              <w:bottom w:val="single" w:color="000000" w:sz="4" w:space="0"/>
              <w:right w:val="single" w:color="000000" w:sz="4" w:space="0"/>
            </w:tcBorders>
            <w:tcW w:w="2340"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一次不规范扣50元</w:t>
            </w:r>
            <w:r/>
          </w:p>
        </w:tc>
        <w:tc>
          <w:tcPr>
            <w:tcBorders>
              <w:top w:val="none" w:color="000000" w:sz="4"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gridAfter w:val="1"/>
          <w:trHeight w:val="870"/>
        </w:trPr>
        <w:tc>
          <w:tcPr>
            <w:tcBorders>
              <w:top w:val="none" w:color="000000" w:sz="4" w:space="0"/>
              <w:left w:val="single" w:color="000000" w:sz="8" w:space="0"/>
              <w:bottom w:val="single" w:color="000000" w:sz="4" w:space="0"/>
              <w:right w:val="single" w:color="000000" w:sz="4" w:space="0"/>
            </w:tcBorders>
            <w:tcW w:w="361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遵守合同条款，友好协调处理问题不推诿</w:t>
            </w:r>
            <w:r/>
          </w:p>
        </w:tc>
        <w:tc>
          <w:tcPr>
            <w:tcBorders>
              <w:top w:val="none" w:color="000000" w:sz="4" w:space="0"/>
              <w:left w:val="none" w:color="000000" w:sz="4" w:space="0"/>
              <w:bottom w:val="single" w:color="000000" w:sz="4" w:space="0"/>
              <w:right w:val="single" w:color="000000" w:sz="4" w:space="0"/>
            </w:tcBorders>
            <w:tcW w:w="2340"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ascii="宋体" w:hAnsi="宋体" w:cs="宋体"/>
                <w:color w:val="auto"/>
                <w:sz w:val="24"/>
                <w:szCs w:val="24"/>
                <w:highlight w:val="none"/>
              </w:rPr>
              <w:suppressLineNumbers w:val="0"/>
            </w:pPr>
            <w:r>
              <w:rPr>
                <w:color w:val="auto"/>
                <w:sz w:val="24"/>
                <w:szCs w:val="24"/>
                <w:highlight w:val="none"/>
              </w:rPr>
              <w:t xml:space="preserve">一次不符合要求扣100元</w:t>
            </w:r>
            <w:r/>
          </w:p>
        </w:tc>
        <w:tc>
          <w:tcPr>
            <w:tcBorders>
              <w:top w:val="none" w:color="000000" w:sz="4" w:space="0"/>
              <w:left w:val="none" w:color="000000" w:sz="4" w:space="0"/>
              <w:bottom w:val="single" w:color="000000" w:sz="4" w:space="0"/>
              <w:right w:val="single" w:color="000000" w:sz="4" w:space="0"/>
            </w:tcBorders>
            <w:tcW w:w="222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gridAfter w:val="1"/>
          <w:trHeight w:val="780"/>
        </w:trPr>
        <w:tc>
          <w:tcPr>
            <w:tcBorders>
              <w:top w:val="none" w:color="000000" w:sz="4" w:space="0"/>
              <w:left w:val="single" w:color="000000" w:sz="8" w:space="0"/>
              <w:bottom w:val="single" w:color="000000" w:sz="4" w:space="0"/>
              <w:right w:val="single" w:color="000000" w:sz="4" w:space="0"/>
            </w:tcBorders>
            <w:tcW w:w="361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合计考核扣款 </w:t>
            </w:r>
            <w:r/>
          </w:p>
        </w:tc>
        <w:tc>
          <w:tcPr>
            <w:tcBorders>
              <w:top w:val="none" w:color="000000" w:sz="4" w:space="0"/>
              <w:left w:val="none" w:color="000000" w:sz="4" w:space="0"/>
              <w:bottom w:val="single" w:color="000000" w:sz="4" w:space="0"/>
              <w:right w:val="single" w:color="000000" w:sz="4" w:space="0"/>
            </w:tcBorders>
            <w:tcW w:w="2340"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20"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85" w:type="dxa"/>
            <w:vAlign w:val="bottom"/>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r>
        <w:trPr>
          <w:gridAfter w:val="1"/>
          <w:trHeight w:val="810"/>
        </w:trPr>
        <w:tc>
          <w:tcPr>
            <w:tcBorders>
              <w:top w:val="none" w:color="000000" w:sz="4" w:space="0"/>
              <w:left w:val="single" w:color="000000" w:sz="8" w:space="0"/>
              <w:bottom w:val="single" w:color="000000" w:sz="8" w:space="0"/>
              <w:right w:val="single" w:color="000000" w:sz="4" w:space="0"/>
            </w:tcBorders>
            <w:tcW w:w="3615"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考核日期： </w:t>
            </w:r>
            <w:r/>
          </w:p>
        </w:tc>
        <w:tc>
          <w:tcPr>
            <w:tcBorders>
              <w:top w:val="none" w:color="000000" w:sz="4" w:space="0"/>
              <w:left w:val="none" w:color="000000" w:sz="4" w:space="0"/>
              <w:bottom w:val="single" w:color="000000" w:sz="8" w:space="0"/>
              <w:right w:val="single" w:color="000000" w:sz="4" w:space="0"/>
            </w:tcBorders>
            <w:tcW w:w="2340"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考核者：</w:t>
            </w:r>
            <w:r/>
          </w:p>
        </w:tc>
        <w:tc>
          <w:tcPr>
            <w:tcBorders>
              <w:top w:val="none" w:color="000000" w:sz="4" w:space="0"/>
              <w:left w:val="none" w:color="000000" w:sz="4" w:space="0"/>
              <w:bottom w:val="single" w:color="000000" w:sz="8" w:space="0"/>
              <w:right w:val="none" w:color="000000" w:sz="4" w:space="0"/>
            </w:tcBorders>
            <w:tcW w:w="2220"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相关部门</w:t>
            </w:r>
            <w:r>
              <w:rPr>
                <w:rFonts w:hint="eastAsia" w:ascii="宋体" w:hAnsi="宋体" w:cs="宋体"/>
                <w:b/>
                <w:bCs/>
                <w:color w:val="auto"/>
                <w:sz w:val="24"/>
                <w:highlight w:val="none"/>
              </w:rPr>
              <w:t xml:space="preserve">负责人：</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tc>
      </w:tr>
    </w:tbl>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ind w:firstLine="480"/>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firstLine="480"/>
        <w:jc w:val="left"/>
        <w:spacing w:line="360" w:lineRule="auto"/>
        <w:rPr>
          <w:rFonts w:hint="eastAsia" w:ascii="宋体" w:hAnsi="宋体" w:eastAsia="宋体" w:cs="宋体"/>
          <w:color w:val="auto"/>
          <w:sz w:val="24"/>
          <w:szCs w:val="24"/>
          <w:highlight w:val="none"/>
        </w:rPr>
      </w:pPr>
      <w:r/>
      <w:bookmarkStart w:id="147" w:name="_Toc49090575"/>
      <w:r/>
      <w:bookmarkStart w:id="148" w:name="_Toc120614281"/>
      <w:r/>
      <w:bookmarkStart w:id="149" w:name="_Toc26554093"/>
      <w:r>
        <w:rPr>
          <w:rFonts w:hint="eastAsia" w:ascii="宋体" w:hAnsi="宋体" w:eastAsia="宋体" w:cs="宋体"/>
          <w:color w:val="auto"/>
          <w:sz w:val="24"/>
          <w:szCs w:val="24"/>
          <w:highlight w:val="none"/>
        </w:rPr>
        <w:t xml:space="preserve">本项目属性：货物类项目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Cs/>
          <w:color w:val="auto"/>
          <w:sz w:val="24"/>
          <w:szCs w:val="24"/>
          <w:highlight w:val="none"/>
        </w:rPr>
        <w:t xml:space="preserve">本项目标的物所属行业：工业</w:t>
      </w:r>
      <w:r/>
    </w:p>
    <w:p>
      <w:pPr>
        <w:numPr>
          <w:ilvl w:val="0"/>
          <w:numId w:val="9"/>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技术需求：项目配置、技术参数等</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1）采购清单</w:t>
      </w:r>
      <w:r/>
    </w:p>
    <w:tbl>
      <w:tblPr>
        <w:tblStyle w:val="843"/>
        <w:tblW w:w="50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1818"/>
        <w:gridCol w:w="2075"/>
        <w:gridCol w:w="793"/>
        <w:gridCol w:w="1217"/>
        <w:gridCol w:w="1007"/>
        <w:gridCol w:w="2914"/>
      </w:tblGrid>
      <w:tr>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0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7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1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单价限价（元）</w:t>
            </w:r>
            <w:r/>
          </w:p>
        </w:tc>
        <w:tc>
          <w:tcPr>
            <w:tcW w:w="98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预估年用量</w:t>
            </w:r>
            <w:r/>
          </w:p>
        </w:tc>
        <w:tc>
          <w:tcPr>
            <w:tcW w:w="285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用途</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液氧（医用）</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≥99.5%（符合2020版药典、GMP标准）</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吨</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1000</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中心供氧气源</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90</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急诊、</w:t>
            </w:r>
            <w:r>
              <w:rPr>
                <w:rFonts w:hint="eastAsia" w:ascii="宋体" w:hAnsi="宋体" w:eastAsia="宋体" w:cs="宋体"/>
                <w:color w:val="auto"/>
                <w:sz w:val="24"/>
                <w:szCs w:val="24"/>
                <w:highlight w:val="none"/>
              </w:rPr>
              <w:t xml:space="preserve">病房</w:t>
            </w:r>
            <w:r>
              <w:rPr>
                <w:rFonts w:hint="eastAsia" w:ascii="宋体" w:hAnsi="宋体" w:eastAsia="宋体" w:cs="宋体"/>
                <w:color w:val="auto"/>
                <w:sz w:val="24"/>
                <w:szCs w:val="24"/>
                <w:highlight w:val="none"/>
                <w:lang w:eastAsia="zh-CN"/>
              </w:rPr>
              <w:t xml:space="preserve">备用</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≥99.5%、2升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300</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急诊转运、病房临时补氧</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≥99.5%、3升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310</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急诊转运、病房临时补氧</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液氮</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升</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1000</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医疗冷冻治疗、生物样本低温保存、冷链运输</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氮气</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医疗设备气路吹扫（含于“其他气体40瓶”内）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普通二氧化碳</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检验科试剂校准、康复科呼吸训练（含于“其他气体40瓶”内）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高纯二氧化碳</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医用高分子灭菌、细胞培养（含于“其他气体40瓶”内）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乙炔</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A级99%、5公斤</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金属管道焊接（含于“其他气体40瓶”内）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氩气</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≥99.95%、40升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氩气刀、仪器防氧化保护（含于“其他气体40瓶”内）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氩气</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≥99.95%、10升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氩气刀、仪器防氧化保护（含于“其他气体40瓶”内）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二元混合气（氧气21.4%，氦气平衡）</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治疗急性呼吸类疾病（含于“其他气体40瓶”内）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四元混合气（一氧化碳0.296%，氦气10%，氧气20.13%，氮气平衡）</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2000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血气分析仪、肺功能仪校准（含于“其他气体40瓶”内）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高纯空气</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便携式呼吸机、雾化器驱动气源（含于“其他气体40瓶”内）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高纯空气</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1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便携式呼吸机、雾化器驱动气源（含于“其他气体40瓶”内）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钢瓶</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suppressLineNumbers w:val="0"/>
            </w:pPr>
            <w:r>
              <w:rPr>
                <w:rFonts w:hint="eastAsia" w:cs="宋体"/>
                <w:color w:val="auto"/>
                <w:sz w:val="24"/>
                <w:szCs w:val="24"/>
                <w:highlight w:val="none"/>
                <w:lang w:eastAsia="zh-CN"/>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便携式医用气体存储</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钢瓶</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1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便携式医用气体存储</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碳纤维瓶</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1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1600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轻量化便携式气体存储（含于“其他气体40瓶”内）</w:t>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80"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碳纤维瓶</w:t>
            </w:r>
            <w:r/>
          </w:p>
        </w:tc>
        <w:tc>
          <w:tcPr>
            <w:tcW w:w="2031"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3升</w:t>
            </w:r>
            <w:r/>
          </w:p>
        </w:tc>
        <w:tc>
          <w:tcPr>
            <w:tcW w:w="77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1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1800</w:t>
            </w:r>
            <w:r/>
          </w:p>
        </w:tc>
        <w:tc>
          <w:tcPr>
            <w:tcW w:w="986"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轻量化便携式气体存储（含于“其他气体40瓶”内）</w:t>
            </w:r>
            <w:r/>
          </w:p>
        </w:tc>
      </w:tr>
    </w:tbl>
    <w:p>
      <w:pPr>
        <w:numPr>
          <w:ilvl w:val="0"/>
          <w:numId w:val="0"/>
        </w:numPr>
        <w:ind w:left="420" w:right="0"/>
        <w:jc w:val="both"/>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注：部署医用气体管理系统，对院内的液氧站液位运行情况进行实时监测，实现预防性维护服务，涉及的相关软硬件包含在总报价中，请潜在投标人自行考虑。</w:t>
      </w:r>
      <w:r/>
    </w:p>
    <w:p>
      <w:pPr>
        <w:pStyle w:val="949"/>
        <w:numPr>
          <w:ilvl w:val="0"/>
          <w:numId w:val="10"/>
        </w:numPr>
        <w:ind w:left="0"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产品质量标准：</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（1）所有气体产品需符合《中华人民共和国药典（2020版）</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医用气体工程技术规范》（GB 50751-2012）等国家强制标准，其中医用液氧纯度≥99.5%，其他气体纯度符合对应规格要求；</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（2）每批次供货需附带《药品检验报告</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出库复核单</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，且标注产品批号，批号需在生产记录、检验报告、出库复核单中保持一致；</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（3）支持与医院药品管理系统对接，实现入出库、使用全链条追溯</w:t>
      </w:r>
      <w:r>
        <w:rPr>
          <w:rFonts w:hint="eastAsia" w:ascii="宋体" w:hAnsi="宋体" w:eastAsia="宋体" w:cs="宋体"/>
          <w:color w:val="auto"/>
          <w:sz w:val="24"/>
          <w:szCs w:val="24"/>
          <w:highlight w:val="none"/>
        </w:rPr>
        <w:t xml:space="preserve">。</w:t>
      </w:r>
      <w:r/>
    </w:p>
    <w:p>
      <w:pPr>
        <w:pStyle w:val="840"/>
        <w:ind w:left="0" w:right="0" w:firstLine="480"/>
        <w:jc w:val="left"/>
        <w:keepLines w:val="0"/>
        <w:keepNext w:val="0"/>
        <w:pageBreakBefore w:val="0"/>
        <w:spacing w:before="0" w:beforeAutospacing="0" w:after="0" w:afterAutospacing="0" w:line="360" w:lineRule="auto"/>
        <w:widowControl/>
        <w:rPr>
          <w:rFonts w:hint="eastAsia"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2.医用气体管理系统要求：</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.1</w:t>
      </w:r>
      <w:r>
        <w:rPr>
          <w:rFonts w:ascii="宋体" w:hAnsi="宋体" w:eastAsia="宋体" w:cs="宋体"/>
          <w:b/>
          <w:color w:val="auto"/>
          <w:sz w:val="24"/>
          <w:szCs w:val="24"/>
          <w:highlight w:val="none"/>
        </w:rPr>
        <w:t xml:space="preserve">目标要求</w:t>
      </w:r>
      <w:r/>
    </w:p>
    <w:p>
      <w:pPr>
        <w:ind w:left="0" w:right="0" w:firstLine="42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1.</w:t>
      </w:r>
      <w:r>
        <w:rPr>
          <w:rFonts w:ascii="宋体" w:hAnsi="宋体" w:eastAsia="宋体" w:cs="宋体"/>
          <w:color w:val="auto"/>
          <w:sz w:val="24"/>
          <w:szCs w:val="24"/>
          <w:highlight w:val="none"/>
        </w:rPr>
        <w:t xml:space="preserve">通过对院内的液氧罐增加网关通讯功能，实现机组运行状态的实时监测；</w:t>
      </w:r>
      <w:r/>
    </w:p>
    <w:p>
      <w:pPr>
        <w:ind w:left="0" w:right="0" w:firstLine="42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val="en-US" w:eastAsia="zh-CN"/>
        </w:rPr>
        <w:t xml:space="preserve">2.</w:t>
      </w:r>
      <w:r>
        <w:rPr>
          <w:rFonts w:ascii="宋体" w:hAnsi="宋体" w:eastAsia="宋体" w:cs="宋体"/>
          <w:color w:val="auto"/>
          <w:sz w:val="24"/>
          <w:szCs w:val="24"/>
          <w:highlight w:val="none"/>
        </w:rPr>
        <w:t xml:space="preserve">气体系统流程图中直观展示液氧储槽系统中设备之间的系统关系、基本运行数据，气体流向等，异常设备或节点在流程图中直观展示；</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.2</w:t>
      </w:r>
      <w:r>
        <w:rPr>
          <w:rFonts w:ascii="宋体" w:hAnsi="宋体" w:eastAsia="宋体" w:cs="宋体"/>
          <w:b/>
          <w:color w:val="auto"/>
          <w:sz w:val="24"/>
          <w:szCs w:val="24"/>
          <w:highlight w:val="none"/>
        </w:rPr>
        <w:t xml:space="preserve">医用气体管理系统</w:t>
      </w:r>
      <w:r>
        <w:rPr>
          <w:rFonts w:hint="eastAsia" w:ascii="宋体" w:hAnsi="宋体" w:eastAsia="宋体" w:cs="宋体"/>
          <w:b/>
          <w:color w:val="auto"/>
          <w:sz w:val="24"/>
          <w:szCs w:val="24"/>
          <w:highlight w:val="none"/>
          <w:lang w:val="en-US" w:eastAsia="zh-CN"/>
        </w:rPr>
        <w:t xml:space="preserve">使用</w:t>
      </w:r>
      <w:r>
        <w:rPr>
          <w:rFonts w:ascii="宋体" w:hAnsi="宋体" w:eastAsia="宋体" w:cs="宋体"/>
          <w:b/>
          <w:color w:val="auto"/>
          <w:sz w:val="24"/>
          <w:szCs w:val="24"/>
          <w:highlight w:val="none"/>
        </w:rPr>
        <w:t xml:space="preserve">要求</w:t>
      </w:r>
      <w:r/>
    </w:p>
    <w:p>
      <w:pPr>
        <w:ind w:left="0" w:right="0" w:firstLine="422"/>
        <w:jc w:val="both"/>
        <w:spacing w:before="0" w:after="0" w:line="360" w:lineRule="auto"/>
        <w:rPr>
          <w:rFonts w:hint="eastAsia"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1、支持目前常用的浏览器，如谷歌Chrome、微软Edge等主流版本，确保院内管理人员可正常访问；</w:t>
      </w:r>
      <w:r/>
    </w:p>
    <w:p>
      <w:pPr>
        <w:ind w:left="0" w:right="0" w:firstLine="422"/>
        <w:jc w:val="both"/>
        <w:spacing w:before="0" w:after="0" w:line="360" w:lineRule="auto"/>
        <w:rPr>
          <w:rFonts w:hint="eastAsia"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2、具有良好的稳定性与兼容性，能够保证系统7*24小时连续稳定运行，满足医用气体系统不间断监控的核心需求；</w:t>
      </w:r>
      <w:r/>
    </w:p>
    <w:p>
      <w:pPr>
        <w:ind w:left="0" w:right="0" w:firstLine="422"/>
        <w:jc w:val="both"/>
        <w:spacing w:before="0" w:after="0" w:line="360" w:lineRule="auto"/>
        <w:rPr>
          <w:rFonts w:hint="eastAsia"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3、此系统中标单位可部署在云端(无需其他硬件支持)，医院主管部门可实时查看及接送推送信息；</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.3</w:t>
      </w:r>
      <w:r>
        <w:rPr>
          <w:rFonts w:ascii="宋体" w:hAnsi="宋体" w:eastAsia="宋体" w:cs="宋体"/>
          <w:b/>
          <w:color w:val="auto"/>
          <w:sz w:val="24"/>
          <w:szCs w:val="24"/>
          <w:highlight w:val="none"/>
        </w:rPr>
        <w:t xml:space="preserve">医用气体管理系统功能要求</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.3.1</w:t>
      </w:r>
      <w:r>
        <w:rPr>
          <w:rFonts w:ascii="宋体" w:hAnsi="宋体" w:eastAsia="宋体" w:cs="宋体"/>
          <w:b/>
          <w:color w:val="auto"/>
          <w:sz w:val="24"/>
          <w:szCs w:val="24"/>
          <w:highlight w:val="none"/>
        </w:rPr>
        <w:t xml:space="preserve">系统首页</w:t>
      </w:r>
      <w:r/>
    </w:p>
    <w:p>
      <w:pPr>
        <w:ind w:left="0" w:right="0" w:firstLine="42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1.</w:t>
      </w:r>
      <w:r>
        <w:rPr>
          <w:rFonts w:ascii="宋体" w:hAnsi="宋体" w:eastAsia="宋体" w:cs="宋体"/>
          <w:color w:val="auto"/>
          <w:sz w:val="24"/>
          <w:szCs w:val="24"/>
          <w:highlight w:val="none"/>
        </w:rPr>
        <w:t xml:space="preserve">展示报警信息统计：本周、本月、本年度数量统计；</w:t>
      </w:r>
      <w:r/>
    </w:p>
    <w:p>
      <w:pPr>
        <w:ind w:left="0" w:right="0" w:firstLine="42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2.</w:t>
      </w:r>
      <w:r>
        <w:rPr>
          <w:rFonts w:ascii="宋体" w:hAnsi="宋体" w:eastAsia="宋体" w:cs="宋体"/>
          <w:color w:val="auto"/>
          <w:sz w:val="24"/>
          <w:szCs w:val="24"/>
          <w:highlight w:val="none"/>
        </w:rPr>
        <w:t xml:space="preserve">液氧储气罐实时数据（包含每个液氧储罐剩余体积、剩余百分比、当前压力等），同时展示液氧的总余量数据；</w:t>
      </w:r>
      <w:r/>
    </w:p>
    <w:p>
      <w:pPr>
        <w:ind w:left="0" w:right="0" w:firstLine="42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val="en-US" w:eastAsia="zh-CN"/>
        </w:rPr>
        <w:t xml:space="preserve">3.</w:t>
      </w:r>
      <w:r>
        <w:rPr>
          <w:rFonts w:ascii="宋体" w:hAnsi="宋体" w:eastAsia="宋体" w:cs="宋体"/>
          <w:color w:val="auto"/>
          <w:sz w:val="24"/>
          <w:szCs w:val="24"/>
          <w:highlight w:val="none"/>
        </w:rPr>
        <w:t xml:space="preserve">气体系统流程图中直观展示液氧储槽系统中医用气体设备之间的系统关系、基本运行数据，气体流向等，异常设备或节点在流程图中直观展示；</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.3.</w:t>
      </w:r>
      <w:r>
        <w:rPr>
          <w:rFonts w:hint="eastAsia" w:ascii="Times New Roman" w:hAnsi="Times New Roman" w:eastAsia="宋体" w:cs="Times New Roman"/>
          <w:b/>
          <w:color w:val="auto"/>
          <w:sz w:val="24"/>
          <w:szCs w:val="24"/>
          <w:highlight w:val="none"/>
          <w:lang w:val="en-US" w:eastAsia="zh-CN"/>
        </w:rPr>
        <w:t xml:space="preserve">2</w:t>
      </w:r>
      <w:r>
        <w:rPr>
          <w:rFonts w:ascii="宋体" w:hAnsi="宋体" w:eastAsia="宋体" w:cs="宋体"/>
          <w:b/>
          <w:color w:val="auto"/>
          <w:sz w:val="24"/>
          <w:szCs w:val="24"/>
          <w:highlight w:val="none"/>
        </w:rPr>
        <w:t xml:space="preserve">系统统计分析</w:t>
      </w:r>
      <w:r/>
    </w:p>
    <w:p>
      <w:pPr>
        <w:ind w:left="0" w:right="0" w:firstLine="42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val="en-US" w:eastAsia="zh-CN"/>
        </w:rPr>
        <w:t xml:space="preserve"> </w:t>
      </w:r>
      <w:r>
        <w:rPr>
          <w:rFonts w:ascii="宋体" w:hAnsi="宋体" w:eastAsia="宋体" w:cs="宋体"/>
          <w:color w:val="auto"/>
          <w:sz w:val="24"/>
          <w:szCs w:val="24"/>
          <w:highlight w:val="none"/>
        </w:rPr>
        <w:t xml:space="preserve">液氧储罐统计功能：可按时间区间检索查看液氧储罐告警数量统计图、各个液氧单罐剩余量折线图、液氧储槽总剩余量折线图、各个液氧储槽日期范围内使用量及充装量统计图、支持以表格形式汇总查看每日各个液氧储罐的使用量和充装量数据及每日总的使用量和充装量统计，并支持导出</w:t>
      </w:r>
      <w:r>
        <w:rPr>
          <w:rFonts w:ascii="Times New Roman" w:hAnsi="Times New Roman" w:eastAsia="Times New Roman" w:cs="Times New Roman"/>
          <w:color w:val="auto"/>
          <w:sz w:val="24"/>
          <w:szCs w:val="24"/>
          <w:highlight w:val="none"/>
        </w:rPr>
        <w:t xml:space="preserve">EXCEL</w:t>
      </w:r>
      <w:r>
        <w:rPr>
          <w:rFonts w:ascii="宋体" w:hAnsi="宋体" w:eastAsia="宋体" w:cs="宋体"/>
          <w:color w:val="auto"/>
          <w:sz w:val="24"/>
          <w:szCs w:val="24"/>
          <w:highlight w:val="none"/>
        </w:rPr>
        <w:t xml:space="preserve">；</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.3.</w:t>
      </w:r>
      <w:r>
        <w:rPr>
          <w:rFonts w:hint="eastAsia" w:ascii="Times New Roman" w:hAnsi="Times New Roman" w:eastAsia="宋体" w:cs="Times New Roman"/>
          <w:b/>
          <w:color w:val="auto"/>
          <w:sz w:val="24"/>
          <w:szCs w:val="24"/>
          <w:highlight w:val="none"/>
          <w:lang w:val="en-US" w:eastAsia="zh-CN"/>
        </w:rPr>
        <w:t xml:space="preserve">3</w:t>
      </w:r>
      <w:r>
        <w:rPr>
          <w:rFonts w:ascii="宋体" w:hAnsi="宋体" w:eastAsia="宋体" w:cs="宋体"/>
          <w:b/>
          <w:color w:val="auto"/>
          <w:sz w:val="24"/>
          <w:szCs w:val="24"/>
          <w:highlight w:val="none"/>
        </w:rPr>
        <w:t xml:space="preserve">系统移动端</w:t>
      </w:r>
      <w:r/>
    </w:p>
    <w:p>
      <w:pPr>
        <w:numPr>
          <w:ilvl w:val="0"/>
          <w:numId w:val="11"/>
        </w:numPr>
        <w:ind w:left="0" w:right="0" w:firstLine="420"/>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实时监控液氧储蓄罐当前剩余体积，总体积、压力等状态；</w:t>
      </w:r>
      <w:r/>
    </w:p>
    <w:p>
      <w:pPr>
        <w:numPr>
          <w:ilvl w:val="0"/>
          <w:numId w:val="0"/>
        </w:numPr>
        <w:ind w:left="420" w:right="0"/>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2.</w:t>
      </w:r>
      <w:r>
        <w:rPr>
          <w:rFonts w:ascii="宋体" w:hAnsi="宋体" w:eastAsia="宋体" w:cs="宋体"/>
          <w:color w:val="auto"/>
          <w:sz w:val="24"/>
          <w:szCs w:val="24"/>
          <w:highlight w:val="none"/>
        </w:rPr>
        <w:t xml:space="preserve">当气体设备发生报警事件，自动推送报警信息至手机小程序、企业微信等，报警信息可按等级提示等信息；</w:t>
      </w:r>
      <w:r/>
    </w:p>
    <w:p>
      <w:pPr>
        <w:ind w:left="0" w:right="0" w:firstLine="422"/>
        <w:jc w:val="both"/>
        <w:spacing w:before="0"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auto"/>
          <w:sz w:val="24"/>
          <w:szCs w:val="24"/>
          <w:highlight w:val="none"/>
          <w:lang w:val="en-US" w:eastAsia="zh-CN"/>
        </w:rPr>
        <w:t xml:space="preserve">2</w:t>
      </w:r>
      <w:r>
        <w:rPr>
          <w:rFonts w:ascii="Times New Roman" w:hAnsi="Times New Roman" w:eastAsia="Times New Roman" w:cs="Times New Roman"/>
          <w:b/>
          <w:color w:val="auto"/>
          <w:sz w:val="24"/>
          <w:szCs w:val="24"/>
          <w:highlight w:val="none"/>
        </w:rPr>
        <w:t xml:space="preserve">.3.</w:t>
      </w:r>
      <w:r>
        <w:rPr>
          <w:rFonts w:hint="eastAsia" w:ascii="Times New Roman" w:hAnsi="Times New Roman" w:eastAsia="宋体" w:cs="Times New Roman"/>
          <w:b/>
          <w:color w:val="auto"/>
          <w:sz w:val="24"/>
          <w:szCs w:val="24"/>
          <w:highlight w:val="none"/>
          <w:lang w:val="en-US" w:eastAsia="zh-CN"/>
        </w:rPr>
        <w:t xml:space="preserve">4</w:t>
      </w:r>
      <w:r>
        <w:rPr>
          <w:rFonts w:ascii="宋体" w:hAnsi="宋体" w:eastAsia="宋体" w:cs="宋体"/>
          <w:b/>
          <w:color w:val="auto"/>
          <w:sz w:val="24"/>
          <w:szCs w:val="24"/>
          <w:highlight w:val="none"/>
        </w:rPr>
        <w:t xml:space="preserve">、医用气体管理系统商务及知识产权</w:t>
      </w:r>
      <w:r/>
    </w:p>
    <w:p>
      <w:pPr>
        <w:ind w:left="0" w:right="0" w:firstLine="420"/>
        <w:jc w:val="both"/>
        <w:spacing w:before="0" w:after="0" w:line="360" w:lineRule="auto"/>
        <w:rPr>
          <w:rFonts w:hint="default"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eastAsia="zh-CN"/>
        </w:rPr>
        <w:t xml:space="preserve">1.</w:t>
      </w:r>
      <w:r>
        <w:rPr>
          <w:rFonts w:ascii="宋体" w:hAnsi="宋体" w:eastAsia="宋体" w:cs="宋体"/>
          <w:color w:val="auto"/>
          <w:sz w:val="24"/>
          <w:szCs w:val="24"/>
          <w:highlight w:val="none"/>
        </w:rPr>
        <w:t xml:space="preserve">系统上线后，中标人在合同续期内需保证系统正常使用，及时解决系统问题，定期系统升级，不收取任何额外费用；</w:t>
      </w:r>
      <w:r/>
    </w:p>
    <w:p>
      <w:pPr>
        <w:pStyle w:val="949"/>
        <w:numPr>
          <w:ilvl w:val="0"/>
          <w:numId w:val="0"/>
        </w:numPr>
        <w:ind w:left="480"/>
        <w:jc w:val="lef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供应设备要求：</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具有至少2辆医用液氧专用槽车，配置该项目运输车辆具有中华人民共和国道路运输证。（中标后需提供车辆行驶证复印件。如投标人委托第三方运输企业承担气体运输服务，则投标人需同时提供与该运输企业有效期内的协议书）。</w:t>
      </w:r>
      <w:r/>
    </w:p>
    <w:p>
      <w:pPr>
        <w:pStyle w:val="949"/>
        <w:numPr>
          <w:ilvl w:val="0"/>
          <w:numId w:val="0"/>
        </w:numPr>
        <w:ind w:left="480"/>
        <w:jc w:val="lef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液氧站维保要求（需形成书面巡检报告，每月1次）：</w:t>
      </w:r>
      <w:r/>
    </w:p>
    <w:tbl>
      <w:tblPr>
        <w:tblStyle w:val="807"/>
        <w:tblW w:w="84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35"/>
        <w:gridCol w:w="5333"/>
      </w:tblGrid>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Style w:val="844"/>
                <w:rFonts w:hint="eastAsia" w:ascii="宋体" w:hAnsi="宋体" w:eastAsia="宋体" w:cs="宋体"/>
                <w:b/>
                <w:bCs/>
                <w:color w:val="auto"/>
                <w:sz w:val="24"/>
                <w:szCs w:val="24"/>
                <w:highlight w:val="none"/>
              </w:rPr>
              <w:t xml:space="preserve">维保内容</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Style w:val="844"/>
                <w:rFonts w:hint="eastAsia" w:ascii="宋体" w:hAnsi="宋体" w:eastAsia="宋体" w:cs="宋体"/>
                <w:b/>
                <w:bCs/>
                <w:color w:val="auto"/>
                <w:sz w:val="24"/>
                <w:szCs w:val="24"/>
                <w:highlight w:val="none"/>
              </w:rPr>
              <w:t xml:space="preserve">维保要求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液氧储罐表面腐蚀情况</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储罐表面无锈斑和腐蚀现象</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液氧管路和接口泄漏情况</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管路和接口无渗漏、裂缝和跑气现象</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安全阀</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清洁无开裂泄漏，每年校准1次并提供报告</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汽化器</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结霜均匀充分，无泄漏现象</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各种仪表</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玻璃外罩清洁透明、数值准确在合理范围</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液氧储罐管路系统</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去油脂，保持清洁干净</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低温阀门</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清洁、开关灵活、无泄漏</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调压系统及自动调压器</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清洁牢固、稳定无泄漏</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压力表年检</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每半年校准1次，提供校准报告</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储罐接地装置</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接地牢固且稳定</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防爆装置</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清洁牢固、无开裂泄漏，运行声音正常</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3135"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真空度</w:t>
            </w:r>
            <w:r/>
          </w:p>
        </w:tc>
        <w:tc>
          <w:tcPr>
            <w:shd w:val="clear" w:color="auto" w:fill="auto"/>
            <w:tcBorders>
              <w:top w:val="single" w:color="auto" w:sz="6" w:space="0"/>
              <w:left w:val="single" w:color="auto" w:sz="6" w:space="0"/>
              <w:bottom w:val="single" w:color="auto" w:sz="6" w:space="0"/>
              <w:right w:val="single" w:color="auto" w:sz="6" w:space="0"/>
            </w:tcBorders>
            <w:tcW w:w="533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按检测报告周期检测，确保达标</w:t>
            </w:r>
            <w:r/>
          </w:p>
        </w:tc>
      </w:tr>
    </w:tbl>
    <w:p>
      <w:pPr>
        <w:pStyle w:val="949"/>
        <w:numPr>
          <w:ilvl w:val="0"/>
          <w:numId w:val="0"/>
        </w:numPr>
        <w:ind w:left="480"/>
        <w:jc w:val="lef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充装与操作要求：</w:t>
      </w:r>
      <w:r/>
    </w:p>
    <w:p>
      <w:pPr>
        <w:pStyle w:val="84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（1）液氧储罐车停稳后需及时放置警示标志，严禁在液氧站区域抽烟；</w:t>
      </w:r>
      <w:r/>
    </w:p>
    <w:p>
      <w:pPr>
        <w:pStyle w:val="84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（2）送货人员禁止穿戴有油污的手套衣物进入液氧站；</w:t>
      </w:r>
      <w:r/>
    </w:p>
    <w:p>
      <w:pPr>
        <w:pStyle w:val="84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（3）液氧充装前需拍摄储罐内现有容量，充装完成后再次拍摄留存，作为计量依据；</w:t>
      </w:r>
      <w:r/>
    </w:p>
    <w:p>
      <w:pPr>
        <w:pStyle w:val="949"/>
        <w:numPr>
          <w:ilvl w:val="0"/>
          <w:numId w:val="0"/>
        </w:numPr>
        <w:ind w:left="480"/>
        <w:jc w:val="lef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应急响应要求：</w:t>
      </w:r>
      <w:r/>
    </w:p>
    <w:p>
      <w:pPr>
        <w:pStyle w:val="84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（1）设备故障后2小时内到场处置；</w:t>
      </w:r>
      <w:r/>
    </w:p>
    <w:p>
      <w:pPr>
        <w:pStyle w:val="84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（2）紧急采购医用液氧（如液位不足3天用量、急救需求）需在收到通知后2小时内送达，日常供货在12小时内送达；</w:t>
      </w:r>
      <w:r/>
    </w:p>
    <w:p>
      <w:pPr>
        <w:pStyle w:val="840"/>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（3）应急备用气源需单独配置，确保生命支持区域（手术室、ICU等）≥4h用气量，且应急备用气源不得由液氧系统或分子筛制氧系统供应，需提供储备能力证明。</w:t>
      </w:r>
      <w:r/>
    </w:p>
    <w:p>
      <w:pPr>
        <w:numPr>
          <w:ilvl w:val="0"/>
          <w:numId w:val="12"/>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商务需求</w:t>
      </w:r>
      <w:r/>
    </w:p>
    <w:p>
      <w:pPr>
        <w:numPr>
          <w:ilvl w:val="0"/>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auto" w:sz="0" w:space="0"/>
        </w:pBd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供货期：日常供货接采购人通知后12小时内送达指定地点（液氧站及各临床科室），紧急情况2小时内送达，不得以送货数量、距离为由拖延。</w:t>
      </w:r>
      <w:r/>
    </w:p>
    <w:p>
      <w:pPr>
        <w:numPr>
          <w:ilvl w:val="0"/>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交货地点：无锡市中医医院指定地点（液氧站、各临床科室、创新中心等）。</w:t>
      </w:r>
      <w:r/>
    </w:p>
    <w:p>
      <w:pPr>
        <w:numPr>
          <w:ilvl w:val="0"/>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包装要求：产品包装（含商品包装、快递包装）需严格按照《关于印发〈商品包装政府采购需求标准（试行）〉、〈快递包装政府采购需求标准（试行）〉的通知》（财办库〔2020〕123号）文件执行，禁止过度包装或不符合环保标准的包装材料。</w:t>
      </w:r>
      <w:r/>
    </w:p>
    <w:p>
      <w:pPr>
        <w:numPr>
          <w:ilvl w:val="0"/>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auto" w:sz="0" w:space="0"/>
        </w:pBd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验收要求：</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（1）中标供应商须派有经验的技术人员与医院</w:t>
      </w:r>
      <w:r>
        <w:rPr>
          <w:rFonts w:hint="eastAsia" w:cs="宋体"/>
          <w:color w:val="auto"/>
          <w:sz w:val="24"/>
          <w:szCs w:val="24"/>
          <w:highlight w:val="none"/>
          <w:lang w:val="en-US" w:eastAsia="zh-CN"/>
        </w:rPr>
        <w:t xml:space="preserve">相关部门</w:t>
      </w:r>
      <w:r>
        <w:rPr>
          <w:rFonts w:hint="eastAsia" w:ascii="宋体" w:hAnsi="宋体" w:eastAsia="宋体" w:cs="宋体"/>
          <w:color w:val="auto"/>
          <w:sz w:val="24"/>
          <w:szCs w:val="24"/>
          <w:highlight w:val="none"/>
        </w:rPr>
        <w:t xml:space="preserve">共同验收，核对产品规格、数量、质量证明文件（批号、质检合格证等），确保票账货证一致；</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（2）验收标准按行业通行标准、厂方出厂标准和投标文件承诺执行，且不低于国家相关标准；</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（3）验收不合格的，无条件更换，相关费用由供应商承担；使用过程中发现质量问题的，立即换货并放弃该批次货款。</w:t>
      </w:r>
      <w:r/>
    </w:p>
    <w:p>
      <w:pPr>
        <w:numPr>
          <w:ilvl w:val="0"/>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auto"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售后服务：</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（1）建立7×24小时服务热线，故障响应时间≤2小时；</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（2）每半年开展1次安全使用及应急处置培训，覆盖临床科室、设备管理人员，提供培训记录；</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（3）配合医院制定液氧泄漏、火灾、停电等应急预案，每年联合开展1次应急演练，出具演练评估报告；</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（4）承诺所供产品为全新、完整、未使用过的良好介质，与本采购文件要求一致。</w:t>
      </w:r>
      <w:r/>
    </w:p>
    <w:p>
      <w:pPr>
        <w:numPr>
          <w:ilvl w:val="0"/>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auto"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考核方式：参照服务考核表执行，考核不合格按细则扣款，连续3个月考核不合格的，医院有权解除合同。</w:t>
      </w:r>
      <w:r/>
    </w:p>
    <w:tbl>
      <w:tblPr>
        <w:tblStyle w:val="80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245"/>
        <w:gridCol w:w="3706"/>
      </w:tblGrid>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Style w:val="844"/>
                <w:rFonts w:hint="eastAsia" w:ascii="宋体" w:hAnsi="宋体" w:eastAsia="宋体" w:cs="宋体"/>
                <w:b/>
                <w:bCs/>
                <w:color w:val="auto"/>
                <w:sz w:val="24"/>
                <w:szCs w:val="24"/>
                <w:highlight w:val="none"/>
              </w:rPr>
              <w:t xml:space="preserve">考核内容</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Style w:val="844"/>
                <w:rFonts w:hint="eastAsia" w:ascii="宋体" w:hAnsi="宋体" w:eastAsia="宋体" w:cs="宋体"/>
                <w:b/>
                <w:bCs/>
                <w:color w:val="auto"/>
                <w:sz w:val="24"/>
                <w:szCs w:val="24"/>
                <w:highlight w:val="none"/>
              </w:rPr>
              <w:t xml:space="preserve">扣款细则</w:t>
            </w:r>
            <w:r/>
          </w:p>
        </w:tc>
      </w:tr>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工作人员遵守医院规章制度，服从工作安排</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未做到一次扣50元</w:t>
            </w:r>
            <w:r/>
          </w:p>
        </w:tc>
      </w:tr>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工作人员服务规范、及时、文明礼貌</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一次服务不规范扣50元</w:t>
            </w:r>
            <w:r/>
          </w:p>
        </w:tc>
      </w:tr>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按院方要求将货物在规定时间内送达，特殊情况提前通知</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一次不符合要求扣100元</w:t>
            </w:r>
            <w:r/>
          </w:p>
        </w:tc>
      </w:tr>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安全生产、文明操作，遵守液氧站管理规定（禁穿油污衣物、禁抽烟等）</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一次不符合要求扣50元</w:t>
            </w:r>
            <w:r/>
          </w:p>
        </w:tc>
      </w:tr>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保持操作场所环境卫生整洁</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一次不规范扣50元</w:t>
            </w:r>
            <w:r/>
          </w:p>
        </w:tc>
      </w:tr>
      <w:tr>
        <w:trPr/>
        <w:tc>
          <w:tcPr>
            <w:shd w:val="clear" w:color="auto" w:fill="auto"/>
            <w:tcBorders>
              <w:top w:val="single" w:color="auto" w:sz="6" w:space="0"/>
              <w:left w:val="single" w:color="auto" w:sz="6" w:space="0"/>
              <w:bottom w:val="single" w:color="auto" w:sz="6" w:space="0"/>
              <w:right w:val="single" w:color="auto" w:sz="6" w:space="0"/>
            </w:tcBorders>
            <w:tcW w:w="6973"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遵守合同条款，友好协调处理问题不推诿</w:t>
            </w:r>
            <w:r/>
          </w:p>
        </w:tc>
        <w:tc>
          <w:tcPr>
            <w:shd w:val="clear" w:color="auto" w:fill="auto"/>
            <w:tcBorders>
              <w:top w:val="single" w:color="auto" w:sz="6" w:space="0"/>
              <w:left w:val="single" w:color="auto" w:sz="6" w:space="0"/>
              <w:bottom w:val="single" w:color="auto" w:sz="6" w:space="0"/>
              <w:right w:val="single" w:color="auto" w:sz="6" w:space="0"/>
            </w:tcBorders>
            <w:tcW w:w="4127" w:type="dxa"/>
            <w:vAlign w:val="top"/>
            <w:textDirection w:val="lrTb"/>
            <w:noWrap w:val="false"/>
          </w:tcPr>
          <w:p>
            <w:pPr>
              <w:pStyle w:val="84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一次不符合要求扣100元</w:t>
            </w:r>
            <w:r/>
          </w:p>
        </w:tc>
      </w:tr>
    </w:tbl>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7.报价要求：</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采用整体优惠率报价，结算单价=单价限价×（1－中标优惠率），优惠率固定不变，禁止选择性报价。</w:t>
      </w:r>
      <w:r/>
    </w:p>
    <w:p>
      <w:pPr>
        <w:pStyle w:val="840"/>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rPr>
        <w:t xml:space="preserve">付款方式：</w:t>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合同签订后，每</w:t>
      </w:r>
      <w:r>
        <w:rPr>
          <w:rFonts w:hint="eastAsia"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根据实际供货量及考核结果结算，结算金额=实际用量×中标结算单价－合理损耗核减－考核扣款；供应商需先开具合规增值税专用发票（项目注明对应气体名称及规格），医院在收到发票后</w:t>
      </w:r>
      <w:r>
        <w:rPr>
          <w:rFonts w:hint="eastAsia"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日内以银行转账方式支付款项；合理损耗≤0.5%，超额部分从货款中核减；中标优惠率为固定值，合同履行期间不变。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shd w:val="nil"/>
        <w:rPr>
          <w:rFonts w:ascii="黑体" w:hAnsi="黑体" w:eastAsia="黑体"/>
          <w:color w:val="auto"/>
          <w:sz w:val="36"/>
          <w:szCs w:val="36"/>
          <w:highlight w:val="none"/>
        </w:rPr>
      </w:pPr>
      <w:r>
        <w:rPr>
          <w:rFonts w:hint="eastAsia" w:ascii="黑体" w:hAnsi="黑体" w:eastAsia="黑体"/>
          <w:b/>
          <w:bCs/>
          <w:color w:val="auto"/>
          <w:sz w:val="36"/>
          <w:szCs w:val="36"/>
          <w:highlight w:val="none"/>
        </w:rPr>
        <w:br w:type="page" w:clear="all"/>
      </w:r>
      <w:r>
        <w:rPr>
          <w:rFonts w:hint="eastAsia" w:ascii="黑体" w:hAnsi="黑体" w:eastAsia="黑体"/>
          <w:b/>
          <w:bCs/>
          <w:color w:val="auto"/>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97"/>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97"/>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97"/>
        <w:spacing w:before="0" w:after="0"/>
        <w:rPr>
          <w:rFonts w:cs="Arial"/>
          <w:color w:val="auto"/>
          <w:highlight w:val="none"/>
        </w:rPr>
      </w:pPr>
      <w:r>
        <w:rPr>
          <w:rFonts w:hint="eastAsia" w:cs="Arial"/>
          <w:color w:val="auto"/>
          <w:highlight w:val="none"/>
        </w:rPr>
        <w:t xml:space="preserve">比较与评价采用综合评分法。</w:t>
      </w:r>
      <w:r/>
    </w:p>
    <w:p>
      <w:pPr>
        <w:pStyle w:val="1197"/>
        <w:spacing w:before="0" w:after="0"/>
        <w:rPr>
          <w:rStyle w:val="891"/>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97"/>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97"/>
        <w:ind w:firstLine="562"/>
        <w:spacing w:before="0" w:after="0"/>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小微型企业价格扣除：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
          <w:bCs w:val="0"/>
          <w:color w:val="auto"/>
          <w:sz w:val="24"/>
          <w:highlight w:val="none"/>
        </w:rPr>
      </w:pPr>
      <w:r>
        <w:rPr>
          <w:rFonts w:hint="eastAsia" w:ascii="宋体" w:hAnsi="宋体"/>
          <w:b/>
          <w:bCs w:val="0"/>
          <w:color w:val="auto"/>
          <w:sz w:val="24"/>
          <w:highlight w:val="none"/>
        </w:rPr>
        <w:t xml:space="preserve">二</w:t>
      </w:r>
      <w:r>
        <w:rPr>
          <w:rFonts w:hint="eastAsia" w:ascii="宋体" w:hAnsi="宋体" w:eastAsia="宋体"/>
          <w:b/>
          <w:bCs w:val="0"/>
          <w:color w:val="auto"/>
          <w:sz w:val="24"/>
          <w:highlight w:val="none"/>
          <w:lang w:eastAsia="zh-CN"/>
        </w:rPr>
        <w:t xml:space="preserve">）</w:t>
      </w:r>
      <w:r>
        <w:rPr>
          <w:rFonts w:hint="eastAsia" w:ascii="宋体" w:hAnsi="宋体"/>
          <w:b/>
          <w:bCs w:val="0"/>
          <w:color w:val="auto"/>
          <w:sz w:val="24"/>
          <w:highlight w:val="none"/>
        </w:rPr>
        <w:t xml:space="preserve">政府采购中实施本国产品标准及相关政策</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1</w:t>
      </w:r>
      <w:r>
        <w:rPr>
          <w:rFonts w:hint="eastAsia" w:ascii="宋体" w:hAnsi="宋体"/>
          <w:bCs/>
          <w:color w:val="auto"/>
          <w:sz w:val="24"/>
          <w:szCs w:val="24"/>
          <w:highlight w:val="none"/>
        </w:rPr>
        <w:t xml:space="preserve">.1 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1</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bCs/>
          <w:color w:val="auto"/>
          <w:sz w:val="24"/>
          <w:szCs w:val="24"/>
          <w:highlight w:val="none"/>
          <w:lang w:val="en-US" w:eastAsia="zh-CN"/>
        </w:rPr>
        <w:t xml:space="preserve">-</w:t>
      </w:r>
      <w:r>
        <w:rPr>
          <w:rFonts w:hint="eastAsia" w:ascii="宋体" w:hAnsi="宋体"/>
          <w:bCs/>
          <w:color w:val="auto"/>
          <w:sz w:val="24"/>
          <w:szCs w:val="24"/>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1</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1</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97"/>
        <w:ind w:firstLine="562"/>
        <w:spacing w:before="0"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97"/>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一、价格分（</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0分）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应根据</w:t>
      </w:r>
      <w:r>
        <w:rPr>
          <w:rFonts w:hint="eastAsia" w:ascii="宋体" w:hAnsi="宋体" w:eastAsia="宋体" w:cs="宋体"/>
          <w:bCs/>
          <w:color w:val="auto"/>
          <w:sz w:val="24"/>
          <w:szCs w:val="20"/>
          <w:highlight w:val="none"/>
        </w:rPr>
        <w:t xml:space="preserve">采购清单中的单价限价标准</w:t>
      </w:r>
      <w:r>
        <w:rPr>
          <w:rFonts w:hint="eastAsia" w:ascii="宋体" w:hAnsi="宋体" w:eastAsia="宋体" w:cs="宋体"/>
          <w:bCs/>
          <w:color w:val="auto"/>
          <w:sz w:val="24"/>
          <w:szCs w:val="20"/>
          <w:highlight w:val="none"/>
          <w:lang w:val="zh-CN"/>
        </w:rPr>
        <w:t xml:space="preserve">，进行整体优惠率报价，评审时以优惠率作为投标报价，假设商品单价为100元，优惠率为1%则结算时该商品单价为（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-1%）*100=99元，优惠率为2%则结算时该商品单价为（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即满足采购文件要求且有效的</w:t>
      </w:r>
      <w:r>
        <w:rPr>
          <w:rFonts w:hint="eastAsia" w:ascii="宋体" w:hAnsi="宋体"/>
          <w:bCs/>
          <w:color w:val="auto"/>
          <w:sz w:val="24"/>
          <w:highlight w:val="none"/>
        </w:rPr>
        <w:t xml:space="preserve">报折扣率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折扣率=1-优惠率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最低的报价人的</w:t>
      </w:r>
      <w:r>
        <w:rPr>
          <w:rFonts w:hint="eastAsia" w:ascii="宋体" w:hAnsi="宋体"/>
          <w:bCs/>
          <w:color w:val="auto"/>
          <w:sz w:val="24"/>
          <w:highlight w:val="none"/>
          <w:lang w:val="en-US" w:eastAsia="zh-CN"/>
        </w:rPr>
        <w:t xml:space="preserve">优惠</w:t>
      </w:r>
      <w:r>
        <w:rPr>
          <w:rFonts w:hint="eastAsia" w:ascii="宋体" w:hAnsi="宋体"/>
          <w:bCs/>
          <w:color w:val="auto"/>
          <w:sz w:val="24"/>
          <w:highlight w:val="none"/>
        </w:rPr>
        <w:t xml:space="preserve">率</w:t>
      </w:r>
      <w:r>
        <w:rPr>
          <w:rFonts w:hint="eastAsia" w:ascii="宋体" w:hAnsi="宋体" w:eastAsia="宋体"/>
          <w:bCs/>
          <w:color w:val="auto"/>
          <w:sz w:val="24"/>
          <w:highlight w:val="none"/>
          <w:lang w:val="en-US" w:eastAsia="zh-CN"/>
        </w:rPr>
        <w:t xml:space="preserve">为</w:t>
      </w:r>
      <w:r>
        <w:rPr>
          <w:rFonts w:hint="eastAsia" w:ascii="宋体" w:hAnsi="宋体" w:eastAsia="宋体" w:cs="宋体"/>
          <w:color w:val="auto"/>
          <w:sz w:val="24"/>
          <w:szCs w:val="24"/>
          <w:highlight w:val="none"/>
        </w:rPr>
        <w:t xml:space="preserve">评标基准价</w:t>
      </w:r>
      <w:r>
        <w:rPr>
          <w:rFonts w:hint="eastAsia" w:ascii="宋体" w:hAnsi="宋体" w:eastAsia="宋体" w:cs="宋体"/>
          <w:bCs/>
          <w:color w:val="auto"/>
          <w:sz w:val="24"/>
          <w:szCs w:val="20"/>
          <w:highlight w:val="none"/>
          <w:lang w:val="zh-CN"/>
        </w:rPr>
        <w:t xml:space="preserve">，其价格分为满分。其他供应商的报价得分统一按照下列公式计算：</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600"/>
        <w:jc w:val="left"/>
        <w:spacing w:line="360" w:lineRule="auto"/>
        <w:widowControl/>
        <w:rPr>
          <w:rFonts w:hint="eastAsia" w:ascii="宋体" w:hAnsi="宋体" w:eastAsia="宋体"/>
          <w:b/>
          <w:color w:val="auto"/>
          <w:sz w:val="28"/>
          <w:szCs w:val="28"/>
          <w:highlight w:val="none"/>
          <w:lang w:val="en-US" w:eastAsia="zh-CN"/>
        </w:rPr>
      </w:pPr>
      <w:r>
        <w:rPr>
          <w:rFonts w:hint="eastAsia" w:ascii="宋体" w:hAnsi="宋体" w:eastAsia="宋体" w:cs="宋体"/>
          <w:b/>
          <w:bCs/>
          <w:color w:val="auto"/>
          <w:sz w:val="24"/>
          <w:szCs w:val="24"/>
          <w:highlight w:val="none"/>
        </w:rPr>
        <w:t xml:space="preserve">备注：价格扣除</w:t>
      </w:r>
      <w:r>
        <w:rPr>
          <w:rFonts w:hint="eastAsia" w:ascii="宋体" w:hAnsi="宋体" w:eastAsia="宋体" w:cs="宋体"/>
          <w:b/>
          <w:bCs/>
          <w:color w:val="auto"/>
          <w:sz w:val="24"/>
          <w:szCs w:val="24"/>
          <w:highlight w:val="none"/>
          <w:lang w:val="en-US" w:eastAsia="zh-CN"/>
        </w:rPr>
        <w:t xml:space="preserve">详见“</w:t>
      </w:r>
      <w:r>
        <w:rPr>
          <w:rFonts w:hint="eastAsia" w:ascii="宋体" w:hAnsi="宋体" w:eastAsia="宋体" w:cs="宋体"/>
          <w:b/>
          <w:bCs/>
          <w:color w:val="auto"/>
          <w:sz w:val="24"/>
          <w:szCs w:val="24"/>
          <w:highlight w:val="none"/>
        </w:rPr>
        <w:t xml:space="preserve">第二部分评标标准</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落实政府采购政策的价格调整</w:t>
      </w:r>
      <w:r>
        <w:rPr>
          <w:rFonts w:hint="default" w:ascii="宋体" w:hAnsi="宋体" w:eastAsia="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二、商务部分（2</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rPr>
        <w:t xml:space="preserve">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1.</w:t>
      </w:r>
      <w:r>
        <w:rPr>
          <w:rFonts w:hint="eastAsia" w:ascii="宋体" w:hAnsi="宋体" w:eastAsia="宋体" w:cs="宋体"/>
          <w:b/>
          <w:color w:val="auto"/>
          <w:sz w:val="24"/>
          <w:highlight w:val="none"/>
        </w:rPr>
        <w:t xml:space="preserve">业绩（</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分）</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供应商自202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年1月1日（以合同签订时间为准）起至投标截止日有同类项目业绩的，每有一个得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分。（同一甲方只按一个业绩计算；提供业绩合同扫描上传至投标</w:t>
      </w:r>
      <w:r>
        <w:rPr>
          <w:rFonts w:hint="eastAsia" w:ascii="宋体" w:hAnsi="宋体" w:eastAsia="宋体" w:cs="宋体"/>
          <w:bCs/>
          <w:color w:val="auto"/>
          <w:sz w:val="24"/>
          <w:szCs w:val="24"/>
          <w:highlight w:val="none"/>
          <w:lang w:eastAsia="zh-CN"/>
        </w:rPr>
        <w:t xml:space="preserve">系统</w:t>
      </w:r>
      <w:r>
        <w:rPr>
          <w:rFonts w:hint="eastAsia" w:ascii="宋体" w:hAnsi="宋体" w:eastAsia="宋体" w:cs="宋体"/>
          <w:bCs/>
          <w:color w:val="auto"/>
          <w:sz w:val="24"/>
          <w:szCs w:val="24"/>
          <w:highlight w:val="none"/>
        </w:rPr>
        <w:t xml:space="preserve">并加盖公章，未提供或提供资料不符合要求均不得分）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eastAsia="zh-CN"/>
        </w:rPr>
        <w:t xml:space="preserve">2.</w:t>
      </w:r>
      <w:r>
        <w:rPr>
          <w:rFonts w:hint="eastAsia" w:ascii="宋体" w:hAnsi="宋体" w:eastAsia="宋体" w:cs="宋体"/>
          <w:b/>
          <w:color w:val="auto"/>
          <w:sz w:val="24"/>
          <w:szCs w:val="24"/>
          <w:highlight w:val="none"/>
        </w:rPr>
        <w:t xml:space="preserve">最近液源位置的距离响应</w:t>
      </w:r>
      <w:r>
        <w:rPr>
          <w:rFonts w:hint="eastAsia" w:ascii="宋体" w:hAnsi="宋体" w:eastAsia="宋体" w:cs="宋体"/>
          <w:b/>
          <w:color w:val="auto"/>
          <w:sz w:val="24"/>
          <w:highlight w:val="none"/>
        </w:rPr>
        <w:t xml:space="preserve">（3分）</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或气体制造商</w:t>
      </w:r>
      <w:r>
        <w:rPr>
          <w:rFonts w:hint="eastAsia" w:ascii="宋体" w:hAnsi="宋体" w:eastAsia="宋体" w:cs="宋体"/>
          <w:bCs/>
          <w:color w:val="auto"/>
          <w:sz w:val="24"/>
          <w:highlight w:val="none"/>
        </w:rPr>
        <w:t xml:space="preserve">承诺最近液源位置到</w:t>
      </w:r>
      <w:r>
        <w:rPr>
          <w:rFonts w:hint="eastAsia" w:ascii="宋体" w:hAnsi="宋体" w:eastAsia="宋体" w:cs="宋体"/>
          <w:bCs/>
          <w:color w:val="auto"/>
          <w:sz w:val="24"/>
          <w:highlight w:val="none"/>
          <w:lang w:eastAsia="zh-CN"/>
        </w:rPr>
        <w:t xml:space="preserve">无锡市中医医院</w:t>
      </w:r>
      <w:r>
        <w:rPr>
          <w:rFonts w:hint="eastAsia" w:ascii="宋体" w:hAnsi="宋体" w:eastAsia="宋体" w:cs="宋体"/>
          <w:bCs/>
          <w:color w:val="auto"/>
          <w:sz w:val="24"/>
          <w:highlight w:val="none"/>
        </w:rPr>
        <w:t xml:space="preserve">在50公里内得3分，50-70公里得2分，70公里以上得1分。承诺书格式自拟。提供承诺书和承诺时间到达地点的证明材料（百度、高德等</w:t>
      </w:r>
      <w:r>
        <w:rPr>
          <w:rFonts w:hint="eastAsia" w:ascii="宋体" w:hAnsi="宋体" w:eastAsia="宋体" w:cs="宋体"/>
          <w:bCs/>
          <w:color w:val="auto"/>
          <w:sz w:val="24"/>
          <w:highlight w:val="none"/>
          <w:lang w:val="en-US" w:eastAsia="zh-CN"/>
        </w:rPr>
        <w:t xml:space="preserve">电子</w:t>
      </w:r>
      <w:r>
        <w:rPr>
          <w:rFonts w:hint="eastAsia" w:ascii="宋体" w:hAnsi="宋体" w:eastAsia="宋体" w:cs="宋体"/>
          <w:bCs/>
          <w:color w:val="auto"/>
          <w:sz w:val="24"/>
          <w:highlight w:val="none"/>
        </w:rPr>
        <w:t xml:space="preserve">地图截图）</w:t>
      </w:r>
      <w:r>
        <w:rPr>
          <w:rFonts w:hint="eastAsia" w:ascii="宋体" w:hAnsi="宋体" w:eastAsia="宋体" w:cs="宋体"/>
          <w:bCs/>
          <w:color w:val="auto"/>
          <w:sz w:val="24"/>
          <w:szCs w:val="24"/>
          <w:highlight w:val="none"/>
        </w:rPr>
        <w:t xml:space="preserve">上传至投标</w:t>
      </w:r>
      <w:r>
        <w:rPr>
          <w:rFonts w:hint="eastAsia" w:ascii="宋体" w:hAnsi="宋体" w:eastAsia="宋体" w:cs="宋体"/>
          <w:bCs/>
          <w:color w:val="auto"/>
          <w:sz w:val="24"/>
          <w:szCs w:val="24"/>
          <w:highlight w:val="none"/>
          <w:lang w:eastAsia="zh-CN"/>
        </w:rPr>
        <w:t xml:space="preserve">系统</w:t>
      </w:r>
      <w:r>
        <w:rPr>
          <w:rFonts w:hint="eastAsia" w:ascii="宋体" w:hAnsi="宋体" w:eastAsia="宋体" w:cs="宋体"/>
          <w:bCs/>
          <w:color w:val="auto"/>
          <w:sz w:val="24"/>
          <w:szCs w:val="24"/>
          <w:highlight w:val="none"/>
        </w:rPr>
        <w:t xml:space="preserve">并加盖公章，否则不得分。</w:t>
      </w:r>
      <w:r>
        <w:rPr>
          <w:rFonts w:hint="eastAsia" w:ascii="宋体" w:hAnsi="宋体" w:eastAsia="宋体" w:cs="宋体"/>
          <w:bCs/>
          <w:color w:val="auto"/>
          <w:sz w:val="24"/>
          <w:highlight w:val="none"/>
        </w:rPr>
        <w:t xml:space="preserve">两者缺一不可，不提供或提供不符合要求均不得分。</w:t>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rPr>
        <w:t xml:space="preserve">运输能力（</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color w:val="auto"/>
          <w:sz w:val="24"/>
          <w:highlight w:val="none"/>
        </w:rPr>
        <w:t xml:space="preserve">分）</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或气体制造商</w:t>
      </w:r>
      <w:r>
        <w:rPr>
          <w:rFonts w:hint="eastAsia" w:ascii="宋体" w:hAnsi="宋体" w:eastAsia="宋体" w:cs="宋体"/>
          <w:bCs/>
          <w:color w:val="auto"/>
          <w:sz w:val="24"/>
          <w:highlight w:val="none"/>
        </w:rPr>
        <w:t xml:space="preserve">在满足本项目配备的运输车辆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不少于两辆）</w:t>
      </w:r>
      <w:r>
        <w:rPr>
          <w:rFonts w:hint="eastAsia" w:ascii="宋体" w:hAnsi="宋体" w:eastAsia="宋体" w:cs="宋体"/>
          <w:bCs/>
          <w:color w:val="auto"/>
          <w:sz w:val="24"/>
          <w:highlight w:val="none"/>
        </w:rPr>
        <w:t xml:space="preserve">要求下，增加一辆车得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分，满分</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分。（投标文件中需提供运输车辆照片</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行驶</w:t>
      </w:r>
      <w:r>
        <w:rPr>
          <w:rFonts w:hint="eastAsia" w:ascii="宋体" w:hAnsi="宋体" w:cs="宋体"/>
          <w:color w:val="auto"/>
          <w:sz w:val="24"/>
          <w:highlight w:val="none"/>
        </w:rPr>
        <w:t xml:space="preserve">证</w:t>
      </w:r>
      <w:r>
        <w:rPr>
          <w:rFonts w:hint="eastAsia" w:ascii="宋体" w:hAnsi="宋体" w:eastAsia="宋体" w:cs="宋体"/>
          <w:color w:val="auto"/>
          <w:sz w:val="24"/>
          <w:highlight w:val="none"/>
          <w:lang w:val="en-US" w:eastAsia="zh-CN"/>
        </w:rPr>
        <w:t xml:space="preserve">和购买证明</w:t>
      </w:r>
      <w:r>
        <w:rPr>
          <w:rFonts w:hint="eastAsia" w:eastAsia="宋体"/>
          <w:color w:val="auto"/>
          <w:highlight w:val="none"/>
          <w:lang w:val="en-US" w:eastAsia="zh-CN"/>
        </w:rPr>
        <w:t xml:space="preserve">或</w:t>
      </w:r>
      <w:r>
        <w:rPr>
          <w:rFonts w:hint="eastAsia" w:ascii="宋体" w:hAnsi="宋体" w:eastAsia="宋体" w:cs="宋体"/>
          <w:color w:val="auto"/>
          <w:sz w:val="24"/>
          <w:highlight w:val="none"/>
          <w:lang w:val="en-US" w:eastAsia="zh-CN"/>
        </w:rPr>
        <w:t xml:space="preserve">租赁合同</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如投标人委托具有相应资质的单位承担气体运输服务的</w:t>
      </w:r>
      <w:r>
        <w:rPr>
          <w:rFonts w:hint="eastAsia" w:eastAsia="宋体"/>
          <w:color w:val="auto"/>
          <w:highlight w:val="none"/>
          <w:lang w:eastAsia="zh-CN"/>
        </w:rPr>
        <w:t xml:space="preserve">，</w:t>
      </w:r>
      <w:r>
        <w:rPr>
          <w:rFonts w:ascii="宋体" w:hAnsi="宋体" w:eastAsia="宋体" w:cs="宋体"/>
          <w:color w:val="auto"/>
          <w:sz w:val="24"/>
          <w:szCs w:val="24"/>
          <w:highlight w:val="none"/>
        </w:rPr>
        <w:t xml:space="preserve">提供与运输单位签订的有效委托协议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highlight w:val="none"/>
        </w:rPr>
        <w:t xml:space="preserve">及有效期内的危化品车辆中华人民共和国道路运输证</w:t>
      </w:r>
      <w:r>
        <w:rPr>
          <w:rFonts w:hint="eastAsia" w:ascii="宋体" w:hAnsi="宋体" w:cs="宋体"/>
          <w:color w:val="auto"/>
          <w:sz w:val="24"/>
          <w:highlight w:val="none"/>
        </w:rPr>
        <w:t xml:space="preserve">原件扫描件上传系统并签章</w:t>
      </w:r>
      <w:r>
        <w:rPr>
          <w:rFonts w:hint="eastAsia" w:ascii="宋体" w:hAnsi="宋体" w:eastAsia="宋体" w:cs="宋体"/>
          <w:bCs/>
          <w:color w:val="auto"/>
          <w:sz w:val="24"/>
          <w:szCs w:val="24"/>
          <w:highlight w:val="none"/>
        </w:rPr>
        <w:t xml:space="preserve">，否则不得分。</w:t>
      </w:r>
      <w:r>
        <w:rPr>
          <w:rFonts w:hint="eastAsia" w:ascii="宋体" w:hAnsi="宋体" w:eastAsia="宋体" w:cs="宋体"/>
          <w:bCs/>
          <w:color w:val="auto"/>
          <w:sz w:val="24"/>
          <w:szCs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eastAsia="zh-CN"/>
        </w:rPr>
        <w:t xml:space="preserve">4.</w:t>
      </w:r>
      <w:r>
        <w:rPr>
          <w:rFonts w:hint="eastAsia" w:ascii="宋体" w:hAnsi="宋体" w:eastAsia="宋体" w:cs="宋体"/>
          <w:b/>
          <w:color w:val="auto"/>
          <w:sz w:val="24"/>
          <w:highlight w:val="none"/>
        </w:rPr>
        <w:t xml:space="preserve">服务能力（</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分）</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或气体制造商</w:t>
      </w:r>
      <w:r>
        <w:rPr>
          <w:rFonts w:hint="eastAsia" w:ascii="宋体" w:hAnsi="宋体" w:eastAsia="宋体" w:cs="宋体"/>
          <w:bCs/>
          <w:color w:val="auto"/>
          <w:sz w:val="24"/>
          <w:highlight w:val="none"/>
        </w:rPr>
        <w:t xml:space="preserve">为该</w:t>
      </w:r>
      <w:r>
        <w:rPr>
          <w:rFonts w:hint="eastAsia" w:ascii="宋体" w:hAnsi="宋体" w:eastAsia="宋体" w:cs="宋体"/>
          <w:bCs/>
          <w:color w:val="auto"/>
          <w:sz w:val="24"/>
          <w:highlight w:val="none"/>
          <w:lang w:val="en-US" w:eastAsia="zh-CN"/>
        </w:rPr>
        <w:t xml:space="preserve">项目</w:t>
      </w:r>
      <w:r>
        <w:rPr>
          <w:rFonts w:hint="eastAsia" w:ascii="宋体" w:hAnsi="宋体" w:eastAsia="宋体" w:cs="宋体"/>
          <w:bCs/>
          <w:color w:val="auto"/>
          <w:sz w:val="24"/>
          <w:highlight w:val="none"/>
        </w:rPr>
        <w:t xml:space="preserve">配备的车辆驾驶员须持有公安部门核发的有效驾驶证，以及道路危险货物运输驾驶员（危货驾驶员）从业资格证；押运员具有道路危险货物运输押运人员（危货押运员）从业资格证。每同时提供一名符合要求的车辆驾驶员和押运员得</w:t>
      </w:r>
      <w:r>
        <w:rPr>
          <w:rFonts w:hint="eastAsia" w:ascii="宋体" w:hAnsi="宋体" w:eastAsia="宋体" w:cs="宋体"/>
          <w:bCs/>
          <w:color w:val="auto"/>
          <w:sz w:val="24"/>
          <w:highlight w:val="none"/>
          <w:lang w:val="en-US" w:eastAsia="zh-CN"/>
        </w:rPr>
        <w:t xml:space="preserve">2分</w:t>
      </w:r>
      <w:r>
        <w:rPr>
          <w:rFonts w:hint="eastAsia" w:ascii="宋体" w:hAnsi="宋体" w:eastAsia="宋体" w:cs="宋体"/>
          <w:bCs/>
          <w:color w:val="auto"/>
          <w:sz w:val="24"/>
          <w:highlight w:val="none"/>
        </w:rPr>
        <w:t xml:space="preserve">（驾驶员与押运员为同一人不得分），</w:t>
      </w:r>
      <w:r>
        <w:rPr>
          <w:rFonts w:hint="eastAsia" w:ascii="宋体" w:hAnsi="宋体" w:eastAsia="宋体" w:cs="宋体"/>
          <w:bCs/>
          <w:color w:val="auto"/>
          <w:sz w:val="24"/>
          <w:highlight w:val="none"/>
          <w:lang w:val="en-US" w:eastAsia="zh-CN"/>
        </w:rPr>
        <w:t xml:space="preserve">此项最高得4分</w:t>
      </w:r>
      <w:r>
        <w:rPr>
          <w:rFonts w:hint="eastAsia" w:ascii="宋体" w:hAnsi="宋体" w:eastAsia="宋体" w:cs="宋体"/>
          <w:bCs/>
          <w:color w:val="auto"/>
          <w:sz w:val="24"/>
          <w:highlight w:val="none"/>
        </w:rPr>
        <w:t xml:space="preserve">。（投标文件中需提供有效的驾驶证及中华人民共和国道路运输从业人员从业资格证</w:t>
      </w:r>
      <w:r>
        <w:rPr>
          <w:rFonts w:hint="eastAsia" w:ascii="宋体" w:hAnsi="宋体" w:eastAsia="宋体" w:cs="宋体"/>
          <w:bCs/>
          <w:color w:val="auto"/>
          <w:sz w:val="24"/>
          <w:szCs w:val="24"/>
          <w:highlight w:val="none"/>
        </w:rPr>
        <w:t xml:space="preserve">扫描上传至投标</w:t>
      </w:r>
      <w:r>
        <w:rPr>
          <w:rFonts w:hint="eastAsia" w:ascii="宋体" w:hAnsi="宋体" w:eastAsia="宋体" w:cs="宋体"/>
          <w:bCs/>
          <w:color w:val="auto"/>
          <w:sz w:val="24"/>
          <w:szCs w:val="24"/>
          <w:highlight w:val="none"/>
          <w:lang w:eastAsia="zh-CN"/>
        </w:rPr>
        <w:t xml:space="preserve">系统</w:t>
      </w:r>
      <w:r>
        <w:rPr>
          <w:rFonts w:hint="eastAsia" w:ascii="宋体" w:hAnsi="宋体" w:eastAsia="宋体" w:cs="宋体"/>
          <w:bCs/>
          <w:color w:val="auto"/>
          <w:sz w:val="24"/>
          <w:szCs w:val="24"/>
          <w:highlight w:val="none"/>
        </w:rPr>
        <w:t xml:space="preserve">并加盖公章，否则不得分。</w:t>
      </w:r>
      <w:r>
        <w:rPr>
          <w:rFonts w:hint="eastAsia" w:ascii="宋体" w:hAnsi="宋体" w:eastAsia="宋体" w:cs="宋体"/>
          <w:bCs/>
          <w:color w:val="auto"/>
          <w:sz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5.</w:t>
      </w:r>
      <w:r>
        <w:rPr>
          <w:rFonts w:hint="eastAsia" w:ascii="宋体" w:hAnsi="宋体" w:eastAsia="宋体" w:cs="宋体"/>
          <w:b/>
          <w:color w:val="auto"/>
          <w:sz w:val="24"/>
          <w:highlight w:val="none"/>
        </w:rPr>
        <w:t xml:space="preserve">检验检测能力（</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或气体制造商</w:t>
      </w:r>
      <w:r>
        <w:rPr>
          <w:rFonts w:hint="eastAsia" w:ascii="宋体" w:hAnsi="宋体" w:eastAsia="宋体" w:cs="宋体"/>
          <w:color w:val="auto"/>
          <w:sz w:val="24"/>
          <w:szCs w:val="24"/>
          <w:highlight w:val="none"/>
        </w:rPr>
        <w:t xml:space="preserve">为检验机构，具有相关单位颁发的中华人民共和国特种设备检验检测机构核准证，提供得2分。</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或气体制造商</w:t>
      </w:r>
      <w:r>
        <w:rPr>
          <w:rFonts w:hint="eastAsia" w:ascii="宋体" w:hAnsi="宋体" w:eastAsia="宋体" w:cs="宋体"/>
          <w:color w:val="auto"/>
          <w:sz w:val="24"/>
          <w:szCs w:val="24"/>
          <w:highlight w:val="none"/>
        </w:rPr>
        <w:t xml:space="preserve">聘请第三方检验机构，具有与第三方签署的合作协议和第三方具有相关单位颁发的中华人民共和国特种设备检验检测机构核准证得1分，不提供不得分。</w:t>
      </w:r>
      <w:r>
        <w:rPr>
          <w:rFonts w:hint="eastAsia" w:ascii="宋体" w:hAnsi="宋体" w:eastAsia="宋体" w:cs="宋体"/>
          <w:bCs/>
          <w:color w:val="auto"/>
          <w:sz w:val="24"/>
          <w:highlight w:val="none"/>
        </w:rPr>
        <w:t xml:space="preserve">投标文件中需上述证明文件原件</w:t>
      </w:r>
      <w:r>
        <w:rPr>
          <w:rFonts w:hint="eastAsia" w:ascii="宋体" w:hAnsi="宋体" w:eastAsia="宋体" w:cs="宋体"/>
          <w:bCs/>
          <w:color w:val="auto"/>
          <w:sz w:val="24"/>
          <w:szCs w:val="24"/>
          <w:highlight w:val="none"/>
        </w:rPr>
        <w:t xml:space="preserve">扫描上传至投标</w:t>
      </w:r>
      <w:r>
        <w:rPr>
          <w:rFonts w:hint="eastAsia" w:ascii="宋体" w:hAnsi="宋体" w:eastAsia="宋体" w:cs="宋体"/>
          <w:bCs/>
          <w:color w:val="auto"/>
          <w:sz w:val="24"/>
          <w:szCs w:val="24"/>
          <w:highlight w:val="none"/>
          <w:lang w:eastAsia="zh-CN"/>
        </w:rPr>
        <w:t xml:space="preserve">系统</w:t>
      </w:r>
      <w:r>
        <w:rPr>
          <w:rFonts w:hint="eastAsia" w:ascii="宋体" w:hAnsi="宋体" w:eastAsia="宋体" w:cs="宋体"/>
          <w:bCs/>
          <w:color w:val="auto"/>
          <w:sz w:val="24"/>
          <w:szCs w:val="24"/>
          <w:highlight w:val="none"/>
        </w:rPr>
        <w:t xml:space="preserve">并加盖公章，否则不得分。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或气体制造商按照行业标准</w:t>
      </w:r>
      <w:r>
        <w:rPr>
          <w:rFonts w:hint="eastAsia" w:ascii="宋体" w:hAnsi="宋体" w:eastAsia="宋体" w:cs="宋体"/>
          <w:color w:val="auto"/>
          <w:sz w:val="24"/>
          <w:highlight w:val="none"/>
        </w:rPr>
        <w:t xml:space="preserve">定期聘请具备国家认证认可监督监管委员会颁发的医用气体CMA检测资质的第三方对液氧站及主要管网进行安全检测服务，并出具相应安全检测报告，投标人提供承诺函并附上第三方检测单位资质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含资质认定证书首页及能力附表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bCs/>
          <w:color w:val="auto"/>
          <w:sz w:val="24"/>
          <w:highlight w:val="none"/>
        </w:rPr>
        <w:t xml:space="preserve">原件</w:t>
      </w:r>
      <w:r>
        <w:rPr>
          <w:rFonts w:hint="eastAsia" w:ascii="宋体" w:hAnsi="宋体" w:eastAsia="宋体" w:cs="宋体"/>
          <w:bCs/>
          <w:color w:val="auto"/>
          <w:sz w:val="24"/>
          <w:szCs w:val="24"/>
          <w:highlight w:val="none"/>
        </w:rPr>
        <w:t xml:space="preserve">扫描上传至投标系统中并加盖公章</w:t>
      </w:r>
      <w:r>
        <w:rPr>
          <w:rFonts w:hint="eastAsia" w:ascii="宋体" w:hAnsi="宋体" w:eastAsia="宋体" w:cs="宋体"/>
          <w:color w:val="auto"/>
          <w:sz w:val="24"/>
          <w:highlight w:val="none"/>
        </w:rPr>
        <w:t xml:space="preserve">，满足的得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分，不具备的不得分。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lang w:eastAsia="zh-CN"/>
        </w:rPr>
        <w:t xml:space="preserve">6.</w:t>
      </w:r>
      <w:r>
        <w:rPr>
          <w:rFonts w:hint="eastAsia" w:ascii="宋体" w:hAnsi="宋体" w:eastAsia="宋体" w:cs="宋体"/>
          <w:b/>
          <w:color w:val="auto"/>
          <w:sz w:val="24"/>
          <w:szCs w:val="24"/>
          <w:highlight w:val="none"/>
        </w:rPr>
        <w:t xml:space="preserve">资信认证情况（</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pStyle w:val="949"/>
        <w:numPr>
          <w:ilvl w:val="0"/>
          <w:numId w:val="0"/>
        </w:numPr>
        <w:ind w:left="119" w:firstLine="480"/>
        <w:spacing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供应商</w:t>
      </w:r>
      <w:r>
        <w:rPr>
          <w:rFonts w:hint="eastAsia" w:ascii="宋体" w:hAnsi="宋体" w:eastAsia="宋体" w:cs="宋体"/>
          <w:b w:val="0"/>
          <w:bCs/>
          <w:color w:val="auto"/>
          <w:szCs w:val="24"/>
          <w:highlight w:val="none"/>
          <w:lang w:val="en-US" w:eastAsia="zh-CN"/>
        </w:rPr>
        <w:t xml:space="preserve">或气体制造商</w:t>
      </w:r>
      <w:r>
        <w:rPr>
          <w:rFonts w:hint="eastAsia" w:ascii="宋体" w:hAnsi="宋体" w:eastAsia="宋体" w:cs="宋体"/>
          <w:b w:val="0"/>
          <w:bCs/>
          <w:color w:val="auto"/>
          <w:szCs w:val="24"/>
          <w:highlight w:val="none"/>
        </w:rPr>
        <w:t xml:space="preserve">获有效期内质量体系认证得</w:t>
      </w:r>
      <w:r>
        <w:rPr>
          <w:rFonts w:hint="eastAsia" w:ascii="宋体" w:hAnsi="宋体" w:cs="宋体"/>
          <w:b w:val="0"/>
          <w:bCs/>
          <w:color w:val="auto"/>
          <w:szCs w:val="24"/>
          <w:highlight w:val="none"/>
          <w:lang w:val="en-US" w:eastAsia="zh-CN"/>
        </w:rPr>
        <w:t xml:space="preserve">1</w:t>
      </w:r>
      <w:r>
        <w:rPr>
          <w:rFonts w:hint="eastAsia" w:ascii="宋体" w:hAnsi="宋体" w:eastAsia="宋体" w:cs="宋体"/>
          <w:b w:val="0"/>
          <w:bCs/>
          <w:color w:val="auto"/>
          <w:szCs w:val="24"/>
          <w:highlight w:val="none"/>
        </w:rPr>
        <w:t xml:space="preserve">分；获有效期内环境管理体系认证得</w:t>
      </w:r>
      <w:r>
        <w:rPr>
          <w:rFonts w:hint="eastAsia" w:ascii="宋体" w:hAnsi="宋体" w:cs="宋体"/>
          <w:b w:val="0"/>
          <w:bCs/>
          <w:color w:val="auto"/>
          <w:szCs w:val="24"/>
          <w:highlight w:val="none"/>
          <w:lang w:val="en-US" w:eastAsia="zh-CN"/>
        </w:rPr>
        <w:t xml:space="preserve">1</w:t>
      </w:r>
      <w:r>
        <w:rPr>
          <w:rFonts w:hint="eastAsia" w:ascii="宋体" w:hAnsi="宋体" w:eastAsia="宋体" w:cs="宋体"/>
          <w:b w:val="0"/>
          <w:bCs/>
          <w:color w:val="auto"/>
          <w:szCs w:val="24"/>
          <w:highlight w:val="none"/>
        </w:rPr>
        <w:t xml:space="preserve">分；获有效期内职业健康安全管理体系认证得</w:t>
      </w:r>
      <w:r>
        <w:rPr>
          <w:rFonts w:hint="eastAsia" w:ascii="宋体" w:hAnsi="宋体" w:cs="宋体"/>
          <w:b w:val="0"/>
          <w:bCs/>
          <w:color w:val="auto"/>
          <w:szCs w:val="24"/>
          <w:highlight w:val="none"/>
          <w:lang w:val="en-US" w:eastAsia="zh-CN"/>
        </w:rPr>
        <w:t xml:space="preserve">1</w:t>
      </w:r>
      <w:r>
        <w:rPr>
          <w:rFonts w:hint="eastAsia" w:ascii="宋体" w:hAnsi="宋体" w:eastAsia="宋体" w:cs="宋体"/>
          <w:b w:val="0"/>
          <w:bCs/>
          <w:color w:val="auto"/>
          <w:szCs w:val="24"/>
          <w:highlight w:val="none"/>
        </w:rPr>
        <w:t xml:space="preserve">分，提供上述材料原件扫描上传至投标</w:t>
      </w:r>
      <w:r>
        <w:rPr>
          <w:rFonts w:hint="eastAsia" w:ascii="宋体" w:hAnsi="宋体" w:cs="宋体"/>
          <w:b w:val="0"/>
          <w:bCs/>
          <w:color w:val="auto"/>
          <w:szCs w:val="24"/>
          <w:highlight w:val="none"/>
          <w:lang w:eastAsia="zh-CN"/>
        </w:rPr>
        <w:t xml:space="preserve">系统</w:t>
      </w:r>
      <w:r>
        <w:rPr>
          <w:rFonts w:hint="eastAsia" w:ascii="宋体" w:hAnsi="宋体" w:eastAsia="宋体" w:cs="宋体"/>
          <w:b w:val="0"/>
          <w:bCs/>
          <w:color w:val="auto"/>
          <w:szCs w:val="24"/>
          <w:highlight w:val="none"/>
        </w:rPr>
        <w:t xml:space="preserve">并加盖公章，未提供或提供资料不符合要求均不得分。</w:t>
      </w:r>
      <w:r/>
    </w:p>
    <w:p>
      <w:p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三、技术部分（</w:t>
      </w:r>
      <w:r>
        <w:rPr>
          <w:rFonts w:hint="eastAsia" w:ascii="宋体" w:hAnsi="宋体" w:eastAsia="宋体" w:cs="宋体"/>
          <w:b/>
          <w:bCs w:val="0"/>
          <w:color w:val="auto"/>
          <w:sz w:val="24"/>
          <w:highlight w:val="none"/>
          <w:lang w:val="en-US" w:eastAsia="zh-CN"/>
        </w:rPr>
        <w:t xml:space="preserve">50</w:t>
      </w:r>
      <w:r>
        <w:rPr>
          <w:rFonts w:hint="eastAsia" w:ascii="宋体" w:hAnsi="宋体" w:eastAsia="宋体" w:cs="宋体"/>
          <w:b/>
          <w:bCs w:val="0"/>
          <w:color w:val="auto"/>
          <w:sz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1）投标产品的安全性和可靠性（</w:t>
      </w:r>
      <w:r>
        <w:rPr>
          <w:rFonts w:hint="eastAsia" w:ascii="宋体" w:hAnsi="宋体" w:eastAsia="宋体" w:cs="宋体"/>
          <w:b/>
          <w:color w:val="auto"/>
          <w:sz w:val="24"/>
          <w:highlight w:val="none"/>
          <w:lang w:val="en-US" w:eastAsia="zh-CN"/>
        </w:rPr>
        <w:t xml:space="preserve">13</w:t>
      </w:r>
      <w:r>
        <w:rPr>
          <w:rFonts w:hint="eastAsia" w:ascii="宋体" w:hAnsi="宋体" w:eastAsia="宋体" w:cs="宋体"/>
          <w:b/>
          <w:color w:val="auto"/>
          <w:sz w:val="24"/>
          <w:highlight w:val="none"/>
        </w:rPr>
        <w:t xml:space="preserve">分）</w:t>
      </w:r>
      <w:r>
        <w:rPr>
          <w:rFonts w:hint="eastAsia" w:ascii="宋体" w:hAnsi="宋体" w:eastAsia="宋体" w:cs="宋体"/>
          <w:bCs/>
          <w:color w:val="auto"/>
          <w:sz w:val="24"/>
          <w:highlight w:val="none"/>
        </w:rPr>
        <w:t xml:space="preserve">根据投标产品的安全性、可靠性、质量保证措施、服务整体方案等方案进行评审。</w:t>
      </w:r>
      <w:r/>
    </w:p>
    <w:p>
      <w:pPr>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1）质量保证措施（8分）</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产品的安全性、可靠性、</w:t>
      </w:r>
      <w:r>
        <w:rPr>
          <w:rFonts w:hint="eastAsia" w:ascii="宋体" w:hAnsi="宋体" w:eastAsia="宋体" w:cs="宋体"/>
          <w:bCs/>
          <w:color w:val="auto"/>
          <w:sz w:val="24"/>
          <w:highlight w:val="none"/>
          <w:lang w:val="en-US" w:eastAsia="zh-CN"/>
        </w:rPr>
        <w:t xml:space="preserve">质量保证措施</w:t>
      </w:r>
      <w:r>
        <w:rPr>
          <w:rFonts w:hint="eastAsia" w:ascii="宋体" w:hAnsi="宋体" w:eastAsia="宋体" w:cs="宋体"/>
          <w:bCs/>
          <w:color w:val="auto"/>
          <w:sz w:val="24"/>
          <w:highlight w:val="none"/>
        </w:rPr>
        <w:t xml:space="preserve">完整详细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针对性强，得</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产品的安全性、可靠性、</w:t>
      </w:r>
      <w:r>
        <w:rPr>
          <w:rFonts w:hint="eastAsia" w:ascii="宋体" w:hAnsi="宋体" w:eastAsia="宋体" w:cs="宋体"/>
          <w:bCs/>
          <w:color w:val="auto"/>
          <w:sz w:val="24"/>
          <w:highlight w:val="none"/>
          <w:lang w:val="en-US" w:eastAsia="zh-CN"/>
        </w:rPr>
        <w:t xml:space="preserve">质量保证措施</w:t>
      </w:r>
      <w:r>
        <w:rPr>
          <w:rFonts w:hint="eastAsia" w:ascii="宋体" w:hAnsi="宋体" w:eastAsia="宋体" w:cs="宋体"/>
          <w:bCs/>
          <w:color w:val="auto"/>
          <w:sz w:val="24"/>
          <w:highlight w:val="none"/>
        </w:rPr>
        <w:t xml:space="preserve">内容较完整详细，针对性较强，得</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产品的安全性、可靠性、</w:t>
      </w:r>
      <w:r>
        <w:rPr>
          <w:rFonts w:hint="eastAsia" w:ascii="宋体" w:hAnsi="宋体" w:eastAsia="宋体" w:cs="宋体"/>
          <w:bCs/>
          <w:color w:val="auto"/>
          <w:sz w:val="24"/>
          <w:highlight w:val="none"/>
          <w:lang w:val="en-US" w:eastAsia="zh-CN"/>
        </w:rPr>
        <w:t xml:space="preserve">质量保证措施</w:t>
      </w:r>
      <w:r>
        <w:rPr>
          <w:rFonts w:hint="eastAsia" w:ascii="宋体" w:hAnsi="宋体" w:eastAsia="宋体" w:cs="宋体"/>
          <w:bCs/>
          <w:color w:val="auto"/>
          <w:sz w:val="24"/>
          <w:highlight w:val="none"/>
        </w:rPr>
        <w:t xml:space="preserve">内容不太完整详细，针对性一般，得</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产品的安全性、可靠性、</w:t>
      </w:r>
      <w:r>
        <w:rPr>
          <w:rFonts w:hint="eastAsia" w:ascii="宋体" w:hAnsi="宋体" w:eastAsia="宋体" w:cs="宋体"/>
          <w:bCs/>
          <w:color w:val="auto"/>
          <w:sz w:val="24"/>
          <w:highlight w:val="none"/>
          <w:lang w:val="en-US" w:eastAsia="zh-CN"/>
        </w:rPr>
        <w:t xml:space="preserve">质量保证措施</w:t>
      </w:r>
      <w:r>
        <w:rPr>
          <w:rFonts w:hint="eastAsia" w:ascii="宋体" w:hAnsi="宋体" w:eastAsia="宋体" w:cs="宋体"/>
          <w:bCs/>
          <w:color w:val="auto"/>
          <w:sz w:val="24"/>
          <w:highlight w:val="none"/>
        </w:rPr>
        <w:t xml:space="preserve">内容较缺略空泛</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针对性较差，得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产品的安全性、可靠性、</w:t>
      </w:r>
      <w:r>
        <w:rPr>
          <w:rFonts w:hint="eastAsia" w:ascii="宋体" w:hAnsi="宋体" w:eastAsia="宋体" w:cs="宋体"/>
          <w:bCs/>
          <w:color w:val="auto"/>
          <w:sz w:val="24"/>
          <w:highlight w:val="none"/>
          <w:lang w:val="en-US" w:eastAsia="zh-CN"/>
        </w:rPr>
        <w:t xml:space="preserve">质量保证措施</w:t>
      </w:r>
      <w:r>
        <w:rPr>
          <w:rFonts w:hint="eastAsia" w:ascii="宋体" w:hAnsi="宋体" w:eastAsia="宋体" w:cs="宋体"/>
          <w:bCs/>
          <w:color w:val="auto"/>
          <w:sz w:val="24"/>
          <w:highlight w:val="none"/>
        </w:rPr>
        <w:t xml:space="preserve">内容缺略空泛，针对性差或未提供方案或证明材料的，均不得分。</w:t>
      </w:r>
      <w:r/>
    </w:p>
    <w:p>
      <w:pPr>
        <w:pStyle w:val="815"/>
        <w:numPr>
          <w:ilvl w:val="0"/>
          <w:numId w:val="15"/>
        </w:numP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服务整体方案</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5分）</w:t>
      </w:r>
      <w:r/>
    </w:p>
    <w:p>
      <w:pPr>
        <w:pStyle w:val="811"/>
        <w:ind w:left="0" w:firstLine="0"/>
        <w:spacing w:line="360" w:lineRule="auto"/>
        <w:rPr>
          <w:rFonts w:hint="eastAsia" w:ascii="宋体" w:hAnsi="宋体" w:eastAsia="宋体" w:cs="宋体"/>
          <w:color w:val="auto"/>
          <w:sz w:val="24"/>
          <w:szCs w:val="32"/>
          <w:highlight w:val="none"/>
        </w:rPr>
      </w:pPr>
      <w:r>
        <w:rPr>
          <w:rFonts w:hint="eastAsia" w:ascii="宋体" w:hAnsi="宋体" w:eastAsia="宋体" w:cs="宋体"/>
          <w:bCs/>
          <w:color w:val="auto"/>
          <w:sz w:val="24"/>
          <w:highlight w:val="none"/>
        </w:rPr>
        <w:t xml:space="preserve">服务整体方案</w:t>
      </w:r>
      <w:r>
        <w:rPr>
          <w:rFonts w:hint="eastAsia" w:ascii="宋体" w:hAnsi="宋体" w:eastAsia="宋体" w:cs="宋体"/>
          <w:color w:val="auto"/>
          <w:sz w:val="24"/>
          <w:szCs w:val="32"/>
          <w:highlight w:val="none"/>
        </w:rPr>
        <w:t xml:space="preserve">清晰、合理、详细、全面、针对性强、可行性强，方案内容齐全的，得</w:t>
      </w:r>
      <w:r>
        <w:rPr>
          <w:rFonts w:hint="eastAsia" w:ascii="宋体" w:hAnsi="宋体" w:cs="宋体"/>
          <w:color w:val="auto"/>
          <w:sz w:val="24"/>
          <w:szCs w:val="32"/>
          <w:highlight w:val="none"/>
          <w:lang w:val="en-US" w:eastAsia="zh-CN"/>
        </w:rPr>
        <w:t xml:space="preserve">5</w:t>
      </w:r>
      <w:r>
        <w:rPr>
          <w:rFonts w:hint="eastAsia" w:ascii="宋体" w:hAnsi="宋体" w:eastAsia="宋体" w:cs="宋体"/>
          <w:color w:val="auto"/>
          <w:sz w:val="24"/>
          <w:szCs w:val="32"/>
          <w:highlight w:val="none"/>
        </w:rPr>
        <w:t xml:space="preserve">分；</w:t>
      </w:r>
      <w:r/>
    </w:p>
    <w:p>
      <w:pPr>
        <w:pStyle w:val="811"/>
        <w:ind w:left="0" w:firstLine="0"/>
        <w:spacing w:line="360" w:lineRule="auto"/>
        <w:rPr>
          <w:rFonts w:hint="eastAsia" w:ascii="宋体" w:hAnsi="宋体" w:eastAsia="宋体" w:cs="宋体"/>
          <w:color w:val="auto"/>
          <w:sz w:val="24"/>
          <w:szCs w:val="32"/>
          <w:highlight w:val="none"/>
        </w:rPr>
      </w:pPr>
      <w:r>
        <w:rPr>
          <w:rFonts w:hint="eastAsia" w:ascii="宋体" w:hAnsi="宋体" w:eastAsia="宋体" w:cs="宋体"/>
          <w:bCs/>
          <w:color w:val="auto"/>
          <w:sz w:val="24"/>
          <w:highlight w:val="none"/>
        </w:rPr>
        <w:t xml:space="preserve">服务整体方案</w:t>
      </w:r>
      <w:r>
        <w:rPr>
          <w:rFonts w:hint="eastAsia" w:ascii="宋体" w:hAnsi="宋体" w:eastAsia="宋体" w:cs="宋体"/>
          <w:color w:val="auto"/>
          <w:sz w:val="24"/>
          <w:szCs w:val="32"/>
          <w:highlight w:val="none"/>
        </w:rPr>
        <w:t xml:space="preserve">较清晰、较合理、较详细、较全面、针对性较强、可行性较强的，得</w:t>
      </w:r>
      <w:r>
        <w:rPr>
          <w:rFonts w:hint="eastAsia" w:ascii="宋体" w:hAnsi="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w:t>
      </w:r>
      <w:r/>
    </w:p>
    <w:p>
      <w:pPr>
        <w:pStyle w:val="811"/>
        <w:ind w:left="0" w:firstLine="0"/>
        <w:spacing w:line="360" w:lineRule="auto"/>
        <w:rPr>
          <w:rFonts w:hint="eastAsia" w:ascii="宋体" w:hAnsi="宋体" w:eastAsia="宋体" w:cs="宋体"/>
          <w:color w:val="auto"/>
          <w:sz w:val="24"/>
          <w:szCs w:val="32"/>
          <w:highlight w:val="none"/>
        </w:rPr>
      </w:pPr>
      <w:r>
        <w:rPr>
          <w:rFonts w:hint="eastAsia" w:ascii="宋体" w:hAnsi="宋体" w:eastAsia="宋体" w:cs="宋体"/>
          <w:bCs/>
          <w:color w:val="auto"/>
          <w:sz w:val="24"/>
          <w:highlight w:val="none"/>
        </w:rPr>
        <w:t xml:space="preserve">服务整体方案</w:t>
      </w:r>
      <w:r>
        <w:rPr>
          <w:rFonts w:hint="eastAsia" w:ascii="宋体" w:hAnsi="宋体" w:eastAsia="宋体" w:cs="宋体"/>
          <w:color w:val="auto"/>
          <w:sz w:val="24"/>
          <w:szCs w:val="32"/>
          <w:highlight w:val="none"/>
        </w:rPr>
        <w:t xml:space="preserve">清晰度一般、合理性一般、详细性一般、全面性一般、针对性一般、可行性一般的，得</w:t>
      </w:r>
      <w:r>
        <w:rPr>
          <w:rFonts w:hint="eastAsia" w:ascii="宋体" w:hAnsi="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w:t>
      </w:r>
      <w:r/>
    </w:p>
    <w:p>
      <w:pPr>
        <w:pStyle w:val="811"/>
        <w:ind w:left="0" w:firstLine="0"/>
        <w:spacing w:line="360" w:lineRule="auto"/>
        <w:rPr>
          <w:rFonts w:hint="eastAsia"/>
          <w:color w:val="auto"/>
          <w:highlight w:val="none"/>
          <w:lang w:val="en-US" w:eastAsia="zh-CN"/>
        </w:rPr>
      </w:pPr>
      <w:r>
        <w:rPr>
          <w:rFonts w:hint="eastAsia" w:ascii="宋体" w:hAnsi="宋体" w:eastAsia="宋体" w:cs="宋体"/>
          <w:color w:val="auto"/>
          <w:sz w:val="24"/>
          <w:szCs w:val="32"/>
          <w:highlight w:val="none"/>
        </w:rPr>
        <w:t xml:space="preserve">未提供方案，不得分。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2）生产设备及生产设施（8分）</w:t>
      </w:r>
      <w:r>
        <w:rPr>
          <w:rFonts w:hint="eastAsia" w:ascii="宋体" w:hAnsi="宋体" w:eastAsia="宋体" w:cs="宋体"/>
          <w:bCs/>
          <w:color w:val="auto"/>
          <w:sz w:val="24"/>
          <w:highlight w:val="none"/>
        </w:rPr>
        <w:t xml:space="preserve">根据投标人生产场所、生产设施、暂存库或暂存设备、贮存场所环境等情况等综合评价。满分8分。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生产设备先进完备、生产环境优于相关规定和标准的，得8分；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生产设备较先进完备、生产环境符合相关规定和标准的，得6分；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生产设备完备先进情况一般、生产环境基本符合相关规定和标准的，得4分；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生产设备不太先进完备齐全、生产环境较符合相关规定和标准的，得2分；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生产设备落后不完备齐全、生产环境不符合相关规定和标准或未提供证明材料的，不得分。</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3）应急需求预案（8分）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根据投标人提供针对本项目的应急需求预案（包括风险评估、应急程序、应急专业队伍配备、应急专用设备、反应速度等）综合评价。</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方案考虑翔实具体全面周到、应对措施科学合理可行的，得8分；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方案考虑基本符合全面详细合理、应对措施基本符合科学合理可行性的，得6分；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方案考虑较全面详细合理、应对措施较科学合理</w:t>
      </w:r>
      <w:r>
        <w:rPr>
          <w:rFonts w:hint="eastAsia" w:ascii="宋体" w:hAnsi="宋体" w:eastAsia="宋体" w:cs="宋体"/>
          <w:bCs/>
          <w:color w:val="auto"/>
          <w:sz w:val="24"/>
          <w:highlight w:val="none"/>
          <w:lang w:eastAsia="zh-CN"/>
        </w:rPr>
        <w:t xml:space="preserve">可行</w:t>
      </w:r>
      <w:r>
        <w:rPr>
          <w:rFonts w:hint="eastAsia" w:ascii="宋体" w:hAnsi="宋体" w:eastAsia="宋体" w:cs="宋体"/>
          <w:bCs/>
          <w:color w:val="auto"/>
          <w:sz w:val="24"/>
          <w:highlight w:val="none"/>
        </w:rPr>
        <w:t xml:space="preserve">的，得4分；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方案考虑不太具有全面详细合理性、应对措施不太具有科学合理可行性的，得2分；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方案考虑不具有全面详细合理性、应对措施不具有科学合理可行性的或未提供相关内容和描述的，不得分。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4）重大故障解决方案（8分）</w:t>
      </w:r>
      <w:r>
        <w:rPr>
          <w:rFonts w:hint="eastAsia" w:ascii="宋体" w:hAnsi="宋体" w:eastAsia="宋体" w:cs="宋体"/>
          <w:bCs/>
          <w:color w:val="auto"/>
          <w:sz w:val="24"/>
          <w:highlight w:val="none"/>
        </w:rPr>
        <w:t xml:space="preserve">根据投标人提供针对本项目的重大故障解决方案（出现重大问题的响应时间、补救措施等）综合评价。</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方案考虑翔实具体全面周到、应对措施科学合理可行的，得8分；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方案考虑基本符合翔实具体全面周到、应对措施基本符合科学合理可行的，得6分；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方案考虑较全面详细合理、应对措施较科学合理</w:t>
      </w:r>
      <w:r>
        <w:rPr>
          <w:rFonts w:hint="eastAsia" w:ascii="宋体" w:hAnsi="宋体" w:eastAsia="宋体" w:cs="宋体"/>
          <w:bCs/>
          <w:color w:val="auto"/>
          <w:sz w:val="24"/>
          <w:highlight w:val="none"/>
          <w:lang w:eastAsia="zh-CN"/>
        </w:rPr>
        <w:t xml:space="preserve">可行</w:t>
      </w:r>
      <w:r>
        <w:rPr>
          <w:rFonts w:hint="eastAsia" w:ascii="宋体" w:hAnsi="宋体" w:eastAsia="宋体" w:cs="宋体"/>
          <w:bCs/>
          <w:color w:val="auto"/>
          <w:sz w:val="24"/>
          <w:highlight w:val="none"/>
        </w:rPr>
        <w:t xml:space="preserve">的，得4分；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方案考虑不太具有全面详细合理性、应对措施不太具有科学合理可行性的，得2分；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方案考虑不具有全面详细合理性、应对措施不具有科学合理可行性的或未提供相关内容和描述的，不得分。</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5）</w:t>
      </w:r>
      <w:r>
        <w:rPr>
          <w:rFonts w:hint="eastAsia" w:ascii="宋体" w:hAnsi="宋体" w:eastAsia="宋体" w:cs="宋体"/>
          <w:b/>
          <w:color w:val="auto"/>
          <w:sz w:val="24"/>
          <w:szCs w:val="24"/>
          <w:highlight w:val="none"/>
        </w:rPr>
        <w:t xml:space="preserve">培训计划</w:t>
      </w:r>
      <w:r>
        <w:rPr>
          <w:rFonts w:hint="eastAsia" w:ascii="宋体" w:hAnsi="宋体" w:eastAsia="宋体" w:cs="宋体"/>
          <w:b/>
          <w:color w:val="auto"/>
          <w:sz w:val="24"/>
          <w:highlight w:val="none"/>
        </w:rPr>
        <w:t xml:space="preserve">（7分）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有针对员工技能、服务的培训方案和现场管理人员管理的培训方案。评委根据投标文件提供的培训方案进行评分，方案详细、完整、合理得7分；培训方案比较详细、完整、合理得5分；培训方案基本详细、完整、合理得3分；漏项，培训方案不详细、完整、合理、有漏洞得1分；无培训方案则不得分。</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医用气体系统现场演示</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分）</w:t>
      </w:r>
      <w:r/>
    </w:p>
    <w:p>
      <w:pPr>
        <w:numPr>
          <w:ilvl w:val="0"/>
          <w:numId w:val="0"/>
        </w:numPr>
        <w:ind w:firstLine="482"/>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分钟。根据投标人视频演示情况和以下功能得分点进行打分，未按要求进行演示或未提供演示视频的不得分。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1.液氧储罐实时数据（包含每个液氧储罐剩余体积、剩余百分比、当前压力等），同时展示液氧的总余量及实时压力，支持查看液氧系统流程图（包含气体流向，运行数据等），得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分，否则不得分；</w:t>
      </w:r>
      <w:r/>
    </w:p>
    <w:p>
      <w:pPr>
        <w:ind w:firstLine="480"/>
        <w:spacing w:line="360" w:lineRule="auto"/>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液氧储罐统计功能：可按时间区间检索查看各个液氧单罐剩余量折线图、液氧储槽总剩余量折线图、各个液氧储槽日期范围内使用量及充装量统计图、支持以表格形式汇总查看每日各个液氧储罐的使用量和充装量数据及每日总的使用量和充装量统计，并支持导出EXCEL，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分，否则不得分；</w:t>
      </w:r>
      <w:r/>
    </w:p>
    <w:p>
      <w:pPr>
        <w:ind w:firstLine="480"/>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197"/>
        <w:ind w:firstLine="602"/>
        <w:spacing w:before="0" w:after="0"/>
        <w:rPr>
          <w:rFonts w:cs="Arial"/>
          <w:b/>
          <w:color w:val="auto"/>
          <w:sz w:val="30"/>
          <w:szCs w:val="30"/>
          <w:highlight w:val="none"/>
        </w:rPr>
      </w:pPr>
      <w:r/>
      <w:bookmarkStart w:id="150" w:name="_Hlt26671244"/>
      <w:r/>
      <w:bookmarkEnd w:id="150"/>
      <w:r/>
      <w:bookmarkStart w:id="151" w:name="_Hlt26955039"/>
      <w:r/>
      <w:bookmarkEnd w:id="151"/>
      <w:r>
        <w:rPr>
          <w:rFonts w:hint="eastAsia" w:cs="Arial"/>
          <w:b/>
          <w:color w:val="auto"/>
          <w:sz w:val="30"/>
          <w:szCs w:val="30"/>
          <w:highlight w:val="none"/>
        </w:rPr>
        <w:t xml:space="preserve">第一部分投标文件内容</w:t>
      </w:r>
      <w:r/>
    </w:p>
    <w:p>
      <w:pPr>
        <w:pStyle w:val="1197"/>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0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97"/>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97"/>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97"/>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97"/>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97"/>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97"/>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9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19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97"/>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年度的审计报告（投标人如是自然人情形的，没有经审计的财务报告的，可以提供银行出具的资信证明）</w:t>
            </w:r>
            <w:r>
              <w:rPr>
                <w:rStyle w:val="891"/>
                <w:rFonts w:hint="eastAsia" w:ascii="宋体" w:hAnsi="宋体" w:cs="宋体"/>
                <w:color w:val="auto"/>
                <w:highlight w:val="none"/>
              </w:rPr>
              <w:t xml:space="preserve">。</w:t>
            </w:r>
            <w:r/>
          </w:p>
        </w:tc>
        <w:tc>
          <w:tcPr>
            <w:tcW w:w="2449" w:type="dxa"/>
            <w:vAlign w:val="center"/>
            <w:vMerge w:val="continue"/>
            <w:textDirection w:val="lrTb"/>
            <w:noWrap w:val="false"/>
          </w:tcPr>
          <w:p>
            <w:pPr>
              <w:pStyle w:val="119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97"/>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9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97"/>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9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97"/>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9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197"/>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97"/>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197"/>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197"/>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97"/>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197"/>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97"/>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197"/>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6"/>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6"/>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97"/>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97"/>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97"/>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9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9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97"/>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19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9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97"/>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9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9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197"/>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19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9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97"/>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9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9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197"/>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19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19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197"/>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9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96"/>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96"/>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96"/>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96"/>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96"/>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96"/>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96"/>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96"/>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96"/>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96"/>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96"/>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96"/>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96"/>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96"/>
        <w:numPr>
          <w:ilvl w:val="0"/>
          <w:numId w:val="18"/>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96"/>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中小企业声明函（货物）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 </w:t>
      </w:r>
      <w:r/>
    </w:p>
    <w:p>
      <w:pPr>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液氧（医用）</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≥99.5%</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19"/>
        </w:numPr>
        <w:ind w:firstLine="480"/>
        <w:spacing w:line="360" w:lineRule="auto"/>
        <w:rPr>
          <w:rFonts w:ascii="宋体" w:hAnsi="宋体" w:cs="宋体"/>
          <w:bCs/>
          <w:color w:val="auto"/>
          <w:sz w:val="24"/>
          <w:highlight w:val="none"/>
        </w:rPr>
      </w:pPr>
      <w:r>
        <w:rPr>
          <w:rFonts w:hint="eastAsia" w:ascii="宋体" w:hAnsi="宋体" w:cs="宋体"/>
          <w:color w:val="auto"/>
          <w:sz w:val="24"/>
          <w:szCs w:val="24"/>
          <w:highlight w:val="none"/>
          <w:u w:val="single"/>
        </w:rPr>
        <w:t xml:space="preserve">瓶</w:t>
      </w:r>
      <w:r>
        <w:rPr>
          <w:rFonts w:hint="eastAsia" w:ascii="宋体" w:hAnsi="宋体" w:eastAsia="宋体" w:cs="宋体"/>
          <w:color w:val="auto"/>
          <w:sz w:val="24"/>
          <w:szCs w:val="24"/>
          <w:highlight w:val="none"/>
          <w:u w:val="single"/>
        </w:rPr>
        <w:t xml:space="preserve">氧（</w:t>
      </w:r>
      <w:r>
        <w:rPr>
          <w:rFonts w:hint="eastAsia" w:ascii="宋体" w:hAnsi="宋体" w:cs="宋体"/>
          <w:color w:val="auto"/>
          <w:sz w:val="24"/>
          <w:szCs w:val="24"/>
          <w:highlight w:val="none"/>
          <w:u w:val="single"/>
        </w:rPr>
        <w:t xml:space="preserve">≥99.5%40升</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p>
    <w:p>
      <w:pPr>
        <w:numPr>
          <w:ilvl w:val="0"/>
          <w:numId w:val="19"/>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瓶</w:t>
      </w:r>
      <w:r>
        <w:rPr>
          <w:rFonts w:hint="eastAsia" w:ascii="宋体" w:hAnsi="宋体" w:eastAsia="宋体" w:cs="宋体"/>
          <w:color w:val="auto"/>
          <w:sz w:val="24"/>
          <w:szCs w:val="24"/>
          <w:highlight w:val="none"/>
          <w:u w:val="single"/>
        </w:rPr>
        <w:t xml:space="preserve">氧（</w:t>
      </w:r>
      <w:r>
        <w:rPr>
          <w:rFonts w:hint="eastAsia" w:ascii="宋体" w:hAnsi="宋体" w:cs="宋体"/>
          <w:color w:val="auto"/>
          <w:sz w:val="24"/>
          <w:szCs w:val="24"/>
          <w:highlight w:val="none"/>
          <w:u w:val="single"/>
        </w:rPr>
        <w:t xml:space="preserve">≥99.5%</w:t>
      </w:r>
      <w:r>
        <w:rPr>
          <w:rFonts w:hint="eastAsia" w:ascii="宋体" w:hAnsi="宋体" w:eastAsia="宋体" w:cs="宋体"/>
          <w:color w:val="auto"/>
          <w:sz w:val="24"/>
          <w:szCs w:val="24"/>
          <w:highlight w:val="none"/>
          <w:u w:val="single"/>
          <w:lang w:val="en-US" w:eastAsia="zh-CN"/>
        </w:rPr>
        <w:t xml:space="preserve"> 2</w:t>
      </w:r>
      <w:r>
        <w:rPr>
          <w:rFonts w:hint="eastAsia" w:ascii="宋体" w:hAnsi="宋体" w:cs="宋体"/>
          <w:color w:val="auto"/>
          <w:sz w:val="24"/>
          <w:szCs w:val="24"/>
          <w:highlight w:val="none"/>
          <w:u w:val="single"/>
        </w:rPr>
        <w:t xml:space="preserve">升</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上述内容填写按照第四章 采购需求里采购清单中的各项名称与规格进行一一填写。</w:t>
      </w: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 </w:t>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p>
    <w:p>
      <w:pPr>
        <w:ind w:firstLine="480"/>
        <w:jc w:val="right"/>
        <w:spacing w:line="360" w:lineRule="auto"/>
        <w:rPr>
          <w:rFonts w:ascii="宋体" w:hAnsi="宋体" w:cs="宋体"/>
          <w:bCs/>
          <w:color w:val="auto"/>
          <w:sz w:val="24"/>
          <w:highlight w:val="none"/>
        </w:rPr>
      </w:pPr>
      <w:r>
        <w:rPr>
          <w:rFonts w:hint="eastAsia" w:ascii="宋体" w:hAnsi="宋体" w:cs="宋体"/>
          <w:color w:val="auto"/>
          <w:sz w:val="24"/>
          <w:szCs w:val="24"/>
          <w:highlight w:val="none"/>
        </w:rPr>
        <w:t xml:space="preserve">日 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numPr>
          <w:ilvl w:val="0"/>
          <w:numId w:val="20"/>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numPr>
          <w:ilvl w:val="0"/>
          <w:numId w:val="20"/>
        </w:numPr>
        <w:spacing w:line="360" w:lineRule="auto"/>
        <w:rPr>
          <w:rFonts w:ascii="宋体" w:hAnsi="宋体" w:cs="宋体"/>
          <w:bCs/>
          <w:color w:val="auto"/>
          <w:sz w:val="24"/>
          <w:szCs w:val="24"/>
          <w:highlight w:val="none"/>
        </w:rPr>
      </w:pPr>
      <w:r>
        <w:rPr>
          <w:rFonts w:hint="eastAsia" w:ascii="宋体" w:hAnsi="宋体" w:cs="宋体"/>
          <w:color w:val="auto"/>
          <w:spacing w:val="8"/>
          <w:sz w:val="24"/>
          <w:szCs w:val="24"/>
          <w:highlight w:val="none"/>
          <w:shd w:val="clear" w:color="auto" w:fill="ffffff"/>
        </w:rPr>
        <w:t xml:space="preserve">在</w:t>
      </w:r>
      <w:r>
        <w:rPr>
          <w:rFonts w:hint="eastAsia" w:ascii="宋体" w:hAnsi="宋体" w:eastAsia="宋体" w:cs="宋体"/>
          <w:color w:val="auto"/>
          <w:sz w:val="24"/>
          <w:szCs w:val="24"/>
          <w:highlight w:val="none"/>
        </w:rPr>
        <w:t xml:space="preserve">货物采购项目中，在货物采购项目中，供应商提供的货物既有中小企业制造货物，也有大型企业制造货物的，不享受《政府采购促进中小企业发展管理办法》（财库〔2020〕46号）规定的小微企业扶持政策。</w:t>
      </w:r>
      <w:r/>
    </w:p>
    <w:p>
      <w:pPr>
        <w:numPr>
          <w:ilvl w:val="0"/>
          <w:numId w:val="20"/>
        </w:num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r/>
    </w:p>
    <w:p>
      <w:pPr>
        <w:spacing w:line="360" w:lineRule="auto"/>
        <w:rPr>
          <w:rFonts w:hint="eastAsia" w:eastAsia="宋体"/>
          <w:b/>
          <w:color w:val="auto"/>
          <w:sz w:val="30"/>
          <w:szCs w:val="30"/>
          <w:highlight w:val="none"/>
          <w:lang w:eastAsia="zh-CN"/>
        </w:rPr>
      </w:pP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left="0" w:right="0" w:firstLine="2711"/>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right"/>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pStyle w:val="840"/>
        <w:ind w:right="0"/>
        <w:jc w:val="both"/>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lang w:val="en-US" w:eastAsia="zh-CN"/>
        </w:rPr>
        <w:t xml:space="preserve">7.</w:t>
      </w:r>
      <w:r>
        <w:rPr>
          <w:rFonts w:hint="eastAsia" w:ascii="宋体" w:hAnsi="宋体" w:eastAsia="宋体" w:cs="宋体"/>
          <w:b/>
          <w:bCs/>
          <w:i w:val="0"/>
          <w:iCs w:val="0"/>
          <w:caps w:val="0"/>
          <w:color w:val="auto"/>
          <w:spacing w:val="0"/>
          <w:sz w:val="24"/>
          <w:szCs w:val="24"/>
          <w:highlight w:val="none"/>
        </w:rPr>
        <w:t xml:space="preserve">中国境内生产的组件成本核算基本规则</w:t>
      </w:r>
      <w:r/>
    </w:p>
    <w:p>
      <w:pPr>
        <w:pStyle w:val="840"/>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2"/>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2"/>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2"/>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2"/>
          <w:highlight w:val="none"/>
          <w:lang w:val="en-US" w:eastAsia="zh-CN" w:bidi="ar-SA"/>
        </w:rPr>
        <w:t xml:space="preserve">三、产品总成本和组件成本以相关会计核算数据、采购合同、进货记录等为基础进行计算。</w:t>
      </w:r>
      <w:r/>
    </w:p>
    <w:p>
      <w:pPr>
        <w:pStyle w:val="840"/>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2"/>
          <w:highlight w:val="none"/>
          <w:lang w:val="en-US" w:eastAsia="zh-CN" w:bidi="ar-SA"/>
        </w:rPr>
        <w:t xml:space="preserve">四、需要对成本核算规则予以进一步明确的其他有关事项，由财政部会同有关部门另行规定。</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七</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eastAsia="宋体"/>
          <w:bCs/>
          <w:color w:val="auto"/>
          <w:sz w:val="24"/>
          <w:szCs w:val="24"/>
          <w:highlight w:val="none"/>
          <w:lang w:val="en-US" w:eastAsia="zh-CN"/>
        </w:rPr>
        <w:t xml:space="preserve">优惠率</w:t>
      </w:r>
      <w:r>
        <w:rPr>
          <w:rFonts w:hint="eastAsia" w:ascii="宋体" w:hAnsi="宋体"/>
          <w:bCs/>
          <w:color w:val="auto"/>
          <w:sz w:val="24"/>
          <w:szCs w:val="24"/>
          <w:highlight w:val="none"/>
        </w:rPr>
        <w:t xml:space="preserve">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91"/>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九</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807"/>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45"/>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45"/>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45"/>
              <w:jc w:val="center"/>
              <w:spacing w:line="360" w:lineRule="auto"/>
              <w:rPr>
                <w:rFonts w:hAnsi="宋体" w:cs="宋体"/>
                <w:color w:val="auto"/>
                <w:szCs w:val="24"/>
                <w:highlight w:val="none"/>
              </w:rPr>
            </w:pPr>
            <w:r>
              <w:rPr>
                <w:rFonts w:hint="eastAsia"/>
                <w:b/>
                <w:bCs w:val="0"/>
                <w:color w:val="auto"/>
                <w:sz w:val="24"/>
                <w:szCs w:val="24"/>
                <w:highlight w:val="none"/>
                <w:lang w:val="en-US" w:eastAsia="zh-CN"/>
              </w:rPr>
              <w:t xml:space="preserve">优惠率填写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开标一览表中的报价为优惠率。</w:t>
      </w:r>
      <w:r>
        <w:rPr>
          <w:rFonts w:hint="eastAsia" w:ascii="宋体" w:hAnsi="宋体" w:eastAsia="宋体" w:cs="宋体"/>
          <w:color w:val="auto"/>
          <w:sz w:val="24"/>
          <w:szCs w:val="24"/>
          <w:highlight w:val="none"/>
        </w:rPr>
        <w:t xml:space="preserve">数量以最终供货为准。</w:t>
      </w:r>
      <w:r/>
    </w:p>
    <w:p>
      <w:pPr>
        <w:ind w:firstLine="1031"/>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最终结算</w:t>
      </w:r>
      <w:r>
        <w:rPr>
          <w:rFonts w:hint="eastAsia" w:ascii="宋体" w:hAnsi="宋体" w:eastAsia="宋体" w:cs="宋体"/>
          <w:b/>
          <w:color w:val="auto"/>
          <w:sz w:val="24"/>
          <w:szCs w:val="24"/>
          <w:highlight w:val="none"/>
          <w:lang w:val="en-US" w:eastAsia="zh-CN"/>
        </w:rPr>
        <w:t xml:space="preserve">按照</w:t>
      </w:r>
      <w:r>
        <w:rPr>
          <w:rFonts w:hint="eastAsia" w:ascii="宋体" w:hAnsi="宋体" w:eastAsia="宋体" w:cs="宋体"/>
          <w:b/>
          <w:color w:val="auto"/>
          <w:sz w:val="24"/>
          <w:szCs w:val="24"/>
          <w:highlight w:val="none"/>
        </w:rPr>
        <w:t xml:space="preserve">单价*（1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中标优惠率）执行，数量以最终供货为准。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 xml:space="preserve">十</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4"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43"/>
        <w:tblW w:w="493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071"/>
        <w:gridCol w:w="1507"/>
        <w:gridCol w:w="1138"/>
        <w:gridCol w:w="1483"/>
        <w:gridCol w:w="1482"/>
        <w:gridCol w:w="1458"/>
      </w:tblGrid>
      <w:tr>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W w:w="207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名称</w:t>
            </w:r>
            <w:r/>
          </w:p>
        </w:tc>
        <w:tc>
          <w:tcPr>
            <w:tcW w:w="1507"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规格</w:t>
            </w:r>
            <w:r/>
          </w:p>
        </w:tc>
        <w:tc>
          <w:tcPr>
            <w:tcW w:w="113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单位</w:t>
            </w:r>
            <w:r/>
          </w:p>
        </w:tc>
        <w:tc>
          <w:tcPr>
            <w:tcW w:w="1483" w:type="dxa"/>
            <w:vAlign w:val="center"/>
            <w:textDirection w:val="lrTb"/>
            <w:noWrap w:val="false"/>
          </w:tcPr>
          <w:p>
            <w:pPr>
              <w:jc w:val="center"/>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单价最高限价（元）</w:t>
            </w:r>
            <w:r/>
          </w:p>
        </w:tc>
        <w:tc>
          <w:tcPr>
            <w:tcW w:w="1482" w:type="dxa"/>
            <w:vAlign w:val="center"/>
            <w:textDirection w:val="lrTb"/>
            <w:noWrap w:val="false"/>
          </w:tcPr>
          <w:p>
            <w:pPr>
              <w:jc w:val="center"/>
              <w:rPr>
                <w:rFonts w:hint="eastAsia"/>
                <w:color w:val="auto"/>
                <w:sz w:val="24"/>
                <w:szCs w:val="24"/>
                <w:highlight w:val="none"/>
              </w:rPr>
            </w:pPr>
            <w:r>
              <w:rPr>
                <w:rFonts w:hint="eastAsia" w:eastAsia="宋体"/>
                <w:color w:val="auto"/>
                <w:sz w:val="24"/>
                <w:szCs w:val="24"/>
                <w:highlight w:val="none"/>
                <w:lang w:val="en-US" w:eastAsia="zh-CN"/>
              </w:rPr>
              <w:t xml:space="preserve">投标</w:t>
            </w:r>
            <w:r>
              <w:rPr>
                <w:rFonts w:hint="eastAsia"/>
                <w:color w:val="auto"/>
                <w:sz w:val="24"/>
                <w:szCs w:val="24"/>
                <w:highlight w:val="none"/>
              </w:rPr>
              <w:t xml:space="preserve">报价（元）</w:t>
            </w:r>
            <w:r/>
          </w:p>
        </w:tc>
        <w:tc>
          <w:tcPr>
            <w:tcW w:w="1458" w:type="dxa"/>
            <w:vAlign w:val="center"/>
            <w:textDirection w:val="lrTb"/>
            <w:noWrap w:val="false"/>
          </w:tcPr>
          <w:p>
            <w:pPr>
              <w:jc w:val="center"/>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优惠率</w:t>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液氧（医用）</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≥99.5%（符合2020版药典、GMP标准）</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吨</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restart"/>
            <w:textDirection w:val="lrTb"/>
            <w:noWrap w:val="false"/>
          </w:tcPr>
          <w:p>
            <w:pPr>
              <w:jc w:val="center"/>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w:t>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≥99.5%、40升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≥99.5%、2升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4</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瓶氧</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≥99.5%、3升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液氮</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≥99.9%</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升</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6</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氮气</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7</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普通二氧化碳</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8</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高纯二氧化碳</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≥99.9%、40升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9</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乙炔</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A级99%、5公斤</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10</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氩气</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≥99.95%、40升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11</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氩气</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≥99.95%、10升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二元混合气（氧气21.4%，氦气平衡）</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13</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四元混合气（一氧化碳0.296%，氦气10%，氧气20.13%，氮气平衡）</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14</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高纯空气</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15</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高纯空气</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4升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瓶</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16</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钢瓶</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3升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17</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钢瓶</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40升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18</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碳纤维瓶</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2升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tcW w:w="86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19</w:t>
            </w:r>
            <w:r/>
          </w:p>
        </w:tc>
        <w:tc>
          <w:tcPr>
            <w:tcW w:w="2072"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碳纤维瓶</w:t>
            </w:r>
            <w:r/>
          </w:p>
        </w:tc>
        <w:tc>
          <w:tcPr>
            <w:tcW w:w="1507" w:type="dxa"/>
            <w:vAlign w:val="center"/>
            <w:textDirection w:val="lrTb"/>
            <w:noWrap w:val="false"/>
          </w:tcPr>
          <w:p>
            <w:pPr>
              <w:pStyle w:val="840"/>
              <w:ind w:left="0" w:right="0" w:firstLine="0"/>
              <w:jc w:val="left"/>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3升</w:t>
            </w:r>
            <w:r/>
          </w:p>
        </w:tc>
        <w:tc>
          <w:tcPr>
            <w:tcW w:w="1138" w:type="dxa"/>
            <w:vAlign w:val="center"/>
            <w:textDirection w:val="lrTb"/>
            <w:noWrap w:val="false"/>
          </w:tcPr>
          <w:p>
            <w:pPr>
              <w:pStyle w:val="840"/>
              <w:ind w:left="0" w:right="0" w:firstLine="0"/>
              <w:jc w:val="center"/>
              <w:keepLines w:val="0"/>
              <w:keepNext/>
              <w:pageBreakBefore w:val="0"/>
              <w:spacing w:before="0" w:beforeAutospacing="0" w:after="0" w:afterAutospacing="0" w:line="240" w:lineRule="auto"/>
              <w:widowControl/>
              <w:rPr>
                <w:color w:val="auto"/>
                <w:sz w:val="24"/>
                <w:szCs w:val="24"/>
                <w:highlight w:val="none"/>
              </w:rPr>
              <w:suppressLineNumbers w:val="0"/>
            </w:pPr>
            <w:r>
              <w:rPr>
                <w:rFonts w:hint="eastAsia" w:ascii="宋体" w:hAnsi="宋体" w:eastAsia="宋体" w:cs="宋体"/>
                <w:color w:val="auto"/>
                <w:sz w:val="24"/>
                <w:szCs w:val="24"/>
                <w:highlight w:val="none"/>
              </w:rPr>
              <w:t xml:space="preserve">只</w:t>
            </w:r>
            <w:r/>
          </w:p>
        </w:tc>
        <w:tc>
          <w:tcPr>
            <w:tcW w:w="1483"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82" w:type="dxa"/>
            <w:vAlign w:val="center"/>
            <w:textDirection w:val="lrTb"/>
            <w:noWrap w:val="false"/>
          </w:tcPr>
          <w:p>
            <w:pPr>
              <w:jc w:val="center"/>
              <w:rPr>
                <w:color w:val="auto"/>
                <w:sz w:val="24"/>
                <w:szCs w:val="24"/>
                <w:highlight w:val="none"/>
              </w:rPr>
            </w:pPr>
            <w:r>
              <w:rPr>
                <w:color w:val="auto"/>
                <w:sz w:val="24"/>
                <w:szCs w:val="24"/>
                <w:highlight w:val="none"/>
              </w:rPr>
            </w:r>
            <w:r/>
          </w:p>
        </w:tc>
        <w:tc>
          <w:tcPr>
            <w:tcW w:w="145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trHeight w:val="567"/>
        </w:trPr>
        <w:tc>
          <w:tcPr>
            <w:gridSpan w:val="7"/>
            <w:tcW w:w="10001" w:type="dxa"/>
            <w:vAlign w:val="center"/>
            <w:textDirection w:val="lrTb"/>
            <w:noWrap w:val="false"/>
          </w:tcPr>
          <w:p>
            <w:pPr>
              <w:jc w:val="left"/>
              <w:rPr>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400" w:lineRule="exact"/>
        <w:rPr>
          <w:rFonts w:hint="eastAsia" w:ascii="宋体"/>
          <w:bCs/>
          <w:color w:val="auto"/>
          <w:highlight w:val="none"/>
        </w:rPr>
        <w:outlineLvl w:val="0"/>
      </w:pPr>
      <w:r>
        <w:rPr>
          <w:rFonts w:hint="eastAsia" w:ascii="宋体" w:hAnsi="宋体" w:eastAsia="宋体" w:cs="宋体"/>
          <w:b/>
          <w:color w:val="auto"/>
          <w:highlight w:val="none"/>
        </w:rPr>
        <w:t xml:space="preserve">注：</w:t>
      </w:r>
      <w:r>
        <w:rPr>
          <w:rFonts w:hint="eastAsia" w:ascii="宋体" w:hAnsi="宋体" w:eastAsia="宋体" w:cs="宋体"/>
          <w:bCs/>
          <w:color w:val="auto"/>
          <w:highlight w:val="none"/>
        </w:rPr>
        <w:t xml:space="preserve">（1）</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eastAsia="宋体"/>
          <w:bCs/>
          <w:color w:val="auto"/>
          <w:highlight w:val="none"/>
          <w:lang w:eastAsia="zh-CN"/>
        </w:rPr>
        <w:t xml:space="preserve">普信国际工程咨询有限公司</w:t>
      </w:r>
      <w:r>
        <w:rPr>
          <w:rFonts w:hint="eastAsia" w:ascii="宋体"/>
          <w:bCs/>
          <w:color w:val="auto"/>
          <w:highlight w:val="none"/>
        </w:rPr>
        <w:t xml:space="preserve">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spacing w:line="360" w:lineRule="auto"/>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rPr>
        <w:t xml:space="preserve">（5）上述分项报价采用统一优惠率进行报价，报价应为采购清单中单价限价*（1</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rPr>
        <w:t xml:space="preserve">报价优惠率）。最终结算以实际供货量为准</w:t>
      </w:r>
      <w:r>
        <w:rPr>
          <w:rFonts w:hint="eastAsia" w:ascii="宋体" w:hAnsi="宋体" w:eastAsia="宋体" w:cs="宋体"/>
          <w:b/>
          <w:color w:val="auto"/>
          <w:highlight w:val="none"/>
          <w:lang w:eastAsia="zh-CN"/>
        </w:rPr>
        <w:t xml:space="preserve">。</w:t>
      </w:r>
      <w:r/>
    </w:p>
    <w:p>
      <w:pPr>
        <w:spacing w:line="360" w:lineRule="auto"/>
        <w:rPr>
          <w:rFonts w:hint="eastAsia" w:ascii="宋体" w:hAnsi="宋体" w:eastAsia="宋体" w:cs="宋体"/>
          <w:bCs/>
          <w:color w:val="auto"/>
          <w:highlight w:val="none"/>
          <w:lang w:val="en-US" w:eastAsia="zh-CN"/>
        </w:rPr>
        <w:outlineLvl w:val="0"/>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6</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部署医用气体管理系统，对院内的液氧站液位运行情况进行实时监测，实现预防性维护服务，涉及的相关软硬件包含在总报价中，请潜在投标人自行考虑。</w:t>
      </w:r>
      <w:r/>
    </w:p>
    <w:p>
      <w:pPr>
        <w:spacing w:line="400" w:lineRule="exact"/>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lang w:eastAsia="zh-CN"/>
        </w:rPr>
      </w:r>
      <w:r/>
    </w:p>
    <w:p>
      <w:pPr>
        <w:spacing w:line="400" w:lineRule="exact"/>
        <w:rPr>
          <w:rFonts w:ascii="宋体" w:hAnsi="宋体" w:cs="宋体"/>
          <w:color w:val="auto"/>
          <w:sz w:val="22"/>
          <w:highlight w:val="none"/>
        </w:rPr>
        <w:outlineLvl w:val="0"/>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0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偏离项，请于本表中列明偏离内容，如需要可自行延长，其余无偏离内容不须赘述。</w:t>
      </w:r>
      <w:bookmarkEnd w:id="154"/>
      <w:r/>
      <w:bookmarkStart w:id="155" w:name="_Hlt26671374"/>
      <w:r/>
      <w:bookmarkEnd w:id="155"/>
      <w:r/>
      <w:bookmarkStart w:id="156" w:name="_Hlt26609389"/>
      <w:r/>
      <w:bookmarkEnd w:id="156"/>
      <w:r/>
      <w:bookmarkStart w:id="157" w:name="_Hlt26955066"/>
      <w:r/>
      <w:bookmarkEnd w:id="157"/>
      <w:r/>
      <w:bookmarkStart w:id="158" w:name="_格式2__法定代表人授权书"/>
      <w:r/>
      <w:bookmarkEnd w:id="158"/>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5"/>
      <w:footerReference w:type="first" r:id="rId16"/>
      <w:footnotePr/>
      <w:endnotePr/>
      <w:type w:val="nextPage"/>
      <w:pgSz w:w="11906" w:h="16838" w:orient="portrait"/>
      <w:pgMar w:top="850" w:right="851" w:bottom="850"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6"/>
      </w:rPr>
      <w:framePr w:wrap="around" w:vAnchor="text" w:hAnchor="margin" w:xAlign="center" w:y="1"/>
    </w:pPr>
    <w:r>
      <w:rPr>
        <w:rStyle w:val="846"/>
      </w:rPr>
      <w:fldChar w:fldCharType="begin"/>
    </w:r>
    <w:r>
      <w:rPr>
        <w:rStyle w:val="846"/>
      </w:rPr>
      <w:instrText xml:space="preserve">PAGE  </w:instrText>
    </w:r>
    <w:r>
      <w:rPr>
        <w:rStyle w:val="846"/>
      </w:rPr>
      <w:fldChar w:fldCharType="separate"/>
    </w:r>
    <w:r>
      <w:rPr>
        <w:rStyle w:val="846"/>
      </w:rPr>
      <w:t xml:space="preserve">1</w:t>
    </w:r>
    <w:r>
      <w:rPr>
        <w:rStyle w:val="846"/>
      </w:rPr>
      <w:fldChar w:fldCharType="end"/>
    </w:r>
    <w:r/>
  </w:p>
  <w:p>
    <w:pPr>
      <w:pStyle w:val="82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2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2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1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pStyle w:val="949"/>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80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1"/>
      <w:isLgl w:val="false"/>
      <w:suff w:val="nothing"/>
      <w:lvlText w:val=""/>
      <w:lvlJc w:val="left"/>
      <w:pPr>
        <w:ind w:left="0" w:firstLine="0"/>
      </w:pPr>
      <w:rPr>
        <w:rFonts w:hint="eastAsia"/>
      </w:rPr>
    </w:lvl>
    <w:lvl w:ilvl="6">
      <w:start w:val="1"/>
      <w:numFmt w:val="decimal"/>
      <w:pStyle w:val="1133"/>
      <w:isLgl w:val="false"/>
      <w:suff w:val="nothing"/>
      <w:lvlText w:val=""/>
      <w:lvlJc w:val="left"/>
      <w:pPr>
        <w:ind w:left="0" w:firstLine="0"/>
      </w:pPr>
      <w:rPr>
        <w:rFonts w:hint="eastAsia"/>
      </w:rPr>
    </w:lvl>
    <w:lvl w:ilvl="7">
      <w:start w:val="1"/>
      <w:numFmt w:val="decimal"/>
      <w:pStyle w:val="1135"/>
      <w:isLgl w:val="false"/>
      <w:suff w:val="nothing"/>
      <w:lvlText w:val=""/>
      <w:lvlJc w:val="left"/>
      <w:pPr>
        <w:ind w:left="0" w:firstLine="0"/>
      </w:pPr>
      <w:rPr>
        <w:rFonts w:hint="eastAsia"/>
      </w:rPr>
    </w:lvl>
    <w:lvl w:ilvl="8">
      <w:start w:val="1"/>
      <w:numFmt w:val="decimal"/>
      <w:pStyle w:val="1137"/>
      <w:isLgl w:val="false"/>
      <w:suff w:val="nothing"/>
      <w:lvlText w:val=""/>
      <w:lvlJc w:val="left"/>
      <w:pPr>
        <w:ind w:left="0" w:firstLine="0"/>
      </w:pPr>
      <w:rPr>
        <w:rFonts w:hint="eastAsia"/>
      </w:rPr>
    </w:lvl>
  </w:abstractNum>
  <w:abstractNum w:abstractNumId="18">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20"/>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97">
    <w:name w:val="Heading 1"/>
    <w:basedOn w:val="796"/>
    <w:next w:val="796"/>
    <w:link w:val="852"/>
    <w:uiPriority w:val="9"/>
    <w:qFormat/>
    <w:pPr>
      <w:jc w:val="center"/>
      <w:keepNext/>
      <w:outlineLvl w:val="0"/>
    </w:pPr>
    <w:rPr>
      <w:rFonts w:ascii="楷体_GB2312" w:hAnsi="Times New Roman" w:eastAsia="楷体_GB2312"/>
      <w:b/>
      <w:sz w:val="28"/>
      <w:szCs w:val="20"/>
    </w:rPr>
  </w:style>
  <w:style w:type="paragraph" w:styleId="798">
    <w:name w:val="Heading 2"/>
    <w:basedOn w:val="796"/>
    <w:next w:val="796"/>
    <w:link w:val="853"/>
    <w:uiPriority w:val="9"/>
    <w:qFormat/>
    <w:pPr>
      <w:jc w:val="center"/>
      <w:keepNext/>
      <w:outlineLvl w:val="1"/>
    </w:pPr>
    <w:rPr>
      <w:rFonts w:ascii="楷体_GB2312" w:hAnsi="Times New Roman" w:eastAsia="楷体_GB2312"/>
      <w:b/>
      <w:bCs/>
      <w:sz w:val="18"/>
      <w:szCs w:val="20"/>
    </w:rPr>
  </w:style>
  <w:style w:type="paragraph" w:styleId="799">
    <w:name w:val="Heading 3"/>
    <w:basedOn w:val="808"/>
    <w:next w:val="796"/>
    <w:link w:val="855"/>
    <w:uiPriority w:val="9"/>
    <w:qFormat/>
    <w:pPr>
      <w:jc w:val="left"/>
      <w:keepNext/>
    </w:pPr>
    <w:rPr>
      <w:rFonts w:ascii="Arial" w:hAnsi="Arial" w:eastAsia="Arial"/>
      <w:bCs/>
      <w:sz w:val="24"/>
      <w:szCs w:val="24"/>
      <w:lang w:eastAsia="zh-CN"/>
    </w:rPr>
  </w:style>
  <w:style w:type="paragraph" w:styleId="800">
    <w:name w:val="Heading 4"/>
    <w:basedOn w:val="796"/>
    <w:next w:val="796"/>
    <w:link w:val="856"/>
    <w:uiPriority w:val="9"/>
    <w:qFormat/>
    <w:pPr>
      <w:keepNext/>
      <w:outlineLvl w:val="3"/>
    </w:pPr>
    <w:rPr>
      <w:rFonts w:ascii="Times New Roman" w:hAnsi="Times New Roman" w:eastAsia="楷体_GB2312"/>
      <w:b/>
      <w:bCs/>
      <w:sz w:val="15"/>
      <w:szCs w:val="20"/>
    </w:rPr>
  </w:style>
  <w:style w:type="paragraph" w:styleId="801">
    <w:name w:val="Heading 5"/>
    <w:basedOn w:val="796"/>
    <w:next w:val="796"/>
    <w:link w:val="857"/>
    <w:uiPriority w:val="9"/>
    <w:qFormat/>
    <w:pPr>
      <w:numPr>
        <w:ilvl w:val="0"/>
        <w:numId w:val="1"/>
      </w:numPr>
      <w:keepNext/>
      <w:outlineLvl w:val="4"/>
    </w:pPr>
    <w:rPr>
      <w:rFonts w:ascii="楷体_GB2312" w:hAnsi="Times New Roman" w:eastAsia="楷体_GB2312"/>
      <w:bCs/>
      <w:sz w:val="28"/>
      <w:szCs w:val="20"/>
    </w:rPr>
  </w:style>
  <w:style w:type="paragraph" w:styleId="802">
    <w:name w:val="Heading 6"/>
    <w:basedOn w:val="796"/>
    <w:next w:val="796"/>
    <w:link w:val="858"/>
    <w:uiPriority w:val="9"/>
    <w:qFormat/>
    <w:pPr>
      <w:keepLines/>
      <w:keepNext/>
      <w:spacing w:before="320" w:after="200"/>
      <w:outlineLvl w:val="5"/>
    </w:pPr>
    <w:rPr>
      <w:rFonts w:ascii="Arial" w:hAnsi="Arial" w:cs="Arial"/>
      <w:b/>
      <w:bCs/>
      <w:sz w:val="22"/>
    </w:rPr>
  </w:style>
  <w:style w:type="paragraph" w:styleId="803">
    <w:name w:val="Heading 7"/>
    <w:basedOn w:val="796"/>
    <w:next w:val="796"/>
    <w:link w:val="859"/>
    <w:uiPriority w:val="9"/>
    <w:qFormat/>
    <w:pPr>
      <w:keepLines/>
      <w:keepNext/>
      <w:spacing w:before="320" w:after="200"/>
      <w:outlineLvl w:val="6"/>
    </w:pPr>
    <w:rPr>
      <w:rFonts w:ascii="Arial" w:hAnsi="Arial" w:cs="Arial"/>
      <w:b/>
      <w:bCs/>
      <w:i/>
      <w:iCs/>
      <w:sz w:val="22"/>
    </w:rPr>
  </w:style>
  <w:style w:type="paragraph" w:styleId="804">
    <w:name w:val="Heading 8"/>
    <w:basedOn w:val="796"/>
    <w:next w:val="796"/>
    <w:link w:val="860"/>
    <w:uiPriority w:val="9"/>
    <w:qFormat/>
    <w:pPr>
      <w:keepLines/>
      <w:keepNext/>
      <w:spacing w:before="320" w:after="200"/>
      <w:outlineLvl w:val="7"/>
    </w:pPr>
    <w:rPr>
      <w:rFonts w:ascii="Arial" w:hAnsi="Arial" w:cs="Arial"/>
      <w:i/>
      <w:iCs/>
      <w:sz w:val="22"/>
    </w:rPr>
  </w:style>
  <w:style w:type="paragraph" w:styleId="805">
    <w:name w:val="Heading 9"/>
    <w:basedOn w:val="796"/>
    <w:next w:val="796"/>
    <w:link w:val="861"/>
    <w:uiPriority w:val="9"/>
    <w:qFormat/>
    <w:pPr>
      <w:keepLines/>
      <w:keepNext/>
      <w:spacing w:before="320" w:after="200"/>
      <w:outlineLvl w:val="8"/>
    </w:pPr>
    <w:rPr>
      <w:rFonts w:ascii="Arial" w:hAnsi="Arial" w:cs="Arial"/>
      <w:i/>
      <w:iCs/>
      <w:szCs w:val="21"/>
    </w:rPr>
  </w:style>
  <w:style w:type="character" w:styleId="806" w:default="1">
    <w:name w:val="Default Paragraph Font"/>
    <w:uiPriority w:val="1"/>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Cn Heading3"/>
    <w:basedOn w:val="809"/>
    <w:uiPriority w:val="0"/>
    <w:qFormat/>
    <w:pPr>
      <w:ind w:firstLine="0"/>
      <w:spacing w:line="480" w:lineRule="auto"/>
      <w:outlineLvl w:val="2"/>
    </w:pPr>
    <w:rPr>
      <w:rFonts w:ascii="微软雅黑" w:hAnsi="微软雅黑" w:eastAsia="微软雅黑"/>
      <w:b/>
      <w:sz w:val="28"/>
      <w:szCs w:val="28"/>
      <w:lang w:eastAsia="ja-JP"/>
    </w:rPr>
  </w:style>
  <w:style w:type="paragraph" w:styleId="809" w:customStyle="1">
    <w:name w:val="列出段落1"/>
    <w:basedOn w:val="796"/>
    <w:link w:val="854"/>
    <w:uiPriority w:val="0"/>
    <w:qFormat/>
    <w:pPr>
      <w:ind w:firstLine="420"/>
      <w:spacing w:before="120" w:after="120" w:line="360" w:lineRule="auto"/>
    </w:pPr>
    <w:rPr>
      <w:rFonts w:eastAsia="宋体"/>
      <w:sz w:val="24"/>
    </w:rPr>
  </w:style>
  <w:style w:type="paragraph" w:styleId="810">
    <w:name w:val="toc 7"/>
    <w:basedOn w:val="796"/>
    <w:next w:val="796"/>
    <w:uiPriority w:val="39"/>
    <w:unhideWhenUsed/>
    <w:qFormat/>
    <w:pPr>
      <w:ind w:left="1701"/>
      <w:spacing w:after="57"/>
    </w:pPr>
  </w:style>
  <w:style w:type="paragraph" w:styleId="811">
    <w:name w:val="Normal Indent"/>
    <w:basedOn w:val="796"/>
    <w:uiPriority w:val="99"/>
    <w:qFormat/>
    <w:pPr>
      <w:ind w:firstLine="420"/>
    </w:pPr>
    <w:rPr>
      <w:rFonts w:ascii="Times New Roman" w:hAnsi="Times New Roman" w:eastAsia="宋体"/>
      <w:szCs w:val="20"/>
    </w:rPr>
  </w:style>
  <w:style w:type="paragraph" w:styleId="812">
    <w:name w:val="Caption"/>
    <w:basedOn w:val="796"/>
    <w:next w:val="796"/>
    <w:uiPriority w:val="35"/>
    <w:qFormat/>
    <w:pPr>
      <w:spacing w:line="276" w:lineRule="auto"/>
    </w:pPr>
    <w:rPr>
      <w:rFonts w:ascii="Times New Roman" w:hAnsi="Times New Roman" w:eastAsia="宋体"/>
      <w:b/>
      <w:bCs/>
      <w:color w:val="4f81bd"/>
      <w:sz w:val="18"/>
      <w:szCs w:val="18"/>
    </w:rPr>
  </w:style>
  <w:style w:type="paragraph" w:styleId="813">
    <w:name w:val="Document Map"/>
    <w:basedOn w:val="796"/>
    <w:link w:val="863"/>
    <w:uiPriority w:val="99"/>
    <w:semiHidden/>
    <w:qFormat/>
    <w:pPr>
      <w:shd w:val="clear" w:color="auto" w:fill="000080"/>
    </w:pPr>
    <w:rPr>
      <w:rFonts w:ascii="Times New Roman" w:hAnsi="Times New Roman" w:eastAsia="宋体"/>
      <w:sz w:val="20"/>
      <w:szCs w:val="20"/>
    </w:rPr>
  </w:style>
  <w:style w:type="paragraph" w:styleId="814">
    <w:name w:val="annotation text"/>
    <w:basedOn w:val="796"/>
    <w:link w:val="864"/>
    <w:uiPriority w:val="99"/>
    <w:unhideWhenUsed/>
    <w:qFormat/>
    <w:pPr>
      <w:jc w:val="left"/>
    </w:pPr>
  </w:style>
  <w:style w:type="paragraph" w:styleId="815">
    <w:name w:val="Body Text"/>
    <w:basedOn w:val="796"/>
    <w:link w:val="865"/>
    <w:uiPriority w:val="99"/>
    <w:qFormat/>
    <w:rPr>
      <w:rFonts w:ascii="华文中宋" w:hAnsi="Times New Roman" w:eastAsia="华文中宋"/>
      <w:bCs/>
      <w:sz w:val="28"/>
      <w:szCs w:val="20"/>
    </w:rPr>
  </w:style>
  <w:style w:type="paragraph" w:styleId="816">
    <w:name w:val="Body Text Indent"/>
    <w:basedOn w:val="796"/>
    <w:link w:val="866"/>
    <w:uiPriority w:val="99"/>
    <w:qFormat/>
    <w:pPr>
      <w:ind w:firstLine="576"/>
    </w:pPr>
    <w:rPr>
      <w:rFonts w:ascii="Times New Roman" w:hAnsi="Times New Roman" w:eastAsia="宋体"/>
      <w:b/>
      <w:sz w:val="30"/>
      <w:szCs w:val="20"/>
    </w:rPr>
  </w:style>
  <w:style w:type="paragraph" w:styleId="817">
    <w:name w:val="index 4"/>
    <w:basedOn w:val="796"/>
    <w:next w:val="796"/>
    <w:uiPriority w:val="99"/>
    <w:qFormat/>
    <w:pPr>
      <w:ind w:left="600"/>
    </w:pPr>
    <w:rPr>
      <w:szCs w:val="24"/>
    </w:rPr>
  </w:style>
  <w:style w:type="paragraph" w:styleId="818">
    <w:name w:val="toc 5"/>
    <w:basedOn w:val="796"/>
    <w:next w:val="796"/>
    <w:uiPriority w:val="39"/>
    <w:unhideWhenUsed/>
    <w:qFormat/>
    <w:pPr>
      <w:ind w:left="1134"/>
      <w:spacing w:after="57"/>
    </w:pPr>
  </w:style>
  <w:style w:type="paragraph" w:styleId="819">
    <w:name w:val="toc 3"/>
    <w:basedOn w:val="796"/>
    <w:next w:val="796"/>
    <w:uiPriority w:val="39"/>
    <w:unhideWhenUsed/>
    <w:qFormat/>
    <w:pPr>
      <w:ind w:left="567"/>
      <w:spacing w:after="57"/>
    </w:pPr>
  </w:style>
  <w:style w:type="paragraph" w:styleId="820">
    <w:name w:val="Plain Text"/>
    <w:basedOn w:val="796"/>
    <w:uiPriority w:val="0"/>
    <w:qFormat/>
    <w:rPr>
      <w:rFonts w:ascii="黑体"/>
      <w:szCs w:val="21"/>
    </w:rPr>
  </w:style>
  <w:style w:type="paragraph" w:styleId="821">
    <w:name w:val="toc 8"/>
    <w:basedOn w:val="796"/>
    <w:next w:val="796"/>
    <w:uiPriority w:val="39"/>
    <w:unhideWhenUsed/>
    <w:qFormat/>
    <w:pPr>
      <w:ind w:left="1984"/>
      <w:spacing w:after="57"/>
    </w:pPr>
  </w:style>
  <w:style w:type="paragraph" w:styleId="822">
    <w:name w:val="Date"/>
    <w:basedOn w:val="796"/>
    <w:next w:val="796"/>
    <w:link w:val="870"/>
    <w:uiPriority w:val="99"/>
    <w:qFormat/>
    <w:rPr>
      <w:rFonts w:ascii="Times New Roman" w:hAnsi="Times New Roman" w:eastAsia="黑体"/>
      <w:b/>
      <w:sz w:val="36"/>
      <w:szCs w:val="20"/>
    </w:rPr>
  </w:style>
  <w:style w:type="paragraph" w:styleId="823">
    <w:name w:val="Body Text Indent 2"/>
    <w:basedOn w:val="796"/>
    <w:link w:val="871"/>
    <w:uiPriority w:val="99"/>
    <w:qFormat/>
    <w:pPr>
      <w:ind w:left="900"/>
    </w:pPr>
    <w:rPr>
      <w:rFonts w:ascii="楷体_GB2312" w:hAnsi="Times New Roman" w:eastAsia="楷体_GB2312"/>
      <w:b/>
      <w:sz w:val="28"/>
      <w:szCs w:val="20"/>
    </w:rPr>
  </w:style>
  <w:style w:type="paragraph" w:styleId="824">
    <w:name w:val="endnote text"/>
    <w:basedOn w:val="796"/>
    <w:link w:val="872"/>
    <w:uiPriority w:val="99"/>
    <w:unhideWhenUsed/>
    <w:qFormat/>
    <w:rPr>
      <w:rFonts w:ascii="Times New Roman" w:hAnsi="Times New Roman" w:eastAsia="宋体"/>
      <w:sz w:val="20"/>
      <w:szCs w:val="21"/>
    </w:rPr>
  </w:style>
  <w:style w:type="paragraph" w:styleId="825">
    <w:name w:val="Balloon Text"/>
    <w:basedOn w:val="796"/>
    <w:link w:val="873"/>
    <w:uiPriority w:val="99"/>
    <w:unhideWhenUsed/>
    <w:qFormat/>
    <w:rPr>
      <w:rFonts w:ascii="Times New Roman" w:hAnsi="Times New Roman" w:eastAsia="宋体"/>
      <w:sz w:val="18"/>
      <w:szCs w:val="18"/>
    </w:rPr>
  </w:style>
  <w:style w:type="paragraph" w:styleId="826">
    <w:name w:val="Footer"/>
    <w:basedOn w:val="796"/>
    <w:next w:val="827"/>
    <w:link w:val="874"/>
    <w:uiPriority w:val="99"/>
    <w:qFormat/>
    <w:pPr>
      <w:jc w:val="left"/>
      <w:tabs>
        <w:tab w:val="center" w:pos="4153" w:leader="none"/>
        <w:tab w:val="right" w:pos="8306" w:leader="none"/>
      </w:tabs>
    </w:pPr>
    <w:rPr>
      <w:rFonts w:ascii="Times New Roman" w:hAnsi="Times New Roman" w:eastAsia="宋体"/>
      <w:sz w:val="18"/>
      <w:szCs w:val="20"/>
    </w:rPr>
  </w:style>
  <w:style w:type="paragraph" w:styleId="827" w:customStyle="1">
    <w:name w:val="明显引用1"/>
    <w:next w:val="79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28">
    <w:name w:val="Header"/>
    <w:basedOn w:val="796"/>
    <w:link w:val="87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29">
    <w:name w:val="toc 1"/>
    <w:basedOn w:val="796"/>
    <w:next w:val="796"/>
    <w:uiPriority w:val="39"/>
    <w:unhideWhenUsed/>
    <w:qFormat/>
    <w:pPr>
      <w:spacing w:after="57"/>
    </w:pPr>
  </w:style>
  <w:style w:type="paragraph" w:styleId="830">
    <w:name w:val="toc 4"/>
    <w:basedOn w:val="796"/>
    <w:next w:val="796"/>
    <w:uiPriority w:val="39"/>
    <w:unhideWhenUsed/>
    <w:qFormat/>
    <w:pPr>
      <w:ind w:left="850"/>
      <w:spacing w:after="57"/>
    </w:pPr>
  </w:style>
  <w:style w:type="paragraph" w:styleId="831">
    <w:name w:val="Subtitle"/>
    <w:basedOn w:val="796"/>
    <w:next w:val="796"/>
    <w:link w:val="878"/>
    <w:uiPriority w:val="11"/>
    <w:qFormat/>
    <w:pPr>
      <w:ind w:firstLine="471"/>
      <w:jc w:val="center"/>
      <w:spacing w:before="240" w:after="60" w:line="312" w:lineRule="atLeast"/>
      <w:outlineLvl w:val="1"/>
    </w:pPr>
    <w:rPr>
      <w:rFonts w:ascii="Arial" w:hAnsi="Arial"/>
      <w:b/>
      <w:bCs/>
      <w:sz w:val="32"/>
      <w:szCs w:val="32"/>
    </w:rPr>
  </w:style>
  <w:style w:type="paragraph" w:styleId="832">
    <w:name w:val="List"/>
    <w:basedOn w:val="796"/>
    <w:uiPriority w:val="0"/>
    <w:qFormat/>
    <w:pPr>
      <w:ind w:firstLine="480"/>
      <w:spacing w:after="20" w:line="360" w:lineRule="auto"/>
      <w:tabs>
        <w:tab w:val="left" w:pos="420" w:leader="none"/>
      </w:tabs>
    </w:pPr>
    <w:rPr>
      <w:rFonts w:ascii="宋体" w:hAnsi="宋体" w:eastAsia="宋体" w:cs="宋体"/>
      <w:sz w:val="24"/>
      <w:szCs w:val="24"/>
    </w:rPr>
  </w:style>
  <w:style w:type="paragraph" w:styleId="833">
    <w:name w:val="footnote text"/>
    <w:basedOn w:val="796"/>
    <w:link w:val="879"/>
    <w:uiPriority w:val="99"/>
    <w:unhideWhenUsed/>
    <w:qFormat/>
    <w:pPr>
      <w:spacing w:after="40"/>
    </w:pPr>
    <w:rPr>
      <w:rFonts w:ascii="Times New Roman" w:hAnsi="Times New Roman" w:eastAsia="宋体"/>
      <w:sz w:val="18"/>
      <w:szCs w:val="21"/>
    </w:rPr>
  </w:style>
  <w:style w:type="paragraph" w:styleId="834">
    <w:name w:val="toc 6"/>
    <w:basedOn w:val="796"/>
    <w:next w:val="796"/>
    <w:uiPriority w:val="39"/>
    <w:unhideWhenUsed/>
    <w:qFormat/>
    <w:pPr>
      <w:ind w:left="1417"/>
      <w:spacing w:after="57"/>
    </w:pPr>
  </w:style>
  <w:style w:type="paragraph" w:styleId="835">
    <w:name w:val="Body Text Indent 3"/>
    <w:basedOn w:val="796"/>
    <w:link w:val="881"/>
    <w:uiPriority w:val="99"/>
    <w:qFormat/>
    <w:pPr>
      <w:ind w:left="359" w:firstLine="359"/>
    </w:pPr>
    <w:rPr>
      <w:rFonts w:ascii="Times New Roman" w:hAnsi="Times New Roman" w:eastAsia="宋体"/>
      <w:sz w:val="20"/>
      <w:szCs w:val="20"/>
    </w:rPr>
  </w:style>
  <w:style w:type="paragraph" w:styleId="836">
    <w:name w:val="table of figures"/>
    <w:basedOn w:val="796"/>
    <w:next w:val="796"/>
    <w:uiPriority w:val="99"/>
    <w:unhideWhenUsed/>
    <w:qFormat/>
    <w:rPr>
      <w:rFonts w:ascii="Times New Roman" w:hAnsi="Times New Roman" w:eastAsia="宋体"/>
      <w:szCs w:val="21"/>
    </w:rPr>
  </w:style>
  <w:style w:type="paragraph" w:styleId="837">
    <w:name w:val="toc 2"/>
    <w:basedOn w:val="796"/>
    <w:next w:val="796"/>
    <w:uiPriority w:val="39"/>
    <w:unhideWhenUsed/>
    <w:qFormat/>
    <w:pPr>
      <w:ind w:left="283"/>
      <w:spacing w:after="57"/>
    </w:pPr>
  </w:style>
  <w:style w:type="paragraph" w:styleId="838">
    <w:name w:val="toc 9"/>
    <w:basedOn w:val="796"/>
    <w:next w:val="796"/>
    <w:uiPriority w:val="39"/>
    <w:unhideWhenUsed/>
    <w:qFormat/>
    <w:pPr>
      <w:ind w:left="2268"/>
      <w:spacing w:after="57"/>
    </w:pPr>
  </w:style>
  <w:style w:type="paragraph" w:styleId="839">
    <w:name w:val="Body Text 2"/>
    <w:basedOn w:val="796"/>
    <w:link w:val="884"/>
    <w:uiPriority w:val="99"/>
    <w:qFormat/>
    <w:pPr>
      <w:spacing w:after="120" w:line="480" w:lineRule="auto"/>
    </w:pPr>
    <w:rPr>
      <w:rFonts w:ascii="Times New Roman" w:hAnsi="Times New Roman" w:eastAsia="宋体"/>
      <w:sz w:val="20"/>
      <w:szCs w:val="20"/>
    </w:rPr>
  </w:style>
  <w:style w:type="paragraph" w:styleId="840">
    <w:name w:val="Normal (Web)"/>
    <w:basedOn w:val="7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41">
    <w:name w:val="Title"/>
    <w:basedOn w:val="796"/>
    <w:next w:val="796"/>
    <w:link w:val="885"/>
    <w:uiPriority w:val="10"/>
    <w:qFormat/>
    <w:pPr>
      <w:contextualSpacing/>
      <w:spacing w:before="300" w:after="200"/>
    </w:pPr>
    <w:rPr>
      <w:rFonts w:ascii="Times New Roman" w:hAnsi="Times New Roman" w:eastAsia="宋体"/>
      <w:sz w:val="48"/>
      <w:szCs w:val="48"/>
    </w:rPr>
  </w:style>
  <w:style w:type="paragraph" w:styleId="842">
    <w:name w:val="annotation subject"/>
    <w:basedOn w:val="814"/>
    <w:next w:val="814"/>
    <w:link w:val="886"/>
    <w:uiPriority w:val="99"/>
    <w:unhideWhenUsed/>
    <w:qFormat/>
    <w:rPr>
      <w:b/>
      <w:bCs/>
    </w:rPr>
  </w:style>
  <w:style w:type="table" w:styleId="843">
    <w:name w:val="Table Grid"/>
    <w:basedOn w:val="807"/>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basedOn w:val="806"/>
    <w:uiPriority w:val="99"/>
    <w:qFormat/>
    <w:rPr>
      <w:rFonts w:cs="Times New Roman"/>
      <w:b/>
      <w:bCs/>
    </w:rPr>
  </w:style>
  <w:style w:type="character" w:styleId="845">
    <w:name w:val="endnote reference"/>
    <w:uiPriority w:val="99"/>
    <w:unhideWhenUsed/>
    <w:qFormat/>
    <w:rPr>
      <w:vertAlign w:val="superscript"/>
    </w:rPr>
  </w:style>
  <w:style w:type="character" w:styleId="846">
    <w:name w:val="page number"/>
    <w:uiPriority w:val="99"/>
    <w:qFormat/>
    <w:rPr>
      <w:rFonts w:cs="Times New Roman"/>
    </w:rPr>
  </w:style>
  <w:style w:type="character" w:styleId="847">
    <w:name w:val="HTML Typewriter"/>
    <w:uiPriority w:val="99"/>
    <w:qFormat/>
    <w:rPr>
      <w:rFonts w:ascii="宋体" w:hAnsi="宋体" w:eastAsia="宋体" w:cs="宋体"/>
      <w:sz w:val="24"/>
      <w:szCs w:val="24"/>
    </w:rPr>
  </w:style>
  <w:style w:type="character" w:styleId="848">
    <w:name w:val="Hyperlink"/>
    <w:uiPriority w:val="99"/>
    <w:qFormat/>
    <w:rPr>
      <w:rFonts w:cs="Times New Roman"/>
      <w:color w:val="000000"/>
      <w:u w:val="none"/>
    </w:rPr>
  </w:style>
  <w:style w:type="character" w:styleId="849">
    <w:name w:val="annotation reference"/>
    <w:basedOn w:val="806"/>
    <w:uiPriority w:val="0"/>
    <w:unhideWhenUsed/>
    <w:qFormat/>
    <w:rPr>
      <w:sz w:val="21"/>
      <w:szCs w:val="21"/>
    </w:rPr>
  </w:style>
  <w:style w:type="character" w:styleId="850">
    <w:name w:val="footnote reference"/>
    <w:uiPriority w:val="99"/>
    <w:unhideWhenUsed/>
    <w:qFormat/>
    <w:rPr>
      <w:vertAlign w:val="superscript"/>
    </w:rPr>
  </w:style>
  <w:style w:type="paragraph" w:styleId="851" w:customStyle="1">
    <w:name w:val="索引 41"/>
    <w:basedOn w:val="796"/>
    <w:next w:val="796"/>
    <w:uiPriority w:val="99"/>
    <w:qFormat/>
    <w:pPr>
      <w:ind w:left="600"/>
    </w:pPr>
    <w:rPr>
      <w:szCs w:val="24"/>
    </w:rPr>
  </w:style>
  <w:style w:type="character" w:styleId="852" w:customStyle="1">
    <w:name w:val="标题 1 字符"/>
    <w:basedOn w:val="806"/>
    <w:link w:val="797"/>
    <w:uiPriority w:val="9"/>
    <w:qFormat/>
    <w:rPr>
      <w:rFonts w:ascii="楷体_GB2312" w:hAnsi="Times New Roman" w:eastAsia="楷体_GB2312" w:cs="Times New Roman"/>
      <w:b/>
      <w:sz w:val="28"/>
      <w:szCs w:val="20"/>
    </w:rPr>
  </w:style>
  <w:style w:type="character" w:styleId="853" w:customStyle="1">
    <w:name w:val="标题 2 字符"/>
    <w:basedOn w:val="806"/>
    <w:link w:val="798"/>
    <w:uiPriority w:val="9"/>
    <w:qFormat/>
    <w:rPr>
      <w:rFonts w:ascii="楷体_GB2312" w:hAnsi="Times New Roman" w:eastAsia="楷体_GB2312" w:cs="Times New Roman"/>
      <w:b/>
      <w:bCs/>
      <w:sz w:val="18"/>
      <w:szCs w:val="20"/>
    </w:rPr>
  </w:style>
  <w:style w:type="character" w:styleId="854" w:customStyle="1">
    <w:name w:val="列出段落 Char"/>
    <w:link w:val="809"/>
    <w:uiPriority w:val="0"/>
    <w:qFormat/>
    <w:rPr>
      <w:rFonts w:ascii="Calibri" w:hAnsi="Calibri" w:eastAsia="宋体" w:cs="Times New Roman"/>
      <w:sz w:val="24"/>
      <w:szCs w:val="22"/>
    </w:rPr>
  </w:style>
  <w:style w:type="character" w:styleId="855" w:customStyle="1">
    <w:name w:val="标题 3 字符"/>
    <w:basedOn w:val="806"/>
    <w:link w:val="799"/>
    <w:uiPriority w:val="9"/>
    <w:qFormat/>
    <w:rPr>
      <w:rFonts w:ascii="Arial" w:hAnsi="Arial"/>
      <w:b/>
      <w:bCs/>
      <w:sz w:val="24"/>
      <w:szCs w:val="24"/>
    </w:rPr>
  </w:style>
  <w:style w:type="character" w:styleId="856" w:customStyle="1">
    <w:name w:val="标题 4 字符"/>
    <w:basedOn w:val="806"/>
    <w:link w:val="800"/>
    <w:uiPriority w:val="9"/>
    <w:qFormat/>
    <w:rPr>
      <w:rFonts w:ascii="Times New Roman" w:hAnsi="Times New Roman" w:eastAsia="楷体_GB2312" w:cs="Times New Roman"/>
      <w:b/>
      <w:bCs/>
      <w:sz w:val="15"/>
    </w:rPr>
  </w:style>
  <w:style w:type="character" w:styleId="857" w:customStyle="1">
    <w:name w:val="标题 5 字符"/>
    <w:basedOn w:val="806"/>
    <w:link w:val="801"/>
    <w:uiPriority w:val="9"/>
    <w:qFormat/>
    <w:rPr>
      <w:rFonts w:ascii="楷体_GB2312" w:hAnsi="Times New Roman" w:eastAsia="楷体_GB2312" w:cs="Times New Roman"/>
      <w:bCs/>
      <w:sz w:val="28"/>
    </w:rPr>
  </w:style>
  <w:style w:type="character" w:styleId="858" w:customStyle="1">
    <w:name w:val="标题 6 字符"/>
    <w:basedOn w:val="806"/>
    <w:link w:val="802"/>
    <w:uiPriority w:val="9"/>
    <w:qFormat/>
    <w:rPr>
      <w:rFonts w:ascii="Arial" w:hAnsi="Arial" w:eastAsia="Arial" w:cs="Arial"/>
      <w:b/>
      <w:bCs/>
      <w:sz w:val="22"/>
      <w:szCs w:val="22"/>
    </w:rPr>
  </w:style>
  <w:style w:type="character" w:styleId="859" w:customStyle="1">
    <w:name w:val="标题 7 字符"/>
    <w:basedOn w:val="806"/>
    <w:link w:val="803"/>
    <w:uiPriority w:val="9"/>
    <w:qFormat/>
    <w:rPr>
      <w:rFonts w:ascii="Arial" w:hAnsi="Arial" w:eastAsia="Arial" w:cs="Arial"/>
      <w:b/>
      <w:bCs/>
      <w:i/>
      <w:iCs/>
      <w:sz w:val="22"/>
      <w:szCs w:val="22"/>
    </w:rPr>
  </w:style>
  <w:style w:type="character" w:styleId="860" w:customStyle="1">
    <w:name w:val="标题 8 字符"/>
    <w:basedOn w:val="806"/>
    <w:link w:val="804"/>
    <w:uiPriority w:val="9"/>
    <w:qFormat/>
    <w:rPr>
      <w:rFonts w:ascii="Arial" w:hAnsi="Arial" w:eastAsia="Arial" w:cs="Arial"/>
      <w:i/>
      <w:iCs/>
      <w:sz w:val="22"/>
      <w:szCs w:val="22"/>
    </w:rPr>
  </w:style>
  <w:style w:type="character" w:styleId="861" w:customStyle="1">
    <w:name w:val="标题 9 字符"/>
    <w:basedOn w:val="806"/>
    <w:link w:val="805"/>
    <w:uiPriority w:val="9"/>
    <w:qFormat/>
    <w:rPr>
      <w:rFonts w:ascii="Arial" w:hAnsi="Arial" w:eastAsia="Arial" w:cs="Arial"/>
      <w:i/>
      <w:iCs/>
      <w:sz w:val="21"/>
      <w:szCs w:val="21"/>
    </w:rPr>
  </w:style>
  <w:style w:type="paragraph" w:styleId="862" w:customStyle="1">
    <w:name w:val="目录 7111"/>
    <w:basedOn w:val="796"/>
    <w:next w:val="796"/>
    <w:uiPriority w:val="39"/>
    <w:unhideWhenUsed/>
    <w:qFormat/>
    <w:pPr>
      <w:ind w:left="1701"/>
      <w:spacing w:after="57"/>
    </w:pPr>
    <w:rPr>
      <w:rFonts w:ascii="Times New Roman" w:hAnsi="Times New Roman" w:eastAsia="宋体"/>
      <w:szCs w:val="21"/>
    </w:rPr>
  </w:style>
  <w:style w:type="character" w:styleId="863" w:customStyle="1">
    <w:name w:val="文档结构图 字符"/>
    <w:basedOn w:val="806"/>
    <w:link w:val="813"/>
    <w:uiPriority w:val="99"/>
    <w:semiHidden/>
    <w:qFormat/>
    <w:rPr>
      <w:rFonts w:ascii="Times New Roman" w:hAnsi="Times New Roman" w:eastAsia="宋体" w:cs="Times New Roman"/>
      <w:sz w:val="20"/>
      <w:szCs w:val="20"/>
      <w:shd w:val="clear" w:color="auto" w:fill="000080"/>
    </w:rPr>
  </w:style>
  <w:style w:type="character" w:styleId="864" w:customStyle="1">
    <w:name w:val="批注文字 字符"/>
    <w:basedOn w:val="806"/>
    <w:link w:val="814"/>
    <w:uiPriority w:val="99"/>
    <w:semiHidden/>
    <w:qFormat/>
  </w:style>
  <w:style w:type="character" w:styleId="865" w:customStyle="1">
    <w:name w:val="正文文本 字符"/>
    <w:basedOn w:val="806"/>
    <w:link w:val="815"/>
    <w:uiPriority w:val="99"/>
    <w:qFormat/>
    <w:rPr>
      <w:rFonts w:ascii="华文中宋" w:hAnsi="Times New Roman" w:eastAsia="华文中宋" w:cs="Times New Roman"/>
      <w:bCs/>
      <w:sz w:val="28"/>
      <w:szCs w:val="20"/>
    </w:rPr>
  </w:style>
  <w:style w:type="character" w:styleId="866" w:customStyle="1">
    <w:name w:val="正文文本缩进 字符"/>
    <w:basedOn w:val="806"/>
    <w:link w:val="816"/>
    <w:uiPriority w:val="99"/>
    <w:qFormat/>
    <w:rPr>
      <w:rFonts w:ascii="Times New Roman" w:hAnsi="Times New Roman" w:eastAsia="宋体" w:cs="Times New Roman"/>
      <w:b/>
      <w:sz w:val="30"/>
      <w:szCs w:val="20"/>
    </w:rPr>
  </w:style>
  <w:style w:type="paragraph" w:styleId="867" w:customStyle="1">
    <w:name w:val="目录 5111"/>
    <w:basedOn w:val="796"/>
    <w:next w:val="796"/>
    <w:uiPriority w:val="39"/>
    <w:unhideWhenUsed/>
    <w:qFormat/>
    <w:pPr>
      <w:ind w:left="1134"/>
      <w:spacing w:after="57"/>
    </w:pPr>
    <w:rPr>
      <w:rFonts w:ascii="Times New Roman" w:hAnsi="Times New Roman" w:eastAsia="宋体"/>
      <w:szCs w:val="21"/>
    </w:rPr>
  </w:style>
  <w:style w:type="paragraph" w:styleId="868" w:customStyle="1">
    <w:name w:val="目录 3111"/>
    <w:basedOn w:val="796"/>
    <w:next w:val="796"/>
    <w:uiPriority w:val="39"/>
    <w:unhideWhenUsed/>
    <w:qFormat/>
    <w:pPr>
      <w:ind w:left="567"/>
      <w:spacing w:after="57"/>
    </w:pPr>
    <w:rPr>
      <w:rFonts w:ascii="Times New Roman" w:hAnsi="Times New Roman" w:eastAsia="宋体"/>
      <w:szCs w:val="21"/>
    </w:rPr>
  </w:style>
  <w:style w:type="paragraph" w:styleId="869" w:customStyle="1">
    <w:name w:val="目录 8111"/>
    <w:basedOn w:val="796"/>
    <w:next w:val="796"/>
    <w:uiPriority w:val="39"/>
    <w:unhideWhenUsed/>
    <w:qFormat/>
    <w:pPr>
      <w:ind w:left="1984"/>
      <w:spacing w:after="57"/>
    </w:pPr>
    <w:rPr>
      <w:rFonts w:ascii="Times New Roman" w:hAnsi="Times New Roman" w:eastAsia="宋体"/>
      <w:szCs w:val="21"/>
    </w:rPr>
  </w:style>
  <w:style w:type="character" w:styleId="870" w:customStyle="1">
    <w:name w:val="日期 字符"/>
    <w:basedOn w:val="806"/>
    <w:link w:val="822"/>
    <w:uiPriority w:val="99"/>
    <w:qFormat/>
    <w:rPr>
      <w:rFonts w:ascii="Times New Roman" w:hAnsi="Times New Roman" w:eastAsia="黑体" w:cs="Times New Roman"/>
      <w:b/>
      <w:sz w:val="36"/>
      <w:szCs w:val="20"/>
    </w:rPr>
  </w:style>
  <w:style w:type="character" w:styleId="871" w:customStyle="1">
    <w:name w:val="正文文本缩进 2 字符"/>
    <w:basedOn w:val="806"/>
    <w:link w:val="823"/>
    <w:uiPriority w:val="99"/>
    <w:qFormat/>
    <w:rPr>
      <w:rFonts w:ascii="楷体_GB2312" w:hAnsi="Times New Roman" w:eastAsia="楷体_GB2312" w:cs="Times New Roman"/>
      <w:b/>
      <w:sz w:val="28"/>
      <w:szCs w:val="20"/>
    </w:rPr>
  </w:style>
  <w:style w:type="character" w:styleId="872" w:customStyle="1">
    <w:name w:val="尾注文本 字符"/>
    <w:basedOn w:val="806"/>
    <w:link w:val="824"/>
    <w:uiPriority w:val="99"/>
    <w:qFormat/>
    <w:rPr>
      <w:rFonts w:ascii="Times New Roman" w:hAnsi="Times New Roman" w:eastAsia="宋体" w:cs="Times New Roman"/>
      <w:szCs w:val="21"/>
    </w:rPr>
  </w:style>
  <w:style w:type="character" w:styleId="873" w:customStyle="1">
    <w:name w:val="批注框文本 字符"/>
    <w:basedOn w:val="806"/>
    <w:link w:val="825"/>
    <w:uiPriority w:val="99"/>
    <w:semiHidden/>
    <w:qFormat/>
    <w:rPr>
      <w:rFonts w:ascii="Times New Roman" w:hAnsi="Times New Roman" w:eastAsia="宋体" w:cs="Times New Roman"/>
      <w:sz w:val="18"/>
      <w:szCs w:val="18"/>
    </w:rPr>
  </w:style>
  <w:style w:type="character" w:styleId="874" w:customStyle="1">
    <w:name w:val="页脚 字符"/>
    <w:basedOn w:val="806"/>
    <w:link w:val="826"/>
    <w:uiPriority w:val="99"/>
    <w:qFormat/>
    <w:rPr>
      <w:rFonts w:ascii="Times New Roman" w:hAnsi="Times New Roman" w:eastAsia="宋体" w:cs="Times New Roman"/>
      <w:sz w:val="18"/>
      <w:szCs w:val="20"/>
    </w:rPr>
  </w:style>
  <w:style w:type="character" w:styleId="875" w:customStyle="1">
    <w:name w:val="页眉 字符"/>
    <w:basedOn w:val="806"/>
    <w:link w:val="828"/>
    <w:uiPriority w:val="99"/>
    <w:qFormat/>
    <w:rPr>
      <w:rFonts w:ascii="Times New Roman" w:hAnsi="Times New Roman" w:eastAsia="宋体" w:cs="Times New Roman"/>
      <w:sz w:val="18"/>
      <w:szCs w:val="20"/>
    </w:rPr>
  </w:style>
  <w:style w:type="paragraph" w:styleId="876" w:customStyle="1">
    <w:name w:val="目录 1112"/>
    <w:basedOn w:val="796"/>
    <w:next w:val="796"/>
    <w:uiPriority w:val="39"/>
    <w:unhideWhenUsed/>
    <w:qFormat/>
    <w:pPr>
      <w:spacing w:after="57"/>
    </w:pPr>
    <w:rPr>
      <w:rFonts w:ascii="Times New Roman" w:hAnsi="Times New Roman" w:eastAsia="宋体"/>
      <w:szCs w:val="21"/>
    </w:rPr>
  </w:style>
  <w:style w:type="paragraph" w:styleId="877" w:customStyle="1">
    <w:name w:val="目录 4111"/>
    <w:basedOn w:val="796"/>
    <w:next w:val="796"/>
    <w:uiPriority w:val="39"/>
    <w:unhideWhenUsed/>
    <w:qFormat/>
    <w:pPr>
      <w:ind w:left="850"/>
      <w:spacing w:after="57"/>
    </w:pPr>
    <w:rPr>
      <w:rFonts w:ascii="Times New Roman" w:hAnsi="Times New Roman" w:eastAsia="宋体"/>
      <w:szCs w:val="21"/>
    </w:rPr>
  </w:style>
  <w:style w:type="character" w:styleId="878" w:customStyle="1">
    <w:name w:val="副标题 字符"/>
    <w:link w:val="831"/>
    <w:uiPriority w:val="11"/>
    <w:qFormat/>
    <w:rPr>
      <w:rFonts w:ascii="Arial" w:hAnsi="Arial"/>
      <w:b/>
      <w:bCs/>
      <w:sz w:val="32"/>
      <w:szCs w:val="32"/>
    </w:rPr>
  </w:style>
  <w:style w:type="character" w:styleId="879" w:customStyle="1">
    <w:name w:val="脚注文本 字符"/>
    <w:basedOn w:val="806"/>
    <w:link w:val="833"/>
    <w:uiPriority w:val="99"/>
    <w:qFormat/>
    <w:rPr>
      <w:rFonts w:ascii="Times New Roman" w:hAnsi="Times New Roman" w:eastAsia="宋体" w:cs="Times New Roman"/>
      <w:sz w:val="18"/>
      <w:szCs w:val="21"/>
    </w:rPr>
  </w:style>
  <w:style w:type="paragraph" w:styleId="880" w:customStyle="1">
    <w:name w:val="目录 6111"/>
    <w:basedOn w:val="796"/>
    <w:next w:val="796"/>
    <w:uiPriority w:val="39"/>
    <w:unhideWhenUsed/>
    <w:qFormat/>
    <w:pPr>
      <w:ind w:left="1417"/>
      <w:spacing w:after="57"/>
    </w:pPr>
    <w:rPr>
      <w:rFonts w:ascii="Times New Roman" w:hAnsi="Times New Roman" w:eastAsia="宋体"/>
      <w:szCs w:val="21"/>
    </w:rPr>
  </w:style>
  <w:style w:type="character" w:styleId="881" w:customStyle="1">
    <w:name w:val="正文文本缩进 3 字符"/>
    <w:basedOn w:val="806"/>
    <w:link w:val="835"/>
    <w:uiPriority w:val="99"/>
    <w:qFormat/>
    <w:rPr>
      <w:rFonts w:ascii="Times New Roman" w:hAnsi="Times New Roman" w:eastAsia="宋体" w:cs="Times New Roman"/>
      <w:sz w:val="20"/>
      <w:szCs w:val="20"/>
    </w:rPr>
  </w:style>
  <w:style w:type="paragraph" w:styleId="882" w:customStyle="1">
    <w:name w:val="目录 2111"/>
    <w:basedOn w:val="796"/>
    <w:next w:val="796"/>
    <w:uiPriority w:val="39"/>
    <w:unhideWhenUsed/>
    <w:qFormat/>
    <w:pPr>
      <w:ind w:left="283"/>
      <w:spacing w:after="57"/>
    </w:pPr>
    <w:rPr>
      <w:rFonts w:ascii="Times New Roman" w:hAnsi="Times New Roman" w:eastAsia="宋体"/>
      <w:szCs w:val="21"/>
    </w:rPr>
  </w:style>
  <w:style w:type="paragraph" w:styleId="883" w:customStyle="1">
    <w:name w:val="目录 9111"/>
    <w:basedOn w:val="796"/>
    <w:next w:val="796"/>
    <w:uiPriority w:val="39"/>
    <w:unhideWhenUsed/>
    <w:qFormat/>
    <w:pPr>
      <w:ind w:left="2268"/>
      <w:spacing w:after="57"/>
    </w:pPr>
    <w:rPr>
      <w:rFonts w:ascii="Times New Roman" w:hAnsi="Times New Roman" w:eastAsia="宋体"/>
      <w:szCs w:val="21"/>
    </w:rPr>
  </w:style>
  <w:style w:type="character" w:styleId="884" w:customStyle="1">
    <w:name w:val="正文文本 2 字符"/>
    <w:basedOn w:val="806"/>
    <w:link w:val="839"/>
    <w:uiPriority w:val="99"/>
    <w:qFormat/>
    <w:rPr>
      <w:rFonts w:ascii="Times New Roman" w:hAnsi="Times New Roman" w:eastAsia="宋体" w:cs="Times New Roman"/>
      <w:sz w:val="20"/>
      <w:szCs w:val="20"/>
    </w:rPr>
  </w:style>
  <w:style w:type="character" w:styleId="885" w:customStyle="1">
    <w:name w:val="标题 字符"/>
    <w:basedOn w:val="806"/>
    <w:link w:val="841"/>
    <w:uiPriority w:val="10"/>
    <w:qFormat/>
    <w:rPr>
      <w:rFonts w:ascii="Times New Roman" w:hAnsi="Times New Roman" w:eastAsia="宋体" w:cs="Times New Roman"/>
      <w:sz w:val="48"/>
      <w:szCs w:val="48"/>
    </w:rPr>
  </w:style>
  <w:style w:type="character" w:styleId="886" w:customStyle="1">
    <w:name w:val="批注主题 字符"/>
    <w:basedOn w:val="864"/>
    <w:link w:val="842"/>
    <w:uiPriority w:val="99"/>
    <w:semiHidden/>
    <w:qFormat/>
    <w:rPr>
      <w:b/>
      <w:bCs/>
    </w:rPr>
  </w:style>
  <w:style w:type="paragraph" w:styleId="887" w:customStyle="1">
    <w:name w:val="正文首行缩进11"/>
    <w:basedOn w:val="815"/>
    <w:uiPriority w:val="99"/>
    <w:unhideWhenUsed/>
    <w:qFormat/>
    <w:pPr>
      <w:ind w:firstLine="420"/>
      <w:spacing w:after="120"/>
    </w:pPr>
    <w:rPr>
      <w:rFonts w:ascii="Calibri" w:hAnsi="Calibri" w:eastAsia="宋体"/>
      <w:sz w:val="21"/>
      <w:szCs w:val="22"/>
    </w:rPr>
  </w:style>
  <w:style w:type="paragraph" w:styleId="888" w:customStyle="1">
    <w:name w:val="正文首行缩进 211"/>
    <w:basedOn w:val="816"/>
    <w:next w:val="796"/>
    <w:link w:val="889"/>
    <w:uiPriority w:val="99"/>
    <w:unhideWhenUsed/>
    <w:qFormat/>
    <w:pPr>
      <w:ind w:left="420" w:firstLine="420"/>
      <w:spacing w:after="120"/>
    </w:pPr>
    <w:rPr>
      <w:rFonts w:ascii="Calibri" w:hAnsi="Calibri" w:eastAsia="Arial"/>
      <w:b w:val="0"/>
      <w:sz w:val="21"/>
      <w:szCs w:val="22"/>
    </w:rPr>
  </w:style>
  <w:style w:type="character" w:styleId="889" w:customStyle="1">
    <w:name w:val="正文首行缩进 2 Char1"/>
    <w:basedOn w:val="866"/>
    <w:link w:val="888"/>
    <w:uiPriority w:val="99"/>
    <w:semiHidden/>
    <w:qFormat/>
    <w:rPr>
      <w:rFonts w:ascii="Times New Roman" w:hAnsi="Times New Roman" w:eastAsia="宋体" w:cs="Times New Roman"/>
      <w:b w:val="0"/>
      <w:sz w:val="21"/>
      <w:szCs w:val="22"/>
    </w:rPr>
  </w:style>
  <w:style w:type="character" w:styleId="890" w:customStyle="1">
    <w:name w:val="已访问的超链接11"/>
    <w:uiPriority w:val="99"/>
    <w:unhideWhenUsed/>
    <w:qFormat/>
    <w:rPr>
      <w:color w:val="800080"/>
      <w:u w:val="single"/>
    </w:rPr>
  </w:style>
  <w:style w:type="character" w:styleId="891" w:customStyle="1">
    <w:name w:val="批注引用1"/>
    <w:uiPriority w:val="0"/>
    <w:semiHidden/>
    <w:qFormat/>
    <w:rPr>
      <w:rFonts w:ascii="Calibri" w:hAnsi="Calibri" w:eastAsia="Arial" w:cs="Times New Roman"/>
      <w:sz w:val="21"/>
      <w:szCs w:val="22"/>
    </w:rPr>
  </w:style>
  <w:style w:type="paragraph" w:styleId="892"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893" w:customStyle="1">
    <w:name w:val="TOC Heading"/>
    <w:uiPriority w:val="39"/>
    <w:unhideWhenUsed/>
    <w:qFormat/>
    <w:rPr>
      <w:rFonts w:hint="default" w:ascii="Calibri" w:hAnsi="Calibri" w:eastAsia="Arial" w:cs="Times New Roman"/>
      <w:lang w:val="en-US" w:eastAsia="zh-CN" w:bidi="ar-SA"/>
    </w:rPr>
  </w:style>
  <w:style w:type="paragraph" w:styleId="894" w:customStyle="1">
    <w:name w:val="font5"/>
    <w:basedOn w:val="796"/>
    <w:uiPriority w:val="0"/>
    <w:qFormat/>
    <w:pPr>
      <w:jc w:val="left"/>
      <w:spacing w:before="100" w:beforeAutospacing="1" w:after="100" w:afterAutospacing="1"/>
      <w:widowControl/>
    </w:pPr>
    <w:rPr>
      <w:rFonts w:ascii="宋体" w:hAnsi="宋体" w:eastAsia="宋体"/>
      <w:sz w:val="18"/>
      <w:szCs w:val="18"/>
    </w:rPr>
  </w:style>
  <w:style w:type="paragraph" w:styleId="895" w:customStyle="1">
    <w:name w:val="font6"/>
    <w:basedOn w:val="796"/>
    <w:uiPriority w:val="0"/>
    <w:qFormat/>
    <w:pPr>
      <w:jc w:val="left"/>
      <w:spacing w:before="100" w:beforeAutospacing="1" w:after="100" w:afterAutospacing="1"/>
      <w:widowControl/>
    </w:pPr>
    <w:rPr>
      <w:rFonts w:ascii="宋体" w:hAnsi="宋体" w:eastAsia="宋体"/>
      <w:b/>
      <w:bCs/>
      <w:sz w:val="20"/>
      <w:szCs w:val="20"/>
    </w:rPr>
  </w:style>
  <w:style w:type="paragraph" w:styleId="896" w:customStyle="1">
    <w:name w:val="font7"/>
    <w:basedOn w:val="79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97" w:customStyle="1">
    <w:name w:val="font8"/>
    <w:basedOn w:val="796"/>
    <w:uiPriority w:val="99"/>
    <w:qFormat/>
    <w:pPr>
      <w:jc w:val="left"/>
      <w:spacing w:before="100" w:beforeAutospacing="1" w:after="100" w:afterAutospacing="1"/>
      <w:widowControl/>
    </w:pPr>
    <w:rPr>
      <w:rFonts w:ascii="宋体" w:hAnsi="宋体" w:eastAsia="宋体"/>
      <w:b/>
      <w:bCs/>
      <w:i/>
      <w:iCs/>
      <w:sz w:val="20"/>
      <w:szCs w:val="20"/>
    </w:rPr>
  </w:style>
  <w:style w:type="paragraph" w:styleId="898" w:customStyle="1">
    <w:name w:val="font9"/>
    <w:basedOn w:val="79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99" w:customStyle="1">
    <w:name w:val="xl2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0" w:customStyle="1">
    <w:name w:val="xl2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1"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2" w:customStyle="1">
    <w:name w:val="xl27"/>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3"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4"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5" w:customStyle="1">
    <w:name w:val="xl3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6" w:customStyle="1">
    <w:name w:val="xl31"/>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07" w:customStyle="1">
    <w:name w:val="xl32"/>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8" w:customStyle="1">
    <w:name w:val="xl3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9" w:customStyle="1">
    <w:name w:val="xl34"/>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0" w:customStyle="1">
    <w:name w:val="xl35"/>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1" w:customStyle="1">
    <w:name w:val="xl36"/>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2" w:customStyle="1">
    <w:name w:val="xl37"/>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3" w:customStyle="1">
    <w:name w:val="xl38"/>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4" w:customStyle="1">
    <w:name w:val="xl39"/>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15" w:customStyle="1">
    <w:name w:val="xl40"/>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6" w:customStyle="1">
    <w:name w:val="xl41"/>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7" w:customStyle="1">
    <w:name w:val="xl42"/>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8" w:customStyle="1">
    <w:name w:val="xl43"/>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19" w:customStyle="1">
    <w:name w:val="xl44"/>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20" w:customStyle="1">
    <w:name w:val="xl45"/>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21" w:customStyle="1">
    <w:name w:val="xl46"/>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22" w:customStyle="1">
    <w:name w:val="xl47"/>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23" w:customStyle="1">
    <w:name w:val="xl48"/>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24" w:customStyle="1">
    <w:name w:val="xl49"/>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25" w:customStyle="1">
    <w:name w:val="xl50"/>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6" w:customStyle="1">
    <w:name w:val="xl51"/>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27" w:customStyle="1">
    <w:name w:val="xl5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28" w:customStyle="1">
    <w:name w:val="xl53"/>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9" w:customStyle="1">
    <w:name w:val="xl54"/>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30" w:customStyle="1">
    <w:name w:val="xl55"/>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31" w:customStyle="1">
    <w:name w:val="xl56"/>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2" w:customStyle="1">
    <w:name w:val="xl57"/>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33" w:customStyle="1">
    <w:name w:val="xl58"/>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34" w:customStyle="1">
    <w:name w:val="xl59"/>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5" w:customStyle="1">
    <w:name w:val="xl60"/>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6" w:customStyle="1">
    <w:name w:val="xl61"/>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37" w:customStyle="1">
    <w:name w:val="xl6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8" w:customStyle="1">
    <w:name w:val="xl6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39" w:customStyle="1">
    <w:name w:val="font10"/>
    <w:basedOn w:val="796"/>
    <w:uiPriority w:val="99"/>
    <w:qFormat/>
    <w:pPr>
      <w:jc w:val="left"/>
      <w:spacing w:before="100" w:beforeAutospacing="1" w:after="100" w:afterAutospacing="1"/>
      <w:widowControl/>
    </w:pPr>
    <w:rPr>
      <w:rFonts w:ascii="楷体_GB2312" w:hAnsi="宋体" w:eastAsia="楷体_GB2312"/>
      <w:b/>
      <w:bCs/>
      <w:sz w:val="18"/>
      <w:szCs w:val="18"/>
    </w:rPr>
  </w:style>
  <w:style w:type="paragraph" w:styleId="940" w:customStyle="1">
    <w:name w:val="font11"/>
    <w:basedOn w:val="79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41" w:customStyle="1">
    <w:name w:val="font12"/>
    <w:basedOn w:val="796"/>
    <w:uiPriority w:val="99"/>
    <w:qFormat/>
    <w:pPr>
      <w:jc w:val="left"/>
      <w:spacing w:before="100" w:beforeAutospacing="1" w:after="100" w:afterAutospacing="1"/>
      <w:widowControl/>
    </w:pPr>
    <w:rPr>
      <w:rFonts w:ascii="宋体" w:hAnsi="宋体" w:eastAsia="宋体"/>
      <w:sz w:val="36"/>
      <w:szCs w:val="36"/>
    </w:rPr>
  </w:style>
  <w:style w:type="paragraph" w:styleId="942" w:customStyle="1">
    <w:name w:val="font13"/>
    <w:basedOn w:val="79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43" w:customStyle="1">
    <w:name w:val="font14"/>
    <w:basedOn w:val="796"/>
    <w:uiPriority w:val="99"/>
    <w:qFormat/>
    <w:pPr>
      <w:jc w:val="left"/>
      <w:spacing w:before="100" w:beforeAutospacing="1" w:after="100" w:afterAutospacing="1"/>
      <w:widowControl/>
    </w:pPr>
    <w:rPr>
      <w:rFonts w:ascii="Times New Roman" w:hAnsi="Times New Roman" w:eastAsia="宋体"/>
      <w:sz w:val="36"/>
      <w:szCs w:val="36"/>
    </w:rPr>
  </w:style>
  <w:style w:type="character" w:styleId="944" w:customStyle="1">
    <w:name w:val="case31"/>
    <w:uiPriority w:val="99"/>
    <w:qFormat/>
    <w:rPr>
      <w:rFonts w:cs="Times New Roman"/>
      <w:spacing w:val="390"/>
      <w:sz w:val="21"/>
      <w:szCs w:val="21"/>
    </w:rPr>
  </w:style>
  <w:style w:type="paragraph" w:styleId="945" w:customStyle="1">
    <w:name w:val="普通文字"/>
    <w:basedOn w:val="796"/>
    <w:next w:val="796"/>
    <w:uiPriority w:val="99"/>
    <w:qFormat/>
    <w:rPr>
      <w:rFonts w:ascii="宋体" w:hAnsi="Times New Roman" w:eastAsia="宋体"/>
      <w:sz w:val="24"/>
      <w:szCs w:val="20"/>
    </w:rPr>
  </w:style>
  <w:style w:type="paragraph" w:styleId="946" w:customStyle="1">
    <w:name w:val="默认段落字体 Para Char"/>
    <w:basedOn w:val="796"/>
    <w:uiPriority w:val="99"/>
    <w:qFormat/>
    <w:pPr>
      <w:ind w:left="552" w:hanging="420"/>
      <w:tabs>
        <w:tab w:val="left" w:pos="552" w:leader="none"/>
      </w:tabs>
    </w:pPr>
    <w:rPr>
      <w:rFonts w:ascii="Times New Roman" w:hAnsi="Times New Roman" w:eastAsia="宋体"/>
      <w:sz w:val="24"/>
      <w:szCs w:val="24"/>
    </w:rPr>
  </w:style>
  <w:style w:type="paragraph" w:styleId="947" w:customStyle="1">
    <w:name w:val="Char Char Char Char"/>
    <w:basedOn w:val="813"/>
    <w:uiPriority w:val="0"/>
    <w:qFormat/>
    <w:pPr>
      <w:spacing w:line="360" w:lineRule="auto"/>
    </w:pPr>
    <w:rPr>
      <w:rFonts w:ascii="Tahoma" w:hAnsi="Tahoma"/>
      <w:sz w:val="24"/>
      <w:szCs w:val="24"/>
    </w:rPr>
  </w:style>
  <w:style w:type="paragraph" w:styleId="948" w:customStyle="1">
    <w:name w:val="Char Char1 Char Char Char Char"/>
    <w:basedOn w:val="813"/>
    <w:uiPriority w:val="99"/>
    <w:qFormat/>
    <w:pPr>
      <w:ind w:left="357"/>
      <w:jc w:val="left"/>
      <w:spacing w:line="436" w:lineRule="exact"/>
      <w:outlineLvl w:val="3"/>
    </w:pPr>
    <w:rPr>
      <w:rFonts w:ascii="Tahoma" w:hAnsi="Tahoma"/>
      <w:b/>
      <w:sz w:val="24"/>
      <w:szCs w:val="24"/>
    </w:rPr>
  </w:style>
  <w:style w:type="paragraph" w:styleId="949">
    <w:name w:val="List Paragraph"/>
    <w:basedOn w:val="796"/>
    <w:uiPriority w:val="34"/>
    <w:qFormat/>
    <w:pPr>
      <w:numPr>
        <w:ilvl w:val="0"/>
        <w:numId w:val="2"/>
      </w:numPr>
      <w:spacing w:line="360" w:lineRule="auto"/>
    </w:pPr>
    <w:rPr>
      <w:rFonts w:ascii="Arial" w:hAnsi="Arial" w:eastAsia="宋体" w:cs="宋体"/>
      <w:b/>
      <w:sz w:val="24"/>
      <w:szCs w:val="20"/>
    </w:rPr>
  </w:style>
  <w:style w:type="paragraph" w:styleId="950" w:customStyle="1">
    <w:name w:val="修订1"/>
    <w:uiPriority w:val="99"/>
    <w:semiHidden/>
    <w:qFormat/>
    <w:rPr>
      <w:rFonts w:hint="default" w:ascii="Times New Roman" w:hAnsi="Times New Roman" w:eastAsia="宋体" w:cs="Times New Roman"/>
      <w:sz w:val="21"/>
      <w:lang w:val="en-US" w:eastAsia="zh-CN" w:bidi="ar-SA"/>
    </w:rPr>
  </w:style>
  <w:style w:type="paragraph" w:styleId="951" w:customStyle="1">
    <w:name w:val="列表段落1"/>
    <w:basedOn w:val="796"/>
    <w:uiPriority w:val="34"/>
    <w:qFormat/>
    <w:pPr>
      <w:ind w:firstLine="420"/>
    </w:pPr>
  </w:style>
  <w:style w:type="paragraph" w:styleId="952" w:customStyle="1">
    <w:name w:val="样式 小四 段前: 5 磅 段后: 5 磅 首行缩进:  2 字符"/>
    <w:basedOn w:val="796"/>
    <w:uiPriority w:val="0"/>
    <w:qFormat/>
    <w:pPr>
      <w:spacing w:line="360" w:lineRule="auto"/>
    </w:pPr>
    <w:rPr>
      <w:rFonts w:ascii="宋体" w:hAnsi="宋体"/>
      <w:szCs w:val="21"/>
    </w:rPr>
  </w:style>
  <w:style w:type="table" w:styleId="953" w:customStyle="1">
    <w:name w:val="网格型1"/>
    <w:basedOn w:val="807"/>
    <w:uiPriority w:val="59"/>
    <w:qFormat/>
    <w:tblPr/>
  </w:style>
  <w:style w:type="table" w:styleId="954" w:customStyle="1">
    <w:name w:val="网格型2"/>
    <w:basedOn w:val="807"/>
    <w:uiPriority w:val="39"/>
    <w:qFormat/>
    <w:tblPr/>
  </w:style>
  <w:style w:type="table" w:styleId="955" w:customStyle="1">
    <w:name w:val="网格型3"/>
    <w:basedOn w:val="807"/>
    <w:uiPriority w:val="39"/>
    <w:qFormat/>
    <w:tblPr/>
  </w:style>
  <w:style w:type="table" w:styleId="956" w:customStyle="1">
    <w:name w:val="网格型4"/>
    <w:basedOn w:val="807"/>
    <w:uiPriority w:val="39"/>
    <w:qFormat/>
    <w:tblPr/>
  </w:style>
  <w:style w:type="paragraph" w:styleId="957" w:customStyle="1">
    <w:name w:val="List Paragraph1"/>
    <w:basedOn w:val="796"/>
    <w:uiPriority w:val="0"/>
    <w:qFormat/>
    <w:pPr>
      <w:ind w:firstLine="420"/>
    </w:pPr>
    <w:rPr>
      <w:szCs w:val="21"/>
    </w:rPr>
  </w:style>
  <w:style w:type="paragraph" w:styleId="958" w:customStyle="1">
    <w:name w:val="标题 31"/>
    <w:basedOn w:val="796"/>
    <w:next w:val="796"/>
    <w:link w:val="959"/>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59" w:customStyle="1">
    <w:name w:val="标题 3 Char"/>
    <w:link w:val="958"/>
    <w:uiPriority w:val="0"/>
    <w:qFormat/>
    <w:rPr>
      <w:rFonts w:ascii="Times New Roman" w:hAnsi="Times New Roman" w:eastAsia="宋体" w:cs="Times New Roman"/>
      <w:b/>
      <w:bCs/>
      <w:sz w:val="32"/>
      <w:szCs w:val="32"/>
      <w:lang w:eastAsia="en-US"/>
    </w:rPr>
  </w:style>
  <w:style w:type="character" w:styleId="960" w:customStyle="1">
    <w:name w:val="Heading 1 Char"/>
    <w:uiPriority w:val="9"/>
    <w:qFormat/>
    <w:rPr>
      <w:rFonts w:ascii="Arial" w:hAnsi="Arial" w:eastAsia="Arial" w:cs="Arial"/>
      <w:sz w:val="40"/>
      <w:szCs w:val="40"/>
    </w:rPr>
  </w:style>
  <w:style w:type="character" w:styleId="961" w:customStyle="1">
    <w:name w:val="Heading 2 Char"/>
    <w:uiPriority w:val="9"/>
    <w:qFormat/>
    <w:rPr>
      <w:rFonts w:ascii="Arial" w:hAnsi="Arial" w:eastAsia="Arial" w:cs="Arial"/>
      <w:sz w:val="34"/>
    </w:rPr>
  </w:style>
  <w:style w:type="character" w:styleId="962" w:customStyle="1">
    <w:name w:val="Heading 3 Char"/>
    <w:uiPriority w:val="9"/>
    <w:qFormat/>
    <w:rPr>
      <w:rFonts w:ascii="Arial" w:hAnsi="Arial" w:eastAsia="Arial" w:cs="Arial"/>
      <w:sz w:val="30"/>
      <w:szCs w:val="30"/>
    </w:rPr>
  </w:style>
  <w:style w:type="character" w:styleId="963" w:customStyle="1">
    <w:name w:val="Heading 4 Char"/>
    <w:uiPriority w:val="9"/>
    <w:qFormat/>
    <w:rPr>
      <w:rFonts w:ascii="Arial" w:hAnsi="Arial" w:eastAsia="Arial" w:cs="Arial"/>
      <w:b/>
      <w:bCs/>
      <w:sz w:val="26"/>
      <w:szCs w:val="26"/>
    </w:rPr>
  </w:style>
  <w:style w:type="character" w:styleId="964" w:customStyle="1">
    <w:name w:val="Heading 5 Char"/>
    <w:uiPriority w:val="9"/>
    <w:qFormat/>
    <w:rPr>
      <w:rFonts w:ascii="Arial" w:hAnsi="Arial" w:eastAsia="Arial" w:cs="Arial"/>
      <w:b/>
      <w:bCs/>
      <w:sz w:val="24"/>
      <w:szCs w:val="24"/>
    </w:rPr>
  </w:style>
  <w:style w:type="character" w:styleId="965" w:customStyle="1">
    <w:name w:val="Heading 6 Char"/>
    <w:uiPriority w:val="9"/>
    <w:qFormat/>
    <w:rPr>
      <w:rFonts w:ascii="Arial" w:hAnsi="Arial" w:eastAsia="Arial" w:cs="Arial"/>
      <w:b/>
      <w:bCs/>
      <w:sz w:val="22"/>
      <w:szCs w:val="22"/>
    </w:rPr>
  </w:style>
  <w:style w:type="character" w:styleId="966" w:customStyle="1">
    <w:name w:val="Heading 7 Char"/>
    <w:uiPriority w:val="9"/>
    <w:qFormat/>
    <w:rPr>
      <w:rFonts w:ascii="Arial" w:hAnsi="Arial" w:eastAsia="Arial" w:cs="Arial"/>
      <w:b/>
      <w:bCs/>
      <w:i/>
      <w:iCs/>
      <w:sz w:val="22"/>
      <w:szCs w:val="22"/>
    </w:rPr>
  </w:style>
  <w:style w:type="character" w:styleId="967" w:customStyle="1">
    <w:name w:val="Heading 8 Char"/>
    <w:uiPriority w:val="9"/>
    <w:qFormat/>
    <w:rPr>
      <w:rFonts w:ascii="Arial" w:hAnsi="Arial" w:eastAsia="Arial" w:cs="Arial"/>
      <w:i/>
      <w:iCs/>
      <w:sz w:val="22"/>
      <w:szCs w:val="22"/>
    </w:rPr>
  </w:style>
  <w:style w:type="character" w:styleId="968" w:customStyle="1">
    <w:name w:val="Heading 9 Char"/>
    <w:uiPriority w:val="9"/>
    <w:qFormat/>
    <w:rPr>
      <w:rFonts w:ascii="Arial" w:hAnsi="Arial" w:eastAsia="Arial" w:cs="Arial"/>
      <w:i/>
      <w:iCs/>
      <w:sz w:val="21"/>
      <w:szCs w:val="21"/>
    </w:rPr>
  </w:style>
  <w:style w:type="paragraph" w:styleId="969">
    <w:name w:val="No Spacing"/>
    <w:uiPriority w:val="1"/>
    <w:qFormat/>
    <w:rPr>
      <w:rFonts w:hint="default" w:ascii="Calibri" w:hAnsi="Calibri" w:eastAsia="宋体" w:cs="Times New Roman"/>
      <w:lang w:val="en-US" w:eastAsia="zh-CN" w:bidi="ar-SA"/>
    </w:rPr>
  </w:style>
  <w:style w:type="character" w:styleId="970" w:customStyle="1">
    <w:name w:val="Title Char"/>
    <w:uiPriority w:val="10"/>
    <w:qFormat/>
    <w:rPr>
      <w:sz w:val="48"/>
      <w:szCs w:val="48"/>
    </w:rPr>
  </w:style>
  <w:style w:type="character" w:styleId="971" w:customStyle="1">
    <w:name w:val="Subtitle Char"/>
    <w:uiPriority w:val="11"/>
    <w:qFormat/>
    <w:rPr>
      <w:sz w:val="24"/>
      <w:szCs w:val="24"/>
    </w:rPr>
  </w:style>
  <w:style w:type="paragraph" w:styleId="972">
    <w:name w:val="Quote"/>
    <w:basedOn w:val="796"/>
    <w:next w:val="796"/>
    <w:link w:val="973"/>
    <w:uiPriority w:val="29"/>
    <w:qFormat/>
    <w:pPr>
      <w:ind w:left="720" w:right="720"/>
    </w:pPr>
    <w:rPr>
      <w:rFonts w:ascii="Times New Roman" w:hAnsi="Times New Roman" w:eastAsia="宋体"/>
      <w:i/>
      <w:szCs w:val="21"/>
    </w:rPr>
  </w:style>
  <w:style w:type="character" w:styleId="973" w:customStyle="1">
    <w:name w:val="引用 字符"/>
    <w:basedOn w:val="806"/>
    <w:link w:val="972"/>
    <w:uiPriority w:val="29"/>
    <w:qFormat/>
    <w:rPr>
      <w:rFonts w:ascii="Times New Roman" w:hAnsi="Times New Roman" w:eastAsia="宋体" w:cs="Times New Roman"/>
      <w:i/>
      <w:sz w:val="21"/>
      <w:szCs w:val="21"/>
    </w:rPr>
  </w:style>
  <w:style w:type="character" w:styleId="974" w:customStyle="1">
    <w:name w:val="Quote Char"/>
    <w:uiPriority w:val="29"/>
    <w:qFormat/>
    <w:rPr>
      <w:i/>
    </w:rPr>
  </w:style>
  <w:style w:type="paragraph" w:styleId="975">
    <w:name w:val="Intense Quote"/>
    <w:basedOn w:val="796"/>
    <w:next w:val="796"/>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76" w:customStyle="1">
    <w:name w:val="明显引用 字符"/>
    <w:basedOn w:val="806"/>
    <w:link w:val="975"/>
    <w:uiPriority w:val="30"/>
    <w:qFormat/>
    <w:rPr>
      <w:rFonts w:ascii="Times New Roman" w:hAnsi="Times New Roman" w:eastAsia="宋体" w:cs="Times New Roman"/>
      <w:i/>
      <w:sz w:val="21"/>
      <w:szCs w:val="21"/>
      <w:shd w:val="clear" w:color="auto" w:fill="f2f2f2"/>
    </w:rPr>
  </w:style>
  <w:style w:type="character" w:styleId="977" w:customStyle="1">
    <w:name w:val="Intense Quote Char"/>
    <w:uiPriority w:val="30"/>
    <w:qFormat/>
    <w:rPr>
      <w:i/>
    </w:rPr>
  </w:style>
  <w:style w:type="character" w:styleId="978" w:customStyle="1">
    <w:name w:val="Header Char"/>
    <w:uiPriority w:val="99"/>
    <w:qFormat/>
  </w:style>
  <w:style w:type="character" w:styleId="979" w:customStyle="1">
    <w:name w:val="Footer Char"/>
    <w:uiPriority w:val="99"/>
    <w:qFormat/>
  </w:style>
  <w:style w:type="character" w:styleId="980" w:customStyle="1">
    <w:name w:val="Caption Char"/>
    <w:uiPriority w:val="99"/>
    <w:qFormat/>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目录 71"/>
    <w:basedOn w:val="796"/>
    <w:next w:val="796"/>
    <w:uiPriority w:val="39"/>
    <w:unhideWhenUsed/>
    <w:qFormat/>
    <w:pPr>
      <w:ind w:left="1701"/>
      <w:spacing w:after="57"/>
    </w:pPr>
    <w:rPr>
      <w:rFonts w:ascii="Times New Roman" w:hAnsi="Times New Roman" w:eastAsia="宋体"/>
      <w:szCs w:val="21"/>
    </w:rPr>
  </w:style>
  <w:style w:type="paragraph" w:styleId="984" w:customStyle="1">
    <w:name w:val="目录 51"/>
    <w:basedOn w:val="796"/>
    <w:next w:val="796"/>
    <w:uiPriority w:val="39"/>
    <w:unhideWhenUsed/>
    <w:qFormat/>
    <w:pPr>
      <w:ind w:left="1134"/>
      <w:spacing w:after="57"/>
    </w:pPr>
    <w:rPr>
      <w:rFonts w:ascii="Times New Roman" w:hAnsi="Times New Roman" w:eastAsia="宋体"/>
      <w:szCs w:val="21"/>
    </w:rPr>
  </w:style>
  <w:style w:type="paragraph" w:styleId="985" w:customStyle="1">
    <w:name w:val="目录 31"/>
    <w:basedOn w:val="796"/>
    <w:next w:val="796"/>
    <w:uiPriority w:val="39"/>
    <w:unhideWhenUsed/>
    <w:qFormat/>
    <w:pPr>
      <w:ind w:left="567"/>
      <w:spacing w:after="57"/>
    </w:pPr>
    <w:rPr>
      <w:rFonts w:ascii="Times New Roman" w:hAnsi="Times New Roman" w:eastAsia="宋体"/>
      <w:szCs w:val="21"/>
    </w:rPr>
  </w:style>
  <w:style w:type="paragraph" w:styleId="986" w:customStyle="1">
    <w:name w:val="目录 81"/>
    <w:basedOn w:val="796"/>
    <w:next w:val="796"/>
    <w:uiPriority w:val="39"/>
    <w:unhideWhenUsed/>
    <w:qFormat/>
    <w:pPr>
      <w:ind w:left="1984"/>
      <w:spacing w:after="57"/>
    </w:pPr>
    <w:rPr>
      <w:rFonts w:ascii="Times New Roman" w:hAnsi="Times New Roman" w:eastAsia="宋体"/>
      <w:szCs w:val="21"/>
    </w:rPr>
  </w:style>
  <w:style w:type="character" w:styleId="987" w:customStyle="1">
    <w:name w:val="页脚 字符1"/>
    <w:uiPriority w:val="99"/>
    <w:qFormat/>
  </w:style>
  <w:style w:type="paragraph" w:styleId="988" w:customStyle="1">
    <w:name w:val="目录 11"/>
    <w:basedOn w:val="796"/>
    <w:next w:val="796"/>
    <w:uiPriority w:val="39"/>
    <w:unhideWhenUsed/>
    <w:qFormat/>
    <w:pPr>
      <w:spacing w:after="57"/>
    </w:pPr>
    <w:rPr>
      <w:rFonts w:ascii="Times New Roman" w:hAnsi="Times New Roman" w:eastAsia="宋体"/>
      <w:szCs w:val="21"/>
    </w:rPr>
  </w:style>
  <w:style w:type="paragraph" w:styleId="989" w:customStyle="1">
    <w:name w:val="目录 41"/>
    <w:basedOn w:val="796"/>
    <w:next w:val="796"/>
    <w:uiPriority w:val="39"/>
    <w:unhideWhenUsed/>
    <w:qFormat/>
    <w:pPr>
      <w:ind w:left="850"/>
      <w:spacing w:after="57"/>
    </w:pPr>
    <w:rPr>
      <w:rFonts w:ascii="Times New Roman" w:hAnsi="Times New Roman" w:eastAsia="宋体"/>
      <w:szCs w:val="21"/>
    </w:rPr>
  </w:style>
  <w:style w:type="paragraph" w:styleId="990" w:customStyle="1">
    <w:name w:val="目录 61"/>
    <w:basedOn w:val="796"/>
    <w:next w:val="796"/>
    <w:uiPriority w:val="39"/>
    <w:unhideWhenUsed/>
    <w:qFormat/>
    <w:pPr>
      <w:ind w:left="1417"/>
      <w:spacing w:after="57"/>
    </w:pPr>
    <w:rPr>
      <w:rFonts w:ascii="Times New Roman" w:hAnsi="Times New Roman" w:eastAsia="宋体"/>
      <w:szCs w:val="21"/>
    </w:rPr>
  </w:style>
  <w:style w:type="paragraph" w:styleId="991" w:customStyle="1">
    <w:name w:val="目录 21"/>
    <w:basedOn w:val="796"/>
    <w:next w:val="796"/>
    <w:uiPriority w:val="39"/>
    <w:unhideWhenUsed/>
    <w:qFormat/>
    <w:pPr>
      <w:ind w:left="283"/>
      <w:spacing w:after="57"/>
    </w:pPr>
    <w:rPr>
      <w:rFonts w:ascii="Times New Roman" w:hAnsi="Times New Roman" w:eastAsia="宋体"/>
      <w:szCs w:val="21"/>
    </w:rPr>
  </w:style>
  <w:style w:type="paragraph" w:styleId="992" w:customStyle="1">
    <w:name w:val="目录 91"/>
    <w:basedOn w:val="796"/>
    <w:next w:val="796"/>
    <w:uiPriority w:val="39"/>
    <w:unhideWhenUsed/>
    <w:qFormat/>
    <w:pPr>
      <w:ind w:left="2268"/>
      <w:spacing w:after="57"/>
    </w:pPr>
    <w:rPr>
      <w:rFonts w:ascii="Times New Roman" w:hAnsi="Times New Roman" w:eastAsia="宋体"/>
      <w:szCs w:val="21"/>
    </w:rPr>
  </w:style>
  <w:style w:type="character" w:styleId="993" w:customStyle="1">
    <w:name w:val="font5 Char"/>
    <w:uiPriority w:val="0"/>
    <w:qFormat/>
    <w:rPr>
      <w:rFonts w:ascii="宋体" w:hAnsi="宋体" w:eastAsia="宋体"/>
      <w:sz w:val="28"/>
      <w:szCs w:val="28"/>
      <w:lang w:val="en-US" w:eastAsia="zh-CN" w:bidi="ar-SA"/>
    </w:rPr>
  </w:style>
  <w:style w:type="paragraph" w:styleId="994" w:customStyle="1">
    <w:name w:val="列出段落2"/>
    <w:basedOn w:val="796"/>
    <w:uiPriority w:val="34"/>
    <w:qFormat/>
    <w:pPr>
      <w:contextualSpacing/>
      <w:ind w:left="720"/>
    </w:pPr>
    <w:rPr>
      <w:rFonts w:ascii="Times New Roman" w:hAnsi="Times New Roman" w:eastAsia="宋体"/>
      <w:szCs w:val="21"/>
    </w:rPr>
  </w:style>
  <w:style w:type="table" w:styleId="995" w:customStyle="1">
    <w:name w:val="Table Grid Light"/>
    <w:uiPriority w:val="59"/>
    <w:qFormat/>
    <w:rPr>
      <w:rFonts w:ascii="Calibri" w:hAnsi="Calibri"/>
    </w:rPr>
    <w:tblPr>
      <w:tblCellMar>
        <w:left w:w="0" w:type="dxa"/>
        <w:top w:w="0" w:type="dxa"/>
        <w:right w:w="0" w:type="dxa"/>
        <w:bottom w:w="0" w:type="dxa"/>
      </w:tblCellMar>
    </w:tblPr>
  </w:style>
  <w:style w:type="table" w:styleId="996" w:customStyle="1">
    <w:name w:val="Plain Table 1"/>
    <w:uiPriority w:val="59"/>
    <w:qFormat/>
    <w:rPr>
      <w:rFonts w:ascii="Calibri" w:hAnsi="Calibri"/>
    </w:rPr>
    <w:tblPr>
      <w:tblCellMar>
        <w:left w:w="0" w:type="dxa"/>
        <w:top w:w="0" w:type="dxa"/>
        <w:right w:w="0" w:type="dxa"/>
        <w:bottom w:w="0" w:type="dxa"/>
      </w:tblCellMar>
    </w:tblPr>
  </w:style>
  <w:style w:type="table" w:styleId="997" w:customStyle="1">
    <w:name w:val="Plain Table 2"/>
    <w:uiPriority w:val="59"/>
    <w:qFormat/>
    <w:rPr>
      <w:rFonts w:ascii="Calibri" w:hAnsi="Calibri"/>
    </w:rPr>
    <w:tblPr>
      <w:tblCellMar>
        <w:left w:w="0" w:type="dxa"/>
        <w:top w:w="0" w:type="dxa"/>
        <w:right w:w="0" w:type="dxa"/>
        <w:bottom w:w="0" w:type="dxa"/>
      </w:tblCellMar>
    </w:tblPr>
  </w:style>
  <w:style w:type="table" w:styleId="998" w:customStyle="1">
    <w:name w:val="Plain Table 3"/>
    <w:uiPriority w:val="99"/>
    <w:qFormat/>
    <w:rPr>
      <w:rFonts w:ascii="Calibri" w:hAnsi="Calibri"/>
    </w:rPr>
    <w:tblPr>
      <w:tblCellMar>
        <w:left w:w="0" w:type="dxa"/>
        <w:top w:w="0" w:type="dxa"/>
        <w:right w:w="0" w:type="dxa"/>
        <w:bottom w:w="0" w:type="dxa"/>
      </w:tblCellMar>
    </w:tblPr>
  </w:style>
  <w:style w:type="table" w:styleId="999" w:customStyle="1">
    <w:name w:val="Plain Table 4"/>
    <w:uiPriority w:val="99"/>
    <w:qFormat/>
    <w:rPr>
      <w:rFonts w:ascii="Calibri" w:hAnsi="Calibri"/>
    </w:rPr>
    <w:tblPr>
      <w:tblCellMar>
        <w:left w:w="0" w:type="dxa"/>
        <w:top w:w="0" w:type="dxa"/>
        <w:right w:w="0" w:type="dxa"/>
        <w:bottom w:w="0" w:type="dxa"/>
      </w:tblCellMar>
    </w:tblPr>
  </w:style>
  <w:style w:type="table" w:styleId="1000" w:customStyle="1">
    <w:name w:val="Plain Table 5"/>
    <w:uiPriority w:val="99"/>
    <w:qFormat/>
    <w:rPr>
      <w:rFonts w:ascii="Calibri" w:hAnsi="Calibri"/>
    </w:rPr>
    <w:tblPr>
      <w:tblCellMar>
        <w:left w:w="0" w:type="dxa"/>
        <w:top w:w="0" w:type="dxa"/>
        <w:right w:w="0" w:type="dxa"/>
        <w:bottom w:w="0" w:type="dxa"/>
      </w:tblCellMar>
    </w:tblPr>
  </w:style>
  <w:style w:type="table" w:styleId="1001" w:customStyle="1">
    <w:name w:val="Grid Table 1 Light"/>
    <w:uiPriority w:val="99"/>
    <w:qFormat/>
    <w:rPr>
      <w:rFonts w:ascii="Calibri" w:hAnsi="Calibri"/>
    </w:rPr>
    <w:tblPr>
      <w:tblCellMar>
        <w:left w:w="0" w:type="dxa"/>
        <w:top w:w="0" w:type="dxa"/>
        <w:right w:w="0" w:type="dxa"/>
        <w:bottom w:w="0" w:type="dxa"/>
      </w:tblCellMar>
    </w:tblPr>
  </w:style>
  <w:style w:type="table" w:styleId="1002" w:customStyle="1">
    <w:name w:val="Grid Table 1 Light - Accent 1"/>
    <w:uiPriority w:val="99"/>
    <w:qFormat/>
    <w:rPr>
      <w:rFonts w:ascii="Calibri" w:hAnsi="Calibri"/>
    </w:rPr>
    <w:tblPr>
      <w:tblCellMar>
        <w:left w:w="0" w:type="dxa"/>
        <w:top w:w="0" w:type="dxa"/>
        <w:right w:w="0" w:type="dxa"/>
        <w:bottom w:w="0" w:type="dxa"/>
      </w:tblCellMar>
    </w:tblPr>
  </w:style>
  <w:style w:type="table" w:styleId="1003" w:customStyle="1">
    <w:name w:val="Grid Table 1 Light - Accent 2"/>
    <w:uiPriority w:val="99"/>
    <w:qFormat/>
    <w:rPr>
      <w:rFonts w:ascii="Calibri" w:hAnsi="Calibri"/>
    </w:rPr>
    <w:tblPr>
      <w:tblCellMar>
        <w:left w:w="0" w:type="dxa"/>
        <w:top w:w="0" w:type="dxa"/>
        <w:right w:w="0" w:type="dxa"/>
        <w:bottom w:w="0" w:type="dxa"/>
      </w:tblCellMar>
    </w:tblPr>
  </w:style>
  <w:style w:type="table" w:styleId="1004" w:customStyle="1">
    <w:name w:val="Grid Table 1 Light - Accent 3"/>
    <w:uiPriority w:val="99"/>
    <w:qFormat/>
    <w:rPr>
      <w:rFonts w:ascii="Calibri" w:hAnsi="Calibri"/>
    </w:rPr>
    <w:tblPr>
      <w:tblCellMar>
        <w:left w:w="0" w:type="dxa"/>
        <w:top w:w="0" w:type="dxa"/>
        <w:right w:w="0" w:type="dxa"/>
        <w:bottom w:w="0" w:type="dxa"/>
      </w:tblCellMar>
    </w:tblPr>
  </w:style>
  <w:style w:type="table" w:styleId="1005" w:customStyle="1">
    <w:name w:val="Grid Table 1 Light - Accent 4"/>
    <w:uiPriority w:val="99"/>
    <w:qFormat/>
    <w:rPr>
      <w:rFonts w:ascii="Calibri" w:hAnsi="Calibri"/>
    </w:rPr>
    <w:tblPr>
      <w:tblCellMar>
        <w:left w:w="0" w:type="dxa"/>
        <w:top w:w="0" w:type="dxa"/>
        <w:right w:w="0" w:type="dxa"/>
        <w:bottom w:w="0" w:type="dxa"/>
      </w:tblCellMar>
    </w:tblPr>
  </w:style>
  <w:style w:type="table" w:styleId="1006" w:customStyle="1">
    <w:name w:val="Grid Table 1 Light - Accent 5"/>
    <w:uiPriority w:val="99"/>
    <w:qFormat/>
    <w:rPr>
      <w:rFonts w:ascii="Calibri" w:hAnsi="Calibri"/>
    </w:rPr>
    <w:tblPr>
      <w:tblCellMar>
        <w:left w:w="0" w:type="dxa"/>
        <w:top w:w="0" w:type="dxa"/>
        <w:right w:w="0" w:type="dxa"/>
        <w:bottom w:w="0" w:type="dxa"/>
      </w:tblCellMar>
    </w:tblPr>
  </w:style>
  <w:style w:type="table" w:styleId="1007" w:customStyle="1">
    <w:name w:val="Grid Table 1 Light - Accent 6"/>
    <w:uiPriority w:val="99"/>
    <w:qFormat/>
    <w:rPr>
      <w:rFonts w:ascii="Calibri" w:hAnsi="Calibri"/>
    </w:rPr>
    <w:tblPr>
      <w:tblCellMar>
        <w:left w:w="0" w:type="dxa"/>
        <w:top w:w="0" w:type="dxa"/>
        <w:right w:w="0" w:type="dxa"/>
        <w:bottom w:w="0" w:type="dxa"/>
      </w:tblCellMar>
    </w:tblPr>
  </w:style>
  <w:style w:type="table" w:styleId="1008" w:customStyle="1">
    <w:name w:val="Grid Table 2"/>
    <w:uiPriority w:val="99"/>
    <w:qFormat/>
    <w:rPr>
      <w:rFonts w:ascii="Calibri" w:hAnsi="Calibri"/>
    </w:rPr>
    <w:tblPr>
      <w:tblCellMar>
        <w:left w:w="0" w:type="dxa"/>
        <w:top w:w="0" w:type="dxa"/>
        <w:right w:w="0" w:type="dxa"/>
        <w:bottom w:w="0" w:type="dxa"/>
      </w:tblCellMar>
    </w:tblPr>
  </w:style>
  <w:style w:type="table" w:styleId="1009" w:customStyle="1">
    <w:name w:val="Grid Table 2 - Accent 1"/>
    <w:uiPriority w:val="99"/>
    <w:qFormat/>
    <w:rPr>
      <w:rFonts w:ascii="Calibri" w:hAnsi="Calibri"/>
    </w:rPr>
    <w:tblPr>
      <w:tblCellMar>
        <w:left w:w="0" w:type="dxa"/>
        <w:top w:w="0" w:type="dxa"/>
        <w:right w:w="0" w:type="dxa"/>
        <w:bottom w:w="0" w:type="dxa"/>
      </w:tblCellMar>
    </w:tblPr>
  </w:style>
  <w:style w:type="table" w:styleId="1010" w:customStyle="1">
    <w:name w:val="Grid Table 2 - Accent 2"/>
    <w:uiPriority w:val="99"/>
    <w:qFormat/>
    <w:rPr>
      <w:rFonts w:ascii="Calibri" w:hAnsi="Calibri"/>
    </w:rPr>
    <w:tblPr>
      <w:tblCellMar>
        <w:left w:w="0" w:type="dxa"/>
        <w:top w:w="0" w:type="dxa"/>
        <w:right w:w="0" w:type="dxa"/>
        <w:bottom w:w="0" w:type="dxa"/>
      </w:tblCellMar>
    </w:tblPr>
  </w:style>
  <w:style w:type="table" w:styleId="1011" w:customStyle="1">
    <w:name w:val="Grid Table 2 - Accent 3"/>
    <w:uiPriority w:val="99"/>
    <w:qFormat/>
    <w:rPr>
      <w:rFonts w:ascii="Calibri" w:hAnsi="Calibri"/>
    </w:rPr>
    <w:tblPr>
      <w:tblCellMar>
        <w:left w:w="0" w:type="dxa"/>
        <w:top w:w="0" w:type="dxa"/>
        <w:right w:w="0" w:type="dxa"/>
        <w:bottom w:w="0" w:type="dxa"/>
      </w:tblCellMar>
    </w:tblPr>
  </w:style>
  <w:style w:type="table" w:styleId="1012" w:customStyle="1">
    <w:name w:val="Grid Table 2 - Accent 4"/>
    <w:uiPriority w:val="99"/>
    <w:qFormat/>
    <w:rPr>
      <w:rFonts w:ascii="Calibri" w:hAnsi="Calibri"/>
    </w:rPr>
    <w:tblPr>
      <w:tblCellMar>
        <w:left w:w="0" w:type="dxa"/>
        <w:top w:w="0" w:type="dxa"/>
        <w:right w:w="0" w:type="dxa"/>
        <w:bottom w:w="0" w:type="dxa"/>
      </w:tblCellMar>
    </w:tblPr>
  </w:style>
  <w:style w:type="table" w:styleId="1013" w:customStyle="1">
    <w:name w:val="Grid Table 2 - Accent 5"/>
    <w:uiPriority w:val="99"/>
    <w:qFormat/>
    <w:rPr>
      <w:rFonts w:ascii="Calibri" w:hAnsi="Calibri"/>
    </w:rPr>
    <w:tblPr>
      <w:tblCellMar>
        <w:left w:w="0" w:type="dxa"/>
        <w:top w:w="0" w:type="dxa"/>
        <w:right w:w="0" w:type="dxa"/>
        <w:bottom w:w="0" w:type="dxa"/>
      </w:tblCellMar>
    </w:tblPr>
  </w:style>
  <w:style w:type="table" w:styleId="1014" w:customStyle="1">
    <w:name w:val="Grid Table 2 - Accent 6"/>
    <w:uiPriority w:val="99"/>
    <w:qFormat/>
    <w:rPr>
      <w:rFonts w:ascii="Calibri" w:hAnsi="Calibri"/>
    </w:rPr>
    <w:tblPr>
      <w:tblCellMar>
        <w:left w:w="0" w:type="dxa"/>
        <w:top w:w="0" w:type="dxa"/>
        <w:right w:w="0" w:type="dxa"/>
        <w:bottom w:w="0" w:type="dxa"/>
      </w:tblCellMar>
    </w:tblPr>
  </w:style>
  <w:style w:type="table" w:styleId="1015" w:customStyle="1">
    <w:name w:val="Grid Table 3"/>
    <w:uiPriority w:val="99"/>
    <w:qFormat/>
    <w:rPr>
      <w:rFonts w:ascii="Calibri" w:hAnsi="Calibri"/>
    </w:rPr>
    <w:tblPr>
      <w:tblCellMar>
        <w:left w:w="0" w:type="dxa"/>
        <w:top w:w="0" w:type="dxa"/>
        <w:right w:w="0" w:type="dxa"/>
        <w:bottom w:w="0" w:type="dxa"/>
      </w:tblCellMar>
    </w:tblPr>
  </w:style>
  <w:style w:type="table" w:styleId="1016" w:customStyle="1">
    <w:name w:val="Grid Table 3 - Accent 1"/>
    <w:uiPriority w:val="99"/>
    <w:qFormat/>
    <w:rPr>
      <w:rFonts w:ascii="Calibri" w:hAnsi="Calibri"/>
    </w:rPr>
    <w:tblPr>
      <w:tblCellMar>
        <w:left w:w="0" w:type="dxa"/>
        <w:top w:w="0" w:type="dxa"/>
        <w:right w:w="0" w:type="dxa"/>
        <w:bottom w:w="0" w:type="dxa"/>
      </w:tblCellMar>
    </w:tblPr>
  </w:style>
  <w:style w:type="table" w:styleId="1017" w:customStyle="1">
    <w:name w:val="Grid Table 3 - Accent 2"/>
    <w:uiPriority w:val="99"/>
    <w:qFormat/>
    <w:rPr>
      <w:rFonts w:ascii="Calibri" w:hAnsi="Calibri"/>
    </w:rPr>
    <w:tblPr>
      <w:tblCellMar>
        <w:left w:w="0" w:type="dxa"/>
        <w:top w:w="0" w:type="dxa"/>
        <w:right w:w="0" w:type="dxa"/>
        <w:bottom w:w="0" w:type="dxa"/>
      </w:tblCellMar>
    </w:tblPr>
  </w:style>
  <w:style w:type="table" w:styleId="1018" w:customStyle="1">
    <w:name w:val="Grid Table 3 - Accent 3"/>
    <w:uiPriority w:val="99"/>
    <w:qFormat/>
    <w:rPr>
      <w:rFonts w:ascii="Calibri" w:hAnsi="Calibri"/>
    </w:rPr>
    <w:tblPr>
      <w:tblCellMar>
        <w:left w:w="0" w:type="dxa"/>
        <w:top w:w="0" w:type="dxa"/>
        <w:right w:w="0" w:type="dxa"/>
        <w:bottom w:w="0" w:type="dxa"/>
      </w:tblCellMar>
    </w:tblPr>
  </w:style>
  <w:style w:type="table" w:styleId="1019" w:customStyle="1">
    <w:name w:val="Grid Table 3 - Accent 4"/>
    <w:uiPriority w:val="99"/>
    <w:qFormat/>
    <w:rPr>
      <w:rFonts w:ascii="Calibri" w:hAnsi="Calibri"/>
    </w:rPr>
    <w:tblPr>
      <w:tblCellMar>
        <w:left w:w="0" w:type="dxa"/>
        <w:top w:w="0" w:type="dxa"/>
        <w:right w:w="0" w:type="dxa"/>
        <w:bottom w:w="0" w:type="dxa"/>
      </w:tblCellMar>
    </w:tblPr>
  </w:style>
  <w:style w:type="table" w:styleId="1020" w:customStyle="1">
    <w:name w:val="Grid Table 3 - Accent 5"/>
    <w:uiPriority w:val="99"/>
    <w:qFormat/>
    <w:rPr>
      <w:rFonts w:ascii="Calibri" w:hAnsi="Calibri"/>
    </w:rPr>
    <w:tblPr>
      <w:tblCellMar>
        <w:left w:w="0" w:type="dxa"/>
        <w:top w:w="0" w:type="dxa"/>
        <w:right w:w="0" w:type="dxa"/>
        <w:bottom w:w="0" w:type="dxa"/>
      </w:tblCellMar>
    </w:tblPr>
  </w:style>
  <w:style w:type="table" w:styleId="1021" w:customStyle="1">
    <w:name w:val="Grid Table 3 - Accent 6"/>
    <w:uiPriority w:val="99"/>
    <w:qFormat/>
    <w:rPr>
      <w:rFonts w:ascii="Calibri" w:hAnsi="Calibri"/>
    </w:rPr>
    <w:tblPr>
      <w:tblCellMar>
        <w:left w:w="0" w:type="dxa"/>
        <w:top w:w="0" w:type="dxa"/>
        <w:right w:w="0" w:type="dxa"/>
        <w:bottom w:w="0" w:type="dxa"/>
      </w:tblCellMar>
    </w:tblPr>
  </w:style>
  <w:style w:type="table" w:styleId="1022" w:customStyle="1">
    <w:name w:val="Grid Table 4"/>
    <w:uiPriority w:val="59"/>
    <w:qFormat/>
    <w:rPr>
      <w:rFonts w:ascii="Calibri" w:hAnsi="Calibri"/>
    </w:rPr>
    <w:tblPr>
      <w:tblCellMar>
        <w:left w:w="0" w:type="dxa"/>
        <w:top w:w="0" w:type="dxa"/>
        <w:right w:w="0" w:type="dxa"/>
        <w:bottom w:w="0" w:type="dxa"/>
      </w:tblCellMar>
    </w:tblPr>
  </w:style>
  <w:style w:type="table" w:styleId="1023" w:customStyle="1">
    <w:name w:val="Grid Table 4 - Accent 1"/>
    <w:uiPriority w:val="59"/>
    <w:qFormat/>
    <w:rPr>
      <w:rFonts w:ascii="Calibri" w:hAnsi="Calibri"/>
    </w:rPr>
    <w:tblPr>
      <w:tblCellMar>
        <w:left w:w="0" w:type="dxa"/>
        <w:top w:w="0" w:type="dxa"/>
        <w:right w:w="0" w:type="dxa"/>
        <w:bottom w:w="0" w:type="dxa"/>
      </w:tblCellMar>
    </w:tblPr>
  </w:style>
  <w:style w:type="table" w:styleId="1024" w:customStyle="1">
    <w:name w:val="Grid Table 4 - Accent 2"/>
    <w:uiPriority w:val="59"/>
    <w:qFormat/>
    <w:rPr>
      <w:rFonts w:ascii="Calibri" w:hAnsi="Calibri"/>
    </w:rPr>
    <w:tblPr>
      <w:tblCellMar>
        <w:left w:w="0" w:type="dxa"/>
        <w:top w:w="0" w:type="dxa"/>
        <w:right w:w="0" w:type="dxa"/>
        <w:bottom w:w="0" w:type="dxa"/>
      </w:tblCellMar>
    </w:tblPr>
  </w:style>
  <w:style w:type="table" w:styleId="1025" w:customStyle="1">
    <w:name w:val="Grid Table 4 - Accent 3"/>
    <w:uiPriority w:val="59"/>
    <w:qFormat/>
    <w:rPr>
      <w:rFonts w:ascii="Calibri" w:hAnsi="Calibri"/>
    </w:rPr>
    <w:tblPr>
      <w:tblCellMar>
        <w:left w:w="0" w:type="dxa"/>
        <w:top w:w="0" w:type="dxa"/>
        <w:right w:w="0" w:type="dxa"/>
        <w:bottom w:w="0" w:type="dxa"/>
      </w:tblCellMar>
    </w:tblPr>
  </w:style>
  <w:style w:type="table" w:styleId="1026" w:customStyle="1">
    <w:name w:val="Grid Table 4 - Accent 4"/>
    <w:uiPriority w:val="59"/>
    <w:qFormat/>
    <w:rPr>
      <w:rFonts w:ascii="Calibri" w:hAnsi="Calibri"/>
    </w:rPr>
    <w:tblPr>
      <w:tblCellMar>
        <w:left w:w="0" w:type="dxa"/>
        <w:top w:w="0" w:type="dxa"/>
        <w:right w:w="0" w:type="dxa"/>
        <w:bottom w:w="0" w:type="dxa"/>
      </w:tblCellMar>
    </w:tblPr>
  </w:style>
  <w:style w:type="table" w:styleId="1027" w:customStyle="1">
    <w:name w:val="Grid Table 4 - Accent 5"/>
    <w:uiPriority w:val="59"/>
    <w:qFormat/>
    <w:rPr>
      <w:rFonts w:ascii="Calibri" w:hAnsi="Calibri"/>
    </w:rPr>
    <w:tblPr>
      <w:tblCellMar>
        <w:left w:w="0" w:type="dxa"/>
        <w:top w:w="0" w:type="dxa"/>
        <w:right w:w="0" w:type="dxa"/>
        <w:bottom w:w="0" w:type="dxa"/>
      </w:tblCellMar>
    </w:tblPr>
  </w:style>
  <w:style w:type="table" w:styleId="1028" w:customStyle="1">
    <w:name w:val="Grid Table 4 - Accent 6"/>
    <w:uiPriority w:val="59"/>
    <w:qFormat/>
    <w:rPr>
      <w:rFonts w:ascii="Calibri" w:hAnsi="Calibri"/>
    </w:rPr>
    <w:tblPr>
      <w:tblCellMar>
        <w:left w:w="0" w:type="dxa"/>
        <w:top w:w="0" w:type="dxa"/>
        <w:right w:w="0" w:type="dxa"/>
        <w:bottom w:w="0" w:type="dxa"/>
      </w:tblCellMar>
    </w:tblPr>
  </w:style>
  <w:style w:type="table" w:styleId="1029" w:customStyle="1">
    <w:name w:val="Grid Table 5 Dark"/>
    <w:uiPriority w:val="99"/>
    <w:qFormat/>
    <w:rPr>
      <w:rFonts w:ascii="Calibri" w:hAnsi="Calibri"/>
    </w:rPr>
    <w:tblPr>
      <w:tblCellMar>
        <w:left w:w="0" w:type="dxa"/>
        <w:top w:w="0" w:type="dxa"/>
        <w:right w:w="0" w:type="dxa"/>
        <w:bottom w:w="0" w:type="dxa"/>
      </w:tblCellMar>
    </w:tblPr>
  </w:style>
  <w:style w:type="table" w:styleId="1030" w:customStyle="1">
    <w:name w:val="Grid Table 5 Dark- Accent 1"/>
    <w:uiPriority w:val="99"/>
    <w:qFormat/>
    <w:rPr>
      <w:rFonts w:ascii="Calibri" w:hAnsi="Calibri"/>
    </w:rPr>
    <w:tblPr>
      <w:tblCellMar>
        <w:left w:w="0" w:type="dxa"/>
        <w:top w:w="0" w:type="dxa"/>
        <w:right w:w="0" w:type="dxa"/>
        <w:bottom w:w="0" w:type="dxa"/>
      </w:tblCellMar>
    </w:tblPr>
  </w:style>
  <w:style w:type="table" w:styleId="1031" w:customStyle="1">
    <w:name w:val="Grid Table 5 Dark - Accent 2"/>
    <w:uiPriority w:val="99"/>
    <w:qFormat/>
    <w:rPr>
      <w:rFonts w:ascii="Calibri" w:hAnsi="Calibri"/>
    </w:rPr>
    <w:tblPr>
      <w:tblCellMar>
        <w:left w:w="0" w:type="dxa"/>
        <w:top w:w="0" w:type="dxa"/>
        <w:right w:w="0" w:type="dxa"/>
        <w:bottom w:w="0" w:type="dxa"/>
      </w:tblCellMar>
    </w:tblPr>
  </w:style>
  <w:style w:type="table" w:styleId="1032" w:customStyle="1">
    <w:name w:val="Grid Table 5 Dark - Accent 3"/>
    <w:uiPriority w:val="99"/>
    <w:qFormat/>
    <w:rPr>
      <w:rFonts w:ascii="Calibri" w:hAnsi="Calibri"/>
    </w:rPr>
    <w:tblPr>
      <w:tblCellMar>
        <w:left w:w="0" w:type="dxa"/>
        <w:top w:w="0" w:type="dxa"/>
        <w:right w:w="0" w:type="dxa"/>
        <w:bottom w:w="0" w:type="dxa"/>
      </w:tblCellMar>
    </w:tblPr>
  </w:style>
  <w:style w:type="table" w:styleId="1033" w:customStyle="1">
    <w:name w:val="Grid Table 5 Dark- Accent 4"/>
    <w:uiPriority w:val="99"/>
    <w:qFormat/>
    <w:rPr>
      <w:rFonts w:ascii="Calibri" w:hAnsi="Calibri"/>
    </w:rPr>
    <w:tblPr>
      <w:tblCellMar>
        <w:left w:w="0" w:type="dxa"/>
        <w:top w:w="0" w:type="dxa"/>
        <w:right w:w="0" w:type="dxa"/>
        <w:bottom w:w="0" w:type="dxa"/>
      </w:tblCellMar>
    </w:tblPr>
  </w:style>
  <w:style w:type="table" w:styleId="1034" w:customStyle="1">
    <w:name w:val="Grid Table 5 Dark - Accent 5"/>
    <w:uiPriority w:val="99"/>
    <w:qFormat/>
    <w:rPr>
      <w:rFonts w:ascii="Calibri" w:hAnsi="Calibri"/>
    </w:rPr>
    <w:tblPr>
      <w:tblCellMar>
        <w:left w:w="0" w:type="dxa"/>
        <w:top w:w="0" w:type="dxa"/>
        <w:right w:w="0" w:type="dxa"/>
        <w:bottom w:w="0" w:type="dxa"/>
      </w:tblCellMar>
    </w:tblPr>
  </w:style>
  <w:style w:type="table" w:styleId="1035" w:customStyle="1">
    <w:name w:val="Grid Table 5 Dark - Accent 6"/>
    <w:uiPriority w:val="99"/>
    <w:qFormat/>
    <w:rPr>
      <w:rFonts w:ascii="Calibri" w:hAnsi="Calibri"/>
    </w:rPr>
    <w:tblPr>
      <w:tblCellMar>
        <w:left w:w="0" w:type="dxa"/>
        <w:top w:w="0" w:type="dxa"/>
        <w:right w:w="0" w:type="dxa"/>
        <w:bottom w:w="0" w:type="dxa"/>
      </w:tblCellMar>
    </w:tblPr>
  </w:style>
  <w:style w:type="table" w:styleId="1036" w:customStyle="1">
    <w:name w:val="Grid Table 6 Colorful"/>
    <w:uiPriority w:val="99"/>
    <w:qFormat/>
    <w:rPr>
      <w:rFonts w:ascii="Calibri" w:hAnsi="Calibri"/>
    </w:rPr>
    <w:tblPr>
      <w:tblCellMar>
        <w:left w:w="0" w:type="dxa"/>
        <w:top w:w="0" w:type="dxa"/>
        <w:right w:w="0" w:type="dxa"/>
        <w:bottom w:w="0" w:type="dxa"/>
      </w:tblCellMar>
    </w:tblPr>
  </w:style>
  <w:style w:type="table" w:styleId="1037"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38"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39"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40"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41"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42"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43" w:customStyle="1">
    <w:name w:val="Grid Table 7 Colorful"/>
    <w:uiPriority w:val="99"/>
    <w:qFormat/>
    <w:rPr>
      <w:rFonts w:ascii="Calibri" w:hAnsi="Calibri"/>
    </w:rPr>
    <w:tblPr>
      <w:tblCellMar>
        <w:left w:w="0" w:type="dxa"/>
        <w:top w:w="0" w:type="dxa"/>
        <w:right w:w="0" w:type="dxa"/>
        <w:bottom w:w="0" w:type="dxa"/>
      </w:tblCellMar>
    </w:tblPr>
  </w:style>
  <w:style w:type="table" w:styleId="1044"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45"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46"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47"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48"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49"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50" w:customStyle="1">
    <w:name w:val="List Table 1 Light"/>
    <w:uiPriority w:val="99"/>
    <w:qFormat/>
    <w:rPr>
      <w:rFonts w:ascii="Calibri" w:hAnsi="Calibri"/>
    </w:rPr>
    <w:tblPr>
      <w:tblCellMar>
        <w:left w:w="0" w:type="dxa"/>
        <w:top w:w="0" w:type="dxa"/>
        <w:right w:w="0" w:type="dxa"/>
        <w:bottom w:w="0" w:type="dxa"/>
      </w:tblCellMar>
    </w:tblPr>
  </w:style>
  <w:style w:type="table" w:styleId="1051" w:customStyle="1">
    <w:name w:val="List Table 1 Light - Accent 1"/>
    <w:uiPriority w:val="99"/>
    <w:qFormat/>
    <w:rPr>
      <w:rFonts w:ascii="Calibri" w:hAnsi="Calibri"/>
    </w:rPr>
    <w:tblPr>
      <w:tblCellMar>
        <w:left w:w="0" w:type="dxa"/>
        <w:top w:w="0" w:type="dxa"/>
        <w:right w:w="0" w:type="dxa"/>
        <w:bottom w:w="0" w:type="dxa"/>
      </w:tblCellMar>
    </w:tblPr>
  </w:style>
  <w:style w:type="table" w:styleId="1052" w:customStyle="1">
    <w:name w:val="List Table 1 Light - Accent 2"/>
    <w:uiPriority w:val="99"/>
    <w:qFormat/>
    <w:rPr>
      <w:rFonts w:ascii="Calibri" w:hAnsi="Calibri"/>
    </w:rPr>
    <w:tblPr>
      <w:tblCellMar>
        <w:left w:w="0" w:type="dxa"/>
        <w:top w:w="0" w:type="dxa"/>
        <w:right w:w="0" w:type="dxa"/>
        <w:bottom w:w="0" w:type="dxa"/>
      </w:tblCellMar>
    </w:tblPr>
  </w:style>
  <w:style w:type="table" w:styleId="1053" w:customStyle="1">
    <w:name w:val="List Table 1 Light - Accent 3"/>
    <w:uiPriority w:val="99"/>
    <w:qFormat/>
    <w:rPr>
      <w:rFonts w:ascii="Calibri" w:hAnsi="Calibri"/>
    </w:rPr>
    <w:tblPr>
      <w:tblCellMar>
        <w:left w:w="0" w:type="dxa"/>
        <w:top w:w="0" w:type="dxa"/>
        <w:right w:w="0" w:type="dxa"/>
        <w:bottom w:w="0" w:type="dxa"/>
      </w:tblCellMar>
    </w:tblPr>
  </w:style>
  <w:style w:type="table" w:styleId="1054" w:customStyle="1">
    <w:name w:val="List Table 1 Light - Accent 4"/>
    <w:uiPriority w:val="99"/>
    <w:qFormat/>
    <w:rPr>
      <w:rFonts w:ascii="Calibri" w:hAnsi="Calibri"/>
    </w:rPr>
    <w:tblPr>
      <w:tblCellMar>
        <w:left w:w="0" w:type="dxa"/>
        <w:top w:w="0" w:type="dxa"/>
        <w:right w:w="0" w:type="dxa"/>
        <w:bottom w:w="0" w:type="dxa"/>
      </w:tblCellMar>
    </w:tblPr>
  </w:style>
  <w:style w:type="table" w:styleId="1055" w:customStyle="1">
    <w:name w:val="List Table 1 Light - Accent 5"/>
    <w:uiPriority w:val="99"/>
    <w:qFormat/>
    <w:rPr>
      <w:rFonts w:ascii="Calibri" w:hAnsi="Calibri"/>
    </w:rPr>
    <w:tblPr>
      <w:tblCellMar>
        <w:left w:w="0" w:type="dxa"/>
        <w:top w:w="0" w:type="dxa"/>
        <w:right w:w="0" w:type="dxa"/>
        <w:bottom w:w="0" w:type="dxa"/>
      </w:tblCellMar>
    </w:tblPr>
  </w:style>
  <w:style w:type="table" w:styleId="1056" w:customStyle="1">
    <w:name w:val="List Table 1 Light - Accent 6"/>
    <w:uiPriority w:val="99"/>
    <w:qFormat/>
    <w:rPr>
      <w:rFonts w:ascii="Calibri" w:hAnsi="Calibri"/>
    </w:rPr>
    <w:tblPr>
      <w:tblCellMar>
        <w:left w:w="0" w:type="dxa"/>
        <w:top w:w="0" w:type="dxa"/>
        <w:right w:w="0" w:type="dxa"/>
        <w:bottom w:w="0" w:type="dxa"/>
      </w:tblCellMar>
    </w:tblPr>
  </w:style>
  <w:style w:type="table" w:styleId="1057" w:customStyle="1">
    <w:name w:val="List Table 2"/>
    <w:uiPriority w:val="99"/>
    <w:qFormat/>
    <w:rPr>
      <w:rFonts w:ascii="Calibri" w:hAnsi="Calibri"/>
    </w:rPr>
    <w:tblPr>
      <w:tblCellMar>
        <w:left w:w="0" w:type="dxa"/>
        <w:top w:w="0" w:type="dxa"/>
        <w:right w:w="0" w:type="dxa"/>
        <w:bottom w:w="0" w:type="dxa"/>
      </w:tblCellMar>
    </w:tblPr>
  </w:style>
  <w:style w:type="table" w:styleId="1058" w:customStyle="1">
    <w:name w:val="List Table 2 - Accent 1"/>
    <w:uiPriority w:val="99"/>
    <w:qFormat/>
    <w:rPr>
      <w:rFonts w:ascii="Calibri" w:hAnsi="Calibri"/>
    </w:rPr>
    <w:tblPr>
      <w:tblCellMar>
        <w:left w:w="0" w:type="dxa"/>
        <w:top w:w="0" w:type="dxa"/>
        <w:right w:w="0" w:type="dxa"/>
        <w:bottom w:w="0" w:type="dxa"/>
      </w:tblCellMar>
    </w:tblPr>
  </w:style>
  <w:style w:type="table" w:styleId="1059" w:customStyle="1">
    <w:name w:val="List Table 2 - Accent 2"/>
    <w:uiPriority w:val="99"/>
    <w:qFormat/>
    <w:rPr>
      <w:rFonts w:ascii="Calibri" w:hAnsi="Calibri"/>
    </w:rPr>
    <w:tblPr>
      <w:tblCellMar>
        <w:left w:w="0" w:type="dxa"/>
        <w:top w:w="0" w:type="dxa"/>
        <w:right w:w="0" w:type="dxa"/>
        <w:bottom w:w="0" w:type="dxa"/>
      </w:tblCellMar>
    </w:tblPr>
  </w:style>
  <w:style w:type="table" w:styleId="1060" w:customStyle="1">
    <w:name w:val="List Table 2 - Accent 3"/>
    <w:uiPriority w:val="99"/>
    <w:qFormat/>
    <w:rPr>
      <w:rFonts w:ascii="Calibri" w:hAnsi="Calibri"/>
    </w:rPr>
    <w:tblPr>
      <w:tblCellMar>
        <w:left w:w="0" w:type="dxa"/>
        <w:top w:w="0" w:type="dxa"/>
        <w:right w:w="0" w:type="dxa"/>
        <w:bottom w:w="0" w:type="dxa"/>
      </w:tblCellMar>
    </w:tblPr>
  </w:style>
  <w:style w:type="table" w:styleId="1061" w:customStyle="1">
    <w:name w:val="List Table 2 - Accent 4"/>
    <w:uiPriority w:val="99"/>
    <w:qFormat/>
    <w:rPr>
      <w:rFonts w:ascii="Calibri" w:hAnsi="Calibri"/>
    </w:rPr>
    <w:tblPr>
      <w:tblCellMar>
        <w:left w:w="0" w:type="dxa"/>
        <w:top w:w="0" w:type="dxa"/>
        <w:right w:w="0" w:type="dxa"/>
        <w:bottom w:w="0" w:type="dxa"/>
      </w:tblCellMar>
    </w:tblPr>
  </w:style>
  <w:style w:type="table" w:styleId="1062" w:customStyle="1">
    <w:name w:val="List Table 2 - Accent 5"/>
    <w:uiPriority w:val="99"/>
    <w:qFormat/>
    <w:rPr>
      <w:rFonts w:ascii="Calibri" w:hAnsi="Calibri"/>
    </w:rPr>
    <w:tblPr>
      <w:tblCellMar>
        <w:left w:w="0" w:type="dxa"/>
        <w:top w:w="0" w:type="dxa"/>
        <w:right w:w="0" w:type="dxa"/>
        <w:bottom w:w="0" w:type="dxa"/>
      </w:tblCellMar>
    </w:tblPr>
  </w:style>
  <w:style w:type="table" w:styleId="1063" w:customStyle="1">
    <w:name w:val="List Table 2 - Accent 6"/>
    <w:uiPriority w:val="99"/>
    <w:qFormat/>
    <w:rPr>
      <w:rFonts w:ascii="Calibri" w:hAnsi="Calibri"/>
    </w:rPr>
    <w:tblPr>
      <w:tblCellMar>
        <w:left w:w="0" w:type="dxa"/>
        <w:top w:w="0" w:type="dxa"/>
        <w:right w:w="0" w:type="dxa"/>
        <w:bottom w:w="0" w:type="dxa"/>
      </w:tblCellMar>
    </w:tblPr>
  </w:style>
  <w:style w:type="table" w:styleId="1064" w:customStyle="1">
    <w:name w:val="List Table 3"/>
    <w:uiPriority w:val="99"/>
    <w:qFormat/>
    <w:rPr>
      <w:rFonts w:ascii="Calibri" w:hAnsi="Calibri"/>
    </w:rPr>
    <w:tblPr>
      <w:tblCellMar>
        <w:left w:w="0" w:type="dxa"/>
        <w:top w:w="0" w:type="dxa"/>
        <w:right w:w="0" w:type="dxa"/>
        <w:bottom w:w="0" w:type="dxa"/>
      </w:tblCellMar>
    </w:tblPr>
  </w:style>
  <w:style w:type="table" w:styleId="1065" w:customStyle="1">
    <w:name w:val="List Table 3 - Accent 1"/>
    <w:uiPriority w:val="99"/>
    <w:qFormat/>
    <w:rPr>
      <w:rFonts w:ascii="Calibri" w:hAnsi="Calibri"/>
    </w:rPr>
    <w:tblPr>
      <w:tblCellMar>
        <w:left w:w="0" w:type="dxa"/>
        <w:top w:w="0" w:type="dxa"/>
        <w:right w:w="0" w:type="dxa"/>
        <w:bottom w:w="0" w:type="dxa"/>
      </w:tblCellMar>
    </w:tblPr>
  </w:style>
  <w:style w:type="table" w:styleId="1066" w:customStyle="1">
    <w:name w:val="List Table 3 - Accent 2"/>
    <w:uiPriority w:val="99"/>
    <w:qFormat/>
    <w:rPr>
      <w:rFonts w:ascii="Calibri" w:hAnsi="Calibri"/>
    </w:rPr>
    <w:tblPr>
      <w:tblCellMar>
        <w:left w:w="0" w:type="dxa"/>
        <w:top w:w="0" w:type="dxa"/>
        <w:right w:w="0" w:type="dxa"/>
        <w:bottom w:w="0" w:type="dxa"/>
      </w:tblCellMar>
    </w:tblPr>
  </w:style>
  <w:style w:type="table" w:styleId="1067" w:customStyle="1">
    <w:name w:val="List Table 3 - Accent 3"/>
    <w:uiPriority w:val="99"/>
    <w:qFormat/>
    <w:rPr>
      <w:rFonts w:ascii="Calibri" w:hAnsi="Calibri"/>
    </w:rPr>
    <w:tblPr>
      <w:tblCellMar>
        <w:left w:w="0" w:type="dxa"/>
        <w:top w:w="0" w:type="dxa"/>
        <w:right w:w="0" w:type="dxa"/>
        <w:bottom w:w="0" w:type="dxa"/>
      </w:tblCellMar>
    </w:tblPr>
  </w:style>
  <w:style w:type="table" w:styleId="1068" w:customStyle="1">
    <w:name w:val="List Table 3 - Accent 4"/>
    <w:uiPriority w:val="99"/>
    <w:qFormat/>
    <w:rPr>
      <w:rFonts w:ascii="Calibri" w:hAnsi="Calibri"/>
    </w:rPr>
    <w:tblPr>
      <w:tblCellMar>
        <w:left w:w="0" w:type="dxa"/>
        <w:top w:w="0" w:type="dxa"/>
        <w:right w:w="0" w:type="dxa"/>
        <w:bottom w:w="0" w:type="dxa"/>
      </w:tblCellMar>
    </w:tblPr>
  </w:style>
  <w:style w:type="table" w:styleId="1069" w:customStyle="1">
    <w:name w:val="List Table 3 - Accent 5"/>
    <w:uiPriority w:val="99"/>
    <w:qFormat/>
    <w:rPr>
      <w:rFonts w:ascii="Calibri" w:hAnsi="Calibri"/>
    </w:rPr>
    <w:tblPr>
      <w:tblCellMar>
        <w:left w:w="0" w:type="dxa"/>
        <w:top w:w="0" w:type="dxa"/>
        <w:right w:w="0" w:type="dxa"/>
        <w:bottom w:w="0" w:type="dxa"/>
      </w:tblCellMar>
    </w:tblPr>
  </w:style>
  <w:style w:type="table" w:styleId="1070" w:customStyle="1">
    <w:name w:val="List Table 3 - Accent 6"/>
    <w:uiPriority w:val="99"/>
    <w:qFormat/>
    <w:rPr>
      <w:rFonts w:ascii="Calibri" w:hAnsi="Calibri"/>
    </w:rPr>
    <w:tblPr>
      <w:tblCellMar>
        <w:left w:w="0" w:type="dxa"/>
        <w:top w:w="0" w:type="dxa"/>
        <w:right w:w="0" w:type="dxa"/>
        <w:bottom w:w="0" w:type="dxa"/>
      </w:tblCellMar>
    </w:tblPr>
  </w:style>
  <w:style w:type="table" w:styleId="1071" w:customStyle="1">
    <w:name w:val="List Table 4"/>
    <w:uiPriority w:val="99"/>
    <w:qFormat/>
    <w:rPr>
      <w:rFonts w:ascii="Calibri" w:hAnsi="Calibri"/>
    </w:rPr>
    <w:tblPr>
      <w:tblCellMar>
        <w:left w:w="0" w:type="dxa"/>
        <w:top w:w="0" w:type="dxa"/>
        <w:right w:w="0" w:type="dxa"/>
        <w:bottom w:w="0" w:type="dxa"/>
      </w:tblCellMar>
    </w:tblPr>
  </w:style>
  <w:style w:type="table" w:styleId="1072" w:customStyle="1">
    <w:name w:val="List Table 4 - Accent 1"/>
    <w:uiPriority w:val="99"/>
    <w:qFormat/>
    <w:rPr>
      <w:rFonts w:ascii="Calibri" w:hAnsi="Calibri"/>
    </w:rPr>
    <w:tblPr>
      <w:tblCellMar>
        <w:left w:w="0" w:type="dxa"/>
        <w:top w:w="0" w:type="dxa"/>
        <w:right w:w="0" w:type="dxa"/>
        <w:bottom w:w="0" w:type="dxa"/>
      </w:tblCellMar>
    </w:tblPr>
  </w:style>
  <w:style w:type="table" w:styleId="1073" w:customStyle="1">
    <w:name w:val="List Table 4 - Accent 2"/>
    <w:uiPriority w:val="99"/>
    <w:qFormat/>
    <w:rPr>
      <w:rFonts w:ascii="Calibri" w:hAnsi="Calibri"/>
    </w:rPr>
    <w:tblPr>
      <w:tblCellMar>
        <w:left w:w="0" w:type="dxa"/>
        <w:top w:w="0" w:type="dxa"/>
        <w:right w:w="0" w:type="dxa"/>
        <w:bottom w:w="0" w:type="dxa"/>
      </w:tblCellMar>
    </w:tblPr>
  </w:style>
  <w:style w:type="table" w:styleId="1074" w:customStyle="1">
    <w:name w:val="List Table 4 - Accent 3"/>
    <w:uiPriority w:val="99"/>
    <w:qFormat/>
    <w:rPr>
      <w:rFonts w:ascii="Calibri" w:hAnsi="Calibri"/>
    </w:rPr>
    <w:tblPr>
      <w:tblCellMar>
        <w:left w:w="0" w:type="dxa"/>
        <w:top w:w="0" w:type="dxa"/>
        <w:right w:w="0" w:type="dxa"/>
        <w:bottom w:w="0" w:type="dxa"/>
      </w:tblCellMar>
    </w:tblPr>
  </w:style>
  <w:style w:type="table" w:styleId="1075" w:customStyle="1">
    <w:name w:val="List Table 4 - Accent 4"/>
    <w:uiPriority w:val="99"/>
    <w:qFormat/>
    <w:rPr>
      <w:rFonts w:ascii="Calibri" w:hAnsi="Calibri"/>
    </w:rPr>
    <w:tblPr>
      <w:tblCellMar>
        <w:left w:w="0" w:type="dxa"/>
        <w:top w:w="0" w:type="dxa"/>
        <w:right w:w="0" w:type="dxa"/>
        <w:bottom w:w="0" w:type="dxa"/>
      </w:tblCellMar>
    </w:tblPr>
  </w:style>
  <w:style w:type="table" w:styleId="1076" w:customStyle="1">
    <w:name w:val="List Table 4 - Accent 5"/>
    <w:uiPriority w:val="99"/>
    <w:qFormat/>
    <w:rPr>
      <w:rFonts w:ascii="Calibri" w:hAnsi="Calibri"/>
    </w:rPr>
    <w:tblPr>
      <w:tblCellMar>
        <w:left w:w="0" w:type="dxa"/>
        <w:top w:w="0" w:type="dxa"/>
        <w:right w:w="0" w:type="dxa"/>
        <w:bottom w:w="0" w:type="dxa"/>
      </w:tblCellMar>
    </w:tblPr>
  </w:style>
  <w:style w:type="table" w:styleId="1077" w:customStyle="1">
    <w:name w:val="List Table 4 - Accent 6"/>
    <w:uiPriority w:val="99"/>
    <w:qFormat/>
    <w:rPr>
      <w:rFonts w:ascii="Calibri" w:hAnsi="Calibri"/>
    </w:rPr>
    <w:tblPr>
      <w:tblCellMar>
        <w:left w:w="0" w:type="dxa"/>
        <w:top w:w="0" w:type="dxa"/>
        <w:right w:w="0" w:type="dxa"/>
        <w:bottom w:w="0" w:type="dxa"/>
      </w:tblCellMar>
    </w:tblPr>
  </w:style>
  <w:style w:type="table" w:styleId="1078" w:customStyle="1">
    <w:name w:val="List Table 5 Dark"/>
    <w:uiPriority w:val="99"/>
    <w:qFormat/>
    <w:rPr>
      <w:rFonts w:ascii="Calibri" w:hAnsi="Calibri"/>
    </w:rPr>
    <w:tblPr>
      <w:tblCellMar>
        <w:left w:w="0" w:type="dxa"/>
        <w:top w:w="0" w:type="dxa"/>
        <w:right w:w="0" w:type="dxa"/>
        <w:bottom w:w="0" w:type="dxa"/>
      </w:tblCellMar>
    </w:tblPr>
  </w:style>
  <w:style w:type="table" w:styleId="1079" w:customStyle="1">
    <w:name w:val="List Table 5 Dark - Accent 1"/>
    <w:uiPriority w:val="99"/>
    <w:qFormat/>
    <w:rPr>
      <w:rFonts w:ascii="Calibri" w:hAnsi="Calibri"/>
    </w:rPr>
    <w:tblPr>
      <w:tblCellMar>
        <w:left w:w="0" w:type="dxa"/>
        <w:top w:w="0" w:type="dxa"/>
        <w:right w:w="0" w:type="dxa"/>
        <w:bottom w:w="0" w:type="dxa"/>
      </w:tblCellMar>
    </w:tblPr>
  </w:style>
  <w:style w:type="table" w:styleId="1080" w:customStyle="1">
    <w:name w:val="List Table 5 Dark - Accent 2"/>
    <w:uiPriority w:val="99"/>
    <w:qFormat/>
    <w:rPr>
      <w:rFonts w:ascii="Calibri" w:hAnsi="Calibri"/>
    </w:rPr>
    <w:tblPr>
      <w:tblCellMar>
        <w:left w:w="0" w:type="dxa"/>
        <w:top w:w="0" w:type="dxa"/>
        <w:right w:w="0" w:type="dxa"/>
        <w:bottom w:w="0" w:type="dxa"/>
      </w:tblCellMar>
    </w:tblPr>
  </w:style>
  <w:style w:type="table" w:styleId="1081" w:customStyle="1">
    <w:name w:val="List Table 5 Dark - Accent 3"/>
    <w:uiPriority w:val="99"/>
    <w:qFormat/>
    <w:rPr>
      <w:rFonts w:ascii="Calibri" w:hAnsi="Calibri"/>
    </w:rPr>
    <w:tblPr>
      <w:tblCellMar>
        <w:left w:w="0" w:type="dxa"/>
        <w:top w:w="0" w:type="dxa"/>
        <w:right w:w="0" w:type="dxa"/>
        <w:bottom w:w="0" w:type="dxa"/>
      </w:tblCellMar>
    </w:tblPr>
  </w:style>
  <w:style w:type="table" w:styleId="1082" w:customStyle="1">
    <w:name w:val="List Table 5 Dark - Accent 4"/>
    <w:uiPriority w:val="99"/>
    <w:qFormat/>
    <w:rPr>
      <w:rFonts w:ascii="Calibri" w:hAnsi="Calibri"/>
    </w:rPr>
    <w:tblPr>
      <w:tblCellMar>
        <w:left w:w="0" w:type="dxa"/>
        <w:top w:w="0" w:type="dxa"/>
        <w:right w:w="0" w:type="dxa"/>
        <w:bottom w:w="0" w:type="dxa"/>
      </w:tblCellMar>
    </w:tblPr>
  </w:style>
  <w:style w:type="table" w:styleId="1083" w:customStyle="1">
    <w:name w:val="List Table 5 Dark - Accent 5"/>
    <w:uiPriority w:val="99"/>
    <w:qFormat/>
    <w:rPr>
      <w:rFonts w:ascii="Calibri" w:hAnsi="Calibri"/>
    </w:rPr>
    <w:tblPr>
      <w:tblCellMar>
        <w:left w:w="0" w:type="dxa"/>
        <w:top w:w="0" w:type="dxa"/>
        <w:right w:w="0" w:type="dxa"/>
        <w:bottom w:w="0" w:type="dxa"/>
      </w:tblCellMar>
    </w:tblPr>
  </w:style>
  <w:style w:type="table" w:styleId="1084" w:customStyle="1">
    <w:name w:val="List Table 5 Dark - Accent 6"/>
    <w:uiPriority w:val="99"/>
    <w:qFormat/>
    <w:rPr>
      <w:rFonts w:ascii="Calibri" w:hAnsi="Calibri"/>
    </w:rPr>
    <w:tblPr>
      <w:tblCellMar>
        <w:left w:w="0" w:type="dxa"/>
        <w:top w:w="0" w:type="dxa"/>
        <w:right w:w="0" w:type="dxa"/>
        <w:bottom w:w="0" w:type="dxa"/>
      </w:tblCellMar>
    </w:tblPr>
  </w:style>
  <w:style w:type="table" w:styleId="1085" w:customStyle="1">
    <w:name w:val="List Table 6 Colorful"/>
    <w:uiPriority w:val="99"/>
    <w:qFormat/>
    <w:rPr>
      <w:rFonts w:ascii="Calibri" w:hAnsi="Calibri"/>
    </w:rPr>
    <w:tblPr>
      <w:tblCellMar>
        <w:left w:w="0" w:type="dxa"/>
        <w:top w:w="0" w:type="dxa"/>
        <w:right w:w="0" w:type="dxa"/>
        <w:bottom w:w="0" w:type="dxa"/>
      </w:tblCellMar>
    </w:tblPr>
  </w:style>
  <w:style w:type="table" w:styleId="1086"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87"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88"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89"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90"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91"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92" w:customStyle="1">
    <w:name w:val="List Table 7 Colorful"/>
    <w:uiPriority w:val="99"/>
    <w:qFormat/>
    <w:rPr>
      <w:rFonts w:ascii="Calibri" w:hAnsi="Calibri"/>
    </w:rPr>
    <w:tblPr>
      <w:tblCellMar>
        <w:left w:w="0" w:type="dxa"/>
        <w:top w:w="0" w:type="dxa"/>
        <w:right w:w="0" w:type="dxa"/>
        <w:bottom w:w="0" w:type="dxa"/>
      </w:tblCellMar>
    </w:tblPr>
  </w:style>
  <w:style w:type="table" w:styleId="109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9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9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9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9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9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9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0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0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0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0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0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0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0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0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0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0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1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1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1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13" w:customStyle="1">
    <w:name w:val="Bordered"/>
    <w:uiPriority w:val="99"/>
    <w:qFormat/>
    <w:rPr>
      <w:rFonts w:ascii="Calibri" w:hAnsi="Calibri"/>
    </w:rPr>
    <w:tblPr>
      <w:tblCellMar>
        <w:left w:w="0" w:type="dxa"/>
        <w:top w:w="0" w:type="dxa"/>
        <w:right w:w="0" w:type="dxa"/>
        <w:bottom w:w="0" w:type="dxa"/>
      </w:tblCellMar>
    </w:tblPr>
  </w:style>
  <w:style w:type="table" w:styleId="1114" w:customStyle="1">
    <w:name w:val="Bordered - Accent 1"/>
    <w:uiPriority w:val="99"/>
    <w:qFormat/>
    <w:rPr>
      <w:rFonts w:ascii="Calibri" w:hAnsi="Calibri"/>
    </w:rPr>
    <w:tblPr>
      <w:tblCellMar>
        <w:left w:w="0" w:type="dxa"/>
        <w:top w:w="0" w:type="dxa"/>
        <w:right w:w="0" w:type="dxa"/>
        <w:bottom w:w="0" w:type="dxa"/>
      </w:tblCellMar>
    </w:tblPr>
  </w:style>
  <w:style w:type="table" w:styleId="1115" w:customStyle="1">
    <w:name w:val="Bordered - Accent 2"/>
    <w:uiPriority w:val="99"/>
    <w:qFormat/>
    <w:rPr>
      <w:rFonts w:ascii="Calibri" w:hAnsi="Calibri"/>
    </w:rPr>
    <w:tblPr>
      <w:tblCellMar>
        <w:left w:w="0" w:type="dxa"/>
        <w:top w:w="0" w:type="dxa"/>
        <w:right w:w="0" w:type="dxa"/>
        <w:bottom w:w="0" w:type="dxa"/>
      </w:tblCellMar>
    </w:tblPr>
  </w:style>
  <w:style w:type="table" w:styleId="1116" w:customStyle="1">
    <w:name w:val="Bordered - Accent 3"/>
    <w:uiPriority w:val="99"/>
    <w:qFormat/>
    <w:rPr>
      <w:rFonts w:ascii="Calibri" w:hAnsi="Calibri"/>
    </w:rPr>
    <w:tblPr>
      <w:tblCellMar>
        <w:left w:w="0" w:type="dxa"/>
        <w:top w:w="0" w:type="dxa"/>
        <w:right w:w="0" w:type="dxa"/>
        <w:bottom w:w="0" w:type="dxa"/>
      </w:tblCellMar>
    </w:tblPr>
  </w:style>
  <w:style w:type="table" w:styleId="1117" w:customStyle="1">
    <w:name w:val="Bordered - Accent 4"/>
    <w:uiPriority w:val="99"/>
    <w:qFormat/>
    <w:rPr>
      <w:rFonts w:ascii="Calibri" w:hAnsi="Calibri"/>
    </w:rPr>
    <w:tblPr>
      <w:tblCellMar>
        <w:left w:w="0" w:type="dxa"/>
        <w:top w:w="0" w:type="dxa"/>
        <w:right w:w="0" w:type="dxa"/>
        <w:bottom w:w="0" w:type="dxa"/>
      </w:tblCellMar>
    </w:tblPr>
  </w:style>
  <w:style w:type="table" w:styleId="1118" w:customStyle="1">
    <w:name w:val="Bordered - Accent 5"/>
    <w:uiPriority w:val="99"/>
    <w:qFormat/>
    <w:rPr>
      <w:rFonts w:ascii="Calibri" w:hAnsi="Calibri"/>
    </w:rPr>
    <w:tblPr>
      <w:tblCellMar>
        <w:left w:w="0" w:type="dxa"/>
        <w:top w:w="0" w:type="dxa"/>
        <w:right w:w="0" w:type="dxa"/>
        <w:bottom w:w="0" w:type="dxa"/>
      </w:tblCellMar>
    </w:tblPr>
  </w:style>
  <w:style w:type="table" w:styleId="1119" w:customStyle="1">
    <w:name w:val="Bordered - Accent 6"/>
    <w:uiPriority w:val="99"/>
    <w:qFormat/>
    <w:rPr>
      <w:rFonts w:ascii="Calibri" w:hAnsi="Calibri"/>
    </w:rPr>
    <w:tblPr>
      <w:tblCellMar>
        <w:left w:w="0" w:type="dxa"/>
        <w:top w:w="0" w:type="dxa"/>
        <w:right w:w="0" w:type="dxa"/>
        <w:bottom w:w="0" w:type="dxa"/>
      </w:tblCellMar>
    </w:tblPr>
  </w:style>
  <w:style w:type="paragraph" w:styleId="1120" w:customStyle="1">
    <w:name w:val="TOC 标题1"/>
    <w:uiPriority w:val="39"/>
    <w:unhideWhenUsed/>
    <w:qFormat/>
    <w:rPr>
      <w:rFonts w:hint="default" w:ascii="Calibri" w:hAnsi="Calibri" w:eastAsia="宋体" w:cs="Times New Roman"/>
      <w:lang w:val="en-US" w:eastAsia="zh-CN" w:bidi="ar-SA"/>
    </w:rPr>
  </w:style>
  <w:style w:type="paragraph" w:styleId="1121" w:customStyle="1">
    <w:name w:val="标题 11"/>
    <w:basedOn w:val="796"/>
    <w:next w:val="796"/>
    <w:link w:val="1122"/>
    <w:uiPriority w:val="0"/>
    <w:qFormat/>
    <w:pPr>
      <w:jc w:val="center"/>
      <w:keepNext/>
      <w:outlineLvl w:val="0"/>
    </w:pPr>
    <w:rPr>
      <w:rFonts w:ascii="楷体_GB2312" w:hAnsi="Times New Roman" w:eastAsia="楷体_GB2312"/>
      <w:sz w:val="28"/>
      <w:szCs w:val="28"/>
      <w:lang w:eastAsia="en-US"/>
    </w:rPr>
  </w:style>
  <w:style w:type="character" w:styleId="1122" w:customStyle="1">
    <w:name w:val="标题 1 Char"/>
    <w:link w:val="1121"/>
    <w:uiPriority w:val="0"/>
    <w:qFormat/>
    <w:rPr>
      <w:rFonts w:ascii="楷体_GB2312" w:hAnsi="Times New Roman" w:eastAsia="楷体_GB2312" w:cs="Times New Roman"/>
      <w:sz w:val="28"/>
      <w:szCs w:val="28"/>
      <w:lang w:eastAsia="en-US"/>
    </w:rPr>
  </w:style>
  <w:style w:type="paragraph" w:styleId="1123" w:customStyle="1">
    <w:name w:val="标题 21"/>
    <w:basedOn w:val="796"/>
    <w:next w:val="1124"/>
    <w:link w:val="112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24" w:customStyle="1">
    <w:name w:val="正文缩进1"/>
    <w:basedOn w:val="796"/>
    <w:link w:val="1126"/>
    <w:uiPriority w:val="0"/>
    <w:qFormat/>
    <w:pPr>
      <w:ind w:firstLine="420"/>
    </w:pPr>
    <w:rPr>
      <w:rFonts w:ascii="Times New Roman" w:hAnsi="Times New Roman" w:eastAsia="宋体"/>
      <w:sz w:val="20"/>
      <w:szCs w:val="21"/>
      <w:lang w:eastAsia="en-US"/>
    </w:rPr>
  </w:style>
  <w:style w:type="character" w:styleId="1125" w:customStyle="1">
    <w:name w:val="标题 2 Char"/>
    <w:link w:val="1123"/>
    <w:uiPriority w:val="0"/>
    <w:qFormat/>
    <w:rPr>
      <w:rFonts w:ascii="Arial" w:hAnsi="Arial" w:eastAsia="幼圆" w:cs="Times New Roman"/>
      <w:b/>
      <w:bCs/>
      <w:sz w:val="44"/>
      <w:szCs w:val="44"/>
      <w:lang w:eastAsia="en-US"/>
    </w:rPr>
  </w:style>
  <w:style w:type="character" w:styleId="1126" w:customStyle="1">
    <w:name w:val="正文缩进 Char"/>
    <w:link w:val="1124"/>
    <w:uiPriority w:val="0"/>
    <w:qFormat/>
    <w:rPr>
      <w:rFonts w:ascii="Times New Roman" w:hAnsi="Times New Roman" w:eastAsia="宋体" w:cs="Times New Roman"/>
      <w:szCs w:val="21"/>
      <w:lang w:eastAsia="en-US"/>
    </w:rPr>
  </w:style>
  <w:style w:type="paragraph" w:styleId="1127" w:customStyle="1">
    <w:name w:val="标题 41"/>
    <w:basedOn w:val="796"/>
    <w:next w:val="1124"/>
    <w:link w:val="1128"/>
    <w:uiPriority w:val="0"/>
    <w:qFormat/>
    <w:pPr>
      <w:keepLines/>
      <w:keepNext/>
      <w:spacing w:before="280" w:after="290" w:line="376" w:lineRule="auto"/>
      <w:outlineLvl w:val="3"/>
    </w:pPr>
    <w:rPr>
      <w:rFonts w:ascii="Arial" w:hAnsi="Arial" w:eastAsia="黑体"/>
      <w:b/>
      <w:bCs/>
      <w:sz w:val="28"/>
      <w:szCs w:val="28"/>
      <w:lang w:eastAsia="en-US"/>
    </w:rPr>
  </w:style>
  <w:style w:type="character" w:styleId="1128" w:customStyle="1">
    <w:name w:val="标题 4 Char"/>
    <w:link w:val="1127"/>
    <w:uiPriority w:val="0"/>
    <w:qFormat/>
    <w:rPr>
      <w:rFonts w:ascii="Arial" w:hAnsi="Arial" w:eastAsia="黑体" w:cs="Times New Roman"/>
      <w:b/>
      <w:bCs/>
      <w:sz w:val="28"/>
      <w:szCs w:val="28"/>
      <w:lang w:eastAsia="en-US"/>
    </w:rPr>
  </w:style>
  <w:style w:type="paragraph" w:styleId="1129" w:customStyle="1">
    <w:name w:val="标题 51"/>
    <w:basedOn w:val="796"/>
    <w:next w:val="1124"/>
    <w:link w:val="1130"/>
    <w:uiPriority w:val="0"/>
    <w:qFormat/>
    <w:pPr>
      <w:keepNext/>
      <w:outlineLvl w:val="4"/>
    </w:pPr>
    <w:rPr>
      <w:rFonts w:ascii="宋体" w:hAnsi="Times New Roman" w:eastAsia="宋体"/>
      <w:color w:val="000000"/>
      <w:sz w:val="28"/>
      <w:szCs w:val="28"/>
      <w:lang w:eastAsia="en-US"/>
    </w:rPr>
  </w:style>
  <w:style w:type="character" w:styleId="1130" w:customStyle="1">
    <w:name w:val="标题 5 Char"/>
    <w:link w:val="1129"/>
    <w:uiPriority w:val="0"/>
    <w:qFormat/>
    <w:rPr>
      <w:rFonts w:ascii="宋体" w:hAnsi="Times New Roman" w:eastAsia="宋体" w:cs="Times New Roman"/>
      <w:color w:val="000000"/>
      <w:sz w:val="28"/>
      <w:szCs w:val="28"/>
      <w:lang w:eastAsia="en-US"/>
    </w:rPr>
  </w:style>
  <w:style w:type="paragraph" w:styleId="1131" w:customStyle="1">
    <w:name w:val="标题 61"/>
    <w:basedOn w:val="796"/>
    <w:next w:val="796"/>
    <w:link w:val="1132"/>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32" w:customStyle="1">
    <w:name w:val="标题 6 Char"/>
    <w:link w:val="1131"/>
    <w:uiPriority w:val="0"/>
    <w:qFormat/>
    <w:rPr>
      <w:rFonts w:ascii="Arial" w:hAnsi="Arial" w:eastAsia="黑体" w:cs="Times New Roman"/>
      <w:b/>
      <w:bCs/>
      <w:sz w:val="24"/>
      <w:szCs w:val="24"/>
      <w:lang w:eastAsia="en-US"/>
    </w:rPr>
  </w:style>
  <w:style w:type="paragraph" w:styleId="1133" w:customStyle="1">
    <w:name w:val="标题 71"/>
    <w:basedOn w:val="796"/>
    <w:next w:val="796"/>
    <w:link w:val="1134"/>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34" w:customStyle="1">
    <w:name w:val="标题 7 Char"/>
    <w:link w:val="1133"/>
    <w:uiPriority w:val="0"/>
    <w:qFormat/>
    <w:rPr>
      <w:rFonts w:ascii="Times New Roman" w:hAnsi="Times New Roman" w:eastAsia="宋体" w:cs="Times New Roman"/>
      <w:b/>
      <w:bCs/>
      <w:sz w:val="24"/>
      <w:szCs w:val="24"/>
      <w:lang w:eastAsia="en-US"/>
    </w:rPr>
  </w:style>
  <w:style w:type="paragraph" w:styleId="1135" w:customStyle="1">
    <w:name w:val="标题 81"/>
    <w:basedOn w:val="796"/>
    <w:next w:val="796"/>
    <w:link w:val="1136"/>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36" w:customStyle="1">
    <w:name w:val="标题 8 Char"/>
    <w:link w:val="1135"/>
    <w:uiPriority w:val="0"/>
    <w:qFormat/>
    <w:rPr>
      <w:rFonts w:ascii="Arial" w:hAnsi="Arial" w:eastAsia="黑体" w:cs="Times New Roman"/>
      <w:sz w:val="24"/>
      <w:szCs w:val="24"/>
      <w:lang w:eastAsia="en-US"/>
    </w:rPr>
  </w:style>
  <w:style w:type="paragraph" w:styleId="1137" w:customStyle="1">
    <w:name w:val="标题 91"/>
    <w:basedOn w:val="796"/>
    <w:next w:val="796"/>
    <w:link w:val="1138"/>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38" w:customStyle="1">
    <w:name w:val="标题 9 Char"/>
    <w:link w:val="1137"/>
    <w:uiPriority w:val="0"/>
    <w:qFormat/>
    <w:rPr>
      <w:rFonts w:ascii="Arial" w:hAnsi="Arial" w:eastAsia="黑体" w:cs="Times New Roman"/>
      <w:szCs w:val="21"/>
      <w:lang w:eastAsia="en-US"/>
    </w:rPr>
  </w:style>
  <w:style w:type="character" w:styleId="1139" w:customStyle="1">
    <w:name w:val="默认段落字体1"/>
    <w:uiPriority w:val="1"/>
    <w:unhideWhenUsed/>
    <w:qFormat/>
  </w:style>
  <w:style w:type="table" w:styleId="114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41" w:customStyle="1">
    <w:name w:val="列表 31"/>
    <w:basedOn w:val="796"/>
    <w:uiPriority w:val="0"/>
    <w:qFormat/>
    <w:pPr>
      <w:ind w:left="100" w:hanging="200"/>
    </w:pPr>
    <w:rPr>
      <w:rFonts w:ascii="Times New Roman" w:hAnsi="Times New Roman" w:eastAsia="宋体"/>
      <w:szCs w:val="21"/>
    </w:rPr>
  </w:style>
  <w:style w:type="paragraph" w:styleId="1142" w:customStyle="1">
    <w:name w:val="目录 711"/>
    <w:basedOn w:val="796"/>
    <w:next w:val="796"/>
    <w:uiPriority w:val="0"/>
    <w:semiHidden/>
    <w:qFormat/>
    <w:pPr>
      <w:ind w:left="1260"/>
      <w:jc w:val="left"/>
    </w:pPr>
    <w:rPr>
      <w:rFonts w:ascii="Times New Roman" w:hAnsi="Times New Roman" w:eastAsia="宋体"/>
      <w:szCs w:val="21"/>
    </w:rPr>
  </w:style>
  <w:style w:type="paragraph" w:styleId="1143" w:customStyle="1">
    <w:name w:val="文档结构图1"/>
    <w:basedOn w:val="796"/>
    <w:link w:val="1144"/>
    <w:uiPriority w:val="0"/>
    <w:semiHidden/>
    <w:qFormat/>
    <w:pPr>
      <w:shd w:val="clear" w:color="auto" w:fill="000080"/>
    </w:pPr>
    <w:rPr>
      <w:rFonts w:ascii="Times New Roman" w:hAnsi="Times New Roman" w:eastAsia="宋体"/>
      <w:sz w:val="20"/>
      <w:szCs w:val="21"/>
      <w:lang w:eastAsia="en-US"/>
    </w:rPr>
  </w:style>
  <w:style w:type="character" w:styleId="1144" w:customStyle="1">
    <w:name w:val="文档结构图 Char"/>
    <w:link w:val="1143"/>
    <w:uiPriority w:val="0"/>
    <w:semiHidden/>
    <w:qFormat/>
    <w:rPr>
      <w:rFonts w:ascii="Times New Roman" w:hAnsi="Times New Roman" w:eastAsia="宋体" w:cs="Times New Roman"/>
      <w:szCs w:val="21"/>
      <w:shd w:val="clear" w:color="auto" w:fill="000080"/>
      <w:lang w:eastAsia="en-US"/>
    </w:rPr>
  </w:style>
  <w:style w:type="paragraph" w:styleId="1145" w:customStyle="1">
    <w:name w:val="批注文字1"/>
    <w:basedOn w:val="796"/>
    <w:link w:val="1146"/>
    <w:uiPriority w:val="0"/>
    <w:semiHidden/>
    <w:qFormat/>
    <w:pPr>
      <w:jc w:val="left"/>
    </w:pPr>
    <w:rPr>
      <w:rFonts w:ascii="Times New Roman" w:hAnsi="Times New Roman" w:eastAsia="宋体"/>
      <w:sz w:val="20"/>
      <w:szCs w:val="21"/>
      <w:lang w:eastAsia="en-US"/>
    </w:rPr>
  </w:style>
  <w:style w:type="character" w:styleId="1146" w:customStyle="1">
    <w:name w:val="批注文字 Char"/>
    <w:link w:val="1145"/>
    <w:uiPriority w:val="0"/>
    <w:semiHidden/>
    <w:qFormat/>
    <w:rPr>
      <w:rFonts w:ascii="Times New Roman" w:hAnsi="Times New Roman" w:eastAsia="宋体" w:cs="Times New Roman"/>
      <w:szCs w:val="21"/>
      <w:lang w:eastAsia="en-US"/>
    </w:rPr>
  </w:style>
  <w:style w:type="paragraph" w:styleId="1147" w:customStyle="1">
    <w:name w:val="正文文本 31"/>
    <w:basedOn w:val="796"/>
    <w:link w:val="1148"/>
    <w:uiPriority w:val="0"/>
    <w:qFormat/>
    <w:rPr>
      <w:rFonts w:ascii="仿宋_GB2312" w:hAnsi="Arial" w:eastAsia="仿宋_GB2312"/>
      <w:sz w:val="32"/>
      <w:szCs w:val="32"/>
      <w:lang w:eastAsia="en-US"/>
    </w:rPr>
  </w:style>
  <w:style w:type="character" w:styleId="1148" w:customStyle="1">
    <w:name w:val="正文文本 3 Char"/>
    <w:link w:val="1147"/>
    <w:uiPriority w:val="0"/>
    <w:qFormat/>
    <w:rPr>
      <w:rFonts w:ascii="仿宋_GB2312" w:hAnsi="Arial" w:eastAsia="仿宋_GB2312" w:cs="Times New Roman"/>
      <w:sz w:val="32"/>
      <w:szCs w:val="32"/>
      <w:lang w:eastAsia="en-US"/>
    </w:rPr>
  </w:style>
  <w:style w:type="paragraph" w:styleId="1149" w:customStyle="1">
    <w:name w:val="正文文本1"/>
    <w:basedOn w:val="796"/>
    <w:next w:val="796"/>
    <w:link w:val="1150"/>
    <w:uiPriority w:val="0"/>
    <w:qFormat/>
    <w:rPr>
      <w:rFonts w:ascii="楷体_GB2312" w:hAnsi="Arial" w:eastAsia="楷体_GB2312"/>
      <w:sz w:val="28"/>
      <w:szCs w:val="28"/>
      <w:lang w:eastAsia="en-US"/>
    </w:rPr>
  </w:style>
  <w:style w:type="character" w:styleId="1150" w:customStyle="1">
    <w:name w:val="正文文本 Char"/>
    <w:link w:val="1149"/>
    <w:uiPriority w:val="0"/>
    <w:qFormat/>
    <w:rPr>
      <w:rFonts w:ascii="楷体_GB2312" w:hAnsi="Arial" w:eastAsia="楷体_GB2312" w:cs="Times New Roman"/>
      <w:sz w:val="28"/>
      <w:szCs w:val="28"/>
      <w:lang w:eastAsia="en-US"/>
    </w:rPr>
  </w:style>
  <w:style w:type="paragraph" w:styleId="1151" w:customStyle="1">
    <w:name w:val="正文文本缩进1"/>
    <w:basedOn w:val="796"/>
    <w:link w:val="1152"/>
    <w:uiPriority w:val="0"/>
    <w:qFormat/>
    <w:pPr>
      <w:ind w:firstLine="645"/>
    </w:pPr>
    <w:rPr>
      <w:rFonts w:ascii="楷体_GB2312" w:hAnsi="Times New Roman" w:eastAsia="楷体_GB2312"/>
      <w:sz w:val="32"/>
      <w:szCs w:val="32"/>
      <w:lang w:eastAsia="en-US"/>
    </w:rPr>
  </w:style>
  <w:style w:type="character" w:styleId="1152" w:customStyle="1">
    <w:name w:val="正文文本缩进 Char"/>
    <w:link w:val="1151"/>
    <w:uiPriority w:val="0"/>
    <w:qFormat/>
    <w:rPr>
      <w:rFonts w:ascii="楷体_GB2312" w:hAnsi="Times New Roman" w:eastAsia="楷体_GB2312" w:cs="Times New Roman"/>
      <w:sz w:val="32"/>
      <w:szCs w:val="32"/>
      <w:lang w:eastAsia="en-US"/>
    </w:rPr>
  </w:style>
  <w:style w:type="paragraph" w:styleId="1153" w:customStyle="1">
    <w:name w:val="列表 21"/>
    <w:basedOn w:val="796"/>
    <w:uiPriority w:val="0"/>
    <w:qFormat/>
    <w:pPr>
      <w:ind w:left="100" w:hanging="200"/>
    </w:pPr>
    <w:rPr>
      <w:rFonts w:ascii="Times New Roman" w:hAnsi="Times New Roman" w:eastAsia="宋体"/>
      <w:szCs w:val="21"/>
    </w:rPr>
  </w:style>
  <w:style w:type="paragraph" w:styleId="1154" w:customStyle="1">
    <w:name w:val="目录 511"/>
    <w:basedOn w:val="796"/>
    <w:next w:val="796"/>
    <w:uiPriority w:val="0"/>
    <w:semiHidden/>
    <w:qFormat/>
    <w:pPr>
      <w:ind w:left="840"/>
      <w:jc w:val="left"/>
    </w:pPr>
    <w:rPr>
      <w:rFonts w:ascii="Times New Roman" w:hAnsi="Times New Roman" w:eastAsia="宋体"/>
      <w:szCs w:val="21"/>
    </w:rPr>
  </w:style>
  <w:style w:type="paragraph" w:styleId="1155" w:customStyle="1">
    <w:name w:val="目录 311"/>
    <w:basedOn w:val="796"/>
    <w:next w:val="796"/>
    <w:uiPriority w:val="0"/>
    <w:semiHidden/>
    <w:qFormat/>
    <w:pPr>
      <w:ind w:left="420"/>
      <w:jc w:val="left"/>
    </w:pPr>
    <w:rPr>
      <w:rFonts w:ascii="Times New Roman" w:hAnsi="Times New Roman" w:eastAsia="宋体"/>
      <w:i/>
      <w:iCs/>
      <w:szCs w:val="24"/>
    </w:rPr>
  </w:style>
  <w:style w:type="paragraph" w:styleId="1156" w:customStyle="1">
    <w:name w:val="纯文本1"/>
    <w:basedOn w:val="796"/>
    <w:link w:val="1157"/>
    <w:uiPriority w:val="0"/>
    <w:qFormat/>
    <w:rPr>
      <w:rFonts w:ascii="宋体" w:hAnsi="Courier New" w:eastAsia="宋体"/>
      <w:sz w:val="20"/>
      <w:szCs w:val="21"/>
      <w:lang w:eastAsia="en-US"/>
    </w:rPr>
  </w:style>
  <w:style w:type="character" w:styleId="1157" w:customStyle="1">
    <w:name w:val="纯文本 Char"/>
    <w:link w:val="1156"/>
    <w:uiPriority w:val="0"/>
    <w:qFormat/>
    <w:rPr>
      <w:rFonts w:ascii="宋体" w:hAnsi="Courier New" w:eastAsia="宋体" w:cs="Times New Roman"/>
      <w:szCs w:val="21"/>
      <w:lang w:eastAsia="en-US"/>
    </w:rPr>
  </w:style>
  <w:style w:type="paragraph" w:styleId="1158" w:customStyle="1">
    <w:name w:val="目录 811"/>
    <w:basedOn w:val="796"/>
    <w:next w:val="796"/>
    <w:uiPriority w:val="0"/>
    <w:semiHidden/>
    <w:qFormat/>
    <w:pPr>
      <w:ind w:left="1470"/>
      <w:jc w:val="left"/>
    </w:pPr>
    <w:rPr>
      <w:rFonts w:ascii="Times New Roman" w:hAnsi="Times New Roman" w:eastAsia="宋体"/>
      <w:szCs w:val="21"/>
    </w:rPr>
  </w:style>
  <w:style w:type="paragraph" w:styleId="1159" w:customStyle="1">
    <w:name w:val="日期1"/>
    <w:basedOn w:val="796"/>
    <w:next w:val="796"/>
    <w:link w:val="1160"/>
    <w:uiPriority w:val="0"/>
    <w:qFormat/>
    <w:rPr>
      <w:rFonts w:ascii="Times New Roman" w:hAnsi="Times New Roman" w:eastAsia="宋体"/>
      <w:sz w:val="24"/>
      <w:szCs w:val="24"/>
      <w:lang w:eastAsia="en-US"/>
    </w:rPr>
  </w:style>
  <w:style w:type="character" w:styleId="1160" w:customStyle="1">
    <w:name w:val="日期 Char"/>
    <w:link w:val="1159"/>
    <w:uiPriority w:val="0"/>
    <w:qFormat/>
    <w:rPr>
      <w:rFonts w:ascii="Times New Roman" w:hAnsi="Times New Roman" w:eastAsia="宋体" w:cs="Times New Roman"/>
      <w:sz w:val="24"/>
      <w:szCs w:val="24"/>
      <w:lang w:eastAsia="en-US"/>
    </w:rPr>
  </w:style>
  <w:style w:type="paragraph" w:styleId="1161" w:customStyle="1">
    <w:name w:val="正文文本缩进 21"/>
    <w:basedOn w:val="796"/>
    <w:link w:val="1162"/>
    <w:uiPriority w:val="0"/>
    <w:qFormat/>
    <w:pPr>
      <w:ind w:left="630" w:firstLine="645"/>
    </w:pPr>
    <w:rPr>
      <w:rFonts w:ascii="Arial" w:hAnsi="Arial" w:eastAsia="仿宋_GB2312"/>
      <w:sz w:val="32"/>
      <w:szCs w:val="32"/>
      <w:lang w:eastAsia="en-US"/>
    </w:rPr>
  </w:style>
  <w:style w:type="character" w:styleId="1162" w:customStyle="1">
    <w:name w:val="正文文本缩进 2 Char"/>
    <w:link w:val="1161"/>
    <w:uiPriority w:val="0"/>
    <w:qFormat/>
    <w:rPr>
      <w:rFonts w:ascii="Arial" w:hAnsi="Arial" w:eastAsia="仿宋_GB2312" w:cs="Times New Roman"/>
      <w:sz w:val="32"/>
      <w:szCs w:val="32"/>
      <w:lang w:eastAsia="en-US"/>
    </w:rPr>
  </w:style>
  <w:style w:type="paragraph" w:styleId="1163" w:customStyle="1">
    <w:name w:val="批注框文本1"/>
    <w:basedOn w:val="796"/>
    <w:link w:val="1164"/>
    <w:uiPriority w:val="0"/>
    <w:semiHidden/>
    <w:qFormat/>
    <w:rPr>
      <w:rFonts w:ascii="Times New Roman" w:hAnsi="Times New Roman" w:eastAsia="宋体"/>
      <w:sz w:val="18"/>
      <w:szCs w:val="18"/>
      <w:lang w:eastAsia="en-US"/>
    </w:rPr>
  </w:style>
  <w:style w:type="character" w:styleId="1164" w:customStyle="1">
    <w:name w:val="批注框文本 Char"/>
    <w:link w:val="1163"/>
    <w:uiPriority w:val="0"/>
    <w:semiHidden/>
    <w:qFormat/>
    <w:rPr>
      <w:rFonts w:ascii="Times New Roman" w:hAnsi="Times New Roman" w:eastAsia="宋体" w:cs="Times New Roman"/>
      <w:sz w:val="18"/>
      <w:szCs w:val="18"/>
      <w:lang w:eastAsia="en-US"/>
    </w:rPr>
  </w:style>
  <w:style w:type="paragraph" w:styleId="1165" w:customStyle="1">
    <w:name w:val="页脚1"/>
    <w:basedOn w:val="796"/>
    <w:link w:val="1166"/>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66" w:customStyle="1">
    <w:name w:val="页脚 Char"/>
    <w:link w:val="1165"/>
    <w:uiPriority w:val="0"/>
    <w:qFormat/>
    <w:rPr>
      <w:rFonts w:ascii="Times New Roman" w:hAnsi="Times New Roman" w:eastAsia="宋体" w:cs="Times New Roman"/>
      <w:sz w:val="18"/>
      <w:szCs w:val="18"/>
      <w:lang w:eastAsia="en-US"/>
    </w:rPr>
  </w:style>
  <w:style w:type="paragraph" w:styleId="1167" w:customStyle="1">
    <w:name w:val="页眉1"/>
    <w:basedOn w:val="796"/>
    <w:link w:val="116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68" w:customStyle="1">
    <w:name w:val="页眉 Char"/>
    <w:link w:val="1167"/>
    <w:uiPriority w:val="99"/>
    <w:qFormat/>
    <w:rPr>
      <w:rFonts w:ascii="Times New Roman" w:hAnsi="Times New Roman" w:eastAsia="宋体" w:cs="Times New Roman"/>
      <w:sz w:val="18"/>
      <w:szCs w:val="18"/>
      <w:lang w:eastAsia="en-US"/>
    </w:rPr>
  </w:style>
  <w:style w:type="paragraph" w:styleId="1169" w:customStyle="1">
    <w:name w:val="目录 1111"/>
    <w:basedOn w:val="796"/>
    <w:next w:val="79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70" w:customStyle="1">
    <w:name w:val="目录 411"/>
    <w:basedOn w:val="796"/>
    <w:next w:val="796"/>
    <w:uiPriority w:val="0"/>
    <w:semiHidden/>
    <w:qFormat/>
    <w:pPr>
      <w:ind w:left="630"/>
      <w:jc w:val="left"/>
    </w:pPr>
    <w:rPr>
      <w:rFonts w:ascii="Times New Roman" w:hAnsi="Times New Roman" w:eastAsia="宋体"/>
      <w:szCs w:val="21"/>
    </w:rPr>
  </w:style>
  <w:style w:type="paragraph" w:styleId="1171" w:customStyle="1">
    <w:name w:val="列表1"/>
    <w:basedOn w:val="796"/>
    <w:uiPriority w:val="0"/>
    <w:qFormat/>
    <w:pPr>
      <w:ind w:left="200" w:hanging="200"/>
    </w:pPr>
    <w:rPr>
      <w:rFonts w:ascii="Times New Roman" w:hAnsi="Times New Roman" w:eastAsia="宋体"/>
      <w:szCs w:val="21"/>
    </w:rPr>
  </w:style>
  <w:style w:type="paragraph" w:styleId="1172" w:customStyle="1">
    <w:name w:val="目录 611"/>
    <w:basedOn w:val="796"/>
    <w:next w:val="796"/>
    <w:uiPriority w:val="0"/>
    <w:semiHidden/>
    <w:qFormat/>
    <w:pPr>
      <w:ind w:left="1050"/>
      <w:jc w:val="left"/>
    </w:pPr>
    <w:rPr>
      <w:rFonts w:ascii="Times New Roman" w:hAnsi="Times New Roman" w:eastAsia="宋体"/>
      <w:szCs w:val="21"/>
    </w:rPr>
  </w:style>
  <w:style w:type="paragraph" w:styleId="1173" w:customStyle="1">
    <w:name w:val="正文文本缩进 31"/>
    <w:basedOn w:val="796"/>
    <w:link w:val="1174"/>
    <w:uiPriority w:val="0"/>
    <w:qFormat/>
    <w:pPr>
      <w:ind w:left="645" w:firstLine="645"/>
    </w:pPr>
    <w:rPr>
      <w:rFonts w:ascii="Arial" w:hAnsi="Arial" w:eastAsia="仿宋_GB2312"/>
      <w:color w:val="ffff00"/>
      <w:sz w:val="32"/>
      <w:szCs w:val="32"/>
      <w:lang w:eastAsia="en-US"/>
    </w:rPr>
  </w:style>
  <w:style w:type="character" w:styleId="1174" w:customStyle="1">
    <w:name w:val="正文文本缩进 3 Char"/>
    <w:link w:val="1173"/>
    <w:uiPriority w:val="0"/>
    <w:qFormat/>
    <w:rPr>
      <w:rFonts w:ascii="Arial" w:hAnsi="Arial" w:eastAsia="仿宋_GB2312" w:cs="Times New Roman"/>
      <w:color w:val="ffff00"/>
      <w:sz w:val="32"/>
      <w:szCs w:val="32"/>
      <w:lang w:eastAsia="en-US"/>
    </w:rPr>
  </w:style>
  <w:style w:type="paragraph" w:styleId="1175" w:customStyle="1">
    <w:name w:val="图表目录1"/>
    <w:basedOn w:val="796"/>
    <w:next w:val="796"/>
    <w:uiPriority w:val="0"/>
    <w:semiHidden/>
    <w:qFormat/>
    <w:pPr>
      <w:ind w:left="840" w:hanging="420"/>
    </w:pPr>
    <w:rPr>
      <w:rFonts w:ascii="Times New Roman" w:hAnsi="Times New Roman" w:eastAsia="宋体"/>
      <w:szCs w:val="21"/>
    </w:rPr>
  </w:style>
  <w:style w:type="paragraph" w:styleId="1176" w:customStyle="1">
    <w:name w:val="目录 211"/>
    <w:basedOn w:val="796"/>
    <w:next w:val="796"/>
    <w:uiPriority w:val="0"/>
    <w:semiHidden/>
    <w:qFormat/>
    <w:pPr>
      <w:ind w:left="210"/>
      <w:jc w:val="left"/>
    </w:pPr>
    <w:rPr>
      <w:rFonts w:ascii="Times New Roman" w:hAnsi="Times New Roman" w:eastAsia="宋体"/>
      <w:smallCaps/>
      <w:szCs w:val="24"/>
    </w:rPr>
  </w:style>
  <w:style w:type="paragraph" w:styleId="1177" w:customStyle="1">
    <w:name w:val="目录 911"/>
    <w:basedOn w:val="796"/>
    <w:next w:val="796"/>
    <w:uiPriority w:val="0"/>
    <w:semiHidden/>
    <w:qFormat/>
    <w:pPr>
      <w:ind w:left="1680"/>
      <w:jc w:val="left"/>
    </w:pPr>
    <w:rPr>
      <w:rFonts w:ascii="Times New Roman" w:hAnsi="Times New Roman" w:eastAsia="宋体"/>
      <w:szCs w:val="21"/>
    </w:rPr>
  </w:style>
  <w:style w:type="paragraph" w:styleId="1178" w:customStyle="1">
    <w:name w:val="正文文本 21"/>
    <w:basedOn w:val="796"/>
    <w:link w:val="1179"/>
    <w:uiPriority w:val="0"/>
    <w:qFormat/>
    <w:pPr>
      <w:jc w:val="center"/>
      <w:widowControl/>
    </w:pPr>
    <w:rPr>
      <w:rFonts w:ascii="楷体_GB2312" w:hAnsi="Times New Roman" w:eastAsia="楷体_GB2312"/>
      <w:sz w:val="28"/>
      <w:szCs w:val="28"/>
      <w:lang w:eastAsia="en-US"/>
    </w:rPr>
  </w:style>
  <w:style w:type="character" w:styleId="1179" w:customStyle="1">
    <w:name w:val="正文文本 2 Char"/>
    <w:link w:val="1178"/>
    <w:uiPriority w:val="0"/>
    <w:qFormat/>
    <w:rPr>
      <w:rFonts w:ascii="楷体_GB2312" w:hAnsi="Times New Roman" w:eastAsia="楷体_GB2312" w:cs="Times New Roman"/>
      <w:sz w:val="28"/>
      <w:szCs w:val="28"/>
      <w:lang w:eastAsia="en-US"/>
    </w:rPr>
  </w:style>
  <w:style w:type="paragraph" w:styleId="1180" w:customStyle="1">
    <w:name w:val="普通(网站)1"/>
    <w:basedOn w:val="796"/>
    <w:uiPriority w:val="99"/>
    <w:qFormat/>
    <w:pPr>
      <w:jc w:val="left"/>
      <w:spacing w:before="100" w:beforeAutospacing="1" w:after="100" w:afterAutospacing="1"/>
      <w:widowControl/>
    </w:pPr>
    <w:rPr>
      <w:rFonts w:ascii="宋体" w:hAnsi="宋体" w:eastAsia="宋体" w:cs="宋体"/>
      <w:sz w:val="24"/>
      <w:szCs w:val="24"/>
    </w:rPr>
  </w:style>
  <w:style w:type="paragraph" w:styleId="1181" w:customStyle="1">
    <w:name w:val="索引 11"/>
    <w:basedOn w:val="796"/>
    <w:next w:val="796"/>
    <w:uiPriority w:val="0"/>
    <w:semiHidden/>
    <w:qFormat/>
    <w:pPr>
      <w:spacing w:line="240" w:lineRule="atLeast"/>
    </w:pPr>
    <w:rPr>
      <w:rFonts w:ascii="Times New Roman" w:hAnsi="Times New Roman" w:eastAsia="宋体"/>
      <w:b/>
      <w:bCs/>
      <w:szCs w:val="21"/>
    </w:rPr>
  </w:style>
  <w:style w:type="paragraph" w:styleId="1182" w:customStyle="1">
    <w:name w:val="批注主题1"/>
    <w:basedOn w:val="1145"/>
    <w:next w:val="1145"/>
    <w:link w:val="1183"/>
    <w:uiPriority w:val="0"/>
    <w:semiHidden/>
    <w:qFormat/>
    <w:rPr>
      <w:b/>
      <w:bCs/>
    </w:rPr>
  </w:style>
  <w:style w:type="character" w:styleId="1183" w:customStyle="1">
    <w:name w:val="批注主题 Char"/>
    <w:link w:val="1182"/>
    <w:uiPriority w:val="0"/>
    <w:semiHidden/>
    <w:qFormat/>
    <w:rPr>
      <w:rFonts w:ascii="Times New Roman" w:hAnsi="Times New Roman" w:eastAsia="宋体" w:cs="Times New Roman"/>
      <w:b/>
      <w:bCs/>
      <w:szCs w:val="21"/>
      <w:lang w:eastAsia="en-US"/>
    </w:rPr>
  </w:style>
  <w:style w:type="paragraph" w:styleId="1184" w:customStyle="1">
    <w:name w:val="正文首行缩进1"/>
    <w:basedOn w:val="796"/>
    <w:link w:val="1185"/>
    <w:uiPriority w:val="0"/>
    <w:qFormat/>
    <w:pPr>
      <w:ind w:firstLine="200"/>
      <w:spacing w:line="360" w:lineRule="auto"/>
    </w:pPr>
    <w:rPr>
      <w:rFonts w:ascii="仿宋_GB2312" w:hAnsi="Times New Roman" w:eastAsia="仿宋_GB2312"/>
      <w:sz w:val="30"/>
      <w:szCs w:val="30"/>
      <w:lang w:eastAsia="en-US"/>
    </w:rPr>
  </w:style>
  <w:style w:type="character" w:styleId="1185" w:customStyle="1">
    <w:name w:val="正文首行缩进 Char"/>
    <w:link w:val="1184"/>
    <w:uiPriority w:val="0"/>
    <w:qFormat/>
    <w:rPr>
      <w:rFonts w:ascii="仿宋_GB2312" w:hAnsi="Times New Roman" w:eastAsia="仿宋_GB2312" w:cs="Times New Roman"/>
      <w:sz w:val="30"/>
      <w:szCs w:val="30"/>
      <w:lang w:eastAsia="en-US"/>
    </w:rPr>
  </w:style>
  <w:style w:type="paragraph" w:styleId="1186" w:customStyle="1">
    <w:name w:val="正文首行缩进 21"/>
    <w:basedOn w:val="1151"/>
    <w:link w:val="1187"/>
    <w:uiPriority w:val="0"/>
    <w:qFormat/>
    <w:pPr>
      <w:ind w:firstLine="420"/>
      <w:spacing w:line="360" w:lineRule="auto"/>
    </w:pPr>
    <w:rPr>
      <w:rFonts w:ascii="宋体" w:hAnsi="宋体" w:eastAsia="宋体"/>
      <w:szCs w:val="20"/>
    </w:rPr>
  </w:style>
  <w:style w:type="character" w:styleId="1187" w:customStyle="1">
    <w:name w:val="正文首行缩进 2 Char"/>
    <w:link w:val="1186"/>
    <w:uiPriority w:val="0"/>
    <w:qFormat/>
    <w:rPr>
      <w:rFonts w:ascii="宋体" w:hAnsi="宋体" w:eastAsia="宋体" w:cs="Times New Roman"/>
      <w:sz w:val="32"/>
      <w:lang w:eastAsia="en-US"/>
    </w:rPr>
  </w:style>
  <w:style w:type="character" w:styleId="1188" w:customStyle="1">
    <w:name w:val="要点1"/>
    <w:uiPriority w:val="0"/>
    <w:qFormat/>
    <w:rPr>
      <w:b/>
      <w:bCs/>
    </w:rPr>
  </w:style>
  <w:style w:type="character" w:styleId="1189" w:customStyle="1">
    <w:name w:val="页码1"/>
    <w:uiPriority w:val="0"/>
    <w:qFormat/>
  </w:style>
  <w:style w:type="character" w:styleId="1190" w:customStyle="1">
    <w:name w:val="已访问的超链接1"/>
    <w:uiPriority w:val="0"/>
    <w:qFormat/>
    <w:rPr>
      <w:color w:val="800080"/>
      <w:u w:val="single"/>
    </w:rPr>
  </w:style>
  <w:style w:type="character" w:styleId="1191" w:customStyle="1">
    <w:name w:val="HTML 打字机1"/>
    <w:uiPriority w:val="99"/>
    <w:qFormat/>
    <w:rPr>
      <w:rFonts w:ascii="宋体" w:hAnsi="宋体" w:eastAsia="宋体" w:cs="宋体"/>
      <w:sz w:val="24"/>
      <w:szCs w:val="24"/>
    </w:rPr>
  </w:style>
  <w:style w:type="character" w:styleId="1192" w:customStyle="1">
    <w:name w:val="超链接1"/>
    <w:uiPriority w:val="0"/>
    <w:qFormat/>
    <w:rPr>
      <w:color w:val="0000ff"/>
      <w:u w:val="single"/>
    </w:rPr>
  </w:style>
  <w:style w:type="character" w:styleId="1193" w:customStyle="1">
    <w:name w:val="二级目录 Char"/>
    <w:link w:val="1194"/>
    <w:uiPriority w:val="0"/>
    <w:qFormat/>
    <w:rPr>
      <w:b/>
      <w:sz w:val="30"/>
      <w:szCs w:val="28"/>
    </w:rPr>
  </w:style>
  <w:style w:type="paragraph" w:styleId="1194" w:customStyle="1">
    <w:name w:val="二级目录"/>
    <w:next w:val="796"/>
    <w:link w:val="1193"/>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95" w:customStyle="1">
    <w:name w:val="Body Text(ch)"/>
    <w:basedOn w:val="796"/>
    <w:next w:val="1149"/>
    <w:uiPriority w:val="0"/>
    <w:qFormat/>
    <w:pPr>
      <w:spacing w:after="120"/>
    </w:pPr>
    <w:rPr>
      <w:rFonts w:ascii="宋体" w:hAnsi="Arial" w:eastAsia="宋体"/>
      <w:bCs/>
      <w:iCs/>
      <w:szCs w:val="24"/>
    </w:rPr>
  </w:style>
  <w:style w:type="paragraph" w:styleId="1196" w:customStyle="1">
    <w:name w:val="Char"/>
    <w:basedOn w:val="796"/>
    <w:uiPriority w:val="0"/>
    <w:qFormat/>
    <w:pPr>
      <w:ind w:firstLine="200"/>
      <w:tabs>
        <w:tab w:val="left" w:pos="360" w:leader="none"/>
      </w:tabs>
    </w:pPr>
    <w:rPr>
      <w:rFonts w:ascii="Times New Roman" w:hAnsi="Times New Roman" w:eastAsia="宋体"/>
      <w:sz w:val="28"/>
      <w:szCs w:val="30"/>
    </w:rPr>
  </w:style>
  <w:style w:type="paragraph" w:styleId="1197" w:customStyle="1">
    <w:name w:val="普通正文"/>
    <w:basedOn w:val="796"/>
    <w:uiPriority w:val="0"/>
    <w:qFormat/>
    <w:pPr>
      <w:ind w:firstLine="480"/>
      <w:jc w:val="left"/>
      <w:spacing w:before="120" w:after="120" w:line="360" w:lineRule="auto"/>
    </w:pPr>
    <w:rPr>
      <w:rFonts w:ascii="Arial" w:hAnsi="Arial" w:eastAsia="宋体"/>
      <w:sz w:val="24"/>
      <w:szCs w:val="24"/>
    </w:rPr>
  </w:style>
  <w:style w:type="paragraph" w:styleId="1198" w:customStyle="1">
    <w:name w:val="table_lines"/>
    <w:basedOn w:val="796"/>
    <w:uiPriority w:val="0"/>
    <w:qFormat/>
    <w:pPr>
      <w:jc w:val="left"/>
      <w:widowControl/>
    </w:pPr>
    <w:rPr>
      <w:rFonts w:ascii="Times New Roman" w:hAnsi="Times New Roman" w:eastAsia="宋体"/>
      <w:sz w:val="20"/>
      <w:szCs w:val="20"/>
      <w:lang w:val="de-DE" w:eastAsia="de-DE"/>
    </w:rPr>
  </w:style>
  <w:style w:type="paragraph" w:styleId="119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0" w:customStyle="1">
    <w:name w:val="列出段落21"/>
    <w:basedOn w:val="796"/>
    <w:uiPriority w:val="99"/>
    <w:qFormat/>
    <w:pPr>
      <w:contextualSpacing/>
      <w:ind w:left="720"/>
      <w:jc w:val="left"/>
      <w:widowControl/>
    </w:pPr>
    <w:rPr>
      <w:rFonts w:eastAsia="宋体"/>
      <w:sz w:val="24"/>
      <w:szCs w:val="24"/>
      <w:lang w:eastAsia="en-US" w:bidi="en-US"/>
    </w:rPr>
  </w:style>
  <w:style w:type="paragraph" w:styleId="1201" w:customStyle="1">
    <w:name w:val="4"/>
    <w:basedOn w:val="796"/>
    <w:next w:val="1173"/>
    <w:uiPriority w:val="0"/>
    <w:qFormat/>
    <w:pPr>
      <w:ind w:firstLine="420"/>
      <w:spacing w:line="360" w:lineRule="auto"/>
    </w:pPr>
    <w:rPr>
      <w:rFonts w:ascii="Times New Roman" w:hAnsi="Times New Roman" w:eastAsia="宋体"/>
      <w:color w:val="ff0000"/>
      <w:sz w:val="24"/>
      <w:szCs w:val="24"/>
    </w:rPr>
  </w:style>
  <w:style w:type="paragraph" w:styleId="1202" w:customStyle="1">
    <w:name w:val="普通 (Web)"/>
    <w:basedOn w:val="796"/>
    <w:uiPriority w:val="0"/>
    <w:qFormat/>
    <w:pPr>
      <w:jc w:val="left"/>
      <w:spacing w:before="100" w:beforeAutospacing="1" w:after="100" w:afterAutospacing="1"/>
      <w:widowControl/>
    </w:pPr>
    <w:rPr>
      <w:rFonts w:ascii="宋体" w:hAnsi="宋体" w:eastAsia="宋体"/>
      <w:sz w:val="24"/>
      <w:szCs w:val="24"/>
    </w:rPr>
  </w:style>
  <w:style w:type="paragraph" w:styleId="1203" w:customStyle="1">
    <w:name w:val="Char Char Char Char Char Char Char Char Char Char"/>
    <w:basedOn w:val="796"/>
    <w:uiPriority w:val="0"/>
    <w:qFormat/>
    <w:pPr>
      <w:spacing w:line="360" w:lineRule="auto"/>
    </w:pPr>
    <w:rPr>
      <w:rFonts w:ascii="Times New Roman" w:hAnsi="Times New Roman" w:eastAsia="宋体"/>
      <w:sz w:val="24"/>
      <w:szCs w:val="20"/>
    </w:rPr>
  </w:style>
  <w:style w:type="paragraph" w:styleId="1204" w:customStyle="1">
    <w:name w:val="样式1"/>
    <w:basedOn w:val="796"/>
    <w:uiPriority w:val="0"/>
    <w:qFormat/>
    <w:pPr>
      <w:numPr>
        <w:ilvl w:val="0"/>
        <w:numId w:val="5"/>
      </w:numPr>
    </w:pPr>
    <w:rPr>
      <w:rFonts w:ascii="宋体" w:hAnsi="宋体" w:eastAsia="宋体"/>
      <w:szCs w:val="21"/>
    </w:rPr>
  </w:style>
  <w:style w:type="paragraph" w:styleId="1205" w:customStyle="1">
    <w:name w:val="图标"/>
    <w:basedOn w:val="796"/>
    <w:next w:val="7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6" w:customStyle="1">
    <w:name w:val="标题3"/>
    <w:basedOn w:val="796"/>
    <w:next w:val="796"/>
    <w:uiPriority w:val="0"/>
    <w:qFormat/>
    <w:pPr>
      <w:ind w:firstLine="624"/>
      <w:spacing w:line="590" w:lineRule="atLeast"/>
    </w:pPr>
    <w:rPr>
      <w:rFonts w:ascii="方正黑体_GBK" w:hAnsi="Times New Roman" w:eastAsia="方正黑体_GBK"/>
      <w:sz w:val="32"/>
      <w:szCs w:val="32"/>
    </w:rPr>
  </w:style>
  <w:style w:type="paragraph" w:styleId="1207" w:customStyle="1">
    <w:name w:val="Char Char Char Char Char Char Char Char"/>
    <w:basedOn w:val="796"/>
    <w:uiPriority w:val="0"/>
    <w:qFormat/>
    <w:pPr>
      <w:jc w:val="left"/>
      <w:spacing w:after="160" w:line="240" w:lineRule="exact"/>
      <w:widowControl/>
    </w:pPr>
    <w:rPr>
      <w:rFonts w:ascii="Verdana" w:hAnsi="Verdana" w:eastAsia="宋体"/>
      <w:sz w:val="20"/>
      <w:szCs w:val="20"/>
      <w:lang w:eastAsia="en-US"/>
    </w:rPr>
  </w:style>
  <w:style w:type="paragraph" w:styleId="1208" w:customStyle="1">
    <w:name w:val="table_1stline"/>
    <w:basedOn w:val="796"/>
    <w:uiPriority w:val="0"/>
    <w:qFormat/>
    <w:pPr>
      <w:jc w:val="left"/>
      <w:spacing w:before="120"/>
      <w:widowControl/>
    </w:pPr>
    <w:rPr>
      <w:rFonts w:ascii="Times New Roman" w:hAnsi="Times New Roman" w:eastAsia="宋体"/>
      <w:bCs/>
      <w:sz w:val="20"/>
      <w:szCs w:val="20"/>
      <w:lang w:val="de-DE" w:eastAsia="de-DE"/>
    </w:rPr>
  </w:style>
  <w:style w:type="paragraph" w:styleId="1209" w:customStyle="1">
    <w:name w:val="标题1"/>
    <w:basedOn w:val="796"/>
    <w:next w:val="79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0"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1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12" w:customStyle="1">
    <w:name w:val="目录 111"/>
    <w:basedOn w:val="796"/>
    <w:next w:val="796"/>
    <w:uiPriority w:val="39"/>
    <w:unhideWhenUsed/>
    <w:qFormat/>
    <w:pPr>
      <w:jc w:val="left"/>
      <w:spacing w:after="100" w:line="259" w:lineRule="auto"/>
      <w:widowControl/>
    </w:pPr>
    <w:rPr>
      <w:rFonts w:eastAsia="宋体"/>
      <w:sz w:val="22"/>
    </w:rPr>
  </w:style>
  <w:style w:type="table" w:styleId="1213" w:customStyle="1">
    <w:name w:val="网格型5"/>
    <w:basedOn w:val="807"/>
    <w:uiPriority w:val="0"/>
    <w:qFormat/>
    <w:pPr>
      <w:jc w:val="both"/>
      <w:widowControl w:val="off"/>
    </w:pPr>
    <w:tblPr/>
  </w:style>
  <w:style w:type="paragraph" w:styleId="1214" w:customStyle="1">
    <w:name w:val="a0"/>
    <w:basedOn w:val="796"/>
    <w:uiPriority w:val="0"/>
    <w:qFormat/>
    <w:pPr>
      <w:jc w:val="left"/>
      <w:spacing w:before="100" w:beforeAutospacing="1" w:after="100" w:afterAutospacing="1"/>
      <w:widowControl/>
    </w:pPr>
    <w:rPr>
      <w:rFonts w:ascii="宋体" w:hAnsi="宋体" w:cs="宋体"/>
    </w:rPr>
  </w:style>
  <w:style w:type="character" w:styleId="1215" w:customStyle="1">
    <w:name w:val="NormalCharacter1"/>
    <w:uiPriority w:val="0"/>
    <w:qFormat/>
  </w:style>
  <w:style w:type="paragraph" w:styleId="1216" w:customStyle="1">
    <w:name w:val="_Style 1"/>
    <w:basedOn w:val="796"/>
    <w:uiPriority w:val="34"/>
    <w:qFormat/>
    <w:pPr>
      <w:ind w:firstLine="420"/>
    </w:pPr>
  </w:style>
  <w:style w:type="paragraph" w:styleId="1217" w:customStyle="1">
    <w:name w:val="UserStyle_0"/>
    <w:basedOn w:val="796"/>
    <w:uiPriority w:val="0"/>
    <w:qFormat/>
    <w:pPr>
      <w:ind w:left="420" w:firstLine="420"/>
      <w:spacing w:after="120"/>
      <w:widowControl/>
    </w:pPr>
    <w:rPr>
      <w:rFonts w:ascii="Times New Roman" w:hAnsi="Times New Roman"/>
      <w:szCs w:val="20"/>
    </w:rPr>
  </w:style>
  <w:style w:type="paragraph" w:styleId="1218" w:customStyle="1">
    <w:name w:val="UserStyle_87"/>
    <w:basedOn w:val="796"/>
    <w:uiPriority w:val="0"/>
    <w:qFormat/>
    <w:pPr>
      <w:ind w:firstLine="420"/>
      <w:widowControl/>
    </w:pPr>
  </w:style>
  <w:style w:type="character" w:styleId="1219" w:customStyle="1">
    <w:name w:val="UserStyle_88"/>
    <w:uiPriority w:val="0"/>
    <w:qFormat/>
  </w:style>
  <w:style w:type="paragraph" w:styleId="1220" w:customStyle="1">
    <w:name w:val="BodyText1I21"/>
    <w:basedOn w:val="796"/>
    <w:uiPriority w:val="0"/>
    <w:qFormat/>
    <w:pPr>
      <w:ind w:left="420" w:firstLine="420"/>
      <w:spacing w:after="120"/>
    </w:pPr>
    <w:rPr>
      <w:rFonts w:ascii="Times New Roman" w:hAnsi="Times New Roman"/>
      <w:szCs w:val="20"/>
    </w:rPr>
  </w:style>
  <w:style w:type="paragraph" w:styleId="1221" w:customStyle="1">
    <w:name w:val="Table Text"/>
    <w:basedOn w:val="796"/>
    <w:uiPriority w:val="0"/>
    <w:semiHidden/>
    <w:qFormat/>
    <w:rPr>
      <w:rFonts w:ascii="宋体" w:hAnsi="宋体" w:eastAsia="宋体" w:cs="宋体"/>
      <w:sz w:val="24"/>
      <w:szCs w:val="24"/>
      <w:lang w:eastAsia="en-US"/>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c226b219-aada-4147-b540-64d278c7ade0</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63D78F0E</paraID>
      <start>134</start>
      <end>137</end>
      <status>unmodified</status>
      <modifiedWord/>
      <trackRevisions>false</trackRevisions>
    </reviewItem>
    <reviewItem>
      <errorID>735b1733-5d3a-4a3a-b577-595973e69bc0</errorID>
      <errorWord>充分考虑到</errorWord>
      <group>L1_Word</group>
      <groupName>字词问题</groupName>
      <ability>L2_Typo</ability>
      <abilityName>字词错误</abilityName>
      <candidateList>
        <item>充分考虑</item>
      </candidateList>
      <explain/>
      <paraID>273248E4</paraID>
      <start>4</start>
      <end>8</end>
      <status>modified</status>
      <modifiedWord>充分考虑</modifiedWord>
      <trackRevisions>false</trackRevisions>
    </reviewItem>
    <reviewItem>
      <errorID>02998d10-acb1-4c53-9976-4bf5a9e265d0</errorID>
      <errorWord>做</errorWord>
      <group>L1_Word</group>
      <groupName>字词问题</groupName>
      <ability>L2_Typo</ability>
      <abilityName>字词错误</abilityName>
      <candidateList>
        <item>作</item>
      </candidateList>
      <explain>存在发音相同字词的误用。</explain>
      <paraID>273248E4</paraID>
      <start>70</start>
      <end>71</end>
      <status>unmodified</status>
      <modifiedWord/>
      <trackRevisions>false</trackRevisions>
    </reviewItem>
    <reviewItem>
      <errorID>d148bcbf-ef69-44e5-985a-277044947565</errorID>
      <errorWord>授标</errorWord>
      <group>L1_Word</group>
      <groupName>字词问题</groupName>
      <ability>L2_Typo</ability>
      <abilityName>字词错误</abilityName>
      <candidateList>
        <item>投标</item>
      </candidateList>
      <explain/>
      <paraID>10F4938D</paraID>
      <start>27</start>
      <end>29</end>
      <status>unmodified</status>
      <modifiedWord/>
      <trackRevisions>false</trackRevisions>
    </reviewItem>
    <reviewItem>
      <errorID>161b5895-8c79-473d-9767-109958da1713</errorID>
      <errorWord>不</errorWord>
      <group>L1_Word</group>
      <groupName>字词问题</groupName>
      <ability>L2_Typo</ability>
      <abilityName>字词错误</abilityName>
      <candidateList>
        <item>不符</item>
      </candidateList>
      <explain/>
      <paraID>1E45016F</paraID>
      <start>54</start>
      <end>55</end>
      <status>unmodified</status>
      <modifiedWord/>
      <trackRevisions>false</trackRevisions>
    </reviewItem>
    <reviewItem>
      <errorID>fa8be72d-f76f-4834-bd53-08c91aad5306</errorID>
      <errorWord>保持通讯畅通</errorWord>
      <group>L1_Word</group>
      <groupName>字词问题</groupName>
      <ability>L2_Typo</ability>
      <abilityName>字词错误</abilityName>
      <candidateList>
        <item>保持通信畅通</item>
      </candidateList>
      <explain/>
      <paraID>4F353940</paraID>
      <start>17</start>
      <end>23</end>
      <status>modified</status>
      <modifiedWord>保持通信畅通</modifiedWord>
      <trackRevisions>false</trackRevisions>
    </reviewItem>
    <reviewItem>
      <errorID>0402263b-2a10-428c-90f7-4bac9c42e3e8</errorID>
      <errorWord>&lt;</errorWord>
      <group>L1_Format</group>
      <groupName>格式问题</groupName>
      <ability>L2_HalfPunc</ability>
      <abilityName>全半角检查</abilityName>
      <candidateList>
        <item>〈</item>
      </candidateList>
      <explain>文本全半角错误。</explain>
      <paraID>53EB5C8F</paraID>
      <start>50</start>
      <end>51</end>
      <status>unmodified</status>
      <modifiedWord/>
      <trackRevisions>false</trackRevisions>
    </reviewItem>
    <reviewItem>
      <errorID>aef094af-9318-4819-b3e1-6d94b38b975c</errorID>
      <errorWord>&lt;</errorWord>
      <group>L1_Format</group>
      <groupName>格式问题</groupName>
      <ability>L2_HalfPunc</ability>
      <abilityName>全半角检查</abilityName>
      <candidateList>
        <item>〈</item>
      </candidateList>
      <explain>文本全半角错误。</explain>
      <paraID>6C25D46B</paraID>
      <start>50</start>
      <end>51</end>
      <status>unmodified</status>
      <modifiedWord/>
      <trackRevisions>false</trackRevisions>
    </reviewItem>
    <reviewItem>
      <errorID>90f2720a-c3c3-435d-af54-8741ad293d0b</errorID>
      <errorWord>&lt;</errorWord>
      <group>L1_Format</group>
      <groupName>格式问题</groupName>
      <ability>L2_HalfPunc</ability>
      <abilityName>全半角检查</abilityName>
      <candidateList>
        <item>〈</item>
      </candidateList>
      <explain>文本全半角错误。</explain>
      <paraID>1DED64D4</paraID>
      <start>35</start>
      <end>36</end>
      <status>unmodified</status>
      <modifiedWord/>
      <trackRevisions>false</trackRevisions>
    </reviewItem>
    <reviewItem>
      <errorID>374486b1-ef4d-41dc-a565-02bb6bb3a165</errorID>
      <errorWord>，</errorWord>
      <group>L1_Word</group>
      <groupName>字词问题</groupName>
      <ability>L2_Typo</ability>
      <abilityName>字词错误</abilityName>
      <candidateList>
        <item>，并</item>
      </candidateList>
      <explain/>
      <paraID>6D1DC0E9</paraID>
      <start>69</start>
      <end>71</end>
      <status>modified</status>
      <modifiedWord>，并</modifiedWord>
      <trackRevisions>false</trackRevisions>
    </reviewItem>
    <reviewItem>
      <errorID>1da4d479-d51b-46eb-a891-5aacb70ad139</errorID>
      <errorWord>属</errorWord>
      <group>L1_Word</group>
      <groupName>字词问题</groupName>
      <ability>L2_Typo</ability>
      <abilityName>字词错误</abilityName>
      <candidateList>
        <item>属于</item>
      </candidateList>
      <explain/>
      <paraID>51E4AE55</paraID>
      <start>22</start>
      <end>24</end>
      <status>modified</status>
      <modifiedWord>属于</modifiedWord>
      <trackRevisions>false</trackRevisions>
    </reviewItem>
    <reviewItem>
      <errorID>32d533d0-e0e5-4877-8cd6-5310a97d5d06</errorID>
      <errorWord>、</errorWord>
      <group>L1_Word</group>
      <groupName>字词问题</groupName>
      <ability>L2_Typo</ability>
      <abilityName>字词错误</abilityName>
      <candidateList>
        <item>、第</item>
      </candidateList>
      <explain/>
      <paraID> E9033EE</paraID>
      <start>23</start>
      <end>24</end>
      <status>unmodified</status>
      <modifiedWord/>
      <trackRevisions>false</trackRevisions>
    </reviewItem>
    <reviewItem>
      <errorID>e81f79bd-1281-43bf-9d40-c5a111af2f7b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1A6CBF37</paraID>
      <start>0</start>
      <end>2</end>
      <status>modified</status>
      <modifiedWord>2.</modifiedWord>
      <trackRevisions>false</trackRevisions>
    </reviewItem>
    <reviewItem>
      <errorID>cccf080a-4927-4a98-a030-08c7f54e6993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64410983</paraID>
      <start>0</start>
      <end>2</end>
      <status>modified</status>
      <modifiedWord>1.</modifiedWord>
      <trackRevisions>false</trackRevisions>
    </reviewItem>
    <reviewItem>
      <errorID>d3bd7f73-bf8a-4e24-bc4a-b8f5eae2ef20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171DFF1D</paraID>
      <start>0</start>
      <end>2</end>
      <status>modified</status>
      <modifiedWord>2.</modifiedWord>
      <trackRevisions>false</trackRevisions>
    </reviewItem>
    <reviewItem>
      <errorID>4eeb28e2-e25e-42c7-b2ca-e7e2fd553474</errorID>
      <errorWord>(</errorWord>
      <group>L1_Format</group>
      <groupName>格式问题</groupName>
      <ability>L2_HalfPunc</ability>
      <abilityName>全半角检查</abilityName>
      <candidateList>
        <item>（</item>
      </candidateList>
      <explain>文本全半角错误。</explain>
      <paraID> 462DE15</paraID>
      <start>16</start>
      <end>17</end>
      <status>modified</status>
      <modifiedWord>（</modifiedWord>
      <trackRevisions>false</trackRevisions>
    </reviewItem>
    <reviewItem>
      <errorID>a5769ad5-2d03-4b76-999b-67d7c03c038f</errorID>
      <errorWord>)</errorWord>
      <group>L1_Format</group>
      <groupName>格式问题</groupName>
      <ability>L2_HalfPunc</ability>
      <abilityName>全半角检查</abilityName>
      <candidateList>
        <item>）</item>
      </candidateList>
      <explain>文本全半角错误。</explain>
      <paraID> 462DE15</paraID>
      <start>22</start>
      <end>23</end>
      <status>modified</status>
      <modifiedWord>）</modifiedWord>
      <trackRevisions>false</trackRevisions>
    </reviewItem>
    <reviewItem>
      <errorID>ed3a1f33-32a2-41fc-82a5-5ea3d44963be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705953A5</paraID>
      <start>0</start>
      <end>2</end>
      <status>modified</status>
      <modifiedWord>1.</modifiedWord>
      <trackRevisions>false</trackRevisions>
    </reviewItem>
    <reviewItem>
      <errorID>36b14811-a0de-4181-b1f9-00d2d826adf4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FECED9C</paraID>
      <start>0</start>
      <end>2</end>
      <status>modified</status>
      <modifiedWord>2.</modifiedWord>
      <trackRevisions>false</trackRevisions>
    </reviewItem>
    <reviewItem>
      <errorID>b703762c-5814-436c-a335-5e906ae72b8e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7D88B132</paraID>
      <start>0</start>
      <end>2</end>
      <status>modified</status>
      <modifiedWord>3.</modifiedWord>
      <trackRevisions>false</trackRevisions>
    </reviewItem>
    <reviewItem>
      <errorID>711b2d48-681c-4ece-95e9-7a4c82080256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4423E2A</paraID>
      <start>0</start>
      <end>2</end>
      <status>modified</status>
      <modifiedWord>4.</modifiedWord>
      <trackRevisions>false</trackRevisions>
    </reviewItem>
    <reviewItem>
      <errorID>df9cb26a-4f9c-42dc-962e-9260f7c0a8aa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5C19376F</paraID>
      <start>0</start>
      <end>2</end>
      <status>modified</status>
      <modifiedWord>5.</modifiedWord>
      <trackRevisions>false</trackRevisions>
    </reviewItem>
    <reviewItem>
      <errorID>ca2103bf-593f-4992-930c-b2aa75e40e0c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F12FCD1</paraID>
      <start>0</start>
      <end>2</end>
      <status>modified</status>
      <modifiedWord>6.</modifiedWord>
      <trackRevisions>false</trackRevisions>
    </reviewItem>
    <reviewItem>
      <errorID>d38ff972-d062-4a12-a5ab-0fe84bfb2569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50D4B698</paraID>
      <start>0</start>
      <end>2</end>
      <status>modified</status>
      <modifiedWord>7.</modifiedWord>
      <trackRevisions>false</trackRevisions>
    </reviewItem>
    <reviewItem>
      <errorID>9f8505af-2a14-4e94-a4d2-f98a2622661c</errorID>
      <errorWord>(</errorWord>
      <group>L1_Format</group>
      <groupName>格式问题</groupName>
      <ability>L2_HalfPunc</ability>
      <abilityName>全半角检查</abilityName>
      <candidateList>
        <item>（</item>
      </candidateList>
      <explain>文本全半角错误。</explain>
      <paraID>50D4B698</paraID>
      <start>19</start>
      <end>20</end>
      <status>modified</status>
      <modifiedWord>（</modifiedWord>
      <trackRevisions>false</trackRevisions>
    </reviewItem>
    <reviewItem>
      <errorID>46c2cb85-9e4a-4cf5-b5ea-62fbae332187</errorID>
      <errorWord>)</errorWord>
      <group>L1_Format</group>
      <groupName>格式问题</groupName>
      <ability>L2_HalfPunc</ability>
      <abilityName>全半角检查</abilityName>
      <candidateList>
        <item>）</item>
      </candidateList>
      <explain>文本全半角错误。</explain>
      <paraID>50D4B698</paraID>
      <start>28</start>
      <end>29</end>
      <status>modified</status>
      <modifiedWord>）</modifiedWord>
      <trackRevisions>false</trackRevisions>
    </reviewItem>
    <reviewItem>
      <errorID>5d97e0e2-af66-4098-8f0b-fa06e84456fc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15D65D76</paraID>
      <start>0</start>
      <end>2</end>
      <status>modified</status>
      <modifiedWord>1.</modifiedWord>
      <trackRevisions>false</trackRevisions>
    </reviewItem>
    <reviewItem>
      <errorID>498ef3b2-fb5b-44c8-a709-573d87d37177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5EC3DFF1</paraID>
      <start>0</start>
      <end>2</end>
      <status>modified</status>
      <modifiedWord>2.</modifiedWord>
      <trackRevisions>false</trackRevisions>
    </reviewItem>
    <reviewItem>
      <errorID>d2e63c19-f1e1-4208-bb41-8097cf14c357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6474C3E6</paraID>
      <start>0</start>
      <end>2</end>
      <status>modified</status>
      <modifiedWord>3.</modifiedWord>
      <trackRevisions>false</trackRevisions>
    </reviewItem>
    <reviewItem>
      <errorID>754e4899-3847-4c93-94ee-82eaeb174ddf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75411A0F</paraID>
      <start>0</start>
      <end>2</end>
      <status>modified</status>
      <modifiedWord>2.</modifiedWord>
      <trackRevisions>false</trackRevisions>
    </reviewItem>
    <reviewItem>
      <errorID>88d0211e-3de1-40a4-a553-dad27d44dcdd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3AAD8B67</paraID>
      <start>0</start>
      <end>2</end>
      <status>modified</status>
      <modifiedWord>1.</modifiedWord>
      <trackRevisions>false</trackRevisions>
    </reviewItem>
    <reviewItem>
      <errorID>a7c0de17-ba45-4e36-a9a6-017f64f9a363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1D71C9A8</paraID>
      <start>0</start>
      <end>2</end>
      <status>modified</status>
      <modifiedWord>3.</modifiedWord>
      <trackRevisions>false</trackRevisions>
    </reviewItem>
    <reviewItem>
      <errorID>4dd33962-2533-4499-8076-bbba5e2d9146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66051BE8</paraID>
      <start>0</start>
      <end>2</end>
      <status>modified</status>
      <modifiedWord>4.</modifiedWord>
      <trackRevisions>false</trackRevisions>
    </reviewItem>
    <reviewItem>
      <errorID>6e283f91-c185-442f-afce-3e44dc61c909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47891813</paraID>
      <start>0</start>
      <end>2</end>
      <status>modified</status>
      <modifiedWord>5.</modifiedWord>
      <trackRevisions>false</trackRevisions>
    </reviewItem>
    <reviewItem>
      <errorID>48bf7e42-8da9-4486-98fa-753a9d62b376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1021483A</paraID>
      <start>0</start>
      <end>2</end>
      <status>modified</status>
      <modifiedWord>6.</modifiedWord>
      <trackRevisions>false</trackRevisions>
    </reviewItem>
    <reviewItem>
      <errorID>873f26d9-17db-40b4-99b7-02337f90b1a9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4B90E844</paraID>
      <start>0</start>
      <end>2</end>
      <status>modified</status>
      <modifiedWord>1.</modifiedWord>
      <trackRevisions>false</trackRevisions>
    </reviewItem>
    <reviewItem>
      <errorID>fda6014d-5377-48dd-82c5-92e6e02b0bf0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112B6055</paraID>
      <start>81</start>
      <end>83</end>
      <status>modified</status>
      <modifiedWord>系统</modifiedWord>
      <trackRevisions>false</trackRevisions>
    </reviewItem>
    <reviewItem>
      <errorID>0fb9ec9b-97bc-41cb-b8ab-502ba9f0f4e7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481B585F</paraID>
      <start>0</start>
      <end>2</end>
      <status>modified</status>
      <modifiedWord>2.</modifiedWord>
      <trackRevisions>false</trackRevisions>
    </reviewItem>
    <reviewItem>
      <errorID>48a0f43f-90e0-48d9-b8e7-78106eadd54d</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481B585F</paraID>
      <start>122</start>
      <end>124</end>
      <status>modified</status>
      <modifiedWord>系统</modifiedWord>
      <trackRevisions>false</trackRevisions>
    </reviewItem>
    <reviewItem>
      <errorID>81f2deda-4c4a-4c17-885d-f846653e0926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5C1A16E4</paraID>
      <start>5</start>
      <end>7</end>
      <status>modified</status>
      <modifiedWord>3.</modifiedWord>
      <trackRevisions>false</trackRevisions>
    </reviewItem>
    <reviewItem>
      <errorID>ad50be7f-4d13-4ed5-b6b1-c0214049fb70</errorID>
      <errorWord>(</errorWord>
      <group>L1_Format</group>
      <groupName>格式问题</groupName>
      <ability>L2_HalfPunc</ability>
      <abilityName>全半角检查</abilityName>
      <candidateList>
        <item>（</item>
      </candidateList>
      <explain>文本全半角错误。</explain>
      <paraID>5C1A16E4</paraID>
      <start>38</start>
      <end>39</end>
      <status>modified</status>
      <modifiedWord>（</modifiedWord>
      <trackRevisions>false</trackRevisions>
    </reviewItem>
    <reviewItem>
      <errorID>62d235b5-e9f7-4cc6-bf26-ea39af66ccc7</errorID>
      <errorWord>)</errorWord>
      <group>L1_Format</group>
      <groupName>格式问题</groupName>
      <ability>L2_HalfPunc</ability>
      <abilityName>全半角检查</abilityName>
      <candidateList>
        <item>）</item>
      </candidateList>
      <explain>文本全半角错误。</explain>
      <paraID>5C1A16E4</paraID>
      <start>44</start>
      <end>45</end>
      <status>modified</status>
      <modifiedWord>）</modifiedWord>
      <trackRevisions>false</trackRevisions>
    </reviewItem>
    <reviewItem>
      <errorID>3d0e0661-6e3b-43e2-a790-5b4c6df92b5e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6FED159F</paraID>
      <start>1</start>
      <end>3</end>
      <status>modified</status>
      <modifiedWord>4.</modifiedWord>
      <trackRevisions>false</trackRevisions>
    </reviewItem>
    <reviewItem>
      <errorID>8bf46286-6c7e-42d9-9b6d-93006566bf15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6FED159F</paraID>
      <start>201</start>
      <end>203</end>
      <status>modified</status>
      <modifiedWord>系统</modifiedWord>
      <trackRevisions>false</trackRevisions>
    </reviewItem>
    <reviewItem>
      <errorID>b9550f7d-b68c-4fcd-8ac6-a44f6ff5b8f8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75636B12</paraID>
      <start>0</start>
      <end>2</end>
      <status>modified</status>
      <modifiedWord>5.</modifiedWord>
      <trackRevisions>false</trackRevisions>
    </reviewItem>
    <reviewItem>
      <errorID>ca3efd4f-e2e6-415d-8a5d-21a970e1cb53</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20F8A8D</paraID>
      <start>150</start>
      <end>152</end>
      <status>modified</status>
      <modifiedWord>系统</modifiedWord>
      <trackRevisions>false</trackRevisions>
    </reviewItem>
    <reviewItem>
      <errorID>01244029-392e-456d-8908-8cb0cfafdfe4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B046B6D</paraID>
      <start>0</start>
      <end>2</end>
      <status>modified</status>
      <modifiedWord>6.</modifiedWord>
      <trackRevisions>false</trackRevisions>
    </reviewItem>
    <reviewItem>
      <errorID>97dd1dd1-75ce-4959-ab3f-7d345aaad041</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4399F1BD</paraID>
      <start>71</start>
      <end>73</end>
      <status>modified</status>
      <modifiedWord>系统</modifiedWord>
      <trackRevisions>false</trackRevisions>
    </reviewItem>
    <reviewItem>
      <errorID>cdd7a895-29f7-4856-8366-1d6fcf21bd60</errorID>
      <errorWord>(</errorWord>
      <group>L1_Format</group>
      <groupName>格式问题</groupName>
      <ability>L2_HalfPunc</ability>
      <abilityName>全半角检查</abilityName>
      <candidateList>
        <item>（</item>
      </candidateList>
      <explain>文本全半角错误。</explain>
      <paraID>725F7C11</paraID>
      <start>6</start>
      <end>7</end>
      <status>modified</status>
      <modifiedWord>（</modifiedWord>
      <trackRevisions>false</trackRevisions>
    </reviewItem>
    <reviewItem>
      <errorID>660f0824-d73a-494a-987e-c10dafe13cf9</errorID>
      <errorWord>情况等</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10108C4C</paraID>
      <start>47</start>
      <end>50</end>
      <status>unmodified</status>
      <modifiedWord/>
      <trackRevisions>false</trackRevisions>
    </reviewItem>
    <reviewItem>
      <errorID>70c551ee-490a-4b51-9117-9f8ede46aa98</errorID>
      <errorWord>可行性</errorWord>
      <group>L1_Word</group>
      <groupName>字词问题</groupName>
      <ability>L2_Typo</ability>
      <abilityName>字词错误</abilityName>
      <candidateList>
        <item>可行</item>
      </candidateList>
      <explain/>
      <paraID>30F2B836</paraID>
      <start>21</start>
      <end>23</end>
      <status>modified</status>
      <modifiedWord>可行</modifiedWord>
      <trackRevisions>false</trackRevisions>
    </reviewItem>
    <reviewItem>
      <errorID>b45b41f8-8712-4587-b512-8f9e664fe135</errorID>
      <errorWord>翔实</errorWord>
      <group>L1_Word</group>
      <groupName>字词问题</groupName>
      <ability>L2_Typo</ability>
      <abilityName>字词错误</abilityName>
      <candidateList>
        <item>详实</item>
      </candidateList>
      <explain>存在发音相同字词的误用。</explain>
      <paraID>67D18512</paraID>
      <start>8</start>
      <end>10</end>
      <status>unmodified</status>
      <modifiedWord/>
      <trackRevisions>false</trackRevisions>
    </reviewItem>
    <reviewItem>
      <errorID>5b04b327-75b7-4052-a1a5-e0608db3d810</errorID>
      <errorWord>可行性</errorWord>
      <group>L1_Word</group>
      <groupName>字词问题</groupName>
      <ability>L2_Typo</ability>
      <abilityName>字词错误</abilityName>
      <candidateList>
        <item>可行</item>
      </candidateList>
      <explain/>
      <paraID>6BEAE684</paraID>
      <start>21</start>
      <end>23</end>
      <status>modified</status>
      <modifiedWord>可行</modifiedWord>
      <trackRevisions>false</trackRevisions>
    </reviewItem>
    <reviewItem>
      <errorID>ad682b23-ce0b-450b-a068-d60986918855</errorID>
      <errorWord>的</errorWord>
      <group>L1_Word</group>
      <groupName>字词问题</groupName>
      <ability>L2_Typo</ability>
      <abilityName>字词错误</abilityName>
      <candidateList>
        <item>的最</item>
      </candidateList>
      <explain/>
      <paraID>279B32FE</paraID>
      <start>33</start>
      <end>34</end>
      <status>unmodified</status>
      <modifiedWord/>
      <trackRevisions>false</trackRevisions>
    </reviewItem>
    <reviewItem>
      <errorID>45d4dec4-6014-40d0-bf96-0c1dfbd7a1ee</errorID>
      <errorWord>《政府采购法实施条例释义》</errorWord>
      <group>L1_Other</group>
      <groupName>其他问题</groupName>
      <ability>L2_UserTypo</ability>
      <abilityName>自定义错误</abilityName>
      <candidateList>
        <item>《中华人民共和国政府采购法实施条例释义》</item>
      </candidateList>
      <explain>来自自定义错词库。</explain>
      <paraID>3389AFF7</paraID>
      <start>2</start>
      <end>22</end>
      <status>modified</status>
      <modifiedWord>《中华人民共和国政府采购法实施条例释义》</modifiedWord>
      <trackRevisions>false</trackRevisions>
    </reviewItem>
    <reviewItem>
      <errorID>ae552f59-d123-428c-a41e-54addef20bf2</errorID>
      <errorWord>其它</errorWord>
      <group>L1_Word</group>
      <groupName>字词问题</groupName>
      <ability>L2_Alias</ability>
      <abilityName>也作/曾用词</abilityName>
      <candidateList>
        <item>其他</item>
      </candidateList>
      <explain>词汇[其它]为不规范表述或旧称，其规范书面表述为[其他]。</explain>
      <paraID>53C1FDC2</paraID>
      <start>58</start>
      <end>60</end>
      <status>modified</status>
      <modifiedWord>其他</modifiedWord>
      <trackRevisions>false</trackRevisions>
    </reviewItem>
    <reviewItem>
      <errorID>0e1398b7-6bbb-4c87-9196-0d596bb7c022</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3EA63298</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8D4C4DE-2227-454B-87E6-7A60AC32FE7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6</cp:revision>
  <dcterms:created xsi:type="dcterms:W3CDTF">2025-02-06T06:18:00Z</dcterms:created>
  <dcterms:modified xsi:type="dcterms:W3CDTF">2026-04-14T02:38:21Z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ECD962B54F524D848E217348161DE72D_13</vt:lpwstr>
  </property>
</Properties>
</file>