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6"/>
        <w:jc w:val="center"/>
        <w:spacing w:line="360" w:lineRule="auto"/>
        <w:rPr>
          <w:rFonts w:hint="eastAsia" w:ascii="黑体" w:hAnsi="黑体" w:eastAsia="黑体" w:cs="宋体"/>
          <w:b/>
          <w:spacing w:val="20"/>
          <w:sz w:val="72"/>
          <w:szCs w:val="72"/>
          <w:highlight w:val="none"/>
        </w:rPr>
      </w:pPr>
      <w:r>
        <w:rPr>
          <w:rFonts w:hint="eastAsia" w:ascii="黑体" w:hAnsi="黑体" w:eastAsia="黑体" w:cs="宋体"/>
          <w:b/>
          <w:spacing w:val="20"/>
          <w:sz w:val="72"/>
          <w:szCs w:val="72"/>
          <w:highlight w:val="none"/>
        </w:rPr>
        <w:t xml:space="preserve">无 锡 市 政 府 采 购</w:t>
      </w:r>
      <w:r>
        <w:rPr>
          <w:rFonts w:hint="eastAsia" w:ascii="黑体" w:hAnsi="黑体" w:eastAsia="黑体" w:cs="宋体"/>
          <w:b/>
          <w:spacing w:val="20"/>
          <w:sz w:val="72"/>
          <w:szCs w:val="72"/>
          <w:highlight w:val="none"/>
        </w:rPr>
      </w:r>
      <w:r/>
    </w:p>
    <w:p>
      <w:pPr>
        <w:pStyle w:val="786"/>
        <w:spacing w:line="360" w:lineRule="auto"/>
        <w:rPr>
          <w:rFonts w:hint="eastAsia" w:hAnsi="宋体" w:cs="宋体"/>
          <w:bCs/>
          <w:sz w:val="30"/>
          <w:highlight w:val="none"/>
        </w:rPr>
      </w:pPr>
      <w:r>
        <w:rPr>
          <w:rFonts w:hint="eastAsia" w:hAnsi="宋体" w:cs="宋体"/>
          <w:bCs/>
          <w:sz w:val="30"/>
          <w:highlight w:val="none"/>
        </w:rPr>
      </w:r>
      <w:r/>
    </w:p>
    <w:p>
      <w:pPr>
        <w:pStyle w:val="786"/>
        <w:spacing w:line="360" w:lineRule="auto"/>
        <w:rPr>
          <w:rFonts w:hint="eastAsia" w:hAnsi="宋体" w:cs="宋体"/>
          <w:bCs/>
          <w:sz w:val="30"/>
          <w:highlight w:val="none"/>
        </w:rPr>
      </w:pPr>
      <w:r>
        <w:rPr>
          <w:rFonts w:hint="eastAsia" w:hAnsi="宋体" w:cs="宋体"/>
          <w:bCs/>
          <w:sz w:val="30"/>
          <w:highlight w:val="none"/>
        </w:rPr>
      </w:r>
      <w:r/>
    </w:p>
    <w:p>
      <w:pPr>
        <w:pStyle w:val="786"/>
        <w:jc w:val="center"/>
        <w:spacing w:line="360" w:lineRule="auto"/>
        <w:rPr>
          <w:rFonts w:hint="eastAsia" w:hAnsi="宋体" w:cs="宋体"/>
          <w:bCs/>
          <w:spacing w:val="20"/>
          <w:sz w:val="52"/>
          <w:szCs w:val="52"/>
          <w:highlight w:val="none"/>
        </w:rPr>
      </w:pPr>
      <w:r>
        <w:rPr>
          <w:rFonts w:hint="eastAsia" w:hAnsi="宋体" w:cs="宋体"/>
          <w:bCs/>
          <w:spacing w:val="20"/>
          <w:sz w:val="52"/>
          <w:szCs w:val="52"/>
          <w:highlight w:val="none"/>
        </w:rPr>
      </w:r>
      <w:r/>
    </w:p>
    <w:p>
      <w:pPr>
        <w:pStyle w:val="845"/>
        <w:rPr>
          <w:rFonts w:hint="eastAsia"/>
          <w:highlight w:val="none"/>
        </w:rPr>
      </w:pPr>
      <w:r>
        <w:rPr>
          <w:rFonts w:hint="eastAsia"/>
          <w:highlight w:val="none"/>
        </w:rPr>
      </w:r>
      <w:r/>
    </w:p>
    <w:p>
      <w:pPr>
        <w:pStyle w:val="845"/>
        <w:rPr>
          <w:rFonts w:hint="eastAsia"/>
          <w:highlight w:val="none"/>
        </w:rPr>
      </w:pPr>
      <w:r>
        <w:rPr>
          <w:rFonts w:hint="eastAsia"/>
          <w:highlight w:val="none"/>
        </w:rPr>
      </w:r>
      <w:r/>
    </w:p>
    <w:p>
      <w:pPr>
        <w:pStyle w:val="798"/>
        <w:rPr>
          <w:rFonts w:hint="eastAsia"/>
          <w:highlight w:val="none"/>
        </w:rPr>
      </w:pPr>
      <w:r>
        <w:rPr>
          <w:rFonts w:hint="eastAsia"/>
          <w:highlight w:val="none"/>
        </w:rPr>
      </w:r>
      <w:r/>
    </w:p>
    <w:p>
      <w:pPr>
        <w:pStyle w:val="845"/>
        <w:rPr>
          <w:rFonts w:hint="eastAsia"/>
          <w:highlight w:val="none"/>
        </w:rPr>
      </w:pPr>
      <w:r>
        <w:rPr>
          <w:rFonts w:hint="eastAsia"/>
          <w:highlight w:val="none"/>
        </w:rPr>
      </w:r>
      <w:r/>
    </w:p>
    <w:p>
      <w:pPr>
        <w:pStyle w:val="786"/>
        <w:jc w:val="center"/>
        <w:spacing w:line="360" w:lineRule="auto"/>
        <w:rPr>
          <w:rFonts w:hint="eastAsia"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w:t xml:space="preserve">公   开</w:t>
      </w:r>
      <w:r>
        <w:rPr>
          <w:rFonts w:hint="eastAsia" w:ascii="黑体" w:hAnsi="黑体" w:eastAsia="黑体" w:cs="宋体"/>
          <w:bCs/>
          <w:spacing w:val="20"/>
          <w:sz w:val="52"/>
          <w:szCs w:val="52"/>
          <w:highlight w:val="none"/>
        </w:rPr>
      </w:r>
      <w:r/>
    </w:p>
    <w:p>
      <w:pPr>
        <w:pStyle w:val="786"/>
        <w:jc w:val="center"/>
        <w:spacing w:line="360" w:lineRule="auto"/>
        <w:rPr>
          <w:rFonts w:hint="eastAsia"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黑体" w:hAnsi="黑体" w:eastAsia="黑体" w:cs="宋体"/>
          <w:bCs/>
          <w:spacing w:val="20"/>
          <w:sz w:val="52"/>
          <w:szCs w:val="52"/>
          <w:highlight w:val="none"/>
        </w:rPr>
        <w:t xml:space="preserve">招  标  文  件</w:t>
      </w:r>
      <w:r>
        <w:rPr>
          <w:rFonts w:hint="eastAsia" w:ascii="黑体" w:hAnsi="黑体" w:eastAsia="黑体" w:cs="宋体"/>
          <w:bCs/>
          <w:spacing w:val="20"/>
          <w:sz w:val="52"/>
          <w:szCs w:val="52"/>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786"/>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 xml:space="preserve">政府采购编号：</w:t>
      </w:r>
      <w:r>
        <w:rPr>
          <w:rFonts w:hint="eastAsia" w:ascii="黑体" w:hAnsi="黑体" w:eastAsia="黑体" w:cs="宋体"/>
          <w:bCs/>
          <w:sz w:val="30"/>
          <w:szCs w:val="30"/>
          <w:highlight w:val="none"/>
          <w:lang w:eastAsia="zh-CN"/>
        </w:rPr>
        <w:t xml:space="preserve">JSZC-320214-JNJS-G2026-0001</w:t>
      </w:r>
      <w:r>
        <w:rPr>
          <w:rFonts w:hint="eastAsia" w:ascii="黑体" w:hAnsi="黑体" w:eastAsia="黑体" w:cs="宋体"/>
          <w:bCs/>
          <w:sz w:val="30"/>
          <w:szCs w:val="30"/>
          <w:highlight w:val="none"/>
          <w:lang w:eastAsia="zh-CN"/>
        </w:rPr>
      </w:r>
      <w:r/>
    </w:p>
    <w:p>
      <w:pPr>
        <w:pStyle w:val="786"/>
        <w:spacing w:line="480" w:lineRule="auto"/>
        <w:rPr>
          <w:rFonts w:ascii="黑体" w:hAnsi="黑体" w:eastAsia="黑体" w:cs="宋体"/>
          <w:bCs/>
          <w:sz w:val="30"/>
          <w:szCs w:val="30"/>
          <w:highlight w:val="none"/>
          <w:lang w:val="en-US" w:eastAsia="zh-CN"/>
        </w:rPr>
      </w:pPr>
      <w:r>
        <w:rPr>
          <w:rFonts w:hint="eastAsia" w:ascii="黑体" w:hAnsi="黑体" w:eastAsia="黑体" w:cs="宋体"/>
          <w:bCs/>
          <w:sz w:val="30"/>
          <w:szCs w:val="30"/>
          <w:highlight w:val="none"/>
        </w:rPr>
        <w:t xml:space="preserve">采购项目名称：</w:t>
      </w:r>
      <w:r>
        <w:rPr>
          <w:rFonts w:hint="eastAsia" w:ascii="黑体" w:hAnsi="黑体" w:eastAsia="黑体" w:cs="宋体"/>
          <w:bCs/>
          <w:sz w:val="30"/>
          <w:szCs w:val="30"/>
          <w:highlight w:val="none"/>
          <w:lang w:eastAsia="zh-CN"/>
        </w:rPr>
        <w:t xml:space="preserve">天一中学新吴分校新建工程厨房设备采购项目</w:t>
      </w:r>
      <w:r>
        <w:rPr>
          <w:rFonts w:ascii="黑体" w:hAnsi="黑体" w:eastAsia="黑体" w:cs="宋体"/>
          <w:bCs/>
          <w:sz w:val="30"/>
          <w:szCs w:val="30"/>
          <w:highlight w:val="none"/>
          <w:lang w:val="en-US" w:eastAsia="zh-CN"/>
        </w:rPr>
      </w:r>
      <w:r/>
    </w:p>
    <w:p>
      <w:pPr>
        <w:pStyle w:val="786"/>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 xml:space="preserve">采   购   人：</w:t>
      </w:r>
      <w:r>
        <w:rPr>
          <w:rFonts w:hint="eastAsia" w:ascii="黑体" w:hAnsi="黑体" w:eastAsia="黑体" w:cs="宋体"/>
          <w:bCs/>
          <w:sz w:val="30"/>
          <w:szCs w:val="30"/>
          <w:highlight w:val="none"/>
          <w:lang w:eastAsia="zh-CN"/>
        </w:rPr>
        <w:t xml:space="preserve">无锡国家高新技术产业开发区（无锡市新吴区）教育局</w:t>
      </w:r>
      <w:r>
        <w:rPr>
          <w:rFonts w:hint="eastAsia" w:ascii="黑体" w:hAnsi="黑体" w:eastAsia="黑体" w:cs="宋体"/>
          <w:bCs/>
          <w:sz w:val="30"/>
          <w:szCs w:val="30"/>
          <w:highlight w:val="none"/>
          <w:lang w:eastAsia="zh-CN"/>
        </w:rPr>
      </w:r>
      <w:r/>
    </w:p>
    <w:p>
      <w:pPr>
        <w:pStyle w:val="786"/>
        <w:spacing w:line="480" w:lineRule="auto"/>
        <w:rPr>
          <w:rFonts w:hint="eastAsia" w:ascii="黑体" w:hAnsi="黑体" w:eastAsia="黑体" w:cs="宋体"/>
          <w:bCs/>
          <w:sz w:val="30"/>
          <w:szCs w:val="30"/>
          <w:highlight w:val="none"/>
          <w:lang w:val="en-US" w:eastAsia="zh-CN"/>
        </w:rPr>
      </w:pPr>
      <w:r>
        <w:rPr>
          <w:rFonts w:hint="eastAsia" w:ascii="黑体" w:hAnsi="黑体" w:eastAsia="黑体" w:cs="宋体"/>
          <w:bCs/>
          <w:sz w:val="30"/>
          <w:szCs w:val="30"/>
          <w:highlight w:val="none"/>
        </w:rPr>
        <w:t xml:space="preserve">采购代理机构：</w:t>
      </w:r>
      <w:r>
        <w:rPr>
          <w:rFonts w:hint="eastAsia" w:ascii="黑体" w:hAnsi="黑体" w:eastAsia="黑体" w:cs="宋体"/>
          <w:bCs/>
          <w:sz w:val="30"/>
          <w:szCs w:val="30"/>
          <w:highlight w:val="none"/>
          <w:lang w:val="en-US" w:eastAsia="zh-CN"/>
        </w:rPr>
        <w:t xml:space="preserve">江苏金诺建设咨询管理有限公司</w:t>
      </w:r>
      <w:r>
        <w:rPr>
          <w:rFonts w:hint="eastAsia" w:ascii="黑体" w:hAnsi="黑体" w:eastAsia="黑体" w:cs="宋体"/>
          <w:bCs/>
          <w:sz w:val="30"/>
          <w:szCs w:val="30"/>
          <w:highlight w:val="none"/>
          <w:lang w:val="en-US" w:eastAsia="zh-CN"/>
        </w:rPr>
      </w:r>
      <w:r/>
    </w:p>
    <w:p>
      <w:pPr>
        <w:pStyle w:val="786"/>
        <w:jc w:val="center"/>
        <w:rPr>
          <w:rFonts w:eastAsia="黑体"/>
          <w:bCs/>
          <w:color w:val="000000"/>
          <w:sz w:val="36"/>
          <w:szCs w:val="36"/>
          <w:highlight w:val="none"/>
        </w:rPr>
      </w:pPr>
      <w:r>
        <w:rPr>
          <w:rFonts w:hint="eastAsia" w:eastAsia="黑体"/>
          <w:bCs/>
          <w:color w:val="000000"/>
          <w:sz w:val="36"/>
          <w:szCs w:val="36"/>
          <w:highlight w:val="none"/>
          <w:lang w:eastAsia="zh-CN"/>
        </w:rPr>
        <w:t xml:space="preserve">二〇</w:t>
      </w:r>
      <w:r>
        <w:rPr>
          <w:rFonts w:eastAsia="黑体"/>
          <w:bCs/>
          <w:color w:val="000000"/>
          <w:sz w:val="36"/>
          <w:szCs w:val="36"/>
          <w:highlight w:val="none"/>
        </w:rPr>
        <w:t xml:space="preserve">二</w:t>
      </w:r>
      <w:r>
        <w:rPr>
          <w:rFonts w:hint="eastAsia" w:eastAsia="黑体"/>
          <w:bCs/>
          <w:color w:val="000000"/>
          <w:sz w:val="36"/>
          <w:szCs w:val="36"/>
          <w:highlight w:val="none"/>
          <w:lang w:val="en-US" w:eastAsia="zh-CN"/>
        </w:rPr>
        <w:t xml:space="preserve">六</w:t>
      </w:r>
      <w:r>
        <w:rPr>
          <w:rFonts w:eastAsia="黑体"/>
          <w:bCs/>
          <w:color w:val="000000"/>
          <w:sz w:val="36"/>
          <w:szCs w:val="36"/>
          <w:highlight w:val="none"/>
        </w:rPr>
        <w:t xml:space="preserve">年</w:t>
      </w:r>
      <w:r>
        <w:rPr>
          <w:rFonts w:hint="eastAsia" w:eastAsia="黑体"/>
          <w:bCs/>
          <w:color w:val="000000"/>
          <w:sz w:val="36"/>
          <w:szCs w:val="36"/>
          <w:highlight w:val="none"/>
          <w:lang w:val="en-US" w:eastAsia="zh-CN"/>
        </w:rPr>
        <w:t xml:space="preserve">四</w:t>
      </w:r>
      <w:r>
        <w:rPr>
          <w:rFonts w:eastAsia="黑体"/>
          <w:bCs/>
          <w:color w:val="000000"/>
          <w:sz w:val="36"/>
          <w:szCs w:val="36"/>
          <w:highlight w:val="none"/>
        </w:rPr>
        <w:t xml:space="preserve">月</w:t>
      </w:r>
      <w:r>
        <w:rPr>
          <w:rFonts w:eastAsia="黑体"/>
          <w:bCs/>
          <w:color w:val="000000"/>
          <w:sz w:val="36"/>
          <w:szCs w:val="36"/>
          <w:highlight w:val="none"/>
        </w:rPr>
      </w:r>
      <w:r/>
    </w:p>
    <w:p>
      <w:pPr>
        <w:pStyle w:val="786"/>
        <w:spacing w:line="480" w:lineRule="auto"/>
        <w:rPr>
          <w:rFonts w:ascii="黑体" w:hAnsi="黑体" w:eastAsia="黑体" w:cs="宋体"/>
          <w:bCs/>
          <w:sz w:val="30"/>
          <w:szCs w:val="30"/>
          <w:highlight w:val="none"/>
          <w:lang w:val="en-US" w:eastAsia="zh-CN"/>
        </w:rPr>
      </w:pPr>
      <w:r>
        <w:rPr>
          <w:rFonts w:ascii="黑体" w:hAnsi="黑体" w:eastAsia="黑体" w:cs="宋体"/>
          <w:bCs/>
          <w:sz w:val="30"/>
          <w:szCs w:val="30"/>
          <w:highlight w:val="none"/>
          <w:lang w:val="en-US" w:eastAsia="zh-CN"/>
        </w:rPr>
      </w:r>
      <w:r/>
    </w:p>
    <w:p>
      <w:pPr>
        <w:pStyle w:val="1062"/>
        <w:ind w:firstLine="0"/>
        <w:jc w:val="center"/>
        <w:rPr>
          <w:rFonts w:hint="eastAsia" w:ascii="宋体" w:hAnsi="宋体" w:eastAsia="宋体" w:cs="宋体"/>
          <w:sz w:val="52"/>
          <w:szCs w:val="52"/>
          <w:highlight w:val="none"/>
        </w:rPr>
      </w:pPr>
      <w:r/>
      <w:bookmarkStart w:id="0" w:name="_Toc120614210"/>
      <w:r/>
      <w:bookmarkStart w:id="1" w:name="_Toc513029200"/>
      <w:r/>
      <w:bookmarkStart w:id="2" w:name="_Toc16938516"/>
      <w:r/>
      <w:bookmarkStart w:id="3" w:name="_Toc523127445"/>
      <w:r/>
      <w:bookmarkStart w:id="4" w:name="_Toc20823272"/>
      <w:r/>
      <w:bookmarkStart w:id="5" w:name="_Toc479757206"/>
      <w:r>
        <w:rPr>
          <w:rFonts w:hint="eastAsia" w:ascii="宋体" w:hAnsi="宋体" w:eastAsia="宋体" w:cs="宋体"/>
          <w:sz w:val="52"/>
          <w:szCs w:val="52"/>
          <w:highlight w:val="none"/>
        </w:rPr>
        <w:t xml:space="preserve">目录</w:t>
      </w:r>
      <w:r>
        <w:rPr>
          <w:rFonts w:hint="eastAsia" w:ascii="宋体" w:hAnsi="宋体" w:eastAsia="宋体" w:cs="宋体"/>
          <w:sz w:val="52"/>
          <w:szCs w:val="52"/>
          <w:highlight w:val="none"/>
        </w:rPr>
      </w:r>
      <w:r/>
    </w:p>
    <w:p>
      <w:pPr>
        <w:pStyle w:val="1062"/>
        <w:ind w:firstLine="0"/>
        <w:jc w:val="both"/>
        <w:rPr>
          <w:rFonts w:hint="eastAsia" w:ascii="宋体" w:hAnsi="宋体" w:eastAsia="宋体" w:cs="宋体"/>
          <w:sz w:val="21"/>
          <w:highlight w:val="none"/>
        </w:rPr>
      </w:pPr>
      <w:r>
        <w:rPr>
          <w:rFonts w:hint="eastAsia" w:ascii="宋体" w:hAnsi="宋体" w:eastAsia="宋体" w:cs="宋体"/>
          <w:sz w:val="21"/>
          <w:highlight w:val="none"/>
        </w:rPr>
      </w:r>
      <w:r/>
    </w:p>
    <w:p>
      <w:pPr>
        <w:pStyle w:val="1176"/>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TOC \o "1-1" \h \u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_Toc27711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第一章  投标邀请</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_Toc27711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r>
      <w:r/>
    </w:p>
    <w:p>
      <w:pPr>
        <w:pStyle w:val="1176"/>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_Toc18519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第二章  投标人须知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_Toc18519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6</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r>
      <w:r/>
    </w:p>
    <w:p>
      <w:pPr>
        <w:pStyle w:val="1176"/>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_Toc29592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第三章  合同文本</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_Toc29592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18</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r>
      <w:r/>
    </w:p>
    <w:p>
      <w:pPr>
        <w:pStyle w:val="1176"/>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_Toc2602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第四章 采购需求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_Toc2602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26</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r>
      <w:r/>
    </w:p>
    <w:p>
      <w:pPr>
        <w:pStyle w:val="1176"/>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_Toc14501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第五章  评标方法与评标标准</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_Toc14501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72</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r>
      <w:r/>
    </w:p>
    <w:p>
      <w:pPr>
        <w:pStyle w:val="1176"/>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_Toc25872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第六章  投标文件内容与格式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_Toc25872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80</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r>
      <w:r/>
    </w:p>
    <w:p>
      <w:pPr>
        <w:pStyle w:val="786"/>
        <w:spacing w:line="6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r>
      <w:r/>
    </w:p>
    <w:p>
      <w:pPr>
        <w:pStyle w:val="786"/>
        <w:rPr>
          <w:rFonts w:hint="eastAsia" w:ascii="宋体" w:hAnsi="宋体" w:eastAsia="宋体" w:cs="宋体"/>
          <w:highlight w:val="none"/>
        </w:rPr>
      </w:pPr>
      <w:r>
        <w:rPr>
          <w:rFonts w:hint="eastAsia" w:ascii="宋体" w:hAnsi="宋体" w:eastAsia="宋体" w:cs="宋体"/>
          <w:highlight w:val="none"/>
        </w:rPr>
      </w:r>
      <w:r/>
    </w:p>
    <w:p>
      <w:pPr>
        <w:pStyle w:val="786"/>
        <w:rPr>
          <w:rFonts w:hint="eastAsia" w:ascii="宋体" w:hAnsi="宋体" w:eastAsia="宋体" w:cs="宋体"/>
          <w:highlight w:val="none"/>
        </w:rPr>
      </w:pPr>
      <w:r>
        <w:rPr>
          <w:rFonts w:hint="eastAsia" w:ascii="宋体" w:hAnsi="宋体" w:eastAsia="宋体" w:cs="宋体"/>
          <w:highlight w:val="none"/>
        </w:rPr>
      </w:r>
      <w:r/>
    </w:p>
    <w:p>
      <w:pPr>
        <w:pStyle w:val="786"/>
        <w:rPr>
          <w:rFonts w:hint="eastAsia" w:ascii="宋体" w:hAnsi="宋体" w:eastAsia="宋体" w:cs="宋体"/>
          <w:highlight w:val="none"/>
        </w:rPr>
      </w:pPr>
      <w:r>
        <w:rPr>
          <w:rFonts w:hint="eastAsia" w:ascii="宋体" w:hAnsi="宋体" w:eastAsia="宋体" w:cs="宋体"/>
          <w:highlight w:val="none"/>
        </w:rPr>
      </w:r>
      <w:r/>
    </w:p>
    <w:p>
      <w:pPr>
        <w:pStyle w:val="786"/>
        <w:rPr>
          <w:rFonts w:hint="eastAsia" w:ascii="宋体" w:hAnsi="宋体" w:eastAsia="宋体" w:cs="宋体"/>
          <w:highlight w:val="none"/>
        </w:rPr>
      </w:pPr>
      <w:r>
        <w:rPr>
          <w:rFonts w:hint="eastAsia" w:ascii="宋体" w:hAnsi="宋体" w:eastAsia="宋体" w:cs="宋体"/>
          <w:highlight w:val="none"/>
        </w:rPr>
      </w:r>
      <w:r/>
    </w:p>
    <w:p>
      <w:pPr>
        <w:pStyle w:val="786"/>
        <w:rPr>
          <w:rFonts w:hint="eastAsia" w:ascii="宋体" w:hAnsi="宋体" w:eastAsia="宋体" w:cs="宋体"/>
          <w:highlight w:val="none"/>
        </w:rPr>
      </w:pPr>
      <w:r>
        <w:rPr>
          <w:rFonts w:hint="eastAsia" w:ascii="宋体" w:hAnsi="宋体" w:eastAsia="宋体" w:cs="宋体"/>
          <w:highlight w:val="none"/>
        </w:rPr>
      </w:r>
      <w:r/>
    </w:p>
    <w:p>
      <w:pPr>
        <w:pStyle w:val="786"/>
        <w:rPr>
          <w:rFonts w:hint="eastAsia" w:ascii="宋体" w:hAnsi="宋体" w:eastAsia="宋体" w:cs="宋体"/>
          <w:highlight w:val="none"/>
        </w:rPr>
      </w:pPr>
      <w:r>
        <w:rPr>
          <w:rFonts w:hint="eastAsia" w:ascii="宋体" w:hAnsi="宋体" w:eastAsia="宋体" w:cs="宋体"/>
          <w:highlight w:val="none"/>
        </w:rPr>
      </w:r>
      <w:r/>
    </w:p>
    <w:p>
      <w:pPr>
        <w:pStyle w:val="786"/>
        <w:rPr>
          <w:rFonts w:hint="eastAsia" w:ascii="宋体" w:hAnsi="宋体" w:eastAsia="宋体" w:cs="宋体"/>
          <w:highlight w:val="none"/>
        </w:rPr>
      </w:pPr>
      <w:r>
        <w:rPr>
          <w:rFonts w:hint="eastAsia" w:ascii="宋体" w:hAnsi="宋体" w:eastAsia="宋体" w:cs="宋体"/>
          <w:highlight w:val="none"/>
        </w:rPr>
      </w:r>
      <w:r/>
    </w:p>
    <w:p>
      <w:pPr>
        <w:pStyle w:val="786"/>
        <w:rPr>
          <w:rFonts w:hint="eastAsia" w:ascii="宋体" w:hAnsi="宋体" w:eastAsia="宋体" w:cs="宋体"/>
          <w:highlight w:val="none"/>
        </w:rPr>
      </w:pPr>
      <w:r>
        <w:rPr>
          <w:rFonts w:hint="eastAsia" w:ascii="宋体" w:hAnsi="宋体" w:eastAsia="宋体" w:cs="宋体"/>
          <w:highlight w:val="none"/>
        </w:rPr>
      </w:r>
      <w:r/>
    </w:p>
    <w:p>
      <w:pPr>
        <w:pStyle w:val="786"/>
        <w:rPr>
          <w:rFonts w:hint="eastAsia" w:ascii="宋体" w:hAnsi="宋体" w:eastAsia="宋体" w:cs="宋体"/>
          <w:highlight w:val="none"/>
        </w:rPr>
      </w:pPr>
      <w:r>
        <w:rPr>
          <w:rFonts w:hint="eastAsia" w:ascii="宋体" w:hAnsi="宋体" w:eastAsia="宋体" w:cs="宋体"/>
          <w:highlight w:val="none"/>
        </w:rPr>
      </w:r>
      <w:r/>
    </w:p>
    <w:p>
      <w:pPr>
        <w:pStyle w:val="786"/>
        <w:rPr>
          <w:rFonts w:hint="eastAsia" w:ascii="宋体" w:hAnsi="宋体" w:eastAsia="宋体" w:cs="宋体"/>
          <w:highlight w:val="none"/>
        </w:rPr>
      </w:pPr>
      <w:r>
        <w:rPr>
          <w:rFonts w:hint="eastAsia" w:ascii="宋体" w:hAnsi="宋体" w:eastAsia="宋体" w:cs="宋体"/>
          <w:highlight w:val="none"/>
        </w:rPr>
      </w:r>
      <w:r/>
    </w:p>
    <w:p>
      <w:pPr>
        <w:pStyle w:val="786"/>
        <w:rPr>
          <w:rFonts w:hint="eastAsia" w:ascii="宋体" w:hAnsi="宋体" w:eastAsia="宋体" w:cs="宋体"/>
          <w:highlight w:val="none"/>
        </w:rPr>
      </w:pPr>
      <w:r>
        <w:rPr>
          <w:rFonts w:hint="eastAsia" w:ascii="宋体" w:hAnsi="宋体" w:eastAsia="宋体" w:cs="宋体"/>
          <w:highlight w:val="none"/>
        </w:rPr>
      </w:r>
      <w:r/>
    </w:p>
    <w:p>
      <w:pPr>
        <w:pStyle w:val="786"/>
        <w:rPr>
          <w:rFonts w:hint="eastAsia" w:ascii="宋体" w:hAnsi="宋体" w:eastAsia="宋体" w:cs="宋体"/>
          <w:highlight w:val="none"/>
        </w:rPr>
      </w:pPr>
      <w:r>
        <w:rPr>
          <w:rFonts w:hint="eastAsia" w:ascii="宋体" w:hAnsi="宋体" w:eastAsia="宋体" w:cs="宋体"/>
          <w:highlight w:val="none"/>
        </w:rPr>
      </w:r>
      <w:r/>
    </w:p>
    <w:p>
      <w:pPr>
        <w:pStyle w:val="786"/>
        <w:rPr>
          <w:rFonts w:hint="eastAsia" w:ascii="宋体" w:hAnsi="宋体" w:eastAsia="宋体" w:cs="宋体"/>
          <w:highlight w:val="none"/>
        </w:rPr>
      </w:pPr>
      <w:r>
        <w:rPr>
          <w:rFonts w:hint="eastAsia" w:ascii="宋体" w:hAnsi="宋体" w:eastAsia="宋体" w:cs="宋体"/>
          <w:highlight w:val="none"/>
        </w:rPr>
      </w:r>
      <w:r/>
    </w:p>
    <w:p>
      <w:pPr>
        <w:pStyle w:val="786"/>
        <w:rPr>
          <w:rFonts w:hint="eastAsia" w:ascii="宋体" w:hAnsi="宋体" w:eastAsia="宋体" w:cs="宋体"/>
          <w:highlight w:val="none"/>
        </w:rPr>
      </w:pPr>
      <w:r>
        <w:rPr>
          <w:rFonts w:hint="eastAsia" w:ascii="宋体" w:hAnsi="宋体" w:eastAsia="宋体" w:cs="宋体"/>
          <w:highlight w:val="none"/>
        </w:rPr>
      </w:r>
      <w:r/>
    </w:p>
    <w:p>
      <w:pPr>
        <w:pStyle w:val="786"/>
        <w:rPr>
          <w:rFonts w:hint="eastAsia" w:ascii="宋体" w:hAnsi="宋体" w:eastAsia="宋体" w:cs="宋体"/>
          <w:highlight w:val="none"/>
        </w:rPr>
      </w:pPr>
      <w:r>
        <w:rPr>
          <w:rFonts w:hint="eastAsia" w:ascii="宋体" w:hAnsi="宋体" w:eastAsia="宋体" w:cs="宋体"/>
          <w:highlight w:val="none"/>
        </w:rPr>
      </w:r>
      <w:r/>
    </w:p>
    <w:p>
      <w:pPr>
        <w:pStyle w:val="786"/>
        <w:rPr>
          <w:rFonts w:hint="eastAsia" w:ascii="宋体" w:hAnsi="宋体" w:eastAsia="宋体" w:cs="宋体"/>
          <w:highlight w:val="none"/>
        </w:rPr>
      </w:pPr>
      <w:r>
        <w:rPr>
          <w:rFonts w:hint="eastAsia" w:ascii="宋体" w:hAnsi="宋体" w:eastAsia="宋体" w:cs="宋体"/>
          <w:highlight w:val="none"/>
        </w:rPr>
      </w:r>
      <w:r/>
    </w:p>
    <w:p>
      <w:pPr>
        <w:pStyle w:val="786"/>
        <w:rPr>
          <w:rFonts w:hint="eastAsia" w:ascii="宋体" w:hAnsi="宋体" w:eastAsia="宋体" w:cs="宋体"/>
          <w:highlight w:val="none"/>
        </w:rPr>
      </w:pPr>
      <w:r>
        <w:rPr>
          <w:rFonts w:hint="eastAsia" w:ascii="宋体" w:hAnsi="宋体" w:eastAsia="宋体" w:cs="宋体"/>
          <w:highlight w:val="none"/>
        </w:rPr>
      </w:r>
      <w:r/>
    </w:p>
    <w:p>
      <w:pPr>
        <w:pStyle w:val="786"/>
        <w:rPr>
          <w:rFonts w:hint="eastAsia" w:ascii="宋体" w:hAnsi="宋体" w:eastAsia="宋体" w:cs="宋体"/>
          <w:highlight w:val="none"/>
        </w:rPr>
      </w:pPr>
      <w:r>
        <w:rPr>
          <w:rFonts w:hint="eastAsia" w:ascii="宋体" w:hAnsi="宋体" w:eastAsia="宋体" w:cs="宋体"/>
          <w:highlight w:val="none"/>
        </w:rPr>
      </w:r>
      <w:r/>
    </w:p>
    <w:p>
      <w:pPr>
        <w:pStyle w:val="786"/>
        <w:rPr>
          <w:rFonts w:hint="eastAsia" w:ascii="宋体" w:hAnsi="宋体" w:eastAsia="宋体" w:cs="宋体"/>
          <w:highlight w:val="none"/>
        </w:rPr>
      </w:pPr>
      <w:r>
        <w:rPr>
          <w:rFonts w:hint="eastAsia" w:ascii="宋体" w:hAnsi="宋体" w:eastAsia="宋体" w:cs="宋体"/>
          <w:highlight w:val="none"/>
        </w:rPr>
      </w:r>
      <w:r/>
    </w:p>
    <w:p>
      <w:pPr>
        <w:pStyle w:val="786"/>
        <w:rPr>
          <w:rFonts w:hint="eastAsia" w:ascii="宋体" w:hAnsi="宋体" w:eastAsia="宋体" w:cs="宋体"/>
          <w:highlight w:val="none"/>
        </w:rPr>
      </w:pPr>
      <w:r>
        <w:rPr>
          <w:rFonts w:hint="eastAsia" w:ascii="宋体" w:hAnsi="宋体" w:eastAsia="宋体" w:cs="宋体"/>
          <w:highlight w:val="none"/>
        </w:rPr>
      </w:r>
      <w:r/>
    </w:p>
    <w:p>
      <w:pPr>
        <w:pStyle w:val="786"/>
        <w:rPr>
          <w:rFonts w:hint="eastAsia" w:ascii="宋体" w:hAnsi="宋体" w:eastAsia="宋体" w:cs="宋体"/>
          <w:highlight w:val="none"/>
        </w:rPr>
      </w:pPr>
      <w:r>
        <w:rPr>
          <w:rFonts w:hint="eastAsia" w:ascii="宋体" w:hAnsi="宋体" w:eastAsia="宋体" w:cs="宋体"/>
          <w:highlight w:val="none"/>
        </w:rPr>
      </w:r>
      <w:r/>
    </w:p>
    <w:p>
      <w:pPr>
        <w:pStyle w:val="786"/>
        <w:jc w:val="center"/>
        <w:spacing w:line="500" w:lineRule="exact"/>
        <w:tabs>
          <w:tab w:val="left" w:pos="1440" w:leader="none"/>
        </w:tabs>
        <w:rPr>
          <w:rFonts w:hint="eastAsia" w:ascii="宋体" w:hAnsi="宋体" w:eastAsia="宋体" w:cs="宋体"/>
          <w:sz w:val="36"/>
          <w:szCs w:val="36"/>
          <w:highlight w:val="none"/>
        </w:rPr>
        <w:outlineLvl w:val="0"/>
      </w:pPr>
      <w:r/>
      <w:bookmarkStart w:id="6" w:name="_Toc27711"/>
      <w:r>
        <w:rPr>
          <w:rFonts w:hint="eastAsia" w:ascii="宋体" w:hAnsi="宋体" w:eastAsia="宋体" w:cs="宋体"/>
          <w:sz w:val="36"/>
          <w:szCs w:val="36"/>
          <w:highlight w:val="none"/>
        </w:rPr>
        <w:t xml:space="preserve">第一章  投标邀请</w:t>
      </w:r>
      <w:bookmarkEnd w:id="6"/>
      <w:r>
        <w:rPr>
          <w:rFonts w:hint="eastAsia" w:ascii="宋体" w:hAnsi="宋体" w:eastAsia="宋体" w:cs="宋体"/>
          <w:sz w:val="36"/>
          <w:szCs w:val="36"/>
          <w:highlight w:val="none"/>
        </w:rPr>
      </w:r>
      <w:r/>
    </w:p>
    <w:p>
      <w:pPr>
        <w:pStyle w:val="786"/>
        <w:ind w:firstLine="480"/>
        <w:spacing w:line="500" w:lineRule="exact"/>
        <w:rPr>
          <w:rFonts w:hint="eastAsia" w:ascii="宋体" w:hAnsi="宋体" w:eastAsia="宋体" w:cs="宋体"/>
          <w:sz w:val="24"/>
          <w:szCs w:val="24"/>
          <w:highlight w:val="none"/>
          <w:shd w:val="clear" w:color="ffffff" w:fill="d9d9d9"/>
        </w:rPr>
      </w:pPr>
      <w:r/>
      <w:bookmarkEnd w:id="0"/>
      <w:r>
        <w:rPr>
          <w:rFonts w:hint="eastAsia" w:ascii="宋体" w:hAnsi="宋体" w:eastAsia="宋体" w:cs="宋体"/>
          <w:sz w:val="24"/>
          <w:szCs w:val="24"/>
          <w:highlight w:val="none"/>
        </w:rPr>
        <w:t xml:space="preserve">受</w:t>
      </w:r>
      <w:r>
        <w:rPr>
          <w:rFonts w:hint="eastAsia" w:ascii="宋体" w:hAnsi="宋体" w:cs="宋体"/>
          <w:sz w:val="24"/>
          <w:szCs w:val="24"/>
          <w:highlight w:val="none"/>
          <w:lang w:eastAsia="zh-CN"/>
        </w:rPr>
        <w:t xml:space="preserve">无锡国家高新技术产业开发区（无锡市新吴区）教育局</w:t>
      </w:r>
      <w:r>
        <w:rPr>
          <w:rFonts w:hint="eastAsia" w:ascii="宋体" w:hAnsi="宋体" w:eastAsia="宋体" w:cs="宋体"/>
          <w:sz w:val="24"/>
          <w:szCs w:val="24"/>
          <w:highlight w:val="none"/>
        </w:rPr>
        <w:t xml:space="preserve">的委托，</w:t>
      </w:r>
      <w:r>
        <w:rPr>
          <w:rFonts w:hint="eastAsia" w:ascii="宋体" w:hAnsi="宋体" w:cs="宋体"/>
          <w:sz w:val="24"/>
          <w:szCs w:val="24"/>
          <w:highlight w:val="none"/>
          <w:lang w:eastAsia="zh-CN"/>
        </w:rPr>
        <w:t xml:space="preserve">江苏金诺建设咨询有限公司</w:t>
      </w:r>
      <w:r>
        <w:rPr>
          <w:rFonts w:hint="eastAsia" w:ascii="宋体" w:hAnsi="宋体" w:eastAsia="宋体" w:cs="宋体"/>
          <w:sz w:val="24"/>
          <w:szCs w:val="24"/>
          <w:highlight w:val="none"/>
        </w:rPr>
        <w:t xml:space="preserve">就</w:t>
      </w:r>
      <w:r>
        <w:rPr>
          <w:rFonts w:hint="eastAsia" w:ascii="宋体" w:hAnsi="宋体" w:cs="宋体"/>
          <w:sz w:val="24"/>
          <w:szCs w:val="24"/>
          <w:highlight w:val="none"/>
          <w:lang w:eastAsia="zh-CN"/>
        </w:rPr>
        <w:t xml:space="preserve">天一中学新吴分校新建工程厨房设备采购项目</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JSZC-320214-JNJS-G2026-0001</w:t>
      </w:r>
      <w:r>
        <w:rPr>
          <w:rFonts w:hint="eastAsia" w:ascii="宋体" w:hAnsi="宋体" w:eastAsia="宋体" w:cs="宋体"/>
          <w:sz w:val="24"/>
          <w:szCs w:val="24"/>
          <w:highlight w:val="none"/>
        </w:rPr>
        <w:t xml:space="preserve">）进行公开招标采购，欢迎符合条件的供应商投标。</w:t>
      </w:r>
      <w:r>
        <w:rPr>
          <w:rFonts w:hint="eastAsia" w:ascii="宋体" w:hAnsi="宋体" w:eastAsia="宋体" w:cs="宋体"/>
          <w:sz w:val="24"/>
          <w:szCs w:val="24"/>
          <w:highlight w:val="none"/>
          <w:shd w:val="clear" w:color="ffffff" w:fill="d9d9d9"/>
        </w:rPr>
      </w:r>
      <w:r/>
    </w:p>
    <w:p>
      <w:pPr>
        <w:pStyle w:val="786"/>
        <w:ind w:firstLine="480"/>
        <w:spacing w:line="500" w:lineRule="exact"/>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rPr>
          <w:rFonts w:hint="eastAsia" w:ascii="宋体" w:hAnsi="宋体" w:eastAsia="宋体" w:cs="宋体"/>
          <w:sz w:val="24"/>
          <w:szCs w:val="24"/>
          <w:highlight w:val="none"/>
          <w:shd w:val="clear" w:color="ffffff" w:fill="d9d9d9"/>
        </w:rPr>
      </w:r>
      <w:r/>
    </w:p>
    <w:p>
      <w:pPr>
        <w:pStyle w:val="786"/>
        <w:ind w:firstLine="480"/>
        <w:spacing w:line="500" w:lineRule="exact"/>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lang w:eastAsia="zh-CN"/>
        </w:rPr>
        <w:t xml:space="preserve">天一中学新吴分校新建工程厨房设备采购项目</w:t>
      </w:r>
      <w:r>
        <w:rPr>
          <w:rFonts w:hint="eastAsia" w:ascii="宋体" w:hAnsi="宋体" w:eastAsia="宋体" w:cs="宋体"/>
          <w:sz w:val="24"/>
          <w:szCs w:val="24"/>
          <w:highlight w:val="none"/>
        </w:rPr>
        <w:t xml:space="preserve">的潜在投标人应在“无锡政府采购网”“江苏政府采购网”自行浏览招标文件，如有投标意向须在本招标文件有效获取期内通过登录</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下载的方式依法获取招标文件，并于202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13</w:t>
      </w:r>
      <w:r>
        <w:rPr>
          <w:rFonts w:hint="eastAsia" w:ascii="宋体" w:hAnsi="宋体" w:eastAsia="宋体" w:cs="宋体"/>
          <w:sz w:val="24"/>
          <w:szCs w:val="24"/>
          <w:highlight w:val="none"/>
        </w:rPr>
        <w:t xml:space="preserve">日</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点30分</w:t>
      </w:r>
      <w:r>
        <w:rPr>
          <w:rFonts w:hint="eastAsia" w:ascii="宋体" w:hAnsi="宋体" w:eastAsia="宋体" w:cs="宋体"/>
          <w:bCs/>
          <w:sz w:val="24"/>
          <w:szCs w:val="24"/>
          <w:highlight w:val="none"/>
        </w:rPr>
        <w:t xml:space="preserve">（北京时间）前递交投标文件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shd w:val="clear" w:color="ffffff" w:fill="d9d9d9"/>
        </w:rPr>
      </w:r>
      <w:r/>
    </w:p>
    <w:p>
      <w:pPr>
        <w:pStyle w:val="839"/>
        <w:ind w:firstLine="452"/>
        <w:keepLines w:val="0"/>
        <w:keepNext w:val="0"/>
        <w:spacing w:before="0" w:after="0" w:line="500" w:lineRule="exact"/>
        <w:rPr>
          <w:rFonts w:hint="eastAsia" w:ascii="宋体" w:hAnsi="宋体" w:eastAsia="宋体" w:cs="宋体"/>
          <w:sz w:val="30"/>
          <w:szCs w:val="30"/>
          <w:highlight w:val="none"/>
        </w:rPr>
      </w:pPr>
      <w:r/>
      <w:bookmarkStart w:id="7" w:name="_Toc38985263"/>
      <w:r/>
      <w:bookmarkStart w:id="8" w:name="_Toc28359079"/>
      <w:r/>
      <w:bookmarkStart w:id="9" w:name="_Toc35393621"/>
      <w:r/>
      <w:bookmarkStart w:id="10" w:name="_Toc35393790"/>
      <w:r/>
      <w:bookmarkStart w:id="11" w:name="_Toc28359002"/>
      <w:r/>
      <w:bookmarkStart w:id="12" w:name="_Hlk24379207"/>
      <w:r>
        <w:rPr>
          <w:rFonts w:hint="eastAsia" w:ascii="宋体" w:hAnsi="宋体" w:eastAsia="宋体" w:cs="宋体"/>
          <w:sz w:val="30"/>
          <w:szCs w:val="30"/>
          <w:highlight w:val="none"/>
        </w:rPr>
        <w:t xml:space="preserve">一、项目基本情况</w:t>
      </w:r>
      <w:bookmarkEnd w:id="7"/>
      <w:r/>
      <w:bookmarkEnd w:id="8"/>
      <w:r/>
      <w:bookmarkEnd w:id="9"/>
      <w:r/>
      <w:bookmarkEnd w:id="10"/>
      <w:r/>
      <w:bookmarkEnd w:id="11"/>
      <w:r>
        <w:rPr>
          <w:rFonts w:hint="eastAsia" w:ascii="宋体" w:hAnsi="宋体" w:eastAsia="宋体" w:cs="宋体"/>
          <w:sz w:val="30"/>
          <w:szCs w:val="30"/>
          <w:highlight w:val="none"/>
        </w:rPr>
      </w:r>
      <w:r/>
    </w:p>
    <w:p>
      <w:pPr>
        <w:pStyle w:val="786"/>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1.项目编号：</w:t>
      </w:r>
      <w:r>
        <w:rPr>
          <w:rFonts w:hint="eastAsia" w:ascii="宋体" w:hAnsi="宋体" w:cs="宋体"/>
          <w:sz w:val="24"/>
          <w:szCs w:val="24"/>
          <w:highlight w:val="none"/>
          <w:lang w:eastAsia="zh-CN"/>
        </w:rPr>
        <w:t xml:space="preserve">JSZC-320214-JNJS-G2026-0001</w:t>
      </w:r>
      <w:r>
        <w:rPr>
          <w:rFonts w:hint="eastAsia" w:ascii="宋体" w:hAnsi="宋体" w:eastAsia="宋体" w:cs="宋体"/>
          <w:sz w:val="24"/>
          <w:szCs w:val="24"/>
          <w:highlight w:val="none"/>
          <w:lang w:eastAsia="zh-CN"/>
        </w:rPr>
      </w:r>
      <w:r/>
    </w:p>
    <w:p>
      <w:pPr>
        <w:pStyle w:val="786"/>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r>
        <w:rPr>
          <w:rFonts w:hint="eastAsia" w:ascii="宋体" w:hAnsi="宋体" w:cs="宋体"/>
          <w:sz w:val="24"/>
          <w:szCs w:val="24"/>
          <w:highlight w:val="none"/>
          <w:lang w:eastAsia="zh-CN"/>
        </w:rPr>
        <w:t xml:space="preserve">天一中学新吴分校新建工程厨房设备采购项目</w:t>
      </w:r>
      <w:r>
        <w:rPr>
          <w:rFonts w:hint="eastAsia" w:ascii="宋体" w:hAnsi="宋体" w:eastAsia="宋体" w:cs="宋体"/>
          <w:sz w:val="24"/>
          <w:szCs w:val="24"/>
          <w:highlight w:val="none"/>
          <w:lang w:eastAsia="zh-CN"/>
        </w:rPr>
      </w:r>
      <w:r/>
    </w:p>
    <w:p>
      <w:pPr>
        <w:pStyle w:val="786"/>
        <w:ind w:firstLine="480"/>
        <w:spacing w:line="500" w:lineRule="exact"/>
        <w:rPr>
          <w:rFonts w:hint="eastAsia" w:ascii="宋体" w:hAnsi="宋体" w:eastAsia="宋体" w:cs="宋体"/>
          <w:sz w:val="24"/>
          <w:szCs w:val="24"/>
          <w:highlight w:val="none"/>
        </w:rPr>
      </w:pPr>
      <w:r/>
      <w:bookmarkEnd w:id="12"/>
      <w:r>
        <w:rPr>
          <w:rFonts w:hint="eastAsia" w:ascii="宋体" w:hAnsi="宋体" w:eastAsia="宋体" w:cs="宋体"/>
          <w:sz w:val="24"/>
          <w:szCs w:val="24"/>
          <w:highlight w:val="none"/>
        </w:rPr>
        <w:t xml:space="preserve">3.项目预算金额：</w:t>
      </w:r>
      <w:r>
        <w:rPr>
          <w:rFonts w:hint="eastAsia" w:ascii="宋体" w:hAnsi="宋体" w:cs="宋体"/>
          <w:sz w:val="24"/>
          <w:szCs w:val="24"/>
          <w:highlight w:val="none"/>
          <w:lang w:val="en-US" w:eastAsia="zh-CN"/>
        </w:rPr>
        <w:t xml:space="preserve">124.6463</w:t>
      </w:r>
      <w:r>
        <w:rPr>
          <w:rFonts w:hint="eastAsia" w:ascii="宋体" w:hAnsi="宋体" w:eastAsia="宋体" w:cs="宋体"/>
          <w:color w:val="000000"/>
          <w:sz w:val="24"/>
          <w:szCs w:val="24"/>
          <w:highlight w:val="none"/>
        </w:rPr>
        <w:t xml:space="preserve">万元</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i/>
          <w:iCs/>
          <w:sz w:val="24"/>
          <w:szCs w:val="24"/>
          <w:highlight w:val="none"/>
        </w:rPr>
      </w:pPr>
      <w:r>
        <w:rPr>
          <w:rFonts w:hint="eastAsia" w:ascii="宋体" w:hAnsi="宋体" w:eastAsia="宋体" w:cs="宋体"/>
          <w:sz w:val="24"/>
          <w:szCs w:val="24"/>
          <w:highlight w:val="none"/>
        </w:rPr>
        <w:t xml:space="preserve">4.项目最高限价：</w:t>
      </w:r>
      <w:r>
        <w:rPr>
          <w:rFonts w:hint="eastAsia" w:ascii="宋体" w:hAnsi="宋体" w:cs="宋体"/>
          <w:sz w:val="24"/>
          <w:szCs w:val="24"/>
          <w:highlight w:val="none"/>
          <w:lang w:val="en-US" w:eastAsia="zh-CN"/>
        </w:rPr>
        <w:t xml:space="preserve">124.6463</w:t>
      </w:r>
      <w:r>
        <w:rPr>
          <w:rFonts w:hint="eastAsia" w:ascii="宋体" w:hAnsi="宋体" w:eastAsia="宋体" w:cs="宋体"/>
          <w:color w:val="000000"/>
          <w:sz w:val="24"/>
          <w:szCs w:val="24"/>
          <w:highlight w:val="none"/>
        </w:rPr>
        <w:t xml:space="preserve">万元</w:t>
      </w:r>
      <w:r>
        <w:rPr>
          <w:rFonts w:hint="eastAsia" w:ascii="宋体" w:hAnsi="宋体" w:eastAsia="宋体" w:cs="宋体"/>
          <w:i/>
          <w:iCs/>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5.采购需求：详见招标文件第四章《采购需求》</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bCs/>
          <w:sz w:val="24"/>
          <w:highlight w:val="none"/>
        </w:rPr>
        <w:t xml:space="preserve">供货期</w:t>
      </w:r>
      <w:r>
        <w:rPr>
          <w:rFonts w:hint="eastAsia" w:ascii="宋体" w:hAnsi="宋体" w:eastAsia="宋体" w:cs="宋体"/>
          <w:sz w:val="24"/>
          <w:szCs w:val="24"/>
          <w:highlight w:val="none"/>
        </w:rPr>
        <w:t xml:space="preserve">：30日历天内完成采购、安装、调试等；具体以</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的要求为准。</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7.本项目不接受联合体投标。</w:t>
      </w:r>
      <w:r>
        <w:rPr>
          <w:rFonts w:hint="eastAsia" w:ascii="宋体" w:hAnsi="宋体" w:eastAsia="宋体" w:cs="宋体"/>
          <w:sz w:val="24"/>
          <w:szCs w:val="24"/>
          <w:highlight w:val="none"/>
        </w:rPr>
      </w:r>
      <w:r/>
    </w:p>
    <w:p>
      <w:pPr>
        <w:pStyle w:val="839"/>
        <w:ind w:firstLine="452"/>
        <w:keepLines w:val="0"/>
        <w:keepNext w:val="0"/>
        <w:spacing w:before="0" w:after="0" w:line="500" w:lineRule="exact"/>
        <w:rPr>
          <w:rFonts w:hint="eastAsia" w:ascii="宋体" w:hAnsi="宋体" w:eastAsia="宋体" w:cs="宋体"/>
          <w:sz w:val="30"/>
          <w:szCs w:val="30"/>
          <w:highlight w:val="none"/>
        </w:rPr>
      </w:pPr>
      <w:r/>
      <w:bookmarkStart w:id="13" w:name="_Toc35393791"/>
      <w:r/>
      <w:bookmarkStart w:id="14" w:name="_Toc28359003"/>
      <w:r/>
      <w:bookmarkStart w:id="15" w:name="_Toc28359080"/>
      <w:r/>
      <w:bookmarkStart w:id="16" w:name="_Toc38985264"/>
      <w:r/>
      <w:bookmarkStart w:id="17" w:name="_Toc35393622"/>
      <w:r>
        <w:rPr>
          <w:rFonts w:hint="eastAsia" w:ascii="宋体" w:hAnsi="宋体" w:eastAsia="宋体" w:cs="宋体"/>
          <w:sz w:val="30"/>
          <w:szCs w:val="30"/>
          <w:highlight w:val="none"/>
        </w:rPr>
        <w:t xml:space="preserve">二、申请人的资格要求</w:t>
      </w:r>
      <w:bookmarkEnd w:id="13"/>
      <w:r/>
      <w:bookmarkEnd w:id="14"/>
      <w:r/>
      <w:bookmarkEnd w:id="15"/>
      <w:r/>
      <w:bookmarkEnd w:id="16"/>
      <w:r/>
      <w:bookmarkEnd w:id="17"/>
      <w:r>
        <w:rPr>
          <w:rFonts w:hint="eastAsia" w:ascii="宋体" w:hAnsi="宋体" w:eastAsia="宋体" w:cs="宋体"/>
          <w:sz w:val="30"/>
          <w:szCs w:val="30"/>
          <w:highlight w:val="none"/>
        </w:rPr>
      </w:r>
      <w:r/>
    </w:p>
    <w:p>
      <w:pPr>
        <w:pStyle w:val="786"/>
        <w:ind w:firstLine="480"/>
        <w:spacing w:line="500" w:lineRule="exact"/>
        <w:rPr>
          <w:rFonts w:hint="eastAsia" w:ascii="宋体" w:hAnsi="宋体" w:eastAsia="宋体" w:cs="宋体"/>
          <w:sz w:val="24"/>
          <w:szCs w:val="24"/>
          <w:highlight w:val="none"/>
        </w:rPr>
      </w:pPr>
      <w:r/>
      <w:bookmarkStart w:id="18" w:name="_Toc35393623"/>
      <w:r/>
      <w:bookmarkStart w:id="19" w:name="_Toc38985265"/>
      <w:r/>
      <w:bookmarkStart w:id="20" w:name="_Toc28359004"/>
      <w:r/>
      <w:bookmarkStart w:id="21" w:name="_Toc35393792"/>
      <w:r/>
      <w:bookmarkStart w:id="22" w:name="_Toc28359081"/>
      <w:r>
        <w:rPr>
          <w:rFonts w:hint="eastAsia" w:ascii="宋体" w:hAnsi="宋体" w:eastAsia="宋体" w:cs="宋体"/>
          <w:sz w:val="24"/>
          <w:szCs w:val="24"/>
          <w:highlight w:val="none"/>
        </w:rPr>
        <w:t xml:space="preserve">1.满足《中华人民共和国政府采购法》第二十二条规定；</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2.在“信用中国”网站（www.creditchina.gov.cn）、中国政府采购网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i/>
          <w:sz w:val="24"/>
          <w:szCs w:val="24"/>
          <w:highlight w:val="none"/>
        </w:rPr>
      </w:pPr>
      <w:r>
        <w:rPr>
          <w:rFonts w:hint="eastAsia" w:ascii="宋体" w:hAnsi="宋体" w:eastAsia="宋体" w:cs="宋体"/>
          <w:sz w:val="24"/>
          <w:szCs w:val="24"/>
          <w:highlight w:val="none"/>
        </w:rPr>
        <w:t xml:space="preserve">3.落实政府采购政策需满足的资格要求：本项目专门面向</w:t>
      </w:r>
      <w:r>
        <w:rPr>
          <w:rFonts w:hint="eastAsia" w:ascii="宋体" w:hAnsi="宋体" w:cs="宋体"/>
          <w:sz w:val="24"/>
          <w:szCs w:val="24"/>
          <w:highlight w:val="none"/>
          <w:lang w:val="en-US" w:eastAsia="zh-CN"/>
        </w:rPr>
        <w:t xml:space="preserve">中</w:t>
      </w:r>
      <w:r>
        <w:rPr>
          <w:rFonts w:hint="eastAsia" w:ascii="宋体" w:hAnsi="宋体" w:eastAsia="宋体" w:cs="宋体"/>
          <w:sz w:val="24"/>
          <w:szCs w:val="24"/>
          <w:highlight w:val="none"/>
        </w:rPr>
        <w:t xml:space="preserve">小企业；</w:t>
      </w:r>
      <w:r>
        <w:rPr>
          <w:rFonts w:hint="eastAsia" w:ascii="宋体" w:hAnsi="宋体" w:eastAsia="宋体" w:cs="宋体"/>
          <w:i/>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4.本项目的特定资格要求：无</w:t>
      </w:r>
      <w:r>
        <w:rPr>
          <w:rFonts w:hint="eastAsia" w:ascii="宋体" w:hAnsi="宋体" w:eastAsia="宋体" w:cs="宋体"/>
          <w:sz w:val="24"/>
          <w:szCs w:val="24"/>
          <w:highlight w:val="none"/>
        </w:rPr>
      </w:r>
      <w:r/>
    </w:p>
    <w:p>
      <w:pPr>
        <w:pStyle w:val="839"/>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三、获取招标文件</w:t>
      </w:r>
      <w:bookmarkEnd w:id="18"/>
      <w:r/>
      <w:bookmarkEnd w:id="19"/>
      <w:r/>
      <w:bookmarkEnd w:id="20"/>
      <w:r/>
      <w:bookmarkEnd w:id="21"/>
      <w:r/>
      <w:bookmarkEnd w:id="22"/>
      <w:r>
        <w:rPr>
          <w:rFonts w:hint="eastAsia" w:ascii="宋体" w:hAnsi="宋体" w:eastAsia="宋体" w:cs="宋体"/>
          <w:sz w:val="30"/>
          <w:szCs w:val="30"/>
          <w:highlight w:val="none"/>
        </w:rPr>
      </w:r>
      <w:r/>
    </w:p>
    <w:p>
      <w:pPr>
        <w:pStyle w:val="786"/>
        <w:ind w:firstLine="540"/>
        <w:spacing w:line="500" w:lineRule="exact"/>
        <w:rPr>
          <w:rFonts w:hint="eastAsia" w:ascii="宋体" w:hAnsi="宋体" w:eastAsia="宋体" w:cs="宋体"/>
          <w:sz w:val="24"/>
          <w:szCs w:val="24"/>
          <w:highlight w:val="none"/>
        </w:rPr>
      </w:pPr>
      <w:r/>
      <w:bookmarkStart w:id="23" w:name="_Toc28359082"/>
      <w:r/>
      <w:bookmarkStart w:id="24" w:name="_Toc28359005"/>
      <w:r/>
      <w:bookmarkStart w:id="25" w:name="_Toc38985266"/>
      <w:r/>
      <w:bookmarkStart w:id="26" w:name="_Toc35393793"/>
      <w:r/>
      <w:bookmarkStart w:id="27" w:name="_Toc35393624"/>
      <w:r>
        <w:rPr>
          <w:rFonts w:hint="eastAsia" w:ascii="宋体" w:hAnsi="宋体" w:eastAsia="宋体" w:cs="宋体"/>
          <w:sz w:val="24"/>
          <w:szCs w:val="24"/>
          <w:highlight w:val="none"/>
        </w:rPr>
        <w:t xml:space="preserve">1.时间：本招标文件有效获取期自招标文件公告发布之日起5个工作日，（有效获取期内的）每天上午00:00至12:00，下午12:00至23:59（北京时间，法定节假日除外）。</w:t>
      </w:r>
      <w:r>
        <w:rPr>
          <w:rFonts w:hint="eastAsia" w:ascii="宋体" w:hAnsi="宋体" w:eastAsia="宋体" w:cs="宋体"/>
          <w:sz w:val="24"/>
          <w:szCs w:val="24"/>
          <w:highlight w:val="none"/>
        </w:rPr>
      </w:r>
      <w:r/>
    </w:p>
    <w:p>
      <w:pPr>
        <w:pStyle w:val="786"/>
        <w:ind w:firstLine="54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2.地点：</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r>
      <w:r/>
    </w:p>
    <w:p>
      <w:pPr>
        <w:pStyle w:val="786"/>
        <w:ind w:firstLine="540"/>
        <w:spacing w:line="500" w:lineRule="exact"/>
        <w:rPr>
          <w:rStyle w:val="1048"/>
          <w:rFonts w:hint="eastAsia" w:ascii="宋体" w:hAnsi="宋体" w:eastAsia="宋体" w:cs="宋体"/>
          <w:highlight w:val="none"/>
        </w:rPr>
      </w:pPr>
      <w:r>
        <w:rPr>
          <w:rFonts w:hint="eastAsia" w:ascii="宋体" w:hAnsi="宋体" w:eastAsia="宋体" w:cs="宋体"/>
          <w:bCs/>
          <w:sz w:val="24"/>
          <w:szCs w:val="24"/>
          <w:highlight w:val="none"/>
        </w:rPr>
        <w:t xml:space="preserve">3.方式：请有投标意向的供应商在招标文件有效获取期内及时至</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获取。</w:t>
      </w:r>
      <w:r>
        <w:rPr>
          <w:rFonts w:hint="eastAsia" w:ascii="宋体" w:hAnsi="宋体" w:eastAsia="宋体" w:cs="宋体"/>
          <w:bCs/>
          <w:sz w:val="24"/>
          <w:szCs w:val="24"/>
          <w:highlight w:val="none"/>
        </w:rPr>
        <w:t xml:space="preserve">在招标文件有效获取期限内，从</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获取的</w:t>
      </w:r>
      <w:r>
        <w:rPr>
          <w:rFonts w:hint="eastAsia" w:ascii="宋体" w:hAnsi="宋体" w:eastAsia="宋体" w:cs="宋体"/>
          <w:bCs/>
          <w:sz w:val="24"/>
          <w:szCs w:val="24"/>
          <w:highlight w:val="none"/>
        </w:rPr>
        <w:t xml:space="preserve">招标文件，视为依法获取的招标文件。</w:t>
      </w:r>
      <w:r>
        <w:rPr>
          <w:rStyle w:val="1048"/>
          <w:rFonts w:hint="eastAsia" w:ascii="宋体" w:hAnsi="宋体" w:eastAsia="宋体" w:cs="宋体"/>
          <w:highlight w:val="none"/>
        </w:rPr>
      </w:r>
      <w:r/>
    </w:p>
    <w:p>
      <w:pPr>
        <w:pStyle w:val="786"/>
        <w:ind w:firstLine="54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4.售价：本项目招标文件免费。</w:t>
      </w:r>
      <w:r>
        <w:rPr>
          <w:rFonts w:hint="eastAsia" w:ascii="宋体" w:hAnsi="宋体" w:eastAsia="宋体" w:cs="宋体"/>
          <w:bCs/>
          <w:sz w:val="24"/>
          <w:szCs w:val="24"/>
          <w:highlight w:val="none"/>
        </w:rPr>
      </w:r>
      <w:r/>
    </w:p>
    <w:p>
      <w:pPr>
        <w:pStyle w:val="839"/>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四、提交投标文件</w:t>
      </w:r>
      <w:bookmarkEnd w:id="23"/>
      <w:r/>
      <w:bookmarkEnd w:id="24"/>
      <w:r>
        <w:rPr>
          <w:rFonts w:hint="eastAsia" w:ascii="宋体" w:hAnsi="宋体" w:eastAsia="宋体" w:cs="宋体"/>
          <w:sz w:val="30"/>
          <w:szCs w:val="30"/>
          <w:highlight w:val="none"/>
        </w:rPr>
        <w:t xml:space="preserve">截止时间、开标时间和地点</w:t>
      </w:r>
      <w:bookmarkEnd w:id="25"/>
      <w:r/>
      <w:bookmarkEnd w:id="26"/>
      <w:r/>
      <w:bookmarkEnd w:id="27"/>
      <w:r>
        <w:rPr>
          <w:rFonts w:hint="eastAsia" w:ascii="宋体" w:hAnsi="宋体" w:eastAsia="宋体" w:cs="宋体"/>
          <w:sz w:val="30"/>
          <w:szCs w:val="30"/>
          <w:highlight w:val="none"/>
        </w:rPr>
      </w:r>
      <w:r/>
    </w:p>
    <w:p>
      <w:pPr>
        <w:pStyle w:val="786"/>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1.时间：</w:t>
      </w:r>
      <w:bookmarkStart w:id="28" w:name="_GoBack"/>
      <w:r>
        <w:rPr>
          <w:rFonts w:hint="eastAsia" w:ascii="宋体" w:hAnsi="宋体" w:eastAsia="宋体" w:cs="宋体"/>
          <w:bCs/>
          <w:sz w:val="24"/>
          <w:szCs w:val="24"/>
          <w:highlight w:val="none"/>
        </w:rPr>
        <w:t xml:space="preserve">202</w:t>
      </w:r>
      <w:r>
        <w:rPr>
          <w:rFonts w:hint="eastAsia" w:ascii="宋体" w:hAnsi="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年</w:t>
      </w: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月</w:t>
      </w:r>
      <w:r>
        <w:rPr>
          <w:rFonts w:hint="eastAsia" w:ascii="宋体" w:hAnsi="宋体" w:cs="宋体"/>
          <w:bCs/>
          <w:sz w:val="24"/>
          <w:szCs w:val="24"/>
          <w:highlight w:val="none"/>
          <w:lang w:val="en-US" w:eastAsia="zh-CN"/>
        </w:rPr>
        <w:t xml:space="preserve">13</w:t>
      </w:r>
      <w:r>
        <w:rPr>
          <w:rFonts w:hint="eastAsia" w:ascii="宋体" w:hAnsi="宋体" w:eastAsia="宋体" w:cs="宋体"/>
          <w:bCs/>
          <w:sz w:val="24"/>
          <w:szCs w:val="24"/>
          <w:highlight w:val="none"/>
        </w:rPr>
        <w:t xml:space="preserve">日</w:t>
      </w:r>
      <w:r>
        <w:rPr>
          <w:rFonts w:hint="eastAsia" w:ascii="宋体" w:hAnsi="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点30分（北京时间）</w:t>
      </w:r>
      <w:bookmarkEnd w:id="28"/>
      <w:r>
        <w:rPr>
          <w:rFonts w:hint="eastAsia" w:ascii="宋体" w:hAnsi="宋体" w:eastAsia="宋体" w:cs="宋体"/>
          <w:bCs/>
          <w:sz w:val="24"/>
          <w:szCs w:val="24"/>
          <w:highlight w:val="none"/>
        </w:rPr>
      </w:r>
      <w:r/>
    </w:p>
    <w:p>
      <w:pPr>
        <w:pStyle w:val="786"/>
        <w:ind w:firstLine="480"/>
        <w:spacing w:line="500" w:lineRule="exact"/>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rPr>
        <w:t xml:space="preserve">2.地点：</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网上开标大厅。</w:t>
      </w:r>
      <w:r>
        <w:rPr>
          <w:rFonts w:hint="eastAsia" w:ascii="宋体" w:hAnsi="宋体" w:eastAsia="宋体" w:cs="宋体"/>
          <w:bCs/>
          <w:sz w:val="24"/>
          <w:szCs w:val="24"/>
          <w:highlight w:val="none"/>
          <w:u w:val="single"/>
        </w:rPr>
      </w:r>
      <w:r/>
    </w:p>
    <w:p>
      <w:pPr>
        <w:pStyle w:val="839"/>
        <w:ind w:firstLine="452"/>
        <w:keepLines w:val="0"/>
        <w:keepNext w:val="0"/>
        <w:spacing w:before="0" w:after="0" w:line="500" w:lineRule="exact"/>
        <w:rPr>
          <w:rFonts w:hint="eastAsia" w:ascii="宋体" w:hAnsi="宋体" w:eastAsia="宋体" w:cs="宋体"/>
          <w:sz w:val="30"/>
          <w:szCs w:val="30"/>
          <w:highlight w:val="none"/>
        </w:rPr>
      </w:pPr>
      <w:r/>
      <w:bookmarkStart w:id="29" w:name="_Toc35393625"/>
      <w:r/>
      <w:bookmarkStart w:id="30" w:name="_Toc28359084"/>
      <w:r/>
      <w:bookmarkStart w:id="31" w:name="_Toc38985267"/>
      <w:r/>
      <w:bookmarkStart w:id="32" w:name="_Toc35393794"/>
      <w:r/>
      <w:bookmarkStart w:id="33" w:name="_Toc28359007"/>
      <w:r>
        <w:rPr>
          <w:rFonts w:hint="eastAsia" w:ascii="宋体" w:hAnsi="宋体" w:eastAsia="宋体" w:cs="宋体"/>
          <w:sz w:val="30"/>
          <w:szCs w:val="30"/>
          <w:highlight w:val="none"/>
        </w:rPr>
        <w:t xml:space="preserve">五、公告期限</w:t>
      </w:r>
      <w:bookmarkEnd w:id="29"/>
      <w:r/>
      <w:bookmarkEnd w:id="30"/>
      <w:r/>
      <w:bookmarkEnd w:id="31"/>
      <w:r/>
      <w:bookmarkEnd w:id="32"/>
      <w:r/>
      <w:bookmarkEnd w:id="33"/>
      <w:r>
        <w:rPr>
          <w:rFonts w:hint="eastAsia" w:ascii="宋体" w:hAnsi="宋体" w:eastAsia="宋体" w:cs="宋体"/>
          <w:sz w:val="30"/>
          <w:szCs w:val="30"/>
          <w:highlight w:val="none"/>
        </w:rPr>
      </w:r>
      <w:r/>
    </w:p>
    <w:p>
      <w:pPr>
        <w:pStyle w:val="786"/>
        <w:ind w:firstLine="480"/>
        <w:spacing w:line="500" w:lineRule="exact"/>
        <w:rPr>
          <w:rFonts w:hint="eastAsia" w:ascii="宋体" w:hAnsi="宋体" w:eastAsia="宋体" w:cs="宋体"/>
          <w:sz w:val="24"/>
          <w:szCs w:val="24"/>
          <w:highlight w:val="none"/>
        </w:rPr>
      </w:pPr>
      <w:r/>
      <w:bookmarkStart w:id="34" w:name="_Toc35393795"/>
      <w:r/>
      <w:bookmarkStart w:id="35" w:name="_Toc38985268"/>
      <w:r/>
      <w:bookmarkStart w:id="36" w:name="_Toc35393626"/>
      <w:r>
        <w:rPr>
          <w:rFonts w:hint="eastAsia" w:ascii="宋体" w:hAnsi="宋体" w:eastAsia="宋体" w:cs="宋体"/>
          <w:sz w:val="24"/>
          <w:szCs w:val="24"/>
          <w:highlight w:val="none"/>
        </w:rPr>
        <w:t xml:space="preserve">（招标公告及招标文件公告期限）自本公告发布之日起5个工作日。</w:t>
      </w:r>
      <w:r>
        <w:rPr>
          <w:rFonts w:hint="eastAsia" w:ascii="宋体" w:hAnsi="宋体" w:eastAsia="宋体" w:cs="宋体"/>
          <w:sz w:val="24"/>
          <w:szCs w:val="24"/>
          <w:highlight w:val="none"/>
        </w:rPr>
      </w:r>
      <w:r/>
    </w:p>
    <w:p>
      <w:pPr>
        <w:pStyle w:val="839"/>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六、其他补充事宜</w:t>
      </w:r>
      <w:bookmarkEnd w:id="34"/>
      <w:r/>
      <w:bookmarkEnd w:id="35"/>
      <w:r/>
      <w:bookmarkEnd w:id="36"/>
      <w:r>
        <w:rPr>
          <w:rFonts w:hint="eastAsia" w:ascii="宋体" w:hAnsi="宋体" w:eastAsia="宋体" w:cs="宋体"/>
          <w:sz w:val="30"/>
          <w:szCs w:val="30"/>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w:t>
      </w:r>
      <w:r>
        <w:rPr>
          <w:rFonts w:hint="eastAsia" w:ascii="宋体" w:hAnsi="宋体" w:eastAsia="宋体" w:cs="宋体"/>
          <w:sz w:val="24"/>
          <w:szCs w:val="24"/>
          <w:highlight w:val="none"/>
        </w:rPr>
      </w:r>
      <w:r/>
    </w:p>
    <w:p>
      <w:pPr>
        <w:pStyle w:val="839"/>
        <w:ind w:firstLine="452"/>
        <w:keepLines w:val="0"/>
        <w:keepNext w:val="0"/>
        <w:spacing w:before="0" w:after="0" w:line="500" w:lineRule="exact"/>
        <w:rPr>
          <w:rFonts w:hint="eastAsia" w:ascii="宋体" w:hAnsi="宋体" w:eastAsia="宋体" w:cs="宋体"/>
          <w:sz w:val="30"/>
          <w:szCs w:val="30"/>
          <w:highlight w:val="none"/>
        </w:rPr>
      </w:pPr>
      <w:r/>
      <w:bookmarkStart w:id="37" w:name="_Toc28359085"/>
      <w:r/>
      <w:bookmarkStart w:id="38" w:name="_Toc35393796"/>
      <w:r/>
      <w:bookmarkStart w:id="39" w:name="_Toc28359008"/>
      <w:r/>
      <w:bookmarkStart w:id="40" w:name="_Toc35393627"/>
      <w:r/>
      <w:bookmarkStart w:id="41" w:name="_Toc38985269"/>
      <w:r>
        <w:rPr>
          <w:rFonts w:hint="eastAsia" w:ascii="宋体" w:hAnsi="宋体" w:eastAsia="宋体" w:cs="宋体"/>
          <w:sz w:val="30"/>
          <w:szCs w:val="30"/>
          <w:highlight w:val="none"/>
        </w:rPr>
        <w:t xml:space="preserve">七、本项目联系方式</w:t>
      </w:r>
      <w:bookmarkEnd w:id="37"/>
      <w:r/>
      <w:bookmarkEnd w:id="38"/>
      <w:r/>
      <w:bookmarkEnd w:id="39"/>
      <w:r/>
      <w:bookmarkEnd w:id="40"/>
      <w:r/>
      <w:bookmarkEnd w:id="41"/>
      <w:r>
        <w:rPr>
          <w:rFonts w:hint="eastAsia" w:ascii="宋体" w:hAnsi="宋体" w:eastAsia="宋体" w:cs="宋体"/>
          <w:sz w:val="30"/>
          <w:szCs w:val="30"/>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无锡国家高新技术产业开发区（无锡市新吴区）教育局</w:t>
      </w:r>
      <w:r>
        <w:rPr>
          <w:rFonts w:hint="eastAsia" w:ascii="宋体" w:hAnsi="宋体" w:eastAsia="宋体" w:cs="宋体"/>
          <w:sz w:val="24"/>
          <w:szCs w:val="24"/>
          <w:highlight w:val="none"/>
          <w:lang w:eastAsia="zh-CN"/>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无锡市新吴区和风路</w:t>
      </w: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号</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w:t>
      </w:r>
      <w:bookmarkStart w:id="42" w:name="_Toc28359086"/>
      <w:r/>
      <w:bookmarkStart w:id="43" w:name="_Toc28359009"/>
      <w:r>
        <w:rPr>
          <w:rFonts w:hint="eastAsia" w:ascii="宋体" w:hAnsi="宋体" w:eastAsia="宋体" w:cs="宋体"/>
          <w:sz w:val="24"/>
          <w:szCs w:val="24"/>
          <w:highlight w:val="none"/>
        </w:rPr>
        <w:t xml:space="preserve">见“项目联系方式”</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bookmarkEnd w:id="42"/>
      <w:r/>
      <w:bookmarkEnd w:id="43"/>
      <w:r>
        <w:rPr>
          <w:rFonts w:hint="eastAsia" w:ascii="宋体" w:hAnsi="宋体" w:eastAsia="宋体" w:cs="宋体"/>
          <w:sz w:val="24"/>
          <w:szCs w:val="24"/>
          <w:highlight w:val="none"/>
        </w:rPr>
        <w:t xml:space="preserve">采购代理机构信息</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江苏金诺建设咨询有限公司</w:t>
      </w:r>
      <w:r>
        <w:rPr>
          <w:rFonts w:hint="eastAsia" w:ascii="宋体" w:hAnsi="宋体" w:eastAsia="宋体" w:cs="宋体"/>
          <w:sz w:val="24"/>
          <w:szCs w:val="24"/>
          <w:highlight w:val="none"/>
          <w:lang w:eastAsia="zh-CN"/>
        </w:rPr>
      </w:r>
      <w:r/>
    </w:p>
    <w:p>
      <w:pPr>
        <w:pStyle w:val="786"/>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eastAsia="zh-CN"/>
        </w:rPr>
        <w:t xml:space="preserve">无锡市新吴区高浪东路508号华发传感大厦</w:t>
      </w:r>
      <w:r>
        <w:rPr>
          <w:rFonts w:hint="eastAsia" w:ascii="宋体" w:hAnsi="宋体" w:cs="宋体"/>
          <w:sz w:val="24"/>
          <w:szCs w:val="24"/>
          <w:highlight w:val="none"/>
          <w:lang w:val="en-US" w:eastAsia="zh-CN"/>
        </w:rPr>
        <w:t xml:space="preserve">A</w:t>
      </w:r>
      <w:r>
        <w:rPr>
          <w:rFonts w:hint="eastAsia" w:ascii="宋体" w:hAnsi="宋体" w:eastAsia="宋体" w:cs="宋体"/>
          <w:sz w:val="24"/>
          <w:szCs w:val="24"/>
          <w:highlight w:val="none"/>
          <w:lang w:eastAsia="zh-CN"/>
        </w:rPr>
        <w:t xml:space="preserve">栋</w:t>
      </w:r>
      <w:r>
        <w:rPr>
          <w:rFonts w:hint="eastAsia" w:ascii="宋体" w:hAnsi="宋体" w:cs="宋体"/>
          <w:sz w:val="24"/>
          <w:szCs w:val="24"/>
          <w:highlight w:val="none"/>
          <w:lang w:val="en-US" w:eastAsia="zh-CN"/>
        </w:rPr>
        <w:t xml:space="preserve">1708</w:t>
      </w:r>
      <w:r>
        <w:rPr>
          <w:rFonts w:hint="eastAsia" w:ascii="宋体" w:hAnsi="宋体" w:eastAsia="宋体" w:cs="宋体"/>
          <w:sz w:val="24"/>
          <w:szCs w:val="24"/>
          <w:highlight w:val="none"/>
          <w:lang w:eastAsia="zh-CN"/>
        </w:rPr>
        <w:t xml:space="preserve">室 </w:t>
      </w:r>
      <w:r>
        <w:rPr>
          <w:rFonts w:hint="eastAsia" w:ascii="宋体" w:hAnsi="宋体" w:eastAsia="宋体" w:cs="宋体"/>
          <w:sz w:val="24"/>
          <w:szCs w:val="24"/>
          <w:highlight w:val="none"/>
          <w:lang w:eastAsia="zh-CN"/>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联系方式：见“项目联系方式”</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rPr>
          <w:rFonts w:hint="eastAsia" w:ascii="宋体" w:hAnsi="宋体" w:eastAsia="宋体" w:cs="宋体"/>
          <w:sz w:val="24"/>
          <w:szCs w:val="24"/>
          <w:highlight w:val="none"/>
        </w:rPr>
      </w:r>
      <w:r/>
    </w:p>
    <w:p>
      <w:pPr>
        <w:pStyle w:val="1050"/>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采购人项目咨询联系人：</w:t>
      </w:r>
      <w:r>
        <w:rPr>
          <w:rFonts w:hint="eastAsia" w:ascii="宋体" w:hAnsi="宋体" w:eastAsia="宋体" w:cs="宋体"/>
          <w:color w:val="000000"/>
          <w:sz w:val="24"/>
          <w:szCs w:val="24"/>
          <w:highlight w:val="none"/>
          <w:u w:val="none"/>
          <w:lang w:val="en-US" w:eastAsia="zh-CN"/>
        </w:rPr>
        <w:t xml:space="preserve">陈禹汀、匡晓锋；电话：0510-80595141、153 3520 3332</w:t>
      </w:r>
      <w:r>
        <w:rPr>
          <w:rFonts w:hint="eastAsia" w:ascii="宋体" w:hAnsi="宋体" w:eastAsia="宋体" w:cs="宋体"/>
          <w:color w:val="000000"/>
          <w:sz w:val="24"/>
          <w:szCs w:val="24"/>
          <w:highlight w:val="none"/>
          <w:u w:val="none"/>
          <w:lang w:val="en-US" w:eastAsia="zh-CN"/>
        </w:rPr>
      </w:r>
      <w:r/>
    </w:p>
    <w:p>
      <w:pPr>
        <w:pStyle w:val="1050"/>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val="en-US" w:eastAsia="zh-CN"/>
        </w:rPr>
        <w:t xml:space="preserve">采购人质疑受理联系人:陈禹汀、匡晓锋;电话:0510-80595141、15335203332</w:t>
      </w:r>
      <w:r>
        <w:rPr>
          <w:rFonts w:hint="eastAsia" w:ascii="宋体" w:hAnsi="宋体" w:eastAsia="宋体" w:cs="宋体"/>
          <w:color w:val="000000"/>
          <w:sz w:val="24"/>
          <w:szCs w:val="24"/>
          <w:highlight w:val="none"/>
          <w:u w:val="none"/>
          <w:lang w:eastAsia="zh-CN"/>
        </w:rPr>
      </w:r>
      <w:r/>
    </w:p>
    <w:p>
      <w:pPr>
        <w:pStyle w:val="1050"/>
        <w:rPr>
          <w:rFonts w:ascii="宋体" w:hAnsi="宋体" w:eastAsia="宋体" w:cs="宋体"/>
          <w:highlight w:val="none"/>
          <w:lang w:val="en-US" w:eastAsia="zh-CN"/>
        </w:rPr>
      </w:pP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val="en-US" w:eastAsia="zh-CN"/>
        </w:rPr>
        <w:t xml:space="preserve">陈燕、钟思旸、潘琳芳（经办人）</w:t>
      </w:r>
      <w:r>
        <w:rPr>
          <w:rFonts w:hint="eastAsia" w:ascii="宋体" w:hAnsi="宋体" w:eastAsia="宋体" w:cs="宋体"/>
          <w:color w:val="000000"/>
          <w:sz w:val="24"/>
          <w:szCs w:val="24"/>
          <w:highlight w:val="none"/>
        </w:rPr>
        <w:t xml:space="preserve">；电话：0510-</w:t>
      </w:r>
      <w:r>
        <w:rPr>
          <w:rFonts w:hint="eastAsia" w:ascii="宋体" w:hAnsi="宋体" w:eastAsia="宋体" w:cs="宋体"/>
          <w:color w:val="000000"/>
          <w:sz w:val="24"/>
          <w:szCs w:val="24"/>
          <w:highlight w:val="none"/>
          <w:lang w:val="en-US" w:eastAsia="zh-CN"/>
        </w:rPr>
        <w:t xml:space="preserve">85217757、15061778697</w:t>
      </w:r>
      <w:r>
        <w:rPr>
          <w:rFonts w:ascii="宋体" w:hAnsi="宋体" w:eastAsia="宋体" w:cs="宋体"/>
          <w:highlight w:val="none"/>
          <w:lang w:val="en-US" w:eastAsia="zh-CN"/>
        </w:rPr>
      </w:r>
      <w:r/>
    </w:p>
    <w:p>
      <w:pPr>
        <w:pStyle w:val="839"/>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八、其他</w:t>
      </w:r>
      <w:r>
        <w:rPr>
          <w:rFonts w:hint="eastAsia" w:ascii="宋体" w:hAnsi="宋体" w:eastAsia="宋体" w:cs="宋体"/>
          <w:sz w:val="30"/>
          <w:szCs w:val="30"/>
          <w:highlight w:val="none"/>
        </w:rPr>
      </w:r>
      <w:r/>
    </w:p>
    <w:p>
      <w:pPr>
        <w:pStyle w:val="786"/>
        <w:ind w:firstLine="480"/>
        <w:jc w:val="left"/>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（一）供应商“账号注册”及CA办理</w:t>
      </w:r>
      <w:r>
        <w:rPr>
          <w:rFonts w:hint="eastAsia" w:ascii="宋体" w:hAnsi="宋体" w:eastAsia="宋体" w:cs="宋体"/>
          <w:sz w:val="24"/>
          <w:szCs w:val="24"/>
          <w:highlight w:val="none"/>
        </w:rPr>
      </w:r>
      <w:r/>
    </w:p>
    <w:p>
      <w:pPr>
        <w:pStyle w:val="786"/>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1.请有意参加本项目采购活动的供应商按以下流程进行操作：</w:t>
      </w:r>
      <w:r>
        <w:rPr>
          <w:rFonts w:hint="eastAsia" w:ascii="宋体" w:hAnsi="宋体" w:eastAsia="宋体" w:cs="宋体"/>
          <w:color w:val="000000"/>
          <w:sz w:val="24"/>
          <w:szCs w:val="24"/>
          <w:highlight w:val="none"/>
        </w:rPr>
      </w:r>
      <w:r/>
    </w:p>
    <w:p>
      <w:pPr>
        <w:pStyle w:val="786"/>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（1）访问“无锡政府采购网”点击“江苏省政府采购（苏采云）平台”</w:t>
      </w:r>
      <w:r>
        <w:rPr>
          <w:rFonts w:hint="eastAsia" w:ascii="宋体" w:hAnsi="宋体" w:eastAsia="宋体" w:cs="宋体"/>
          <w:bCs/>
          <w:sz w:val="24"/>
          <w:szCs w:val="24"/>
          <w:highlight w:val="none"/>
        </w:rPr>
        <w:t xml:space="preserve">（以下简称“苏采云”系统）</w:t>
      </w:r>
      <w:r>
        <w:rPr>
          <w:rFonts w:hint="eastAsia" w:ascii="宋体" w:hAnsi="宋体" w:eastAsia="宋体" w:cs="宋体"/>
          <w:color w:val="000000"/>
          <w:sz w:val="24"/>
          <w:szCs w:val="24"/>
          <w:highlight w:val="none"/>
        </w:rPr>
        <w:t xml:space="preserve">选择供应商版块，点击“用户注册”按钮，进行账号注册，注册完成后需在</w:t>
      </w:r>
      <w:r>
        <w:rPr>
          <w:rFonts w:hint="eastAsia" w:ascii="宋体" w:hAnsi="宋体" w:eastAsia="宋体" w:cs="宋体"/>
          <w:bCs/>
          <w:sz w:val="24"/>
          <w:szCs w:val="24"/>
          <w:highlight w:val="none"/>
        </w:rPr>
        <w:t xml:space="preserve">系统</w:t>
      </w:r>
      <w:r>
        <w:rPr>
          <w:rFonts w:hint="eastAsia" w:ascii="宋体" w:hAnsi="宋体" w:eastAsia="宋体" w:cs="宋体"/>
          <w:color w:val="000000"/>
          <w:sz w:val="24"/>
          <w:szCs w:val="24"/>
          <w:highlight w:val="none"/>
        </w:rPr>
        <w:t xml:space="preserve">中填写资质信息并提交。也可以直接通过http://jszfcg.jsczt.cn/进入界面。</w:t>
      </w:r>
      <w:r>
        <w:rPr>
          <w:rFonts w:hint="eastAsia" w:ascii="宋体" w:hAnsi="宋体" w:eastAsia="宋体" w:cs="宋体"/>
          <w:color w:val="000000"/>
          <w:sz w:val="24"/>
          <w:szCs w:val="24"/>
          <w:highlight w:val="none"/>
        </w:rPr>
      </w:r>
      <w:r/>
    </w:p>
    <w:p>
      <w:pPr>
        <w:pStyle w:val="786"/>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（2）办理“意源”CA数字证书和“方正”电子签章（办理地址：无锡市滨湖区观山路199号12号楼</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楼</w:t>
      </w:r>
      <w:r>
        <w:rPr>
          <w:rFonts w:hint="eastAsia" w:ascii="宋体" w:hAnsi="宋体" w:eastAsia="宋体" w:cs="宋体"/>
          <w:color w:val="000000"/>
          <w:sz w:val="24"/>
          <w:szCs w:val="24"/>
          <w:highlight w:val="none"/>
          <w:lang w:val="en-US" w:eastAsia="zh-CN"/>
        </w:rPr>
        <w:t xml:space="preserve">大厅</w:t>
      </w:r>
      <w:r>
        <w:rPr>
          <w:rFonts w:hint="eastAsia" w:ascii="宋体" w:hAnsi="宋体" w:eastAsia="宋体" w:cs="宋体"/>
          <w:color w:val="000000"/>
          <w:sz w:val="24"/>
          <w:szCs w:val="24"/>
          <w:highlight w:val="none"/>
        </w:rPr>
        <w:t xml:space="preserve">），办理指南链接：http://jsxcmm.com/help/help.html。</w:t>
      </w:r>
      <w:r>
        <w:rPr>
          <w:rFonts w:hint="eastAsia" w:ascii="宋体" w:hAnsi="宋体" w:eastAsia="宋体" w:cs="宋体"/>
          <w:color w:val="000000"/>
          <w:sz w:val="24"/>
          <w:szCs w:val="24"/>
          <w:highlight w:val="none"/>
        </w:rPr>
      </w:r>
      <w:r/>
    </w:p>
    <w:p>
      <w:pPr>
        <w:pStyle w:val="786"/>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（3）CA驱动下载：</w:t>
      </w:r>
      <w:r>
        <w:rPr>
          <w:rFonts w:hint="eastAsia" w:ascii="宋体" w:hAnsi="宋体" w:eastAsia="宋体" w:cs="宋体"/>
          <w:color w:val="000000"/>
          <w:sz w:val="24"/>
          <w:szCs w:val="24"/>
          <w:highlight w:val="none"/>
        </w:rPr>
      </w:r>
      <w:r/>
    </w:p>
    <w:p>
      <w:pPr>
        <w:pStyle w:val="786"/>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lang w:eastAsia="zh-CN"/>
        </w:rPr>
        <w:t xml:space="preserve">登录</w:t>
      </w:r>
      <w:r>
        <w:rPr>
          <w:rFonts w:hint="eastAsia" w:ascii="宋体" w:hAnsi="宋体" w:eastAsia="宋体" w:cs="宋体"/>
          <w:color w:val="000000"/>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eastAsia="宋体" w:cs="宋体"/>
          <w:color w:val="000000"/>
          <w:sz w:val="24"/>
          <w:szCs w:val="24"/>
          <w:highlight w:val="none"/>
        </w:rPr>
      </w:r>
      <w:r/>
    </w:p>
    <w:p>
      <w:pPr>
        <w:pStyle w:val="786"/>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技术服务电话：0510-81827781（服务时间：工作日 9:00-11:30,13:00-17:00）</w:t>
      </w:r>
      <w:r>
        <w:rPr>
          <w:rFonts w:hint="eastAsia" w:ascii="宋体" w:hAnsi="宋体" w:eastAsia="宋体" w:cs="宋体"/>
          <w:color w:val="000000"/>
          <w:sz w:val="24"/>
          <w:szCs w:val="24"/>
          <w:highlight w:val="none"/>
        </w:rPr>
      </w:r>
      <w:r/>
    </w:p>
    <w:p>
      <w:pPr>
        <w:pStyle w:val="786"/>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2.完成</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账号注册的供应商方可在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中进行CA绑定。登录</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，插入CA后，点击【账号设置】——【绑定CA】。</w:t>
      </w:r>
      <w:r>
        <w:rPr>
          <w:rFonts w:hint="eastAsia" w:ascii="宋体" w:hAnsi="宋体" w:eastAsia="宋体" w:cs="宋体"/>
          <w:color w:val="000000"/>
          <w:sz w:val="24"/>
          <w:szCs w:val="24"/>
          <w:highlight w:val="none"/>
        </w:rPr>
      </w:r>
      <w:r/>
    </w:p>
    <w:p>
      <w:pPr>
        <w:pStyle w:val="786"/>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3.供应商应按上述要求提供相关材料信息，所提供的材料应均是真实的、准确的，若有违背，供应商自行承担由此而产生的一切后果。</w:t>
      </w:r>
      <w:r>
        <w:rPr>
          <w:rFonts w:hint="eastAsia" w:ascii="宋体" w:hAnsi="宋体" w:eastAsia="宋体" w:cs="宋体"/>
          <w:color w:val="000000"/>
          <w:sz w:val="24"/>
          <w:szCs w:val="24"/>
          <w:highlight w:val="none"/>
        </w:rPr>
      </w:r>
      <w:r/>
    </w:p>
    <w:p>
      <w:pPr>
        <w:pStyle w:val="786"/>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4.如供应商未按上述要求操作，由此所产生的损失及风险由供应商自行承担。具</w:t>
      </w:r>
      <w:r>
        <w:rPr>
          <w:rFonts w:hint="eastAsia" w:ascii="宋体" w:hAnsi="宋体" w:eastAsia="宋体" w:cs="宋体"/>
          <w:sz w:val="24"/>
          <w:szCs w:val="24"/>
          <w:highlight w:val="none"/>
        </w:rPr>
        <w:t xml:space="preserve">体操作步骤详见《“苏采云”系统供应商操作手册》（以下简称《操作手册》），下载地</w:t>
      </w:r>
      <w:r>
        <w:rPr>
          <w:rFonts w:hint="eastAsia" w:ascii="宋体" w:hAnsi="宋体" w:eastAsia="宋体" w:cs="宋体"/>
          <w:color w:val="000000"/>
          <w:sz w:val="24"/>
          <w:szCs w:val="24"/>
          <w:highlight w:val="none"/>
        </w:rPr>
        <w:t xml:space="preserve">址：无锡市政府采购网——资料下载——苏采云——</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HYPERLINK "http://cz.wuxi.gov.cn/doc/2023/10/11/4080287.shtml" \t "_blank" \o "\“苏采云\”系统供应商操作手册"</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“苏采云”系统供应商操作手册</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86"/>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 xml:space="preserve">技术支持QQ：孙先生：442456465；王先生：1476328133。</w:t>
      </w:r>
      <w:r>
        <w:rPr>
          <w:rFonts w:hint="eastAsia" w:ascii="宋体" w:hAnsi="宋体" w:eastAsia="宋体" w:cs="宋体"/>
          <w:color w:val="000000"/>
          <w:sz w:val="24"/>
          <w:szCs w:val="24"/>
          <w:highlight w:val="none"/>
        </w:rPr>
      </w:r>
      <w:r/>
    </w:p>
    <w:p>
      <w:pPr>
        <w:pStyle w:val="786"/>
        <w:ind w:firstLine="480"/>
        <w:jc w:val="left"/>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（二）完成项目参与，获取招标文件</w:t>
      </w:r>
      <w:r>
        <w:rPr>
          <w:rFonts w:hint="eastAsia" w:ascii="宋体" w:hAnsi="宋体" w:eastAsia="宋体" w:cs="宋体"/>
          <w:sz w:val="24"/>
          <w:szCs w:val="24"/>
          <w:highlight w:val="none"/>
        </w:rPr>
      </w:r>
      <w:r/>
    </w:p>
    <w:p>
      <w:pPr>
        <w:pStyle w:val="786"/>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供应商可在项目招标公告附件中查看公开招标文件，</w:t>
      </w:r>
      <w:r>
        <w:rPr>
          <w:rFonts w:hint="eastAsia" w:ascii="宋体" w:hAnsi="宋体" w:eastAsia="宋体" w:cs="宋体"/>
          <w:color w:val="000000"/>
          <w:sz w:val="24"/>
          <w:szCs w:val="24"/>
          <w:highlight w:val="none"/>
        </w:rPr>
        <w:t xml:space="preserve">如确</w:t>
      </w:r>
      <w:r>
        <w:rPr>
          <w:rFonts w:hint="eastAsia" w:ascii="宋体" w:hAnsi="宋体" w:eastAsia="宋体" w:cs="宋体"/>
          <w:sz w:val="24"/>
          <w:szCs w:val="24"/>
          <w:highlight w:val="none"/>
        </w:rPr>
        <w:t xml:space="preserve">定参加本次采购活动，必须在</w:t>
      </w:r>
      <w:r>
        <w:rPr>
          <w:rFonts w:hint="eastAsia" w:ascii="宋体" w:hAnsi="宋体" w:eastAsia="宋体" w:cs="宋体"/>
          <w:bCs/>
          <w:sz w:val="24"/>
          <w:szCs w:val="24"/>
          <w:highlight w:val="none"/>
        </w:rPr>
        <w:t xml:space="preserve">招标文件提供期限</w:t>
      </w:r>
      <w:r>
        <w:rPr>
          <w:rFonts w:hint="eastAsia" w:ascii="宋体" w:hAnsi="宋体" w:eastAsia="宋体" w:cs="宋体"/>
          <w:sz w:val="24"/>
          <w:szCs w:val="24"/>
          <w:highlight w:val="none"/>
        </w:rPr>
        <w:t xml:space="preserve">内从</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中下载文件（“项目参与”——“采购项目参与”找到需要获取招标文件的项目，点击“我要参与”——“参与投标”——“下载文件”），完成项目参</w:t>
      </w:r>
      <w:r>
        <w:rPr>
          <w:rFonts w:hint="eastAsia" w:ascii="宋体" w:hAnsi="宋体" w:eastAsia="宋体" w:cs="宋体"/>
          <w:color w:val="000000"/>
          <w:sz w:val="24"/>
          <w:szCs w:val="24"/>
          <w:highlight w:val="none"/>
        </w:rPr>
        <w:t xml:space="preserve">与，将</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中下载的招标文件（后缀名为“.kedt”）导入到“政府采购客户端”，离线按要求编制并加密投标文件（使用“CA数字证书”），导出加密的投标文件（后缀名为zip，不得超过150M）并在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上传该加密的投标文件，对招标文件各项内容做出实质性响应，否则其投标文件无效。</w:t>
      </w:r>
      <w:r>
        <w:rPr>
          <w:rFonts w:hint="eastAsia" w:ascii="宋体" w:hAnsi="宋体" w:eastAsia="宋体" w:cs="宋体"/>
          <w:color w:val="000000"/>
          <w:sz w:val="24"/>
          <w:szCs w:val="24"/>
          <w:highlight w:val="none"/>
        </w:rPr>
      </w:r>
      <w:r/>
    </w:p>
    <w:p>
      <w:pPr>
        <w:pStyle w:val="786"/>
        <w:ind w:firstLine="480"/>
        <w:spacing w:line="500" w:lineRule="exact"/>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（三）有关本次采购的事项若存在变动或修改，敬请及时关注</w:t>
      </w:r>
      <w:r>
        <w:rPr>
          <w:rFonts w:hint="eastAsia" w:ascii="宋体" w:hAnsi="宋体" w:cs="宋体"/>
          <w:bCs/>
          <w:sz w:val="24"/>
          <w:szCs w:val="24"/>
          <w:highlight w:val="none"/>
          <w:lang w:eastAsia="zh-CN"/>
        </w:rPr>
        <w:t xml:space="preserve">江苏金诺建设咨询有限公司</w:t>
      </w:r>
      <w:r>
        <w:rPr>
          <w:rFonts w:hint="eastAsia" w:ascii="宋体" w:hAnsi="宋体" w:eastAsia="宋体" w:cs="宋体"/>
          <w:bCs/>
          <w:sz w:val="24"/>
          <w:szCs w:val="24"/>
          <w:highlight w:val="none"/>
        </w:rPr>
        <w:t xml:space="preserve">在“无锡政府采购网”“江苏政府采购网”发布的更正公告。</w:t>
      </w:r>
      <w:r>
        <w:rPr>
          <w:rFonts w:hint="eastAsia" w:ascii="宋体" w:hAnsi="宋体" w:eastAsia="宋体" w:cs="宋体"/>
          <w:bCs/>
          <w:sz w:val="24"/>
          <w:szCs w:val="24"/>
          <w:highlight w:val="none"/>
        </w:rPr>
      </w:r>
      <w:r/>
    </w:p>
    <w:p>
      <w:pPr>
        <w:pStyle w:val="786"/>
        <w:ind w:firstLine="480"/>
        <w:spacing w:line="500" w:lineRule="exact"/>
        <w:tabs>
          <w:tab w:val="left" w:pos="900" w:leader="none"/>
        </w:tabs>
        <w:rPr>
          <w:rFonts w:hint="eastAsia" w:ascii="宋体" w:hAnsi="宋体" w:eastAsia="宋体" w:cs="宋体"/>
          <w:bCs/>
          <w:sz w:val="24"/>
          <w:szCs w:val="24"/>
          <w:highlight w:val="none"/>
          <w:shd w:val="clear" w:color="ffffff" w:fill="d9d9d9"/>
        </w:rPr>
      </w:pPr>
      <w:r>
        <w:rPr>
          <w:rFonts w:hint="eastAsia" w:ascii="宋体" w:hAnsi="宋体" w:eastAsia="宋体" w:cs="宋体"/>
          <w:bCs/>
          <w:sz w:val="24"/>
          <w:szCs w:val="24"/>
          <w:highlight w:val="none"/>
        </w:rPr>
        <w:t xml:space="preserve">（四）本次采购不收取投标保证金。</w:t>
      </w:r>
      <w:r>
        <w:rPr>
          <w:rFonts w:hint="eastAsia" w:ascii="宋体" w:hAnsi="宋体" w:eastAsia="宋体" w:cs="宋体"/>
          <w:bCs/>
          <w:sz w:val="24"/>
          <w:szCs w:val="24"/>
          <w:highlight w:val="none"/>
          <w:shd w:val="clear" w:color="ffffff" w:fill="d9d9d9"/>
        </w:rPr>
      </w:r>
      <w:r/>
    </w:p>
    <w:p>
      <w:pPr>
        <w:pStyle w:val="786"/>
        <w:jc w:val="center"/>
        <w:spacing w:line="500" w:lineRule="exact"/>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bCs/>
          <w:sz w:val="24"/>
          <w:szCs w:val="24"/>
          <w:highlight w:val="none"/>
          <w:shd w:val="clear" w:color="ffffff" w:fill="d9d9d9"/>
        </w:rPr>
        <w:br w:type="page" w:clear="all"/>
      </w:r>
      <w:bookmarkStart w:id="44" w:name="_Toc120614211"/>
      <w:r/>
      <w:bookmarkStart w:id="45" w:name="_Toc18519"/>
      <w:r>
        <w:rPr>
          <w:rFonts w:hint="eastAsia" w:ascii="宋体" w:hAnsi="宋体" w:eastAsia="宋体" w:cs="宋体"/>
          <w:sz w:val="36"/>
          <w:szCs w:val="36"/>
          <w:highlight w:val="none"/>
        </w:rPr>
        <w:t xml:space="preserve">第二章  </w:t>
      </w:r>
      <w:bookmarkEnd w:id="1"/>
      <w:r/>
      <w:bookmarkEnd w:id="2"/>
      <w:r/>
      <w:bookmarkEnd w:id="3"/>
      <w:r/>
      <w:bookmarkEnd w:id="4"/>
      <w:r/>
      <w:bookmarkEnd w:id="5"/>
      <w:r/>
      <w:bookmarkEnd w:id="44"/>
      <w:r/>
      <w:bookmarkStart w:id="46" w:name="_Toc20823274"/>
      <w:r/>
      <w:bookmarkStart w:id="47" w:name="_Toc120614213"/>
      <w:r/>
      <w:bookmarkStart w:id="48" w:name="_Toc513029202"/>
      <w:r/>
      <w:bookmarkStart w:id="49" w:name="_Toc16938518"/>
      <w:r>
        <w:rPr>
          <w:rFonts w:hint="eastAsia" w:ascii="宋体" w:hAnsi="宋体" w:eastAsia="宋体" w:cs="宋体"/>
          <w:sz w:val="36"/>
          <w:szCs w:val="36"/>
          <w:highlight w:val="none"/>
        </w:rPr>
        <w:t xml:space="preserve">投标人须知</w:t>
      </w:r>
      <w:bookmarkEnd w:id="45"/>
      <w:r/>
      <w:bookmarkEnd w:id="46"/>
      <w:r/>
      <w:bookmarkEnd w:id="47"/>
      <w:r/>
      <w:bookmarkEnd w:id="48"/>
      <w:r/>
      <w:bookmarkEnd w:id="49"/>
      <w:r>
        <w:rPr>
          <w:rFonts w:hint="eastAsia" w:ascii="宋体" w:hAnsi="宋体" w:eastAsia="宋体" w:cs="宋体"/>
          <w:sz w:val="36"/>
          <w:szCs w:val="36"/>
          <w:highlight w:val="none"/>
        </w:rPr>
      </w:r>
      <w:r/>
    </w:p>
    <w:p>
      <w:pPr>
        <w:pStyle w:val="839"/>
        <w:ind w:firstLine="452"/>
        <w:keepLines w:val="0"/>
        <w:keepNext w:val="0"/>
        <w:spacing w:before="0" w:after="0" w:line="500" w:lineRule="exact"/>
        <w:rPr>
          <w:rFonts w:hint="eastAsia" w:ascii="宋体" w:hAnsi="宋体" w:eastAsia="宋体" w:cs="宋体"/>
          <w:sz w:val="30"/>
          <w:szCs w:val="30"/>
          <w:highlight w:val="none"/>
        </w:rPr>
      </w:pPr>
      <w:r/>
      <w:bookmarkStart w:id="50" w:name="_Toc120614214"/>
      <w:r/>
      <w:bookmarkStart w:id="51" w:name="_Toc513029203"/>
      <w:r/>
      <w:bookmarkStart w:id="52" w:name="_Toc20823275"/>
      <w:r/>
      <w:bookmarkStart w:id="53" w:name="_Toc16938519"/>
      <w:r>
        <w:rPr>
          <w:rFonts w:hint="eastAsia" w:ascii="宋体" w:hAnsi="宋体" w:eastAsia="宋体" w:cs="宋体"/>
          <w:sz w:val="30"/>
          <w:szCs w:val="30"/>
          <w:highlight w:val="none"/>
        </w:rPr>
        <w:t xml:space="preserve">一、总则</w:t>
      </w:r>
      <w:bookmarkEnd w:id="50"/>
      <w:r/>
      <w:bookmarkEnd w:id="51"/>
      <w:r/>
      <w:bookmarkEnd w:id="52"/>
      <w:r/>
      <w:bookmarkEnd w:id="53"/>
      <w:r>
        <w:rPr>
          <w:rFonts w:hint="eastAsia" w:ascii="宋体" w:hAnsi="宋体" w:eastAsia="宋体" w:cs="宋体"/>
          <w:sz w:val="30"/>
          <w:szCs w:val="30"/>
          <w:highlight w:val="none"/>
        </w:rPr>
      </w:r>
      <w:r/>
    </w:p>
    <w:p>
      <w:pPr>
        <w:pStyle w:val="978"/>
        <w:ind w:firstLine="422"/>
        <w:keepLines w:val="0"/>
        <w:keepNext w:val="0"/>
        <w:spacing w:before="0" w:after="0" w:line="500" w:lineRule="exact"/>
        <w:rPr>
          <w:rFonts w:hint="eastAsia" w:ascii="宋体" w:hAnsi="宋体" w:eastAsia="宋体" w:cs="宋体"/>
          <w:bCs w:val="0"/>
          <w:highlight w:val="none"/>
        </w:rPr>
      </w:pPr>
      <w:r/>
      <w:bookmarkStart w:id="54" w:name="_Hlt16619475"/>
      <w:r/>
      <w:bookmarkEnd w:id="54"/>
      <w:r/>
      <w:bookmarkStart w:id="55" w:name="_Toc20823276"/>
      <w:r/>
      <w:bookmarkStart w:id="56" w:name="_Toc513029204"/>
      <w:r/>
      <w:bookmarkStart w:id="57" w:name="_Toc16938520"/>
      <w:r>
        <w:rPr>
          <w:rFonts w:hint="eastAsia" w:ascii="宋体" w:hAnsi="宋体" w:eastAsia="宋体" w:cs="宋体"/>
          <w:bCs w:val="0"/>
          <w:highlight w:val="none"/>
        </w:rPr>
        <w:t xml:space="preserve">1.招标方式</w:t>
      </w:r>
      <w:bookmarkEnd w:id="55"/>
      <w:r/>
      <w:bookmarkEnd w:id="56"/>
      <w:r/>
      <w:bookmarkEnd w:id="57"/>
      <w:r>
        <w:rPr>
          <w:rFonts w:hint="eastAsia" w:ascii="宋体" w:hAnsi="宋体" w:eastAsia="宋体" w:cs="宋体"/>
          <w:bCs w:val="0"/>
          <w:highlight w:val="none"/>
        </w:rPr>
      </w:r>
      <w:r/>
    </w:p>
    <w:p>
      <w:pPr>
        <w:pStyle w:val="78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1.1本次招标采取公开招标方式，本招标文件仅适用于招标公告中所述项目。</w:t>
      </w:r>
      <w:r>
        <w:rPr>
          <w:rFonts w:hint="eastAsia" w:ascii="宋体" w:hAnsi="宋体" w:eastAsia="宋体" w:cs="宋体"/>
          <w:sz w:val="24"/>
          <w:highlight w:val="none"/>
        </w:rPr>
      </w:r>
      <w:r/>
    </w:p>
    <w:p>
      <w:pPr>
        <w:pStyle w:val="978"/>
        <w:ind w:firstLine="422"/>
        <w:keepLines w:val="0"/>
        <w:keepNext w:val="0"/>
        <w:spacing w:before="0" w:after="0" w:line="500" w:lineRule="exact"/>
        <w:rPr>
          <w:rFonts w:hint="eastAsia" w:ascii="宋体" w:hAnsi="宋体" w:eastAsia="宋体" w:cs="宋体"/>
          <w:bCs w:val="0"/>
          <w:highlight w:val="none"/>
        </w:rPr>
      </w:pPr>
      <w:r/>
      <w:bookmarkStart w:id="58" w:name="_Toc20823277"/>
      <w:r/>
      <w:bookmarkStart w:id="59" w:name="_Toc513029205"/>
      <w:r/>
      <w:bookmarkStart w:id="60" w:name="_Toc16938521"/>
      <w:r>
        <w:rPr>
          <w:rFonts w:hint="eastAsia" w:ascii="宋体" w:hAnsi="宋体" w:eastAsia="宋体" w:cs="宋体"/>
          <w:bCs w:val="0"/>
          <w:highlight w:val="none"/>
        </w:rPr>
        <w:t xml:space="preserve">2.</w:t>
      </w:r>
      <w:bookmarkEnd w:id="58"/>
      <w:r/>
      <w:bookmarkEnd w:id="59"/>
      <w:r/>
      <w:bookmarkEnd w:id="60"/>
      <w:r>
        <w:rPr>
          <w:rFonts w:hint="eastAsia" w:ascii="宋体" w:hAnsi="宋体" w:eastAsia="宋体" w:cs="宋体"/>
          <w:bCs w:val="0"/>
          <w:highlight w:val="none"/>
        </w:rPr>
        <w:t xml:space="preserve">采购人、采购代理机构、投标人、联合体</w:t>
      </w:r>
      <w:r>
        <w:rPr>
          <w:rFonts w:hint="eastAsia" w:ascii="宋体" w:hAnsi="宋体" w:eastAsia="宋体" w:cs="宋体"/>
          <w:bCs w:val="0"/>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2.2投标人（也称“供应商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申请人”）：是指响应招标、参加投标竞争的法人、其他组织或者自然人。合格的投标人应满足招标公告中供应商的资格要求以及本文件实质性要求和条件的规定。</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eastAsia="宋体" w:cs="宋体"/>
          <w:sz w:val="24"/>
          <w:szCs w:val="24"/>
          <w:highlight w:val="none"/>
        </w:rPr>
      </w:r>
      <w:r/>
    </w:p>
    <w:p>
      <w:pPr>
        <w:pStyle w:val="978"/>
        <w:ind w:firstLine="422"/>
        <w:keepLines w:val="0"/>
        <w:keepNext w:val="0"/>
        <w:spacing w:before="0" w:after="0" w:line="500" w:lineRule="exact"/>
        <w:rPr>
          <w:rFonts w:hint="eastAsia" w:ascii="宋体" w:hAnsi="宋体" w:eastAsia="宋体" w:cs="宋体"/>
          <w:bCs w:val="0"/>
          <w:highlight w:val="none"/>
        </w:rPr>
      </w:pPr>
      <w:r/>
      <w:bookmarkStart w:id="61" w:name="_Toc16938522"/>
      <w:r/>
      <w:bookmarkStart w:id="62" w:name="_Toc20823278"/>
      <w:r/>
      <w:bookmarkStart w:id="63" w:name="_Toc513029206"/>
      <w:r>
        <w:rPr>
          <w:rFonts w:hint="eastAsia" w:ascii="宋体" w:hAnsi="宋体" w:eastAsia="宋体" w:cs="宋体"/>
          <w:bCs w:val="0"/>
          <w:highlight w:val="none"/>
        </w:rPr>
        <w:t xml:space="preserve">3.适用法律</w:t>
      </w:r>
      <w:bookmarkEnd w:id="61"/>
      <w:r/>
      <w:bookmarkEnd w:id="62"/>
      <w:r/>
      <w:bookmarkEnd w:id="63"/>
      <w:r>
        <w:rPr>
          <w:rFonts w:hint="eastAsia" w:ascii="宋体" w:hAnsi="宋体" w:eastAsia="宋体" w:cs="宋体"/>
          <w:bCs w:val="0"/>
          <w:highlight w:val="none"/>
        </w:rPr>
      </w:r>
      <w:r/>
    </w:p>
    <w:p>
      <w:pPr>
        <w:pStyle w:val="78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3.1 本次招标及由此产生的合同受中华人民共和国有关的法律法规制约和保护。</w:t>
      </w:r>
      <w:r>
        <w:rPr>
          <w:rFonts w:hint="eastAsia" w:ascii="宋体" w:hAnsi="宋体" w:eastAsia="宋体" w:cs="宋体"/>
          <w:sz w:val="24"/>
          <w:highlight w:val="none"/>
        </w:rPr>
      </w:r>
      <w:r/>
    </w:p>
    <w:p>
      <w:pPr>
        <w:pStyle w:val="978"/>
        <w:ind w:firstLine="422"/>
        <w:keepLines w:val="0"/>
        <w:keepNext w:val="0"/>
        <w:spacing w:before="0" w:after="0" w:line="500" w:lineRule="exact"/>
        <w:rPr>
          <w:rFonts w:hint="eastAsia" w:ascii="宋体" w:hAnsi="宋体" w:eastAsia="宋体" w:cs="宋体"/>
          <w:bCs w:val="0"/>
          <w:highlight w:val="none"/>
        </w:rPr>
      </w:pPr>
      <w:r/>
      <w:bookmarkStart w:id="64" w:name="_Toc513029207"/>
      <w:r/>
      <w:bookmarkStart w:id="65" w:name="_Toc16938523"/>
      <w:r/>
      <w:bookmarkStart w:id="66" w:name="_Toc20823279"/>
      <w:r/>
      <w:bookmarkStart w:id="67" w:name="_Toc462564067"/>
      <w:r>
        <w:rPr>
          <w:rFonts w:hint="eastAsia" w:ascii="宋体" w:hAnsi="宋体" w:eastAsia="宋体" w:cs="宋体"/>
          <w:bCs w:val="0"/>
          <w:highlight w:val="none"/>
        </w:rPr>
        <w:t xml:space="preserve">4.投标费用</w:t>
      </w:r>
      <w:bookmarkEnd w:id="64"/>
      <w:r/>
      <w:bookmarkEnd w:id="65"/>
      <w:r/>
      <w:bookmarkEnd w:id="66"/>
      <w:r/>
      <w:bookmarkEnd w:id="67"/>
      <w:r>
        <w:rPr>
          <w:rFonts w:hint="eastAsia" w:ascii="宋体" w:hAnsi="宋体" w:eastAsia="宋体" w:cs="宋体"/>
          <w:bCs w:val="0"/>
          <w:highlight w:val="none"/>
        </w:rPr>
      </w:r>
      <w:r/>
    </w:p>
    <w:p>
      <w:pPr>
        <w:pStyle w:val="786"/>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4.1</w:t>
      </w:r>
      <w:r>
        <w:rPr>
          <w:rFonts w:hint="eastAsia" w:ascii="宋体" w:hAnsi="宋体" w:eastAsia="宋体" w:cs="宋体"/>
          <w:sz w:val="24"/>
          <w:highlight w:val="none"/>
        </w:rPr>
        <w:t xml:space="preserve">投标人应自行承担所有与参加投标有关的费用，无论投标过程中的做法和结果如何，</w:t>
      </w:r>
      <w:r>
        <w:rPr>
          <w:rFonts w:hint="eastAsia" w:ascii="宋体" w:hAnsi="宋体" w:cs="宋体"/>
          <w:sz w:val="24"/>
          <w:highlight w:val="none"/>
          <w:lang w:eastAsia="zh-CN"/>
        </w:rPr>
        <w:t xml:space="preserve">江苏金诺建设咨询有限公司</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以下简称代理机构</w:t>
      </w:r>
      <w:r>
        <w:rPr>
          <w:rFonts w:hint="eastAsia" w:ascii="宋体" w:hAnsi="宋体" w:eastAsia="宋体" w:cs="宋体"/>
          <w:sz w:val="24"/>
          <w:highlight w:val="none"/>
        </w:rPr>
        <w:t xml:space="preserve">）在任何情况下均无义务和责任承担这些费用。</w:t>
      </w:r>
      <w:r>
        <w:rPr>
          <w:rFonts w:hint="eastAsia" w:ascii="宋体" w:hAnsi="宋体" w:eastAsia="宋体" w:cs="宋体"/>
          <w:sz w:val="24"/>
          <w:highlight w:val="none"/>
        </w:rPr>
      </w:r>
      <w:r/>
    </w:p>
    <w:p>
      <w:pPr>
        <w:pStyle w:val="78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4.2本次招标标书工本费、中标服务费、招标文件均免费。</w:t>
      </w:r>
      <w:r>
        <w:rPr>
          <w:rFonts w:hint="eastAsia" w:ascii="宋体" w:hAnsi="宋体" w:eastAsia="宋体" w:cs="宋体"/>
          <w:sz w:val="24"/>
          <w:highlight w:val="none"/>
        </w:rPr>
      </w:r>
      <w:r/>
    </w:p>
    <w:p>
      <w:pPr>
        <w:pStyle w:val="978"/>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5.招标文件的约束力</w:t>
      </w:r>
      <w:r>
        <w:rPr>
          <w:rFonts w:hint="eastAsia" w:ascii="宋体" w:hAnsi="宋体" w:eastAsia="宋体" w:cs="宋体"/>
          <w:bCs w:val="0"/>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5.1</w:t>
      </w:r>
      <w:r>
        <w:rPr>
          <w:rFonts w:hint="eastAsia" w:ascii="宋体" w:hAnsi="宋体" w:eastAsia="宋体" w:cs="宋体"/>
          <w:sz w:val="24"/>
          <w:szCs w:val="24"/>
          <w:highlight w:val="none"/>
        </w:rPr>
        <w:t xml:space="preserve">投标人一旦参加本项目采购活动，即被认为接受了本招标文件的规定和约束。</w:t>
      </w:r>
      <w:r>
        <w:rPr>
          <w:rFonts w:hint="eastAsia" w:ascii="宋体" w:hAnsi="宋体" w:eastAsia="宋体" w:cs="宋体"/>
          <w:sz w:val="24"/>
          <w:szCs w:val="24"/>
          <w:highlight w:val="none"/>
        </w:rPr>
      </w:r>
      <w:r/>
    </w:p>
    <w:p>
      <w:pPr>
        <w:pStyle w:val="839"/>
        <w:ind w:firstLine="452"/>
        <w:keepLines w:val="0"/>
        <w:keepNext w:val="0"/>
        <w:spacing w:before="0" w:after="0" w:line="500" w:lineRule="exact"/>
        <w:rPr>
          <w:rFonts w:hint="eastAsia" w:ascii="宋体" w:hAnsi="宋体" w:eastAsia="宋体" w:cs="宋体"/>
          <w:sz w:val="30"/>
          <w:szCs w:val="30"/>
          <w:highlight w:val="none"/>
        </w:rPr>
      </w:pPr>
      <w:r/>
      <w:bookmarkStart w:id="68" w:name="_Toc120614215"/>
      <w:r/>
      <w:bookmarkStart w:id="69" w:name="_Toc20823281"/>
      <w:r/>
      <w:bookmarkStart w:id="70" w:name="_Toc16938525"/>
      <w:r/>
      <w:bookmarkStart w:id="71" w:name="_Toc513029209"/>
      <w:r>
        <w:rPr>
          <w:rFonts w:hint="eastAsia" w:ascii="宋体" w:hAnsi="宋体" w:eastAsia="宋体" w:cs="宋体"/>
          <w:sz w:val="30"/>
          <w:szCs w:val="30"/>
          <w:highlight w:val="none"/>
        </w:rPr>
        <w:t xml:space="preserve">二、招标文件</w:t>
      </w:r>
      <w:bookmarkEnd w:id="68"/>
      <w:r/>
      <w:bookmarkEnd w:id="69"/>
      <w:r/>
      <w:bookmarkEnd w:id="70"/>
      <w:r/>
      <w:bookmarkEnd w:id="71"/>
      <w:r>
        <w:rPr>
          <w:rFonts w:hint="eastAsia" w:ascii="宋体" w:hAnsi="宋体" w:eastAsia="宋体" w:cs="宋体"/>
          <w:sz w:val="30"/>
          <w:szCs w:val="30"/>
          <w:highlight w:val="none"/>
        </w:rPr>
      </w:r>
      <w:r/>
    </w:p>
    <w:p>
      <w:pPr>
        <w:pStyle w:val="978"/>
        <w:ind w:firstLine="422"/>
        <w:keepLines w:val="0"/>
        <w:keepNext w:val="0"/>
        <w:spacing w:before="0" w:after="0" w:line="500" w:lineRule="exact"/>
        <w:rPr>
          <w:rFonts w:hint="eastAsia" w:ascii="宋体" w:hAnsi="宋体" w:eastAsia="宋体" w:cs="宋体"/>
          <w:bCs w:val="0"/>
          <w:highlight w:val="none"/>
        </w:rPr>
      </w:pPr>
      <w:r/>
      <w:bookmarkStart w:id="72" w:name="_Toc20823282"/>
      <w:r/>
      <w:bookmarkStart w:id="73" w:name="_Toc16938526"/>
      <w:r/>
      <w:bookmarkStart w:id="74" w:name="_Toc513029210"/>
      <w:r>
        <w:rPr>
          <w:rFonts w:hint="eastAsia" w:ascii="宋体" w:hAnsi="宋体" w:eastAsia="宋体" w:cs="宋体"/>
          <w:bCs w:val="0"/>
          <w:highlight w:val="none"/>
        </w:rPr>
        <w:t xml:space="preserve">6.招标文件构成</w:t>
      </w:r>
      <w:bookmarkEnd w:id="72"/>
      <w:r/>
      <w:bookmarkEnd w:id="73"/>
      <w:r/>
      <w:bookmarkEnd w:id="74"/>
      <w:r>
        <w:rPr>
          <w:rFonts w:hint="eastAsia" w:ascii="宋体" w:hAnsi="宋体" w:eastAsia="宋体" w:cs="宋体"/>
          <w:bCs w:val="0"/>
          <w:highlight w:val="none"/>
        </w:rPr>
      </w:r>
      <w:r/>
    </w:p>
    <w:p>
      <w:pPr>
        <w:pStyle w:val="786"/>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6.1</w:t>
      </w:r>
      <w:r>
        <w:rPr>
          <w:rFonts w:hint="eastAsia" w:ascii="宋体" w:hAnsi="宋体" w:eastAsia="宋体" w:cs="宋体"/>
          <w:sz w:val="24"/>
          <w:highlight w:val="none"/>
        </w:rPr>
        <w:t xml:space="preserve">招标文件由以下部分组成：</w:t>
      </w:r>
      <w:r>
        <w:rPr>
          <w:rFonts w:hint="eastAsia" w:ascii="宋体" w:hAnsi="宋体" w:eastAsia="宋体" w:cs="宋体"/>
          <w:sz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（1）投标邀请</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（2）投标人须知</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（3）合同文本</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（4）采购需求</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（5）评标方法与评标标准</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（6）投标文件内容与格式</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请仔细检查招标文件是否齐全，如有缺漏请立即与</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联系解决。</w:t>
      </w:r>
      <w:r>
        <w:rPr>
          <w:rFonts w:hint="eastAsia" w:ascii="宋体" w:hAnsi="宋体" w:eastAsia="宋体" w:cs="宋体"/>
          <w:sz w:val="24"/>
          <w:highlight w:val="none"/>
        </w:rPr>
      </w:r>
      <w:r/>
    </w:p>
    <w:p>
      <w:pPr>
        <w:pStyle w:val="78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sz w:val="24"/>
          <w:highlight w:val="none"/>
        </w:rPr>
      </w:r>
      <w:r/>
    </w:p>
    <w:p>
      <w:pPr>
        <w:pStyle w:val="978"/>
        <w:ind w:firstLine="422"/>
        <w:keepLines w:val="0"/>
        <w:keepNext w:val="0"/>
        <w:spacing w:before="0" w:after="0" w:line="500" w:lineRule="exact"/>
        <w:rPr>
          <w:rFonts w:hint="eastAsia" w:ascii="宋体" w:hAnsi="宋体" w:eastAsia="宋体" w:cs="宋体"/>
          <w:bCs w:val="0"/>
          <w:highlight w:val="none"/>
        </w:rPr>
      </w:pPr>
      <w:r/>
      <w:bookmarkStart w:id="75" w:name="_Toc462564070"/>
      <w:r/>
      <w:bookmarkStart w:id="76" w:name="_Toc16938527"/>
      <w:r/>
      <w:bookmarkStart w:id="77" w:name="_Toc513029211"/>
      <w:r/>
      <w:bookmarkStart w:id="78" w:name="_Toc20823283"/>
      <w:r>
        <w:rPr>
          <w:rFonts w:hint="eastAsia" w:ascii="宋体" w:hAnsi="宋体" w:eastAsia="宋体" w:cs="宋体"/>
          <w:bCs w:val="0"/>
          <w:highlight w:val="none"/>
        </w:rPr>
        <w:t xml:space="preserve">7.招标文件的澄清</w:t>
      </w:r>
      <w:bookmarkEnd w:id="75"/>
      <w:r/>
      <w:bookmarkEnd w:id="76"/>
      <w:r/>
      <w:bookmarkEnd w:id="77"/>
      <w:r/>
      <w:bookmarkEnd w:id="78"/>
      <w:r>
        <w:rPr>
          <w:rFonts w:hint="eastAsia" w:ascii="宋体" w:hAnsi="宋体" w:eastAsia="宋体" w:cs="宋体"/>
          <w:bCs w:val="0"/>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7.1本项目不召开开标前答疑会，投标人如有需要对招标文件要求澄清的问题，应在投标截止期至少十五日前按招标公告或招标文件中的通讯地址，以书面形式通知</w:t>
      </w:r>
      <w:r>
        <w:rPr>
          <w:rFonts w:hint="eastAsia" w:ascii="宋体" w:hAnsi="宋体" w:eastAsia="宋体" w:cs="宋体"/>
          <w:sz w:val="24"/>
          <w:highlight w:val="none"/>
          <w:lang w:eastAsia="zh-CN"/>
        </w:rPr>
        <w:t xml:space="preserve">代理机构</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978"/>
        <w:ind w:firstLine="422"/>
        <w:keepLines w:val="0"/>
        <w:keepNext w:val="0"/>
        <w:spacing w:before="0" w:after="0" w:line="500" w:lineRule="exact"/>
        <w:rPr>
          <w:rFonts w:hint="eastAsia" w:ascii="宋体" w:hAnsi="宋体" w:eastAsia="宋体" w:cs="宋体"/>
          <w:bCs w:val="0"/>
          <w:highlight w:val="none"/>
        </w:rPr>
      </w:pPr>
      <w:r/>
      <w:bookmarkStart w:id="79" w:name="_Toc16938528"/>
      <w:r/>
      <w:bookmarkStart w:id="80" w:name="_Toc462564071"/>
      <w:r/>
      <w:bookmarkStart w:id="81" w:name="_Toc513029212"/>
      <w:r/>
      <w:bookmarkStart w:id="82" w:name="_Toc20823284"/>
      <w:r>
        <w:rPr>
          <w:rFonts w:hint="eastAsia" w:ascii="宋体" w:hAnsi="宋体" w:eastAsia="宋体" w:cs="宋体"/>
          <w:bCs w:val="0"/>
          <w:highlight w:val="none"/>
        </w:rPr>
        <w:t xml:space="preserve">8.招标文件的修改</w:t>
      </w:r>
      <w:bookmarkEnd w:id="79"/>
      <w:r/>
      <w:bookmarkEnd w:id="80"/>
      <w:r/>
      <w:bookmarkEnd w:id="81"/>
      <w:r/>
      <w:bookmarkEnd w:id="82"/>
      <w:r>
        <w:rPr>
          <w:rFonts w:hint="eastAsia" w:ascii="宋体" w:hAnsi="宋体" w:eastAsia="宋体" w:cs="宋体"/>
          <w:bCs w:val="0"/>
          <w:highlight w:val="none"/>
        </w:rPr>
      </w:r>
      <w:r/>
    </w:p>
    <w:p>
      <w:pPr>
        <w:pStyle w:val="786"/>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8.1</w:t>
      </w:r>
      <w:r>
        <w:rPr>
          <w:rFonts w:hint="eastAsia" w:ascii="宋体" w:hAnsi="宋体" w:eastAsia="宋体" w:cs="宋体"/>
          <w:sz w:val="24"/>
          <w:highlight w:val="none"/>
          <w:lang w:eastAsia="zh-CN"/>
        </w:rPr>
        <w:t xml:space="preserve">代理机构</w:t>
      </w:r>
      <w:r>
        <w:rPr>
          <w:rFonts w:hint="eastAsia" w:ascii="宋体" w:hAnsi="宋体" w:eastAsia="宋体" w:cs="宋体"/>
          <w:bCs/>
          <w:sz w:val="24"/>
          <w:szCs w:val="24"/>
          <w:highlight w:val="none"/>
        </w:rPr>
        <w:t xml:space="preserve">可在投标截止时间十五日前对招标文件进行必要的澄清或者修改，不足十五日的，将顺延提交投标文件的截止时间和开标日期。</w:t>
      </w:r>
      <w:r>
        <w:rPr>
          <w:rFonts w:hint="eastAsia" w:ascii="宋体" w:hAnsi="宋体" w:eastAsia="宋体" w:cs="宋体"/>
          <w:bCs/>
          <w:sz w:val="24"/>
          <w:szCs w:val="24"/>
          <w:highlight w:val="none"/>
        </w:rPr>
      </w:r>
      <w:r/>
    </w:p>
    <w:p>
      <w:pPr>
        <w:pStyle w:val="78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8.2</w:t>
      </w:r>
      <w:r>
        <w:rPr>
          <w:rFonts w:hint="eastAsia" w:ascii="宋体" w:hAnsi="宋体" w:eastAsia="宋体" w:cs="宋体"/>
          <w:bCs/>
          <w:sz w:val="24"/>
          <w:szCs w:val="24"/>
          <w:highlight w:val="none"/>
        </w:rPr>
        <w:t xml:space="preserve">如需对招标文件进行澄清或修改，</w:t>
      </w:r>
      <w:r>
        <w:rPr>
          <w:rFonts w:hint="eastAsia" w:ascii="宋体" w:hAnsi="宋体" w:eastAsia="宋体" w:cs="宋体"/>
          <w:sz w:val="24"/>
          <w:highlight w:val="none"/>
          <w:lang w:eastAsia="zh-CN"/>
        </w:rPr>
        <w:t xml:space="preserve">代理机构</w:t>
      </w:r>
      <w:r>
        <w:rPr>
          <w:rFonts w:hint="eastAsia" w:ascii="宋体" w:hAnsi="宋体" w:eastAsia="宋体" w:cs="宋体"/>
          <w:bCs/>
          <w:sz w:val="24"/>
          <w:szCs w:val="24"/>
          <w:highlight w:val="none"/>
        </w:rPr>
        <w:t xml:space="preserve">将在无锡政府采购网、江苏政府采购网发布更正公告，澄清或修改的内容为招标文件的组成部分，并对投标人具有约束力。投标人应在投标截止时间前</w:t>
      </w:r>
      <w:r>
        <w:rPr>
          <w:rFonts w:hint="eastAsia" w:ascii="宋体" w:hAnsi="宋体" w:eastAsia="宋体" w:cs="宋体"/>
          <w:sz w:val="24"/>
          <w:szCs w:val="24"/>
          <w:highlight w:val="none"/>
        </w:rPr>
        <w:t xml:space="preserve">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或</w:t>
      </w:r>
      <w:r>
        <w:rPr>
          <w:rFonts w:hint="eastAsia" w:ascii="宋体" w:hAnsi="宋体" w:eastAsia="宋体" w:cs="宋体"/>
          <w:bCs/>
          <w:sz w:val="24"/>
          <w:szCs w:val="24"/>
          <w:highlight w:val="none"/>
        </w:rPr>
        <w:t xml:space="preserve">关注原招标公告媒体上发布的更正公告</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因投标人未尽注意义务，未及时更新上传投标文件</w:t>
      </w:r>
      <w:r>
        <w:rPr>
          <w:rFonts w:hint="eastAsia" w:ascii="宋体" w:hAnsi="宋体" w:eastAsia="宋体" w:cs="宋体"/>
          <w:sz w:val="24"/>
          <w:szCs w:val="24"/>
          <w:highlight w:val="none"/>
        </w:rPr>
        <w:t xml:space="preserve">或未</w:t>
      </w:r>
      <w:r>
        <w:rPr>
          <w:rFonts w:hint="eastAsia" w:ascii="宋体" w:hAnsi="宋体" w:eastAsia="宋体" w:cs="宋体"/>
          <w:bCs/>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eastAsia="宋体" w:cs="宋体"/>
          <w:sz w:val="24"/>
          <w:highlight w:val="none"/>
        </w:rPr>
      </w:r>
      <w:r/>
    </w:p>
    <w:p>
      <w:pPr>
        <w:pStyle w:val="839"/>
        <w:ind w:firstLine="452"/>
        <w:keepLines w:val="0"/>
        <w:keepNext w:val="0"/>
        <w:spacing w:before="0" w:after="0" w:line="500" w:lineRule="exact"/>
        <w:rPr>
          <w:rFonts w:hint="eastAsia" w:ascii="宋体" w:hAnsi="宋体" w:eastAsia="宋体" w:cs="宋体"/>
          <w:sz w:val="30"/>
          <w:szCs w:val="30"/>
          <w:highlight w:val="none"/>
        </w:rPr>
      </w:pPr>
      <w:r/>
      <w:bookmarkStart w:id="83" w:name="_Toc120614216"/>
      <w:r/>
      <w:bookmarkStart w:id="84" w:name="_Toc513029213"/>
      <w:r/>
      <w:bookmarkStart w:id="85" w:name="_Toc20823285"/>
      <w:r/>
      <w:bookmarkStart w:id="86" w:name="_Toc16938529"/>
      <w:r/>
      <w:bookmarkStart w:id="87" w:name="_Toc462564072"/>
      <w:r>
        <w:rPr>
          <w:rFonts w:hint="eastAsia" w:ascii="宋体" w:hAnsi="宋体" w:eastAsia="宋体" w:cs="宋体"/>
          <w:sz w:val="30"/>
          <w:szCs w:val="30"/>
          <w:highlight w:val="none"/>
        </w:rPr>
        <w:t xml:space="preserve">三、投标文件的编制</w:t>
      </w:r>
      <w:bookmarkEnd w:id="83"/>
      <w:r/>
      <w:bookmarkEnd w:id="84"/>
      <w:r/>
      <w:bookmarkEnd w:id="85"/>
      <w:r/>
      <w:bookmarkEnd w:id="86"/>
      <w:r/>
      <w:bookmarkEnd w:id="87"/>
      <w:r>
        <w:rPr>
          <w:rFonts w:hint="eastAsia" w:ascii="宋体" w:hAnsi="宋体" w:eastAsia="宋体" w:cs="宋体"/>
          <w:sz w:val="30"/>
          <w:szCs w:val="30"/>
          <w:highlight w:val="none"/>
        </w:rPr>
      </w:r>
      <w:r/>
    </w:p>
    <w:p>
      <w:pPr>
        <w:pStyle w:val="978"/>
        <w:ind w:firstLine="422"/>
        <w:keepLines w:val="0"/>
        <w:keepNext w:val="0"/>
        <w:spacing w:before="0" w:after="0" w:line="500" w:lineRule="exact"/>
        <w:rPr>
          <w:rFonts w:hint="eastAsia" w:ascii="宋体" w:hAnsi="宋体" w:eastAsia="宋体" w:cs="宋体"/>
          <w:bCs w:val="0"/>
          <w:highlight w:val="none"/>
        </w:rPr>
      </w:pPr>
      <w:r/>
      <w:bookmarkStart w:id="88" w:name="_Toc16938530"/>
      <w:r/>
      <w:bookmarkStart w:id="89" w:name="_Toc462564073"/>
      <w:r/>
      <w:bookmarkStart w:id="90" w:name="_Toc20823286"/>
      <w:r/>
      <w:bookmarkStart w:id="91" w:name="_Toc513029214"/>
      <w:r>
        <w:rPr>
          <w:rFonts w:hint="eastAsia" w:ascii="宋体" w:hAnsi="宋体" w:eastAsia="宋体" w:cs="宋体"/>
          <w:bCs w:val="0"/>
          <w:highlight w:val="none"/>
        </w:rPr>
        <w:t xml:space="preserve">9.投标文件的语言及度量衡单位</w:t>
      </w:r>
      <w:bookmarkEnd w:id="88"/>
      <w:r/>
      <w:bookmarkEnd w:id="89"/>
      <w:r/>
      <w:bookmarkEnd w:id="90"/>
      <w:r/>
      <w:bookmarkEnd w:id="91"/>
      <w:r>
        <w:rPr>
          <w:rFonts w:hint="eastAsia" w:ascii="宋体" w:hAnsi="宋体" w:eastAsia="宋体" w:cs="宋体"/>
          <w:bCs w:val="0"/>
          <w:highlight w:val="none"/>
        </w:rPr>
      </w:r>
      <w:r/>
    </w:p>
    <w:p>
      <w:pPr>
        <w:pStyle w:val="786"/>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9.1</w:t>
      </w:r>
      <w:r>
        <w:rPr>
          <w:rFonts w:hint="eastAsia" w:ascii="宋体" w:hAnsi="宋体" w:eastAsia="宋体" w:cs="宋体"/>
          <w:sz w:val="24"/>
          <w:highlight w:val="none"/>
        </w:rPr>
        <w:t xml:space="preserve">投标人提交的投标文件以及投标人与</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就有关投标的所有来往通知、函件和文件均应使用</w:t>
      </w:r>
      <w:r>
        <w:rPr>
          <w:rFonts w:hint="eastAsia" w:ascii="宋体" w:hAnsi="宋体" w:eastAsia="宋体" w:cs="宋体"/>
          <w:bCs/>
          <w:sz w:val="24"/>
          <w:highlight w:val="none"/>
        </w:rPr>
        <w:t xml:space="preserve">简体中文</w:t>
      </w:r>
      <w:r>
        <w:rPr>
          <w:rFonts w:hint="eastAsia" w:ascii="宋体" w:hAnsi="宋体" w:eastAsia="宋体" w:cs="宋体"/>
          <w:bCs/>
          <w:sz w:val="24"/>
          <w:szCs w:val="24"/>
          <w:highlight w:val="none"/>
        </w:rPr>
        <w:t xml:space="preserve">（规格、型号辅助符号例外）</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86"/>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9.2</w:t>
      </w:r>
      <w:r>
        <w:rPr>
          <w:rFonts w:hint="eastAsia" w:ascii="宋体" w:hAnsi="宋体" w:eastAsia="宋体" w:cs="宋体"/>
          <w:sz w:val="24"/>
          <w:highlight w:val="none"/>
        </w:rPr>
        <w:t xml:space="preserve">除技术性能另有规定外，投标文件所使用的度量衡单位，均须采用国家法定计量单位。</w:t>
      </w:r>
      <w:r>
        <w:rPr>
          <w:rFonts w:hint="eastAsia" w:ascii="宋体" w:hAnsi="宋体" w:eastAsia="宋体" w:cs="宋体"/>
          <w:sz w:val="24"/>
          <w:highlight w:val="none"/>
        </w:rPr>
      </w:r>
      <w:r/>
    </w:p>
    <w:p>
      <w:pPr>
        <w:pStyle w:val="978"/>
        <w:ind w:firstLine="422"/>
        <w:keepLines w:val="0"/>
        <w:keepNext w:val="0"/>
        <w:spacing w:before="0" w:after="0" w:line="500" w:lineRule="exact"/>
        <w:rPr>
          <w:rFonts w:hint="eastAsia" w:ascii="宋体" w:hAnsi="宋体" w:eastAsia="宋体" w:cs="宋体"/>
          <w:bCs w:val="0"/>
          <w:highlight w:val="none"/>
        </w:rPr>
      </w:pPr>
      <w:r/>
      <w:bookmarkStart w:id="92" w:name="_Toc513029215"/>
      <w:r/>
      <w:bookmarkStart w:id="93" w:name="_Toc20823287"/>
      <w:r/>
      <w:bookmarkStart w:id="94" w:name="_Toc462564074"/>
      <w:r/>
      <w:bookmarkStart w:id="95" w:name="_Toc16938531"/>
      <w:r>
        <w:rPr>
          <w:rFonts w:hint="eastAsia" w:ascii="宋体" w:hAnsi="宋体" w:eastAsia="宋体" w:cs="宋体"/>
          <w:bCs w:val="0"/>
          <w:highlight w:val="none"/>
        </w:rPr>
        <w:t xml:space="preserve">10.投标文件构成</w:t>
      </w:r>
      <w:bookmarkEnd w:id="92"/>
      <w:r/>
      <w:bookmarkEnd w:id="93"/>
      <w:r/>
      <w:bookmarkEnd w:id="94"/>
      <w:r/>
      <w:bookmarkEnd w:id="95"/>
      <w:r>
        <w:rPr>
          <w:rFonts w:hint="eastAsia" w:ascii="宋体" w:hAnsi="宋体" w:eastAsia="宋体" w:cs="宋体"/>
          <w:bCs w:val="0"/>
          <w:highlight w:val="none"/>
        </w:rPr>
      </w:r>
      <w:r/>
    </w:p>
    <w:p>
      <w:pPr>
        <w:pStyle w:val="78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hint="eastAsia" w:ascii="宋体" w:hAnsi="宋体" w:eastAsia="宋体" w:cs="宋体"/>
          <w:sz w:val="24"/>
          <w:highlight w:val="none"/>
        </w:rPr>
      </w:r>
      <w:r/>
    </w:p>
    <w:p>
      <w:pPr>
        <w:pStyle w:val="78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10.2投标人所须提供的相关证明文件和要求以及投标文件的部分格式要求，详见第六章《投标文件内容与格式》。</w:t>
      </w:r>
      <w:r>
        <w:rPr>
          <w:rFonts w:hint="eastAsia" w:ascii="宋体" w:hAnsi="宋体" w:eastAsia="宋体" w:cs="宋体"/>
          <w:sz w:val="24"/>
          <w:highlight w:val="none"/>
        </w:rPr>
      </w:r>
      <w:r/>
    </w:p>
    <w:p>
      <w:pPr>
        <w:pStyle w:val="78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10.3如标书制作工具中格式和内容与招标文件不一致的，请以招标文件为准。</w:t>
      </w:r>
      <w:r>
        <w:rPr>
          <w:rFonts w:hint="eastAsia" w:ascii="宋体" w:hAnsi="宋体" w:eastAsia="宋体" w:cs="宋体"/>
          <w:sz w:val="24"/>
          <w:highlight w:val="none"/>
        </w:rPr>
      </w:r>
      <w:r/>
    </w:p>
    <w:p>
      <w:pPr>
        <w:pStyle w:val="978"/>
        <w:ind w:firstLine="422"/>
        <w:keepLines w:val="0"/>
        <w:keepNext w:val="0"/>
        <w:spacing w:before="0" w:after="0" w:line="500" w:lineRule="exact"/>
        <w:rPr>
          <w:rFonts w:hint="eastAsia" w:ascii="宋体" w:hAnsi="宋体" w:eastAsia="宋体" w:cs="宋体"/>
          <w:bCs w:val="0"/>
          <w:highlight w:val="none"/>
        </w:rPr>
      </w:pPr>
      <w:r/>
      <w:bookmarkStart w:id="96" w:name="_Hlt26670360"/>
      <w:r/>
      <w:bookmarkEnd w:id="96"/>
      <w:r/>
      <w:bookmarkStart w:id="97" w:name="_Hlt26668975"/>
      <w:r/>
      <w:bookmarkEnd w:id="97"/>
      <w:r/>
      <w:bookmarkStart w:id="98" w:name="_Hlt26954838"/>
      <w:r/>
      <w:bookmarkEnd w:id="98"/>
      <w:r/>
      <w:bookmarkStart w:id="99" w:name="_Toc513029219"/>
      <w:r/>
      <w:bookmarkStart w:id="100" w:name="_Toc49090509"/>
      <w:r/>
      <w:bookmarkStart w:id="101" w:name="_Toc14577357"/>
      <w:r/>
      <w:bookmarkStart w:id="102" w:name="_Toc49090507"/>
      <w:r/>
      <w:bookmarkStart w:id="103" w:name="_Toc14577354"/>
      <w:r/>
      <w:bookmarkStart w:id="104" w:name="_Toc513029216"/>
      <w:r>
        <w:rPr>
          <w:rFonts w:hint="eastAsia" w:ascii="宋体" w:hAnsi="宋体" w:eastAsia="宋体" w:cs="宋体"/>
          <w:bCs w:val="0"/>
          <w:highlight w:val="none"/>
        </w:rPr>
        <w:t xml:space="preserve">11.证明投标人及投标标的符合招标文件规定的文件</w:t>
      </w:r>
      <w:bookmarkEnd w:id="99"/>
      <w:r/>
      <w:bookmarkEnd w:id="100"/>
      <w:r/>
      <w:bookmarkEnd w:id="101"/>
      <w:r>
        <w:rPr>
          <w:rFonts w:hint="eastAsia" w:ascii="宋体" w:hAnsi="宋体" w:eastAsia="宋体" w:cs="宋体"/>
          <w:bCs w:val="0"/>
          <w:highlight w:val="none"/>
        </w:rPr>
      </w:r>
      <w:r/>
    </w:p>
    <w:p>
      <w:pPr>
        <w:pStyle w:val="786"/>
        <w:ind w:firstLine="480"/>
        <w:spacing w:line="500" w:lineRule="exact"/>
        <w:rPr>
          <w:rFonts w:hint="eastAsia" w:ascii="宋体" w:hAnsi="宋体" w:eastAsia="宋体" w:cs="宋体"/>
          <w:bCs/>
          <w:sz w:val="24"/>
          <w:highlight w:val="none"/>
        </w:rPr>
      </w:pPr>
      <w:r/>
      <w:bookmarkEnd w:id="102"/>
      <w:r/>
      <w:bookmarkEnd w:id="103"/>
      <w:r/>
      <w:bookmarkEnd w:id="104"/>
      <w:r/>
      <w:bookmarkStart w:id="105" w:name="_Toc49090508"/>
      <w:r/>
      <w:bookmarkStart w:id="106" w:name="_Toc14577355"/>
      <w:r>
        <w:rPr>
          <w:rFonts w:hint="eastAsia" w:ascii="宋体" w:hAnsi="宋体" w:eastAsia="宋体" w:cs="宋体"/>
          <w:bCs/>
          <w:sz w:val="24"/>
          <w:highlight w:val="none"/>
        </w:rPr>
        <w:t xml:space="preserve">11.1投标人应按照</w:t>
      </w:r>
      <w:r>
        <w:rPr>
          <w:rFonts w:hint="eastAsia" w:ascii="宋体" w:hAnsi="宋体" w:eastAsia="宋体" w:cs="宋体"/>
          <w:bCs/>
          <w:sz w:val="24"/>
          <w:highlight w:val="none"/>
          <w:lang w:eastAsia="zh-CN"/>
        </w:rPr>
        <w:t xml:space="preserve">法律法规</w:t>
      </w:r>
      <w:r>
        <w:rPr>
          <w:rFonts w:hint="eastAsia" w:ascii="宋体" w:hAnsi="宋体" w:eastAsia="宋体" w:cs="宋体"/>
          <w:bCs/>
          <w:sz w:val="24"/>
          <w:highlight w:val="none"/>
        </w:rPr>
        <w:t xml:space="preserve">、规章和规范性文件以及招标文件要求提交证明文件，证明其及投标标的符合招标文</w:t>
      </w:r>
      <w:r>
        <w:rPr>
          <w:rFonts w:hint="eastAsia" w:ascii="宋体" w:hAnsi="宋体" w:eastAsia="宋体" w:cs="宋体"/>
          <w:bCs/>
          <w:sz w:val="24"/>
          <w:highlight w:val="none"/>
          <w:lang w:eastAsia="zh-CN"/>
        </w:rPr>
        <w:t xml:space="preserve">件的</w:t>
      </w:r>
      <w:r>
        <w:rPr>
          <w:rFonts w:hint="eastAsia" w:ascii="宋体" w:hAnsi="宋体" w:eastAsia="宋体" w:cs="宋体"/>
          <w:bCs/>
          <w:sz w:val="24"/>
          <w:highlight w:val="none"/>
        </w:rPr>
        <w:t xml:space="preserve">规定。</w:t>
      </w:r>
      <w:r>
        <w:rPr>
          <w:rFonts w:hint="eastAsia" w:ascii="宋体" w:hAnsi="宋体" w:eastAsia="宋体" w:cs="宋体"/>
          <w:bCs/>
          <w:sz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11.2招标文件对证明文件无明确形式要求的，证明文件可以以文字资料、图纸和数据等形式提交。</w:t>
      </w:r>
      <w:r>
        <w:rPr>
          <w:rFonts w:hint="eastAsia" w:ascii="宋体" w:hAnsi="宋体" w:eastAsia="宋体" w:cs="宋体"/>
          <w:sz w:val="24"/>
          <w:szCs w:val="24"/>
          <w:highlight w:val="none"/>
        </w:rPr>
      </w:r>
      <w:r/>
    </w:p>
    <w:p>
      <w:pPr>
        <w:pStyle w:val="978"/>
        <w:ind w:firstLine="422"/>
        <w:keepLines w:val="0"/>
        <w:keepNext w:val="0"/>
        <w:spacing w:before="0" w:after="0" w:line="500" w:lineRule="exact"/>
        <w:rPr>
          <w:rFonts w:hint="eastAsia" w:ascii="宋体" w:hAnsi="宋体" w:eastAsia="宋体" w:cs="宋体"/>
          <w:bCs w:val="0"/>
          <w:highlight w:val="none"/>
        </w:rPr>
      </w:pPr>
      <w:r/>
      <w:bookmarkStart w:id="107" w:name="_Toc49090510"/>
      <w:r/>
      <w:bookmarkStart w:id="108" w:name="_Toc14577359"/>
      <w:r>
        <w:rPr>
          <w:rFonts w:hint="eastAsia" w:ascii="宋体" w:hAnsi="宋体" w:eastAsia="宋体" w:cs="宋体"/>
          <w:bCs w:val="0"/>
          <w:highlight w:val="none"/>
        </w:rPr>
        <w:t xml:space="preserve">12.投标函、承诺书和开标一览表</w:t>
      </w:r>
      <w:r>
        <w:rPr>
          <w:rFonts w:hint="eastAsia" w:ascii="宋体" w:hAnsi="宋体" w:eastAsia="宋体" w:cs="宋体"/>
          <w:bCs w:val="0"/>
          <w:highlight w:val="none"/>
        </w:rPr>
      </w:r>
      <w:r/>
    </w:p>
    <w:p>
      <w:pPr>
        <w:pStyle w:val="786"/>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12.1</w:t>
      </w:r>
      <w:r>
        <w:rPr>
          <w:rFonts w:hint="eastAsia" w:ascii="宋体" w:hAnsi="宋体" w:eastAsia="宋体" w:cs="宋体"/>
          <w:sz w:val="24"/>
          <w:highlight w:val="none"/>
        </w:rPr>
        <w:t xml:space="preserve">投标人应按照招标文件中提供的格式完整、正确填写投标函、承诺书和开标一览表。</w:t>
      </w:r>
      <w:r>
        <w:rPr>
          <w:rFonts w:hint="eastAsia" w:ascii="宋体" w:hAnsi="宋体" w:eastAsia="宋体" w:cs="宋体"/>
          <w:sz w:val="24"/>
          <w:highlight w:val="none"/>
        </w:rPr>
      </w:r>
      <w:r/>
    </w:p>
    <w:p>
      <w:pPr>
        <w:pStyle w:val="786"/>
        <w:ind w:firstLine="480"/>
        <w:spacing w:line="500" w:lineRule="exact"/>
        <w:rPr>
          <w:rFonts w:hint="eastAsia" w:ascii="宋体" w:hAnsi="宋体" w:eastAsia="宋体" w:cs="宋体"/>
          <w:bCs/>
          <w:color w:val="e36c09"/>
          <w:sz w:val="24"/>
          <w:highlight w:val="none"/>
        </w:rPr>
      </w:pPr>
      <w:r>
        <w:rPr>
          <w:rFonts w:hint="eastAsia" w:ascii="宋体" w:hAnsi="宋体" w:eastAsia="宋体" w:cs="宋体"/>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eastAsia="宋体" w:cs="宋体"/>
          <w:bCs/>
          <w:color w:val="e36c09"/>
          <w:sz w:val="24"/>
          <w:highlight w:val="none"/>
        </w:rPr>
      </w:r>
      <w:r/>
    </w:p>
    <w:p>
      <w:pPr>
        <w:pStyle w:val="978"/>
        <w:ind w:firstLine="422"/>
        <w:keepLines w:val="0"/>
        <w:keepNext w:val="0"/>
        <w:spacing w:before="0" w:after="0" w:line="500" w:lineRule="exact"/>
        <w:rPr>
          <w:rFonts w:hint="eastAsia" w:ascii="宋体" w:hAnsi="宋体" w:eastAsia="宋体" w:cs="宋体"/>
          <w:bCs w:val="0"/>
          <w:highlight w:val="none"/>
        </w:rPr>
      </w:pPr>
      <w:r/>
      <w:bookmarkEnd w:id="107"/>
      <w:r/>
      <w:bookmarkEnd w:id="108"/>
      <w:r>
        <w:rPr>
          <w:rFonts w:hint="eastAsia" w:ascii="宋体" w:hAnsi="宋体" w:eastAsia="宋体" w:cs="宋体"/>
          <w:bCs w:val="0"/>
          <w:highlight w:val="none"/>
        </w:rPr>
        <w:t xml:space="preserve">13.</w:t>
      </w:r>
      <w:bookmarkEnd w:id="105"/>
      <w:r/>
      <w:bookmarkEnd w:id="106"/>
      <w:r>
        <w:rPr>
          <w:rFonts w:hint="eastAsia" w:ascii="宋体" w:hAnsi="宋体" w:eastAsia="宋体" w:cs="宋体"/>
          <w:bCs w:val="0"/>
          <w:highlight w:val="none"/>
        </w:rPr>
        <w:t xml:space="preserve">分项报价表</w:t>
      </w:r>
      <w:r>
        <w:rPr>
          <w:rFonts w:hint="eastAsia" w:ascii="宋体" w:hAnsi="宋体" w:eastAsia="宋体" w:cs="宋体"/>
          <w:bCs w:val="0"/>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13.1</w:t>
      </w:r>
      <w:r>
        <w:rPr>
          <w:rFonts w:hint="eastAsia" w:ascii="宋体" w:hAnsi="宋体" w:eastAsia="宋体" w:cs="宋体"/>
          <w:sz w:val="24"/>
          <w:highlight w:val="none"/>
        </w:rPr>
        <w:t xml:space="preserve">投</w:t>
      </w:r>
      <w:bookmarkStart w:id="109" w:name="_Hlt26954840"/>
      <w:r/>
      <w:bookmarkEnd w:id="109"/>
      <w:r>
        <w:rPr>
          <w:rFonts w:hint="eastAsia" w:ascii="宋体" w:hAnsi="宋体" w:eastAsia="宋体" w:cs="宋体"/>
          <w:sz w:val="24"/>
          <w:highlight w:val="none"/>
        </w:rPr>
        <w:t xml:space="preserve">标人应按照招标文件规定格式填报</w:t>
      </w:r>
      <w:bookmarkStart w:id="110" w:name="_Hlt26670399"/>
      <w:r/>
      <w:bookmarkEnd w:id="110"/>
      <w:r>
        <w:rPr>
          <w:rFonts w:hint="eastAsia" w:ascii="宋体" w:hAnsi="宋体" w:eastAsia="宋体" w:cs="宋体"/>
          <w:sz w:val="24"/>
          <w:highlight w:val="none"/>
        </w:rPr>
        <w:t xml:space="preserve">分项报价表。</w:t>
      </w:r>
      <w:r>
        <w:rPr>
          <w:rFonts w:hint="eastAsia" w:ascii="宋体" w:hAnsi="宋体" w:eastAsia="宋体" w:cs="宋体"/>
          <w:bCs/>
          <w:sz w:val="24"/>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13.2</w:t>
      </w:r>
      <w:r>
        <w:rPr>
          <w:rFonts w:hint="eastAsia" w:ascii="宋体" w:hAnsi="宋体" w:eastAsia="宋体" w:cs="宋体"/>
          <w:bCs/>
          <w:sz w:val="24"/>
          <w:highlight w:val="none"/>
        </w:rPr>
        <w:t xml:space="preserve">投标货币。投标文件中的单价和总价无特殊规定的采用人民币报价，以“元”为单位标注。</w:t>
      </w:r>
      <w:r>
        <w:rPr>
          <w:rFonts w:hint="eastAsia" w:ascii="宋体" w:hAnsi="宋体" w:eastAsia="宋体" w:cs="宋体"/>
          <w:sz w:val="24"/>
          <w:highlight w:val="none"/>
        </w:rPr>
        <w:t xml:space="preserve">招标文件中另有规定的按规定执行。</w:t>
      </w:r>
      <w:r>
        <w:rPr>
          <w:rFonts w:hint="eastAsia" w:ascii="宋体" w:hAnsi="宋体" w:eastAsia="宋体" w:cs="宋体"/>
          <w:bCs/>
          <w:sz w:val="24"/>
          <w:highlight w:val="none"/>
        </w:rPr>
      </w:r>
      <w:r/>
    </w:p>
    <w:p>
      <w:pPr>
        <w:pStyle w:val="978"/>
        <w:ind w:firstLine="422"/>
        <w:keepLines w:val="0"/>
        <w:keepNext w:val="0"/>
        <w:spacing w:before="0" w:after="0" w:line="500" w:lineRule="exact"/>
        <w:rPr>
          <w:rFonts w:hint="eastAsia" w:ascii="宋体" w:hAnsi="宋体" w:eastAsia="宋体" w:cs="宋体"/>
          <w:bCs w:val="0"/>
          <w:highlight w:val="none"/>
        </w:rPr>
      </w:pPr>
      <w:r/>
      <w:bookmarkStart w:id="111" w:name="_Hlt26670482"/>
      <w:r/>
      <w:bookmarkEnd w:id="111"/>
      <w:r/>
      <w:bookmarkStart w:id="112" w:name="_Hlt26668983"/>
      <w:r/>
      <w:bookmarkEnd w:id="112"/>
      <w:r/>
      <w:bookmarkStart w:id="113" w:name="_Hlt26670403"/>
      <w:r/>
      <w:bookmarkEnd w:id="113"/>
      <w:r/>
      <w:bookmarkStart w:id="114" w:name="_Hlt26954846"/>
      <w:r/>
      <w:bookmarkEnd w:id="114"/>
      <w:r/>
      <w:bookmarkStart w:id="115" w:name="_Hlt26954848"/>
      <w:r/>
      <w:bookmarkEnd w:id="115"/>
      <w:r/>
      <w:bookmarkStart w:id="116" w:name="_Hlt26670486"/>
      <w:r/>
      <w:bookmarkEnd w:id="116"/>
      <w:r/>
      <w:bookmarkStart w:id="117" w:name="_Hlt26670425"/>
      <w:r/>
      <w:bookmarkEnd w:id="117"/>
      <w:r/>
      <w:bookmarkStart w:id="118" w:name="_Hlt26954842"/>
      <w:r/>
      <w:bookmarkEnd w:id="118"/>
      <w:r/>
      <w:bookmarkStart w:id="119" w:name="_Hlt26954731"/>
      <w:r/>
      <w:bookmarkEnd w:id="119"/>
      <w:r/>
      <w:bookmarkStart w:id="120" w:name="_Hlt26954844"/>
      <w:r/>
      <w:bookmarkEnd w:id="120"/>
      <w:r>
        <w:rPr>
          <w:rFonts w:hint="eastAsia" w:ascii="宋体" w:hAnsi="宋体" w:eastAsia="宋体" w:cs="宋体"/>
          <w:bCs w:val="0"/>
          <w:highlight w:val="none"/>
        </w:rPr>
        <w:t xml:space="preserve">14.投标偏离表</w:t>
      </w:r>
      <w:r>
        <w:rPr>
          <w:rFonts w:hint="eastAsia" w:ascii="宋体" w:hAnsi="宋体" w:eastAsia="宋体" w:cs="宋体"/>
          <w:bCs w:val="0"/>
          <w:highlight w:val="none"/>
        </w:rPr>
      </w:r>
      <w:r/>
    </w:p>
    <w:p>
      <w:pPr>
        <w:pStyle w:val="786"/>
        <w:ind w:firstLine="480"/>
        <w:spacing w:line="500" w:lineRule="exact"/>
        <w:tabs>
          <w:tab w:val="left" w:pos="1035" w:leader="none"/>
        </w:tabs>
        <w:rPr>
          <w:rFonts w:hint="eastAsia" w:ascii="宋体" w:hAnsi="宋体" w:eastAsia="宋体" w:cs="宋体"/>
          <w:sz w:val="24"/>
          <w:highlight w:val="none"/>
          <w:lang w:val="zh-CN"/>
        </w:rPr>
      </w:pPr>
      <w:r>
        <w:rPr>
          <w:rFonts w:hint="eastAsia" w:ascii="宋体" w:hAnsi="宋体" w:eastAsia="宋体" w:cs="宋体"/>
          <w:sz w:val="24"/>
          <w:highlight w:val="none"/>
        </w:rPr>
        <w:t xml:space="preserve">14</w:t>
      </w:r>
      <w:r>
        <w:rPr>
          <w:rFonts w:hint="eastAsia" w:ascii="宋体" w:hAnsi="宋体" w:eastAsia="宋体" w:cs="宋体"/>
          <w:sz w:val="24"/>
          <w:highlight w:val="none"/>
          <w:lang w:val="zh-CN"/>
        </w:rPr>
        <w:t xml:space="preserve">.</w:t>
      </w:r>
      <w:r>
        <w:rPr>
          <w:rFonts w:hint="eastAsia" w:ascii="宋体" w:hAnsi="宋体" w:eastAsia="宋体" w:cs="宋体"/>
          <w:sz w:val="24"/>
          <w:highlight w:val="none"/>
        </w:rPr>
        <w:t xml:space="preserve">1</w:t>
      </w:r>
      <w:r>
        <w:rPr>
          <w:rFonts w:hint="eastAsia" w:ascii="宋体" w:hAnsi="宋体" w:eastAsia="宋体" w:cs="宋体"/>
          <w:sz w:val="24"/>
          <w:highlight w:val="none"/>
          <w:lang w:val="zh-CN"/>
        </w:rPr>
        <w:t xml:space="preserve">投标人可在投标文件中提供认为需要的其他技术文件或说明。</w:t>
      </w:r>
      <w:r>
        <w:rPr>
          <w:rFonts w:hint="eastAsia" w:ascii="宋体" w:hAnsi="宋体" w:eastAsia="宋体" w:cs="宋体"/>
          <w:sz w:val="24"/>
          <w:highlight w:val="none"/>
          <w:lang w:val="zh-CN"/>
        </w:rPr>
      </w:r>
      <w:r/>
    </w:p>
    <w:p>
      <w:pPr>
        <w:pStyle w:val="978"/>
        <w:ind w:firstLine="422"/>
        <w:keepLines w:val="0"/>
        <w:keepNext w:val="0"/>
        <w:spacing w:before="0" w:after="0" w:line="500" w:lineRule="exact"/>
        <w:rPr>
          <w:rFonts w:hint="eastAsia" w:ascii="宋体" w:hAnsi="宋体" w:eastAsia="宋体" w:cs="宋体"/>
          <w:bCs w:val="0"/>
          <w:highlight w:val="none"/>
        </w:rPr>
      </w:pPr>
      <w:r/>
      <w:bookmarkStart w:id="121" w:name="_Hlt26954734"/>
      <w:r/>
      <w:bookmarkEnd w:id="121"/>
      <w:r/>
      <w:bookmarkStart w:id="122" w:name="_Hlt26670489"/>
      <w:r/>
      <w:bookmarkEnd w:id="122"/>
      <w:r/>
      <w:bookmarkStart w:id="123" w:name="_Hlt26954850"/>
      <w:r/>
      <w:bookmarkEnd w:id="123"/>
      <w:r/>
      <w:bookmarkStart w:id="124" w:name="_Toc14577360"/>
      <w:r/>
      <w:bookmarkStart w:id="125" w:name="_Toc49090511"/>
      <w:r>
        <w:rPr>
          <w:rFonts w:hint="eastAsia" w:ascii="宋体" w:hAnsi="宋体" w:eastAsia="宋体" w:cs="宋体"/>
          <w:bCs w:val="0"/>
          <w:highlight w:val="none"/>
        </w:rPr>
        <w:t xml:space="preserve">15.投标有效期</w:t>
      </w:r>
      <w:bookmarkEnd w:id="124"/>
      <w:r/>
      <w:bookmarkEnd w:id="125"/>
      <w:r>
        <w:rPr>
          <w:rFonts w:hint="eastAsia" w:ascii="宋体" w:hAnsi="宋体" w:eastAsia="宋体" w:cs="宋体"/>
          <w:bCs w:val="0"/>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15.1</w:t>
      </w:r>
      <w:r>
        <w:rPr>
          <w:rFonts w:hint="eastAsia" w:ascii="宋体" w:hAnsi="宋体" w:eastAsia="宋体" w:cs="宋体"/>
          <w:bCs/>
          <w:sz w:val="24"/>
          <w:highlight w:val="none"/>
        </w:rPr>
        <w:t xml:space="preserve">投标有效期为招标文件规定的开标之日后</w:t>
      </w:r>
      <w:r>
        <w:rPr>
          <w:rFonts w:hint="eastAsia" w:ascii="宋体" w:hAnsi="宋体" w:eastAsia="宋体" w:cs="宋体"/>
          <w:sz w:val="24"/>
          <w:highlight w:val="none"/>
        </w:rPr>
        <w:t xml:space="preserve">九十（90）天</w:t>
      </w:r>
      <w:r>
        <w:rPr>
          <w:rFonts w:hint="eastAsia" w:ascii="宋体" w:hAnsi="宋体" w:eastAsia="宋体" w:cs="宋体"/>
          <w:bCs/>
          <w:sz w:val="24"/>
          <w:highlight w:val="none"/>
        </w:rPr>
        <w:t xml:space="preserve">。投标有效期比规定短的将被视为未实质性响应招标文件而予以拒绝。</w:t>
      </w:r>
      <w:r>
        <w:rPr>
          <w:rFonts w:hint="eastAsia" w:ascii="宋体" w:hAnsi="宋体" w:eastAsia="宋体" w:cs="宋体"/>
          <w:bCs/>
          <w:sz w:val="24"/>
          <w:highlight w:val="none"/>
        </w:rPr>
      </w:r>
      <w:r/>
    </w:p>
    <w:p>
      <w:pPr>
        <w:pStyle w:val="978"/>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16.投标有效期的延长</w:t>
      </w:r>
      <w:r>
        <w:rPr>
          <w:rFonts w:hint="eastAsia" w:ascii="宋体" w:hAnsi="宋体" w:eastAsia="宋体" w:cs="宋体"/>
          <w:bCs w:val="0"/>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16.1</w:t>
      </w:r>
      <w:r>
        <w:rPr>
          <w:rFonts w:hint="eastAsia" w:ascii="宋体" w:hAnsi="宋体" w:eastAsia="宋体" w:cs="宋体"/>
          <w:bCs/>
          <w:sz w:val="24"/>
          <w:highlight w:val="none"/>
        </w:rPr>
        <w:t xml:space="preserve">在特殊情况下，</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的这一要求而放弃投标</w:t>
      </w:r>
      <w:r>
        <w:rPr>
          <w:rFonts w:hint="eastAsia" w:ascii="宋体" w:hAnsi="宋体" w:eastAsia="宋体" w:cs="宋体"/>
          <w:sz w:val="24"/>
          <w:szCs w:val="24"/>
          <w:highlight w:val="none"/>
        </w:rPr>
        <w:t xml:space="preserve">。</w:t>
      </w:r>
      <w:r>
        <w:rPr>
          <w:rFonts w:hint="eastAsia" w:ascii="宋体" w:hAnsi="宋体" w:eastAsia="宋体" w:cs="宋体"/>
          <w:bCs/>
          <w:sz w:val="24"/>
          <w:highlight w:val="none"/>
        </w:rPr>
        <w:t xml:space="preserve">同意延长投标有效期的投标人既不能要求也不允许修改其投标文件</w:t>
      </w:r>
      <w:r>
        <w:rPr>
          <w:rFonts w:hint="eastAsia" w:ascii="宋体" w:hAnsi="宋体" w:eastAsia="宋体" w:cs="宋体"/>
          <w:sz w:val="24"/>
          <w:szCs w:val="24"/>
          <w:highlight w:val="none"/>
        </w:rPr>
        <w:t xml:space="preserve">，同时受投标有效期约束的所有权利与义务均延长至新的有效期</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839"/>
        <w:ind w:firstLine="452"/>
        <w:keepLines w:val="0"/>
        <w:keepNext w:val="0"/>
        <w:spacing w:before="0" w:after="0" w:line="500" w:lineRule="exact"/>
        <w:rPr>
          <w:rFonts w:hint="eastAsia" w:ascii="宋体" w:hAnsi="宋体" w:eastAsia="宋体" w:cs="宋体"/>
          <w:sz w:val="30"/>
          <w:szCs w:val="30"/>
          <w:highlight w:val="none"/>
        </w:rPr>
      </w:pPr>
      <w:r/>
      <w:bookmarkStart w:id="126" w:name="_Hlt26954739"/>
      <w:r/>
      <w:bookmarkEnd w:id="126"/>
      <w:r/>
      <w:bookmarkStart w:id="127" w:name="_Hlt26954852"/>
      <w:r/>
      <w:bookmarkEnd w:id="127"/>
      <w:r/>
      <w:bookmarkStart w:id="128" w:name="_Toc120614217"/>
      <w:r/>
      <w:bookmarkStart w:id="129" w:name="_Toc20823296"/>
      <w:r/>
      <w:bookmarkStart w:id="130" w:name="_Toc513029224"/>
      <w:r/>
      <w:bookmarkStart w:id="131" w:name="_Toc16938540"/>
      <w:r>
        <w:rPr>
          <w:rFonts w:hint="eastAsia" w:ascii="宋体" w:hAnsi="宋体" w:eastAsia="宋体" w:cs="宋体"/>
          <w:sz w:val="30"/>
          <w:szCs w:val="30"/>
          <w:highlight w:val="none"/>
        </w:rPr>
        <w:t xml:space="preserve">四、投标文件的递交</w:t>
      </w:r>
      <w:bookmarkEnd w:id="128"/>
      <w:r/>
      <w:bookmarkEnd w:id="129"/>
      <w:r/>
      <w:bookmarkEnd w:id="130"/>
      <w:r/>
      <w:bookmarkEnd w:id="131"/>
      <w:r>
        <w:rPr>
          <w:rFonts w:hint="eastAsia" w:ascii="宋体" w:hAnsi="宋体" w:eastAsia="宋体" w:cs="宋体"/>
          <w:sz w:val="30"/>
          <w:szCs w:val="30"/>
          <w:highlight w:val="none"/>
        </w:rPr>
      </w:r>
      <w:r/>
    </w:p>
    <w:p>
      <w:pPr>
        <w:pStyle w:val="978"/>
        <w:ind w:firstLine="422"/>
        <w:keepLines w:val="0"/>
        <w:keepNext w:val="0"/>
        <w:spacing w:before="0" w:after="0" w:line="500" w:lineRule="exact"/>
        <w:rPr>
          <w:rFonts w:hint="eastAsia" w:ascii="宋体" w:hAnsi="宋体" w:eastAsia="宋体" w:cs="宋体"/>
          <w:bCs w:val="0"/>
          <w:highlight w:val="none"/>
        </w:rPr>
      </w:pPr>
      <w:r/>
      <w:bookmarkStart w:id="132" w:name="_Toc20823297"/>
      <w:r/>
      <w:bookmarkStart w:id="133" w:name="_Toc16938541"/>
      <w:r/>
      <w:bookmarkStart w:id="134" w:name="_Toc462564084"/>
      <w:r/>
      <w:bookmarkStart w:id="135" w:name="_Toc513029225"/>
      <w:r>
        <w:rPr>
          <w:rFonts w:hint="eastAsia" w:ascii="宋体" w:hAnsi="宋体" w:eastAsia="宋体" w:cs="宋体"/>
          <w:bCs w:val="0"/>
          <w:highlight w:val="none"/>
        </w:rPr>
        <w:t xml:space="preserve">17.投标文件</w:t>
      </w:r>
      <w:bookmarkEnd w:id="132"/>
      <w:r/>
      <w:bookmarkEnd w:id="133"/>
      <w:r/>
      <w:bookmarkEnd w:id="134"/>
      <w:r/>
      <w:bookmarkEnd w:id="135"/>
      <w:r>
        <w:rPr>
          <w:rFonts w:hint="eastAsia" w:ascii="宋体" w:hAnsi="宋体" w:eastAsia="宋体" w:cs="宋体"/>
          <w:bCs w:val="0"/>
          <w:highlight w:val="none"/>
        </w:rPr>
        <w:t xml:space="preserve">的递交</w:t>
      </w:r>
      <w:r>
        <w:rPr>
          <w:rFonts w:hint="eastAsia" w:ascii="宋体" w:hAnsi="宋体" w:eastAsia="宋体" w:cs="宋体"/>
          <w:bCs w:val="0"/>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17.1</w:t>
      </w:r>
      <w:r>
        <w:rPr>
          <w:rFonts w:hint="eastAsia" w:ascii="宋体" w:hAnsi="宋体" w:eastAsia="宋体" w:cs="宋体"/>
          <w:bCs/>
          <w:sz w:val="24"/>
          <w:highlight w:val="none"/>
        </w:rPr>
        <w:t xml:space="preserve">电子投标文件的递交</w:t>
      </w:r>
      <w:r>
        <w:rPr>
          <w:rFonts w:hint="eastAsia" w:ascii="宋体" w:hAnsi="宋体" w:eastAsia="宋体" w:cs="宋体"/>
          <w:bCs/>
          <w:sz w:val="24"/>
          <w:highlight w:val="none"/>
        </w:rPr>
      </w:r>
      <w:r/>
    </w:p>
    <w:p>
      <w:pPr>
        <w:pStyle w:val="1087"/>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投标人应当按照《操作手册》规定，在投标截止时间前制作并上传电子投标文件。</w:t>
      </w:r>
      <w:bookmarkStart w:id="136" w:name="_Toc16938542"/>
      <w:r/>
      <w:bookmarkStart w:id="137" w:name="_Toc20823298"/>
      <w:r/>
      <w:bookmarkStart w:id="138" w:name="_Toc513029226"/>
      <w:r>
        <w:rPr>
          <w:rFonts w:hint="eastAsia" w:ascii="宋体" w:hAnsi="宋体" w:eastAsia="宋体" w:cs="宋体"/>
          <w:bCs/>
          <w:sz w:val="24"/>
          <w:highlight w:val="none"/>
        </w:rPr>
      </w:r>
      <w:r/>
    </w:p>
    <w:p>
      <w:pPr>
        <w:pStyle w:val="978"/>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18.投标截止</w:t>
      </w:r>
      <w:bookmarkEnd w:id="136"/>
      <w:r/>
      <w:bookmarkEnd w:id="137"/>
      <w:r/>
      <w:bookmarkEnd w:id="138"/>
      <w:r>
        <w:rPr>
          <w:rFonts w:hint="eastAsia" w:ascii="宋体" w:hAnsi="宋体" w:eastAsia="宋体" w:cs="宋体"/>
          <w:bCs w:val="0"/>
          <w:highlight w:val="none"/>
        </w:rPr>
        <w:t xml:space="preserve">时间</w:t>
      </w:r>
      <w:r>
        <w:rPr>
          <w:rFonts w:hint="eastAsia" w:ascii="宋体" w:hAnsi="宋体" w:eastAsia="宋体" w:cs="宋体"/>
          <w:bCs w:val="0"/>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18.1</w:t>
      </w:r>
      <w:r>
        <w:rPr>
          <w:rFonts w:hint="eastAsia" w:ascii="宋体" w:hAnsi="宋体" w:eastAsia="宋体" w:cs="宋体"/>
          <w:bCs/>
          <w:sz w:val="24"/>
          <w:highlight w:val="none"/>
        </w:rPr>
        <w:t xml:space="preserve">投标人上传电子投标文件的时间不得迟于招标公告中规定的投标截止时间。</w:t>
      </w:r>
      <w:r>
        <w:rPr>
          <w:rFonts w:hint="eastAsia" w:ascii="宋体" w:hAnsi="宋体" w:eastAsia="宋体" w:cs="宋体"/>
          <w:bCs/>
          <w:sz w:val="24"/>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eastAsia="宋体" w:cs="宋体"/>
          <w:bCs/>
          <w:sz w:val="24"/>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18.2</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可以按照规定，通过更正公告修改投标截止时间，投标人的所有权利和义务以及投标人受制的截止时间均应以延长后新的截止时间为准。</w:t>
      </w:r>
      <w:r>
        <w:rPr>
          <w:rFonts w:hint="eastAsia" w:ascii="宋体" w:hAnsi="宋体" w:eastAsia="宋体" w:cs="宋体"/>
          <w:bCs/>
          <w:sz w:val="24"/>
          <w:highlight w:val="none"/>
        </w:rPr>
      </w:r>
      <w:r/>
    </w:p>
    <w:p>
      <w:pPr>
        <w:pStyle w:val="978"/>
        <w:ind w:firstLine="422"/>
        <w:keepLines w:val="0"/>
        <w:keepNext w:val="0"/>
        <w:spacing w:before="0" w:after="0" w:line="500" w:lineRule="exact"/>
        <w:rPr>
          <w:rFonts w:hint="eastAsia" w:ascii="宋体" w:hAnsi="宋体" w:eastAsia="宋体" w:cs="宋体"/>
          <w:bCs w:val="0"/>
          <w:highlight w:val="none"/>
        </w:rPr>
      </w:pPr>
      <w:r/>
      <w:bookmarkStart w:id="139" w:name="_Toc513029227"/>
      <w:r/>
      <w:bookmarkStart w:id="140" w:name="_Toc16938543"/>
      <w:r/>
      <w:bookmarkStart w:id="141" w:name="_Toc20823299"/>
      <w:r>
        <w:rPr>
          <w:rFonts w:hint="eastAsia" w:ascii="宋体" w:hAnsi="宋体" w:eastAsia="宋体" w:cs="宋体"/>
          <w:bCs w:val="0"/>
          <w:highlight w:val="none"/>
        </w:rPr>
        <w:t xml:space="preserve">19.投标文件</w:t>
      </w:r>
      <w:bookmarkEnd w:id="139"/>
      <w:r/>
      <w:bookmarkEnd w:id="140"/>
      <w:r/>
      <w:bookmarkEnd w:id="141"/>
      <w:r>
        <w:rPr>
          <w:rFonts w:hint="eastAsia" w:ascii="宋体" w:hAnsi="宋体" w:eastAsia="宋体" w:cs="宋体"/>
          <w:bCs w:val="0"/>
          <w:highlight w:val="none"/>
        </w:rPr>
        <w:t xml:space="preserve">的拒收</w:t>
      </w:r>
      <w:r>
        <w:rPr>
          <w:rFonts w:hint="eastAsia" w:ascii="宋体" w:hAnsi="宋体" w:eastAsia="宋体" w:cs="宋体"/>
          <w:bCs w:val="0"/>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19.1</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拒绝接收在其规定的投标截止时间后上传的任何投标文件。</w:t>
      </w:r>
      <w:r>
        <w:rPr>
          <w:rFonts w:hint="eastAsia" w:ascii="宋体" w:hAnsi="宋体" w:eastAsia="宋体" w:cs="宋体"/>
          <w:bCs/>
          <w:sz w:val="24"/>
          <w:highlight w:val="none"/>
        </w:rPr>
      </w:r>
      <w:r/>
    </w:p>
    <w:p>
      <w:pPr>
        <w:pStyle w:val="978"/>
        <w:ind w:firstLine="422"/>
        <w:keepLines w:val="0"/>
        <w:keepNext w:val="0"/>
        <w:spacing w:before="0" w:after="0" w:line="500" w:lineRule="exact"/>
        <w:rPr>
          <w:rFonts w:hint="eastAsia" w:ascii="宋体" w:hAnsi="宋体" w:eastAsia="宋体" w:cs="宋体"/>
          <w:bCs w:val="0"/>
          <w:highlight w:val="none"/>
        </w:rPr>
      </w:pPr>
      <w:r/>
      <w:bookmarkStart w:id="142" w:name="_Toc16938544"/>
      <w:r/>
      <w:bookmarkStart w:id="143" w:name="_Toc20823300"/>
      <w:r/>
      <w:bookmarkStart w:id="144" w:name="_Toc513029228"/>
      <w:r>
        <w:rPr>
          <w:rFonts w:hint="eastAsia" w:ascii="宋体" w:hAnsi="宋体" w:eastAsia="宋体" w:cs="宋体"/>
          <w:bCs w:val="0"/>
          <w:highlight w:val="none"/>
        </w:rPr>
        <w:t xml:space="preserve">20.投标文件的撤回和修改</w:t>
      </w:r>
      <w:bookmarkEnd w:id="142"/>
      <w:r/>
      <w:bookmarkEnd w:id="143"/>
      <w:r/>
      <w:bookmarkEnd w:id="144"/>
      <w:r>
        <w:rPr>
          <w:rFonts w:hint="eastAsia" w:ascii="宋体" w:hAnsi="宋体" w:eastAsia="宋体" w:cs="宋体"/>
          <w:bCs w:val="0"/>
          <w:highlight w:val="none"/>
        </w:rPr>
      </w:r>
      <w:r/>
    </w:p>
    <w:p>
      <w:pPr>
        <w:pStyle w:val="78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20.1投标文件的撤回</w:t>
      </w:r>
      <w:r>
        <w:rPr>
          <w:rFonts w:hint="eastAsia" w:ascii="宋体" w:hAnsi="宋体" w:eastAsia="宋体" w:cs="宋体"/>
          <w:sz w:val="24"/>
          <w:highlight w:val="none"/>
        </w:rPr>
      </w:r>
      <w:r/>
    </w:p>
    <w:p>
      <w:pPr>
        <w:pStyle w:val="78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cs="宋体"/>
          <w:sz w:val="24"/>
          <w:highlight w:val="none"/>
          <w:lang w:val="en-US" w:eastAsia="zh-CN"/>
        </w:rPr>
        <w:t xml:space="preserve">0</w:t>
      </w:r>
      <w:r>
        <w:rPr>
          <w:rFonts w:hint="eastAsia" w:ascii="宋体" w:hAnsi="宋体" w:eastAsia="宋体" w:cs="宋体"/>
          <w:sz w:val="24"/>
          <w:highlight w:val="none"/>
        </w:rPr>
        <w:t xml:space="preserve">.1.1电子投标文件的撤回</w:t>
      </w:r>
      <w:r>
        <w:rPr>
          <w:rFonts w:hint="eastAsia" w:ascii="宋体" w:hAnsi="宋体" w:eastAsia="宋体" w:cs="宋体"/>
          <w:sz w:val="24"/>
          <w:highlight w:val="none"/>
        </w:rPr>
      </w:r>
      <w:r/>
    </w:p>
    <w:p>
      <w:pPr>
        <w:pStyle w:val="78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投标人可在投标截止时间前，撤回其电子投标文件，具体操作方法见《操作手册》。</w:t>
      </w:r>
      <w:r>
        <w:rPr>
          <w:rFonts w:hint="eastAsia" w:ascii="宋体" w:hAnsi="宋体" w:eastAsia="宋体" w:cs="宋体"/>
          <w:sz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.1.2投标人撤回电子投标文件，则认为其不再参与本项目投标活动。</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20.2投标文件的修改</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20.2.1投标人可在投标截止时间前，对其电子投标文件进行修改，具体操作方法见《操作手册》。</w:t>
      </w:r>
      <w:r>
        <w:rPr>
          <w:rFonts w:hint="eastAsia" w:ascii="宋体" w:hAnsi="宋体" w:eastAsia="宋体" w:cs="宋体"/>
          <w:sz w:val="24"/>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20.2.2</w:t>
      </w:r>
      <w:r>
        <w:rPr>
          <w:rFonts w:hint="eastAsia" w:ascii="宋体" w:hAnsi="宋体" w:eastAsia="宋体" w:cs="宋体"/>
          <w:bCs/>
          <w:sz w:val="24"/>
          <w:highlight w:val="none"/>
        </w:rPr>
        <w:t xml:space="preserve">在投标截止时间之后，投标人不得对其电子投标文件作任何修改。</w:t>
      </w:r>
      <w:r>
        <w:rPr>
          <w:rFonts w:hint="eastAsia" w:ascii="宋体" w:hAnsi="宋体" w:eastAsia="宋体" w:cs="宋体"/>
          <w:bCs/>
          <w:sz w:val="24"/>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20.3</w:t>
      </w:r>
      <w:r>
        <w:rPr>
          <w:rFonts w:hint="eastAsia" w:ascii="宋体" w:hAnsi="宋体" w:eastAsia="宋体" w:cs="宋体"/>
          <w:bCs/>
          <w:sz w:val="24"/>
          <w:highlight w:val="none"/>
        </w:rPr>
        <w:t xml:space="preserve">在投标截止时间至招标文件中规定的投标有效期满之间的这段时间内，投标人不得撤回其投标。</w:t>
      </w:r>
      <w:r>
        <w:rPr>
          <w:rFonts w:hint="eastAsia" w:ascii="宋体" w:hAnsi="宋体" w:eastAsia="宋体" w:cs="宋体"/>
          <w:bCs/>
          <w:sz w:val="24"/>
          <w:highlight w:val="none"/>
        </w:rPr>
      </w:r>
      <w:r/>
    </w:p>
    <w:p>
      <w:pPr>
        <w:pStyle w:val="839"/>
        <w:ind w:firstLine="452"/>
        <w:keepLines w:val="0"/>
        <w:keepNext w:val="0"/>
        <w:spacing w:before="0" w:after="0" w:line="500" w:lineRule="exact"/>
        <w:rPr>
          <w:rFonts w:hint="eastAsia" w:ascii="宋体" w:hAnsi="宋体" w:eastAsia="宋体" w:cs="宋体"/>
          <w:sz w:val="30"/>
          <w:szCs w:val="30"/>
          <w:highlight w:val="none"/>
        </w:rPr>
      </w:pPr>
      <w:r/>
      <w:bookmarkStart w:id="145" w:name="_Toc513029229"/>
      <w:r/>
      <w:bookmarkStart w:id="146" w:name="_Toc20823301"/>
      <w:r/>
      <w:bookmarkStart w:id="147" w:name="_Toc16938545"/>
      <w:r/>
      <w:bookmarkStart w:id="148" w:name="_Toc120614218"/>
      <w:r>
        <w:rPr>
          <w:rFonts w:hint="eastAsia" w:ascii="宋体" w:hAnsi="宋体" w:eastAsia="宋体" w:cs="宋体"/>
          <w:sz w:val="30"/>
          <w:szCs w:val="30"/>
          <w:highlight w:val="none"/>
        </w:rPr>
        <w:t xml:space="preserve">五、开标与评标</w:t>
      </w:r>
      <w:bookmarkEnd w:id="145"/>
      <w:r/>
      <w:bookmarkEnd w:id="146"/>
      <w:r/>
      <w:bookmarkEnd w:id="147"/>
      <w:r/>
      <w:bookmarkEnd w:id="148"/>
      <w:r>
        <w:rPr>
          <w:rFonts w:hint="eastAsia" w:ascii="宋体" w:hAnsi="宋体" w:eastAsia="宋体" w:cs="宋体"/>
          <w:sz w:val="30"/>
          <w:szCs w:val="30"/>
          <w:highlight w:val="none"/>
        </w:rPr>
      </w:r>
      <w:r/>
    </w:p>
    <w:p>
      <w:pPr>
        <w:pStyle w:val="978"/>
        <w:ind w:firstLine="422"/>
        <w:keepLines w:val="0"/>
        <w:keepNext w:val="0"/>
        <w:spacing w:before="0" w:after="0" w:line="500" w:lineRule="exact"/>
        <w:rPr>
          <w:rFonts w:hint="eastAsia" w:ascii="宋体" w:hAnsi="宋体" w:eastAsia="宋体" w:cs="宋体"/>
          <w:bCs w:val="0"/>
          <w:highlight w:val="none"/>
        </w:rPr>
      </w:pPr>
      <w:r/>
      <w:bookmarkStart w:id="149" w:name="_Toc16938546"/>
      <w:r/>
      <w:bookmarkStart w:id="150" w:name="_Toc513029230"/>
      <w:r/>
      <w:bookmarkStart w:id="151" w:name="_Toc20823302"/>
      <w:r>
        <w:rPr>
          <w:rFonts w:hint="eastAsia" w:ascii="宋体" w:hAnsi="宋体" w:eastAsia="宋体" w:cs="宋体"/>
          <w:bCs w:val="0"/>
          <w:highlight w:val="none"/>
        </w:rPr>
        <w:t xml:space="preserve">21.开标</w:t>
      </w:r>
      <w:bookmarkEnd w:id="149"/>
      <w:r/>
      <w:bookmarkEnd w:id="150"/>
      <w:r/>
      <w:bookmarkEnd w:id="151"/>
      <w:r>
        <w:rPr>
          <w:rFonts w:hint="eastAsia" w:ascii="宋体" w:hAnsi="宋体" w:eastAsia="宋体" w:cs="宋体"/>
          <w:bCs w:val="0"/>
          <w:highlight w:val="none"/>
        </w:rPr>
      </w:r>
      <w:r/>
    </w:p>
    <w:p>
      <w:pPr>
        <w:pStyle w:val="786"/>
        <w:ind w:firstLine="480"/>
        <w:spacing w:line="500" w:lineRule="exact"/>
        <w:rPr>
          <w:rFonts w:hint="eastAsia" w:ascii="宋体" w:hAnsi="宋体" w:eastAsia="宋体" w:cs="宋体"/>
          <w:highlight w:val="none"/>
        </w:rPr>
      </w:pPr>
      <w:r>
        <w:rPr>
          <w:rFonts w:hint="eastAsia" w:ascii="宋体" w:hAnsi="宋体" w:eastAsia="宋体" w:cs="宋体"/>
          <w:sz w:val="24"/>
          <w:highlight w:val="none"/>
        </w:rPr>
        <w:t xml:space="preserve">21.1</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将在招标公告中规定的时间和地点组织公开开标</w:t>
      </w:r>
      <w:r>
        <w:rPr>
          <w:rFonts w:hint="eastAsia" w:ascii="宋体" w:hAnsi="宋体" w:eastAsia="宋体" w:cs="宋体"/>
          <w:sz w:val="24"/>
          <w:szCs w:val="24"/>
          <w:highlight w:val="none"/>
        </w:rPr>
        <w:t xml:space="preserve">。投标人应当按照《操作手册》规定，参加开标活动和在</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规定的时间内对投标文件进行解密。</w:t>
      </w:r>
      <w:r>
        <w:rPr>
          <w:rFonts w:hint="eastAsia" w:ascii="宋体" w:hAnsi="宋体" w:eastAsia="宋体" w:cs="宋体"/>
          <w:highlight w:val="none"/>
        </w:rPr>
      </w:r>
      <w:r/>
    </w:p>
    <w:p>
      <w:pPr>
        <w:pStyle w:val="78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21.2开标仪式由</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组织。</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将自动对项目进行开标，并宣布各投标人名称和投标价格。</w:t>
      </w:r>
      <w:r>
        <w:rPr>
          <w:rFonts w:hint="eastAsia" w:ascii="宋体" w:hAnsi="宋体" w:eastAsia="宋体" w:cs="宋体"/>
          <w:sz w:val="24"/>
          <w:highlight w:val="none"/>
        </w:rPr>
      </w:r>
      <w:r/>
    </w:p>
    <w:p>
      <w:pPr>
        <w:pStyle w:val="78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21.3投标人在开标过程中</w:t>
      </w:r>
      <w:r>
        <w:rPr>
          <w:rFonts w:hint="eastAsia" w:ascii="宋体" w:hAnsi="宋体" w:eastAsia="宋体" w:cs="宋体"/>
          <w:sz w:val="24"/>
          <w:highlight w:val="none"/>
          <w:lang w:eastAsia="zh-CN"/>
        </w:rPr>
        <w:t xml:space="preserve">涉及的</w:t>
      </w:r>
      <w:r>
        <w:rPr>
          <w:rFonts w:hint="eastAsia" w:ascii="宋体" w:hAnsi="宋体" w:eastAsia="宋体" w:cs="宋体"/>
          <w:sz w:val="24"/>
          <w:highlight w:val="none"/>
        </w:rPr>
        <w:t xml:space="preserve">投标文件解密、开标结果确认等工作，应按照《操作手册》规定执行。</w:t>
      </w:r>
      <w:r>
        <w:rPr>
          <w:rFonts w:hint="eastAsia" w:ascii="宋体" w:hAnsi="宋体" w:eastAsia="宋体" w:cs="宋体"/>
          <w:sz w:val="24"/>
          <w:highlight w:val="none"/>
        </w:rPr>
      </w:r>
      <w:r/>
    </w:p>
    <w:p>
      <w:pPr>
        <w:pStyle w:val="78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21.4投标人如果对开标过程和开标记录有疑义，应当根据《操作手册》规定提出，如</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中《开标记录表》宣布后5分钟内未提出的，视同认可开标结果。</w:t>
      </w:r>
      <w:r>
        <w:rPr>
          <w:rFonts w:hint="eastAsia" w:ascii="宋体" w:hAnsi="宋体" w:eastAsia="宋体" w:cs="宋体"/>
          <w:sz w:val="24"/>
          <w:highlight w:val="none"/>
        </w:rPr>
      </w:r>
      <w:r/>
    </w:p>
    <w:p>
      <w:pPr>
        <w:pStyle w:val="978"/>
        <w:ind w:firstLine="422"/>
        <w:keepLines w:val="0"/>
        <w:keepNext w:val="0"/>
        <w:spacing w:before="0" w:after="0" w:line="500" w:lineRule="exact"/>
        <w:rPr>
          <w:rFonts w:hint="eastAsia" w:ascii="宋体" w:hAnsi="宋体" w:eastAsia="宋体" w:cs="宋体"/>
          <w:bCs w:val="0"/>
          <w:highlight w:val="none"/>
        </w:rPr>
      </w:pPr>
      <w:r/>
      <w:bookmarkStart w:id="152" w:name="_Toc20823303"/>
      <w:r/>
      <w:bookmarkStart w:id="153" w:name="_Toc16938547"/>
      <w:r/>
      <w:bookmarkStart w:id="154" w:name="_Toc513029231"/>
      <w:r>
        <w:rPr>
          <w:rFonts w:hint="eastAsia" w:ascii="宋体" w:hAnsi="宋体" w:eastAsia="宋体" w:cs="宋体"/>
          <w:bCs w:val="0"/>
          <w:highlight w:val="none"/>
        </w:rPr>
        <w:t xml:space="preserve">22.评标委员会</w:t>
      </w:r>
      <w:r>
        <w:rPr>
          <w:rFonts w:hint="eastAsia" w:ascii="宋体" w:hAnsi="宋体" w:eastAsia="宋体" w:cs="宋体"/>
          <w:bCs w:val="0"/>
          <w:highlight w:val="none"/>
        </w:rPr>
      </w:r>
      <w:r/>
    </w:p>
    <w:p>
      <w:pPr>
        <w:pStyle w:val="786"/>
        <w:ind w:firstLine="480"/>
        <w:spacing w:line="50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22.1开标后，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将立即组织评标委员会（以下简称评委会）进行评标。</w:t>
      </w:r>
      <w:r>
        <w:rPr>
          <w:rFonts w:hint="eastAsia" w:ascii="宋体" w:hAnsi="宋体" w:eastAsia="宋体" w:cs="宋体"/>
          <w:b/>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22.2评委会依法组建，且人员构成符合政府采购有关规定。</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22.3评委会独立工作，负责评审所有投标文件并确定中标</w:t>
      </w:r>
      <w:r>
        <w:rPr>
          <w:rFonts w:hint="eastAsia" w:ascii="宋体" w:hAnsi="宋体" w:eastAsia="宋体" w:cs="宋体"/>
          <w:sz w:val="24"/>
          <w:szCs w:val="24"/>
          <w:highlight w:val="none"/>
          <w:lang w:eastAsia="zh-CN"/>
        </w:rPr>
        <w:t xml:space="preserve">候选人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78"/>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23.评标过程的保密与公正</w:t>
      </w:r>
      <w:r>
        <w:rPr>
          <w:rFonts w:hint="eastAsia" w:ascii="宋体" w:hAnsi="宋体" w:eastAsia="宋体" w:cs="宋体"/>
          <w:bCs w:val="0"/>
          <w:highlight w:val="none"/>
        </w:rPr>
      </w:r>
      <w:r/>
    </w:p>
    <w:p>
      <w:pPr>
        <w:pStyle w:val="786"/>
        <w:ind w:firstLine="480"/>
        <w:spacing w:line="500" w:lineRule="exact"/>
        <w:rPr>
          <w:rFonts w:hint="eastAsia" w:ascii="宋体" w:hAnsi="宋体" w:eastAsia="宋体" w:cs="宋体"/>
          <w:bCs/>
          <w:sz w:val="24"/>
          <w:highlight w:val="none"/>
        </w:rPr>
      </w:pPr>
      <w:r/>
      <w:bookmarkEnd w:id="152"/>
      <w:r/>
      <w:bookmarkEnd w:id="153"/>
      <w:r/>
      <w:bookmarkEnd w:id="154"/>
      <w:r>
        <w:rPr>
          <w:rFonts w:hint="eastAsia" w:ascii="宋体" w:hAnsi="宋体" w:eastAsia="宋体" w:cs="宋体"/>
          <w:sz w:val="24"/>
          <w:highlight w:val="none"/>
        </w:rPr>
        <w:t xml:space="preserve">23.1</w:t>
      </w:r>
      <w:r>
        <w:rPr>
          <w:rFonts w:hint="eastAsia" w:ascii="宋体" w:hAnsi="宋体" w:eastAsia="宋体" w:cs="宋体"/>
          <w:bCs/>
          <w:sz w:val="24"/>
          <w:highlight w:val="none"/>
        </w:rPr>
        <w:t xml:space="preserve">凡是与审查、澄清、评价和比较投标的有关资料以及</w:t>
      </w:r>
      <w:r>
        <w:rPr>
          <w:rFonts w:hint="eastAsia" w:ascii="宋体" w:hAnsi="宋体" w:eastAsia="宋体" w:cs="宋体"/>
          <w:bCs/>
          <w:sz w:val="24"/>
          <w:highlight w:val="none"/>
          <w:lang w:eastAsia="zh-CN"/>
        </w:rPr>
        <w:t xml:space="preserve">投标</w:t>
      </w:r>
      <w:r>
        <w:rPr>
          <w:rFonts w:hint="eastAsia" w:ascii="宋体" w:hAnsi="宋体" w:eastAsia="宋体" w:cs="宋体"/>
          <w:bCs/>
          <w:sz w:val="24"/>
          <w:highlight w:val="none"/>
        </w:rPr>
        <w:t xml:space="preserve">建议等，采购人、评委、</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均不得向投标人或与评标无关的其他人员透露。</w:t>
      </w:r>
      <w:r>
        <w:rPr>
          <w:rFonts w:hint="eastAsia" w:ascii="宋体" w:hAnsi="宋体" w:eastAsia="宋体" w:cs="宋体"/>
          <w:bCs/>
          <w:sz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highlight w:val="none"/>
        </w:rPr>
        <w:t xml:space="preserve">23.2</w:t>
      </w:r>
      <w:r>
        <w:rPr>
          <w:rFonts w:hint="eastAsia" w:ascii="宋体" w:hAnsi="宋体" w:eastAsia="宋体" w:cs="宋体"/>
          <w:sz w:val="24"/>
          <w:szCs w:val="24"/>
          <w:highlight w:val="none"/>
        </w:rPr>
        <w:t xml:space="preserve">在评标过程中，投标人不得以任何行为影响评标过程，否则其投标文件将被作为无效投标文件。</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23.3</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和评标委员会不向未中标的投标人解释未中标原因，也不公布评标过程中的相关细节。</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23.4采用综合评分法的项目，未中标的投标人可于中标结果公告发布后通过</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查看自己的评审得分及排序情况。</w:t>
      </w:r>
      <w:r>
        <w:rPr>
          <w:rFonts w:hint="eastAsia" w:ascii="宋体" w:hAnsi="宋体" w:eastAsia="宋体" w:cs="宋体"/>
          <w:sz w:val="24"/>
          <w:szCs w:val="24"/>
          <w:highlight w:val="none"/>
        </w:rPr>
      </w:r>
      <w:r/>
    </w:p>
    <w:p>
      <w:pPr>
        <w:pStyle w:val="978"/>
        <w:ind w:firstLine="422"/>
        <w:keepLines w:val="0"/>
        <w:keepNext w:val="0"/>
        <w:spacing w:before="0" w:after="0" w:line="500" w:lineRule="exact"/>
        <w:rPr>
          <w:rFonts w:hint="eastAsia" w:ascii="宋体" w:hAnsi="宋体" w:eastAsia="宋体" w:cs="宋体"/>
          <w:bCs w:val="0"/>
          <w:highlight w:val="none"/>
        </w:rPr>
      </w:pPr>
      <w:r/>
      <w:bookmarkStart w:id="155" w:name="_Toc513029232"/>
      <w:r/>
      <w:bookmarkStart w:id="156" w:name="_Toc20823304"/>
      <w:r/>
      <w:bookmarkStart w:id="157" w:name="_Toc16938548"/>
      <w:r>
        <w:rPr>
          <w:rFonts w:hint="eastAsia" w:ascii="宋体" w:hAnsi="宋体" w:eastAsia="宋体" w:cs="宋体"/>
          <w:bCs w:val="0"/>
          <w:highlight w:val="none"/>
        </w:rPr>
        <w:t xml:space="preserve">24.投标文件的澄清</w:t>
      </w:r>
      <w:bookmarkEnd w:id="155"/>
      <w:r/>
      <w:bookmarkEnd w:id="156"/>
      <w:r/>
      <w:bookmarkEnd w:id="157"/>
      <w:r>
        <w:rPr>
          <w:rFonts w:hint="eastAsia" w:ascii="宋体" w:hAnsi="宋体" w:eastAsia="宋体" w:cs="宋体"/>
          <w:bCs w:val="0"/>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24.1评标期间，评委会对投标文件中含义不明确、同类问题表述不一致或者有明显文字和计算错误的内容，有权要求投标人作出必要的澄清、说明或者补正。</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投标人的澄清、说明或者补正不得超出投标文件的范围或者改变投标文件的实质性内容。</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24.2需要供应商进行澄清、说明和补正的，评委会将通过</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向供应商发出“澄清要求函”，接到“澄清要求函”的投标人应当按照要求在</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中提交“澄清响应函”并加盖CA电子公章。澄清、说明和补正的内容作为投标文件的补充部分，具体操作方式见《操作手册》。</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24.3接到评委会澄清、说明和补正要求的投标人如未按规定及时</w:t>
      </w:r>
      <w:r>
        <w:rPr>
          <w:rFonts w:hint="eastAsia" w:ascii="宋体" w:hAnsi="宋体" w:eastAsia="宋体" w:cs="宋体"/>
          <w:sz w:val="24"/>
          <w:szCs w:val="24"/>
          <w:highlight w:val="none"/>
          <w:lang w:eastAsia="zh-CN"/>
        </w:rPr>
        <w:t xml:space="preserve">作出</w:t>
      </w:r>
      <w:r>
        <w:rPr>
          <w:rFonts w:hint="eastAsia" w:ascii="宋体" w:hAnsi="宋体" w:eastAsia="宋体" w:cs="宋体"/>
          <w:sz w:val="24"/>
          <w:szCs w:val="24"/>
          <w:highlight w:val="none"/>
        </w:rPr>
        <w:t xml:space="preserve">澄清、说明和补正，其风险由投标人自行承担。</w:t>
      </w:r>
      <w:r>
        <w:rPr>
          <w:rFonts w:hint="eastAsia" w:ascii="宋体" w:hAnsi="宋体" w:eastAsia="宋体" w:cs="宋体"/>
          <w:sz w:val="24"/>
          <w:szCs w:val="24"/>
          <w:highlight w:val="none"/>
        </w:rPr>
      </w:r>
      <w:r/>
    </w:p>
    <w:p>
      <w:pPr>
        <w:pStyle w:val="978"/>
        <w:ind w:firstLine="422"/>
        <w:keepLines w:val="0"/>
        <w:keepNext w:val="0"/>
        <w:spacing w:before="0" w:after="0" w:line="500" w:lineRule="exact"/>
        <w:rPr>
          <w:rFonts w:hint="eastAsia" w:ascii="宋体" w:hAnsi="宋体" w:eastAsia="宋体" w:cs="宋体"/>
          <w:bCs w:val="0"/>
          <w:highlight w:val="none"/>
        </w:rPr>
      </w:pPr>
      <w:r/>
      <w:bookmarkStart w:id="158" w:name="_Toc513029233"/>
      <w:r/>
      <w:bookmarkStart w:id="159" w:name="_Toc16938549"/>
      <w:r/>
      <w:bookmarkStart w:id="160" w:name="_Toc20823305"/>
      <w:r>
        <w:rPr>
          <w:rFonts w:hint="eastAsia" w:ascii="宋体" w:hAnsi="宋体" w:eastAsia="宋体" w:cs="宋体"/>
          <w:bCs w:val="0"/>
          <w:highlight w:val="none"/>
        </w:rPr>
        <w:t xml:space="preserve">25.对投标文件的初审</w:t>
      </w:r>
      <w:bookmarkEnd w:id="158"/>
      <w:r/>
      <w:bookmarkEnd w:id="159"/>
      <w:r/>
      <w:bookmarkEnd w:id="160"/>
      <w:r>
        <w:rPr>
          <w:rFonts w:hint="eastAsia" w:ascii="宋体" w:hAnsi="宋体" w:eastAsia="宋体" w:cs="宋体"/>
          <w:bCs w:val="0"/>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25.1</w:t>
      </w:r>
      <w:r>
        <w:rPr>
          <w:rFonts w:hint="eastAsia" w:ascii="宋体" w:hAnsi="宋体" w:eastAsia="宋体" w:cs="宋体"/>
          <w:bCs/>
          <w:sz w:val="24"/>
          <w:highlight w:val="none"/>
        </w:rPr>
        <w:t xml:space="preserve">投标文件初审分为资格审查和符合性审查。</w:t>
      </w:r>
      <w:r>
        <w:rPr>
          <w:rFonts w:hint="eastAsia" w:ascii="宋体" w:hAnsi="宋体" w:eastAsia="宋体" w:cs="宋体"/>
          <w:bCs/>
          <w:sz w:val="24"/>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25.1.1资格审查：依据法律法规和招标文件的规定，由采购人对投标文件中的资格证明文件进行审查。</w:t>
      </w:r>
      <w:r>
        <w:rPr>
          <w:rFonts w:hint="eastAsia" w:ascii="宋体" w:hAnsi="宋体" w:eastAsia="宋体" w:cs="宋体"/>
          <w:bCs/>
          <w:sz w:val="24"/>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采购人在进行资格审查的同时，将</w:t>
      </w:r>
      <w:r>
        <w:rPr>
          <w:rFonts w:hint="eastAsia" w:ascii="宋体" w:hAnsi="宋体" w:eastAsia="宋体" w:cs="宋体"/>
          <w:bCs/>
          <w:sz w:val="24"/>
          <w:szCs w:val="24"/>
          <w:highlight w:val="none"/>
        </w:rPr>
        <w:t xml:space="preserve">通过“信用中国”网站（</w:t>
      </w:r>
      <w:r>
        <w:rPr>
          <w:rFonts w:hint="eastAsia" w:ascii="宋体" w:hAnsi="宋体" w:eastAsia="宋体" w:cs="宋体"/>
          <w:highlight w:val="none"/>
        </w:rPr>
        <w:fldChar w:fldCharType="begin"/>
      </w:r>
      <w:r>
        <w:rPr>
          <w:rFonts w:hint="eastAsia" w:ascii="宋体" w:hAnsi="宋体" w:eastAsia="宋体" w:cs="宋体"/>
          <w:highlight w:val="none"/>
        </w:rPr>
        <w:instrText xml:space="preserve">HYPERLINK "http://www.creditchina.gov.cn"</w:instrText>
      </w:r>
      <w:r>
        <w:rPr>
          <w:rFonts w:hint="eastAsia" w:ascii="宋体" w:hAnsi="宋体" w:eastAsia="宋体" w:cs="宋体"/>
          <w:highlight w:val="none"/>
        </w:rPr>
        <w:fldChar w:fldCharType="separate"/>
      </w:r>
      <w:r>
        <w:rPr>
          <w:rFonts w:hint="eastAsia" w:ascii="宋体" w:hAnsi="宋体" w:eastAsia="宋体" w:cs="宋体"/>
          <w:bCs/>
          <w:sz w:val="24"/>
          <w:szCs w:val="24"/>
          <w:highlight w:val="none"/>
        </w:rPr>
        <w:t xml:space="preserve">www.creditchina.gov.cn</w:t>
      </w:r>
      <w:r>
        <w:rPr>
          <w:rFonts w:hint="eastAsia" w:ascii="宋体" w:hAnsi="宋体" w:eastAsia="宋体" w:cs="宋体"/>
          <w:highlight w:val="none"/>
        </w:rPr>
        <w:fldChar w:fldCharType="end"/>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rPr>
        <w:t xml:space="preserve">查询投标供应商在投标截止时间之前，是否被列入</w:t>
      </w:r>
      <w:r>
        <w:rPr>
          <w:rFonts w:hint="eastAsia" w:ascii="宋体" w:hAnsi="宋体" w:eastAsia="宋体" w:cs="宋体"/>
          <w:sz w:val="24"/>
          <w:szCs w:val="24"/>
          <w:highlight w:val="none"/>
        </w:rPr>
        <w:t xml:space="preserve">失信被执行人、重大税收违法案件当事人名单、政府采购严重违法失信行为记录名单，</w:t>
      </w:r>
      <w:r>
        <w:rPr>
          <w:rFonts w:hint="eastAsia" w:ascii="宋体" w:hAnsi="宋体" w:eastAsia="宋体" w:cs="宋体"/>
          <w:bCs/>
          <w:sz w:val="24"/>
          <w:highlight w:val="none"/>
        </w:rPr>
        <w:t xml:space="preserve">以确定投标供应商是否具备投标资格。</w:t>
      </w:r>
      <w:r>
        <w:rPr>
          <w:rFonts w:hint="eastAsia" w:ascii="宋体" w:hAnsi="宋体" w:eastAsia="宋体" w:cs="宋体"/>
          <w:sz w:val="24"/>
          <w:szCs w:val="24"/>
          <w:highlight w:val="none"/>
        </w:rPr>
        <w:t xml:space="preserve">查询结果留存并归档。</w:t>
      </w:r>
      <w:r>
        <w:rPr>
          <w:rFonts w:hint="eastAsia" w:ascii="宋体" w:hAnsi="宋体" w:eastAsia="宋体" w:cs="宋体"/>
          <w:bCs/>
          <w:sz w:val="24"/>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联合体成员存在不良信用记录的，视同联合体存在不良应用记录。</w:t>
      </w:r>
      <w:r>
        <w:rPr>
          <w:rFonts w:hint="eastAsia" w:ascii="宋体" w:hAnsi="宋体" w:eastAsia="宋体" w:cs="宋体"/>
          <w:bCs/>
          <w:sz w:val="24"/>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sz w:val="24"/>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25.1.3未通过资格审查或符合性审查的投标人，将在</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中告知未通过资格审查或符合性审查的原因，评标结束后，将不再告知未通过资格审查和符合性审查的原因。</w:t>
      </w:r>
      <w:r>
        <w:rPr>
          <w:rFonts w:hint="eastAsia" w:ascii="宋体" w:hAnsi="宋体" w:eastAsia="宋体" w:cs="宋体"/>
          <w:bCs/>
          <w:sz w:val="24"/>
          <w:highlight w:val="none"/>
        </w:rPr>
      </w:r>
      <w:r/>
    </w:p>
    <w:p>
      <w:pPr>
        <w:pStyle w:val="78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4"/>
          <w:highlight w:val="none"/>
        </w:rPr>
      </w:r>
      <w:r/>
    </w:p>
    <w:p>
      <w:pPr>
        <w:pStyle w:val="78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sz w:val="24"/>
          <w:highlight w:val="none"/>
        </w:rPr>
      </w:r>
      <w:r/>
    </w:p>
    <w:p>
      <w:pPr>
        <w:pStyle w:val="78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25.3如果投标文件实质上没有响应招标文件的要求，评委会将予以拒绝，其投标文件无效，投标人不得通过修改或撤销不合要求的偏离或保留而使其投标成为实质性响应的投标。</w:t>
      </w:r>
      <w:r>
        <w:rPr>
          <w:rFonts w:hint="eastAsia" w:ascii="宋体" w:hAnsi="宋体" w:eastAsia="宋体" w:cs="宋体"/>
          <w:sz w:val="24"/>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25.4</w:t>
      </w:r>
      <w:r>
        <w:rPr>
          <w:rFonts w:hint="eastAsia" w:ascii="宋体" w:hAnsi="宋体" w:eastAsia="宋体" w:cs="宋体"/>
          <w:bCs/>
          <w:sz w:val="24"/>
          <w:highlight w:val="none"/>
        </w:rPr>
        <w:t xml:space="preserve">评委会将对确定为实质性响应的投标进行进一步审核，确定其是否有计算上或累加上的算术错误，修正错误的原则如下：</w:t>
      </w:r>
      <w:r>
        <w:rPr>
          <w:rFonts w:hint="eastAsia" w:ascii="宋体" w:hAnsi="宋体" w:eastAsia="宋体" w:cs="宋体"/>
          <w:bCs/>
          <w:sz w:val="24"/>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（1）投标文件中开标一览表内容与投标文件中相应内容不一致的，以开标一览表为准。</w:t>
      </w:r>
      <w:r>
        <w:rPr>
          <w:rFonts w:hint="eastAsia" w:ascii="宋体" w:hAnsi="宋体" w:eastAsia="宋体" w:cs="宋体"/>
          <w:bCs/>
          <w:sz w:val="24"/>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（2）大写金额和小写金额不一致的，以大写金额为准。</w:t>
      </w:r>
      <w:r>
        <w:rPr>
          <w:rFonts w:hint="eastAsia" w:ascii="宋体" w:hAnsi="宋体" w:eastAsia="宋体" w:cs="宋体"/>
          <w:bCs/>
          <w:sz w:val="24"/>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（3）单价金额小数点或者百分比有明显错位的，以开标一览表的总价为准，并修改单价。</w:t>
      </w:r>
      <w:r>
        <w:rPr>
          <w:rFonts w:hint="eastAsia" w:ascii="宋体" w:hAnsi="宋体" w:eastAsia="宋体" w:cs="宋体"/>
          <w:bCs/>
          <w:sz w:val="24"/>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（4）总价金额与按单价汇总金额不一致的，以单价金额计算结果为准。</w:t>
      </w:r>
      <w:r>
        <w:rPr>
          <w:rFonts w:hint="eastAsia" w:ascii="宋体" w:hAnsi="宋体" w:eastAsia="宋体" w:cs="宋体"/>
          <w:bCs/>
          <w:sz w:val="24"/>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同时出现两种以上错误的，按照前款规定的顺序修正。</w:t>
      </w:r>
      <w:r>
        <w:rPr>
          <w:rFonts w:hint="eastAsia" w:ascii="宋体" w:hAnsi="宋体" w:eastAsia="宋体" w:cs="宋体"/>
          <w:bCs/>
          <w:sz w:val="24"/>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25.5</w:t>
      </w:r>
      <w:r>
        <w:rPr>
          <w:rFonts w:hint="eastAsia" w:ascii="宋体" w:hAnsi="宋体" w:eastAsia="宋体" w:cs="宋体"/>
          <w:bCs/>
          <w:sz w:val="24"/>
          <w:highlight w:val="none"/>
        </w:rPr>
        <w:t xml:space="preserve">评委会将按上述修正错误的方法调整投标文件中的投标报价，并通过</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告知投标人，调整后的价格应对投标人具有约束力。如果投标人不确认或不接受修正后的价格，则其投标将被拒绝，其投标无效。</w:t>
      </w:r>
      <w:r>
        <w:rPr>
          <w:rFonts w:hint="eastAsia" w:ascii="宋体" w:hAnsi="宋体" w:eastAsia="宋体" w:cs="宋体"/>
          <w:bCs/>
          <w:sz w:val="24"/>
          <w:highlight w:val="none"/>
        </w:rPr>
      </w:r>
      <w:r/>
    </w:p>
    <w:p>
      <w:pPr>
        <w:pStyle w:val="786"/>
        <w:ind w:firstLine="420"/>
        <w:spacing w:line="500" w:lineRule="exact"/>
        <w:rPr>
          <w:rFonts w:hint="eastAsia" w:ascii="宋体" w:hAnsi="宋体" w:eastAsia="宋体" w:cs="宋体"/>
          <w:sz w:val="24"/>
          <w:highlight w:val="none"/>
        </w:rPr>
      </w:pPr>
      <w:r/>
      <w:bookmarkStart w:id="161" w:name="_Toc513029234"/>
      <w:r/>
      <w:bookmarkStart w:id="162" w:name="_Toc20823306"/>
      <w:r/>
      <w:bookmarkStart w:id="163" w:name="_Toc16938550"/>
      <w:r>
        <w:rPr>
          <w:rFonts w:hint="eastAsia" w:ascii="宋体" w:hAnsi="宋体" w:eastAsia="宋体" w:cs="宋体"/>
          <w:sz w:val="24"/>
          <w:highlight w:val="none"/>
        </w:rPr>
        <w:t xml:space="preserve">25.6投标人在开、评标全过程中应</w:t>
      </w:r>
      <w:r>
        <w:rPr>
          <w:rFonts w:hint="eastAsia" w:ascii="宋体" w:hAnsi="宋体" w:eastAsia="宋体" w:cs="宋体"/>
          <w:sz w:val="24"/>
          <w:highlight w:val="none"/>
          <w:lang w:eastAsia="zh-CN"/>
        </w:rPr>
        <w:t xml:space="preserve">保持通信畅通</w:t>
      </w:r>
      <w:r>
        <w:rPr>
          <w:rFonts w:hint="eastAsia" w:ascii="宋体" w:hAnsi="宋体" w:eastAsia="宋体" w:cs="宋体"/>
          <w:sz w:val="24"/>
          <w:highlight w:val="none"/>
        </w:rPr>
        <w:t xml:space="preserve">，及时登录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查阅、答复相关信息，并安排专人随时接受与代理机构及评标委员会的相关询问。</w:t>
      </w:r>
      <w:r>
        <w:rPr>
          <w:rFonts w:hint="eastAsia" w:ascii="宋体" w:hAnsi="宋体" w:eastAsia="宋体" w:cs="宋体"/>
          <w:sz w:val="24"/>
          <w:highlight w:val="none"/>
        </w:rPr>
      </w:r>
      <w:r/>
    </w:p>
    <w:p>
      <w:pPr>
        <w:pStyle w:val="786"/>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25.7异常低价投标（响应）审查</w:t>
      </w:r>
      <w:r>
        <w:rPr>
          <w:rFonts w:hint="eastAsia" w:ascii="宋体" w:hAnsi="宋体" w:cs="Times New Roman"/>
          <w:color w:val="000000"/>
          <w:sz w:val="24"/>
          <w:highlight w:val="none"/>
        </w:rPr>
      </w:r>
      <w:r/>
    </w:p>
    <w:p>
      <w:pPr>
        <w:pStyle w:val="786"/>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s="Times New Roman"/>
          <w:color w:val="000000"/>
          <w:sz w:val="24"/>
          <w:highlight w:val="none"/>
        </w:rPr>
      </w:r>
      <w:r/>
    </w:p>
    <w:p>
      <w:pPr>
        <w:pStyle w:val="786"/>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s="Times New Roman"/>
          <w:color w:val="000000"/>
          <w:sz w:val="24"/>
          <w:highlight w:val="none"/>
        </w:rPr>
      </w:r>
      <w:r/>
    </w:p>
    <w:p>
      <w:pPr>
        <w:pStyle w:val="786"/>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s="Times New Roman"/>
          <w:color w:val="000000"/>
          <w:sz w:val="24"/>
          <w:highlight w:val="none"/>
        </w:rPr>
      </w:r>
      <w:r/>
    </w:p>
    <w:p>
      <w:pPr>
        <w:pStyle w:val="786"/>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（3）投标（响应）报价低于采购项目最高限价45%的，即投标（响应）报价＜采购项目最高限价×45%；</w:t>
      </w:r>
      <w:r>
        <w:rPr>
          <w:rFonts w:hint="eastAsia" w:ascii="宋体" w:hAnsi="宋体" w:cs="Times New Roman"/>
          <w:color w:val="000000"/>
          <w:sz w:val="24"/>
          <w:highlight w:val="none"/>
        </w:rPr>
      </w:r>
      <w:r/>
    </w:p>
    <w:p>
      <w:pPr>
        <w:pStyle w:val="786"/>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（4）评审委员会基于专业判断，认为供应商报价过低，有可能影响产品质量或者不能诚信履约的其他情形。</w:t>
      </w:r>
      <w:r>
        <w:rPr>
          <w:rFonts w:hint="eastAsia" w:ascii="宋体" w:hAnsi="宋体" w:cs="Times New Roman"/>
          <w:color w:val="000000"/>
          <w:sz w:val="24"/>
          <w:highlight w:val="none"/>
        </w:rPr>
      </w:r>
      <w:r/>
    </w:p>
    <w:p>
      <w:pPr>
        <w:pStyle w:val="786"/>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相关法律法规对供应商报价有规定的，从其规定。</w:t>
      </w:r>
      <w:r>
        <w:rPr>
          <w:rFonts w:hint="eastAsia" w:ascii="宋体" w:hAnsi="宋体" w:cs="Times New Roman"/>
          <w:color w:val="000000"/>
          <w:sz w:val="24"/>
          <w:highlight w:val="none"/>
        </w:rPr>
      </w:r>
      <w:r/>
    </w:p>
    <w:p>
      <w:pPr>
        <w:pStyle w:val="786"/>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s="Times New Roman"/>
          <w:color w:val="000000"/>
          <w:sz w:val="24"/>
          <w:highlight w:val="none"/>
        </w:rPr>
      </w:r>
      <w:r/>
    </w:p>
    <w:p>
      <w:pPr>
        <w:pStyle w:val="786"/>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Times New Roman"/>
          <w:color w:val="000000"/>
          <w:sz w:val="24"/>
          <w:highlight w:val="none"/>
        </w:rPr>
      </w:r>
      <w:r/>
    </w:p>
    <w:p>
      <w:pPr>
        <w:pStyle w:val="786"/>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Times New Roman"/>
          <w:color w:val="000000"/>
          <w:sz w:val="24"/>
          <w:highlight w:val="none"/>
        </w:rPr>
      </w:r>
      <w:r/>
    </w:p>
    <w:p>
      <w:pPr>
        <w:pStyle w:val="786"/>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Times New Roman"/>
          <w:color w:val="000000"/>
          <w:sz w:val="24"/>
          <w:highlight w:val="none"/>
        </w:rPr>
      </w:r>
      <w:r/>
    </w:p>
    <w:p>
      <w:pPr>
        <w:pStyle w:val="786"/>
        <w:ind w:firstLine="420"/>
        <w:spacing w:line="500" w:lineRule="exact"/>
        <w:rPr>
          <w:rFonts w:hint="eastAsia" w:ascii="宋体" w:hAnsi="宋体" w:eastAsia="宋体" w:cs="宋体"/>
          <w:sz w:val="24"/>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cs="宋体"/>
          <w:sz w:val="24"/>
          <w:highlight w:val="none"/>
        </w:rPr>
      </w:r>
      <w:r/>
    </w:p>
    <w:p>
      <w:pPr>
        <w:pStyle w:val="978"/>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26</w:t>
      </w:r>
      <w:bookmarkEnd w:id="161"/>
      <w:r/>
      <w:bookmarkEnd w:id="162"/>
      <w:r/>
      <w:bookmarkEnd w:id="163"/>
      <w:r>
        <w:rPr>
          <w:rFonts w:hint="eastAsia" w:ascii="宋体" w:hAnsi="宋体" w:eastAsia="宋体" w:cs="宋体"/>
          <w:bCs w:val="0"/>
          <w:highlight w:val="none"/>
        </w:rPr>
        <w:t xml:space="preserve">.无效投标条款和废标条款</w:t>
      </w:r>
      <w:r>
        <w:rPr>
          <w:rFonts w:hint="eastAsia" w:ascii="宋体" w:hAnsi="宋体" w:eastAsia="宋体" w:cs="宋体"/>
          <w:bCs w:val="0"/>
          <w:highlight w:val="none"/>
        </w:rPr>
      </w:r>
      <w:r/>
    </w:p>
    <w:p>
      <w:pPr>
        <w:pStyle w:val="786"/>
        <w:ind w:left="479"/>
        <w:spacing w:line="500" w:lineRule="exact"/>
        <w:rPr>
          <w:rFonts w:hint="eastAsia" w:ascii="宋体" w:hAnsi="宋体" w:eastAsia="宋体" w:cs="宋体"/>
          <w:bCs/>
          <w:sz w:val="24"/>
          <w:highlight w:val="none"/>
        </w:rPr>
      </w:pPr>
      <w:r/>
      <w:bookmarkStart w:id="164" w:name="_Toc20823307"/>
      <w:r/>
      <w:bookmarkStart w:id="165" w:name="_Toc16938551"/>
      <w:r/>
      <w:bookmarkStart w:id="166" w:name="_Toc513029235"/>
      <w:r>
        <w:rPr>
          <w:rFonts w:hint="eastAsia" w:ascii="宋体" w:hAnsi="宋体" w:eastAsia="宋体" w:cs="宋体"/>
          <w:bCs/>
          <w:sz w:val="24"/>
          <w:highlight w:val="none"/>
        </w:rPr>
        <w:t xml:space="preserve">26.1无效投标条款</w:t>
      </w:r>
      <w:r>
        <w:rPr>
          <w:rFonts w:hint="eastAsia" w:ascii="宋体" w:hAnsi="宋体" w:eastAsia="宋体" w:cs="宋体"/>
          <w:bCs/>
          <w:sz w:val="24"/>
          <w:highlight w:val="none"/>
        </w:rPr>
      </w:r>
      <w:r/>
    </w:p>
    <w:p>
      <w:pPr>
        <w:pStyle w:val="786"/>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26</w:t>
      </w:r>
      <w:r>
        <w:rPr>
          <w:rFonts w:hint="eastAsia" w:ascii="宋体" w:hAnsi="宋体" w:eastAsia="宋体" w:cs="宋体"/>
          <w:bCs/>
          <w:sz w:val="24"/>
          <w:szCs w:val="24"/>
          <w:highlight w:val="none"/>
        </w:rPr>
        <w:t xml:space="preserve">.1.1</w:t>
      </w:r>
      <w:r>
        <w:rPr>
          <w:rFonts w:hint="eastAsia" w:ascii="宋体" w:hAnsi="宋体" w:eastAsia="宋体" w:cs="宋体"/>
          <w:sz w:val="24"/>
          <w:szCs w:val="24"/>
          <w:highlight w:val="none"/>
        </w:rPr>
        <w:t xml:space="preserve">未按《“苏采云”系统供应商操作手册》进行正确操作的。</w:t>
      </w:r>
      <w:r>
        <w:rPr>
          <w:rFonts w:hint="eastAsia" w:ascii="宋体" w:hAnsi="宋体" w:eastAsia="宋体" w:cs="宋体"/>
          <w:bCs/>
          <w:sz w:val="24"/>
          <w:szCs w:val="24"/>
          <w:highlight w:val="none"/>
        </w:rPr>
      </w:r>
      <w:r/>
    </w:p>
    <w:p>
      <w:pPr>
        <w:pStyle w:val="786"/>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26.1.2投标人在“苏采云”系统规定的时间内未成功解密电子投标文件的。</w:t>
      </w:r>
      <w:r>
        <w:rPr>
          <w:rFonts w:hint="eastAsia" w:ascii="宋体" w:hAnsi="宋体" w:eastAsia="宋体" w:cs="宋体"/>
          <w:bCs/>
          <w:sz w:val="24"/>
          <w:szCs w:val="24"/>
          <w:highlight w:val="none"/>
        </w:rPr>
      </w:r>
      <w:r/>
    </w:p>
    <w:p>
      <w:pPr>
        <w:pStyle w:val="786"/>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26.1.3</w:t>
      </w:r>
      <w:r>
        <w:rPr>
          <w:rFonts w:hint="eastAsia" w:ascii="宋体" w:hAnsi="宋体" w:eastAsia="宋体" w:cs="宋体"/>
          <w:bCs/>
          <w:sz w:val="24"/>
          <w:highlight w:val="none"/>
        </w:rPr>
        <w:t xml:space="preserve">投标人未按照招标文件要求上传电子投标文件、</w:t>
      </w:r>
      <w:r>
        <w:rPr>
          <w:rFonts w:hint="eastAsia" w:ascii="宋体" w:hAnsi="宋体" w:eastAsia="宋体" w:cs="宋体"/>
          <w:bCs/>
          <w:sz w:val="24"/>
          <w:szCs w:val="24"/>
          <w:highlight w:val="none"/>
        </w:rPr>
        <w:t xml:space="preserve">电子投标文件未按规定期限投标的，纸质投标文件（如有）未按规定的期限、地点送达的。</w:t>
      </w:r>
      <w:r>
        <w:rPr>
          <w:rFonts w:hint="eastAsia" w:ascii="宋体" w:hAnsi="宋体" w:eastAsia="宋体" w:cs="宋体"/>
          <w:bCs/>
          <w:sz w:val="24"/>
          <w:szCs w:val="24"/>
          <w:highlight w:val="none"/>
        </w:rPr>
      </w:r>
      <w:r/>
    </w:p>
    <w:p>
      <w:pPr>
        <w:pStyle w:val="786"/>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26.1.4</w:t>
      </w:r>
      <w:r>
        <w:rPr>
          <w:rFonts w:hint="eastAsia" w:ascii="宋体" w:hAnsi="宋体" w:eastAsia="宋体" w:cs="宋体"/>
          <w:bCs/>
          <w:sz w:val="24"/>
          <w:highlight w:val="none"/>
        </w:rPr>
        <w:t xml:space="preserve">投标人的</w:t>
      </w:r>
      <w:r>
        <w:rPr>
          <w:rFonts w:hint="eastAsia" w:ascii="宋体" w:hAnsi="宋体" w:eastAsia="宋体" w:cs="宋体"/>
          <w:bCs/>
          <w:sz w:val="24"/>
          <w:szCs w:val="24"/>
          <w:highlight w:val="none"/>
        </w:rPr>
        <w:t xml:space="preserve">电子投标文件未按招标文件要求签章的。</w:t>
      </w:r>
      <w:r>
        <w:rPr>
          <w:rFonts w:hint="eastAsia" w:ascii="宋体" w:hAnsi="宋体" w:eastAsia="宋体" w:cs="宋体"/>
          <w:bCs/>
          <w:sz w:val="24"/>
          <w:szCs w:val="24"/>
          <w:highlight w:val="none"/>
        </w:rPr>
      </w:r>
      <w:r/>
    </w:p>
    <w:p>
      <w:pPr>
        <w:pStyle w:val="786"/>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26.1.5投标人的被授权代表无授权委托书或授权委托日期晚于投标截止日期的。</w:t>
      </w:r>
      <w:r>
        <w:rPr>
          <w:rFonts w:hint="eastAsia" w:ascii="宋体" w:hAnsi="宋体" w:eastAsia="宋体" w:cs="宋体"/>
          <w:bCs/>
          <w:sz w:val="24"/>
          <w:szCs w:val="24"/>
          <w:highlight w:val="none"/>
        </w:rPr>
      </w:r>
      <w:r/>
    </w:p>
    <w:p>
      <w:pPr>
        <w:pStyle w:val="786"/>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26.1.6投标人不具备招标文件中规定的资格要求或未按招标文件规定的要求提供资格证明文件的。</w:t>
      </w:r>
      <w:r>
        <w:rPr>
          <w:rFonts w:hint="eastAsia" w:ascii="宋体" w:hAnsi="宋体" w:eastAsia="宋体" w:cs="宋体"/>
          <w:bCs/>
          <w:sz w:val="24"/>
          <w:szCs w:val="24"/>
          <w:highlight w:val="none"/>
        </w:rPr>
      </w:r>
      <w:r/>
    </w:p>
    <w:p>
      <w:pPr>
        <w:pStyle w:val="786"/>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26.1.7</w:t>
      </w:r>
      <w:r>
        <w:rPr>
          <w:rFonts w:hint="eastAsia" w:ascii="宋体" w:hAnsi="宋体" w:eastAsia="宋体" w:cs="宋体"/>
          <w:bCs/>
          <w:sz w:val="24"/>
          <w:highlight w:val="none"/>
        </w:rPr>
        <w:t xml:space="preserve">同一投标人提交两种（含两种）以上不同的投标报价的。</w:t>
      </w:r>
      <w:r>
        <w:rPr>
          <w:rFonts w:hint="eastAsia" w:ascii="宋体" w:hAnsi="宋体" w:eastAsia="宋体" w:cs="宋体"/>
          <w:bCs/>
          <w:sz w:val="24"/>
          <w:szCs w:val="24"/>
          <w:highlight w:val="none"/>
        </w:rPr>
      </w:r>
      <w:r/>
    </w:p>
    <w:p>
      <w:pPr>
        <w:pStyle w:val="786"/>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26.1.8投标人被“信用中国”网站（</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rPr>
        <w:t xml:space="preserve">列入失信被执行人或重大税收违法案件当事人名单或政府采购严重违法失信行为记录名单的。</w:t>
      </w:r>
      <w:r>
        <w:rPr>
          <w:rFonts w:hint="eastAsia" w:ascii="宋体" w:hAnsi="宋体" w:eastAsia="宋体" w:cs="宋体"/>
          <w:bCs/>
          <w:sz w:val="24"/>
          <w:highlight w:val="none"/>
        </w:rPr>
        <w:t xml:space="preserve">或查询“信用中国”网站、</w:t>
      </w:r>
      <w:r>
        <w:rPr>
          <w:rFonts w:hint="eastAsia" w:ascii="宋体" w:hAnsi="宋体" w:eastAsia="宋体" w:cs="宋体"/>
          <w:sz w:val="24"/>
          <w:szCs w:val="24"/>
          <w:highlight w:val="none"/>
        </w:rPr>
        <w:t xml:space="preserve">中国政府采购网</w:t>
      </w:r>
      <w:r>
        <w:rPr>
          <w:rFonts w:hint="eastAsia" w:ascii="宋体" w:hAnsi="宋体" w:eastAsia="宋体" w:cs="宋体"/>
          <w:bCs/>
          <w:sz w:val="24"/>
          <w:highlight w:val="none"/>
        </w:rPr>
        <w:t xml:space="preserve">后发现投标人存在其他不符合《中华人民共和国政府采购法》第二十二条规定条件的信用记录。</w:t>
      </w:r>
      <w:r>
        <w:rPr>
          <w:rFonts w:hint="eastAsia" w:ascii="宋体" w:hAnsi="宋体" w:eastAsia="宋体" w:cs="宋体"/>
          <w:bCs/>
          <w:sz w:val="24"/>
          <w:szCs w:val="24"/>
          <w:highlight w:val="none"/>
        </w:rPr>
      </w:r>
      <w:r/>
    </w:p>
    <w:p>
      <w:pPr>
        <w:pStyle w:val="786"/>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26.1.9投标文件未按招标文件规定的内容和要求填写的。</w:t>
      </w:r>
      <w:r>
        <w:rPr>
          <w:rFonts w:hint="eastAsia" w:ascii="宋体" w:hAnsi="宋体" w:eastAsia="宋体" w:cs="宋体"/>
          <w:bCs/>
          <w:sz w:val="24"/>
          <w:szCs w:val="24"/>
          <w:highlight w:val="none"/>
        </w:rPr>
      </w:r>
      <w:r/>
    </w:p>
    <w:p>
      <w:pPr>
        <w:pStyle w:val="786"/>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26.1.10</w:t>
      </w:r>
      <w:r>
        <w:rPr>
          <w:rFonts w:hint="eastAsia" w:ascii="宋体" w:hAnsi="宋体" w:eastAsia="宋体" w:cs="宋体"/>
          <w:bCs/>
          <w:sz w:val="24"/>
          <w:highlight w:val="none"/>
        </w:rPr>
        <w:t xml:space="preserve">投标人的</w:t>
      </w:r>
      <w:r>
        <w:rPr>
          <w:rFonts w:hint="eastAsia" w:ascii="宋体" w:hAnsi="宋体" w:eastAsia="宋体" w:cs="宋体"/>
          <w:bCs/>
          <w:sz w:val="24"/>
          <w:szCs w:val="24"/>
          <w:highlight w:val="none"/>
        </w:rPr>
        <w:t xml:space="preserve">项目（标项、标段、分包）投标总价超过本项目（标项、标段、分包）预算或最高限价的。</w:t>
      </w:r>
      <w:r>
        <w:rPr>
          <w:rFonts w:hint="eastAsia" w:ascii="宋体" w:hAnsi="宋体" w:eastAsia="宋体" w:cs="宋体"/>
          <w:bCs/>
          <w:sz w:val="24"/>
          <w:szCs w:val="24"/>
          <w:highlight w:val="none"/>
        </w:rPr>
      </w:r>
      <w:r/>
    </w:p>
    <w:p>
      <w:pPr>
        <w:pStyle w:val="786"/>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26.1.11未通过符合性审查的。</w:t>
      </w:r>
      <w:r>
        <w:rPr>
          <w:rFonts w:hint="eastAsia" w:ascii="宋体" w:hAnsi="宋体" w:eastAsia="宋体" w:cs="宋体"/>
          <w:bCs/>
          <w:sz w:val="24"/>
          <w:szCs w:val="24"/>
          <w:highlight w:val="none"/>
        </w:rPr>
      </w:r>
      <w:r/>
    </w:p>
    <w:p>
      <w:pPr>
        <w:pStyle w:val="786"/>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26.1.12投标文件含有采购人不能接受的附加条件的。</w:t>
      </w:r>
      <w:r>
        <w:rPr>
          <w:rFonts w:hint="eastAsia" w:ascii="宋体" w:hAnsi="宋体" w:eastAsia="宋体" w:cs="宋体"/>
          <w:bCs/>
          <w:sz w:val="24"/>
          <w:szCs w:val="24"/>
          <w:highlight w:val="none"/>
        </w:rPr>
      </w:r>
      <w:r/>
    </w:p>
    <w:p>
      <w:pPr>
        <w:pStyle w:val="786"/>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26.1.13电子投标文件图片、字迹模糊不清、无法辨认导致无法评审的。</w:t>
      </w:r>
      <w:r>
        <w:rPr>
          <w:rFonts w:hint="eastAsia" w:ascii="宋体" w:hAnsi="宋体" w:eastAsia="宋体" w:cs="宋体"/>
          <w:bCs/>
          <w:sz w:val="24"/>
          <w:szCs w:val="24"/>
          <w:highlight w:val="none"/>
        </w:rPr>
      </w:r>
      <w:r/>
    </w:p>
    <w:p>
      <w:pPr>
        <w:pStyle w:val="786"/>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26.1.14投标文件中有招标文件未允许提供的选择性内容。</w:t>
      </w:r>
      <w:r>
        <w:rPr>
          <w:rFonts w:hint="eastAsia" w:ascii="宋体" w:hAnsi="宋体" w:eastAsia="宋体" w:cs="宋体"/>
          <w:bCs/>
          <w:sz w:val="24"/>
          <w:szCs w:val="24"/>
          <w:highlight w:val="none"/>
        </w:rPr>
      </w:r>
      <w:r/>
    </w:p>
    <w:p>
      <w:pPr>
        <w:pStyle w:val="786"/>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26.1.15</w:t>
      </w:r>
      <w:r>
        <w:rPr>
          <w:rFonts w:hint="eastAsia" w:ascii="宋体" w:hAnsi="宋体" w:eastAsia="宋体" w:cs="宋体"/>
          <w:bCs/>
          <w:sz w:val="24"/>
          <w:szCs w:val="24"/>
          <w:highlight w:val="none"/>
        </w:rPr>
        <w:t xml:space="preserve">不同投标人委托同一单位或者个人办理投标事宜的。</w:t>
      </w:r>
      <w:r>
        <w:rPr>
          <w:rFonts w:hint="eastAsia" w:ascii="宋体" w:hAnsi="宋体" w:eastAsia="宋体" w:cs="宋体"/>
          <w:bCs/>
          <w:sz w:val="24"/>
          <w:szCs w:val="24"/>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26.1.16</w:t>
      </w:r>
      <w:r>
        <w:rPr>
          <w:rFonts w:hint="eastAsia" w:ascii="宋体" w:hAnsi="宋体" w:eastAsia="宋体" w:cs="宋体"/>
          <w:bCs/>
          <w:sz w:val="24"/>
          <w:szCs w:val="24"/>
          <w:highlight w:val="none"/>
        </w:rPr>
        <w:t xml:space="preserve">不同投标人的单位负责人为同一人或者存在直接控股、管理关系的。</w:t>
      </w:r>
      <w:r>
        <w:rPr>
          <w:rFonts w:hint="eastAsia" w:ascii="宋体" w:hAnsi="宋体" w:eastAsia="宋体" w:cs="宋体"/>
          <w:bCs/>
          <w:sz w:val="24"/>
          <w:highlight w:val="none"/>
        </w:rPr>
      </w:r>
      <w:r/>
    </w:p>
    <w:p>
      <w:pPr>
        <w:pStyle w:val="786"/>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hint="eastAsia" w:ascii="宋体" w:hAnsi="宋体" w:eastAsia="宋体" w:cs="宋体"/>
          <w:bCs/>
          <w:sz w:val="24"/>
          <w:szCs w:val="24"/>
          <w:highlight w:val="none"/>
        </w:rPr>
      </w:r>
      <w:r/>
    </w:p>
    <w:p>
      <w:pPr>
        <w:pStyle w:val="786"/>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eastAsia="宋体" w:cs="宋体"/>
          <w:bCs/>
          <w:sz w:val="24"/>
          <w:szCs w:val="24"/>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eastAsia="宋体" w:cs="宋体"/>
          <w:bCs/>
          <w:sz w:val="24"/>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26.1.20</w:t>
      </w:r>
      <w:r>
        <w:rPr>
          <w:rFonts w:hint="eastAsia" w:ascii="宋体" w:hAnsi="宋体" w:eastAsia="宋体" w:cs="宋体"/>
          <w:bCs/>
          <w:sz w:val="24"/>
          <w:szCs w:val="24"/>
          <w:highlight w:val="none"/>
        </w:rPr>
        <w:t xml:space="preserve">提供虚假材料的（包括工商营业执照、财务报表、资格证明文件等）。</w:t>
      </w:r>
      <w:r>
        <w:rPr>
          <w:rFonts w:hint="eastAsia" w:ascii="宋体" w:hAnsi="宋体" w:eastAsia="宋体" w:cs="宋体"/>
          <w:bCs/>
          <w:sz w:val="24"/>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26.1.21</w:t>
      </w:r>
      <w:r>
        <w:rPr>
          <w:rFonts w:hint="eastAsia" w:ascii="宋体" w:hAnsi="宋体" w:eastAsia="宋体" w:cs="宋体"/>
          <w:bCs/>
          <w:sz w:val="24"/>
          <w:szCs w:val="24"/>
          <w:highlight w:val="none"/>
        </w:rPr>
        <w:t xml:space="preserve">除单一来源采购项目外，为采购项目提供整体设计、规范编制或者项目管理、监理、检测等服务的。</w:t>
      </w:r>
      <w:r>
        <w:rPr>
          <w:rFonts w:hint="eastAsia" w:ascii="宋体" w:hAnsi="宋体" w:eastAsia="宋体" w:cs="宋体"/>
          <w:bCs/>
          <w:sz w:val="24"/>
          <w:highlight w:val="none"/>
        </w:rPr>
      </w:r>
      <w:r/>
    </w:p>
    <w:p>
      <w:pPr>
        <w:pStyle w:val="786"/>
        <w:ind w:firstLine="480"/>
        <w:spacing w:line="500" w:lineRule="exact"/>
        <w:rPr>
          <w:rFonts w:hint="eastAsia" w:ascii="宋体" w:hAnsi="宋体" w:eastAsia="宋体" w:cs="宋体"/>
          <w:bCs/>
          <w:sz w:val="24"/>
          <w:highlight w:val="none"/>
          <w:shd w:val="clear" w:color="ffffff" w:fill="d9d9d9"/>
        </w:rPr>
      </w:pPr>
      <w:r>
        <w:rPr>
          <w:rFonts w:hint="eastAsia" w:ascii="宋体" w:hAnsi="宋体" w:eastAsia="宋体" w:cs="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eastAsia="宋体" w:cs="宋体"/>
          <w:bCs/>
          <w:sz w:val="24"/>
          <w:highlight w:val="none"/>
          <w:shd w:val="clear" w:color="ffffff" w:fill="d9d9d9"/>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26.1.23投标文件内容不全或不符合招标文件中规定的</w:t>
      </w:r>
      <w:r>
        <w:rPr>
          <w:rFonts w:hint="eastAsia" w:ascii="宋体" w:hAnsi="宋体" w:eastAsia="宋体" w:cs="宋体"/>
          <w:bCs/>
          <w:sz w:val="24"/>
          <w:szCs w:val="24"/>
          <w:highlight w:val="none"/>
          <w:lang w:eastAsia="zh-CN"/>
        </w:rPr>
        <w:t xml:space="preserve">其他</w:t>
      </w:r>
      <w:r>
        <w:rPr>
          <w:rFonts w:hint="eastAsia" w:ascii="宋体" w:hAnsi="宋体" w:eastAsia="宋体" w:cs="宋体"/>
          <w:bCs/>
          <w:sz w:val="24"/>
          <w:szCs w:val="24"/>
          <w:highlight w:val="none"/>
        </w:rPr>
        <w:t xml:space="preserve">实质性要求和条件的</w:t>
      </w:r>
      <w:r>
        <w:rPr>
          <w:rFonts w:hint="eastAsia" w:ascii="宋体" w:hAnsi="宋体" w:eastAsia="宋体" w:cs="宋体"/>
          <w:bCs/>
          <w:sz w:val="24"/>
          <w:highlight w:val="none"/>
        </w:rPr>
      </w:r>
      <w:r/>
    </w:p>
    <w:p>
      <w:pPr>
        <w:pStyle w:val="786"/>
        <w:ind w:firstLine="480"/>
        <w:spacing w:line="500" w:lineRule="exact"/>
        <w:rPr>
          <w:rFonts w:hint="eastAsia" w:ascii="宋体" w:hAnsi="宋体"/>
          <w:bCs/>
          <w:color w:val="000000"/>
          <w:sz w:val="24"/>
          <w:highlight w:val="none"/>
        </w:rPr>
      </w:pPr>
      <w:r>
        <w:rPr>
          <w:rFonts w:hint="eastAsia" w:ascii="宋体" w:hAnsi="宋体" w:eastAsia="宋体" w:cs="宋体"/>
          <w:bCs/>
          <w:sz w:val="24"/>
          <w:highlight w:val="none"/>
        </w:rPr>
        <w:t xml:space="preserve">26.1.24</w:t>
      </w:r>
      <w:r>
        <w:rPr>
          <w:rFonts w:hint="eastAsia" w:ascii="宋体" w:hAnsi="宋体"/>
          <w:bCs/>
          <w:color w:val="000000"/>
          <w:sz w:val="24"/>
          <w:highlight w:val="none"/>
        </w:rPr>
        <w:t xml:space="preserve">投标系统中不同投标人的MAC地址一致或标书制作工具客户端标识码一致的。</w:t>
      </w:r>
      <w:r>
        <w:rPr>
          <w:rFonts w:hint="eastAsia" w:ascii="宋体" w:hAnsi="宋体"/>
          <w:bCs/>
          <w:color w:val="000000"/>
          <w:sz w:val="24"/>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bCs/>
          <w:color w:val="000000"/>
          <w:sz w:val="24"/>
          <w:highlight w:val="none"/>
          <w:lang w:val="en-US" w:eastAsia="zh-CN"/>
        </w:rPr>
        <w:t xml:space="preserve">26.1.25</w:t>
      </w:r>
      <w:r>
        <w:rPr>
          <w:rFonts w:hint="eastAsia" w:ascii="宋体" w:hAnsi="宋体" w:eastAsia="宋体" w:cs="宋体"/>
          <w:bCs/>
          <w:sz w:val="24"/>
          <w:highlight w:val="none"/>
        </w:rPr>
        <w:t xml:space="preserve">其他</w:t>
      </w:r>
      <w:r>
        <w:rPr>
          <w:rFonts w:hint="eastAsia" w:ascii="宋体" w:hAnsi="宋体" w:eastAsia="宋体" w:cs="宋体"/>
          <w:bCs/>
          <w:sz w:val="24"/>
          <w:highlight w:val="none"/>
          <w:lang w:eastAsia="zh-CN"/>
        </w:rPr>
        <w:t xml:space="preserve">法律法规</w:t>
      </w:r>
      <w:r>
        <w:rPr>
          <w:rFonts w:hint="eastAsia" w:ascii="宋体" w:hAnsi="宋体" w:eastAsia="宋体" w:cs="宋体"/>
          <w:bCs/>
          <w:sz w:val="24"/>
          <w:highlight w:val="none"/>
        </w:rPr>
        <w:t xml:space="preserve">及本招标文件规定的属无效投标的情形。</w:t>
      </w:r>
      <w:r>
        <w:rPr>
          <w:rFonts w:hint="eastAsia" w:ascii="宋体" w:hAnsi="宋体" w:eastAsia="宋体" w:cs="宋体"/>
          <w:bCs/>
          <w:sz w:val="24"/>
          <w:highlight w:val="none"/>
        </w:rPr>
      </w:r>
      <w:r/>
    </w:p>
    <w:p>
      <w:pPr>
        <w:pStyle w:val="786"/>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26.2废标条款</w:t>
      </w:r>
      <w:r>
        <w:rPr>
          <w:rFonts w:hint="eastAsia" w:ascii="宋体" w:hAnsi="宋体" w:eastAsia="宋体" w:cs="宋体"/>
          <w:bCs/>
          <w:sz w:val="24"/>
          <w:highlight w:val="none"/>
        </w:rPr>
      </w:r>
      <w:r/>
    </w:p>
    <w:p>
      <w:pPr>
        <w:pStyle w:val="786"/>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26.2.1符合专业条件的供应商或者对招标文件</w:t>
      </w:r>
      <w:r>
        <w:rPr>
          <w:rFonts w:hint="eastAsia" w:ascii="宋体" w:hAnsi="宋体" w:eastAsia="宋体" w:cs="宋体"/>
          <w:bCs/>
          <w:sz w:val="24"/>
          <w:highlight w:val="none"/>
          <w:lang w:eastAsia="zh-CN"/>
        </w:rPr>
        <w:t xml:space="preserve">做</w:t>
      </w:r>
      <w:r>
        <w:rPr>
          <w:rFonts w:hint="eastAsia" w:ascii="宋体" w:hAnsi="宋体" w:eastAsia="宋体" w:cs="宋体"/>
          <w:bCs/>
          <w:sz w:val="24"/>
          <w:highlight w:val="none"/>
        </w:rPr>
        <w:t xml:space="preserve">实质响应的供应商不足三家的。26.2.2出现影响采购公正的违法、违规行为的。</w:t>
      </w:r>
      <w:r>
        <w:rPr>
          <w:rFonts w:hint="eastAsia" w:ascii="宋体" w:hAnsi="宋体" w:eastAsia="宋体" w:cs="宋体"/>
          <w:bCs/>
          <w:sz w:val="24"/>
          <w:highlight w:val="none"/>
        </w:rPr>
      </w:r>
      <w:r/>
    </w:p>
    <w:p>
      <w:pPr>
        <w:pStyle w:val="786"/>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26.2.3因重大变故，采购任务取消的。</w:t>
      </w:r>
      <w:r>
        <w:rPr>
          <w:rFonts w:hint="eastAsia" w:ascii="宋体" w:hAnsi="宋体" w:eastAsia="宋体" w:cs="宋体"/>
          <w:bCs/>
          <w:sz w:val="24"/>
          <w:highlight w:val="none"/>
        </w:rPr>
      </w:r>
      <w:r/>
    </w:p>
    <w:p>
      <w:pPr>
        <w:pStyle w:val="786"/>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26.2.4评标委员会认定招标文件存在歧义、重大缺陷导致评审工作无法进行。</w:t>
      </w:r>
      <w:r>
        <w:rPr>
          <w:rFonts w:hint="eastAsia" w:ascii="宋体" w:hAnsi="宋体" w:eastAsia="宋体" w:cs="宋体"/>
          <w:bCs/>
          <w:sz w:val="24"/>
          <w:highlight w:val="none"/>
        </w:rPr>
      </w:r>
      <w:r/>
    </w:p>
    <w:p>
      <w:pPr>
        <w:pStyle w:val="786"/>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26.2.5 因</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故障原因造成开标不成功的；</w:t>
      </w:r>
      <w:r>
        <w:rPr>
          <w:rFonts w:hint="eastAsia" w:ascii="宋体" w:hAnsi="宋体" w:eastAsia="宋体" w:cs="宋体"/>
          <w:bCs/>
          <w:sz w:val="24"/>
          <w:highlight w:val="none"/>
        </w:rPr>
      </w:r>
      <w:r/>
    </w:p>
    <w:p>
      <w:pPr>
        <w:pStyle w:val="786"/>
        <w:ind w:left="479"/>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26.2.6投标人的报价均超过采购预算，采购人不能支付的。</w:t>
      </w:r>
      <w:r>
        <w:rPr>
          <w:rFonts w:hint="eastAsia" w:ascii="宋体" w:hAnsi="宋体" w:eastAsia="宋体" w:cs="宋体"/>
          <w:bCs/>
          <w:sz w:val="24"/>
          <w:highlight w:val="none"/>
        </w:rPr>
      </w:r>
      <w:r/>
    </w:p>
    <w:p>
      <w:pPr>
        <w:pStyle w:val="786"/>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26.3 投标截止时间结束后参加投标的供应商不足三家的处理：</w:t>
      </w:r>
      <w:r>
        <w:rPr>
          <w:rFonts w:hint="eastAsia" w:ascii="宋体" w:hAnsi="宋体" w:eastAsia="宋体" w:cs="宋体"/>
          <w:bCs/>
          <w:sz w:val="24"/>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bCs/>
          <w:sz w:val="24"/>
          <w:highlight w:val="none"/>
        </w:rPr>
      </w:r>
      <w:r/>
    </w:p>
    <w:p>
      <w:pPr>
        <w:pStyle w:val="839"/>
        <w:ind w:firstLine="452"/>
        <w:keepLines w:val="0"/>
        <w:keepNext w:val="0"/>
        <w:spacing w:before="0" w:after="0" w:line="500" w:lineRule="exact"/>
        <w:rPr>
          <w:rFonts w:hint="eastAsia" w:ascii="宋体" w:hAnsi="宋体" w:eastAsia="宋体" w:cs="宋体"/>
          <w:sz w:val="30"/>
          <w:szCs w:val="30"/>
          <w:highlight w:val="none"/>
        </w:rPr>
      </w:pPr>
      <w:r/>
      <w:bookmarkStart w:id="167" w:name="_Toc120614219"/>
      <w:r>
        <w:rPr>
          <w:rFonts w:hint="eastAsia" w:ascii="宋体" w:hAnsi="宋体" w:eastAsia="宋体" w:cs="宋体"/>
          <w:sz w:val="30"/>
          <w:szCs w:val="30"/>
          <w:highlight w:val="none"/>
        </w:rPr>
        <w:t xml:space="preserve">六、</w:t>
      </w:r>
      <w:bookmarkEnd w:id="164"/>
      <w:r/>
      <w:bookmarkEnd w:id="165"/>
      <w:r/>
      <w:bookmarkEnd w:id="166"/>
      <w:r>
        <w:rPr>
          <w:rFonts w:hint="eastAsia" w:ascii="宋体" w:hAnsi="宋体" w:eastAsia="宋体" w:cs="宋体"/>
          <w:sz w:val="30"/>
          <w:szCs w:val="30"/>
          <w:highlight w:val="none"/>
        </w:rPr>
        <w:t xml:space="preserve">定标</w:t>
      </w:r>
      <w:bookmarkEnd w:id="167"/>
      <w:r>
        <w:rPr>
          <w:rFonts w:hint="eastAsia" w:ascii="宋体" w:hAnsi="宋体" w:eastAsia="宋体" w:cs="宋体"/>
          <w:sz w:val="30"/>
          <w:szCs w:val="30"/>
          <w:highlight w:val="none"/>
        </w:rPr>
      </w:r>
      <w:r/>
    </w:p>
    <w:p>
      <w:pPr>
        <w:pStyle w:val="978"/>
        <w:ind w:firstLine="422"/>
        <w:keepLines w:val="0"/>
        <w:keepNext w:val="0"/>
        <w:spacing w:before="0" w:after="0" w:line="500" w:lineRule="exact"/>
        <w:rPr>
          <w:rFonts w:hint="eastAsia" w:ascii="宋体" w:hAnsi="宋体" w:eastAsia="宋体" w:cs="宋体"/>
          <w:bCs w:val="0"/>
          <w:highlight w:val="none"/>
        </w:rPr>
      </w:pPr>
      <w:r/>
      <w:bookmarkStart w:id="168" w:name="_Toc513029238"/>
      <w:r/>
      <w:bookmarkStart w:id="169" w:name="_Toc16938554"/>
      <w:r/>
      <w:bookmarkStart w:id="170" w:name="_Toc20823310"/>
      <w:r>
        <w:rPr>
          <w:rFonts w:hint="eastAsia" w:ascii="宋体" w:hAnsi="宋体" w:eastAsia="宋体" w:cs="宋体"/>
          <w:bCs w:val="0"/>
          <w:highlight w:val="none"/>
        </w:rPr>
        <w:t xml:space="preserve">27、</w:t>
      </w:r>
      <w:bookmarkEnd w:id="168"/>
      <w:r>
        <w:rPr>
          <w:rFonts w:hint="eastAsia" w:ascii="宋体" w:hAnsi="宋体" w:eastAsia="宋体" w:cs="宋体"/>
          <w:bCs w:val="0"/>
          <w:highlight w:val="none"/>
        </w:rPr>
        <w:t xml:space="preserve">确定</w:t>
      </w:r>
      <w:bookmarkEnd w:id="169"/>
      <w:r/>
      <w:bookmarkEnd w:id="170"/>
      <w:r>
        <w:rPr>
          <w:rFonts w:hint="eastAsia" w:ascii="宋体" w:hAnsi="宋体" w:eastAsia="宋体" w:cs="宋体"/>
          <w:bCs w:val="0"/>
          <w:highlight w:val="none"/>
        </w:rPr>
        <w:t xml:space="preserve">中标单位</w:t>
      </w:r>
      <w:r>
        <w:rPr>
          <w:rFonts w:hint="eastAsia" w:ascii="宋体" w:hAnsi="宋体" w:eastAsia="宋体" w:cs="宋体"/>
          <w:bCs w:val="0"/>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eastAsia="宋体" w:cs="宋体"/>
          <w:bCs/>
          <w:sz w:val="24"/>
          <w:highlight w:val="none"/>
        </w:rPr>
      </w:r>
      <w:r/>
    </w:p>
    <w:p>
      <w:pPr>
        <w:pStyle w:val="786"/>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27.2采购人应根据评委会推荐的中标候选人确定中标人。联合体中标的，联合体各方应当共同与采购人签订合同，就中标项目向采购人承担连带责任。</w:t>
      </w:r>
      <w:r>
        <w:rPr>
          <w:rFonts w:hint="eastAsia" w:ascii="宋体" w:hAnsi="宋体" w:eastAsia="宋体" w:cs="宋体"/>
          <w:bCs/>
          <w:sz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27.3</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将在“无锡政府采购网”“江苏政府采购网”发布中标公告，公告期限为1个工作日。</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27.4中标无效的确认</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若有充分证据证明，中标人出现下列情况之一的，一经查实，将被取消中标资格：</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27.4.1提供虚假材料谋取中标的。</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27.4.2向采购人、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行贿或者提供其他不正当利益的。</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27.4.3属于本文件规定的无效投标文件条件的，但在评标过程中又未被评委会发现的。</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27.4.4与采购人或者其他供应商恶意串通的。</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27.4.5采取不正当手段诋毁、排挤其他供应商的。</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bookmarkStart w:id="171" w:name="_Toc200451960"/>
      <w:r>
        <w:rPr>
          <w:rFonts w:hint="eastAsia" w:ascii="宋体" w:hAnsi="宋体" w:eastAsia="宋体" w:cs="宋体"/>
          <w:sz w:val="24"/>
          <w:szCs w:val="24"/>
          <w:highlight w:val="none"/>
        </w:rPr>
        <w:t xml:space="preserve">27.4.6</w:t>
      </w:r>
      <w:r>
        <w:rPr>
          <w:rFonts w:hint="eastAsia" w:ascii="宋体" w:hAnsi="宋体" w:eastAsia="宋体" w:cs="宋体"/>
          <w:bCs/>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27.4.7</w:t>
      </w:r>
      <w:r>
        <w:rPr>
          <w:rFonts w:hint="eastAsia" w:ascii="宋体" w:hAnsi="宋体" w:eastAsia="宋体" w:cs="宋体"/>
          <w:bCs/>
          <w:sz w:val="24"/>
          <w:szCs w:val="24"/>
          <w:highlight w:val="none"/>
        </w:rPr>
        <w:t xml:space="preserve">拒绝有关部门监督检查或者提供虚假情况的。</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 有下列情形之一的，视为投标人串通投标，投标无效：</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27.5.1不同投标人的投标文件由同一单位或者个人编制。</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27.5.2不同投标人委托同一单位或者个人办理投标事宜。</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27.5.3 不同投标人的投标文件载明的项目管理成员或者联系人员为同一人。</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27.5.4不同投标人的投标文件异常一致或者投标报价呈规律性差异。</w:t>
      </w:r>
      <w:r>
        <w:rPr>
          <w:rFonts w:hint="eastAsia" w:ascii="宋体" w:hAnsi="宋体" w:eastAsia="宋体" w:cs="宋体"/>
          <w:sz w:val="24"/>
          <w:szCs w:val="24"/>
          <w:highlight w:val="none"/>
        </w:rPr>
      </w:r>
      <w:r/>
    </w:p>
    <w:p>
      <w:pPr>
        <w:pStyle w:val="978"/>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28.质疑处理</w:t>
      </w:r>
      <w:bookmarkEnd w:id="171"/>
      <w:r>
        <w:rPr>
          <w:rFonts w:hint="eastAsia" w:ascii="宋体" w:hAnsi="宋体" w:eastAsia="宋体" w:cs="宋体"/>
          <w:bCs w:val="0"/>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28.2.1对可以质疑的采购文件提出质疑的，为收到采购文件之日或者采购文件公告期限届满之日；</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28.2.2对采购过程提出质疑的，为各采购程序环节结束之日；</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28.2.3对中标或者成交结果提出质疑的，为中标或者成交结果公告期限届满之日。</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、采购人将只对供应商第一次质疑作出答复。</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w:t>
      </w:r>
      <w:r>
        <w:rPr>
          <w:rFonts w:hint="eastAsia" w:ascii="宋体" w:hAnsi="宋体" w:eastAsia="宋体" w:cs="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shd w:val="clear" w:color="ffffff" w:fill="d9d9d9"/>
        </w:rPr>
      </w:pPr>
      <w:r>
        <w:rPr>
          <w:rFonts w:hint="eastAsia" w:ascii="宋体" w:hAnsi="宋体" w:eastAsia="宋体" w:cs="宋体"/>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提出，由</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负责答复。</w:t>
      </w:r>
      <w:r>
        <w:rPr>
          <w:rFonts w:hint="eastAsia" w:ascii="宋体" w:hAnsi="宋体" w:eastAsia="宋体" w:cs="宋体"/>
          <w:sz w:val="24"/>
          <w:szCs w:val="24"/>
          <w:highlight w:val="none"/>
          <w:shd w:val="clear" w:color="ffffff" w:fill="d9d9d9"/>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只接收以纸质原件形式送达的质疑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质疑供应商可通过面交或邮寄方式送达（采购人和</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不接受未填写快递运单的快件）。</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联系人、联系方式、通信地址见招标文件第一章。</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 以下情形的质疑不予受理</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28.5.1 内容不符合《政府采购质疑和投诉办法》第十二条规定的质疑。</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28.5.2 超出政府采购法定期限的质疑。</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28.5.3 以传真、电子邮件等方式递交的非原件形式的质疑。</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28.5.4未参加投标活动的供应商或在投标活动中自身权益未受到损害的供应商所提出的质疑。</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28.5.5供应商组成联合体参加投标，联合体中任何一方或多方未按要求签字、盖章、加盖公章的质疑。</w:t>
      </w:r>
      <w:r>
        <w:rPr>
          <w:rFonts w:hint="eastAsia" w:ascii="宋体" w:hAnsi="宋体" w:eastAsia="宋体" w:cs="宋体"/>
          <w:sz w:val="24"/>
          <w:szCs w:val="24"/>
          <w:highlight w:val="none"/>
        </w:rPr>
      </w:r>
      <w:r/>
    </w:p>
    <w:p>
      <w:pPr>
        <w:pStyle w:val="786"/>
        <w:ind w:firstLine="468"/>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28.6供应商提出书面质疑必须有理、有据，</w:t>
      </w:r>
      <w:r>
        <w:rPr>
          <w:rFonts w:hint="eastAsia" w:ascii="宋体" w:hAnsi="宋体" w:eastAsia="宋体" w:cs="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sz w:val="24"/>
          <w:szCs w:val="24"/>
          <w:highlight w:val="none"/>
        </w:rPr>
        <w:t xml:space="preserve">一经查实，</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978"/>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29.中标通知书</w:t>
      </w:r>
      <w:r>
        <w:rPr>
          <w:rFonts w:hint="eastAsia" w:ascii="宋体" w:hAnsi="宋体" w:eastAsia="宋体" w:cs="宋体"/>
          <w:bCs w:val="0"/>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29.l中标结果确定后，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将向中标人发出中标通知书。请中标人在中标结果公告届满之日起30日内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使用CA数字证书登录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及时下载中标通知书。因系统存储空间有限，自中标结果公告届满之日起30日后，</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不再保证提供下载中标通知书服务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因未及时下载而造成的不利后果由中标人自行承担。</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sz w:val="24"/>
          <w:szCs w:val="24"/>
          <w:highlight w:val="none"/>
        </w:rPr>
      </w:r>
      <w:r/>
    </w:p>
    <w:p>
      <w:pPr>
        <w:pStyle w:val="839"/>
        <w:ind w:firstLine="452"/>
        <w:keepLines w:val="0"/>
        <w:keepNext w:val="0"/>
        <w:spacing w:before="0" w:after="0" w:line="500" w:lineRule="exact"/>
        <w:rPr>
          <w:rFonts w:hint="eastAsia" w:ascii="宋体" w:hAnsi="宋体" w:eastAsia="宋体" w:cs="宋体"/>
          <w:sz w:val="30"/>
          <w:szCs w:val="30"/>
          <w:highlight w:val="none"/>
        </w:rPr>
      </w:pPr>
      <w:r/>
      <w:bookmarkStart w:id="172" w:name="_Toc120614220"/>
      <w:r/>
      <w:bookmarkStart w:id="173" w:name="_Toc513029236"/>
      <w:r/>
      <w:bookmarkStart w:id="174" w:name="_Toc20823308"/>
      <w:r/>
      <w:bookmarkStart w:id="175" w:name="_Toc16938552"/>
      <w:r>
        <w:rPr>
          <w:rFonts w:hint="eastAsia" w:ascii="宋体" w:hAnsi="宋体" w:eastAsia="宋体" w:cs="宋体"/>
          <w:sz w:val="30"/>
          <w:szCs w:val="30"/>
          <w:highlight w:val="none"/>
        </w:rPr>
        <w:t xml:space="preserve">七、授予合同</w:t>
      </w:r>
      <w:bookmarkEnd w:id="172"/>
      <w:r>
        <w:rPr>
          <w:rFonts w:hint="eastAsia" w:ascii="宋体" w:hAnsi="宋体" w:eastAsia="宋体" w:cs="宋体"/>
          <w:sz w:val="30"/>
          <w:szCs w:val="30"/>
          <w:highlight w:val="none"/>
        </w:rPr>
      </w:r>
      <w:r/>
    </w:p>
    <w:p>
      <w:pPr>
        <w:pStyle w:val="978"/>
        <w:ind w:firstLine="422"/>
        <w:keepLines w:val="0"/>
        <w:keepNext w:val="0"/>
        <w:spacing w:before="0" w:after="0" w:line="500" w:lineRule="exact"/>
        <w:rPr>
          <w:rFonts w:hint="eastAsia" w:ascii="宋体" w:hAnsi="宋体" w:eastAsia="宋体" w:cs="宋体"/>
          <w:bCs w:val="0"/>
          <w:highlight w:val="none"/>
        </w:rPr>
      </w:pPr>
      <w:r/>
      <w:bookmarkEnd w:id="173"/>
      <w:r/>
      <w:bookmarkEnd w:id="174"/>
      <w:r/>
      <w:bookmarkEnd w:id="175"/>
      <w:r/>
      <w:bookmarkStart w:id="176" w:name="_Toc16938553"/>
      <w:r/>
      <w:bookmarkStart w:id="177" w:name="_Toc513029237"/>
      <w:r/>
      <w:bookmarkStart w:id="178" w:name="_Toc20823309"/>
      <w:r>
        <w:rPr>
          <w:rFonts w:hint="eastAsia" w:ascii="宋体" w:hAnsi="宋体" w:eastAsia="宋体" w:cs="宋体"/>
          <w:bCs w:val="0"/>
          <w:highlight w:val="none"/>
        </w:rPr>
        <w:t xml:space="preserve">30.签订合同</w:t>
      </w:r>
      <w:r>
        <w:rPr>
          <w:rFonts w:hint="eastAsia" w:ascii="宋体" w:hAnsi="宋体" w:eastAsia="宋体" w:cs="宋体"/>
          <w:bCs w:val="0"/>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sz w:val="24"/>
          <w:szCs w:val="24"/>
          <w:highlight w:val="none"/>
        </w:rPr>
        <w:t xml:space="preserve">招标文件、中标人的投标文件及招标过程中有关澄清、承诺文件均应作为合同附件。</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30.2中标人非因不可抗力未履行招、投标文件和合同规定的义务，一经查实，</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将根据具体情况提请政府采购管理部门作出相应处理。</w:t>
      </w:r>
      <w:r>
        <w:rPr>
          <w:rFonts w:hint="eastAsia" w:ascii="宋体" w:hAnsi="宋体" w:eastAsia="宋体" w:cs="宋体"/>
          <w:sz w:val="24"/>
          <w:szCs w:val="24"/>
          <w:highlight w:val="none"/>
        </w:rPr>
      </w:r>
      <w:r/>
    </w:p>
    <w:p>
      <w:pPr>
        <w:pStyle w:val="786"/>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bCs/>
          <w:sz w:val="24"/>
          <w:szCs w:val="24"/>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eastAsia="宋体" w:cs="宋体"/>
          <w:sz w:val="24"/>
          <w:szCs w:val="24"/>
          <w:highlight w:val="none"/>
        </w:rPr>
      </w:r>
      <w:r/>
    </w:p>
    <w:p>
      <w:pPr>
        <w:pStyle w:val="978"/>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31.服务（包含与服务相关的货物）的追加</w:t>
      </w:r>
      <w:r>
        <w:rPr>
          <w:rFonts w:hint="eastAsia" w:ascii="宋体" w:hAnsi="宋体" w:eastAsia="宋体" w:cs="宋体"/>
          <w:bCs w:val="0"/>
          <w:highlight w:val="none"/>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sz w:val="24"/>
          <w:szCs w:val="24"/>
          <w:highlight w:val="none"/>
          <w:lang w:eastAsia="zh-CN"/>
        </w:rPr>
        <w:t xml:space="preserve">额的</w:t>
      </w: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p>
      <w:pPr>
        <w:pStyle w:val="1178"/>
        <w:ind w:firstLine="422"/>
        <w:keepLines w:val="0"/>
        <w:keepNext w:val="0"/>
        <w:spacing w:before="0" w:after="0" w:line="500" w:lineRule="exact"/>
        <w:rPr>
          <w:rFonts w:hint="eastAsia" w:ascii="宋体" w:hAnsi="宋体" w:eastAsia="宋体" w:cs="宋体"/>
          <w:bCs w:val="0"/>
          <w:highlight w:val="none"/>
          <w:lang w:val="en-US" w:eastAsia="zh-CN"/>
        </w:rPr>
      </w:pPr>
      <w:r>
        <w:rPr>
          <w:rFonts w:hint="eastAsia" w:ascii="宋体" w:hAnsi="宋体" w:eastAsia="宋体" w:cs="宋体"/>
          <w:bCs w:val="0"/>
          <w:highlight w:val="none"/>
          <w:lang w:val="en-US" w:eastAsia="zh-CN"/>
        </w:rPr>
        <w:t xml:space="preserve">八、代理服务费</w:t>
      </w:r>
      <w:r>
        <w:rPr>
          <w:rFonts w:hint="eastAsia" w:ascii="宋体" w:hAnsi="宋体" w:eastAsia="宋体" w:cs="宋体"/>
          <w:bCs w:val="0"/>
          <w:highlight w:val="none"/>
          <w:lang w:val="en-US" w:eastAsia="zh-CN"/>
        </w:rPr>
      </w:r>
      <w:r/>
    </w:p>
    <w:p>
      <w:pPr>
        <w:pStyle w:val="786"/>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32.本项目采购代理服务费由招标人支付，采购代理费按差额定率累进法，收费标准为：中标金额100万以下费率为中标金额的1.5%；中标金额100万－500万费率为中标金额的1.1%，在此基础上打七折计取。</w:t>
      </w:r>
      <w:r>
        <w:rPr>
          <w:rFonts w:hint="eastAsia" w:ascii="宋体" w:hAnsi="宋体" w:eastAsia="宋体" w:cs="宋体"/>
          <w:sz w:val="24"/>
          <w:szCs w:val="24"/>
          <w:highlight w:val="none"/>
        </w:rPr>
      </w:r>
      <w:r/>
    </w:p>
    <w:p>
      <w:pPr>
        <w:pStyle w:val="840"/>
        <w:jc w:val="center"/>
        <w:spacing w:line="500" w:lineRule="exact"/>
        <w:rPr>
          <w:rFonts w:hint="eastAsia" w:ascii="宋体" w:hAnsi="宋体" w:eastAsia="宋体" w:cs="宋体"/>
          <w:bCs/>
          <w:sz w:val="36"/>
          <w:szCs w:val="36"/>
          <w:highlight w:val="none"/>
        </w:rPr>
        <w:outlineLvl w:val="0"/>
      </w:pPr>
      <w:r/>
      <w:bookmarkEnd w:id="176"/>
      <w:r/>
      <w:bookmarkEnd w:id="177"/>
      <w:r/>
      <w:bookmarkEnd w:id="178"/>
      <w:r/>
      <w:bookmarkStart w:id="179" w:name="_Toc120614221"/>
      <w:r/>
      <w:bookmarkStart w:id="180" w:name="_Toc513029242"/>
      <w:r/>
      <w:bookmarkStart w:id="181" w:name="_Toc16938558"/>
      <w:r/>
      <w:bookmarkStart w:id="182" w:name="_Toc20823314"/>
      <w:r/>
      <w:bookmarkStart w:id="183" w:name="_Toc479757207"/>
      <w:r>
        <w:rPr>
          <w:rFonts w:hint="eastAsia" w:ascii="宋体" w:hAnsi="宋体" w:eastAsia="宋体" w:cs="宋体"/>
          <w:bCs/>
          <w:sz w:val="24"/>
          <w:highlight w:val="none"/>
          <w:shd w:val="clear" w:color="ffffff" w:fill="d9d9d9"/>
        </w:rPr>
        <w:br w:type="page" w:clear="all"/>
      </w:r>
      <w:bookmarkStart w:id="184" w:name="_Toc29592"/>
      <w:r>
        <w:rPr>
          <w:rFonts w:hint="eastAsia" w:ascii="宋体" w:hAnsi="宋体" w:eastAsia="宋体" w:cs="宋体"/>
          <w:bCs/>
          <w:sz w:val="36"/>
          <w:szCs w:val="36"/>
          <w:highlight w:val="none"/>
        </w:rPr>
        <w:t xml:space="preserve">第三章  合同</w:t>
      </w:r>
      <w:bookmarkEnd w:id="179"/>
      <w:r/>
      <w:bookmarkEnd w:id="180"/>
      <w:r/>
      <w:bookmarkEnd w:id="181"/>
      <w:r/>
      <w:bookmarkEnd w:id="182"/>
      <w:r/>
      <w:bookmarkEnd w:id="183"/>
      <w:r>
        <w:rPr>
          <w:rFonts w:hint="eastAsia" w:ascii="宋体" w:hAnsi="宋体" w:eastAsia="宋体" w:cs="宋体"/>
          <w:bCs/>
          <w:sz w:val="36"/>
          <w:szCs w:val="36"/>
          <w:highlight w:val="none"/>
        </w:rPr>
        <w:t xml:space="preserve">文本</w:t>
      </w:r>
      <w:bookmarkEnd w:id="184"/>
      <w:r>
        <w:rPr>
          <w:rFonts w:hint="eastAsia" w:ascii="宋体" w:hAnsi="宋体" w:eastAsia="宋体" w:cs="宋体"/>
          <w:bCs/>
          <w:sz w:val="36"/>
          <w:szCs w:val="36"/>
          <w:highlight w:val="none"/>
        </w:rPr>
      </w:r>
      <w:r/>
    </w:p>
    <w:p>
      <w:pPr>
        <w:pStyle w:val="786"/>
        <w:jc w:val="both"/>
        <w:spacing w:line="400" w:lineRule="exact"/>
        <w:rPr>
          <w:rFonts w:hint="eastAsia" w:ascii="宋体" w:hAnsi="宋体" w:eastAsia="宋体" w:cs="宋体"/>
          <w:bCs/>
          <w:sz w:val="24"/>
          <w:szCs w:val="24"/>
          <w:highlight w:val="none"/>
        </w:rPr>
        <w:outlineLvl w:val="9"/>
      </w:pPr>
      <w:r/>
      <w:bookmarkStart w:id="185" w:name="_Toc20823315"/>
      <w:r/>
      <w:bookmarkStart w:id="186" w:name="_Toc16938559"/>
      <w:r/>
      <w:bookmarkStart w:id="187" w:name="_Toc513029243"/>
      <w:r>
        <w:rPr>
          <w:rFonts w:hint="eastAsia" w:ascii="宋体" w:hAnsi="宋体" w:eastAsia="宋体" w:cs="宋体"/>
          <w:bCs/>
          <w:sz w:val="24"/>
          <w:szCs w:val="24"/>
          <w:highlight w:val="none"/>
        </w:rPr>
      </w:r>
      <w:r/>
    </w:p>
    <w:p>
      <w:pPr>
        <w:pStyle w:val="786"/>
        <w:jc w:val="center"/>
        <w:spacing w:line="36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 xml:space="preserve">合 同 书</w:t>
      </w:r>
      <w:r>
        <w:rPr>
          <w:rFonts w:hint="eastAsia" w:ascii="宋体" w:hAnsi="宋体" w:eastAsia="宋体" w:cs="宋体"/>
          <w:b/>
          <w:bCs/>
          <w:sz w:val="36"/>
          <w:szCs w:val="36"/>
          <w:highlight w:val="none"/>
        </w:rPr>
      </w:r>
      <w:r/>
    </w:p>
    <w:p>
      <w:pPr>
        <w:pStyle w:val="786"/>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需方</w:t>
      </w:r>
      <w:r>
        <w:rPr>
          <w:rFonts w:hint="eastAsia" w:ascii="宋体" w:hAnsi="宋体" w:eastAsia="宋体" w:cs="宋体"/>
          <w:bCs/>
          <w:sz w:val="24"/>
          <w:highlight w:val="none"/>
          <w:lang w:eastAsia="zh-CN"/>
        </w:rPr>
        <w:t xml:space="preserve">（采购人）</w:t>
      </w:r>
      <w:r>
        <w:rPr>
          <w:rFonts w:hint="eastAsia" w:ascii="宋体" w:hAnsi="宋体" w:eastAsia="宋体" w:cs="宋体"/>
          <w:bCs/>
          <w:sz w:val="24"/>
          <w:highlight w:val="none"/>
        </w:rPr>
        <w:t xml:space="preserve">：</w:t>
      </w:r>
      <w:r>
        <w:rPr>
          <w:rFonts w:hint="eastAsia" w:ascii="宋体" w:hAnsi="宋体" w:cs="宋体"/>
          <w:bCs/>
          <w:sz w:val="24"/>
          <w:highlight w:val="none"/>
          <w:u w:val="single"/>
          <w:lang w:eastAsia="zh-CN"/>
        </w:rPr>
        <w:t xml:space="preserve">无锡国家高新技术产业开发区（无锡市新吴区）教育局</w:t>
      </w:r>
      <w:r>
        <w:rPr>
          <w:rFonts w:hint="eastAsia" w:ascii="宋体" w:hAnsi="宋体" w:eastAsia="宋体" w:cs="宋体"/>
          <w:bCs/>
          <w:sz w:val="24"/>
          <w:highlight w:val="none"/>
        </w:rPr>
        <w:t xml:space="preserve"> </w:t>
      </w:r>
      <w:r>
        <w:rPr>
          <w:rFonts w:hint="eastAsia" w:ascii="宋体" w:hAnsi="宋体" w:eastAsia="宋体" w:cs="宋体"/>
          <w:bCs/>
          <w:sz w:val="24"/>
          <w:highlight w:val="none"/>
        </w:rPr>
      </w:r>
      <w:r/>
    </w:p>
    <w:p>
      <w:pPr>
        <w:pStyle w:val="786"/>
        <w:ind w:left="-271" w:right="-596" w:firstLine="240"/>
        <w:jc w:val="left"/>
        <w:spacing w:line="420" w:lineRule="exact"/>
        <w:widowControl/>
        <w:rPr>
          <w:rFonts w:ascii="宋体" w:hAnsi="宋体" w:eastAsia="宋体" w:cs="宋体"/>
          <w:b/>
          <w:sz w:val="24"/>
          <w:highlight w:val="none"/>
          <w:u w:val="single"/>
          <w:lang w:val="en-US" w:eastAsia="zh-CN"/>
        </w:rPr>
      </w:pPr>
      <w:r>
        <w:rPr>
          <w:rFonts w:hint="eastAsia" w:ascii="宋体" w:hAnsi="宋体" w:eastAsia="宋体" w:cs="宋体"/>
          <w:sz w:val="24"/>
          <w:highlight w:val="none"/>
        </w:rPr>
        <w:t xml:space="preserve">法定代表人：</w:t>
      </w:r>
      <w:r>
        <w:rPr>
          <w:rFonts w:hint="eastAsia" w:ascii="宋体" w:hAnsi="宋体" w:cs="宋体"/>
          <w:bCs/>
          <w:sz w:val="24"/>
          <w:highlight w:val="none"/>
          <w:u w:val="single"/>
          <w:lang w:val="en-US" w:eastAsia="zh-CN"/>
        </w:rPr>
        <w:t xml:space="preserve">                 </w:t>
      </w:r>
      <w:r>
        <w:rPr>
          <w:rFonts w:ascii="宋体" w:hAnsi="宋体" w:eastAsia="宋体" w:cs="宋体"/>
          <w:b/>
          <w:sz w:val="24"/>
          <w:highlight w:val="none"/>
          <w:u w:val="single"/>
          <w:lang w:val="en-US" w:eastAsia="zh-CN"/>
        </w:rPr>
      </w:r>
      <w:r/>
    </w:p>
    <w:p>
      <w:pPr>
        <w:pStyle w:val="786"/>
        <w:ind w:left="-271" w:right="-596" w:firstLine="240"/>
        <w:jc w:val="left"/>
        <w:spacing w:line="420" w:lineRule="exact"/>
        <w:widowControl/>
        <w:rPr>
          <w:rFonts w:hint="eastAsia" w:ascii="宋体" w:hAnsi="宋体" w:eastAsia="宋体" w:cs="宋体"/>
          <w:b/>
          <w:sz w:val="24"/>
          <w:highlight w:val="none"/>
          <w:u w:val="single"/>
        </w:rPr>
      </w:pPr>
      <w:r>
        <w:rPr>
          <w:rFonts w:hint="eastAsia" w:ascii="宋体" w:hAnsi="宋体" w:eastAsia="宋体" w:cs="宋体"/>
          <w:sz w:val="24"/>
          <w:highlight w:val="none"/>
        </w:rPr>
        <w:t xml:space="preserve">地址：</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b/>
          <w:sz w:val="24"/>
          <w:highlight w:val="none"/>
          <w:u w:val="single"/>
        </w:rPr>
      </w:r>
      <w:r/>
    </w:p>
    <w:p>
      <w:pPr>
        <w:pStyle w:val="786"/>
        <w:ind w:left="-271" w:right="-596" w:firstLine="240"/>
        <w:jc w:val="left"/>
        <w:spacing w:line="420" w:lineRule="exact"/>
        <w:widowControl/>
        <w:rPr>
          <w:rFonts w:hint="eastAsia" w:ascii="宋体" w:hAnsi="宋体" w:eastAsia="宋体" w:cs="宋体"/>
          <w:sz w:val="24"/>
          <w:highlight w:val="none"/>
          <w:u w:val="single"/>
          <w:lang w:val="en-US" w:eastAsia="zh-CN"/>
        </w:rPr>
      </w:pPr>
      <w:r>
        <w:rPr>
          <w:rFonts w:hint="eastAsia" w:ascii="宋体" w:hAnsi="宋体" w:eastAsia="宋体" w:cs="宋体"/>
          <w:sz w:val="24"/>
          <w:highlight w:val="none"/>
        </w:rPr>
        <w:t xml:space="preserve">联系电话：</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lang w:val="en-US" w:eastAsia="zh-CN"/>
        </w:rPr>
      </w:r>
      <w:r/>
    </w:p>
    <w:p>
      <w:pPr>
        <w:pStyle w:val="1000"/>
        <w:rPr>
          <w:rFonts w:hint="eastAsia" w:ascii="宋体" w:hAnsi="宋体" w:eastAsia="宋体" w:cs="宋体"/>
          <w:highlight w:val="none"/>
        </w:rPr>
      </w:pPr>
      <w:r>
        <w:rPr>
          <w:rFonts w:hint="eastAsia" w:ascii="宋体" w:hAnsi="宋体" w:eastAsia="宋体" w:cs="宋体"/>
          <w:highlight w:val="none"/>
        </w:rPr>
      </w:r>
      <w:r/>
    </w:p>
    <w:p>
      <w:pPr>
        <w:pStyle w:val="786"/>
        <w:spacing w:line="360" w:lineRule="auto"/>
        <w:rPr>
          <w:rFonts w:ascii="宋体" w:hAnsi="宋体" w:eastAsia="宋体" w:cs="宋体"/>
          <w:bCs/>
          <w:sz w:val="24"/>
          <w:highlight w:val="none"/>
          <w:u w:val="single"/>
          <w:lang w:val="en-US" w:eastAsia="zh-CN"/>
        </w:rPr>
      </w:pPr>
      <w:r>
        <w:rPr>
          <w:rFonts w:hint="eastAsia" w:ascii="宋体" w:hAnsi="宋体" w:eastAsia="宋体" w:cs="宋体"/>
          <w:bCs/>
          <w:sz w:val="24"/>
          <w:highlight w:val="none"/>
        </w:rPr>
        <w:t xml:space="preserve">供方</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中标人</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rPr>
          <w:rFonts w:hint="eastAsia" w:ascii="宋体" w:hAnsi="宋体" w:eastAsia="宋体" w:cs="宋体"/>
          <w:bCs/>
          <w:sz w:val="24"/>
          <w:highlight w:val="none"/>
          <w:u w:val="single"/>
          <w:lang w:val="en-US" w:eastAsia="zh-CN"/>
        </w:rPr>
        <w:t xml:space="preserve">            </w:t>
      </w:r>
      <w:r>
        <w:rPr>
          <w:rFonts w:hint="eastAsia" w:ascii="宋体" w:hAnsi="宋体" w:cs="宋体"/>
          <w:bCs/>
          <w:sz w:val="24"/>
          <w:highlight w:val="none"/>
          <w:u w:val="single"/>
          <w:lang w:val="en-US" w:eastAsia="zh-CN"/>
        </w:rPr>
        <w:t xml:space="preserve"> </w:t>
      </w:r>
      <w:r>
        <w:rPr>
          <w:rFonts w:ascii="宋体" w:hAnsi="宋体" w:eastAsia="宋体" w:cs="宋体"/>
          <w:bCs/>
          <w:sz w:val="24"/>
          <w:highlight w:val="none"/>
          <w:u w:val="single"/>
          <w:lang w:val="en-US" w:eastAsia="zh-CN"/>
        </w:rPr>
      </w:r>
      <w:r/>
    </w:p>
    <w:p>
      <w:pPr>
        <w:pStyle w:val="786"/>
        <w:ind w:left="-271" w:right="-596" w:firstLine="240"/>
        <w:jc w:val="left"/>
        <w:spacing w:line="420" w:lineRule="exact"/>
        <w:widowControl/>
        <w:rPr>
          <w:rFonts w:ascii="宋体" w:hAnsi="宋体" w:eastAsia="宋体" w:cs="宋体"/>
          <w:sz w:val="24"/>
          <w:highlight w:val="none"/>
          <w:u w:val="single"/>
          <w:lang w:val="en-US" w:eastAsia="zh-CN"/>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ascii="宋体" w:hAnsi="宋体" w:eastAsia="宋体" w:cs="宋体"/>
          <w:sz w:val="24"/>
          <w:highlight w:val="none"/>
          <w:u w:val="single"/>
          <w:lang w:val="en-US" w:eastAsia="zh-CN"/>
        </w:rPr>
      </w:r>
      <w:r/>
    </w:p>
    <w:p>
      <w:pPr>
        <w:pStyle w:val="786"/>
        <w:ind w:left="-271" w:right="-596" w:firstLine="240"/>
        <w:jc w:val="left"/>
        <w:spacing w:line="420" w:lineRule="exact"/>
        <w:widowControl/>
        <w:rPr>
          <w:rFonts w:hint="eastAsia" w:ascii="宋体" w:hAnsi="宋体" w:eastAsia="宋体" w:cs="宋体"/>
          <w:sz w:val="24"/>
          <w:highlight w:val="none"/>
          <w:u w:val="single"/>
        </w:rPr>
      </w:pPr>
      <w:r>
        <w:rPr>
          <w:rFonts w:hint="eastAsia" w:ascii="宋体" w:hAnsi="宋体" w:eastAsia="宋体" w:cs="宋体"/>
          <w:sz w:val="24"/>
          <w:highlight w:val="none"/>
        </w:rPr>
        <w:t xml:space="preserve">地址：</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r>
      <w:r/>
    </w:p>
    <w:p>
      <w:pPr>
        <w:pStyle w:val="786"/>
        <w:ind w:left="-271" w:right="-596" w:firstLine="240"/>
        <w:jc w:val="left"/>
        <w:spacing w:line="420" w:lineRule="exact"/>
        <w:widowControl/>
        <w:rPr>
          <w:rFonts w:hint="eastAsia" w:ascii="宋体" w:hAnsi="宋体" w:eastAsia="宋体" w:cs="宋体"/>
          <w:bCs/>
          <w:sz w:val="24"/>
          <w:highlight w:val="none"/>
          <w:u w:val="single"/>
        </w:rPr>
      </w:pPr>
      <w:r>
        <w:rPr>
          <w:rFonts w:hint="eastAsia" w:ascii="宋体" w:hAnsi="宋体" w:eastAsia="宋体" w:cs="宋体"/>
          <w:sz w:val="24"/>
          <w:highlight w:val="none"/>
        </w:rPr>
        <w:t xml:space="preserve">联系电话：</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bCs/>
          <w:sz w:val="24"/>
          <w:highlight w:val="none"/>
          <w:u w:val="single"/>
        </w:rPr>
      </w:r>
      <w:r/>
    </w:p>
    <w:p>
      <w:pPr>
        <w:pStyle w:val="786"/>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4"/>
          <w:highlight w:val="none"/>
        </w:rPr>
        <w:t xml:space="preserve">根据《中华人民共和国民法典》及相关法规，遵循平等、自愿、公平和诚实信用的原则，供需双方就</w:t>
      </w:r>
      <w:r>
        <w:rPr>
          <w:rFonts w:hint="eastAsia" w:ascii="宋体" w:hAnsi="宋体" w:cs="宋体"/>
          <w:sz w:val="24"/>
          <w:highlight w:val="none"/>
          <w:lang w:eastAsia="zh-CN"/>
        </w:rPr>
        <w:t xml:space="preserve">天一中学新吴分校新建工程厨房设备采购项目</w:t>
      </w:r>
      <w:r>
        <w:rPr>
          <w:rFonts w:hint="eastAsia" w:ascii="宋体" w:hAnsi="宋体" w:eastAsia="宋体" w:cs="宋体"/>
          <w:sz w:val="24"/>
          <w:highlight w:val="none"/>
        </w:rPr>
        <w:t xml:space="preserve">有关事项协商一致，共同达成如下协议：</w:t>
      </w:r>
      <w:r>
        <w:rPr>
          <w:rFonts w:hint="eastAsia" w:ascii="宋体" w:hAnsi="宋体" w:eastAsia="宋体" w:cs="宋体"/>
          <w:sz w:val="28"/>
          <w:szCs w:val="28"/>
          <w:highlight w:val="none"/>
        </w:rPr>
      </w:r>
      <w:r/>
    </w:p>
    <w:p>
      <w:pPr>
        <w:pStyle w:val="786"/>
        <w:ind w:firstLine="480"/>
        <w:spacing w:line="360" w:lineRule="auto"/>
        <w:tabs>
          <w:tab w:val="left" w:pos="840" w:leader="none"/>
          <w:tab w:val="left" w:pos="1155" w:leader="none"/>
        </w:tabs>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一、项目名称：</w:t>
      </w:r>
      <w:r>
        <w:rPr>
          <w:rFonts w:hint="eastAsia" w:ascii="宋体" w:hAnsi="宋体" w:cs="宋体"/>
          <w:sz w:val="24"/>
          <w:highlight w:val="none"/>
          <w:u w:val="single"/>
          <w:lang w:eastAsia="zh-CN"/>
        </w:rPr>
        <w:t xml:space="preserve">天一中学新吴分校新建工程厨房设备采购项目</w:t>
      </w:r>
      <w:r>
        <w:rPr>
          <w:rFonts w:hint="eastAsia" w:ascii="宋体" w:hAnsi="宋体" w:eastAsia="宋体" w:cs="宋体"/>
          <w:bCs/>
          <w:sz w:val="24"/>
          <w:highlight w:val="none"/>
          <w:lang w:eastAsia="zh-CN"/>
        </w:rPr>
      </w:r>
      <w:r/>
    </w:p>
    <w:p>
      <w:pPr>
        <w:pStyle w:val="786"/>
        <w:ind w:firstLine="480"/>
        <w:spacing w:line="360" w:lineRule="auto"/>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二、采购内容：</w:t>
      </w:r>
      <w:r>
        <w:rPr>
          <w:rFonts w:hint="eastAsia" w:ascii="宋体" w:hAnsi="宋体" w:cs="宋体"/>
          <w:sz w:val="24"/>
          <w:highlight w:val="none"/>
          <w:u w:val="single"/>
          <w:lang w:eastAsia="zh-CN"/>
        </w:rPr>
        <w:t xml:space="preserve">天一中学新吴分校新建工程厨房设备采购</w:t>
      </w:r>
      <w:r>
        <w:rPr>
          <w:rFonts w:hint="eastAsia" w:ascii="宋体" w:hAnsi="宋体" w:eastAsia="宋体" w:cs="宋体"/>
          <w:bCs/>
          <w:sz w:val="24"/>
          <w:highlight w:val="none"/>
          <w:u w:val="single"/>
        </w:rPr>
        <w:t xml:space="preserve">。</w:t>
      </w:r>
      <w:r>
        <w:rPr>
          <w:rFonts w:hint="eastAsia" w:ascii="宋体" w:hAnsi="宋体" w:eastAsia="宋体" w:cs="宋体"/>
          <w:bCs/>
          <w:sz w:val="24"/>
          <w:highlight w:val="none"/>
          <w:u w:val="single"/>
        </w:rPr>
      </w:r>
      <w:r/>
    </w:p>
    <w:p>
      <w:pPr>
        <w:pStyle w:val="786"/>
        <w:ind w:firstLine="480"/>
        <w:spacing w:line="360" w:lineRule="auto"/>
        <w:tabs>
          <w:tab w:val="left" w:pos="840" w:leader="none"/>
          <w:tab w:val="left" w:pos="1155" w:leader="none"/>
        </w:tabs>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三、合同金额</w:t>
      </w:r>
      <w:r>
        <w:rPr>
          <w:rFonts w:hint="eastAsia" w:ascii="宋体" w:hAnsi="宋体" w:eastAsia="宋体" w:cs="宋体"/>
          <w:bCs/>
          <w:sz w:val="24"/>
          <w:highlight w:val="none"/>
          <w:lang w:eastAsia="zh-CN"/>
        </w:rPr>
        <w:t xml:space="preserve">（含税价，税率</w:t>
      </w:r>
      <w:r>
        <w:rPr>
          <w:rFonts w:hint="eastAsia" w:ascii="宋体" w:hAnsi="宋体" w:eastAsia="宋体" w:cs="宋体"/>
          <w:bCs/>
          <w:sz w:val="24"/>
          <w:highlight w:val="none"/>
          <w:u w:val="single"/>
          <w:lang w:val="en-US" w:eastAsia="zh-CN"/>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：人民币</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大写</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u w:val="single"/>
          <w:lang w:val="en-US" w:eastAsia="zh-CN"/>
        </w:rPr>
        <w:t xml:space="preserve">  </w:t>
      </w:r>
      <w:r>
        <w:rPr>
          <w:rFonts w:hint="eastAsia" w:ascii="宋体" w:hAnsi="宋体" w:eastAsia="宋体" w:cs="宋体"/>
          <w:bCs/>
          <w:sz w:val="24"/>
          <w:highlight w:val="none"/>
        </w:rPr>
        <w:t xml:space="preserve">，人民币</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小写</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u w:val="single"/>
          <w:lang w:val="en-US" w:eastAsia="zh-CN"/>
        </w:rPr>
        <w:t xml:space="preserve"> </w:t>
      </w:r>
      <w:r>
        <w:rPr>
          <w:rFonts w:hint="eastAsia" w:ascii="宋体" w:hAnsi="宋体" w:eastAsia="宋体" w:cs="宋体"/>
          <w:bCs/>
          <w:sz w:val="24"/>
          <w:highlight w:val="none"/>
          <w:u w:val="single"/>
        </w:rPr>
        <w:t xml:space="preserve">元</w:t>
      </w:r>
      <w:r>
        <w:rPr>
          <w:rFonts w:hint="eastAsia" w:ascii="宋体" w:hAnsi="宋体" w:eastAsia="宋体" w:cs="宋体"/>
          <w:bCs/>
          <w:sz w:val="24"/>
          <w:highlight w:val="none"/>
        </w:rPr>
        <w:t xml:space="preserve">。             </w:t>
      </w:r>
      <w:r>
        <w:rPr>
          <w:rFonts w:hint="eastAsia" w:ascii="宋体" w:hAnsi="宋体" w:eastAsia="宋体" w:cs="宋体"/>
          <w:bCs/>
          <w:sz w:val="24"/>
          <w:highlight w:val="none"/>
          <w:u w:val="single"/>
        </w:rPr>
      </w:r>
      <w:r/>
    </w:p>
    <w:p>
      <w:pPr>
        <w:pStyle w:val="786"/>
        <w:ind w:firstLine="532"/>
        <w:spacing w:line="360" w:lineRule="auto"/>
        <w:rPr>
          <w:rFonts w:hint="eastAsia" w:ascii="宋体" w:hAnsi="宋体" w:eastAsia="宋体" w:cs="宋体"/>
          <w:b/>
          <w:bCs/>
          <w:sz w:val="24"/>
          <w:highlight w:val="none"/>
        </w:rPr>
      </w:pPr>
      <w:r>
        <w:rPr>
          <w:rFonts w:hint="eastAsia" w:ascii="宋体" w:hAnsi="宋体" w:eastAsia="宋体" w:cs="宋体"/>
          <w:bCs/>
          <w:sz w:val="24"/>
          <w:highlight w:val="none"/>
        </w:rPr>
        <w:t xml:space="preserve">四、质量要求及验收标准：</w:t>
      </w:r>
      <w:r>
        <w:rPr>
          <w:rFonts w:hint="eastAsia" w:ascii="宋体" w:hAnsi="宋体" w:eastAsia="宋体" w:cs="宋体"/>
          <w:sz w:val="24"/>
          <w:highlight w:val="none"/>
          <w:u w:val="single"/>
        </w:rPr>
        <w:t xml:space="preserve">必须满足本次招标的图纸清单中的规格、参数要求。</w:t>
      </w:r>
      <w:r>
        <w:rPr>
          <w:rFonts w:hint="eastAsia" w:ascii="宋体" w:hAnsi="宋体" w:eastAsia="宋体" w:cs="宋体"/>
          <w:b/>
          <w:bCs/>
          <w:sz w:val="24"/>
          <w:highlight w:val="none"/>
        </w:rPr>
      </w:r>
      <w:r/>
    </w:p>
    <w:p>
      <w:pPr>
        <w:pStyle w:val="786"/>
        <w:spacing w:line="360" w:lineRule="auto"/>
        <w:tabs>
          <w:tab w:val="left" w:pos="840" w:leader="none"/>
          <w:tab w:val="left" w:pos="1155" w:leader="none"/>
        </w:tabs>
        <w:rPr>
          <w:rFonts w:hint="eastAsia" w:ascii="宋体" w:hAnsi="宋体" w:eastAsia="宋体" w:cs="宋体"/>
          <w:sz w:val="24"/>
          <w:highlight w:val="none"/>
          <w:u w:val="single"/>
        </w:rPr>
      </w:pPr>
      <w:r>
        <w:rPr>
          <w:rFonts w:hint="eastAsia" w:ascii="宋体" w:hAnsi="宋体" w:eastAsia="宋体" w:cs="宋体"/>
          <w:bCs/>
          <w:sz w:val="24"/>
          <w:highlight w:val="none"/>
        </w:rPr>
        <w:t xml:space="preserve">    五、供货期：</w:t>
      </w:r>
      <w:r>
        <w:rPr>
          <w:rFonts w:hint="eastAsia" w:ascii="宋体" w:hAnsi="宋体" w:eastAsia="宋体" w:cs="宋体"/>
          <w:bCs/>
          <w:sz w:val="24"/>
          <w:highlight w:val="none"/>
          <w:u w:val="single"/>
        </w:rPr>
        <w:t xml:space="preserve">30日历天内完成采购、安装、调试等；具体以</w:t>
      </w:r>
      <w:r>
        <w:rPr>
          <w:rFonts w:hint="eastAsia" w:ascii="宋体" w:hAnsi="宋体" w:eastAsia="宋体" w:cs="宋体"/>
          <w:bCs/>
          <w:sz w:val="24"/>
          <w:highlight w:val="none"/>
          <w:u w:val="single"/>
          <w:lang w:eastAsia="zh-CN"/>
        </w:rPr>
        <w:t xml:space="preserve">采购人</w:t>
      </w:r>
      <w:r>
        <w:rPr>
          <w:rFonts w:hint="eastAsia" w:ascii="宋体" w:hAnsi="宋体" w:eastAsia="宋体" w:cs="宋体"/>
          <w:bCs/>
          <w:sz w:val="24"/>
          <w:highlight w:val="none"/>
          <w:u w:val="single"/>
        </w:rPr>
        <w:t xml:space="preserve">的要求为准</w:t>
      </w:r>
      <w:r>
        <w:rPr>
          <w:rFonts w:hint="eastAsia" w:ascii="宋体" w:hAnsi="宋体" w:eastAsia="宋体" w:cs="宋体"/>
          <w:sz w:val="24"/>
          <w:highlight w:val="none"/>
          <w:u w:val="single"/>
        </w:rPr>
        <w:t xml:space="preserve">。</w:t>
      </w:r>
      <w:r>
        <w:rPr>
          <w:rFonts w:hint="eastAsia" w:ascii="宋体" w:hAnsi="宋体" w:eastAsia="宋体" w:cs="宋体"/>
          <w:sz w:val="24"/>
          <w:highlight w:val="none"/>
          <w:u w:val="singl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六、服务地点和方式：</w:t>
      </w:r>
      <w:r>
        <w:rPr>
          <w:rFonts w:hint="eastAsia" w:ascii="宋体" w:hAnsi="宋体" w:cs="宋体"/>
          <w:sz w:val="24"/>
          <w:highlight w:val="none"/>
          <w:u w:val="single"/>
          <w:lang w:eastAsia="zh-CN"/>
        </w:rPr>
        <w:t xml:space="preserve">该项目位于</w:t>
      </w:r>
      <w:r>
        <w:rPr>
          <w:rFonts w:hint="eastAsia" w:ascii="宋体" w:hAnsi="宋体" w:eastAsia="宋体" w:cs="宋体"/>
          <w:sz w:val="24"/>
          <w:highlight w:val="none"/>
          <w:u w:val="single"/>
          <w:lang w:val="en-US" w:eastAsia="zh-CN"/>
        </w:rPr>
        <w:t xml:space="preserve">无锡市新吴区鸿山街道，至德大道与至礼路交叉口东南</w:t>
      </w:r>
      <w:r>
        <w:rPr>
          <w:rFonts w:hint="eastAsia" w:ascii="宋体" w:hAnsi="宋体" w:eastAsia="宋体" w:cs="宋体"/>
          <w:sz w:val="24"/>
          <w:highlight w:val="none"/>
          <w:u w:val="single"/>
          <w:lang w:eastAsia="zh-CN"/>
        </w:rPr>
        <w:t xml:space="preserve">；包工包料。</w:t>
      </w:r>
      <w:r>
        <w:rPr>
          <w:rFonts w:hint="eastAsia" w:ascii="宋体" w:hAnsi="宋体" w:eastAsia="宋体" w:cs="宋体"/>
          <w:bCs/>
          <w:sz w:val="24"/>
          <w:highlight w:val="none"/>
        </w:rPr>
        <w:t xml:space="preserve">               </w:t>
      </w:r>
      <w:r>
        <w:rPr>
          <w:rFonts w:hint="eastAsia" w:ascii="宋体" w:hAnsi="宋体" w:eastAsia="宋体" w:cs="宋体"/>
          <w:bCs/>
          <w:sz w:val="24"/>
          <w:highlight w:val="none"/>
          <w:u w:val="single"/>
        </w:rPr>
      </w:r>
      <w:r/>
    </w:p>
    <w:p>
      <w:pPr>
        <w:pStyle w:val="786"/>
        <w:ind w:firstLine="480"/>
        <w:spacing w:line="360" w:lineRule="auto"/>
        <w:tabs>
          <w:tab w:val="left" w:pos="840" w:leader="none"/>
          <w:tab w:val="left" w:pos="1155" w:leader="none"/>
        </w:tabs>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七、合同款支付步骤和办法：</w:t>
      </w:r>
      <w:r>
        <w:rPr>
          <w:rFonts w:hint="eastAsia" w:ascii="宋体" w:hAnsi="宋体" w:eastAsia="宋体" w:cs="宋体"/>
          <w:bCs/>
          <w:sz w:val="24"/>
          <w:highlight w:val="none"/>
          <w:u w:val="single"/>
        </w:rPr>
      </w:r>
      <w:r>
        <w:rPr>
          <w:rFonts w:ascii="SimSun" w:hAnsi="SimSun" w:eastAsia="SimSun" w:cs="SimSun"/>
          <w:color w:val="0000ff"/>
          <w:sz w:val="24"/>
        </w:rPr>
        <w:t xml:space="preserve">合同签订生效后，预付合同总价的30%；货物安装调试结束，并经验收合格后支付至不超过合同执行价的70%；审计结束后付至合同审定价的97%；货物保修期满经项目使用单位确认保修质量和保修效果后，结清全部货物余款。</w:t>
      </w:r>
      <w:r>
        <w:rPr>
          <w:rFonts w:hint="eastAsia" w:ascii="宋体" w:hAnsi="宋体" w:eastAsia="宋体" w:cs="宋体"/>
          <w:bCs/>
          <w:sz w:val="24"/>
          <w:highlight w:val="none"/>
          <w:u w:val="single"/>
        </w:rPr>
      </w:r>
      <w:r>
        <w:rPr>
          <w:rFonts w:hint="eastAsia" w:ascii="宋体" w:hAnsi="宋体" w:eastAsia="宋体" w:cs="宋体"/>
          <w:bCs/>
          <w:sz w:val="24"/>
          <w:highlight w:val="none"/>
          <w:u w:val="single"/>
        </w:rPr>
      </w:r>
      <w:r/>
    </w:p>
    <w:p>
      <w:pPr>
        <w:pStyle w:val="786"/>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八、合同不可分割部分：招标文件、投标文件、合同条款及中标通知书，供方在投标、评标过程中所作</w:t>
      </w:r>
      <w:r>
        <w:rPr>
          <w:rFonts w:hint="eastAsia" w:ascii="宋体" w:hAnsi="宋体" w:eastAsia="宋体" w:cs="宋体"/>
          <w:bCs/>
          <w:sz w:val="24"/>
          <w:highlight w:val="none"/>
          <w:lang w:eastAsia="zh-CN"/>
        </w:rPr>
        <w:t xml:space="preserve">其他</w:t>
      </w:r>
      <w:r>
        <w:rPr>
          <w:rFonts w:hint="eastAsia" w:ascii="宋体" w:hAnsi="宋体" w:eastAsia="宋体" w:cs="宋体"/>
          <w:bCs/>
          <w:sz w:val="24"/>
          <w:highlight w:val="none"/>
        </w:rPr>
        <w:t xml:space="preserve">有关承诺、声明、书面澄清等均为合同不可分割的部分，与主合同具有同等法律效力。</w:t>
      </w:r>
      <w:r>
        <w:rPr>
          <w:rFonts w:hint="eastAsia" w:ascii="宋体" w:hAnsi="宋体" w:eastAsia="宋体" w:cs="宋体"/>
          <w:bCs/>
          <w:sz w:val="24"/>
          <w:highlight w:val="none"/>
        </w:rPr>
      </w:r>
      <w:r/>
    </w:p>
    <w:p>
      <w:pPr>
        <w:pStyle w:val="786"/>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九、合同备案：合同一式陆份，具有同等的法律效力，供需双方各执叁份。</w:t>
      </w:r>
      <w:r>
        <w:rPr>
          <w:rFonts w:hint="eastAsia" w:ascii="宋体" w:hAnsi="宋体" w:eastAsia="宋体" w:cs="宋体"/>
          <w:bCs/>
          <w:sz w:val="24"/>
          <w:highlight w:val="none"/>
        </w:rPr>
      </w:r>
      <w:r/>
    </w:p>
    <w:p>
      <w:pPr>
        <w:pStyle w:val="786"/>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十、本合同经双方</w:t>
      </w:r>
      <w:r>
        <w:rPr>
          <w:rFonts w:hint="eastAsia" w:ascii="宋体" w:hAnsi="宋体" w:cs="宋体"/>
          <w:bCs/>
          <w:sz w:val="24"/>
          <w:highlight w:val="none"/>
          <w:lang w:eastAsia="zh"/>
        </w:rPr>
        <w:t xml:space="preserve">加盖单位公章</w:t>
      </w:r>
      <w:r>
        <w:rPr>
          <w:rFonts w:hint="eastAsia" w:ascii="宋体" w:hAnsi="宋体" w:eastAsia="宋体" w:cs="宋体"/>
          <w:bCs/>
          <w:sz w:val="24"/>
          <w:highlight w:val="none"/>
        </w:rPr>
        <w:t xml:space="preserve">后生效。</w:t>
      </w:r>
      <w:r>
        <w:rPr>
          <w:rFonts w:hint="eastAsia" w:ascii="宋体" w:hAnsi="宋体" w:eastAsia="宋体" w:cs="宋体"/>
          <w:bCs/>
          <w:sz w:val="24"/>
          <w:highlight w:val="none"/>
        </w:rPr>
      </w:r>
      <w:r/>
    </w:p>
    <w:p>
      <w:pPr>
        <w:pStyle w:val="786"/>
        <w:ind w:left="508" w:right="0" w:firstLine="240"/>
        <w:jc w:val="both"/>
        <w:keepLines w:val="0"/>
        <w:keepNext w:val="0"/>
        <w:spacing w:before="0" w:beforeAutospacing="0" w:after="0" w:afterAutospacing="0" w:line="400" w:lineRule="exact"/>
        <w:widowControl w:val="off"/>
        <w:rPr>
          <w:rFonts w:hint="eastAsia" w:ascii="宋体" w:hAnsi="宋体" w:eastAsia="宋体" w:cs="Courier New"/>
          <w:color w:val="000000"/>
          <w:sz w:val="24"/>
          <w:szCs w:val="24"/>
          <w:highlight w:val="none"/>
        </w:rPr>
        <w:suppressLineNumbers w:val="0"/>
      </w:pPr>
      <w:r>
        <w:rPr>
          <w:rFonts w:hint="eastAsia" w:ascii="宋体" w:hAnsi="宋体" w:eastAsia="宋体" w:cs="宋体"/>
          <w:color w:val="000000"/>
          <w:sz w:val="24"/>
          <w:szCs w:val="24"/>
          <w:highlight w:val="none"/>
          <w:lang w:val="en-US" w:eastAsia="zh" w:bidi="ar"/>
        </w:rPr>
        <w:t xml:space="preserve">  需</w:t>
      </w:r>
      <w:r>
        <w:rPr>
          <w:rFonts w:hint="eastAsia" w:ascii="宋体" w:hAnsi="宋体" w:eastAsia="宋体" w:cs="宋体"/>
          <w:color w:val="000000"/>
          <w:sz w:val="24"/>
          <w:szCs w:val="24"/>
          <w:highlight w:val="none"/>
          <w:lang w:val="en-US" w:eastAsia="zh-CN" w:bidi="ar"/>
        </w:rPr>
        <w:t xml:space="preserve">方：</w:t>
      </w:r>
      <w:r>
        <w:rPr>
          <w:rFonts w:hint="eastAsia" w:ascii="宋体" w:hAnsi="宋体" w:eastAsia="宋体" w:cs="Courier New"/>
          <w:color w:val="000000"/>
          <w:sz w:val="24"/>
          <w:szCs w:val="24"/>
          <w:highlight w:val="none"/>
          <w:lang w:val="en-US" w:eastAsia="zh-CN" w:bidi="ar"/>
        </w:rPr>
        <w:t xml:space="preserve">                        </w:t>
      </w:r>
      <w:r>
        <w:rPr>
          <w:rFonts w:hint="eastAsia" w:ascii="宋体" w:hAnsi="宋体" w:eastAsia="宋体" w:cs="Courier New"/>
          <w:color w:val="000000"/>
          <w:sz w:val="24"/>
          <w:szCs w:val="24"/>
          <w:highlight w:val="none"/>
          <w:lang w:val="en-US" w:eastAsia="zh" w:bidi="ar"/>
        </w:rPr>
        <w:t xml:space="preserve">供</w:t>
      </w:r>
      <w:r>
        <w:rPr>
          <w:rFonts w:hint="eastAsia" w:ascii="宋体" w:hAnsi="宋体" w:eastAsia="宋体" w:cs="宋体"/>
          <w:color w:val="000000"/>
          <w:sz w:val="24"/>
          <w:szCs w:val="24"/>
          <w:highlight w:val="none"/>
          <w:lang w:val="en-US" w:eastAsia="zh-CN" w:bidi="ar"/>
        </w:rPr>
        <w:t xml:space="preserve">方：</w:t>
      </w:r>
      <w:r>
        <w:rPr>
          <w:rFonts w:hint="eastAsia" w:ascii="宋体" w:hAnsi="宋体" w:eastAsia="宋体" w:cs="Courier New"/>
          <w:color w:val="000000"/>
          <w:sz w:val="24"/>
          <w:szCs w:val="24"/>
          <w:highlight w:val="none"/>
          <w:lang w:val="en-US" w:eastAsia="zh-CN" w:bidi="ar"/>
        </w:rPr>
        <w:t xml:space="preserve"> </w:t>
      </w:r>
      <w:r>
        <w:rPr>
          <w:rFonts w:hint="eastAsia" w:ascii="宋体" w:hAnsi="宋体" w:eastAsia="宋体" w:cs="Courier New"/>
          <w:color w:val="000000"/>
          <w:sz w:val="24"/>
          <w:szCs w:val="24"/>
          <w:highlight w:val="none"/>
        </w:rPr>
      </w:r>
      <w:r/>
    </w:p>
    <w:p>
      <w:pPr>
        <w:pStyle w:val="786"/>
        <w:ind w:left="0" w:right="0" w:firstLine="960"/>
        <w:jc w:val="both"/>
        <w:keepLines w:val="0"/>
        <w:keepNext w:val="0"/>
        <w:spacing w:before="0" w:beforeAutospacing="0" w:after="0" w:afterAutospacing="0" w:line="400" w:lineRule="exact"/>
        <w:widowControl w:val="off"/>
        <w:rPr>
          <w:rFonts w:hint="eastAsia" w:ascii="宋体" w:hAnsi="宋体" w:eastAsia="宋体" w:cs="Courier New"/>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地址：</w:t>
      </w:r>
      <w:r>
        <w:rPr>
          <w:rFonts w:hint="eastAsia" w:ascii="宋体" w:hAnsi="宋体" w:eastAsia="宋体" w:cs="Courier New"/>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地址：</w:t>
      </w:r>
      <w:r>
        <w:rPr>
          <w:rFonts w:hint="eastAsia" w:ascii="宋体" w:hAnsi="宋体" w:eastAsia="宋体" w:cs="Courier New"/>
          <w:color w:val="000000"/>
          <w:sz w:val="24"/>
          <w:szCs w:val="24"/>
          <w:highlight w:val="none"/>
          <w:lang w:val="en-US" w:eastAsia="zh-CN" w:bidi="ar"/>
        </w:rPr>
        <w:t xml:space="preserve"> </w:t>
      </w:r>
      <w:r>
        <w:rPr>
          <w:rFonts w:hint="eastAsia" w:ascii="宋体" w:hAnsi="宋体" w:eastAsia="宋体" w:cs="Courier New"/>
          <w:color w:val="000000"/>
          <w:sz w:val="24"/>
          <w:szCs w:val="24"/>
          <w:highlight w:val="none"/>
        </w:rPr>
      </w:r>
      <w:r/>
    </w:p>
    <w:p>
      <w:pPr>
        <w:pStyle w:val="786"/>
        <w:ind w:firstLine="96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联系电话：</w:t>
      </w:r>
      <w:r>
        <w:rPr>
          <w:rFonts w:hint="eastAsia" w:ascii="宋体" w:hAnsi="宋体" w:eastAsia="宋体" w:cs="Courier New"/>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联系电话：</w:t>
      </w:r>
      <w:r>
        <w:rPr>
          <w:highlight w:val="none"/>
        </w:rPr>
      </w:r>
      <w:r/>
    </w:p>
    <w:p>
      <w:pPr>
        <w:pStyle w:val="786"/>
        <w:ind w:left="720" w:hanging="720"/>
        <w:spacing w:line="360" w:lineRule="auto"/>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       </w:t>
      </w:r>
      <w:r>
        <w:rPr>
          <w:rFonts w:hint="eastAsia" w:ascii="宋体" w:hAnsi="宋体" w:cs="宋体"/>
          <w:bCs/>
          <w:sz w:val="24"/>
          <w:highlight w:val="none"/>
          <w:lang w:eastAsia="zh"/>
        </w:rPr>
        <w:t xml:space="preserve"> </w:t>
      </w:r>
      <w:r>
        <w:rPr>
          <w:rFonts w:hint="eastAsia" w:ascii="宋体" w:hAnsi="宋体" w:eastAsia="宋体" w:cs="宋体"/>
          <w:bCs/>
          <w:sz w:val="24"/>
          <w:highlight w:val="none"/>
        </w:rPr>
        <w:t xml:space="preserve">年  月  日                                     年  月  日 </w:t>
      </w:r>
      <w:r>
        <w:rPr>
          <w:rFonts w:hint="eastAsia" w:ascii="宋体" w:hAnsi="宋体" w:eastAsia="宋体" w:cs="宋体"/>
          <w:bCs/>
          <w:sz w:val="24"/>
          <w:highlight w:val="none"/>
          <w:u w:val="single"/>
        </w:rPr>
      </w:r>
      <w:r/>
    </w:p>
    <w:p>
      <w:pPr>
        <w:pStyle w:val="786"/>
        <w:jc w:val="left"/>
        <w:spacing w:line="360" w:lineRule="auto"/>
        <w:rPr>
          <w:rFonts w:hint="eastAsia" w:ascii="宋体" w:hAnsi="宋体" w:eastAsia="宋体" w:cs="宋体"/>
          <w:bCs/>
          <w:sz w:val="24"/>
          <w:highlight w:val="none"/>
        </w:rPr>
      </w:pPr>
      <w:r>
        <w:rPr>
          <w:rFonts w:hint="eastAsia" w:ascii="宋体" w:hAnsi="宋体" w:eastAsia="宋体" w:cs="宋体"/>
          <w:b/>
          <w:bCs/>
          <w:sz w:val="24"/>
          <w:highlight w:val="none"/>
        </w:rPr>
        <w:t xml:space="preserve">备注：</w:t>
      </w:r>
      <w:r>
        <w:rPr>
          <w:rFonts w:hint="eastAsia" w:ascii="宋体" w:hAnsi="宋体" w:eastAsia="宋体" w:cs="宋体"/>
          <w:bCs/>
          <w:sz w:val="24"/>
          <w:highlight w:val="none"/>
        </w:rPr>
        <w:t xml:space="preserve">需方按照招标文件和中标人签订书面合同。所签订的合同不得对招标文件确定的事项和中标人投标文件作实质性修改，供需双方盖章后生效。</w:t>
      </w:r>
      <w:r>
        <w:rPr>
          <w:rFonts w:hint="eastAsia" w:ascii="宋体" w:hAnsi="宋体" w:eastAsia="宋体" w:cs="宋体"/>
          <w:bCs/>
          <w:sz w:val="24"/>
          <w:highlight w:val="none"/>
        </w:rPr>
        <w:br w:type="page" w:clear="all"/>
      </w:r>
      <w:bookmarkStart w:id="188" w:name="_Toc112006934"/>
      <w:r>
        <w:rPr>
          <w:rFonts w:hint="eastAsia" w:ascii="宋体" w:hAnsi="宋体" w:eastAsia="宋体" w:cs="宋体"/>
          <w:bCs/>
          <w:sz w:val="24"/>
          <w:highlight w:val="none"/>
        </w:rPr>
        <w:t xml:space="preserve">                                   </w:t>
      </w:r>
      <w:r>
        <w:rPr>
          <w:rFonts w:hint="eastAsia" w:ascii="宋体" w:hAnsi="宋体" w:eastAsia="宋体" w:cs="宋体"/>
          <w:sz w:val="32"/>
          <w:highlight w:val="none"/>
        </w:rPr>
        <w:t xml:space="preserve">合同条款</w:t>
      </w:r>
      <w:bookmarkEnd w:id="188"/>
      <w:r>
        <w:rPr>
          <w:rFonts w:hint="eastAsia" w:ascii="宋体" w:hAnsi="宋体" w:eastAsia="宋体" w:cs="宋体"/>
          <w:bCs/>
          <w:sz w:val="24"/>
          <w:highlight w:val="none"/>
        </w:rPr>
      </w:r>
      <w:r/>
    </w:p>
    <w:p>
      <w:pPr>
        <w:pStyle w:val="786"/>
        <w:ind w:firstLine="523"/>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根据招标文件和该文件的中标通知书及供方投标文件，供需双方就此及相关问题，同意按下列条款规定执行。</w:t>
      </w:r>
      <w:r>
        <w:rPr>
          <w:rFonts w:hint="eastAsia" w:ascii="宋体" w:hAnsi="宋体" w:eastAsia="宋体" w:cs="宋体"/>
          <w:bCs/>
          <w:sz w:val="24"/>
          <w:highlight w:val="none"/>
        </w:rPr>
      </w:r>
      <w:r/>
    </w:p>
    <w:p>
      <w:pPr>
        <w:pStyle w:val="786"/>
        <w:numPr>
          <w:ilvl w:val="0"/>
          <w:numId w:val="4"/>
        </w:numPr>
        <w:jc w:val="left"/>
        <w:spacing w:line="360" w:lineRule="auto"/>
        <w:tabs>
          <w:tab w:val="left" w:pos="1505"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合同标的   </w:t>
      </w:r>
      <w:r>
        <w:rPr>
          <w:rFonts w:hint="eastAsia" w:ascii="宋体" w:hAnsi="宋体" w:eastAsia="宋体" w:cs="宋体"/>
          <w:b/>
          <w:sz w:val="24"/>
          <w:highlight w:val="none"/>
        </w:rPr>
      </w:r>
      <w:r/>
    </w:p>
    <w:p>
      <w:pPr>
        <w:pStyle w:val="786"/>
        <w:ind w:firstLine="480"/>
        <w:spacing w:line="360" w:lineRule="auto"/>
        <w:tabs>
          <w:tab w:val="left" w:pos="840" w:leader="none"/>
          <w:tab w:val="left" w:pos="1155" w:leader="none"/>
        </w:tabs>
        <w:rPr>
          <w:rFonts w:hint="eastAsia" w:ascii="宋体" w:hAnsi="宋体" w:eastAsia="宋体" w:cs="宋体"/>
          <w:bCs/>
          <w:sz w:val="24"/>
          <w:highlight w:val="none"/>
          <w:u w:val="single"/>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一</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合同内容：需方向供方购买</w:t>
      </w:r>
      <w:r>
        <w:rPr>
          <w:rFonts w:hint="eastAsia" w:ascii="宋体" w:hAnsi="宋体" w:cs="宋体"/>
          <w:bCs/>
          <w:sz w:val="24"/>
          <w:highlight w:val="none"/>
          <w:u w:val="single"/>
          <w:lang w:eastAsia="zh-CN"/>
        </w:rPr>
        <w:t xml:space="preserve">天一中学新吴分校新建工程厨房设备采购项目</w:t>
      </w:r>
      <w:r>
        <w:rPr>
          <w:rFonts w:hint="eastAsia" w:ascii="宋体" w:hAnsi="宋体" w:eastAsia="宋体" w:cs="宋体"/>
          <w:bCs/>
          <w:sz w:val="24"/>
          <w:highlight w:val="none"/>
        </w:rPr>
        <w:t xml:space="preserve">。</w:t>
      </w:r>
      <w:r>
        <w:rPr>
          <w:rFonts w:hint="eastAsia" w:ascii="宋体" w:hAnsi="宋体" w:eastAsia="宋体" w:cs="宋体"/>
          <w:bCs/>
          <w:sz w:val="24"/>
          <w:highlight w:val="none"/>
          <w:u w:val="single"/>
        </w:rPr>
      </w:r>
      <w:r/>
    </w:p>
    <w:p>
      <w:pPr>
        <w:pStyle w:val="786"/>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二</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价格及支付： </w:t>
      </w:r>
      <w:r>
        <w:rPr>
          <w:rFonts w:hint="eastAsia" w:ascii="宋体" w:hAnsi="宋体" w:eastAsia="宋体" w:cs="宋体"/>
          <w:bCs/>
          <w:sz w:val="24"/>
          <w:highlight w:val="none"/>
        </w:rPr>
      </w:r>
      <w:r/>
    </w:p>
    <w:p>
      <w:pPr>
        <w:pStyle w:val="786"/>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 按此次中标价格执行，合同总标的额为</w:t>
      </w:r>
      <w:r>
        <w:rPr>
          <w:rFonts w:hint="eastAsia" w:ascii="宋体" w:hAnsi="宋体" w:eastAsia="宋体" w:cs="宋体"/>
          <w:sz w:val="24"/>
          <w:highlight w:val="none"/>
          <w:u w:val="single"/>
          <w:lang w:val="en-US" w:eastAsia="zh-CN"/>
        </w:rPr>
        <w:t xml:space="preserve">    </w:t>
      </w:r>
      <w:r>
        <w:rPr>
          <w:rFonts w:hint="eastAsia" w:ascii="宋体" w:hAnsi="宋体" w:eastAsia="宋体" w:cs="宋体"/>
          <w:bCs/>
          <w:sz w:val="24"/>
          <w:highlight w:val="none"/>
        </w:rPr>
        <w:t xml:space="preserve">元。</w:t>
      </w:r>
      <w:r>
        <w:rPr>
          <w:rFonts w:hint="eastAsia" w:ascii="宋体" w:hAnsi="宋体" w:eastAsia="宋体" w:cs="宋体"/>
          <w:bCs/>
          <w:sz w:val="24"/>
          <w:highlight w:val="none"/>
        </w:rPr>
      </w:r>
      <w:r/>
    </w:p>
    <w:p>
      <w:pPr>
        <w:pStyle w:val="786"/>
        <w:ind w:firstLine="480"/>
        <w:spacing w:line="360" w:lineRule="auto"/>
        <w:tabs>
          <w:tab w:val="left" w:pos="840" w:leader="none"/>
          <w:tab w:val="left" w:pos="1155" w:leader="none"/>
        </w:tabs>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2. 付款方式：</w:t>
      </w:r>
      <w:r>
        <w:rPr>
          <w:rFonts w:ascii="SimSun" w:hAnsi="SimSun" w:eastAsia="SimSun" w:cs="SimSun"/>
          <w:color w:val="0000ff"/>
          <w:sz w:val="24"/>
        </w:rPr>
        <w:t xml:space="preserve">合同签订生效后，预付合同总价的30%；货物安装调试结束，并经验收合格后支付至不超过合同执行价的70%；审计结束后付至合同审定价的97%；货物保修期满经项目使用单位确认保修质量和保修效果后，结清全部货物余款。</w:t>
      </w:r>
      <w:r>
        <w:rPr>
          <w:rFonts w:hint="eastAsia" w:ascii="宋体" w:hAnsi="宋体" w:eastAsia="宋体" w:cs="宋体"/>
          <w:bCs/>
          <w:sz w:val="24"/>
          <w:highlight w:val="none"/>
        </w:rPr>
      </w:r>
      <w:r>
        <w:rPr>
          <w:rFonts w:hint="eastAsia" w:ascii="宋体" w:hAnsi="宋体" w:eastAsia="宋体" w:cs="宋体"/>
          <w:bCs/>
          <w:sz w:val="24"/>
          <w:highlight w:val="none"/>
          <w:u w:val="single"/>
        </w:rPr>
      </w:r>
      <w:r/>
    </w:p>
    <w:p>
      <w:pPr>
        <w:pStyle w:val="786"/>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三</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知识产权：</w:t>
      </w:r>
      <w:r>
        <w:rPr>
          <w:rFonts w:hint="eastAsia" w:ascii="宋体" w:hAnsi="宋体" w:eastAsia="宋体" w:cs="宋体"/>
          <w:bCs/>
          <w:sz w:val="24"/>
          <w:highlight w:val="none"/>
        </w:rPr>
      </w:r>
      <w:r/>
    </w:p>
    <w:p>
      <w:pPr>
        <w:pStyle w:val="786"/>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rPr>
          <w:rFonts w:hint="eastAsia" w:ascii="宋体" w:hAnsi="宋体" w:eastAsia="宋体" w:cs="宋体"/>
          <w:bCs/>
          <w:sz w:val="24"/>
          <w:highlight w:val="none"/>
        </w:rPr>
      </w:r>
      <w:r/>
    </w:p>
    <w:p>
      <w:pPr>
        <w:pStyle w:val="786"/>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四</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质量与验收：</w:t>
      </w:r>
      <w:r>
        <w:rPr>
          <w:rFonts w:hint="eastAsia" w:ascii="宋体" w:hAnsi="宋体" w:eastAsia="宋体" w:cs="宋体"/>
          <w:bCs/>
          <w:sz w:val="24"/>
          <w:highlight w:val="none"/>
        </w:rPr>
      </w:r>
      <w:r/>
    </w:p>
    <w:p>
      <w:pPr>
        <w:pStyle w:val="786"/>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所有产品均应出自原厂，不得私自添加或更改，保证所有产品及部件均是全新的纯正部品，不得以废、旧材料制作，产品必须符合行业要求。交货时所有产品应货物完好，物品配件齐全，否则视为不合格产品，</w:t>
      </w:r>
      <w:r>
        <w:rPr>
          <w:rFonts w:hint="eastAsia" w:ascii="宋体" w:hAnsi="宋体" w:eastAsia="宋体" w:cs="宋体"/>
          <w:sz w:val="24"/>
          <w:highlight w:val="none"/>
          <w:lang w:eastAsia="zh-CN"/>
        </w:rPr>
        <w:t xml:space="preserve">采购人</w:t>
      </w:r>
      <w:r>
        <w:rPr>
          <w:rFonts w:hint="eastAsia" w:ascii="宋体" w:hAnsi="宋体" w:eastAsia="宋体" w:cs="宋体"/>
          <w:sz w:val="24"/>
          <w:highlight w:val="none"/>
        </w:rPr>
        <w:t xml:space="preserve">有权拒绝接收。                                   </w:t>
      </w:r>
      <w:r>
        <w:rPr>
          <w:rFonts w:hint="eastAsia" w:ascii="宋体" w:hAnsi="宋体" w:eastAsia="宋体" w:cs="宋体"/>
          <w:sz w:val="24"/>
          <w:highlight w:val="none"/>
        </w:rPr>
      </w:r>
      <w:r/>
    </w:p>
    <w:p>
      <w:pPr>
        <w:pStyle w:val="786"/>
        <w:ind w:firstLine="480"/>
        <w:spacing w:line="360" w:lineRule="auto"/>
        <w:tabs>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rPr>
          <w:rFonts w:hint="eastAsia" w:ascii="宋体" w:hAnsi="宋体" w:eastAsia="宋体" w:cs="宋体"/>
          <w:sz w:val="24"/>
          <w:highlight w:val="none"/>
        </w:rPr>
      </w:r>
      <w:r/>
    </w:p>
    <w:p>
      <w:pPr>
        <w:pStyle w:val="786"/>
        <w:ind w:firstLine="480"/>
        <w:spacing w:line="360" w:lineRule="auto"/>
        <w:tabs>
          <w:tab w:val="left" w:pos="420" w:leader="none"/>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3．货物的到货验收包括：数量、外观、质量、性能、随机备件、装箱单、质量证书等随机资料及包装完整无破损。</w:t>
      </w:r>
      <w:r>
        <w:rPr>
          <w:rFonts w:hint="eastAsia" w:ascii="宋体" w:hAnsi="宋体" w:eastAsia="宋体" w:cs="宋体"/>
          <w:sz w:val="24"/>
          <w:highlight w:val="none"/>
        </w:rPr>
      </w:r>
      <w:r/>
    </w:p>
    <w:p>
      <w:pPr>
        <w:pStyle w:val="786"/>
        <w:ind w:firstLine="480"/>
        <w:spacing w:line="360" w:lineRule="auto"/>
        <w:tabs>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4．货物和系统调试验收标准：</w:t>
      </w:r>
      <w:r>
        <w:rPr>
          <w:rFonts w:hint="eastAsia" w:ascii="宋体" w:hAnsi="宋体" w:eastAsia="宋体" w:cs="宋体"/>
          <w:sz w:val="24"/>
          <w:highlight w:val="none"/>
          <w:lang w:eastAsia="zh-CN"/>
        </w:rPr>
        <w:t xml:space="preserve">按照</w:t>
      </w:r>
      <w:r>
        <w:rPr>
          <w:rFonts w:hint="eastAsia" w:ascii="宋体" w:hAnsi="宋体" w:eastAsia="宋体" w:cs="宋体"/>
          <w:sz w:val="24"/>
          <w:highlight w:val="none"/>
        </w:rPr>
        <w:t xml:space="preserve">行业通行标准、厂方出厂标准、招标文件要求和供方投标文件的承诺，并不低于国家相关标准。</w:t>
      </w:r>
      <w:r>
        <w:rPr>
          <w:rFonts w:hint="eastAsia" w:ascii="宋体" w:hAnsi="宋体" w:eastAsia="宋体" w:cs="宋体"/>
          <w:sz w:val="24"/>
          <w:highlight w:val="none"/>
        </w:rPr>
      </w:r>
      <w:r/>
    </w:p>
    <w:p>
      <w:pPr>
        <w:pStyle w:val="786"/>
        <w:ind w:firstLine="480"/>
        <w:spacing w:line="360" w:lineRule="auto"/>
        <w:tabs>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5．货物运到需方指定地点并经需方验证签收后，由于需方保管不善造成的质量问题，供方应负责修理，但有关费用由需方承担。</w:t>
      </w:r>
      <w:r>
        <w:rPr>
          <w:rFonts w:hint="eastAsia" w:ascii="宋体" w:hAnsi="宋体" w:eastAsia="宋体" w:cs="宋体"/>
          <w:sz w:val="24"/>
          <w:highlight w:val="none"/>
        </w:rPr>
      </w:r>
      <w:r/>
    </w:p>
    <w:p>
      <w:pPr>
        <w:pStyle w:val="786"/>
        <w:ind w:firstLine="480"/>
        <w:spacing w:line="360" w:lineRule="auto"/>
        <w:tabs>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6. 需方应在货物运到并接到供方通知后及时按照招投标文件的约定组织验收。在验收过程中产生的质量及其他问题，需方须在三日内以书面形式提出异议并提出相应处理意见。供方在接到需方书面异议后应在三日内整改完毕，否则承担违约责任。</w:t>
      </w:r>
      <w:r>
        <w:rPr>
          <w:rFonts w:hint="eastAsia" w:ascii="宋体" w:hAnsi="宋体" w:eastAsia="宋体" w:cs="宋体"/>
          <w:sz w:val="24"/>
          <w:highlight w:val="none"/>
        </w:rPr>
      </w:r>
      <w:r/>
    </w:p>
    <w:p>
      <w:pPr>
        <w:pStyle w:val="786"/>
        <w:ind w:firstLine="480"/>
        <w:spacing w:line="360" w:lineRule="auto"/>
        <w:tabs>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7. 需方不得擅自变更招投标文件约定的性能、指标等相关内容，如有变更应按相关程序执行。</w:t>
      </w:r>
      <w:r>
        <w:rPr>
          <w:rFonts w:hint="eastAsia" w:ascii="宋体" w:hAnsi="宋体" w:eastAsia="宋体" w:cs="宋体"/>
          <w:sz w:val="24"/>
          <w:highlight w:val="none"/>
        </w:rPr>
      </w:r>
      <w:r/>
    </w:p>
    <w:p>
      <w:pPr>
        <w:pStyle w:val="786"/>
        <w:ind w:firstLine="480"/>
        <w:spacing w:line="360" w:lineRule="auto"/>
        <w:tabs>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五）合同履行过程中发生下列情形的，需方有权变更、中止或终止合同，供方应当予以配合，但需方应当在发生相应情形后三天内通知供方，并组织双方协商确定解决方案，需方应当按约支付供方已经完成的服务对应的合同价款，并补偿因合同变更、中止或终止而引发的供方直接损失：</w:t>
      </w:r>
      <w:r>
        <w:rPr>
          <w:rFonts w:hint="eastAsia" w:ascii="宋体" w:hAnsi="宋体" w:eastAsia="宋体" w:cs="宋体"/>
          <w:sz w:val="24"/>
          <w:highlight w:val="none"/>
        </w:rPr>
      </w:r>
      <w:r/>
    </w:p>
    <w:p>
      <w:pPr>
        <w:pStyle w:val="786"/>
        <w:ind w:firstLine="480"/>
        <w:spacing w:line="360" w:lineRule="auto"/>
        <w:tabs>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（1）需方内部工作安排、计划调整等自身原因；</w:t>
      </w:r>
      <w:r>
        <w:rPr>
          <w:rFonts w:hint="eastAsia" w:ascii="宋体" w:hAnsi="宋体" w:eastAsia="宋体" w:cs="宋体"/>
          <w:sz w:val="24"/>
          <w:highlight w:val="none"/>
        </w:rPr>
      </w:r>
      <w:r/>
    </w:p>
    <w:p>
      <w:pPr>
        <w:pStyle w:val="786"/>
        <w:ind w:firstLine="480"/>
        <w:spacing w:line="360" w:lineRule="auto"/>
        <w:tabs>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（2）中央、省、市、区级政策变动，以及规划、计划调整等外部原因；</w:t>
      </w:r>
      <w:r>
        <w:rPr>
          <w:rFonts w:hint="eastAsia" w:ascii="宋体" w:hAnsi="宋体" w:eastAsia="宋体" w:cs="宋体"/>
          <w:sz w:val="24"/>
          <w:highlight w:val="none"/>
        </w:rPr>
      </w:r>
      <w:r/>
    </w:p>
    <w:p>
      <w:pPr>
        <w:pStyle w:val="786"/>
        <w:ind w:firstLine="480"/>
        <w:spacing w:line="360" w:lineRule="auto"/>
        <w:tabs>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（3）其他需方原因。</w:t>
      </w:r>
      <w:r>
        <w:rPr>
          <w:rFonts w:hint="eastAsia" w:ascii="宋体" w:hAnsi="宋体" w:eastAsia="宋体" w:cs="宋体"/>
          <w:sz w:val="24"/>
          <w:highlight w:val="none"/>
        </w:rPr>
      </w:r>
      <w:r/>
    </w:p>
    <w:p>
      <w:pPr>
        <w:pStyle w:val="786"/>
        <w:ind w:firstLine="480"/>
        <w:spacing w:line="360" w:lineRule="auto"/>
        <w:tabs>
          <w:tab w:val="left" w:pos="1050" w:leader="none"/>
          <w:tab w:val="left" w:pos="1155" w:leader="none"/>
        </w:tabs>
        <w:rPr>
          <w:rFonts w:hint="eastAsia" w:ascii="宋体" w:hAnsi="宋体" w:eastAsia="宋体" w:cs="宋体"/>
          <w:b/>
          <w:bCs/>
          <w:sz w:val="24"/>
          <w:highlight w:val="none"/>
        </w:rPr>
      </w:pPr>
      <w:r>
        <w:rPr>
          <w:rFonts w:hint="eastAsia" w:ascii="宋体" w:hAnsi="宋体" w:eastAsia="宋体" w:cs="宋体"/>
          <w:sz w:val="24"/>
          <w:highlight w:val="none"/>
        </w:rPr>
        <w:t xml:space="preserve">本合同对合同变更、中止或终止合同有其他特殊约定的，按该特殊约定执行。</w:t>
      </w:r>
      <w:r>
        <w:rPr>
          <w:rFonts w:hint="eastAsia" w:ascii="宋体" w:hAnsi="宋体" w:eastAsia="宋体" w:cs="宋体"/>
          <w:b/>
          <w:bCs/>
          <w:sz w:val="24"/>
          <w:highlight w:val="none"/>
        </w:rPr>
      </w:r>
      <w:r/>
    </w:p>
    <w:p>
      <w:pPr>
        <w:pStyle w:val="786"/>
        <w:numPr>
          <w:ilvl w:val="0"/>
          <w:numId w:val="4"/>
        </w:numPr>
        <w:jc w:val="left"/>
        <w:spacing w:line="360" w:lineRule="auto"/>
        <w:tabs>
          <w:tab w:val="left" w:pos="1505"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组成本合同的有关文件</w:t>
      </w:r>
      <w:r>
        <w:rPr>
          <w:rFonts w:hint="eastAsia" w:ascii="宋体" w:hAnsi="宋体" w:eastAsia="宋体" w:cs="宋体"/>
          <w:b/>
          <w:sz w:val="24"/>
          <w:highlight w:val="none"/>
        </w:rPr>
      </w:r>
      <w:r/>
    </w:p>
    <w:p>
      <w:pPr>
        <w:pStyle w:val="786"/>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关于</w:t>
      </w:r>
      <w:r>
        <w:rPr>
          <w:rFonts w:hint="eastAsia" w:ascii="宋体" w:hAnsi="宋体" w:cs="宋体"/>
          <w:sz w:val="24"/>
          <w:highlight w:val="none"/>
          <w:u w:val="single"/>
          <w:lang w:eastAsia="zh-CN"/>
        </w:rPr>
        <w:t xml:space="preserve">天一中学新吴分校新建工程厨房设备采购项目</w:t>
      </w:r>
      <w:r>
        <w:rPr>
          <w:rFonts w:hint="eastAsia" w:ascii="宋体" w:hAnsi="宋体" w:eastAsia="宋体" w:cs="宋体"/>
          <w:sz w:val="24"/>
          <w:highlight w:val="none"/>
        </w:rPr>
        <w:t xml:space="preserve">的</w:t>
      </w:r>
      <w:r>
        <w:rPr>
          <w:rFonts w:hint="eastAsia" w:ascii="宋体" w:hAnsi="宋体" w:eastAsia="宋体" w:cs="宋体"/>
          <w:bCs/>
          <w:sz w:val="24"/>
          <w:highlight w:val="none"/>
        </w:rPr>
        <w:t xml:space="preserve">招标文件、投标文件、合同条款及中标通知书，供方在投标、评标过程中所作</w:t>
      </w:r>
      <w:r>
        <w:rPr>
          <w:rFonts w:hint="eastAsia" w:ascii="宋体" w:hAnsi="宋体" w:eastAsia="宋体" w:cs="宋体"/>
          <w:bCs/>
          <w:sz w:val="24"/>
          <w:highlight w:val="none"/>
          <w:lang w:eastAsia="zh-CN"/>
        </w:rPr>
        <w:t xml:space="preserve">其他</w:t>
      </w:r>
      <w:r>
        <w:rPr>
          <w:rFonts w:hint="eastAsia" w:ascii="宋体" w:hAnsi="宋体" w:eastAsia="宋体" w:cs="宋体"/>
          <w:bCs/>
          <w:sz w:val="24"/>
          <w:highlight w:val="none"/>
        </w:rPr>
        <w:t xml:space="preserve">有关承诺、声明、书面澄清等均为合同不可分割的部分，与主合同具有同等法律效力。</w:t>
      </w:r>
      <w:r>
        <w:rPr>
          <w:rFonts w:hint="eastAsia" w:ascii="宋体" w:hAnsi="宋体" w:eastAsia="宋体" w:cs="宋体"/>
          <w:sz w:val="24"/>
          <w:highlight w:val="none"/>
        </w:rPr>
      </w:r>
      <w:r/>
    </w:p>
    <w:p>
      <w:pPr>
        <w:pStyle w:val="786"/>
        <w:numPr>
          <w:ilvl w:val="0"/>
          <w:numId w:val="4"/>
        </w:numPr>
        <w:jc w:val="left"/>
        <w:spacing w:line="360" w:lineRule="auto"/>
        <w:tabs>
          <w:tab w:val="left" w:pos="1505"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 交货条件：</w:t>
      </w:r>
      <w:r>
        <w:rPr>
          <w:rFonts w:hint="eastAsia" w:ascii="宋体" w:hAnsi="宋体" w:eastAsia="宋体" w:cs="宋体"/>
          <w:b/>
          <w:sz w:val="24"/>
          <w:highlight w:val="none"/>
        </w:rPr>
      </w:r>
      <w:r/>
    </w:p>
    <w:p>
      <w:pPr>
        <w:pStyle w:val="786"/>
        <w:ind w:firstLine="480"/>
        <w:jc w:val="left"/>
        <w:spacing w:line="360" w:lineRule="auto"/>
        <w:rPr>
          <w:rFonts w:hint="eastAsia" w:ascii="宋体" w:hAnsi="宋体" w:eastAsia="宋体" w:cs="宋体"/>
          <w:sz w:val="24"/>
          <w:highlight w:val="none"/>
        </w:rPr>
      </w:pPr>
      <w:r>
        <w:rPr>
          <w:rFonts w:hint="eastAsia" w:ascii="宋体" w:hAnsi="宋体" w:eastAsia="宋体" w:cs="宋体"/>
          <w:bCs/>
          <w:sz w:val="24"/>
          <w:highlight w:val="none"/>
        </w:rPr>
        <w:t xml:space="preserve">1．交货日期</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或完工期</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bCs/>
          <w:sz w:val="24"/>
          <w:highlight w:val="none"/>
          <w:u w:val="single"/>
        </w:rPr>
        <w:t xml:space="preserve">30日历天内完成采购、安装、调试等。</w:t>
      </w:r>
      <w:r>
        <w:rPr>
          <w:rFonts w:hint="eastAsia" w:ascii="宋体" w:hAnsi="宋体" w:eastAsia="宋体" w:cs="宋体"/>
          <w:sz w:val="24"/>
          <w:highlight w:val="none"/>
        </w:rPr>
        <w:t xml:space="preserve">（具体开工日期以需方的书面供货通知为准）</w:t>
      </w:r>
      <w:r>
        <w:rPr>
          <w:rFonts w:hint="eastAsia" w:ascii="宋体" w:hAnsi="宋体" w:eastAsia="宋体" w:cs="宋体"/>
          <w:sz w:val="24"/>
          <w:highlight w:val="none"/>
        </w:rPr>
      </w:r>
      <w:r/>
    </w:p>
    <w:p>
      <w:pPr>
        <w:pStyle w:val="786"/>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2．供方在验收时应先用信函、传真、电子邮件等书面方式通知需方。</w:t>
      </w:r>
      <w:r>
        <w:rPr>
          <w:rFonts w:hint="eastAsia" w:ascii="宋体" w:hAnsi="宋体" w:eastAsia="宋体" w:cs="宋体"/>
          <w:bCs/>
          <w:sz w:val="24"/>
          <w:highlight w:val="none"/>
        </w:rPr>
      </w:r>
      <w:r/>
    </w:p>
    <w:p>
      <w:pPr>
        <w:pStyle w:val="786"/>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 货物的外观、包装、运输应按国家有关规定或相关部颁标准执行。如因供方包装或运输不当等原因造成损坏或丢失，应由供方负责调换或补缺，如因此导致供方逾期交付货物的，供方还应承担逾期交付的违约责任。</w:t>
      </w:r>
      <w:r>
        <w:rPr>
          <w:rFonts w:hint="eastAsia" w:ascii="宋体" w:hAnsi="宋体" w:eastAsia="宋体" w:cs="宋体"/>
          <w:bCs/>
          <w:sz w:val="24"/>
          <w:highlight w:val="none"/>
        </w:rPr>
      </w:r>
      <w:r/>
    </w:p>
    <w:p>
      <w:pPr>
        <w:pStyle w:val="786"/>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 货物交货时，所有货物必须带有货物质量检验合格证书、中文质保单、装箱单、中文货物安装使用说明书。</w:t>
      </w:r>
      <w:r>
        <w:rPr>
          <w:rFonts w:hint="eastAsia" w:ascii="宋体" w:hAnsi="宋体" w:eastAsia="宋体" w:cs="宋体"/>
          <w:bCs/>
          <w:sz w:val="24"/>
          <w:highlight w:val="none"/>
          <w:lang w:eastAsia="zh-CN"/>
        </w:rPr>
        <w:t xml:space="preserve">其他</w:t>
      </w:r>
      <w:r>
        <w:rPr>
          <w:rFonts w:hint="eastAsia" w:ascii="宋体" w:hAnsi="宋体" w:eastAsia="宋体" w:cs="宋体"/>
          <w:bCs/>
          <w:sz w:val="24"/>
          <w:highlight w:val="none"/>
        </w:rPr>
        <w:t xml:space="preserve">附件所有部件必须原包装。</w:t>
      </w:r>
      <w:r>
        <w:rPr>
          <w:rFonts w:hint="eastAsia" w:ascii="宋体" w:hAnsi="宋体" w:eastAsia="宋体" w:cs="宋体"/>
          <w:bCs/>
          <w:sz w:val="24"/>
          <w:highlight w:val="none"/>
        </w:rPr>
      </w:r>
      <w:r/>
    </w:p>
    <w:p>
      <w:pPr>
        <w:pStyle w:val="786"/>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 运输及到货地点：由供方负责办理运输并承担所有费用，直接送到需方指定地点，即：以合同书上的地点为准。</w:t>
      </w:r>
      <w:r>
        <w:rPr>
          <w:rFonts w:hint="eastAsia" w:ascii="宋体" w:hAnsi="宋体" w:eastAsia="宋体" w:cs="宋体"/>
          <w:bCs/>
          <w:sz w:val="24"/>
          <w:highlight w:val="none"/>
        </w:rPr>
      </w:r>
      <w:r/>
    </w:p>
    <w:p>
      <w:pPr>
        <w:pStyle w:val="786"/>
        <w:numPr>
          <w:ilvl w:val="0"/>
          <w:numId w:val="4"/>
        </w:numPr>
        <w:jc w:val="left"/>
        <w:spacing w:line="360" w:lineRule="auto"/>
        <w:tabs>
          <w:tab w:val="left" w:pos="1505"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 售后质量保证：</w:t>
      </w:r>
      <w:r>
        <w:rPr>
          <w:rFonts w:hint="eastAsia" w:ascii="宋体" w:hAnsi="宋体" w:eastAsia="宋体" w:cs="宋体"/>
          <w:b/>
          <w:sz w:val="24"/>
          <w:highlight w:val="none"/>
        </w:rPr>
      </w:r>
      <w:r/>
    </w:p>
    <w:p>
      <w:pPr>
        <w:pStyle w:val="786"/>
        <w:numPr>
          <w:ilvl w:val="0"/>
          <w:numId w:val="5"/>
        </w:numPr>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质保期：</w:t>
      </w:r>
      <w:r>
        <w:rPr>
          <w:rFonts w:hint="eastAsia" w:ascii="宋体" w:hAnsi="宋体" w:cs="宋体"/>
          <w:bCs/>
          <w:sz w:val="24"/>
          <w:highlight w:val="none"/>
          <w:lang w:val="en-US" w:eastAsia="zh-CN"/>
        </w:rPr>
        <w:t xml:space="preserve">2</w:t>
      </w:r>
      <w:r>
        <w:rPr>
          <w:rFonts w:hint="eastAsia" w:ascii="宋体" w:hAnsi="宋体" w:eastAsia="宋体" w:cs="宋体"/>
          <w:bCs/>
          <w:sz w:val="24"/>
          <w:highlight w:val="none"/>
        </w:rPr>
        <w:t xml:space="preserve">年（自最终验收合格、交付使用之日起计算）。所投产品质保期内质量出现问题，供方应包退、包换、包修，费用由供方负责。</w:t>
      </w:r>
      <w:r>
        <w:rPr>
          <w:rFonts w:hint="eastAsia" w:ascii="宋体" w:hAnsi="宋体" w:eastAsia="宋体" w:cs="宋体"/>
          <w:bCs/>
          <w:sz w:val="24"/>
          <w:highlight w:val="none"/>
        </w:rPr>
      </w:r>
      <w:r/>
    </w:p>
    <w:p>
      <w:pPr>
        <w:pStyle w:val="786"/>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在本项目质保期</w:t>
      </w:r>
      <w:r>
        <w:rPr>
          <w:rFonts w:hint="eastAsia" w:ascii="宋体" w:hAnsi="宋体" w:eastAsia="宋体" w:cs="宋体"/>
          <w:bCs/>
          <w:sz w:val="24"/>
          <w:highlight w:val="none"/>
        </w:rPr>
        <w:t xml:space="preserve">内，一旦产品发生质量问题，供方保证在接到通知30分钟内响应，需现场维修的，接报后1小时内到达现场，并于2小时内维修完毕。如2小时内无法修复，需方有权选择要求供应商继续维修，并在产品维修期间提供备用产品或另行委托第三方进行维修，由此产生的所有费用由供方承担。未尽事宜按产品说明的保修承诺执行。如供方在接到通知后1小时内没有答复，则视为供方承认质量问题并承担由此发生的一切费用。质保期外，更换部件或维修的相关费用由需方承担，但不包括设备始终存在的技术缺陷，如果设备始终存在技术缺陷，无法正常使用，则不受质保期的限制。</w:t>
      </w:r>
      <w:r>
        <w:rPr>
          <w:rFonts w:hint="eastAsia" w:ascii="宋体" w:hAnsi="宋体" w:eastAsia="宋体" w:cs="宋体"/>
          <w:bCs/>
          <w:sz w:val="24"/>
          <w:highlight w:val="none"/>
        </w:rPr>
      </w:r>
      <w:r/>
    </w:p>
    <w:p>
      <w:pPr>
        <w:pStyle w:val="786"/>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2、项目最终交付验收后，供方应对其技术方案、安装工艺或材料的缺陷而产生的所有故障及安全责任负责，由供方免费负责维修、更换并承担相关损失。因台风、地震</w:t>
      </w:r>
      <w:r>
        <w:rPr>
          <w:rFonts w:hint="eastAsia" w:ascii="宋体" w:hAnsi="宋体" w:cs="宋体"/>
          <w:bCs/>
          <w:sz w:val="24"/>
          <w:highlight w:val="none"/>
          <w:lang w:val="en-US" w:eastAsia="zh-CN"/>
        </w:rPr>
        <w:t xml:space="preserve">等</w:t>
      </w:r>
      <w:r>
        <w:rPr>
          <w:rFonts w:hint="eastAsia" w:ascii="宋体" w:hAnsi="宋体" w:eastAsia="宋体" w:cs="宋体"/>
          <w:bCs/>
          <w:sz w:val="24"/>
          <w:highlight w:val="none"/>
        </w:rPr>
        <w:t xml:space="preserve">不可抗力因素或发生偷盗、人为恶意破坏导致产品损坏或遗失，不属于售后服务范围，但供方需配合需方承担维修或更换工作，价格依产品实际单价按实结算。</w:t>
      </w:r>
      <w:r>
        <w:rPr>
          <w:rFonts w:hint="eastAsia" w:ascii="宋体" w:hAnsi="宋体" w:eastAsia="宋体" w:cs="宋体"/>
          <w:bCs/>
          <w:sz w:val="24"/>
          <w:highlight w:val="none"/>
        </w:rPr>
      </w:r>
      <w:r/>
    </w:p>
    <w:p>
      <w:pPr>
        <w:pStyle w:val="786"/>
        <w:ind w:firstLine="560"/>
        <w:jc w:val="lef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第五条   伴随服务保证</w:t>
      </w:r>
      <w:r>
        <w:rPr>
          <w:rFonts w:hint="eastAsia" w:ascii="宋体" w:hAnsi="宋体" w:eastAsia="宋体" w:cs="宋体"/>
          <w:b/>
          <w:sz w:val="24"/>
          <w:highlight w:val="none"/>
        </w:rPr>
      </w:r>
      <w:r/>
    </w:p>
    <w:p>
      <w:pPr>
        <w:pStyle w:val="786"/>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1、供方应提交所提供货物的技术文件，应包括相应的每一材料的中文的技术文件，例如：产品目录、图纸、操作手册、使用说明、维护手册和服务指南。这些文件应包装好随同货物一起发运。</w:t>
      </w:r>
      <w:r>
        <w:rPr>
          <w:rFonts w:hint="eastAsia" w:ascii="宋体" w:hAnsi="宋体" w:eastAsia="宋体" w:cs="宋体"/>
          <w:bCs/>
          <w:sz w:val="24"/>
          <w:highlight w:val="none"/>
        </w:rPr>
      </w:r>
      <w:r/>
    </w:p>
    <w:p>
      <w:pPr>
        <w:pStyle w:val="786"/>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供方承诺应提供下列服务：免费送货上门至现场配合检查；提供货物组装和维修所需的专用工具和辅助材料；在双方商定的一定期限内对所有的货物实施监督、维修，但前提条件是该服务并不能免除供方在质量保证期内所承担的义务；</w:t>
      </w:r>
      <w:r>
        <w:rPr>
          <w:rFonts w:hint="eastAsia" w:ascii="宋体" w:hAnsi="宋体" w:eastAsia="宋体" w:cs="宋体"/>
          <w:bCs/>
          <w:sz w:val="24"/>
          <w:highlight w:val="none"/>
        </w:rPr>
      </w:r>
      <w:r/>
    </w:p>
    <w:p>
      <w:pPr>
        <w:pStyle w:val="786"/>
        <w:ind w:firstLine="482"/>
        <w:spacing w:line="360" w:lineRule="auto"/>
        <w:tabs>
          <w:tab w:val="left" w:pos="105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第六条   调试和验收要求</w:t>
      </w:r>
      <w:r>
        <w:rPr>
          <w:rFonts w:hint="eastAsia" w:ascii="宋体" w:hAnsi="宋体" w:eastAsia="宋体" w:cs="宋体"/>
          <w:b/>
          <w:sz w:val="24"/>
          <w:highlight w:val="none"/>
        </w:rPr>
      </w:r>
      <w:r/>
    </w:p>
    <w:p>
      <w:pPr>
        <w:pStyle w:val="786"/>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1、供方交货前应对产品作全面检查，对验收文件进行整理，并列出清单，作为需方收货、验收和使用的技术条件依据，检验的结果应随货物交给需方。</w:t>
      </w:r>
      <w:r>
        <w:rPr>
          <w:rFonts w:hint="eastAsia" w:ascii="宋体" w:hAnsi="宋体" w:eastAsia="宋体" w:cs="宋体"/>
          <w:bCs/>
          <w:sz w:val="24"/>
          <w:highlight w:val="none"/>
        </w:rPr>
      </w:r>
      <w:r/>
    </w:p>
    <w:p>
      <w:pPr>
        <w:pStyle w:val="786"/>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2、项目完工后，供方需负责进行调试，并培训需方的使用操作人员，并协助需方一起调试，直到符合技术要求后，方可最终验收。</w:t>
      </w:r>
      <w:r>
        <w:rPr>
          <w:rFonts w:hint="eastAsia" w:ascii="宋体" w:hAnsi="宋体" w:eastAsia="宋体" w:cs="宋体"/>
          <w:bCs/>
          <w:sz w:val="24"/>
          <w:highlight w:val="none"/>
        </w:rPr>
      </w:r>
      <w:r/>
    </w:p>
    <w:p>
      <w:pPr>
        <w:pStyle w:val="786"/>
        <w:ind w:left="0" w:right="0" w:firstLine="480"/>
        <w:jc w:val="both"/>
        <w:keepLines w:val="0"/>
        <w:keepNext w:val="0"/>
        <w:spacing w:before="0" w:beforeAutospacing="0" w:after="0" w:afterAutospacing="0"/>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sz w:val="24"/>
          <w:highlight w:val="none"/>
        </w:rPr>
        <w:t xml:space="preserve">3、验收完毕供方应出具验收结果报告，符合要求的给予签收，验收不合格的不予签收。</w:t>
      </w:r>
      <w:r>
        <w:rPr>
          <w:rFonts w:hint="eastAsia" w:ascii="宋体" w:hAnsi="宋体" w:eastAsia="宋体" w:cs="宋体"/>
          <w:bCs/>
          <w:sz w:val="24"/>
          <w:highlight w:val="none"/>
        </w:rPr>
      </w:r>
      <w:r/>
    </w:p>
    <w:p>
      <w:pPr>
        <w:pStyle w:val="786"/>
        <w:ind w:left="0" w:right="0" w:firstLine="480"/>
        <w:jc w:val="both"/>
        <w:keepLines w:val="0"/>
        <w:keepNext w:val="0"/>
        <w:spacing w:before="0" w:beforeAutospacing="0" w:after="0" w:afterAutospacing="0"/>
        <w:widowControl w:val="off"/>
        <w:rPr>
          <w:rFonts w:hint="eastAsia" w:ascii="宋体" w:hAnsi="宋体" w:eastAsia="宋体" w:cs="Times New Roman"/>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 w:bidi="ar"/>
        </w:rPr>
        <w:t xml:space="preserve">4</w:t>
      </w:r>
      <w:r>
        <w:rPr>
          <w:rFonts w:hint="eastAsia" w:ascii="宋体" w:hAnsi="宋体" w:eastAsia="宋体" w:cs="宋体"/>
          <w:sz w:val="24"/>
          <w:szCs w:val="24"/>
          <w:highlight w:val="none"/>
          <w:lang w:val="en-US" w:eastAsia="zh-CN" w:bidi="ar"/>
        </w:rPr>
        <w:t xml:space="preserve">、履约验收方案</w:t>
      </w:r>
      <w:r>
        <w:rPr>
          <w:rFonts w:hint="eastAsia" w:ascii="宋体" w:hAnsi="宋体" w:eastAsia="宋体" w:cs="Times New Roman"/>
          <w:sz w:val="24"/>
          <w:szCs w:val="24"/>
          <w:highlight w:val="none"/>
        </w:rPr>
      </w:r>
      <w:r/>
    </w:p>
    <w:p>
      <w:pPr>
        <w:pStyle w:val="786"/>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履约验收主体：无锡国家高新技术产业开发区（无锡市新吴区）教育局。</w:t>
      </w:r>
      <w:r>
        <w:rPr>
          <w:rFonts w:hint="eastAsia" w:ascii="宋体" w:hAnsi="宋体" w:eastAsia="宋体" w:cs="Times New Roman"/>
          <w:sz w:val="24"/>
          <w:szCs w:val="24"/>
          <w:highlight w:val="none"/>
        </w:rPr>
      </w:r>
      <w:r/>
    </w:p>
    <w:p>
      <w:pPr>
        <w:pStyle w:val="786"/>
        <w:ind w:left="0" w:right="0" w:firstLine="480"/>
        <w:jc w:val="both"/>
        <w:keepLines w:val="0"/>
        <w:keepNext w:val="0"/>
        <w:spacing w:before="0" w:beforeAutospacing="0" w:after="0" w:afterAutospacing="0"/>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履约验收时间：合同签订生效后30个日历天内安装调试完毕。</w:t>
      </w:r>
      <w:r>
        <w:rPr>
          <w:rFonts w:hint="eastAsia" w:ascii="宋体" w:hAnsi="宋体" w:eastAsia="宋体" w:cs="Times New Roman"/>
          <w:sz w:val="24"/>
          <w:szCs w:val="24"/>
          <w:highlight w:val="none"/>
        </w:rPr>
      </w:r>
      <w:r/>
    </w:p>
    <w:p>
      <w:pPr>
        <w:pStyle w:val="786"/>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履约验收方式：按照采购人要求将本项目中货物送到指定地点（包括可能的分布范围），并分布实施安装。</w:t>
      </w:r>
      <w:r>
        <w:rPr>
          <w:rFonts w:hint="eastAsia" w:ascii="宋体" w:hAnsi="宋体" w:eastAsia="宋体" w:cs="Times New Roman"/>
          <w:sz w:val="24"/>
          <w:szCs w:val="24"/>
          <w:highlight w:val="none"/>
        </w:rPr>
      </w:r>
      <w:r/>
    </w:p>
    <w:p>
      <w:pPr>
        <w:pStyle w:val="786"/>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履约验收程序：货物安装调试结束后。</w:t>
      </w:r>
      <w:r>
        <w:rPr>
          <w:rFonts w:hint="eastAsia" w:ascii="宋体" w:hAnsi="宋体" w:eastAsia="宋体" w:cs="Times New Roman"/>
          <w:sz w:val="24"/>
          <w:szCs w:val="24"/>
          <w:highlight w:val="none"/>
        </w:rPr>
      </w:r>
      <w:r/>
    </w:p>
    <w:p>
      <w:pPr>
        <w:pStyle w:val="786"/>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履约验收内容：满足</w:t>
      </w:r>
      <w:r>
        <w:rPr>
          <w:rFonts w:hint="eastAsia" w:ascii="宋体" w:hAnsi="宋体" w:cs="宋体"/>
          <w:sz w:val="24"/>
          <w:szCs w:val="24"/>
          <w:highlight w:val="none"/>
          <w:lang w:val="en-US" w:eastAsia="zh" w:bidi="ar"/>
        </w:rPr>
        <w:t xml:space="preserve">采购</w:t>
      </w:r>
      <w:r>
        <w:rPr>
          <w:rFonts w:hint="eastAsia" w:ascii="宋体" w:hAnsi="宋体" w:eastAsia="宋体" w:cs="宋体"/>
          <w:sz w:val="24"/>
          <w:szCs w:val="24"/>
          <w:highlight w:val="none"/>
          <w:lang w:val="en-US" w:eastAsia="zh-CN" w:bidi="ar"/>
        </w:rPr>
        <w:t xml:space="preserve">文件。</w:t>
      </w:r>
      <w:r>
        <w:rPr>
          <w:rFonts w:hint="eastAsia" w:ascii="宋体" w:hAnsi="宋体" w:eastAsia="宋体" w:cs="Times New Roman"/>
          <w:sz w:val="24"/>
          <w:szCs w:val="24"/>
          <w:highlight w:val="none"/>
        </w:rPr>
      </w:r>
      <w:r/>
    </w:p>
    <w:p>
      <w:pPr>
        <w:pStyle w:val="786"/>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履约验收标准：满足</w:t>
      </w:r>
      <w:r>
        <w:rPr>
          <w:rFonts w:hint="eastAsia" w:ascii="宋体" w:hAnsi="宋体" w:cs="宋体"/>
          <w:sz w:val="24"/>
          <w:szCs w:val="24"/>
          <w:highlight w:val="none"/>
          <w:lang w:val="en-US" w:eastAsia="zh" w:bidi="ar"/>
        </w:rPr>
        <w:t xml:space="preserve">采购</w:t>
      </w:r>
      <w:r>
        <w:rPr>
          <w:rFonts w:hint="eastAsia" w:ascii="宋体" w:hAnsi="宋体" w:eastAsia="宋体" w:cs="宋体"/>
          <w:sz w:val="24"/>
          <w:szCs w:val="24"/>
          <w:highlight w:val="none"/>
          <w:lang w:val="en-US" w:eastAsia="zh-CN" w:bidi="ar"/>
        </w:rPr>
        <w:t xml:space="preserve">文件。</w:t>
      </w:r>
      <w:r>
        <w:rPr>
          <w:rFonts w:hint="eastAsia" w:ascii="宋体" w:hAnsi="宋体" w:eastAsia="宋体" w:cs="Times New Roman"/>
          <w:sz w:val="24"/>
          <w:szCs w:val="24"/>
          <w:highlight w:val="none"/>
        </w:rPr>
      </w:r>
      <w:r/>
    </w:p>
    <w:p>
      <w:pPr>
        <w:pStyle w:val="786"/>
        <w:ind w:firstLine="480"/>
        <w:jc w:val="left"/>
        <w:keepLines w:val="0"/>
        <w:keepNext w:val="0"/>
        <w:widowControl/>
        <w:rPr>
          <w:highlight w:val="none"/>
        </w:rPr>
        <w:suppressLineNumbers w:val="0"/>
      </w:pPr>
      <w:r>
        <w:rPr>
          <w:rFonts w:hint="eastAsia" w:ascii="宋体" w:hAnsi="宋体" w:eastAsia="宋体" w:cs="宋体"/>
          <w:sz w:val="24"/>
          <w:szCs w:val="24"/>
          <w:highlight w:val="none"/>
          <w:lang w:val="en-US" w:eastAsia="zh-CN" w:bidi="ar"/>
        </w:rPr>
        <w:t xml:space="preserve">履约验收其他事项：货物保修期满经项目使用单位确认保修质量和保修效果。</w:t>
      </w:r>
      <w:r>
        <w:rPr>
          <w:highlight w:val="none"/>
        </w:rPr>
      </w:r>
      <w:r/>
    </w:p>
    <w:p>
      <w:pPr>
        <w:pStyle w:val="786"/>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r>
      <w:r/>
    </w:p>
    <w:p>
      <w:pPr>
        <w:pStyle w:val="786"/>
        <w:ind w:firstLine="560"/>
        <w:jc w:val="lef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第七条   违约责任：</w:t>
      </w:r>
      <w:r>
        <w:rPr>
          <w:rFonts w:hint="eastAsia" w:ascii="宋体" w:hAnsi="宋体" w:eastAsia="宋体" w:cs="宋体"/>
          <w:b/>
          <w:sz w:val="24"/>
          <w:highlight w:val="none"/>
        </w:rPr>
      </w:r>
      <w:r/>
    </w:p>
    <w:p>
      <w:pPr>
        <w:pStyle w:val="786"/>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如果在合同履行期内供方未能按时交付货物、技术资料，或未能及时派遣称职的技术服务人员，或者合同设备由于供方原因被损坏或不能达到技术协议中规定的性能保证值，需方有权向供方提出索赔并要求其承担修理、更换、退货、降价、支付违约金的责任及赔偿需方损失。需方损失包括但不限于供方需承担的违约责任和产生的诉讼费、律师费、鉴定费等费用。</w:t>
      </w:r>
      <w:r>
        <w:rPr>
          <w:rFonts w:hint="eastAsia" w:ascii="宋体" w:hAnsi="宋体" w:eastAsia="宋体" w:cs="宋体"/>
          <w:bCs/>
          <w:sz w:val="24"/>
          <w:highlight w:val="none"/>
        </w:rPr>
      </w:r>
      <w:r/>
    </w:p>
    <w:p>
      <w:pPr>
        <w:pStyle w:val="786"/>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2、除本合同规定的不可抗力的原因外，如因供方原因未能按合同规定的时间交货（包括技术资料提供）、安装调试以及履行质保期内的维修义务等，每延迟1天，误期违约金按2000元/天，</w:t>
      </w:r>
      <w:r>
        <w:rPr>
          <w:rFonts w:hint="eastAsia" w:ascii="宋体" w:hAnsi="宋体" w:eastAsia="宋体" w:cs="宋体"/>
          <w:bCs/>
          <w:sz w:val="24"/>
          <w:highlight w:val="none"/>
          <w:lang w:eastAsia="zh-CN"/>
        </w:rPr>
        <w:t xml:space="preserve">采购人</w:t>
      </w:r>
      <w:r>
        <w:rPr>
          <w:rFonts w:hint="eastAsia" w:ascii="宋体" w:hAnsi="宋体" w:eastAsia="宋体" w:cs="宋体"/>
          <w:bCs/>
          <w:sz w:val="24"/>
          <w:highlight w:val="none"/>
        </w:rPr>
        <w:t xml:space="preserve">有权在应付款中直接予以扣除。逾期交货超过30天的，需方有权要求解除合同，由此给需方造成的损失由供方承担。</w:t>
      </w:r>
      <w:r>
        <w:rPr>
          <w:rFonts w:hint="eastAsia" w:ascii="宋体" w:hAnsi="宋体" w:eastAsia="宋体" w:cs="宋体"/>
          <w:bCs/>
          <w:sz w:val="24"/>
          <w:highlight w:val="none"/>
        </w:rPr>
      </w:r>
      <w:r/>
    </w:p>
    <w:p>
      <w:pPr>
        <w:pStyle w:val="786"/>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rPr>
          <w:rFonts w:hint="eastAsia" w:ascii="宋体" w:hAnsi="宋体" w:eastAsia="宋体" w:cs="宋体"/>
          <w:bCs/>
          <w:sz w:val="24"/>
          <w:highlight w:val="none"/>
        </w:rPr>
      </w:r>
      <w:r/>
    </w:p>
    <w:p>
      <w:pPr>
        <w:pStyle w:val="786"/>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4、如遭遇不可抗力事件，遭遇不可抗力的一方应在发生不可抗力事件的三天内以书面形式将不可抗力的情况和原因通知另一方，并积极采取措施防止损失扩大。</w:t>
      </w:r>
      <w:r>
        <w:rPr>
          <w:rFonts w:hint="eastAsia" w:ascii="宋体" w:hAnsi="宋体" w:eastAsia="宋体" w:cs="宋体"/>
          <w:bCs/>
          <w:sz w:val="24"/>
          <w:highlight w:val="none"/>
        </w:rPr>
      </w:r>
      <w:r/>
    </w:p>
    <w:p>
      <w:pPr>
        <w:pStyle w:val="786"/>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5、招标文件及合同中所述之“不可抗力”系指不可预见、不可避免、不可克服的事件，包括但不限于：战争、洪水、台风、地震及其他</w:t>
      </w:r>
      <w:r>
        <w:rPr>
          <w:rFonts w:hint="eastAsia" w:ascii="宋体" w:hAnsi="宋体" w:eastAsia="宋体" w:cs="宋体"/>
          <w:bCs/>
          <w:sz w:val="24"/>
          <w:highlight w:val="none"/>
          <w:lang w:eastAsia="zh-CN"/>
        </w:rPr>
        <w:t xml:space="preserve">法律法规</w:t>
      </w:r>
      <w:r>
        <w:rPr>
          <w:rFonts w:hint="eastAsia" w:ascii="宋体" w:hAnsi="宋体" w:eastAsia="宋体" w:cs="宋体"/>
          <w:bCs/>
          <w:sz w:val="24"/>
          <w:highlight w:val="none"/>
        </w:rPr>
        <w:t xml:space="preserve">规定的事件。</w:t>
      </w:r>
      <w:r>
        <w:rPr>
          <w:rFonts w:hint="eastAsia" w:ascii="宋体" w:hAnsi="宋体" w:eastAsia="宋体" w:cs="宋体"/>
          <w:bCs/>
          <w:sz w:val="24"/>
          <w:highlight w:val="none"/>
        </w:rPr>
      </w:r>
      <w:r/>
    </w:p>
    <w:p>
      <w:pPr>
        <w:pStyle w:val="786"/>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6、如果供方在本合同履行完毕之前破产或无清偿能力，需方可在任何时候以书面形式通知供方，提出解除合同。该终止合同将不损害或影响需方已经采取或将要采取的任何行动或补救措施的权力。</w:t>
      </w:r>
      <w:r>
        <w:rPr>
          <w:rFonts w:hint="eastAsia" w:ascii="宋体" w:hAnsi="宋体" w:eastAsia="宋体" w:cs="宋体"/>
          <w:bCs/>
          <w:sz w:val="24"/>
          <w:highlight w:val="none"/>
        </w:rPr>
      </w:r>
      <w:r/>
    </w:p>
    <w:p>
      <w:pPr>
        <w:pStyle w:val="786"/>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7、未经需方书面同意，供方不得将本合同项下委托事项全部或部分转包分包给第三人，否则，需方有权立即解除本合同，并要求供方支付本合同金额30%的违约金，并赔偿由此给需方造成的损失和费用（包括但不限于诉讼费、仲裁费、律师费、鉴定费等）。上述违约金及赔偿金需方均有权直接从应付费用中扣除。</w:t>
      </w:r>
      <w:r>
        <w:rPr>
          <w:rFonts w:hint="eastAsia" w:ascii="宋体" w:hAnsi="宋体" w:eastAsia="宋体" w:cs="宋体"/>
          <w:bCs/>
          <w:sz w:val="24"/>
          <w:highlight w:val="none"/>
        </w:rPr>
      </w:r>
      <w:r/>
    </w:p>
    <w:p>
      <w:pPr>
        <w:pStyle w:val="786"/>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8、由于供方提供的服务存在问题和缺陷导致任何人身、财产损害的，供方应负责承担由此产生的责任，与需方无关。如不可避免地造成需方损失的，需方有权向供方追偿</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该等损失包括但不限于损害赔偿金、需方为解决纠纷支付的律师费、诉讼费、差旅费等合理费用</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。供方并应按照合同总价的20%向需方支付违约金，如给需方造成其他损失的，供方还应负责赔偿。</w:t>
      </w:r>
      <w:r>
        <w:rPr>
          <w:rFonts w:hint="eastAsia" w:ascii="宋体" w:hAnsi="宋体" w:eastAsia="宋体" w:cs="宋体"/>
          <w:bCs/>
          <w:sz w:val="24"/>
          <w:highlight w:val="none"/>
        </w:rPr>
      </w:r>
      <w:r/>
    </w:p>
    <w:p>
      <w:pPr>
        <w:pStyle w:val="786"/>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9、如果供方在本合同履行完毕之前破产或无清偿能力，需方可在知道该情况三日内以书面形式通知供方，提出解除合同。该终止合同将不损害或影响需方已经采取或将要采取的任何行动或补救措施的权力。</w:t>
      </w:r>
      <w:r>
        <w:rPr>
          <w:rFonts w:hint="eastAsia" w:ascii="宋体" w:hAnsi="宋体" w:eastAsia="宋体" w:cs="宋体"/>
          <w:bCs/>
          <w:sz w:val="24"/>
          <w:highlight w:val="none"/>
        </w:rPr>
      </w:r>
      <w:r/>
    </w:p>
    <w:p>
      <w:pPr>
        <w:pStyle w:val="786"/>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10、供方所交的货物品种、型号、规格、技术参数、质量不符合合同规定和标准的，需方有权拒收该货物，供方愿意更换货物但逾期交货的，按供方逾期交货处理。供方拒绝更换货物的，需方可单方面解除合同。</w:t>
      </w:r>
      <w:r>
        <w:rPr>
          <w:rFonts w:hint="eastAsia" w:ascii="宋体" w:hAnsi="宋体" w:eastAsia="宋体" w:cs="宋体"/>
          <w:bCs/>
          <w:sz w:val="24"/>
          <w:highlight w:val="none"/>
        </w:rPr>
      </w:r>
      <w:r/>
    </w:p>
    <w:p>
      <w:pPr>
        <w:pStyle w:val="786"/>
        <w:ind w:firstLine="560"/>
        <w:jc w:val="lef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第八条  合同生效：</w:t>
      </w:r>
      <w:r>
        <w:rPr>
          <w:rFonts w:hint="eastAsia" w:ascii="宋体" w:hAnsi="宋体" w:eastAsia="宋体" w:cs="宋体"/>
          <w:b/>
          <w:sz w:val="24"/>
          <w:highlight w:val="none"/>
        </w:rPr>
      </w:r>
      <w:r/>
    </w:p>
    <w:p>
      <w:pPr>
        <w:pStyle w:val="786"/>
        <w:ind w:firstLine="480"/>
        <w:spacing w:line="360" w:lineRule="auto"/>
        <w:tabs>
          <w:tab w:val="left" w:pos="0" w:leader="none"/>
          <w:tab w:val="left" w:pos="52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1、合同经双方</w:t>
      </w:r>
      <w:r>
        <w:rPr>
          <w:rFonts w:hint="eastAsia" w:ascii="宋体" w:hAnsi="宋体" w:cs="宋体"/>
          <w:bCs/>
          <w:sz w:val="24"/>
          <w:highlight w:val="none"/>
          <w:lang w:eastAsia="zh"/>
        </w:rPr>
        <w:t xml:space="preserve">加盖单位公章</w:t>
      </w:r>
      <w:r>
        <w:rPr>
          <w:rFonts w:hint="eastAsia" w:ascii="宋体" w:hAnsi="宋体" w:eastAsia="宋体" w:cs="宋体"/>
          <w:bCs/>
          <w:sz w:val="24"/>
          <w:highlight w:val="none"/>
        </w:rPr>
        <w:t xml:space="preserve">后生效。</w:t>
      </w:r>
      <w:r>
        <w:rPr>
          <w:rFonts w:hint="eastAsia" w:ascii="宋体" w:hAnsi="宋体" w:eastAsia="宋体" w:cs="宋体"/>
          <w:bCs/>
          <w:sz w:val="24"/>
          <w:highlight w:val="none"/>
        </w:rPr>
      </w:r>
      <w:r/>
    </w:p>
    <w:p>
      <w:pPr>
        <w:pStyle w:val="786"/>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2．合同签订后供需双方即直接产生权利与义务的关系，合同执行过程中出现的问题应按照合同约定、法律法规的规定办理，在合同履行过程中，双方如有争议</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双方协调解决。如协商不能解决，双方可向当地仲裁委员会申请仲裁，仲裁期间，除仲裁委员会要求停止履行合同或出现一方确实无法继续履行合同的情形外，本合同应继续履行。</w:t>
      </w:r>
      <w:r>
        <w:rPr>
          <w:rFonts w:hint="eastAsia" w:ascii="宋体" w:hAnsi="宋体" w:eastAsia="宋体" w:cs="宋体"/>
          <w:bCs/>
          <w:sz w:val="24"/>
          <w:highlight w:val="none"/>
        </w:rPr>
      </w:r>
      <w:r/>
    </w:p>
    <w:p>
      <w:pPr>
        <w:pStyle w:val="786"/>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3．合同在执行过程中出现的未尽事宜，双方在不违背本合同和招标文件的原则下协商解决，协商结果以书面形式签订补充协议，且补充协议与本合同具有同等效力。</w:t>
      </w:r>
      <w:r>
        <w:rPr>
          <w:rFonts w:hint="eastAsia" w:ascii="宋体" w:hAnsi="宋体" w:eastAsia="宋体" w:cs="宋体"/>
          <w:bCs/>
          <w:sz w:val="24"/>
          <w:highlight w:val="none"/>
        </w:rPr>
      </w:r>
      <w:r/>
    </w:p>
    <w:p>
      <w:pPr>
        <w:pStyle w:val="786"/>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4．供需双方确认：对本合同条款及后果均已知悉，一致确认不存在欺诈、胁迫、乘人之危、重大误解、显失公平等任何可能导致合同无效或被撤销的情形。</w:t>
      </w:r>
      <w:r>
        <w:rPr>
          <w:rFonts w:hint="eastAsia" w:ascii="宋体" w:hAnsi="宋体" w:eastAsia="宋体" w:cs="宋体"/>
          <w:bCs/>
          <w:sz w:val="24"/>
          <w:highlight w:val="none"/>
        </w:rPr>
      </w:r>
      <w:r/>
    </w:p>
    <w:p>
      <w:pPr>
        <w:pStyle w:val="786"/>
        <w:ind w:firstLine="482"/>
        <w:jc w:val="lef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第九条   诚实信用</w:t>
      </w:r>
      <w:r>
        <w:rPr>
          <w:rFonts w:hint="eastAsia" w:ascii="宋体" w:hAnsi="宋体" w:eastAsia="宋体" w:cs="宋体"/>
          <w:b/>
          <w:sz w:val="24"/>
          <w:highlight w:val="none"/>
        </w:rPr>
      </w:r>
      <w:r/>
    </w:p>
    <w:p>
      <w:pPr>
        <w:pStyle w:val="786"/>
        <w:ind w:firstLine="480"/>
        <w:spacing w:line="360" w:lineRule="auto"/>
        <w:tabs>
          <w:tab w:val="left" w:pos="525" w:leader="none"/>
          <w:tab w:val="left" w:pos="94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供方应诚实信用，严格按照招标文件要求和承诺履行合同，不向需方进行商业贿赂或者提供不正当利益。</w:t>
      </w:r>
      <w:r>
        <w:rPr>
          <w:rFonts w:hint="eastAsia" w:ascii="宋体" w:hAnsi="宋体" w:eastAsia="宋体" w:cs="宋体"/>
          <w:sz w:val="24"/>
          <w:highlight w:val="none"/>
          <w:lang w:val="zh-CN"/>
        </w:rPr>
      </w:r>
      <w:r/>
    </w:p>
    <w:p>
      <w:pPr>
        <w:pStyle w:val="786"/>
        <w:ind w:firstLine="480"/>
        <w:spacing w:line="360" w:lineRule="auto"/>
        <w:tabs>
          <w:tab w:val="left" w:pos="525" w:leader="none"/>
          <w:tab w:val="left" w:pos="945" w:leader="none"/>
        </w:tabs>
        <w:rPr>
          <w:rFonts w:hint="eastAsia"/>
          <w:highlight w:val="none"/>
          <w:lang w:val="zh-CN"/>
        </w:rPr>
      </w:pPr>
      <w:r>
        <w:rPr>
          <w:rFonts w:hint="eastAsia" w:ascii="宋体" w:hAnsi="宋体" w:eastAsia="宋体" w:cs="宋体"/>
          <w:b/>
          <w:sz w:val="24"/>
          <w:highlight w:val="none"/>
        </w:rPr>
        <w:t xml:space="preserve">第</w:t>
      </w:r>
      <w:r>
        <w:rPr>
          <w:rFonts w:hint="eastAsia" w:ascii="宋体" w:hAnsi="宋体" w:cs="宋体"/>
          <w:b/>
          <w:sz w:val="24"/>
          <w:highlight w:val="none"/>
          <w:lang w:val="en-US" w:eastAsia="zh-CN"/>
        </w:rPr>
        <w:t xml:space="preserve">十</w:t>
      </w:r>
      <w:r>
        <w:rPr>
          <w:rFonts w:hint="eastAsia" w:ascii="宋体" w:hAnsi="宋体" w:eastAsia="宋体" w:cs="宋体"/>
          <w:b/>
          <w:sz w:val="24"/>
          <w:highlight w:val="none"/>
        </w:rPr>
        <w:t xml:space="preserve">条</w:t>
      </w:r>
      <w:r>
        <w:rPr>
          <w:rFonts w:hint="eastAsia" w:ascii="宋体" w:hAnsi="宋体" w:cs="宋体"/>
          <w:b/>
          <w:sz w:val="24"/>
          <w:highlight w:val="none"/>
          <w:lang w:val="en-US" w:eastAsia="zh-CN"/>
        </w:rPr>
        <w:t xml:space="preserve">   </w:t>
      </w:r>
      <w:r>
        <w:rPr>
          <w:rFonts w:hint="eastAsia" w:ascii="宋体" w:hAnsi="宋体" w:eastAsia="宋体" w:cs="宋体"/>
          <w:b/>
          <w:sz w:val="24"/>
          <w:highlight w:val="none"/>
          <w:lang w:val="zh-CN"/>
        </w:rPr>
        <w:t xml:space="preserve">履约保证金</w:t>
      </w:r>
      <w:r>
        <w:rPr>
          <w:rFonts w:hint="eastAsia"/>
          <w:highlight w:val="none"/>
          <w:lang w:val="zh-CN"/>
        </w:rPr>
      </w:r>
      <w:r/>
    </w:p>
    <w:p>
      <w:pPr>
        <w:pStyle w:val="786"/>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乙方交纳人民币</w:t>
      </w:r>
      <w:r>
        <w:rPr>
          <w:rFonts w:hint="eastAsia" w:ascii="宋体" w:hAnsi="宋体" w:cs="Courier New"/>
          <w:color w:val="000000"/>
          <w:sz w:val="24"/>
          <w:szCs w:val="24"/>
          <w:highlight w:val="none"/>
          <w:u w:val="single"/>
          <w:lang w:val="en-US" w:eastAsia="zh-CN"/>
        </w:rPr>
        <w:t xml:space="preserve">        </w:t>
      </w:r>
      <w:r>
        <w:rPr>
          <w:rFonts w:ascii="宋体" w:hAnsi="宋体" w:cs="Courier New"/>
          <w:color w:val="000000"/>
          <w:sz w:val="24"/>
          <w:szCs w:val="24"/>
          <w:highlight w:val="none"/>
        </w:rPr>
        <w:t xml:space="preserve">元作为本合同的履约保证金。</w:t>
      </w:r>
      <w:r>
        <w:rPr>
          <w:rFonts w:hint="eastAsia" w:ascii="宋体" w:hAnsi="宋体" w:cs="Courier New"/>
          <w:color w:val="000000"/>
          <w:sz w:val="24"/>
          <w:szCs w:val="24"/>
          <w:highlight w:val="none"/>
        </w:rPr>
        <w:t xml:space="preserve">（不得超过合同金额的10%）</w:t>
      </w:r>
      <w:r>
        <w:rPr>
          <w:rFonts w:hint="eastAsia" w:ascii="宋体" w:hAnsi="宋体" w:cs="Courier New"/>
          <w:color w:val="000000"/>
          <w:sz w:val="24"/>
          <w:szCs w:val="24"/>
          <w:highlight w:val="none"/>
        </w:rPr>
      </w:r>
      <w:r/>
    </w:p>
    <w:p>
      <w:pPr>
        <w:pStyle w:val="786"/>
        <w:ind w:firstLine="480"/>
        <w:spacing w:line="360" w:lineRule="auto"/>
        <w:tabs>
          <w:tab w:val="left" w:pos="525" w:leader="none"/>
          <w:tab w:val="left" w:pos="94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合同履行结束后，甲方应及时退还交纳的履约保证金。</w:t>
      </w:r>
      <w:r>
        <w:rPr>
          <w:rFonts w:hint="eastAsia" w:ascii="宋体" w:hAnsi="宋体" w:cs="宋体"/>
          <w:sz w:val="24"/>
          <w:szCs w:val="21"/>
          <w:highlight w:val="none"/>
          <w:lang w:val="zh-CN"/>
        </w:rPr>
      </w:r>
      <w:r/>
    </w:p>
    <w:p>
      <w:pPr>
        <w:pStyle w:val="786"/>
        <w:ind w:firstLine="480"/>
        <w:spacing w:line="360" w:lineRule="auto"/>
        <w:tabs>
          <w:tab w:val="left" w:pos="525" w:leader="none"/>
          <w:tab w:val="left" w:pos="945" w:leader="none"/>
        </w:tabs>
        <w:rPr>
          <w:rFonts w:hint="eastAsia" w:ascii="宋体" w:hAnsi="宋体" w:eastAsia="宋体" w:cs="宋体"/>
          <w:sz w:val="24"/>
          <w:szCs w:val="21"/>
          <w:highlight w:val="none"/>
          <w:lang w:val="zh-CN" w:eastAsia="zh-CN"/>
        </w:rPr>
      </w:pPr>
      <w:r>
        <w:rPr>
          <w:rFonts w:hint="eastAsia" w:ascii="宋体" w:hAnsi="宋体" w:cs="宋体"/>
          <w:sz w:val="24"/>
          <w:szCs w:val="21"/>
          <w:highlight w:val="none"/>
          <w:lang w:val="zh-CN"/>
        </w:rPr>
        <w:t xml:space="preserve">履约保证金退还方式：</w:t>
      </w:r>
      <w:r>
        <w:rPr>
          <w:rFonts w:hint="eastAsia" w:ascii="宋体" w:hAnsi="宋体" w:cs="宋体"/>
          <w:sz w:val="24"/>
          <w:szCs w:val="21"/>
          <w:highlight w:val="none"/>
          <w:lang w:val="zh-CN" w:eastAsia="zh-CN"/>
        </w:rPr>
        <w:t xml:space="preserve">履约保证金将在服务期满并验收合格后退回。</w:t>
      </w:r>
      <w:r>
        <w:rPr>
          <w:rFonts w:hint="eastAsia" w:ascii="宋体" w:hAnsi="宋体" w:eastAsia="宋体" w:cs="宋体"/>
          <w:sz w:val="24"/>
          <w:szCs w:val="21"/>
          <w:highlight w:val="none"/>
          <w:lang w:val="zh-CN" w:eastAsia="zh-CN"/>
        </w:rPr>
      </w:r>
      <w:r/>
    </w:p>
    <w:p>
      <w:pPr>
        <w:pStyle w:val="786"/>
        <w:ind w:firstLine="480"/>
        <w:spacing w:line="360" w:lineRule="auto"/>
        <w:tabs>
          <w:tab w:val="left" w:pos="525" w:leader="none"/>
          <w:tab w:val="left" w:pos="94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履约保证金退还时间：</w:t>
      </w:r>
      <w:r>
        <w:rPr>
          <w:rFonts w:hint="eastAsia" w:ascii="宋体" w:hAnsi="宋体" w:cs="宋体"/>
          <w:sz w:val="24"/>
          <w:szCs w:val="21"/>
          <w:highlight w:val="none"/>
          <w:lang w:val="zh-CN" w:eastAsia="zh-CN"/>
        </w:rPr>
        <w:t xml:space="preserve">履约保证金将在服务期满并验收合格后退回。</w:t>
      </w:r>
      <w:r>
        <w:rPr>
          <w:rFonts w:hint="eastAsia" w:ascii="宋体" w:hAnsi="宋体" w:cs="宋体"/>
          <w:sz w:val="24"/>
          <w:szCs w:val="21"/>
          <w:highlight w:val="none"/>
          <w:lang w:val="zh-CN"/>
        </w:rPr>
      </w:r>
      <w:r/>
    </w:p>
    <w:p>
      <w:pPr>
        <w:pStyle w:val="786"/>
        <w:ind w:firstLine="480"/>
        <w:spacing w:line="360" w:lineRule="auto"/>
        <w:tabs>
          <w:tab w:val="left" w:pos="525" w:leader="none"/>
          <w:tab w:val="left" w:pos="94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履约保证金退还条件：</w:t>
      </w:r>
      <w:r>
        <w:rPr>
          <w:rFonts w:hint="eastAsia" w:ascii="宋体" w:hAnsi="宋体" w:cs="宋体"/>
          <w:sz w:val="24"/>
          <w:szCs w:val="21"/>
          <w:highlight w:val="none"/>
          <w:lang w:val="zh-CN" w:eastAsia="zh-CN"/>
        </w:rPr>
        <w:t xml:space="preserve">履约保证金将在服务期满并验收合格后退回。</w:t>
      </w:r>
      <w:r>
        <w:rPr>
          <w:rFonts w:hint="eastAsia" w:ascii="宋体" w:hAnsi="宋体" w:cs="宋体"/>
          <w:sz w:val="24"/>
          <w:szCs w:val="21"/>
          <w:highlight w:val="none"/>
          <w:lang w:val="zh-CN"/>
        </w:rPr>
      </w:r>
      <w:r/>
    </w:p>
    <w:p>
      <w:pPr>
        <w:pStyle w:val="786"/>
        <w:ind w:firstLine="480"/>
        <w:spacing w:line="360" w:lineRule="auto"/>
        <w:tabs>
          <w:tab w:val="left" w:pos="525" w:leader="none"/>
          <w:tab w:val="left" w:pos="945" w:leader="none"/>
        </w:tabs>
        <w:rPr>
          <w:rFonts w:hint="eastAsia" w:ascii="宋体" w:hAnsi="宋体" w:cs="宋体"/>
          <w:sz w:val="24"/>
          <w:highlight w:val="none"/>
          <w:lang w:val="zh-CN"/>
        </w:rPr>
      </w:pPr>
      <w:r>
        <w:rPr>
          <w:rFonts w:hint="eastAsia" w:ascii="宋体" w:hAnsi="宋体" w:cs="宋体"/>
          <w:sz w:val="24"/>
          <w:szCs w:val="21"/>
          <w:highlight w:val="none"/>
          <w:lang w:val="zh-CN"/>
        </w:rPr>
        <w:t xml:space="preserve">履约保证金不予退还的情形：履约过程中中标供应商在服务期、质量标准、将中标项目转包或分包给他人的、拒绝履行合同义务等方面发生的不履约或违背合同规定的责任和义务的行为,都可能导致招标人扣缴其部分履约保证金乃至不退还全部履约保证金。</w:t>
      </w:r>
      <w:r>
        <w:rPr>
          <w:rFonts w:hint="eastAsia" w:ascii="宋体" w:hAnsi="宋体" w:cs="宋体"/>
          <w:sz w:val="24"/>
          <w:highlight w:val="none"/>
          <w:lang w:val="zh-CN"/>
        </w:rPr>
      </w:r>
      <w:r/>
    </w:p>
    <w:p>
      <w:pPr>
        <w:pStyle w:val="786"/>
        <w:ind w:left="508" w:right="0" w:firstLine="0"/>
        <w:jc w:val="both"/>
        <w:keepLines w:val="0"/>
        <w:keepNext w:val="0"/>
        <w:spacing w:before="0" w:beforeAutospacing="0" w:after="0" w:afterAutospacing="0" w:line="400" w:lineRule="exact"/>
        <w:widowControl w:val="off"/>
        <w:rPr>
          <w:rFonts w:hint="eastAsia" w:ascii="宋体" w:hAnsi="宋体" w:eastAsia="宋体" w:cs="Courier New"/>
          <w:color w:val="000000"/>
          <w:sz w:val="24"/>
          <w:szCs w:val="24"/>
          <w:highlight w:val="none"/>
        </w:rPr>
        <w:suppressLineNumbers w:val="0"/>
      </w:pPr>
      <w:r>
        <w:rPr>
          <w:rFonts w:hint="eastAsia" w:ascii="宋体" w:hAnsi="宋体" w:eastAsia="宋体" w:cs="宋体"/>
          <w:color w:val="000000"/>
          <w:sz w:val="24"/>
          <w:szCs w:val="24"/>
          <w:highlight w:val="none"/>
          <w:lang w:val="en-US" w:eastAsia="zh" w:bidi="ar"/>
        </w:rPr>
        <w:t xml:space="preserve">需</w:t>
      </w:r>
      <w:r>
        <w:rPr>
          <w:rFonts w:hint="eastAsia" w:ascii="宋体" w:hAnsi="宋体" w:eastAsia="宋体" w:cs="宋体"/>
          <w:color w:val="000000"/>
          <w:sz w:val="24"/>
          <w:szCs w:val="24"/>
          <w:highlight w:val="none"/>
          <w:lang w:val="en-US" w:eastAsia="zh-CN" w:bidi="ar"/>
        </w:rPr>
        <w:t xml:space="preserve">方：</w:t>
      </w:r>
      <w:r>
        <w:rPr>
          <w:rFonts w:hint="eastAsia" w:ascii="宋体" w:hAnsi="宋体" w:eastAsia="宋体" w:cs="Courier New"/>
          <w:color w:val="000000"/>
          <w:sz w:val="24"/>
          <w:szCs w:val="24"/>
          <w:highlight w:val="none"/>
          <w:lang w:val="en-US" w:eastAsia="zh-CN" w:bidi="ar"/>
        </w:rPr>
        <w:t xml:space="preserve">                        </w:t>
      </w:r>
      <w:r>
        <w:rPr>
          <w:rFonts w:hint="eastAsia" w:ascii="宋体" w:hAnsi="宋体" w:eastAsia="宋体" w:cs="Courier New"/>
          <w:color w:val="000000"/>
          <w:sz w:val="24"/>
          <w:szCs w:val="24"/>
          <w:highlight w:val="none"/>
          <w:lang w:val="en-US" w:eastAsia="zh" w:bidi="ar"/>
        </w:rPr>
        <w:t xml:space="preserve">供</w:t>
      </w:r>
      <w:r>
        <w:rPr>
          <w:rFonts w:hint="eastAsia" w:ascii="宋体" w:hAnsi="宋体" w:eastAsia="宋体" w:cs="宋体"/>
          <w:color w:val="000000"/>
          <w:sz w:val="24"/>
          <w:szCs w:val="24"/>
          <w:highlight w:val="none"/>
          <w:lang w:val="en-US" w:eastAsia="zh-CN" w:bidi="ar"/>
        </w:rPr>
        <w:t xml:space="preserve">方：</w:t>
      </w:r>
      <w:r>
        <w:rPr>
          <w:rFonts w:hint="eastAsia" w:ascii="宋体" w:hAnsi="宋体" w:eastAsia="宋体" w:cs="Courier New"/>
          <w:color w:val="000000"/>
          <w:sz w:val="24"/>
          <w:szCs w:val="24"/>
          <w:highlight w:val="none"/>
          <w:lang w:val="en-US" w:eastAsia="zh-CN" w:bidi="ar"/>
        </w:rPr>
        <w:t xml:space="preserve"> </w:t>
      </w:r>
      <w:r>
        <w:rPr>
          <w:rFonts w:hint="eastAsia" w:ascii="宋体" w:hAnsi="宋体" w:eastAsia="宋体" w:cs="Courier New"/>
          <w:color w:val="000000"/>
          <w:sz w:val="24"/>
          <w:szCs w:val="24"/>
          <w:highlight w:val="none"/>
        </w:rPr>
      </w:r>
      <w:r/>
    </w:p>
    <w:p>
      <w:pPr>
        <w:pStyle w:val="786"/>
        <w:ind w:left="0" w:right="0" w:firstLine="480"/>
        <w:jc w:val="both"/>
        <w:keepLines w:val="0"/>
        <w:keepNext w:val="0"/>
        <w:spacing w:before="0" w:beforeAutospacing="0" w:after="0" w:afterAutospacing="0" w:line="400" w:lineRule="exact"/>
        <w:widowControl w:val="off"/>
        <w:rPr>
          <w:rFonts w:hint="eastAsia" w:ascii="宋体" w:hAnsi="宋体" w:eastAsia="宋体" w:cs="Courier New"/>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地址：</w:t>
      </w:r>
      <w:r>
        <w:rPr>
          <w:rFonts w:hint="eastAsia" w:ascii="宋体" w:hAnsi="宋体" w:eastAsia="宋体" w:cs="Courier New"/>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地址：</w:t>
      </w:r>
      <w:r>
        <w:rPr>
          <w:rFonts w:hint="eastAsia" w:ascii="宋体" w:hAnsi="宋体" w:eastAsia="宋体" w:cs="Courier New"/>
          <w:color w:val="000000"/>
          <w:sz w:val="24"/>
          <w:szCs w:val="24"/>
          <w:highlight w:val="none"/>
          <w:lang w:val="en-US" w:eastAsia="zh-CN" w:bidi="ar"/>
        </w:rPr>
        <w:t xml:space="preserve"> </w:t>
      </w:r>
      <w:r>
        <w:rPr>
          <w:rFonts w:hint="eastAsia" w:ascii="宋体" w:hAnsi="宋体" w:eastAsia="宋体" w:cs="Courier New"/>
          <w:color w:val="000000"/>
          <w:sz w:val="24"/>
          <w:szCs w:val="24"/>
          <w:highlight w:val="none"/>
        </w:rPr>
      </w:r>
      <w:r/>
    </w:p>
    <w:p>
      <w:pPr>
        <w:pStyle w:val="786"/>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联系电话：</w:t>
      </w:r>
      <w:r>
        <w:rPr>
          <w:rFonts w:hint="eastAsia" w:ascii="宋体" w:hAnsi="宋体" w:eastAsia="宋体" w:cs="Courier New"/>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联系电话：</w:t>
      </w:r>
      <w:r>
        <w:rPr>
          <w:highlight w:val="none"/>
        </w:rPr>
      </w:r>
      <w:r/>
    </w:p>
    <w:p>
      <w:pPr>
        <w:pStyle w:val="786"/>
        <w:ind w:firstLine="480"/>
        <w:spacing w:line="440" w:lineRule="exact"/>
        <w:rPr>
          <w:rFonts w:hint="eastAsia" w:ascii="宋体" w:hAnsi="宋体" w:eastAsia="宋体" w:cs="宋体"/>
          <w:highlight w:val="none"/>
        </w:rPr>
      </w:pPr>
      <w:r>
        <w:rPr>
          <w:rFonts w:hint="eastAsia" w:ascii="宋体" w:hAnsi="宋体" w:eastAsia="宋体" w:cs="宋体"/>
          <w:bCs/>
          <w:sz w:val="24"/>
          <w:highlight w:val="none"/>
        </w:rPr>
        <w:t xml:space="preserve">年    月    日                           年    月    日</w:t>
      </w:r>
      <w:r>
        <w:rPr>
          <w:rFonts w:hint="eastAsia" w:ascii="宋体" w:hAnsi="宋体" w:eastAsia="宋体" w:cs="宋体"/>
          <w:highlight w:val="none"/>
        </w:rPr>
      </w:r>
      <w:r/>
    </w:p>
    <w:p>
      <w:pPr>
        <w:pStyle w:val="786"/>
        <w:jc w:val="center"/>
        <w:spacing w:line="360" w:lineRule="auto"/>
        <w:rPr>
          <w:rFonts w:hint="eastAsia" w:ascii="宋体" w:hAnsi="宋体" w:eastAsia="宋体" w:cs="宋体"/>
          <w:sz w:val="36"/>
          <w:szCs w:val="36"/>
          <w:highlight w:val="none"/>
        </w:rPr>
        <w:outlineLvl w:val="0"/>
      </w:pPr>
      <w:r>
        <w:rPr>
          <w:rFonts w:hint="eastAsia" w:ascii="宋体" w:hAnsi="宋体" w:eastAsia="宋体" w:cs="宋体"/>
          <w:bCs/>
          <w:sz w:val="24"/>
          <w:szCs w:val="24"/>
          <w:highlight w:val="none"/>
        </w:rPr>
        <w:br w:type="page" w:clear="all"/>
      </w:r>
      <w:bookmarkEnd w:id="185"/>
      <w:r/>
      <w:bookmarkEnd w:id="186"/>
      <w:r/>
      <w:bookmarkEnd w:id="187"/>
      <w:r/>
      <w:bookmarkStart w:id="189" w:name="_Hlt16619369"/>
      <w:r/>
      <w:bookmarkEnd w:id="189"/>
      <w:r/>
      <w:bookmarkStart w:id="190" w:name="_Hlt16619350"/>
      <w:r/>
      <w:bookmarkStart w:id="191" w:name="_Toc16938590"/>
      <w:r/>
      <w:bookmarkStart w:id="192" w:name="_Toc120614244"/>
      <w:r/>
      <w:bookmarkStart w:id="193" w:name="_Toc20823346"/>
      <w:r/>
      <w:bookmarkStart w:id="194" w:name="_Toc2602"/>
      <w:r/>
      <w:bookmarkStart w:id="195" w:name="_Toc462564139"/>
      <w:r/>
      <w:bookmarkStart w:id="196" w:name="_Toc479757211"/>
      <w:r>
        <w:rPr>
          <w:rFonts w:hint="eastAsia" w:ascii="宋体" w:hAnsi="宋体" w:eastAsia="宋体" w:cs="宋体"/>
          <w:bCs/>
          <w:sz w:val="36"/>
          <w:szCs w:val="36"/>
          <w:highlight w:val="none"/>
        </w:rPr>
        <w:t xml:space="preserve">第</w:t>
      </w:r>
      <w:bookmarkEnd w:id="190"/>
      <w:r>
        <w:rPr>
          <w:rFonts w:hint="eastAsia" w:ascii="宋体" w:hAnsi="宋体" w:eastAsia="宋体" w:cs="宋体"/>
          <w:bCs/>
          <w:sz w:val="36"/>
          <w:szCs w:val="36"/>
          <w:highlight w:val="none"/>
        </w:rPr>
        <w:t xml:space="preserve">四章 采购需求</w:t>
      </w:r>
      <w:bookmarkEnd w:id="191"/>
      <w:r/>
      <w:bookmarkEnd w:id="192"/>
      <w:r/>
      <w:bookmarkEnd w:id="193"/>
      <w:r/>
      <w:bookmarkEnd w:id="194"/>
      <w:r>
        <w:rPr>
          <w:rFonts w:hint="eastAsia" w:ascii="宋体" w:hAnsi="宋体" w:eastAsia="宋体" w:cs="宋体"/>
          <w:sz w:val="36"/>
          <w:szCs w:val="36"/>
          <w:highlight w:val="none"/>
        </w:rPr>
      </w:r>
      <w:r/>
    </w:p>
    <w:p>
      <w:pPr>
        <w:pStyle w:val="786"/>
        <w:ind w:firstLine="600"/>
        <w:jc w:val="left"/>
        <w:spacing w:line="360" w:lineRule="auto"/>
        <w:rPr>
          <w:rFonts w:hint="eastAsia" w:ascii="宋体" w:hAnsi="宋体" w:eastAsia="宋体" w:cs="宋体"/>
          <w:color w:val="000000"/>
          <w:sz w:val="30"/>
          <w:szCs w:val="30"/>
          <w:highlight w:val="none"/>
        </w:rPr>
      </w:pPr>
      <w:r/>
      <w:bookmarkStart w:id="197" w:name="_Toc26554093"/>
      <w:r/>
      <w:bookmarkStart w:id="198" w:name="_Toc49090575"/>
      <w:r>
        <w:rPr>
          <w:rFonts w:hint="eastAsia" w:ascii="宋体" w:hAnsi="宋体" w:eastAsia="宋体" w:cs="宋体"/>
          <w:sz w:val="30"/>
          <w:szCs w:val="30"/>
          <w:highlight w:val="none"/>
        </w:rPr>
        <w:t xml:space="preserve">本项目属性：货物类项目</w:t>
      </w:r>
      <w:r>
        <w:rPr>
          <w:rFonts w:hint="eastAsia" w:ascii="宋体" w:hAnsi="宋体" w:eastAsia="宋体" w:cs="宋体"/>
          <w:color w:val="000000"/>
          <w:sz w:val="30"/>
          <w:szCs w:val="30"/>
          <w:highlight w:val="none"/>
        </w:rPr>
      </w:r>
      <w:r/>
    </w:p>
    <w:p>
      <w:pPr>
        <w:pStyle w:val="786"/>
        <w:ind w:firstLine="480"/>
        <w:jc w:val="left"/>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投标人所投内容必须满足以下要求，不得有负偏离。</w:t>
      </w:r>
      <w:r>
        <w:rPr>
          <w:rFonts w:hint="eastAsia" w:ascii="宋体" w:hAnsi="宋体" w:eastAsia="宋体" w:cs="宋体"/>
          <w:color w:val="000000"/>
          <w:sz w:val="24"/>
          <w:szCs w:val="24"/>
          <w:highlight w:val="none"/>
        </w:rPr>
      </w:r>
      <w:r/>
    </w:p>
    <w:p>
      <w:pPr>
        <w:pStyle w:val="786"/>
        <w:ind w:firstLine="480"/>
        <w:keepLines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本项目标的物所属行业：详见项目技术要求 </w:t>
      </w:r>
      <w:r>
        <w:rPr>
          <w:rFonts w:hint="eastAsia" w:ascii="宋体" w:hAnsi="宋体" w:eastAsia="宋体" w:cs="宋体"/>
          <w:bCs/>
          <w:sz w:val="24"/>
          <w:szCs w:val="24"/>
          <w:highlight w:val="none"/>
        </w:rPr>
      </w:r>
      <w:r/>
    </w:p>
    <w:p>
      <w:pPr>
        <w:pStyle w:val="786"/>
        <w:ind w:firstLine="482"/>
        <w:keepLines w:val="0"/>
        <w:pageBreakBefore w:val="0"/>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本项目中的</w:t>
      </w:r>
      <w:r>
        <w:rPr>
          <w:rFonts w:hint="eastAsia" w:ascii="宋体" w:hAnsi="宋体" w:cs="宋体"/>
          <w:b/>
          <w:bCs w:val="0"/>
          <w:sz w:val="24"/>
          <w:szCs w:val="24"/>
          <w:highlight w:val="none"/>
          <w:lang w:val="en-US" w:eastAsia="zh-CN"/>
        </w:rPr>
        <w:t xml:space="preserve">长龙式洗碗机</w:t>
      </w:r>
      <w:r>
        <w:rPr>
          <w:rFonts w:hint="eastAsia" w:ascii="宋体" w:hAnsi="宋体" w:eastAsia="宋体" w:cs="宋体"/>
          <w:b/>
          <w:bCs w:val="0"/>
          <w:sz w:val="24"/>
          <w:szCs w:val="24"/>
          <w:highlight w:val="none"/>
        </w:rPr>
        <w:t xml:space="preserve">为核心产品。</w:t>
      </w:r>
      <w:r>
        <w:rPr>
          <w:rFonts w:hint="eastAsia" w:ascii="宋体" w:hAnsi="宋体" w:eastAsia="宋体" w:cs="宋体"/>
          <w:b/>
          <w:bCs w:val="0"/>
          <w:sz w:val="24"/>
          <w:szCs w:val="24"/>
          <w:highlight w:val="none"/>
        </w:rPr>
      </w:r>
      <w:r/>
    </w:p>
    <w:p>
      <w:pPr>
        <w:pStyle w:val="786"/>
        <w:numPr>
          <w:ilvl w:val="0"/>
          <w:numId w:val="6"/>
        </w:numPr>
        <w:ind w:firstLine="602"/>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 项目技术要求</w:t>
      </w:r>
      <w:r>
        <w:rPr>
          <w:rFonts w:hint="eastAsia" w:ascii="宋体" w:hAnsi="宋体" w:eastAsia="宋体" w:cs="宋体"/>
          <w:b/>
          <w:color w:val="000000"/>
          <w:sz w:val="30"/>
          <w:szCs w:val="30"/>
          <w:highlight w:val="none"/>
        </w:rPr>
      </w:r>
      <w:r/>
    </w:p>
    <w:tbl>
      <w:tblPr>
        <w:tblW w:w="5206"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04"/>
        <w:gridCol w:w="1333"/>
        <w:gridCol w:w="1957"/>
        <w:gridCol w:w="3584"/>
        <w:gridCol w:w="603"/>
        <w:gridCol w:w="603"/>
        <w:gridCol w:w="863"/>
      </w:tblGrid>
      <w:tr>
        <w:trPr>
          <w:trHeight w:val="780"/>
        </w:trPr>
        <w:tc>
          <w:tcPr>
            <w:gridSpan w:val="7"/>
            <w:tcW w:w="954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36"/>
                <w:szCs w:val="36"/>
                <w:highlight w:val="none"/>
                <w:u w:val="none"/>
              </w:rPr>
              <w:suppressLineNumbers w:val="0"/>
            </w:pPr>
            <w:r>
              <w:rPr>
                <w:rFonts w:hint="eastAsia" w:ascii="宋体" w:hAnsi="宋体" w:eastAsia="宋体" w:cs="宋体"/>
                <w:b/>
                <w:bCs/>
                <w:i w:val="0"/>
                <w:iCs w:val="0"/>
                <w:color w:val="000000"/>
                <w:sz w:val="36"/>
                <w:szCs w:val="36"/>
                <w:highlight w:val="none"/>
                <w:u w:val="none"/>
                <w:lang w:val="en-US" w:eastAsia="zh-CN" w:bidi="ar"/>
              </w:rPr>
              <w:t xml:space="preserve">天一中学新吴分校新建工程厨房设备采购清单</w:t>
            </w:r>
            <w:r>
              <w:rPr>
                <w:rFonts w:hint="eastAsia" w:ascii="宋体" w:hAnsi="宋体" w:eastAsia="宋体" w:cs="宋体"/>
                <w:b/>
                <w:bCs/>
                <w:i w:val="0"/>
                <w:iCs w:val="0"/>
                <w:color w:val="000000"/>
                <w:sz w:val="36"/>
                <w:szCs w:val="36"/>
                <w:highlight w:val="none"/>
                <w:u w:val="none"/>
              </w:rPr>
            </w:r>
            <w:r/>
          </w:p>
        </w:tc>
      </w:tr>
      <w:tr>
        <w:trPr>
          <w:trHeight w:val="510"/>
        </w:trPr>
        <w:tc>
          <w:tcPr>
            <w:tcW w:w="316"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编号</w:t>
            </w:r>
            <w:r>
              <w:rPr>
                <w:rFonts w:hint="eastAsia" w:ascii="宋体" w:hAnsi="宋体" w:eastAsia="宋体" w:cs="宋体"/>
                <w:b/>
                <w:bCs/>
                <w:i w:val="0"/>
                <w:iCs w:val="0"/>
                <w:color w:val="000000"/>
                <w:sz w:val="20"/>
                <w:szCs w:val="20"/>
                <w:highlight w:val="none"/>
                <w:u w:val="none"/>
              </w:rPr>
            </w:r>
            <w:r/>
          </w:p>
        </w:tc>
        <w:tc>
          <w:tcPr>
            <w:tcW w:w="698"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设备名称</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尺寸(WxDxH)（±10%)</w:t>
            </w: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技术参数</w:t>
            </w:r>
            <w:r>
              <w:rPr>
                <w:rFonts w:hint="eastAsia" w:ascii="宋体" w:hAnsi="宋体" w:eastAsia="宋体" w:cs="宋体"/>
                <w:b/>
                <w:bCs/>
                <w:i w:val="0"/>
                <w:iCs w:val="0"/>
                <w:color w:val="000000"/>
                <w:sz w:val="20"/>
                <w:szCs w:val="20"/>
                <w:highlight w:val="none"/>
                <w:u w:val="none"/>
              </w:rPr>
            </w:r>
            <w:r/>
          </w:p>
        </w:tc>
        <w:tc>
          <w:tcPr>
            <w:tcW w:w="316"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316"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标的物所属行业</w:t>
            </w:r>
            <w:r>
              <w:rPr>
                <w:rFonts w:hint="eastAsia" w:ascii="宋体" w:hAnsi="宋体" w:eastAsia="宋体" w:cs="宋体"/>
                <w:b/>
                <w:bCs/>
                <w:i w:val="0"/>
                <w:iCs w:val="0"/>
                <w:color w:val="000000"/>
                <w:sz w:val="20"/>
                <w:szCs w:val="20"/>
                <w:highlight w:val="none"/>
                <w:u w:val="none"/>
              </w:rPr>
            </w:r>
            <w:r/>
          </w:p>
        </w:tc>
      </w:tr>
      <w:tr>
        <w:trPr>
          <w:trHeight w:val="420"/>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一楼厨房设备清单</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20"/>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验货区</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平板推车</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500*900*850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单星工作台（右星）</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1500*600*800+150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电子落地</w:t>
            </w:r>
            <w:r>
              <w:rPr>
                <w:rFonts w:hint="eastAsia" w:ascii="宋体" w:hAnsi="宋体" w:cs="宋体"/>
                <w:i w:val="0"/>
                <w:iCs w:val="0"/>
                <w:color w:val="000000"/>
                <w:sz w:val="20"/>
                <w:szCs w:val="20"/>
                <w:highlight w:val="none"/>
                <w:u w:val="none"/>
                <w:lang w:val="en-US" w:eastAsia="zh-CN" w:bidi="ar"/>
              </w:rPr>
              <w:t xml:space="preserve">秤</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420*560*900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保洁间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拖把池连架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1200*600*1700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更衣室</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组合更衣柜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1400*700*2000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二人位脚踏式星盆</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1300*480*1100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三人位脚踏式星盆</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1500*480*1100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蔬菜加工</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备用编号</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859"/>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厨房智能冰箱</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1200*800*1950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电源：220V、50Hz，外壳及内胆采用0.8mm厚的不锈钢板制作；双机双温，冷藏:0℃～10℃；冷冻:-15℃～-20℃；铜管；智能物联系统；直冷；智能物联网系统。</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曲棍去水款大单星盆水池(斗深400mm)</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工作台下栅格带靠背</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2000*1000*800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402"/>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2000*1000*800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开水器带底座</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≥120L/H</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1、能源种类：开水炉含底座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2、开水器连底座电压/功率：380V/。机身：采用不锈钢板厚度≥1.2mm,内胆不锈钢板厚度≥1.0mm。水箱内胆:采用不锈钢304材质 电热管：88mm加粗紫铜电热管 缺水防干烧保护，自动进水，自动控温，侧面带有排污口</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10米</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荤菜加工</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万能组合消毒柜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1200*600*1800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双温四门高身柜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1220*740*1960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819"/>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2000*1000*800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439"/>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2000*1000*800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单星工作台（右星）</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曲棍去水款双星盆水池(斗深400mm）</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7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曲棍去水款双星盆水池(斗深400mm）</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单星工作台（右星）</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曲棍去水款大单星盆水池(斗深400mm)</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E11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439"/>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E12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E13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27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E14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w:t>
            </w:r>
            <w:r>
              <w:rPr>
                <w:rFonts w:hint="eastAsia" w:ascii="宋体" w:hAnsi="宋体" w:eastAsia="宋体" w:cs="宋体"/>
                <w:i w:val="0"/>
                <w:iCs w:val="0"/>
                <w:color w:val="000000"/>
                <w:sz w:val="20"/>
                <w:szCs w:val="20"/>
                <w:highlight w:val="none"/>
                <w:u w:val="none"/>
                <w:lang w:val="en-US" w:eastAsia="zh-CN" w:bidi="ar"/>
              </w:rPr>
            </w:r>
            <w:r/>
          </w:p>
          <w:p>
            <w:pPr>
              <w:pStyle w:val="798"/>
              <w:ind w:left="0" w:firstLine="0"/>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rPr>
                <w:rFonts w:hint="eastAsia"/>
                <w:highlight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器皿间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副食库</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739"/>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主食库</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平板推车</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500*900*850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主材：采用304不锈钢板厚度≥1.2mm；立管：不锈钢方管38*38；手柄：不锈钢圆管φ32；台脚：2个5寸定向轮，2个5寸带刹车万向轮。</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76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米面架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1200*500*200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整体采用304不锈钢制造，由（方管38mm*25mm）*1.0mm制成花格，接驳口为烧焊连成,焊接采用电弧焊或氩弧焊,所有在表面能看得见的焊接都需要适当地做表面处理；下加加强筋，配置橡胶脚套。</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米面架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1200*500*200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蒸煮间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4000*1300*500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主质：采用304板材；板厚≥1.0mm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滤油板:不锈钢板,板厚0.8mm;防雾烟罩灯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要求：油网烟罩后封板、前封板、前页、上滑槽与下滑槽，所有外露边须紧压扣边。油网烟罩后封板与前封板连接为分段短焊，其中前封板 HL 面外露。油网烟罩前页与前封板连接为分段短焊，焊接面在前封板外露面前页 HL 面向下，两端烟罩连接口分别向上 90 度。油网烟罩两末端的侧封板与后封板、前封板前页为分段短焊，其中同前页的前端、后封板去油槽位置为满焊，并打磨。烟罩照明灯必须有防水功能，导电线要有适用的穿线护管。</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可倾燃气锅</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≥200L</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外壳304不锈钢制作，厚度≥3mm；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内胆304不锈钢制作，厚度≥3mm；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支架--80*40mm不锈钢方管，厚度≥2mm；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锅口内径800mm，容积≥200L；</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炉头：采用节能炉头；带电子打火及熄火保护装置；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结构：可倾式，手轮倾倒；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加热方式：天然气；符合GB35848-2024要求，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559"/>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可倾燃气锅</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200L</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80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商用净水器组</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≥1.5T/H</w:t>
            </w:r>
            <w:r>
              <w:rPr>
                <w:rFonts w:hint="eastAsia" w:ascii="宋体" w:hAnsi="宋体" w:eastAsia="宋体" w:cs="宋体"/>
                <w:i w:val="0"/>
                <w:iCs w:val="0"/>
                <w:color w:val="000000"/>
                <w:sz w:val="20"/>
                <w:szCs w:val="20"/>
                <w:highlight w:val="none"/>
                <w:u w:val="none"/>
              </w:rPr>
            </w:r>
            <w:r/>
          </w:p>
        </w:tc>
        <w:tc>
          <w:tcPr>
            <w:tcW w:w="1877" w:type="dxa"/>
            <w:vAlign w:val="bottom"/>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1.产品基本参数：额定电压/频率：220V~/50Hz。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2.适用水源：市政自来水，适用水压：0.1MPa-0.4MPa，适应水温：5-38℃。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3.制水速度：1.8T/H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4.水处理工艺：市政自来水→超滤膜→净水，0.01微米精微净化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5.外壳材质：钣金喷涂。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6.智能技术：统一的数字化客户管理端，随时了解设备工况、净水量等信息，并可实现一键报修。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①可设置定时自动开、关机；自动冲洗，保证滤芯的使用寿命；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②故障报警或一键报修；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b/>
                <w:bCs/>
                <w:i w:val="0"/>
                <w:iCs w:val="0"/>
                <w:color w:val="000000"/>
                <w:sz w:val="20"/>
                <w:szCs w:val="20"/>
                <w:highlight w:val="none"/>
                <w:u w:val="none"/>
                <w:lang w:val="en-US" w:eastAsia="zh-CN" w:bidi="ar"/>
              </w:rPr>
              <w:t xml:space="preserve">强制认证：</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所投产品对应型号有涉水卫生批件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301"/>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7500*1200*500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主质：采用304板材；板厚≥1.0mm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滤油板:不锈钢板,板厚0.8mm;防雾烟罩灯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要求：油网烟罩后封板、前封板、前页、上滑槽与下滑槽，所有外露边须紧压扣边。油网烟罩后封板与前封板连接为分段短焊，其中前封板 HL 面外露。油网烟罩前页与前封板连接为分段短焊，焊接面在前封板外露面前页 HL 面向下，两端烟罩连接口分别向上 90 度。油网烟罩两末端的侧封板与后封板、前封板前页为分段短焊，其中同前页的前端、后封板去油槽位置为满焊，并打磨。烟罩照明灯必须有防水功能，导电线要有适用的穿线护管。</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电力24盘蒸饭车</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24盘</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主材：不锈钢</w:t>
            </w:r>
            <w:r>
              <w:rPr>
                <w:rFonts w:hint="eastAsia" w:ascii="宋体" w:hAnsi="宋体" w:cs="宋体"/>
                <w:i w:val="0"/>
                <w:iCs w:val="0"/>
                <w:color w:val="000000"/>
                <w:sz w:val="20"/>
                <w:szCs w:val="20"/>
                <w:highlight w:val="none"/>
                <w:u w:val="none"/>
                <w:lang w:val="en-US" w:eastAsia="zh-CN" w:bidi="ar"/>
              </w:rPr>
              <w:t xml:space="preserve">磨砂</w:t>
            </w:r>
            <w:r>
              <w:rPr>
                <w:rFonts w:hint="eastAsia" w:ascii="宋体" w:hAnsi="宋体" w:eastAsia="宋体" w:cs="宋体"/>
                <w:i w:val="0"/>
                <w:iCs w:val="0"/>
                <w:color w:val="000000"/>
                <w:sz w:val="20"/>
                <w:szCs w:val="20"/>
                <w:highlight w:val="none"/>
                <w:u w:val="none"/>
                <w:lang w:val="en-US" w:eastAsia="zh-CN" w:bidi="ar"/>
              </w:rPr>
              <w:t xml:space="preserve">板，厚度≥1.0mm；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保温：整体聚氨酯发泡；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功率：380v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手柄：刀斧式把手；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车轮：采Ф125万向活动轮；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密封条：嵌入式硅胶条；</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9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w:t>
            </w:r>
            <w:r>
              <w:rPr>
                <w:rFonts w:hint="eastAsia" w:ascii="宋体" w:hAnsi="宋体" w:eastAsia="宋体" w:cs="宋体"/>
                <w:i w:val="0"/>
                <w:iCs w:val="0"/>
                <w:color w:val="000000"/>
                <w:sz w:val="20"/>
                <w:szCs w:val="20"/>
                <w:highlight w:val="none"/>
                <w:u w:val="none"/>
                <w:lang w:val="en-US" w:eastAsia="zh-CN" w:bidi="ar"/>
              </w:rPr>
            </w:r>
            <w:r/>
          </w:p>
          <w:p>
            <w:pPr>
              <w:pStyle w:val="786"/>
              <w:jc w:val="left"/>
              <w:keepLines w:val="0"/>
              <w:keepNext w:val="0"/>
              <w:widowControl/>
              <w:rPr>
                <w:rFonts w:hint="eastAsia"/>
                <w:highlight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rPr>
                <w:rFonts w:hint="eastAsia"/>
                <w:highlight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烹饪间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9900*1300*500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主质：采用304板材；板厚≥1.0mm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滤油板:不锈钢板,板厚0.8mm;防雾烟罩灯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要求：油网烟罩后封板、前封板、前页、上滑槽与下滑槽，所有外露边须紧压扣边。油网烟罩后封板与前封板连接为分段短焊，其中前封板 HL 面外露。油网烟罩前页与前封板连接为分段短焊，焊接面在前封板外露面前页 HL 面向下，两端烟罩连接口分别向上 90 度。油网烟罩两末端的侧封板与后封板、前封板前页为分段短焊，其中同前页的前端、后封板去油槽位置为满焊，并打磨。烟罩照明灯必须有防水功能，导电线要有适用的穿线护管。</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12.9</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炉拼台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500*1200*800+450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炉拼台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400*1200*800+450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燃气单头单尾小炒灶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1200*1150*800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面板采用304不锈钢板，厚度≥1.2，其余≥1.0，前围标、后背标采用精密铸造，大气稳固，强度高，操作舒适，炉头采用不锈钢炉头，内置火种，燃烧充分，效率高。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电子打火，熄火保护。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炉拼台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500*1200*800+450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燃气双头大锅灶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2200*1150*800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板采用304不锈钢板，厚度≥1.2，其余≥1.0，配置250W风机。前围标、后背标采用精密铸造，大气稳固、独一无二，手柄采用特殊材料铸造，强度高，操作舒适，炉头采用不锈钢炉头，燃烧充分，效率高。配电子打火，熄火保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357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厨房灭火系统</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双瓶组</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装置具备自动、手动和应急启动三种操作模式,能提供动作信号配合消防控制室联动报警,本装置设计有自动探测部件，可24小时监控。灶台油锅发生火情时，可自动启动灭火装置灭火，同时关闭燃气阀并报警（燃气切断阀属于选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 根据厨房环境特点本装置均属机械传动,不需用电,原材料全部采用304不锈钢及铜材等，防止设备氧化锈蚀，灭火装置所有药剂管路采用304不锈钢厚壁管满足高压药剂迅速通过的要求,且螺纹连接的安装方式能避免高温高热环境下管路连接松动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装置设计结构合理、适用、美观。安装不占用厨房地面面积，只占用空间位置，装置与消防水(或者自来水)管路相连,系统启动后灭火剂开始喷洒,待灭火剂喷洒完再自动控制水阀对监控区域自动喷水降温,达到防止复燃的效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对喷嘴数量和位置更具灵活性，喷嘴数量取决于灶台油锅和集烟罩排烟口数量来设计，系统装置包括:控制箱、管路、喷嘴、探测器、易熔连接片、金属拉索、滑轮三通.滑轮弯头等组成。其中控制箱由自动释放机构、驱动用高压氮气瓶、水流控制阀、液体药剂罐以及连接软管、单向阀、减压阀等构成;采用机械式自动启动无需任何电源(包含</w:t>
            </w:r>
            <w:r>
              <w:rPr>
                <w:rFonts w:hint="eastAsia" w:ascii="宋体" w:hAnsi="宋体" w:cs="宋体"/>
                <w:i w:val="0"/>
                <w:iCs w:val="0"/>
                <w:color w:val="000000"/>
                <w:sz w:val="20"/>
                <w:szCs w:val="20"/>
                <w:highlight w:val="none"/>
                <w:u w:val="none"/>
                <w:lang w:val="en-US" w:eastAsia="zh-CN" w:bidi="ar"/>
              </w:rPr>
              <w:t xml:space="preserve">电</w:t>
            </w:r>
            <w:r>
              <w:rPr>
                <w:rFonts w:hint="eastAsia" w:ascii="宋体" w:hAnsi="宋体" w:eastAsia="宋体" w:cs="宋体"/>
                <w:i w:val="0"/>
                <w:iCs w:val="0"/>
                <w:color w:val="000000"/>
                <w:sz w:val="20"/>
                <w:szCs w:val="20"/>
                <w:highlight w:val="none"/>
                <w:u w:val="none"/>
                <w:lang w:val="en-US" w:eastAsia="zh-CN" w:bidi="ar"/>
              </w:rPr>
              <w:t xml:space="preserve">池)即可工作,避免因电路故障造成装置无法运转和短路的可能性;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2000*1000*800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2000*1000*800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双通移门柜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1800*1000*800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64"/>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米面架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1200*500*200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整体采用304不锈钢制造，由（方管38mm*25mm）*1.0mm制成花格，接驳口为烧焊连成,焊接采用电弧焊或氩弧焊,所有在表面能看得见的焊接都需要适当地做表面处理；下加加强筋，配置橡胶脚套。</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27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w:t>
            </w:r>
            <w:r>
              <w:rPr>
                <w:rFonts w:hint="eastAsia" w:ascii="宋体" w:hAnsi="宋体" w:eastAsia="宋体" w:cs="宋体"/>
                <w:i w:val="0"/>
                <w:iCs w:val="0"/>
                <w:color w:val="000000"/>
                <w:sz w:val="20"/>
                <w:szCs w:val="20"/>
                <w:highlight w:val="none"/>
                <w:u w:val="none"/>
                <w:lang w:val="en-US" w:eastAsia="zh-CN" w:bidi="ar"/>
              </w:rPr>
            </w:r>
            <w:r/>
          </w:p>
          <w:p>
            <w:pPr>
              <w:pStyle w:val="798"/>
              <w:ind w:left="0" w:firstLine="0"/>
              <w:jc w:val="both"/>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rPr>
                <w:rFonts w:hint="eastAsia"/>
                <w:highlight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开水器带底座</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≥120L/H</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1、能源种类：开水炉含底座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2、开水器连底座电压/功率：380V/。机身：采用不锈钢板厚度≥1.2mm,内胆不锈钢板厚度≥1.0mm。水箱内胆:采用不锈钢304材质 电热管：88mm加粗紫铜电热管 缺水防干烧保护，自动进水，自动控温，侧面带有排污口</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双星工作台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双温四门高身柜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1220*740*1960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餐车</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850*500*900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材质：材料：304材质，发纹处理，氩焊处打磨处理，主材厚度δ=1.0mm，主架用38*25*1.2mm不锈钢扁管；下配4只耐磨低噪音万向轮，其中2只带刹车</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留样间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单通移门柜带靠背</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2、层板：304，≥1.2mm不锈钢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3、侧板：304，≥1.2mm不锈钢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4、柜门：304，≥1.2mm，内衬，≥0.6mm不锈钢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5、加强筋：≥1.5mm不锈钢加强筋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6、台脚：可调节不锈钢锥形承重脚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单星盆水池柜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2、星盆：配不锈钢落水，厚度≥1.0mm；                              3、层板：304，≥1.0mm不锈钢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4、侧板：304，≥1.0mm不锈钢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5、柜门：304，≥0.8mm，内衬≥0.6mm不锈钢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6、加强筋：≥1.5mm不锈钢加强筋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7、台脚：可调节不锈钢锥形承重脚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双门留样柜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1200*580*1950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预进间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六门更衣柜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900*400*1800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采用不锈钢板制作，厚度，≥1.0mm；分上层下层，每层三扇门，每扇门上附锁。</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900*500*800+150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b/>
                <w:bCs/>
                <w:i w:val="0"/>
                <w:iCs w:val="0"/>
                <w:color w:val="000000"/>
                <w:sz w:val="20"/>
                <w:szCs w:val="20"/>
                <w:highlight w:val="none"/>
                <w:u w:val="none"/>
                <w:lang w:val="en-US" w:eastAsia="zh-CN" w:bidi="ar"/>
              </w:rPr>
              <w:t xml:space="preserve">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402"/>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特色间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明档烟罩</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2400*1100*500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双温四门高身柜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1220*740*1960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电磁单头矮汤炉</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700*800*530+720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电热饺子炉加煮面炉</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1400*800*800+200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单通移门挂墙柜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2080*400*600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柜门：厚度≥1.2mm；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2、层板：304，≥1.2mm不锈钢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3、侧板：304，≥1.2mm不锈钢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4、柜门：304，≥1.2mm，内衬，≥0.6mm不锈钢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5、加强筋：≥1.5mm不锈钢加强筋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6、台脚：可调节不锈钢锥形承重脚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八格售饭柜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1620*700*800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单通移门挂墙柜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2200*400*600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柜门：厚度≥1.2mm；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冷藏操作台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M11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单星盆水池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M12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M13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双通移门柜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2、层板：304，≥1.0mm不锈钢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3、侧板：304，≥1.0mm不锈钢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4、柜门：304，≥0.8mm，内衬0.6mm不锈钢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5、加强筋：1.5mm不锈钢加强筋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6、台脚：可调节不锈钢锥形承重脚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售饭间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9、生产厂家具有消毒产品生产许可证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76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暖饭车</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台面：1.2mm304#2B不锈钢雪花拉丝板，水箱≥1.2mm不锈钢雪花拉丝板，侧板、围板、加强筋：1.2mm不锈钢雪花拉丝板，设备功率：220V/2KW，配四只万向脚轮，后两只带刹车</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暖饭车</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五格保温售饭工作台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材质：采用304不锈钢板材；                                                      台面厚度≥1.2mm；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侧板： 厚度≥1.0mm；                                                                                 衬筋：不锈钢板厚度≥1.0mm；                                                            功率：3</w:t>
            </w:r>
            <w:r>
              <w:rPr>
                <w:rFonts w:hint="eastAsia" w:ascii="宋体" w:hAnsi="宋体" w:cs="宋体"/>
                <w:i w:val="0"/>
                <w:iCs w:val="0"/>
                <w:color w:val="000000"/>
                <w:sz w:val="20"/>
                <w:szCs w:val="20"/>
                <w:highlight w:val="none"/>
                <w:u w:val="none"/>
                <w:lang w:val="en-US" w:eastAsia="zh-CN" w:bidi="ar"/>
              </w:rPr>
              <w:t xml:space="preserve">kW</w:t>
            </w:r>
            <w:r>
              <w:rPr>
                <w:rFonts w:hint="eastAsia" w:ascii="宋体" w:hAnsi="宋体" w:eastAsia="宋体" w:cs="宋体"/>
                <w:i w:val="0"/>
                <w:iCs w:val="0"/>
                <w:color w:val="000000"/>
                <w:sz w:val="20"/>
                <w:szCs w:val="20"/>
                <w:highlight w:val="none"/>
                <w:u w:val="none"/>
                <w:lang w:val="en-US" w:eastAsia="zh-CN" w:bidi="ar"/>
              </w:rPr>
              <w:t xml:space="preserve">电加热：恒温控制；                              份数盘：1/1*1.0mm″连盖，配5只；                    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五格保温售饭工作台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1300*600*800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48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1300*600*800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1210*600*800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N11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N12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单通移门碗柜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洗碗间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工作台下栅格带靠背</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曲棍去水款大单星盆水池(斗深400mm)</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27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单孔收餐工作台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29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链片式输送带</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530*8600*940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输送餐盘宽</w:t>
            </w:r>
            <w:r>
              <w:rPr>
                <w:rFonts w:hint="eastAsia" w:ascii="宋体" w:hAnsi="宋体" w:eastAsia="宋体" w:cs="宋体"/>
                <w:i w:val="0"/>
                <w:iCs w:val="0"/>
                <w:color w:val="000000"/>
                <w:sz w:val="20"/>
                <w:szCs w:val="20"/>
                <w:highlight w:val="none"/>
                <w:u w:val="none"/>
                <w:lang w:val="en-US" w:eastAsia="zh-CN" w:bidi="ar"/>
              </w:rPr>
              <w:t xml:space="preserve">度：≤350mm，传送速度：5～20m/min，功率不大于1KW，电源要求220V/50Hz/1PH；整机采用304不锈钢材质，台面和支撑腿材料厚度≥1.5mm，主/副机头支架材料厚度为2.0mm，传送带蓝色链板为食品级聚甲醛树脂材质，规格为304*38mm，链板轨道为高分子聚乙烯材质，厚度不低于10mm，经久耐用；抗扯力≥3000N，主机头处安装链板清洗装置，喷头喷出扇形水柱将输送带表面残渣冲洗干净，主机头箱内置抽屉式残渣篮，易于清洁；无极变频调速，实时数显传送速度，外置调速电位器；配置减速电机，具有变频</w:t>
            </w:r>
            <w:r>
              <w:rPr>
                <w:rFonts w:hint="eastAsia" w:ascii="宋体" w:hAnsi="宋体" w:cs="宋体"/>
                <w:i w:val="0"/>
                <w:iCs w:val="0"/>
                <w:color w:val="000000"/>
                <w:sz w:val="20"/>
                <w:szCs w:val="20"/>
                <w:highlight w:val="none"/>
                <w:u w:val="none"/>
                <w:lang w:val="en-US" w:eastAsia="zh-CN" w:bidi="ar"/>
              </w:rPr>
              <w:t xml:space="preserve">无级调速</w:t>
            </w:r>
            <w:r>
              <w:rPr>
                <w:rFonts w:hint="eastAsia" w:ascii="宋体" w:hAnsi="宋体" w:eastAsia="宋体" w:cs="宋体"/>
                <w:i w:val="0"/>
                <w:iCs w:val="0"/>
                <w:color w:val="000000"/>
                <w:sz w:val="20"/>
                <w:szCs w:val="20"/>
                <w:highlight w:val="none"/>
                <w:u w:val="none"/>
                <w:lang w:val="en-US" w:eastAsia="zh-CN" w:bidi="ar"/>
              </w:rPr>
              <w:t xml:space="preserve">，柔性启动功能；配置紧急停止安全开关、漏电断路安全保护开关和变频器；防水的操作面板上配置启动开、停止开关、调速电位器；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中间滤网式抽气罩</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4000*1200*500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罩体：不锈钢板,板厚≥1.2mm；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两侧板：不锈钢板,板厚≥1.2mm；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滤油板:不锈钢板,板厚≥0.8mm;防雾烟罩灯</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9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长龙式洗碗机</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4000*840*2025</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1、基础配置：整机功率≤68.95kW（380V/50Hz），清洗数量1500-2000碟/小时；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2、功能配置：（50-60℃）主洗模块+（80-90℃）双漂洗模块+（90-110℃）烘干模块；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3、整机特点：整机采用304#不锈钢和紧固件，360°旋转全钢重力脚，一体式全开门双层结构，整机全底板封合；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4、节能特点：机器入口内置红外光电感应开关，自动扫描餐具，有效节约水电能效；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5、排水特点：可拆式一体化管路设计，配备电动排水阀，一键自动排水；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6、调速特点：机器配置</w:t>
            </w:r>
            <w:r>
              <w:rPr>
                <w:rFonts w:hint="eastAsia" w:ascii="宋体" w:hAnsi="宋体" w:cs="宋体"/>
                <w:i w:val="0"/>
                <w:iCs w:val="0"/>
                <w:color w:val="000000"/>
                <w:sz w:val="20"/>
                <w:szCs w:val="20"/>
                <w:highlight w:val="none"/>
                <w:u w:val="none"/>
                <w:lang w:val="en-US" w:eastAsia="zh-CN" w:bidi="ar"/>
              </w:rPr>
              <w:t xml:space="preserve">无级</w:t>
            </w:r>
            <w:r>
              <w:rPr>
                <w:rFonts w:hint="eastAsia" w:ascii="宋体" w:hAnsi="宋体" w:eastAsia="宋体" w:cs="宋体"/>
                <w:i w:val="0"/>
                <w:iCs w:val="0"/>
                <w:color w:val="000000"/>
                <w:sz w:val="20"/>
                <w:szCs w:val="20"/>
                <w:highlight w:val="none"/>
                <w:u w:val="none"/>
                <w:lang w:val="en-US" w:eastAsia="zh-CN" w:bidi="ar"/>
              </w:rPr>
              <w:t xml:space="preserve">变频调速器，可适时调节履带运行速度，0-3米/分钟随意调节；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7、电控特点：ECU计算机微程序智能控制系统，三点式轻触操作，故障代码自动显示；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8、洗涤特点：一体式冲压上5下4六孔喷臂管，双泵双漂洗，全模具注塑接头组件；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9、烘干特点：高性能多翼式离心风机，强转速风力，分流聚拢风刀循环热风系统；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10、安全特点：整机采用多重安全保护，包括开门停机保护、出口限位保护、电机过载保护、整机急停保护等；</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活动双层平板工作台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台面：304厚度≥1.2mm；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横档：30438*25不锈钢管  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脚通：304光亮不锈钢方管，38*38*1.5；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脚轮：静音4寸重力轮。</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鼓泡预洗机</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机械控制面板，操作简便。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餐具投入鼓泡池后，高压鼓泡软化餐具污渍。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整机双层结构，牢固可靠。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独特的鼓泡功能可将餐具上的残渣洗掉。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浸泡洗涤量大，适用于多种餐具。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机器前端设有残渣收集篮，处理残渣方便快捷。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选配加热器可提升水温，让冬季清洗更温暖，餐具上污渍更易软化。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整机采用电加热方式，可根据客户需求定制不同尺寸，完善契合现场使用</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31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O11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76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O12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90度转角</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530*530*940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外壳选用国标304不锈钢板，厚度≥1.5mm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2、功率：200W/380V 三相四线制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3、核心配件选用产品</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27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O13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w:t>
            </w:r>
            <w:r>
              <w:rPr>
                <w:rFonts w:hint="eastAsia" w:ascii="宋体" w:hAnsi="宋体" w:eastAsia="宋体" w:cs="宋体"/>
                <w:i w:val="0"/>
                <w:iCs w:val="0"/>
                <w:color w:val="000000"/>
                <w:sz w:val="20"/>
                <w:szCs w:val="20"/>
                <w:highlight w:val="none"/>
                <w:u w:val="none"/>
                <w:lang w:val="en-US" w:eastAsia="zh-CN" w:bidi="ar"/>
              </w:rPr>
            </w:r>
            <w:r/>
          </w:p>
          <w:p>
            <w:pPr>
              <w:pStyle w:val="798"/>
              <w:ind w:left="0" w:firstLine="0"/>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rPr>
                <w:rFonts w:hint="eastAsia"/>
                <w:highlight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29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O14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投放柜（斜面）</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L×300×850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抽型面板,压凹成型圆环弧面，便于液体流入。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超大投料口200mm，方便投料。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可回收不锈钢和密胺类餐具。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可回收易拉罐、水瓶、纸巾等物品。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可回收食物残渣。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可以集中回收筷子，勺子，刀叉等小件餐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可应用于链片式或皮筋式等各种输送带。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可拓展使用，如用于投放餐后废弃纸巾或者饮料盒等废弃物。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内置回收桶尺寸  ：400*260*475mm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碗筷存放处</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单通移门碗柜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柜门：厚度≥1.2mm；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活动双层平板工作台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台面：304厚度≥1.2mm；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横档：30438*25不锈钢管  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脚通：304光亮不锈钢方管，38*38*1.5；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脚轮：静音4寸重力轮。</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4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热风循环消毒柜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1300*630*1940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主材：采用不锈钢板厚度≥1.0mm；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不准采用整体发泡，必须采用隔热材料；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辅材：不锈钢板厚度≥1.0mm，整体聚氨酯发泡；内胆：不锈钢板厚度0.8mm；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胶条：嵌入式硅胶条；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控温范围：50-150度；消毒湿度：130度采用自动控温、操作方便；热风循环、热量均匀、无死角、高温消毒杀菌；符合卫生防疫要求；</w:t>
            </w:r>
            <w:r>
              <w:rPr>
                <w:rFonts w:hint="eastAsia" w:ascii="宋体" w:hAnsi="宋体" w:eastAsia="宋体" w:cs="宋体"/>
                <w:i w:val="0"/>
                <w:iCs w:val="0"/>
                <w:color w:val="000000"/>
                <w:sz w:val="20"/>
                <w:szCs w:val="20"/>
                <w:highlight w:val="none"/>
                <w:u w:val="none"/>
                <w:lang w:val="en-US" w:eastAsia="zh-CN" w:bidi="ar"/>
              </w:rPr>
            </w:r>
            <w:r/>
          </w:p>
          <w:p>
            <w:pPr>
              <w:pStyle w:val="798"/>
              <w:ind w:left="0" w:firstLine="0"/>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生产厂家具有消毒产品生产许可证</w:t>
            </w:r>
            <w:r>
              <w:rPr>
                <w:rFonts w:hint="eastAsia"/>
                <w:highlight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val="false"/>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其它</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★感应水龙头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单温款</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  H62黄铜铸造主体，表面抛光镀铬处理                            2  座台式安装，开孔尺寸25mm                                            3  红外感应距离25cm，感应距离可调                                    4  AC/DC控制模块，电源可选交流电或1.5V*4直流电源 5  三通接口设计，可接冷、热水源，接口4分外螺纹。  6  出水口距台面100mm   </w:t>
            </w:r>
            <w:r>
              <w:rPr>
                <w:rFonts w:hint="eastAsia" w:ascii="宋体" w:hAnsi="宋体" w:eastAsia="宋体" w:cs="宋体"/>
                <w:i w:val="0"/>
                <w:iCs w:val="0"/>
                <w:color w:val="000000"/>
                <w:sz w:val="20"/>
                <w:szCs w:val="20"/>
                <w:highlight w:val="none"/>
                <w:u w:val="none"/>
                <w:lang w:val="en-US" w:eastAsia="zh-CN" w:bidi="ar"/>
              </w:rPr>
            </w:r>
            <w:r/>
          </w:p>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感应水龙头为政府强制采购的节能产品，投标人只能选择具有国家确定的认证机构出具的有效期之内的节能产品认证证书扫描件的产品</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★冷热水龙头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双温款</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全铜材质，陶瓷阀芯，标配六寸（152mm）鹅颈水嘴（可选配八寸（203mm）鹅颈水嘴）  </w:t>
            </w:r>
            <w:r>
              <w:rPr>
                <w:rFonts w:hint="eastAsia" w:ascii="宋体" w:hAnsi="宋体" w:eastAsia="宋体" w:cs="宋体"/>
                <w:i w:val="0"/>
                <w:iCs w:val="0"/>
                <w:color w:val="000000"/>
                <w:sz w:val="20"/>
                <w:szCs w:val="20"/>
                <w:highlight w:val="none"/>
                <w:u w:val="none"/>
                <w:lang w:val="en-US" w:eastAsia="zh-CN" w:bidi="ar"/>
              </w:rPr>
            </w:r>
            <w:r/>
          </w:p>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冷热水龙头为政府强制采购的节能产品，投标人只能选择具有国家确定的认证机构出具的有效期之内的节能产品认证证书扫描件的产品</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脚踏式水龙头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单温款</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全铜材质，脚踏式控制开关，配套六寸（152mm）鹅颈水嘴</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val="false"/>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二楼厨房设备清单</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验货区</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AA01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AA02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单星盆水池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600*600*800+150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AA03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工作台下栅格带靠背</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1500*600*800+150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AA04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电子落地</w:t>
            </w:r>
            <w:r>
              <w:rPr>
                <w:rFonts w:hint="eastAsia" w:ascii="宋体" w:hAnsi="宋体" w:cs="宋体"/>
                <w:i w:val="0"/>
                <w:iCs w:val="0"/>
                <w:color w:val="000000"/>
                <w:sz w:val="20"/>
                <w:szCs w:val="20"/>
                <w:highlight w:val="none"/>
                <w:u w:val="none"/>
                <w:lang w:val="en-US" w:eastAsia="zh-CN" w:bidi="ar"/>
              </w:rPr>
              <w:t xml:space="preserve">秤</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≥200KG</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≥200KG                                              1、内置可充电蓄电池，充电时可以开机使用，数字显示屏。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 开机自动置零。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 零点自动跟踪。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 具有计重、计数、百分比切换功能；计重时具有重量分选功能。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 工作温度范围：0℃ ~ +40℃。 6. 相对工作湿度: ≤ 85% RH。</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AA05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AA06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平板推车</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500*900*850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主材：采用304不锈钢板厚度≥1.2mm；立管：不锈钢方管38*38；手柄：不锈钢圆管φ32；台脚：2个5寸定向轮，2个5寸带刹车万向轮。</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AB保洁间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拖把池连架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1200*600*1700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更衣室</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AC01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组合更衣柜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1400*700*2000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整体采用304不锈钢制作；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顶板、层板、底板、侧板及面板采用≥1.0mm厚不锈钢板制作；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并用1.0mm厚不锈钢板折成加强筋加固；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配置不锈钢可调子弹脚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AC02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二人位脚踏式星盆</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1300*480*1100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AC03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三人位脚踏式星盆</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1500*480*1100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蔬菜加工</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AD01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AD02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2000*1000*800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AD03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厨房智能冰箱</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1200*800*1950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电源：220V、50Hz，外壳及内胆采用0.8mm厚的不锈钢板制作；双机双温，冷藏:0℃～10℃；；冷冻:-15℃～-20℃；；铜管；智能物联系统；直冷；智能物联网系统。</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AD04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开水器带底座</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≥120L/H</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1、能源种类：开水炉含底座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2、开水器连底座电压/功率：380V/。机身：采用不锈钢板厚度≥1.2mm,内胆不锈钢板厚度≥1.0mm。水箱内胆:采用不锈钢304材质 电热管：88mm加粗紫铜电热管 缺水防干烧保护，自动进水，自动控温，侧面带有排污口</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AD05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曲棍去水款大单星盆水池(斗深400mm)</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AD06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27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AD07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w:t>
            </w:r>
            <w:r>
              <w:rPr>
                <w:rFonts w:hint="eastAsia" w:ascii="宋体" w:hAnsi="宋体" w:eastAsia="宋体" w:cs="宋体"/>
                <w:i w:val="0"/>
                <w:iCs w:val="0"/>
                <w:color w:val="000000"/>
                <w:sz w:val="20"/>
                <w:szCs w:val="20"/>
                <w:highlight w:val="none"/>
                <w:u w:val="none"/>
                <w:lang w:val="en-US" w:eastAsia="zh-CN" w:bidi="ar"/>
              </w:rPr>
            </w:r>
            <w:r/>
          </w:p>
          <w:p>
            <w:pPr>
              <w:pStyle w:val="798"/>
              <w:ind w:left="0" w:firstLine="0"/>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rPr>
                <w:rFonts w:hint="eastAsia"/>
                <w:highlight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荤菜加工</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27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万能组合消毒柜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1200*600*1800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消毒刀数量：20把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消毒毛巾数量：24块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消毒砧板数量：10块（直径50cm厚度10cm）砧板架，刀具架整体采用板材，结实稳固，循环风口消毒，利于柜体内部循环等多方位杀菌，安全放心</w:t>
            </w:r>
            <w:r>
              <w:rPr>
                <w:rFonts w:hint="eastAsia" w:ascii="宋体" w:hAnsi="宋体" w:eastAsia="宋体" w:cs="宋体"/>
                <w:i w:val="0"/>
                <w:iCs w:val="0"/>
                <w:color w:val="000000"/>
                <w:sz w:val="20"/>
                <w:szCs w:val="20"/>
                <w:highlight w:val="none"/>
                <w:u w:val="none"/>
                <w:lang w:val="en-US" w:eastAsia="zh-CN" w:bidi="ar"/>
              </w:rPr>
            </w:r>
            <w:r/>
          </w:p>
          <w:p>
            <w:pPr>
              <w:pStyle w:val="798"/>
              <w:ind w:left="0" w:firstLine="0"/>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生产厂家具有消毒产品生产许可证</w:t>
            </w:r>
            <w:r>
              <w:rPr>
                <w:rFonts w:hint="eastAsia"/>
                <w:highlight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厨房智能冰箱</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1200*800*1950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电源：220V、50Hz，外壳及内胆采用0.8mm厚的不锈钢板制作；双机双温，冷藏:0℃～10℃；；冷冻:-15℃～-20℃；；铜管；智能物联系统；直冷；智能物联网系统。</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2000*1000*800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单星工作台（右星）</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曲棍去水款双星盆水池(斗深400mm）</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单星工作台（右星）</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曲棍去水款大单星盆水池(斗深400mm)</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27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AE11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w:t>
            </w:r>
            <w:r>
              <w:rPr>
                <w:rFonts w:hint="eastAsia" w:ascii="宋体" w:hAnsi="宋体" w:eastAsia="宋体" w:cs="宋体"/>
                <w:i w:val="0"/>
                <w:iCs w:val="0"/>
                <w:color w:val="000000"/>
                <w:sz w:val="20"/>
                <w:szCs w:val="20"/>
                <w:highlight w:val="none"/>
                <w:u w:val="none"/>
                <w:lang w:val="en-US" w:eastAsia="zh-CN" w:bidi="ar"/>
              </w:rPr>
            </w:r>
            <w:r/>
          </w:p>
          <w:p>
            <w:pPr>
              <w:pStyle w:val="798"/>
              <w:ind w:left="0" w:firstLine="0"/>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rPr>
                <w:rFonts w:hint="eastAsia"/>
                <w:highlight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器皿间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AF01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副食库</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AG01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主食库</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AH01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平板推车</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500*900*850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主材：采用304不锈钢板厚度≥1.2mm；立管：不锈钢方管38*38；手柄：不锈钢圆管φ32；台脚：2个5寸定向轮，2个5寸带刹车万向轮。</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76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AH02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米面架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1200*500*200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整体采用304不锈钢制造，由（方管38mm*25mm）*1.0mm制成花格，接驳口为烧焊连成,焊接采用电弧焊或氩弧焊,所有在表面能看得见的焊接都需要适当地做表面处理；下加加强筋，配置橡胶脚套。</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蒸煮间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4000*1300*500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主质：采用304板材；板厚≥1.0mm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滤油板:不锈钢板,板厚0.8mm;防雾烟罩灯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要求：油网烟罩后封板、前封板、前页、上滑槽与下滑槽，所有外露边须紧压扣边。油网烟罩后封板与前封板连接为分段短焊，其中前封板 HL 面外露。油网烟罩前页与前封板连接为分段短焊，焊接面在前封板外露面前页 HL 面向下，两端烟罩连接口分别向上 90 度。油网烟罩两末端的侧封板与后封板、前封板前页为分段短焊，其中同前页的前端、后封板去油槽位置为满焊，并打磨。烟罩照明灯必须有防水功能，导电线要有适用的穿线护管。</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可倾燃气锅</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≥200L</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外壳304不锈钢制作，厚度≥3mm；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内胆304不锈钢制作，厚度≥3mm；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支架--80*40mm不锈钢方管，厚度≥2mm；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锅口内径800mm，容积≥200L；</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炉头：采用节能炉头；带电子打火及熄火保护装置；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结构：可倾式，手轮倾倒；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加热方式：天然气；符合GB35848-2024要求，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80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商用净水器组</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≥1.5T/H</w:t>
            </w:r>
            <w:r>
              <w:rPr>
                <w:rFonts w:hint="eastAsia" w:ascii="宋体" w:hAnsi="宋体" w:eastAsia="宋体" w:cs="宋体"/>
                <w:i w:val="0"/>
                <w:iCs w:val="0"/>
                <w:color w:val="000000"/>
                <w:sz w:val="20"/>
                <w:szCs w:val="20"/>
                <w:highlight w:val="none"/>
                <w:u w:val="none"/>
              </w:rPr>
            </w:r>
            <w:r/>
          </w:p>
        </w:tc>
        <w:tc>
          <w:tcPr>
            <w:tcW w:w="1877" w:type="dxa"/>
            <w:vAlign w:val="bottom"/>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1.产品基本参数：额定电压/频率：220V~/50Hz。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2.适用水源：市政自来水，适用水压：0.1MPa-0.4MPa，适应水温：5-38℃。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3.制水速度：1.8T/H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4.水处理工艺：市政自来水→超滤膜→净水，0.01微米精微净化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5.外壳材质：钣金喷涂。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6.智能技术：统一的数字化客户管理端，随时了解设备工况、净水量等信息，并可实现一键报修。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①可设置定时自动开、关机；自动冲洗，保证滤芯的使用寿命；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②故障报警或一键报修；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7.强制认证：</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所投产品对应型号有涉水卫生批件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电力24盘蒸饭车</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24盘</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主材：不锈钢</w:t>
            </w:r>
            <w:r>
              <w:rPr>
                <w:rFonts w:hint="eastAsia" w:ascii="宋体" w:hAnsi="宋体" w:cs="宋体"/>
                <w:i w:val="0"/>
                <w:iCs w:val="0"/>
                <w:color w:val="000000"/>
                <w:sz w:val="20"/>
                <w:szCs w:val="20"/>
                <w:highlight w:val="none"/>
                <w:u w:val="none"/>
                <w:lang w:val="en-US" w:eastAsia="zh-CN" w:bidi="ar"/>
              </w:rPr>
              <w:t xml:space="preserve">磨砂</w:t>
            </w:r>
            <w:r>
              <w:rPr>
                <w:rFonts w:hint="eastAsia" w:ascii="宋体" w:hAnsi="宋体" w:eastAsia="宋体" w:cs="宋体"/>
                <w:i w:val="0"/>
                <w:iCs w:val="0"/>
                <w:color w:val="000000"/>
                <w:sz w:val="20"/>
                <w:szCs w:val="20"/>
                <w:highlight w:val="none"/>
                <w:u w:val="none"/>
                <w:lang w:val="en-US" w:eastAsia="zh-CN" w:bidi="ar"/>
              </w:rPr>
              <w:t xml:space="preserve">板，厚度≥1.0mm；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保温：整体聚氨酯发泡；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功率：380v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手柄：刀斧式把手；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车轮：采Ф125万向活动轮；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密封条：嵌入式硅胶条；</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7500*1200*500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主质：采用304板材；板厚≥1.0mm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滤油板:不锈钢板,板厚≥0.8mm;防雾烟罩灯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要求：油网烟罩后封板、前封板、前页、上滑槽与下滑槽，所有外露边须紧压扣边。油网烟罩后封板与前封板连接为分段短焊，其中前封板 HL 面外露。油网烟罩前页与前封板连接为分段短焊，焊接面在前封板外露面前页 HL 面向下，两端烟罩连接口分别向上 90 度。油网烟罩两末端的侧封板与后封板、前封板前页为分段短焊，其中同前页的前端、后封板去油槽位置为满焊，并打磨。烟罩照明灯必须有防水功能，导电线要有适用的穿线护管。</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42"/>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w:t>
            </w:r>
            <w:r>
              <w:rPr>
                <w:rFonts w:hint="eastAsia" w:ascii="宋体" w:hAnsi="宋体" w:eastAsia="宋体" w:cs="宋体"/>
                <w:i w:val="0"/>
                <w:iCs w:val="0"/>
                <w:color w:val="000000"/>
                <w:sz w:val="20"/>
                <w:szCs w:val="20"/>
                <w:highlight w:val="none"/>
                <w:u w:val="none"/>
                <w:lang w:val="en-US" w:eastAsia="zh-CN" w:bidi="ar"/>
              </w:rPr>
            </w:r>
            <w:r/>
          </w:p>
          <w:p>
            <w:pPr>
              <w:pStyle w:val="798"/>
              <w:ind w:left="0" w:firstLine="0"/>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rPr>
                <w:rFonts w:hint="eastAsia"/>
                <w:highlight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烹饪间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9900*1300*500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主质：采用304板材；板厚≥1.0mm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滤油板:不锈钢板,板厚≥0.8mm;防雾烟罩灯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要求：油网烟罩后封板、前封板、前页、上滑槽与下滑槽，所有外露边须紧压扣边。油网烟罩后封板与前封板连接为分段短焊，其中前封板 HL 面外露。油网烟罩前页与前封板连接为分段短焊，焊接面在前封板外露面前页 HL 面向下，两端烟罩连接口分别向上 90 度。油网烟罩两末端的侧封板与后封板、前封板前页为分段短焊，其中同前页的前端、后封板去油槽位置为满焊，并打磨。烟罩照明灯必须有防水功能，导电线要有适用的穿线护管。</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12.9</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炉拼台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500*1200*800+450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燃气双头大锅灶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2200*1150*800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板采用304不锈钢板，厚度≥1.2，其余≥1.0，配置250W风机。前围标、后背标采用精密铸造，大气稳固、独一无二，手柄采用特殊材料铸造，强度高，操作舒适，炉头采用不锈钢炉头，燃烧充分，效率高。配电子打火，熄火保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339"/>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炉拼台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400*1200*800+450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燃气单头单尾小炒灶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1200*1150*800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面板采用304不锈钢板，厚度≥1.2，其余≥1.0，前围标、后背标采用精密铸造，大气稳固，强度高，操作舒适，炉头采用不锈钢炉头，内置火种，燃烧充分，效率高。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电子打火，熄火保护。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炉拼台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500*1200*800+450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357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厨房灭火系统</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双瓶组</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装置具备自动、手动和应急启动三种操作模式,能提供动作信号配合消防控制室联动报警,本装置设计有自动探测部件，可24小时监控。灶台油锅发生火情时，可自动启动灭火装置灭火，同时关闭燃气阀并报警（燃气切断阀属于选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 根据厨房环境特点本装置均属机械传动,不需用电,原材料全部采用304不锈钢及铜材等，防止设备氧化锈蚀，灭火装置所有药剂管路采用304不锈钢厚壁管满足高压药剂迅速通过的要求,且螺纹连接的安装方式能避免高温高热环境下管路连接松动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装置设计结构合理、适用、美观。安装不占用厨房地面面积，只占用空间位置，装置与消防水(或者自来水)管路相连,系统启动后灭火剂开始喷洒,待灭火剂喷洒完再自动控制水阀对监控区域自动喷水降温,达到防止复燃的效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对喷嘴数量和位置更具灵活性，喷嘴数量取决于灶台油锅和集烟罩排烟口数量来设计，系统装置包括:控制箱、管路、喷嘴、探测器、易熔连接片、金属拉索、滑轮三通.滑轮弯头等组成。其中控制箱由自动释放机构、驱动用高压氮气瓶、水流控制阀、液体药剂罐以及连接软管、单向阀、减压阀等构成;采用机械式自动启动无需任何电源(包含</w:t>
            </w:r>
            <w:r>
              <w:rPr>
                <w:rFonts w:hint="eastAsia" w:ascii="宋体" w:hAnsi="宋体" w:cs="宋体"/>
                <w:i w:val="0"/>
                <w:iCs w:val="0"/>
                <w:color w:val="000000"/>
                <w:sz w:val="20"/>
                <w:szCs w:val="20"/>
                <w:highlight w:val="none"/>
                <w:u w:val="none"/>
                <w:lang w:val="en-US" w:eastAsia="zh-CN" w:bidi="ar"/>
              </w:rPr>
              <w:t xml:space="preserve">电</w:t>
            </w:r>
            <w:r>
              <w:rPr>
                <w:rFonts w:hint="eastAsia" w:ascii="宋体" w:hAnsi="宋体" w:eastAsia="宋体" w:cs="宋体"/>
                <w:i w:val="0"/>
                <w:iCs w:val="0"/>
                <w:color w:val="000000"/>
                <w:sz w:val="20"/>
                <w:szCs w:val="20"/>
                <w:highlight w:val="none"/>
                <w:u w:val="none"/>
                <w:lang w:val="en-US" w:eastAsia="zh-CN" w:bidi="ar"/>
              </w:rPr>
              <w:t xml:space="preserve">池)即可工作,避免因电路故障造成装置无法运转和短路的可能性;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2000*1000*800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双通移门柜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1800*1000*800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76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米面架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1200*500*200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整体采用304不锈钢制造，由（方管38mm*25mm）*1.0mm制成花格，接驳口为烧焊连成,焊接采用电弧焊或氩弧焊,所有在表面能看得见的焊接都需要适当地做表面处理；下加加强筋，配置橡胶脚套。</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AJ11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AJ12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双星工作台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AJ13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厨房智能冰箱</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1200*800*1950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电源：220V、50Hz，外壳及内胆采用0.8mm厚的不锈钢板制作；双机双温，冷藏:0℃～10℃；；冷冻:-15℃～-20℃；；铜管；智能物联系统；直冷；智能物联网系统。</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27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AJ14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w:t>
            </w:r>
            <w:r>
              <w:rPr>
                <w:rFonts w:hint="eastAsia" w:ascii="宋体" w:hAnsi="宋体" w:eastAsia="宋体" w:cs="宋体"/>
                <w:i w:val="0"/>
                <w:iCs w:val="0"/>
                <w:color w:val="000000"/>
                <w:sz w:val="20"/>
                <w:szCs w:val="20"/>
                <w:highlight w:val="none"/>
                <w:u w:val="none"/>
                <w:lang w:val="en-US" w:eastAsia="zh-CN" w:bidi="ar"/>
              </w:rPr>
            </w:r>
            <w:r/>
          </w:p>
          <w:p>
            <w:pPr>
              <w:pStyle w:val="798"/>
              <w:ind w:left="0" w:firstLine="0"/>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rPr>
                <w:rFonts w:hint="eastAsia"/>
                <w:highlight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AJ15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开水器带底座</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≥120L/H</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1、能源种类：开水炉含底座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2、开水器连底座电压/功率：380V/。机身：采用不锈钢板厚度≥1.2mm,内胆不锈钢板厚度≥1.0mm。水箱内胆:采用不锈钢304材质 电热管：88mm加粗紫铜电热管 缺水防干烧保护，自动进水，自动控温，侧面带有排污口</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AJ16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餐车</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850*500*900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材质：材料：304材质，发纹处理，氩焊处打磨处理，主材厚度δ=1.0mm，主架用38*25*1.2mm不锈钢扁管；下配4只耐磨低噪音万向轮，其中2只带刹车</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AJ17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AJ18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特色间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厨房智能冰箱</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1200*800*1950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电源：220V、50Hz，外壳及内胆采用0.8mm厚的不锈钢板制作；双机双温，冷藏:0℃～10℃；；冷冻:-15℃～-20℃；；铜管；智能物联系统；直冷；智能物联网系统。</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27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明档烟罩</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2400*1100*500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主材：采用304，≥1.2不锈钢板材制作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罩体：304NO.4不锈钢板,板厚≥1.2mm；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四周：弧形玻璃：8mm钢化；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滤油板:304/2B不锈钢板,板厚1.0mm;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配防水型防爆灯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459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电磁单头矮汤炉</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650*750*(500+700）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全不锈钢结构设计，面板为一次性折弯无焊接，更加坚固耐用，面板厚≥1.20mm,侧板厚≥1.0mm。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汤桶：材质304复合底,尺寸Φ500mm，厚度3mm,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加热技术和效果：采用电磁感应加热技术，加热面具有仿明火效果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显示屏带有中文故障显示、显示用电量、实时功率、实时电压、实时显示机芯温度，线盘温度。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配置8档磁控开关，每个档位具有相对应的功率输出情况、直观掌握火力调节。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工业级DSP数字处理器11年:运算速度快,逐周期实时监控及30项保护响应快，准。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中控技术:支持多台机芯同级并联,相邻线圈靠近无干扰,无低频噪音，解决各种设备线圈绕制干扰问题。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自动扫描负载:可静态或动态自动扫描线圈负载状态，避免线圈感量不匹配,提高负载适应性,降低现场调试难度。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谐振电容监控:独家电容状态监控软件，实时监控谐振电容工作状态,极端情况下不损坏。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可扫描出锅具的材料特性及距离远近，并将其以百分比数的形式显示出来。如检测到锅具材料不符或距离太远可以关闭输出，良好保护设备。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可连续极低功率工作，超宽功率调节范围 (5%~100%额定功率)，满足各种应用场合。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27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电热饺子炉加煮面炉</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1400*800*800+200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采用304不锈钢板材制作；台面采用≥1.5mm不锈钢板；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水箱采用≥1.0mm不锈钢板；外围板采用≥1.0mm磨砂贴塑面不锈钢拉丝板，机身外方内圆，高密度聚氨酯满填发泡保温，带高度200mm背板； 额定电压380V，带数字可调节温控开关，排水阀等，带1个180°可旋转水龙头。电热型平底，底部与桶身接缝处平滑一体，配分离式不锈钢桶2只，可取出，桶内径500mm，深度500mm。</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1620*700*800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单通移门挂墙柜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2080*400*600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柜门：厚度≥1.2mm；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2、层板：304，≥1.2mm不锈钢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3、侧板：304，≥1.2mm不锈钢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4、柜门：304，≥1.2mm，内衬，≥0.6mm不锈钢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5、加强筋：≥1.5mm不锈钢加强筋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6、台脚：可调节不锈钢锥形承重脚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双通移门柜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2、层板：304，≥1.0mm不锈钢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3、侧板：304304，≥1.0mm不锈钢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4、柜门：304304，≥0.8mm，内衬304，≥0.6mm不锈钢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5、加强筋：≥1.5mm不锈钢加强筋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6、台脚：可调节不锈钢锥形承重脚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八格售饭柜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材质：采用304不锈钢板材；                                                      台面厚度≥1.2mm；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侧板</w:t>
            </w:r>
            <w:r>
              <w:rPr>
                <w:rFonts w:hint="eastAsia" w:ascii="宋体" w:hAnsi="宋体" w:eastAsia="宋体" w:cs="宋体"/>
                <w:i w:val="0"/>
                <w:iCs w:val="0"/>
                <w:color w:val="000000"/>
                <w:sz w:val="20"/>
                <w:szCs w:val="20"/>
                <w:highlight w:val="none"/>
                <w:u w:val="none"/>
                <w:lang w:val="en-US" w:eastAsia="zh-CN" w:bidi="ar"/>
              </w:rPr>
              <w:t xml:space="preserve">： 厚度≥1.0mm；                                                                                 衬筋：不锈钢板厚度≥1.0mm；                                                            恒温控制；                              份数盘：1/2*1.0mm″连盖，配8只；                    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单通移门挂墙柜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2200*400*600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柜门：厚度≥1.2mm；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AK11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冷藏操作台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采用304不锈钢，内箱圆弧设计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外嵌式蒸发器，外挂防尘网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28cm小机组设计， 3D立体回风系统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顶部斜45°出风设计，360° 风冷无霜循环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冷冻门框加装发热丝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控温类型：电子数字温控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制冷剂：冷藏：R134a,冷冻：R404a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压缩机：制冷稳定、效率高、噪音低、故障率低、使用寿命长；智能物联网系统。</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AK12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单星盆水池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AK13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留样间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AL01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单通移门柜带靠背</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2、层板：304，≥1.2mm不锈钢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3、侧板：304，≥1.2mm不锈钢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4、柜门：304，≥1.2mm，内衬，≥0.6mm不锈钢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5、加强筋：≥1.5mm不锈钢加强筋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6、台脚：可调节不锈钢锥形承重脚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AL02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单星盆水池柜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2、星盆：配不锈钢落水，厚度≥1.0mm；                              3、层板：304，≥1.0mm不锈钢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4、侧板：304，≥1.0mm不锈钢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5、柜门：304，≥0.8mm，内衬≥0.6mm不锈钢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6、加强筋：≥1.5mm不锈钢加强筋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7、台脚：可调节不锈钢锥形承重脚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AL03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厨房智能留样冰箱</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1200*800*1950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工作形式：风冷内外胆为304NO.4不锈钢板 厚度≥1.0mm；人脸识别开门，识别餐品、重量等信息，智能物联网系统。</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预进间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AM01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六门更衣柜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900*400*1800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采用不锈钢板制作，厚度≥1.0mm；分上层下层，每层三扇门，每扇门上附锁。</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AM02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900*500*800+150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AM03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售饭间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AN01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800*600*800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AN02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800*600*800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AN03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1300*600*800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AN04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76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AN05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暖饭车</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台面：1.2mm304#2B不锈钢雪花拉丝板，水箱≥1.2mm不锈钢雪花拉丝板，侧板、围板、加强筋：1.2mm不锈钢雪花拉丝板，设备功率：220V/2KW，配四只万向脚轮，后两只带刹车</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AN06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五格保温售饭工作台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材质：采用304不锈钢板材；                                                      台面厚度≥1.2mm；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侧板</w:t>
            </w:r>
            <w:r>
              <w:rPr>
                <w:rFonts w:hint="eastAsia" w:ascii="宋体" w:hAnsi="宋体" w:eastAsia="宋体" w:cs="宋体"/>
                <w:i w:val="0"/>
                <w:iCs w:val="0"/>
                <w:color w:val="000000"/>
                <w:sz w:val="20"/>
                <w:szCs w:val="20"/>
                <w:highlight w:val="none"/>
                <w:u w:val="none"/>
                <w:lang w:val="en-US" w:eastAsia="zh-CN" w:bidi="ar"/>
              </w:rPr>
              <w:t xml:space="preserve">： 厚度≥1.0mm；                                                                                 衬筋：不锈钢板厚度≥1.0mm；                                                            恒温控制；                              份数盘：1/1*1.0mm″连盖，配5只；                    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AN07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AN08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AN09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单通移门碗柜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柜门：厚度≥1.2mm；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AN10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洗碗间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中间滤网式抽气罩</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4000*1200*500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罩体：不锈钢板,板厚≥1.2mm；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两侧板：不锈钢板,板厚≥1.2mm；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滤油板:不锈钢板,板厚≥0.8mm;防雾烟罩灯</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831"/>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传送式洗碗机</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3400*850*1640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1、基础配置：整机功率≤68.95kW（380V/50Hz），清洗数量1500-2000碟/小时；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2、功能配置：（50-60℃）主洗模块+（80-90℃）双漂洗模块+（90-110℃）烘干模块；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3、整机特点：整机采用304#不锈钢和紧固件，360°旋转全钢重力脚，一体式全开门双层结构，整机全底板封合；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4、节能特点：机器入口内置红外光电感应开关，自动扫描餐具，有效节约水电能效；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5、排水特点：可拆式一体化管路设计，配备电动排水阀，一键自动排水；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6、调速特点：机器配置</w:t>
            </w:r>
            <w:r>
              <w:rPr>
                <w:rFonts w:hint="eastAsia" w:ascii="宋体" w:hAnsi="宋体" w:cs="宋体"/>
                <w:i w:val="0"/>
                <w:iCs w:val="0"/>
                <w:color w:val="000000"/>
                <w:sz w:val="20"/>
                <w:szCs w:val="20"/>
                <w:highlight w:val="none"/>
                <w:u w:val="none"/>
                <w:lang w:val="en-US" w:eastAsia="zh-CN" w:bidi="ar"/>
              </w:rPr>
              <w:t xml:space="preserve">无级</w:t>
            </w:r>
            <w:r>
              <w:rPr>
                <w:rFonts w:hint="eastAsia" w:ascii="宋体" w:hAnsi="宋体" w:eastAsia="宋体" w:cs="宋体"/>
                <w:i w:val="0"/>
                <w:iCs w:val="0"/>
                <w:color w:val="000000"/>
                <w:sz w:val="20"/>
                <w:szCs w:val="20"/>
                <w:highlight w:val="none"/>
                <w:u w:val="none"/>
                <w:lang w:val="en-US" w:eastAsia="zh-CN" w:bidi="ar"/>
              </w:rPr>
              <w:t xml:space="preserve">变频调速器，可适时调节履带运行速度，0-3米/分钟随意调节；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7、电控特点：ECU计算机微程序智能控制系统，三点式轻触操作，故障代码自动显示；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8、洗涤特点：一体式冲压上5下4六孔喷臂管，双泵双漂洗，全模具注塑接头组件；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9、烘干特点：高性能多翼式离心风机，强转速风力，分流聚拢风刀循环热风系统；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10、安全特点：整机采用多重安全保护，包括开门停机保护、出口限位保护、电机过载保护、整机急停保护等；</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活动双层平板工作台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台面：304厚度≥1.2mm；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横档：30438*25不锈钢管  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脚通：304光亮不锈钢方管，38*38*1.5；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脚轮：静音4寸重力轮。</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鼓泡预洗机</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机械控制面板，操作简便。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餐具投入鼓泡池后，高压鼓泡软化餐具污渍。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整机双层结构，牢固可靠。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独特的鼓泡功能可将餐具上的残渣洗掉。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浸泡洗涤量大，适用于多种餐具。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机器前端设有残渣收集篮，处理残渣方便快捷。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选配加热器可提升水温，让冬季清洗更温暖，餐具上污渍更易软化。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整机采用电加热方式，可根据客户需求定制不同尺寸，完善契合现场使用</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曲棍去水款大单星盆水池(斗深400mm)</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27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单孔收餐工作台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29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链片式输送带</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530*7500*940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输送餐盘宽</w:t>
            </w:r>
            <w:r>
              <w:rPr>
                <w:rFonts w:hint="eastAsia" w:ascii="宋体" w:hAnsi="宋体" w:eastAsia="宋体" w:cs="宋体"/>
                <w:i w:val="0"/>
                <w:iCs w:val="0"/>
                <w:color w:val="000000"/>
                <w:sz w:val="20"/>
                <w:szCs w:val="20"/>
                <w:highlight w:val="none"/>
                <w:u w:val="none"/>
                <w:lang w:val="en-US" w:eastAsia="zh-CN" w:bidi="ar"/>
              </w:rPr>
              <w:t xml:space="preserve">度：≤350mm，传送速度：5～20m/min，功率不大于1KW，电源要求220V/50Hz/1PH；整机采用304不锈钢材质，台面和支撑腿材料厚度≥1.5mm，主/副机头支架材料厚度为2.0mm，传送带蓝色链板为食品级聚甲醛树脂材质，规格为304*38mm，链板轨道为高分子聚乙烯材质，厚度不低于10mm，经久耐用；抗扯力≥3000N，主机头处安装链板清洗装置，喷头喷出扇形水柱将输送带表面残渣冲洗干净，主机头箱内置抽屉式残渣篮，易于清洁；无极变频调速，实时数显传送速度，外置调速电位器；配置减速电机，具有变频</w:t>
            </w:r>
            <w:r>
              <w:rPr>
                <w:rFonts w:hint="eastAsia" w:ascii="宋体" w:hAnsi="宋体" w:cs="宋体"/>
                <w:i w:val="0"/>
                <w:iCs w:val="0"/>
                <w:color w:val="000000"/>
                <w:sz w:val="20"/>
                <w:szCs w:val="20"/>
                <w:highlight w:val="none"/>
                <w:u w:val="none"/>
                <w:lang w:val="en-US" w:eastAsia="zh-CN" w:bidi="ar"/>
              </w:rPr>
              <w:t xml:space="preserve">无级调速</w:t>
            </w:r>
            <w:r>
              <w:rPr>
                <w:rFonts w:hint="eastAsia" w:ascii="宋体" w:hAnsi="宋体" w:eastAsia="宋体" w:cs="宋体"/>
                <w:i w:val="0"/>
                <w:iCs w:val="0"/>
                <w:color w:val="000000"/>
                <w:sz w:val="20"/>
                <w:szCs w:val="20"/>
                <w:highlight w:val="none"/>
                <w:u w:val="none"/>
                <w:lang w:val="en-US" w:eastAsia="zh-CN" w:bidi="ar"/>
              </w:rPr>
              <w:t xml:space="preserve">，柔性启动功能；配置紧急停止安全开关、漏电断路安全保护开关和变频器；防水的操作面板上配置启动开、停止开关、调速电位器；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76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90度转角</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530*530*940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1、外壳选用国标304不锈钢板，厚度≥1.5mm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2、功率：200W/380V 三相四线制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3、核心配件选用产品</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AO11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    </w:t>
            </w:r>
            <w:r>
              <w:rPr>
                <w:rFonts w:hint="eastAsia" w:ascii="宋体" w:hAnsi="宋体" w:eastAsia="宋体" w:cs="宋体"/>
                <w:i w:val="0"/>
                <w:iCs w:val="0"/>
                <w:color w:val="000000"/>
                <w:sz w:val="20"/>
                <w:szCs w:val="20"/>
                <w:highlight w:val="none"/>
                <w:u w:val="none"/>
                <w:lang w:val="en-US" w:eastAsia="zh-CN" w:bidi="ar"/>
              </w:rPr>
            </w:r>
            <w:r/>
          </w:p>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29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AO12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投放柜（斜面）</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L×300×850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抽型面板,压凹成型圆环弧面，便于液体流入。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超大投料口200mm，方便投料。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可回收不锈钢和密胺类餐具。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可回收易拉罐、水瓶、纸巾等物品。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可回收食物残渣。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可以集中回收筷子，勺子，刀叉等小件餐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可应用于链片式或皮筋式等各种输送带。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可拓展使用，如用于投放餐后废弃纸巾或者饮料盒等废弃物。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内置回收桶尺寸  ：400*260*475mm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碗筷存放处</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AP01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热风循环消毒柜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1300*630*1940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主材：采用不锈钢板厚度≥1.0mm；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不准采用整体发泡，必须采用隔热材料；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辅材：不锈钢板厚度≥1.0mm，整体聚氨酯发泡；内胆：不锈钢板厚度0.8mm；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胶条：嵌入式硅胶条；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控温范围：50-150度；消毒湿度：130度采用自动控温、操作方便；热风循环、热量均匀、无死角、高温消毒杀菌；符合卫生防疫要求；</w:t>
            </w:r>
            <w:r>
              <w:rPr>
                <w:rFonts w:hint="eastAsia" w:ascii="宋体" w:hAnsi="宋体" w:eastAsia="宋体" w:cs="宋体"/>
                <w:i w:val="0"/>
                <w:iCs w:val="0"/>
                <w:color w:val="000000"/>
                <w:sz w:val="20"/>
                <w:szCs w:val="20"/>
                <w:highlight w:val="none"/>
                <w:u w:val="none"/>
                <w:lang w:val="en-US" w:eastAsia="zh-CN" w:bidi="ar"/>
              </w:rPr>
            </w:r>
            <w:r/>
          </w:p>
          <w:p>
            <w:pPr>
              <w:pStyle w:val="798"/>
              <w:ind w:left="0" w:firstLine="0"/>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生产厂家具有消毒产品生产许可证</w:t>
            </w:r>
            <w:r>
              <w:rPr>
                <w:rFonts w:hint="eastAsia"/>
                <w:highlight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AP02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AP03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单通移门碗柜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柜门：厚度≥1.2mm；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AP04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活动双层平板工作台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台面：304厚度≥1.2mm；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横档：30438*25不锈钢管  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脚通：304光亮不锈钢方管，38*38*1.5；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脚轮：静音4寸重力轮。</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碗筷存放处</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val="false"/>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cs="宋体"/>
                <w:b/>
                <w:bCs/>
                <w:i w:val="0"/>
                <w:iCs w:val="0"/>
                <w:color w:val="000000"/>
                <w:sz w:val="20"/>
                <w:szCs w:val="20"/>
                <w:highlight w:val="none"/>
                <w:u w:val="none"/>
                <w:lang w:val="en-US" w:eastAsia="zh-CN" w:bidi="ar"/>
              </w:rPr>
              <w:t xml:space="preserve">其他</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★感应水龙头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单温款</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  H62黄铜铸造主体，表面抛光镀铬处理                            2  座台式安装，开孔尺寸25mm                                            3  红外感应距离25cm，感应距离可调                                    4  AC/DC控制模块，电源可选交流电或1.5V*4直流电源 5  三通接口设计，可接冷、热水源，接口4分外螺纹。  6  出水口距台面100mm   </w:t>
            </w:r>
            <w:r>
              <w:rPr>
                <w:rFonts w:hint="eastAsia" w:ascii="宋体" w:hAnsi="宋体" w:eastAsia="宋体" w:cs="宋体"/>
                <w:i w:val="0"/>
                <w:iCs w:val="0"/>
                <w:color w:val="000000"/>
                <w:sz w:val="20"/>
                <w:szCs w:val="20"/>
                <w:highlight w:val="none"/>
                <w:u w:val="none"/>
                <w:lang w:val="en-US" w:eastAsia="zh-CN" w:bidi="ar"/>
              </w:rPr>
            </w:r>
            <w:r/>
          </w:p>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感应水龙头为政府强制采购的节能产品，投标人只能选择具有国家确定的认证机构出具的有效期之内的节能产品认证证书扫描件的产品</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★冷热水龙头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双温款</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全铜材质，陶瓷阀芯，标配六寸（152mm）鹅颈水嘴（可选配八寸（203mm）鹅颈水嘴）  </w:t>
            </w:r>
            <w:r>
              <w:rPr>
                <w:rFonts w:hint="eastAsia" w:ascii="宋体" w:hAnsi="宋体" w:eastAsia="宋体" w:cs="宋体"/>
                <w:i w:val="0"/>
                <w:iCs w:val="0"/>
                <w:color w:val="000000"/>
                <w:sz w:val="20"/>
                <w:szCs w:val="20"/>
                <w:highlight w:val="none"/>
                <w:u w:val="none"/>
                <w:lang w:val="en-US" w:eastAsia="zh-CN" w:bidi="ar"/>
              </w:rPr>
            </w:r>
            <w:r/>
          </w:p>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冷热水龙头为政府强制采购的节能产品，投标人只能选择具有国家确定的认证机构出具的有效期之内的节能产品认证证书扫描件的产品</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脚踏式水龙头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单温款</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全铜材质，脚踏式控制开关，配套六寸（152mm）鹅颈水嘴</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val="false"/>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三楼厨房设备清单</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验货区</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BA01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BA02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BA03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单星盆水池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600*600*800+150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BA04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工作台下栅格带靠背</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1500*600*800+150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BA05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电子落地</w:t>
            </w:r>
            <w:r>
              <w:rPr>
                <w:rFonts w:hint="eastAsia" w:ascii="宋体" w:hAnsi="宋体" w:cs="宋体"/>
                <w:i w:val="0"/>
                <w:iCs w:val="0"/>
                <w:color w:val="000000"/>
                <w:sz w:val="20"/>
                <w:szCs w:val="20"/>
                <w:highlight w:val="none"/>
                <w:u w:val="none"/>
                <w:lang w:val="en-US" w:eastAsia="zh-CN" w:bidi="ar"/>
              </w:rPr>
              <w:t xml:space="preserve">秤</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≥200KG</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≥200KG                                              1、内置可充电蓄电池，充电时可以开机使用，数字显示屏。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 开机自动置零。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 零点自动跟踪。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 具有计重、计数、百分比切换功能；计重时具有重量分选功能。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 工作温度范围：0℃ ~ +40℃。 6. 相对工作湿度: ≤ 85% RH。</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保洁间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BB01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拖把池连架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1200*600*1700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器皿间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BC01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仓库</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BD01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BD02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平板推车</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500*900*850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主材：采用304不锈钢板厚度≥1.2mm；立管：不锈钢方管38*38；手柄：不锈钢圆管φ32；台脚：2个5寸定向轮，2个5寸带刹车万向轮。</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76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BD03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米面架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1200*500*200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整体采用304不锈钢制造，由（方管38mm*25mm）*1.0mm制成花格，接驳口为烧焊连成,焊接采用电弧焊或氩弧焊,所有在表面能看得见的焊接都需要适当地做表面处理；下加加强筋，配置橡胶脚套。</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粗加工</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厨房智能冰箱</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1200*800*1950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电源：220V、50Hz，外壳及内胆采用0.8mm厚的不锈钢板制作；双机双温，冷藏:0℃～10℃；；冷冻:-15℃～-20℃；；铜管；智能物联系统；直冷；智能物联网系统。</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工作台下栅格带靠背</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大单星盆水池（斗深300mm)</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大单星盆水池（斗深300mm)</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工作台下栅格带靠背</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备用编号</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工作台下栅格带靠背</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34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BE11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单星工作台（右星）</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BE12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开水器带底座</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≥120L/H</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1、能源种类：开水炉含底座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2、开水器连底座电压/功率：380V/。机身：采用不锈钢板厚度≥1.2mm,内胆不锈钢板厚度≥1.0mm。水箱内胆:采用不锈钢304材质 电热管：88mm加粗紫铜电热管 缺水防干烧保护，自动进水，自动控温，侧面带有排污口</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BE13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   </w:t>
            </w:r>
            <w:r>
              <w:rPr>
                <w:rFonts w:hint="eastAsia" w:ascii="宋体" w:hAnsi="宋体" w:eastAsia="宋体" w:cs="宋体"/>
                <w:i w:val="0"/>
                <w:iCs w:val="0"/>
                <w:color w:val="000000"/>
                <w:sz w:val="20"/>
                <w:szCs w:val="20"/>
                <w:highlight w:val="none"/>
                <w:u w:val="none"/>
                <w:lang w:val="en-US" w:eastAsia="zh-CN" w:bidi="ar"/>
              </w:rPr>
            </w:r>
            <w:r/>
          </w:p>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BE14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27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BE15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万能组合消毒柜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1200*600*1800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消毒刀数量：20把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消毒毛巾数量：24块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消毒砧板数量：10块（直径50cm厚度10cm）砧板架，刀具架整体采用板材，结实稳固，循环风口消毒，利于柜体内部循环等多方位杀菌，安全放心</w:t>
            </w:r>
            <w:r>
              <w:rPr>
                <w:rFonts w:hint="eastAsia" w:ascii="宋体" w:hAnsi="宋体" w:eastAsia="宋体" w:cs="宋体"/>
                <w:i w:val="0"/>
                <w:iCs w:val="0"/>
                <w:color w:val="000000"/>
                <w:sz w:val="20"/>
                <w:szCs w:val="20"/>
                <w:highlight w:val="none"/>
                <w:u w:val="none"/>
                <w:lang w:val="en-US" w:eastAsia="zh-CN" w:bidi="ar"/>
              </w:rPr>
            </w:r>
            <w:r/>
          </w:p>
          <w:p>
            <w:pPr>
              <w:pStyle w:val="798"/>
              <w:ind w:left="0" w:firstLine="0"/>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生产厂家具有消毒产品生产许可证</w:t>
            </w:r>
            <w:r>
              <w:rPr>
                <w:rFonts w:hint="eastAsia"/>
                <w:highlight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80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BE16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商用净水器组</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≥1.5T/H</w:t>
            </w:r>
            <w:r>
              <w:rPr>
                <w:rFonts w:hint="eastAsia" w:ascii="宋体" w:hAnsi="宋体" w:eastAsia="宋体" w:cs="宋体"/>
                <w:i w:val="0"/>
                <w:iCs w:val="0"/>
                <w:color w:val="000000"/>
                <w:sz w:val="20"/>
                <w:szCs w:val="20"/>
                <w:highlight w:val="none"/>
                <w:u w:val="none"/>
              </w:rPr>
            </w:r>
            <w:r/>
          </w:p>
        </w:tc>
        <w:tc>
          <w:tcPr>
            <w:tcW w:w="1877" w:type="dxa"/>
            <w:vAlign w:val="bottom"/>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1.产品基本参数：额定电压/频率：220V~/50Hz。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2.适用水源：市政自来水，适用水压：0.1MPa-0.4MPa，适应水温：5-38℃。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3.制水速度：1.8T/H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4.水处理工艺：市政自来水→超滤膜→净水，0.01微米精微净化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5.外壳材质：钣金喷涂。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6.智能技术：统一的数字化客户管理端，随时了解设备工况、净水量等信息，并可实现一键报修。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①可设置定时自动开、关机；自动冲洗，保证滤芯的使用寿命；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②故障报警或一键报修；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7.强制认证：</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所投产品对应型号有涉水卫生批件</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烹饪间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厨房智能冰箱</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1200*800*1950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电源：220V、50Hz，外壳及内胆采用0.8mm厚的不锈钢板制作；双机双温，冷藏:0℃～10℃；；冷冻:-15℃～-20℃；；铜管；智能物联系统；直冷；智能物联网系统。</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无背板双星盆水池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71"/>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冷藏操作台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采用304不锈钢，内箱圆弧设计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外嵌式蒸发器，外挂防尘网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28cm小机组设计， 3D立体回风系统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顶部斜45°出风设计，360° 风冷无霜循环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冷冻门框加装发热丝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控温类型：电子数字温控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制冷剂：冷藏：R134a,冷冻：R404a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压缩机：制冷稳定、效率高、噪音低、故障率低、使用寿命长；智能物联网系统。</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9500*1300*500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主质：采用304板材；板厚≥1.0mm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滤油板:不锈钢板,板厚0.8mm;防雾烟罩灯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要求：油网烟罩后封板、前封板、前页、上滑槽与下滑槽，所有外露边须紧压扣边。油网烟罩后封板与前封板连接为分段短焊，其中前封板 HL 面外露。油网烟罩前页与前封板连接为分段短焊，焊接面在前封板外露面前页 HL 面向下，两端烟罩连接口分别向上 90 度。油网烟罩两末端的侧封板与后封板、前封板前页为分段短焊，其中同前页的前端、后封板去油槽位置为满焊，并打磨。烟罩照明灯必须有防水功能，导电线要有适用的穿线护管。</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双通移门柜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2、层板：304，≥1.0mm不锈钢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3、侧板：304，≥1.0mm不锈钢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4、柜门：304，≥0.8mm，内衬0.6mm不锈钢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5、加强筋：≥1.5mm不锈钢加强筋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6、台脚：可调节不锈钢锥形承重脚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27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燃气双头矮汤炉</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1200*750*600+650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炉面：304不锈钢板  板厚≥1.5mm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1.采用铸铁连体炉盘,文华炉头,节能环保,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2.易清洗,好维护.面板均采用加厚的板材加工,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3.烤漆的面板让炉子石起来更精神,美观.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4.操作简单实用.操作</w:t>
            </w:r>
            <w:r>
              <w:rPr>
                <w:rFonts w:hint="eastAsia" w:ascii="宋体" w:hAnsi="宋体" w:cs="宋体"/>
                <w:i w:val="0"/>
                <w:iCs w:val="0"/>
                <w:color w:val="000000"/>
                <w:sz w:val="20"/>
                <w:szCs w:val="20"/>
                <w:highlight w:val="none"/>
                <w:u w:val="none"/>
                <w:lang w:val="en-US" w:eastAsia="zh-CN" w:bidi="ar"/>
              </w:rPr>
              <w:t xml:space="preserve">舒适</w:t>
            </w:r>
            <w:r>
              <w:rPr>
                <w:rFonts w:hint="eastAsia" w:ascii="宋体" w:hAnsi="宋体" w:eastAsia="宋体" w:cs="宋体"/>
                <w:i w:val="0"/>
                <w:iCs w:val="0"/>
                <w:color w:val="000000"/>
                <w:sz w:val="20"/>
                <w:szCs w:val="20"/>
                <w:highlight w:val="none"/>
                <w:u w:val="none"/>
                <w:lang w:val="en-US" w:eastAsia="zh-CN" w:bidi="ar"/>
              </w:rPr>
              <w:t xml:space="preserve">。符合GB35848-2024要求，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29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燃气六头煲仔炉</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不锈钢外壳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设有独立控制开关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角铁框炉底连接油盆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内置熄火保护系统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设有长明火种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燃气种类：天然气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台面厚度≥1.5mm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 熄火保护: 热电偶熄火保护装置符合GB35848-2024要求，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简易炉拼台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400*1200*800+450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BF11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燃气双头双尾小炒灶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2200*1150*800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面板采用304不锈钢板，厚度≥1.2，其余≥1.0，前围标、后背标采用精密铸造，大气稳固，强度高，操作舒适，炉头采用不锈钢炉头，内置火种，燃烧充分，效率高。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电子打火，熄火保护。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BF12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燃气单头大锅灶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1200*1150*800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板采用304不锈钢板，厚度≥1.2，其余≥1.0，配置250W风机。前围标、后背标采用精密铸造，大气稳固、独一无二，手柄采用特殊材料铸造，强度高，操作舒适，炉头采用不锈钢炉头，燃烧充分，效率高。配电子打火，熄火保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BF13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电力24盘蒸饭车</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24盘</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主材：不锈钢</w:t>
            </w:r>
            <w:r>
              <w:rPr>
                <w:rFonts w:hint="eastAsia" w:ascii="宋体" w:hAnsi="宋体" w:cs="宋体"/>
                <w:i w:val="0"/>
                <w:iCs w:val="0"/>
                <w:color w:val="000000"/>
                <w:sz w:val="20"/>
                <w:szCs w:val="20"/>
                <w:highlight w:val="none"/>
                <w:u w:val="none"/>
                <w:lang w:val="en-US" w:eastAsia="zh-CN" w:bidi="ar"/>
              </w:rPr>
              <w:t xml:space="preserve">磨砂</w:t>
            </w:r>
            <w:r>
              <w:rPr>
                <w:rFonts w:hint="eastAsia" w:ascii="宋体" w:hAnsi="宋体" w:eastAsia="宋体" w:cs="宋体"/>
                <w:i w:val="0"/>
                <w:iCs w:val="0"/>
                <w:color w:val="000000"/>
                <w:sz w:val="20"/>
                <w:szCs w:val="20"/>
                <w:highlight w:val="none"/>
                <w:u w:val="none"/>
                <w:lang w:val="en-US" w:eastAsia="zh-CN" w:bidi="ar"/>
              </w:rPr>
              <w:t xml:space="preserve">板，厚度≥1.0mm；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保温：整体聚氨酯发泡；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功率：380v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手柄：刀斧式把手；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车轮：采Ф125万向活动轮；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密封条：嵌入式硅胶条；</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BF14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燃气三门海鲜蒸柜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1200*850*1850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蒸柜箱体选用304不锈钢板制造，水箱全部采用≥1.2mm不锈钢,无噪声操作方便，加热时间快，蒸汽上汽（常温水）3分钟易维护保养。本产品燃烧系统采用先进的蒸汽机技术，燃烧器是侧烧功能，解决了冷凝水腐蚀燃烧器的问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层数：小门一层，大门两层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微电脑控制，自动点火运行；首次通电，上蒸汽时间≤5分钟；蒸汽机内置，空间利用更节省；余热回收，提高热效率；燃烧器侧式燃烧，高温区不存垢；管箍封口，清垢更方便，符合GB35848-2024要求，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33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BF15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    </w:t>
            </w:r>
            <w:r>
              <w:rPr>
                <w:rFonts w:hint="eastAsia" w:ascii="宋体" w:hAnsi="宋体" w:eastAsia="宋体" w:cs="宋体"/>
                <w:i w:val="0"/>
                <w:iCs w:val="0"/>
                <w:color w:val="000000"/>
                <w:sz w:val="20"/>
                <w:szCs w:val="20"/>
                <w:highlight w:val="none"/>
                <w:u w:val="none"/>
                <w:lang w:val="en-US" w:eastAsia="zh-CN" w:bidi="ar"/>
              </w:rPr>
            </w:r>
            <w:r/>
          </w:p>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BF16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1400*700*800+150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357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BF17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厨房灭火系统</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双瓶组</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装置具备自动、手动和应急启动三种操作模式,能提供动作信号配合消防控制室联动报警,本装置设计有自动探测部件，可24小时监控。灶台油锅发生火情时，可自动启动灭火装置灭火，同时关闭燃气阀并报警（燃气切断阀属于选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 根据厨房环境特点本装置均属机械传动,不需用电,原材料全部采用304不锈钢及铜材等，防止设备氧化锈蚀，灭火装置所有药剂管路采用304不锈钢厚壁管满足高压药剂迅速通过的要求,且螺纹连接的安装方式能避免高温高热环境下管路连接松动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装置设计结构合理、适用、美观。安装不占用厨房地面面积，只占用空间位置，装置与消防水(或者自来水)管路相连,系统启动后灭火剂开始喷洒,待灭火剂喷洒完再自动控制水阀对监控区域自动喷水降温,达到防止复燃的效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对喷嘴数量和位置更具灵活性，喷嘴数量取决于灶台油锅和集烟罩排烟口数量来设计，系统装置包括:控制箱、管路、喷嘴、探测器、易熔连接片、金属拉索、滑轮三通.滑轮弯头等组成。其中控制箱由自动释放机构、驱动用高压氮气瓶、水流控制阀、液体药剂罐以及连接软管、单向阀、减压阀等构成;采用机械式自动启动无需任何电源(包含</w:t>
            </w:r>
            <w:r>
              <w:rPr>
                <w:rFonts w:hint="eastAsia" w:ascii="宋体" w:hAnsi="宋体" w:cs="宋体"/>
                <w:i w:val="0"/>
                <w:iCs w:val="0"/>
                <w:color w:val="000000"/>
                <w:sz w:val="20"/>
                <w:szCs w:val="20"/>
                <w:highlight w:val="none"/>
                <w:u w:val="none"/>
                <w:lang w:val="en-US" w:eastAsia="zh-CN" w:bidi="ar"/>
              </w:rPr>
              <w:t xml:space="preserve">电</w:t>
            </w:r>
            <w:r>
              <w:rPr>
                <w:rFonts w:hint="eastAsia" w:ascii="宋体" w:hAnsi="宋体" w:eastAsia="宋体" w:cs="宋体"/>
                <w:i w:val="0"/>
                <w:iCs w:val="0"/>
                <w:color w:val="000000"/>
                <w:sz w:val="20"/>
                <w:szCs w:val="20"/>
                <w:highlight w:val="none"/>
                <w:u w:val="none"/>
                <w:lang w:val="en-US" w:eastAsia="zh-CN" w:bidi="ar"/>
              </w:rPr>
              <w:t xml:space="preserve">池)即可工作,避免因电路故障造成装置无法运转和短路的可能性;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BF18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工作台下栅格带靠背</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BF19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面点间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搅拌机</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708*696*1230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揉压压面机</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780*774*1200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双动和面机</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456*912*865</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76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烙饼机</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直径560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温控范围：50—300°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锅直径：560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低锅：锅沿高1.8另带3.5CM钢圈，高锅2.5CM</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499"/>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烙饼机</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600*722*1019</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4400*1200*500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主质：采用304板材；板厚≥1.0mm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滤油板:不锈钢板,板厚0.8mm;防雾烟罩灯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要求：油网烟罩后封板、前封板、前页、上滑槽与下滑槽，所有外露边须紧压扣边。油网烟罩后封板与前封板连接为分段短焊，其中前封板 HL 面外露。油网烟罩前页与前封板连接为分段短焊，焊接面在前封板外露面前页 HL 面向下，两端烟罩连接口分别向上 90 度。油网烟罩两末端的侧封板与后封板、前封板前页为分段短焊，其中同前页的前端、后封板去油槽位置为满焊，并打磨。烟罩照明灯必须有防水功能，导电线要有适用的穿线护管。</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不锈钢单门发酵箱</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500*710*1740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立式电炸炉</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950*500*800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三层六盘不锈钢烤箱</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1225*770*1540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BG11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面粉车</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500*525*500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BG12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BG13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木案工作台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BG14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双温四门高身柜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1220*740*1960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BG15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单通移门碗柜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柜门：厚度≥1.2mm；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BG16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预进间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BH01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900*500*800+150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BH02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冷菜间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27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BI01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台下制冰机</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≥25KG</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1、名称：台下式制冰机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2、规格：≥25Kg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3、制冰能力 ≥25kg/24H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储冰量 约8kg/24H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制冷方式 A（风冷）</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BI02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单通移门碗柜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柜门：厚度≥1.2mm；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BI03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单星工作台（左星）</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BI04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厨房智能冰箱</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1200*800*1950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电源：220V、50Hz，外壳及内胆采用0.8mm厚的不锈钢板制作；双机双温，冷藏:0℃～10℃；；冷冻:-15℃～-20℃；；铜管；智能物联系统；直冷；智能物联网系统。</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BI05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BI06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冷藏操作台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采用304不锈钢，内箱圆弧设计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外嵌式蒸发器，外挂防尘网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28cm小机组设计， 3D立体回风系统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顶部斜45°出风设计，360° 风冷无霜循环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冷冻门框加装发热丝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控温类型：电子数字温控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制冷剂：冷藏：R134a,冷冻：R404a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压缩机：制冷稳定、效率高、噪音低、故障率低、使用寿命长；智能物联网系统。</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BI07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1800*750*800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r>
            <w:r/>
          </w:p>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2、层板：304，≥1.0mm不锈钢</w:t>
            </w:r>
            <w:r>
              <w:rPr>
                <w:rFonts w:hint="eastAsia" w:ascii="宋体" w:hAnsi="宋体" w:eastAsia="宋体" w:cs="宋体"/>
                <w:i w:val="0"/>
                <w:iCs w:val="0"/>
                <w:color w:val="000000"/>
                <w:sz w:val="20"/>
                <w:szCs w:val="20"/>
                <w:highlight w:val="none"/>
                <w:u w:val="none"/>
                <w:lang w:val="en-US" w:eastAsia="zh-CN" w:bidi="ar"/>
              </w:rPr>
            </w:r>
            <w:r/>
          </w:p>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3、侧板：304，≥1.0mm不锈钢</w:t>
            </w:r>
            <w:r>
              <w:rPr>
                <w:rFonts w:hint="eastAsia" w:ascii="宋体" w:hAnsi="宋体" w:eastAsia="宋体" w:cs="宋体"/>
                <w:i w:val="0"/>
                <w:iCs w:val="0"/>
                <w:color w:val="000000"/>
                <w:sz w:val="20"/>
                <w:szCs w:val="20"/>
                <w:highlight w:val="none"/>
                <w:u w:val="none"/>
                <w:lang w:val="en-US" w:eastAsia="zh-CN" w:bidi="ar"/>
              </w:rPr>
            </w:r>
            <w:r/>
          </w:p>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4、柜门：304，≥0.8mm，内衬0.6mm不锈钢</w:t>
            </w:r>
            <w:r>
              <w:rPr>
                <w:rFonts w:hint="eastAsia" w:ascii="宋体" w:hAnsi="宋体" w:eastAsia="宋体" w:cs="宋体"/>
                <w:i w:val="0"/>
                <w:iCs w:val="0"/>
                <w:color w:val="000000"/>
                <w:sz w:val="20"/>
                <w:szCs w:val="20"/>
                <w:highlight w:val="none"/>
                <w:u w:val="none"/>
                <w:lang w:val="en-US" w:eastAsia="zh-CN" w:bidi="ar"/>
              </w:rPr>
            </w:r>
            <w:r/>
          </w:p>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5、加强筋：≥1.5mm不锈钢加强筋</w:t>
            </w:r>
            <w:r>
              <w:rPr>
                <w:rFonts w:hint="eastAsia" w:ascii="宋体" w:hAnsi="宋体" w:eastAsia="宋体" w:cs="宋体"/>
                <w:i w:val="0"/>
                <w:iCs w:val="0"/>
                <w:color w:val="000000"/>
                <w:sz w:val="20"/>
                <w:szCs w:val="20"/>
                <w:highlight w:val="none"/>
                <w:u w:val="none"/>
                <w:lang w:val="en-US" w:eastAsia="zh-CN" w:bidi="ar"/>
              </w:rPr>
            </w:r>
            <w:r/>
          </w:p>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6、台脚：可调节不锈钢锥形承重脚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BI08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r>
            <w:r/>
          </w:p>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2、层板：304，≥1.0mm不锈钢</w:t>
            </w:r>
            <w:r>
              <w:rPr>
                <w:rFonts w:hint="eastAsia" w:ascii="宋体" w:hAnsi="宋体" w:eastAsia="宋体" w:cs="宋体"/>
                <w:i w:val="0"/>
                <w:iCs w:val="0"/>
                <w:color w:val="000000"/>
                <w:sz w:val="20"/>
                <w:szCs w:val="20"/>
                <w:highlight w:val="none"/>
                <w:u w:val="none"/>
                <w:lang w:val="en-US" w:eastAsia="zh-CN" w:bidi="ar"/>
              </w:rPr>
            </w:r>
            <w:r/>
          </w:p>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3、侧板：304，≥1.0mm不锈钢</w:t>
            </w:r>
            <w:r>
              <w:rPr>
                <w:rFonts w:hint="eastAsia" w:ascii="宋体" w:hAnsi="宋体" w:eastAsia="宋体" w:cs="宋体"/>
                <w:i w:val="0"/>
                <w:iCs w:val="0"/>
                <w:color w:val="000000"/>
                <w:sz w:val="20"/>
                <w:szCs w:val="20"/>
                <w:highlight w:val="none"/>
                <w:u w:val="none"/>
                <w:lang w:val="en-US" w:eastAsia="zh-CN" w:bidi="ar"/>
              </w:rPr>
            </w:r>
            <w:r/>
          </w:p>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4、柜门：304，≥0.8mm，内衬0.6mm不锈钢</w:t>
            </w:r>
            <w:r>
              <w:rPr>
                <w:rFonts w:hint="eastAsia" w:ascii="宋体" w:hAnsi="宋体" w:eastAsia="宋体" w:cs="宋体"/>
                <w:i w:val="0"/>
                <w:iCs w:val="0"/>
                <w:color w:val="000000"/>
                <w:sz w:val="20"/>
                <w:szCs w:val="20"/>
                <w:highlight w:val="none"/>
                <w:u w:val="none"/>
                <w:lang w:val="en-US" w:eastAsia="zh-CN" w:bidi="ar"/>
              </w:rPr>
            </w:r>
            <w:r/>
          </w:p>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5、加强筋：≥1.5mm不锈钢加强筋</w:t>
            </w:r>
            <w:r>
              <w:rPr>
                <w:rFonts w:hint="eastAsia" w:ascii="宋体" w:hAnsi="宋体" w:eastAsia="宋体" w:cs="宋体"/>
                <w:i w:val="0"/>
                <w:iCs w:val="0"/>
                <w:color w:val="000000"/>
                <w:sz w:val="20"/>
                <w:szCs w:val="20"/>
                <w:highlight w:val="none"/>
                <w:u w:val="none"/>
                <w:lang w:val="en-US" w:eastAsia="zh-CN" w:bidi="ar"/>
              </w:rPr>
            </w:r>
            <w:r/>
          </w:p>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6、台脚：可调节不锈钢锥形承重脚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BI09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售饭间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1030*700*800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76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保温汤台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304不锈钢板材制作；台面采用≥1.2mm不锈钢板，其它采用≥1.0mm不锈钢板，配加厚不锈钢桶，配品牌排污阀。额定电压220V，随车赠送双耳1.5mm加厚304不锈钢饭桶1只，内直径415mm，深度415mm.带温控数字可调节旋钮开关。</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蒸菜台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材质：采用304不锈钢板材；                                                      台面厚度≥1.2mm；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侧板： 厚度≥1.0mm；                                                                                 衬筋：不锈钢板厚度≥1.0mm；                                                            功率：3KW电加热：恒温控制；                              冲孔板2块；                    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五格保温售饭工作台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材质：采用304不锈钢板材；                                                      台面厚度≥1.2mm；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侧板</w:t>
            </w:r>
            <w:r>
              <w:rPr>
                <w:rFonts w:hint="eastAsia" w:ascii="宋体" w:hAnsi="宋体" w:eastAsia="宋体" w:cs="宋体"/>
                <w:i w:val="0"/>
                <w:iCs w:val="0"/>
                <w:color w:val="000000"/>
                <w:sz w:val="20"/>
                <w:szCs w:val="20"/>
                <w:highlight w:val="none"/>
                <w:u w:val="none"/>
                <w:lang w:val="en-US" w:eastAsia="zh-CN" w:bidi="ar"/>
              </w:rPr>
              <w:t xml:space="preserve">： 厚度≥1.0mm；                                                                                 衬筋：不锈钢板厚度≥1.0mm；                                                            恒温控制；                              份数盘：1/1*1.0mm″连盖，配5只；                    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30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厨房智能留样冰箱</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1200*800*1950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工作形式：风冷内外胆为304NO.4不锈钢板 厚度≥1.0mm；人脸识别开门，识别餐品、重量等信息，智能物联网系统。</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BK11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单星工作台柜（右星）</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2、星盆：配不锈钢落水，厚度≥1.0mm；                                3、层板：304，≥1.0mm不锈钢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4、侧板：304，≥1.0mm不锈钢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5、柜门：304，≥0.8mm不锈钢，内衬0.6mm不锈钢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6、加强筋：1.5mm不锈钢加强筋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7、台脚：可调节不锈钢锥形承重脚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洗碗间</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双温高压花洒</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BL04</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L型单星洁碟台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1320*1390*800+150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                                       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BL05</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曲棍去水款大单星盆水池(斗深400mm)</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1000*750*800+150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BL06</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双孔收餐工作台</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2000*750*800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BL07</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中间滤网式抽气罩</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1500*1000*500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BL08</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洁碟台(带框架B）</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1500*800*800+150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BL09</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通道式洗碗</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1100*782*1742</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BL10</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    </w:t>
            </w:r>
            <w:r>
              <w:rPr>
                <w:rFonts w:hint="eastAsia" w:ascii="宋体" w:hAnsi="宋体" w:eastAsia="宋体" w:cs="宋体"/>
                <w:i w:val="0"/>
                <w:iCs w:val="0"/>
                <w:color w:val="000000"/>
                <w:sz w:val="20"/>
                <w:szCs w:val="20"/>
                <w:highlight w:val="none"/>
                <w:u w:val="none"/>
                <w:lang w:val="en-US" w:eastAsia="zh-CN" w:bidi="ar"/>
              </w:rPr>
            </w:r>
            <w:r/>
          </w:p>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BL11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BL12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碗筷存放处</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1"/>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BM01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单通移门碗柜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柜门：厚度≥1.2mm；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BM02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热风循环消毒柜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1300*630*1940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BM03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更衣室</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BN01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单星洗手池</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500*450*800+50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BN02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六门更衣柜</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900*400*1800</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采用不锈钢板制作，厚度≥1.0mm；分上层下层，每层三扇门，每扇门上附锁。</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val="false"/>
          </w:tcPr>
          <w:p>
            <w:pPr>
              <w:pStyle w:val="78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cs="宋体"/>
                <w:b/>
                <w:bCs/>
                <w:i w:val="0"/>
                <w:iCs w:val="0"/>
                <w:color w:val="000000"/>
                <w:sz w:val="20"/>
                <w:szCs w:val="20"/>
                <w:highlight w:val="none"/>
                <w:u w:val="none"/>
                <w:lang w:val="en-US" w:eastAsia="zh-CN" w:bidi="ar"/>
              </w:rPr>
              <w:t xml:space="preserve">其他</w:t>
            </w:r>
            <w:r>
              <w:rPr>
                <w:rFonts w:hint="eastAsia" w:ascii="宋体" w:hAnsi="宋体" w:eastAsia="宋体" w:cs="宋体"/>
                <w:b/>
                <w:bCs/>
                <w:i w:val="0"/>
                <w:iCs w:val="0"/>
                <w:color w:val="000000"/>
                <w:sz w:val="20"/>
                <w:szCs w:val="20"/>
                <w:highlight w:val="none"/>
                <w:u w:val="none"/>
              </w:rPr>
            </w:r>
            <w:r/>
          </w:p>
        </w:tc>
        <w:tc>
          <w:tcPr>
            <w:tcW w:w="1025"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★感应水龙头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单温款</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  H62黄铜铸造主体，表面抛光镀铬处理                            </w:t>
            </w:r>
            <w:r>
              <w:rPr>
                <w:rFonts w:hint="eastAsia" w:ascii="宋体" w:hAnsi="宋体" w:eastAsia="宋体" w:cs="宋体"/>
                <w:i w:val="0"/>
                <w:iCs w:val="0"/>
                <w:color w:val="000000"/>
                <w:sz w:val="20"/>
                <w:szCs w:val="20"/>
                <w:highlight w:val="none"/>
                <w:u w:val="none"/>
                <w:lang w:val="en-US" w:eastAsia="zh-CN" w:bidi="ar"/>
              </w:rPr>
            </w:r>
            <w:r/>
          </w:p>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  座台式安装，开孔尺寸25mm                                            3  红外感应距离25cm，感应距离可调                                    4  AC/DC控制模块，电源可选交流电或1.5V*4直流电源 </w:t>
            </w:r>
            <w:r>
              <w:rPr>
                <w:rFonts w:hint="eastAsia" w:ascii="宋体" w:hAnsi="宋体" w:eastAsia="宋体" w:cs="宋体"/>
                <w:i w:val="0"/>
                <w:iCs w:val="0"/>
                <w:color w:val="000000"/>
                <w:sz w:val="20"/>
                <w:szCs w:val="20"/>
                <w:highlight w:val="none"/>
                <w:u w:val="none"/>
                <w:lang w:val="en-US" w:eastAsia="zh-CN" w:bidi="ar"/>
              </w:rPr>
            </w:r>
            <w:r/>
          </w:p>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  三通接口设计，可接冷、热水源，接口4分外螺纹。  </w:t>
            </w:r>
            <w:r>
              <w:rPr>
                <w:rFonts w:hint="eastAsia" w:ascii="宋体" w:hAnsi="宋体" w:eastAsia="宋体" w:cs="宋体"/>
                <w:i w:val="0"/>
                <w:iCs w:val="0"/>
                <w:color w:val="000000"/>
                <w:sz w:val="20"/>
                <w:szCs w:val="20"/>
                <w:highlight w:val="none"/>
                <w:u w:val="none"/>
                <w:lang w:val="en-US" w:eastAsia="zh-CN" w:bidi="ar"/>
              </w:rPr>
            </w:r>
            <w:r/>
          </w:p>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  出水口距台面100mm   </w:t>
            </w:r>
            <w:r>
              <w:rPr>
                <w:rFonts w:hint="eastAsia" w:ascii="宋体" w:hAnsi="宋体" w:eastAsia="宋体" w:cs="宋体"/>
                <w:i w:val="0"/>
                <w:iCs w:val="0"/>
                <w:color w:val="000000"/>
                <w:sz w:val="20"/>
                <w:szCs w:val="20"/>
                <w:highlight w:val="none"/>
                <w:u w:val="none"/>
                <w:lang w:val="en-US" w:eastAsia="zh-CN" w:bidi="ar"/>
              </w:rPr>
            </w:r>
            <w:r/>
          </w:p>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感应水龙头为政府强制采购的节能产品，投标人只能选择具有国家确定的认证机构出具的有效期之内的节能产品认证证书扫描件的产品</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★冷热水龙头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双温款</w:t>
            </w: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pStyle w:val="786"/>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全铜材质，陶瓷阀芯，标配六寸（152mm）鹅颈水嘴（可选配八寸（203mm）鹅颈水嘴）  </w:t>
            </w:r>
            <w:r>
              <w:rPr>
                <w:rFonts w:hint="eastAsia" w:ascii="宋体" w:hAnsi="宋体" w:eastAsia="宋体" w:cs="宋体"/>
                <w:i w:val="0"/>
                <w:iCs w:val="0"/>
                <w:color w:val="000000"/>
                <w:sz w:val="20"/>
                <w:szCs w:val="20"/>
                <w:highlight w:val="none"/>
                <w:u w:val="none"/>
                <w:lang w:val="en-US" w:eastAsia="zh-CN" w:bidi="ar"/>
              </w:rPr>
            </w:r>
            <w:r/>
          </w:p>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冷热水龙头为政府强制采购的节能产品，投标人只能选择具有国家确定的认证机构出具的有效期之内的节能产品认证证书扫描件的产品</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70"/>
        </w:trPr>
        <w:tc>
          <w:tcPr>
            <w:tcW w:w="316" w:type="dxa"/>
            <w:vAlign w:val="center"/>
            <w:textDirection w:val="lrTb"/>
            <w:noWrap/>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69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冷热水龙头</w:t>
            </w:r>
            <w:r>
              <w:rPr>
                <w:rFonts w:hint="eastAsia" w:ascii="宋体" w:hAnsi="宋体" w:eastAsia="宋体" w:cs="宋体"/>
                <w:i w:val="0"/>
                <w:iCs w:val="0"/>
                <w:color w:val="000000"/>
                <w:sz w:val="20"/>
                <w:szCs w:val="20"/>
                <w:highlight w:val="none"/>
                <w:u w:val="none"/>
              </w:rPr>
            </w:r>
            <w:r/>
          </w:p>
        </w:tc>
        <w:tc>
          <w:tcPr>
            <w:tcW w:w="1025" w:type="dxa"/>
            <w:vAlign w:val="center"/>
            <w:textDirection w:val="lrTb"/>
            <w:noWrap/>
          </w:tcPr>
          <w:p>
            <w:pPr>
              <w:pStyle w:val="78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77" w:type="dxa"/>
            <w:vAlign w:val="center"/>
            <w:textDirection w:val="lrTb"/>
            <w:noWrap/>
          </w:tcPr>
          <w:p>
            <w:pPr>
              <w:pStyle w:val="786"/>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bl>
    <w:p>
      <w:pPr>
        <w:pStyle w:val="798"/>
        <w:numPr>
          <w:ilvl w:val="0"/>
          <w:numId w:val="6"/>
        </w:numPr>
        <w:rPr>
          <w:rFonts w:hint="eastAsia"/>
          <w:highlight w:val="none"/>
        </w:rPr>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highlight w:val="none"/>
        </w:rPr>
      </w:r>
      <w:r/>
    </w:p>
    <w:p>
      <w:pPr>
        <w:pStyle w:val="786"/>
        <w:numPr>
          <w:ilvl w:val="0"/>
          <w:numId w:val="7"/>
        </w:numPr>
        <w:ind w:firstLine="602"/>
        <w:spacing w:line="360" w:lineRule="auto"/>
        <w:rPr>
          <w:rFonts w:hint="eastAsia" w:ascii="宋体" w:hAnsi="宋体" w:eastAsia="宋体" w:cs="宋体"/>
          <w:b/>
          <w:color w:val="000000"/>
          <w:sz w:val="30"/>
          <w:szCs w:val="30"/>
          <w:highlight w:val="none"/>
          <w:u w:val="none"/>
          <w:lang w:val="en-US" w:eastAsia="zh-CN"/>
        </w:rPr>
      </w:pPr>
      <w:r>
        <w:rPr>
          <w:rFonts w:hint="eastAsia" w:ascii="宋体" w:hAnsi="宋体" w:eastAsia="宋体" w:cs="宋体"/>
          <w:b/>
          <w:color w:val="000000"/>
          <w:sz w:val="30"/>
          <w:szCs w:val="30"/>
          <w:highlight w:val="none"/>
          <w:u w:val="none"/>
          <w:lang w:val="en-US" w:eastAsia="zh-CN"/>
        </w:rPr>
        <w:t xml:space="preserve">其他要求</w:t>
      </w:r>
      <w:r>
        <w:rPr>
          <w:rFonts w:hint="eastAsia" w:ascii="宋体" w:hAnsi="宋体" w:eastAsia="宋体" w:cs="宋体"/>
          <w:b/>
          <w:color w:val="000000"/>
          <w:sz w:val="30"/>
          <w:szCs w:val="30"/>
          <w:highlight w:val="none"/>
          <w:u w:val="none"/>
          <w:lang w:val="en-US" w:eastAsia="zh-CN"/>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 合同签订前要求</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1.1 样品确认与合同签署</w:t>
      </w:r>
      <w:r>
        <w:rPr>
          <w:rFonts w:hint="eastAsia" w:ascii="宋体" w:hAnsi="宋体" w:eastAsia="宋体" w:cs="宋体"/>
          <w:bCs/>
          <w:sz w:val="24"/>
          <w:highlight w:val="none"/>
        </w:rPr>
        <w:br w:type="textWrapping" w:clear="all"/>
      </w:r>
      <w:r>
        <w:rPr>
          <w:rFonts w:hint="eastAsia" w:ascii="宋体" w:hAnsi="宋体" w:eastAsia="宋体" w:cs="宋体"/>
          <w:bCs/>
          <w:sz w:val="24"/>
          <w:highlight w:val="none"/>
        </w:rPr>
        <w:t xml:space="preserve">中标人在签订合同前需按采购清单列出的所有品目出样，经招标人使用部门确认无误后，按招标文件要求交纳履约保证金并签署正式合同。样品款式、规格、材质、工艺、颜色等如不符合招标文件技术参数要求，招标人有权终止签订合同。</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1.2 样品检测与责任</w:t>
      </w:r>
      <w:r>
        <w:rPr>
          <w:rFonts w:hint="eastAsia" w:ascii="宋体" w:hAnsi="宋体" w:eastAsia="宋体" w:cs="宋体"/>
          <w:bCs/>
          <w:sz w:val="24"/>
          <w:highlight w:val="none"/>
        </w:rPr>
        <w:br w:type="textWrapping" w:clear="all"/>
      </w:r>
      <w:r>
        <w:rPr>
          <w:rFonts w:hint="eastAsia" w:ascii="宋体" w:hAnsi="宋体" w:eastAsia="宋体" w:cs="宋体"/>
          <w:bCs/>
          <w:sz w:val="24"/>
          <w:highlight w:val="none"/>
        </w:rPr>
        <w:t xml:space="preserve">合同签订后，采购人有权要求中标人提供部分厂制品样品，并指定第三方检测机构检测，费用由中标人承担。若检测不合格，采购人有权终止合同，损失由中标人承担并赔偿。</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 技术要求与标准</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2.1 材料与安全标准</w:t>
      </w:r>
      <w:r>
        <w:rPr>
          <w:rFonts w:hint="eastAsia" w:ascii="宋体" w:hAnsi="宋体" w:eastAsia="宋体" w:cs="宋体"/>
          <w:bCs/>
          <w:sz w:val="24"/>
          <w:highlight w:val="none"/>
        </w:rPr>
        <w:br w:type="textWrapping" w:clear="all"/>
      </w:r>
      <w:r>
        <w:rPr>
          <w:rFonts w:hint="eastAsia" w:ascii="宋体" w:hAnsi="宋体" w:eastAsia="宋体" w:cs="宋体"/>
          <w:bCs/>
          <w:sz w:val="24"/>
          <w:highlight w:val="none"/>
        </w:rPr>
        <w:t xml:space="preserve">所有直接接触食品的不锈钢须符合GB4806.9-2023要求，材料指标不得有负偏离。</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2.2 技术参数与偏离说明</w:t>
      </w:r>
      <w:r>
        <w:rPr>
          <w:rFonts w:hint="eastAsia" w:ascii="宋体" w:hAnsi="宋体" w:eastAsia="宋体" w:cs="宋体"/>
          <w:bCs/>
          <w:sz w:val="24"/>
          <w:highlight w:val="none"/>
        </w:rPr>
        <w:br w:type="textWrapping" w:clear="all"/>
      </w:r>
      <w:r>
        <w:rPr>
          <w:rFonts w:hint="eastAsia" w:ascii="宋体" w:hAnsi="宋体" w:eastAsia="宋体" w:cs="宋体"/>
          <w:bCs/>
          <w:sz w:val="24"/>
          <w:highlight w:val="none"/>
        </w:rPr>
        <w:t xml:space="preserve">如涉及极个性化描述（如品牌），不作为特定要求（替代品牌性能不低于描述品牌），偏离需在偏离表中注明。</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2.3</w:t>
      </w:r>
      <w:r>
        <w:rPr>
          <w:rFonts w:hint="eastAsia" w:ascii="宋体" w:hAnsi="宋体" w:eastAsia="宋体" w:cs="宋体"/>
          <w:bCs/>
          <w:sz w:val="24"/>
          <w:szCs w:val="24"/>
          <w:highlight w:val="none"/>
          <w:lang w:val="en-US" w:eastAsia="zh-CN"/>
        </w:rPr>
        <w:t xml:space="preserve">所有直接接触食品的304食品级不锈钢板材及管材厚度(1.5mm，实厚≥1.42mm；1.2mm，实厚≥1.13mm；1.0mm，实厚≥0.92mm)；不锈钢板材及管材金属成份(Ni≧8%)。</w:t>
      </w:r>
      <w:r>
        <w:rPr>
          <w:rFonts w:hint="eastAsia" w:ascii="宋体" w:hAnsi="宋体" w:eastAsia="宋体" w:cs="宋体"/>
          <w:bCs/>
          <w:sz w:val="24"/>
          <w:szCs w:val="24"/>
          <w:highlight w:val="none"/>
          <w:lang w:val="en-US" w:eastAsia="zh-CN"/>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2.4上述清单中描述的“利旧”是指对天一中学新吴分校过渡校区（地址：无锡市新吴区金桥鸿山实验学校）中已有的厨房设备进行拆除、运输并安装至天一中学新吴分校（地址无锡市新吴区鸿山街道，至德大道与至礼路交叉口东南）指定位置。此部分内容不在质保范围内。拆除前需与采购人及使用单位现场共同确认相关设备情况，各方确认完好后，安拆过程中出现损坏情况，由中标人承担修复或赔偿费用。</w:t>
      </w:r>
      <w:r>
        <w:rPr>
          <w:rFonts w:hint="eastAsia" w:ascii="宋体" w:hAnsi="宋体" w:eastAsia="宋体" w:cs="宋体"/>
          <w:bCs/>
          <w:sz w:val="24"/>
          <w:szCs w:val="24"/>
          <w:highlight w:val="none"/>
          <w:lang w:val="en-US" w:eastAsia="zh-CN"/>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2.5为响应市场监管总局决定对商用燃气燃烧器具等产品实施强制性产品认证（以下称CCC认证）管理，可倾燃气锅、燃气单头单尾小炒灶、燃气双头大锅灶、燃气双头矮汤炉、燃气六头煲仔炉、燃气双头双尾小炒灶、燃气单头大锅灶、燃气三门海鲜蒸柜设备需符合GB35848-2024标准，具有3C国家强制性认证证书，须提供相关产品的3C国家强制性认证证书扫描件上传至投标文件。</w:t>
      </w:r>
      <w:r>
        <w:rPr>
          <w:rFonts w:hint="eastAsia" w:ascii="宋体" w:hAnsi="宋体" w:eastAsia="宋体" w:cs="宋体"/>
          <w:bCs/>
          <w:sz w:val="24"/>
          <w:szCs w:val="24"/>
          <w:highlight w:val="none"/>
          <w:lang w:val="en-US" w:eastAsia="zh-CN"/>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2.6加</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bCs/>
          <w:sz w:val="24"/>
          <w:szCs w:val="24"/>
          <w:highlight w:val="none"/>
          <w:lang w:val="en-US" w:eastAsia="zh-CN"/>
        </w:rPr>
        <w:t xml:space="preserve">清单“洗地龙头</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bCs/>
          <w:sz w:val="24"/>
          <w:szCs w:val="24"/>
          <w:highlight w:val="none"/>
          <w:lang w:val="en-US" w:eastAsia="zh-CN"/>
        </w:rPr>
        <w:t xml:space="preserve">、</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bCs/>
          <w:sz w:val="24"/>
          <w:szCs w:val="24"/>
          <w:highlight w:val="none"/>
          <w:lang w:val="en-US" w:eastAsia="zh-CN"/>
        </w:rPr>
        <w:t xml:space="preserve">感应水龙头</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bCs/>
          <w:sz w:val="24"/>
          <w:szCs w:val="24"/>
          <w:highlight w:val="none"/>
          <w:lang w:val="en-US" w:eastAsia="zh-CN"/>
        </w:rPr>
        <w:t xml:space="preserve">冷热水龙头</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bCs/>
          <w:sz w:val="24"/>
          <w:szCs w:val="24"/>
          <w:highlight w:val="none"/>
          <w:lang w:val="en-US" w:eastAsia="zh-CN"/>
        </w:rPr>
        <w:t xml:space="preserve">依据财政部、发展改革委发布的《节能产品政府采购品目清单》，本项目采购的冷热水龙头为政府强制采购的节能产品，投标人只能选择具有国家确定的认证机构出具的有效期之内的节能产品认证证书扫描件的产品，须提供相关产品的国家确定的认证机构出具的有效期之内的节能产品认证证书扫描件上传至投标文件。</w:t>
      </w:r>
      <w:r>
        <w:rPr>
          <w:rFonts w:hint="eastAsia" w:ascii="宋体" w:hAnsi="宋体" w:eastAsia="宋体" w:cs="宋体"/>
          <w:bCs/>
          <w:sz w:val="24"/>
          <w:szCs w:val="24"/>
          <w:highlight w:val="none"/>
          <w:lang w:val="en-US" w:eastAsia="zh-CN"/>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2.7紫外线消毒器、热风循环消毒柜、万能组合消毒柜，生产厂家具有消毒产品生产许可证，须提供相关产品的消毒产品生产许可证扫描件上传至投标文件。 </w:t>
      </w:r>
      <w:r>
        <w:rPr>
          <w:rFonts w:hint="eastAsia" w:ascii="宋体" w:hAnsi="宋体" w:eastAsia="宋体" w:cs="宋体"/>
          <w:bCs/>
          <w:sz w:val="24"/>
          <w:szCs w:val="24"/>
          <w:highlight w:val="none"/>
          <w:lang w:val="en-US" w:eastAsia="zh-CN" w:bidi="ar-SA"/>
        </w:rPr>
        <w:t xml:space="preserve">  </w:t>
      </w:r>
      <w:r>
        <w:rPr>
          <w:rFonts w:hint="eastAsia" w:ascii="宋体" w:hAnsi="宋体" w:eastAsia="宋体" w:cs="宋体"/>
          <w:bCs/>
          <w:sz w:val="24"/>
          <w:szCs w:val="24"/>
          <w:highlight w:val="none"/>
          <w:lang w:val="en-US" w:eastAsia="zh-CN" w:bidi="ar-SA"/>
        </w:rPr>
      </w:r>
      <w:r/>
    </w:p>
    <w:p>
      <w:pPr>
        <w:pStyle w:val="786"/>
        <w:ind w:firstLine="480"/>
        <w:spacing w:line="360" w:lineRule="auto"/>
        <w:tabs>
          <w:tab w:val="left" w:pos="525" w:leader="none"/>
          <w:tab w:val="left" w:pos="630" w:leader="none"/>
          <w:tab w:val="left" w:pos="735" w:leader="none"/>
          <w:tab w:val="left" w:pos="945" w:leader="none"/>
        </w:tabs>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2.8商用净水器组所投产品对应型号有涉水卫生批件，须提供商用净水器组所投产品对应型号的涉水卫生批件扫描件上传至投标文件。</w:t>
      </w:r>
      <w:r>
        <w:rPr>
          <w:rFonts w:ascii="宋体" w:hAnsi="宋体" w:eastAsia="宋体" w:cs="宋体"/>
          <w:bCs/>
          <w:sz w:val="24"/>
          <w:szCs w:val="24"/>
          <w:highlight w:val="none"/>
          <w:lang w:val="en-US" w:eastAsia="zh-CN"/>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 合同执行与监督</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3.1 生产监督与检验</w:t>
      </w:r>
      <w:r>
        <w:rPr>
          <w:rFonts w:hint="eastAsia" w:ascii="宋体" w:hAnsi="宋体" w:eastAsia="宋体" w:cs="宋体"/>
          <w:bCs/>
          <w:sz w:val="24"/>
          <w:highlight w:val="none"/>
        </w:rPr>
        <w:br w:type="textWrapping" w:clear="all"/>
      </w:r>
      <w:r>
        <w:rPr>
          <w:rFonts w:hint="eastAsia" w:ascii="宋体" w:hAnsi="宋体" w:eastAsia="宋体" w:cs="宋体"/>
          <w:bCs/>
          <w:sz w:val="24"/>
          <w:highlight w:val="none"/>
        </w:rPr>
        <w:t xml:space="preserve">采购人有权对产品生产进行不定期实地监督，中标人应配合；可进行破坏性试验，若不合格则拒收全部货物，损失由中标人承担。</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3.2 安装工程量与风险</w:t>
      </w:r>
      <w:r>
        <w:rPr>
          <w:rFonts w:hint="eastAsia" w:ascii="宋体" w:hAnsi="宋体" w:eastAsia="宋体" w:cs="宋体"/>
          <w:bCs/>
          <w:sz w:val="24"/>
          <w:highlight w:val="none"/>
        </w:rPr>
        <w:br w:type="textWrapping" w:clear="all"/>
      </w:r>
      <w:r>
        <w:rPr>
          <w:rFonts w:hint="eastAsia" w:ascii="宋体" w:hAnsi="宋体" w:eastAsia="宋体" w:cs="宋体"/>
          <w:bCs/>
          <w:sz w:val="24"/>
          <w:highlight w:val="none"/>
        </w:rPr>
        <w:t xml:space="preserve">安装部分工程量需自行考察施工界面确定数量，疑问需在答疑期内提出，否则视为无异议。中标后不追加费用，投标单位须自行勘查现场，报价包含全部风险及费用，忽视现场情况导致的索赔或延期不予批准。</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 质保与服务质量</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4.1 质保期要求</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质保期内出现质量问题，中标人须无条件免费更换，并定期回访。</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质保期后，以不高于市场价格维修，成本价供应备品备件。</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投标时需明确质保年限、备件价格、维保体系等具体条款。</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4.2质量标准</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一次性验收合格，符合招标文件及国家强制性标准。</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一次抽检不合格扣合同价30%，三次不合格终止合同并追责。</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中标人需保证货物为原装全新，性能符合或优于国家标准，非积压库存，质保期内承担设计、工艺或材料缺陷责任。</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质量问题可直接判定或经国家质检中心鉴定，费用由中标人承担。</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4.3服务响应</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保修期内提供7×24小时电话支持，接到通知1.5小时内到场处理，半小时未答复视为承认责任。经三次修理仍故障的，无条件更换新品。</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5.安装调试要求</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5.1安装准备</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安装工具、物料由中标人自备并承担费用，完工后自行清理。</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提供详细安装方案（施工组织、人员、质量措施等）并经采购人同意后执行。</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5.2安装过程管理</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卸货、安装、调试由中标人负责，需在采购人监督下进行，调试记录须双方签字。</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安装期间遵守安全规定，事故责任由中标人承担；货物进场需采购人验货。</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6.验收要求</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6.1验收时间与条件</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验收在交货并安装调试后30日内进行，需提供中标通知书、合同、收货单、安装单等文件。</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6.2验收标准与责任</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货物须完好无损，配置与装箱单一致，性能不低于招标要求。</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发现短缺、次品或损坏，采购人记录或签署备忘录，费用由中标人承担。</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运输或安装导致货物损坏，中标人需及时换货并承担费用。</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验收时由供应商演示设备具体功能，未能满足功能，</w:t>
      </w:r>
      <w:r>
        <w:rPr>
          <w:rFonts w:hint="eastAsia" w:ascii="宋体" w:hAnsi="宋体" w:eastAsia="宋体" w:cs="宋体"/>
          <w:bCs/>
          <w:sz w:val="24"/>
          <w:highlight w:val="none"/>
        </w:rPr>
        <w:t xml:space="preserve">中标人需及时</w:t>
      </w:r>
      <w:r>
        <w:rPr>
          <w:rFonts w:hint="eastAsia" w:ascii="宋体" w:hAnsi="宋体" w:cs="宋体"/>
          <w:bCs/>
          <w:sz w:val="24"/>
          <w:highlight w:val="none"/>
          <w:lang w:val="en-US" w:eastAsia="zh-CN"/>
        </w:rPr>
        <w:t xml:space="preserve">更换满足功能设备，</w:t>
      </w:r>
      <w:r>
        <w:rPr>
          <w:rFonts w:hint="eastAsia" w:ascii="宋体" w:hAnsi="宋体" w:eastAsia="宋体" w:cs="宋体"/>
          <w:bCs/>
          <w:sz w:val="24"/>
          <w:highlight w:val="none"/>
        </w:rPr>
        <w:t xml:space="preserve">并承担费用</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6.3验收文件与移交</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拆箱后登记全部产品、配件及资料，登记册作为验收文档。</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移交产品说明书、技术文件、验收报告等全套资料。</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7.售后服务</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7.1服务承诺</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免费质保期</w:t>
      </w:r>
      <w:r>
        <w:rPr>
          <w:rFonts w:hint="eastAsia" w:ascii="宋体" w:hAnsi="宋体" w:cs="宋体"/>
          <w:bCs/>
          <w:sz w:val="24"/>
          <w:highlight w:val="none"/>
          <w:lang w:val="en-US" w:eastAsia="zh-CN"/>
        </w:rPr>
        <w:t xml:space="preserve">二</w:t>
      </w:r>
      <w:r>
        <w:rPr>
          <w:rFonts w:hint="eastAsia" w:ascii="宋体" w:hAnsi="宋体" w:eastAsia="宋体" w:cs="宋体"/>
          <w:bCs/>
          <w:sz w:val="24"/>
          <w:highlight w:val="none"/>
        </w:rPr>
        <w:t xml:space="preserve">年，质保期后提供有偿优惠维修。</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免费安装调试及培训，确保采购人能独立维护。</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8.知识产权与保密</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8.1知识产权责任</w:t>
      </w:r>
      <w:r>
        <w:rPr>
          <w:rFonts w:hint="eastAsia" w:ascii="宋体" w:hAnsi="宋体" w:eastAsia="宋体" w:cs="宋体"/>
          <w:bCs/>
          <w:sz w:val="24"/>
          <w:highlight w:val="none"/>
        </w:rPr>
        <w:br w:type="textWrapping" w:clear="all"/>
      </w:r>
      <w:r>
        <w:rPr>
          <w:rFonts w:hint="eastAsia" w:ascii="宋体" w:hAnsi="宋体" w:eastAsia="宋体" w:cs="宋体"/>
          <w:bCs/>
          <w:sz w:val="24"/>
          <w:highlight w:val="none"/>
        </w:rPr>
        <w:t xml:space="preserve">中标人保证采购人免于因使用货物引发的第三方知识产权纠纷，并承担相关损失及费用。</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8.2保密义务</w:t>
      </w:r>
      <w:r>
        <w:rPr>
          <w:rFonts w:hint="eastAsia" w:ascii="宋体" w:hAnsi="宋体" w:eastAsia="宋体" w:cs="宋体"/>
          <w:bCs/>
          <w:sz w:val="24"/>
          <w:highlight w:val="none"/>
        </w:rPr>
        <w:br w:type="textWrapping" w:clear="all"/>
      </w:r>
      <w:r>
        <w:rPr>
          <w:rFonts w:hint="eastAsia" w:ascii="宋体" w:hAnsi="宋体" w:eastAsia="宋体" w:cs="宋体"/>
          <w:bCs/>
          <w:sz w:val="24"/>
          <w:highlight w:val="none"/>
        </w:rPr>
        <w:t xml:space="preserve">中标人须保密采购人资料及成果，不得泄露或转让；项目成果所有权归采购人，违约可解除合同并追责。</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9.其他事项</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9.1报价范围</w:t>
      </w:r>
      <w:r>
        <w:rPr>
          <w:rFonts w:hint="eastAsia" w:ascii="宋体" w:hAnsi="宋体" w:eastAsia="宋体" w:cs="宋体"/>
          <w:bCs/>
          <w:sz w:val="24"/>
          <w:highlight w:val="none"/>
        </w:rPr>
      </w:r>
      <w:r/>
    </w:p>
    <w:p>
      <w:pPr>
        <w:pStyle w:val="786"/>
        <w:numPr>
          <w:ilvl w:val="0"/>
          <w:numId w:val="0"/>
        </w:numPr>
        <w:ind w:firstLine="480"/>
        <w:spacing w:line="360" w:lineRule="auto"/>
        <w:tabs>
          <w:tab w:val="left" w:pos="525" w:leader="none"/>
          <w:tab w:val="left" w:pos="945" w:leader="none"/>
        </w:tabs>
        <w:rPr>
          <w:rFonts w:ascii="宋体" w:hAnsi="Times New Roman" w:cs="Times New Roman"/>
          <w:bCs/>
          <w:sz w:val="24"/>
          <w:szCs w:val="24"/>
          <w:highlight w:val="none"/>
        </w:rPr>
      </w:pPr>
      <w:r>
        <w:rPr>
          <w:rFonts w:hint="eastAsia" w:ascii="宋体" w:hAnsi="宋体" w:cs="Times New Roman"/>
          <w:bCs/>
          <w:color w:val="0000ff"/>
          <w:sz w:val="24"/>
          <w:szCs w:val="24"/>
          <w:highlight w:val="none"/>
        </w:rPr>
        <w:t xml:space="preserve">投标总报价包括满足本项目要求的所有产品及其配件、包装、运杂、安装调试及售后服务等从项目中标起到项目正式交付以及质保期内所发生的一切费用。</w:t>
      </w:r>
      <w:r>
        <w:rPr>
          <w:rFonts w:ascii="宋体" w:hAnsi="Times New Roman" w:cs="Times New Roman"/>
          <w:bCs/>
          <w:sz w:val="24"/>
          <w:szCs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通过中国海关报关验放进入中国境内且产自中国境外的产品不在本项目的报价范围。</w:t>
      </w:r>
      <w:r>
        <w:rPr>
          <w:rFonts w:hint="eastAsia" w:ascii="宋体" w:hAnsi="宋体"/>
          <w:bCs/>
          <w:color w:val="000000"/>
          <w:sz w:val="24"/>
          <w:szCs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9.2安全与合规要求</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涉及网络安全专用产品的，需通过国家认证或检测。</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强制采购节能产品的，需提供有效节能认证证书。</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9.3投标与合同管理</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投标人需按招标文件报价，技术偏离需说明。</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残疾人福利性单位声明不实则依法追责。</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中小企业不得违规分包合同。</w:t>
      </w:r>
      <w:r>
        <w:rPr>
          <w:rFonts w:hint="eastAsia" w:ascii="宋体" w:hAnsi="宋体" w:eastAsia="宋体" w:cs="宋体"/>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开标后投标人需保持在线应答，否则风险自担。</w:t>
      </w:r>
      <w:r>
        <w:rPr>
          <w:rFonts w:hint="eastAsia" w:ascii="宋体" w:hAnsi="宋体" w:eastAsia="宋体" w:cs="宋体"/>
          <w:bCs/>
          <w:sz w:val="24"/>
          <w:highlight w:val="none"/>
        </w:rPr>
      </w:r>
      <w:r/>
    </w:p>
    <w:p>
      <w:pPr>
        <w:pStyle w:val="786"/>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cs="Times New Roman"/>
          <w:bCs/>
          <w:color w:val="0000ff"/>
          <w:sz w:val="24"/>
          <w:szCs w:val="24"/>
          <w:highlight w:val="none"/>
        </w:rPr>
      </w:pPr>
      <w:r>
        <w:rPr>
          <w:rFonts w:hint="eastAsia" w:ascii="宋体" w:hAnsi="宋体" w:cs="Times New Roman"/>
          <w:bCs/>
          <w:color w:val="0000ff"/>
          <w:sz w:val="24"/>
          <w:szCs w:val="24"/>
          <w:highlight w:val="none"/>
          <w:lang w:val="en-US" w:eastAsia="zh-CN"/>
        </w:rPr>
        <w:t xml:space="preserve">9.4</w:t>
      </w:r>
      <w:r>
        <w:rPr>
          <w:rFonts w:hint="eastAsia" w:ascii="宋体" w:hAnsi="宋体" w:cs="Times New Roman"/>
          <w:bCs/>
          <w:color w:val="0000ff"/>
          <w:sz w:val="24"/>
          <w:szCs w:val="24"/>
          <w:highlight w:val="none"/>
        </w:rPr>
        <w:t xml:space="preserve">完工期：合同签订生效且收到采购人通知后30个日历天内到货并安装完毕。具体时间以合同为准。</w:t>
      </w:r>
      <w:r>
        <w:rPr>
          <w:rFonts w:ascii="宋体" w:hAnsi="Times New Roman" w:cs="Times New Roman"/>
          <w:bCs/>
          <w:color w:val="0000ff"/>
          <w:sz w:val="24"/>
          <w:szCs w:val="24"/>
          <w:highlight w:val="none"/>
        </w:rPr>
      </w:r>
      <w:r/>
    </w:p>
    <w:p>
      <w:pPr>
        <w:pStyle w:val="786"/>
        <w:numPr>
          <w:ilvl w:val="0"/>
          <w:numId w:val="0"/>
        </w:numPr>
        <w:ind w:firstLine="480"/>
        <w:spacing w:line="360" w:lineRule="auto"/>
        <w:tabs>
          <w:tab w:val="left" w:pos="1050" w:leader="none"/>
        </w:tabs>
        <w:rPr>
          <w:rFonts w:ascii="宋体" w:hAnsi="Times New Roman" w:cs="Times New Roman"/>
          <w:bCs/>
          <w:color w:val="0000ff"/>
          <w:sz w:val="24"/>
          <w:szCs w:val="24"/>
          <w:highlight w:val="none"/>
        </w:rPr>
      </w:pPr>
      <w:r>
        <w:rPr>
          <w:rFonts w:hint="eastAsia" w:ascii="宋体" w:hAnsi="Times New Roman" w:cs="Times New Roman"/>
          <w:bCs/>
          <w:color w:val="0000ff"/>
          <w:sz w:val="24"/>
          <w:szCs w:val="24"/>
          <w:highlight w:val="none"/>
          <w:lang w:val="en-US" w:eastAsia="zh-CN"/>
        </w:rPr>
        <w:t xml:space="preserve">9.5</w:t>
      </w:r>
      <w:r>
        <w:rPr>
          <w:rFonts w:hint="eastAsia" w:ascii="宋体" w:hAnsi="宋体" w:eastAsia="宋体" w:cs="宋体"/>
          <w:bCs/>
          <w:sz w:val="24"/>
          <w:highlight w:val="none"/>
        </w:rPr>
        <w:t xml:space="preserve">质保期：</w:t>
      </w: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年（自最终验收合格、交付使用之日起计算）。所投产品质保期内质量出现问题，供方应包退、包换、包修，费用由供方负责。</w:t>
      </w:r>
      <w:r>
        <w:rPr>
          <w:rFonts w:ascii="宋体" w:hAnsi="Times New Roman" w:cs="Times New Roman"/>
          <w:bCs/>
          <w:color w:val="0000ff"/>
          <w:sz w:val="24"/>
          <w:szCs w:val="24"/>
          <w:highlight w:val="none"/>
        </w:rPr>
      </w:r>
      <w:r/>
    </w:p>
    <w:p>
      <w:pPr>
        <w:pStyle w:val="786"/>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cs="Times New Roman"/>
          <w:bCs/>
          <w:color w:val="0000ff"/>
          <w:sz w:val="24"/>
          <w:szCs w:val="24"/>
          <w:highlight w:val="none"/>
        </w:rPr>
      </w:pPr>
      <w:r>
        <w:rPr>
          <w:rFonts w:hint="eastAsia" w:ascii="宋体" w:hAnsi="宋体" w:cs="Times New Roman"/>
          <w:bCs/>
          <w:color w:val="0000ff"/>
          <w:sz w:val="24"/>
          <w:szCs w:val="24"/>
          <w:highlight w:val="none"/>
          <w:lang w:val="en-US" w:eastAsia="zh-CN"/>
        </w:rPr>
        <w:t xml:space="preserve">9.6</w:t>
      </w:r>
      <w:r>
        <w:rPr>
          <w:rFonts w:hint="eastAsia" w:ascii="宋体" w:hAnsi="宋体" w:cs="Times New Roman"/>
          <w:bCs/>
          <w:color w:val="0000ff"/>
          <w:sz w:val="24"/>
          <w:szCs w:val="24"/>
          <w:highlight w:val="none"/>
        </w:rPr>
        <w:t xml:space="preserve">付款方式：合同签订生效后，预付合同总价的30%；货物安装调试结束，并经验收合格后支付至不超过合同执行价的70%；审计结束后付至合同审定价的97%；货物保修期满经项目使用单位确认保修质量和保修效果后，结清全部货物余款。</w:t>
      </w:r>
      <w:r>
        <w:rPr>
          <w:rFonts w:ascii="宋体" w:hAnsi="Times New Roman" w:cs="Times New Roman"/>
          <w:bCs/>
          <w:color w:val="0000ff"/>
          <w:sz w:val="24"/>
          <w:szCs w:val="24"/>
          <w:highlight w:val="none"/>
        </w:rPr>
      </w:r>
      <w:r/>
    </w:p>
    <w:p>
      <w:pPr>
        <w:pStyle w:val="786"/>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cs="Times New Roman"/>
          <w:bCs/>
          <w:color w:val="0000ff"/>
          <w:sz w:val="24"/>
          <w:szCs w:val="24"/>
          <w:highlight w:val="none"/>
        </w:rPr>
      </w:pPr>
      <w:r>
        <w:rPr>
          <w:rFonts w:hint="eastAsia" w:ascii="宋体" w:hAnsi="Times New Roman" w:cs="Times New Roman"/>
          <w:bCs/>
          <w:color w:val="0000ff"/>
          <w:sz w:val="24"/>
          <w:szCs w:val="24"/>
          <w:highlight w:val="none"/>
          <w:lang w:val="en-US" w:eastAsia="zh-CN"/>
        </w:rPr>
        <w:t xml:space="preserve">9.7</w:t>
      </w:r>
      <w:r>
        <w:rPr>
          <w:rFonts w:hint="eastAsia" w:ascii="宋体" w:hAnsi="Times New Roman" w:cs="Times New Roman"/>
          <w:bCs/>
          <w:color w:val="0000ff"/>
          <w:sz w:val="24"/>
          <w:szCs w:val="24"/>
          <w:highlight w:val="none"/>
        </w:rPr>
        <w:t xml:space="preserve">中标（成交）供应商以履约保函（保险）形式按签约合同价的10%提供履约担保。中标（成交）供应商可采用电子履约保函（保险）形式,具体操作可登录江苏政府采购网的保险保函模块进行办理。履约保证金需在中标通知书签发后15天内提供给采购人，15天内未提供的，中标供应商需向采购人支付5000元/天的违约金，在项目结算时扣除。</w:t>
      </w:r>
      <w:r>
        <w:rPr>
          <w:rFonts w:ascii="宋体" w:hAnsi="Times New Roman" w:cs="Times New Roman"/>
          <w:bCs/>
          <w:color w:val="0000ff"/>
          <w:sz w:val="24"/>
          <w:szCs w:val="24"/>
          <w:highlight w:val="none"/>
        </w:rPr>
      </w:r>
      <w:r/>
    </w:p>
    <w:p>
      <w:pPr>
        <w:pStyle w:val="786"/>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cs="Times New Roman"/>
          <w:bCs/>
          <w:color w:val="0000ff"/>
          <w:sz w:val="24"/>
          <w:szCs w:val="24"/>
          <w:highlight w:val="none"/>
        </w:rPr>
      </w:pPr>
      <w:r>
        <w:rPr>
          <w:rFonts w:hint="eastAsia" w:ascii="宋体" w:hAnsi="宋体" w:cs="Times New Roman"/>
          <w:bCs/>
          <w:color w:val="0000ff"/>
          <w:sz w:val="24"/>
          <w:szCs w:val="24"/>
          <w:highlight w:val="none"/>
          <w:lang w:val="en-US" w:eastAsia="zh-CN"/>
        </w:rPr>
        <w:t xml:space="preserve">9.8</w:t>
      </w:r>
      <w:r>
        <w:rPr>
          <w:rFonts w:hint="eastAsia" w:ascii="宋体" w:hAnsi="宋体" w:cs="Times New Roman"/>
          <w:bCs/>
          <w:color w:val="0000ff"/>
          <w:sz w:val="24"/>
          <w:szCs w:val="24"/>
          <w:highlight w:val="none"/>
        </w:rPr>
        <w:t xml:space="preserve">本项目合同履行地点：无锡市新吴区鸿山街道，至德大道与至礼路交叉口东南侧 ，具体地点以合同书约定为准。中标方必须按采购人要求将本项目中货物送到指定地点</w:t>
      </w:r>
      <w:r>
        <w:rPr>
          <w:rFonts w:ascii="宋体" w:hAnsi="宋体" w:cs="Times New Roman"/>
          <w:bCs/>
          <w:color w:val="0000ff"/>
          <w:sz w:val="24"/>
          <w:szCs w:val="24"/>
          <w:highlight w:val="none"/>
        </w:rPr>
        <w:t xml:space="preserve">(</w:t>
      </w:r>
      <w:r>
        <w:rPr>
          <w:rFonts w:hint="eastAsia" w:ascii="宋体" w:hAnsi="宋体" w:cs="Times New Roman"/>
          <w:bCs/>
          <w:color w:val="0000ff"/>
          <w:sz w:val="24"/>
          <w:szCs w:val="24"/>
          <w:highlight w:val="none"/>
        </w:rPr>
        <w:t xml:space="preserve">包括可能的分布范围</w:t>
      </w:r>
      <w:r>
        <w:rPr>
          <w:rFonts w:ascii="宋体" w:hAnsi="宋体" w:cs="Times New Roman"/>
          <w:bCs/>
          <w:color w:val="0000ff"/>
          <w:sz w:val="24"/>
          <w:szCs w:val="24"/>
          <w:highlight w:val="none"/>
        </w:rPr>
        <w:t xml:space="preserve">)</w:t>
      </w:r>
      <w:r>
        <w:rPr>
          <w:rFonts w:hint="eastAsia" w:ascii="宋体" w:hAnsi="宋体" w:cs="Times New Roman"/>
          <w:bCs/>
          <w:color w:val="0000ff"/>
          <w:sz w:val="24"/>
          <w:szCs w:val="24"/>
          <w:highlight w:val="none"/>
        </w:rPr>
        <w:t xml:space="preserve">，并分地实施安装调试。</w:t>
      </w:r>
      <w:r>
        <w:rPr>
          <w:rFonts w:ascii="宋体" w:hAnsi="Times New Roman" w:cs="Times New Roman"/>
          <w:bCs/>
          <w:color w:val="0000ff"/>
          <w:sz w:val="24"/>
          <w:szCs w:val="24"/>
          <w:highlight w:val="none"/>
        </w:rPr>
      </w:r>
      <w:r/>
    </w:p>
    <w:p>
      <w:pPr>
        <w:pStyle w:val="786"/>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cs="Times New Roman"/>
          <w:bCs/>
          <w:sz w:val="24"/>
          <w:szCs w:val="24"/>
          <w:highlight w:val="none"/>
        </w:rPr>
      </w:pPr>
      <w:r>
        <w:rPr>
          <w:rFonts w:hint="eastAsia" w:ascii="宋体" w:hAnsi="宋体" w:cs="Times New Roman"/>
          <w:bCs/>
          <w:color w:val="000000"/>
          <w:sz w:val="24"/>
          <w:szCs w:val="24"/>
          <w:highlight w:val="none"/>
          <w:lang w:val="en-US" w:eastAsia="zh-CN"/>
        </w:rPr>
        <w:t xml:space="preserve">9.10</w:t>
      </w:r>
      <w:r>
        <w:rPr>
          <w:rFonts w:hint="eastAsia" w:ascii="宋体" w:hAnsi="宋体" w:cs="Times New Roman"/>
          <w:bCs/>
          <w:color w:val="000000"/>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cs="Times New Roman"/>
          <w:bCs/>
          <w:sz w:val="24"/>
          <w:szCs w:val="24"/>
          <w:highlight w:val="none"/>
        </w:rPr>
        <w:t xml:space="preserve">担。政府向社会公众提供的公共服务项目，验收时应当邀请服务对象参与并出具意见，验收结果应当向社会公告。</w:t>
      </w:r>
      <w:r>
        <w:rPr>
          <w:rFonts w:hint="eastAsia" w:ascii="Times New Roman" w:hAnsi="Times New Roman" w:cs="Times New Roman"/>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Times New Roman" w:cs="Times New Roman"/>
          <w:bCs/>
          <w:sz w:val="24"/>
          <w:szCs w:val="24"/>
          <w:highlight w:val="none"/>
        </w:rPr>
      </w:r>
      <w:r/>
    </w:p>
    <w:p>
      <w:pPr>
        <w:pStyle w:val="786"/>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Times New Roman" w:cs="Times New Roman"/>
          <w:bCs/>
          <w:sz w:val="24"/>
          <w:szCs w:val="24"/>
          <w:highlight w:val="none"/>
        </w:rPr>
      </w:pPr>
      <w:r>
        <w:rPr>
          <w:rFonts w:hint="eastAsia" w:ascii="宋体" w:hAnsi="Times New Roman" w:cs="Times New Roman"/>
          <w:bCs/>
          <w:color w:val="000000"/>
          <w:sz w:val="24"/>
          <w:szCs w:val="24"/>
          <w:highlight w:val="none"/>
          <w:lang w:val="en-US" w:eastAsia="zh-CN"/>
        </w:rPr>
        <w:t xml:space="preserve">9.11</w:t>
      </w:r>
      <w:r>
        <w:rPr>
          <w:rFonts w:hint="eastAsia" w:ascii="宋体" w:hAnsi="Times New Roman" w:cs="Times New Roman"/>
          <w:bCs/>
          <w:color w:val="000000"/>
          <w:sz w:val="24"/>
          <w:szCs w:val="24"/>
          <w:highlight w:val="none"/>
        </w:rPr>
        <w:t xml:space="preserve">根据《关于推</w:t>
      </w:r>
      <w:r>
        <w:rPr>
          <w:rFonts w:hint="eastAsia" w:ascii="宋体" w:hAnsi="Times New Roman" w:cs="Times New Roman"/>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hAnsi="Times New Roman" w:cs="Times New Roman"/>
          <w:bCs/>
          <w:sz w:val="24"/>
          <w:szCs w:val="24"/>
          <w:highlight w:val="none"/>
        </w:rPr>
      </w:r>
      <w:r/>
    </w:p>
    <w:p>
      <w:pPr>
        <w:pStyle w:val="786"/>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Times New Roman" w:cs="Times New Roman"/>
          <w:bCs/>
          <w:sz w:val="24"/>
          <w:szCs w:val="24"/>
          <w:highlight w:val="none"/>
        </w:rPr>
      </w:pPr>
      <w:r>
        <w:rPr>
          <w:rFonts w:hint="eastAsia" w:ascii="宋体" w:hAnsi="宋体" w:cs="Times New Roman"/>
          <w:bCs/>
          <w:sz w:val="24"/>
          <w:highlight w:val="none"/>
          <w:lang w:val="en-US" w:eastAsia="zh-CN"/>
        </w:rPr>
        <w:t xml:space="preserve">9.12</w:t>
      </w:r>
      <w:r>
        <w:rPr>
          <w:rFonts w:hint="eastAsia" w:ascii="宋体" w:hAnsi="宋体" w:cs="Times New Roman"/>
          <w:bCs/>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Times New Roman" w:cs="Times New Roman"/>
          <w:bCs/>
          <w:sz w:val="24"/>
          <w:szCs w:val="24"/>
          <w:highlight w:val="none"/>
        </w:rPr>
      </w:r>
      <w:r/>
    </w:p>
    <w:p>
      <w:pPr>
        <w:pStyle w:val="786"/>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Times New Roman" w:cs="Times New Roman"/>
          <w:bCs/>
          <w:sz w:val="24"/>
          <w:szCs w:val="24"/>
          <w:highlight w:val="none"/>
        </w:rPr>
      </w:pPr>
      <w:r>
        <w:rPr>
          <w:rFonts w:hint="eastAsia" w:ascii="宋体" w:hAnsi="Times New Roman" w:cs="Times New Roman"/>
          <w:bCs/>
          <w:sz w:val="24"/>
          <w:szCs w:val="24"/>
          <w:highlight w:val="none"/>
          <w:lang w:val="en-US" w:eastAsia="zh-CN"/>
        </w:rPr>
        <w:t xml:space="preserve">9.13</w:t>
      </w:r>
      <w:r>
        <w:rPr>
          <w:rFonts w:hint="eastAsia" w:ascii="宋体" w:hAnsi="Times New Roman" w:cs="Times New Roman"/>
          <w:bCs/>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Times New Roman" w:cs="Times New Roman"/>
          <w:bCs/>
          <w:sz w:val="24"/>
          <w:szCs w:val="24"/>
          <w:highlight w:val="none"/>
        </w:rPr>
      </w:r>
      <w:r/>
    </w:p>
    <w:p>
      <w:pPr>
        <w:pStyle w:val="786"/>
        <w:numPr>
          <w:ilvl w:val="0"/>
          <w:numId w:val="0"/>
        </w:numPr>
        <w:ind w:firstLine="480"/>
        <w:spacing w:line="360" w:lineRule="auto"/>
        <w:tabs>
          <w:tab w:val="left" w:pos="525" w:leader="none"/>
          <w:tab w:val="left" w:pos="630" w:leader="none"/>
          <w:tab w:val="left" w:pos="735" w:leader="none"/>
          <w:tab w:val="left" w:pos="945" w:leader="none"/>
        </w:tabs>
        <w:rPr>
          <w:rFonts w:ascii="宋体" w:hAnsi="宋体" w:cs="Times New Roman"/>
          <w:bCs/>
          <w:sz w:val="24"/>
          <w:highlight w:val="none"/>
        </w:rPr>
      </w:pPr>
      <w:r>
        <w:rPr>
          <w:rFonts w:hint="eastAsia" w:ascii="宋体" w:hAnsi="宋体" w:cs="Times New Roman"/>
          <w:bCs/>
          <w:sz w:val="24"/>
          <w:highlight w:val="none"/>
          <w:lang w:val="en-US" w:eastAsia="zh-CN"/>
        </w:rPr>
        <w:t xml:space="preserve">9.14</w:t>
      </w:r>
      <w:r>
        <w:rPr>
          <w:rFonts w:hint="eastAsia" w:ascii="宋体" w:hAnsi="宋体" w:cs="Times New Roman"/>
          <w:bCs/>
          <w:sz w:val="24"/>
          <w:highlight w:val="none"/>
        </w:rPr>
        <w:t xml:space="preserve">开标后，投标人须自行准备设备（包括但不限于笔记本电脑、无线网络）登录</w:t>
      </w:r>
      <w:r>
        <w:rPr>
          <w:rFonts w:hint="eastAsia" w:ascii="宋体" w:hAnsi="宋体" w:cs="Times New Roman"/>
          <w:bCs/>
          <w:sz w:val="24"/>
          <w:szCs w:val="24"/>
          <w:highlight w:val="none"/>
        </w:rPr>
        <w:t xml:space="preserve">“苏采云”系统</w:t>
      </w:r>
      <w:r>
        <w:rPr>
          <w:rFonts w:hint="eastAsia" w:ascii="宋体" w:hAnsi="宋体" w:cs="Times New Roman"/>
          <w:bCs/>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cs="Times New Roman"/>
          <w:bCs/>
          <w:sz w:val="24"/>
          <w:highlight w:val="none"/>
        </w:rPr>
      </w:r>
      <w:r/>
    </w:p>
    <w:p>
      <w:pPr>
        <w:pStyle w:val="786"/>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sz w:val="30"/>
          <w:szCs w:val="30"/>
          <w:highlight w:val="none"/>
        </w:rPr>
      </w:pPr>
      <w:r>
        <w:rPr>
          <w:rFonts w:hint="eastAsia" w:ascii="宋体" w:hAnsi="宋体" w:eastAsia="宋体" w:cs="宋体"/>
          <w:bCs/>
          <w:sz w:val="24"/>
          <w:highlight w:val="none"/>
        </w:rPr>
        <w:br w:type="page" w:clear="all"/>
      </w:r>
      <w:r>
        <w:rPr>
          <w:rFonts w:hint="eastAsia" w:ascii="宋体" w:hAnsi="宋体" w:eastAsia="宋体" w:cs="宋体"/>
          <w:b/>
          <w:sz w:val="30"/>
          <w:szCs w:val="30"/>
          <w:highlight w:val="none"/>
        </w:rPr>
        <w:t xml:space="preserve">第三部分  政府采购政策（包括但不限于下列具体政策要求）</w:t>
      </w:r>
      <w:r>
        <w:rPr>
          <w:rFonts w:hint="eastAsia" w:ascii="宋体" w:hAnsi="宋体" w:eastAsia="宋体" w:cs="宋体"/>
          <w:b/>
          <w:bCs/>
          <w:sz w:val="30"/>
          <w:szCs w:val="30"/>
          <w:highlight w:val="none"/>
        </w:rPr>
      </w:r>
      <w:r/>
    </w:p>
    <w:p>
      <w:pPr>
        <w:pStyle w:val="786"/>
        <w:numPr>
          <w:ilvl w:val="1"/>
          <w:numId w:val="8"/>
        </w:numPr>
        <w:ind w:left="0" w:firstLine="525"/>
        <w:spacing w:line="360" w:lineRule="auto"/>
        <w:tabs>
          <w:tab w:val="left" w:pos="525" w:leader="none"/>
          <w:tab w:val="left" w:pos="78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本项目中如有</w:t>
      </w:r>
      <w:r>
        <w:rPr>
          <w:rFonts w:hint="eastAsia" w:ascii="宋体" w:hAnsi="宋体" w:eastAsia="宋体" w:cs="宋体"/>
          <w:bCs/>
          <w:sz w:val="24"/>
          <w:szCs w:val="24"/>
          <w:highlight w:val="none"/>
          <w:lang w:eastAsia="zh-CN"/>
        </w:rPr>
        <w:t xml:space="preserve">涉及</w:t>
      </w:r>
      <w:r>
        <w:rPr>
          <w:rFonts w:hint="eastAsia" w:ascii="宋体" w:hAnsi="宋体" w:eastAsia="宋体" w:cs="宋体"/>
          <w:bCs/>
          <w:sz w:val="24"/>
          <w:szCs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宋体"/>
          <w:bCs/>
          <w:sz w:val="24"/>
          <w:szCs w:val="24"/>
          <w:highlight w:val="none"/>
        </w:rPr>
      </w:r>
      <w:r/>
    </w:p>
    <w:p>
      <w:pPr>
        <w:pStyle w:val="786"/>
        <w:numPr>
          <w:ilvl w:val="1"/>
          <w:numId w:val="9"/>
        </w:numPr>
        <w:ind w:left="0" w:firstLine="525"/>
        <w:spacing w:line="360" w:lineRule="auto"/>
        <w:tabs>
          <w:tab w:val="left" w:pos="525" w:leader="none"/>
          <w:tab w:val="left" w:pos="78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eastAsia="宋体" w:cs="宋体"/>
          <w:bCs/>
          <w:sz w:val="24"/>
          <w:szCs w:val="24"/>
          <w:highlight w:val="none"/>
        </w:rPr>
      </w:r>
      <w:r/>
    </w:p>
    <w:p>
      <w:pPr>
        <w:pStyle w:val="786"/>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采购产品属于《节能产品政府采购品目清单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hAnsi="宋体" w:eastAsia="宋体" w:cs="宋体"/>
          <w:bCs/>
          <w:sz w:val="24"/>
          <w:szCs w:val="24"/>
          <w:highlight w:val="none"/>
        </w:rPr>
      </w:r>
      <w:r/>
    </w:p>
    <w:p>
      <w:pPr>
        <w:pStyle w:val="786"/>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认证机构详见</w:t>
      </w:r>
      <w:r>
        <w:rPr>
          <w:rFonts w:hint="eastAsia" w:ascii="宋体" w:hAnsi="宋体" w:eastAsia="宋体" w:cs="宋体"/>
          <w:bCs/>
          <w:sz w:val="24"/>
          <w:szCs w:val="24"/>
          <w:highlight w:val="none"/>
          <w:lang w:eastAsia="zh-CN"/>
        </w:rPr>
        <w:t xml:space="preserve">国家市场监督管理总局</w:t>
      </w:r>
      <w:r>
        <w:rPr>
          <w:rFonts w:hint="eastAsia" w:ascii="宋体" w:hAnsi="宋体" w:eastAsia="宋体" w:cs="宋体"/>
          <w:bCs/>
          <w:sz w:val="24"/>
          <w:szCs w:val="24"/>
          <w:highlight w:val="none"/>
        </w:rPr>
        <w:t xml:space="preserve">发布的《参与实施政府采购节能产品认证机构名录》和《参与实施政府采购环境标志产品认证机构名录》。</w:t>
      </w:r>
      <w:r>
        <w:rPr>
          <w:rFonts w:hint="eastAsia" w:ascii="宋体" w:hAnsi="宋体" w:eastAsia="宋体" w:cs="宋体"/>
          <w:bCs/>
          <w:sz w:val="24"/>
          <w:szCs w:val="24"/>
          <w:highlight w:val="none"/>
        </w:rPr>
      </w:r>
      <w:r/>
    </w:p>
    <w:p>
      <w:pPr>
        <w:pStyle w:val="786"/>
        <w:numPr>
          <w:ilvl w:val="1"/>
          <w:numId w:val="9"/>
        </w:numPr>
        <w:ind w:left="0" w:firstLine="525"/>
        <w:spacing w:line="360" w:lineRule="auto"/>
        <w:tabs>
          <w:tab w:val="left" w:pos="525" w:leader="none"/>
          <w:tab w:val="left" w:pos="780"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本项目中如有涉及采购数据中心相关设备、运维服务的，应当</w:t>
      </w:r>
      <w:r>
        <w:rPr>
          <w:rFonts w:hint="eastAsia" w:ascii="宋体" w:hAnsi="宋体" w:eastAsia="宋体" w:cs="宋体"/>
          <w:sz w:val="24"/>
          <w:szCs w:val="24"/>
          <w:highlight w:val="none"/>
          <w:lang w:eastAsia="zh-CN"/>
        </w:rPr>
        <w:t xml:space="preserve">按照</w:t>
      </w:r>
      <w:r>
        <w:rPr>
          <w:rFonts w:hint="eastAsia" w:ascii="宋体" w:hAnsi="宋体" w:eastAsia="宋体" w:cs="宋体"/>
          <w:sz w:val="24"/>
          <w:szCs w:val="24"/>
          <w:highlight w:val="none"/>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宋体"/>
          <w:bCs/>
          <w:sz w:val="24"/>
          <w:szCs w:val="24"/>
          <w:highlight w:val="none"/>
        </w:rPr>
      </w:r>
      <w:r/>
    </w:p>
    <w:p>
      <w:pPr>
        <w:pStyle w:val="786"/>
        <w:numPr>
          <w:ilvl w:val="1"/>
          <w:numId w:val="9"/>
        </w:numPr>
        <w:ind w:left="0" w:firstLine="525"/>
        <w:spacing w:line="360" w:lineRule="auto"/>
        <w:tabs>
          <w:tab w:val="left" w:pos="525" w:leader="none"/>
          <w:tab w:val="left" w:pos="780"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有关中小企业政策，如</w:t>
      </w:r>
      <w:r>
        <w:rPr>
          <w:rFonts w:hint="eastAsia" w:ascii="宋体" w:hAnsi="宋体" w:eastAsia="宋体" w:cs="宋体"/>
          <w:sz w:val="24"/>
          <w:szCs w:val="24"/>
          <w:highlight w:val="none"/>
        </w:rPr>
        <w:t xml:space="preserve">落实政府采购政策需满足的资格要求以及落实政府采购政策的价格调整的相关内容可详见本文件其他章节。</w:t>
      </w:r>
      <w:r>
        <w:rPr>
          <w:rFonts w:hint="eastAsia" w:ascii="宋体" w:hAnsi="宋体" w:eastAsia="宋体" w:cs="宋体"/>
          <w:sz w:val="24"/>
          <w:szCs w:val="24"/>
          <w:highlight w:val="none"/>
        </w:rPr>
      </w:r>
      <w:r/>
    </w:p>
    <w:p>
      <w:pPr>
        <w:pStyle w:val="786"/>
        <w:numPr>
          <w:ilvl w:val="1"/>
          <w:numId w:val="9"/>
        </w:numPr>
        <w:ind w:left="0" w:firstLine="525"/>
        <w:spacing w:line="360" w:lineRule="auto"/>
        <w:tabs>
          <w:tab w:val="left" w:pos="525" w:leader="none"/>
          <w:tab w:val="left" w:pos="780"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中标、成交供应商可采用合同融资形式，中标人可凭政府采购合同办理融资贷款，详见政府采购网“政采贷”专栏。</w:t>
      </w:r>
      <w:r>
        <w:rPr>
          <w:rFonts w:hint="eastAsia" w:ascii="宋体" w:hAnsi="宋体" w:eastAsia="宋体" w:cs="宋体"/>
          <w:sz w:val="24"/>
          <w:szCs w:val="24"/>
          <w:highlight w:val="none"/>
        </w:rPr>
      </w:r>
      <w:r/>
    </w:p>
    <w:p>
      <w:pPr>
        <w:pStyle w:val="786"/>
        <w:numPr>
          <w:ilvl w:val="1"/>
          <w:numId w:val="9"/>
        </w:numPr>
        <w:ind w:left="0" w:firstLine="525"/>
        <w:spacing w:line="360" w:lineRule="auto"/>
        <w:tabs>
          <w:tab w:val="left" w:pos="525" w:leader="none"/>
          <w:tab w:val="left" w:pos="780"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 中标、成交供应商以保函形式缴纳履约保证金；供应商未按政府采购合同履行约定义务而应实际支付保证金的，由专业担保机构按照担保函约定履行担保责任。</w:t>
      </w:r>
      <w:r>
        <w:rPr>
          <w:rFonts w:hint="eastAsia" w:ascii="宋体" w:hAnsi="宋体" w:eastAsia="宋体" w:cs="宋体"/>
          <w:sz w:val="24"/>
          <w:szCs w:val="24"/>
          <w:highlight w:val="none"/>
        </w:rPr>
      </w:r>
      <w:r/>
    </w:p>
    <w:p>
      <w:pPr>
        <w:pStyle w:val="786"/>
        <w:ind w:firstLine="480"/>
        <w:spacing w:line="520" w:lineRule="exact"/>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中标、成交供应商可以采用电子履约保函形式，具体操作可登录江</w:t>
      </w:r>
      <w:r>
        <w:rPr>
          <w:rFonts w:hint="eastAsia" w:ascii="宋体" w:hAnsi="宋体" w:eastAsia="宋体" w:cs="宋体"/>
          <w:bCs/>
          <w:sz w:val="24"/>
          <w:szCs w:val="24"/>
          <w:highlight w:val="none"/>
          <w:lang w:eastAsia="zh-CN"/>
        </w:rPr>
        <w:t xml:space="preserve">苏省</w:t>
      </w:r>
      <w:r>
        <w:rPr>
          <w:rFonts w:hint="eastAsia" w:ascii="宋体" w:hAnsi="宋体" w:eastAsia="宋体" w:cs="宋体"/>
          <w:bCs/>
          <w:sz w:val="24"/>
          <w:szCs w:val="24"/>
          <w:highlight w:val="none"/>
        </w:rPr>
        <w:t xml:space="preserve">政府采购网的保险保函模块进行办理，也可通过无锡市政府采购网、“苏采云”系统链接访问（首次使用需注册）。</w:t>
      </w:r>
      <w:r>
        <w:rPr>
          <w:rFonts w:hint="eastAsia" w:ascii="宋体" w:hAnsi="宋体" w:eastAsia="宋体" w:cs="宋体"/>
          <w:bCs/>
          <w:sz w:val="24"/>
          <w:szCs w:val="24"/>
          <w:highlight w:val="none"/>
        </w:rPr>
      </w:r>
      <w:r/>
    </w:p>
    <w:p>
      <w:pPr>
        <w:pStyle w:val="786"/>
        <w:numPr>
          <w:ilvl w:val="1"/>
          <w:numId w:val="9"/>
        </w:numPr>
        <w:ind w:left="0" w:firstLine="480"/>
        <w:spacing w:line="360" w:lineRule="auto"/>
        <w:tabs>
          <w:tab w:val="left" w:pos="525" w:leader="none"/>
          <w:tab w:val="left" w:pos="780"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sz w:val="24"/>
          <w:szCs w:val="24"/>
          <w:highlight w:val="none"/>
        </w:rPr>
        <w:t xml:space="preserve">采购人可在合同中约定，</w:t>
      </w:r>
      <w:r>
        <w:rPr>
          <w:rFonts w:hint="eastAsia" w:ascii="宋体" w:hAnsi="宋体" w:eastAsia="宋体" w:cs="宋体"/>
          <w:sz w:val="24"/>
          <w:szCs w:val="24"/>
          <w:highlight w:val="none"/>
        </w:rPr>
        <w:t xml:space="preserve">在</w:t>
      </w:r>
      <w:r>
        <w:rPr>
          <w:rFonts w:hint="eastAsia" w:ascii="宋体" w:hAnsi="宋体" w:eastAsia="宋体" w:cs="宋体"/>
          <w:bCs/>
          <w:sz w:val="24"/>
          <w:szCs w:val="24"/>
          <w:highlight w:val="none"/>
        </w:rPr>
        <w:t xml:space="preserve">履约验收管理时，可对所提供的七种软硬件进行验收，必要时可以委托依法取得检测、认证资质的机构进行检测、认证。</w:t>
      </w:r>
      <w:r>
        <w:rPr>
          <w:rFonts w:hint="eastAsia" w:ascii="宋体" w:hAnsi="宋体" w:eastAsia="宋体" w:cs="宋体"/>
          <w:bCs/>
          <w:sz w:val="24"/>
          <w:szCs w:val="24"/>
          <w:highlight w:val="none"/>
        </w:rPr>
      </w:r>
      <w:r/>
    </w:p>
    <w:p>
      <w:pPr>
        <w:pStyle w:val="786"/>
        <w:numPr>
          <w:ilvl w:val="1"/>
          <w:numId w:val="9"/>
        </w:numPr>
        <w:ind w:left="0" w:firstLine="480"/>
        <w:spacing w:line="360" w:lineRule="auto"/>
        <w:tabs>
          <w:tab w:val="left" w:pos="525" w:leader="none"/>
          <w:tab w:val="left" w:pos="780"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eastAsia="宋体" w:cs="宋体"/>
          <w:bCs/>
          <w:sz w:val="24"/>
          <w:szCs w:val="24"/>
          <w:highlight w:val="none"/>
        </w:rPr>
      </w:r>
      <w:r/>
    </w:p>
    <w:p>
      <w:pPr>
        <w:pStyle w:val="786"/>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宋体"/>
          <w:bCs/>
          <w:sz w:val="24"/>
          <w:szCs w:val="24"/>
          <w:highlight w:val="none"/>
        </w:rPr>
      </w:r>
      <w:r/>
    </w:p>
    <w:p>
      <w:pPr>
        <w:pStyle w:val="786"/>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
        </w:rPr>
      </w:pPr>
      <w:r>
        <w:rPr>
          <w:rFonts w:hint="eastAsia" w:ascii="宋体" w:hAnsi="宋体" w:eastAsia="宋体" w:cs="宋体"/>
          <w:bCs/>
          <w:sz w:val="24"/>
          <w:szCs w:val="24"/>
          <w:highlight w:val="none"/>
          <w:lang w:val="en"/>
        </w:rPr>
        <w:t xml:space="preserve">采购人原则上应当自收到发票后10个工作日内将资金支付到合同约定的供应商账户。</w:t>
      </w:r>
      <w:r>
        <w:rPr>
          <w:rFonts w:hint="eastAsia" w:ascii="宋体" w:hAnsi="宋体" w:eastAsia="宋体" w:cs="宋体"/>
          <w:bCs/>
          <w:sz w:val="24"/>
          <w:szCs w:val="24"/>
          <w:highlight w:val="none"/>
          <w:lang w:val="en"/>
        </w:rPr>
      </w:r>
      <w:r/>
    </w:p>
    <w:p>
      <w:pPr>
        <w:pStyle w:val="786"/>
        <w:numPr>
          <w:ilvl w:val="0"/>
          <w:numId w:val="0"/>
        </w:numPr>
        <w:ind w:firstLine="480"/>
        <w:spacing w:line="360" w:lineRule="auto"/>
        <w:tabs>
          <w:tab w:val="left" w:pos="525" w:leader="none"/>
          <w:tab w:val="left" w:pos="945" w:leader="none"/>
        </w:tabs>
        <w:rPr>
          <w:rFonts w:hint="eastAsia" w:ascii="宋体" w:hAnsi="Times New Roman" w:cs="Times New Roman"/>
          <w:bCs/>
          <w:sz w:val="24"/>
          <w:szCs w:val="24"/>
          <w:highlight w:val="none"/>
        </w:rPr>
      </w:pPr>
      <w:r>
        <w:rPr>
          <w:rFonts w:hint="eastAsia" w:ascii="宋体" w:hAnsi="Times New Roman" w:cs="Times New Roman"/>
          <w:bCs/>
          <w:sz w:val="24"/>
          <w:szCs w:val="24"/>
          <w:highlight w:val="none"/>
          <w:lang w:val="en-US" w:eastAsia="zh-CN"/>
        </w:rPr>
        <w:t xml:space="preserve">8.</w:t>
      </w:r>
      <w:r>
        <w:rPr>
          <w:rFonts w:hint="eastAsia" w:ascii="宋体" w:hAnsi="Times New Roman" w:cs="Times New Roman"/>
          <w:bCs/>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hAnsi="Times New Roman" w:cs="Times New Roman"/>
          <w:bCs/>
          <w:sz w:val="24"/>
          <w:szCs w:val="24"/>
          <w:highlight w:val="none"/>
        </w:rPr>
      </w:r>
      <w:r/>
    </w:p>
    <w:p>
      <w:pPr>
        <w:pStyle w:val="786"/>
        <w:numPr>
          <w:ilvl w:val="0"/>
          <w:numId w:val="0"/>
        </w:numPr>
        <w:ind w:firstLine="480"/>
        <w:spacing w:line="360" w:lineRule="auto"/>
        <w:tabs>
          <w:tab w:val="left" w:pos="525" w:leader="none"/>
          <w:tab w:val="left" w:pos="945" w:leader="none"/>
        </w:tabs>
        <w:rPr>
          <w:rFonts w:hint="eastAsia" w:ascii="宋体" w:hAnsi="Times New Roman" w:cs="Times New Roman"/>
          <w:bCs/>
          <w:sz w:val="24"/>
          <w:szCs w:val="24"/>
          <w:highlight w:val="none"/>
        </w:rPr>
      </w:pPr>
      <w:r>
        <w:rPr>
          <w:rFonts w:hint="eastAsia" w:ascii="宋体" w:hAnsi="Times New Roman" w:cs="Times New Roman"/>
          <w:bCs/>
          <w:sz w:val="24"/>
          <w:szCs w:val="24"/>
          <w:highlight w:val="none"/>
          <w:lang w:val="en-US" w:eastAsia="zh-CN"/>
        </w:rPr>
        <w:t xml:space="preserve">9.</w:t>
      </w:r>
      <w:r>
        <w:rPr>
          <w:rFonts w:hint="eastAsia" w:ascii="宋体" w:hAnsi="Times New Roman" w:cs="Times New Roman"/>
          <w:bCs/>
          <w:sz w:val="24"/>
          <w:szCs w:val="24"/>
          <w:highlight w:val="none"/>
        </w:rPr>
        <w:t xml:space="preserve">根据</w:t>
      </w:r>
      <w:bookmarkStart w:id="199" w:name="OLE_LINK2"/>
      <w:r/>
      <w:bookmarkStart w:id="200" w:name="OLE_LINK1"/>
      <w:r>
        <w:rPr>
          <w:rFonts w:hint="eastAsia" w:ascii="宋体" w:hAnsi="Times New Roman" w:cs="Times New Roman"/>
          <w:bCs/>
          <w:sz w:val="24"/>
          <w:szCs w:val="24"/>
          <w:highlight w:val="none"/>
        </w:rPr>
        <w:t xml:space="preserve">《保障中小企业款项支付条例》（中华人民共和国国务院令第802号）</w:t>
      </w:r>
      <w:bookmarkEnd w:id="199"/>
      <w:r/>
      <w:bookmarkEnd w:id="200"/>
      <w:r>
        <w:rPr>
          <w:rFonts w:hint="eastAsia" w:ascii="宋体" w:hAnsi="Times New Roman" w:cs="Times New Roman"/>
          <w:bCs/>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hAnsi="Times New Roman" w:cs="Times New Roman"/>
          <w:bCs/>
          <w:sz w:val="24"/>
          <w:szCs w:val="24"/>
          <w:highlight w:val="none"/>
        </w:rPr>
      </w:r>
      <w:r/>
    </w:p>
    <w:p>
      <w:pPr>
        <w:pStyle w:val="786"/>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hAnsi="Times New Roman" w:cs="Times New Roman"/>
          <w:bCs/>
          <w:sz w:val="24"/>
          <w:szCs w:val="24"/>
          <w:highlight w:val="none"/>
          <w:lang w:val="en"/>
        </w:rPr>
      </w:r>
      <w:r/>
    </w:p>
    <w:p>
      <w:pPr>
        <w:pStyle w:val="786"/>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中小企业应当依法经营，诚实守信，按照合同约定提供合格的货物、工程和服务。</w:t>
      </w:r>
      <w:r>
        <w:rPr>
          <w:rFonts w:hint="eastAsia" w:ascii="宋体" w:hAnsi="Times New Roman" w:cs="Times New Roman"/>
          <w:bCs/>
          <w:sz w:val="24"/>
          <w:szCs w:val="24"/>
          <w:highlight w:val="none"/>
          <w:lang w:val="en"/>
        </w:rPr>
      </w:r>
      <w:r/>
    </w:p>
    <w:p>
      <w:pPr>
        <w:pStyle w:val="786"/>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hAnsi="Times New Roman" w:cs="Times New Roman"/>
          <w:bCs/>
          <w:sz w:val="24"/>
          <w:szCs w:val="24"/>
          <w:highlight w:val="none"/>
          <w:lang w:val="en"/>
        </w:rPr>
      </w:r>
      <w:r/>
    </w:p>
    <w:p>
      <w:pPr>
        <w:pStyle w:val="786"/>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1</w:t>
      </w:r>
      <w:r>
        <w:rPr>
          <w:rFonts w:hint="eastAsia" w:ascii="宋体" w:hAnsi="Times New Roman" w:cs="Times New Roman"/>
          <w:bCs/>
          <w:sz w:val="24"/>
          <w:szCs w:val="24"/>
          <w:highlight w:val="none"/>
          <w:lang w:val="en-US" w:eastAsia="zh-CN"/>
        </w:rPr>
        <w:t xml:space="preserve">0</w:t>
      </w:r>
      <w:r>
        <w:rPr>
          <w:rFonts w:hint="eastAsia" w:ascii="宋体" w:hAnsi="Times New Roman" w:cs="Times New Roman"/>
          <w:bCs/>
          <w:sz w:val="24"/>
          <w:szCs w:val="24"/>
          <w:highlight w:val="none"/>
          <w:lang w:val="en"/>
        </w:rPr>
        <w:t xml:space="preserve">.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hAnsi="Times New Roman" w:cs="Times New Roman"/>
          <w:bCs/>
          <w:sz w:val="24"/>
          <w:szCs w:val="24"/>
          <w:highlight w:val="none"/>
          <w:lang w:val="en"/>
        </w:rPr>
      </w:r>
      <w:r/>
    </w:p>
    <w:p>
      <w:pPr>
        <w:pStyle w:val="786"/>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1</w:t>
      </w:r>
      <w:r>
        <w:rPr>
          <w:rFonts w:hint="eastAsia" w:ascii="宋体" w:hAnsi="Times New Roman" w:cs="Times New Roman"/>
          <w:bCs/>
          <w:sz w:val="24"/>
          <w:szCs w:val="24"/>
          <w:highlight w:val="none"/>
          <w:lang w:val="en-US" w:eastAsia="zh-CN"/>
        </w:rPr>
        <w:t xml:space="preserve">1</w:t>
      </w:r>
      <w:r>
        <w:rPr>
          <w:rFonts w:hint="eastAsia" w:ascii="宋体" w:hAnsi="Times New Roman" w:cs="Times New Roman"/>
          <w:bCs/>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hAnsi="Times New Roman" w:cs="Times New Roman"/>
          <w:bCs/>
          <w:sz w:val="24"/>
          <w:szCs w:val="24"/>
          <w:highlight w:val="none"/>
          <w:lang w:val="en"/>
        </w:rPr>
      </w:r>
      <w:r/>
    </w:p>
    <w:p>
      <w:pPr>
        <w:pStyle w:val="786"/>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36"/>
          <w:szCs w:val="36"/>
          <w:highlight w:val="none"/>
        </w:rPr>
      </w:pPr>
      <w:r>
        <w:rPr>
          <w:rFonts w:hint="eastAsia" w:ascii="宋体" w:hAnsi="Times New Roman" w:cs="Times New Roman"/>
          <w:bCs/>
          <w:sz w:val="24"/>
          <w:szCs w:val="24"/>
          <w:highlight w:val="none"/>
          <w:lang w:val="en"/>
        </w:rPr>
        <w:br w:type="page" w:clear="all"/>
      </w:r>
      <w:bookmarkStart w:id="201" w:name="_Toc14501"/>
      <w:r/>
      <w:bookmarkStart w:id="202" w:name="_Toc120614281"/>
      <w:r>
        <w:rPr>
          <w:rFonts w:hint="eastAsia" w:ascii="宋体" w:hAnsi="宋体" w:eastAsia="宋体" w:cs="宋体"/>
          <w:bCs/>
          <w:sz w:val="36"/>
          <w:szCs w:val="36"/>
          <w:highlight w:val="none"/>
        </w:rPr>
        <w:t xml:space="preserve">第五章  </w:t>
      </w:r>
      <w:r>
        <w:rPr>
          <w:rFonts w:hint="eastAsia" w:ascii="宋体" w:hAnsi="宋体" w:eastAsia="宋体" w:cs="宋体"/>
          <w:b/>
          <w:bCs/>
          <w:sz w:val="36"/>
          <w:szCs w:val="36"/>
          <w:highlight w:val="none"/>
        </w:rPr>
        <w:t xml:space="preserve">评标方法与评标标准</w:t>
      </w:r>
      <w:bookmarkEnd w:id="201"/>
      <w:r>
        <w:rPr>
          <w:rFonts w:hint="eastAsia" w:ascii="宋体" w:hAnsi="宋体" w:eastAsia="宋体" w:cs="宋体"/>
          <w:bCs/>
          <w:sz w:val="36"/>
          <w:szCs w:val="36"/>
          <w:highlight w:val="none"/>
        </w:rPr>
      </w:r>
      <w:r/>
    </w:p>
    <w:p>
      <w:pPr>
        <w:pStyle w:val="1062"/>
        <w:ind w:firstLine="602"/>
        <w:spacing w:before="0" w:after="0" w:line="50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第一部分  评标方法</w:t>
      </w:r>
      <w:r>
        <w:rPr>
          <w:rFonts w:hint="eastAsia" w:ascii="宋体" w:hAnsi="宋体" w:eastAsia="宋体" w:cs="宋体"/>
          <w:b/>
          <w:sz w:val="30"/>
          <w:szCs w:val="30"/>
          <w:highlight w:val="none"/>
        </w:rPr>
      </w:r>
      <w:r/>
    </w:p>
    <w:p>
      <w:pPr>
        <w:pStyle w:val="1062"/>
        <w:ind w:firstLine="480"/>
        <w:spacing w:before="0" w:after="0" w:line="500" w:lineRule="exact"/>
        <w:rPr>
          <w:rFonts w:hint="eastAsia" w:ascii="宋体" w:hAnsi="宋体" w:eastAsia="宋体" w:cs="宋体"/>
          <w:highlight w:val="none"/>
        </w:rPr>
      </w:pPr>
      <w:r>
        <w:rPr>
          <w:rFonts w:hint="eastAsia" w:ascii="宋体" w:hAnsi="宋体" w:eastAsia="宋体" w:cs="宋体"/>
          <w:highlight w:val="none"/>
        </w:rPr>
        <w:t xml:space="preserve">投标人通过初审的，方可进入比较与评价程序。</w:t>
      </w:r>
      <w:r>
        <w:rPr>
          <w:rFonts w:hint="eastAsia" w:ascii="宋体" w:hAnsi="宋体" w:eastAsia="宋体" w:cs="宋体"/>
          <w:highlight w:val="none"/>
        </w:rPr>
      </w:r>
      <w:r/>
    </w:p>
    <w:p>
      <w:pPr>
        <w:pStyle w:val="1062"/>
        <w:ind w:firstLine="480"/>
        <w:spacing w:before="0" w:after="0" w:line="500" w:lineRule="exact"/>
        <w:rPr>
          <w:rFonts w:hint="eastAsia" w:ascii="宋体" w:hAnsi="宋体" w:eastAsia="宋体" w:cs="宋体"/>
          <w:highlight w:val="none"/>
          <w:lang w:eastAsia="en-US"/>
        </w:rPr>
      </w:pPr>
      <w:r>
        <w:rPr>
          <w:rFonts w:hint="eastAsia" w:ascii="宋体" w:hAnsi="宋体" w:eastAsia="宋体" w:cs="宋体"/>
          <w:highlight w:val="none"/>
        </w:rPr>
        <w:t xml:space="preserve">比较与评价采用综合评分法。</w:t>
      </w:r>
      <w:r>
        <w:rPr>
          <w:rFonts w:hint="eastAsia" w:ascii="宋体" w:hAnsi="宋体" w:eastAsia="宋体" w:cs="宋体"/>
          <w:highlight w:val="none"/>
          <w:lang w:eastAsia="en-US"/>
        </w:rPr>
      </w:r>
      <w:r/>
    </w:p>
    <w:p>
      <w:pPr>
        <w:pStyle w:val="1062"/>
        <w:ind w:firstLine="480"/>
        <w:spacing w:before="0" w:after="0" w:line="500" w:lineRule="exact"/>
        <w:rPr>
          <w:rStyle w:val="1048"/>
          <w:rFonts w:hint="eastAsia" w:ascii="宋体" w:hAnsi="宋体" w:eastAsia="宋体" w:cs="宋体"/>
          <w:highlight w:val="none"/>
        </w:rPr>
      </w:pPr>
      <w:r>
        <w:rPr>
          <w:rFonts w:hint="eastAsia" w:ascii="宋体" w:hAnsi="宋体" w:eastAsia="宋体" w:cs="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Style w:val="1048"/>
          <w:rFonts w:hint="eastAsia" w:ascii="宋体" w:hAnsi="宋体" w:eastAsia="宋体" w:cs="宋体"/>
          <w:highlight w:val="none"/>
        </w:rPr>
      </w:r>
      <w:r/>
    </w:p>
    <w:p>
      <w:pPr>
        <w:pStyle w:val="1062"/>
        <w:ind w:firstLine="480"/>
        <w:spacing w:before="0" w:after="0" w:line="500" w:lineRule="exact"/>
        <w:rPr>
          <w:rFonts w:hint="eastAsia" w:ascii="宋体" w:hAnsi="宋体" w:eastAsia="宋体" w:cs="宋体"/>
          <w:highlight w:val="none"/>
          <w:shd w:val="clear" w:color="ffffff" w:fill="d9d9d9"/>
        </w:rPr>
      </w:pPr>
      <w:r>
        <w:rPr>
          <w:rFonts w:hint="eastAsia" w:ascii="宋体" w:hAnsi="宋体" w:eastAsia="宋体" w:cs="宋体"/>
          <w:bCs/>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eastAsia="宋体" w:cs="宋体"/>
          <w:highlight w:val="none"/>
          <w:shd w:val="clear" w:color="ffffff" w:fill="d9d9d9"/>
        </w:rPr>
      </w:r>
      <w:r/>
    </w:p>
    <w:p>
      <w:pPr>
        <w:pStyle w:val="1062"/>
        <w:ind w:firstLine="480"/>
        <w:spacing w:before="0" w:after="0" w:line="500" w:lineRule="exact"/>
        <w:rPr>
          <w:rFonts w:hint="eastAsia" w:ascii="宋体" w:hAnsi="宋体" w:eastAsia="宋体" w:cs="宋体"/>
          <w:b/>
          <w:sz w:val="30"/>
          <w:szCs w:val="30"/>
          <w:highlight w:val="none"/>
        </w:rPr>
      </w:pPr>
      <w:r>
        <w:rPr>
          <w:rFonts w:hint="eastAsia" w:ascii="宋体" w:hAnsi="宋体" w:eastAsia="宋体" w:cs="宋体"/>
          <w:highlight w:val="none"/>
          <w:shd w:val="clear" w:color="ffffff" w:fill="d9d9d9"/>
        </w:rPr>
        <w:br w:type="page" w:clear="all"/>
      </w:r>
      <w:r>
        <w:rPr>
          <w:rFonts w:hint="eastAsia" w:ascii="宋体" w:hAnsi="宋体" w:eastAsia="宋体" w:cs="宋体"/>
          <w:b/>
          <w:sz w:val="30"/>
          <w:szCs w:val="30"/>
          <w:highlight w:val="none"/>
        </w:rPr>
        <w:t xml:space="preserve">第二部分  评标标准</w:t>
      </w:r>
      <w:r>
        <w:rPr>
          <w:rFonts w:hint="eastAsia" w:ascii="宋体" w:hAnsi="宋体" w:eastAsia="宋体" w:cs="宋体"/>
          <w:b/>
          <w:sz w:val="30"/>
          <w:szCs w:val="30"/>
          <w:highlight w:val="none"/>
        </w:rPr>
      </w:r>
      <w:r/>
    </w:p>
    <w:p>
      <w:pPr>
        <w:pStyle w:val="1062"/>
        <w:ind w:firstLine="562"/>
        <w:spacing w:before="0" w:after="0"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一、落实政府采购政策的价格调整</w:t>
      </w:r>
      <w:r>
        <w:rPr>
          <w:rFonts w:hint="eastAsia" w:ascii="宋体" w:hAnsi="宋体" w:eastAsia="宋体" w:cs="宋体"/>
          <w:b/>
          <w:sz w:val="28"/>
          <w:szCs w:val="28"/>
          <w:highlight w:val="none"/>
        </w:rPr>
      </w:r>
      <w:r/>
    </w:p>
    <w:p>
      <w:pPr>
        <w:pStyle w:val="786"/>
        <w:ind w:firstLine="482"/>
        <w:jc w:val="left"/>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小微型企业价格扣除：专门面向中小/小微企业的项目不做价格扣除。</w:t>
      </w:r>
      <w:r>
        <w:rPr>
          <w:rFonts w:hint="eastAsia" w:ascii="宋体" w:hAnsi="宋体" w:eastAsia="宋体" w:cs="宋体"/>
          <w:b/>
          <w:bCs/>
          <w:sz w:val="24"/>
          <w:szCs w:val="24"/>
          <w:highlight w:val="none"/>
        </w:rPr>
      </w:r>
      <w:r/>
    </w:p>
    <w:p>
      <w:pPr>
        <w:pStyle w:val="786"/>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hint="eastAsia" w:ascii="宋体" w:hAnsi="宋体" w:eastAsia="宋体" w:cs="宋体"/>
          <w:bCs/>
          <w:sz w:val="24"/>
          <w:szCs w:val="24"/>
          <w:highlight w:val="none"/>
        </w:rPr>
      </w:r>
      <w:r/>
    </w:p>
    <w:p>
      <w:pPr>
        <w:pStyle w:val="786"/>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cs="宋体"/>
          <w:bCs/>
          <w:sz w:val="24"/>
          <w:szCs w:val="24"/>
          <w:highlight w:val="none"/>
          <w:lang w:eastAsia="zh-CN"/>
        </w:rPr>
        <w:t xml:space="preserve">〔2014〕68号</w:t>
      </w:r>
      <w:r>
        <w:rPr>
          <w:rFonts w:hint="eastAsia" w:ascii="宋体" w:hAnsi="宋体" w:eastAsia="宋体" w:cs="宋体"/>
          <w:bCs/>
          <w:sz w:val="24"/>
          <w:szCs w:val="24"/>
          <w:highlight w:val="none"/>
        </w:rPr>
        <w:t xml:space="preserve">）的规定提供由省级以上监狱管理局、戒毒管理局</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含新疆生产建设兵团</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出具的属于监狱企业的证明文件扫描件。</w:t>
      </w:r>
      <w:r>
        <w:rPr>
          <w:rFonts w:hint="eastAsia" w:ascii="宋体" w:hAnsi="宋体" w:eastAsia="宋体" w:cs="宋体"/>
          <w:bCs/>
          <w:sz w:val="24"/>
          <w:szCs w:val="24"/>
          <w:highlight w:val="none"/>
        </w:rPr>
      </w:r>
      <w:r/>
    </w:p>
    <w:p>
      <w:pPr>
        <w:pStyle w:val="786"/>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eastAsia="宋体" w:cs="宋体"/>
          <w:bCs/>
          <w:sz w:val="24"/>
          <w:szCs w:val="24"/>
          <w:highlight w:val="none"/>
        </w:rPr>
      </w:r>
      <w:r/>
    </w:p>
    <w:p>
      <w:pPr>
        <w:pStyle w:val="786"/>
        <w:ind w:firstLine="480"/>
        <w:jc w:val="left"/>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4.残疾人福利单位、监狱企业属于小型、微型企业的，不重复享受政策。</w:t>
      </w:r>
      <w:r>
        <w:rPr>
          <w:rFonts w:hint="eastAsia" w:ascii="宋体" w:hAnsi="宋体" w:eastAsia="宋体" w:cs="宋体"/>
          <w:bCs/>
          <w:color w:val="000000"/>
          <w:sz w:val="24"/>
          <w:szCs w:val="24"/>
          <w:highlight w:val="none"/>
        </w:rPr>
      </w:r>
      <w:r/>
    </w:p>
    <w:p>
      <w:pPr>
        <w:pStyle w:val="786"/>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hint="eastAsia" w:ascii="宋体" w:hAnsi="宋体" w:eastAsia="宋体" w:cs="宋体"/>
          <w:bCs/>
          <w:sz w:val="24"/>
          <w:szCs w:val="24"/>
          <w:highlight w:val="none"/>
        </w:rPr>
      </w:r>
      <w:r/>
    </w:p>
    <w:p>
      <w:pPr>
        <w:pStyle w:val="786"/>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联合体各方均为小型、微型企业的，联合体视同为小型、微型企业按规定享受价格扣除。</w:t>
      </w:r>
      <w:r>
        <w:rPr>
          <w:rFonts w:hint="eastAsia" w:ascii="宋体" w:hAnsi="宋体" w:eastAsia="宋体" w:cs="宋体"/>
          <w:bCs/>
          <w:sz w:val="24"/>
          <w:szCs w:val="24"/>
          <w:highlight w:val="none"/>
        </w:rPr>
      </w:r>
      <w:r/>
    </w:p>
    <w:p>
      <w:pPr>
        <w:pStyle w:val="786"/>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rPr>
          <w:rFonts w:hint="eastAsia" w:ascii="宋体" w:hAnsi="宋体" w:eastAsia="宋体" w:cs="宋体"/>
          <w:bCs/>
          <w:sz w:val="24"/>
          <w:szCs w:val="24"/>
          <w:highlight w:val="none"/>
        </w:rPr>
      </w:r>
      <w:r/>
    </w:p>
    <w:p>
      <w:pPr>
        <w:pStyle w:val="786"/>
        <w:ind w:firstLine="420"/>
        <w:jc w:val="left"/>
        <w:spacing w:line="500" w:lineRule="exact"/>
        <w:rPr>
          <w:rFonts w:hint="eastAsia" w:ascii="宋体" w:hAnsi="宋体" w:cs="Times New Roman"/>
          <w:b/>
          <w:bCs/>
          <w:color w:val="000000"/>
          <w:sz w:val="24"/>
          <w:szCs w:val="24"/>
          <w:highlight w:val="none"/>
        </w:rPr>
      </w:pPr>
      <w:r>
        <w:rPr>
          <w:rFonts w:hint="eastAsia" w:ascii="宋体" w:hAnsi="宋体" w:cs="Times New Roman"/>
          <w:b/>
          <w:bCs/>
          <w:color w:val="000000"/>
          <w:sz w:val="24"/>
          <w:szCs w:val="24"/>
          <w:highlight w:val="none"/>
          <w:lang w:val="en-US" w:eastAsia="zh-CN"/>
        </w:rPr>
        <w:t xml:space="preserve">6</w:t>
      </w:r>
      <w:r>
        <w:rPr>
          <w:rFonts w:hint="eastAsia" w:ascii="宋体" w:hAnsi="宋体" w:cs="Times New Roman"/>
          <w:b/>
          <w:bCs/>
          <w:color w:val="000000"/>
          <w:sz w:val="24"/>
          <w:szCs w:val="24"/>
          <w:highlight w:val="none"/>
        </w:rPr>
        <w:t xml:space="preserve">.对本国产品的支持政策（仅适用于采购包1）：根据</w:t>
      </w:r>
      <w:r>
        <w:rPr>
          <w:rFonts w:hint="eastAsia" w:ascii="宋体" w:hAnsi="Times New Roman" w:cs="Times New Roman"/>
          <w:b/>
          <w:bCs/>
          <w:color w:val="000000"/>
          <w:sz w:val="24"/>
          <w:szCs w:val="24"/>
          <w:highlight w:val="none"/>
        </w:rPr>
        <w:t xml:space="preserve">《国务院办公厅关于在政府采购中实施本国产品标准及相关政策的通知》（国办发〔2025〕34号）要求，</w:t>
      </w:r>
      <w:r>
        <w:rPr>
          <w:rFonts w:hint="eastAsia" w:ascii="宋体" w:hAnsi="宋体" w:cs="Times New Roman"/>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cs="Times New Roman"/>
          <w:b/>
          <w:bCs/>
          <w:color w:val="000000"/>
          <w:sz w:val="24"/>
          <w:szCs w:val="24"/>
          <w:highlight w:val="none"/>
        </w:rPr>
      </w:r>
      <w:r/>
    </w:p>
    <w:p>
      <w:pPr>
        <w:pStyle w:val="786"/>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 xml:space="preserve">6</w:t>
      </w:r>
      <w:r>
        <w:rPr>
          <w:rFonts w:hint="eastAsia" w:ascii="宋体" w:hAnsi="宋体" w:cs="Times New Roman"/>
          <w:bCs/>
          <w:color w:val="000000"/>
          <w:sz w:val="24"/>
          <w:szCs w:val="24"/>
          <w:highlight w:val="none"/>
        </w:rPr>
        <w:t xml:space="preserve">.1本国产品价格扣除政策</w:t>
      </w:r>
      <w:r>
        <w:rPr>
          <w:rFonts w:hint="eastAsia" w:ascii="宋体" w:hAnsi="宋体" w:cs="Times New Roman"/>
          <w:bCs/>
          <w:color w:val="000000"/>
          <w:sz w:val="24"/>
          <w:szCs w:val="24"/>
          <w:highlight w:val="none"/>
        </w:rPr>
      </w:r>
      <w:r/>
    </w:p>
    <w:p>
      <w:pPr>
        <w:pStyle w:val="786"/>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cs="Times New Roman"/>
          <w:bCs/>
          <w:color w:val="000000"/>
          <w:sz w:val="24"/>
          <w:szCs w:val="24"/>
          <w:highlight w:val="none"/>
        </w:rPr>
      </w:r>
      <w:r/>
    </w:p>
    <w:p>
      <w:pPr>
        <w:pStyle w:val="786"/>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cs="Times New Roman"/>
          <w:bCs/>
          <w:color w:val="000000"/>
          <w:sz w:val="24"/>
          <w:szCs w:val="24"/>
          <w:highlight w:val="none"/>
        </w:rPr>
      </w:r>
      <w:r/>
    </w:p>
    <w:p>
      <w:pPr>
        <w:pStyle w:val="786"/>
        <w:ind w:firstLine="482"/>
        <w:jc w:val="left"/>
        <w:spacing w:line="500" w:lineRule="exact"/>
        <w:rPr>
          <w:rFonts w:hint="eastAsia" w:ascii="宋体" w:hAnsi="宋体" w:cs="Times New Roman"/>
          <w:b/>
          <w:bCs/>
          <w:color w:val="000000"/>
          <w:sz w:val="24"/>
          <w:szCs w:val="24"/>
          <w:highlight w:val="none"/>
        </w:rPr>
      </w:pPr>
      <w:r>
        <w:rPr>
          <w:rFonts w:hint="eastAsia" w:ascii="宋体" w:hAnsi="宋体" w:cs="Times New Roman"/>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cs="Times New Roman"/>
          <w:b/>
          <w:bCs/>
          <w:color w:val="000000"/>
          <w:sz w:val="24"/>
          <w:szCs w:val="24"/>
          <w:highlight w:val="none"/>
          <w:u w:val="single"/>
        </w:rPr>
        <w:t xml:space="preserve">对于仅有本国产品参与竞争的政府采购项目或采购包，本国产品不享受价格扣除评审优惠。</w:t>
      </w:r>
      <w:r>
        <w:rPr>
          <w:rFonts w:hint="eastAsia" w:ascii="宋体" w:hAnsi="宋体" w:cs="Times New Roman"/>
          <w:b/>
          <w:bCs/>
          <w:color w:val="000000"/>
          <w:sz w:val="24"/>
          <w:szCs w:val="24"/>
          <w:highlight w:val="none"/>
        </w:rPr>
      </w:r>
      <w:r/>
    </w:p>
    <w:p>
      <w:pPr>
        <w:pStyle w:val="786"/>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 xml:space="preserve">6</w:t>
      </w:r>
      <w:r>
        <w:rPr>
          <w:rFonts w:hint="eastAsia" w:ascii="宋体" w:hAnsi="宋体" w:cs="Times New Roman"/>
          <w:bCs/>
          <w:color w:val="000000"/>
          <w:sz w:val="24"/>
          <w:szCs w:val="24"/>
          <w:highlight w:val="none"/>
        </w:rPr>
        <w:t xml:space="preserve">.2注意事项</w:t>
      </w:r>
      <w:r>
        <w:rPr>
          <w:rFonts w:hint="eastAsia" w:ascii="宋体" w:hAnsi="宋体" w:cs="Times New Roman"/>
          <w:bCs/>
          <w:color w:val="000000"/>
          <w:sz w:val="24"/>
          <w:szCs w:val="24"/>
          <w:highlight w:val="none"/>
        </w:rPr>
      </w:r>
      <w:r/>
    </w:p>
    <w:p>
      <w:pPr>
        <w:pStyle w:val="786"/>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（1）提供本国产品进行投标（报价）的供应商需在其投</w:t>
      </w:r>
      <w:r>
        <w:rPr>
          <w:rFonts w:hint="eastAsia" w:ascii="宋体" w:hAnsi="宋体" w:cs="Times New Roman"/>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cs="Times New Roman"/>
          <w:bCs/>
          <w:color w:val="000000"/>
          <w:sz w:val="24"/>
          <w:szCs w:val="24"/>
          <w:highlight w:val="none"/>
        </w:rPr>
      </w:r>
      <w:r/>
    </w:p>
    <w:p>
      <w:pPr>
        <w:pStyle w:val="786"/>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cs="Times New Roman"/>
          <w:bCs/>
          <w:color w:val="000000"/>
          <w:sz w:val="24"/>
          <w:szCs w:val="24"/>
          <w:highlight w:val="none"/>
        </w:rPr>
      </w:r>
      <w:r/>
    </w:p>
    <w:p>
      <w:pPr>
        <w:pStyle w:val="786"/>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cs="Times New Roman"/>
          <w:bCs/>
          <w:color w:val="000000"/>
          <w:sz w:val="24"/>
          <w:szCs w:val="24"/>
          <w:highlight w:val="none"/>
        </w:rPr>
      </w:r>
      <w:r/>
    </w:p>
    <w:p>
      <w:pPr>
        <w:pStyle w:val="786"/>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其中，“符合本国产品标准的产品成本之和”是指本项目或采购包中符合本国产品标准的</w:t>
      </w:r>
      <w:r>
        <w:rPr>
          <w:rFonts w:hint="eastAsia" w:ascii="宋体" w:hAnsi="宋体" w:cs="Times New Roman"/>
          <w:b/>
          <w:bCs/>
          <w:color w:val="000000"/>
          <w:sz w:val="24"/>
          <w:szCs w:val="24"/>
          <w:highlight w:val="none"/>
        </w:rPr>
        <w:t xml:space="preserve">货物成本之和</w:t>
      </w:r>
      <w:r>
        <w:rPr>
          <w:rFonts w:hint="eastAsia" w:ascii="宋体" w:hAnsi="宋体" w:cs="Times New Roman"/>
          <w:bCs/>
          <w:color w:val="000000"/>
          <w:sz w:val="24"/>
          <w:szCs w:val="24"/>
          <w:highlight w:val="none"/>
        </w:rPr>
        <w:t xml:space="preserve">；“全部产品成本之和”是指货物或服务项目（或者采购包）中包含的</w:t>
      </w:r>
      <w:r>
        <w:rPr>
          <w:rFonts w:hint="eastAsia" w:ascii="宋体" w:hAnsi="宋体" w:cs="Times New Roman"/>
          <w:b/>
          <w:bCs/>
          <w:color w:val="000000"/>
          <w:sz w:val="24"/>
          <w:szCs w:val="24"/>
          <w:highlight w:val="none"/>
        </w:rPr>
        <w:t xml:space="preserve">全部货物、服务产品的成本之和</w:t>
      </w:r>
      <w:r>
        <w:rPr>
          <w:rFonts w:hint="eastAsia" w:ascii="宋体" w:hAnsi="宋体" w:cs="Times New Roman"/>
          <w:bCs/>
          <w:color w:val="000000"/>
          <w:sz w:val="24"/>
          <w:szCs w:val="24"/>
          <w:highlight w:val="none"/>
        </w:rPr>
        <w:t xml:space="preserve">。</w:t>
      </w:r>
      <w:r>
        <w:rPr>
          <w:rFonts w:hint="eastAsia" w:ascii="宋体" w:hAnsi="宋体" w:cs="Times New Roman"/>
          <w:bCs/>
          <w:color w:val="000000"/>
          <w:sz w:val="24"/>
          <w:szCs w:val="24"/>
          <w:highlight w:val="none"/>
        </w:rPr>
      </w:r>
      <w:r/>
    </w:p>
    <w:p>
      <w:pPr>
        <w:pStyle w:val="786"/>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cs="Times New Roman"/>
          <w:bCs/>
          <w:color w:val="000000"/>
          <w:sz w:val="24"/>
          <w:szCs w:val="24"/>
          <w:highlight w:val="none"/>
        </w:rPr>
      </w:r>
      <w:r/>
    </w:p>
    <w:p>
      <w:pPr>
        <w:pStyle w:val="786"/>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即，当小微型企业价格扣除政策和本国产品价格扣除政策同时享受时，按以下计算方式进行计算：</w:t>
      </w:r>
      <w:r>
        <w:rPr>
          <w:rFonts w:hint="eastAsia" w:ascii="宋体" w:hAnsi="宋体" w:cs="Times New Roman"/>
          <w:bCs/>
          <w:color w:val="000000"/>
          <w:sz w:val="24"/>
          <w:szCs w:val="24"/>
          <w:highlight w:val="none"/>
        </w:rPr>
      </w:r>
      <w:r/>
    </w:p>
    <w:p>
      <w:pPr>
        <w:pStyle w:val="786"/>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供应商参与评审的报价=供应商投标总报价×[1-（小微型企业价格扣除+本国产品价格扣除）]</w:t>
      </w:r>
      <w:r>
        <w:rPr>
          <w:rFonts w:hint="eastAsia" w:ascii="宋体" w:hAnsi="宋体" w:cs="Times New Roman"/>
          <w:bCs/>
          <w:color w:val="000000"/>
          <w:sz w:val="24"/>
          <w:szCs w:val="24"/>
          <w:highlight w:val="none"/>
        </w:rPr>
      </w:r>
      <w:r/>
    </w:p>
    <w:p>
      <w:pPr>
        <w:pStyle w:val="786"/>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例如，供应商总报价1000000元，经认定可以享受小微型企业价格扣除政策以及本国产品价格扣除政策的，则该供应商参与评审的报价为：</w:t>
      </w:r>
      <w:r>
        <w:rPr>
          <w:rFonts w:hint="eastAsia" w:ascii="宋体" w:hAnsi="宋体" w:cs="Times New Roman"/>
          <w:bCs/>
          <w:color w:val="000000"/>
          <w:sz w:val="24"/>
          <w:szCs w:val="24"/>
          <w:highlight w:val="none"/>
        </w:rPr>
      </w:r>
      <w:r/>
    </w:p>
    <w:p>
      <w:pPr>
        <w:pStyle w:val="798"/>
        <w:rPr>
          <w:rFonts w:hint="eastAsia"/>
          <w:highlight w:val="none"/>
        </w:rPr>
      </w:pPr>
      <w:r>
        <w:rPr>
          <w:rFonts w:hint="eastAsia" w:ascii="宋体" w:hAnsi="宋体" w:cs="Times New Roman"/>
          <w:bCs/>
          <w:color w:val="000000"/>
          <w:sz w:val="24"/>
          <w:szCs w:val="24"/>
          <w:highlight w:val="none"/>
        </w:rPr>
        <w:t xml:space="preserve">1000000×[1-（10%+20%）]=700000元</w:t>
      </w:r>
      <w:r>
        <w:rPr>
          <w:rFonts w:hint="eastAsia"/>
          <w:highlight w:val="none"/>
        </w:rPr>
      </w:r>
      <w:r/>
    </w:p>
    <w:p>
      <w:pPr>
        <w:pStyle w:val="1062"/>
        <w:ind w:firstLine="360"/>
        <w:spacing w:before="0" w:after="0" w:line="500" w:lineRule="exact"/>
        <w:rPr>
          <w:rFonts w:hint="eastAsia" w:ascii="宋体" w:hAnsi="宋体" w:eastAsia="宋体" w:cs="宋体"/>
          <w:highlight w:val="none"/>
          <w:shd w:val="clear" w:color="ffffff" w:fill="d9d9d9"/>
        </w:rPr>
      </w:pPr>
      <w:r>
        <w:rPr>
          <w:rFonts w:hint="eastAsia" w:ascii="宋体" w:hAnsi="宋体" w:eastAsia="宋体" w:cs="宋体"/>
          <w:highlight w:val="none"/>
          <w:shd w:val="clear" w:color="ffffff" w:fill="d9d9d9"/>
        </w:rPr>
        <w:br w:type="page" w:clear="all"/>
      </w:r>
      <w:r>
        <w:rPr>
          <w:rFonts w:hint="eastAsia" w:ascii="宋体" w:hAnsi="宋体" w:eastAsia="宋体" w:cs="宋体"/>
          <w:b/>
          <w:sz w:val="28"/>
          <w:szCs w:val="28"/>
          <w:highlight w:val="none"/>
        </w:rPr>
        <w:t xml:space="preserve">二、评分标准</w:t>
      </w:r>
      <w:r>
        <w:rPr>
          <w:rFonts w:hint="eastAsia" w:ascii="宋体" w:hAnsi="宋体" w:eastAsia="宋体" w:cs="宋体"/>
          <w:highlight w:val="none"/>
          <w:shd w:val="clear" w:color="ffffff" w:fill="d9d9d9"/>
        </w:rPr>
      </w:r>
      <w:r/>
    </w:p>
    <w:p>
      <w:pPr>
        <w:pStyle w:val="1062"/>
        <w:ind w:firstLine="422"/>
        <w:keepLines w:val="0"/>
        <w:keepNext w:val="0"/>
        <w:pageBreakBefore w:val="0"/>
        <w:spacing w:before="0" w:after="0" w:line="44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（一）商务部分</w:t>
      </w:r>
      <w:r>
        <w:rPr>
          <w:rFonts w:hint="eastAsia" w:ascii="宋体" w:hAnsi="宋体" w:eastAsia="宋体" w:cs="宋体"/>
          <w:b/>
          <w:sz w:val="28"/>
          <w:szCs w:val="28"/>
          <w:highlight w:val="none"/>
        </w:rPr>
      </w:r>
      <w:r/>
    </w:p>
    <w:p>
      <w:pPr>
        <w:pStyle w:val="786"/>
        <w:numPr>
          <w:ilvl w:val="4"/>
          <w:numId w:val="0"/>
        </w:numPr>
        <w:ind w:left="0" w:firstLine="482"/>
        <w:keepLines w:val="0"/>
        <w:keepNext w:val="0"/>
        <w:pageBreakBefore w:val="0"/>
        <w:spacing w:line="44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bidi="ar-SA"/>
        </w:rPr>
        <w:t xml:space="preserve">1.</w:t>
      </w:r>
      <w:r>
        <w:rPr>
          <w:rFonts w:hint="eastAsia" w:ascii="宋体" w:hAnsi="宋体" w:eastAsia="宋体" w:cs="宋体"/>
          <w:b/>
          <w:bCs/>
          <w:color w:val="000000"/>
          <w:sz w:val="28"/>
          <w:szCs w:val="28"/>
          <w:highlight w:val="none"/>
        </w:rPr>
        <w:t xml:space="preserve">价格（</w:t>
      </w:r>
      <w:r>
        <w:rPr>
          <w:rFonts w:hint="eastAsia" w:ascii="宋体" w:hAnsi="宋体" w:eastAsia="宋体" w:cs="宋体"/>
          <w:b/>
          <w:bCs/>
          <w:color w:val="000000"/>
          <w:sz w:val="28"/>
          <w:szCs w:val="28"/>
          <w:highlight w:val="none"/>
          <w:lang w:val="en-US" w:eastAsia="zh-CN"/>
        </w:rPr>
        <w:t xml:space="preserve">50</w:t>
      </w:r>
      <w:r>
        <w:rPr>
          <w:rFonts w:hint="eastAsia" w:ascii="宋体" w:hAnsi="宋体" w:eastAsia="宋体" w:cs="宋体"/>
          <w:b/>
          <w:bCs/>
          <w:color w:val="000000"/>
          <w:sz w:val="28"/>
          <w:szCs w:val="28"/>
          <w:highlight w:val="none"/>
        </w:rPr>
        <w:t xml:space="preserve">分）：</w:t>
      </w:r>
      <w:r>
        <w:rPr>
          <w:rFonts w:hint="eastAsia" w:ascii="宋体" w:hAnsi="宋体" w:eastAsia="宋体" w:cs="宋体"/>
          <w:b/>
          <w:bCs/>
          <w:color w:val="000000"/>
          <w:sz w:val="28"/>
          <w:szCs w:val="28"/>
          <w:highlight w:val="none"/>
        </w:rPr>
      </w:r>
      <w:r/>
    </w:p>
    <w:p>
      <w:pPr>
        <w:pStyle w:val="786"/>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000000"/>
          <w:sz w:val="28"/>
          <w:szCs w:val="28"/>
          <w:highlight w:val="none"/>
        </w:rPr>
      </w:r>
      <w:r/>
    </w:p>
    <w:p>
      <w:pPr>
        <w:pStyle w:val="786"/>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投标报价得分=</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评标基准价／投标报价</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×价格权值×100。</w:t>
      </w:r>
      <w:r>
        <w:rPr>
          <w:rFonts w:hint="eastAsia" w:ascii="宋体" w:hAnsi="宋体" w:eastAsia="宋体" w:cs="宋体"/>
          <w:bCs/>
          <w:color w:val="000000"/>
          <w:sz w:val="28"/>
          <w:szCs w:val="28"/>
          <w:highlight w:val="none"/>
        </w:rPr>
      </w:r>
      <w:r/>
    </w:p>
    <w:p>
      <w:pPr>
        <w:pStyle w:val="786"/>
        <w:ind w:firstLine="480"/>
        <w:jc w:val="left"/>
        <w:keepLines w:val="0"/>
        <w:keepNext w:val="0"/>
        <w:pageBreakBefore w:val="0"/>
        <w:spacing w:line="440" w:lineRule="exact"/>
        <w:widowControl w:val="off"/>
        <w:rPr>
          <w:rFonts w:hint="eastAsia" w:ascii="宋体" w:hAnsi="宋体" w:eastAsia="宋体" w:cs="宋体"/>
          <w:b/>
          <w:sz w:val="28"/>
          <w:szCs w:val="28"/>
          <w:highlight w:val="none"/>
        </w:rPr>
      </w:pPr>
      <w:r>
        <w:rPr>
          <w:rFonts w:hint="eastAsia" w:ascii="宋体" w:hAnsi="宋体" w:eastAsia="宋体" w:cs="宋体"/>
          <w:bCs/>
          <w:sz w:val="28"/>
          <w:szCs w:val="28"/>
          <w:highlight w:val="none"/>
        </w:rPr>
        <w:t xml:space="preserve">关于价格扣除详见本章第二部分“一、落实政府采购政策的价格调整”。</w:t>
      </w:r>
      <w:r>
        <w:rPr>
          <w:rFonts w:hint="eastAsia" w:ascii="宋体" w:hAnsi="宋体" w:eastAsia="宋体" w:cs="宋体"/>
          <w:b/>
          <w:sz w:val="28"/>
          <w:szCs w:val="28"/>
          <w:highlight w:val="none"/>
        </w:rPr>
      </w:r>
      <w:r/>
    </w:p>
    <w:p>
      <w:pPr>
        <w:pStyle w:val="786"/>
        <w:numPr>
          <w:ilvl w:val="4"/>
          <w:numId w:val="0"/>
        </w:numPr>
        <w:ind w:left="0" w:firstLine="482"/>
        <w:keepLines w:val="0"/>
        <w:keepNext w:val="0"/>
        <w:pageBreakBefore w:val="0"/>
        <w:spacing w:line="44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bidi="ar-SA"/>
        </w:rPr>
        <w:t xml:space="preserve">2.</w:t>
      </w:r>
      <w:r>
        <w:rPr>
          <w:rFonts w:hint="eastAsia" w:ascii="宋体" w:hAnsi="宋体" w:eastAsia="宋体" w:cs="宋体"/>
          <w:b/>
          <w:bCs/>
          <w:color w:val="000000"/>
          <w:sz w:val="28"/>
          <w:szCs w:val="28"/>
          <w:highlight w:val="none"/>
        </w:rPr>
        <w:t xml:space="preserve">投标人综合实力（</w:t>
      </w:r>
      <w:r>
        <w:rPr>
          <w:rFonts w:hint="eastAsia" w:ascii="宋体" w:hAnsi="宋体" w:eastAsia="宋体" w:cs="宋体"/>
          <w:b/>
          <w:bCs/>
          <w:color w:val="000000"/>
          <w:sz w:val="28"/>
          <w:szCs w:val="28"/>
          <w:highlight w:val="none"/>
          <w:lang w:val="en-US" w:eastAsia="zh-CN"/>
        </w:rPr>
        <w:t xml:space="preserve">10</w:t>
      </w:r>
      <w:r>
        <w:rPr>
          <w:rFonts w:hint="eastAsia" w:ascii="宋体" w:hAnsi="宋体" w:eastAsia="宋体" w:cs="宋体"/>
          <w:b/>
          <w:bCs/>
          <w:color w:val="000000"/>
          <w:sz w:val="28"/>
          <w:szCs w:val="28"/>
          <w:highlight w:val="none"/>
        </w:rPr>
        <w:t xml:space="preserve">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r>
      <w:r/>
    </w:p>
    <w:p>
      <w:pPr>
        <w:pStyle w:val="786"/>
        <w:ind w:left="0" w:right="0" w:firstLine="492"/>
        <w:keepLines w:val="0"/>
        <w:keepNext w:val="0"/>
        <w:pageBreakBefore w:val="0"/>
        <w:spacing w:line="360" w:lineRule="auto"/>
        <w:widowControl/>
        <w:rPr>
          <w:rFonts w:hint="eastAsia" w:ascii="宋体" w:hAnsi="宋体" w:eastAsia="宋体" w:cs="宋体"/>
          <w:b/>
          <w:bCs/>
          <w:color w:val="000000"/>
          <w:spacing w:val="-2"/>
          <w:sz w:val="28"/>
          <w:szCs w:val="28"/>
          <w:highlight w:val="none"/>
          <w:lang w:eastAsia="zh-CN"/>
        </w:rPr>
      </w:pPr>
      <w:r>
        <w:rPr>
          <w:rFonts w:hint="eastAsia" w:ascii="宋体" w:hAnsi="宋体" w:eastAsia="宋体" w:cs="宋体"/>
          <w:b w:val="0"/>
          <w:bCs w:val="0"/>
          <w:spacing w:val="-2"/>
          <w:sz w:val="28"/>
          <w:szCs w:val="28"/>
          <w:highlight w:val="none"/>
          <w:lang w:eastAsia="zh-CN"/>
        </w:rPr>
        <w:t xml:space="preserve">（1）</w:t>
      </w:r>
      <w:r>
        <w:rPr>
          <w:rFonts w:hint="eastAsia" w:ascii="宋体" w:hAnsi="宋体" w:eastAsia="宋体" w:cs="宋体"/>
          <w:b w:val="0"/>
          <w:bCs w:val="0"/>
          <w:color w:val="000000"/>
          <w:sz w:val="28"/>
          <w:szCs w:val="28"/>
          <w:highlight w:val="none"/>
          <w:u w:val="none"/>
          <w:lang w:val="en-US" w:eastAsia="zh-CN" w:bidi="ar-SA"/>
        </w:rPr>
        <w:t xml:space="preserve">投标</w:t>
      </w:r>
      <w:r>
        <w:rPr>
          <w:rFonts w:hint="eastAsia" w:ascii="宋体" w:hAnsi="宋体" w:eastAsia="宋体" w:cs="宋体"/>
          <w:sz w:val="28"/>
          <w:szCs w:val="28"/>
          <w:highlight w:val="none"/>
          <w:lang w:val="en-US" w:eastAsia="zh-CN"/>
        </w:rPr>
        <w:t xml:space="preserve">人</w:t>
      </w:r>
      <w:r>
        <w:rPr>
          <w:rFonts w:hint="eastAsia" w:ascii="宋体" w:hAnsi="宋体" w:eastAsia="宋体" w:cs="宋体"/>
          <w:b w:val="0"/>
          <w:bCs w:val="0"/>
          <w:color w:val="000000"/>
          <w:sz w:val="28"/>
          <w:szCs w:val="28"/>
          <w:highlight w:val="none"/>
          <w:u w:val="none"/>
          <w:lang w:val="en-US" w:eastAsia="zh-CN" w:bidi="ar-SA"/>
        </w:rPr>
        <w:t xml:space="preserve">具有</w:t>
      </w:r>
      <w:r>
        <w:rPr>
          <w:rFonts w:hint="eastAsia" w:ascii="宋体" w:hAnsi="宋体" w:eastAsia="宋体" w:cs="宋体"/>
          <w:sz w:val="28"/>
          <w:szCs w:val="28"/>
          <w:highlight w:val="none"/>
          <w:lang w:val="en-US" w:eastAsia="zh-CN"/>
        </w:rPr>
        <w:t xml:space="preserve">有效期内的燃气器具的安装、维修</w:t>
      </w:r>
      <w:r>
        <w:rPr>
          <w:rFonts w:hint="eastAsia" w:ascii="宋体" w:hAnsi="宋体" w:eastAsia="宋体" w:cs="宋体"/>
          <w:b w:val="0"/>
          <w:bCs w:val="0"/>
          <w:color w:val="000000"/>
          <w:sz w:val="28"/>
          <w:szCs w:val="28"/>
          <w:highlight w:val="none"/>
          <w:u w:val="none"/>
          <w:lang w:val="en-US" w:eastAsia="zh-CN" w:bidi="ar-SA"/>
        </w:rPr>
        <w:t xml:space="preserve">资质证书的</w:t>
      </w:r>
      <w:r>
        <w:rPr>
          <w:rFonts w:hint="eastAsia" w:ascii="宋体" w:hAnsi="宋体" w:eastAsia="宋体" w:cs="宋体"/>
          <w:b/>
          <w:bCs/>
          <w:color w:val="000000"/>
          <w:spacing w:val="-2"/>
          <w:sz w:val="28"/>
          <w:szCs w:val="28"/>
          <w:highlight w:val="none"/>
        </w:rPr>
        <w:t xml:space="preserve">得</w:t>
      </w:r>
      <w:r>
        <w:rPr>
          <w:rFonts w:hint="eastAsia" w:ascii="宋体" w:hAnsi="宋体" w:eastAsia="宋体" w:cs="宋体"/>
          <w:b/>
          <w:bCs/>
          <w:color w:val="000000"/>
          <w:spacing w:val="-38"/>
          <w:sz w:val="28"/>
          <w:szCs w:val="28"/>
          <w:highlight w:val="none"/>
        </w:rPr>
        <w:t xml:space="preserve"> </w:t>
      </w:r>
      <w:r>
        <w:rPr>
          <w:rFonts w:hint="eastAsia" w:ascii="宋体" w:hAnsi="宋体" w:eastAsia="宋体" w:cs="宋体"/>
          <w:b/>
          <w:bCs/>
          <w:color w:val="000000"/>
          <w:spacing w:val="-38"/>
          <w:sz w:val="28"/>
          <w:szCs w:val="28"/>
          <w:highlight w:val="none"/>
          <w:lang w:val="en-US" w:eastAsia="zh-CN"/>
        </w:rPr>
        <w:t xml:space="preserve">1</w:t>
      </w:r>
      <w:r>
        <w:rPr>
          <w:rFonts w:hint="eastAsia" w:ascii="宋体" w:hAnsi="宋体" w:eastAsia="宋体" w:cs="宋体"/>
          <w:b/>
          <w:bCs/>
          <w:color w:val="000000"/>
          <w:spacing w:val="-2"/>
          <w:sz w:val="28"/>
          <w:szCs w:val="28"/>
          <w:highlight w:val="none"/>
        </w:rPr>
        <w:t xml:space="preserve">分</w:t>
      </w:r>
      <w:r>
        <w:rPr>
          <w:rFonts w:hint="eastAsia" w:ascii="宋体" w:hAnsi="宋体" w:eastAsia="宋体" w:cs="宋体"/>
          <w:b/>
          <w:bCs/>
          <w:color w:val="000000"/>
          <w:spacing w:val="-2"/>
          <w:sz w:val="28"/>
          <w:szCs w:val="28"/>
          <w:highlight w:val="none"/>
          <w:lang w:eastAsia="zh-CN"/>
        </w:rPr>
        <w:t xml:space="preserve">。</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提供有效期内的证书原件扫描件</w:t>
      </w:r>
      <w:r>
        <w:rPr>
          <w:rFonts w:hint="eastAsia" w:ascii="宋体" w:hAnsi="宋体" w:eastAsia="宋体" w:cs="宋体"/>
          <w:b/>
          <w:bCs/>
          <w:strike w:val="0"/>
          <w:spacing w:val="-2"/>
          <w:sz w:val="28"/>
          <w:szCs w:val="28"/>
          <w:highlight w:val="none"/>
        </w:rPr>
        <w:t xml:space="preserve">上传至</w:t>
      </w:r>
      <w:r>
        <w:rPr>
          <w:rFonts w:hint="eastAsia" w:ascii="宋体" w:hAnsi="宋体" w:eastAsia="宋体" w:cs="宋体"/>
          <w:b/>
          <w:bCs/>
          <w:strike w:val="0"/>
          <w:color w:val="000000"/>
          <w:sz w:val="28"/>
          <w:szCs w:val="28"/>
          <w:highlight w:val="none"/>
        </w:rPr>
        <w:t xml:space="preserve">投标</w:t>
      </w:r>
      <w:r>
        <w:rPr>
          <w:rFonts w:hint="eastAsia" w:ascii="宋体" w:hAnsi="宋体" w:eastAsia="宋体" w:cs="宋体"/>
          <w:b/>
          <w:bCs/>
          <w:color w:val="000000"/>
          <w:sz w:val="28"/>
          <w:szCs w:val="28"/>
          <w:highlight w:val="none"/>
        </w:rPr>
        <w:t xml:space="preserve">文件中</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不提供或提供不全不得分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pacing w:val="-2"/>
          <w:sz w:val="28"/>
          <w:szCs w:val="28"/>
          <w:highlight w:val="none"/>
          <w:lang w:eastAsia="zh-CN"/>
        </w:rPr>
      </w:r>
      <w:r/>
    </w:p>
    <w:p>
      <w:pPr>
        <w:pStyle w:val="786"/>
        <w:ind w:left="0" w:right="0" w:firstLine="492"/>
        <w:keepLines w:val="0"/>
        <w:keepNext w:val="0"/>
        <w:pageBreakBefore w:val="0"/>
        <w:spacing w:line="360" w:lineRule="auto"/>
        <w:widowControl/>
        <w:rPr>
          <w:rFonts w:hint="eastAsia" w:ascii="宋体" w:hAnsi="宋体" w:eastAsia="宋体" w:cs="宋体"/>
          <w:b/>
          <w:bCs/>
          <w:spacing w:val="-2"/>
          <w:sz w:val="28"/>
          <w:szCs w:val="28"/>
          <w:highlight w:val="none"/>
        </w:rPr>
      </w:pPr>
      <w:r>
        <w:rPr>
          <w:rFonts w:hint="eastAsia" w:ascii="宋体" w:hAnsi="宋体" w:eastAsia="宋体" w:cs="宋体"/>
          <w:b w:val="0"/>
          <w:bCs w:val="0"/>
          <w:spacing w:val="-2"/>
          <w:sz w:val="28"/>
          <w:szCs w:val="28"/>
          <w:highlight w:val="none"/>
          <w:lang w:eastAsia="zh-CN"/>
        </w:rPr>
        <w:t xml:space="preserve">（2）</w:t>
      </w:r>
      <w:r>
        <w:rPr>
          <w:rFonts w:hint="eastAsia" w:ascii="宋体" w:hAnsi="宋体" w:eastAsia="宋体" w:cs="宋体"/>
          <w:b w:val="0"/>
          <w:bCs w:val="0"/>
          <w:color w:val="000000"/>
          <w:sz w:val="28"/>
          <w:szCs w:val="28"/>
          <w:highlight w:val="none"/>
          <w:u w:val="none"/>
          <w:lang w:val="en-US" w:eastAsia="zh-CN" w:bidi="ar-SA"/>
        </w:rPr>
        <w:t xml:space="preserve">投标</w:t>
      </w:r>
      <w:r>
        <w:rPr>
          <w:rFonts w:hint="eastAsia" w:ascii="宋体" w:hAnsi="宋体" w:eastAsia="宋体" w:cs="宋体"/>
          <w:sz w:val="28"/>
          <w:szCs w:val="28"/>
          <w:highlight w:val="none"/>
          <w:lang w:val="en-US" w:eastAsia="zh-CN"/>
        </w:rPr>
        <w:t xml:space="preserve">人</w:t>
      </w:r>
      <w:r>
        <w:rPr>
          <w:rFonts w:hint="eastAsia" w:ascii="宋体" w:hAnsi="宋体" w:eastAsia="宋体" w:cs="宋体"/>
          <w:spacing w:val="-2"/>
          <w:sz w:val="28"/>
          <w:szCs w:val="28"/>
          <w:highlight w:val="none"/>
        </w:rPr>
        <w:t xml:space="preserve">自 202</w:t>
      </w:r>
      <w:r>
        <w:rPr>
          <w:rFonts w:hint="eastAsia" w:ascii="宋体" w:hAnsi="宋体" w:eastAsia="宋体" w:cs="宋体"/>
          <w:spacing w:val="-2"/>
          <w:sz w:val="28"/>
          <w:szCs w:val="28"/>
          <w:highlight w:val="none"/>
          <w:lang w:val="en-US" w:eastAsia="zh-CN"/>
        </w:rPr>
        <w:t xml:space="preserve">3</w:t>
      </w:r>
      <w:r>
        <w:rPr>
          <w:rFonts w:hint="eastAsia" w:ascii="宋体" w:hAnsi="宋体" w:eastAsia="宋体" w:cs="宋体"/>
          <w:spacing w:val="-2"/>
          <w:sz w:val="28"/>
          <w:szCs w:val="28"/>
          <w:highlight w:val="none"/>
        </w:rPr>
        <w:t xml:space="preserve">年1月1日（含）以来</w:t>
      </w:r>
      <w:r>
        <w:rPr>
          <w:rFonts w:hint="eastAsia" w:ascii="宋体" w:hAnsi="宋体" w:eastAsia="宋体" w:cs="宋体"/>
          <w:spacing w:val="-2"/>
          <w:sz w:val="28"/>
          <w:szCs w:val="28"/>
          <w:highlight w:val="none"/>
          <w:lang w:val="en-US" w:eastAsia="zh-CN"/>
        </w:rPr>
        <w:t xml:space="preserve">承担</w:t>
      </w:r>
      <w:r>
        <w:rPr>
          <w:rFonts w:hint="eastAsia" w:ascii="宋体" w:hAnsi="宋体" w:eastAsia="宋体" w:cs="宋体"/>
          <w:spacing w:val="-2"/>
          <w:sz w:val="28"/>
          <w:szCs w:val="28"/>
          <w:highlight w:val="none"/>
        </w:rPr>
        <w:t xml:space="preserve">过</w:t>
      </w:r>
      <w:r>
        <w:rPr>
          <w:rFonts w:hint="eastAsia" w:ascii="宋体" w:hAnsi="宋体" w:eastAsia="宋体" w:cs="宋体"/>
          <w:spacing w:val="-2"/>
          <w:sz w:val="28"/>
          <w:szCs w:val="28"/>
          <w:highlight w:val="none"/>
          <w:lang w:val="en-US" w:eastAsia="zh-CN"/>
        </w:rPr>
        <w:t xml:space="preserve">类似</w:t>
      </w:r>
      <w:r>
        <w:rPr>
          <w:rFonts w:hint="eastAsia" w:ascii="宋体" w:hAnsi="宋体" w:eastAsia="宋体" w:cs="宋体"/>
          <w:spacing w:val="-2"/>
          <w:sz w:val="28"/>
          <w:szCs w:val="28"/>
          <w:highlight w:val="none"/>
        </w:rPr>
        <w:t xml:space="preserve">项目</w:t>
      </w:r>
      <w:r>
        <w:rPr>
          <w:rFonts w:hint="eastAsia" w:ascii="宋体" w:hAnsi="宋体" w:eastAsia="宋体" w:cs="宋体"/>
          <w:bCs/>
          <w:color w:val="000000"/>
          <w:sz w:val="28"/>
          <w:szCs w:val="28"/>
          <w:highlight w:val="none"/>
        </w:rPr>
        <w:t xml:space="preserve">业绩的</w:t>
      </w:r>
      <w:r>
        <w:rPr>
          <w:rFonts w:hint="eastAsia" w:ascii="宋体" w:hAnsi="宋体" w:eastAsia="宋体" w:cs="宋体"/>
          <w:b/>
          <w:bCs/>
          <w:color w:val="000000"/>
          <w:spacing w:val="-2"/>
          <w:sz w:val="28"/>
          <w:szCs w:val="28"/>
          <w:highlight w:val="none"/>
          <w:lang w:eastAsia="zh-CN"/>
        </w:rPr>
        <w:t xml:space="preserve">，</w:t>
      </w:r>
      <w:r>
        <w:rPr>
          <w:rFonts w:hint="eastAsia" w:ascii="宋体" w:hAnsi="宋体" w:eastAsia="宋体" w:cs="宋体"/>
          <w:b w:val="0"/>
          <w:bCs w:val="0"/>
          <w:color w:val="000000"/>
          <w:spacing w:val="-2"/>
          <w:sz w:val="28"/>
          <w:szCs w:val="28"/>
          <w:highlight w:val="none"/>
        </w:rPr>
        <w:t xml:space="preserve">每提供一个业绩得</w:t>
      </w:r>
      <w:r>
        <w:rPr>
          <w:rFonts w:hint="eastAsia" w:ascii="宋体" w:hAnsi="宋体" w:eastAsia="宋体" w:cs="宋体"/>
          <w:b w:val="0"/>
          <w:bCs w:val="0"/>
          <w:color w:val="000000"/>
          <w:spacing w:val="-2"/>
          <w:sz w:val="28"/>
          <w:szCs w:val="28"/>
          <w:highlight w:val="none"/>
          <w:lang w:val="en-US" w:eastAsia="zh-CN"/>
        </w:rPr>
        <w:t xml:space="preserve">1</w:t>
      </w:r>
      <w:r>
        <w:rPr>
          <w:rFonts w:hint="eastAsia" w:ascii="宋体" w:hAnsi="宋体" w:eastAsia="宋体" w:cs="宋体"/>
          <w:b w:val="0"/>
          <w:bCs w:val="0"/>
          <w:color w:val="000000"/>
          <w:spacing w:val="-2"/>
          <w:sz w:val="28"/>
          <w:szCs w:val="28"/>
          <w:highlight w:val="none"/>
        </w:rPr>
        <w:t xml:space="preserve">分，</w:t>
      </w:r>
      <w:r>
        <w:rPr>
          <w:rFonts w:hint="eastAsia" w:ascii="宋体" w:hAnsi="宋体" w:eastAsia="宋体" w:cs="宋体"/>
          <w:b w:val="0"/>
          <w:bCs w:val="0"/>
          <w:color w:val="000000"/>
          <w:sz w:val="28"/>
          <w:szCs w:val="28"/>
          <w:highlight w:val="none"/>
        </w:rPr>
        <w:t xml:space="preserve">最高</w:t>
      </w:r>
      <w:r>
        <w:rPr>
          <w:rFonts w:hint="eastAsia" w:ascii="宋体" w:hAnsi="宋体" w:eastAsia="宋体" w:cs="宋体"/>
          <w:b w:val="0"/>
          <w:bCs w:val="0"/>
          <w:color w:val="000000"/>
          <w:spacing w:val="-2"/>
          <w:sz w:val="28"/>
          <w:szCs w:val="28"/>
          <w:highlight w:val="none"/>
        </w:rPr>
        <w:t xml:space="preserve">得</w:t>
      </w:r>
      <w:r>
        <w:rPr>
          <w:rFonts w:hint="eastAsia" w:ascii="宋体" w:hAnsi="宋体" w:eastAsia="宋体" w:cs="宋体"/>
          <w:b w:val="0"/>
          <w:bCs w:val="0"/>
          <w:color w:val="000000"/>
          <w:spacing w:val="-2"/>
          <w:sz w:val="28"/>
          <w:szCs w:val="28"/>
          <w:highlight w:val="none"/>
          <w:lang w:val="en-US" w:eastAsia="zh-CN"/>
        </w:rPr>
        <w:t xml:space="preserve">2</w:t>
      </w:r>
      <w:r>
        <w:rPr>
          <w:rFonts w:hint="eastAsia" w:ascii="宋体" w:hAnsi="宋体" w:eastAsia="宋体" w:cs="宋体"/>
          <w:b w:val="0"/>
          <w:bCs w:val="0"/>
          <w:color w:val="000000"/>
          <w:spacing w:val="-2"/>
          <w:sz w:val="28"/>
          <w:szCs w:val="28"/>
          <w:highlight w:val="none"/>
        </w:rPr>
        <w:t xml:space="preserve">分。</w:t>
      </w:r>
      <w:r>
        <w:rPr>
          <w:rFonts w:hint="eastAsia" w:ascii="宋体" w:hAnsi="宋体" w:eastAsia="宋体" w:cs="宋体"/>
          <w:b/>
          <w:bCs/>
          <w:color w:val="000000"/>
          <w:spacing w:val="-2"/>
          <w:sz w:val="28"/>
          <w:szCs w:val="28"/>
          <w:highlight w:val="none"/>
        </w:rPr>
        <w:t xml:space="preserve">时间以</w:t>
      </w:r>
      <w:r>
        <w:rPr>
          <w:rFonts w:hint="eastAsia" w:ascii="宋体" w:hAnsi="宋体" w:eastAsia="宋体" w:cs="宋体"/>
          <w:b/>
          <w:bCs/>
          <w:spacing w:val="-2"/>
          <w:sz w:val="28"/>
          <w:szCs w:val="28"/>
          <w:highlight w:val="none"/>
          <w:lang w:val="en-US" w:eastAsia="zh-CN"/>
        </w:rPr>
        <w:t xml:space="preserve">竣工验收合格</w:t>
      </w:r>
      <w:r>
        <w:rPr>
          <w:rFonts w:hint="eastAsia" w:ascii="宋体" w:hAnsi="宋体" w:eastAsia="宋体" w:cs="宋体"/>
          <w:b/>
          <w:bCs/>
          <w:spacing w:val="-2"/>
          <w:sz w:val="28"/>
          <w:szCs w:val="28"/>
          <w:highlight w:val="none"/>
        </w:rPr>
        <w:t xml:space="preserve">时间为准，</w:t>
      </w:r>
      <w:r>
        <w:rPr>
          <w:rFonts w:hint="eastAsia" w:ascii="宋体" w:hAnsi="宋体" w:eastAsia="宋体" w:cs="宋体"/>
          <w:b/>
          <w:bCs/>
          <w:spacing w:val="-2"/>
          <w:sz w:val="28"/>
          <w:szCs w:val="28"/>
          <w:highlight w:val="none"/>
          <w:lang w:val="en-US" w:eastAsia="zh-CN"/>
        </w:rPr>
        <w:t xml:space="preserve">须</w:t>
      </w:r>
      <w:r>
        <w:rPr>
          <w:rFonts w:hint="eastAsia" w:ascii="宋体" w:hAnsi="宋体" w:eastAsia="宋体" w:cs="宋体"/>
          <w:b/>
          <w:bCs/>
          <w:spacing w:val="-2"/>
          <w:sz w:val="28"/>
          <w:szCs w:val="28"/>
          <w:highlight w:val="none"/>
        </w:rPr>
        <w:t xml:space="preserve">提供合同</w:t>
      </w:r>
      <w:r>
        <w:rPr>
          <w:rFonts w:hint="eastAsia" w:ascii="宋体" w:hAnsi="宋体" w:eastAsia="宋体" w:cs="宋体"/>
          <w:b/>
          <w:bCs/>
          <w:spacing w:val="-2"/>
          <w:sz w:val="28"/>
          <w:szCs w:val="28"/>
          <w:highlight w:val="none"/>
          <w:lang w:eastAsia="zh-CN"/>
        </w:rPr>
        <w:t xml:space="preserve">、</w:t>
      </w:r>
      <w:r>
        <w:rPr>
          <w:rFonts w:hint="eastAsia" w:ascii="宋体" w:hAnsi="宋体" w:eastAsia="宋体" w:cs="宋体"/>
          <w:b/>
          <w:bCs/>
          <w:spacing w:val="-2"/>
          <w:sz w:val="28"/>
          <w:szCs w:val="28"/>
          <w:highlight w:val="none"/>
          <w:lang w:val="en-US" w:eastAsia="zh-CN"/>
        </w:rPr>
        <w:t xml:space="preserve">竣工验收证明等</w:t>
      </w:r>
      <w:r>
        <w:rPr>
          <w:rFonts w:hint="eastAsia" w:ascii="宋体" w:hAnsi="宋体" w:eastAsia="宋体" w:cs="宋体"/>
          <w:b/>
          <w:bCs/>
          <w:spacing w:val="-2"/>
          <w:sz w:val="28"/>
          <w:szCs w:val="28"/>
          <w:highlight w:val="none"/>
        </w:rPr>
        <w:t xml:space="preserve">原件扫描上传至投标文件中，未提供不得分。</w:t>
      </w:r>
      <w:r>
        <w:rPr>
          <w:rFonts w:hint="eastAsia" w:ascii="宋体" w:hAnsi="宋体" w:eastAsia="宋体" w:cs="宋体"/>
          <w:b/>
          <w:bCs/>
          <w:spacing w:val="-2"/>
          <w:sz w:val="28"/>
          <w:szCs w:val="28"/>
          <w:highlight w:val="none"/>
        </w:rPr>
      </w:r>
      <w:r/>
    </w:p>
    <w:p>
      <w:pPr>
        <w:pStyle w:val="786"/>
        <w:numPr>
          <w:ilvl w:val="4"/>
          <w:numId w:val="0"/>
        </w:numPr>
        <w:ind w:left="0" w:firstLine="482"/>
        <w:keepLines w:val="0"/>
        <w:keepNext w:val="0"/>
        <w:pageBreakBefore w:val="0"/>
        <w:spacing w:line="440" w:lineRule="exact"/>
        <w:tabs>
          <w:tab w:val="left" w:pos="525" w:leader="none"/>
          <w:tab w:val="left" w:pos="945" w:leader="none"/>
          <w:tab w:val="left" w:pos="1155" w:leader="none"/>
          <w:tab w:val="left" w:pos="3823" w:leader="none"/>
        </w:tabs>
        <w:rPr>
          <w:rFonts w:hint="eastAsia" w:ascii="宋体" w:hAnsi="宋体" w:eastAsia="宋体" w:cs="宋体"/>
          <w:bCs/>
          <w:color w:val="000000"/>
          <w:sz w:val="28"/>
          <w:szCs w:val="28"/>
          <w:highlight w:val="none"/>
          <w:lang w:val="en-US" w:eastAsia="zh-CN"/>
        </w:rPr>
      </w:pPr>
      <w:r>
        <w:rPr>
          <w:rFonts w:hint="eastAsia" w:ascii="宋体" w:hAnsi="宋体" w:eastAsia="宋体" w:cs="宋体"/>
          <w:b/>
          <w:bCs/>
          <w:spacing w:val="-2"/>
          <w:sz w:val="28"/>
          <w:szCs w:val="28"/>
          <w:highlight w:val="none"/>
          <w:lang w:val="en-US" w:eastAsia="zh-CN"/>
        </w:rPr>
        <w:t xml:space="preserve">（3） 投标人拟派项目</w:t>
      </w:r>
      <w:r>
        <w:rPr>
          <w:rFonts w:hint="eastAsia" w:ascii="宋体" w:hAnsi="宋体" w:eastAsia="宋体" w:cs="宋体"/>
          <w:b/>
          <w:bCs/>
          <w:color w:val="000000"/>
          <w:sz w:val="28"/>
          <w:szCs w:val="28"/>
          <w:highlight w:val="none"/>
        </w:rPr>
        <w:t xml:space="preserve">人员情况</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7分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Cs/>
          <w:color w:val="000000"/>
          <w:sz w:val="28"/>
          <w:szCs w:val="28"/>
          <w:highlight w:val="none"/>
          <w:lang w:val="en-US" w:eastAsia="zh-CN"/>
        </w:rPr>
      </w:r>
      <w:r/>
    </w:p>
    <w:p>
      <w:pPr>
        <w:pStyle w:val="786"/>
        <w:ind w:firstLine="480"/>
        <w:keepLines w:val="0"/>
        <w:keepNext w:val="0"/>
        <w:pageBreakBefore w:val="0"/>
        <w:spacing w:line="360" w:lineRule="auto"/>
        <w:widowControl w:val="off"/>
        <w:tabs>
          <w:tab w:val="left" w:pos="510" w:leader="none"/>
          <w:tab w:val="left" w:pos="945" w:leader="none"/>
          <w:tab w:val="left" w:pos="1155" w:leader="none"/>
          <w:tab w:val="left" w:pos="3823" w:leader="none"/>
        </w:tabs>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①投标人</w:t>
      </w:r>
      <w:r>
        <w:rPr>
          <w:rFonts w:hint="eastAsia" w:ascii="宋体" w:hAnsi="宋体" w:eastAsia="宋体" w:cs="宋体"/>
          <w:bCs/>
          <w:color w:val="000000"/>
          <w:sz w:val="28"/>
          <w:szCs w:val="28"/>
          <w:highlight w:val="none"/>
        </w:rPr>
        <w:t xml:space="preserve">项目</w:t>
      </w:r>
      <w:r>
        <w:rPr>
          <w:rFonts w:hint="eastAsia" w:ascii="宋体" w:hAnsi="宋体" w:eastAsia="宋体" w:cs="宋体"/>
          <w:bCs/>
          <w:color w:val="000000"/>
          <w:sz w:val="28"/>
          <w:szCs w:val="28"/>
          <w:highlight w:val="none"/>
          <w:lang w:val="en-US" w:eastAsia="zh-CN"/>
        </w:rPr>
        <w:t xml:space="preserve">负责人</w:t>
      </w:r>
      <w:r>
        <w:rPr>
          <w:rFonts w:hint="eastAsia" w:ascii="宋体" w:hAnsi="宋体" w:eastAsia="宋体" w:cs="宋体"/>
          <w:b w:val="0"/>
          <w:bCs w:val="0"/>
          <w:sz w:val="28"/>
          <w:szCs w:val="28"/>
          <w:highlight w:val="none"/>
          <w:lang w:val="en-US" w:eastAsia="zh-CN"/>
        </w:rPr>
        <w:t xml:space="preserve">具有</w:t>
      </w:r>
      <w:r>
        <w:rPr>
          <w:rFonts w:hint="eastAsia" w:ascii="宋体" w:hAnsi="宋体" w:eastAsia="宋体" w:cs="宋体"/>
          <w:b w:val="0"/>
          <w:bCs w:val="0"/>
          <w:strike w:val="0"/>
          <w:sz w:val="28"/>
          <w:szCs w:val="28"/>
          <w:highlight w:val="none"/>
          <w:lang w:val="en-US" w:eastAsia="zh-CN"/>
        </w:rPr>
        <w:t xml:space="preserve">建设行政主管部门核发的</w:t>
      </w:r>
      <w:r>
        <w:rPr>
          <w:rFonts w:hint="eastAsia" w:ascii="宋体" w:hAnsi="宋体" w:eastAsia="宋体" w:cs="宋体"/>
          <w:b w:val="0"/>
          <w:bCs w:val="0"/>
          <w:strike w:val="0"/>
          <w:color w:val="000000"/>
          <w:sz w:val="28"/>
          <w:szCs w:val="28"/>
          <w:highlight w:val="none"/>
          <w:lang w:val="en-US" w:eastAsia="zh-CN"/>
        </w:rPr>
        <w:t xml:space="preserve">有</w:t>
      </w:r>
      <w:r>
        <w:rPr>
          <w:rFonts w:hint="eastAsia" w:ascii="宋体" w:hAnsi="宋体" w:eastAsia="宋体" w:cs="宋体"/>
          <w:b w:val="0"/>
          <w:bCs w:val="0"/>
          <w:color w:val="000000"/>
          <w:sz w:val="28"/>
          <w:szCs w:val="28"/>
          <w:highlight w:val="none"/>
          <w:lang w:val="en-US" w:eastAsia="zh-CN"/>
        </w:rPr>
        <w:t xml:space="preserve">效期内的《燃气用户检修工》</w:t>
      </w:r>
      <w:r>
        <w:rPr>
          <w:rFonts w:hint="eastAsia" w:ascii="宋体" w:hAnsi="宋体" w:eastAsia="宋体" w:cs="宋体"/>
          <w:b w:val="0"/>
          <w:bCs w:val="0"/>
          <w:color w:val="000000"/>
          <w:sz w:val="28"/>
          <w:szCs w:val="28"/>
          <w:highlight w:val="none"/>
        </w:rPr>
        <w:t xml:space="preserve">证书</w:t>
      </w:r>
      <w:r>
        <w:rPr>
          <w:rFonts w:hint="eastAsia" w:ascii="宋体" w:hAnsi="宋体" w:eastAsia="宋体" w:cs="宋体"/>
          <w:b w:val="0"/>
          <w:bCs w:val="0"/>
          <w:sz w:val="28"/>
          <w:szCs w:val="28"/>
          <w:highlight w:val="none"/>
          <w:lang w:val="en-US" w:eastAsia="zh-CN"/>
        </w:rPr>
        <w:t xml:space="preserve">得3分。</w:t>
      </w:r>
      <w:r>
        <w:rPr>
          <w:rFonts w:hint="eastAsia" w:ascii="宋体" w:hAnsi="宋体" w:eastAsia="宋体" w:cs="宋体"/>
          <w:bCs/>
          <w:color w:val="000000"/>
          <w:sz w:val="28"/>
          <w:szCs w:val="28"/>
          <w:highlight w:val="none"/>
          <w:lang w:val="en-US" w:eastAsia="zh-CN"/>
        </w:rPr>
      </w:r>
      <w:r/>
    </w:p>
    <w:p>
      <w:pPr>
        <w:pStyle w:val="786"/>
        <w:ind w:firstLine="480"/>
        <w:keepLines w:val="0"/>
        <w:keepNext w:val="0"/>
        <w:pageBreakBefore w:val="0"/>
        <w:spacing w:line="360" w:lineRule="auto"/>
        <w:widowControl w:val="off"/>
        <w:tabs>
          <w:tab w:val="left" w:pos="510" w:leader="none"/>
          <w:tab w:val="left" w:pos="945" w:leader="none"/>
          <w:tab w:val="left" w:pos="1155" w:leader="none"/>
          <w:tab w:val="left" w:pos="3823" w:leader="none"/>
        </w:tabs>
        <w:rPr>
          <w:rFonts w:hint="eastAsia" w:ascii="宋体" w:hAnsi="宋体" w:eastAsia="宋体" w:cs="宋体"/>
          <w:b w:val="0"/>
          <w:bCs w:val="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②投标人</w:t>
      </w:r>
      <w:r>
        <w:rPr>
          <w:rFonts w:hint="eastAsia" w:ascii="宋体" w:hAnsi="宋体" w:eastAsia="宋体" w:cs="宋体"/>
          <w:bCs/>
          <w:color w:val="000000"/>
          <w:sz w:val="28"/>
          <w:szCs w:val="28"/>
          <w:highlight w:val="none"/>
        </w:rPr>
        <w:t xml:space="preserve">项目组成员</w:t>
      </w:r>
      <w:r>
        <w:rPr>
          <w:rFonts w:hint="eastAsia" w:ascii="宋体" w:hAnsi="宋体" w:eastAsia="宋体" w:cs="宋体"/>
          <w:b w:val="0"/>
          <w:bCs w:val="0"/>
          <w:sz w:val="28"/>
          <w:szCs w:val="28"/>
          <w:highlight w:val="none"/>
          <w:lang w:val="en-US" w:eastAsia="zh-CN"/>
        </w:rPr>
        <w:t xml:space="preserve">具有</w:t>
      </w:r>
      <w:r>
        <w:rPr>
          <w:rFonts w:hint="eastAsia" w:ascii="宋体" w:hAnsi="宋体" w:eastAsia="宋体" w:cs="宋体"/>
          <w:b w:val="0"/>
          <w:bCs w:val="0"/>
          <w:color w:val="000000"/>
          <w:sz w:val="28"/>
          <w:szCs w:val="28"/>
          <w:highlight w:val="none"/>
          <w:lang w:val="en-US" w:eastAsia="zh-CN"/>
        </w:rPr>
        <w:t xml:space="preserve">有效期内《燃气燃烧器具安装维修工》</w:t>
      </w:r>
      <w:r>
        <w:rPr>
          <w:rFonts w:hint="eastAsia" w:ascii="宋体" w:hAnsi="宋体" w:eastAsia="宋体" w:cs="宋体"/>
          <w:b w:val="0"/>
          <w:bCs w:val="0"/>
          <w:color w:val="000000"/>
          <w:sz w:val="28"/>
          <w:szCs w:val="28"/>
          <w:highlight w:val="none"/>
        </w:rPr>
        <w:t xml:space="preserve">证书</w:t>
      </w:r>
      <w:r>
        <w:rPr>
          <w:rFonts w:hint="eastAsia" w:ascii="宋体" w:hAnsi="宋体" w:eastAsia="宋体" w:cs="宋体"/>
          <w:b w:val="0"/>
          <w:bCs w:val="0"/>
          <w:sz w:val="28"/>
          <w:szCs w:val="28"/>
          <w:highlight w:val="none"/>
          <w:lang w:val="en-US" w:eastAsia="zh-CN"/>
        </w:rPr>
        <w:t xml:space="preserve">得1分，最高4分。</w:t>
      </w:r>
      <w:r>
        <w:rPr>
          <w:rFonts w:hint="eastAsia" w:ascii="宋体" w:hAnsi="宋体" w:eastAsia="宋体" w:cs="宋体"/>
          <w:b w:val="0"/>
          <w:bCs w:val="0"/>
          <w:sz w:val="28"/>
          <w:szCs w:val="28"/>
          <w:highlight w:val="none"/>
          <w:lang w:val="en-US" w:eastAsia="zh-CN"/>
        </w:rPr>
      </w:r>
      <w:r/>
    </w:p>
    <w:p>
      <w:pPr>
        <w:pStyle w:val="786"/>
        <w:ind w:firstLine="482"/>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8"/>
          <w:szCs w:val="28"/>
          <w:highlight w:val="none"/>
          <w:lang w:eastAsia="zh-CN"/>
        </w:rPr>
      </w:pPr>
      <w:r>
        <w:rPr>
          <w:rFonts w:hint="eastAsia" w:ascii="宋体" w:hAnsi="宋体" w:eastAsia="宋体" w:cs="宋体"/>
          <w:b/>
          <w:bCs w:val="0"/>
          <w:color w:val="000000"/>
          <w:sz w:val="28"/>
          <w:szCs w:val="28"/>
          <w:highlight w:val="none"/>
        </w:rPr>
        <w:t xml:space="preserve">注：</w:t>
      </w:r>
      <w:r>
        <w:rPr>
          <w:rFonts w:hint="eastAsia" w:ascii="宋体" w:hAnsi="宋体" w:eastAsia="宋体" w:cs="宋体"/>
          <w:b/>
          <w:bCs w:val="0"/>
          <w:color w:val="000000"/>
          <w:sz w:val="28"/>
          <w:szCs w:val="28"/>
          <w:highlight w:val="none"/>
          <w:lang w:val="en-US" w:eastAsia="zh-CN"/>
        </w:rPr>
        <w:t xml:space="preserve">以上两项，一人多证不得分。</w:t>
      </w:r>
      <w:r>
        <w:rPr>
          <w:rFonts w:hint="eastAsia" w:ascii="宋体" w:hAnsi="宋体" w:eastAsia="宋体" w:cs="宋体"/>
          <w:b/>
          <w:bCs w:val="0"/>
          <w:color w:val="000000"/>
          <w:sz w:val="28"/>
          <w:szCs w:val="28"/>
          <w:highlight w:val="none"/>
        </w:rPr>
        <w:t xml:space="preserve">提供</w:t>
      </w:r>
      <w:r>
        <w:rPr>
          <w:rFonts w:hint="eastAsia" w:ascii="宋体" w:hAnsi="宋体" w:eastAsia="宋体" w:cs="宋体"/>
          <w:b/>
          <w:bCs/>
          <w:color w:val="000000"/>
          <w:sz w:val="28"/>
          <w:szCs w:val="28"/>
          <w:highlight w:val="none"/>
        </w:rPr>
        <w:t xml:space="preserve">人员证书原件</w:t>
      </w:r>
      <w:r>
        <w:rPr>
          <w:rFonts w:hint="eastAsia" w:ascii="宋体" w:hAnsi="宋体" w:eastAsia="宋体" w:cs="宋体"/>
          <w:b/>
          <w:bCs/>
          <w:color w:val="000000"/>
          <w:sz w:val="28"/>
          <w:szCs w:val="28"/>
          <w:highlight w:val="none"/>
          <w:lang w:val="en-US" w:eastAsia="zh-CN"/>
        </w:rPr>
        <w:t xml:space="preserve">扫描件及投标人</w:t>
      </w:r>
      <w:r>
        <w:rPr>
          <w:rFonts w:hint="eastAsia" w:ascii="宋体" w:hAnsi="宋体" w:eastAsia="宋体" w:cs="宋体"/>
          <w:b/>
          <w:bCs/>
          <w:color w:val="000000"/>
          <w:sz w:val="28"/>
          <w:szCs w:val="28"/>
          <w:highlight w:val="none"/>
        </w:rPr>
        <w:t xml:space="preserve">为其缴纳的</w:t>
      </w:r>
      <w:r>
        <w:rPr>
          <w:rFonts w:hint="eastAsia" w:ascii="宋体" w:hAnsi="宋体" w:eastAsia="宋体" w:cs="宋体"/>
          <w:b/>
          <w:bCs/>
          <w:color w:val="000000"/>
          <w:sz w:val="28"/>
          <w:szCs w:val="28"/>
          <w:highlight w:val="none"/>
          <w:lang w:val="en-US" w:eastAsia="zh-CN"/>
        </w:rPr>
        <w:t xml:space="preserve">近六个月中连续三个</w:t>
      </w:r>
      <w:r>
        <w:rPr>
          <w:rFonts w:hint="eastAsia" w:ascii="宋体" w:hAnsi="宋体" w:eastAsia="宋体" w:cs="宋体"/>
          <w:b/>
          <w:bCs/>
          <w:color w:val="000000"/>
          <w:sz w:val="28"/>
          <w:szCs w:val="28"/>
          <w:highlight w:val="none"/>
          <w:lang w:val="zh-CN"/>
        </w:rPr>
        <w:t xml:space="preserve">月份（</w:t>
      </w:r>
      <w:r>
        <w:rPr>
          <w:rFonts w:hint="eastAsia" w:ascii="宋体" w:hAnsi="宋体" w:eastAsia="宋体" w:cs="宋体"/>
          <w:b/>
          <w:bCs/>
          <w:color w:val="000000"/>
          <w:sz w:val="28"/>
          <w:szCs w:val="28"/>
          <w:highlight w:val="none"/>
          <w:lang w:val="en-US" w:eastAsia="zh-CN"/>
        </w:rPr>
        <w:t xml:space="preserve">不含投标当月</w:t>
      </w:r>
      <w:r>
        <w:rPr>
          <w:rFonts w:hint="eastAsia" w:ascii="宋体" w:hAnsi="宋体" w:eastAsia="宋体" w:cs="宋体"/>
          <w:b/>
          <w:bCs/>
          <w:color w:val="000000"/>
          <w:sz w:val="28"/>
          <w:szCs w:val="28"/>
          <w:highlight w:val="none"/>
          <w:lang w:val="zh-CN"/>
        </w:rPr>
        <w:t xml:space="preserve">）</w:t>
      </w:r>
      <w:r>
        <w:rPr>
          <w:rFonts w:hint="eastAsia" w:ascii="宋体" w:hAnsi="宋体" w:eastAsia="宋体" w:cs="宋体"/>
          <w:b/>
          <w:bCs/>
          <w:color w:val="000000"/>
          <w:sz w:val="28"/>
          <w:szCs w:val="28"/>
          <w:highlight w:val="none"/>
        </w:rPr>
        <w:t xml:space="preserve">社保证明上传至投标文件中，不提供或提供不全不得分）</w:t>
      </w:r>
      <w:r>
        <w:rPr>
          <w:rFonts w:hint="eastAsia" w:ascii="宋体" w:hAnsi="宋体" w:eastAsia="宋体" w:cs="宋体"/>
          <w:b/>
          <w:bCs w:val="0"/>
          <w:color w:val="000000"/>
          <w:sz w:val="28"/>
          <w:szCs w:val="28"/>
          <w:highlight w:val="none"/>
          <w:lang w:eastAsia="zh-CN"/>
        </w:rPr>
        <w:t xml:space="preserve">。</w:t>
      </w:r>
      <w:r>
        <w:rPr>
          <w:rFonts w:hint="eastAsia" w:ascii="宋体" w:hAnsi="宋体" w:eastAsia="宋体" w:cs="宋体"/>
          <w:b/>
          <w:bCs w:val="0"/>
          <w:color w:val="000000"/>
          <w:sz w:val="28"/>
          <w:szCs w:val="28"/>
          <w:highlight w:val="none"/>
          <w:lang w:eastAsia="zh-CN"/>
        </w:rPr>
      </w:r>
      <w:r/>
    </w:p>
    <w:p>
      <w:pPr>
        <w:pStyle w:val="786"/>
        <w:numPr>
          <w:ilvl w:val="4"/>
          <w:numId w:val="0"/>
        </w:numPr>
        <w:ind w:left="0" w:firstLine="482"/>
        <w:keepLines w:val="0"/>
        <w:keepNext w:val="0"/>
        <w:pageBreakBefore w:val="0"/>
        <w:spacing w:line="44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bidi="ar-SA"/>
        </w:rPr>
        <w:t xml:space="preserve">3.</w:t>
      </w:r>
      <w:r>
        <w:rPr>
          <w:rFonts w:hint="eastAsia" w:ascii="宋体" w:hAnsi="宋体" w:eastAsia="宋体" w:cs="宋体"/>
          <w:b/>
          <w:bCs/>
          <w:color w:val="000000"/>
          <w:sz w:val="28"/>
          <w:szCs w:val="28"/>
          <w:highlight w:val="none"/>
        </w:rPr>
        <w:t xml:space="preserve">产品性能及技术要求（</w:t>
      </w:r>
      <w:r>
        <w:rPr>
          <w:rFonts w:hint="eastAsia" w:ascii="宋体" w:hAnsi="宋体" w:eastAsia="宋体" w:cs="宋体"/>
          <w:b/>
          <w:bCs/>
          <w:color w:val="000000"/>
          <w:sz w:val="28"/>
          <w:szCs w:val="28"/>
          <w:highlight w:val="none"/>
          <w:lang w:val="en-US" w:eastAsia="zh-CN"/>
        </w:rPr>
        <w:t xml:space="preserve">18</w:t>
      </w:r>
      <w:r>
        <w:rPr>
          <w:rFonts w:hint="eastAsia" w:ascii="宋体" w:hAnsi="宋体" w:eastAsia="宋体" w:cs="宋体"/>
          <w:b/>
          <w:bCs/>
          <w:color w:val="000000"/>
          <w:sz w:val="28"/>
          <w:szCs w:val="28"/>
          <w:highlight w:val="none"/>
        </w:rPr>
        <w:t xml:space="preserve">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r>
      <w:r/>
    </w:p>
    <w:p>
      <w:pPr>
        <w:pStyle w:val="786"/>
        <w:ind w:left="0" w:right="0" w:firstLine="470"/>
        <w:keepLines w:val="0"/>
        <w:keepNext w:val="0"/>
        <w:pageBreakBefore w:val="0"/>
        <w:spacing w:line="360" w:lineRule="auto"/>
        <w:widowControl/>
        <w:rPr>
          <w:rFonts w:hint="eastAsia" w:ascii="宋体" w:hAnsi="宋体" w:eastAsia="宋体" w:cs="宋体"/>
          <w:b/>
          <w:bCs/>
          <w:sz w:val="28"/>
          <w:szCs w:val="28"/>
          <w:highlight w:val="none"/>
        </w:rPr>
      </w:pPr>
      <w:r>
        <w:rPr>
          <w:rFonts w:hint="eastAsia" w:ascii="宋体" w:hAnsi="宋体" w:eastAsia="宋体" w:cs="宋体"/>
          <w:b/>
          <w:bCs/>
          <w:spacing w:val="-3"/>
          <w:sz w:val="28"/>
          <w:szCs w:val="28"/>
          <w:highlight w:val="none"/>
        </w:rPr>
        <w:t xml:space="preserve">（</w:t>
      </w:r>
      <w:r>
        <w:rPr>
          <w:rFonts w:hint="eastAsia" w:ascii="宋体" w:hAnsi="宋体" w:eastAsia="宋体" w:cs="宋体"/>
          <w:b/>
          <w:bCs/>
          <w:spacing w:val="-3"/>
          <w:sz w:val="28"/>
          <w:szCs w:val="28"/>
          <w:highlight w:val="none"/>
          <w:lang w:val="en-US" w:eastAsia="zh-CN"/>
        </w:rPr>
        <w:t xml:space="preserve">1</w:t>
      </w:r>
      <w:r>
        <w:rPr>
          <w:rFonts w:hint="eastAsia" w:ascii="宋体" w:hAnsi="宋体" w:eastAsia="宋体" w:cs="宋体"/>
          <w:b/>
          <w:bCs/>
          <w:spacing w:val="-3"/>
          <w:sz w:val="28"/>
          <w:szCs w:val="28"/>
          <w:highlight w:val="none"/>
        </w:rPr>
        <w:t xml:space="preserve">）所投长龙式洗碗机产</w:t>
      </w:r>
      <w:r>
        <w:rPr>
          <w:rFonts w:hint="eastAsia" w:ascii="宋体" w:hAnsi="宋体" w:eastAsia="宋体" w:cs="宋体"/>
          <w:b/>
          <w:bCs/>
          <w:color w:val="000000"/>
          <w:spacing w:val="-3"/>
          <w:sz w:val="28"/>
          <w:szCs w:val="28"/>
          <w:highlight w:val="none"/>
        </w:rPr>
        <w:t xml:space="preserve">品（</w:t>
      </w:r>
      <w:r>
        <w:rPr>
          <w:rFonts w:hint="eastAsia" w:ascii="宋体" w:hAnsi="宋体" w:eastAsia="宋体" w:cs="宋体"/>
          <w:b/>
          <w:bCs/>
          <w:color w:val="000000"/>
          <w:spacing w:val="-3"/>
          <w:sz w:val="28"/>
          <w:szCs w:val="28"/>
          <w:highlight w:val="none"/>
          <w:lang w:val="en-US" w:eastAsia="zh-CN"/>
        </w:rPr>
        <w:t xml:space="preserve">6</w:t>
      </w:r>
      <w:r>
        <w:rPr>
          <w:rFonts w:hint="eastAsia" w:ascii="宋体" w:hAnsi="宋体" w:eastAsia="宋体" w:cs="宋体"/>
          <w:b/>
          <w:bCs/>
          <w:color w:val="000000"/>
          <w:spacing w:val="-3"/>
          <w:sz w:val="28"/>
          <w:szCs w:val="28"/>
          <w:highlight w:val="none"/>
        </w:rPr>
        <w:t xml:space="preserve">分）</w:t>
      </w:r>
      <w:r>
        <w:rPr>
          <w:rFonts w:hint="eastAsia" w:ascii="宋体" w:hAnsi="宋体" w:eastAsia="宋体" w:cs="宋体"/>
          <w:b/>
          <w:bCs/>
          <w:sz w:val="28"/>
          <w:szCs w:val="28"/>
          <w:highlight w:val="none"/>
        </w:rPr>
      </w:r>
      <w:r/>
    </w:p>
    <w:p>
      <w:pPr>
        <w:pStyle w:val="786"/>
        <w:ind w:left="0" w:right="0" w:firstLine="478"/>
        <w:keepLines w:val="0"/>
        <w:keepNext w:val="0"/>
        <w:pageBreakBefore w:val="0"/>
        <w:spacing w:line="360" w:lineRule="auto"/>
        <w:widowControl/>
        <w:rPr>
          <w:rFonts w:hint="eastAsia" w:ascii="宋体" w:hAnsi="宋体" w:eastAsia="宋体" w:cs="宋体"/>
          <w:b/>
          <w:bCs/>
          <w:color w:val="000000"/>
          <w:spacing w:val="-5"/>
          <w:sz w:val="28"/>
          <w:szCs w:val="28"/>
          <w:highlight w:val="none"/>
        </w:rPr>
      </w:pPr>
      <w:r>
        <w:rPr>
          <w:rFonts w:hint="eastAsia" w:ascii="宋体" w:hAnsi="宋体" w:eastAsia="宋体" w:cs="宋体"/>
          <w:color w:val="000000"/>
          <w:spacing w:val="-5"/>
          <w:sz w:val="28"/>
          <w:szCs w:val="28"/>
          <w:highlight w:val="none"/>
        </w:rPr>
        <w:t xml:space="preserve">①</w:t>
      </w:r>
      <w:r>
        <w:rPr>
          <w:rFonts w:hint="eastAsia" w:ascii="宋体" w:hAnsi="宋体" w:eastAsia="宋体" w:cs="宋体"/>
          <w:b w:val="0"/>
          <w:bCs w:val="0"/>
          <w:spacing w:val="-3"/>
          <w:sz w:val="28"/>
          <w:szCs w:val="28"/>
          <w:highlight w:val="none"/>
        </w:rPr>
        <w:t xml:space="preserve">所投</w:t>
      </w:r>
      <w:r>
        <w:rPr>
          <w:rFonts w:hint="eastAsia" w:ascii="宋体" w:hAnsi="宋体" w:eastAsia="宋体" w:cs="宋体"/>
          <w:color w:val="000000"/>
          <w:spacing w:val="-5"/>
          <w:sz w:val="28"/>
          <w:szCs w:val="28"/>
          <w:highlight w:val="none"/>
          <w:lang w:eastAsia="zh-CN"/>
        </w:rPr>
        <w:t xml:space="preserve">长龙式洗碗机</w:t>
      </w:r>
      <w:r>
        <w:rPr>
          <w:rFonts w:hint="eastAsia" w:ascii="宋体" w:hAnsi="宋体" w:eastAsia="宋体" w:cs="宋体"/>
          <w:color w:val="000000"/>
          <w:spacing w:val="-5"/>
          <w:sz w:val="28"/>
          <w:szCs w:val="28"/>
          <w:highlight w:val="none"/>
          <w:lang w:val="en-US" w:eastAsia="zh-CN"/>
        </w:rPr>
        <w:t xml:space="preserve">产品</w:t>
      </w:r>
      <w:r>
        <w:rPr>
          <w:rFonts w:hint="eastAsia" w:ascii="宋体" w:hAnsi="宋体" w:eastAsia="宋体" w:cs="宋体"/>
          <w:sz w:val="28"/>
          <w:szCs w:val="28"/>
          <w:highlight w:val="none"/>
          <w:lang w:val="en-US" w:eastAsia="zh-CN"/>
        </w:rPr>
        <w:t xml:space="preserve">❶符合GB/T 24021-2024标准的环境标志（Ⅱ型）产品认证证书；❷符合GB/T 24021-2024标准的环保（Ⅱ型）产品认证证书；</w:t>
      </w:r>
      <w:r>
        <w:rPr>
          <w:rFonts w:hint="eastAsia" w:ascii="宋体" w:hAnsi="宋体" w:eastAsia="宋体" w:cs="宋体"/>
          <w:b/>
          <w:bCs/>
          <w:sz w:val="28"/>
          <w:szCs w:val="28"/>
          <w:highlight w:val="none"/>
          <w:lang w:val="en-US" w:eastAsia="zh-CN"/>
        </w:rPr>
        <w:t xml:space="preserve">每满足一项得1分，最高</w:t>
      </w:r>
      <w:r>
        <w:rPr>
          <w:rFonts w:hint="eastAsia" w:ascii="宋体" w:hAnsi="宋体" w:eastAsia="宋体" w:cs="宋体"/>
          <w:b/>
          <w:bCs/>
          <w:color w:val="000000"/>
          <w:sz w:val="28"/>
          <w:szCs w:val="28"/>
          <w:highlight w:val="none"/>
        </w:rPr>
        <w:t xml:space="preserve">得</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val="0"/>
          <w:bCs w:val="0"/>
          <w:spacing w:val="-2"/>
          <w:sz w:val="28"/>
          <w:szCs w:val="28"/>
          <w:highlight w:val="none"/>
          <w:lang w:val="en-US" w:eastAsia="zh-CN"/>
        </w:rPr>
        <w:t xml:space="preserve">❶❷</w:t>
      </w:r>
      <w:r>
        <w:rPr>
          <w:rFonts w:hint="eastAsia" w:ascii="宋体" w:hAnsi="宋体" w:eastAsia="宋体" w:cs="宋体"/>
          <w:b/>
          <w:bCs/>
          <w:sz w:val="28"/>
          <w:szCs w:val="28"/>
          <w:highlight w:val="none"/>
          <w:lang w:val="en-US" w:eastAsia="zh-CN"/>
        </w:rPr>
        <w:t xml:space="preserve">提供有效期内的认证证书</w:t>
      </w:r>
      <w:r>
        <w:rPr>
          <w:rFonts w:hint="eastAsia" w:ascii="宋体" w:hAnsi="宋体" w:eastAsia="宋体" w:cs="宋体"/>
          <w:b/>
          <w:bCs/>
          <w:color w:val="000000"/>
          <w:sz w:val="28"/>
          <w:szCs w:val="28"/>
          <w:highlight w:val="none"/>
          <w:lang w:val="en-US" w:eastAsia="zh-CN"/>
        </w:rPr>
        <w:t xml:space="preserve">及</w:t>
      </w:r>
      <w:r>
        <w:rPr>
          <w:rFonts w:hint="eastAsia" w:ascii="宋体" w:hAnsi="宋体" w:eastAsia="宋体" w:cs="宋体"/>
          <w:b/>
          <w:bCs/>
          <w:color w:val="000000"/>
          <w:sz w:val="28"/>
          <w:szCs w:val="28"/>
          <w:highlight w:val="none"/>
        </w:rPr>
        <w:t xml:space="preserve">全国认证认可信息公共服务平台查询截图附于投标文件中</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不提供或提供不全不得分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pacing w:val="-5"/>
          <w:sz w:val="28"/>
          <w:szCs w:val="28"/>
          <w:highlight w:val="none"/>
          <w:lang w:eastAsia="zh-CN"/>
        </w:rPr>
        <w:t xml:space="preserve">。</w:t>
      </w:r>
      <w:r>
        <w:rPr>
          <w:rFonts w:hint="eastAsia" w:ascii="宋体" w:hAnsi="宋体" w:eastAsia="宋体" w:cs="宋体"/>
          <w:b/>
          <w:bCs/>
          <w:color w:val="000000"/>
          <w:spacing w:val="-5"/>
          <w:sz w:val="28"/>
          <w:szCs w:val="28"/>
          <w:highlight w:val="none"/>
        </w:rPr>
      </w:r>
      <w:r/>
    </w:p>
    <w:p>
      <w:pPr>
        <w:pStyle w:val="786"/>
        <w:ind w:left="0" w:right="0" w:firstLine="470"/>
        <w:keepLines w:val="0"/>
        <w:keepNext w:val="0"/>
        <w:pageBreakBefore w:val="0"/>
        <w:spacing w:line="360" w:lineRule="auto"/>
        <w:widowControl/>
        <w:rPr>
          <w:rFonts w:hint="eastAsia" w:ascii="宋体" w:hAnsi="宋体" w:eastAsia="宋体" w:cs="宋体"/>
          <w:b/>
          <w:bCs/>
          <w:spacing w:val="-5"/>
          <w:sz w:val="28"/>
          <w:szCs w:val="28"/>
          <w:highlight w:val="none"/>
        </w:rPr>
      </w:pPr>
      <w:r>
        <w:rPr>
          <w:rFonts w:hint="eastAsia" w:ascii="宋体" w:hAnsi="宋体" w:eastAsia="宋体" w:cs="宋体"/>
          <w:spacing w:val="-5"/>
          <w:sz w:val="28"/>
          <w:szCs w:val="28"/>
          <w:highlight w:val="none"/>
        </w:rPr>
        <w:t xml:space="preserve">②</w:t>
      </w:r>
      <w:r>
        <w:rPr>
          <w:rFonts w:hint="eastAsia" w:ascii="宋体" w:hAnsi="宋体" w:eastAsia="宋体" w:cs="宋体"/>
          <w:b w:val="0"/>
          <w:bCs w:val="0"/>
          <w:spacing w:val="-3"/>
          <w:sz w:val="28"/>
          <w:szCs w:val="28"/>
          <w:highlight w:val="none"/>
        </w:rPr>
        <w:t xml:space="preserve">所投</w:t>
      </w:r>
      <w:r>
        <w:rPr>
          <w:rFonts w:hint="eastAsia" w:ascii="宋体" w:hAnsi="宋体" w:eastAsia="宋体" w:cs="宋体"/>
          <w:color w:val="000000"/>
          <w:spacing w:val="-5"/>
          <w:sz w:val="28"/>
          <w:szCs w:val="28"/>
          <w:highlight w:val="none"/>
          <w:lang w:eastAsia="zh-CN"/>
        </w:rPr>
        <w:t xml:space="preserve">长龙式洗碗机</w:t>
      </w:r>
      <w:r>
        <w:rPr>
          <w:rFonts w:hint="eastAsia" w:ascii="宋体" w:hAnsi="宋体" w:eastAsia="宋体" w:cs="宋体"/>
          <w:color w:val="000000"/>
          <w:spacing w:val="-5"/>
          <w:sz w:val="28"/>
          <w:szCs w:val="28"/>
          <w:highlight w:val="none"/>
          <w:lang w:val="en-US" w:eastAsia="zh-CN"/>
        </w:rPr>
        <w:t xml:space="preserve">产品❶</w:t>
      </w:r>
      <w:r>
        <w:rPr>
          <w:rFonts w:hint="eastAsia" w:ascii="宋体" w:hAnsi="宋体" w:eastAsia="宋体" w:cs="宋体"/>
          <w:sz w:val="28"/>
          <w:szCs w:val="28"/>
          <w:highlight w:val="none"/>
          <w:lang w:val="en-US" w:eastAsia="zh-CN"/>
        </w:rPr>
        <w:t xml:space="preserve">符合GB/T23331-2020标准的能源管理体系认证证书；❷商用洗碗机核心配件门条、喷管帽符合GB/T 1040.2-2022标准的产品力学认证证书；</w:t>
      </w:r>
      <w:r>
        <w:rPr>
          <w:rFonts w:hint="eastAsia" w:ascii="宋体" w:hAnsi="宋体" w:eastAsia="宋体" w:cs="宋体"/>
          <w:b/>
          <w:bCs/>
          <w:sz w:val="28"/>
          <w:szCs w:val="28"/>
          <w:highlight w:val="none"/>
          <w:lang w:val="en-US" w:eastAsia="zh-CN"/>
        </w:rPr>
        <w:t xml:space="preserve">每满足一项得1分，最高</w:t>
      </w:r>
      <w:r>
        <w:rPr>
          <w:rFonts w:hint="eastAsia" w:ascii="宋体" w:hAnsi="宋体" w:eastAsia="宋体" w:cs="宋体"/>
          <w:b/>
          <w:bCs/>
          <w:color w:val="000000"/>
          <w:sz w:val="28"/>
          <w:szCs w:val="28"/>
          <w:highlight w:val="none"/>
        </w:rPr>
        <w:t xml:space="preserve">得</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val="0"/>
          <w:bCs w:val="0"/>
          <w:spacing w:val="-2"/>
          <w:sz w:val="28"/>
          <w:szCs w:val="28"/>
          <w:highlight w:val="none"/>
          <w:lang w:val="en-US" w:eastAsia="zh-CN"/>
        </w:rPr>
        <w:t xml:space="preserve">❶❷</w:t>
      </w:r>
      <w:r>
        <w:rPr>
          <w:rFonts w:hint="eastAsia" w:ascii="宋体" w:hAnsi="宋体" w:eastAsia="宋体" w:cs="宋体"/>
          <w:b/>
          <w:bCs/>
          <w:sz w:val="28"/>
          <w:szCs w:val="28"/>
          <w:highlight w:val="none"/>
          <w:lang w:val="en-US" w:eastAsia="zh-CN"/>
        </w:rPr>
        <w:t xml:space="preserve">提供有效期内的认证证书</w:t>
      </w:r>
      <w:r>
        <w:rPr>
          <w:rFonts w:hint="eastAsia" w:ascii="宋体" w:hAnsi="宋体" w:eastAsia="宋体" w:cs="宋体"/>
          <w:b/>
          <w:bCs/>
          <w:color w:val="000000"/>
          <w:sz w:val="28"/>
          <w:szCs w:val="28"/>
          <w:highlight w:val="none"/>
          <w:lang w:val="en-US" w:eastAsia="zh-CN"/>
        </w:rPr>
        <w:t xml:space="preserve">及</w:t>
      </w:r>
      <w:r>
        <w:rPr>
          <w:rFonts w:hint="eastAsia" w:ascii="宋体" w:hAnsi="宋体" w:eastAsia="宋体" w:cs="宋体"/>
          <w:b/>
          <w:bCs/>
          <w:color w:val="000000"/>
          <w:sz w:val="28"/>
          <w:szCs w:val="28"/>
          <w:highlight w:val="none"/>
        </w:rPr>
        <w:t xml:space="preserve">全国认证认可信息公共服务平台查询截图附于投标文件中</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不提供或提供不全不得分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pacing w:val="-5"/>
          <w:sz w:val="28"/>
          <w:szCs w:val="28"/>
          <w:highlight w:val="none"/>
          <w:lang w:eastAsia="zh-CN"/>
        </w:rPr>
        <w:t xml:space="preserve">。</w:t>
      </w:r>
      <w:r>
        <w:rPr>
          <w:rFonts w:hint="eastAsia" w:ascii="宋体" w:hAnsi="宋体" w:eastAsia="宋体" w:cs="宋体"/>
          <w:b/>
          <w:bCs/>
          <w:spacing w:val="-5"/>
          <w:sz w:val="28"/>
          <w:szCs w:val="28"/>
          <w:highlight w:val="none"/>
        </w:rPr>
      </w:r>
      <w:r/>
    </w:p>
    <w:p>
      <w:pPr>
        <w:pStyle w:val="786"/>
        <w:ind w:left="0" w:right="0" w:firstLine="470"/>
        <w:keepLines w:val="0"/>
        <w:keepNext w:val="0"/>
        <w:pageBreakBefore w:val="0"/>
        <w:spacing w:line="360" w:lineRule="auto"/>
        <w:widowControl/>
        <w:rPr>
          <w:rFonts w:hint="eastAsia" w:ascii="宋体" w:hAnsi="宋体" w:eastAsia="宋体" w:cs="宋体"/>
          <w:b/>
          <w:bCs/>
          <w:spacing w:val="-5"/>
          <w:sz w:val="28"/>
          <w:szCs w:val="28"/>
          <w:highlight w:val="none"/>
        </w:rPr>
      </w:pPr>
      <w:r>
        <w:rPr>
          <w:rFonts w:hint="eastAsia" w:ascii="宋体" w:hAnsi="宋体" w:eastAsia="宋体" w:cs="宋体"/>
          <w:spacing w:val="-5"/>
          <w:sz w:val="28"/>
          <w:szCs w:val="28"/>
          <w:highlight w:val="none"/>
        </w:rPr>
        <w:t xml:space="preserve">③</w:t>
      </w:r>
      <w:r>
        <w:rPr>
          <w:rFonts w:hint="eastAsia" w:ascii="宋体" w:hAnsi="宋体" w:eastAsia="宋体" w:cs="宋体"/>
          <w:b w:val="0"/>
          <w:bCs w:val="0"/>
          <w:spacing w:val="-3"/>
          <w:sz w:val="28"/>
          <w:szCs w:val="28"/>
          <w:highlight w:val="none"/>
        </w:rPr>
        <w:t xml:space="preserve">所投</w:t>
      </w:r>
      <w:r>
        <w:rPr>
          <w:rFonts w:hint="eastAsia" w:ascii="宋体" w:hAnsi="宋体" w:eastAsia="宋体" w:cs="宋体"/>
          <w:color w:val="000000"/>
          <w:spacing w:val="-5"/>
          <w:sz w:val="28"/>
          <w:szCs w:val="28"/>
          <w:highlight w:val="none"/>
          <w:lang w:eastAsia="zh-CN"/>
        </w:rPr>
        <w:t xml:space="preserve">长龙式洗碗机</w:t>
      </w:r>
      <w:r>
        <w:rPr>
          <w:rFonts w:hint="eastAsia" w:ascii="宋体" w:hAnsi="宋体" w:eastAsia="宋体" w:cs="宋体"/>
          <w:color w:val="000000"/>
          <w:spacing w:val="-5"/>
          <w:sz w:val="28"/>
          <w:szCs w:val="28"/>
          <w:highlight w:val="none"/>
          <w:lang w:val="en-US" w:eastAsia="zh-CN"/>
        </w:rPr>
        <w:t xml:space="preserve">产品❶符合GB 8624-2012、GB/T 14402-2007、GB/T 5464-2010标准要求的阻燃等级认证证书，燃烧等级：A( A1)级；❷符合GB/T 10125-2021、GB/T 6461-2002、QB/T 3827-1999、QB/T 3832-1999标准要求的产品防腐蚀等级认证证书，防腐蚀性能评级:10级；</w:t>
      </w:r>
      <w:r>
        <w:rPr>
          <w:rFonts w:hint="eastAsia" w:ascii="宋体" w:hAnsi="宋体" w:eastAsia="宋体" w:cs="宋体"/>
          <w:b/>
          <w:bCs/>
          <w:sz w:val="28"/>
          <w:szCs w:val="28"/>
          <w:highlight w:val="none"/>
          <w:lang w:val="en-US" w:eastAsia="zh-CN"/>
        </w:rPr>
        <w:t xml:space="preserve">每满足一项得1分，最高</w:t>
      </w:r>
      <w:r>
        <w:rPr>
          <w:rFonts w:hint="eastAsia" w:ascii="宋体" w:hAnsi="宋体" w:eastAsia="宋体" w:cs="宋体"/>
          <w:b/>
          <w:bCs/>
          <w:color w:val="000000"/>
          <w:sz w:val="28"/>
          <w:szCs w:val="28"/>
          <w:highlight w:val="none"/>
        </w:rPr>
        <w:t xml:space="preserve">得</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val="0"/>
          <w:bCs w:val="0"/>
          <w:spacing w:val="-2"/>
          <w:sz w:val="28"/>
          <w:szCs w:val="28"/>
          <w:highlight w:val="none"/>
          <w:lang w:val="en-US" w:eastAsia="zh-CN"/>
        </w:rPr>
        <w:t xml:space="preserve">❶❷</w:t>
      </w:r>
      <w:r>
        <w:rPr>
          <w:rFonts w:hint="eastAsia" w:ascii="宋体" w:hAnsi="宋体" w:eastAsia="宋体" w:cs="宋体"/>
          <w:b/>
          <w:bCs/>
          <w:sz w:val="28"/>
          <w:szCs w:val="28"/>
          <w:highlight w:val="none"/>
          <w:lang w:val="en-US" w:eastAsia="zh-CN"/>
        </w:rPr>
        <w:t xml:space="preserve">提供有效期内的认证证书</w:t>
      </w:r>
      <w:r>
        <w:rPr>
          <w:rFonts w:hint="eastAsia" w:ascii="宋体" w:hAnsi="宋体" w:eastAsia="宋体" w:cs="宋体"/>
          <w:b/>
          <w:bCs/>
          <w:color w:val="000000"/>
          <w:sz w:val="28"/>
          <w:szCs w:val="28"/>
          <w:highlight w:val="none"/>
          <w:lang w:val="en-US" w:eastAsia="zh-CN"/>
        </w:rPr>
        <w:t xml:space="preserve">及</w:t>
      </w:r>
      <w:r>
        <w:rPr>
          <w:rFonts w:hint="eastAsia" w:ascii="宋体" w:hAnsi="宋体" w:eastAsia="宋体" w:cs="宋体"/>
          <w:b/>
          <w:bCs/>
          <w:color w:val="000000"/>
          <w:sz w:val="28"/>
          <w:szCs w:val="28"/>
          <w:highlight w:val="none"/>
        </w:rPr>
        <w:t xml:space="preserve">全国认证认可信息公共服务平台查询截图附于投标文件中</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不提供或提供不全不得分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pacing w:val="-5"/>
          <w:sz w:val="28"/>
          <w:szCs w:val="28"/>
          <w:highlight w:val="none"/>
          <w:lang w:eastAsia="zh-CN"/>
        </w:rPr>
        <w:t xml:space="preserve">。</w:t>
      </w:r>
      <w:r>
        <w:rPr>
          <w:rFonts w:hint="eastAsia" w:ascii="宋体" w:hAnsi="宋体" w:eastAsia="宋体" w:cs="宋体"/>
          <w:b/>
          <w:bCs/>
          <w:spacing w:val="-5"/>
          <w:sz w:val="28"/>
          <w:szCs w:val="28"/>
          <w:highlight w:val="none"/>
        </w:rPr>
      </w:r>
      <w:r/>
    </w:p>
    <w:p>
      <w:pPr>
        <w:pStyle w:val="786"/>
        <w:ind w:left="0" w:right="0" w:firstLine="470"/>
        <w:keepLines w:val="0"/>
        <w:keepNext w:val="0"/>
        <w:pageBreakBefore w:val="0"/>
        <w:spacing w:line="360" w:lineRule="auto"/>
        <w:widowControl/>
        <w:rPr>
          <w:rFonts w:hint="eastAsia" w:ascii="宋体" w:hAnsi="宋体" w:eastAsia="宋体" w:cs="宋体"/>
          <w:b/>
          <w:bCs/>
          <w:sz w:val="28"/>
          <w:szCs w:val="28"/>
          <w:highlight w:val="none"/>
        </w:rPr>
      </w:pPr>
      <w:r>
        <w:rPr>
          <w:rFonts w:hint="eastAsia" w:ascii="宋体" w:hAnsi="宋体" w:eastAsia="宋体" w:cs="宋体"/>
          <w:b/>
          <w:bCs/>
          <w:spacing w:val="-3"/>
          <w:sz w:val="28"/>
          <w:szCs w:val="28"/>
          <w:highlight w:val="none"/>
        </w:rPr>
        <w:t xml:space="preserve">（</w:t>
      </w:r>
      <w:r>
        <w:rPr>
          <w:rFonts w:hint="eastAsia" w:ascii="宋体" w:hAnsi="宋体" w:eastAsia="宋体" w:cs="宋体"/>
          <w:b/>
          <w:bCs/>
          <w:spacing w:val="-3"/>
          <w:sz w:val="28"/>
          <w:szCs w:val="28"/>
          <w:highlight w:val="none"/>
          <w:lang w:val="en-US" w:eastAsia="zh-CN"/>
        </w:rPr>
        <w:t xml:space="preserve">2</w:t>
      </w:r>
      <w:r>
        <w:rPr>
          <w:rFonts w:hint="eastAsia" w:ascii="宋体" w:hAnsi="宋体" w:eastAsia="宋体" w:cs="宋体"/>
          <w:b/>
          <w:bCs/>
          <w:spacing w:val="-3"/>
          <w:sz w:val="28"/>
          <w:szCs w:val="28"/>
          <w:highlight w:val="none"/>
        </w:rPr>
        <w:t xml:space="preserve">）</w:t>
      </w:r>
      <w:r>
        <w:rPr>
          <w:rFonts w:hint="eastAsia" w:ascii="宋体" w:hAnsi="宋体" w:eastAsia="宋体" w:cs="宋体"/>
          <w:b w:val="0"/>
          <w:bCs w:val="0"/>
          <w:spacing w:val="-3"/>
          <w:sz w:val="28"/>
          <w:szCs w:val="28"/>
          <w:highlight w:val="none"/>
        </w:rPr>
        <w:t xml:space="preserve">所投厨房智能冰箱产品</w:t>
      </w:r>
      <w:r>
        <w:rPr>
          <w:rFonts w:hint="eastAsia" w:ascii="宋体" w:hAnsi="宋体" w:eastAsia="宋体" w:cs="宋体"/>
          <w:b w:val="0"/>
          <w:bCs w:val="0"/>
          <w:spacing w:val="2"/>
          <w:sz w:val="28"/>
          <w:szCs w:val="28"/>
          <w:highlight w:val="none"/>
          <w:lang w:val="en-US" w:eastAsia="zh-CN"/>
        </w:rPr>
        <w:t xml:space="preserve">符</w:t>
      </w:r>
      <w:r>
        <w:rPr>
          <w:rFonts w:hint="eastAsia" w:ascii="宋体" w:hAnsi="宋体" w:eastAsia="宋体" w:cs="宋体"/>
          <w:spacing w:val="2"/>
          <w:sz w:val="28"/>
          <w:szCs w:val="28"/>
          <w:highlight w:val="none"/>
          <w:lang w:val="en-US" w:eastAsia="zh-CN"/>
        </w:rPr>
        <w:t xml:space="preserve">合GB/T25000.51-2016《系统与软件工程系统与软质量要求和评价(SQuaRE)第51部分:就绪可用软件产品(RUSP)的质量要求和测试细则》</w:t>
      </w:r>
      <w:r>
        <w:rPr>
          <w:rFonts w:hint="eastAsia" w:ascii="宋体" w:hAnsi="宋体" w:eastAsia="宋体" w:cs="宋体"/>
          <w:b/>
          <w:bCs/>
          <w:color w:val="000000"/>
          <w:spacing w:val="2"/>
          <w:sz w:val="28"/>
          <w:szCs w:val="28"/>
          <w:highlight w:val="none"/>
        </w:rPr>
        <w:t xml:space="preserve">，</w:t>
      </w:r>
      <w:r>
        <w:rPr>
          <w:rFonts w:hint="eastAsia" w:ascii="宋体" w:hAnsi="宋体" w:eastAsia="宋体" w:cs="宋体"/>
          <w:b w:val="0"/>
          <w:bCs w:val="0"/>
          <w:color w:val="000000"/>
          <w:spacing w:val="2"/>
          <w:sz w:val="28"/>
          <w:szCs w:val="28"/>
          <w:highlight w:val="none"/>
          <w:lang w:val="en-US" w:eastAsia="zh-CN"/>
        </w:rPr>
        <w:t xml:space="preserve">设备可通过远程小程序远程开启食物解冻（离子还原）功能、远程开启食物解冻（离子还原）温度功能、远程开启杀菌（抑菌）功能、远程开启离子保鲜功能、接收设备远程报警/报修功能、远程一键报修功能；</w:t>
      </w:r>
      <w:r>
        <w:rPr>
          <w:rFonts w:hint="eastAsia" w:ascii="宋体" w:hAnsi="宋体" w:eastAsia="宋体" w:cs="宋体"/>
          <w:b/>
          <w:bCs/>
          <w:color w:val="000000"/>
          <w:spacing w:val="-2"/>
          <w:sz w:val="28"/>
          <w:szCs w:val="28"/>
          <w:highlight w:val="none"/>
        </w:rPr>
        <w:t xml:space="preserve">符合要求得</w:t>
      </w:r>
      <w:r>
        <w:rPr>
          <w:rFonts w:hint="eastAsia" w:ascii="宋体" w:hAnsi="宋体" w:eastAsia="宋体" w:cs="宋体"/>
          <w:b/>
          <w:bCs/>
          <w:color w:val="000000"/>
          <w:spacing w:val="-38"/>
          <w:sz w:val="28"/>
          <w:szCs w:val="28"/>
          <w:highlight w:val="none"/>
        </w:rPr>
        <w:t xml:space="preserve"> </w:t>
      </w:r>
      <w:r>
        <w:rPr>
          <w:rFonts w:hint="eastAsia" w:ascii="宋体" w:hAnsi="宋体" w:eastAsia="宋体" w:cs="宋体"/>
          <w:b/>
          <w:bCs/>
          <w:color w:val="000000"/>
          <w:spacing w:val="-38"/>
          <w:sz w:val="28"/>
          <w:szCs w:val="28"/>
          <w:highlight w:val="none"/>
          <w:lang w:val="en-US" w:eastAsia="zh-CN"/>
        </w:rPr>
        <w:t xml:space="preserve">2</w:t>
      </w:r>
      <w:r>
        <w:rPr>
          <w:rFonts w:hint="eastAsia" w:ascii="宋体" w:hAnsi="宋体" w:eastAsia="宋体" w:cs="宋体"/>
          <w:b/>
          <w:bCs/>
          <w:color w:val="000000"/>
          <w:spacing w:val="-2"/>
          <w:sz w:val="28"/>
          <w:szCs w:val="28"/>
          <w:highlight w:val="none"/>
        </w:rPr>
        <w:t xml:space="preserve">分</w:t>
      </w:r>
      <w:r>
        <w:rPr>
          <w:rFonts w:hint="eastAsia" w:ascii="宋体" w:hAnsi="宋体" w:eastAsia="宋体" w:cs="宋体"/>
          <w:b/>
          <w:bCs/>
          <w:color w:val="000000"/>
          <w:spacing w:val="-2"/>
          <w:sz w:val="28"/>
          <w:szCs w:val="28"/>
          <w:highlight w:val="none"/>
          <w:lang w:eastAsia="zh-CN"/>
        </w:rPr>
        <w:t xml:space="preserve">。（</w:t>
      </w:r>
      <w:r>
        <w:rPr>
          <w:rFonts w:hint="eastAsia" w:ascii="宋体" w:hAnsi="宋体" w:eastAsia="宋体" w:cs="宋体"/>
          <w:b/>
          <w:bCs/>
          <w:color w:val="000000"/>
          <w:sz w:val="28"/>
          <w:szCs w:val="28"/>
          <w:highlight w:val="none"/>
        </w:rPr>
        <w:t xml:space="preserve">提</w:t>
      </w:r>
      <w:r>
        <w:rPr>
          <w:rFonts w:hint="eastAsia" w:ascii="宋体" w:hAnsi="宋体" w:eastAsia="宋体" w:cs="宋体"/>
          <w:b/>
          <w:bCs w:val="0"/>
          <w:color w:val="000000"/>
          <w:sz w:val="28"/>
          <w:szCs w:val="28"/>
          <w:highlight w:val="none"/>
        </w:rPr>
        <w:t xml:space="preserve">供</w:t>
      </w:r>
      <w:r>
        <w:rPr>
          <w:rFonts w:hint="eastAsia" w:ascii="宋体" w:hAnsi="宋体" w:eastAsia="宋体" w:cs="宋体"/>
          <w:b/>
          <w:bCs w:val="0"/>
          <w:color w:val="000000"/>
          <w:sz w:val="28"/>
          <w:szCs w:val="28"/>
          <w:highlight w:val="none"/>
          <w:lang w:val="en-US" w:eastAsia="zh-CN"/>
        </w:rPr>
        <w:t xml:space="preserve">具有CNAS或CMA标识符合相应检测标准资质的第三方检测机构出具的</w:t>
      </w:r>
      <w:r>
        <w:rPr>
          <w:rFonts w:hint="eastAsia" w:ascii="宋体" w:hAnsi="宋体" w:eastAsia="宋体" w:cs="宋体"/>
          <w:b/>
          <w:bCs w:val="0"/>
          <w:color w:val="000000"/>
          <w:sz w:val="28"/>
          <w:szCs w:val="28"/>
          <w:highlight w:val="none"/>
          <w:lang w:eastAsia="zh-CN"/>
        </w:rPr>
        <w:t xml:space="preserve">检测</w:t>
      </w:r>
      <w:r>
        <w:rPr>
          <w:rFonts w:hint="eastAsia" w:ascii="宋体" w:hAnsi="宋体" w:eastAsia="宋体" w:cs="宋体"/>
          <w:b/>
          <w:bCs w:val="0"/>
          <w:color w:val="000000"/>
          <w:sz w:val="28"/>
          <w:szCs w:val="28"/>
          <w:highlight w:val="none"/>
          <w:lang w:val="en-US" w:eastAsia="zh-CN"/>
        </w:rPr>
        <w:t xml:space="preserve">或检验报告</w:t>
      </w:r>
      <w:r>
        <w:rPr>
          <w:rFonts w:hint="eastAsia" w:ascii="宋体" w:hAnsi="宋体" w:eastAsia="宋体" w:cs="宋体"/>
          <w:b/>
          <w:bCs/>
          <w:spacing w:val="2"/>
          <w:sz w:val="28"/>
          <w:szCs w:val="28"/>
          <w:highlight w:val="none"/>
        </w:rPr>
        <w:t xml:space="preserve">原件</w:t>
      </w:r>
      <w:r>
        <w:rPr>
          <w:rFonts w:hint="eastAsia" w:ascii="宋体" w:hAnsi="宋体" w:eastAsia="宋体" w:cs="宋体"/>
          <w:b/>
          <w:bCs/>
          <w:spacing w:val="-2"/>
          <w:sz w:val="28"/>
          <w:szCs w:val="28"/>
          <w:highlight w:val="none"/>
        </w:rPr>
        <w:t xml:space="preserve">扫描</w:t>
      </w:r>
      <w:r>
        <w:rPr>
          <w:rFonts w:hint="eastAsia" w:ascii="宋体" w:hAnsi="宋体" w:eastAsia="宋体" w:cs="宋体"/>
          <w:b/>
          <w:bCs/>
          <w:spacing w:val="-2"/>
          <w:sz w:val="28"/>
          <w:szCs w:val="28"/>
          <w:highlight w:val="none"/>
          <w:lang w:val="en-US" w:eastAsia="zh-CN"/>
        </w:rPr>
        <w:t xml:space="preserve">件</w:t>
      </w:r>
      <w:r>
        <w:rPr>
          <w:rFonts w:hint="eastAsia" w:ascii="宋体" w:hAnsi="宋体" w:eastAsia="宋体" w:cs="宋体"/>
          <w:b/>
          <w:bCs/>
          <w:color w:val="000000"/>
          <w:sz w:val="28"/>
          <w:szCs w:val="28"/>
          <w:highlight w:val="none"/>
          <w:lang w:val="en-US" w:eastAsia="zh-CN"/>
        </w:rPr>
        <w:t xml:space="preserve">及</w:t>
      </w:r>
      <w:r>
        <w:rPr>
          <w:rFonts w:hint="eastAsia" w:ascii="宋体" w:hAnsi="宋体" w:eastAsia="宋体" w:cs="宋体"/>
          <w:b/>
          <w:bCs/>
          <w:color w:val="000000"/>
          <w:sz w:val="28"/>
          <w:szCs w:val="28"/>
          <w:highlight w:val="none"/>
        </w:rPr>
        <w:t xml:space="preserve">全国认证认可信息公共服务平台查询截图</w:t>
      </w:r>
      <w:r>
        <w:rPr>
          <w:rFonts w:hint="eastAsia" w:ascii="宋体" w:hAnsi="宋体" w:eastAsia="宋体" w:cs="宋体"/>
          <w:b/>
          <w:bCs/>
          <w:spacing w:val="-2"/>
          <w:sz w:val="28"/>
          <w:szCs w:val="28"/>
          <w:highlight w:val="none"/>
        </w:rPr>
        <w:t xml:space="preserve">上传至</w:t>
      </w:r>
      <w:r>
        <w:rPr>
          <w:rFonts w:hint="eastAsia" w:ascii="宋体" w:hAnsi="宋体" w:eastAsia="宋体" w:cs="宋体"/>
          <w:b/>
          <w:bCs/>
          <w:color w:val="000000"/>
          <w:sz w:val="28"/>
          <w:szCs w:val="28"/>
          <w:highlight w:val="none"/>
        </w:rPr>
        <w:t xml:space="preserve">投标文件中</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不提供或提供不全不得分</w:t>
      </w:r>
      <w:r>
        <w:rPr>
          <w:rFonts w:hint="eastAsia" w:ascii="宋体" w:hAnsi="宋体" w:eastAsia="宋体" w:cs="宋体"/>
          <w:b/>
          <w:bCs/>
          <w:spacing w:val="-2"/>
          <w:sz w:val="28"/>
          <w:szCs w:val="28"/>
          <w:highlight w:val="none"/>
          <w:lang w:eastAsia="zh-CN"/>
        </w:rPr>
        <w:t xml:space="preserve">）</w:t>
      </w:r>
      <w:r>
        <w:rPr>
          <w:rFonts w:hint="eastAsia" w:ascii="宋体" w:hAnsi="宋体" w:eastAsia="宋体" w:cs="宋体"/>
          <w:b/>
          <w:bCs/>
          <w:spacing w:val="-2"/>
          <w:sz w:val="28"/>
          <w:szCs w:val="28"/>
          <w:highlight w:val="none"/>
        </w:rPr>
        <w:t xml:space="preserve">。</w:t>
      </w:r>
      <w:r>
        <w:rPr>
          <w:rFonts w:hint="eastAsia" w:ascii="宋体" w:hAnsi="宋体" w:eastAsia="宋体" w:cs="宋体"/>
          <w:b/>
          <w:bCs/>
          <w:sz w:val="28"/>
          <w:szCs w:val="28"/>
          <w:highlight w:val="none"/>
        </w:rPr>
      </w:r>
      <w:r/>
    </w:p>
    <w:p>
      <w:pPr>
        <w:pStyle w:val="786"/>
        <w:ind w:left="0" w:right="0" w:firstLine="470"/>
        <w:keepLines w:val="0"/>
        <w:keepNext w:val="0"/>
        <w:pageBreakBefore w:val="0"/>
        <w:spacing w:line="360" w:lineRule="auto"/>
        <w:widowControl/>
        <w:rPr>
          <w:rFonts w:hint="eastAsia" w:ascii="宋体" w:hAnsi="宋体" w:eastAsia="宋体" w:cs="宋体"/>
          <w:b/>
          <w:bCs/>
          <w:sz w:val="28"/>
          <w:szCs w:val="28"/>
          <w:highlight w:val="none"/>
          <w:lang w:eastAsia="zh-CN"/>
        </w:rPr>
      </w:pPr>
      <w:r>
        <w:rPr>
          <w:rFonts w:hint="eastAsia" w:ascii="宋体" w:hAnsi="宋体" w:eastAsia="宋体" w:cs="宋体"/>
          <w:b/>
          <w:bCs/>
          <w:spacing w:val="-3"/>
          <w:sz w:val="28"/>
          <w:szCs w:val="28"/>
          <w:highlight w:val="none"/>
        </w:rPr>
        <w:t xml:space="preserve">（</w:t>
      </w:r>
      <w:r>
        <w:rPr>
          <w:rFonts w:hint="eastAsia" w:ascii="宋体" w:hAnsi="宋体" w:eastAsia="宋体" w:cs="宋体"/>
          <w:b/>
          <w:bCs/>
          <w:spacing w:val="-3"/>
          <w:sz w:val="28"/>
          <w:szCs w:val="28"/>
          <w:highlight w:val="none"/>
          <w:lang w:val="en-US" w:eastAsia="zh-CN"/>
        </w:rPr>
        <w:t xml:space="preserve">3</w:t>
      </w:r>
      <w:r>
        <w:rPr>
          <w:rFonts w:hint="eastAsia" w:ascii="宋体" w:hAnsi="宋体" w:eastAsia="宋体" w:cs="宋体"/>
          <w:b/>
          <w:bCs/>
          <w:spacing w:val="-3"/>
          <w:sz w:val="28"/>
          <w:szCs w:val="28"/>
          <w:highlight w:val="none"/>
        </w:rPr>
        <w:t xml:space="preserve">）</w:t>
      </w:r>
      <w:r>
        <w:rPr>
          <w:rFonts w:hint="eastAsia" w:ascii="宋体" w:hAnsi="宋体" w:eastAsia="宋体" w:cs="宋体"/>
          <w:b w:val="0"/>
          <w:bCs w:val="0"/>
          <w:spacing w:val="-3"/>
          <w:sz w:val="28"/>
          <w:szCs w:val="28"/>
          <w:highlight w:val="none"/>
        </w:rPr>
        <w:t xml:space="preserve">所投</w:t>
      </w:r>
      <w:r>
        <w:rPr>
          <w:rFonts w:hint="eastAsia" w:ascii="宋体" w:hAnsi="宋体" w:eastAsia="宋体" w:cs="宋体"/>
          <w:b w:val="0"/>
          <w:bCs w:val="0"/>
          <w:spacing w:val="-3"/>
          <w:sz w:val="28"/>
          <w:szCs w:val="28"/>
          <w:highlight w:val="none"/>
          <w:lang w:val="en-US" w:eastAsia="zh-CN"/>
        </w:rPr>
        <w:t xml:space="preserve">厨房智能留样冰箱</w:t>
      </w:r>
      <w:r>
        <w:rPr>
          <w:rFonts w:hint="eastAsia" w:ascii="宋体" w:hAnsi="宋体" w:eastAsia="宋体" w:cs="宋体"/>
          <w:spacing w:val="2"/>
          <w:sz w:val="28"/>
          <w:szCs w:val="28"/>
          <w:highlight w:val="none"/>
          <w:lang w:val="en-US" w:eastAsia="zh-CN"/>
        </w:rPr>
        <w:t xml:space="preserve">符合GB/T25000.51-2016《系统与软件工程系统与软质量要求和评价(SQuaRE)第51部分:就绪可用软件产品(RUSP)的质量要求和测试细则》</w:t>
      </w:r>
      <w:r>
        <w:rPr>
          <w:rFonts w:hint="eastAsia" w:ascii="宋体" w:hAnsi="宋体" w:eastAsia="宋体" w:cs="宋体"/>
          <w:b/>
          <w:bCs/>
          <w:color w:val="000000"/>
          <w:spacing w:val="2"/>
          <w:sz w:val="28"/>
          <w:szCs w:val="28"/>
          <w:highlight w:val="none"/>
        </w:rPr>
        <w:t xml:space="preserve">，</w:t>
      </w:r>
      <w:r>
        <w:rPr>
          <w:rFonts w:hint="eastAsia" w:ascii="宋体" w:hAnsi="宋体" w:eastAsia="宋体" w:cs="宋体"/>
          <w:b w:val="0"/>
          <w:bCs w:val="0"/>
          <w:color w:val="000000"/>
          <w:spacing w:val="2"/>
          <w:sz w:val="28"/>
          <w:szCs w:val="28"/>
          <w:highlight w:val="none"/>
          <w:lang w:val="en-US" w:eastAsia="zh-CN"/>
        </w:rPr>
        <w:t xml:space="preserve">具有人脸</w:t>
      </w:r>
      <w:r>
        <w:rPr>
          <w:rFonts w:hint="eastAsia" w:ascii="宋体" w:hAnsi="宋体" w:cs="宋体"/>
          <w:b w:val="0"/>
          <w:bCs w:val="0"/>
          <w:color w:val="000000"/>
          <w:spacing w:val="2"/>
          <w:sz w:val="28"/>
          <w:szCs w:val="28"/>
          <w:highlight w:val="none"/>
          <w:lang w:val="en-US" w:eastAsia="zh-CN"/>
        </w:rPr>
        <w:t xml:space="preserve">抓拍</w:t>
      </w:r>
      <w:r>
        <w:rPr>
          <w:rFonts w:hint="eastAsia" w:ascii="宋体" w:hAnsi="宋体" w:eastAsia="宋体" w:cs="宋体"/>
          <w:b w:val="0"/>
          <w:bCs w:val="0"/>
          <w:color w:val="000000"/>
          <w:spacing w:val="2"/>
          <w:sz w:val="28"/>
          <w:szCs w:val="28"/>
          <w:highlight w:val="none"/>
          <w:lang w:val="en-US" w:eastAsia="zh-CN"/>
        </w:rPr>
        <w:t xml:space="preserve">识别功能、留样食品抓拍功能、留样信息录入功能、手机物联远程餐次类型确认功能、留样信息自动生成功能、留样数据上传云端功能、48小时提醒取样功能、留样记录永久可查功能；</w:t>
      </w:r>
      <w:r>
        <w:rPr>
          <w:rFonts w:hint="eastAsia" w:ascii="宋体" w:hAnsi="宋体" w:eastAsia="宋体" w:cs="宋体"/>
          <w:b/>
          <w:bCs/>
          <w:color w:val="000000"/>
          <w:spacing w:val="-2"/>
          <w:sz w:val="28"/>
          <w:szCs w:val="28"/>
          <w:highlight w:val="none"/>
        </w:rPr>
        <w:t xml:space="preserve">符合要求得</w:t>
      </w:r>
      <w:r>
        <w:rPr>
          <w:rFonts w:hint="eastAsia" w:ascii="宋体" w:hAnsi="宋体" w:eastAsia="宋体" w:cs="宋体"/>
          <w:b/>
          <w:bCs/>
          <w:color w:val="000000"/>
          <w:spacing w:val="-38"/>
          <w:sz w:val="28"/>
          <w:szCs w:val="28"/>
          <w:highlight w:val="none"/>
        </w:rPr>
        <w:t xml:space="preserve"> </w:t>
      </w:r>
      <w:r>
        <w:rPr>
          <w:rFonts w:hint="eastAsia" w:ascii="宋体" w:hAnsi="宋体" w:eastAsia="宋体" w:cs="宋体"/>
          <w:b/>
          <w:bCs/>
          <w:color w:val="000000"/>
          <w:spacing w:val="-2"/>
          <w:sz w:val="28"/>
          <w:szCs w:val="28"/>
          <w:highlight w:val="none"/>
        </w:rPr>
        <w:t xml:space="preserve">2</w:t>
      </w:r>
      <w:r>
        <w:rPr>
          <w:rFonts w:hint="eastAsia" w:ascii="宋体" w:hAnsi="宋体" w:eastAsia="宋体" w:cs="宋体"/>
          <w:b/>
          <w:bCs/>
          <w:color w:val="000000"/>
          <w:spacing w:val="-48"/>
          <w:sz w:val="28"/>
          <w:szCs w:val="28"/>
          <w:highlight w:val="none"/>
        </w:rPr>
        <w:t xml:space="preserve"> </w:t>
      </w:r>
      <w:r>
        <w:rPr>
          <w:rFonts w:hint="eastAsia" w:ascii="宋体" w:hAnsi="宋体" w:eastAsia="宋体" w:cs="宋体"/>
          <w:b/>
          <w:bCs/>
          <w:color w:val="000000"/>
          <w:spacing w:val="-2"/>
          <w:sz w:val="28"/>
          <w:szCs w:val="28"/>
          <w:highlight w:val="none"/>
        </w:rPr>
        <w:t xml:space="preserve">分</w:t>
      </w:r>
      <w:r>
        <w:rPr>
          <w:rFonts w:hint="eastAsia" w:ascii="宋体" w:hAnsi="宋体" w:eastAsia="宋体" w:cs="宋体"/>
          <w:b/>
          <w:bCs/>
          <w:color w:val="000000"/>
          <w:spacing w:val="-2"/>
          <w:sz w:val="28"/>
          <w:szCs w:val="28"/>
          <w:highlight w:val="none"/>
          <w:lang w:eastAsia="zh-CN"/>
        </w:rPr>
        <w:t xml:space="preserve">。（</w:t>
      </w:r>
      <w:r>
        <w:rPr>
          <w:rFonts w:hint="eastAsia" w:ascii="宋体" w:hAnsi="宋体" w:eastAsia="宋体" w:cs="宋体"/>
          <w:b/>
          <w:bCs/>
          <w:color w:val="000000"/>
          <w:sz w:val="28"/>
          <w:szCs w:val="28"/>
          <w:highlight w:val="none"/>
        </w:rPr>
        <w:t xml:space="preserve">提</w:t>
      </w:r>
      <w:r>
        <w:rPr>
          <w:rFonts w:hint="eastAsia" w:ascii="宋体" w:hAnsi="宋体" w:eastAsia="宋体" w:cs="宋体"/>
          <w:b/>
          <w:bCs w:val="0"/>
          <w:color w:val="000000"/>
          <w:sz w:val="28"/>
          <w:szCs w:val="28"/>
          <w:highlight w:val="none"/>
        </w:rPr>
        <w:t xml:space="preserve">供</w:t>
      </w:r>
      <w:r>
        <w:rPr>
          <w:rFonts w:hint="eastAsia" w:ascii="宋体" w:hAnsi="宋体" w:eastAsia="宋体" w:cs="宋体"/>
          <w:b/>
          <w:bCs w:val="0"/>
          <w:color w:val="000000"/>
          <w:sz w:val="28"/>
          <w:szCs w:val="28"/>
          <w:highlight w:val="none"/>
          <w:lang w:val="en-US" w:eastAsia="zh-CN"/>
        </w:rPr>
        <w:t xml:space="preserve">具有CNAS或CMA标识符合相应检测标准资质的第三方检测机构出具的</w:t>
      </w:r>
      <w:r>
        <w:rPr>
          <w:rFonts w:hint="eastAsia" w:ascii="宋体" w:hAnsi="宋体" w:eastAsia="宋体" w:cs="宋体"/>
          <w:b/>
          <w:bCs w:val="0"/>
          <w:color w:val="000000"/>
          <w:sz w:val="28"/>
          <w:szCs w:val="28"/>
          <w:highlight w:val="none"/>
          <w:lang w:eastAsia="zh-CN"/>
        </w:rPr>
        <w:t xml:space="preserve">检测</w:t>
      </w:r>
      <w:r>
        <w:rPr>
          <w:rFonts w:hint="eastAsia" w:ascii="宋体" w:hAnsi="宋体" w:eastAsia="宋体" w:cs="宋体"/>
          <w:b/>
          <w:bCs w:val="0"/>
          <w:color w:val="000000"/>
          <w:sz w:val="28"/>
          <w:szCs w:val="28"/>
          <w:highlight w:val="none"/>
          <w:lang w:val="en-US" w:eastAsia="zh-CN"/>
        </w:rPr>
        <w:t xml:space="preserve">或检验报告</w:t>
      </w:r>
      <w:r>
        <w:rPr>
          <w:rFonts w:hint="eastAsia" w:ascii="宋体" w:hAnsi="宋体" w:eastAsia="宋体" w:cs="宋体"/>
          <w:b/>
          <w:bCs/>
          <w:spacing w:val="2"/>
          <w:sz w:val="28"/>
          <w:szCs w:val="28"/>
          <w:highlight w:val="none"/>
        </w:rPr>
        <w:t xml:space="preserve">原件</w:t>
      </w:r>
      <w:r>
        <w:rPr>
          <w:rFonts w:hint="eastAsia" w:ascii="宋体" w:hAnsi="宋体" w:eastAsia="宋体" w:cs="宋体"/>
          <w:b/>
          <w:bCs/>
          <w:spacing w:val="-2"/>
          <w:sz w:val="28"/>
          <w:szCs w:val="28"/>
          <w:highlight w:val="none"/>
        </w:rPr>
        <w:t xml:space="preserve">扫描</w:t>
      </w:r>
      <w:r>
        <w:rPr>
          <w:rFonts w:hint="eastAsia" w:ascii="宋体" w:hAnsi="宋体" w:eastAsia="宋体" w:cs="宋体"/>
          <w:b/>
          <w:bCs/>
          <w:spacing w:val="-2"/>
          <w:sz w:val="28"/>
          <w:szCs w:val="28"/>
          <w:highlight w:val="none"/>
          <w:lang w:val="en-US" w:eastAsia="zh-CN"/>
        </w:rPr>
        <w:t xml:space="preserve">件</w:t>
      </w:r>
      <w:r>
        <w:rPr>
          <w:rFonts w:hint="eastAsia" w:ascii="宋体" w:hAnsi="宋体" w:eastAsia="宋体" w:cs="宋体"/>
          <w:b/>
          <w:bCs/>
          <w:color w:val="000000"/>
          <w:sz w:val="28"/>
          <w:szCs w:val="28"/>
          <w:highlight w:val="none"/>
          <w:lang w:val="en-US" w:eastAsia="zh-CN"/>
        </w:rPr>
        <w:t xml:space="preserve">及</w:t>
      </w:r>
      <w:r>
        <w:rPr>
          <w:rFonts w:hint="eastAsia" w:ascii="宋体" w:hAnsi="宋体" w:eastAsia="宋体" w:cs="宋体"/>
          <w:b/>
          <w:bCs/>
          <w:color w:val="000000"/>
          <w:sz w:val="28"/>
          <w:szCs w:val="28"/>
          <w:highlight w:val="none"/>
        </w:rPr>
        <w:t xml:space="preserve">全国认证认可信息公共服务平台查询截图</w:t>
      </w:r>
      <w:r>
        <w:rPr>
          <w:rFonts w:hint="eastAsia" w:ascii="宋体" w:hAnsi="宋体" w:eastAsia="宋体" w:cs="宋体"/>
          <w:b/>
          <w:bCs/>
          <w:spacing w:val="-2"/>
          <w:sz w:val="28"/>
          <w:szCs w:val="28"/>
          <w:highlight w:val="none"/>
        </w:rPr>
        <w:t xml:space="preserve">上传至</w:t>
      </w:r>
      <w:r>
        <w:rPr>
          <w:rFonts w:hint="eastAsia" w:ascii="宋体" w:hAnsi="宋体" w:eastAsia="宋体" w:cs="宋体"/>
          <w:b/>
          <w:bCs/>
          <w:color w:val="000000"/>
          <w:sz w:val="28"/>
          <w:szCs w:val="28"/>
          <w:highlight w:val="none"/>
        </w:rPr>
        <w:t xml:space="preserve">投标文件中</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不提供或提供不全不得分</w:t>
      </w:r>
      <w:r>
        <w:rPr>
          <w:rFonts w:hint="eastAsia" w:ascii="宋体" w:hAnsi="宋体" w:eastAsia="宋体" w:cs="宋体"/>
          <w:b/>
          <w:bCs/>
          <w:spacing w:val="-2"/>
          <w:sz w:val="28"/>
          <w:szCs w:val="28"/>
          <w:highlight w:val="none"/>
          <w:lang w:eastAsia="zh-CN"/>
        </w:rPr>
        <w:t xml:space="preserve">）</w:t>
      </w:r>
      <w:r>
        <w:rPr>
          <w:rFonts w:hint="eastAsia" w:ascii="宋体" w:hAnsi="宋体" w:eastAsia="宋体" w:cs="宋体"/>
          <w:b/>
          <w:bCs/>
          <w:sz w:val="28"/>
          <w:szCs w:val="28"/>
          <w:highlight w:val="none"/>
          <w:lang w:eastAsia="zh-CN"/>
        </w:rPr>
      </w:r>
      <w:r/>
    </w:p>
    <w:p>
      <w:pPr>
        <w:pStyle w:val="786"/>
        <w:ind w:left="0" w:right="0" w:firstLine="470"/>
        <w:keepLines w:val="0"/>
        <w:keepNext w:val="0"/>
        <w:pageBreakBefore w:val="0"/>
        <w:spacing w:line="360" w:lineRule="auto"/>
        <w:widowControl/>
        <w:rPr>
          <w:rFonts w:hint="eastAsia" w:ascii="宋体" w:hAnsi="宋体" w:eastAsia="宋体" w:cs="宋体"/>
          <w:b/>
          <w:bCs/>
          <w:spacing w:val="-2"/>
          <w:sz w:val="28"/>
          <w:szCs w:val="28"/>
          <w:highlight w:val="none"/>
        </w:rPr>
      </w:pPr>
      <w:r>
        <w:rPr>
          <w:rFonts w:hint="eastAsia" w:ascii="宋体" w:hAnsi="宋体" w:eastAsia="宋体" w:cs="宋体"/>
          <w:b w:val="0"/>
          <w:bCs w:val="0"/>
          <w:spacing w:val="-2"/>
          <w:sz w:val="28"/>
          <w:szCs w:val="28"/>
          <w:highlight w:val="none"/>
          <w:lang w:eastAsia="zh-CN"/>
        </w:rPr>
        <w:t xml:space="preserve">（</w:t>
      </w:r>
      <w:r>
        <w:rPr>
          <w:rFonts w:hint="eastAsia" w:ascii="宋体" w:hAnsi="宋体" w:eastAsia="宋体" w:cs="宋体"/>
          <w:b w:val="0"/>
          <w:bCs w:val="0"/>
          <w:spacing w:val="-2"/>
          <w:sz w:val="28"/>
          <w:szCs w:val="28"/>
          <w:highlight w:val="none"/>
          <w:lang w:val="en-US" w:eastAsia="zh-CN"/>
        </w:rPr>
        <w:t xml:space="preserve">4）</w:t>
      </w:r>
      <w:r>
        <w:rPr>
          <w:rFonts w:hint="eastAsia" w:ascii="宋体" w:hAnsi="宋体" w:eastAsia="宋体" w:cs="宋体"/>
          <w:b w:val="0"/>
          <w:bCs w:val="0"/>
          <w:spacing w:val="-3"/>
          <w:sz w:val="28"/>
          <w:szCs w:val="28"/>
          <w:highlight w:val="none"/>
        </w:rPr>
        <w:t xml:space="preserve">所投</w:t>
      </w:r>
      <w:r>
        <w:rPr>
          <w:rFonts w:hint="eastAsia" w:ascii="宋体" w:hAnsi="宋体" w:eastAsia="宋体" w:cs="宋体"/>
          <w:b w:val="0"/>
          <w:bCs w:val="0"/>
          <w:spacing w:val="-2"/>
          <w:sz w:val="28"/>
          <w:szCs w:val="28"/>
          <w:highlight w:val="none"/>
          <w:lang w:val="en-US" w:eastAsia="zh-CN"/>
        </w:rPr>
        <w:t xml:space="preserve">热风循环消毒柜产品❶符合GB/T 10125-2021《人造气氛腐蚀试验盐雾试验》、GB/T 6461-2002，提供产品防腐蚀等级认证证书，提供阻燃认证书❷符合GB 4806.5-2016;GB 4806.9-2023食品接触产品安全认证证书和食品接触卫生产品认证证书；</w:t>
      </w:r>
      <w:r>
        <w:rPr>
          <w:rFonts w:hint="eastAsia" w:ascii="宋体" w:hAnsi="宋体" w:eastAsia="宋体" w:cs="宋体"/>
          <w:b/>
          <w:bCs/>
          <w:sz w:val="28"/>
          <w:szCs w:val="28"/>
          <w:highlight w:val="none"/>
          <w:lang w:val="en-US" w:eastAsia="zh-CN"/>
        </w:rPr>
        <w:t xml:space="preserve">每满足一项得1分，最高</w:t>
      </w:r>
      <w:r>
        <w:rPr>
          <w:rFonts w:hint="eastAsia" w:ascii="宋体" w:hAnsi="宋体" w:eastAsia="宋体" w:cs="宋体"/>
          <w:b/>
          <w:bCs/>
          <w:color w:val="000000"/>
          <w:sz w:val="28"/>
          <w:szCs w:val="28"/>
          <w:highlight w:val="none"/>
        </w:rPr>
        <w:t xml:space="preserve">得</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分</w:t>
      </w:r>
      <w:r>
        <w:rPr>
          <w:rFonts w:hint="eastAsia" w:ascii="宋体" w:hAnsi="宋体" w:eastAsia="宋体" w:cs="宋体"/>
          <w:b w:val="0"/>
          <w:bCs w:val="0"/>
          <w:spacing w:val="-2"/>
          <w:sz w:val="28"/>
          <w:szCs w:val="28"/>
          <w:highlight w:val="none"/>
          <w:lang w:val="en-US" w:eastAsia="zh-CN"/>
        </w:rPr>
        <w:t xml:space="preserve">。</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val="0"/>
          <w:bCs w:val="0"/>
          <w:spacing w:val="-2"/>
          <w:sz w:val="28"/>
          <w:szCs w:val="28"/>
          <w:highlight w:val="none"/>
          <w:lang w:val="en-US" w:eastAsia="zh-CN"/>
        </w:rPr>
        <w:t xml:space="preserve">❶❷</w:t>
      </w:r>
      <w:r>
        <w:rPr>
          <w:rFonts w:hint="eastAsia" w:ascii="宋体" w:hAnsi="宋体" w:eastAsia="宋体" w:cs="宋体"/>
          <w:b/>
          <w:bCs/>
          <w:sz w:val="28"/>
          <w:szCs w:val="28"/>
          <w:highlight w:val="none"/>
          <w:lang w:val="en-US" w:eastAsia="zh-CN"/>
        </w:rPr>
        <w:t xml:space="preserve">提供有效期内的认证证书</w:t>
      </w:r>
      <w:r>
        <w:rPr>
          <w:rFonts w:hint="eastAsia" w:ascii="宋体" w:hAnsi="宋体" w:eastAsia="宋体" w:cs="宋体"/>
          <w:b/>
          <w:bCs/>
          <w:color w:val="000000"/>
          <w:sz w:val="28"/>
          <w:szCs w:val="28"/>
          <w:highlight w:val="none"/>
          <w:lang w:val="en-US" w:eastAsia="zh-CN"/>
        </w:rPr>
        <w:t xml:space="preserve">及</w:t>
      </w:r>
      <w:r>
        <w:rPr>
          <w:rFonts w:hint="eastAsia" w:ascii="宋体" w:hAnsi="宋体" w:eastAsia="宋体" w:cs="宋体"/>
          <w:b/>
          <w:bCs/>
          <w:color w:val="000000"/>
          <w:sz w:val="28"/>
          <w:szCs w:val="28"/>
          <w:highlight w:val="none"/>
        </w:rPr>
        <w:t xml:space="preserve">全国认证认可信息公共服务平台查询截图附于投标文件中</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不提供或提供不全不得分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pacing w:val="-5"/>
          <w:sz w:val="28"/>
          <w:szCs w:val="28"/>
          <w:highlight w:val="none"/>
          <w:lang w:eastAsia="zh-CN"/>
        </w:rPr>
        <w:t xml:space="preserve">。</w:t>
      </w:r>
      <w:r>
        <w:rPr>
          <w:rFonts w:hint="eastAsia" w:ascii="宋体" w:hAnsi="宋体" w:eastAsia="宋体" w:cs="宋体"/>
          <w:b/>
          <w:bCs/>
          <w:spacing w:val="-2"/>
          <w:sz w:val="28"/>
          <w:szCs w:val="28"/>
          <w:highlight w:val="none"/>
        </w:rPr>
      </w:r>
      <w:r/>
    </w:p>
    <w:p>
      <w:pPr>
        <w:pStyle w:val="786"/>
        <w:ind w:left="0" w:right="0" w:firstLine="470"/>
        <w:keepLines w:val="0"/>
        <w:keepNext w:val="0"/>
        <w:pageBreakBefore w:val="0"/>
        <w:spacing w:line="360" w:lineRule="auto"/>
        <w:widowControl/>
        <w:rPr>
          <w:rFonts w:hint="eastAsia" w:ascii="宋体" w:hAnsi="宋体" w:eastAsia="宋体" w:cs="宋体"/>
          <w:b/>
          <w:bCs/>
          <w:color w:val="000000"/>
          <w:spacing w:val="-5"/>
          <w:sz w:val="28"/>
          <w:szCs w:val="28"/>
          <w:highlight w:val="none"/>
          <w:lang w:eastAsia="zh-CN"/>
        </w:rPr>
      </w:pPr>
      <w:r>
        <w:rPr>
          <w:rFonts w:hint="eastAsia" w:ascii="宋体" w:hAnsi="宋体" w:eastAsia="宋体" w:cs="宋体"/>
          <w:b w:val="0"/>
          <w:bCs w:val="0"/>
          <w:spacing w:val="-2"/>
          <w:sz w:val="28"/>
          <w:szCs w:val="28"/>
          <w:highlight w:val="none"/>
          <w:lang w:val="en-US" w:eastAsia="zh-CN"/>
        </w:rPr>
        <w:t xml:space="preserve">（5）</w:t>
      </w:r>
      <w:r>
        <w:rPr>
          <w:rFonts w:hint="eastAsia" w:ascii="宋体" w:hAnsi="宋体" w:eastAsia="宋体" w:cs="宋体"/>
          <w:b w:val="0"/>
          <w:bCs w:val="0"/>
          <w:spacing w:val="-3"/>
          <w:sz w:val="28"/>
          <w:szCs w:val="28"/>
          <w:highlight w:val="none"/>
        </w:rPr>
        <w:t xml:space="preserve">所投</w:t>
      </w:r>
      <w:r>
        <w:rPr>
          <w:rFonts w:hint="eastAsia" w:ascii="宋体" w:hAnsi="宋体" w:eastAsia="宋体" w:cs="宋体"/>
          <w:b w:val="0"/>
          <w:bCs w:val="0"/>
          <w:spacing w:val="-2"/>
          <w:sz w:val="28"/>
          <w:szCs w:val="28"/>
          <w:highlight w:val="none"/>
          <w:lang w:val="en-US" w:eastAsia="zh-CN"/>
        </w:rPr>
        <w:t xml:space="preserve">链片式输送带产品❶具有满足GB/T 1040.2-2022标准要求的产品力学认证证书；❷餐具回收线传送带外壳具有满足GB/T 10125-2021标准要求，试验后样品无锈蚀、穿孔、裂纹、点蚀腐蚀现象，依据 GB/T 6461-2002 进行保护评级达到10级的型式检测（试验）报告；</w:t>
      </w:r>
      <w:r>
        <w:rPr>
          <w:rFonts w:hint="eastAsia" w:ascii="宋体" w:hAnsi="宋体" w:eastAsia="宋体" w:cs="宋体"/>
          <w:b/>
          <w:bCs/>
          <w:sz w:val="28"/>
          <w:szCs w:val="28"/>
          <w:highlight w:val="none"/>
          <w:lang w:val="en-US" w:eastAsia="zh-CN"/>
        </w:rPr>
        <w:t xml:space="preserve">每满足一项得1分，最高</w:t>
      </w:r>
      <w:r>
        <w:rPr>
          <w:rFonts w:hint="eastAsia" w:ascii="宋体" w:hAnsi="宋体" w:eastAsia="宋体" w:cs="宋体"/>
          <w:b/>
          <w:bCs/>
          <w:color w:val="000000"/>
          <w:sz w:val="28"/>
          <w:szCs w:val="28"/>
          <w:highlight w:val="none"/>
        </w:rPr>
        <w:t xml:space="preserve">得</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分。</w:t>
      </w:r>
      <w:r>
        <w:rPr>
          <w:rFonts w:hint="eastAsia" w:ascii="宋体" w:hAnsi="宋体" w:eastAsia="宋体" w:cs="宋体"/>
          <w:b/>
          <w:bCs/>
          <w:color w:val="000000"/>
          <w:sz w:val="28"/>
          <w:szCs w:val="28"/>
          <w:highlight w:val="none"/>
          <w:lang w:eastAsia="zh-CN"/>
        </w:rPr>
        <w:t xml:space="preserve">（❶</w:t>
      </w:r>
      <w:r>
        <w:rPr>
          <w:rFonts w:hint="eastAsia" w:ascii="宋体" w:hAnsi="宋体" w:eastAsia="宋体" w:cs="宋体"/>
          <w:b/>
          <w:bCs/>
          <w:sz w:val="28"/>
          <w:szCs w:val="28"/>
          <w:highlight w:val="none"/>
          <w:lang w:val="en-US" w:eastAsia="zh-CN"/>
        </w:rPr>
        <w:t xml:space="preserve">提供有效期内的认证证书</w:t>
      </w:r>
      <w:r>
        <w:rPr>
          <w:rFonts w:hint="eastAsia" w:ascii="宋体" w:hAnsi="宋体" w:eastAsia="宋体" w:cs="宋体"/>
          <w:b/>
          <w:bCs/>
          <w:color w:val="000000"/>
          <w:sz w:val="28"/>
          <w:szCs w:val="28"/>
          <w:highlight w:val="none"/>
          <w:lang w:val="en-US" w:eastAsia="zh-CN"/>
        </w:rPr>
        <w:t xml:space="preserve">及</w:t>
      </w:r>
      <w:r>
        <w:rPr>
          <w:rFonts w:hint="eastAsia" w:ascii="宋体" w:hAnsi="宋体" w:eastAsia="宋体" w:cs="宋体"/>
          <w:b/>
          <w:bCs/>
          <w:color w:val="000000"/>
          <w:sz w:val="28"/>
          <w:szCs w:val="28"/>
          <w:highlight w:val="none"/>
        </w:rPr>
        <w:t xml:space="preserve">全国认证认可信息公共服务平台查询截图附于投标文件中</w:t>
      </w:r>
      <w:r>
        <w:rPr>
          <w:rFonts w:hint="eastAsia" w:ascii="宋体" w:hAnsi="宋体" w:eastAsia="宋体" w:cs="宋体"/>
          <w:b/>
          <w:bCs/>
          <w:color w:val="000000"/>
          <w:sz w:val="28"/>
          <w:szCs w:val="28"/>
          <w:highlight w:val="none"/>
          <w:lang w:eastAsia="zh-CN"/>
        </w:rPr>
        <w:t xml:space="preserve">❷，提供第三方检测机构出具的具有CMA或CNAS标识的型式检测（试验）报告，</w:t>
      </w:r>
      <w:r>
        <w:rPr>
          <w:rFonts w:hint="eastAsia" w:ascii="宋体" w:hAnsi="宋体" w:eastAsia="宋体" w:cs="宋体"/>
          <w:b/>
          <w:bCs/>
          <w:color w:val="000000"/>
          <w:sz w:val="28"/>
          <w:szCs w:val="28"/>
          <w:highlight w:val="none"/>
        </w:rPr>
        <w:t xml:space="preserve">不提供或提供不全不得分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pacing w:val="-5"/>
          <w:sz w:val="28"/>
          <w:szCs w:val="28"/>
          <w:highlight w:val="none"/>
          <w:lang w:eastAsia="zh-CN"/>
        </w:rPr>
        <w:t xml:space="preserve">。</w:t>
      </w:r>
      <w:r>
        <w:rPr>
          <w:rFonts w:hint="eastAsia" w:ascii="宋体" w:hAnsi="宋体" w:eastAsia="宋体" w:cs="宋体"/>
          <w:b/>
          <w:bCs/>
          <w:color w:val="000000"/>
          <w:spacing w:val="-5"/>
          <w:sz w:val="28"/>
          <w:szCs w:val="28"/>
          <w:highlight w:val="none"/>
          <w:lang w:eastAsia="zh-CN"/>
        </w:rPr>
      </w:r>
      <w:r/>
    </w:p>
    <w:p>
      <w:pPr>
        <w:pStyle w:val="786"/>
        <w:ind w:left="0" w:right="0" w:firstLine="470"/>
        <w:keepLines w:val="0"/>
        <w:keepNext w:val="0"/>
        <w:pageBreakBefore w:val="0"/>
        <w:spacing w:line="360" w:lineRule="auto"/>
        <w:widowControl/>
        <w:rPr>
          <w:rFonts w:hint="eastAsia" w:ascii="宋体" w:hAnsi="宋体" w:eastAsia="宋体" w:cs="宋体"/>
          <w:b/>
          <w:bCs/>
          <w:spacing w:val="-2"/>
          <w:sz w:val="28"/>
          <w:szCs w:val="28"/>
          <w:highlight w:val="none"/>
          <w:lang w:eastAsia="zh-CN"/>
        </w:rPr>
      </w:pPr>
      <w:r>
        <w:rPr>
          <w:rFonts w:hint="eastAsia" w:ascii="宋体" w:hAnsi="宋体" w:eastAsia="宋体" w:cs="宋体"/>
          <w:b/>
          <w:bCs/>
          <w:spacing w:val="-3"/>
          <w:sz w:val="28"/>
          <w:szCs w:val="28"/>
          <w:highlight w:val="none"/>
        </w:rPr>
        <w:t xml:space="preserve">（</w:t>
      </w:r>
      <w:r>
        <w:rPr>
          <w:rFonts w:hint="eastAsia" w:ascii="宋体" w:hAnsi="宋体" w:eastAsia="宋体" w:cs="宋体"/>
          <w:b/>
          <w:bCs/>
          <w:spacing w:val="-3"/>
          <w:sz w:val="28"/>
          <w:szCs w:val="28"/>
          <w:highlight w:val="none"/>
          <w:lang w:val="en-US" w:eastAsia="zh-CN"/>
        </w:rPr>
        <w:t xml:space="preserve">6</w:t>
      </w:r>
      <w:r>
        <w:rPr>
          <w:rFonts w:hint="eastAsia" w:ascii="宋体" w:hAnsi="宋体" w:eastAsia="宋体" w:cs="宋体"/>
          <w:b/>
          <w:bCs/>
          <w:spacing w:val="-3"/>
          <w:sz w:val="28"/>
          <w:szCs w:val="28"/>
          <w:highlight w:val="none"/>
        </w:rPr>
        <w:t xml:space="preserve">）</w:t>
      </w:r>
      <w:r>
        <w:rPr>
          <w:rFonts w:hint="eastAsia" w:ascii="宋体" w:hAnsi="宋体" w:eastAsia="宋体" w:cs="宋体"/>
          <w:b w:val="0"/>
          <w:bCs w:val="0"/>
          <w:spacing w:val="-3"/>
          <w:sz w:val="28"/>
          <w:szCs w:val="28"/>
          <w:highlight w:val="none"/>
        </w:rPr>
        <w:t xml:space="preserve">所投</w:t>
      </w:r>
      <w:r>
        <w:rPr>
          <w:rFonts w:hint="eastAsia" w:ascii="宋体" w:hAnsi="宋体" w:eastAsia="宋体" w:cs="宋体"/>
          <w:b/>
          <w:bCs/>
          <w:spacing w:val="-3"/>
          <w:sz w:val="28"/>
          <w:szCs w:val="28"/>
          <w:highlight w:val="none"/>
        </w:rPr>
        <w:t xml:space="preserve">智能粘捕式灭蝇灯</w:t>
      </w:r>
      <w:r>
        <w:rPr>
          <w:rFonts w:hint="eastAsia" w:ascii="宋体" w:hAnsi="宋体" w:eastAsia="宋体" w:cs="宋体"/>
          <w:b/>
          <w:bCs/>
          <w:color w:val="000000"/>
          <w:sz w:val="28"/>
          <w:szCs w:val="28"/>
          <w:highlight w:val="none"/>
          <w:lang w:val="en-US" w:eastAsia="zh-CN"/>
        </w:rPr>
        <w:t xml:space="preserve">产品</w:t>
      </w:r>
      <w:r>
        <w:rPr>
          <w:rFonts w:hint="eastAsia" w:ascii="宋体" w:hAnsi="宋体" w:eastAsia="宋体" w:cs="宋体"/>
          <w:spacing w:val="2"/>
          <w:sz w:val="28"/>
          <w:szCs w:val="28"/>
          <w:highlight w:val="none"/>
          <w:lang w:val="en-US" w:eastAsia="zh-CN"/>
        </w:rPr>
        <w:t xml:space="preserve">符合GB/T25000.51-2016《系统与软件工程系统与软质量要求和评价(SQuaRE)第51部分:就绪可用软件产品(RUSP)的质量要求和测试细则》，具有</w:t>
      </w:r>
      <w:r>
        <w:rPr>
          <w:rFonts w:hint="eastAsia" w:ascii="宋体" w:hAnsi="宋体" w:eastAsia="宋体" w:cs="宋体"/>
          <w:sz w:val="28"/>
          <w:szCs w:val="28"/>
          <w:highlight w:val="none"/>
          <w:lang w:val="en-US" w:eastAsia="zh-CN"/>
        </w:rPr>
        <w:t xml:space="preserve">设备拍照功能、设备健康检查功能、更新设备的拍摄时间节点；</w:t>
      </w:r>
      <w:r>
        <w:rPr>
          <w:rFonts w:hint="eastAsia" w:ascii="宋体" w:hAnsi="宋体" w:eastAsia="宋体" w:cs="宋体"/>
          <w:b/>
          <w:bCs/>
          <w:color w:val="000000"/>
          <w:spacing w:val="-2"/>
          <w:sz w:val="28"/>
          <w:szCs w:val="28"/>
          <w:highlight w:val="none"/>
        </w:rPr>
        <w:t xml:space="preserve">符合要求得</w:t>
      </w:r>
      <w:r>
        <w:rPr>
          <w:rFonts w:hint="eastAsia" w:ascii="宋体" w:hAnsi="宋体" w:eastAsia="宋体" w:cs="宋体"/>
          <w:b/>
          <w:bCs/>
          <w:color w:val="000000"/>
          <w:spacing w:val="-38"/>
          <w:sz w:val="28"/>
          <w:szCs w:val="28"/>
          <w:highlight w:val="none"/>
        </w:rPr>
        <w:t xml:space="preserve"> </w:t>
      </w:r>
      <w:r>
        <w:rPr>
          <w:rFonts w:hint="eastAsia" w:ascii="宋体" w:hAnsi="宋体" w:eastAsia="宋体" w:cs="宋体"/>
          <w:b/>
          <w:bCs/>
          <w:color w:val="000000"/>
          <w:spacing w:val="-38"/>
          <w:sz w:val="28"/>
          <w:szCs w:val="28"/>
          <w:highlight w:val="none"/>
          <w:lang w:val="en-US" w:eastAsia="zh-CN"/>
        </w:rPr>
        <w:t xml:space="preserve">2</w:t>
      </w:r>
      <w:r>
        <w:rPr>
          <w:rFonts w:hint="eastAsia" w:ascii="宋体" w:hAnsi="宋体" w:eastAsia="宋体" w:cs="宋体"/>
          <w:b/>
          <w:bCs/>
          <w:color w:val="000000"/>
          <w:spacing w:val="-2"/>
          <w:sz w:val="28"/>
          <w:szCs w:val="28"/>
          <w:highlight w:val="none"/>
        </w:rPr>
        <w:t xml:space="preserve">分</w:t>
      </w:r>
      <w:r>
        <w:rPr>
          <w:rFonts w:hint="eastAsia" w:ascii="宋体" w:hAnsi="宋体" w:eastAsia="宋体" w:cs="宋体"/>
          <w:b/>
          <w:bCs/>
          <w:color w:val="000000"/>
          <w:spacing w:val="-2"/>
          <w:sz w:val="28"/>
          <w:szCs w:val="28"/>
          <w:highlight w:val="none"/>
          <w:lang w:eastAsia="zh-CN"/>
        </w:rPr>
        <w:t xml:space="preserve">。（</w:t>
      </w:r>
      <w:r>
        <w:rPr>
          <w:rFonts w:hint="eastAsia" w:ascii="宋体" w:hAnsi="宋体" w:eastAsia="宋体" w:cs="宋体"/>
          <w:b/>
          <w:bCs/>
          <w:color w:val="000000"/>
          <w:sz w:val="28"/>
          <w:szCs w:val="28"/>
          <w:highlight w:val="none"/>
        </w:rPr>
        <w:t xml:space="preserve">提</w:t>
      </w:r>
      <w:r>
        <w:rPr>
          <w:rFonts w:hint="eastAsia" w:ascii="宋体" w:hAnsi="宋体" w:eastAsia="宋体" w:cs="宋体"/>
          <w:b/>
          <w:bCs w:val="0"/>
          <w:color w:val="000000"/>
          <w:sz w:val="28"/>
          <w:szCs w:val="28"/>
          <w:highlight w:val="none"/>
        </w:rPr>
        <w:t xml:space="preserve">供</w:t>
      </w:r>
      <w:r>
        <w:rPr>
          <w:rFonts w:hint="eastAsia" w:ascii="宋体" w:hAnsi="宋体" w:eastAsia="宋体" w:cs="宋体"/>
          <w:b/>
          <w:bCs w:val="0"/>
          <w:color w:val="000000"/>
          <w:sz w:val="28"/>
          <w:szCs w:val="28"/>
          <w:highlight w:val="none"/>
          <w:lang w:val="en-US" w:eastAsia="zh-CN"/>
        </w:rPr>
        <w:t xml:space="preserve">具有CNAS或CMA标识符合相应检测标准资质的第三方检测机构出具的</w:t>
      </w:r>
      <w:r>
        <w:rPr>
          <w:rFonts w:hint="eastAsia" w:ascii="宋体" w:hAnsi="宋体" w:eastAsia="宋体" w:cs="宋体"/>
          <w:b/>
          <w:bCs w:val="0"/>
          <w:color w:val="000000"/>
          <w:sz w:val="28"/>
          <w:szCs w:val="28"/>
          <w:highlight w:val="none"/>
          <w:lang w:eastAsia="zh-CN"/>
        </w:rPr>
        <w:t xml:space="preserve">检测</w:t>
      </w:r>
      <w:r>
        <w:rPr>
          <w:rFonts w:hint="eastAsia" w:ascii="宋体" w:hAnsi="宋体" w:eastAsia="宋体" w:cs="宋体"/>
          <w:b/>
          <w:bCs w:val="0"/>
          <w:color w:val="000000"/>
          <w:sz w:val="28"/>
          <w:szCs w:val="28"/>
          <w:highlight w:val="none"/>
          <w:lang w:val="en-US" w:eastAsia="zh-CN"/>
        </w:rPr>
        <w:t xml:space="preserve">或检验报告</w:t>
      </w:r>
      <w:r>
        <w:rPr>
          <w:rFonts w:hint="eastAsia" w:ascii="宋体" w:hAnsi="宋体" w:eastAsia="宋体" w:cs="宋体"/>
          <w:b/>
          <w:bCs/>
          <w:spacing w:val="2"/>
          <w:sz w:val="28"/>
          <w:szCs w:val="28"/>
          <w:highlight w:val="none"/>
        </w:rPr>
        <w:t xml:space="preserve">原件</w:t>
      </w:r>
      <w:r>
        <w:rPr>
          <w:rFonts w:hint="eastAsia" w:ascii="宋体" w:hAnsi="宋体" w:eastAsia="宋体" w:cs="宋体"/>
          <w:b/>
          <w:bCs/>
          <w:spacing w:val="-2"/>
          <w:sz w:val="28"/>
          <w:szCs w:val="28"/>
          <w:highlight w:val="none"/>
        </w:rPr>
        <w:t xml:space="preserve">扫描</w:t>
      </w:r>
      <w:r>
        <w:rPr>
          <w:rFonts w:hint="eastAsia" w:ascii="宋体" w:hAnsi="宋体" w:eastAsia="宋体" w:cs="宋体"/>
          <w:b/>
          <w:bCs/>
          <w:spacing w:val="-2"/>
          <w:sz w:val="28"/>
          <w:szCs w:val="28"/>
          <w:highlight w:val="none"/>
          <w:lang w:val="en-US" w:eastAsia="zh-CN"/>
        </w:rPr>
        <w:t xml:space="preserve">件</w:t>
      </w:r>
      <w:r>
        <w:rPr>
          <w:rFonts w:hint="eastAsia" w:ascii="宋体" w:hAnsi="宋体" w:eastAsia="宋体" w:cs="宋体"/>
          <w:b/>
          <w:bCs/>
          <w:color w:val="000000"/>
          <w:sz w:val="28"/>
          <w:szCs w:val="28"/>
          <w:highlight w:val="none"/>
          <w:lang w:val="en-US" w:eastAsia="zh-CN"/>
        </w:rPr>
        <w:t xml:space="preserve">及</w:t>
      </w:r>
      <w:r>
        <w:rPr>
          <w:rFonts w:hint="eastAsia" w:ascii="宋体" w:hAnsi="宋体" w:eastAsia="宋体" w:cs="宋体"/>
          <w:b/>
          <w:bCs/>
          <w:color w:val="000000"/>
          <w:sz w:val="28"/>
          <w:szCs w:val="28"/>
          <w:highlight w:val="none"/>
        </w:rPr>
        <w:t xml:space="preserve">全国认证认可信息公共服务平台查询截图</w:t>
      </w:r>
      <w:r>
        <w:rPr>
          <w:rFonts w:hint="eastAsia" w:ascii="宋体" w:hAnsi="宋体" w:eastAsia="宋体" w:cs="宋体"/>
          <w:b/>
          <w:bCs/>
          <w:spacing w:val="-2"/>
          <w:sz w:val="28"/>
          <w:szCs w:val="28"/>
          <w:highlight w:val="none"/>
        </w:rPr>
        <w:t xml:space="preserve">上传至</w:t>
      </w:r>
      <w:r>
        <w:rPr>
          <w:rFonts w:hint="eastAsia" w:ascii="宋体" w:hAnsi="宋体" w:eastAsia="宋体" w:cs="宋体"/>
          <w:b/>
          <w:bCs/>
          <w:color w:val="000000"/>
          <w:sz w:val="28"/>
          <w:szCs w:val="28"/>
          <w:highlight w:val="none"/>
        </w:rPr>
        <w:t xml:space="preserve">投标文件中</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不提供或提供不全不得分</w:t>
      </w:r>
      <w:r>
        <w:rPr>
          <w:rFonts w:hint="eastAsia" w:ascii="宋体" w:hAnsi="宋体" w:eastAsia="宋体" w:cs="宋体"/>
          <w:b/>
          <w:bCs/>
          <w:spacing w:val="-2"/>
          <w:sz w:val="28"/>
          <w:szCs w:val="28"/>
          <w:highlight w:val="none"/>
          <w:lang w:eastAsia="zh-CN"/>
        </w:rPr>
        <w:t xml:space="preserve">）</w:t>
      </w:r>
      <w:r>
        <w:rPr>
          <w:rFonts w:hint="eastAsia" w:ascii="宋体" w:hAnsi="宋体" w:eastAsia="宋体" w:cs="宋体"/>
          <w:b/>
          <w:bCs/>
          <w:spacing w:val="-2"/>
          <w:sz w:val="28"/>
          <w:szCs w:val="28"/>
          <w:highlight w:val="none"/>
          <w:lang w:eastAsia="zh-CN"/>
        </w:rPr>
      </w:r>
      <w:r/>
    </w:p>
    <w:p>
      <w:pPr>
        <w:pStyle w:val="786"/>
        <w:ind w:left="0" w:right="0" w:firstLine="470"/>
        <w:keepLines w:val="0"/>
        <w:keepNext w:val="0"/>
        <w:pageBreakBefore w:val="0"/>
        <w:spacing w:line="360" w:lineRule="auto"/>
        <w:widowControl/>
        <w:rPr>
          <w:rFonts w:hint="eastAsia" w:ascii="宋体" w:hAnsi="宋体" w:eastAsia="宋体" w:cs="宋体"/>
          <w:b/>
          <w:bCs/>
          <w:spacing w:val="-2"/>
          <w:sz w:val="28"/>
          <w:szCs w:val="28"/>
          <w:highlight w:val="none"/>
          <w:lang w:eastAsia="zh-CN"/>
        </w:rPr>
      </w:pPr>
      <w:r>
        <w:rPr>
          <w:rFonts w:hint="eastAsia" w:ascii="宋体" w:hAnsi="宋体" w:eastAsia="宋体" w:cs="宋体"/>
          <w:b/>
          <w:bCs/>
          <w:spacing w:val="-3"/>
          <w:sz w:val="28"/>
          <w:szCs w:val="28"/>
          <w:highlight w:val="none"/>
        </w:rPr>
        <w:t xml:space="preserve">（</w:t>
      </w:r>
      <w:r>
        <w:rPr>
          <w:rFonts w:hint="eastAsia" w:ascii="宋体" w:hAnsi="宋体" w:eastAsia="宋体" w:cs="宋体"/>
          <w:b/>
          <w:bCs/>
          <w:spacing w:val="-3"/>
          <w:sz w:val="28"/>
          <w:szCs w:val="28"/>
          <w:highlight w:val="none"/>
          <w:lang w:val="en-US" w:eastAsia="zh-CN"/>
        </w:rPr>
        <w:t xml:space="preserve">7</w:t>
      </w:r>
      <w:r>
        <w:rPr>
          <w:rFonts w:hint="eastAsia" w:ascii="宋体" w:hAnsi="宋体" w:eastAsia="宋体" w:cs="宋体"/>
          <w:b/>
          <w:bCs/>
          <w:spacing w:val="-3"/>
          <w:sz w:val="28"/>
          <w:szCs w:val="28"/>
          <w:highlight w:val="none"/>
        </w:rPr>
        <w:t xml:space="preserve">）</w:t>
      </w:r>
      <w:r>
        <w:rPr>
          <w:rFonts w:hint="eastAsia" w:ascii="宋体" w:hAnsi="宋体" w:eastAsia="宋体" w:cs="宋体"/>
          <w:b w:val="0"/>
          <w:bCs w:val="0"/>
          <w:color w:val="000000"/>
          <w:spacing w:val="-3"/>
          <w:sz w:val="28"/>
          <w:szCs w:val="28"/>
          <w:highlight w:val="none"/>
        </w:rPr>
        <w:t xml:space="preserve">所投鼓泡预洗机</w:t>
      </w:r>
      <w:r>
        <w:rPr>
          <w:rFonts w:hint="eastAsia" w:ascii="宋体" w:hAnsi="宋体" w:eastAsia="宋体" w:cs="宋体"/>
          <w:b w:val="0"/>
          <w:bCs w:val="0"/>
          <w:color w:val="000000"/>
          <w:spacing w:val="-3"/>
          <w:sz w:val="28"/>
          <w:szCs w:val="28"/>
          <w:highlight w:val="none"/>
          <w:lang w:val="en-US" w:eastAsia="zh-CN"/>
        </w:rPr>
        <w:t xml:space="preserve">产品符合《GB 4806.9-2023》标准，对杂质元素：砷、镉、铅、锑，合金元素：铬、铜、锰、镍等元素用浸泡液进行检测，所得结果为浸泡液无异臭；</w:t>
      </w:r>
      <w:r>
        <w:rPr>
          <w:rFonts w:hint="eastAsia" w:ascii="宋体" w:hAnsi="宋体" w:eastAsia="宋体" w:cs="宋体"/>
          <w:b w:val="0"/>
          <w:bCs w:val="0"/>
          <w:color w:val="000000"/>
          <w:spacing w:val="-2"/>
          <w:sz w:val="28"/>
          <w:szCs w:val="28"/>
          <w:highlight w:val="none"/>
        </w:rPr>
        <w:t xml:space="preserve">符合要求得</w:t>
      </w:r>
      <w:r>
        <w:rPr>
          <w:rFonts w:hint="eastAsia" w:ascii="宋体" w:hAnsi="宋体" w:eastAsia="宋体" w:cs="宋体"/>
          <w:b w:val="0"/>
          <w:bCs w:val="0"/>
          <w:color w:val="000000"/>
          <w:spacing w:val="-2"/>
          <w:sz w:val="28"/>
          <w:szCs w:val="28"/>
          <w:highlight w:val="none"/>
          <w:lang w:val="en-US" w:eastAsia="zh-CN"/>
        </w:rPr>
        <w:t xml:space="preserve">2</w:t>
      </w:r>
      <w:r>
        <w:rPr>
          <w:rFonts w:hint="eastAsia" w:ascii="宋体" w:hAnsi="宋体" w:eastAsia="宋体" w:cs="宋体"/>
          <w:b w:val="0"/>
          <w:bCs w:val="0"/>
          <w:color w:val="000000"/>
          <w:spacing w:val="-2"/>
          <w:sz w:val="28"/>
          <w:szCs w:val="28"/>
          <w:highlight w:val="none"/>
        </w:rPr>
        <w:t xml:space="preserve">分</w:t>
      </w:r>
      <w:r>
        <w:rPr>
          <w:rFonts w:hint="eastAsia" w:ascii="宋体" w:hAnsi="宋体" w:eastAsia="宋体" w:cs="宋体"/>
          <w:b w:val="0"/>
          <w:bCs w:val="0"/>
          <w:color w:val="000000"/>
          <w:spacing w:val="-2"/>
          <w:sz w:val="28"/>
          <w:szCs w:val="28"/>
          <w:highlight w:val="none"/>
          <w:lang w:eastAsia="zh-CN"/>
        </w:rPr>
        <w:t xml:space="preserve">。</w:t>
      </w:r>
      <w:r>
        <w:rPr>
          <w:rFonts w:hint="eastAsia" w:ascii="宋体" w:hAnsi="宋体" w:eastAsia="宋体" w:cs="宋体"/>
          <w:b/>
          <w:bCs/>
          <w:color w:val="000000"/>
          <w:spacing w:val="-2"/>
          <w:sz w:val="28"/>
          <w:szCs w:val="28"/>
          <w:highlight w:val="none"/>
          <w:lang w:eastAsia="zh-CN"/>
        </w:rPr>
        <w:t xml:space="preserve">（</w:t>
      </w:r>
      <w:r>
        <w:rPr>
          <w:rFonts w:hint="eastAsia" w:ascii="宋体" w:hAnsi="宋体" w:eastAsia="宋体" w:cs="宋体"/>
          <w:b/>
          <w:bCs/>
          <w:color w:val="000000"/>
          <w:sz w:val="28"/>
          <w:szCs w:val="28"/>
          <w:highlight w:val="none"/>
        </w:rPr>
        <w:t xml:space="preserve">提</w:t>
      </w:r>
      <w:r>
        <w:rPr>
          <w:rFonts w:hint="eastAsia" w:ascii="宋体" w:hAnsi="宋体" w:eastAsia="宋体" w:cs="宋体"/>
          <w:b/>
          <w:bCs w:val="0"/>
          <w:color w:val="000000"/>
          <w:sz w:val="28"/>
          <w:szCs w:val="28"/>
          <w:highlight w:val="none"/>
        </w:rPr>
        <w:t xml:space="preserve">供</w:t>
      </w:r>
      <w:r>
        <w:rPr>
          <w:rFonts w:hint="eastAsia" w:ascii="宋体" w:hAnsi="宋体" w:eastAsia="宋体" w:cs="宋体"/>
          <w:b/>
          <w:bCs w:val="0"/>
          <w:color w:val="000000"/>
          <w:sz w:val="28"/>
          <w:szCs w:val="28"/>
          <w:highlight w:val="none"/>
          <w:lang w:val="en-US" w:eastAsia="zh-CN"/>
        </w:rPr>
        <w:t xml:space="preserve">具有CNAS或CMA标识符合相应检测标准资质的第三方检测机构出具的</w:t>
      </w:r>
      <w:r>
        <w:rPr>
          <w:rFonts w:hint="eastAsia" w:ascii="宋体" w:hAnsi="宋体" w:eastAsia="宋体" w:cs="宋体"/>
          <w:b/>
          <w:bCs w:val="0"/>
          <w:color w:val="000000"/>
          <w:sz w:val="28"/>
          <w:szCs w:val="28"/>
          <w:highlight w:val="none"/>
          <w:lang w:eastAsia="zh-CN"/>
        </w:rPr>
        <w:t xml:space="preserve">检测</w:t>
      </w:r>
      <w:r>
        <w:rPr>
          <w:rFonts w:hint="eastAsia" w:ascii="宋体" w:hAnsi="宋体" w:eastAsia="宋体" w:cs="宋体"/>
          <w:b/>
          <w:bCs w:val="0"/>
          <w:color w:val="000000"/>
          <w:sz w:val="28"/>
          <w:szCs w:val="28"/>
          <w:highlight w:val="none"/>
          <w:lang w:val="en-US" w:eastAsia="zh-CN"/>
        </w:rPr>
        <w:t xml:space="preserve">或检验报告</w:t>
      </w:r>
      <w:r>
        <w:rPr>
          <w:rFonts w:hint="eastAsia" w:ascii="宋体" w:hAnsi="宋体" w:eastAsia="宋体" w:cs="宋体"/>
          <w:b/>
          <w:bCs/>
          <w:spacing w:val="2"/>
          <w:sz w:val="28"/>
          <w:szCs w:val="28"/>
          <w:highlight w:val="none"/>
        </w:rPr>
        <w:t xml:space="preserve">原件</w:t>
      </w:r>
      <w:r>
        <w:rPr>
          <w:rFonts w:hint="eastAsia" w:ascii="宋体" w:hAnsi="宋体" w:eastAsia="宋体" w:cs="宋体"/>
          <w:b/>
          <w:bCs/>
          <w:spacing w:val="-2"/>
          <w:sz w:val="28"/>
          <w:szCs w:val="28"/>
          <w:highlight w:val="none"/>
        </w:rPr>
        <w:t xml:space="preserve">扫描</w:t>
      </w:r>
      <w:r>
        <w:rPr>
          <w:rFonts w:hint="eastAsia" w:ascii="宋体" w:hAnsi="宋体" w:eastAsia="宋体" w:cs="宋体"/>
          <w:b/>
          <w:bCs/>
          <w:spacing w:val="-2"/>
          <w:sz w:val="28"/>
          <w:szCs w:val="28"/>
          <w:highlight w:val="none"/>
          <w:lang w:val="en-US" w:eastAsia="zh-CN"/>
        </w:rPr>
        <w:t xml:space="preserve">件</w:t>
      </w:r>
      <w:r>
        <w:rPr>
          <w:rFonts w:hint="eastAsia" w:ascii="宋体" w:hAnsi="宋体" w:eastAsia="宋体" w:cs="宋体"/>
          <w:b/>
          <w:bCs/>
          <w:color w:val="000000"/>
          <w:sz w:val="28"/>
          <w:szCs w:val="28"/>
          <w:highlight w:val="none"/>
          <w:lang w:val="en-US" w:eastAsia="zh-CN"/>
        </w:rPr>
        <w:t xml:space="preserve">及</w:t>
      </w:r>
      <w:r>
        <w:rPr>
          <w:rFonts w:hint="eastAsia" w:ascii="宋体" w:hAnsi="宋体" w:eastAsia="宋体" w:cs="宋体"/>
          <w:b/>
          <w:bCs/>
          <w:color w:val="000000"/>
          <w:sz w:val="28"/>
          <w:szCs w:val="28"/>
          <w:highlight w:val="none"/>
        </w:rPr>
        <w:t xml:space="preserve">全国认证认可信息公共服务平台查询截图</w:t>
      </w:r>
      <w:r>
        <w:rPr>
          <w:rFonts w:hint="eastAsia" w:ascii="宋体" w:hAnsi="宋体" w:eastAsia="宋体" w:cs="宋体"/>
          <w:b/>
          <w:bCs/>
          <w:spacing w:val="-2"/>
          <w:sz w:val="28"/>
          <w:szCs w:val="28"/>
          <w:highlight w:val="none"/>
        </w:rPr>
        <w:t xml:space="preserve">上传至</w:t>
      </w:r>
      <w:r>
        <w:rPr>
          <w:rFonts w:hint="eastAsia" w:ascii="宋体" w:hAnsi="宋体" w:eastAsia="宋体" w:cs="宋体"/>
          <w:b/>
          <w:bCs/>
          <w:color w:val="000000"/>
          <w:sz w:val="28"/>
          <w:szCs w:val="28"/>
          <w:highlight w:val="none"/>
        </w:rPr>
        <w:t xml:space="preserve">投标文件中</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不提供或提供不全不得分</w:t>
      </w:r>
      <w:r>
        <w:rPr>
          <w:rFonts w:hint="eastAsia" w:ascii="宋体" w:hAnsi="宋体" w:eastAsia="宋体" w:cs="宋体"/>
          <w:b/>
          <w:bCs/>
          <w:spacing w:val="-2"/>
          <w:sz w:val="28"/>
          <w:szCs w:val="28"/>
          <w:highlight w:val="none"/>
          <w:lang w:eastAsia="zh-CN"/>
        </w:rPr>
        <w:t xml:space="preserve">）</w:t>
      </w:r>
      <w:r>
        <w:rPr>
          <w:rFonts w:hint="eastAsia" w:ascii="宋体" w:hAnsi="宋体" w:eastAsia="宋体" w:cs="宋体"/>
          <w:b/>
          <w:bCs/>
          <w:spacing w:val="-2"/>
          <w:sz w:val="28"/>
          <w:szCs w:val="28"/>
          <w:highlight w:val="none"/>
          <w:lang w:eastAsia="zh-CN"/>
        </w:rPr>
      </w:r>
      <w:r/>
    </w:p>
    <w:p>
      <w:pPr>
        <w:pStyle w:val="786"/>
        <w:numPr>
          <w:ilvl w:val="0"/>
          <w:numId w:val="0"/>
        </w:numPr>
        <w:ind w:left="630"/>
        <w:spacing w:line="360" w:lineRule="auto"/>
        <w:tabs>
          <w:tab w:val="left" w:pos="945" w:leader="none"/>
          <w:tab w:val="left" w:pos="1155" w:leader="none"/>
          <w:tab w:val="left" w:pos="3823"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4.</w:t>
      </w:r>
      <w:r>
        <w:rPr>
          <w:rFonts w:hint="eastAsia" w:ascii="宋体" w:hAnsi="宋体" w:eastAsia="宋体" w:cs="宋体"/>
          <w:b/>
          <w:bCs/>
          <w:color w:val="000000"/>
          <w:sz w:val="28"/>
          <w:szCs w:val="28"/>
          <w:highlight w:val="none"/>
        </w:rPr>
        <w:t xml:space="preserve">技术文件（</w:t>
      </w:r>
      <w:r>
        <w:rPr>
          <w:rFonts w:hint="eastAsia" w:ascii="宋体" w:hAnsi="宋体" w:eastAsia="宋体" w:cs="宋体"/>
          <w:b/>
          <w:bCs/>
          <w:color w:val="000000"/>
          <w:sz w:val="28"/>
          <w:szCs w:val="28"/>
          <w:highlight w:val="none"/>
          <w:lang w:val="en-US" w:eastAsia="zh-CN"/>
        </w:rPr>
        <w:t xml:space="preserve">20</w:t>
      </w:r>
      <w:r>
        <w:rPr>
          <w:rFonts w:hint="eastAsia" w:ascii="宋体" w:hAnsi="宋体" w:eastAsia="宋体" w:cs="宋体"/>
          <w:b/>
          <w:bCs/>
          <w:color w:val="000000"/>
          <w:sz w:val="28"/>
          <w:szCs w:val="28"/>
          <w:highlight w:val="none"/>
        </w:rPr>
        <w:t xml:space="preserve">分）</w:t>
      </w:r>
      <w:r>
        <w:rPr>
          <w:rFonts w:hint="eastAsia" w:ascii="宋体" w:hAnsi="宋体" w:eastAsia="宋体" w:cs="宋体"/>
          <w:b/>
          <w:bCs/>
          <w:color w:val="000000"/>
          <w:sz w:val="28"/>
          <w:szCs w:val="28"/>
          <w:highlight w:val="none"/>
        </w:rPr>
      </w:r>
      <w:r/>
    </w:p>
    <w:p>
      <w:pPr>
        <w:pStyle w:val="786"/>
        <w:ind w:left="0" w:right="0" w:firstLine="470"/>
        <w:keepLines w:val="0"/>
        <w:keepNext w:val="0"/>
        <w:pageBreakBefore w:val="0"/>
        <w:spacing w:line="360" w:lineRule="auto"/>
        <w:widowControl/>
        <w:rPr>
          <w:rFonts w:hint="eastAsia" w:ascii="宋体" w:hAnsi="宋体" w:eastAsia="宋体" w:cs="宋体"/>
          <w:b/>
          <w:bCs/>
          <w:spacing w:val="-3"/>
          <w:sz w:val="28"/>
          <w:szCs w:val="28"/>
          <w:highlight w:val="none"/>
          <w:lang w:val="en-US" w:eastAsia="en-US"/>
        </w:rPr>
      </w:pPr>
      <w:r>
        <w:rPr>
          <w:rFonts w:hint="eastAsia" w:ascii="宋体" w:hAnsi="宋体" w:eastAsia="宋体" w:cs="宋体"/>
          <w:b/>
          <w:bCs/>
          <w:spacing w:val="-3"/>
          <w:sz w:val="28"/>
          <w:szCs w:val="28"/>
          <w:highlight w:val="none"/>
          <w:lang w:val="en-US" w:eastAsia="en-US"/>
        </w:rPr>
        <w:t xml:space="preserve">（1） 质量管理及安全措施</w:t>
      </w:r>
      <w:r>
        <w:rPr>
          <w:rFonts w:hint="eastAsia" w:ascii="宋体" w:hAnsi="宋体" w:eastAsia="宋体" w:cs="宋体"/>
          <w:b/>
          <w:bCs/>
          <w:spacing w:val="-3"/>
          <w:sz w:val="28"/>
          <w:szCs w:val="28"/>
          <w:highlight w:val="none"/>
          <w:lang w:val="en-US" w:eastAsia="zh-CN"/>
        </w:rPr>
        <w:t xml:space="preserve">（5</w:t>
      </w:r>
      <w:r>
        <w:rPr>
          <w:rFonts w:hint="eastAsia" w:ascii="宋体" w:hAnsi="宋体" w:eastAsia="宋体" w:cs="宋体"/>
          <w:b/>
          <w:bCs/>
          <w:spacing w:val="-3"/>
          <w:sz w:val="28"/>
          <w:szCs w:val="28"/>
          <w:highlight w:val="none"/>
          <w:lang w:val="en-US" w:eastAsia="en-US"/>
        </w:rPr>
        <w:t xml:space="preserve">分）</w:t>
      </w:r>
      <w:r>
        <w:rPr>
          <w:rFonts w:hint="eastAsia" w:ascii="宋体" w:hAnsi="宋体" w:eastAsia="宋体" w:cs="宋体"/>
          <w:b/>
          <w:bCs/>
          <w:spacing w:val="-3"/>
          <w:sz w:val="28"/>
          <w:szCs w:val="28"/>
          <w:highlight w:val="none"/>
          <w:lang w:val="en-US" w:eastAsia="en-US"/>
        </w:rPr>
      </w:r>
      <w:r/>
    </w:p>
    <w:p>
      <w:pPr>
        <w:pStyle w:val="786"/>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lang w:val="en-US" w:eastAsia="zh-CN"/>
        </w:rPr>
      </w:pPr>
      <w:r>
        <w:rPr>
          <w:rFonts w:hint="eastAsia" w:ascii="宋体" w:hAnsi="宋体" w:eastAsia="宋体" w:cs="宋体"/>
          <w:b w:val="0"/>
          <w:bCs w:val="0"/>
          <w:spacing w:val="-3"/>
          <w:sz w:val="28"/>
          <w:szCs w:val="28"/>
          <w:highlight w:val="none"/>
          <w:lang w:val="en-US" w:eastAsia="zh-CN"/>
        </w:rPr>
        <w:t xml:space="preserve">内容包括：</w:t>
      </w:r>
      <w:r>
        <w:rPr>
          <w:rFonts w:hint="eastAsia" w:ascii="宋体" w:hAnsi="宋体" w:eastAsia="宋体" w:cs="宋体"/>
          <w:b w:val="0"/>
          <w:bCs w:val="0"/>
          <w:spacing w:val="-3"/>
          <w:sz w:val="28"/>
          <w:szCs w:val="28"/>
          <w:highlight w:val="none"/>
          <w:lang w:val="en-US" w:eastAsia="en-US"/>
        </w:rPr>
        <w:t xml:space="preserve">①产品质量管控方案</w:t>
      </w:r>
      <w:r>
        <w:rPr>
          <w:rFonts w:hint="eastAsia" w:ascii="宋体" w:hAnsi="宋体" w:eastAsia="宋体" w:cs="宋体"/>
          <w:b w:val="0"/>
          <w:bCs w:val="0"/>
          <w:spacing w:val="-3"/>
          <w:sz w:val="28"/>
          <w:szCs w:val="28"/>
          <w:highlight w:val="none"/>
          <w:lang w:val="en-US" w:eastAsia="zh-CN"/>
        </w:rPr>
        <w:t xml:space="preserve">；</w:t>
      </w:r>
      <w:r>
        <w:rPr>
          <w:rFonts w:hint="eastAsia" w:ascii="宋体" w:hAnsi="宋体" w:eastAsia="宋体" w:cs="宋体"/>
          <w:b w:val="0"/>
          <w:bCs w:val="0"/>
          <w:spacing w:val="-3"/>
          <w:sz w:val="28"/>
          <w:szCs w:val="28"/>
          <w:highlight w:val="none"/>
          <w:lang w:val="en-US" w:eastAsia="en-US"/>
        </w:rPr>
        <w:t xml:space="preserve">②</w:t>
      </w:r>
      <w:r>
        <w:rPr>
          <w:rFonts w:hint="eastAsia" w:ascii="宋体" w:hAnsi="宋体" w:eastAsia="宋体" w:cs="宋体"/>
          <w:b w:val="0"/>
          <w:bCs w:val="0"/>
          <w:spacing w:val="-3"/>
          <w:sz w:val="28"/>
          <w:szCs w:val="28"/>
          <w:highlight w:val="none"/>
          <w:lang w:val="en-US" w:eastAsia="zh-CN"/>
        </w:rPr>
        <w:t xml:space="preserve">工艺流程图；③安全</w:t>
      </w:r>
      <w:r>
        <w:rPr>
          <w:rFonts w:hint="eastAsia" w:ascii="宋体" w:hAnsi="宋体" w:eastAsia="宋体" w:cs="宋体"/>
          <w:b w:val="0"/>
          <w:bCs w:val="0"/>
          <w:spacing w:val="-3"/>
          <w:sz w:val="28"/>
          <w:szCs w:val="28"/>
          <w:highlight w:val="none"/>
          <w:lang w:val="en-US" w:eastAsia="en-US"/>
        </w:rPr>
        <w:t xml:space="preserve">生产</w:t>
      </w:r>
      <w:r>
        <w:rPr>
          <w:rFonts w:hint="eastAsia" w:ascii="宋体" w:hAnsi="宋体" w:eastAsia="宋体" w:cs="宋体"/>
          <w:b w:val="0"/>
          <w:bCs w:val="0"/>
          <w:spacing w:val="-3"/>
          <w:sz w:val="28"/>
          <w:szCs w:val="28"/>
          <w:highlight w:val="none"/>
          <w:lang w:val="en-US" w:eastAsia="zh-CN"/>
        </w:rPr>
        <w:t xml:space="preserve">保证措施</w:t>
      </w:r>
      <w:r>
        <w:rPr>
          <w:rFonts w:hint="eastAsia" w:ascii="宋体" w:hAnsi="宋体" w:eastAsia="宋体" w:cs="宋体"/>
          <w:b w:val="0"/>
          <w:bCs w:val="0"/>
          <w:spacing w:val="-3"/>
          <w:sz w:val="28"/>
          <w:szCs w:val="28"/>
          <w:highlight w:val="none"/>
          <w:lang w:val="en-US" w:eastAsia="en-US"/>
        </w:rPr>
        <w:t xml:space="preserve">方案</w:t>
      </w:r>
      <w:r>
        <w:rPr>
          <w:rFonts w:hint="eastAsia" w:ascii="宋体" w:hAnsi="宋体" w:eastAsia="宋体" w:cs="宋体"/>
          <w:b w:val="0"/>
          <w:bCs w:val="0"/>
          <w:spacing w:val="-3"/>
          <w:sz w:val="28"/>
          <w:szCs w:val="28"/>
          <w:highlight w:val="none"/>
          <w:lang w:val="en-US" w:eastAsia="zh-CN"/>
        </w:rPr>
        <w:t xml:space="preserve">；</w:t>
      </w:r>
      <w:r>
        <w:rPr>
          <w:rFonts w:hint="eastAsia" w:ascii="宋体" w:hAnsi="宋体" w:eastAsia="宋体" w:cs="宋体"/>
          <w:b w:val="0"/>
          <w:bCs w:val="0"/>
          <w:spacing w:val="-3"/>
          <w:sz w:val="28"/>
          <w:szCs w:val="28"/>
          <w:highlight w:val="none"/>
        </w:rPr>
        <w:t xml:space="preserve">④ 包装方案</w:t>
      </w:r>
      <w:r>
        <w:rPr>
          <w:rFonts w:hint="eastAsia" w:ascii="宋体" w:hAnsi="宋体" w:eastAsia="宋体" w:cs="宋体"/>
          <w:b w:val="0"/>
          <w:bCs w:val="0"/>
          <w:spacing w:val="-3"/>
          <w:sz w:val="28"/>
          <w:szCs w:val="28"/>
          <w:highlight w:val="none"/>
          <w:lang w:val="en-US" w:eastAsia="zh-CN"/>
        </w:rPr>
        <w:t xml:space="preserve">。</w:t>
      </w:r>
      <w:r>
        <w:rPr>
          <w:rFonts w:hint="eastAsia" w:ascii="宋体" w:hAnsi="宋体" w:eastAsia="宋体" w:cs="宋体"/>
          <w:b w:val="0"/>
          <w:bCs w:val="0"/>
          <w:spacing w:val="-3"/>
          <w:sz w:val="28"/>
          <w:szCs w:val="28"/>
          <w:highlight w:val="none"/>
          <w:lang w:val="en-US" w:eastAsia="zh-CN"/>
        </w:rPr>
      </w:r>
      <w:r/>
    </w:p>
    <w:p>
      <w:pPr>
        <w:pStyle w:val="786"/>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方案完整、科学合理，设计清晰详细，完全符合本项目需求，且能够提供上述4项全部方案的，得</w:t>
      </w:r>
      <w:r>
        <w:rPr>
          <w:rFonts w:hint="eastAsia" w:ascii="宋体" w:hAnsi="宋体" w:eastAsia="宋体" w:cs="宋体"/>
          <w:b w:val="0"/>
          <w:bCs w:val="0"/>
          <w:spacing w:val="-3"/>
          <w:sz w:val="28"/>
          <w:szCs w:val="28"/>
          <w:highlight w:val="none"/>
          <w:lang w:val="en-US" w:eastAsia="zh-CN"/>
        </w:rPr>
        <w:t xml:space="preserve">5</w:t>
      </w:r>
      <w:r>
        <w:rPr>
          <w:rFonts w:hint="eastAsia" w:ascii="宋体" w:hAnsi="宋体" w:eastAsia="宋体" w:cs="宋体"/>
          <w:b w:val="0"/>
          <w:bCs w:val="0"/>
          <w:spacing w:val="-3"/>
          <w:sz w:val="28"/>
          <w:szCs w:val="28"/>
          <w:highlight w:val="none"/>
        </w:rPr>
        <w:t xml:space="preserve">分;</w:t>
      </w:r>
      <w:r>
        <w:rPr>
          <w:rFonts w:hint="eastAsia" w:ascii="宋体" w:hAnsi="宋体" w:eastAsia="宋体" w:cs="宋体"/>
          <w:b w:val="0"/>
          <w:bCs w:val="0"/>
          <w:spacing w:val="-3"/>
          <w:sz w:val="28"/>
          <w:szCs w:val="28"/>
          <w:highlight w:val="none"/>
        </w:rPr>
      </w:r>
      <w:r/>
    </w:p>
    <w:p>
      <w:pPr>
        <w:pStyle w:val="786"/>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方案较完整，科学合理性较强，设计较清晰详细，能够符合本项目需求，能够提供上述3-4项方案的，得</w:t>
      </w:r>
      <w:r>
        <w:rPr>
          <w:rFonts w:hint="eastAsia" w:ascii="宋体" w:hAnsi="宋体" w:eastAsia="宋体" w:cs="宋体"/>
          <w:b w:val="0"/>
          <w:bCs w:val="0"/>
          <w:spacing w:val="-3"/>
          <w:sz w:val="28"/>
          <w:szCs w:val="28"/>
          <w:highlight w:val="none"/>
          <w:lang w:val="en-US" w:eastAsia="zh-CN"/>
        </w:rPr>
        <w:t xml:space="preserve">3</w:t>
      </w:r>
      <w:r>
        <w:rPr>
          <w:rFonts w:hint="eastAsia" w:ascii="宋体" w:hAnsi="宋体" w:eastAsia="宋体" w:cs="宋体"/>
          <w:b w:val="0"/>
          <w:bCs w:val="0"/>
          <w:spacing w:val="-3"/>
          <w:sz w:val="28"/>
          <w:szCs w:val="28"/>
          <w:highlight w:val="none"/>
        </w:rPr>
        <w:t xml:space="preserve">分;</w:t>
      </w:r>
      <w:r>
        <w:rPr>
          <w:rFonts w:hint="eastAsia" w:ascii="宋体" w:hAnsi="宋体" w:eastAsia="宋体" w:cs="宋体"/>
          <w:b w:val="0"/>
          <w:bCs w:val="0"/>
          <w:spacing w:val="-3"/>
          <w:sz w:val="28"/>
          <w:szCs w:val="28"/>
          <w:highlight w:val="none"/>
        </w:rPr>
      </w:r>
      <w:r/>
    </w:p>
    <w:p>
      <w:pPr>
        <w:pStyle w:val="786"/>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方案完整性一般，科学合理性一般，设计清晰详细程度一般，能够符合本项目需求，能够提供上述 2-4项方案的，得</w:t>
      </w:r>
      <w:r>
        <w:rPr>
          <w:rFonts w:hint="eastAsia" w:ascii="宋体" w:hAnsi="宋体" w:eastAsia="宋体" w:cs="宋体"/>
          <w:b w:val="0"/>
          <w:bCs w:val="0"/>
          <w:spacing w:val="-3"/>
          <w:sz w:val="28"/>
          <w:szCs w:val="28"/>
          <w:highlight w:val="none"/>
          <w:lang w:val="en-US" w:eastAsia="zh-CN"/>
        </w:rPr>
        <w:t xml:space="preserve">2</w:t>
      </w:r>
      <w:r>
        <w:rPr>
          <w:rFonts w:hint="eastAsia" w:ascii="宋体" w:hAnsi="宋体" w:eastAsia="宋体" w:cs="宋体"/>
          <w:b w:val="0"/>
          <w:bCs w:val="0"/>
          <w:spacing w:val="-3"/>
          <w:sz w:val="28"/>
          <w:szCs w:val="28"/>
          <w:highlight w:val="none"/>
        </w:rPr>
        <w:t xml:space="preserve">分;</w:t>
      </w:r>
      <w:r>
        <w:rPr>
          <w:rFonts w:hint="eastAsia" w:ascii="宋体" w:hAnsi="宋体" w:eastAsia="宋体" w:cs="宋体"/>
          <w:b w:val="0"/>
          <w:bCs w:val="0"/>
          <w:spacing w:val="-3"/>
          <w:sz w:val="28"/>
          <w:szCs w:val="28"/>
          <w:highlight w:val="none"/>
        </w:rPr>
      </w:r>
      <w:r/>
    </w:p>
    <w:p>
      <w:pPr>
        <w:pStyle w:val="786"/>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方案完整性、科学合理性、设计的清晰详细程度等只能基本满足要求，能够提供上述 1-4项方案的，得 1分;</w:t>
      </w:r>
      <w:r>
        <w:rPr>
          <w:rFonts w:hint="eastAsia" w:ascii="宋体" w:hAnsi="宋体" w:eastAsia="宋体" w:cs="宋体"/>
          <w:b w:val="0"/>
          <w:bCs w:val="0"/>
          <w:spacing w:val="-3"/>
          <w:sz w:val="28"/>
          <w:szCs w:val="28"/>
          <w:highlight w:val="none"/>
        </w:rPr>
      </w:r>
      <w:r/>
    </w:p>
    <w:p>
      <w:pPr>
        <w:pStyle w:val="786"/>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lang w:val="en-US" w:eastAsia="zh-CN"/>
        </w:rPr>
      </w:pPr>
      <w:r>
        <w:rPr>
          <w:rFonts w:hint="eastAsia" w:ascii="宋体" w:hAnsi="宋体" w:eastAsia="宋体" w:cs="宋体"/>
          <w:b w:val="0"/>
          <w:bCs w:val="0"/>
          <w:spacing w:val="-3"/>
          <w:sz w:val="28"/>
          <w:szCs w:val="28"/>
          <w:highlight w:val="none"/>
        </w:rPr>
        <w:t xml:space="preserve">提供方案不足1项或无方案的，不得分。</w:t>
      </w:r>
      <w:r>
        <w:rPr>
          <w:rFonts w:hint="eastAsia" w:ascii="宋体" w:hAnsi="宋体" w:eastAsia="宋体" w:cs="宋体"/>
          <w:b w:val="0"/>
          <w:bCs w:val="0"/>
          <w:spacing w:val="-3"/>
          <w:sz w:val="28"/>
          <w:szCs w:val="28"/>
          <w:highlight w:val="none"/>
          <w:lang w:val="en-US" w:eastAsia="zh-CN"/>
        </w:rPr>
      </w:r>
      <w:r/>
    </w:p>
    <w:p>
      <w:pPr>
        <w:pStyle w:val="786"/>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lang w:val="en-US" w:eastAsia="en-US"/>
        </w:rPr>
      </w:pPr>
      <w:r>
        <w:rPr>
          <w:rFonts w:hint="eastAsia" w:ascii="宋体" w:hAnsi="宋体" w:eastAsia="宋体" w:cs="宋体"/>
          <w:b w:val="0"/>
          <w:bCs w:val="0"/>
          <w:spacing w:val="-3"/>
          <w:sz w:val="28"/>
          <w:szCs w:val="28"/>
          <w:highlight w:val="none"/>
          <w:lang w:val="en-US" w:eastAsia="en-US"/>
        </w:rPr>
        <w:t xml:space="preserve">（</w:t>
      </w:r>
      <w:r>
        <w:rPr>
          <w:rFonts w:hint="eastAsia" w:ascii="宋体" w:hAnsi="宋体" w:eastAsia="宋体" w:cs="宋体"/>
          <w:b w:val="0"/>
          <w:bCs w:val="0"/>
          <w:spacing w:val="-3"/>
          <w:sz w:val="28"/>
          <w:szCs w:val="28"/>
          <w:highlight w:val="none"/>
          <w:lang w:val="en-US" w:eastAsia="zh-CN"/>
        </w:rPr>
        <w:t xml:space="preserve">2</w:t>
      </w:r>
      <w:r>
        <w:rPr>
          <w:rFonts w:hint="eastAsia" w:ascii="宋体" w:hAnsi="宋体" w:eastAsia="宋体" w:cs="宋体"/>
          <w:b w:val="0"/>
          <w:bCs w:val="0"/>
          <w:spacing w:val="-3"/>
          <w:sz w:val="28"/>
          <w:szCs w:val="28"/>
          <w:highlight w:val="none"/>
          <w:lang w:val="en-US" w:eastAsia="en-US"/>
        </w:rPr>
        <w:t xml:space="preserve">）供货及安装</w:t>
      </w:r>
      <w:r>
        <w:rPr>
          <w:rFonts w:hint="eastAsia" w:ascii="宋体" w:hAnsi="宋体" w:eastAsia="宋体" w:cs="宋体"/>
          <w:b w:val="0"/>
          <w:bCs w:val="0"/>
          <w:spacing w:val="-3"/>
          <w:sz w:val="28"/>
          <w:szCs w:val="28"/>
          <w:highlight w:val="none"/>
          <w:lang w:val="en-US" w:eastAsia="zh-CN"/>
        </w:rPr>
        <w:t xml:space="preserve">、</w:t>
      </w:r>
      <w:r>
        <w:rPr>
          <w:rFonts w:hint="eastAsia" w:ascii="宋体" w:hAnsi="宋体" w:eastAsia="宋体" w:cs="宋体"/>
          <w:b w:val="0"/>
          <w:bCs w:val="0"/>
          <w:spacing w:val="-3"/>
          <w:sz w:val="28"/>
          <w:szCs w:val="28"/>
          <w:highlight w:val="none"/>
          <w:lang w:val="en-US" w:eastAsia="en-US"/>
        </w:rPr>
        <w:t xml:space="preserve">调试方案（</w:t>
      </w:r>
      <w:r>
        <w:rPr>
          <w:rFonts w:hint="eastAsia" w:ascii="宋体" w:hAnsi="宋体" w:eastAsia="宋体" w:cs="宋体"/>
          <w:b w:val="0"/>
          <w:bCs w:val="0"/>
          <w:spacing w:val="-3"/>
          <w:sz w:val="28"/>
          <w:szCs w:val="28"/>
          <w:highlight w:val="none"/>
          <w:lang w:val="en-US" w:eastAsia="zh-CN"/>
        </w:rPr>
        <w:t xml:space="preserve">5</w:t>
      </w:r>
      <w:r>
        <w:rPr>
          <w:rFonts w:hint="eastAsia" w:ascii="宋体" w:hAnsi="宋体" w:eastAsia="宋体" w:cs="宋体"/>
          <w:b w:val="0"/>
          <w:bCs w:val="0"/>
          <w:spacing w:val="-3"/>
          <w:sz w:val="28"/>
          <w:szCs w:val="28"/>
          <w:highlight w:val="none"/>
          <w:lang w:val="en-US" w:eastAsia="en-US"/>
        </w:rPr>
        <w:t xml:space="preserve"> 分）</w:t>
      </w:r>
      <w:r>
        <w:rPr>
          <w:rFonts w:hint="eastAsia" w:ascii="宋体" w:hAnsi="宋体" w:eastAsia="宋体" w:cs="宋体"/>
          <w:b w:val="0"/>
          <w:bCs w:val="0"/>
          <w:spacing w:val="-3"/>
          <w:sz w:val="28"/>
          <w:szCs w:val="28"/>
          <w:highlight w:val="none"/>
          <w:lang w:val="en-US" w:eastAsia="en-US"/>
        </w:rPr>
      </w:r>
      <w:r/>
    </w:p>
    <w:p>
      <w:pPr>
        <w:pStyle w:val="786"/>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lang w:val="en-US" w:eastAsia="zh-CN"/>
        </w:rPr>
        <w:t xml:space="preserve">内容包括：</w:t>
      </w:r>
      <w:r>
        <w:rPr>
          <w:rFonts w:hint="eastAsia" w:ascii="宋体" w:hAnsi="宋体" w:eastAsia="宋体" w:cs="宋体"/>
          <w:b w:val="0"/>
          <w:bCs w:val="0"/>
          <w:spacing w:val="-3"/>
          <w:sz w:val="28"/>
          <w:szCs w:val="28"/>
          <w:highlight w:val="none"/>
        </w:rPr>
        <w:t xml:space="preserve">① </w:t>
      </w:r>
      <w:r>
        <w:rPr>
          <w:rFonts w:hint="eastAsia" w:ascii="宋体" w:hAnsi="宋体" w:eastAsia="宋体" w:cs="宋体"/>
          <w:b w:val="0"/>
          <w:bCs w:val="0"/>
          <w:spacing w:val="-3"/>
          <w:sz w:val="28"/>
          <w:szCs w:val="28"/>
          <w:highlight w:val="none"/>
          <w:lang w:val="en-US" w:eastAsia="en-US"/>
        </w:rPr>
        <w:t xml:space="preserve">供货及安装</w:t>
      </w:r>
      <w:r>
        <w:rPr>
          <w:rFonts w:hint="eastAsia" w:ascii="宋体" w:hAnsi="宋体" w:eastAsia="宋体" w:cs="宋体"/>
          <w:b w:val="0"/>
          <w:bCs w:val="0"/>
          <w:spacing w:val="-3"/>
          <w:sz w:val="28"/>
          <w:szCs w:val="28"/>
          <w:highlight w:val="none"/>
          <w:lang w:val="en-US" w:eastAsia="zh-CN"/>
        </w:rPr>
        <w:t xml:space="preserve">、</w:t>
      </w:r>
      <w:r>
        <w:rPr>
          <w:rFonts w:hint="eastAsia" w:ascii="宋体" w:hAnsi="宋体" w:eastAsia="宋体" w:cs="宋体"/>
          <w:b w:val="0"/>
          <w:bCs w:val="0"/>
          <w:spacing w:val="-3"/>
          <w:sz w:val="28"/>
          <w:szCs w:val="28"/>
          <w:highlight w:val="none"/>
          <w:lang w:val="en-US" w:eastAsia="en-US"/>
        </w:rPr>
        <w:t xml:space="preserve">调试</w:t>
      </w:r>
      <w:r>
        <w:rPr>
          <w:rFonts w:hint="eastAsia" w:ascii="宋体" w:hAnsi="宋体" w:eastAsia="宋体" w:cs="宋体"/>
          <w:b w:val="0"/>
          <w:bCs w:val="0"/>
          <w:spacing w:val="-3"/>
          <w:sz w:val="28"/>
          <w:szCs w:val="28"/>
          <w:highlight w:val="none"/>
          <w:lang w:val="en-US" w:eastAsia="zh-CN"/>
        </w:rPr>
        <w:t xml:space="preserve">的</w:t>
      </w:r>
      <w:r>
        <w:rPr>
          <w:rFonts w:hint="eastAsia" w:ascii="宋体" w:hAnsi="宋体" w:eastAsia="宋体" w:cs="宋体"/>
          <w:b w:val="0"/>
          <w:bCs w:val="0"/>
          <w:spacing w:val="-3"/>
          <w:sz w:val="28"/>
          <w:szCs w:val="28"/>
          <w:highlight w:val="none"/>
        </w:rPr>
        <w:t xml:space="preserve">总体概述；② 施工方案及</w:t>
      </w:r>
      <w:r>
        <w:rPr>
          <w:rFonts w:hint="eastAsia" w:ascii="宋体" w:hAnsi="宋体" w:eastAsia="宋体" w:cs="宋体"/>
          <w:sz w:val="28"/>
          <w:szCs w:val="22"/>
          <w:highlight w:val="none"/>
        </w:rPr>
        <w:t xml:space="preserve">安全文明</w:t>
      </w:r>
      <w:r>
        <w:rPr>
          <w:rFonts w:hint="eastAsia" w:ascii="宋体" w:hAnsi="宋体" w:cs="宋体"/>
          <w:sz w:val="28"/>
          <w:szCs w:val="22"/>
          <w:highlight w:val="none"/>
          <w:lang w:val="en-US" w:eastAsia="zh-CN"/>
        </w:rPr>
        <w:t xml:space="preserve">安装保护</w:t>
      </w:r>
      <w:r>
        <w:rPr>
          <w:rFonts w:hint="eastAsia" w:ascii="宋体" w:hAnsi="宋体" w:eastAsia="宋体" w:cs="宋体"/>
          <w:b w:val="0"/>
          <w:bCs w:val="0"/>
          <w:spacing w:val="-3"/>
          <w:sz w:val="28"/>
          <w:szCs w:val="28"/>
          <w:highlight w:val="none"/>
        </w:rPr>
        <w:t xml:space="preserve">措施；③</w:t>
      </w:r>
      <w:r>
        <w:rPr>
          <w:rFonts w:hint="eastAsia" w:ascii="宋体" w:hAnsi="宋体" w:eastAsia="宋体" w:cs="宋体"/>
          <w:b w:val="0"/>
          <w:bCs w:val="0"/>
          <w:spacing w:val="-3"/>
          <w:sz w:val="28"/>
          <w:szCs w:val="28"/>
          <w:highlight w:val="none"/>
          <w:lang w:val="en-US" w:eastAsia="zh-CN"/>
        </w:rPr>
        <w:t xml:space="preserve"> </w:t>
      </w:r>
      <w:r>
        <w:rPr>
          <w:rFonts w:hint="eastAsia" w:ascii="宋体" w:hAnsi="宋体" w:eastAsia="宋体" w:cs="宋体"/>
          <w:b w:val="0"/>
          <w:bCs w:val="0"/>
          <w:spacing w:val="-3"/>
          <w:sz w:val="28"/>
          <w:szCs w:val="28"/>
          <w:highlight w:val="none"/>
        </w:rPr>
        <w:t xml:space="preserve">文明安装环境保护措施</w:t>
      </w:r>
      <w:r>
        <w:rPr>
          <w:rFonts w:hint="eastAsia" w:ascii="宋体" w:hAnsi="宋体" w:eastAsia="宋体" w:cs="宋体"/>
          <w:b w:val="0"/>
          <w:bCs w:val="0"/>
          <w:spacing w:val="-3"/>
          <w:sz w:val="28"/>
          <w:szCs w:val="28"/>
          <w:highlight w:val="none"/>
          <w:lang w:val="en-US" w:eastAsia="zh-CN"/>
        </w:rPr>
        <w:t xml:space="preserve">及责任制度</w:t>
      </w:r>
      <w:r>
        <w:rPr>
          <w:rFonts w:hint="eastAsia" w:ascii="宋体" w:hAnsi="宋体" w:eastAsia="宋体" w:cs="宋体"/>
          <w:b w:val="0"/>
          <w:bCs w:val="0"/>
          <w:spacing w:val="-3"/>
          <w:sz w:val="28"/>
          <w:szCs w:val="28"/>
          <w:highlight w:val="none"/>
        </w:rPr>
        <w:t xml:space="preserve">；④ </w:t>
      </w:r>
      <w:r>
        <w:rPr>
          <w:rFonts w:hint="eastAsia" w:ascii="宋体" w:hAnsi="宋体" w:eastAsia="宋体" w:cs="宋体"/>
          <w:b w:val="0"/>
          <w:bCs w:val="0"/>
          <w:spacing w:val="-3"/>
          <w:sz w:val="28"/>
          <w:szCs w:val="28"/>
          <w:highlight w:val="none"/>
          <w:lang w:val="en-US" w:eastAsia="zh-CN"/>
        </w:rPr>
        <w:t xml:space="preserve">厨房设备</w:t>
      </w:r>
      <w:r>
        <w:rPr>
          <w:rFonts w:hint="eastAsia" w:ascii="宋体" w:hAnsi="宋体" w:eastAsia="宋体" w:cs="宋体"/>
          <w:b w:val="0"/>
          <w:bCs w:val="0"/>
          <w:spacing w:val="-3"/>
          <w:sz w:val="28"/>
          <w:szCs w:val="28"/>
          <w:highlight w:val="none"/>
        </w:rPr>
        <w:t xml:space="preserve">验收流程及后续；</w:t>
      </w:r>
      <w:r>
        <w:rPr>
          <w:rFonts w:hint="eastAsia" w:ascii="宋体" w:hAnsi="宋体" w:eastAsia="宋体" w:cs="宋体"/>
          <w:b w:val="0"/>
          <w:bCs w:val="0"/>
          <w:spacing w:val="-3"/>
          <w:sz w:val="28"/>
          <w:szCs w:val="28"/>
          <w:highlight w:val="none"/>
        </w:rPr>
      </w:r>
      <w:r/>
    </w:p>
    <w:p>
      <w:pPr>
        <w:pStyle w:val="786"/>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方案完整、科学合理，设计清晰详细，完全符合本项目需求，且能够提供上述4项全部方案的，得</w:t>
      </w:r>
      <w:r>
        <w:rPr>
          <w:rFonts w:hint="eastAsia" w:ascii="宋体" w:hAnsi="宋体" w:eastAsia="宋体" w:cs="宋体"/>
          <w:b w:val="0"/>
          <w:bCs w:val="0"/>
          <w:spacing w:val="-3"/>
          <w:sz w:val="28"/>
          <w:szCs w:val="28"/>
          <w:highlight w:val="none"/>
          <w:lang w:val="en-US" w:eastAsia="zh-CN"/>
        </w:rPr>
        <w:t xml:space="preserve">5</w:t>
      </w:r>
      <w:r>
        <w:rPr>
          <w:rFonts w:hint="eastAsia" w:ascii="宋体" w:hAnsi="宋体" w:eastAsia="宋体" w:cs="宋体"/>
          <w:b w:val="0"/>
          <w:bCs w:val="0"/>
          <w:spacing w:val="-3"/>
          <w:sz w:val="28"/>
          <w:szCs w:val="28"/>
          <w:highlight w:val="none"/>
        </w:rPr>
        <w:t xml:space="preserve">分;</w:t>
      </w:r>
      <w:r>
        <w:rPr>
          <w:rFonts w:hint="eastAsia" w:ascii="宋体" w:hAnsi="宋体" w:eastAsia="宋体" w:cs="宋体"/>
          <w:b w:val="0"/>
          <w:bCs w:val="0"/>
          <w:spacing w:val="-3"/>
          <w:sz w:val="28"/>
          <w:szCs w:val="28"/>
          <w:highlight w:val="none"/>
        </w:rPr>
      </w:r>
      <w:r/>
    </w:p>
    <w:p>
      <w:pPr>
        <w:pStyle w:val="786"/>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方案较完整，科学合理性较强，设计较清晰详细，能够符合本项目需求，能够提供上述3-4项方案的，得</w:t>
      </w:r>
      <w:r>
        <w:rPr>
          <w:rFonts w:hint="eastAsia" w:ascii="宋体" w:hAnsi="宋体" w:eastAsia="宋体" w:cs="宋体"/>
          <w:b w:val="0"/>
          <w:bCs w:val="0"/>
          <w:spacing w:val="-3"/>
          <w:sz w:val="28"/>
          <w:szCs w:val="28"/>
          <w:highlight w:val="none"/>
          <w:lang w:val="en-US" w:eastAsia="zh-CN"/>
        </w:rPr>
        <w:t xml:space="preserve">3</w:t>
      </w:r>
      <w:r>
        <w:rPr>
          <w:rFonts w:hint="eastAsia" w:ascii="宋体" w:hAnsi="宋体" w:eastAsia="宋体" w:cs="宋体"/>
          <w:b w:val="0"/>
          <w:bCs w:val="0"/>
          <w:spacing w:val="-3"/>
          <w:sz w:val="28"/>
          <w:szCs w:val="28"/>
          <w:highlight w:val="none"/>
        </w:rPr>
        <w:t xml:space="preserve">分;</w:t>
      </w:r>
      <w:r>
        <w:rPr>
          <w:rFonts w:hint="eastAsia" w:ascii="宋体" w:hAnsi="宋体" w:eastAsia="宋体" w:cs="宋体"/>
          <w:b w:val="0"/>
          <w:bCs w:val="0"/>
          <w:spacing w:val="-3"/>
          <w:sz w:val="28"/>
          <w:szCs w:val="28"/>
          <w:highlight w:val="none"/>
        </w:rPr>
      </w:r>
      <w:r/>
    </w:p>
    <w:p>
      <w:pPr>
        <w:pStyle w:val="786"/>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方案完整性一般，科学合理性一般，设计清晰详细程度一般，能够符合本项目需求，能够提供上述 2-4项方案的，得</w:t>
      </w:r>
      <w:r>
        <w:rPr>
          <w:rFonts w:hint="eastAsia" w:ascii="宋体" w:hAnsi="宋体" w:eastAsia="宋体" w:cs="宋体"/>
          <w:b w:val="0"/>
          <w:bCs w:val="0"/>
          <w:spacing w:val="-3"/>
          <w:sz w:val="28"/>
          <w:szCs w:val="28"/>
          <w:highlight w:val="none"/>
          <w:lang w:val="en-US" w:eastAsia="zh-CN"/>
        </w:rPr>
        <w:t xml:space="preserve">2</w:t>
      </w:r>
      <w:r>
        <w:rPr>
          <w:rFonts w:hint="eastAsia" w:ascii="宋体" w:hAnsi="宋体" w:eastAsia="宋体" w:cs="宋体"/>
          <w:b w:val="0"/>
          <w:bCs w:val="0"/>
          <w:spacing w:val="-3"/>
          <w:sz w:val="28"/>
          <w:szCs w:val="28"/>
          <w:highlight w:val="none"/>
        </w:rPr>
        <w:t xml:space="preserve">分;</w:t>
      </w:r>
      <w:r>
        <w:rPr>
          <w:rFonts w:hint="eastAsia" w:ascii="宋体" w:hAnsi="宋体" w:eastAsia="宋体" w:cs="宋体"/>
          <w:b w:val="0"/>
          <w:bCs w:val="0"/>
          <w:spacing w:val="-3"/>
          <w:sz w:val="28"/>
          <w:szCs w:val="28"/>
          <w:highlight w:val="none"/>
        </w:rPr>
      </w:r>
      <w:r/>
    </w:p>
    <w:p>
      <w:pPr>
        <w:pStyle w:val="786"/>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方案完整性、科学合理性、设计的清晰详细程度等只能基本满足要求，能够提供上述 1-4项方案的，得 1分;</w:t>
      </w:r>
      <w:r>
        <w:rPr>
          <w:rFonts w:hint="eastAsia" w:ascii="宋体" w:hAnsi="宋体" w:eastAsia="宋体" w:cs="宋体"/>
          <w:b w:val="0"/>
          <w:bCs w:val="0"/>
          <w:spacing w:val="-3"/>
          <w:sz w:val="28"/>
          <w:szCs w:val="28"/>
          <w:highlight w:val="none"/>
        </w:rPr>
      </w:r>
      <w:r/>
    </w:p>
    <w:p>
      <w:pPr>
        <w:pStyle w:val="786"/>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lang w:val="en-US" w:eastAsia="zh-CN"/>
        </w:rPr>
      </w:pPr>
      <w:r>
        <w:rPr>
          <w:rFonts w:hint="eastAsia" w:ascii="宋体" w:hAnsi="宋体" w:eastAsia="宋体" w:cs="宋体"/>
          <w:b w:val="0"/>
          <w:bCs w:val="0"/>
          <w:spacing w:val="-3"/>
          <w:sz w:val="28"/>
          <w:szCs w:val="28"/>
          <w:highlight w:val="none"/>
        </w:rPr>
        <w:t xml:space="preserve">提供方案不足1项或无方案的，不得分。</w:t>
      </w:r>
      <w:r>
        <w:rPr>
          <w:rFonts w:hint="eastAsia" w:ascii="宋体" w:hAnsi="宋体" w:eastAsia="宋体" w:cs="宋体"/>
          <w:b w:val="0"/>
          <w:bCs w:val="0"/>
          <w:spacing w:val="-3"/>
          <w:sz w:val="28"/>
          <w:szCs w:val="28"/>
          <w:highlight w:val="none"/>
          <w:lang w:val="en-US" w:eastAsia="zh-CN"/>
        </w:rPr>
      </w:r>
      <w:r/>
    </w:p>
    <w:p>
      <w:pPr>
        <w:pStyle w:val="786"/>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lang w:val="en-US" w:eastAsia="en-US"/>
        </w:rPr>
      </w:pPr>
      <w:r>
        <w:rPr>
          <w:rFonts w:hint="eastAsia" w:ascii="宋体" w:hAnsi="宋体" w:eastAsia="宋体" w:cs="宋体"/>
          <w:b w:val="0"/>
          <w:bCs w:val="0"/>
          <w:spacing w:val="-3"/>
          <w:sz w:val="28"/>
          <w:szCs w:val="28"/>
          <w:highlight w:val="none"/>
          <w:lang w:val="en-US" w:eastAsia="en-US"/>
        </w:rPr>
        <w:t xml:space="preserve">（</w:t>
      </w:r>
      <w:r>
        <w:rPr>
          <w:rFonts w:hint="eastAsia" w:ascii="宋体" w:hAnsi="宋体" w:eastAsia="宋体" w:cs="宋体"/>
          <w:b w:val="0"/>
          <w:bCs w:val="0"/>
          <w:spacing w:val="-3"/>
          <w:sz w:val="28"/>
          <w:szCs w:val="28"/>
          <w:highlight w:val="none"/>
          <w:lang w:val="en-US" w:eastAsia="zh-CN"/>
        </w:rPr>
        <w:t xml:space="preserve">3</w:t>
      </w:r>
      <w:r>
        <w:rPr>
          <w:rFonts w:hint="eastAsia" w:ascii="宋体" w:hAnsi="宋体" w:eastAsia="宋体" w:cs="宋体"/>
          <w:b w:val="0"/>
          <w:bCs w:val="0"/>
          <w:spacing w:val="-3"/>
          <w:sz w:val="28"/>
          <w:szCs w:val="28"/>
          <w:highlight w:val="none"/>
          <w:lang w:val="en-US" w:eastAsia="en-US"/>
        </w:rPr>
        <w:t xml:space="preserve">）售后服务方案（</w:t>
      </w:r>
      <w:r>
        <w:rPr>
          <w:rFonts w:hint="eastAsia" w:ascii="宋体" w:hAnsi="宋体" w:eastAsia="宋体" w:cs="宋体"/>
          <w:b w:val="0"/>
          <w:bCs w:val="0"/>
          <w:spacing w:val="-3"/>
          <w:sz w:val="28"/>
          <w:szCs w:val="28"/>
          <w:highlight w:val="none"/>
          <w:lang w:val="en-US" w:eastAsia="zh-CN"/>
        </w:rPr>
        <w:t xml:space="preserve">5</w:t>
      </w:r>
      <w:r>
        <w:rPr>
          <w:rFonts w:hint="eastAsia" w:ascii="宋体" w:hAnsi="宋体" w:eastAsia="宋体" w:cs="宋体"/>
          <w:b w:val="0"/>
          <w:bCs w:val="0"/>
          <w:spacing w:val="-3"/>
          <w:sz w:val="28"/>
          <w:szCs w:val="28"/>
          <w:highlight w:val="none"/>
          <w:lang w:val="en-US" w:eastAsia="en-US"/>
        </w:rPr>
        <w:t xml:space="preserve">分）：</w:t>
      </w:r>
      <w:r>
        <w:rPr>
          <w:rFonts w:hint="eastAsia" w:ascii="宋体" w:hAnsi="宋体" w:eastAsia="宋体" w:cs="宋体"/>
          <w:b w:val="0"/>
          <w:bCs w:val="0"/>
          <w:spacing w:val="-3"/>
          <w:sz w:val="28"/>
          <w:szCs w:val="28"/>
          <w:highlight w:val="none"/>
          <w:lang w:val="en-US" w:eastAsia="en-US"/>
        </w:rPr>
      </w:r>
      <w:r/>
    </w:p>
    <w:p>
      <w:pPr>
        <w:pStyle w:val="786"/>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内容包括：①售后服务方案；②售后管理制度；③质量保障措施；④日常维护保养。</w:t>
      </w:r>
      <w:r>
        <w:rPr>
          <w:rFonts w:hint="eastAsia" w:ascii="宋体" w:hAnsi="宋体" w:eastAsia="宋体" w:cs="宋体"/>
          <w:b w:val="0"/>
          <w:bCs w:val="0"/>
          <w:spacing w:val="-3"/>
          <w:sz w:val="28"/>
          <w:szCs w:val="28"/>
          <w:highlight w:val="none"/>
        </w:rPr>
      </w:r>
      <w:r/>
    </w:p>
    <w:p>
      <w:pPr>
        <w:pStyle w:val="786"/>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方案完整、科学合理，设计清晰详细，完全符合本项目需求，且能够提供上述4项全部方案的，得</w:t>
      </w:r>
      <w:r>
        <w:rPr>
          <w:rFonts w:hint="eastAsia" w:ascii="宋体" w:hAnsi="宋体" w:eastAsia="宋体" w:cs="宋体"/>
          <w:b w:val="0"/>
          <w:bCs w:val="0"/>
          <w:spacing w:val="-3"/>
          <w:sz w:val="28"/>
          <w:szCs w:val="28"/>
          <w:highlight w:val="none"/>
          <w:lang w:val="en-US" w:eastAsia="zh-CN"/>
        </w:rPr>
        <w:t xml:space="preserve">5</w:t>
      </w:r>
      <w:r>
        <w:rPr>
          <w:rFonts w:hint="eastAsia" w:ascii="宋体" w:hAnsi="宋体" w:eastAsia="宋体" w:cs="宋体"/>
          <w:b w:val="0"/>
          <w:bCs w:val="0"/>
          <w:spacing w:val="-3"/>
          <w:sz w:val="28"/>
          <w:szCs w:val="28"/>
          <w:highlight w:val="none"/>
        </w:rPr>
        <w:t xml:space="preserve">分;</w:t>
      </w:r>
      <w:r>
        <w:rPr>
          <w:rFonts w:hint="eastAsia" w:ascii="宋体" w:hAnsi="宋体" w:eastAsia="宋体" w:cs="宋体"/>
          <w:b w:val="0"/>
          <w:bCs w:val="0"/>
          <w:spacing w:val="-3"/>
          <w:sz w:val="28"/>
          <w:szCs w:val="28"/>
          <w:highlight w:val="none"/>
        </w:rPr>
      </w:r>
      <w:r/>
    </w:p>
    <w:p>
      <w:pPr>
        <w:pStyle w:val="786"/>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方案较完整，科学合理性较强，设计较清晰详细，能够符合本项目需求，能够提供上述3-4项方案的，得</w:t>
      </w:r>
      <w:r>
        <w:rPr>
          <w:rFonts w:hint="eastAsia" w:ascii="宋体" w:hAnsi="宋体" w:eastAsia="宋体" w:cs="宋体"/>
          <w:b w:val="0"/>
          <w:bCs w:val="0"/>
          <w:spacing w:val="-3"/>
          <w:sz w:val="28"/>
          <w:szCs w:val="28"/>
          <w:highlight w:val="none"/>
          <w:lang w:val="en-US" w:eastAsia="zh-CN"/>
        </w:rPr>
        <w:t xml:space="preserve">3</w:t>
      </w:r>
      <w:r>
        <w:rPr>
          <w:rFonts w:hint="eastAsia" w:ascii="宋体" w:hAnsi="宋体" w:eastAsia="宋体" w:cs="宋体"/>
          <w:b w:val="0"/>
          <w:bCs w:val="0"/>
          <w:spacing w:val="-3"/>
          <w:sz w:val="28"/>
          <w:szCs w:val="28"/>
          <w:highlight w:val="none"/>
        </w:rPr>
        <w:t xml:space="preserve">分;</w:t>
      </w:r>
      <w:r>
        <w:rPr>
          <w:rFonts w:hint="eastAsia" w:ascii="宋体" w:hAnsi="宋体" w:eastAsia="宋体" w:cs="宋体"/>
          <w:b w:val="0"/>
          <w:bCs w:val="0"/>
          <w:spacing w:val="-3"/>
          <w:sz w:val="28"/>
          <w:szCs w:val="28"/>
          <w:highlight w:val="none"/>
        </w:rPr>
      </w:r>
      <w:r/>
    </w:p>
    <w:p>
      <w:pPr>
        <w:pStyle w:val="786"/>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方案完整性一般，科学合理性一般，设计清晰详细程度一般，能够符合本项目需求，能够提供上述 2-4项方案的，得</w:t>
      </w:r>
      <w:r>
        <w:rPr>
          <w:rFonts w:hint="eastAsia" w:ascii="宋体" w:hAnsi="宋体" w:eastAsia="宋体" w:cs="宋体"/>
          <w:b w:val="0"/>
          <w:bCs w:val="0"/>
          <w:spacing w:val="-3"/>
          <w:sz w:val="28"/>
          <w:szCs w:val="28"/>
          <w:highlight w:val="none"/>
          <w:lang w:val="en-US" w:eastAsia="zh-CN"/>
        </w:rPr>
        <w:t xml:space="preserve">2</w:t>
      </w:r>
      <w:r>
        <w:rPr>
          <w:rFonts w:hint="eastAsia" w:ascii="宋体" w:hAnsi="宋体" w:eastAsia="宋体" w:cs="宋体"/>
          <w:b w:val="0"/>
          <w:bCs w:val="0"/>
          <w:spacing w:val="-3"/>
          <w:sz w:val="28"/>
          <w:szCs w:val="28"/>
          <w:highlight w:val="none"/>
        </w:rPr>
        <w:t xml:space="preserve">分;</w:t>
      </w:r>
      <w:r>
        <w:rPr>
          <w:rFonts w:hint="eastAsia" w:ascii="宋体" w:hAnsi="宋体" w:eastAsia="宋体" w:cs="宋体"/>
          <w:b w:val="0"/>
          <w:bCs w:val="0"/>
          <w:spacing w:val="-3"/>
          <w:sz w:val="28"/>
          <w:szCs w:val="28"/>
          <w:highlight w:val="none"/>
        </w:rPr>
      </w:r>
      <w:r/>
    </w:p>
    <w:p>
      <w:pPr>
        <w:pStyle w:val="786"/>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方案完整性、科学合理性、设计的清晰详细程度等只能基本满足要求，能够提供上述 1-4项方案的，得 1分;</w:t>
      </w:r>
      <w:r>
        <w:rPr>
          <w:rFonts w:hint="eastAsia" w:ascii="宋体" w:hAnsi="宋体" w:eastAsia="宋体" w:cs="宋体"/>
          <w:b w:val="0"/>
          <w:bCs w:val="0"/>
          <w:spacing w:val="-3"/>
          <w:sz w:val="28"/>
          <w:szCs w:val="28"/>
          <w:highlight w:val="none"/>
        </w:rPr>
      </w:r>
      <w:r/>
    </w:p>
    <w:p>
      <w:pPr>
        <w:pStyle w:val="786"/>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lang w:val="en-US" w:eastAsia="zh-CN"/>
        </w:rPr>
      </w:pPr>
      <w:r>
        <w:rPr>
          <w:rFonts w:hint="eastAsia" w:ascii="宋体" w:hAnsi="宋体" w:eastAsia="宋体" w:cs="宋体"/>
          <w:b w:val="0"/>
          <w:bCs w:val="0"/>
          <w:spacing w:val="-3"/>
          <w:sz w:val="28"/>
          <w:szCs w:val="28"/>
          <w:highlight w:val="none"/>
        </w:rPr>
        <w:t xml:space="preserve">提供方案不足1项或无方案的，不得分。</w:t>
      </w:r>
      <w:r>
        <w:rPr>
          <w:rFonts w:hint="eastAsia" w:ascii="宋体" w:hAnsi="宋体" w:eastAsia="宋体" w:cs="宋体"/>
          <w:b w:val="0"/>
          <w:bCs w:val="0"/>
          <w:spacing w:val="-3"/>
          <w:sz w:val="28"/>
          <w:szCs w:val="28"/>
          <w:highlight w:val="none"/>
          <w:lang w:val="en-US" w:eastAsia="zh-CN"/>
        </w:rPr>
      </w:r>
      <w:r/>
    </w:p>
    <w:p>
      <w:pPr>
        <w:pStyle w:val="786"/>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lang w:val="en-US" w:eastAsia="zh-CN"/>
        </w:rPr>
      </w:pPr>
      <w:r>
        <w:rPr>
          <w:rFonts w:hint="eastAsia" w:ascii="宋体" w:hAnsi="宋体" w:eastAsia="宋体" w:cs="宋体"/>
          <w:b w:val="0"/>
          <w:bCs w:val="0"/>
          <w:spacing w:val="-3"/>
          <w:sz w:val="28"/>
          <w:szCs w:val="28"/>
          <w:highlight w:val="none"/>
          <w:lang w:val="en-US" w:eastAsia="zh-CN"/>
        </w:rPr>
        <w:t xml:space="preserve">（4）应急方案（5分）</w:t>
      </w:r>
      <w:r>
        <w:rPr>
          <w:rFonts w:hint="eastAsia" w:ascii="宋体" w:hAnsi="宋体" w:eastAsia="宋体" w:cs="宋体"/>
          <w:b w:val="0"/>
          <w:bCs w:val="0"/>
          <w:spacing w:val="-3"/>
          <w:sz w:val="28"/>
          <w:szCs w:val="28"/>
          <w:highlight w:val="none"/>
          <w:lang w:val="en-US" w:eastAsia="zh-CN"/>
        </w:rPr>
      </w:r>
      <w:r/>
    </w:p>
    <w:p>
      <w:pPr>
        <w:pStyle w:val="786"/>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内容包括：①应急人员安排；②应急响应时限；③备品备件的完备性</w:t>
      </w:r>
      <w:r>
        <w:rPr>
          <w:rFonts w:hint="eastAsia" w:ascii="宋体" w:hAnsi="宋体" w:eastAsia="宋体" w:cs="宋体"/>
          <w:b w:val="0"/>
          <w:bCs w:val="0"/>
          <w:spacing w:val="-3"/>
          <w:sz w:val="28"/>
          <w:szCs w:val="28"/>
          <w:highlight w:val="none"/>
          <w:lang w:eastAsia="zh-CN"/>
        </w:rPr>
        <w:t xml:space="preserve">；</w:t>
      </w:r>
      <w:r>
        <w:rPr>
          <w:rFonts w:hint="eastAsia" w:ascii="宋体" w:hAnsi="宋体" w:eastAsia="宋体" w:cs="宋体"/>
          <w:b w:val="0"/>
          <w:bCs w:val="0"/>
          <w:spacing w:val="-3"/>
          <w:sz w:val="28"/>
          <w:szCs w:val="28"/>
          <w:highlight w:val="none"/>
          <w:lang w:val="en-US" w:eastAsia="zh-CN"/>
        </w:rPr>
        <w:t xml:space="preserve">④</w:t>
      </w:r>
      <w:r>
        <w:rPr>
          <w:rFonts w:hint="eastAsia" w:ascii="宋体" w:hAnsi="宋体" w:eastAsia="宋体" w:cs="宋体"/>
          <w:b w:val="0"/>
          <w:bCs w:val="0"/>
          <w:spacing w:val="-3"/>
          <w:sz w:val="28"/>
          <w:szCs w:val="28"/>
          <w:highlight w:val="none"/>
        </w:rPr>
        <w:t xml:space="preserve">运输应急预案</w:t>
      </w:r>
      <w:r>
        <w:rPr>
          <w:rFonts w:hint="eastAsia" w:ascii="宋体" w:hAnsi="宋体" w:eastAsia="宋体" w:cs="宋体"/>
          <w:b w:val="0"/>
          <w:bCs w:val="0"/>
          <w:spacing w:val="-3"/>
          <w:sz w:val="28"/>
          <w:szCs w:val="28"/>
          <w:highlight w:val="none"/>
        </w:rPr>
      </w:r>
      <w:r/>
    </w:p>
    <w:p>
      <w:pPr>
        <w:pStyle w:val="786"/>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方案完整、科学合理，设计清晰详细，完全符合本项目需求，且能够提供上述4项全部方案的，得</w:t>
      </w:r>
      <w:r>
        <w:rPr>
          <w:rFonts w:hint="eastAsia" w:ascii="宋体" w:hAnsi="宋体" w:eastAsia="宋体" w:cs="宋体"/>
          <w:b w:val="0"/>
          <w:bCs w:val="0"/>
          <w:spacing w:val="-3"/>
          <w:sz w:val="28"/>
          <w:szCs w:val="28"/>
          <w:highlight w:val="none"/>
          <w:lang w:val="en-US" w:eastAsia="zh-CN"/>
        </w:rPr>
        <w:t xml:space="preserve">5</w:t>
      </w:r>
      <w:r>
        <w:rPr>
          <w:rFonts w:hint="eastAsia" w:ascii="宋体" w:hAnsi="宋体" w:eastAsia="宋体" w:cs="宋体"/>
          <w:b w:val="0"/>
          <w:bCs w:val="0"/>
          <w:spacing w:val="-3"/>
          <w:sz w:val="28"/>
          <w:szCs w:val="28"/>
          <w:highlight w:val="none"/>
        </w:rPr>
        <w:t xml:space="preserve">分;</w:t>
      </w:r>
      <w:r>
        <w:rPr>
          <w:rFonts w:hint="eastAsia" w:ascii="宋体" w:hAnsi="宋体" w:eastAsia="宋体" w:cs="宋体"/>
          <w:b w:val="0"/>
          <w:bCs w:val="0"/>
          <w:spacing w:val="-3"/>
          <w:sz w:val="28"/>
          <w:szCs w:val="28"/>
          <w:highlight w:val="none"/>
        </w:rPr>
      </w:r>
      <w:r/>
    </w:p>
    <w:p>
      <w:pPr>
        <w:pStyle w:val="786"/>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方案较完整，科学合理性较强，设计较清晰详细，能够符合本项目需求，能够提供上述3-4项方案的，得</w:t>
      </w:r>
      <w:r>
        <w:rPr>
          <w:rFonts w:hint="eastAsia" w:ascii="宋体" w:hAnsi="宋体" w:eastAsia="宋体" w:cs="宋体"/>
          <w:b w:val="0"/>
          <w:bCs w:val="0"/>
          <w:spacing w:val="-3"/>
          <w:sz w:val="28"/>
          <w:szCs w:val="28"/>
          <w:highlight w:val="none"/>
          <w:lang w:val="en-US" w:eastAsia="zh-CN"/>
        </w:rPr>
        <w:t xml:space="preserve">3</w:t>
      </w:r>
      <w:r>
        <w:rPr>
          <w:rFonts w:hint="eastAsia" w:ascii="宋体" w:hAnsi="宋体" w:eastAsia="宋体" w:cs="宋体"/>
          <w:b w:val="0"/>
          <w:bCs w:val="0"/>
          <w:spacing w:val="-3"/>
          <w:sz w:val="28"/>
          <w:szCs w:val="28"/>
          <w:highlight w:val="none"/>
        </w:rPr>
        <w:t xml:space="preserve">分;</w:t>
      </w:r>
      <w:r>
        <w:rPr>
          <w:rFonts w:hint="eastAsia" w:ascii="宋体" w:hAnsi="宋体" w:eastAsia="宋体" w:cs="宋体"/>
          <w:b w:val="0"/>
          <w:bCs w:val="0"/>
          <w:spacing w:val="-3"/>
          <w:sz w:val="28"/>
          <w:szCs w:val="28"/>
          <w:highlight w:val="none"/>
        </w:rPr>
      </w:r>
      <w:r/>
    </w:p>
    <w:p>
      <w:pPr>
        <w:pStyle w:val="786"/>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方案完整性一般，科学合理性一般，设计清晰详细程度一般，能够符合本项目需求，能够提供上述 2-4项方案的，得</w:t>
      </w:r>
      <w:r>
        <w:rPr>
          <w:rFonts w:hint="eastAsia" w:ascii="宋体" w:hAnsi="宋体" w:eastAsia="宋体" w:cs="宋体"/>
          <w:b w:val="0"/>
          <w:bCs w:val="0"/>
          <w:spacing w:val="-3"/>
          <w:sz w:val="28"/>
          <w:szCs w:val="28"/>
          <w:highlight w:val="none"/>
          <w:lang w:val="en-US" w:eastAsia="zh-CN"/>
        </w:rPr>
        <w:t xml:space="preserve">2</w:t>
      </w:r>
      <w:r>
        <w:rPr>
          <w:rFonts w:hint="eastAsia" w:ascii="宋体" w:hAnsi="宋体" w:eastAsia="宋体" w:cs="宋体"/>
          <w:b w:val="0"/>
          <w:bCs w:val="0"/>
          <w:spacing w:val="-3"/>
          <w:sz w:val="28"/>
          <w:szCs w:val="28"/>
          <w:highlight w:val="none"/>
        </w:rPr>
        <w:t xml:space="preserve">分;</w:t>
      </w:r>
      <w:r>
        <w:rPr>
          <w:rFonts w:hint="eastAsia" w:ascii="宋体" w:hAnsi="宋体" w:eastAsia="宋体" w:cs="宋体"/>
          <w:b w:val="0"/>
          <w:bCs w:val="0"/>
          <w:spacing w:val="-3"/>
          <w:sz w:val="28"/>
          <w:szCs w:val="28"/>
          <w:highlight w:val="none"/>
        </w:rPr>
      </w:r>
      <w:r/>
    </w:p>
    <w:p>
      <w:pPr>
        <w:pStyle w:val="786"/>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方案完整性、科学合理性、设计的清晰详细程度等只能基本满足要求，能够提供上述 1-4项方案的，得 1分;</w:t>
      </w:r>
      <w:r>
        <w:rPr>
          <w:rFonts w:hint="eastAsia" w:ascii="宋体" w:hAnsi="宋体" w:eastAsia="宋体" w:cs="宋体"/>
          <w:b w:val="0"/>
          <w:bCs w:val="0"/>
          <w:spacing w:val="-3"/>
          <w:sz w:val="28"/>
          <w:szCs w:val="28"/>
          <w:highlight w:val="none"/>
        </w:rPr>
      </w:r>
      <w:r/>
    </w:p>
    <w:p>
      <w:pPr>
        <w:pStyle w:val="786"/>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lang w:val="en-US" w:eastAsia="zh-CN"/>
        </w:rPr>
      </w:pPr>
      <w:r>
        <w:rPr>
          <w:rFonts w:hint="eastAsia" w:ascii="宋体" w:hAnsi="宋体" w:eastAsia="宋体" w:cs="宋体"/>
          <w:b w:val="0"/>
          <w:bCs w:val="0"/>
          <w:spacing w:val="-3"/>
          <w:sz w:val="28"/>
          <w:szCs w:val="28"/>
          <w:highlight w:val="none"/>
        </w:rPr>
        <w:t xml:space="preserve">提供方案不足1项或无方案的，不得分。</w:t>
      </w:r>
      <w:r>
        <w:rPr>
          <w:rFonts w:hint="eastAsia" w:ascii="宋体" w:hAnsi="宋体" w:eastAsia="宋体" w:cs="宋体"/>
          <w:b w:val="0"/>
          <w:bCs w:val="0"/>
          <w:spacing w:val="-3"/>
          <w:sz w:val="28"/>
          <w:szCs w:val="28"/>
          <w:highlight w:val="none"/>
          <w:lang w:val="en-US" w:eastAsia="zh-CN"/>
        </w:rPr>
      </w:r>
      <w:r/>
    </w:p>
    <w:p>
      <w:pPr>
        <w:pStyle w:val="786"/>
        <w:numPr>
          <w:ilvl w:val="0"/>
          <w:numId w:val="0"/>
        </w:numPr>
        <w:ind w:right="0" w:firstLine="562"/>
        <w:keepLines w:val="0"/>
        <w:keepNext w:val="0"/>
        <w:pageBreakBefore w:val="0"/>
        <w:spacing w:line="360" w:lineRule="auto"/>
        <w:widowControl/>
        <w:rPr>
          <w:rFonts w:hint="eastAsia" w:ascii="宋体" w:hAnsi="宋体" w:eastAsia="宋体" w:cs="宋体"/>
          <w:b w:val="0"/>
          <w:bCs w:val="0"/>
          <w:spacing w:val="-3"/>
          <w:sz w:val="28"/>
          <w:szCs w:val="28"/>
          <w:highlight w:val="none"/>
          <w:lang w:val="en-US" w:eastAsia="zh-CN"/>
        </w:rPr>
      </w:pPr>
      <w:r>
        <w:rPr>
          <w:rFonts w:hint="eastAsia" w:ascii="宋体" w:hAnsi="宋体" w:eastAsia="宋体" w:cs="宋体"/>
          <w:b/>
          <w:bCs/>
          <w:sz w:val="28"/>
          <w:szCs w:val="28"/>
          <w:highlight w:val="none"/>
          <w:lang w:val="en-US" w:eastAsia="zh-CN"/>
        </w:rPr>
        <w:t xml:space="preserve">5.节能、环保产品（2分）：</w:t>
      </w:r>
      <w:r>
        <w:rPr>
          <w:rFonts w:hint="eastAsia" w:ascii="宋体" w:hAnsi="宋体" w:eastAsia="宋体" w:cs="宋体"/>
          <w:b w:val="0"/>
          <w:bCs w:val="0"/>
          <w:spacing w:val="-3"/>
          <w:sz w:val="28"/>
          <w:szCs w:val="28"/>
          <w:highlight w:val="none"/>
          <w:lang w:val="en-US" w:eastAsia="zh-CN"/>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rPr>
          <w:rFonts w:hint="eastAsia" w:ascii="宋体" w:hAnsi="宋体" w:eastAsia="宋体" w:cs="宋体"/>
          <w:b w:val="0"/>
          <w:bCs w:val="0"/>
          <w:spacing w:val="-3"/>
          <w:sz w:val="28"/>
          <w:szCs w:val="28"/>
          <w:highlight w:val="none"/>
          <w:lang w:val="en-US" w:eastAsia="zh-CN"/>
        </w:rPr>
      </w:r>
      <w:r/>
    </w:p>
    <w:p>
      <w:pPr>
        <w:pStyle w:val="798"/>
        <w:numPr>
          <w:ilvl w:val="0"/>
          <w:numId w:val="0"/>
        </w:numPr>
        <w:jc w:val="both"/>
        <w:keepLines w:val="0"/>
        <w:keepNext w:val="0"/>
        <w:widowControl w:val="off"/>
        <w:rPr>
          <w:rFonts w:hint="eastAsia"/>
          <w:highlight w:val="none"/>
        </w:rPr>
        <w:suppressLineNumbers w:val="0"/>
      </w:pPr>
      <w:r>
        <w:rPr>
          <w:rFonts w:hint="eastAsia"/>
          <w:highlight w:val="none"/>
        </w:rPr>
      </w:r>
      <w:r/>
    </w:p>
    <w:p>
      <w:pPr>
        <w:pStyle w:val="786"/>
        <w:rPr>
          <w:rFonts w:hint="eastAsia"/>
          <w:highlight w:val="none"/>
        </w:rPr>
      </w:pPr>
      <w:r>
        <w:rPr>
          <w:rFonts w:hint="eastAsia"/>
          <w:highlight w:val="none"/>
        </w:rPr>
      </w:r>
      <w:r/>
    </w:p>
    <w:p>
      <w:pPr>
        <w:pStyle w:val="798"/>
        <w:rPr>
          <w:rFonts w:hint="eastAsia"/>
          <w:highlight w:val="none"/>
        </w:rPr>
      </w:pPr>
      <w:r>
        <w:rPr>
          <w:rFonts w:hint="eastAsia"/>
          <w:highlight w:val="none"/>
        </w:rPr>
      </w:r>
      <w:r/>
    </w:p>
    <w:p>
      <w:pPr>
        <w:pStyle w:val="786"/>
        <w:rPr>
          <w:rFonts w:hint="eastAsia"/>
          <w:highlight w:val="none"/>
        </w:rPr>
      </w:pPr>
      <w:r>
        <w:rPr>
          <w:rFonts w:hint="eastAsia"/>
          <w:highlight w:val="none"/>
        </w:rPr>
      </w:r>
      <w:r/>
    </w:p>
    <w:p>
      <w:pPr>
        <w:pStyle w:val="798"/>
        <w:rPr>
          <w:rFonts w:hint="eastAsia"/>
          <w:highlight w:val="none"/>
        </w:rPr>
      </w:pPr>
      <w:r>
        <w:rPr>
          <w:rFonts w:hint="eastAsia"/>
          <w:highlight w:val="none"/>
        </w:rPr>
      </w:r>
      <w:r/>
    </w:p>
    <w:p>
      <w:pPr>
        <w:pStyle w:val="786"/>
        <w:rPr>
          <w:rFonts w:hint="eastAsia"/>
          <w:highlight w:val="none"/>
        </w:rPr>
      </w:pPr>
      <w:r>
        <w:rPr>
          <w:rFonts w:hint="eastAsia"/>
          <w:highlight w:val="none"/>
        </w:rPr>
      </w:r>
      <w:r/>
    </w:p>
    <w:p>
      <w:pPr>
        <w:pStyle w:val="798"/>
        <w:rPr>
          <w:rFonts w:hint="eastAsia"/>
          <w:highlight w:val="none"/>
        </w:rPr>
      </w:pPr>
      <w:r>
        <w:rPr>
          <w:rFonts w:hint="eastAsia"/>
          <w:highlight w:val="none"/>
        </w:rPr>
      </w:r>
      <w:r/>
    </w:p>
    <w:p>
      <w:pPr>
        <w:pStyle w:val="786"/>
        <w:rPr>
          <w:rFonts w:hint="eastAsia"/>
          <w:highlight w:val="none"/>
        </w:rPr>
      </w:pPr>
      <w:r>
        <w:rPr>
          <w:rFonts w:hint="eastAsia"/>
          <w:highlight w:val="none"/>
        </w:rPr>
      </w:r>
      <w:r/>
    </w:p>
    <w:p>
      <w:pPr>
        <w:pStyle w:val="798"/>
        <w:rPr>
          <w:rFonts w:hint="eastAsia"/>
          <w:highlight w:val="none"/>
        </w:rPr>
      </w:pPr>
      <w:r>
        <w:rPr>
          <w:rFonts w:hint="eastAsia"/>
          <w:highlight w:val="none"/>
        </w:rPr>
      </w:r>
      <w:r/>
    </w:p>
    <w:p>
      <w:pPr>
        <w:pStyle w:val="786"/>
        <w:rPr>
          <w:rFonts w:hint="eastAsia"/>
          <w:highlight w:val="none"/>
        </w:rPr>
      </w:pPr>
      <w:r>
        <w:rPr>
          <w:rFonts w:hint="eastAsia"/>
          <w:highlight w:val="none"/>
        </w:rPr>
      </w:r>
      <w:r/>
    </w:p>
    <w:p>
      <w:pPr>
        <w:pStyle w:val="798"/>
        <w:rPr>
          <w:rFonts w:hint="eastAsia"/>
          <w:highlight w:val="none"/>
        </w:rPr>
      </w:pPr>
      <w:r>
        <w:rPr>
          <w:rFonts w:hint="eastAsia"/>
          <w:highlight w:val="none"/>
        </w:rPr>
      </w:r>
      <w:r/>
    </w:p>
    <w:p>
      <w:pPr>
        <w:pStyle w:val="786"/>
        <w:rPr>
          <w:rFonts w:hint="eastAsia"/>
          <w:highlight w:val="none"/>
        </w:rPr>
      </w:pPr>
      <w:r>
        <w:rPr>
          <w:rFonts w:hint="eastAsia"/>
          <w:highlight w:val="none"/>
        </w:rPr>
      </w:r>
      <w:r/>
    </w:p>
    <w:p>
      <w:pPr>
        <w:pStyle w:val="798"/>
        <w:rPr>
          <w:rFonts w:hint="eastAsia"/>
          <w:highlight w:val="none"/>
        </w:rPr>
      </w:pPr>
      <w:r>
        <w:rPr>
          <w:rFonts w:hint="eastAsia"/>
          <w:highlight w:val="none"/>
        </w:rPr>
      </w:r>
      <w:r/>
    </w:p>
    <w:p>
      <w:pPr>
        <w:pStyle w:val="786"/>
        <w:rPr>
          <w:rFonts w:hint="eastAsia"/>
          <w:highlight w:val="none"/>
        </w:rPr>
      </w:pPr>
      <w:r>
        <w:rPr>
          <w:rFonts w:hint="eastAsia"/>
          <w:highlight w:val="none"/>
        </w:rPr>
      </w:r>
      <w:r/>
    </w:p>
    <w:p>
      <w:pPr>
        <w:pStyle w:val="798"/>
        <w:rPr>
          <w:rFonts w:hint="eastAsia"/>
          <w:highlight w:val="none"/>
        </w:rPr>
      </w:pPr>
      <w:r>
        <w:rPr>
          <w:rFonts w:hint="eastAsia"/>
          <w:highlight w:val="none"/>
        </w:rPr>
      </w:r>
      <w:r/>
    </w:p>
    <w:p>
      <w:pPr>
        <w:pStyle w:val="786"/>
        <w:rPr>
          <w:rFonts w:hint="eastAsia"/>
          <w:highlight w:val="none"/>
        </w:rPr>
      </w:pPr>
      <w:r>
        <w:rPr>
          <w:rFonts w:hint="eastAsia"/>
          <w:highlight w:val="none"/>
        </w:rPr>
      </w:r>
      <w:r/>
    </w:p>
    <w:p>
      <w:pPr>
        <w:pStyle w:val="798"/>
        <w:rPr>
          <w:rFonts w:hint="eastAsia"/>
          <w:highlight w:val="none"/>
        </w:rPr>
      </w:pPr>
      <w:r>
        <w:rPr>
          <w:rFonts w:hint="eastAsia"/>
          <w:highlight w:val="none"/>
        </w:rPr>
      </w:r>
      <w:r/>
    </w:p>
    <w:p>
      <w:pPr>
        <w:pStyle w:val="786"/>
        <w:rPr>
          <w:rFonts w:hint="eastAsia"/>
          <w:highlight w:val="none"/>
        </w:rPr>
      </w:pPr>
      <w:r>
        <w:rPr>
          <w:rFonts w:hint="eastAsia"/>
          <w:highlight w:val="none"/>
        </w:rPr>
      </w:r>
      <w:r/>
    </w:p>
    <w:p>
      <w:pPr>
        <w:pStyle w:val="798"/>
        <w:rPr>
          <w:rFonts w:hint="eastAsia"/>
          <w:highlight w:val="none"/>
        </w:rPr>
      </w:pPr>
      <w:r>
        <w:rPr>
          <w:rFonts w:hint="eastAsia"/>
          <w:highlight w:val="none"/>
        </w:rPr>
      </w:r>
      <w:r/>
    </w:p>
    <w:p>
      <w:pPr>
        <w:pStyle w:val="786"/>
        <w:rPr>
          <w:rFonts w:hint="eastAsia"/>
          <w:highlight w:val="none"/>
        </w:rPr>
      </w:pPr>
      <w:r>
        <w:rPr>
          <w:rFonts w:hint="eastAsia"/>
          <w:highlight w:val="none"/>
        </w:rPr>
      </w:r>
      <w:r/>
    </w:p>
    <w:p>
      <w:pPr>
        <w:pStyle w:val="798"/>
        <w:rPr>
          <w:rFonts w:hint="eastAsia"/>
          <w:highlight w:val="none"/>
        </w:rPr>
      </w:pPr>
      <w:r>
        <w:rPr>
          <w:rFonts w:hint="eastAsia"/>
          <w:highlight w:val="none"/>
        </w:rPr>
      </w:r>
      <w:r/>
    </w:p>
    <w:p>
      <w:pPr>
        <w:pStyle w:val="786"/>
        <w:rPr>
          <w:rFonts w:hint="eastAsia"/>
          <w:highlight w:val="none"/>
        </w:rPr>
      </w:pPr>
      <w:r>
        <w:rPr>
          <w:rFonts w:hint="eastAsia"/>
          <w:highlight w:val="none"/>
        </w:rPr>
      </w:r>
      <w:r/>
    </w:p>
    <w:p>
      <w:pPr>
        <w:pStyle w:val="786"/>
        <w:jc w:val="center"/>
        <w:spacing w:line="360" w:lineRule="auto"/>
        <w:rPr>
          <w:rFonts w:hint="eastAsia" w:ascii="宋体" w:hAnsi="宋体" w:eastAsia="宋体" w:cs="宋体"/>
          <w:bCs/>
          <w:sz w:val="36"/>
          <w:szCs w:val="36"/>
          <w:highlight w:val="none"/>
        </w:rPr>
        <w:outlineLvl w:val="0"/>
      </w:pPr>
      <w:r/>
      <w:bookmarkStart w:id="203" w:name="_Toc25872"/>
      <w:r>
        <w:rPr>
          <w:rFonts w:hint="eastAsia" w:ascii="宋体" w:hAnsi="宋体" w:eastAsia="宋体" w:cs="宋体"/>
          <w:bCs/>
          <w:sz w:val="36"/>
          <w:szCs w:val="36"/>
          <w:highlight w:val="none"/>
        </w:rPr>
        <w:t xml:space="preserve">第六章  </w:t>
      </w:r>
      <w:bookmarkEnd w:id="197"/>
      <w:r/>
      <w:bookmarkEnd w:id="198"/>
      <w:r/>
      <w:bookmarkEnd w:id="202"/>
      <w:r>
        <w:rPr>
          <w:rFonts w:hint="eastAsia" w:ascii="宋体" w:hAnsi="宋体" w:eastAsia="宋体" w:cs="宋体"/>
          <w:bCs/>
          <w:sz w:val="36"/>
          <w:szCs w:val="36"/>
          <w:highlight w:val="none"/>
        </w:rPr>
        <w:t xml:space="preserve">投标文件内容与格式</w:t>
      </w:r>
      <w:bookmarkEnd w:id="203"/>
      <w:r>
        <w:rPr>
          <w:rFonts w:hint="eastAsia" w:ascii="宋体" w:hAnsi="宋体" w:eastAsia="宋体" w:cs="宋体"/>
          <w:bCs/>
          <w:sz w:val="36"/>
          <w:szCs w:val="36"/>
          <w:highlight w:val="none"/>
        </w:rPr>
      </w:r>
      <w:r/>
    </w:p>
    <w:p>
      <w:pPr>
        <w:pStyle w:val="1062"/>
        <w:ind w:firstLine="602"/>
        <w:spacing w:before="0" w:after="0" w:line="360" w:lineRule="auto"/>
        <w:rPr>
          <w:rFonts w:hint="eastAsia" w:ascii="宋体" w:hAnsi="宋体" w:eastAsia="宋体" w:cs="宋体"/>
          <w:b/>
          <w:sz w:val="30"/>
          <w:szCs w:val="30"/>
          <w:highlight w:val="none"/>
        </w:rPr>
      </w:pPr>
      <w:r/>
      <w:bookmarkStart w:id="204" w:name="_Hlt26671244"/>
      <w:r/>
      <w:bookmarkEnd w:id="204"/>
      <w:r/>
      <w:bookmarkStart w:id="205" w:name="_Toc26554094"/>
      <w:r/>
      <w:bookmarkStart w:id="206" w:name="_Toc49090576"/>
      <w:r/>
      <w:bookmarkStart w:id="207" w:name="_Toc120614282"/>
      <w:r/>
      <w:bookmarkStart w:id="208" w:name="_Hlt26955039"/>
      <w:r/>
      <w:bookmarkEnd w:id="208"/>
      <w:r>
        <w:rPr>
          <w:rFonts w:hint="eastAsia" w:ascii="宋体" w:hAnsi="宋体" w:eastAsia="宋体" w:cs="宋体"/>
          <w:b/>
          <w:sz w:val="30"/>
          <w:szCs w:val="30"/>
          <w:highlight w:val="none"/>
        </w:rPr>
        <w:t xml:space="preserve">第一部分  投标文件内容</w:t>
      </w:r>
      <w:r>
        <w:rPr>
          <w:rFonts w:hint="eastAsia" w:ascii="宋体" w:hAnsi="宋体" w:eastAsia="宋体" w:cs="宋体"/>
          <w:b/>
          <w:sz w:val="30"/>
          <w:szCs w:val="30"/>
          <w:highlight w:val="none"/>
        </w:rPr>
      </w:r>
      <w:r/>
    </w:p>
    <w:p>
      <w:pPr>
        <w:pStyle w:val="1062"/>
        <w:ind w:firstLine="0"/>
        <w:spacing w:before="0"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一、资格证明文件</w:t>
      </w:r>
      <w:r>
        <w:rPr>
          <w:rFonts w:hint="eastAsia" w:ascii="宋体" w:hAnsi="宋体" w:eastAsia="宋体" w:cs="宋体"/>
          <w:b/>
          <w:sz w:val="28"/>
          <w:szCs w:val="28"/>
          <w:highlight w:val="none"/>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序号</w:t>
            </w:r>
            <w:r>
              <w:rPr>
                <w:rFonts w:hint="eastAsia" w:ascii="宋体" w:hAnsi="宋体" w:eastAsia="宋体" w:cs="宋体"/>
                <w:b/>
                <w:sz w:val="24"/>
                <w:szCs w:val="24"/>
                <w:highlight w:val="none"/>
                <w:lang w:val="en-US" w:eastAsia="zh-CN" w:bidi="ar-SA"/>
              </w:rPr>
            </w:r>
            <w:r/>
          </w:p>
        </w:tc>
        <w:tc>
          <w:tcPr>
            <w:tcW w:w="6104" w:type="dxa"/>
            <w:vAlign w:val="center"/>
            <w:textDirection w:val="lrTb"/>
            <w:noWrap w:val="false"/>
          </w:tcPr>
          <w:p>
            <w:pPr>
              <w:pStyle w:val="1062"/>
              <w:ind w:firstLine="48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评审项及评审要求</w:t>
            </w:r>
            <w:r>
              <w:rPr>
                <w:rFonts w:hint="eastAsia" w:ascii="宋体" w:hAnsi="宋体" w:eastAsia="宋体" w:cs="宋体"/>
                <w:b/>
                <w:sz w:val="24"/>
                <w:szCs w:val="24"/>
                <w:highlight w:val="none"/>
                <w:lang w:val="en-US" w:eastAsia="zh-CN" w:bidi="ar-SA"/>
              </w:rPr>
            </w:r>
            <w:r/>
          </w:p>
        </w:tc>
        <w:tc>
          <w:tcPr>
            <w:tcW w:w="244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审查因素</w:t>
            </w:r>
            <w:r>
              <w:rPr>
                <w:rFonts w:hint="eastAsia" w:ascii="宋体" w:hAnsi="宋体" w:eastAsia="宋体" w:cs="宋体"/>
                <w:b/>
                <w:sz w:val="24"/>
                <w:szCs w:val="24"/>
                <w:highlight w:val="none"/>
                <w:lang w:val="en-US" w:eastAsia="zh-CN" w:bidi="ar-SA"/>
              </w:rPr>
            </w:r>
            <w:r/>
          </w:p>
        </w:tc>
      </w:tr>
      <w:tr>
        <w:trPr>
          <w:trHeight w:val="1335"/>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rPr>
                <w:rFonts w:hint="eastAsia" w:ascii="宋体" w:hAnsi="宋体" w:eastAsia="宋体" w:cs="宋体"/>
                <w:sz w:val="24"/>
                <w:szCs w:val="24"/>
                <w:highlight w:val="none"/>
                <w:lang w:val="en-US" w:eastAsia="zh-CN" w:bidi="ar-SA"/>
              </w:rPr>
            </w:r>
            <w:r/>
          </w:p>
        </w:tc>
        <w:tc>
          <w:tcPr>
            <w:tcW w:w="2449" w:type="dxa"/>
            <w:vAlign w:val="center"/>
            <w:vMerge w:val="restart"/>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通用资格要求，详见第一章《投标邀请》</w:t>
            </w:r>
            <w:r>
              <w:rPr>
                <w:rFonts w:hint="eastAsia" w:ascii="宋体" w:hAnsi="宋体" w:eastAsia="宋体" w:cs="宋体"/>
                <w:sz w:val="24"/>
                <w:szCs w:val="24"/>
                <w:highlight w:val="none"/>
                <w:lang w:val="en-US" w:eastAsia="zh-CN" w:bidi="ar-SA"/>
              </w:rPr>
            </w:r>
            <w:r/>
          </w:p>
        </w:tc>
      </w:tr>
      <w:tr>
        <w:trPr>
          <w:trHeight w:val="812"/>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《授权委托书》（给定格式；投标人如是自然人情形的，可不提供）。</w:t>
            </w:r>
            <w:r>
              <w:rPr>
                <w:rFonts w:hint="eastAsia" w:ascii="宋体" w:hAnsi="宋体" w:eastAsia="宋体" w:cs="宋体"/>
                <w:sz w:val="24"/>
                <w:szCs w:val="24"/>
                <w:highlight w:val="none"/>
                <w:lang w:val="en-US" w:eastAsia="zh-CN" w:bidi="ar-SA"/>
              </w:rPr>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1684"/>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48"/>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963"/>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投标人近一年中任意一个月份（不含投标当月）的依法缴纳税收的相关材料（提供相关主管部门证明或银行代扣证明）。</w:t>
            </w:r>
            <w:r>
              <w:rPr>
                <w:rFonts w:hint="eastAsia" w:ascii="宋体" w:hAnsi="宋体" w:eastAsia="宋体" w:cs="宋体"/>
                <w:sz w:val="24"/>
                <w:szCs w:val="24"/>
                <w:highlight w:val="none"/>
                <w:lang w:val="en-US" w:eastAsia="zh-CN" w:bidi="ar-SA"/>
              </w:rPr>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1023"/>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投标人近一年中任意一个月份（不含投标当月）的依法缴纳社会保障资金的相关材料（提供相关主管部门证明或银行代扣证明）。</w:t>
            </w:r>
            <w:r>
              <w:rPr>
                <w:rFonts w:hint="eastAsia" w:ascii="宋体" w:hAnsi="宋体" w:eastAsia="宋体" w:cs="宋体"/>
                <w:sz w:val="24"/>
                <w:szCs w:val="24"/>
                <w:highlight w:val="none"/>
                <w:lang w:val="en-US" w:eastAsia="zh-CN" w:bidi="ar-SA"/>
              </w:rPr>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705"/>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《资格声明函》（给定格式）。</w:t>
            </w:r>
            <w:r>
              <w:rPr>
                <w:rFonts w:hint="eastAsia" w:ascii="宋体" w:hAnsi="宋体" w:eastAsia="宋体" w:cs="宋体"/>
                <w:sz w:val="24"/>
                <w:szCs w:val="24"/>
                <w:highlight w:val="none"/>
                <w:lang w:val="en-US" w:eastAsia="zh-CN" w:bidi="ar-SA"/>
              </w:rPr>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700"/>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rPr>
                <w:rFonts w:hint="eastAsia" w:ascii="宋体" w:hAnsi="宋体" w:eastAsia="宋体" w:cs="宋体"/>
                <w:sz w:val="24"/>
                <w:szCs w:val="24"/>
                <w:highlight w:val="none"/>
                <w:lang w:val="en-US" w:eastAsia="zh-CN" w:bidi="ar-SA"/>
              </w:rPr>
            </w:r>
            <w:r/>
          </w:p>
        </w:tc>
        <w:tc>
          <w:tcPr>
            <w:tcW w:w="6104" w:type="dxa"/>
            <w:vAlign w:val="center"/>
            <w:textDirection w:val="lrTb"/>
            <w:noWrap w:val="false"/>
          </w:tcPr>
          <w:p>
            <w:pPr>
              <w:pStyle w:val="786"/>
              <w:jc w:val="both"/>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落实政府采购政策需满足的资格要求的证明文件（如有）。</w:t>
            </w:r>
            <w:r>
              <w:rPr>
                <w:rFonts w:hint="eastAsia" w:ascii="宋体" w:hAnsi="宋体" w:eastAsia="宋体" w:cs="宋体"/>
                <w:sz w:val="24"/>
                <w:szCs w:val="24"/>
                <w:highlight w:val="none"/>
                <w:lang w:val="en-US" w:eastAsia="zh-CN" w:bidi="ar-SA"/>
              </w:rPr>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color w:val="0000ff"/>
                <w:sz w:val="24"/>
                <w:szCs w:val="24"/>
                <w:highlight w:val="none"/>
                <w:lang w:val="en-US" w:eastAsia="zh-CN" w:bidi="ar-SA"/>
              </w:rPr>
            </w:pPr>
            <w:r>
              <w:rPr>
                <w:rFonts w:hint="eastAsia" w:ascii="宋体" w:hAnsi="宋体" w:eastAsia="宋体" w:cs="宋体"/>
                <w:color w:val="0000ff"/>
                <w:sz w:val="24"/>
                <w:szCs w:val="24"/>
                <w:highlight w:val="none"/>
                <w:lang w:val="en-US" w:eastAsia="zh-CN" w:bidi="ar-SA"/>
              </w:rPr>
            </w:r>
            <w:r/>
          </w:p>
        </w:tc>
      </w:tr>
      <w:tr>
        <w:trPr>
          <w:trHeight w:val="726"/>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w:t>
            </w:r>
            <w:r>
              <w:rPr>
                <w:rFonts w:hint="eastAsia" w:ascii="宋体" w:hAnsi="宋体" w:eastAsia="宋体" w:cs="宋体"/>
                <w:bCs/>
                <w:sz w:val="24"/>
                <w:szCs w:val="24"/>
                <w:highlight w:val="none"/>
                <w:lang w:val="en-US" w:eastAsia="zh-CN" w:bidi="ar-SA"/>
              </w:rPr>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本项目要求的特定资格证明</w:t>
            </w:r>
            <w:r>
              <w:rPr>
                <w:rFonts w:hint="eastAsia" w:ascii="宋体" w:hAnsi="宋体" w:eastAsia="宋体" w:cs="宋体"/>
                <w:sz w:val="24"/>
                <w:szCs w:val="24"/>
                <w:highlight w:val="none"/>
                <w:lang w:val="en-US" w:eastAsia="zh-CN" w:bidi="ar-SA"/>
              </w:rPr>
              <w:t xml:space="preserve">文件（</w:t>
            </w:r>
            <w:r>
              <w:rPr>
                <w:rFonts w:hint="eastAsia" w:ascii="宋体" w:hAnsi="宋体" w:eastAsia="宋体" w:cs="宋体"/>
                <w:bCs/>
                <w:sz w:val="24"/>
                <w:szCs w:val="24"/>
                <w:highlight w:val="none"/>
                <w:lang w:val="en-US" w:eastAsia="zh-CN" w:bidi="ar-SA"/>
              </w:rPr>
              <w:t xml:space="preserve">如有</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bCs/>
                <w:sz w:val="24"/>
                <w:szCs w:val="24"/>
                <w:highlight w:val="none"/>
                <w:lang w:val="en-US" w:eastAsia="zh-CN" w:bidi="ar-SA"/>
              </w:rPr>
            </w:r>
            <w:r/>
          </w:p>
        </w:tc>
        <w:tc>
          <w:tcPr>
            <w:tcW w:w="2449" w:type="dxa"/>
            <w:vAlign w:val="center"/>
            <w:textDirection w:val="lrTb"/>
            <w:noWrap w:val="false"/>
          </w:tcPr>
          <w:p>
            <w:pPr>
              <w:pStyle w:val="1062"/>
              <w:ind w:firstLine="0"/>
              <w:jc w:val="left"/>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特定资格要求，详见第一章《投标邀请》</w:t>
            </w:r>
            <w:r>
              <w:rPr>
                <w:rFonts w:hint="eastAsia" w:ascii="宋体" w:hAnsi="宋体" w:eastAsia="宋体" w:cs="宋体"/>
                <w:bCs/>
                <w:sz w:val="24"/>
                <w:szCs w:val="24"/>
                <w:highlight w:val="none"/>
                <w:lang w:val="en-US" w:eastAsia="zh-CN" w:bidi="ar-SA"/>
              </w:rPr>
            </w:r>
            <w:r/>
          </w:p>
        </w:tc>
      </w:tr>
      <w:tr>
        <w:trPr>
          <w:trHeight w:val="632"/>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9</w:t>
            </w:r>
            <w:r>
              <w:rPr>
                <w:rFonts w:hint="eastAsia" w:ascii="宋体" w:hAnsi="宋体" w:eastAsia="宋体" w:cs="宋体"/>
                <w:bCs/>
                <w:sz w:val="24"/>
                <w:szCs w:val="24"/>
                <w:highlight w:val="none"/>
                <w:lang w:val="en-US" w:eastAsia="zh-CN" w:bidi="ar-SA"/>
              </w:rPr>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《联合体协议》（如有，格式自拟）。</w:t>
            </w:r>
            <w:r>
              <w:rPr>
                <w:rFonts w:hint="eastAsia" w:ascii="宋体" w:hAnsi="宋体" w:eastAsia="宋体" w:cs="宋体"/>
                <w:bCs/>
                <w:sz w:val="24"/>
                <w:szCs w:val="24"/>
                <w:highlight w:val="none"/>
                <w:lang w:val="en-US" w:eastAsia="zh-CN" w:bidi="ar-SA"/>
              </w:rPr>
            </w:r>
            <w:r/>
          </w:p>
        </w:tc>
        <w:tc>
          <w:tcPr>
            <w:tcW w:w="2449" w:type="dxa"/>
            <w:vAlign w:val="center"/>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如接受联合体投标且投标人为联合体时</w:t>
            </w:r>
            <w:r>
              <w:rPr>
                <w:rFonts w:hint="eastAsia" w:ascii="宋体" w:hAnsi="宋体" w:eastAsia="宋体" w:cs="宋体"/>
                <w:sz w:val="24"/>
                <w:szCs w:val="24"/>
                <w:highlight w:val="none"/>
                <w:lang w:val="en-US" w:eastAsia="zh-CN" w:bidi="ar-SA"/>
              </w:rPr>
            </w:r>
            <w:r/>
          </w:p>
        </w:tc>
      </w:tr>
    </w:tbl>
    <w:p>
      <w:pPr>
        <w:pStyle w:val="78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rPr>
          <w:rFonts w:hint="eastAsia" w:ascii="宋体" w:hAnsi="宋体" w:eastAsia="宋体" w:cs="宋体"/>
          <w:sz w:val="24"/>
          <w:szCs w:val="24"/>
          <w:highlight w:val="none"/>
        </w:rPr>
      </w:r>
      <w:r/>
    </w:p>
    <w:p>
      <w:pPr>
        <w:pStyle w:val="786"/>
        <w:numPr>
          <w:ilvl w:val="0"/>
          <w:numId w:val="1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1～6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确无法提供的，可以不提供。</w:t>
      </w:r>
      <w:r>
        <w:rPr>
          <w:rFonts w:hint="eastAsia" w:ascii="宋体" w:hAnsi="宋体" w:eastAsia="宋体" w:cs="宋体"/>
          <w:sz w:val="24"/>
          <w:szCs w:val="24"/>
          <w:highlight w:val="none"/>
        </w:rPr>
      </w:r>
      <w:r/>
    </w:p>
    <w:p>
      <w:pPr>
        <w:pStyle w:val="78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sz w:val="24"/>
          <w:szCs w:val="24"/>
          <w:highlight w:val="none"/>
        </w:rPr>
      </w:r>
      <w:r/>
    </w:p>
    <w:p>
      <w:pPr>
        <w:pStyle w:val="786"/>
        <w:numPr>
          <w:ilvl w:val="0"/>
          <w:numId w:val="1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上述资格证明文件第7项，如本项目有落实政府采购政策需满足的资格要求的（详见第一章《投标邀请》），必须提供相应证明文件，否则投标文件无效。</w:t>
      </w:r>
      <w:r>
        <w:rPr>
          <w:rFonts w:hint="eastAsia" w:ascii="宋体" w:hAnsi="宋体" w:eastAsia="宋体" w:cs="宋体"/>
          <w:sz w:val="24"/>
          <w:szCs w:val="24"/>
          <w:highlight w:val="none"/>
        </w:rPr>
      </w:r>
      <w:r/>
    </w:p>
    <w:p>
      <w:pPr>
        <w:pStyle w:val="78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eastAsia="宋体" w:cs="宋体"/>
          <w:sz w:val="24"/>
          <w:szCs w:val="24"/>
          <w:highlight w:val="none"/>
        </w:rPr>
      </w:r>
      <w:r/>
    </w:p>
    <w:p>
      <w:pPr>
        <w:pStyle w:val="786"/>
        <w:numPr>
          <w:ilvl w:val="0"/>
          <w:numId w:val="1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上述资格证明文件第8项，如本项目有特定资格要求的（详见第一章《投标邀请》），须提供相应的特定资格证明文件。</w:t>
      </w:r>
      <w:r>
        <w:rPr>
          <w:rFonts w:hint="eastAsia" w:ascii="宋体" w:hAnsi="宋体" w:eastAsia="宋体" w:cs="宋体"/>
          <w:sz w:val="24"/>
          <w:szCs w:val="24"/>
          <w:highlight w:val="none"/>
        </w:rPr>
      </w:r>
      <w:r/>
    </w:p>
    <w:p>
      <w:pPr>
        <w:pStyle w:val="786"/>
        <w:numPr>
          <w:ilvl w:val="0"/>
          <w:numId w:val="1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eastAsia="宋体" w:cs="宋体"/>
          <w:sz w:val="24"/>
          <w:szCs w:val="24"/>
          <w:highlight w:val="none"/>
        </w:rPr>
      </w:r>
      <w:r/>
    </w:p>
    <w:p>
      <w:pPr>
        <w:pStyle w:val="78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如项目接受联合体投标且投标人为联合体时，上述资格证明文件中：第2、6项可由联合体主体单位（即联合体牵头人）代表联合体提供；第1、3、4、5、7（如有）、8（如有）项，联合体各方均须提供。</w:t>
      </w:r>
      <w:r>
        <w:rPr>
          <w:rFonts w:hint="eastAsia" w:ascii="宋体" w:hAnsi="宋体" w:eastAsia="宋体" w:cs="宋体"/>
          <w:sz w:val="24"/>
          <w:szCs w:val="24"/>
          <w:highlight w:val="none"/>
        </w:rPr>
      </w:r>
      <w:r/>
    </w:p>
    <w:p>
      <w:pPr>
        <w:pStyle w:val="786"/>
        <w:spacing w:line="360" w:lineRule="auto"/>
        <w:rPr>
          <w:rFonts w:hint="eastAsia" w:ascii="宋体" w:hAnsi="宋体" w:eastAsia="宋体" w:cs="宋体"/>
          <w:b/>
          <w:sz w:val="28"/>
          <w:szCs w:val="28"/>
          <w:highlight w:val="none"/>
        </w:rPr>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二、符合性证明文件及其他证明文件</w:t>
      </w:r>
      <w:r>
        <w:rPr>
          <w:rFonts w:hint="eastAsia" w:ascii="宋体" w:hAnsi="宋体" w:eastAsia="宋体" w:cs="宋体"/>
          <w:b/>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序号</w:t>
            </w:r>
            <w:r>
              <w:rPr>
                <w:rFonts w:hint="eastAsia" w:ascii="宋体" w:hAnsi="宋体" w:eastAsia="宋体" w:cs="宋体"/>
                <w:b/>
                <w:sz w:val="24"/>
                <w:szCs w:val="24"/>
                <w:highlight w:val="none"/>
                <w:lang w:val="en-US" w:eastAsia="zh-CN" w:bidi="ar-SA"/>
              </w:rPr>
            </w:r>
            <w:r/>
          </w:p>
        </w:tc>
        <w:tc>
          <w:tcPr>
            <w:tcW w:w="6095"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评审项及评审要求</w:t>
            </w:r>
            <w:r>
              <w:rPr>
                <w:rFonts w:hint="eastAsia" w:ascii="宋体" w:hAnsi="宋体" w:eastAsia="宋体" w:cs="宋体"/>
                <w:b/>
                <w:sz w:val="24"/>
                <w:szCs w:val="24"/>
                <w:highlight w:val="none"/>
                <w:lang w:val="en-US" w:eastAsia="zh-CN" w:bidi="ar-SA"/>
              </w:rPr>
            </w:r>
            <w:r/>
          </w:p>
        </w:tc>
        <w:tc>
          <w:tcPr>
            <w:tcW w:w="197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审查因素</w:t>
            </w:r>
            <w:r>
              <w:rPr>
                <w:rFonts w:hint="eastAsia" w:ascii="宋体" w:hAnsi="宋体" w:eastAsia="宋体" w:cs="宋体"/>
                <w:b/>
                <w:sz w:val="24"/>
                <w:szCs w:val="24"/>
                <w:highlight w:val="none"/>
                <w:lang w:val="en-US" w:eastAsia="zh-CN" w:bidi="ar-SA"/>
              </w:rPr>
            </w:r>
            <w:r/>
          </w:p>
        </w:tc>
      </w:tr>
      <w:tr>
        <w:trP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投标函（给定格式）</w:t>
            </w:r>
            <w:r>
              <w:rPr>
                <w:rFonts w:hint="eastAsia" w:ascii="宋体" w:hAnsi="宋体" w:eastAsia="宋体" w:cs="宋体"/>
                <w:sz w:val="24"/>
                <w:szCs w:val="24"/>
                <w:highlight w:val="none"/>
                <w:lang w:val="en-US" w:eastAsia="zh-CN" w:bidi="ar-SA"/>
              </w:rPr>
            </w:r>
            <w:r/>
          </w:p>
        </w:tc>
        <w:tc>
          <w:tcPr>
            <w:tcW w:w="1979" w:type="dxa"/>
            <w:vAlign w:val="center"/>
            <w:vMerge w:val="restart"/>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符合性证明文件</w:t>
            </w:r>
            <w:r>
              <w:rPr>
                <w:rFonts w:hint="eastAsia" w:ascii="宋体" w:hAnsi="宋体" w:eastAsia="宋体" w:cs="宋体"/>
                <w:sz w:val="24"/>
                <w:szCs w:val="24"/>
                <w:highlight w:val="none"/>
                <w:lang w:val="en-US" w:eastAsia="zh-CN" w:bidi="ar-SA"/>
              </w:rPr>
            </w:r>
            <w:r/>
          </w:p>
        </w:tc>
      </w:tr>
      <w:tr>
        <w:trP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承诺书（给定格式）</w:t>
            </w:r>
            <w:r>
              <w:rPr>
                <w:rFonts w:hint="eastAsia" w:ascii="宋体" w:hAnsi="宋体" w:eastAsia="宋体" w:cs="宋体"/>
                <w:sz w:val="24"/>
                <w:szCs w:val="24"/>
                <w:highlight w:val="none"/>
                <w:lang w:val="en-US" w:eastAsia="zh-CN" w:bidi="ar-SA"/>
              </w:rPr>
            </w:r>
            <w:r/>
          </w:p>
        </w:tc>
        <w:tc>
          <w:tcPr>
            <w:tcW w:w="1979" w:type="dxa"/>
            <w:vAlign w:val="center"/>
            <w:vMerge w:val="continue"/>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开标一览表（给定格式）</w:t>
            </w:r>
            <w:r>
              <w:rPr>
                <w:rFonts w:hint="eastAsia" w:ascii="宋体" w:hAnsi="宋体" w:eastAsia="宋体" w:cs="宋体"/>
                <w:sz w:val="24"/>
                <w:szCs w:val="24"/>
                <w:highlight w:val="none"/>
                <w:lang w:val="en-US" w:eastAsia="zh-CN" w:bidi="ar-SA"/>
              </w:rPr>
            </w:r>
            <w:r/>
          </w:p>
        </w:tc>
        <w:tc>
          <w:tcPr>
            <w:tcW w:w="1979" w:type="dxa"/>
            <w:vAlign w:val="center"/>
            <w:vMerge w:val="continue"/>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分项报价表（给定格式）</w:t>
            </w:r>
            <w:r>
              <w:rPr>
                <w:rFonts w:hint="eastAsia" w:ascii="宋体" w:hAnsi="宋体" w:eastAsia="宋体" w:cs="宋体"/>
                <w:sz w:val="24"/>
                <w:szCs w:val="24"/>
                <w:highlight w:val="none"/>
                <w:lang w:val="en-US" w:eastAsia="zh-CN" w:bidi="ar-SA"/>
              </w:rPr>
            </w:r>
            <w:r/>
          </w:p>
        </w:tc>
        <w:tc>
          <w:tcPr>
            <w:tcW w:w="1979" w:type="dxa"/>
            <w:vAlign w:val="center"/>
            <w:vMerge w:val="continue"/>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投标偏离表（给定格式）</w:t>
            </w:r>
            <w:r>
              <w:rPr>
                <w:rFonts w:hint="eastAsia" w:ascii="宋体" w:hAnsi="宋体" w:eastAsia="宋体" w:cs="宋体"/>
                <w:sz w:val="24"/>
                <w:szCs w:val="24"/>
                <w:highlight w:val="none"/>
                <w:lang w:val="en-US" w:eastAsia="zh-CN" w:bidi="ar-SA"/>
              </w:rPr>
            </w:r>
            <w:r/>
          </w:p>
        </w:tc>
        <w:tc>
          <w:tcPr>
            <w:tcW w:w="1979" w:type="dxa"/>
            <w:vAlign w:val="center"/>
            <w:vMerge w:val="continue"/>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《采购需求》中如有要求须提供的证明文件</w:t>
            </w:r>
            <w:r>
              <w:rPr>
                <w:rFonts w:hint="eastAsia" w:ascii="宋体" w:hAnsi="宋体" w:eastAsia="宋体" w:cs="宋体"/>
                <w:sz w:val="24"/>
                <w:szCs w:val="24"/>
                <w:highlight w:val="none"/>
                <w:lang w:val="en-US" w:eastAsia="zh-CN" w:bidi="ar-SA"/>
              </w:rPr>
            </w:r>
            <w:r/>
          </w:p>
        </w:tc>
        <w:tc>
          <w:tcPr>
            <w:tcW w:w="1979" w:type="dxa"/>
            <w:vAlign w:val="center"/>
            <w:vMerge w:val="continue"/>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rPr>
                <w:rFonts w:hint="eastAsia" w:ascii="宋体" w:hAnsi="宋体" w:eastAsia="宋体" w:cs="宋体"/>
                <w:sz w:val="24"/>
                <w:szCs w:val="24"/>
                <w:highlight w:val="none"/>
                <w:lang w:val="en-US" w:eastAsia="zh-CN" w:bidi="ar-SA"/>
              </w:rPr>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《评标方法与评标标准》中涉及的证明文件</w:t>
            </w:r>
            <w:r>
              <w:rPr>
                <w:rFonts w:hint="eastAsia" w:ascii="宋体" w:hAnsi="宋体" w:eastAsia="宋体" w:cs="宋体"/>
                <w:sz w:val="24"/>
                <w:szCs w:val="24"/>
                <w:highlight w:val="none"/>
                <w:lang w:val="en-US" w:eastAsia="zh-CN" w:bidi="ar-SA"/>
              </w:rPr>
            </w:r>
            <w:r/>
          </w:p>
        </w:tc>
        <w:tc>
          <w:tcPr>
            <w:tcW w:w="1979" w:type="dxa"/>
            <w:vAlign w:val="center"/>
            <w:vMerge w:val="restart"/>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其他证明文件</w:t>
            </w:r>
            <w:r>
              <w:rPr>
                <w:rFonts w:hint="eastAsia" w:ascii="宋体" w:hAnsi="宋体" w:eastAsia="宋体" w:cs="宋体"/>
                <w:sz w:val="24"/>
                <w:szCs w:val="24"/>
                <w:highlight w:val="none"/>
                <w:lang w:val="en-US" w:eastAsia="zh-CN" w:bidi="ar-SA"/>
              </w:rPr>
            </w:r>
            <w:r/>
          </w:p>
        </w:tc>
      </w:tr>
      <w:tr>
        <w:trP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w:t>
            </w:r>
            <w:r>
              <w:rPr>
                <w:rFonts w:hint="eastAsia" w:ascii="宋体" w:hAnsi="宋体" w:eastAsia="宋体" w:cs="宋体"/>
                <w:sz w:val="24"/>
                <w:szCs w:val="24"/>
                <w:highlight w:val="none"/>
                <w:lang w:val="en-US" w:eastAsia="zh-CN" w:bidi="ar-SA"/>
              </w:rPr>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其他投标人认为应附的文件（如有，自拟并自行添加）</w:t>
            </w:r>
            <w:r>
              <w:rPr>
                <w:rFonts w:hint="eastAsia" w:ascii="宋体" w:hAnsi="宋体" w:eastAsia="宋体" w:cs="宋体"/>
                <w:sz w:val="24"/>
                <w:szCs w:val="24"/>
                <w:highlight w:val="none"/>
                <w:lang w:val="en-US" w:eastAsia="zh-CN" w:bidi="ar-SA"/>
              </w:rPr>
            </w:r>
            <w:r/>
          </w:p>
        </w:tc>
        <w:tc>
          <w:tcPr>
            <w:tcW w:w="1979" w:type="dxa"/>
            <w:vAlign w:val="top"/>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pStyle w:val="78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rPr>
          <w:rFonts w:hint="eastAsia" w:ascii="宋体" w:hAnsi="宋体" w:eastAsia="宋体" w:cs="宋体"/>
          <w:sz w:val="24"/>
          <w:szCs w:val="24"/>
          <w:highlight w:val="none"/>
        </w:rPr>
      </w:r>
      <w:r/>
    </w:p>
    <w:p>
      <w:pPr>
        <w:pStyle w:val="786"/>
        <w:numPr>
          <w:ilvl w:val="0"/>
          <w:numId w:val="11"/>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上述符合性证明文件及其他证明文件1～6项必须按要求全部提供（有给定格式的，必须按给定格式的要求正确填报并提供，相应格式见本章第二部分），否则投标文件无效。</w:t>
      </w:r>
      <w:r>
        <w:rPr>
          <w:rFonts w:hint="eastAsia" w:ascii="宋体" w:hAnsi="宋体" w:eastAsia="宋体" w:cs="宋体"/>
          <w:sz w:val="24"/>
          <w:szCs w:val="24"/>
          <w:highlight w:val="none"/>
        </w:rPr>
      </w:r>
      <w:r/>
    </w:p>
    <w:p>
      <w:pPr>
        <w:pStyle w:val="786"/>
        <w:numPr>
          <w:ilvl w:val="0"/>
          <w:numId w:val="11"/>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如项目接受联合体投标，且投标人为联合体时，上述符合性证明文件及其他证明文件第1～5项可由联合体主体单位（即联合体牵头人）代表联合体提供。</w:t>
      </w:r>
      <w:r>
        <w:rPr>
          <w:rFonts w:hint="eastAsia" w:ascii="宋体" w:hAnsi="宋体" w:eastAsia="宋体" w:cs="宋体"/>
          <w:sz w:val="24"/>
          <w:szCs w:val="24"/>
          <w:highlight w:val="none"/>
        </w:rPr>
      </w:r>
      <w:r/>
    </w:p>
    <w:p>
      <w:pPr>
        <w:pStyle w:val="786"/>
        <w:rPr>
          <w:rFonts w:hint="eastAsia" w:ascii="Times New Roman" w:hAnsi="Times New Roman" w:cs="Times New Roman"/>
          <w:b/>
          <w:sz w:val="28"/>
          <w:szCs w:val="28"/>
          <w:highlight w:val="none"/>
        </w:rPr>
      </w:pPr>
      <w:r>
        <w:rPr>
          <w:rFonts w:hint="eastAsia" w:ascii="Times New Roman" w:hAnsi="Times New Roman" w:cs="Times New Roman"/>
          <w:b/>
          <w:sz w:val="28"/>
          <w:szCs w:val="28"/>
          <w:highlight w:val="none"/>
        </w:rPr>
        <w:t xml:space="preserve">（二）其他证明文件</w:t>
      </w:r>
      <w:r>
        <w:rPr>
          <w:rFonts w:hint="eastAsia" w:ascii="Times New Roman" w:hAnsi="Times New Roman" w:cs="Times New Roman"/>
          <w:b/>
          <w:sz w:val="28"/>
          <w:szCs w:val="28"/>
          <w:highlight w:val="none"/>
        </w:rPr>
      </w:r>
      <w:r/>
    </w:p>
    <w:p>
      <w:pPr>
        <w:pStyle w:val="786"/>
        <w:ind w:left="480"/>
        <w:spacing w:line="500" w:lineRule="exact"/>
        <w:rPr>
          <w:rFonts w:hint="eastAsia" w:ascii="宋体" w:hAnsi="宋体" w:cs="Times New Roman"/>
          <w:sz w:val="24"/>
          <w:szCs w:val="24"/>
          <w:highlight w:val="none"/>
        </w:rPr>
      </w:pPr>
      <w:r>
        <w:rPr>
          <w:rFonts w:hint="eastAsia" w:ascii="宋体" w:hAnsi="宋体" w:cs="Times New Roman"/>
          <w:sz w:val="24"/>
          <w:szCs w:val="24"/>
          <w:highlight w:val="none"/>
        </w:rPr>
        <w:t xml:space="preserve">1.《评标方法与评标标准》中涉及的证明文件。</w:t>
      </w:r>
      <w:r>
        <w:rPr>
          <w:rFonts w:hint="eastAsia" w:ascii="宋体" w:hAnsi="宋体" w:cs="Times New Roman"/>
          <w:sz w:val="24"/>
          <w:szCs w:val="24"/>
          <w:highlight w:val="none"/>
        </w:rPr>
      </w:r>
      <w:r/>
    </w:p>
    <w:p>
      <w:pPr>
        <w:pStyle w:val="786"/>
        <w:ind w:left="480"/>
        <w:spacing w:line="500" w:lineRule="exact"/>
        <w:rPr>
          <w:rFonts w:ascii="宋体" w:hAnsi="宋体" w:cs="宋体"/>
          <w:sz w:val="24"/>
          <w:szCs w:val="24"/>
          <w:highlight w:val="none"/>
        </w:rPr>
      </w:pPr>
      <w:r>
        <w:rPr>
          <w:rFonts w:hint="eastAsia" w:ascii="宋体" w:hAnsi="宋体" w:cs="宋体"/>
          <w:sz w:val="24"/>
          <w:szCs w:val="24"/>
          <w:highlight w:val="none"/>
        </w:rPr>
        <w:t xml:space="preserve">2.投标人认为如有其他应附的文件可自拟并自行添加。</w:t>
      </w:r>
      <w:r>
        <w:rPr>
          <w:rFonts w:ascii="宋体" w:hAnsi="宋体" w:cs="宋体"/>
          <w:sz w:val="24"/>
          <w:szCs w:val="24"/>
          <w:highlight w:val="none"/>
        </w:rPr>
      </w:r>
      <w:r/>
    </w:p>
    <w:p>
      <w:pPr>
        <w:pStyle w:val="786"/>
        <w:ind w:firstLine="480"/>
        <w:spacing w:line="360" w:lineRule="auto"/>
        <w:rPr>
          <w:rFonts w:hint="eastAsia" w:ascii="宋体" w:hAnsi="宋体" w:eastAsia="宋体" w:cs="宋体"/>
          <w:b/>
          <w:sz w:val="30"/>
          <w:szCs w:val="30"/>
          <w:highlight w:val="none"/>
        </w:rPr>
      </w:pPr>
      <w:r>
        <w:rPr>
          <w:rFonts w:hint="eastAsia" w:ascii="宋体" w:hAnsi="宋体" w:eastAsia="宋体" w:cs="宋体"/>
          <w:sz w:val="24"/>
          <w:szCs w:val="24"/>
          <w:highlight w:val="none"/>
        </w:rPr>
        <w:br w:type="page" w:clear="all"/>
      </w:r>
      <w:r>
        <w:rPr>
          <w:rFonts w:hint="eastAsia" w:ascii="宋体" w:hAnsi="宋体" w:eastAsia="宋体" w:cs="宋体"/>
          <w:b/>
          <w:sz w:val="30"/>
          <w:szCs w:val="30"/>
          <w:highlight w:val="none"/>
        </w:rPr>
        <w:t xml:space="preserve">第二部分  投标文件格式</w:t>
      </w:r>
      <w:r>
        <w:rPr>
          <w:rFonts w:hint="eastAsia" w:ascii="宋体" w:hAnsi="宋体" w:eastAsia="宋体" w:cs="宋体"/>
          <w:b/>
          <w:sz w:val="30"/>
          <w:szCs w:val="30"/>
          <w:highlight w:val="none"/>
        </w:rPr>
      </w:r>
      <w:r/>
    </w:p>
    <w:p>
      <w:pPr>
        <w:pStyle w:val="1062"/>
        <w:ind w:firstLine="0"/>
        <w:spacing w:before="0" w:after="0"/>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一、封面格式（参考格式）：</w:t>
      </w:r>
      <w:r>
        <w:rPr>
          <w:rFonts w:hint="eastAsia" w:ascii="宋体" w:hAnsi="宋体" w:eastAsia="宋体" w:cs="宋体"/>
          <w:b/>
          <w:sz w:val="28"/>
          <w:szCs w:val="28"/>
          <w:highlight w:val="none"/>
        </w:rPr>
      </w:r>
      <w:r/>
    </w:p>
    <w:p>
      <w:pPr>
        <w:pStyle w:val="786"/>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pStyle w:val="786"/>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pStyle w:val="786"/>
        <w:jc w:val="center"/>
        <w:rPr>
          <w:rFonts w:hint="eastAsia" w:ascii="宋体" w:hAnsi="宋体" w:eastAsia="宋体" w:cs="宋体"/>
          <w:bCs/>
          <w:spacing w:val="20"/>
          <w:sz w:val="84"/>
          <w:szCs w:val="84"/>
          <w:highlight w:val="none"/>
        </w:rPr>
      </w:pPr>
      <w:r>
        <w:rPr>
          <w:rFonts w:hint="eastAsia" w:ascii="宋体" w:hAnsi="宋体" w:eastAsia="宋体" w:cs="宋体"/>
          <w:bCs/>
          <w:spacing w:val="20"/>
          <w:sz w:val="84"/>
          <w:szCs w:val="84"/>
          <w:highlight w:val="none"/>
        </w:rPr>
        <w:t xml:space="preserve">投  标  文  件</w:t>
      </w:r>
      <w:r>
        <w:rPr>
          <w:rFonts w:hint="eastAsia" w:ascii="宋体" w:hAnsi="宋体" w:eastAsia="宋体" w:cs="宋体"/>
          <w:bCs/>
          <w:spacing w:val="20"/>
          <w:sz w:val="84"/>
          <w:szCs w:val="84"/>
          <w:highlight w:val="none"/>
        </w:rPr>
      </w:r>
      <w:r/>
    </w:p>
    <w:p>
      <w:pPr>
        <w:pStyle w:val="786"/>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pStyle w:val="786"/>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pStyle w:val="786"/>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pStyle w:val="786"/>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pStyle w:val="786"/>
        <w:ind w:firstLine="1800"/>
        <w:jc w:val="left"/>
        <w:rPr>
          <w:rFonts w:hint="eastAsia" w:ascii="宋体" w:hAnsi="宋体" w:eastAsia="宋体" w:cs="宋体"/>
          <w:bCs/>
          <w:color w:val="000000"/>
          <w:sz w:val="32"/>
          <w:szCs w:val="32"/>
          <w:highlight w:val="none"/>
          <w:lang w:eastAsia="zh-CN"/>
        </w:rPr>
      </w:pPr>
      <w:r>
        <w:rPr>
          <w:rFonts w:hint="eastAsia" w:ascii="宋体" w:hAnsi="宋体" w:eastAsia="宋体" w:cs="宋体"/>
          <w:bCs/>
          <w:color w:val="000000"/>
          <w:sz w:val="30"/>
          <w:szCs w:val="30"/>
          <w:highlight w:val="none"/>
        </w:rPr>
        <w:t xml:space="preserve">项目编号：</w:t>
      </w:r>
      <w:r>
        <w:rPr>
          <w:rFonts w:hint="eastAsia" w:ascii="宋体" w:hAnsi="宋体" w:cs="宋体"/>
          <w:bCs/>
          <w:color w:val="000000"/>
          <w:sz w:val="32"/>
          <w:szCs w:val="32"/>
          <w:highlight w:val="none"/>
          <w:lang w:eastAsia="zh-CN"/>
        </w:rPr>
        <w:t xml:space="preserve">JSZC-320214-JNJS-G2026-0001</w:t>
      </w:r>
      <w:r>
        <w:rPr>
          <w:rFonts w:hint="eastAsia" w:ascii="宋体" w:hAnsi="宋体" w:eastAsia="宋体" w:cs="宋体"/>
          <w:bCs/>
          <w:color w:val="000000"/>
          <w:sz w:val="32"/>
          <w:szCs w:val="32"/>
          <w:highlight w:val="none"/>
          <w:lang w:eastAsia="zh-CN"/>
        </w:rPr>
      </w:r>
      <w:r/>
    </w:p>
    <w:p>
      <w:pPr>
        <w:pStyle w:val="786"/>
        <w:ind w:firstLine="1800"/>
        <w:jc w:val="left"/>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项目名称：</w:t>
      </w:r>
      <w:r>
        <w:rPr>
          <w:rFonts w:hint="eastAsia" w:ascii="宋体" w:hAnsi="宋体" w:cs="宋体"/>
          <w:bCs/>
          <w:color w:val="000000"/>
          <w:sz w:val="30"/>
          <w:szCs w:val="30"/>
          <w:highlight w:val="none"/>
          <w:lang w:eastAsia="zh-CN"/>
        </w:rPr>
        <w:t xml:space="preserve">天一中学新吴分校新建工程厨房设备采购项目</w:t>
      </w:r>
      <w:r>
        <w:rPr>
          <w:rFonts w:hint="eastAsia" w:ascii="宋体" w:hAnsi="宋体" w:eastAsia="宋体" w:cs="宋体"/>
          <w:bCs/>
          <w:color w:val="000000"/>
          <w:sz w:val="30"/>
          <w:szCs w:val="30"/>
          <w:highlight w:val="none"/>
          <w:lang w:eastAsia="zh-CN"/>
        </w:rPr>
      </w:r>
      <w:r/>
    </w:p>
    <w:p>
      <w:pPr>
        <w:pStyle w:val="786"/>
        <w:ind w:firstLine="1800"/>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投 标 人：</w:t>
      </w:r>
      <w:r>
        <w:rPr>
          <w:rFonts w:hint="eastAsia" w:ascii="宋体" w:hAnsi="宋体" w:eastAsia="宋体" w:cs="宋体"/>
          <w:bCs/>
          <w:color w:val="000000"/>
          <w:sz w:val="30"/>
          <w:szCs w:val="30"/>
          <w:highlight w:val="none"/>
        </w:rPr>
      </w:r>
      <w:r/>
    </w:p>
    <w:p>
      <w:pPr>
        <w:pStyle w:val="786"/>
        <w:ind w:firstLine="1800"/>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日    期：</w:t>
      </w:r>
      <w:r>
        <w:rPr>
          <w:rFonts w:hint="eastAsia" w:ascii="宋体" w:hAnsi="宋体" w:eastAsia="宋体" w:cs="宋体"/>
          <w:bCs/>
          <w:color w:val="000000"/>
          <w:sz w:val="30"/>
          <w:szCs w:val="30"/>
          <w:highlight w:val="none"/>
        </w:rPr>
      </w:r>
      <w:r/>
    </w:p>
    <w:p>
      <w:pPr>
        <w:pStyle w:val="786"/>
        <w:spacing w:line="440" w:lineRule="exact"/>
        <w:rPr>
          <w:rFonts w:hint="eastAsia" w:ascii="宋体" w:hAnsi="宋体" w:eastAsia="宋体" w:cs="宋体"/>
          <w:b/>
          <w:sz w:val="28"/>
          <w:szCs w:val="28"/>
          <w:highlight w:val="none"/>
        </w:rPr>
      </w:pPr>
      <w:r>
        <w:rPr>
          <w:rFonts w:hint="eastAsia" w:ascii="宋体" w:hAnsi="宋体" w:eastAsia="宋体" w:cs="宋体"/>
          <w:bCs/>
          <w:color w:val="000000"/>
          <w:sz w:val="30"/>
          <w:szCs w:val="30"/>
          <w:highlight w:val="none"/>
        </w:rPr>
        <w:br w:type="page" w:clear="all"/>
      </w:r>
      <w:r>
        <w:rPr>
          <w:rFonts w:hint="eastAsia" w:ascii="宋体" w:hAnsi="宋体" w:eastAsia="宋体" w:cs="宋体"/>
          <w:b/>
          <w:sz w:val="28"/>
          <w:szCs w:val="28"/>
          <w:highlight w:val="none"/>
        </w:rPr>
        <w:t xml:space="preserve">二、授权委托书（给定格式）：</w:t>
      </w:r>
      <w:r>
        <w:rPr>
          <w:rFonts w:hint="eastAsia" w:ascii="宋体" w:hAnsi="宋体" w:eastAsia="宋体" w:cs="宋体"/>
          <w:b/>
          <w:sz w:val="28"/>
          <w:szCs w:val="28"/>
          <w:highlight w:val="none"/>
        </w:rPr>
      </w:r>
      <w:r/>
    </w:p>
    <w:p>
      <w:pPr>
        <w:pStyle w:val="786"/>
        <w:jc w:val="center"/>
        <w:rPr>
          <w:rFonts w:hint="eastAsia" w:ascii="宋体" w:hAnsi="宋体" w:eastAsia="宋体" w:cs="宋体"/>
          <w:sz w:val="24"/>
          <w:highlight w:val="none"/>
          <w:shd w:val="clear" w:color="ffffff" w:fill="d9d9d9"/>
        </w:rPr>
        <w:outlineLvl w:val="0"/>
      </w:pPr>
      <w:r/>
      <w:bookmarkStart w:id="209" w:name="_Toc19688"/>
      <w:r>
        <w:rPr>
          <w:rFonts w:hint="eastAsia" w:ascii="宋体" w:hAnsi="宋体" w:eastAsia="宋体" w:cs="宋体"/>
          <w:bCs/>
          <w:color w:val="000000"/>
          <w:sz w:val="28"/>
          <w:szCs w:val="28"/>
          <w:highlight w:val="none"/>
        </w:rPr>
        <w:t xml:space="preserve">授权委托书</w:t>
      </w:r>
      <w:bookmarkEnd w:id="209"/>
      <w:r>
        <w:rPr>
          <w:rFonts w:hint="eastAsia" w:ascii="宋体" w:hAnsi="宋体" w:eastAsia="宋体" w:cs="宋体"/>
          <w:sz w:val="24"/>
          <w:highlight w:val="none"/>
          <w:shd w:val="clear" w:color="ffffff" w:fill="d9d9d9"/>
        </w:rPr>
      </w:r>
      <w:r/>
    </w:p>
    <w:p>
      <w:pPr>
        <w:pStyle w:val="1060"/>
        <w:ind w:firstLine="48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我公司（单位）针对</w:t>
      </w:r>
      <w:r>
        <w:rPr>
          <w:rFonts w:hint="eastAsia" w:ascii="宋体" w:hAnsi="宋体" w:cs="宋体"/>
          <w:bCs/>
          <w:sz w:val="24"/>
          <w:szCs w:val="24"/>
          <w:highlight w:val="none"/>
          <w:lang w:eastAsia="zh-CN"/>
        </w:rPr>
        <w:t xml:space="preserve">JSZC-320214-JNJS-G2026-0001</w:t>
      </w:r>
      <w:r>
        <w:rPr>
          <w:rFonts w:hint="eastAsia" w:ascii="宋体" w:hAnsi="宋体" w:eastAsia="宋体" w:cs="宋体"/>
          <w:bCs/>
          <w:sz w:val="24"/>
          <w:szCs w:val="24"/>
          <w:highlight w:val="none"/>
        </w:rPr>
        <w:t xml:space="preserve">项目，兹授权：</w:t>
      </w:r>
      <w:r>
        <w:rPr>
          <w:rFonts w:hint="eastAsia" w:ascii="宋体" w:hAnsi="宋体" w:eastAsia="宋体" w:cs="宋体"/>
          <w:sz w:val="24"/>
          <w:szCs w:val="24"/>
          <w:highlight w:val="none"/>
        </w:rPr>
      </w:r>
      <w:r/>
    </w:p>
    <w:p>
      <w:pPr>
        <w:pStyle w:val="1060"/>
        <w:ind w:firstLine="48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被授权人的姓名：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60"/>
        <w:ind w:firstLine="48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被授权人的身份证号码：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60"/>
        <w:ind w:firstLine="48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为我方合法代理人，以本单位名义全权处理</w:t>
      </w:r>
      <w:r>
        <w:rPr>
          <w:rFonts w:hint="eastAsia" w:ascii="宋体" w:hAnsi="宋体" w:eastAsia="宋体" w:cs="宋体"/>
          <w:bCs/>
          <w:color w:val="000000"/>
          <w:sz w:val="24"/>
          <w:szCs w:val="24"/>
          <w:highlight w:val="none"/>
        </w:rPr>
        <w:t xml:space="preserve">针对本次项目的投标、参与开标、评标、签约等具体工作，并签署全部有关的文件、协议及合同以及其他</w:t>
      </w:r>
      <w:r>
        <w:rPr>
          <w:rFonts w:hint="eastAsia" w:ascii="宋体" w:hAnsi="宋体" w:eastAsia="宋体" w:cs="宋体"/>
          <w:sz w:val="24"/>
          <w:szCs w:val="24"/>
          <w:highlight w:val="none"/>
        </w:rPr>
        <w:t xml:space="preserve">一切与该项目采购有关的事务。</w:t>
      </w:r>
      <w:r>
        <w:rPr>
          <w:rFonts w:hint="eastAsia" w:ascii="宋体" w:hAnsi="宋体" w:eastAsia="宋体" w:cs="宋体"/>
          <w:sz w:val="24"/>
          <w:szCs w:val="24"/>
          <w:highlight w:val="none"/>
        </w:rPr>
      </w:r>
      <w:r/>
    </w:p>
    <w:p>
      <w:pPr>
        <w:pStyle w:val="1060"/>
        <w:ind w:firstLine="480"/>
        <w:tabs>
          <w:tab w:val="left" w:pos="360" w:leader="none"/>
        </w:tabs>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 xml:space="preserve">本授权委托书自授权之日起生效，</w:t>
      </w:r>
      <w:r>
        <w:rPr>
          <w:rFonts w:hint="eastAsia" w:ascii="宋体" w:hAnsi="宋体" w:eastAsia="宋体" w:cs="宋体"/>
          <w:bCs/>
          <w:color w:val="000000"/>
          <w:sz w:val="24"/>
          <w:szCs w:val="24"/>
          <w:highlight w:val="none"/>
        </w:rPr>
        <w:t xml:space="preserve">在撤销授权的书面通知送达你处以前，本授权书一直有效，被授权人签署的所有文件（在</w:t>
      </w:r>
      <w:r>
        <w:rPr>
          <w:rFonts w:hint="eastAsia" w:ascii="宋体" w:hAnsi="宋体" w:eastAsia="宋体" w:cs="宋体"/>
          <w:sz w:val="24"/>
          <w:szCs w:val="24"/>
          <w:highlight w:val="none"/>
        </w:rPr>
        <w:t xml:space="preserve">授权委托</w:t>
      </w:r>
      <w:r>
        <w:rPr>
          <w:rFonts w:hint="eastAsia" w:ascii="宋体" w:hAnsi="宋体" w:eastAsia="宋体" w:cs="宋体"/>
          <w:bCs/>
          <w:color w:val="000000"/>
          <w:sz w:val="24"/>
          <w:szCs w:val="24"/>
          <w:highlight w:val="none"/>
        </w:rPr>
        <w:t xml:space="preserve">书有效期内签署的）不因授权的撤销而失效。</w:t>
      </w:r>
      <w:r>
        <w:rPr>
          <w:rFonts w:hint="eastAsia" w:ascii="宋体" w:hAnsi="宋体" w:eastAsia="宋体" w:cs="宋体"/>
          <w:bCs/>
          <w:color w:val="000000"/>
          <w:sz w:val="24"/>
          <w:szCs w:val="24"/>
          <w:highlight w:val="none"/>
        </w:rPr>
      </w:r>
      <w:r/>
    </w:p>
    <w:p>
      <w:pPr>
        <w:pStyle w:val="1060"/>
        <w:ind w:firstLine="48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特此授权委托。</w:t>
      </w:r>
      <w:r>
        <w:rPr>
          <w:rFonts w:hint="eastAsia" w:ascii="宋体" w:hAnsi="宋体" w:eastAsia="宋体" w:cs="宋体"/>
          <w:sz w:val="24"/>
          <w:szCs w:val="24"/>
          <w:highlight w:val="none"/>
        </w:rPr>
      </w:r>
      <w:r/>
    </w:p>
    <w:p>
      <w:pPr>
        <w:pStyle w:val="1060"/>
        <w:ind w:firstLine="0"/>
        <w:tabs>
          <w:tab w:val="left" w:pos="36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                     投标人名称</w:t>
      </w:r>
      <w:r>
        <w:rPr>
          <w:rFonts w:hint="eastAsia" w:ascii="宋体" w:hAnsi="宋体" w:eastAsia="宋体" w:cs="宋体"/>
          <w:bCs/>
          <w:color w:val="000000"/>
          <w:sz w:val="24"/>
          <w:szCs w:val="24"/>
          <w:highlight w:val="none"/>
        </w:rPr>
        <w:t xml:space="preserve">（盖章）</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r>
      <w:r/>
    </w:p>
    <w:p>
      <w:pPr>
        <w:pStyle w:val="1060"/>
        <w:ind w:firstLine="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被授权人签字：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1060"/>
        <w:ind w:firstLine="0"/>
        <w:tabs>
          <w:tab w:val="left" w:pos="360" w:leader="none"/>
        </w:tabs>
        <w:rPr>
          <w:rFonts w:hint="eastAsia" w:ascii="宋体" w:hAnsi="宋体" w:eastAsia="宋体" w:cs="宋体"/>
          <w:sz w:val="24"/>
          <w:szCs w:val="24"/>
          <w:highlight w:val="none"/>
        </w:rPr>
      </w:pPr>
      <w:r>
        <w:rPr>
          <w:rFonts w:hint="eastAsia" w:ascii="宋体" w:hAnsi="宋体" w:eastAsia="宋体" w:cs="宋体"/>
          <w:b/>
          <w:sz w:val="30"/>
          <w:highlight w:val="none"/>
          <w:lang w:eastAsia="zh-CN"/>
        </w:rPr>
        <w:t xml:space="preserve">（</w:t>
      </w:r>
      <w:r>
        <w:rPr>
          <w:rFonts w:hint="eastAsia" w:ascii="宋体" w:hAnsi="宋体" w:eastAsia="宋体" w:cs="宋体"/>
          <w:b/>
          <w:sz w:val="30"/>
          <w:highlight w:val="none"/>
        </w:rPr>
        <w:t xml:space="preserve">被授权人身份证原件扫描件附后</w:t>
      </w:r>
      <w:r>
        <w:rPr>
          <w:rFonts w:hint="eastAsia" w:ascii="宋体" w:hAnsi="宋体" w:eastAsia="宋体" w:cs="宋体"/>
          <w:b/>
          <w:sz w:val="30"/>
          <w:highlight w:val="none"/>
          <w:lang w:eastAsia="zh-CN"/>
        </w:rPr>
        <w:t xml:space="preserve">）</w:t>
      </w:r>
      <w:r>
        <w:rPr>
          <w:rFonts w:hint="eastAsia" w:ascii="宋体" w:hAnsi="宋体" w:eastAsia="宋体" w:cs="宋体"/>
          <w:sz w:val="24"/>
          <w:szCs w:val="24"/>
          <w:highlight w:val="none"/>
        </w:rPr>
      </w:r>
      <w:r/>
    </w:p>
    <w:p>
      <w:pPr>
        <w:pStyle w:val="1060"/>
        <w:ind w:firstLine="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rPr>
          <w:rFonts w:hint="eastAsia" w:ascii="宋体" w:hAnsi="宋体" w:eastAsia="宋体" w:cs="宋体"/>
          <w:sz w:val="24"/>
          <w:szCs w:val="24"/>
          <w:highlight w:val="none"/>
        </w:rPr>
      </w:r>
      <w:r/>
    </w:p>
    <w:p>
      <w:pPr>
        <w:pStyle w:val="1060"/>
        <w:numPr>
          <w:ilvl w:val="0"/>
          <w:numId w:val="12"/>
        </w:numPr>
        <w:ind w:firstLine="480"/>
        <w:tabs>
          <w:tab w:val="left" w:pos="36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若投标人为事业单位或其他组织或分支机构（仅限招标文件注明允许分支机构投标情形的），则法定代表人处的签字人可为单位负责人。</w:t>
      </w:r>
      <w:r>
        <w:rPr>
          <w:rFonts w:hint="eastAsia" w:ascii="宋体" w:hAnsi="宋体" w:eastAsia="宋体" w:cs="宋体"/>
          <w:color w:val="000000"/>
          <w:sz w:val="24"/>
          <w:szCs w:val="20"/>
          <w:highlight w:val="none"/>
        </w:rPr>
      </w:r>
      <w:r/>
    </w:p>
    <w:p>
      <w:pPr>
        <w:pStyle w:val="1060"/>
        <w:numPr>
          <w:ilvl w:val="0"/>
          <w:numId w:val="12"/>
        </w:numPr>
        <w:ind w:firstLine="480"/>
        <w:tabs>
          <w:tab w:val="left" w:pos="36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当被授权人为法定代表人（或上述情况的单位负责人）时，只需在法定代表人处签字即可。</w:t>
      </w:r>
      <w:r>
        <w:rPr>
          <w:rFonts w:hint="eastAsia" w:ascii="宋体" w:hAnsi="宋体" w:eastAsia="宋体" w:cs="宋体"/>
          <w:color w:val="000000"/>
          <w:sz w:val="24"/>
          <w:szCs w:val="20"/>
          <w:highlight w:val="none"/>
        </w:rPr>
      </w:r>
      <w:r/>
    </w:p>
    <w:p>
      <w:pPr>
        <w:pStyle w:val="1060"/>
        <w:numPr>
          <w:ilvl w:val="0"/>
          <w:numId w:val="12"/>
        </w:numPr>
        <w:ind w:firstLine="480"/>
        <w:tabs>
          <w:tab w:val="left" w:pos="36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供应商为自然人情形的，可不提供本《授权委托书》。</w:t>
      </w:r>
      <w:r>
        <w:rPr>
          <w:rFonts w:hint="eastAsia" w:ascii="宋体" w:hAnsi="宋体" w:eastAsia="宋体" w:cs="宋体"/>
          <w:color w:val="000000"/>
          <w:sz w:val="24"/>
          <w:szCs w:val="20"/>
          <w:highlight w:val="none"/>
        </w:rPr>
      </w:r>
      <w:r/>
    </w:p>
    <w:p>
      <w:pPr>
        <w:pStyle w:val="1060"/>
        <w:numPr>
          <w:ilvl w:val="0"/>
          <w:numId w:val="12"/>
        </w:numPr>
        <w:ind w:firstLine="480"/>
        <w:tabs>
          <w:tab w:val="left" w:pos="360" w:leader="none"/>
        </w:tabs>
        <w:rPr>
          <w:rFonts w:hint="eastAsia" w:ascii="宋体" w:hAnsi="宋体" w:eastAsia="宋体" w:cs="宋体"/>
          <w:color w:val="000000"/>
          <w:sz w:val="24"/>
          <w:szCs w:val="20"/>
          <w:highlight w:val="none"/>
        </w:rPr>
      </w:pPr>
      <w:r>
        <w:rPr>
          <w:rFonts w:hint="eastAsia" w:ascii="宋体" w:hAnsi="宋体" w:eastAsia="宋体" w:cs="宋体"/>
          <w:bCs/>
          <w:color w:val="000000"/>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可在中国大陆有效居留的许可证明。</w:t>
      </w:r>
      <w:r>
        <w:rPr>
          <w:rFonts w:hint="eastAsia" w:ascii="宋体" w:hAnsi="宋体" w:eastAsia="宋体" w:cs="宋体"/>
          <w:color w:val="000000"/>
          <w:sz w:val="24"/>
          <w:szCs w:val="20"/>
          <w:highlight w:val="none"/>
        </w:rPr>
      </w:r>
      <w:r/>
    </w:p>
    <w:p>
      <w:pPr>
        <w:pStyle w:val="1060"/>
        <w:ind w:firstLine="0"/>
        <w:tabs>
          <w:tab w:val="left" w:pos="360" w:leader="none"/>
        </w:tabs>
        <w:rPr>
          <w:rFonts w:hint="eastAsia" w:ascii="宋体" w:hAnsi="宋体" w:eastAsia="宋体" w:cs="宋体"/>
          <w:b/>
          <w:szCs w:val="28"/>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szCs w:val="28"/>
          <w:highlight w:val="none"/>
        </w:rPr>
        <w:t xml:space="preserve">三、资格声明函（给定格式）：</w:t>
      </w:r>
      <w:r>
        <w:rPr>
          <w:rFonts w:hint="eastAsia" w:ascii="宋体" w:hAnsi="宋体" w:eastAsia="宋体" w:cs="宋体"/>
          <w:b/>
          <w:szCs w:val="28"/>
          <w:highlight w:val="none"/>
        </w:rPr>
      </w:r>
      <w:r/>
    </w:p>
    <w:p>
      <w:pPr>
        <w:pStyle w:val="786"/>
        <w:jc w:val="center"/>
        <w:rPr>
          <w:rFonts w:hint="eastAsia" w:ascii="宋体" w:hAnsi="宋体" w:eastAsia="宋体" w:cs="宋体"/>
          <w:bCs/>
          <w:color w:val="000000"/>
          <w:sz w:val="28"/>
          <w:szCs w:val="28"/>
          <w:highlight w:val="none"/>
        </w:rPr>
        <w:outlineLvl w:val="0"/>
      </w:pPr>
      <w:r/>
      <w:bookmarkStart w:id="210" w:name="报价方关于资格的声明函（格式）"/>
      <w:r/>
      <w:bookmarkEnd w:id="210"/>
      <w:r/>
      <w:bookmarkStart w:id="211" w:name="_Toc20488"/>
      <w:r>
        <w:rPr>
          <w:rFonts w:hint="eastAsia" w:ascii="宋体" w:hAnsi="宋体" w:eastAsia="宋体" w:cs="宋体"/>
          <w:bCs/>
          <w:color w:val="000000"/>
          <w:sz w:val="28"/>
          <w:szCs w:val="28"/>
          <w:highlight w:val="none"/>
        </w:rPr>
        <w:t xml:space="preserve">资格声明函</w:t>
      </w:r>
      <w:bookmarkEnd w:id="211"/>
      <w:r>
        <w:rPr>
          <w:rFonts w:hint="eastAsia" w:ascii="宋体" w:hAnsi="宋体" w:eastAsia="宋体" w:cs="宋体"/>
          <w:bCs/>
          <w:color w:val="000000"/>
          <w:sz w:val="28"/>
          <w:szCs w:val="28"/>
          <w:highlight w:val="none"/>
        </w:rPr>
      </w:r>
      <w:r/>
    </w:p>
    <w:p>
      <w:pPr>
        <w:pStyle w:val="786"/>
        <w:jc w:val="cente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86"/>
        <w:spacing w:line="48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江苏金诺建设咨询有限公司</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86"/>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我公司（单位）针对本次项目</w:t>
      </w:r>
      <w:r>
        <w:rPr>
          <w:rFonts w:hint="eastAsia" w:ascii="宋体" w:hAnsi="宋体" w:cs="宋体"/>
          <w:bCs/>
          <w:color w:val="000000"/>
          <w:sz w:val="24"/>
          <w:szCs w:val="24"/>
          <w:highlight w:val="none"/>
          <w:lang w:eastAsia="zh-CN"/>
        </w:rPr>
        <w:t xml:space="preserve">JSZC-320214-JNJS-G2026-0001</w:t>
      </w:r>
      <w:r>
        <w:rPr>
          <w:rFonts w:hint="eastAsia" w:ascii="宋体" w:hAnsi="宋体" w:eastAsia="宋体" w:cs="宋体"/>
          <w:bCs/>
          <w:sz w:val="24"/>
          <w:szCs w:val="24"/>
          <w:highlight w:val="none"/>
        </w:rPr>
        <w:t xml:space="preserve">进行投标，</w:t>
      </w:r>
      <w:r>
        <w:rPr>
          <w:rFonts w:hint="eastAsia" w:ascii="宋体" w:hAnsi="宋体" w:cs="宋体"/>
          <w:bCs/>
          <w:sz w:val="24"/>
          <w:szCs w:val="24"/>
          <w:highlight w:val="none"/>
          <w:lang w:eastAsia="zh-CN"/>
        </w:rPr>
        <w:t xml:space="preserve">并作</w:t>
      </w:r>
      <w:r>
        <w:rPr>
          <w:rFonts w:hint="eastAsia" w:ascii="宋体" w:hAnsi="宋体" w:eastAsia="宋体" w:cs="宋体"/>
          <w:bCs/>
          <w:color w:val="000000"/>
          <w:sz w:val="24"/>
          <w:szCs w:val="24"/>
          <w:highlight w:val="none"/>
        </w:rPr>
        <w:t xml:space="preserve">如下声明</w:t>
      </w:r>
      <w:r>
        <w:rPr>
          <w:rFonts w:hint="eastAsia" w:ascii="宋体" w:hAnsi="宋体" w:eastAsia="宋体" w:cs="宋体"/>
          <w:bCs/>
          <w:color w:val="000000"/>
          <w:sz w:val="24"/>
          <w:szCs w:val="24"/>
          <w:highlight w:val="none"/>
        </w:rPr>
      </w:r>
      <w:r/>
    </w:p>
    <w:p>
      <w:pPr>
        <w:pStyle w:val="786"/>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rPr>
          <w:rFonts w:hint="eastAsia" w:ascii="宋体" w:hAnsi="宋体" w:eastAsia="宋体" w:cs="宋体"/>
          <w:bCs/>
          <w:color w:val="000000"/>
          <w:sz w:val="24"/>
          <w:szCs w:val="24"/>
          <w:highlight w:val="none"/>
        </w:rPr>
      </w:r>
      <w:r/>
    </w:p>
    <w:p>
      <w:pPr>
        <w:pStyle w:val="786"/>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2.本公司（单位）具备本次项目履行合同所必需的设备和专业技术能力。</w:t>
      </w:r>
      <w:r>
        <w:rPr>
          <w:rFonts w:hint="eastAsia" w:ascii="宋体" w:hAnsi="宋体" w:eastAsia="宋体" w:cs="宋体"/>
          <w:bCs/>
          <w:color w:val="000000"/>
          <w:sz w:val="24"/>
          <w:szCs w:val="24"/>
          <w:highlight w:val="none"/>
        </w:rPr>
      </w:r>
      <w:r/>
    </w:p>
    <w:p>
      <w:pPr>
        <w:pStyle w:val="786"/>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3.本公司（单位）无被“信用中国”网站（www.creditchina.gov.cn）、中国政府采购网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Cs/>
          <w:color w:val="000000"/>
          <w:sz w:val="24"/>
          <w:szCs w:val="24"/>
          <w:highlight w:val="none"/>
        </w:rPr>
      </w:r>
      <w:r/>
    </w:p>
    <w:p>
      <w:pPr>
        <w:pStyle w:val="786"/>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rPr>
          <w:rFonts w:hint="eastAsia" w:ascii="宋体" w:hAnsi="宋体" w:eastAsia="宋体" w:cs="宋体"/>
          <w:bCs/>
          <w:color w:val="000000"/>
          <w:sz w:val="24"/>
          <w:szCs w:val="24"/>
          <w:highlight w:val="none"/>
        </w:rPr>
      </w:r>
      <w:r/>
    </w:p>
    <w:p>
      <w:pPr>
        <w:pStyle w:val="786"/>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86"/>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rPr>
          <w:rFonts w:hint="eastAsia" w:ascii="宋体" w:hAnsi="宋体" w:eastAsia="宋体" w:cs="宋体"/>
          <w:bCs/>
          <w:color w:val="000000"/>
          <w:sz w:val="24"/>
          <w:szCs w:val="24"/>
          <w:highlight w:val="none"/>
        </w:rPr>
      </w:r>
      <w:r/>
    </w:p>
    <w:p>
      <w:pPr>
        <w:pStyle w:val="786"/>
        <w:spacing w:line="440" w:lineRule="exact"/>
        <w:rPr>
          <w:rFonts w:hint="eastAsia" w:ascii="宋体" w:hAnsi="宋体" w:eastAsia="宋体" w:cs="宋体"/>
          <w:bCs/>
          <w:color w:val="0000ff"/>
          <w:sz w:val="28"/>
          <w:szCs w:val="28"/>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sz w:val="28"/>
          <w:szCs w:val="28"/>
          <w:highlight w:val="none"/>
        </w:rPr>
        <w:t xml:space="preserve">四、中小企业声明函（给定格式）：</w:t>
      </w:r>
      <w:r>
        <w:rPr>
          <w:rFonts w:hint="eastAsia" w:ascii="宋体" w:hAnsi="宋体" w:eastAsia="宋体" w:cs="宋体"/>
          <w:bCs/>
          <w:color w:val="0000ff"/>
          <w:sz w:val="28"/>
          <w:szCs w:val="28"/>
          <w:highlight w:val="none"/>
        </w:rPr>
      </w:r>
      <w:r/>
    </w:p>
    <w:p>
      <w:pPr>
        <w:pStyle w:val="786"/>
        <w:ind w:firstLine="562"/>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中小企业声明函（货物）</w:t>
      </w:r>
      <w:r>
        <w:rPr>
          <w:rFonts w:hint="eastAsia" w:ascii="宋体" w:hAnsi="宋体" w:eastAsia="宋体" w:cs="宋体"/>
          <w:b/>
          <w:sz w:val="28"/>
          <w:szCs w:val="28"/>
          <w:highlight w:val="none"/>
        </w:rPr>
      </w:r>
      <w:r/>
    </w:p>
    <w:p>
      <w:pPr>
        <w:pStyle w:val="786"/>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bCs/>
          <w:sz w:val="24"/>
          <w:szCs w:val="24"/>
          <w:highlight w:val="none"/>
          <w:u w:val="single"/>
        </w:rPr>
        <w:t xml:space="preserve">（单位名称）</w:t>
      </w:r>
      <w:r>
        <w:rPr>
          <w:rFonts w:hint="eastAsia" w:ascii="宋体" w:hAnsi="宋体" w:eastAsia="宋体" w:cs="宋体"/>
          <w:bCs/>
          <w:sz w:val="24"/>
          <w:szCs w:val="24"/>
          <w:highlight w:val="none"/>
        </w:rPr>
        <w:t xml:space="preserve">的</w:t>
      </w:r>
      <w:r>
        <w:rPr>
          <w:rFonts w:hint="eastAsia" w:ascii="宋体" w:hAnsi="宋体" w:eastAsia="宋体" w:cs="宋体"/>
          <w:bCs/>
          <w:sz w:val="24"/>
          <w:szCs w:val="24"/>
          <w:highlight w:val="none"/>
          <w:u w:val="single"/>
        </w:rPr>
        <w:t xml:space="preserve">（项目名称）</w:t>
      </w:r>
      <w:r>
        <w:rPr>
          <w:rFonts w:hint="eastAsia" w:ascii="宋体" w:hAnsi="宋体" w:eastAsia="宋体" w:cs="宋体"/>
          <w:bCs/>
          <w:sz w:val="24"/>
          <w:szCs w:val="24"/>
          <w:highlight w:val="none"/>
        </w:rPr>
        <w:t xml:space="preserve">采购活动，提供的货物全部由符合政策要求的中小企业制造。相关企业 （含联合体中的中小企业、签订分包意向协议的中小企业）的具体情况如下：</w:t>
      </w:r>
      <w:r>
        <w:rPr>
          <w:rFonts w:hint="eastAsia" w:ascii="宋体" w:hAnsi="宋体" w:eastAsia="宋体" w:cs="宋体"/>
          <w:bCs/>
          <w:sz w:val="24"/>
          <w:szCs w:val="24"/>
          <w:highlight w:val="none"/>
        </w:rPr>
      </w:r>
      <w:r/>
    </w:p>
    <w:p>
      <w:pPr>
        <w:pStyle w:val="786"/>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 </w:t>
      </w:r>
      <w:r>
        <w:rPr>
          <w:rFonts w:hint="eastAsia" w:ascii="宋体" w:hAnsi="宋体" w:eastAsia="宋体" w:cs="宋体"/>
          <w:bCs/>
          <w:sz w:val="24"/>
          <w:szCs w:val="24"/>
          <w:highlight w:val="none"/>
          <w:u w:val="single"/>
        </w:rPr>
        <w:t xml:space="preserve">（标的名称） </w:t>
      </w:r>
      <w:r>
        <w:rPr>
          <w:rFonts w:hint="eastAsia" w:ascii="宋体" w:hAnsi="宋体" w:eastAsia="宋体" w:cs="宋体"/>
          <w:bCs/>
          <w:sz w:val="24"/>
          <w:szCs w:val="24"/>
          <w:highlight w:val="none"/>
        </w:rPr>
        <w:t xml:space="preserve">，属于</w:t>
      </w:r>
      <w:r>
        <w:rPr>
          <w:rFonts w:hint="eastAsia" w:ascii="宋体" w:hAnsi="宋体" w:eastAsia="宋体" w:cs="宋体"/>
          <w:bCs/>
          <w:sz w:val="24"/>
          <w:szCs w:val="24"/>
          <w:highlight w:val="none"/>
          <w:u w:val="single"/>
        </w:rPr>
        <w:t xml:space="preserve">（招标文件中明确的所属行业） 行业</w:t>
      </w:r>
      <w:r>
        <w:rPr>
          <w:rFonts w:hint="eastAsia" w:ascii="宋体" w:hAnsi="宋体" w:eastAsia="宋体" w:cs="宋体"/>
          <w:bCs/>
          <w:sz w:val="24"/>
          <w:szCs w:val="24"/>
          <w:highlight w:val="none"/>
        </w:rPr>
        <w:t xml:space="preserve">；制造商为</w:t>
      </w:r>
      <w:r>
        <w:rPr>
          <w:rFonts w:hint="eastAsia" w:ascii="宋体" w:hAnsi="宋体" w:eastAsia="宋体" w:cs="宋体"/>
          <w:bCs/>
          <w:sz w:val="24"/>
          <w:szCs w:val="24"/>
          <w:highlight w:val="none"/>
          <w:u w:val="single"/>
        </w:rPr>
        <w:t xml:space="preserve">（企业名称）</w:t>
      </w:r>
      <w:r>
        <w:rPr>
          <w:rFonts w:hint="eastAsia" w:ascii="宋体" w:hAnsi="宋体" w:eastAsia="宋体" w:cs="宋体"/>
          <w:bCs/>
          <w:sz w:val="24"/>
          <w:szCs w:val="24"/>
          <w:highlight w:val="none"/>
        </w:rPr>
        <w:t xml:space="preserve">，从业人员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万元，资产总额为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万元，属于</w:t>
      </w:r>
      <w:r>
        <w:rPr>
          <w:rFonts w:hint="eastAsia" w:ascii="宋体" w:hAnsi="宋体" w:eastAsia="宋体" w:cs="宋体"/>
          <w:bCs/>
          <w:sz w:val="24"/>
          <w:szCs w:val="24"/>
          <w:highlight w:val="none"/>
          <w:u w:val="single"/>
        </w:rPr>
        <w:t xml:space="preserve">（中型企业、小 型企业、微型企业）</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86"/>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u w:val="single"/>
        </w:rPr>
        <w:t xml:space="preserve"> （标的名称） </w:t>
      </w:r>
      <w:r>
        <w:rPr>
          <w:rFonts w:hint="eastAsia" w:ascii="宋体" w:hAnsi="宋体" w:eastAsia="宋体" w:cs="宋体"/>
          <w:bCs/>
          <w:sz w:val="24"/>
          <w:szCs w:val="24"/>
          <w:highlight w:val="none"/>
        </w:rPr>
        <w:t xml:space="preserve">，属于</w:t>
      </w:r>
      <w:r>
        <w:rPr>
          <w:rFonts w:hint="eastAsia" w:ascii="宋体" w:hAnsi="宋体" w:eastAsia="宋体" w:cs="宋体"/>
          <w:bCs/>
          <w:sz w:val="24"/>
          <w:szCs w:val="24"/>
          <w:highlight w:val="none"/>
          <w:u w:val="single"/>
        </w:rPr>
        <w:t xml:space="preserve">（招标文件中明确的所属行业） 行业</w:t>
      </w:r>
      <w:r>
        <w:rPr>
          <w:rFonts w:hint="eastAsia" w:ascii="宋体" w:hAnsi="宋体" w:eastAsia="宋体" w:cs="宋体"/>
          <w:bCs/>
          <w:sz w:val="24"/>
          <w:szCs w:val="24"/>
          <w:highlight w:val="none"/>
        </w:rPr>
        <w:t xml:space="preserve">；制造商为</w:t>
      </w:r>
      <w:r>
        <w:rPr>
          <w:rFonts w:hint="eastAsia" w:ascii="宋体" w:hAnsi="宋体" w:eastAsia="宋体" w:cs="宋体"/>
          <w:bCs/>
          <w:sz w:val="24"/>
          <w:szCs w:val="24"/>
          <w:highlight w:val="none"/>
          <w:u w:val="single"/>
        </w:rPr>
        <w:t xml:space="preserve">（企业名称）</w:t>
      </w:r>
      <w:r>
        <w:rPr>
          <w:rFonts w:hint="eastAsia" w:ascii="宋体" w:hAnsi="宋体" w:eastAsia="宋体" w:cs="宋体"/>
          <w:bCs/>
          <w:sz w:val="24"/>
          <w:szCs w:val="24"/>
          <w:highlight w:val="none"/>
        </w:rPr>
        <w:t xml:space="preserve">，从业人员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万元，资产总额为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万元，属于</w:t>
      </w:r>
      <w:r>
        <w:rPr>
          <w:rFonts w:hint="eastAsia" w:ascii="宋体" w:hAnsi="宋体" w:eastAsia="宋体" w:cs="宋体"/>
          <w:bCs/>
          <w:sz w:val="24"/>
          <w:szCs w:val="24"/>
          <w:highlight w:val="none"/>
          <w:u w:val="single"/>
        </w:rPr>
        <w:t xml:space="preserve">（中型企业、小 型企业、微型企业）</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86"/>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86"/>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hint="eastAsia" w:ascii="宋体" w:hAnsi="宋体" w:eastAsia="宋体" w:cs="宋体"/>
          <w:bCs/>
          <w:sz w:val="24"/>
          <w:szCs w:val="24"/>
          <w:highlight w:val="none"/>
        </w:rPr>
      </w:r>
      <w:r/>
    </w:p>
    <w:p>
      <w:pPr>
        <w:pStyle w:val="786"/>
        <w:ind w:firstLine="48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企业名称（盖章）：</w:t>
      </w:r>
      <w:r>
        <w:rPr>
          <w:rFonts w:hint="eastAsia" w:ascii="宋体" w:hAnsi="宋体" w:eastAsia="宋体" w:cs="宋体"/>
          <w:bCs/>
          <w:sz w:val="24"/>
          <w:szCs w:val="24"/>
          <w:highlight w:val="none"/>
        </w:rPr>
      </w:r>
      <w:r/>
    </w:p>
    <w:p>
      <w:pPr>
        <w:pStyle w:val="786"/>
        <w:ind w:firstLine="48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　　　　　　期：</w:t>
      </w:r>
      <w:r>
        <w:rPr>
          <w:rFonts w:hint="eastAsia" w:ascii="宋体" w:hAnsi="宋体" w:eastAsia="宋体" w:cs="宋体"/>
          <w:bCs/>
          <w:sz w:val="24"/>
          <w:szCs w:val="24"/>
          <w:highlight w:val="none"/>
        </w:rPr>
      </w:r>
      <w:r/>
    </w:p>
    <w:p>
      <w:pPr>
        <w:pStyle w:val="786"/>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786"/>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w:t>
      </w:r>
      <w:r>
        <w:rPr>
          <w:rFonts w:hint="eastAsia" w:ascii="宋体" w:hAnsi="宋体" w:eastAsia="宋体" w:cs="宋体"/>
          <w:highlight w:val="none"/>
          <w:lang w:eastAsia="zh-CN"/>
        </w:rPr>
        <w:t xml:space="preserve">只需</w:t>
      </w:r>
      <w:r>
        <w:rPr>
          <w:rFonts w:hint="eastAsia" w:ascii="宋体" w:hAnsi="宋体" w:eastAsia="宋体" w:cs="宋体"/>
          <w:highlight w:val="none"/>
        </w:rPr>
        <w:t xml:space="preserve">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rFonts w:hint="eastAsia" w:ascii="宋体" w:hAnsi="宋体" w:eastAsia="宋体" w:cs="宋体"/>
          <w:highlight w:val="none"/>
        </w:rPr>
      </w:r>
      <w:r/>
    </w:p>
    <w:p>
      <w:pPr>
        <w:pStyle w:val="786"/>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（2）从业人员、营业收入、资产总额填报上一年度数据，无上一年度数据的新成立企业可不填报。</w:t>
      </w:r>
      <w:r>
        <w:rPr>
          <w:rFonts w:hint="eastAsia" w:ascii="宋体" w:hAnsi="宋体" w:eastAsia="宋体" w:cs="宋体"/>
          <w:highlight w:val="none"/>
        </w:rPr>
      </w:r>
      <w:r/>
    </w:p>
    <w:p>
      <w:pPr>
        <w:pStyle w:val="786"/>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（3）在货物采购项目中，供应商提供的货物既有中小企业制造货物，也有大型企业制造</w:t>
      </w:r>
      <w:r>
        <w:rPr>
          <w:rFonts w:hint="eastAsia" w:ascii="宋体" w:hAnsi="宋体" w:eastAsia="宋体" w:cs="宋体"/>
          <w:highlight w:val="none"/>
          <w:lang w:eastAsia="zh-CN"/>
        </w:rPr>
        <w:t xml:space="preserve">货物</w:t>
      </w:r>
      <w:r>
        <w:rPr>
          <w:rFonts w:hint="eastAsia" w:ascii="宋体" w:hAnsi="宋体" w:eastAsia="宋体" w:cs="宋体"/>
          <w:highlight w:val="none"/>
        </w:rPr>
        <w:t xml:space="preserve">的，不享受本办法规定的中小企业扶持政策。</w:t>
      </w:r>
      <w:r>
        <w:rPr>
          <w:rFonts w:hint="eastAsia" w:ascii="宋体" w:hAnsi="宋体" w:eastAsia="宋体" w:cs="宋体"/>
          <w:highlight w:val="none"/>
        </w:rPr>
      </w:r>
      <w:r/>
    </w:p>
    <w:p>
      <w:pPr>
        <w:pStyle w:val="786"/>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（4）中标供应商的《中小企业声明函》将随中标公告进行公示。供应商按照本办法规定提供声明函内容不实的，属于提供虚假材料谋取中标、成交</w:t>
      </w:r>
      <w:r>
        <w:rPr>
          <w:rFonts w:hint="eastAsia" w:ascii="宋体" w:hAnsi="宋体" w:eastAsia="宋体" w:cs="宋体"/>
          <w:highlight w:val="none"/>
          <w:lang w:eastAsia="zh-CN"/>
        </w:rPr>
        <w:t xml:space="preserve">，可</w:t>
      </w:r>
      <w:r>
        <w:rPr>
          <w:rFonts w:hint="eastAsia" w:ascii="宋体" w:hAnsi="宋体" w:eastAsia="宋体" w:cs="宋体"/>
          <w:highlight w:val="none"/>
        </w:rPr>
        <w:t xml:space="preserve">依照《中华人民共和国政府采购法》等国家有关规定追究相应责任。</w:t>
      </w:r>
      <w:r>
        <w:rPr>
          <w:rFonts w:hint="eastAsia" w:ascii="宋体" w:hAnsi="宋体" w:eastAsia="宋体" w:cs="宋体"/>
          <w:highlight w:val="none"/>
        </w:rPr>
      </w:r>
      <w:r/>
    </w:p>
    <w:p>
      <w:pPr>
        <w:pStyle w:val="786"/>
        <w:spacing w:line="360" w:lineRule="auto"/>
        <w:rPr>
          <w:rFonts w:hint="eastAsia" w:ascii="宋体" w:hAnsi="宋体" w:eastAsia="宋体" w:cs="宋体"/>
          <w:b/>
          <w:sz w:val="30"/>
          <w:szCs w:val="30"/>
          <w:highlight w:val="none"/>
        </w:rPr>
      </w:pPr>
      <w:r>
        <w:rPr>
          <w:rFonts w:hint="eastAsia" w:ascii="宋体" w:hAnsi="宋体" w:eastAsia="宋体" w:cs="宋体"/>
          <w:color w:val="00b050"/>
          <w:highlight w:val="none"/>
        </w:rPr>
        <w:br w:type="page" w:clear="all"/>
      </w:r>
      <w:r>
        <w:rPr>
          <w:rFonts w:hint="eastAsia" w:ascii="宋体" w:hAnsi="宋体" w:eastAsia="宋体" w:cs="宋体"/>
          <w:b/>
          <w:sz w:val="30"/>
          <w:szCs w:val="30"/>
          <w:highlight w:val="none"/>
        </w:rPr>
        <w:t xml:space="preserve">五、残疾人福利性单位声明函（给定格式）：</w:t>
      </w:r>
      <w:r>
        <w:rPr>
          <w:rFonts w:hint="eastAsia" w:ascii="宋体" w:hAnsi="宋体" w:eastAsia="宋体" w:cs="宋体"/>
          <w:b/>
          <w:sz w:val="30"/>
          <w:szCs w:val="30"/>
          <w:highlight w:val="none"/>
        </w:rPr>
      </w:r>
      <w:r/>
    </w:p>
    <w:p>
      <w:pPr>
        <w:pStyle w:val="786"/>
        <w:ind w:firstLine="482"/>
        <w:spacing w:line="44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786"/>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残疾人福利性单位声明函</w:t>
      </w:r>
      <w:r>
        <w:rPr>
          <w:rFonts w:hint="eastAsia" w:ascii="宋体" w:hAnsi="宋体" w:eastAsia="宋体" w:cs="宋体"/>
          <w:bCs/>
          <w:color w:val="000000"/>
          <w:sz w:val="28"/>
          <w:szCs w:val="28"/>
          <w:highlight w:val="none"/>
        </w:rPr>
      </w:r>
      <w:r/>
    </w:p>
    <w:p>
      <w:pPr>
        <w:pStyle w:val="786"/>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86"/>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000000"/>
          <w:sz w:val="24"/>
          <w:szCs w:val="24"/>
          <w:highlight w:val="none"/>
          <w:lang w:eastAsia="zh-CN"/>
        </w:rPr>
        <w:t xml:space="preserve">〔2017〕141号</w:t>
      </w:r>
      <w:r>
        <w:rPr>
          <w:rFonts w:hint="eastAsia" w:ascii="宋体" w:hAnsi="宋体" w:eastAsia="宋体" w:cs="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bCs/>
          <w:color w:val="000000"/>
          <w:sz w:val="24"/>
          <w:szCs w:val="24"/>
          <w:highlight w:val="none"/>
        </w:rPr>
      </w:r>
      <w:r/>
    </w:p>
    <w:p>
      <w:pPr>
        <w:pStyle w:val="786"/>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rPr>
          <w:rFonts w:hint="eastAsia" w:ascii="宋体" w:hAnsi="宋体" w:eastAsia="宋体" w:cs="宋体"/>
          <w:bCs/>
          <w:color w:val="000000"/>
          <w:sz w:val="24"/>
          <w:szCs w:val="24"/>
          <w:highlight w:val="none"/>
        </w:rPr>
      </w:r>
      <w:r/>
    </w:p>
    <w:p>
      <w:pPr>
        <w:pStyle w:val="786"/>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86"/>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86"/>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rPr>
          <w:rFonts w:hint="eastAsia" w:ascii="宋体" w:hAnsi="宋体" w:eastAsia="宋体" w:cs="宋体"/>
          <w:bCs/>
          <w:color w:val="000000"/>
          <w:sz w:val="24"/>
          <w:szCs w:val="24"/>
          <w:highlight w:val="none"/>
        </w:rPr>
      </w:r>
      <w:r/>
    </w:p>
    <w:p>
      <w:pPr>
        <w:pStyle w:val="786"/>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rPr>
          <w:rFonts w:hint="eastAsia" w:ascii="宋体" w:hAnsi="宋体" w:eastAsia="宋体" w:cs="宋体"/>
          <w:bCs/>
          <w:color w:val="000000"/>
          <w:sz w:val="24"/>
          <w:szCs w:val="24"/>
          <w:highlight w:val="none"/>
        </w:rPr>
      </w:r>
      <w:r/>
    </w:p>
    <w:p>
      <w:pPr>
        <w:pStyle w:val="786"/>
        <w:jc w:val="left"/>
        <w:spacing w:line="360" w:lineRule="auto"/>
        <w:rPr>
          <w:rFonts w:eastAsia="宋体"/>
          <w:b/>
          <w:sz w:val="28"/>
          <w:szCs w:val="28"/>
          <w:highlight w:val="none"/>
          <w:lang w:val="en-US" w:eastAsia="zh-CN"/>
        </w:rPr>
      </w:pPr>
      <w:r>
        <w:rPr>
          <w:rFonts w:hint="eastAsia" w:ascii="宋体" w:hAnsi="宋体" w:eastAsia="宋体" w:cs="宋体"/>
          <w:bCs/>
          <w:color w:val="000000"/>
          <w:sz w:val="24"/>
          <w:szCs w:val="24"/>
          <w:highlight w:val="none"/>
        </w:rPr>
        <w:br w:type="page" w:clear="all"/>
      </w:r>
      <w:r>
        <w:rPr>
          <w:rFonts w:hint="eastAsia" w:ascii="Times New Roman" w:eastAsia="宋体"/>
          <w:b/>
          <w:color w:val="ff0000"/>
          <w:sz w:val="28"/>
          <w:szCs w:val="28"/>
          <w:highlight w:val="none"/>
          <w:lang w:val="en-US" w:eastAsia="zh-CN"/>
        </w:rPr>
        <w:t xml:space="preserve">六、</w:t>
      </w:r>
      <w:r>
        <w:rPr>
          <w:rFonts w:hint="eastAsia"/>
          <w:b/>
          <w:color w:val="ff0000"/>
          <w:sz w:val="28"/>
          <w:szCs w:val="28"/>
          <w:highlight w:val="none"/>
        </w:rPr>
        <w:t xml:space="preserve">关于符合本国产品标准的声明函</w:t>
      </w:r>
      <w:r>
        <w:rPr>
          <w:rFonts w:hint="eastAsia" w:ascii="宋体" w:hAnsi="宋体" w:cs="宋体"/>
          <w:b/>
          <w:color w:val="ff0000"/>
          <w:sz w:val="28"/>
          <w:szCs w:val="28"/>
          <w:highlight w:val="none"/>
        </w:rPr>
        <w:t xml:space="preserve">（给定格式）</w:t>
      </w:r>
      <w:r>
        <w:rPr>
          <w:rFonts w:hint="eastAsia" w:ascii="宋体" w:hAnsi="宋体" w:cs="宋体"/>
          <w:b/>
          <w:sz w:val="28"/>
          <w:szCs w:val="28"/>
          <w:highlight w:val="none"/>
        </w:rPr>
        <w:t xml:space="preserve">：</w:t>
      </w:r>
      <w:r>
        <w:rPr>
          <w:rFonts w:eastAsia="宋体"/>
          <w:b/>
          <w:sz w:val="28"/>
          <w:szCs w:val="28"/>
          <w:highlight w:val="none"/>
          <w:lang w:val="en-US" w:eastAsia="zh-CN"/>
        </w:rPr>
      </w:r>
      <w:r/>
    </w:p>
    <w:p>
      <w:pPr>
        <w:pStyle w:val="786"/>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36"/>
          <w:szCs w:val="36"/>
          <w:highlight w:val="none"/>
          <w:shd w:val="clear" w:color="auto" w:fill="ffffff"/>
          <w:lang w:val="en-US" w:eastAsia="zh-CN" w:bidi="ar-SA"/>
        </w:rPr>
        <w:t xml:space="preserve">关于符合本国产品标准的声明函</w:t>
      </w:r>
      <w:r>
        <w:rPr>
          <w:rFonts w:hint="eastAsia" w:ascii="宋体" w:hAnsi="宋体" w:eastAsia="宋体" w:cs="宋体"/>
          <w:i w:val="0"/>
          <w:iCs w:val="0"/>
          <w:caps w:val="0"/>
          <w:color w:val="333333"/>
          <w:spacing w:val="0"/>
          <w:sz w:val="24"/>
          <w:szCs w:val="24"/>
          <w:highlight w:val="none"/>
          <w:lang w:val="en-US" w:eastAsia="zh-CN" w:bidi="ar-SA"/>
        </w:rPr>
      </w:r>
      <w:r/>
    </w:p>
    <w:p>
      <w:pPr>
        <w:pStyle w:val="786"/>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333333"/>
          <w:spacing w:val="0"/>
          <w:sz w:val="24"/>
          <w:szCs w:val="24"/>
          <w:highlight w:val="none"/>
          <w:lang w:val="en-US" w:eastAsia="zh-CN" w:bidi="ar-SA"/>
        </w:rPr>
      </w:r>
      <w:r/>
    </w:p>
    <w:p>
      <w:pPr>
        <w:pStyle w:val="786"/>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3</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4</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5</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rPr>
          <w:rFonts w:hint="eastAsia" w:ascii="宋体" w:hAnsi="宋体" w:eastAsia="宋体" w:cs="宋体"/>
          <w:i w:val="0"/>
          <w:iCs w:val="0"/>
          <w:caps w:val="0"/>
          <w:color w:val="333333"/>
          <w:spacing w:val="0"/>
          <w:sz w:val="24"/>
          <w:szCs w:val="24"/>
          <w:highlight w:val="none"/>
          <w:lang w:val="en-US" w:eastAsia="zh-CN" w:bidi="ar-SA"/>
        </w:rPr>
      </w:r>
      <w:r/>
    </w:p>
    <w:p>
      <w:pPr>
        <w:pStyle w:val="786"/>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rPr>
          <w:rFonts w:hint="eastAsia" w:ascii="宋体" w:hAnsi="宋体" w:eastAsia="宋体" w:cs="宋体"/>
          <w:i w:val="0"/>
          <w:iCs w:val="0"/>
          <w:caps w:val="0"/>
          <w:color w:val="333333"/>
          <w:spacing w:val="0"/>
          <w:sz w:val="24"/>
          <w:szCs w:val="24"/>
          <w:highlight w:val="none"/>
          <w:lang w:val="en-US" w:eastAsia="zh-CN" w:bidi="ar-SA"/>
        </w:rPr>
      </w:r>
      <w:r/>
    </w:p>
    <w:p>
      <w:pPr>
        <w:pStyle w:val="786"/>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333333"/>
          <w:spacing w:val="0"/>
          <w:sz w:val="24"/>
          <w:szCs w:val="24"/>
          <w:highlight w:val="none"/>
          <w:lang w:val="en-US" w:eastAsia="zh-CN" w:bidi="ar-SA"/>
        </w:rPr>
      </w:r>
      <w:r/>
    </w:p>
    <w:p>
      <w:pPr>
        <w:pStyle w:val="786"/>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i w:val="0"/>
          <w:iCs w:val="0"/>
          <w:caps w:val="0"/>
          <w:color w:val="333333"/>
          <w:spacing w:val="0"/>
          <w:sz w:val="24"/>
          <w:szCs w:val="24"/>
          <w:highlight w:val="none"/>
          <w:lang w:val="en-US" w:eastAsia="zh-CN" w:bidi="ar-SA"/>
        </w:rPr>
      </w:r>
      <w:r/>
    </w:p>
    <w:p>
      <w:pPr>
        <w:pStyle w:val="786"/>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pStyle w:val="786"/>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公司（单位）名称（盖章）：      </w:t>
      </w:r>
      <w:r>
        <w:rPr>
          <w:rFonts w:hint="eastAsia" w:ascii="宋体" w:hAnsi="宋体" w:eastAsia="宋体" w:cs="宋体"/>
          <w:i w:val="0"/>
          <w:iCs w:val="0"/>
          <w:caps w:val="0"/>
          <w:color w:val="333333"/>
          <w:spacing w:val="0"/>
          <w:sz w:val="24"/>
          <w:szCs w:val="24"/>
          <w:highlight w:val="none"/>
          <w:lang w:val="en-US" w:eastAsia="zh-CN" w:bidi="ar-SA"/>
        </w:rPr>
      </w:r>
      <w:r/>
    </w:p>
    <w:p>
      <w:pPr>
        <w:pStyle w:val="786"/>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日期：　　　　　年　　月　日    </w:t>
      </w:r>
      <w:r>
        <w:rPr>
          <w:rFonts w:hint="eastAsia" w:ascii="宋体" w:hAnsi="宋体" w:eastAsia="宋体" w:cs="宋体"/>
          <w:i w:val="0"/>
          <w:iCs w:val="0"/>
          <w:caps w:val="0"/>
          <w:color w:val="333333"/>
          <w:spacing w:val="0"/>
          <w:sz w:val="24"/>
          <w:szCs w:val="24"/>
          <w:highlight w:val="none"/>
          <w:lang w:val="en-US" w:eastAsia="zh-CN" w:bidi="ar-SA"/>
        </w:rPr>
      </w:r>
      <w:r/>
    </w:p>
    <w:p>
      <w:pPr>
        <w:pStyle w:val="786"/>
        <w:ind w:left="0" w:right="0" w:firstLine="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_____________________________</w:t>
      </w:r>
      <w:r>
        <w:rPr>
          <w:rFonts w:hint="eastAsia" w:ascii="宋体" w:hAnsi="宋体" w:eastAsia="宋体" w:cs="宋体"/>
          <w:i w:val="0"/>
          <w:iCs w:val="0"/>
          <w:caps w:val="0"/>
          <w:color w:val="333333"/>
          <w:spacing w:val="0"/>
          <w:sz w:val="24"/>
          <w:szCs w:val="24"/>
          <w:highlight w:val="none"/>
          <w:lang w:val="en-US" w:eastAsia="zh-CN" w:bidi="ar-SA"/>
        </w:rPr>
      </w:r>
      <w:r/>
    </w:p>
    <w:p>
      <w:pPr>
        <w:pStyle w:val="786"/>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1.产品如有型号，请在“产品名称”栏一并填写。</w:t>
      </w:r>
      <w:r>
        <w:rPr>
          <w:rFonts w:hint="eastAsia" w:ascii="宋体" w:hAnsi="宋体" w:eastAsia="宋体" w:cs="宋体"/>
          <w:i w:val="0"/>
          <w:iCs w:val="0"/>
          <w:caps w:val="0"/>
          <w:color w:val="333333"/>
          <w:spacing w:val="0"/>
          <w:sz w:val="24"/>
          <w:szCs w:val="24"/>
          <w:highlight w:val="none"/>
          <w:lang w:val="en-US" w:eastAsia="zh-CN" w:bidi="ar-SA"/>
        </w:rPr>
      </w:r>
      <w:r/>
    </w:p>
    <w:p>
      <w:pPr>
        <w:pStyle w:val="786"/>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2.生产厂名与厂址应与生产厂营业执照载明的相关信息保持一致。</w:t>
      </w:r>
      <w:r>
        <w:rPr>
          <w:rFonts w:hint="eastAsia" w:ascii="宋体" w:hAnsi="宋体" w:eastAsia="宋体" w:cs="宋体"/>
          <w:i w:val="0"/>
          <w:iCs w:val="0"/>
          <w:caps w:val="0"/>
          <w:color w:val="333333"/>
          <w:spacing w:val="0"/>
          <w:sz w:val="24"/>
          <w:szCs w:val="24"/>
          <w:highlight w:val="none"/>
          <w:lang w:val="en-US" w:eastAsia="zh-CN" w:bidi="ar-SA"/>
        </w:rPr>
      </w:r>
      <w:r/>
    </w:p>
    <w:p>
      <w:pPr>
        <w:pStyle w:val="786"/>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i w:val="0"/>
          <w:iCs w:val="0"/>
          <w:caps w:val="0"/>
          <w:color w:val="333333"/>
          <w:spacing w:val="0"/>
          <w:sz w:val="24"/>
          <w:szCs w:val="24"/>
          <w:highlight w:val="none"/>
          <w:lang w:val="en-US" w:eastAsia="zh-CN" w:bidi="ar-SA"/>
        </w:rPr>
      </w:r>
      <w:r/>
    </w:p>
    <w:p>
      <w:pPr>
        <w:pStyle w:val="786"/>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4.该产品的关键组件要求实施前，“关键组件”栏可不填，下同。</w:t>
      </w:r>
      <w:r>
        <w:rPr>
          <w:rFonts w:hint="eastAsia" w:ascii="宋体" w:hAnsi="宋体" w:eastAsia="宋体" w:cs="宋体"/>
          <w:i w:val="0"/>
          <w:iCs w:val="0"/>
          <w:caps w:val="0"/>
          <w:color w:val="333333"/>
          <w:spacing w:val="0"/>
          <w:sz w:val="24"/>
          <w:szCs w:val="24"/>
          <w:highlight w:val="none"/>
          <w:lang w:val="en-US" w:eastAsia="zh-CN" w:bidi="ar-SA"/>
        </w:rPr>
      </w:r>
      <w:r/>
    </w:p>
    <w:p>
      <w:pPr>
        <w:pStyle w:val="786"/>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5.该产品的关键工序要求实施前，“关键工序”栏可不填，下同。</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pStyle w:val="786"/>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6.用</w:t>
      </w:r>
      <w:r>
        <w:rPr>
          <w:rFonts w:hint="eastAsia" w:ascii="宋体" w:hAnsi="宋体" w:cs="宋体"/>
          <w:i w:val="0"/>
          <w:iCs w:val="0"/>
          <w:caps w:val="0"/>
          <w:color w:val="333333"/>
          <w:spacing w:val="0"/>
          <w:sz w:val="24"/>
          <w:szCs w:val="24"/>
          <w:highlight w:val="none"/>
          <w:shd w:val="clear" w:color="auto" w:fill="ffffff"/>
          <w:lang w:val="en-US" w:eastAsia="zh-CN" w:bidi="ar-SA"/>
        </w:rPr>
        <w:t xml:space="preserve">横</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线划除的地方无需填写。</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pStyle w:val="786"/>
        <w:spacing w:line="360" w:lineRule="auto"/>
        <w:rPr>
          <w:rFonts w:hint="eastAsia"/>
          <w:b/>
          <w:sz w:val="28"/>
          <w:szCs w:val="28"/>
          <w:highlight w:val="none"/>
        </w:rPr>
      </w:pPr>
      <w:r>
        <w:rPr>
          <w:rFonts w:hint="eastAsia"/>
          <w:b/>
          <w:sz w:val="28"/>
          <w:szCs w:val="28"/>
          <w:highlight w:val="none"/>
        </w:rPr>
      </w:r>
      <w:r/>
    </w:p>
    <w:p>
      <w:pPr>
        <w:pStyle w:val="786"/>
        <w:spacing w:line="360" w:lineRule="auto"/>
        <w:rPr>
          <w:rFonts w:hint="eastAsia"/>
          <w:b/>
          <w:sz w:val="28"/>
          <w:szCs w:val="28"/>
          <w:highlight w:val="none"/>
        </w:rPr>
      </w:pPr>
      <w:r>
        <w:rPr>
          <w:rFonts w:hint="eastAsia"/>
          <w:b/>
          <w:sz w:val="28"/>
          <w:szCs w:val="28"/>
          <w:highlight w:val="none"/>
        </w:rPr>
      </w:r>
      <w:r/>
    </w:p>
    <w:p>
      <w:pPr>
        <w:pStyle w:val="786"/>
        <w:spacing w:line="360" w:lineRule="auto"/>
        <w:rPr>
          <w:rFonts w:hint="eastAsia" w:ascii="宋体" w:hAnsi="宋体" w:eastAsia="宋体" w:cs="宋体"/>
          <w:b/>
          <w:sz w:val="30"/>
          <w:szCs w:val="30"/>
          <w:highlight w:val="none"/>
        </w:rPr>
      </w:pPr>
      <w:r>
        <w:rPr>
          <w:rFonts w:hint="eastAsia" w:ascii="宋体" w:hAnsi="宋体" w:cs="宋体"/>
          <w:b/>
          <w:sz w:val="30"/>
          <w:szCs w:val="30"/>
          <w:highlight w:val="none"/>
          <w:lang w:val="en-US" w:eastAsia="zh-CN"/>
        </w:rPr>
        <w:t xml:space="preserve">七</w:t>
      </w:r>
      <w:r>
        <w:rPr>
          <w:rFonts w:hint="eastAsia" w:ascii="宋体" w:hAnsi="宋体" w:eastAsia="宋体" w:cs="宋体"/>
          <w:b/>
          <w:sz w:val="30"/>
          <w:szCs w:val="30"/>
          <w:highlight w:val="none"/>
        </w:rPr>
        <w:t xml:space="preserve">、投标函（给定格式）：</w:t>
      </w:r>
      <w:r>
        <w:rPr>
          <w:rFonts w:hint="eastAsia" w:ascii="宋体" w:hAnsi="宋体" w:eastAsia="宋体" w:cs="宋体"/>
          <w:b/>
          <w:sz w:val="30"/>
          <w:szCs w:val="30"/>
          <w:highlight w:val="none"/>
        </w:rPr>
      </w:r>
      <w:r/>
    </w:p>
    <w:p>
      <w:pPr>
        <w:pStyle w:val="786"/>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8"/>
          <w:szCs w:val="28"/>
          <w:highlight w:val="none"/>
        </w:rPr>
        <w:t xml:space="preserve">投标函</w:t>
      </w:r>
      <w:r>
        <w:rPr>
          <w:rFonts w:hint="eastAsia" w:ascii="宋体" w:hAnsi="宋体" w:eastAsia="宋体" w:cs="宋体"/>
          <w:bCs/>
          <w:color w:val="000000"/>
          <w:sz w:val="24"/>
          <w:szCs w:val="24"/>
          <w:highlight w:val="none"/>
        </w:rPr>
      </w:r>
      <w:r/>
    </w:p>
    <w:p>
      <w:pPr>
        <w:pStyle w:val="786"/>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t xml:space="preserve">江苏金诺建设咨询有限公司</w:t>
      </w:r>
      <w:r>
        <w:rPr>
          <w:rFonts w:hint="eastAsia" w:ascii="宋体" w:hAnsi="宋体" w:eastAsia="宋体" w:cs="宋体"/>
          <w:bCs/>
          <w:color w:val="000000"/>
          <w:sz w:val="24"/>
          <w:szCs w:val="24"/>
          <w:highlight w:val="none"/>
        </w:rPr>
      </w:r>
      <w:r/>
    </w:p>
    <w:p>
      <w:pPr>
        <w:pStyle w:val="786"/>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86"/>
        <w:numPr>
          <w:ilvl w:val="0"/>
          <w:numId w:val="13"/>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w:t>
      </w:r>
      <w:r>
        <w:rPr>
          <w:rFonts w:hint="eastAsia" w:ascii="宋体" w:hAnsi="宋体" w:cs="宋体"/>
          <w:bCs/>
          <w:color w:val="000000"/>
          <w:sz w:val="24"/>
          <w:szCs w:val="24"/>
          <w:highlight w:val="none"/>
          <w:lang w:eastAsia="zh-CN"/>
        </w:rPr>
        <w:t xml:space="preserve">JSZC-320214-JNJS-G2026-0001</w:t>
      </w:r>
      <w:r>
        <w:rPr>
          <w:rFonts w:hint="eastAsia" w:ascii="宋体" w:hAnsi="宋体" w:eastAsia="宋体" w:cs="宋体"/>
          <w:bCs/>
          <w:color w:val="000000"/>
          <w:sz w:val="24"/>
          <w:szCs w:val="24"/>
          <w:highlight w:val="none"/>
        </w:rPr>
        <w:t xml:space="preserve">招标文件，经仔细阅读和研究，我方决定参加此项目的投标。</w:t>
      </w:r>
      <w:r>
        <w:rPr>
          <w:rFonts w:hint="eastAsia" w:ascii="宋体" w:hAnsi="宋体" w:eastAsia="宋体" w:cs="宋体"/>
          <w:bCs/>
          <w:color w:val="000000"/>
          <w:sz w:val="24"/>
          <w:szCs w:val="24"/>
          <w:highlight w:val="none"/>
        </w:rPr>
      </w:r>
      <w:r/>
    </w:p>
    <w:p>
      <w:pPr>
        <w:pStyle w:val="786"/>
        <w:numPr>
          <w:ilvl w:val="0"/>
          <w:numId w:val="13"/>
        </w:numPr>
        <w:ind w:left="0" w:firstLine="525"/>
        <w:spacing w:line="400" w:lineRule="exact"/>
        <w:tabs>
          <w:tab w:val="left" w:pos="315" w:leader="none"/>
          <w:tab w:val="left" w:pos="552"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我方愿意按照招标文件的一切要求，提供本项目的投标，投标总价见《开标一览表》。</w:t>
      </w:r>
      <w:r>
        <w:rPr>
          <w:rFonts w:hint="eastAsia" w:ascii="宋体" w:hAnsi="宋体" w:eastAsia="宋体" w:cs="宋体"/>
          <w:bCs/>
          <w:color w:val="000000"/>
          <w:sz w:val="24"/>
          <w:szCs w:val="24"/>
          <w:highlight w:val="none"/>
        </w:rPr>
      </w:r>
      <w:r/>
    </w:p>
    <w:p>
      <w:pPr>
        <w:pStyle w:val="786"/>
        <w:numPr>
          <w:ilvl w:val="0"/>
          <w:numId w:val="13"/>
        </w:numPr>
        <w:ind w:left="0" w:firstLine="523"/>
        <w:spacing w:line="400" w:lineRule="exact"/>
        <w:tabs>
          <w:tab w:val="left" w:pos="0" w:leader="none"/>
          <w:tab w:val="left" w:pos="315" w:leader="none"/>
          <w:tab w:val="left" w:pos="525" w:leader="none"/>
          <w:tab w:val="left" w:pos="552" w:leader="none"/>
          <w:tab w:val="left" w:pos="840" w:leader="none"/>
          <w:tab w:val="left" w:pos="945" w:leader="none"/>
          <w:tab w:val="left" w:pos="1050" w:leader="none"/>
        </w:tabs>
        <w:rPr>
          <w:rStyle w:val="1046"/>
          <w:rFonts w:hint="eastAsia" w:ascii="宋体" w:hAnsi="宋体" w:eastAsia="宋体" w:cs="宋体"/>
          <w:bCs/>
          <w:color w:val="000000"/>
          <w:highlight w:val="none"/>
        </w:rPr>
      </w:pPr>
      <w:r>
        <w:rPr>
          <w:rFonts w:hint="eastAsia" w:ascii="宋体" w:hAnsi="宋体" w:eastAsia="宋体" w:cs="宋体"/>
          <w:bCs/>
          <w:color w:val="000000"/>
          <w:sz w:val="24"/>
          <w:szCs w:val="24"/>
          <w:highlight w:val="none"/>
        </w:rPr>
        <w:t xml:space="preserve">我方愿意提供</w:t>
      </w:r>
      <w:r>
        <w:rPr>
          <w:rFonts w:hint="eastAsia" w:ascii="宋体" w:hAnsi="宋体" w:cs="宋体"/>
          <w:bCs/>
          <w:color w:val="000000"/>
          <w:sz w:val="24"/>
          <w:szCs w:val="24"/>
          <w:highlight w:val="none"/>
          <w:lang w:eastAsia="zh-CN"/>
        </w:rPr>
        <w:t xml:space="preserve">江苏金诺建设咨询有限公司</w:t>
      </w:r>
      <w:r>
        <w:rPr>
          <w:rFonts w:hint="eastAsia" w:ascii="宋体" w:hAnsi="宋体" w:eastAsia="宋体" w:cs="宋体"/>
          <w:bCs/>
          <w:color w:val="000000"/>
          <w:sz w:val="24"/>
          <w:szCs w:val="24"/>
          <w:highlight w:val="none"/>
        </w:rPr>
        <w:t xml:space="preserve">在招标文件中要求的文件、资料。</w:t>
      </w:r>
      <w:r>
        <w:rPr>
          <w:rStyle w:val="1046"/>
          <w:rFonts w:hint="eastAsia" w:ascii="宋体" w:hAnsi="宋体" w:eastAsia="宋体" w:cs="宋体"/>
          <w:bCs/>
          <w:color w:val="000000"/>
          <w:highlight w:val="none"/>
        </w:rPr>
      </w:r>
      <w:r/>
    </w:p>
    <w:p>
      <w:pPr>
        <w:pStyle w:val="786"/>
        <w:numPr>
          <w:ilvl w:val="0"/>
          <w:numId w:val="13"/>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我方同意</w:t>
      </w:r>
      <w:r>
        <w:rPr>
          <w:rFonts w:hint="eastAsia" w:ascii="宋体" w:hAnsi="宋体" w:eastAsia="宋体" w:cs="宋体"/>
          <w:bCs/>
          <w:color w:val="000000"/>
          <w:sz w:val="24"/>
          <w:szCs w:val="24"/>
          <w:highlight w:val="none"/>
          <w:lang w:eastAsia="zh-CN"/>
        </w:rPr>
        <w:t xml:space="preserve">按照</w:t>
      </w:r>
      <w:r>
        <w:rPr>
          <w:rFonts w:hint="eastAsia" w:ascii="宋体" w:hAnsi="宋体" w:eastAsia="宋体" w:cs="宋体"/>
          <w:bCs/>
          <w:color w:val="000000"/>
          <w:sz w:val="24"/>
          <w:szCs w:val="24"/>
          <w:highlight w:val="none"/>
        </w:rPr>
        <w:t xml:space="preserve">招标文件中的规定，从规定的开标日期起遵循本投标文件，并在规定的投标有效期期满之前均具有约束力。</w:t>
      </w:r>
      <w:r>
        <w:rPr>
          <w:rFonts w:hint="eastAsia" w:ascii="宋体" w:hAnsi="宋体" w:eastAsia="宋体" w:cs="宋体"/>
          <w:bCs/>
          <w:color w:val="000000"/>
          <w:sz w:val="24"/>
          <w:szCs w:val="24"/>
          <w:highlight w:val="none"/>
        </w:rPr>
      </w:r>
      <w:r/>
    </w:p>
    <w:p>
      <w:pPr>
        <w:pStyle w:val="786"/>
        <w:numPr>
          <w:ilvl w:val="0"/>
          <w:numId w:val="13"/>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如果我方的投标文件被接受，我方将履行招标文件中规定的每一项要求，按期、按质、按量，完成交货任务。</w:t>
      </w:r>
      <w:r>
        <w:rPr>
          <w:rFonts w:hint="eastAsia" w:ascii="宋体" w:hAnsi="宋体" w:eastAsia="宋体" w:cs="宋体"/>
          <w:bCs/>
          <w:color w:val="000000"/>
          <w:sz w:val="24"/>
          <w:szCs w:val="24"/>
          <w:highlight w:val="none"/>
        </w:rPr>
      </w:r>
      <w:r/>
    </w:p>
    <w:p>
      <w:pPr>
        <w:pStyle w:val="786"/>
        <w:numPr>
          <w:ilvl w:val="0"/>
          <w:numId w:val="13"/>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我方完全同意招标文件规定的决定中标者的方式。</w:t>
      </w:r>
      <w:r>
        <w:rPr>
          <w:rFonts w:hint="eastAsia" w:ascii="宋体" w:hAnsi="宋体" w:eastAsia="宋体" w:cs="宋体"/>
          <w:bCs/>
          <w:color w:val="000000"/>
          <w:sz w:val="24"/>
          <w:szCs w:val="24"/>
          <w:highlight w:val="none"/>
        </w:rPr>
      </w:r>
      <w:r/>
    </w:p>
    <w:p>
      <w:pPr>
        <w:pStyle w:val="786"/>
        <w:numPr>
          <w:ilvl w:val="0"/>
          <w:numId w:val="13"/>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eastAsia="宋体" w:cs="宋体"/>
          <w:color w:val="000000"/>
          <w:sz w:val="24"/>
          <w:szCs w:val="24"/>
          <w:highlight w:val="none"/>
        </w:rPr>
        <w:t xml:space="preserve">和</w:t>
      </w:r>
      <w:r>
        <w:rPr>
          <w:rFonts w:hint="eastAsia" w:ascii="宋体" w:hAnsi="宋体" w:eastAsia="宋体" w:cs="宋体"/>
          <w:bCs/>
          <w:color w:val="000000"/>
          <w:sz w:val="24"/>
          <w:szCs w:val="24"/>
          <w:highlight w:val="none"/>
        </w:rPr>
        <w:t xml:space="preserve">合同条款履行自己的全部责任。</w:t>
      </w:r>
      <w:r>
        <w:rPr>
          <w:rFonts w:hint="eastAsia" w:ascii="宋体" w:hAnsi="宋体" w:eastAsia="宋体" w:cs="宋体"/>
          <w:bCs/>
          <w:color w:val="000000"/>
          <w:sz w:val="24"/>
          <w:szCs w:val="24"/>
          <w:highlight w:val="none"/>
        </w:rPr>
      </w:r>
      <w:r/>
    </w:p>
    <w:p>
      <w:pPr>
        <w:pStyle w:val="786"/>
        <w:numPr>
          <w:ilvl w:val="0"/>
          <w:numId w:val="13"/>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我方已详细审核全部招标文件及其有效补充文件，我们知道必须放弃提出含糊不清或误解问题的权利。</w:t>
      </w:r>
      <w:r>
        <w:rPr>
          <w:rFonts w:hint="eastAsia" w:ascii="宋体" w:hAnsi="宋体" w:eastAsia="宋体" w:cs="宋体"/>
          <w:bCs/>
          <w:color w:val="000000"/>
          <w:sz w:val="24"/>
          <w:szCs w:val="24"/>
          <w:highlight w:val="none"/>
        </w:rPr>
      </w:r>
      <w:r/>
    </w:p>
    <w:p>
      <w:pPr>
        <w:pStyle w:val="786"/>
        <w:numPr>
          <w:ilvl w:val="0"/>
          <w:numId w:val="13"/>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如我方在投标截止期后撤回投标及中标后拒绝遵守投标承诺或拒绝在规定的时间内与采购人签订合同，则接受政府采购监督管理部门的处理。</w:t>
      </w:r>
      <w:r>
        <w:rPr>
          <w:rFonts w:hint="eastAsia" w:ascii="宋体" w:hAnsi="宋体" w:eastAsia="宋体" w:cs="宋体"/>
          <w:bCs/>
          <w:sz w:val="24"/>
          <w:szCs w:val="24"/>
          <w:highlight w:val="none"/>
        </w:rPr>
      </w:r>
      <w:r/>
    </w:p>
    <w:p>
      <w:pPr>
        <w:pStyle w:val="786"/>
        <w:numPr>
          <w:ilvl w:val="0"/>
          <w:numId w:val="13"/>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如果我方被确定为中标供应商，我方愿意按采购人要求</w:t>
      </w:r>
      <w:r>
        <w:rPr>
          <w:rFonts w:hint="eastAsia" w:ascii="宋体" w:hAnsi="宋体" w:eastAsia="宋体" w:cs="宋体"/>
          <w:bCs/>
          <w:sz w:val="24"/>
          <w:szCs w:val="24"/>
          <w:highlight w:val="none"/>
          <w:lang w:eastAsia="zh-CN"/>
        </w:rPr>
        <w:t xml:space="preserve">缴纳</w:t>
      </w:r>
      <w:r>
        <w:rPr>
          <w:rFonts w:hint="eastAsia" w:ascii="宋体" w:hAnsi="宋体" w:eastAsia="宋体" w:cs="宋体"/>
          <w:bCs/>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rPr>
          <w:rFonts w:hint="eastAsia" w:ascii="宋体" w:hAnsi="宋体" w:eastAsia="宋体" w:cs="宋体"/>
          <w:bCs/>
          <w:sz w:val="24"/>
          <w:szCs w:val="24"/>
          <w:highlight w:val="none"/>
        </w:rPr>
      </w:r>
      <w:r/>
    </w:p>
    <w:p>
      <w:pPr>
        <w:pStyle w:val="786"/>
        <w:numPr>
          <w:ilvl w:val="0"/>
          <w:numId w:val="13"/>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我方决不提供虚假材料谋取中标、决不采取不正当手段诋毁、排挤其他供应商、决不与采购人、</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供应商或者</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恶意串通、决不向采购人、</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bCs/>
          <w:color w:val="000000"/>
          <w:sz w:val="24"/>
          <w:szCs w:val="24"/>
          <w:highlight w:val="none"/>
        </w:rPr>
      </w:r>
      <w:r/>
    </w:p>
    <w:p>
      <w:pPr>
        <w:pStyle w:val="786"/>
        <w:ind w:firstLine="72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86"/>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；传真：</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；邮编：</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r>
      <w:r/>
    </w:p>
    <w:p>
      <w:pPr>
        <w:pStyle w:val="786"/>
        <w:ind w:firstLine="480"/>
        <w:spacing w:line="400" w:lineRule="exact"/>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通讯地址：</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r>
      <w:r/>
    </w:p>
    <w:p>
      <w:pPr>
        <w:pStyle w:val="786"/>
        <w:ind w:firstLine="48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rPr>
          <w:rFonts w:hint="eastAsia" w:ascii="宋体" w:hAnsi="宋体" w:eastAsia="宋体" w:cs="宋体"/>
          <w:bCs/>
          <w:color w:val="000000"/>
          <w:sz w:val="24"/>
          <w:szCs w:val="24"/>
          <w:highlight w:val="none"/>
        </w:rPr>
      </w:r>
      <w:r/>
    </w:p>
    <w:p>
      <w:pPr>
        <w:pStyle w:val="786"/>
        <w:spacing w:line="360" w:lineRule="auto"/>
        <w:rPr>
          <w:rFonts w:hint="eastAsia" w:ascii="宋体" w:hAnsi="宋体" w:eastAsia="宋体" w:cs="宋体"/>
          <w:b/>
          <w:sz w:val="30"/>
          <w:szCs w:val="30"/>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sz w:val="30"/>
          <w:szCs w:val="30"/>
          <w:highlight w:val="none"/>
          <w:lang w:val="en-US" w:eastAsia="zh-CN"/>
        </w:rPr>
        <w:t xml:space="preserve">八</w:t>
      </w:r>
      <w:r>
        <w:rPr>
          <w:rFonts w:hint="eastAsia" w:ascii="宋体" w:hAnsi="宋体" w:eastAsia="宋体" w:cs="宋体"/>
          <w:b/>
          <w:sz w:val="30"/>
          <w:szCs w:val="30"/>
          <w:highlight w:val="none"/>
        </w:rPr>
        <w:t xml:space="preserve">、承诺书（给定格式）：</w:t>
      </w:r>
      <w:r>
        <w:rPr>
          <w:rFonts w:hint="eastAsia" w:ascii="宋体" w:hAnsi="宋体" w:eastAsia="宋体" w:cs="宋体"/>
          <w:b/>
          <w:sz w:val="30"/>
          <w:szCs w:val="30"/>
          <w:highlight w:val="none"/>
        </w:rPr>
      </w:r>
      <w:r/>
    </w:p>
    <w:p>
      <w:pPr>
        <w:pStyle w:val="786"/>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承诺书</w:t>
      </w:r>
      <w:r>
        <w:rPr>
          <w:rFonts w:hint="eastAsia" w:ascii="宋体" w:hAnsi="宋体" w:eastAsia="宋体" w:cs="宋体"/>
          <w:bCs/>
          <w:sz w:val="28"/>
          <w:szCs w:val="28"/>
          <w:highlight w:val="none"/>
        </w:rPr>
      </w:r>
      <w:r/>
    </w:p>
    <w:p>
      <w:pPr>
        <w:pStyle w:val="786"/>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highlight w:val="none"/>
        </w:rPr>
        <w:t xml:space="preserve">投标人</w:t>
      </w:r>
      <w:r>
        <w:rPr>
          <w:rFonts w:hint="eastAsia" w:ascii="宋体" w:hAnsi="宋体" w:eastAsia="宋体" w:cs="宋体"/>
          <w:sz w:val="24"/>
          <w:szCs w:val="24"/>
          <w:highlight w:val="none"/>
        </w:rPr>
        <w:t xml:space="preserve">名称）针对本项目</w:t>
      </w:r>
      <w:r>
        <w:rPr>
          <w:rFonts w:hint="eastAsia" w:ascii="宋体" w:hAnsi="宋体" w:cs="宋体"/>
          <w:bCs/>
          <w:color w:val="000000"/>
          <w:sz w:val="24"/>
          <w:szCs w:val="24"/>
          <w:highlight w:val="none"/>
          <w:lang w:eastAsia="zh-CN"/>
        </w:rPr>
        <w:t xml:space="preserve">JSZC-320214-JNJS-G2026-0001</w:t>
      </w:r>
      <w:r>
        <w:rPr>
          <w:rFonts w:hint="eastAsia" w:ascii="宋体" w:hAnsi="宋体" w:eastAsia="宋体" w:cs="宋体"/>
          <w:sz w:val="24"/>
          <w:szCs w:val="24"/>
          <w:highlight w:val="none"/>
        </w:rPr>
        <w:t xml:space="preserve">在此承诺：</w:t>
      </w:r>
      <w:r>
        <w:rPr>
          <w:rFonts w:hint="eastAsia" w:ascii="宋体" w:hAnsi="宋体" w:eastAsia="宋体" w:cs="宋体"/>
          <w:sz w:val="24"/>
          <w:szCs w:val="24"/>
          <w:highlight w:val="none"/>
        </w:rPr>
      </w:r>
      <w:r/>
    </w:p>
    <w:p>
      <w:pPr>
        <w:pStyle w:val="786"/>
        <w:ind w:firstLine="480"/>
        <w:spacing w:line="48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1.本公司（单位）</w:t>
      </w:r>
      <w:r>
        <w:rPr>
          <w:rFonts w:hint="eastAsia" w:ascii="宋体" w:hAnsi="宋体" w:eastAsia="宋体" w:cs="宋体"/>
          <w:bCs/>
          <w:sz w:val="24"/>
          <w:szCs w:val="24"/>
          <w:highlight w:val="none"/>
        </w:rPr>
        <w:t xml:space="preserve">对本项目所提供的货物均为原厂全新合格品，提供的服务符合招标文件要求。</w:t>
      </w:r>
      <w:r>
        <w:rPr>
          <w:rFonts w:hint="eastAsia" w:ascii="宋体" w:hAnsi="宋体" w:eastAsia="宋体" w:cs="宋体"/>
          <w:bCs/>
          <w:sz w:val="24"/>
          <w:szCs w:val="24"/>
          <w:highlight w:val="none"/>
        </w:rPr>
      </w:r>
      <w:r/>
    </w:p>
    <w:p>
      <w:pPr>
        <w:pStyle w:val="786"/>
        <w:ind w:firstLine="48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2.本项目中如有</w:t>
      </w:r>
      <w:r>
        <w:rPr>
          <w:rFonts w:hint="eastAsia" w:ascii="宋体" w:hAnsi="宋体" w:eastAsia="宋体" w:cs="宋体"/>
          <w:bCs/>
          <w:sz w:val="24"/>
          <w:szCs w:val="24"/>
          <w:highlight w:val="none"/>
          <w:lang w:eastAsia="zh-CN"/>
        </w:rPr>
        <w:t xml:space="preserve">涉及</w:t>
      </w:r>
      <w:r>
        <w:rPr>
          <w:rFonts w:hint="eastAsia" w:ascii="宋体" w:hAnsi="宋体" w:eastAsia="宋体" w:cs="宋体"/>
          <w:bCs/>
          <w:sz w:val="24"/>
          <w:szCs w:val="24"/>
          <w:highlight w:val="none"/>
        </w:rPr>
        <w:t xml:space="preserve">商品包装、快递包装要求的，本公司（单位）对于中标产品的包装将严格</w:t>
      </w:r>
      <w:r>
        <w:rPr>
          <w:rFonts w:hint="eastAsia" w:ascii="宋体" w:hAnsi="宋体" w:eastAsia="宋体" w:cs="宋体"/>
          <w:bCs/>
          <w:sz w:val="24"/>
          <w:szCs w:val="24"/>
          <w:highlight w:val="none"/>
          <w:lang w:eastAsia="zh-CN"/>
        </w:rPr>
        <w:t xml:space="preserve">按照</w:t>
      </w:r>
      <w:r>
        <w:rPr>
          <w:rFonts w:hint="eastAsia" w:ascii="宋体" w:hAnsi="宋体" w:eastAsia="宋体" w:cs="宋体"/>
          <w:bCs/>
          <w:sz w:val="24"/>
          <w:szCs w:val="24"/>
          <w:highlight w:val="none"/>
        </w:rPr>
        <w:t xml:space="preserve">《关于印发〈商品包装政府采购需求标准（试行）〉、〈快递包装政府采购需求标准（试行）〉的通知》（财办库〔2020〕123号）文件执行。</w:t>
      </w:r>
      <w:r>
        <w:rPr>
          <w:rFonts w:hint="eastAsia" w:ascii="宋体" w:hAnsi="宋体" w:eastAsia="宋体" w:cs="宋体"/>
          <w:bCs/>
          <w:sz w:val="24"/>
          <w:szCs w:val="24"/>
          <w:highlight w:val="none"/>
        </w:rPr>
      </w:r>
      <w:r/>
    </w:p>
    <w:p>
      <w:pPr>
        <w:pStyle w:val="786"/>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eastAsia="宋体" w:cs="宋体"/>
          <w:sz w:val="24"/>
          <w:szCs w:val="24"/>
          <w:highlight w:val="none"/>
        </w:rPr>
      </w:r>
      <w:r/>
    </w:p>
    <w:p>
      <w:pPr>
        <w:pStyle w:val="786"/>
        <w:ind w:firstLine="48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rPr>
          <w:rFonts w:hint="eastAsia" w:ascii="宋体" w:hAnsi="宋体" w:eastAsia="宋体" w:cs="宋体"/>
          <w:bCs/>
          <w:sz w:val="24"/>
          <w:szCs w:val="24"/>
          <w:highlight w:val="none"/>
        </w:rPr>
      </w:r>
      <w:r/>
    </w:p>
    <w:p>
      <w:pPr>
        <w:pStyle w:val="786"/>
        <w:ind w:firstLine="480"/>
        <w:spacing w:line="48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hAnsi="宋体" w:eastAsia="宋体" w:cs="宋体"/>
          <w:bCs/>
          <w:sz w:val="24"/>
          <w:szCs w:val="24"/>
          <w:highlight w:val="none"/>
        </w:rPr>
        <w:t xml:space="preserve">本公司（单位）将所投产品符合相关要求和标准。在满足</w:t>
      </w:r>
      <w:r>
        <w:rPr>
          <w:rFonts w:hint="eastAsia" w:ascii="宋体" w:hAnsi="宋体" w:eastAsia="宋体" w:cs="宋体"/>
          <w:sz w:val="24"/>
          <w:szCs w:val="24"/>
          <w:highlight w:val="none"/>
        </w:rPr>
        <w:t xml:space="preserve">《需求标准》的前提下，如招标文件中对七种软硬件有其他要求的，</w:t>
      </w:r>
      <w:r>
        <w:rPr>
          <w:rFonts w:hint="eastAsia" w:ascii="宋体" w:hAnsi="宋体" w:eastAsia="宋体" w:cs="宋体"/>
          <w:bCs/>
          <w:sz w:val="24"/>
          <w:szCs w:val="24"/>
          <w:highlight w:val="none"/>
        </w:rPr>
        <w:t xml:space="preserve">本公司（单位）所投产品将</w:t>
      </w:r>
      <w:r>
        <w:rPr>
          <w:rFonts w:hint="eastAsia" w:ascii="宋体" w:hAnsi="宋体" w:eastAsia="宋体" w:cs="宋体"/>
          <w:sz w:val="24"/>
          <w:szCs w:val="24"/>
          <w:highlight w:val="none"/>
        </w:rPr>
        <w:t xml:space="preserve">满足招标文件要求。如采购人在</w:t>
      </w:r>
      <w:r>
        <w:rPr>
          <w:rFonts w:hint="eastAsia" w:ascii="宋体" w:hAnsi="宋体" w:eastAsia="宋体" w:cs="宋体"/>
          <w:bCs/>
          <w:sz w:val="24"/>
          <w:szCs w:val="24"/>
          <w:highlight w:val="none"/>
        </w:rPr>
        <w:t xml:space="preserve">合同中约定，</w:t>
      </w:r>
      <w:r>
        <w:rPr>
          <w:rFonts w:hint="eastAsia" w:ascii="宋体" w:hAnsi="宋体" w:eastAsia="宋体" w:cs="宋体"/>
          <w:sz w:val="24"/>
          <w:szCs w:val="24"/>
          <w:highlight w:val="none"/>
        </w:rPr>
        <w:t xml:space="preserve">在</w:t>
      </w:r>
      <w:r>
        <w:rPr>
          <w:rFonts w:hint="eastAsia" w:ascii="宋体" w:hAnsi="宋体" w:eastAsia="宋体" w:cs="宋体"/>
          <w:bCs/>
          <w:sz w:val="24"/>
          <w:szCs w:val="24"/>
          <w:highlight w:val="none"/>
        </w:rPr>
        <w:t xml:space="preserve">履约验收管理时，对所提供的七种软硬件进行验收，且必要时将委托依法取得检测、认证资质的机构进行检测、认证的，本公司（单位）将予以配合。</w:t>
      </w:r>
      <w:r>
        <w:rPr>
          <w:rFonts w:hint="eastAsia" w:ascii="宋体" w:hAnsi="宋体" w:eastAsia="宋体" w:cs="宋体"/>
          <w:sz w:val="24"/>
          <w:szCs w:val="24"/>
          <w:highlight w:val="none"/>
        </w:rPr>
      </w:r>
      <w:r/>
    </w:p>
    <w:p>
      <w:pPr>
        <w:pStyle w:val="786"/>
        <w:ind w:firstLine="480"/>
        <w:spacing w:line="48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r>
      <w:r/>
    </w:p>
    <w:p>
      <w:pPr>
        <w:pStyle w:val="786"/>
        <w:ind w:firstLine="48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……（投标人如有其他承诺的可在此处添加）</w:t>
      </w:r>
      <w:r>
        <w:rPr>
          <w:rFonts w:hint="eastAsia" w:ascii="宋体" w:hAnsi="宋体" w:eastAsia="宋体" w:cs="宋体"/>
          <w:bCs/>
          <w:sz w:val="24"/>
          <w:szCs w:val="24"/>
          <w:highlight w:val="none"/>
        </w:rPr>
      </w:r>
      <w:r/>
    </w:p>
    <w:p>
      <w:pPr>
        <w:pStyle w:val="786"/>
        <w:ind w:firstLine="480"/>
        <w:spacing w:line="48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r>
      <w:r/>
    </w:p>
    <w:p>
      <w:pPr>
        <w:pStyle w:val="786"/>
        <w:ind w:firstLine="480"/>
        <w:spacing w:line="480" w:lineRule="auto"/>
        <w:rPr>
          <w:rFonts w:hint="eastAsia" w:ascii="宋体" w:hAnsi="宋体" w:eastAsia="宋体" w:cs="宋体"/>
          <w:sz w:val="24"/>
          <w:szCs w:val="20"/>
          <w:highlight w:val="none"/>
        </w:rPr>
      </w:pPr>
      <w:r>
        <w:rPr>
          <w:rFonts w:hint="eastAsia" w:ascii="宋体" w:hAnsi="宋体" w:eastAsia="宋体" w:cs="宋体"/>
          <w:bCs/>
          <w:sz w:val="24"/>
          <w:szCs w:val="24"/>
          <w:highlight w:val="none"/>
        </w:rPr>
        <w:t xml:space="preserve">如违背上述承诺，本公司</w:t>
      </w:r>
      <w:r>
        <w:rPr>
          <w:rFonts w:hint="eastAsia" w:ascii="宋体" w:hAnsi="宋体" w:eastAsia="宋体" w:cs="宋体"/>
          <w:sz w:val="24"/>
          <w:szCs w:val="24"/>
          <w:highlight w:val="none"/>
        </w:rPr>
        <w:t xml:space="preserve">（单位）</w:t>
      </w:r>
      <w:r>
        <w:rPr>
          <w:rFonts w:hint="eastAsia" w:ascii="宋体" w:hAnsi="宋体" w:eastAsia="宋体" w:cs="宋体"/>
          <w:bCs/>
          <w:sz w:val="24"/>
          <w:szCs w:val="24"/>
          <w:highlight w:val="none"/>
        </w:rPr>
        <w:t xml:space="preserve">将承担一切法律责任。</w:t>
      </w:r>
      <w:r>
        <w:rPr>
          <w:rFonts w:hint="eastAsia" w:ascii="宋体" w:hAnsi="宋体" w:eastAsia="宋体" w:cs="宋体"/>
          <w:sz w:val="24"/>
          <w:szCs w:val="20"/>
          <w:highlight w:val="none"/>
        </w:rPr>
      </w:r>
      <w:r/>
    </w:p>
    <w:p>
      <w:pPr>
        <w:pStyle w:val="786"/>
        <w:ind w:firstLine="540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786"/>
        <w:ind w:firstLine="3720"/>
        <w:spacing w:line="480" w:lineRule="auto"/>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投标人名称（盖章）：</w:t>
      </w:r>
      <w:r>
        <w:rPr>
          <w:rFonts w:hint="eastAsia" w:ascii="宋体" w:hAnsi="宋体" w:eastAsia="宋体" w:cs="宋体"/>
          <w:bCs/>
          <w:color w:val="000000"/>
          <w:sz w:val="24"/>
          <w:szCs w:val="24"/>
          <w:highlight w:val="none"/>
        </w:rPr>
      </w:r>
      <w:r/>
    </w:p>
    <w:p>
      <w:pPr>
        <w:pStyle w:val="786"/>
        <w:rPr>
          <w:rFonts w:hint="eastAsia" w:ascii="宋体" w:hAnsi="宋体" w:eastAsia="宋体" w:cs="宋体"/>
          <w:b/>
          <w:sz w:val="30"/>
          <w:szCs w:val="30"/>
          <w:highlight w:val="none"/>
        </w:rPr>
        <w:outlineLvl w:val="9"/>
      </w:pPr>
      <w:r>
        <w:rPr>
          <w:rFonts w:hint="eastAsia" w:ascii="宋体" w:hAnsi="宋体" w:eastAsia="宋体" w:cs="宋体"/>
          <w:bCs/>
          <w:color w:val="000000"/>
          <w:sz w:val="24"/>
          <w:szCs w:val="24"/>
          <w:highlight w:val="none"/>
        </w:rPr>
        <w:br w:type="page" w:clear="all"/>
      </w:r>
      <w:r>
        <w:rPr>
          <w:rFonts w:hint="eastAsia" w:ascii="宋体" w:hAnsi="宋体" w:eastAsia="宋体" w:cs="宋体"/>
          <w:b/>
          <w:sz w:val="30"/>
          <w:szCs w:val="30"/>
          <w:highlight w:val="none"/>
        </w:rPr>
      </w:r>
      <w:r/>
    </w:p>
    <w:p>
      <w:pPr>
        <w:pStyle w:val="786"/>
        <w:spacing w:line="360" w:lineRule="auto"/>
        <w:rPr>
          <w:rFonts w:hint="eastAsia" w:ascii="宋体" w:hAnsi="宋体" w:eastAsia="宋体" w:cs="宋体"/>
          <w:b/>
          <w:sz w:val="30"/>
          <w:szCs w:val="30"/>
          <w:highlight w:val="none"/>
        </w:rPr>
      </w:pPr>
      <w:r>
        <w:rPr>
          <w:rFonts w:hint="eastAsia" w:ascii="宋体" w:hAnsi="宋体" w:cs="宋体"/>
          <w:b/>
          <w:sz w:val="30"/>
          <w:szCs w:val="30"/>
          <w:highlight w:val="none"/>
          <w:lang w:val="en-US" w:eastAsia="zh-CN"/>
        </w:rPr>
        <w:t xml:space="preserve">九</w:t>
      </w:r>
      <w:r>
        <w:rPr>
          <w:rFonts w:hint="eastAsia" w:ascii="宋体" w:hAnsi="宋体" w:eastAsia="宋体" w:cs="宋体"/>
          <w:b/>
          <w:sz w:val="30"/>
          <w:szCs w:val="30"/>
          <w:highlight w:val="none"/>
        </w:rPr>
        <w:t xml:space="preserve">、开标一览表（给定格式）：</w:t>
      </w:r>
      <w:r>
        <w:rPr>
          <w:rFonts w:hint="eastAsia" w:ascii="宋体" w:hAnsi="宋体" w:eastAsia="宋体" w:cs="宋体"/>
          <w:b/>
          <w:sz w:val="30"/>
          <w:szCs w:val="30"/>
          <w:highlight w:val="none"/>
        </w:rPr>
      </w:r>
      <w:r/>
    </w:p>
    <w:p>
      <w:pPr>
        <w:pStyle w:val="786"/>
        <w:ind w:firstLine="482"/>
        <w:spacing w:line="44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786"/>
        <w:jc w:val="center"/>
        <w:rPr>
          <w:rFonts w:hint="eastAsia" w:ascii="宋体" w:hAnsi="宋体" w:eastAsia="宋体" w:cs="宋体"/>
          <w:bCs/>
          <w:color w:val="000000"/>
          <w:sz w:val="28"/>
          <w:szCs w:val="28"/>
          <w:highlight w:val="none"/>
        </w:rPr>
        <w:outlineLvl w:val="0"/>
      </w:pPr>
      <w:r/>
      <w:bookmarkStart w:id="212" w:name="_Toc20701"/>
      <w:r>
        <w:rPr>
          <w:rFonts w:hint="eastAsia" w:ascii="宋体" w:hAnsi="宋体" w:eastAsia="宋体" w:cs="宋体"/>
          <w:bCs/>
          <w:color w:val="000000"/>
          <w:sz w:val="28"/>
          <w:szCs w:val="28"/>
          <w:highlight w:val="none"/>
        </w:rPr>
        <w:t xml:space="preserve">开标一览表</w:t>
      </w:r>
      <w:bookmarkEnd w:id="212"/>
      <w:r>
        <w:rPr>
          <w:rFonts w:hint="eastAsia" w:ascii="宋体" w:hAnsi="宋体" w:eastAsia="宋体" w:cs="宋体"/>
          <w:bCs/>
          <w:color w:val="000000"/>
          <w:sz w:val="28"/>
          <w:szCs w:val="28"/>
          <w:highlight w:val="none"/>
        </w:rPr>
      </w:r>
      <w:r/>
    </w:p>
    <w:p>
      <w:pPr>
        <w:pStyle w:val="786"/>
        <w:jc w:val="center"/>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r>
      <w:r/>
    </w:p>
    <w:p>
      <w:pPr>
        <w:pStyle w:val="786"/>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 项目编号：</w:t>
      </w:r>
      <w:r>
        <w:rPr>
          <w:rFonts w:hint="eastAsia" w:ascii="宋体" w:hAnsi="宋体" w:cs="宋体"/>
          <w:bCs/>
          <w:color w:val="000000"/>
          <w:sz w:val="24"/>
          <w:szCs w:val="24"/>
          <w:highlight w:val="none"/>
          <w:lang w:eastAsia="zh-CN"/>
        </w:rPr>
        <w:t xml:space="preserve">JSZC-320214-JNJS-G2026-0001</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r>
      <w:r/>
    </w:p>
    <w:p>
      <w:pPr>
        <w:pStyle w:val="786"/>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单位：元</w:t>
      </w:r>
      <w:r>
        <w:rPr>
          <w:rFonts w:hint="eastAsia" w:ascii="宋体" w:hAnsi="宋体" w:eastAsia="宋体" w:cs="宋体"/>
          <w:bCs/>
          <w:color w:val="000000"/>
          <w:sz w:val="24"/>
          <w:szCs w:val="24"/>
          <w:highlight w:val="none"/>
          <w:lang w:val="en-US" w:eastAsia="zh-CN"/>
        </w:rPr>
      </w:r>
      <w:r/>
    </w:p>
    <w:tbl>
      <w:tblPr>
        <w:tblW w:w="8885"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786"/>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项目名称</w:t>
            </w:r>
            <w:r>
              <w:rPr>
                <w:rFonts w:hint="eastAsia" w:ascii="宋体" w:hAnsi="宋体" w:eastAsia="宋体" w:cs="宋体"/>
                <w:b/>
                <w:bCs/>
                <w:color w:val="000000"/>
                <w:sz w:val="24"/>
                <w:szCs w:val="24"/>
                <w:highlight w:val="none"/>
                <w:lang w:val="en-US" w:eastAsia="zh-CN" w:bidi="ar-SA"/>
              </w:rPr>
            </w:r>
            <w:r/>
          </w:p>
        </w:tc>
        <w:tc>
          <w:tcPr>
            <w:tcW w:w="3188" w:type="dxa"/>
            <w:vAlign w:val="center"/>
            <w:textDirection w:val="lrTb"/>
            <w:noWrap w:val="false"/>
          </w:tcPr>
          <w:p>
            <w:pPr>
              <w:pStyle w:val="786"/>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投标总报价（小写）</w:t>
            </w:r>
            <w:r>
              <w:rPr>
                <w:rFonts w:hint="eastAsia" w:ascii="宋体" w:hAnsi="宋体" w:eastAsia="宋体" w:cs="宋体"/>
                <w:b/>
                <w:bCs/>
                <w:color w:val="000000"/>
                <w:sz w:val="24"/>
                <w:szCs w:val="24"/>
                <w:highlight w:val="none"/>
                <w:lang w:val="en-US" w:eastAsia="zh-CN" w:bidi="ar-SA"/>
              </w:rPr>
            </w:r>
            <w:r/>
          </w:p>
        </w:tc>
      </w:tr>
      <w:tr>
        <w:trPr>
          <w:cantSplit/>
          <w:trHeight w:val="1630"/>
        </w:trPr>
        <w:tc>
          <w:tcPr>
            <w:tcW w:w="5697" w:type="dxa"/>
            <w:vAlign w:val="center"/>
            <w:textDirection w:val="lrTb"/>
            <w:noWrap w:val="false"/>
          </w:tcPr>
          <w:p>
            <w:pPr>
              <w:pStyle w:val="1088"/>
              <w:jc w:val="center"/>
              <w:spacing w:line="400" w:lineRule="exact"/>
              <w:widowControl w:val="off"/>
              <w:rPr>
                <w:rFonts w:hint="eastAsia" w:ascii="宋体" w:hAnsi="宋体" w:eastAsia="宋体" w:cs="宋体"/>
                <w:bCs/>
                <w:color w:val="000000"/>
                <w:sz w:val="24"/>
                <w:szCs w:val="24"/>
                <w:highlight w:val="none"/>
                <w:u w:val="none"/>
                <w:lang w:val="en-US" w:eastAsia="zh-CN" w:bidi="ar-SA"/>
              </w:rPr>
            </w:pPr>
            <w:r>
              <w:rPr>
                <w:rFonts w:hint="eastAsia" w:hAnsi="宋体" w:cs="宋体"/>
                <w:sz w:val="24"/>
                <w:szCs w:val="24"/>
                <w:highlight w:val="none"/>
                <w:u w:val="none"/>
                <w:shd w:val="clear" w:color="auto" w:fill="ffffff"/>
                <w:lang w:val="en-US" w:eastAsia="zh-CN" w:bidi="ar-SA"/>
              </w:rPr>
              <w:t xml:space="preserve">天一中学新吴分校新建工程厨房设备采购项目</w:t>
            </w:r>
            <w:r>
              <w:rPr>
                <w:rFonts w:hint="eastAsia" w:ascii="宋体" w:hAnsi="宋体" w:eastAsia="宋体" w:cs="宋体"/>
                <w:bCs/>
                <w:color w:val="000000"/>
                <w:sz w:val="24"/>
                <w:szCs w:val="24"/>
                <w:highlight w:val="none"/>
                <w:u w:val="none"/>
                <w:lang w:val="en-US" w:eastAsia="zh-CN" w:bidi="ar-SA"/>
              </w:rPr>
            </w:r>
            <w:r/>
          </w:p>
        </w:tc>
        <w:tc>
          <w:tcPr>
            <w:tcW w:w="3188" w:type="dxa"/>
            <w:vAlign w:val="center"/>
            <w:textDirection w:val="lrTb"/>
            <w:noWrap w:val="false"/>
          </w:tcPr>
          <w:p>
            <w:pPr>
              <w:pStyle w:val="1088"/>
              <w:jc w:val="both"/>
              <w:widowControl w:val="off"/>
              <w:rPr>
                <w:rFonts w:hint="eastAsia" w:ascii="宋体" w:hAnsi="宋体" w:eastAsia="宋体" w:cs="宋体"/>
                <w:b/>
                <w:color w:val="000000"/>
                <w:sz w:val="24"/>
                <w:szCs w:val="24"/>
                <w:highlight w:val="none"/>
                <w:u w:val="none"/>
                <w:lang w:val="en-US" w:eastAsia="zh-CN" w:bidi="ar-SA"/>
              </w:rPr>
            </w:pPr>
            <w:r>
              <w:rPr>
                <w:rFonts w:hint="eastAsia" w:ascii="宋体" w:hAnsi="宋体" w:eastAsia="宋体" w:cs="宋体"/>
                <w:b/>
                <w:color w:val="000000"/>
                <w:sz w:val="24"/>
                <w:szCs w:val="24"/>
                <w:highlight w:val="none"/>
                <w:u w:val="none"/>
                <w:lang w:val="en-US" w:eastAsia="zh-CN" w:bidi="ar-SA"/>
              </w:rPr>
            </w:r>
            <w:r/>
          </w:p>
        </w:tc>
      </w:tr>
      <w:tr>
        <w:trPr>
          <w:cantSplit/>
          <w:trHeight w:val="780"/>
        </w:trPr>
        <w:tc>
          <w:tcPr>
            <w:gridSpan w:val="2"/>
            <w:tcW w:w="8885" w:type="dxa"/>
            <w:vAlign w:val="center"/>
            <w:textDirection w:val="lrTb"/>
            <w:noWrap w:val="false"/>
          </w:tcPr>
          <w:p>
            <w:pPr>
              <w:pStyle w:val="786"/>
              <w:jc w:val="both"/>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1"/>
                <w:highlight w:val="none"/>
                <w:lang w:val="en-US" w:eastAsia="zh-CN" w:bidi="ar-SA"/>
              </w:rPr>
              <w:t xml:space="preserve">投标总报价（大写）</w:t>
            </w:r>
            <w:r>
              <w:rPr>
                <w:rFonts w:hint="eastAsia" w:ascii="宋体" w:hAnsi="宋体" w:eastAsia="宋体" w:cs="宋体"/>
                <w:bCs/>
                <w:color w:val="000000"/>
                <w:sz w:val="24"/>
                <w:szCs w:val="24"/>
                <w:highlight w:val="none"/>
                <w:lang w:val="en-US" w:eastAsia="zh-CN" w:bidi="ar-SA"/>
              </w:rPr>
              <w:t xml:space="preserve">：　　　</w:t>
            </w:r>
            <w:r>
              <w:rPr>
                <w:rFonts w:hint="eastAsia" w:ascii="宋体" w:hAnsi="宋体" w:eastAsia="宋体" w:cs="宋体"/>
                <w:bCs/>
                <w:color w:val="000000"/>
                <w:sz w:val="24"/>
                <w:szCs w:val="24"/>
                <w:highlight w:val="none"/>
                <w:lang w:val="en-US" w:eastAsia="zh-CN" w:bidi="ar-SA"/>
              </w:rPr>
            </w:r>
            <w:r/>
          </w:p>
        </w:tc>
      </w:tr>
    </w:tbl>
    <w:p>
      <w:pPr>
        <w:pStyle w:val="786"/>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rPr>
          <w:rFonts w:hint="eastAsia" w:ascii="宋体" w:hAnsi="宋体" w:eastAsia="宋体" w:cs="宋体"/>
          <w:bCs/>
          <w:color w:val="000000"/>
          <w:sz w:val="24"/>
          <w:szCs w:val="24"/>
          <w:highlight w:val="none"/>
        </w:rPr>
      </w:r>
      <w:r/>
    </w:p>
    <w:p>
      <w:pPr>
        <w:pStyle w:val="786"/>
        <w:spacing w:line="360" w:lineRule="auto"/>
        <w:rPr>
          <w:rFonts w:hint="eastAsia" w:ascii="宋体" w:hAnsi="宋体" w:eastAsia="宋体" w:cs="宋体"/>
          <w:bCs/>
          <w:color w:val="000000"/>
          <w:highlight w:val="none"/>
        </w:rPr>
      </w:pPr>
      <w:r>
        <w:rPr>
          <w:rFonts w:hint="eastAsia" w:ascii="宋体" w:hAnsi="宋体" w:eastAsia="宋体" w:cs="宋体"/>
          <w:bCs/>
          <w:color w:val="000000"/>
          <w:sz w:val="24"/>
          <w:szCs w:val="24"/>
          <w:highlight w:val="none"/>
        </w:rPr>
        <w:br w:type="page" w:clear="all"/>
      </w:r>
      <w:r>
        <w:rPr>
          <w:rFonts w:hint="eastAsia" w:ascii="宋体" w:hAnsi="宋体" w:cs="宋体"/>
          <w:b/>
          <w:sz w:val="30"/>
          <w:szCs w:val="30"/>
          <w:highlight w:val="none"/>
          <w:lang w:val="en-US" w:eastAsia="zh-CN"/>
        </w:rPr>
        <w:t xml:space="preserve">十</w:t>
      </w:r>
      <w:r>
        <w:rPr>
          <w:rFonts w:hint="eastAsia" w:ascii="宋体" w:hAnsi="宋体" w:eastAsia="宋体" w:cs="宋体"/>
          <w:b/>
          <w:sz w:val="30"/>
          <w:szCs w:val="30"/>
          <w:highlight w:val="none"/>
        </w:rPr>
        <w:t xml:space="preserve">、分项报价表（给定格式）：</w:t>
      </w:r>
      <w:r>
        <w:rPr>
          <w:rFonts w:hint="eastAsia" w:ascii="宋体" w:hAnsi="宋体" w:eastAsia="宋体" w:cs="宋体"/>
          <w:bCs/>
          <w:color w:val="000000"/>
          <w:highlight w:val="none"/>
        </w:rPr>
      </w:r>
      <w:r/>
    </w:p>
    <w:p>
      <w:pPr>
        <w:pStyle w:val="786"/>
        <w:jc w:val="center"/>
        <w:spacing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分项报价表</w:t>
      </w:r>
      <w:r>
        <w:rPr>
          <w:rFonts w:hint="eastAsia" w:ascii="宋体" w:hAnsi="宋体" w:eastAsia="宋体" w:cs="宋体"/>
          <w:bCs/>
          <w:sz w:val="28"/>
          <w:szCs w:val="28"/>
          <w:highlight w:val="none"/>
        </w:rPr>
      </w:r>
      <w:r/>
    </w:p>
    <w:p>
      <w:pPr>
        <w:pStyle w:val="786"/>
        <w:jc w:val="left"/>
        <w:spacing w:line="360" w:lineRule="auto"/>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cs="宋体"/>
          <w:sz w:val="24"/>
          <w:szCs w:val="24"/>
          <w:highlight w:val="none"/>
          <w:shd w:val="clear" w:color="auto" w:fill="ffffff"/>
          <w:lang w:eastAsia="zh-CN"/>
        </w:rPr>
        <w:t xml:space="preserve">JSZC-320214-JNJS-G2026-0001</w:t>
      </w:r>
      <w:r>
        <w:rPr>
          <w:rFonts w:hint="eastAsia" w:ascii="宋体" w:hAnsi="宋体" w:eastAsia="宋体" w:cs="宋体"/>
          <w:sz w:val="24"/>
          <w:szCs w:val="24"/>
          <w:highlight w:val="none"/>
        </w:rPr>
      </w: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95"/>
        </w:trPr>
        <w:tc>
          <w:tcPr>
            <w:tcMar>
              <w:left w:w="15" w:type="dxa"/>
              <w:top w:w="15" w:type="dxa"/>
              <w:right w:w="15" w:type="dxa"/>
              <w:bottom w:w="0" w:type="dxa"/>
            </w:tcMar>
            <w:tcW w:w="420" w:type="dxa"/>
            <w:vAlign w:val="center"/>
            <w:textDirection w:val="lrTb"/>
            <w:noWrap/>
          </w:tcPr>
          <w:p>
            <w:pPr>
              <w:pStyle w:val="786"/>
              <w:jc w:val="center"/>
              <w:spacing w:before="5"/>
              <w:rPr>
                <w:sz w:val="18"/>
                <w:highlight w:val="none"/>
              </w:rPr>
            </w:pPr>
            <w:r>
              <w:rPr>
                <w:rFonts w:hint="eastAsia"/>
                <w:sz w:val="18"/>
                <w:highlight w:val="none"/>
              </w:rPr>
              <w:t xml:space="preserve">序号</w:t>
            </w:r>
            <w:r>
              <w:rPr>
                <w:sz w:val="18"/>
                <w:highlight w:val="none"/>
              </w:rPr>
            </w:r>
            <w:r/>
          </w:p>
        </w:tc>
        <w:tc>
          <w:tcPr>
            <w:tcMar>
              <w:left w:w="15" w:type="dxa"/>
              <w:top w:w="15" w:type="dxa"/>
              <w:right w:w="15" w:type="dxa"/>
              <w:bottom w:w="0" w:type="dxa"/>
            </w:tcMar>
            <w:tcW w:w="1050" w:type="dxa"/>
            <w:vAlign w:val="center"/>
            <w:textDirection w:val="lrTb"/>
            <w:noWrap/>
          </w:tcPr>
          <w:p>
            <w:pPr>
              <w:pStyle w:val="786"/>
              <w:jc w:val="center"/>
              <w:spacing w:before="5"/>
              <w:rPr>
                <w:sz w:val="18"/>
                <w:highlight w:val="none"/>
              </w:rPr>
            </w:pPr>
            <w:r>
              <w:rPr>
                <w:rFonts w:hint="eastAsia"/>
                <w:sz w:val="18"/>
                <w:highlight w:val="none"/>
              </w:rPr>
              <w:t xml:space="preserve">名称</w:t>
            </w:r>
            <w:r>
              <w:rPr>
                <w:sz w:val="18"/>
                <w:highlight w:val="none"/>
              </w:rPr>
            </w:r>
            <w:r/>
          </w:p>
        </w:tc>
        <w:tc>
          <w:tcPr>
            <w:tcMar>
              <w:left w:w="15" w:type="dxa"/>
              <w:top w:w="15" w:type="dxa"/>
              <w:right w:w="15" w:type="dxa"/>
              <w:bottom w:w="0" w:type="dxa"/>
            </w:tcMar>
            <w:tcW w:w="945" w:type="dxa"/>
            <w:vAlign w:val="center"/>
            <w:textDirection w:val="lrTb"/>
            <w:noWrap/>
          </w:tcPr>
          <w:p>
            <w:pPr>
              <w:pStyle w:val="786"/>
              <w:jc w:val="center"/>
              <w:spacing w:before="5"/>
              <w:rPr>
                <w:sz w:val="18"/>
                <w:highlight w:val="none"/>
              </w:rPr>
            </w:pPr>
            <w:r>
              <w:rPr>
                <w:rFonts w:hint="eastAsia"/>
                <w:sz w:val="18"/>
                <w:highlight w:val="none"/>
              </w:rPr>
              <w:t xml:space="preserve">品牌型号</w:t>
            </w:r>
            <w:r>
              <w:rPr>
                <w:sz w:val="18"/>
                <w:highlight w:val="none"/>
              </w:rPr>
            </w:r>
            <w:r/>
          </w:p>
        </w:tc>
        <w:tc>
          <w:tcPr>
            <w:tcMar>
              <w:left w:w="15" w:type="dxa"/>
              <w:top w:w="15" w:type="dxa"/>
              <w:right w:w="15" w:type="dxa"/>
              <w:bottom w:w="0" w:type="dxa"/>
            </w:tcMar>
            <w:tcW w:w="3045" w:type="dxa"/>
            <w:vAlign w:val="center"/>
            <w:textDirection w:val="lrTb"/>
            <w:noWrap/>
          </w:tcPr>
          <w:p>
            <w:pPr>
              <w:pStyle w:val="786"/>
              <w:jc w:val="center"/>
              <w:spacing w:before="5"/>
              <w:rPr>
                <w:sz w:val="18"/>
                <w:highlight w:val="none"/>
              </w:rPr>
            </w:pPr>
            <w:r>
              <w:rPr>
                <w:rFonts w:hint="eastAsia"/>
                <w:sz w:val="18"/>
                <w:highlight w:val="none"/>
              </w:rPr>
              <w:t xml:space="preserve">性能指标</w:t>
            </w:r>
            <w:r>
              <w:rPr>
                <w:sz w:val="18"/>
                <w:highlight w:val="none"/>
              </w:rPr>
            </w:r>
            <w:r/>
          </w:p>
        </w:tc>
        <w:tc>
          <w:tcPr>
            <w:tcMar>
              <w:left w:w="15" w:type="dxa"/>
              <w:top w:w="15" w:type="dxa"/>
              <w:right w:w="15" w:type="dxa"/>
              <w:bottom w:w="0" w:type="dxa"/>
            </w:tcMar>
            <w:tcW w:w="599" w:type="dxa"/>
            <w:vAlign w:val="center"/>
            <w:textDirection w:val="lrTb"/>
            <w:noWrap w:val="false"/>
          </w:tcPr>
          <w:p>
            <w:pPr>
              <w:pStyle w:val="786"/>
              <w:jc w:val="center"/>
              <w:spacing w:before="5"/>
              <w:rPr>
                <w:sz w:val="18"/>
                <w:highlight w:val="none"/>
              </w:rPr>
            </w:pPr>
            <w:r>
              <w:rPr>
                <w:rFonts w:hint="eastAsia"/>
                <w:sz w:val="18"/>
                <w:highlight w:val="none"/>
              </w:rPr>
              <w:t xml:space="preserve">数量</w:t>
            </w:r>
            <w:r>
              <w:rPr>
                <w:sz w:val="18"/>
                <w:highlight w:val="none"/>
              </w:rPr>
            </w:r>
            <w:r/>
          </w:p>
        </w:tc>
        <w:tc>
          <w:tcPr>
            <w:tcW w:w="1276" w:type="dxa"/>
            <w:vAlign w:val="center"/>
            <w:textDirection w:val="lrTb"/>
            <w:noWrap w:val="false"/>
          </w:tcPr>
          <w:p>
            <w:pPr>
              <w:pStyle w:val="786"/>
              <w:jc w:val="center"/>
              <w:spacing w:before="5"/>
              <w:rPr>
                <w:sz w:val="18"/>
                <w:highlight w:val="none"/>
              </w:rPr>
            </w:pPr>
            <w:r>
              <w:rPr>
                <w:rFonts w:hint="eastAsia"/>
                <w:sz w:val="18"/>
                <w:highlight w:val="none"/>
              </w:rPr>
              <w:t xml:space="preserve">产地</w:t>
            </w:r>
            <w:r>
              <w:rPr>
                <w:sz w:val="18"/>
                <w:highlight w:val="none"/>
              </w:rPr>
            </w:r>
            <w:r/>
          </w:p>
        </w:tc>
        <w:tc>
          <w:tcPr>
            <w:tcMar>
              <w:left w:w="15" w:type="dxa"/>
              <w:top w:w="15" w:type="dxa"/>
              <w:right w:w="15" w:type="dxa"/>
              <w:bottom w:w="0" w:type="dxa"/>
            </w:tcMar>
            <w:tcW w:w="992" w:type="dxa"/>
            <w:vAlign w:val="center"/>
            <w:textDirection w:val="lrTb"/>
            <w:noWrap/>
          </w:tcPr>
          <w:p>
            <w:pPr>
              <w:pStyle w:val="786"/>
              <w:jc w:val="center"/>
              <w:spacing w:before="5"/>
              <w:rPr>
                <w:sz w:val="18"/>
                <w:highlight w:val="none"/>
              </w:rPr>
            </w:pPr>
            <w:r>
              <w:rPr>
                <w:rFonts w:hint="eastAsia"/>
                <w:sz w:val="18"/>
                <w:highlight w:val="none"/>
              </w:rPr>
              <w:t xml:space="preserve">质保期</w:t>
            </w:r>
            <w:r>
              <w:rPr>
                <w:sz w:val="18"/>
                <w:highlight w:val="none"/>
              </w:rPr>
            </w:r>
            <w:r/>
          </w:p>
        </w:tc>
        <w:tc>
          <w:tcPr>
            <w:tcW w:w="709" w:type="dxa"/>
            <w:vAlign w:val="center"/>
            <w:textDirection w:val="lrTb"/>
            <w:noWrap w:val="false"/>
          </w:tcPr>
          <w:p>
            <w:pPr>
              <w:pStyle w:val="786"/>
              <w:jc w:val="center"/>
              <w:spacing w:before="5"/>
              <w:rPr>
                <w:sz w:val="18"/>
                <w:highlight w:val="none"/>
              </w:rPr>
            </w:pPr>
            <w:r>
              <w:rPr>
                <w:rFonts w:hint="eastAsia"/>
                <w:sz w:val="18"/>
                <w:highlight w:val="none"/>
              </w:rPr>
              <w:t xml:space="preserve">单报价</w:t>
            </w:r>
            <w:r>
              <w:rPr>
                <w:sz w:val="18"/>
                <w:highlight w:val="none"/>
              </w:rPr>
            </w:r>
            <w:r/>
          </w:p>
        </w:tc>
        <w:tc>
          <w:tcPr>
            <w:tcW w:w="939" w:type="dxa"/>
            <w:vAlign w:val="center"/>
            <w:textDirection w:val="lrTb"/>
            <w:noWrap w:val="false"/>
          </w:tcPr>
          <w:p>
            <w:pPr>
              <w:pStyle w:val="786"/>
              <w:jc w:val="center"/>
              <w:spacing w:before="5"/>
              <w:rPr>
                <w:sz w:val="18"/>
                <w:highlight w:val="none"/>
              </w:rPr>
            </w:pPr>
            <w:r>
              <w:rPr>
                <w:rFonts w:hint="eastAsia"/>
                <w:sz w:val="18"/>
                <w:highlight w:val="none"/>
              </w:rPr>
              <w:t xml:space="preserve">分项总报价</w:t>
            </w:r>
            <w:r>
              <w:rPr>
                <w:sz w:val="18"/>
                <w:highlight w:val="none"/>
              </w:rPr>
            </w:r>
            <w:r/>
          </w:p>
        </w:tc>
      </w:tr>
      <w:tr>
        <w:trPr>
          <w:cantSplit/>
          <w:trHeight w:val="717"/>
        </w:trPr>
        <w:tc>
          <w:tcPr>
            <w:tcMar>
              <w:left w:w="15" w:type="dxa"/>
              <w:top w:w="15" w:type="dxa"/>
              <w:right w:w="15" w:type="dxa"/>
              <w:bottom w:w="0" w:type="dxa"/>
            </w:tcMar>
            <w:tcW w:w="420" w:type="dxa"/>
            <w:vAlign w:val="center"/>
            <w:textDirection w:val="lrTb"/>
            <w:noWrap/>
          </w:tcPr>
          <w:p>
            <w:pPr>
              <w:pStyle w:val="786"/>
              <w:jc w:val="center"/>
              <w:spacing w:before="5"/>
              <w:widowControl w:val="off"/>
              <w:rPr>
                <w:rFonts w:ascii="宋体" w:hAnsi="Times New Roman" w:eastAsia="宋体" w:cs="Times New Roman"/>
                <w:color w:val="000000"/>
                <w:sz w:val="18"/>
                <w:szCs w:val="18"/>
                <w:highlight w:val="none"/>
                <w:lang w:val="en-US" w:eastAsia="zh-CN" w:bidi="ar-SA"/>
              </w:rPr>
              <w:pBdr>
                <w:bottom w:val="none" w:color="000000" w:sz="0" w:space="0"/>
              </w:pBdr>
            </w:pPr>
            <w:r>
              <w:rPr>
                <w:rFonts w:hint="eastAsia" w:ascii="宋体" w:hAnsi="Times New Roman" w:eastAsia="宋体" w:cs="Times New Roman"/>
                <w:color w:val="000000"/>
                <w:sz w:val="18"/>
                <w:szCs w:val="18"/>
                <w:highlight w:val="none"/>
                <w:lang w:val="en-US" w:eastAsia="zh-CN" w:bidi="ar-SA"/>
              </w:rPr>
              <w:t xml:space="preserve">1</w:t>
            </w:r>
            <w:r>
              <w:rPr>
                <w:rFonts w:ascii="宋体" w:hAnsi="Times New Roman" w:eastAsia="宋体" w:cs="Times New Roman"/>
                <w:color w:val="000000"/>
                <w:sz w:val="18"/>
                <w:szCs w:val="18"/>
                <w:highlight w:val="none"/>
                <w:lang w:val="en-US" w:eastAsia="zh-CN" w:bidi="ar-SA"/>
              </w:rPr>
            </w:r>
            <w:r/>
          </w:p>
        </w:tc>
        <w:tc>
          <w:tcPr>
            <w:tcMar>
              <w:left w:w="15" w:type="dxa"/>
              <w:top w:w="15" w:type="dxa"/>
              <w:right w:w="15" w:type="dxa"/>
              <w:bottom w:w="0" w:type="dxa"/>
            </w:tcMar>
            <w:tcW w:w="1050" w:type="dxa"/>
            <w:vAlign w:val="center"/>
            <w:textDirection w:val="lrTb"/>
            <w:noWrap/>
          </w:tcPr>
          <w:p>
            <w:pPr>
              <w:pStyle w:val="786"/>
              <w:jc w:val="center"/>
              <w:widowControl w:val="off"/>
              <w:rPr>
                <w:rFonts w:ascii="宋体" w:hAnsi="Times New Roman" w:eastAsia="宋体" w:cs="Times New Roman"/>
                <w:bCs/>
                <w:color w:val="000000"/>
                <w:sz w:val="18"/>
                <w:szCs w:val="18"/>
                <w:highlight w:val="none"/>
                <w:lang w:val="en-US" w:eastAsia="zh-CN" w:bidi="ar-SA"/>
              </w:rPr>
              <w:pBdr>
                <w:bottom w:val="none" w:color="000000" w:sz="0" w:space="0"/>
              </w:pBdr>
            </w:pPr>
            <w:r>
              <w:rPr>
                <w:rFonts w:ascii="宋体" w:hAnsi="Times New Roman" w:eastAsia="宋体" w:cs="Times New Roman"/>
                <w:bCs/>
                <w:color w:val="000000"/>
                <w:sz w:val="18"/>
                <w:szCs w:val="18"/>
                <w:highlight w:val="none"/>
                <w:lang w:val="en-US" w:eastAsia="zh-CN" w:bidi="ar-SA"/>
              </w:rPr>
            </w:r>
            <w:r/>
          </w:p>
        </w:tc>
        <w:tc>
          <w:tcPr>
            <w:tcMar>
              <w:left w:w="15" w:type="dxa"/>
              <w:top w:w="15" w:type="dxa"/>
              <w:right w:w="15" w:type="dxa"/>
              <w:bottom w:w="0" w:type="dxa"/>
            </w:tcMar>
            <w:tcW w:w="945" w:type="dxa"/>
            <w:vAlign w:val="center"/>
            <w:textDirection w:val="lrTb"/>
            <w:noWrap w:val="false"/>
          </w:tcPr>
          <w:p>
            <w:pPr>
              <w:pStyle w:val="786"/>
              <w:jc w:val="center"/>
              <w:widowControl w:val="off"/>
              <w:rPr>
                <w:rFonts w:ascii="宋体" w:hAnsi="Times New Roman" w:eastAsia="宋体" w:cs="Times New Roman"/>
                <w:bCs/>
                <w:color w:val="000000"/>
                <w:sz w:val="18"/>
                <w:szCs w:val="18"/>
                <w:highlight w:val="none"/>
                <w:lang w:val="en-US" w:eastAsia="zh-CN" w:bidi="ar-SA"/>
              </w:rPr>
              <w:pBdr>
                <w:bottom w:val="none" w:color="000000" w:sz="0" w:space="0"/>
              </w:pBdr>
            </w:pPr>
            <w:r>
              <w:rPr>
                <w:rFonts w:ascii="宋体" w:hAnsi="Times New Roman" w:eastAsia="宋体" w:cs="Times New Roman"/>
                <w:bCs/>
                <w:color w:val="000000"/>
                <w:sz w:val="18"/>
                <w:szCs w:val="18"/>
                <w:highlight w:val="none"/>
                <w:lang w:val="en-US" w:eastAsia="zh-CN" w:bidi="ar-SA"/>
              </w:rPr>
            </w:r>
            <w:r/>
          </w:p>
        </w:tc>
        <w:tc>
          <w:tcPr>
            <w:tcMar>
              <w:left w:w="15" w:type="dxa"/>
              <w:top w:w="15" w:type="dxa"/>
              <w:right w:w="15" w:type="dxa"/>
              <w:bottom w:w="0" w:type="dxa"/>
            </w:tcMar>
            <w:tcW w:w="3045" w:type="dxa"/>
            <w:vAlign w:val="top"/>
            <w:textDirection w:val="lrTb"/>
            <w:noWrap w:val="false"/>
          </w:tcPr>
          <w:p>
            <w:pPr>
              <w:pStyle w:val="786"/>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pStyle w:val="786"/>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1276" w:type="dxa"/>
            <w:vAlign w:val="center"/>
            <w:textDirection w:val="lrTb"/>
            <w:noWrap w:val="false"/>
          </w:tcPr>
          <w:p>
            <w:pPr>
              <w:pStyle w:val="786"/>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pStyle w:val="786"/>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709" w:type="dxa"/>
            <w:vAlign w:val="center"/>
            <w:textDirection w:val="lrTb"/>
            <w:noWrap w:val="false"/>
          </w:tcPr>
          <w:p>
            <w:pPr>
              <w:pStyle w:val="786"/>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pStyle w:val="786"/>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trHeight w:val="898"/>
        </w:trPr>
        <w:tc>
          <w:tcPr>
            <w:tcMar>
              <w:left w:w="15" w:type="dxa"/>
              <w:top w:w="15" w:type="dxa"/>
              <w:right w:w="15" w:type="dxa"/>
              <w:bottom w:w="0" w:type="dxa"/>
            </w:tcMar>
            <w:tcW w:w="420" w:type="dxa"/>
            <w:vAlign w:val="center"/>
            <w:textDirection w:val="lrTb"/>
            <w:noWrap/>
          </w:tcPr>
          <w:p>
            <w:pPr>
              <w:pStyle w:val="786"/>
              <w:jc w:val="center"/>
              <w:rPr>
                <w:rFonts w:ascii="宋体"/>
                <w:color w:val="000000"/>
                <w:sz w:val="18"/>
                <w:highlight w:val="none"/>
              </w:rPr>
            </w:pPr>
            <w:r>
              <w:rPr>
                <w:rFonts w:hint="eastAsia" w:ascii="宋体"/>
                <w:color w:val="000000"/>
                <w:sz w:val="18"/>
                <w:highlight w:val="none"/>
              </w:rPr>
              <w:t xml:space="preserve">2</w:t>
            </w:r>
            <w:r>
              <w:rPr>
                <w:rFonts w:ascii="宋体"/>
                <w:color w:val="000000"/>
                <w:sz w:val="18"/>
                <w:highlight w:val="none"/>
              </w:rPr>
            </w:r>
            <w:r/>
          </w:p>
        </w:tc>
        <w:tc>
          <w:tcPr>
            <w:tcMar>
              <w:left w:w="15" w:type="dxa"/>
              <w:top w:w="15" w:type="dxa"/>
              <w:right w:w="15" w:type="dxa"/>
              <w:bottom w:w="0" w:type="dxa"/>
            </w:tcMar>
            <w:tcW w:w="1050" w:type="dxa"/>
            <w:vAlign w:val="center"/>
            <w:textDirection w:val="lrTb"/>
            <w:noWrap/>
          </w:tcPr>
          <w:p>
            <w:pPr>
              <w:pStyle w:val="786"/>
              <w:jc w:val="center"/>
              <w:rPr>
                <w:rFonts w:ascii="宋体"/>
                <w:color w:val="000000"/>
                <w:highlight w:val="none"/>
              </w:rPr>
            </w:pPr>
            <w:r>
              <w:rPr>
                <w:rFonts w:ascii="宋体"/>
                <w:color w:val="000000"/>
                <w:highlight w:val="none"/>
              </w:rPr>
            </w:r>
            <w:r/>
          </w:p>
        </w:tc>
        <w:tc>
          <w:tcPr>
            <w:tcMar>
              <w:left w:w="15" w:type="dxa"/>
              <w:top w:w="15" w:type="dxa"/>
              <w:right w:w="15" w:type="dxa"/>
              <w:bottom w:w="0" w:type="dxa"/>
            </w:tcMar>
            <w:tcW w:w="945" w:type="dxa"/>
            <w:vAlign w:val="center"/>
            <w:textDirection w:val="lrTb"/>
            <w:noWrap w:val="false"/>
          </w:tcPr>
          <w:p>
            <w:pPr>
              <w:pStyle w:val="786"/>
              <w:jc w:val="center"/>
              <w:widowControl w:val="off"/>
              <w:rPr>
                <w:rFonts w:ascii="宋体" w:hAnsi="Times New Roman" w:eastAsia="宋体" w:cs="Times New Roman"/>
                <w:bCs/>
                <w:color w:val="000000"/>
                <w:sz w:val="18"/>
                <w:szCs w:val="18"/>
                <w:highlight w:val="none"/>
                <w:lang w:val="en-US" w:eastAsia="zh-CN" w:bidi="ar-SA"/>
              </w:rPr>
              <w:pBdr>
                <w:bottom w:val="none" w:color="000000" w:sz="0" w:space="0"/>
              </w:pBdr>
            </w:pPr>
            <w:r>
              <w:rPr>
                <w:rFonts w:ascii="宋体" w:hAnsi="Times New Roman" w:eastAsia="宋体" w:cs="Times New Roman"/>
                <w:bCs/>
                <w:color w:val="000000"/>
                <w:sz w:val="18"/>
                <w:szCs w:val="18"/>
                <w:highlight w:val="none"/>
                <w:lang w:val="en-US" w:eastAsia="zh-CN" w:bidi="ar-SA"/>
              </w:rPr>
            </w:r>
            <w:r/>
          </w:p>
        </w:tc>
        <w:tc>
          <w:tcPr>
            <w:tcMar>
              <w:left w:w="15" w:type="dxa"/>
              <w:top w:w="15" w:type="dxa"/>
              <w:right w:w="15" w:type="dxa"/>
              <w:bottom w:w="0" w:type="dxa"/>
            </w:tcMar>
            <w:tcW w:w="3045" w:type="dxa"/>
            <w:vAlign w:val="center"/>
            <w:textDirection w:val="lrTb"/>
            <w:noWrap w:val="false"/>
          </w:tcPr>
          <w:p>
            <w:pPr>
              <w:pStyle w:val="786"/>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pStyle w:val="786"/>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1276" w:type="dxa"/>
            <w:vAlign w:val="center"/>
            <w:textDirection w:val="lrTb"/>
            <w:noWrap w:val="false"/>
          </w:tcPr>
          <w:p>
            <w:pPr>
              <w:pStyle w:val="786"/>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pStyle w:val="786"/>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709" w:type="dxa"/>
            <w:vAlign w:val="center"/>
            <w:textDirection w:val="lrTb"/>
            <w:noWrap w:val="false"/>
          </w:tcPr>
          <w:p>
            <w:pPr>
              <w:pStyle w:val="786"/>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pStyle w:val="786"/>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trHeight w:val="898"/>
        </w:trPr>
        <w:tc>
          <w:tcPr>
            <w:tcMar>
              <w:left w:w="15" w:type="dxa"/>
              <w:top w:w="15" w:type="dxa"/>
              <w:right w:w="15" w:type="dxa"/>
              <w:bottom w:w="0" w:type="dxa"/>
            </w:tcMar>
            <w:tcW w:w="420" w:type="dxa"/>
            <w:vAlign w:val="center"/>
            <w:textDirection w:val="lrTb"/>
            <w:noWrap/>
          </w:tcPr>
          <w:p>
            <w:pPr>
              <w:pStyle w:val="786"/>
              <w:jc w:val="center"/>
              <w:rPr>
                <w:rFonts w:ascii="宋体"/>
                <w:color w:val="000000"/>
                <w:sz w:val="18"/>
                <w:highlight w:val="none"/>
              </w:rPr>
            </w:pPr>
            <w:r>
              <w:rPr>
                <w:rFonts w:ascii="宋体"/>
                <w:color w:val="000000"/>
                <w:sz w:val="18"/>
                <w:highlight w:val="none"/>
              </w:rPr>
            </w:r>
            <w:r/>
          </w:p>
        </w:tc>
        <w:tc>
          <w:tcPr>
            <w:tcMar>
              <w:left w:w="15" w:type="dxa"/>
              <w:top w:w="15" w:type="dxa"/>
              <w:right w:w="15" w:type="dxa"/>
              <w:bottom w:w="0" w:type="dxa"/>
            </w:tcMar>
            <w:tcW w:w="1050" w:type="dxa"/>
            <w:vAlign w:val="center"/>
            <w:textDirection w:val="lrTb"/>
            <w:noWrap/>
          </w:tcPr>
          <w:p>
            <w:pPr>
              <w:pStyle w:val="786"/>
              <w:jc w:val="center"/>
              <w:rPr>
                <w:rFonts w:ascii="宋体"/>
                <w:color w:val="000000"/>
                <w:highlight w:val="none"/>
              </w:rPr>
            </w:pPr>
            <w:r>
              <w:rPr>
                <w:rFonts w:ascii="宋体"/>
                <w:color w:val="000000"/>
                <w:highlight w:val="none"/>
              </w:rPr>
              <w:t xml:space="preserve">……</w:t>
            </w:r>
            <w:r>
              <w:rPr>
                <w:rFonts w:ascii="宋体"/>
                <w:color w:val="000000"/>
                <w:highlight w:val="none"/>
              </w:rPr>
            </w:r>
            <w:r/>
          </w:p>
        </w:tc>
        <w:tc>
          <w:tcPr>
            <w:tcMar>
              <w:left w:w="15" w:type="dxa"/>
              <w:top w:w="15" w:type="dxa"/>
              <w:right w:w="15" w:type="dxa"/>
              <w:bottom w:w="0" w:type="dxa"/>
            </w:tcMar>
            <w:tcW w:w="945" w:type="dxa"/>
            <w:vAlign w:val="center"/>
            <w:textDirection w:val="lrTb"/>
            <w:noWrap w:val="false"/>
          </w:tcPr>
          <w:p>
            <w:pPr>
              <w:pStyle w:val="786"/>
              <w:jc w:val="center"/>
              <w:widowControl w:val="off"/>
              <w:rPr>
                <w:rFonts w:ascii="宋体" w:hAnsi="Times New Roman" w:eastAsia="宋体" w:cs="Times New Roman"/>
                <w:bCs/>
                <w:color w:val="000000"/>
                <w:sz w:val="18"/>
                <w:szCs w:val="18"/>
                <w:highlight w:val="none"/>
                <w:lang w:val="en-US" w:eastAsia="zh-CN" w:bidi="ar-SA"/>
              </w:rPr>
              <w:pBdr>
                <w:bottom w:val="none" w:color="000000" w:sz="0" w:space="0"/>
              </w:pBdr>
            </w:pPr>
            <w:r>
              <w:rPr>
                <w:rFonts w:ascii="宋体" w:hAnsi="Times New Roman" w:eastAsia="宋体" w:cs="Times New Roman"/>
                <w:bCs/>
                <w:color w:val="000000"/>
                <w:sz w:val="18"/>
                <w:szCs w:val="18"/>
                <w:highlight w:val="none"/>
                <w:lang w:val="en-US" w:eastAsia="zh-CN" w:bidi="ar-SA"/>
              </w:rPr>
            </w:r>
            <w:r/>
          </w:p>
        </w:tc>
        <w:tc>
          <w:tcPr>
            <w:tcMar>
              <w:left w:w="15" w:type="dxa"/>
              <w:top w:w="15" w:type="dxa"/>
              <w:right w:w="15" w:type="dxa"/>
              <w:bottom w:w="0" w:type="dxa"/>
            </w:tcMar>
            <w:tcW w:w="3045" w:type="dxa"/>
            <w:vAlign w:val="center"/>
            <w:textDirection w:val="lrTb"/>
            <w:noWrap w:val="false"/>
          </w:tcPr>
          <w:p>
            <w:pPr>
              <w:pStyle w:val="786"/>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pStyle w:val="786"/>
              <w:jc w:val="center"/>
              <w:rPr>
                <w:rFonts w:hint="eastAsia" w:ascii="黑体" w:eastAsia="黑体"/>
                <w:b/>
                <w:bCs/>
                <w:color w:val="000000"/>
                <w:highlight w:val="none"/>
              </w:rPr>
            </w:pPr>
            <w:r>
              <w:rPr>
                <w:rFonts w:hint="eastAsia" w:ascii="黑体" w:eastAsia="黑体"/>
                <w:b/>
                <w:bCs/>
                <w:color w:val="000000"/>
                <w:highlight w:val="none"/>
              </w:rPr>
            </w:r>
            <w:r/>
          </w:p>
        </w:tc>
        <w:tc>
          <w:tcPr>
            <w:tcW w:w="1276" w:type="dxa"/>
            <w:vAlign w:val="center"/>
            <w:textDirection w:val="lrTb"/>
            <w:noWrap w:val="false"/>
          </w:tcPr>
          <w:p>
            <w:pPr>
              <w:pStyle w:val="786"/>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pStyle w:val="786"/>
              <w:jc w:val="center"/>
              <w:rPr>
                <w:rFonts w:hint="eastAsia" w:ascii="黑体" w:eastAsia="黑体"/>
                <w:b/>
                <w:bCs/>
                <w:color w:val="000000"/>
                <w:highlight w:val="none"/>
              </w:rPr>
            </w:pPr>
            <w:r>
              <w:rPr>
                <w:rFonts w:hint="eastAsia" w:ascii="黑体" w:eastAsia="黑体"/>
                <w:b/>
                <w:bCs/>
                <w:color w:val="000000"/>
                <w:highlight w:val="none"/>
              </w:rPr>
            </w:r>
            <w:r/>
          </w:p>
        </w:tc>
        <w:tc>
          <w:tcPr>
            <w:tcW w:w="709" w:type="dxa"/>
            <w:vAlign w:val="center"/>
            <w:textDirection w:val="lrTb"/>
            <w:noWrap w:val="false"/>
          </w:tcPr>
          <w:p>
            <w:pPr>
              <w:pStyle w:val="786"/>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pStyle w:val="786"/>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trHeight w:val="898"/>
        </w:trPr>
        <w:tc>
          <w:tcPr>
            <w:gridSpan w:val="9"/>
            <w:tcMar>
              <w:left w:w="15" w:type="dxa"/>
              <w:top w:w="15" w:type="dxa"/>
              <w:right w:w="15" w:type="dxa"/>
              <w:bottom w:w="0" w:type="dxa"/>
            </w:tcMar>
            <w:tcW w:w="9975" w:type="dxa"/>
            <w:vAlign w:val="center"/>
            <w:textDirection w:val="lrTb"/>
            <w:noWrap/>
          </w:tcPr>
          <w:p>
            <w:pPr>
              <w:pStyle w:val="786"/>
              <w:jc w:val="left"/>
              <w:rPr>
                <w:rFonts w:ascii="黑体" w:hAnsi="宋体" w:eastAsia="黑体"/>
                <w:b/>
                <w:bCs/>
                <w:color w:val="000000"/>
                <w:sz w:val="24"/>
                <w:szCs w:val="24"/>
                <w:highlight w:val="none"/>
                <w:lang w:val="en-US" w:eastAsia="zh-CN"/>
              </w:rPr>
            </w:pPr>
            <w:r>
              <w:rPr>
                <w:rFonts w:hint="eastAsia" w:ascii="黑体" w:hAnsi="宋体" w:eastAsia="黑体"/>
                <w:b/>
                <w:bCs/>
                <w:color w:val="000000"/>
                <w:sz w:val="24"/>
                <w:szCs w:val="24"/>
                <w:highlight w:val="none"/>
                <w:lang w:val="en-US" w:eastAsia="zh-CN"/>
              </w:rPr>
              <w:t xml:space="preserve">投标报价合计：</w:t>
            </w:r>
            <w:r>
              <w:rPr>
                <w:rFonts w:hint="eastAsia" w:ascii="黑体" w:hAnsi="宋体" w:eastAsia="黑体"/>
                <w:b/>
                <w:bCs/>
                <w:color w:val="000000"/>
                <w:sz w:val="24"/>
                <w:szCs w:val="24"/>
                <w:highlight w:val="none"/>
                <w:u w:val="single"/>
                <w:lang w:val="en-US" w:eastAsia="zh-CN"/>
              </w:rPr>
              <w:t xml:space="preserve">      </w:t>
            </w:r>
            <w:r>
              <w:rPr>
                <w:rFonts w:hint="eastAsia" w:ascii="黑体" w:hAnsi="宋体" w:eastAsia="黑体"/>
                <w:b/>
                <w:bCs/>
                <w:color w:val="000000"/>
                <w:sz w:val="24"/>
                <w:szCs w:val="24"/>
                <w:highlight w:val="none"/>
                <w:lang w:val="en-US" w:eastAsia="zh-CN"/>
              </w:rPr>
              <w:t xml:space="preserve">元</w:t>
            </w:r>
            <w:r>
              <w:rPr>
                <w:rFonts w:ascii="黑体" w:hAnsi="宋体" w:eastAsia="黑体"/>
                <w:b/>
                <w:bCs/>
                <w:color w:val="000000"/>
                <w:sz w:val="24"/>
                <w:szCs w:val="24"/>
                <w:highlight w:val="none"/>
                <w:lang w:val="en-US" w:eastAsia="zh-CN"/>
              </w:rPr>
            </w:r>
            <w:r/>
          </w:p>
        </w:tc>
      </w:tr>
      <w:tr>
        <w:trPr>
          <w:cantSplit/>
          <w:trHeight w:val="898"/>
        </w:trPr>
        <w:tc>
          <w:tcPr>
            <w:gridSpan w:val="9"/>
            <w:tcMar>
              <w:left w:w="15" w:type="dxa"/>
              <w:top w:w="15" w:type="dxa"/>
              <w:right w:w="15" w:type="dxa"/>
              <w:bottom w:w="0" w:type="dxa"/>
            </w:tcMar>
            <w:tcW w:w="9975" w:type="dxa"/>
            <w:vAlign w:val="center"/>
            <w:textDirection w:val="lrTb"/>
            <w:noWrap/>
          </w:tcPr>
          <w:p>
            <w:pPr>
              <w:pStyle w:val="786"/>
              <w:jc w:val="left"/>
              <w:rPr>
                <w:rFonts w:ascii="黑体" w:hAnsi="宋体" w:eastAsia="黑体"/>
                <w:b/>
                <w:bCs/>
                <w:color w:val="000000"/>
                <w:sz w:val="24"/>
                <w:szCs w:val="24"/>
                <w:highlight w:val="none"/>
              </w:rPr>
            </w:pPr>
            <w:r>
              <w:rPr>
                <w:rFonts w:hint="eastAsia" w:ascii="宋体" w:hAnsi="宋体" w:cs="方正魏碑_GBK"/>
                <w:color w:val="ff0000"/>
                <w:sz w:val="24"/>
                <w:highlight w:val="none"/>
              </w:rPr>
              <w:t xml:space="preserve">本采购包中提供的符合本国产品标准的产品成本之和占该采购包提供的全部产品成本之和的比例为</w:t>
            </w:r>
            <w:r>
              <w:rPr>
                <w:rFonts w:hint="eastAsia" w:ascii="宋体" w:hAnsi="宋体" w:cs="方正魏碑_GBK"/>
                <w:color w:val="ff0000"/>
                <w:sz w:val="24"/>
                <w:highlight w:val="none"/>
                <w:u w:val="single"/>
                <w:lang w:val="en-US" w:eastAsia="zh-CN"/>
              </w:rPr>
              <w:t xml:space="preserve">     </w:t>
            </w:r>
            <w:r>
              <w:rPr>
                <w:rFonts w:hint="eastAsia" w:ascii="宋体" w:hAnsi="宋体" w:cs="方正魏碑_GBK"/>
                <w:color w:val="ff0000"/>
                <w:sz w:val="24"/>
                <w:highlight w:val="none"/>
              </w:rPr>
              <w:t xml:space="preserve">%。</w:t>
            </w:r>
            <w:r>
              <w:rPr>
                <w:rFonts w:ascii="黑体" w:hAnsi="宋体" w:eastAsia="黑体"/>
                <w:b/>
                <w:bCs/>
                <w:color w:val="000000"/>
                <w:sz w:val="24"/>
                <w:szCs w:val="24"/>
                <w:highlight w:val="none"/>
              </w:rPr>
            </w:r>
            <w:r/>
          </w:p>
        </w:tc>
      </w:tr>
    </w:tbl>
    <w:p>
      <w:pPr>
        <w:pStyle w:val="786"/>
        <w:spacing w:before="5" w:line="56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投标人名称（盖章）：</w:t>
      </w:r>
      <w:r>
        <w:rPr>
          <w:rFonts w:hint="eastAsia" w:ascii="宋体" w:hAnsi="宋体" w:eastAsia="宋体" w:cs="宋体"/>
          <w:b/>
          <w:bCs/>
          <w:color w:val="000000"/>
          <w:sz w:val="24"/>
          <w:szCs w:val="24"/>
          <w:highlight w:val="none"/>
        </w:rPr>
      </w:r>
      <w:r/>
    </w:p>
    <w:p>
      <w:pPr>
        <w:pStyle w:val="786"/>
        <w:spacing w:line="400" w:lineRule="exact"/>
        <w:rPr>
          <w:rFonts w:hint="eastAsia" w:ascii="宋体" w:hAnsi="宋体" w:eastAsia="宋体" w:cs="宋体"/>
          <w:b/>
          <w:color w:val="000000"/>
          <w:highlight w:val="none"/>
        </w:rPr>
        <w:outlineLvl w:val="9"/>
      </w:pPr>
      <w:r>
        <w:rPr>
          <w:rFonts w:hint="eastAsia" w:ascii="宋体" w:hAnsi="宋体" w:eastAsia="宋体" w:cs="宋体"/>
          <w:b/>
          <w:color w:val="000000"/>
          <w:highlight w:val="none"/>
        </w:rPr>
      </w:r>
      <w:r/>
    </w:p>
    <w:p>
      <w:pPr>
        <w:pStyle w:val="786"/>
        <w:spacing w:line="400" w:lineRule="exact"/>
        <w:rPr>
          <w:rFonts w:ascii="宋体" w:hAnsi="Times New Roman" w:cs="Times New Roman"/>
          <w:bCs/>
          <w:color w:val="000000"/>
          <w:sz w:val="24"/>
          <w:szCs w:val="24"/>
          <w:highlight w:val="none"/>
        </w:rPr>
        <w:outlineLvl w:val="0"/>
      </w:pPr>
      <w:r/>
      <w:bookmarkStart w:id="213" w:name="_Toc16687"/>
      <w:r>
        <w:rPr>
          <w:rFonts w:hint="eastAsia" w:ascii="宋体" w:hAnsi="宋体" w:eastAsia="宋体" w:cs="宋体"/>
          <w:b/>
          <w:sz w:val="24"/>
          <w:szCs w:val="24"/>
          <w:highlight w:val="none"/>
        </w:rPr>
        <w:t xml:space="preserve">注：</w:t>
      </w:r>
      <w:bookmarkEnd w:id="205"/>
      <w:r/>
      <w:bookmarkEnd w:id="206"/>
      <w:r/>
      <w:bookmarkEnd w:id="207"/>
      <w:r/>
      <w:bookmarkEnd w:id="213"/>
      <w:r/>
      <w:bookmarkStart w:id="214" w:name="_Toc120614284"/>
      <w:r>
        <w:rPr>
          <w:rFonts w:hint="eastAsia" w:ascii="宋体" w:hAnsi="宋体" w:cs="Times New Roman"/>
          <w:bCs/>
          <w:color w:val="000000"/>
          <w:sz w:val="24"/>
          <w:szCs w:val="24"/>
          <w:highlight w:val="none"/>
        </w:rPr>
        <w:t xml:space="preserve">（</w:t>
      </w:r>
      <w:r>
        <w:rPr>
          <w:rFonts w:ascii="宋体" w:hAnsi="宋体" w:cs="Times New Roman"/>
          <w:bCs/>
          <w:color w:val="000000"/>
          <w:sz w:val="24"/>
          <w:szCs w:val="24"/>
          <w:highlight w:val="none"/>
        </w:rPr>
        <w:t xml:space="preserve">1</w:t>
      </w:r>
      <w:r>
        <w:rPr>
          <w:rFonts w:hint="eastAsia" w:ascii="宋体" w:hAnsi="宋体" w:cs="Times New Roman"/>
          <w:bCs/>
          <w:color w:val="000000"/>
          <w:sz w:val="24"/>
          <w:szCs w:val="24"/>
          <w:highlight w:val="none"/>
        </w:rPr>
        <w:t xml:space="preserve">）</w:t>
      </w:r>
      <w:r>
        <w:rPr>
          <w:rFonts w:hint="eastAsia" w:ascii="宋体" w:hAnsi="Times New Roman" w:cs="Times New Roman"/>
          <w:bCs/>
          <w:color w:val="0000ff"/>
          <w:sz w:val="24"/>
          <w:szCs w:val="24"/>
          <w:highlight w:val="none"/>
        </w:rPr>
        <w:t xml:space="preserve">投标人本项目提供的货物全部由符合政策要求的中小企业制造的，须提供按格式填写的《中小企业声明函》（货物）（《中小企业声明函》（货物）相应内容须与上表填列内容保持一致）；</w:t>
      </w:r>
      <w:r>
        <w:rPr>
          <w:rFonts w:hint="eastAsia" w:ascii="宋体" w:hAnsi="Times New Roman" w:cs="Times New Roman"/>
          <w:bCs/>
          <w:sz w:val="24"/>
          <w:szCs w:val="24"/>
          <w:highlight w:val="none"/>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Times New Roman" w:cs="Times New Roman"/>
          <w:bCs/>
          <w:sz w:val="24"/>
          <w:szCs w:val="24"/>
          <w:highlight w:val="none"/>
          <w:lang w:eastAsia="zh-CN"/>
        </w:rPr>
        <w:t xml:space="preserve">无锡市公共资源交易中心新吴分中心</w:t>
      </w:r>
      <w:r>
        <w:rPr>
          <w:rFonts w:hint="eastAsia" w:ascii="宋体" w:hAnsi="Times New Roman" w:cs="Times New Roman"/>
          <w:bCs/>
          <w:sz w:val="24"/>
          <w:szCs w:val="24"/>
          <w:highlight w:val="none"/>
        </w:rPr>
        <w:t xml:space="preserve">有权将相关内容进行公示；</w:t>
      </w:r>
      <w:r>
        <w:rPr>
          <w:rFonts w:ascii="宋体" w:hAnsi="Times New Roman" w:cs="Times New Roman"/>
          <w:bCs/>
          <w:color w:val="000000"/>
          <w:sz w:val="24"/>
          <w:szCs w:val="24"/>
          <w:highlight w:val="none"/>
        </w:rPr>
      </w:r>
      <w:r/>
    </w:p>
    <w:p>
      <w:pPr>
        <w:pStyle w:val="786"/>
        <w:ind w:firstLine="360"/>
        <w:spacing w:line="400" w:lineRule="exact"/>
        <w:rPr>
          <w:rFonts w:ascii="宋体" w:hAnsi="Times New Roman" w:cs="Times New Roman"/>
          <w:bCs/>
          <w:color w:val="000000"/>
          <w:sz w:val="24"/>
          <w:szCs w:val="24"/>
          <w:highlight w:val="none"/>
        </w:rPr>
        <w:outlineLvl w:val="0"/>
      </w:pPr>
      <w:r>
        <w:rPr>
          <w:rFonts w:hint="eastAsia" w:ascii="宋体" w:hAnsi="宋体" w:cs="Times New Roman"/>
          <w:bCs/>
          <w:color w:val="000000"/>
          <w:sz w:val="24"/>
          <w:szCs w:val="24"/>
          <w:highlight w:val="none"/>
        </w:rPr>
        <w:t xml:space="preserve">（</w:t>
      </w:r>
      <w:r>
        <w:rPr>
          <w:rFonts w:ascii="宋体" w:hAnsi="宋体" w:cs="Times New Roman"/>
          <w:bCs/>
          <w:color w:val="000000"/>
          <w:sz w:val="24"/>
          <w:szCs w:val="24"/>
          <w:highlight w:val="none"/>
        </w:rPr>
        <w:t xml:space="preserve">2</w:t>
      </w:r>
      <w:r>
        <w:rPr>
          <w:rFonts w:hint="eastAsia" w:ascii="宋体" w:hAnsi="宋体" w:cs="Times New Roman"/>
          <w:bCs/>
          <w:color w:val="000000"/>
          <w:sz w:val="24"/>
          <w:szCs w:val="24"/>
          <w:highlight w:val="none"/>
        </w:rPr>
        <w:t xml:space="preserve">）投标人应当根据“</w:t>
      </w:r>
      <w:r>
        <w:rPr>
          <w:rFonts w:hint="eastAsia" w:ascii="宋体" w:hAnsi="宋体" w:cs="Times New Roman"/>
          <w:bCs/>
          <w:sz w:val="24"/>
          <w:szCs w:val="24"/>
          <w:highlight w:val="none"/>
        </w:rPr>
        <w:t xml:space="preserve">采购需求</w:t>
      </w:r>
      <w:r>
        <w:rPr>
          <w:rFonts w:hint="eastAsia" w:ascii="宋体" w:hAnsi="宋体" w:cs="Times New Roman"/>
          <w:bCs/>
          <w:color w:val="000000"/>
          <w:sz w:val="24"/>
          <w:szCs w:val="24"/>
          <w:highlight w:val="none"/>
        </w:rPr>
        <w:t xml:space="preserve">”的内容在上表中详细填写；</w:t>
      </w:r>
      <w:r>
        <w:rPr>
          <w:rFonts w:ascii="宋体" w:hAnsi="Times New Roman" w:cs="Times New Roman"/>
          <w:bCs/>
          <w:color w:val="000000"/>
          <w:sz w:val="24"/>
          <w:szCs w:val="24"/>
          <w:highlight w:val="none"/>
        </w:rPr>
      </w:r>
      <w:r/>
    </w:p>
    <w:p>
      <w:pPr>
        <w:pStyle w:val="786"/>
        <w:ind w:firstLine="360"/>
        <w:spacing w:line="400" w:lineRule="exact"/>
        <w:rPr>
          <w:rFonts w:ascii="宋体" w:hAnsi="宋体" w:cs="Times New Roman"/>
          <w:bCs/>
          <w:color w:val="000000"/>
          <w:sz w:val="24"/>
          <w:szCs w:val="24"/>
          <w:highlight w:val="none"/>
        </w:rPr>
        <w:outlineLvl w:val="0"/>
      </w:pPr>
      <w:r>
        <w:rPr>
          <w:rFonts w:hint="eastAsia" w:ascii="宋体" w:hAnsi="宋体" w:cs="Times New Roman"/>
          <w:bCs/>
          <w:color w:val="000000"/>
          <w:sz w:val="24"/>
          <w:szCs w:val="24"/>
          <w:highlight w:val="none"/>
        </w:rPr>
        <w:t xml:space="preserve">（</w:t>
      </w:r>
      <w:r>
        <w:rPr>
          <w:rFonts w:ascii="宋体" w:hAnsi="宋体" w:cs="Times New Roman"/>
          <w:bCs/>
          <w:color w:val="000000"/>
          <w:sz w:val="24"/>
          <w:szCs w:val="24"/>
          <w:highlight w:val="none"/>
        </w:rPr>
        <w:t xml:space="preserve">3</w:t>
      </w:r>
      <w:r>
        <w:rPr>
          <w:rFonts w:hint="eastAsia" w:ascii="宋体" w:hAnsi="宋体" w:cs="Times New Roman"/>
          <w:bCs/>
          <w:color w:val="000000"/>
          <w:sz w:val="24"/>
          <w:szCs w:val="24"/>
          <w:highlight w:val="none"/>
        </w:rPr>
        <w:t xml:space="preserve">）表格不够可自行延长。</w:t>
      </w:r>
      <w:r>
        <w:rPr>
          <w:rFonts w:ascii="宋体" w:hAnsi="宋体" w:cs="Times New Roman"/>
          <w:bCs/>
          <w:color w:val="000000"/>
          <w:sz w:val="24"/>
          <w:szCs w:val="24"/>
          <w:highlight w:val="none"/>
        </w:rPr>
      </w:r>
      <w:r/>
    </w:p>
    <w:p>
      <w:pPr>
        <w:pStyle w:val="786"/>
        <w:ind w:firstLine="315"/>
        <w:spacing w:line="400" w:lineRule="exact"/>
        <w:rPr>
          <w:rFonts w:hint="eastAsia" w:ascii="宋体" w:hAnsi="宋体" w:cs="Times New Roman"/>
          <w:bCs/>
          <w:color w:val="000000"/>
          <w:sz w:val="24"/>
          <w:szCs w:val="24"/>
          <w:highlight w:val="none"/>
        </w:rPr>
        <w:outlineLvl w:val="0"/>
      </w:pPr>
      <w:r>
        <w:rPr>
          <w:rFonts w:hint="eastAsia" w:ascii="宋体" w:hAnsi="宋体" w:cs="Times New Roman"/>
          <w:bCs/>
          <w:color w:val="000000"/>
          <w:sz w:val="24"/>
          <w:szCs w:val="24"/>
          <w:highlight w:val="none"/>
        </w:rPr>
        <w:t xml:space="preserve">（4）</w:t>
      </w:r>
      <w:r>
        <w:rPr>
          <w:rFonts w:hint="eastAsia" w:ascii="宋体" w:hAnsi="宋体" w:cs="Times New Roman"/>
          <w:bCs/>
          <w:color w:val="000000"/>
          <w:sz w:val="24"/>
          <w:szCs w:val="24"/>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rPr>
          <w:rFonts w:hint="eastAsia" w:ascii="宋体" w:hAnsi="宋体" w:cs="Times New Roman"/>
          <w:bCs/>
          <w:color w:val="000000"/>
          <w:sz w:val="24"/>
          <w:szCs w:val="24"/>
          <w:highlight w:val="none"/>
        </w:rPr>
      </w:r>
      <w:r/>
    </w:p>
    <w:p>
      <w:pPr>
        <w:pStyle w:val="786"/>
        <w:ind w:firstLine="315"/>
        <w:spacing w:line="400" w:lineRule="exact"/>
        <w:rPr>
          <w:rFonts w:hint="eastAsia" w:ascii="宋体" w:hAnsi="宋体" w:cs="Times New Roman"/>
          <w:bCs/>
          <w:color w:val="000000"/>
          <w:sz w:val="24"/>
          <w:szCs w:val="24"/>
          <w:highlight w:val="none"/>
          <w:u w:val="single"/>
        </w:rPr>
        <w:outlineLvl w:val="0"/>
      </w:pPr>
      <w:r>
        <w:rPr>
          <w:rFonts w:hint="eastAsia" w:ascii="宋体" w:hAnsi="宋体" w:cs="Times New Roman"/>
          <w:bCs/>
          <w:color w:val="000000"/>
          <w:sz w:val="24"/>
          <w:szCs w:val="24"/>
          <w:highlight w:val="none"/>
          <w:u w:val="single"/>
        </w:rPr>
        <w:t xml:space="preserve">特别注意！！“符合本国产品标准的产品成本之和”是指本项目或采购包中符合本国产品标准的</w:t>
      </w:r>
      <w:r>
        <w:rPr>
          <w:rFonts w:hint="eastAsia" w:ascii="宋体" w:hAnsi="宋体" w:cs="Times New Roman"/>
          <w:b/>
          <w:bCs/>
          <w:color w:val="000000"/>
          <w:sz w:val="24"/>
          <w:szCs w:val="24"/>
          <w:highlight w:val="none"/>
          <w:u w:val="single"/>
        </w:rPr>
        <w:t xml:space="preserve">货物成本之和</w:t>
      </w:r>
      <w:r>
        <w:rPr>
          <w:rFonts w:hint="eastAsia" w:ascii="宋体" w:hAnsi="宋体" w:cs="Times New Roman"/>
          <w:bCs/>
          <w:color w:val="000000"/>
          <w:sz w:val="24"/>
          <w:szCs w:val="24"/>
          <w:highlight w:val="none"/>
          <w:u w:val="single"/>
        </w:rPr>
        <w:t xml:space="preserve">；“全部产品成本之和”是指货物或服务项目（或者采购包）中包含的</w:t>
      </w:r>
      <w:r>
        <w:rPr>
          <w:rFonts w:hint="eastAsia" w:ascii="宋体" w:hAnsi="宋体" w:cs="Times New Roman"/>
          <w:b/>
          <w:bCs/>
          <w:color w:val="000000"/>
          <w:sz w:val="24"/>
          <w:szCs w:val="24"/>
          <w:highlight w:val="none"/>
          <w:u w:val="single"/>
        </w:rPr>
        <w:t xml:space="preserve">全部货物、服务产品的成本之和</w:t>
      </w:r>
      <w:r>
        <w:rPr>
          <w:rFonts w:hint="eastAsia" w:ascii="宋体" w:hAnsi="宋体" w:cs="Times New Roman"/>
          <w:bCs/>
          <w:color w:val="000000"/>
          <w:sz w:val="24"/>
          <w:szCs w:val="24"/>
          <w:highlight w:val="none"/>
          <w:u w:val="single"/>
        </w:rPr>
        <w:t xml:space="preserve">。</w:t>
      </w:r>
      <w:r>
        <w:rPr>
          <w:rFonts w:hint="eastAsia" w:ascii="宋体" w:hAnsi="宋体" w:cs="Times New Roman"/>
          <w:bCs/>
          <w:color w:val="000000"/>
          <w:sz w:val="24"/>
          <w:szCs w:val="24"/>
          <w:highlight w:val="none"/>
          <w:u w:val="single"/>
        </w:rPr>
      </w:r>
      <w:r/>
    </w:p>
    <w:p>
      <w:pPr>
        <w:pStyle w:val="786"/>
        <w:ind w:firstLine="315"/>
        <w:spacing w:line="400" w:lineRule="exact"/>
        <w:rPr>
          <w:rFonts w:hint="eastAsia" w:ascii="宋体" w:hAnsi="宋体" w:eastAsia="宋体" w:cs="宋体"/>
          <w:bCs/>
          <w:highlight w:val="none"/>
        </w:rPr>
        <w:outlineLvl w:val="0"/>
      </w:pPr>
      <w:r>
        <w:rPr>
          <w:rFonts w:hint="eastAsia" w:ascii="宋体" w:hAnsi="宋体" w:eastAsia="宋体" w:cs="宋体"/>
          <w:bCs/>
          <w:highlight w:val="none"/>
        </w:rPr>
      </w:r>
      <w:r/>
    </w:p>
    <w:p>
      <w:pPr>
        <w:pStyle w:val="786"/>
        <w:jc w:val="center"/>
        <w:spacing w:line="400" w:lineRule="exact"/>
        <w:rPr>
          <w:rFonts w:hint="eastAsia" w:ascii="宋体" w:hAnsi="宋体" w:eastAsia="宋体" w:cs="宋体"/>
          <w:b/>
          <w:sz w:val="30"/>
          <w:szCs w:val="30"/>
          <w:highlight w:val="none"/>
        </w:rPr>
        <w:outlineLvl w:val="9"/>
      </w:pPr>
      <w:r>
        <w:rPr>
          <w:rFonts w:hint="eastAsia" w:ascii="宋体" w:hAnsi="宋体" w:eastAsia="宋体" w:cs="宋体"/>
          <w:bCs/>
          <w:color w:val="000000"/>
          <w:highlight w:val="none"/>
        </w:rPr>
        <w:br w:type="page" w:clear="all"/>
      </w:r>
      <w:r>
        <w:rPr>
          <w:rFonts w:hint="eastAsia" w:ascii="宋体" w:hAnsi="宋体" w:eastAsia="宋体" w:cs="宋体"/>
          <w:b/>
          <w:sz w:val="30"/>
          <w:szCs w:val="30"/>
          <w:highlight w:val="none"/>
        </w:rPr>
      </w:r>
      <w:r/>
    </w:p>
    <w:p>
      <w:pPr>
        <w:pStyle w:val="786"/>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十、投标偏离表（给定格式）：</w:t>
      </w:r>
      <w:r>
        <w:rPr>
          <w:rFonts w:hint="eastAsia" w:ascii="宋体" w:hAnsi="宋体" w:eastAsia="宋体" w:cs="宋体"/>
          <w:b/>
          <w:sz w:val="30"/>
          <w:szCs w:val="30"/>
          <w:highlight w:val="none"/>
        </w:rPr>
      </w:r>
      <w:r/>
    </w:p>
    <w:p>
      <w:pPr>
        <w:pStyle w:val="786"/>
        <w:ind w:firstLine="490"/>
        <w:jc w:val="center"/>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r>
      <w:r/>
    </w:p>
    <w:p>
      <w:pPr>
        <w:pStyle w:val="786"/>
        <w:ind w:firstLine="490"/>
        <w:jc w:val="center"/>
        <w:rPr>
          <w:rFonts w:hint="eastAsia" w:ascii="宋体" w:hAnsi="宋体" w:eastAsia="宋体" w:cs="宋体"/>
          <w:bCs/>
          <w:color w:val="000000"/>
          <w:sz w:val="28"/>
          <w:szCs w:val="28"/>
          <w:highlight w:val="none"/>
        </w:rPr>
        <w:outlineLvl w:val="0"/>
      </w:pPr>
      <w:r/>
      <w:bookmarkStart w:id="215" w:name="_Toc19104"/>
      <w:r>
        <w:rPr>
          <w:rFonts w:hint="eastAsia" w:ascii="宋体" w:hAnsi="宋体" w:eastAsia="宋体" w:cs="宋体"/>
          <w:bCs/>
          <w:color w:val="000000"/>
          <w:sz w:val="28"/>
          <w:szCs w:val="28"/>
          <w:highlight w:val="none"/>
        </w:rPr>
        <w:t xml:space="preserve">投标偏离表</w:t>
      </w:r>
      <w:bookmarkEnd w:id="215"/>
      <w:r>
        <w:rPr>
          <w:rFonts w:hint="eastAsia" w:ascii="宋体" w:hAnsi="宋体" w:eastAsia="宋体" w:cs="宋体"/>
          <w:bCs/>
          <w:color w:val="000000"/>
          <w:sz w:val="28"/>
          <w:szCs w:val="28"/>
          <w:highlight w:val="none"/>
        </w:rPr>
      </w:r>
      <w:r/>
    </w:p>
    <w:p>
      <w:pPr>
        <w:pStyle w:val="786"/>
        <w:jc w:val="left"/>
        <w:spacing w:line="40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项目编号：</w:t>
      </w:r>
      <w:r>
        <w:rPr>
          <w:rFonts w:hint="eastAsia" w:ascii="宋体" w:hAnsi="宋体" w:cs="宋体"/>
          <w:sz w:val="24"/>
          <w:szCs w:val="24"/>
          <w:highlight w:val="none"/>
          <w:shd w:val="clear" w:color="auto" w:fill="ffffff"/>
          <w:lang w:eastAsia="zh-CN"/>
        </w:rPr>
        <w:t xml:space="preserve">JSZC-320214-JNJS-G2026-0001</w:t>
      </w:r>
      <w:r>
        <w:rPr>
          <w:rFonts w:hint="eastAsia" w:ascii="宋体" w:hAnsi="宋体" w:eastAsia="宋体" w:cs="宋体"/>
          <w:bCs/>
          <w:color w:val="000000"/>
          <w:sz w:val="24"/>
          <w:szCs w:val="24"/>
          <w:highlight w:val="none"/>
        </w:rPr>
      </w:r>
      <w:r/>
    </w:p>
    <w:p>
      <w:pPr>
        <w:pStyle w:val="786"/>
        <w:jc w:val="both"/>
        <w:spacing w:line="400" w:lineRule="exact"/>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86"/>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名称</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86"/>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采购要求</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86"/>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实报内容</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86"/>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偏离说明</w:t>
            </w:r>
            <w:r>
              <w:rPr>
                <w:rFonts w:hint="eastAsia" w:ascii="宋体" w:hAnsi="宋体" w:eastAsia="宋体" w:cs="宋体"/>
                <w:b/>
                <w:bCs/>
                <w:color w:val="000000"/>
                <w:sz w:val="24"/>
                <w:szCs w:val="24"/>
                <w:highlight w:val="none"/>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86"/>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86"/>
              <w:jc w:val="both"/>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86"/>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86"/>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r>
    </w:tbl>
    <w:p>
      <w:pPr>
        <w:pStyle w:val="786"/>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投标人名称（盖章）：</w:t>
      </w:r>
      <w:r>
        <w:rPr>
          <w:rFonts w:hint="eastAsia" w:ascii="宋体" w:hAnsi="宋体" w:eastAsia="宋体" w:cs="宋体"/>
          <w:b/>
          <w:color w:val="000000"/>
          <w:sz w:val="24"/>
          <w:szCs w:val="24"/>
          <w:highlight w:val="none"/>
        </w:rPr>
      </w:r>
      <w:r/>
    </w:p>
    <w:p>
      <w:pPr>
        <w:pStyle w:val="786"/>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786"/>
        <w:ind w:firstLine="420"/>
        <w:rPr>
          <w:rFonts w:hint="eastAsia" w:ascii="宋体" w:hAnsi="宋体" w:eastAsia="宋体" w:cs="宋体"/>
          <w:bCs/>
          <w:color w:val="000000"/>
          <w:sz w:val="24"/>
          <w:szCs w:val="24"/>
          <w:highlight w:val="none"/>
        </w:rPr>
        <w:outlineLvl w:val="0"/>
      </w:pPr>
      <w:r/>
      <w:bookmarkStart w:id="216" w:name="_Toc20309"/>
      <w:r>
        <w:rPr>
          <w:rFonts w:hint="eastAsia" w:ascii="宋体" w:hAnsi="宋体" w:eastAsia="宋体" w:cs="宋体"/>
          <w:bCs/>
          <w:color w:val="000000"/>
          <w:sz w:val="24"/>
          <w:szCs w:val="24"/>
          <w:highlight w:val="none"/>
        </w:rPr>
        <w:t xml:space="preserve">注：（1）本表不得删除；</w:t>
      </w:r>
      <w:bookmarkEnd w:id="216"/>
      <w:r>
        <w:rPr>
          <w:rFonts w:hint="eastAsia" w:ascii="宋体" w:hAnsi="宋体" w:eastAsia="宋体" w:cs="宋体"/>
          <w:bCs/>
          <w:color w:val="000000"/>
          <w:sz w:val="24"/>
          <w:szCs w:val="24"/>
          <w:highlight w:val="none"/>
        </w:rPr>
      </w:r>
      <w:r/>
    </w:p>
    <w:p>
      <w:pPr>
        <w:pStyle w:val="786"/>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   </w:t>
      </w:r>
      <w:bookmarkStart w:id="217" w:name="_Toc17406"/>
      <w:r>
        <w:rPr>
          <w:rFonts w:hint="eastAsia" w:ascii="宋体" w:hAnsi="宋体" w:eastAsia="宋体" w:cs="宋体"/>
          <w:bCs/>
          <w:color w:val="000000"/>
          <w:sz w:val="24"/>
          <w:szCs w:val="24"/>
          <w:highlight w:val="none"/>
        </w:rPr>
        <w:t xml:space="preserve">（2）如无任何技术偏离，请于本表 “偏离说明”中注明“无偏离”；</w:t>
      </w:r>
      <w:bookmarkEnd w:id="217"/>
      <w:r>
        <w:rPr>
          <w:rFonts w:hint="eastAsia" w:ascii="宋体" w:hAnsi="宋体" w:eastAsia="宋体" w:cs="宋体"/>
          <w:bCs/>
          <w:color w:val="000000"/>
          <w:sz w:val="24"/>
          <w:szCs w:val="24"/>
          <w:highlight w:val="none"/>
        </w:rPr>
      </w:r>
      <w:r/>
    </w:p>
    <w:p>
      <w:pPr>
        <w:pStyle w:val="786"/>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   </w:t>
      </w:r>
      <w:bookmarkStart w:id="218" w:name="_Toc1430"/>
      <w:r>
        <w:rPr>
          <w:rFonts w:hint="eastAsia" w:ascii="宋体" w:hAnsi="宋体" w:eastAsia="宋体" w:cs="宋体"/>
          <w:bCs/>
          <w:color w:val="000000"/>
          <w:sz w:val="24"/>
          <w:szCs w:val="24"/>
          <w:highlight w:val="none"/>
        </w:rPr>
        <w:t xml:space="preserve">（3）如有技术偏离项，请于本表中列明偏离内容，如需要可自行延长，其余无偏离内容</w:t>
      </w:r>
      <w:r>
        <w:rPr>
          <w:rFonts w:hint="eastAsia" w:ascii="宋体" w:hAnsi="宋体" w:cs="宋体"/>
          <w:bCs/>
          <w:color w:val="000000"/>
          <w:sz w:val="24"/>
          <w:szCs w:val="24"/>
          <w:highlight w:val="none"/>
          <w:lang w:eastAsia="zh-CN"/>
        </w:rPr>
        <w:t xml:space="preserve">无需</w:t>
      </w:r>
      <w:r>
        <w:rPr>
          <w:rFonts w:hint="eastAsia" w:ascii="宋体" w:hAnsi="宋体" w:eastAsia="宋体" w:cs="宋体"/>
          <w:bCs/>
          <w:color w:val="000000"/>
          <w:sz w:val="24"/>
          <w:szCs w:val="24"/>
          <w:highlight w:val="none"/>
        </w:rPr>
        <w:t xml:space="preserve">赘述。</w:t>
      </w:r>
      <w:bookmarkEnd w:id="195"/>
      <w:r/>
      <w:bookmarkEnd w:id="196"/>
      <w:r/>
      <w:bookmarkEnd w:id="214"/>
      <w:r/>
      <w:bookmarkEnd w:id="218"/>
      <w:r/>
      <w:bookmarkStart w:id="219" w:name="_Hlt26609389"/>
      <w:r/>
      <w:bookmarkEnd w:id="219"/>
      <w:r/>
      <w:bookmarkStart w:id="220" w:name="_Hlt26955066"/>
      <w:r/>
      <w:bookmarkEnd w:id="220"/>
      <w:r/>
      <w:bookmarkStart w:id="221" w:name="_格式2__法定代表人授权书"/>
      <w:r/>
      <w:bookmarkEnd w:id="221"/>
      <w:r/>
      <w:bookmarkStart w:id="222" w:name="_Hlt26671374"/>
      <w:r/>
      <w:bookmarkEnd w:id="222"/>
      <w:r>
        <w:rPr>
          <w:rFonts w:hint="eastAsia" w:ascii="宋体" w:hAnsi="宋体" w:eastAsia="宋体" w:cs="宋体"/>
          <w:bCs/>
          <w:color w:val="000000"/>
          <w:sz w:val="24"/>
          <w:szCs w:val="24"/>
          <w:highlight w:val="none"/>
        </w:rPr>
      </w:r>
      <w:r/>
    </w:p>
    <w:p>
      <w:pPr>
        <w:pStyle w:val="786"/>
        <w:ind w:firstLine="420"/>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786"/>
        <w:ind w:firstLine="420"/>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786"/>
        <w:spacing w:line="360" w:lineRule="auto"/>
        <w:rPr>
          <w:rFonts w:hint="eastAsia" w:ascii="宋体" w:hAnsi="宋体" w:eastAsia="宋体" w:cs="宋体"/>
          <w:bCs/>
          <w:highlight w:val="none"/>
        </w:rPr>
      </w:pPr>
      <w:r>
        <w:rPr>
          <w:rFonts w:hint="eastAsia" w:ascii="宋体" w:hAnsi="宋体" w:eastAsia="宋体" w:cs="宋体"/>
          <w:bCs/>
          <w:highlight w:val="none"/>
        </w:rPr>
      </w:r>
      <w:r/>
    </w:p>
    <w:p>
      <w:pPr>
        <w:pStyle w:val="786"/>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86"/>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86"/>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86"/>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86"/>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86"/>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86"/>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86"/>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86"/>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86"/>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86"/>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86"/>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86"/>
        <w:spacing w:line="360" w:lineRule="auto"/>
        <w:rPr>
          <w:rFonts w:hint="eastAsia" w:ascii="宋体" w:hAnsi="宋体" w:eastAsia="宋体" w:cs="宋体"/>
          <w:b/>
          <w:color w:val="000000"/>
          <w:sz w:val="30"/>
          <w:szCs w:val="30"/>
          <w:highlight w:val="none"/>
        </w:rPr>
        <w:outlineLvl w:val="0"/>
      </w:pPr>
      <w:r/>
      <w:bookmarkStart w:id="223" w:name="_Toc10817"/>
      <w:r>
        <w:rPr>
          <w:rFonts w:hint="eastAsia" w:ascii="宋体" w:hAnsi="宋体" w:eastAsia="宋体" w:cs="宋体"/>
          <w:b/>
          <w:color w:val="000000"/>
          <w:sz w:val="30"/>
          <w:szCs w:val="30"/>
          <w:highlight w:val="none"/>
        </w:rPr>
      </w:r>
      <w:r/>
    </w:p>
    <w:p>
      <w:pPr>
        <w:pStyle w:val="786"/>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t xml:space="preserve">十一  项目人员配置清单（格式）</w:t>
      </w:r>
      <w:bookmarkEnd w:id="223"/>
      <w:r>
        <w:rPr>
          <w:rFonts w:hint="eastAsia" w:ascii="宋体" w:hAnsi="宋体" w:eastAsia="宋体" w:cs="宋体"/>
          <w:b/>
          <w:color w:val="000000"/>
          <w:sz w:val="30"/>
          <w:szCs w:val="30"/>
          <w:highlight w:val="none"/>
        </w:rPr>
      </w:r>
      <w:r/>
    </w:p>
    <w:p>
      <w:pPr>
        <w:pStyle w:val="786"/>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86"/>
        <w:jc w:val="center"/>
        <w:spacing w:line="400" w:lineRule="exact"/>
        <w:rPr>
          <w:rFonts w:hint="eastAsia" w:ascii="宋体" w:hAnsi="宋体" w:eastAsia="宋体" w:cs="宋体"/>
          <w:bCs/>
          <w:color w:val="000000"/>
          <w:sz w:val="28"/>
          <w:szCs w:val="28"/>
          <w:highlight w:val="none"/>
        </w:rPr>
        <w:outlineLvl w:val="0"/>
      </w:pPr>
      <w:r/>
      <w:bookmarkStart w:id="224" w:name="_Toc26456"/>
      <w:r>
        <w:rPr>
          <w:rFonts w:hint="eastAsia" w:ascii="宋体" w:hAnsi="宋体" w:eastAsia="宋体" w:cs="宋体"/>
          <w:bCs/>
          <w:color w:val="000000"/>
          <w:sz w:val="28"/>
          <w:szCs w:val="28"/>
          <w:highlight w:val="none"/>
        </w:rPr>
        <w:t xml:space="preserve">项目人员配置清单</w:t>
      </w:r>
      <w:bookmarkEnd w:id="224"/>
      <w:r>
        <w:rPr>
          <w:rFonts w:hint="eastAsia" w:ascii="宋体" w:hAnsi="宋体" w:eastAsia="宋体" w:cs="宋体"/>
          <w:bCs/>
          <w:color w:val="000000"/>
          <w:sz w:val="28"/>
          <w:szCs w:val="28"/>
          <w:highlight w:val="none"/>
        </w:rPr>
      </w:r>
      <w:r/>
    </w:p>
    <w:p>
      <w:pPr>
        <w:pStyle w:val="786"/>
        <w:jc w:val="center"/>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8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cs="宋体"/>
          <w:sz w:val="24"/>
          <w:szCs w:val="24"/>
          <w:highlight w:val="none"/>
          <w:shd w:val="clear" w:color="auto" w:fill="ffffff"/>
          <w:lang w:eastAsia="zh-CN"/>
        </w:rPr>
        <w:t xml:space="preserve">JSZC-320214-JNJS-G2026-0001</w:t>
      </w:r>
      <w:r>
        <w:rPr>
          <w:rFonts w:hint="eastAsia" w:ascii="宋体" w:hAnsi="宋体" w:eastAsia="宋体" w:cs="宋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786"/>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序号</w:t>
            </w:r>
            <w:r>
              <w:rPr>
                <w:rFonts w:hint="eastAsia" w:ascii="宋体" w:hAnsi="宋体" w:eastAsia="宋体" w:cs="宋体"/>
                <w:b/>
                <w:color w:val="000000"/>
                <w:sz w:val="24"/>
                <w:szCs w:val="21"/>
                <w:highlight w:val="none"/>
                <w:lang w:val="en-US" w:eastAsia="zh-CN" w:bidi="ar-SA"/>
              </w:rPr>
            </w:r>
            <w:r/>
          </w:p>
        </w:tc>
        <w:tc>
          <w:tcPr>
            <w:tcW w:w="1476" w:type="dxa"/>
            <w:vAlign w:val="center"/>
            <w:textDirection w:val="lrTb"/>
            <w:noWrap w:val="false"/>
          </w:tcPr>
          <w:p>
            <w:pPr>
              <w:pStyle w:val="786"/>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姓名</w:t>
            </w:r>
            <w:r>
              <w:rPr>
                <w:rFonts w:hint="eastAsia" w:ascii="宋体" w:hAnsi="宋体" w:eastAsia="宋体" w:cs="宋体"/>
                <w:b/>
                <w:color w:val="000000"/>
                <w:sz w:val="24"/>
                <w:szCs w:val="21"/>
                <w:highlight w:val="none"/>
                <w:lang w:val="en-US" w:eastAsia="zh-CN" w:bidi="ar-SA"/>
              </w:rPr>
            </w:r>
            <w:r/>
          </w:p>
        </w:tc>
        <w:tc>
          <w:tcPr>
            <w:tcW w:w="720" w:type="dxa"/>
            <w:vAlign w:val="center"/>
            <w:textDirection w:val="lrTb"/>
            <w:noWrap w:val="false"/>
          </w:tcPr>
          <w:p>
            <w:pPr>
              <w:pStyle w:val="786"/>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年龄</w:t>
            </w:r>
            <w:r>
              <w:rPr>
                <w:rFonts w:hint="eastAsia" w:ascii="宋体" w:hAnsi="宋体" w:eastAsia="宋体" w:cs="宋体"/>
                <w:b/>
                <w:color w:val="000000"/>
                <w:sz w:val="24"/>
                <w:szCs w:val="21"/>
                <w:highlight w:val="none"/>
                <w:lang w:val="en-US" w:eastAsia="zh-CN" w:bidi="ar-SA"/>
              </w:rPr>
            </w:r>
            <w:r/>
          </w:p>
        </w:tc>
        <w:tc>
          <w:tcPr>
            <w:tcW w:w="2520" w:type="dxa"/>
            <w:vAlign w:val="center"/>
            <w:textDirection w:val="lrTb"/>
            <w:noWrap w:val="false"/>
          </w:tcPr>
          <w:p>
            <w:pPr>
              <w:pStyle w:val="786"/>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本项目职责</w:t>
            </w:r>
            <w:r>
              <w:rPr>
                <w:rFonts w:hint="eastAsia" w:ascii="宋体" w:hAnsi="宋体" w:eastAsia="宋体" w:cs="宋体"/>
                <w:b/>
                <w:color w:val="000000"/>
                <w:sz w:val="24"/>
                <w:szCs w:val="21"/>
                <w:highlight w:val="none"/>
                <w:lang w:val="en-US" w:eastAsia="zh-CN" w:bidi="ar-SA"/>
              </w:rPr>
            </w:r>
            <w:r/>
          </w:p>
        </w:tc>
        <w:tc>
          <w:tcPr>
            <w:tcW w:w="3274" w:type="dxa"/>
            <w:vAlign w:val="center"/>
            <w:textDirection w:val="lrTb"/>
            <w:noWrap w:val="false"/>
          </w:tcPr>
          <w:p>
            <w:pPr>
              <w:pStyle w:val="786"/>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人员证书名称</w:t>
            </w:r>
            <w:r>
              <w:rPr>
                <w:rFonts w:hint="eastAsia" w:ascii="宋体" w:hAnsi="宋体" w:eastAsia="宋体" w:cs="宋体"/>
                <w:b/>
                <w:color w:val="000000"/>
                <w:sz w:val="24"/>
                <w:szCs w:val="21"/>
                <w:highlight w:val="none"/>
                <w:lang w:val="en-US" w:eastAsia="zh-CN" w:bidi="ar-SA"/>
              </w:rPr>
            </w:r>
            <w:r/>
          </w:p>
        </w:tc>
      </w:tr>
      <w:tr>
        <w:trPr>
          <w:trHeight w:val="680"/>
        </w:trPr>
        <w:tc>
          <w:tcPr>
            <w:tcW w:w="704" w:type="dxa"/>
            <w:vAlign w:val="top"/>
            <w:textDirection w:val="lrTb"/>
            <w:noWrap w:val="false"/>
          </w:tcPr>
          <w:p>
            <w:pPr>
              <w:pStyle w:val="786"/>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pStyle w:val="786"/>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pStyle w:val="786"/>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pStyle w:val="786"/>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pStyle w:val="786"/>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trHeight w:val="680"/>
        </w:trPr>
        <w:tc>
          <w:tcPr>
            <w:tcW w:w="704" w:type="dxa"/>
            <w:vAlign w:val="top"/>
            <w:textDirection w:val="lrTb"/>
            <w:noWrap w:val="false"/>
          </w:tcPr>
          <w:p>
            <w:pPr>
              <w:pStyle w:val="786"/>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pStyle w:val="786"/>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pStyle w:val="786"/>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pStyle w:val="786"/>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pStyle w:val="786"/>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trHeight w:val="680"/>
        </w:trPr>
        <w:tc>
          <w:tcPr>
            <w:tcW w:w="704" w:type="dxa"/>
            <w:vAlign w:val="top"/>
            <w:textDirection w:val="lrTb"/>
            <w:noWrap w:val="false"/>
          </w:tcPr>
          <w:p>
            <w:pPr>
              <w:pStyle w:val="786"/>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pStyle w:val="786"/>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pStyle w:val="786"/>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pStyle w:val="786"/>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pStyle w:val="786"/>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trHeight w:val="680"/>
        </w:trPr>
        <w:tc>
          <w:tcPr>
            <w:tcW w:w="704" w:type="dxa"/>
            <w:vAlign w:val="top"/>
            <w:textDirection w:val="lrTb"/>
            <w:noWrap w:val="false"/>
          </w:tcPr>
          <w:p>
            <w:pPr>
              <w:pStyle w:val="786"/>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pStyle w:val="786"/>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pStyle w:val="786"/>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pStyle w:val="786"/>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pStyle w:val="786"/>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trHeight w:val="680"/>
        </w:trPr>
        <w:tc>
          <w:tcPr>
            <w:tcW w:w="704" w:type="dxa"/>
            <w:vAlign w:val="top"/>
            <w:textDirection w:val="lrTb"/>
            <w:noWrap w:val="false"/>
          </w:tcPr>
          <w:p>
            <w:pPr>
              <w:pStyle w:val="786"/>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pStyle w:val="786"/>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pStyle w:val="786"/>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pStyle w:val="786"/>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pStyle w:val="786"/>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bl>
    <w:p>
      <w:pPr>
        <w:pStyle w:val="78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86"/>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rPr>
          <w:rFonts w:hint="eastAsia" w:ascii="宋体" w:hAnsi="宋体" w:eastAsia="宋体" w:cs="宋体"/>
          <w:b/>
          <w:bCs/>
          <w:color w:val="000000"/>
          <w:sz w:val="24"/>
          <w:szCs w:val="24"/>
          <w:highlight w:val="none"/>
        </w:rPr>
      </w:r>
      <w:r/>
    </w:p>
    <w:p>
      <w:pPr>
        <w:pStyle w:val="786"/>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86"/>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86"/>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86"/>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注：1. 表格不够可自行延长。</w:t>
      </w:r>
      <w:r>
        <w:rPr>
          <w:rFonts w:hint="eastAsia" w:ascii="宋体" w:hAnsi="宋体" w:eastAsia="宋体" w:cs="宋体"/>
          <w:bCs/>
          <w:color w:val="000000"/>
          <w:highlight w:val="none"/>
        </w:rPr>
      </w:r>
      <w:r/>
    </w:p>
    <w:p>
      <w:pPr>
        <w:pStyle w:val="786"/>
        <w:ind w:firstLine="420"/>
        <w:rPr>
          <w:rFonts w:hint="eastAsia" w:ascii="宋体" w:hAnsi="宋体" w:eastAsia="宋体" w:cs="宋体"/>
          <w:bCs/>
          <w:color w:val="auto"/>
          <w:highlight w:val="none"/>
        </w:rPr>
      </w:pPr>
      <w:r>
        <w:rPr>
          <w:rFonts w:hint="eastAsia" w:ascii="宋体" w:hAnsi="宋体" w:eastAsia="宋体" w:cs="宋体"/>
          <w:bCs/>
          <w:color w:val="000000"/>
          <w:highlight w:val="none"/>
        </w:rPr>
        <w:t xml:space="preserve">2.</w:t>
      </w:r>
      <w:r>
        <w:rPr>
          <w:rFonts w:ascii="宋体" w:hAnsi="宋体" w:eastAsia="宋体" w:cs="宋体"/>
          <w:b w:val="0"/>
          <w:bCs w:val="0"/>
          <w:color w:val="0070c0"/>
          <w:sz w:val="21"/>
          <w:szCs w:val="21"/>
        </w:rPr>
        <w:t xml:space="preserve">提供人员证书原件扫描件及投标人为其缴纳的近六个月中连续三个月份（不含投标当月）社保证明上传至投标文件中</w:t>
      </w:r>
      <w:r>
        <w:rPr>
          <w:rFonts w:hint="eastAsia" w:ascii="宋体" w:hAnsi="宋体" w:eastAsia="宋体" w:cs="宋体"/>
          <w:b w:val="0"/>
          <w:bCs w:val="0"/>
          <w:color w:val="0070c0"/>
          <w:sz w:val="21"/>
          <w:szCs w:val="21"/>
          <w:highlight w:val="none"/>
        </w:rPr>
        <w:t xml:space="preserve">。</w:t>
      </w:r>
      <w:r>
        <w:rPr>
          <w:rFonts w:hint="eastAsia" w:ascii="宋体" w:hAnsi="宋体" w:eastAsia="宋体" w:cs="宋体"/>
          <w:b w:val="0"/>
          <w:bCs w:val="0"/>
          <w:color w:val="auto"/>
          <w:sz w:val="21"/>
          <w:szCs w:val="21"/>
          <w:highlight w:val="none"/>
        </w:rPr>
      </w:r>
      <w:r>
        <w:rPr>
          <w:rFonts w:hint="eastAsia" w:ascii="宋体" w:hAnsi="宋体" w:eastAsia="宋体" w:cs="宋体"/>
          <w:bCs/>
          <w:color w:val="auto"/>
          <w:highlight w:val="none"/>
        </w:rP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Symbol">
    <w:panose1 w:val="05050102010706020507"/>
  </w:font>
  <w:font w:name="方正黑体_GBK">
    <w:panose1 w:val="020B0503020202020204"/>
  </w:font>
  <w:font w:name="Tahoma">
    <w:panose1 w:val="020B0604030504040204"/>
  </w:font>
  <w:font w:name="Wingdings">
    <w:panose1 w:val="05000000000000000000"/>
  </w:font>
  <w:font w:name="华文楷体">
    <w:panose1 w:val="02010600040101010101"/>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 w:name="方正小标宋_GBK">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tabs>
        <w:tab w:val="center" w:pos="4153" w:leader="none"/>
        <w:tab w:val="right" w:pos="8306" w:leader="none"/>
      </w:tabs>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86"/>
                          </w:pPr>
                          <w:r/>
                          <w:r/>
                        </w:p>
                        <w:p>
                          <w:pPr>
                            <w:pStyle w:val="78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86"/>
                    </w:pPr>
                    <w:r/>
                    <w:r/>
                  </w:p>
                  <w:p>
                    <w:pPr>
                      <w:pStyle w:val="786"/>
                    </w:pPr>
                    <w:r/>
                    <w:r/>
                  </w:p>
                </w:txbxContent>
              </v:textbox>
            </v:shape>
          </w:pict>
        </mc:Fallback>
      </mc:AlternateContent>
    </w: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86"/>
                          </w:pPr>
                          <w:r/>
                          <w:r/>
                        </w:p>
                        <w:p>
                          <w:pPr>
                            <w:pStyle w:val="78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86"/>
                    </w:pPr>
                    <w:r/>
                    <w:r/>
                  </w:p>
                  <w:p>
                    <w:pPr>
                      <w:pStyle w:val="78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786"/>
        <w:ind w:left="1080" w:hanging="1080"/>
        <w:tabs>
          <w:tab w:val="num" w:pos="1080" w:leader="none"/>
        </w:tabs>
      </w:pPr>
      <w:rPr>
        <w:rFonts w:cs="Times New Roman"/>
      </w:rPr>
    </w:lvl>
    <w:lvl w:ilvl="1">
      <w:start w:val="1"/>
      <w:numFmt w:val="decimal"/>
      <w:isLgl w:val="false"/>
      <w:suff w:val="tab"/>
      <w:lvlText w:val="%2."/>
      <w:lvlJc w:val="left"/>
      <w:pPr>
        <w:pStyle w:val="786"/>
        <w:ind w:left="780" w:hanging="360"/>
        <w:tabs>
          <w:tab w:val="num" w:pos="780" w:leader="none"/>
        </w:tabs>
      </w:pPr>
      <w:rPr>
        <w:rFonts w:cs="Times New Roman"/>
        <w:color w:val="000000"/>
      </w:rPr>
    </w:lvl>
    <w:lvl w:ilvl="2">
      <w:start w:val="1"/>
      <w:numFmt w:val="lowerRoman"/>
      <w:isLgl w:val="false"/>
      <w:suff w:val="tab"/>
      <w:lvlText w:val="%3."/>
      <w:lvlJc w:val="right"/>
      <w:pPr>
        <w:pStyle w:val="786"/>
        <w:ind w:left="1260" w:hanging="420"/>
        <w:tabs>
          <w:tab w:val="num" w:pos="1260" w:leader="none"/>
        </w:tabs>
      </w:pPr>
      <w:rPr>
        <w:rFonts w:cs="Times New Roman"/>
      </w:rPr>
    </w:lvl>
    <w:lvl w:ilvl="3">
      <w:start w:val="1"/>
      <w:numFmt w:val="decimal"/>
      <w:isLgl w:val="false"/>
      <w:suff w:val="tab"/>
      <w:lvlText w:val="%4."/>
      <w:lvlJc w:val="left"/>
      <w:pPr>
        <w:pStyle w:val="786"/>
        <w:ind w:left="1680" w:hanging="420"/>
        <w:tabs>
          <w:tab w:val="num" w:pos="1680" w:leader="none"/>
        </w:tabs>
      </w:pPr>
      <w:rPr>
        <w:rFonts w:cs="Times New Roman"/>
      </w:rPr>
    </w:lvl>
    <w:lvl w:ilvl="4">
      <w:start w:val="1"/>
      <w:numFmt w:val="lowerLetter"/>
      <w:isLgl w:val="false"/>
      <w:suff w:val="tab"/>
      <w:lvlText w:val="%5)"/>
      <w:lvlJc w:val="left"/>
      <w:pPr>
        <w:pStyle w:val="786"/>
        <w:ind w:left="2100" w:hanging="420"/>
        <w:tabs>
          <w:tab w:val="num" w:pos="2100" w:leader="none"/>
        </w:tabs>
      </w:pPr>
      <w:rPr>
        <w:rFonts w:cs="Times New Roman"/>
      </w:rPr>
    </w:lvl>
    <w:lvl w:ilvl="5">
      <w:start w:val="1"/>
      <w:numFmt w:val="lowerRoman"/>
      <w:isLgl w:val="false"/>
      <w:suff w:val="tab"/>
      <w:lvlText w:val="%6."/>
      <w:lvlJc w:val="right"/>
      <w:pPr>
        <w:pStyle w:val="786"/>
        <w:ind w:left="2520" w:hanging="420"/>
        <w:tabs>
          <w:tab w:val="num" w:pos="2520" w:leader="none"/>
        </w:tabs>
      </w:pPr>
      <w:rPr>
        <w:rFonts w:cs="Times New Roman"/>
      </w:rPr>
    </w:lvl>
    <w:lvl w:ilvl="6">
      <w:start w:val="1"/>
      <w:numFmt w:val="decimal"/>
      <w:isLgl w:val="false"/>
      <w:suff w:val="tab"/>
      <w:lvlText w:val="%7."/>
      <w:lvlJc w:val="left"/>
      <w:pPr>
        <w:pStyle w:val="786"/>
        <w:ind w:left="2940" w:hanging="420"/>
        <w:tabs>
          <w:tab w:val="num" w:pos="2940" w:leader="none"/>
        </w:tabs>
      </w:pPr>
      <w:rPr>
        <w:rFonts w:cs="Times New Roman"/>
      </w:rPr>
    </w:lvl>
    <w:lvl w:ilvl="7">
      <w:start w:val="1"/>
      <w:numFmt w:val="lowerLetter"/>
      <w:isLgl w:val="false"/>
      <w:suff w:val="tab"/>
      <w:lvlText w:val="%8)"/>
      <w:lvlJc w:val="left"/>
      <w:pPr>
        <w:pStyle w:val="786"/>
        <w:ind w:left="3360" w:hanging="420"/>
        <w:tabs>
          <w:tab w:val="num" w:pos="3360" w:leader="none"/>
        </w:tabs>
      </w:pPr>
      <w:rPr>
        <w:rFonts w:cs="Times New Roman"/>
      </w:rPr>
    </w:lvl>
    <w:lvl w:ilvl="8">
      <w:start w:val="1"/>
      <w:numFmt w:val="lowerRoman"/>
      <w:isLgl w:val="false"/>
      <w:suff w:val="tab"/>
      <w:lvlText w:val="%9."/>
      <w:lvlJc w:val="right"/>
      <w:pPr>
        <w:pStyle w:val="786"/>
        <w:ind w:left="3780" w:hanging="420"/>
        <w:tabs>
          <w:tab w:val="num" w:pos="3780" w:leader="none"/>
        </w:tabs>
      </w:pPr>
      <w:rPr>
        <w:rFonts w:cs="Times New Roman"/>
      </w:rPr>
    </w:lvl>
  </w:abstractNum>
  <w:abstractNum w:abstractNumId="1">
    <w:multiLevelType w:val="hybridMultilevel"/>
    <w:lvl w:ilvl="0">
      <w:start w:val="1"/>
      <w:numFmt w:val="decimal"/>
      <w:isLgl w:val="false"/>
      <w:suff w:val="nothing"/>
      <w:lvlText w:val="%1、"/>
      <w:lvlJc w:val="left"/>
      <w:pPr>
        <w:pStyle w:val="786"/>
      </w:pPr>
    </w:lvl>
    <w:lvl w:ilvl="1">
      <w:start w:val="1"/>
      <w:numFmt w:val="bullet"/>
      <w:isLgl w:val="false"/>
      <w:suff w:val="tab"/>
      <w:lvlText w:val="o"/>
      <w:lvlJc w:val="left"/>
      <w:pPr>
        <w:pStyle w:val="786"/>
        <w:ind w:left="1440" w:hanging="360"/>
      </w:pPr>
      <w:rPr>
        <w:rFonts w:ascii="Courier New" w:hAnsi="Courier New" w:eastAsia="Courier New" w:cs="Courier New"/>
      </w:rPr>
    </w:lvl>
    <w:lvl w:ilvl="2">
      <w:start w:val="1"/>
      <w:numFmt w:val="bullet"/>
      <w:isLgl w:val="false"/>
      <w:suff w:val="tab"/>
      <w:lvlText w:val="§"/>
      <w:lvlJc w:val="left"/>
      <w:pPr>
        <w:pStyle w:val="786"/>
        <w:ind w:left="2160" w:hanging="360"/>
      </w:pPr>
      <w:rPr>
        <w:rFonts w:ascii="Wingdings" w:hAnsi="Wingdings" w:eastAsia="Wingdings" w:cs="Wingdings"/>
      </w:rPr>
    </w:lvl>
    <w:lvl w:ilvl="3">
      <w:start w:val="1"/>
      <w:numFmt w:val="bullet"/>
      <w:isLgl w:val="false"/>
      <w:suff w:val="tab"/>
      <w:lvlText w:val="·"/>
      <w:lvlJc w:val="left"/>
      <w:pPr>
        <w:pStyle w:val="786"/>
        <w:ind w:left="2880" w:hanging="360"/>
      </w:pPr>
      <w:rPr>
        <w:rFonts w:ascii="Symbol" w:hAnsi="Symbol" w:eastAsia="Symbol" w:cs="Symbol"/>
      </w:rPr>
    </w:lvl>
    <w:lvl w:ilvl="4">
      <w:start w:val="1"/>
      <w:numFmt w:val="bullet"/>
      <w:isLgl w:val="false"/>
      <w:suff w:val="tab"/>
      <w:lvlText w:val="o"/>
      <w:lvlJc w:val="left"/>
      <w:pPr>
        <w:pStyle w:val="786"/>
        <w:ind w:left="3600" w:hanging="360"/>
      </w:pPr>
      <w:rPr>
        <w:rFonts w:ascii="Courier New" w:hAnsi="Courier New" w:eastAsia="Courier New" w:cs="Courier New"/>
      </w:rPr>
    </w:lvl>
    <w:lvl w:ilvl="5">
      <w:start w:val="1"/>
      <w:numFmt w:val="bullet"/>
      <w:isLgl w:val="false"/>
      <w:suff w:val="tab"/>
      <w:lvlText w:val="§"/>
      <w:lvlJc w:val="left"/>
      <w:pPr>
        <w:pStyle w:val="786"/>
        <w:ind w:left="4320" w:hanging="360"/>
      </w:pPr>
      <w:rPr>
        <w:rFonts w:ascii="Wingdings" w:hAnsi="Wingdings" w:eastAsia="Wingdings" w:cs="Wingdings"/>
      </w:rPr>
    </w:lvl>
    <w:lvl w:ilvl="6">
      <w:start w:val="1"/>
      <w:numFmt w:val="bullet"/>
      <w:isLgl w:val="false"/>
      <w:suff w:val="tab"/>
      <w:lvlText w:val="·"/>
      <w:lvlJc w:val="left"/>
      <w:pPr>
        <w:pStyle w:val="786"/>
        <w:ind w:left="5040" w:hanging="360"/>
      </w:pPr>
      <w:rPr>
        <w:rFonts w:ascii="Symbol" w:hAnsi="Symbol" w:eastAsia="Symbol" w:cs="Symbol"/>
      </w:rPr>
    </w:lvl>
    <w:lvl w:ilvl="7">
      <w:start w:val="1"/>
      <w:numFmt w:val="bullet"/>
      <w:isLgl w:val="false"/>
      <w:suff w:val="tab"/>
      <w:lvlText w:val="o"/>
      <w:lvlJc w:val="left"/>
      <w:pPr>
        <w:pStyle w:val="786"/>
        <w:ind w:left="5760" w:hanging="360"/>
      </w:pPr>
      <w:rPr>
        <w:rFonts w:ascii="Courier New" w:hAnsi="Courier New" w:eastAsia="Courier New" w:cs="Courier New"/>
      </w:rPr>
    </w:lvl>
    <w:lvl w:ilvl="8">
      <w:start w:val="1"/>
      <w:numFmt w:val="bullet"/>
      <w:isLgl w:val="false"/>
      <w:suff w:val="tab"/>
      <w:lvlText w:val="§"/>
      <w:lvlJc w:val="left"/>
      <w:pPr>
        <w:pStyle w:val="786"/>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第%1条"/>
      <w:lvlJc w:val="left"/>
      <w:pPr>
        <w:pStyle w:val="786"/>
        <w:ind w:left="1367" w:hanging="945"/>
        <w:tabs>
          <w:tab w:val="num" w:pos="1505" w:leader="none"/>
        </w:tabs>
      </w:pPr>
      <w:rPr>
        <w:rFonts w:hint="eastAsia"/>
      </w:rPr>
    </w:lvl>
    <w:lvl w:ilvl="1">
      <w:start w:val="1"/>
      <w:numFmt w:val="decimal"/>
      <w:isLgl w:val="false"/>
      <w:suff w:val="tab"/>
      <w:lvlText w:val="%2、"/>
      <w:lvlJc w:val="left"/>
      <w:pPr>
        <w:pStyle w:val="786"/>
        <w:ind w:left="1340" w:hanging="360"/>
        <w:tabs>
          <w:tab w:val="num" w:pos="1340" w:leader="none"/>
        </w:tabs>
      </w:pPr>
      <w:rPr>
        <w:rFonts w:hint="eastAsia"/>
      </w:rPr>
    </w:lvl>
    <w:lvl w:ilvl="2">
      <w:start w:val="1"/>
      <w:numFmt w:val="japaneseCounting"/>
      <w:isLgl w:val="false"/>
      <w:suff w:val="tab"/>
      <w:lvlText w:val="%3、"/>
      <w:lvlJc w:val="left"/>
      <w:pPr>
        <w:pStyle w:val="786"/>
        <w:ind w:left="1820" w:hanging="420"/>
        <w:tabs>
          <w:tab w:val="num" w:pos="1820" w:leader="none"/>
        </w:tabs>
      </w:pPr>
      <w:rPr>
        <w:rFonts w:hint="eastAsia"/>
      </w:rPr>
    </w:lvl>
    <w:lvl w:ilvl="3">
      <w:start w:val="1"/>
      <w:numFmt w:val="decimal"/>
      <w:isLgl w:val="false"/>
      <w:suff w:val="tab"/>
      <w:lvlText w:val="%4."/>
      <w:lvlJc w:val="left"/>
      <w:pPr>
        <w:pStyle w:val="786"/>
        <w:ind w:left="2240" w:hanging="420"/>
        <w:tabs>
          <w:tab w:val="num" w:pos="2240" w:leader="none"/>
        </w:tabs>
      </w:pPr>
    </w:lvl>
    <w:lvl w:ilvl="4">
      <w:start w:val="1"/>
      <w:numFmt w:val="lowerLetter"/>
      <w:isLgl w:val="false"/>
      <w:suff w:val="tab"/>
      <w:lvlText w:val="%5)"/>
      <w:lvlJc w:val="left"/>
      <w:pPr>
        <w:pStyle w:val="786"/>
        <w:ind w:left="2660" w:hanging="420"/>
        <w:tabs>
          <w:tab w:val="num" w:pos="2660" w:leader="none"/>
        </w:tabs>
      </w:pPr>
    </w:lvl>
    <w:lvl w:ilvl="5">
      <w:start w:val="1"/>
      <w:numFmt w:val="lowerRoman"/>
      <w:isLgl w:val="false"/>
      <w:suff w:val="tab"/>
      <w:lvlText w:val="%6."/>
      <w:lvlJc w:val="right"/>
      <w:pPr>
        <w:pStyle w:val="786"/>
        <w:ind w:left="3080" w:hanging="420"/>
        <w:tabs>
          <w:tab w:val="num" w:pos="3080" w:leader="none"/>
        </w:tabs>
      </w:pPr>
    </w:lvl>
    <w:lvl w:ilvl="6">
      <w:start w:val="1"/>
      <w:numFmt w:val="decimal"/>
      <w:isLgl w:val="false"/>
      <w:suff w:val="tab"/>
      <w:lvlText w:val="%7."/>
      <w:lvlJc w:val="left"/>
      <w:pPr>
        <w:pStyle w:val="786"/>
        <w:ind w:left="3500" w:hanging="420"/>
        <w:tabs>
          <w:tab w:val="num" w:pos="3500" w:leader="none"/>
        </w:tabs>
      </w:pPr>
    </w:lvl>
    <w:lvl w:ilvl="7">
      <w:start w:val="1"/>
      <w:numFmt w:val="lowerLetter"/>
      <w:isLgl w:val="false"/>
      <w:suff w:val="tab"/>
      <w:lvlText w:val="%8)"/>
      <w:lvlJc w:val="left"/>
      <w:pPr>
        <w:pStyle w:val="786"/>
        <w:ind w:left="3920" w:hanging="420"/>
        <w:tabs>
          <w:tab w:val="num" w:pos="3920" w:leader="none"/>
        </w:tabs>
      </w:pPr>
    </w:lvl>
    <w:lvl w:ilvl="8">
      <w:start w:val="1"/>
      <w:numFmt w:val="lowerRoman"/>
      <w:isLgl w:val="false"/>
      <w:suff w:val="tab"/>
      <w:lvlText w:val="%9."/>
      <w:lvlJc w:val="right"/>
      <w:pPr>
        <w:pStyle w:val="786"/>
        <w:ind w:left="4340" w:hanging="420"/>
        <w:tabs>
          <w:tab w:val="num" w:pos="4340" w:leader="none"/>
        </w:tabs>
      </w:pPr>
    </w:lvl>
  </w:abstractNum>
  <w:abstractNum w:abstractNumId="3">
    <w:multiLevelType w:val="hybridMultilevel"/>
    <w:lvl w:ilvl="0">
      <w:start w:val="1"/>
      <w:numFmt w:val="decimal"/>
      <w:isLgl w:val="false"/>
      <w:suff w:val="nothing"/>
      <w:lvlText w:val="（%1）"/>
      <w:lvlJc w:val="left"/>
      <w:pPr>
        <w:pStyle w:val="786"/>
      </w:pPr>
    </w:lvl>
    <w:lvl w:ilvl="1">
      <w:start w:val="1"/>
      <w:numFmt w:val="bullet"/>
      <w:isLgl w:val="false"/>
      <w:suff w:val="tab"/>
      <w:lvlText w:val="o"/>
      <w:lvlJc w:val="left"/>
      <w:pPr>
        <w:pStyle w:val="786"/>
        <w:ind w:left="1440" w:hanging="360"/>
      </w:pPr>
      <w:rPr>
        <w:rFonts w:ascii="Courier New" w:hAnsi="Courier New" w:eastAsia="Courier New" w:cs="Courier New"/>
      </w:rPr>
    </w:lvl>
    <w:lvl w:ilvl="2">
      <w:start w:val="1"/>
      <w:numFmt w:val="bullet"/>
      <w:isLgl w:val="false"/>
      <w:suff w:val="tab"/>
      <w:lvlText w:val="§"/>
      <w:lvlJc w:val="left"/>
      <w:pPr>
        <w:pStyle w:val="786"/>
        <w:ind w:left="2160" w:hanging="360"/>
      </w:pPr>
      <w:rPr>
        <w:rFonts w:ascii="Wingdings" w:hAnsi="Wingdings" w:eastAsia="Wingdings" w:cs="Wingdings"/>
      </w:rPr>
    </w:lvl>
    <w:lvl w:ilvl="3">
      <w:start w:val="1"/>
      <w:numFmt w:val="bullet"/>
      <w:isLgl w:val="false"/>
      <w:suff w:val="tab"/>
      <w:lvlText w:val="·"/>
      <w:lvlJc w:val="left"/>
      <w:pPr>
        <w:pStyle w:val="786"/>
        <w:ind w:left="2880" w:hanging="360"/>
      </w:pPr>
      <w:rPr>
        <w:rFonts w:ascii="Symbol" w:hAnsi="Symbol" w:eastAsia="Symbol" w:cs="Symbol"/>
      </w:rPr>
    </w:lvl>
    <w:lvl w:ilvl="4">
      <w:start w:val="1"/>
      <w:numFmt w:val="bullet"/>
      <w:isLgl w:val="false"/>
      <w:suff w:val="tab"/>
      <w:lvlText w:val="o"/>
      <w:lvlJc w:val="left"/>
      <w:pPr>
        <w:pStyle w:val="786"/>
        <w:ind w:left="3600" w:hanging="360"/>
      </w:pPr>
      <w:rPr>
        <w:rFonts w:ascii="Courier New" w:hAnsi="Courier New" w:eastAsia="Courier New" w:cs="Courier New"/>
      </w:rPr>
    </w:lvl>
    <w:lvl w:ilvl="5">
      <w:start w:val="1"/>
      <w:numFmt w:val="bullet"/>
      <w:isLgl w:val="false"/>
      <w:suff w:val="tab"/>
      <w:lvlText w:val="§"/>
      <w:lvlJc w:val="left"/>
      <w:pPr>
        <w:pStyle w:val="786"/>
        <w:ind w:left="4320" w:hanging="360"/>
      </w:pPr>
      <w:rPr>
        <w:rFonts w:ascii="Wingdings" w:hAnsi="Wingdings" w:eastAsia="Wingdings" w:cs="Wingdings"/>
      </w:rPr>
    </w:lvl>
    <w:lvl w:ilvl="6">
      <w:start w:val="1"/>
      <w:numFmt w:val="bullet"/>
      <w:isLgl w:val="false"/>
      <w:suff w:val="tab"/>
      <w:lvlText w:val="·"/>
      <w:lvlJc w:val="left"/>
      <w:pPr>
        <w:pStyle w:val="786"/>
        <w:ind w:left="5040" w:hanging="360"/>
      </w:pPr>
      <w:rPr>
        <w:rFonts w:ascii="Symbol" w:hAnsi="Symbol" w:eastAsia="Symbol" w:cs="Symbol"/>
      </w:rPr>
    </w:lvl>
    <w:lvl w:ilvl="7">
      <w:start w:val="1"/>
      <w:numFmt w:val="bullet"/>
      <w:isLgl w:val="false"/>
      <w:suff w:val="tab"/>
      <w:lvlText w:val="o"/>
      <w:lvlJc w:val="left"/>
      <w:pPr>
        <w:pStyle w:val="786"/>
        <w:ind w:left="5760" w:hanging="360"/>
      </w:pPr>
      <w:rPr>
        <w:rFonts w:ascii="Courier New" w:hAnsi="Courier New" w:eastAsia="Courier New" w:cs="Courier New"/>
      </w:rPr>
    </w:lvl>
    <w:lvl w:ilvl="8">
      <w:start w:val="1"/>
      <w:numFmt w:val="bullet"/>
      <w:isLgl w:val="false"/>
      <w:suff w:val="tab"/>
      <w:lvlText w:val="§"/>
      <w:lvlJc w:val="left"/>
      <w:pPr>
        <w:pStyle w:val="786"/>
        <w:ind w:left="6480" w:hanging="360"/>
      </w:pPr>
      <w:rPr>
        <w:rFonts w:ascii="Wingdings" w:hAnsi="Wingdings" w:eastAsia="Wingdings" w:cs="Wingdings"/>
      </w:rPr>
    </w:lvl>
  </w:abstractNum>
  <w:abstractNum w:abstractNumId="4">
    <w:multiLevelType w:val="hybridMultilevel"/>
    <w:lvl w:ilvl="0">
      <w:start w:val="1"/>
      <w:numFmt w:val="upperLetter"/>
      <w:pStyle w:val="1054"/>
      <w:isLgl w:val="false"/>
      <w:suff w:val="tab"/>
      <w:lvlText w:val="附录%1."/>
      <w:lvlJc w:val="left"/>
      <w:pPr>
        <w:pStyle w:val="786"/>
        <w:ind w:left="907" w:hanging="907"/>
        <w:tabs>
          <w:tab w:val="num" w:pos="907" w:leader="none"/>
        </w:tabs>
      </w:pPr>
      <w:rPr>
        <w:rFonts w:hint="eastAsia"/>
      </w:rPr>
    </w:lvl>
    <w:lvl w:ilvl="1">
      <w:start w:val="1"/>
      <w:numFmt w:val="bullet"/>
      <w:isLgl w:val="false"/>
      <w:suff w:val="tab"/>
      <w:lvlText w:val="o"/>
      <w:lvlJc w:val="left"/>
      <w:pPr>
        <w:pStyle w:val="786"/>
        <w:ind w:left="1440" w:hanging="360"/>
      </w:pPr>
      <w:rPr>
        <w:rFonts w:ascii="Courier New" w:hAnsi="Courier New" w:eastAsia="Courier New" w:cs="Courier New"/>
      </w:rPr>
    </w:lvl>
    <w:lvl w:ilvl="2">
      <w:start w:val="1"/>
      <w:numFmt w:val="bullet"/>
      <w:isLgl w:val="false"/>
      <w:suff w:val="tab"/>
      <w:lvlText w:val="§"/>
      <w:lvlJc w:val="left"/>
      <w:pPr>
        <w:pStyle w:val="786"/>
        <w:ind w:left="2160" w:hanging="360"/>
      </w:pPr>
      <w:rPr>
        <w:rFonts w:ascii="Wingdings" w:hAnsi="Wingdings" w:eastAsia="Wingdings" w:cs="Wingdings"/>
      </w:rPr>
    </w:lvl>
    <w:lvl w:ilvl="3">
      <w:start w:val="1"/>
      <w:numFmt w:val="bullet"/>
      <w:isLgl w:val="false"/>
      <w:suff w:val="tab"/>
      <w:lvlText w:val="·"/>
      <w:lvlJc w:val="left"/>
      <w:pPr>
        <w:pStyle w:val="786"/>
        <w:ind w:left="2880" w:hanging="360"/>
      </w:pPr>
      <w:rPr>
        <w:rFonts w:ascii="Symbol" w:hAnsi="Symbol" w:eastAsia="Symbol" w:cs="Symbol"/>
      </w:rPr>
    </w:lvl>
    <w:lvl w:ilvl="4">
      <w:start w:val="1"/>
      <w:numFmt w:val="bullet"/>
      <w:isLgl w:val="false"/>
      <w:suff w:val="tab"/>
      <w:lvlText w:val="o"/>
      <w:lvlJc w:val="left"/>
      <w:pPr>
        <w:pStyle w:val="786"/>
        <w:ind w:left="3600" w:hanging="360"/>
      </w:pPr>
      <w:rPr>
        <w:rFonts w:ascii="Courier New" w:hAnsi="Courier New" w:eastAsia="Courier New" w:cs="Courier New"/>
      </w:rPr>
    </w:lvl>
    <w:lvl w:ilvl="5">
      <w:start w:val="1"/>
      <w:numFmt w:val="bullet"/>
      <w:isLgl w:val="false"/>
      <w:suff w:val="tab"/>
      <w:lvlText w:val="§"/>
      <w:lvlJc w:val="left"/>
      <w:pPr>
        <w:pStyle w:val="786"/>
        <w:ind w:left="4320" w:hanging="360"/>
      </w:pPr>
      <w:rPr>
        <w:rFonts w:ascii="Wingdings" w:hAnsi="Wingdings" w:eastAsia="Wingdings" w:cs="Wingdings"/>
      </w:rPr>
    </w:lvl>
    <w:lvl w:ilvl="6">
      <w:start w:val="1"/>
      <w:numFmt w:val="bullet"/>
      <w:isLgl w:val="false"/>
      <w:suff w:val="tab"/>
      <w:lvlText w:val="·"/>
      <w:lvlJc w:val="left"/>
      <w:pPr>
        <w:pStyle w:val="786"/>
        <w:ind w:left="5040" w:hanging="360"/>
      </w:pPr>
      <w:rPr>
        <w:rFonts w:ascii="Symbol" w:hAnsi="Symbol" w:eastAsia="Symbol" w:cs="Symbol"/>
      </w:rPr>
    </w:lvl>
    <w:lvl w:ilvl="7">
      <w:start w:val="1"/>
      <w:numFmt w:val="bullet"/>
      <w:isLgl w:val="false"/>
      <w:suff w:val="tab"/>
      <w:lvlText w:val="o"/>
      <w:lvlJc w:val="left"/>
      <w:pPr>
        <w:pStyle w:val="786"/>
        <w:ind w:left="5760" w:hanging="360"/>
      </w:pPr>
      <w:rPr>
        <w:rFonts w:ascii="Courier New" w:hAnsi="Courier New" w:eastAsia="Courier New" w:cs="Courier New"/>
      </w:rPr>
    </w:lvl>
    <w:lvl w:ilvl="8">
      <w:start w:val="1"/>
      <w:numFmt w:val="bullet"/>
      <w:isLgl w:val="false"/>
      <w:suff w:val="tab"/>
      <w:lvlText w:val="§"/>
      <w:lvlJc w:val="left"/>
      <w:pPr>
        <w:pStyle w:val="786"/>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86"/>
      </w:pPr>
    </w:lvl>
    <w:lvl w:ilvl="1">
      <w:start w:val="1"/>
      <w:numFmt w:val="bullet"/>
      <w:isLgl w:val="false"/>
      <w:suff w:val="tab"/>
      <w:lvlText w:val="o"/>
      <w:lvlJc w:val="left"/>
      <w:pPr>
        <w:pStyle w:val="786"/>
        <w:ind w:left="1440" w:hanging="360"/>
      </w:pPr>
      <w:rPr>
        <w:rFonts w:ascii="Courier New" w:hAnsi="Courier New" w:eastAsia="Courier New" w:cs="Courier New"/>
      </w:rPr>
    </w:lvl>
    <w:lvl w:ilvl="2">
      <w:start w:val="1"/>
      <w:numFmt w:val="bullet"/>
      <w:isLgl w:val="false"/>
      <w:suff w:val="tab"/>
      <w:lvlText w:val="§"/>
      <w:lvlJc w:val="left"/>
      <w:pPr>
        <w:pStyle w:val="786"/>
        <w:ind w:left="2160" w:hanging="360"/>
      </w:pPr>
      <w:rPr>
        <w:rFonts w:ascii="Wingdings" w:hAnsi="Wingdings" w:eastAsia="Wingdings" w:cs="Wingdings"/>
      </w:rPr>
    </w:lvl>
    <w:lvl w:ilvl="3">
      <w:start w:val="1"/>
      <w:numFmt w:val="bullet"/>
      <w:isLgl w:val="false"/>
      <w:suff w:val="tab"/>
      <w:lvlText w:val="·"/>
      <w:lvlJc w:val="left"/>
      <w:pPr>
        <w:pStyle w:val="786"/>
        <w:ind w:left="2880" w:hanging="360"/>
      </w:pPr>
      <w:rPr>
        <w:rFonts w:ascii="Symbol" w:hAnsi="Symbol" w:eastAsia="Symbol" w:cs="Symbol"/>
      </w:rPr>
    </w:lvl>
    <w:lvl w:ilvl="4">
      <w:start w:val="1"/>
      <w:numFmt w:val="bullet"/>
      <w:isLgl w:val="false"/>
      <w:suff w:val="tab"/>
      <w:lvlText w:val="o"/>
      <w:lvlJc w:val="left"/>
      <w:pPr>
        <w:pStyle w:val="786"/>
        <w:ind w:left="3600" w:hanging="360"/>
      </w:pPr>
      <w:rPr>
        <w:rFonts w:ascii="Courier New" w:hAnsi="Courier New" w:eastAsia="Courier New" w:cs="Courier New"/>
      </w:rPr>
    </w:lvl>
    <w:lvl w:ilvl="5">
      <w:start w:val="1"/>
      <w:numFmt w:val="bullet"/>
      <w:isLgl w:val="false"/>
      <w:suff w:val="tab"/>
      <w:lvlText w:val="§"/>
      <w:lvlJc w:val="left"/>
      <w:pPr>
        <w:pStyle w:val="786"/>
        <w:ind w:left="4320" w:hanging="360"/>
      </w:pPr>
      <w:rPr>
        <w:rFonts w:ascii="Wingdings" w:hAnsi="Wingdings" w:eastAsia="Wingdings" w:cs="Wingdings"/>
      </w:rPr>
    </w:lvl>
    <w:lvl w:ilvl="6">
      <w:start w:val="1"/>
      <w:numFmt w:val="bullet"/>
      <w:isLgl w:val="false"/>
      <w:suff w:val="tab"/>
      <w:lvlText w:val="·"/>
      <w:lvlJc w:val="left"/>
      <w:pPr>
        <w:pStyle w:val="786"/>
        <w:ind w:left="5040" w:hanging="360"/>
      </w:pPr>
      <w:rPr>
        <w:rFonts w:ascii="Symbol" w:hAnsi="Symbol" w:eastAsia="Symbol" w:cs="Symbol"/>
      </w:rPr>
    </w:lvl>
    <w:lvl w:ilvl="7">
      <w:start w:val="1"/>
      <w:numFmt w:val="bullet"/>
      <w:isLgl w:val="false"/>
      <w:suff w:val="tab"/>
      <w:lvlText w:val="o"/>
      <w:lvlJc w:val="left"/>
      <w:pPr>
        <w:pStyle w:val="786"/>
        <w:ind w:left="5760" w:hanging="360"/>
      </w:pPr>
      <w:rPr>
        <w:rFonts w:ascii="Courier New" w:hAnsi="Courier New" w:eastAsia="Courier New" w:cs="Courier New"/>
      </w:rPr>
    </w:lvl>
    <w:lvl w:ilvl="8">
      <w:start w:val="1"/>
      <w:numFmt w:val="bullet"/>
      <w:isLgl w:val="false"/>
      <w:suff w:val="tab"/>
      <w:lvlText w:val="§"/>
      <w:lvlJc w:val="left"/>
      <w:pPr>
        <w:pStyle w:val="786"/>
        <w:ind w:left="6480" w:hanging="360"/>
      </w:pPr>
      <w:rPr>
        <w:rFonts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786"/>
        <w:ind w:left="0" w:firstLine="0"/>
      </w:pPr>
      <w:rPr>
        <w:rFonts w:hint="eastAsia"/>
      </w:rPr>
    </w:lvl>
    <w:lvl w:ilvl="1">
      <w:start w:val="1"/>
      <w:numFmt w:val="decimal"/>
      <w:isLgl w:val="false"/>
      <w:suff w:val="nothing"/>
      <w:lvlText w:val="%2、"/>
      <w:lvlJc w:val="left"/>
      <w:pPr>
        <w:pStyle w:val="786"/>
        <w:ind w:left="0" w:firstLine="0"/>
      </w:pPr>
      <w:rPr>
        <w:rFonts w:hint="eastAsia"/>
      </w:rPr>
    </w:lvl>
    <w:lvl w:ilvl="2">
      <w:start w:val="1"/>
      <w:numFmt w:val="decimal"/>
      <w:isLgl w:val="false"/>
      <w:suff w:val="nothing"/>
      <w:lvlText w:val="%2.%3 "/>
      <w:lvlJc w:val="left"/>
      <w:pPr>
        <w:pStyle w:val="786"/>
        <w:ind w:left="0" w:firstLine="0"/>
      </w:pPr>
      <w:rPr>
        <w:rFonts w:hint="eastAsia"/>
      </w:rPr>
    </w:lvl>
    <w:lvl w:ilvl="3">
      <w:start w:val="1"/>
      <w:numFmt w:val="decimal"/>
      <w:isLgl w:val="false"/>
      <w:suff w:val="nothing"/>
      <w:lvlText w:val="%2.%3.%4 "/>
      <w:lvlJc w:val="left"/>
      <w:pPr>
        <w:pStyle w:val="786"/>
        <w:ind w:left="0" w:firstLine="0"/>
      </w:pPr>
      <w:rPr>
        <w:rFonts w:hint="eastAsia"/>
      </w:rPr>
    </w:lvl>
    <w:lvl w:ilvl="4">
      <w:start w:val="1"/>
      <w:numFmt w:val="decimal"/>
      <w:isLgl w:val="false"/>
      <w:suff w:val="nothing"/>
      <w:lvlText w:val="%2.%3.%4.%5 "/>
      <w:lvlJc w:val="left"/>
      <w:pPr>
        <w:pStyle w:val="786"/>
        <w:ind w:left="0" w:firstLine="0"/>
      </w:pPr>
      <w:rPr>
        <w:rFonts w:hint="eastAsia"/>
      </w:rPr>
    </w:lvl>
    <w:lvl w:ilvl="5">
      <w:start w:val="1"/>
      <w:numFmt w:val="decimal"/>
      <w:pStyle w:val="982"/>
      <w:isLgl w:val="false"/>
      <w:suff w:val="nothing"/>
      <w:lvlText w:val=""/>
      <w:lvlJc w:val="left"/>
      <w:pPr>
        <w:pStyle w:val="786"/>
        <w:ind w:left="0" w:firstLine="0"/>
      </w:pPr>
      <w:rPr>
        <w:rFonts w:hint="eastAsia"/>
      </w:rPr>
    </w:lvl>
    <w:lvl w:ilvl="6">
      <w:start w:val="1"/>
      <w:numFmt w:val="decimal"/>
      <w:pStyle w:val="984"/>
      <w:isLgl w:val="false"/>
      <w:suff w:val="nothing"/>
      <w:lvlText w:val=""/>
      <w:lvlJc w:val="left"/>
      <w:pPr>
        <w:pStyle w:val="786"/>
        <w:ind w:left="0" w:firstLine="0"/>
      </w:pPr>
      <w:rPr>
        <w:rFonts w:hint="eastAsia"/>
      </w:rPr>
    </w:lvl>
    <w:lvl w:ilvl="7">
      <w:start w:val="1"/>
      <w:numFmt w:val="decimal"/>
      <w:pStyle w:val="986"/>
      <w:isLgl w:val="false"/>
      <w:suff w:val="nothing"/>
      <w:lvlText w:val=""/>
      <w:lvlJc w:val="left"/>
      <w:pPr>
        <w:pStyle w:val="786"/>
        <w:ind w:left="0" w:firstLine="0"/>
      </w:pPr>
      <w:rPr>
        <w:rFonts w:hint="eastAsia"/>
      </w:rPr>
    </w:lvl>
    <w:lvl w:ilvl="8">
      <w:start w:val="1"/>
      <w:numFmt w:val="decimal"/>
      <w:pStyle w:val="988"/>
      <w:isLgl w:val="false"/>
      <w:suff w:val="nothing"/>
      <w:lvlText w:val=""/>
      <w:lvlJc w:val="left"/>
      <w:pPr>
        <w:pStyle w:val="786"/>
        <w:ind w:left="0" w:firstLine="0"/>
      </w:pPr>
      <w:rPr>
        <w:rFonts w:hint="eastAsia"/>
      </w:rPr>
    </w:lvl>
  </w:abstractNum>
  <w:abstractNum w:abstractNumId="7">
    <w:multiLevelType w:val="hybridMultilevel"/>
    <w:lvl w:ilvl="0">
      <w:start w:val="1"/>
      <w:numFmt w:val="japaneseCounting"/>
      <w:isLgl w:val="false"/>
      <w:suff w:val="tab"/>
      <w:lvlText w:val="（%1）"/>
      <w:lvlJc w:val="left"/>
      <w:pPr>
        <w:pStyle w:val="786"/>
        <w:ind w:left="1080" w:hanging="1080"/>
        <w:tabs>
          <w:tab w:val="num" w:pos="1080" w:leader="none"/>
        </w:tabs>
      </w:pPr>
      <w:rPr>
        <w:rFonts w:hint="eastAsia" w:cs="Times New Roman"/>
      </w:rPr>
    </w:lvl>
    <w:lvl w:ilvl="1">
      <w:start w:val="1"/>
      <w:numFmt w:val="decimal"/>
      <w:isLgl w:val="false"/>
      <w:suff w:val="tab"/>
      <w:lvlText w:val="%2."/>
      <w:lvlJc w:val="left"/>
      <w:pPr>
        <w:pStyle w:val="78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86"/>
        <w:ind w:left="1260" w:hanging="420"/>
        <w:tabs>
          <w:tab w:val="num" w:pos="1260" w:leader="none"/>
        </w:tabs>
      </w:pPr>
      <w:rPr>
        <w:rFonts w:cs="Times New Roman"/>
      </w:rPr>
    </w:lvl>
    <w:lvl w:ilvl="3">
      <w:start w:val="1"/>
      <w:numFmt w:val="decimal"/>
      <w:isLgl w:val="false"/>
      <w:suff w:val="tab"/>
      <w:lvlText w:val="%4."/>
      <w:lvlJc w:val="left"/>
      <w:pPr>
        <w:pStyle w:val="786"/>
        <w:ind w:left="1680" w:hanging="420"/>
        <w:tabs>
          <w:tab w:val="num" w:pos="1680" w:leader="none"/>
        </w:tabs>
      </w:pPr>
      <w:rPr>
        <w:rFonts w:cs="Times New Roman"/>
      </w:rPr>
    </w:lvl>
    <w:lvl w:ilvl="4">
      <w:start w:val="1"/>
      <w:numFmt w:val="lowerLetter"/>
      <w:isLgl w:val="false"/>
      <w:suff w:val="tab"/>
      <w:lvlText w:val="%5)"/>
      <w:lvlJc w:val="left"/>
      <w:pPr>
        <w:pStyle w:val="786"/>
        <w:ind w:left="2100" w:hanging="420"/>
        <w:tabs>
          <w:tab w:val="num" w:pos="2100" w:leader="none"/>
        </w:tabs>
      </w:pPr>
      <w:rPr>
        <w:rFonts w:cs="Times New Roman"/>
      </w:rPr>
    </w:lvl>
    <w:lvl w:ilvl="5">
      <w:start w:val="1"/>
      <w:numFmt w:val="lowerRoman"/>
      <w:isLgl w:val="false"/>
      <w:suff w:val="tab"/>
      <w:lvlText w:val="%6."/>
      <w:lvlJc w:val="right"/>
      <w:pPr>
        <w:pStyle w:val="786"/>
        <w:ind w:left="2520" w:hanging="420"/>
        <w:tabs>
          <w:tab w:val="num" w:pos="2520" w:leader="none"/>
        </w:tabs>
      </w:pPr>
      <w:rPr>
        <w:rFonts w:cs="Times New Roman"/>
      </w:rPr>
    </w:lvl>
    <w:lvl w:ilvl="6">
      <w:start w:val="1"/>
      <w:numFmt w:val="decimal"/>
      <w:isLgl w:val="false"/>
      <w:suff w:val="tab"/>
      <w:lvlText w:val="%7."/>
      <w:lvlJc w:val="left"/>
      <w:pPr>
        <w:pStyle w:val="786"/>
        <w:ind w:left="2940" w:hanging="420"/>
        <w:tabs>
          <w:tab w:val="num" w:pos="2940" w:leader="none"/>
        </w:tabs>
      </w:pPr>
      <w:rPr>
        <w:rFonts w:cs="Times New Roman"/>
      </w:rPr>
    </w:lvl>
    <w:lvl w:ilvl="7">
      <w:start w:val="1"/>
      <w:numFmt w:val="lowerLetter"/>
      <w:isLgl w:val="false"/>
      <w:suff w:val="tab"/>
      <w:lvlText w:val="%8)"/>
      <w:lvlJc w:val="left"/>
      <w:pPr>
        <w:pStyle w:val="786"/>
        <w:ind w:left="3360" w:hanging="420"/>
        <w:tabs>
          <w:tab w:val="num" w:pos="3360" w:leader="none"/>
        </w:tabs>
      </w:pPr>
      <w:rPr>
        <w:rFonts w:cs="Times New Roman"/>
      </w:rPr>
    </w:lvl>
    <w:lvl w:ilvl="8">
      <w:start w:val="1"/>
      <w:numFmt w:val="lowerRoman"/>
      <w:isLgl w:val="false"/>
      <w:suff w:val="tab"/>
      <w:lvlText w:val="%9."/>
      <w:lvlJc w:val="right"/>
      <w:pPr>
        <w:pStyle w:val="786"/>
        <w:ind w:left="3780" w:hanging="420"/>
        <w:tabs>
          <w:tab w:val="num" w:pos="3780" w:leader="none"/>
        </w:tabs>
      </w:pPr>
      <w:rPr>
        <w:rFonts w:cs="Times New Roman"/>
      </w:rPr>
    </w:lvl>
  </w:abstractNum>
  <w:abstractNum w:abstractNumId="8">
    <w:multiLevelType w:val="hybridMultilevel"/>
    <w:lvl w:ilvl="0">
      <w:start w:val="1"/>
      <w:numFmt w:val="japaneseCounting"/>
      <w:isLgl w:val="false"/>
      <w:suff w:val="tab"/>
      <w:lvlText w:val="%1、"/>
      <w:lvlJc w:val="left"/>
      <w:pPr>
        <w:pStyle w:val="786"/>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86"/>
        <w:ind w:left="840" w:hanging="420"/>
        <w:tabs>
          <w:tab w:val="num" w:pos="840" w:leader="none"/>
        </w:tabs>
      </w:pPr>
      <w:rPr>
        <w:rFonts w:cs="Times New Roman"/>
      </w:rPr>
    </w:lvl>
    <w:lvl w:ilvl="2">
      <w:start w:val="10"/>
      <w:numFmt w:val="decimal"/>
      <w:isLgl w:val="false"/>
      <w:suff w:val="tab"/>
      <w:lvlText w:val="%3."/>
      <w:lvlJc w:val="left"/>
      <w:pPr>
        <w:pStyle w:val="786"/>
        <w:ind w:left="1200" w:hanging="360"/>
        <w:tabs>
          <w:tab w:val="num" w:pos="1200" w:leader="none"/>
        </w:tabs>
      </w:pPr>
      <w:rPr>
        <w:rFonts w:cs="Times New Roman"/>
      </w:rPr>
    </w:lvl>
    <w:lvl w:ilvl="3">
      <w:start w:val="1"/>
      <w:numFmt w:val="decimal"/>
      <w:isLgl w:val="false"/>
      <w:suff w:val="tab"/>
      <w:lvlText w:val="%4."/>
      <w:lvlJc w:val="left"/>
      <w:pPr>
        <w:pStyle w:val="786"/>
        <w:ind w:left="1680" w:hanging="420"/>
        <w:tabs>
          <w:tab w:val="num" w:pos="1680" w:leader="none"/>
        </w:tabs>
      </w:pPr>
      <w:rPr>
        <w:rFonts w:cs="Times New Roman"/>
      </w:rPr>
    </w:lvl>
    <w:lvl w:ilvl="4">
      <w:start w:val="1"/>
      <w:numFmt w:val="lowerLetter"/>
      <w:isLgl w:val="false"/>
      <w:suff w:val="tab"/>
      <w:lvlText w:val="%5)"/>
      <w:lvlJc w:val="left"/>
      <w:pPr>
        <w:pStyle w:val="786"/>
        <w:ind w:left="2100" w:hanging="420"/>
        <w:tabs>
          <w:tab w:val="num" w:pos="2100" w:leader="none"/>
        </w:tabs>
      </w:pPr>
      <w:rPr>
        <w:rFonts w:cs="Times New Roman"/>
      </w:rPr>
    </w:lvl>
    <w:lvl w:ilvl="5">
      <w:start w:val="1"/>
      <w:numFmt w:val="lowerRoman"/>
      <w:isLgl w:val="false"/>
      <w:suff w:val="tab"/>
      <w:lvlText w:val="%6."/>
      <w:lvlJc w:val="right"/>
      <w:pPr>
        <w:pStyle w:val="786"/>
        <w:ind w:left="2520" w:hanging="420"/>
        <w:tabs>
          <w:tab w:val="num" w:pos="2520" w:leader="none"/>
        </w:tabs>
      </w:pPr>
      <w:rPr>
        <w:rFonts w:cs="Times New Roman"/>
      </w:rPr>
    </w:lvl>
    <w:lvl w:ilvl="6">
      <w:start w:val="1"/>
      <w:numFmt w:val="decimal"/>
      <w:isLgl w:val="false"/>
      <w:suff w:val="tab"/>
      <w:lvlText w:val="%7."/>
      <w:lvlJc w:val="left"/>
      <w:pPr>
        <w:pStyle w:val="786"/>
        <w:ind w:left="2940" w:hanging="420"/>
        <w:tabs>
          <w:tab w:val="num" w:pos="2940" w:leader="none"/>
        </w:tabs>
      </w:pPr>
      <w:rPr>
        <w:rFonts w:cs="Times New Roman"/>
      </w:rPr>
    </w:lvl>
    <w:lvl w:ilvl="7">
      <w:start w:val="1"/>
      <w:numFmt w:val="lowerLetter"/>
      <w:isLgl w:val="false"/>
      <w:suff w:val="tab"/>
      <w:lvlText w:val="%8)"/>
      <w:lvlJc w:val="left"/>
      <w:pPr>
        <w:pStyle w:val="786"/>
        <w:ind w:left="3360" w:hanging="420"/>
        <w:tabs>
          <w:tab w:val="num" w:pos="3360" w:leader="none"/>
        </w:tabs>
      </w:pPr>
      <w:rPr>
        <w:rFonts w:cs="Times New Roman"/>
      </w:rPr>
    </w:lvl>
    <w:lvl w:ilvl="8">
      <w:start w:val="1"/>
      <w:numFmt w:val="lowerRoman"/>
      <w:isLgl w:val="false"/>
      <w:suff w:val="tab"/>
      <w:lvlText w:val="%9."/>
      <w:lvlJc w:val="right"/>
      <w:pPr>
        <w:pStyle w:val="786"/>
        <w:ind w:left="3780" w:hanging="420"/>
        <w:tabs>
          <w:tab w:val="num" w:pos="3780" w:leader="none"/>
        </w:tabs>
      </w:pPr>
      <w:rPr>
        <w:rFonts w:cs="Times New Roman"/>
      </w:rPr>
    </w:lvl>
  </w:abstractNum>
  <w:abstractNum w:abstractNumId="9">
    <w:multiLevelType w:val="hybridMultilevel"/>
    <w:lvl w:ilvl="0">
      <w:start w:val="1"/>
      <w:numFmt w:val="decimal"/>
      <w:isLgl w:val="false"/>
      <w:suff w:val="nothing"/>
      <w:lvlText w:val="（%1）"/>
      <w:lvlJc w:val="left"/>
      <w:pPr>
        <w:pStyle w:val="786"/>
      </w:pPr>
    </w:lvl>
    <w:lvl w:ilvl="1">
      <w:start w:val="1"/>
      <w:numFmt w:val="bullet"/>
      <w:isLgl w:val="false"/>
      <w:suff w:val="tab"/>
      <w:lvlText w:val="o"/>
      <w:lvlJc w:val="left"/>
      <w:pPr>
        <w:pStyle w:val="786"/>
        <w:ind w:left="1440" w:hanging="360"/>
      </w:pPr>
      <w:rPr>
        <w:rFonts w:ascii="Courier New" w:hAnsi="Courier New" w:eastAsia="Courier New" w:cs="Courier New"/>
      </w:rPr>
    </w:lvl>
    <w:lvl w:ilvl="2">
      <w:start w:val="1"/>
      <w:numFmt w:val="bullet"/>
      <w:isLgl w:val="false"/>
      <w:suff w:val="tab"/>
      <w:lvlText w:val="§"/>
      <w:lvlJc w:val="left"/>
      <w:pPr>
        <w:pStyle w:val="786"/>
        <w:ind w:left="2160" w:hanging="360"/>
      </w:pPr>
      <w:rPr>
        <w:rFonts w:ascii="Wingdings" w:hAnsi="Wingdings" w:eastAsia="Wingdings" w:cs="Wingdings"/>
      </w:rPr>
    </w:lvl>
    <w:lvl w:ilvl="3">
      <w:start w:val="1"/>
      <w:numFmt w:val="bullet"/>
      <w:isLgl w:val="false"/>
      <w:suff w:val="tab"/>
      <w:lvlText w:val="·"/>
      <w:lvlJc w:val="left"/>
      <w:pPr>
        <w:pStyle w:val="786"/>
        <w:ind w:left="2880" w:hanging="360"/>
      </w:pPr>
      <w:rPr>
        <w:rFonts w:ascii="Symbol" w:hAnsi="Symbol" w:eastAsia="Symbol" w:cs="Symbol"/>
      </w:rPr>
    </w:lvl>
    <w:lvl w:ilvl="4">
      <w:start w:val="1"/>
      <w:numFmt w:val="bullet"/>
      <w:isLgl w:val="false"/>
      <w:suff w:val="tab"/>
      <w:lvlText w:val="o"/>
      <w:lvlJc w:val="left"/>
      <w:pPr>
        <w:pStyle w:val="786"/>
        <w:ind w:left="3600" w:hanging="360"/>
      </w:pPr>
      <w:rPr>
        <w:rFonts w:ascii="Courier New" w:hAnsi="Courier New" w:eastAsia="Courier New" w:cs="Courier New"/>
      </w:rPr>
    </w:lvl>
    <w:lvl w:ilvl="5">
      <w:start w:val="1"/>
      <w:numFmt w:val="bullet"/>
      <w:isLgl w:val="false"/>
      <w:suff w:val="tab"/>
      <w:lvlText w:val="§"/>
      <w:lvlJc w:val="left"/>
      <w:pPr>
        <w:pStyle w:val="786"/>
        <w:ind w:left="4320" w:hanging="360"/>
      </w:pPr>
      <w:rPr>
        <w:rFonts w:ascii="Wingdings" w:hAnsi="Wingdings" w:eastAsia="Wingdings" w:cs="Wingdings"/>
      </w:rPr>
    </w:lvl>
    <w:lvl w:ilvl="6">
      <w:start w:val="1"/>
      <w:numFmt w:val="bullet"/>
      <w:isLgl w:val="false"/>
      <w:suff w:val="tab"/>
      <w:lvlText w:val="·"/>
      <w:lvlJc w:val="left"/>
      <w:pPr>
        <w:pStyle w:val="786"/>
        <w:ind w:left="5040" w:hanging="360"/>
      </w:pPr>
      <w:rPr>
        <w:rFonts w:ascii="Symbol" w:hAnsi="Symbol" w:eastAsia="Symbol" w:cs="Symbol"/>
      </w:rPr>
    </w:lvl>
    <w:lvl w:ilvl="7">
      <w:start w:val="1"/>
      <w:numFmt w:val="bullet"/>
      <w:isLgl w:val="false"/>
      <w:suff w:val="tab"/>
      <w:lvlText w:val="o"/>
      <w:lvlJc w:val="left"/>
      <w:pPr>
        <w:pStyle w:val="786"/>
        <w:ind w:left="5760" w:hanging="360"/>
      </w:pPr>
      <w:rPr>
        <w:rFonts w:ascii="Courier New" w:hAnsi="Courier New" w:eastAsia="Courier New" w:cs="Courier New"/>
      </w:rPr>
    </w:lvl>
    <w:lvl w:ilvl="8">
      <w:start w:val="1"/>
      <w:numFmt w:val="bullet"/>
      <w:isLgl w:val="false"/>
      <w:suff w:val="tab"/>
      <w:lvlText w:val="§"/>
      <w:lvlJc w:val="left"/>
      <w:pPr>
        <w:pStyle w:val="786"/>
        <w:ind w:left="6480" w:hanging="360"/>
      </w:pPr>
      <w:rPr>
        <w:rFonts w:ascii="Wingdings" w:hAnsi="Wingdings" w:eastAsia="Wingdings" w:cs="Wingdings"/>
      </w:rPr>
    </w:lvl>
  </w:abstractNum>
  <w:abstractNum w:abstractNumId="10">
    <w:multiLevelType w:val="hybridMultilevel"/>
    <w:lvl w:ilvl="0">
      <w:start w:val="1"/>
      <w:numFmt w:val="decimal"/>
      <w:pStyle w:val="1071"/>
      <w:isLgl w:val="false"/>
      <w:suff w:val="tab"/>
      <w:lvlText w:val="%1."/>
      <w:lvlJc w:val="left"/>
      <w:pPr>
        <w:pStyle w:val="786"/>
        <w:ind w:left="709" w:hanging="709"/>
        <w:tabs>
          <w:tab w:val="num" w:pos="709" w:leader="none"/>
        </w:tabs>
      </w:pPr>
      <w:rPr>
        <w:rFonts w:hint="eastAsia"/>
      </w:rPr>
    </w:lvl>
    <w:lvl w:ilvl="1">
      <w:start w:val="1"/>
      <w:numFmt w:val="decimal"/>
      <w:isLgl w:val="false"/>
      <w:suff w:val="tab"/>
      <w:lvlText w:val="%1.%2"/>
      <w:lvlJc w:val="left"/>
      <w:pPr>
        <w:pStyle w:val="786"/>
        <w:ind w:left="709" w:hanging="709"/>
        <w:tabs>
          <w:tab w:val="num" w:pos="709" w:leader="none"/>
        </w:tabs>
      </w:pPr>
      <w:rPr>
        <w:rFonts w:hint="eastAsia"/>
      </w:rPr>
    </w:lvl>
    <w:lvl w:ilvl="2">
      <w:start w:val="1"/>
      <w:numFmt w:val="decimal"/>
      <w:isLgl w:val="false"/>
      <w:suff w:val="tab"/>
      <w:lvlText w:val="%1.%2.%3."/>
      <w:lvlJc w:val="left"/>
      <w:pPr>
        <w:pStyle w:val="786"/>
        <w:ind w:left="425" w:hanging="425"/>
        <w:tabs>
          <w:tab w:val="num" w:pos="425" w:leader="none"/>
        </w:tabs>
      </w:pPr>
      <w:rPr>
        <w:rFonts w:hint="eastAsia"/>
      </w:rPr>
    </w:lvl>
    <w:lvl w:ilvl="3">
      <w:start w:val="1"/>
      <w:numFmt w:val="decimal"/>
      <w:isLgl w:val="false"/>
      <w:suff w:val="tab"/>
      <w:lvlText w:val="%1.%2.%3.%4."/>
      <w:lvlJc w:val="left"/>
      <w:pPr>
        <w:pStyle w:val="786"/>
        <w:ind w:left="851" w:hanging="851"/>
        <w:tabs>
          <w:tab w:val="num" w:pos="851" w:leader="none"/>
        </w:tabs>
      </w:pPr>
      <w:rPr>
        <w:rFonts w:hint="eastAsia"/>
      </w:rPr>
    </w:lvl>
    <w:lvl w:ilvl="4">
      <w:start w:val="1"/>
      <w:numFmt w:val="decimal"/>
      <w:isLgl w:val="false"/>
      <w:suff w:val="tab"/>
      <w:lvlText w:val="%1.%2.%3.%4.%5."/>
      <w:lvlJc w:val="left"/>
      <w:pPr>
        <w:pStyle w:val="786"/>
        <w:ind w:left="992" w:hanging="992"/>
        <w:tabs>
          <w:tab w:val="num" w:pos="992" w:leader="none"/>
        </w:tabs>
      </w:pPr>
      <w:rPr>
        <w:rFonts w:hint="eastAsia"/>
      </w:rPr>
    </w:lvl>
    <w:lvl w:ilvl="5">
      <w:start w:val="1"/>
      <w:numFmt w:val="decimal"/>
      <w:isLgl w:val="false"/>
      <w:suff w:val="tab"/>
      <w:lvlText w:val="%1.%2.%3.%4.%5.%6."/>
      <w:lvlJc w:val="left"/>
      <w:pPr>
        <w:pStyle w:val="786"/>
        <w:ind w:left="1134" w:hanging="1134"/>
        <w:tabs>
          <w:tab w:val="num" w:pos="1134" w:leader="none"/>
        </w:tabs>
      </w:pPr>
      <w:rPr>
        <w:rFonts w:hint="eastAsia"/>
      </w:rPr>
    </w:lvl>
    <w:lvl w:ilvl="6">
      <w:start w:val="1"/>
      <w:numFmt w:val="decimal"/>
      <w:isLgl w:val="false"/>
      <w:suff w:val="tab"/>
      <w:lvlText w:val="%1.%2.%3.%4.%5.%6.%7."/>
      <w:lvlJc w:val="left"/>
      <w:pPr>
        <w:pStyle w:val="786"/>
        <w:ind w:left="1276" w:hanging="1276"/>
        <w:tabs>
          <w:tab w:val="num" w:pos="1276" w:leader="none"/>
        </w:tabs>
      </w:pPr>
      <w:rPr>
        <w:rFonts w:hint="eastAsia"/>
      </w:rPr>
    </w:lvl>
    <w:lvl w:ilvl="7">
      <w:start w:val="1"/>
      <w:numFmt w:val="decimal"/>
      <w:isLgl w:val="false"/>
      <w:suff w:val="tab"/>
      <w:lvlText w:val="%1.%2.%3.%4.%5.%6.%7.%8."/>
      <w:lvlJc w:val="left"/>
      <w:pPr>
        <w:pStyle w:val="786"/>
        <w:ind w:left="1418" w:hanging="1418"/>
        <w:tabs>
          <w:tab w:val="num" w:pos="1418" w:leader="none"/>
        </w:tabs>
      </w:pPr>
      <w:rPr>
        <w:rFonts w:hint="eastAsia"/>
      </w:rPr>
    </w:lvl>
    <w:lvl w:ilvl="8">
      <w:start w:val="1"/>
      <w:numFmt w:val="decimal"/>
      <w:isLgl w:val="false"/>
      <w:suff w:val="tab"/>
      <w:lvlText w:val="%1.%2.%3.%4.%5.%6.%7.%8.%9."/>
      <w:lvlJc w:val="left"/>
      <w:pPr>
        <w:pStyle w:val="786"/>
        <w:ind w:left="1559" w:hanging="1559"/>
        <w:tabs>
          <w:tab w:val="num" w:pos="1559" w:leader="none"/>
        </w:tabs>
      </w:pPr>
      <w:rPr>
        <w:rFonts w:hint="eastAsia"/>
      </w:rPr>
    </w:lvl>
  </w:abstractNum>
  <w:abstractNum w:abstractNumId="11">
    <w:multiLevelType w:val="hybridMultilevel"/>
    <w:lvl w:ilvl="0">
      <w:start w:val="1"/>
      <w:numFmt w:val="chineseCounting"/>
      <w:isLgl w:val="false"/>
      <w:suff w:val="space"/>
      <w:lvlText w:val="第%1部分"/>
      <w:lvlJc w:val="left"/>
      <w:pPr>
        <w:pStyle w:val="78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space"/>
      <w:lvlText w:val="第%1部分"/>
      <w:lvlJc w:val="left"/>
      <w:pPr>
        <w:pStyle w:val="786"/>
      </w:pPr>
      <w:rPr>
        <w:rFonts w:hint="eastAsia"/>
      </w:rPr>
    </w:lvl>
    <w:lvl w:ilvl="1">
      <w:start w:val="1"/>
      <w:numFmt w:val="bullet"/>
      <w:isLgl w:val="false"/>
      <w:suff w:val="tab"/>
      <w:lvlText w:val="o"/>
      <w:lvlJc w:val="left"/>
      <w:pPr>
        <w:pStyle w:val="786"/>
        <w:ind w:left="1440" w:hanging="360"/>
      </w:pPr>
      <w:rPr>
        <w:rFonts w:ascii="Courier New" w:hAnsi="Courier New" w:eastAsia="Courier New" w:cs="Courier New"/>
      </w:rPr>
    </w:lvl>
    <w:lvl w:ilvl="2">
      <w:start w:val="1"/>
      <w:numFmt w:val="bullet"/>
      <w:isLgl w:val="false"/>
      <w:suff w:val="tab"/>
      <w:lvlText w:val="§"/>
      <w:lvlJc w:val="left"/>
      <w:pPr>
        <w:pStyle w:val="786"/>
        <w:ind w:left="2160" w:hanging="360"/>
      </w:pPr>
      <w:rPr>
        <w:rFonts w:ascii="Wingdings" w:hAnsi="Wingdings" w:eastAsia="Wingdings" w:cs="Wingdings"/>
      </w:rPr>
    </w:lvl>
    <w:lvl w:ilvl="3">
      <w:start w:val="1"/>
      <w:numFmt w:val="bullet"/>
      <w:isLgl w:val="false"/>
      <w:suff w:val="tab"/>
      <w:lvlText w:val="·"/>
      <w:lvlJc w:val="left"/>
      <w:pPr>
        <w:pStyle w:val="786"/>
        <w:ind w:left="2880" w:hanging="360"/>
      </w:pPr>
      <w:rPr>
        <w:rFonts w:ascii="Symbol" w:hAnsi="Symbol" w:eastAsia="Symbol" w:cs="Symbol"/>
      </w:rPr>
    </w:lvl>
    <w:lvl w:ilvl="4">
      <w:start w:val="1"/>
      <w:numFmt w:val="bullet"/>
      <w:isLgl w:val="false"/>
      <w:suff w:val="tab"/>
      <w:lvlText w:val="o"/>
      <w:lvlJc w:val="left"/>
      <w:pPr>
        <w:pStyle w:val="786"/>
        <w:ind w:left="3600" w:hanging="360"/>
      </w:pPr>
      <w:rPr>
        <w:rFonts w:ascii="Courier New" w:hAnsi="Courier New" w:eastAsia="Courier New" w:cs="Courier New"/>
      </w:rPr>
    </w:lvl>
    <w:lvl w:ilvl="5">
      <w:start w:val="1"/>
      <w:numFmt w:val="bullet"/>
      <w:isLgl w:val="false"/>
      <w:suff w:val="tab"/>
      <w:lvlText w:val="§"/>
      <w:lvlJc w:val="left"/>
      <w:pPr>
        <w:pStyle w:val="786"/>
        <w:ind w:left="4320" w:hanging="360"/>
      </w:pPr>
      <w:rPr>
        <w:rFonts w:ascii="Wingdings" w:hAnsi="Wingdings" w:eastAsia="Wingdings" w:cs="Wingdings"/>
      </w:rPr>
    </w:lvl>
    <w:lvl w:ilvl="6">
      <w:start w:val="1"/>
      <w:numFmt w:val="bullet"/>
      <w:isLgl w:val="false"/>
      <w:suff w:val="tab"/>
      <w:lvlText w:val="·"/>
      <w:lvlJc w:val="left"/>
      <w:pPr>
        <w:pStyle w:val="786"/>
        <w:ind w:left="5040" w:hanging="360"/>
      </w:pPr>
      <w:rPr>
        <w:rFonts w:ascii="Symbol" w:hAnsi="Symbol" w:eastAsia="Symbol" w:cs="Symbol"/>
      </w:rPr>
    </w:lvl>
    <w:lvl w:ilvl="7">
      <w:start w:val="1"/>
      <w:numFmt w:val="bullet"/>
      <w:isLgl w:val="false"/>
      <w:suff w:val="tab"/>
      <w:lvlText w:val="o"/>
      <w:lvlJc w:val="left"/>
      <w:pPr>
        <w:pStyle w:val="786"/>
        <w:ind w:left="5760" w:hanging="360"/>
      </w:pPr>
      <w:rPr>
        <w:rFonts w:ascii="Courier New" w:hAnsi="Courier New" w:eastAsia="Courier New" w:cs="Courier New"/>
      </w:rPr>
    </w:lvl>
    <w:lvl w:ilvl="8">
      <w:start w:val="1"/>
      <w:numFmt w:val="bullet"/>
      <w:isLgl w:val="false"/>
      <w:suff w:val="tab"/>
      <w:lvlText w:val="§"/>
      <w:lvlJc w:val="left"/>
      <w:pPr>
        <w:pStyle w:val="786"/>
        <w:ind w:left="6480" w:hanging="360"/>
      </w:pPr>
      <w:rPr>
        <w:rFonts w:ascii="Wingdings" w:hAnsi="Wingdings" w:eastAsia="Wingdings" w:cs="Wingdings"/>
      </w:rPr>
    </w:lvl>
  </w:abstractNum>
  <w:num w:numId="1">
    <w:abstractNumId w:val="6"/>
  </w:num>
  <w:num w:numId="2">
    <w:abstractNumId w:val="4"/>
  </w:num>
  <w:num w:numId="3">
    <w:abstractNumId w:val="10"/>
  </w:num>
  <w:num w:numId="4">
    <w:abstractNumId w:val="2"/>
  </w:num>
  <w:num w:numId="5">
    <w:abstractNumId w:val="1"/>
  </w:num>
  <w:num w:numId="6">
    <w:abstractNumId w:val="11"/>
  </w:num>
  <w:num w:numId="7">
    <w:abstractNumId w:val="12"/>
  </w:num>
  <w:num w:numId="8">
    <w:abstractNumId w:val="7"/>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9"/>
  </w:num>
  <w:num w:numId="12">
    <w:abstractNumId w:val="5"/>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name w:val="Heading 1"/>
    <w:basedOn w:val="786"/>
    <w:next w:val="786"/>
    <w:link w:val="799"/>
    <w:uiPriority w:val="9"/>
    <w:qFormat/>
    <w:pPr>
      <w:keepLines/>
      <w:keepNext/>
      <w:spacing w:before="480" w:after="200"/>
      <w:outlineLvl w:val="0"/>
    </w:pPr>
    <w:rPr>
      <w:rFonts w:ascii="Arial" w:hAnsi="Arial" w:eastAsia="Arial" w:cs="Arial"/>
      <w:sz w:val="40"/>
      <w:szCs w:val="40"/>
    </w:rPr>
  </w:style>
  <w:style w:type="paragraph" w:styleId="757">
    <w:name w:val="Heading 2"/>
    <w:basedOn w:val="786"/>
    <w:next w:val="786"/>
    <w:link w:val="800"/>
    <w:uiPriority w:val="9"/>
    <w:unhideWhenUsed/>
    <w:qFormat/>
    <w:pPr>
      <w:keepLines/>
      <w:keepNext/>
      <w:spacing w:before="360" w:after="200"/>
      <w:outlineLvl w:val="1"/>
    </w:pPr>
    <w:rPr>
      <w:rFonts w:ascii="Arial" w:hAnsi="Arial" w:eastAsia="Arial" w:cs="Arial"/>
      <w:sz w:val="34"/>
    </w:rPr>
  </w:style>
  <w:style w:type="paragraph" w:styleId="758">
    <w:name w:val="Heading 3"/>
    <w:basedOn w:val="786"/>
    <w:next w:val="786"/>
    <w:link w:val="801"/>
    <w:uiPriority w:val="9"/>
    <w:unhideWhenUsed/>
    <w:qFormat/>
    <w:pPr>
      <w:keepLines/>
      <w:keepNext/>
      <w:spacing w:before="320" w:after="200"/>
      <w:outlineLvl w:val="2"/>
    </w:pPr>
    <w:rPr>
      <w:rFonts w:ascii="Arial" w:hAnsi="Arial" w:eastAsia="Arial" w:cs="Arial"/>
      <w:sz w:val="30"/>
      <w:szCs w:val="30"/>
    </w:rPr>
  </w:style>
  <w:style w:type="paragraph" w:styleId="759">
    <w:name w:val="Heading 4"/>
    <w:basedOn w:val="786"/>
    <w:next w:val="786"/>
    <w:link w:val="802"/>
    <w:uiPriority w:val="9"/>
    <w:unhideWhenUsed/>
    <w:qFormat/>
    <w:pPr>
      <w:keepLines/>
      <w:keepNext/>
      <w:spacing w:before="320" w:after="200"/>
      <w:outlineLvl w:val="3"/>
    </w:pPr>
    <w:rPr>
      <w:rFonts w:ascii="Arial" w:hAnsi="Arial" w:eastAsia="Arial" w:cs="Arial"/>
      <w:b/>
      <w:bCs/>
      <w:sz w:val="26"/>
      <w:szCs w:val="26"/>
    </w:rPr>
  </w:style>
  <w:style w:type="paragraph" w:styleId="760">
    <w:name w:val="Heading 5"/>
    <w:basedOn w:val="786"/>
    <w:next w:val="786"/>
    <w:link w:val="803"/>
    <w:uiPriority w:val="9"/>
    <w:unhideWhenUsed/>
    <w:qFormat/>
    <w:pPr>
      <w:keepLines/>
      <w:keepNext/>
      <w:spacing w:before="320" w:after="200"/>
      <w:outlineLvl w:val="4"/>
    </w:pPr>
    <w:rPr>
      <w:rFonts w:ascii="Arial" w:hAnsi="Arial" w:eastAsia="Arial" w:cs="Arial"/>
      <w:b/>
      <w:bCs/>
      <w:sz w:val="24"/>
      <w:szCs w:val="24"/>
    </w:rPr>
  </w:style>
  <w:style w:type="paragraph" w:styleId="761">
    <w:name w:val="Heading 6"/>
    <w:basedOn w:val="786"/>
    <w:next w:val="786"/>
    <w:link w:val="804"/>
    <w:uiPriority w:val="9"/>
    <w:unhideWhenUsed/>
    <w:qFormat/>
    <w:pPr>
      <w:keepLines/>
      <w:keepNext/>
      <w:spacing w:before="320" w:after="200"/>
      <w:outlineLvl w:val="5"/>
    </w:pPr>
    <w:rPr>
      <w:rFonts w:ascii="Arial" w:hAnsi="Arial" w:eastAsia="Arial" w:cs="Arial"/>
      <w:b/>
      <w:bCs/>
      <w:sz w:val="22"/>
      <w:szCs w:val="22"/>
    </w:rPr>
  </w:style>
  <w:style w:type="paragraph" w:styleId="762">
    <w:name w:val="Heading 7"/>
    <w:basedOn w:val="786"/>
    <w:next w:val="786"/>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63">
    <w:name w:val="Heading 8"/>
    <w:basedOn w:val="786"/>
    <w:next w:val="786"/>
    <w:link w:val="806"/>
    <w:uiPriority w:val="9"/>
    <w:unhideWhenUsed/>
    <w:qFormat/>
    <w:pPr>
      <w:keepLines/>
      <w:keepNext/>
      <w:spacing w:before="320" w:after="200"/>
      <w:outlineLvl w:val="7"/>
    </w:pPr>
    <w:rPr>
      <w:rFonts w:ascii="Arial" w:hAnsi="Arial" w:eastAsia="Arial" w:cs="Arial"/>
      <w:i/>
      <w:iCs/>
      <w:sz w:val="22"/>
      <w:szCs w:val="22"/>
    </w:rPr>
  </w:style>
  <w:style w:type="paragraph" w:styleId="764">
    <w:name w:val="Heading 9"/>
    <w:basedOn w:val="786"/>
    <w:next w:val="786"/>
    <w:link w:val="807"/>
    <w:uiPriority w:val="9"/>
    <w:unhideWhenUsed/>
    <w:qFormat/>
    <w:pPr>
      <w:keepLines/>
      <w:keepNext/>
      <w:spacing w:before="320" w:after="200"/>
      <w:outlineLvl w:val="8"/>
    </w:pPr>
    <w:rPr>
      <w:rFonts w:ascii="Arial" w:hAnsi="Arial" w:eastAsia="Arial" w:cs="Arial"/>
      <w:i/>
      <w:iCs/>
      <w:sz w:val="21"/>
      <w:szCs w:val="21"/>
    </w:rPr>
  </w:style>
  <w:style w:type="paragraph" w:styleId="765">
    <w:name w:val="Title"/>
    <w:basedOn w:val="786"/>
    <w:next w:val="786"/>
    <w:link w:val="831"/>
    <w:uiPriority w:val="10"/>
    <w:qFormat/>
    <w:pPr>
      <w:contextualSpacing/>
      <w:spacing w:before="300" w:after="200"/>
    </w:pPr>
    <w:rPr>
      <w:sz w:val="48"/>
      <w:szCs w:val="48"/>
    </w:rPr>
  </w:style>
  <w:style w:type="paragraph" w:styleId="766">
    <w:name w:val="Subtitle"/>
    <w:basedOn w:val="786"/>
    <w:next w:val="786"/>
    <w:link w:val="823"/>
    <w:uiPriority w:val="11"/>
    <w:qFormat/>
    <w:pPr>
      <w:spacing w:before="200" w:after="200"/>
    </w:pPr>
    <w:rPr>
      <w:sz w:val="24"/>
      <w:szCs w:val="24"/>
    </w:rPr>
  </w:style>
  <w:style w:type="paragraph" w:styleId="767">
    <w:name w:val="Header"/>
    <w:basedOn w:val="786"/>
    <w:link w:val="819"/>
    <w:uiPriority w:val="99"/>
    <w:unhideWhenUsed/>
    <w:pPr>
      <w:spacing w:after="0" w:line="240" w:lineRule="auto"/>
      <w:tabs>
        <w:tab w:val="center" w:pos="7143" w:leader="none"/>
        <w:tab w:val="right" w:pos="14287" w:leader="none"/>
      </w:tabs>
    </w:pPr>
  </w:style>
  <w:style w:type="paragraph" w:styleId="768">
    <w:name w:val="Footer"/>
    <w:basedOn w:val="786"/>
    <w:link w:val="817"/>
    <w:uiPriority w:val="99"/>
    <w:unhideWhenUsed/>
    <w:pPr>
      <w:spacing w:after="0" w:line="240" w:lineRule="auto"/>
      <w:tabs>
        <w:tab w:val="center" w:pos="7143" w:leader="none"/>
        <w:tab w:val="right" w:pos="14287" w:leader="none"/>
      </w:tabs>
    </w:pPr>
  </w:style>
  <w:style w:type="paragraph" w:styleId="769">
    <w:name w:val="Caption"/>
    <w:basedOn w:val="786"/>
    <w:next w:val="786"/>
    <w:uiPriority w:val="35"/>
    <w:semiHidden/>
    <w:unhideWhenUsed/>
    <w:qFormat/>
    <w:pPr>
      <w:spacing w:line="276" w:lineRule="auto"/>
    </w:pPr>
    <w:rPr>
      <w:b/>
      <w:bCs/>
      <w:color w:val="4f81bd" w:themeColor="accent1"/>
      <w:sz w:val="18"/>
      <w:szCs w:val="18"/>
    </w:rPr>
  </w:style>
  <w:style w:type="table" w:styleId="7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Hyperlink"/>
    <w:uiPriority w:val="99"/>
    <w:unhideWhenUsed/>
    <w:rPr>
      <w:color w:val="0000ff" w:themeColor="hyperlink"/>
      <w:u w:val="single"/>
    </w:rPr>
  </w:style>
  <w:style w:type="paragraph" w:styleId="772">
    <w:name w:val="footnote text"/>
    <w:basedOn w:val="786"/>
    <w:link w:val="825"/>
    <w:uiPriority w:val="99"/>
    <w:semiHidden/>
    <w:unhideWhenUsed/>
    <w:pPr>
      <w:spacing w:after="40" w:line="240" w:lineRule="auto"/>
    </w:pPr>
    <w:rPr>
      <w:sz w:val="18"/>
    </w:rPr>
  </w:style>
  <w:style w:type="character" w:styleId="773">
    <w:name w:val="footnote reference"/>
    <w:uiPriority w:val="99"/>
    <w:unhideWhenUsed/>
    <w:rPr>
      <w:vertAlign w:val="superscript"/>
    </w:rPr>
  </w:style>
  <w:style w:type="paragraph" w:styleId="774">
    <w:name w:val="endnote text"/>
    <w:basedOn w:val="786"/>
    <w:link w:val="815"/>
    <w:uiPriority w:val="99"/>
    <w:semiHidden/>
    <w:unhideWhenUsed/>
    <w:pPr>
      <w:spacing w:after="0" w:line="240" w:lineRule="auto"/>
    </w:pPr>
    <w:rPr>
      <w:sz w:val="20"/>
    </w:rPr>
  </w:style>
  <w:style w:type="character" w:styleId="775">
    <w:name w:val="endnote reference"/>
    <w:uiPriority w:val="99"/>
    <w:semiHidden/>
    <w:unhideWhenUsed/>
    <w:rPr>
      <w:vertAlign w:val="superscript"/>
    </w:rPr>
  </w:style>
  <w:style w:type="paragraph" w:styleId="776">
    <w:name w:val="toc 1"/>
    <w:basedOn w:val="786"/>
    <w:next w:val="786"/>
    <w:uiPriority w:val="39"/>
    <w:unhideWhenUsed/>
    <w:pPr>
      <w:ind w:left="0" w:right="0" w:firstLine="0"/>
      <w:spacing w:after="57"/>
    </w:pPr>
  </w:style>
  <w:style w:type="paragraph" w:styleId="777">
    <w:name w:val="toc 2"/>
    <w:basedOn w:val="786"/>
    <w:next w:val="786"/>
    <w:uiPriority w:val="39"/>
    <w:unhideWhenUsed/>
    <w:pPr>
      <w:ind w:left="283" w:right="0" w:firstLine="0"/>
      <w:spacing w:after="57"/>
    </w:pPr>
  </w:style>
  <w:style w:type="paragraph" w:styleId="778">
    <w:name w:val="toc 3"/>
    <w:basedOn w:val="786"/>
    <w:next w:val="786"/>
    <w:uiPriority w:val="39"/>
    <w:unhideWhenUsed/>
    <w:pPr>
      <w:ind w:left="567" w:right="0" w:firstLine="0"/>
      <w:spacing w:after="57"/>
    </w:pPr>
  </w:style>
  <w:style w:type="paragraph" w:styleId="779">
    <w:name w:val="toc 4"/>
    <w:basedOn w:val="786"/>
    <w:next w:val="786"/>
    <w:uiPriority w:val="39"/>
    <w:unhideWhenUsed/>
    <w:pPr>
      <w:ind w:left="850" w:right="0" w:firstLine="0"/>
      <w:spacing w:after="57"/>
    </w:pPr>
  </w:style>
  <w:style w:type="paragraph" w:styleId="780">
    <w:name w:val="toc 5"/>
    <w:basedOn w:val="786"/>
    <w:next w:val="786"/>
    <w:uiPriority w:val="39"/>
    <w:unhideWhenUsed/>
    <w:pPr>
      <w:ind w:left="1134" w:right="0" w:firstLine="0"/>
      <w:spacing w:after="57"/>
    </w:pPr>
  </w:style>
  <w:style w:type="paragraph" w:styleId="781">
    <w:name w:val="toc 6"/>
    <w:basedOn w:val="786"/>
    <w:next w:val="786"/>
    <w:uiPriority w:val="39"/>
    <w:unhideWhenUsed/>
    <w:pPr>
      <w:ind w:left="1417" w:right="0" w:firstLine="0"/>
      <w:spacing w:after="57"/>
    </w:pPr>
  </w:style>
  <w:style w:type="paragraph" w:styleId="782">
    <w:name w:val="toc 7"/>
    <w:basedOn w:val="786"/>
    <w:next w:val="786"/>
    <w:uiPriority w:val="39"/>
    <w:unhideWhenUsed/>
    <w:pPr>
      <w:ind w:left="1701" w:right="0" w:firstLine="0"/>
      <w:spacing w:after="57"/>
    </w:pPr>
  </w:style>
  <w:style w:type="paragraph" w:styleId="783">
    <w:name w:val="toc 8"/>
    <w:basedOn w:val="786"/>
    <w:next w:val="786"/>
    <w:uiPriority w:val="39"/>
    <w:unhideWhenUsed/>
    <w:pPr>
      <w:ind w:left="1984" w:right="0" w:firstLine="0"/>
      <w:spacing w:after="57"/>
    </w:pPr>
  </w:style>
  <w:style w:type="paragraph" w:styleId="784">
    <w:name w:val="toc 9"/>
    <w:basedOn w:val="786"/>
    <w:next w:val="786"/>
    <w:uiPriority w:val="39"/>
    <w:unhideWhenUsed/>
    <w:pPr>
      <w:ind w:left="2268" w:right="0" w:firstLine="0"/>
      <w:spacing w:after="57"/>
    </w:pPr>
  </w:style>
  <w:style w:type="paragraph" w:styleId="785">
    <w:name w:val="table of figures"/>
    <w:basedOn w:val="786"/>
    <w:next w:val="786"/>
    <w:uiPriority w:val="99"/>
    <w:unhideWhenUsed/>
    <w:pPr>
      <w:spacing w:after="0" w:afterAutospacing="0"/>
    </w:pPr>
  </w:style>
  <w:style w:type="paragraph" w:styleId="786" w:default="1">
    <w:name w:val="Normal"/>
    <w:next w:val="798"/>
    <w:link w:val="786"/>
    <w:qFormat/>
    <w:pPr>
      <w:jc w:val="both"/>
      <w:widowControl w:val="off"/>
    </w:pPr>
    <w:rPr>
      <w:rFonts w:ascii="Times New Roman" w:hAnsi="Times New Roman" w:eastAsia="宋体" w:cs="Times New Roman"/>
      <w:sz w:val="21"/>
      <w:szCs w:val="21"/>
      <w:lang w:val="en-US" w:eastAsia="zh-CN" w:bidi="ar-SA"/>
    </w:rPr>
  </w:style>
  <w:style w:type="paragraph" w:styleId="787">
    <w:name w:val="标题 1"/>
    <w:basedOn w:val="786"/>
    <w:next w:val="786"/>
    <w:link w:val="799"/>
    <w:uiPriority w:val="9"/>
    <w:qFormat/>
    <w:pPr>
      <w:keepLines/>
      <w:keepNext/>
      <w:spacing w:before="480" w:after="200"/>
      <w:outlineLvl w:val="0"/>
    </w:pPr>
    <w:rPr>
      <w:rFonts w:ascii="Arial" w:hAnsi="Arial" w:eastAsia="Arial" w:cs="Arial"/>
      <w:sz w:val="40"/>
      <w:szCs w:val="40"/>
    </w:rPr>
  </w:style>
  <w:style w:type="paragraph" w:styleId="788">
    <w:name w:val="标题 2"/>
    <w:basedOn w:val="786"/>
    <w:next w:val="786"/>
    <w:link w:val="800"/>
    <w:uiPriority w:val="9"/>
    <w:unhideWhenUsed/>
    <w:qFormat/>
    <w:pPr>
      <w:keepLines/>
      <w:keepNext/>
      <w:spacing w:before="360" w:after="200"/>
      <w:outlineLvl w:val="1"/>
    </w:pPr>
    <w:rPr>
      <w:rFonts w:ascii="Arial" w:hAnsi="Arial" w:eastAsia="Arial" w:cs="Arial"/>
      <w:sz w:val="34"/>
    </w:rPr>
  </w:style>
  <w:style w:type="paragraph" w:styleId="789">
    <w:name w:val="标题 3"/>
    <w:basedOn w:val="786"/>
    <w:next w:val="786"/>
    <w:link w:val="801"/>
    <w:uiPriority w:val="9"/>
    <w:unhideWhenUsed/>
    <w:qFormat/>
    <w:pPr>
      <w:keepLines/>
      <w:keepNext/>
      <w:spacing w:before="320" w:after="200"/>
      <w:outlineLvl w:val="2"/>
    </w:pPr>
    <w:rPr>
      <w:rFonts w:ascii="Arial" w:hAnsi="Arial" w:eastAsia="Arial" w:cs="Arial"/>
      <w:sz w:val="30"/>
      <w:szCs w:val="30"/>
    </w:rPr>
  </w:style>
  <w:style w:type="paragraph" w:styleId="790">
    <w:name w:val="标题 4"/>
    <w:basedOn w:val="786"/>
    <w:next w:val="786"/>
    <w:link w:val="802"/>
    <w:uiPriority w:val="9"/>
    <w:unhideWhenUsed/>
    <w:qFormat/>
    <w:pPr>
      <w:keepLines/>
      <w:keepNext/>
      <w:spacing w:before="320" w:after="200"/>
      <w:outlineLvl w:val="3"/>
    </w:pPr>
    <w:rPr>
      <w:rFonts w:ascii="Arial" w:hAnsi="Arial" w:eastAsia="Arial" w:cs="Arial"/>
      <w:b/>
      <w:bCs/>
      <w:sz w:val="26"/>
      <w:szCs w:val="26"/>
    </w:rPr>
  </w:style>
  <w:style w:type="paragraph" w:styleId="791">
    <w:name w:val="标题 5"/>
    <w:basedOn w:val="786"/>
    <w:next w:val="786"/>
    <w:link w:val="803"/>
    <w:uiPriority w:val="9"/>
    <w:unhideWhenUsed/>
    <w:qFormat/>
    <w:pPr>
      <w:keepLines/>
      <w:keepNext/>
      <w:spacing w:before="320" w:after="200"/>
      <w:outlineLvl w:val="4"/>
    </w:pPr>
    <w:rPr>
      <w:rFonts w:ascii="Arial" w:hAnsi="Arial" w:eastAsia="Arial" w:cs="Arial"/>
      <w:b/>
      <w:bCs/>
      <w:sz w:val="24"/>
      <w:szCs w:val="24"/>
    </w:rPr>
  </w:style>
  <w:style w:type="paragraph" w:styleId="792">
    <w:name w:val="标题 6"/>
    <w:basedOn w:val="786"/>
    <w:next w:val="786"/>
    <w:link w:val="804"/>
    <w:uiPriority w:val="9"/>
    <w:unhideWhenUsed/>
    <w:qFormat/>
    <w:pPr>
      <w:keepLines/>
      <w:keepNext/>
      <w:spacing w:before="320" w:after="200"/>
      <w:outlineLvl w:val="5"/>
    </w:pPr>
    <w:rPr>
      <w:rFonts w:ascii="Arial" w:hAnsi="Arial" w:eastAsia="Arial" w:cs="Arial"/>
      <w:b/>
      <w:bCs/>
      <w:sz w:val="22"/>
      <w:szCs w:val="22"/>
    </w:rPr>
  </w:style>
  <w:style w:type="paragraph" w:styleId="793">
    <w:name w:val="标题 7"/>
    <w:basedOn w:val="786"/>
    <w:next w:val="786"/>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94">
    <w:name w:val="标题 8"/>
    <w:basedOn w:val="786"/>
    <w:next w:val="786"/>
    <w:link w:val="806"/>
    <w:uiPriority w:val="9"/>
    <w:unhideWhenUsed/>
    <w:qFormat/>
    <w:pPr>
      <w:keepLines/>
      <w:keepNext/>
      <w:spacing w:before="320" w:after="200"/>
      <w:outlineLvl w:val="7"/>
    </w:pPr>
    <w:rPr>
      <w:rFonts w:ascii="Arial" w:hAnsi="Arial" w:eastAsia="Arial" w:cs="Arial"/>
      <w:i/>
      <w:iCs/>
      <w:sz w:val="22"/>
      <w:szCs w:val="22"/>
    </w:rPr>
  </w:style>
  <w:style w:type="paragraph" w:styleId="795">
    <w:name w:val="标题 9"/>
    <w:basedOn w:val="786"/>
    <w:next w:val="786"/>
    <w:link w:val="807"/>
    <w:uiPriority w:val="9"/>
    <w:unhideWhenUsed/>
    <w:qFormat/>
    <w:pPr>
      <w:keepLines/>
      <w:keepNext/>
      <w:spacing w:before="320" w:after="200"/>
      <w:outlineLvl w:val="8"/>
    </w:pPr>
    <w:rPr>
      <w:rFonts w:ascii="Arial" w:hAnsi="Arial" w:eastAsia="Arial" w:cs="Arial"/>
      <w:i/>
      <w:iCs/>
      <w:sz w:val="21"/>
      <w:szCs w:val="21"/>
    </w:rPr>
  </w:style>
  <w:style w:type="character" w:styleId="796">
    <w:name w:val="默认段落字体"/>
    <w:next w:val="796"/>
    <w:link w:val="786"/>
    <w:uiPriority w:val="1"/>
    <w:unhideWhenUsed/>
    <w:qFormat/>
  </w:style>
  <w:style w:type="table" w:styleId="797">
    <w:name w:val="普通表格"/>
    <w:next w:val="797"/>
    <w:link w:val="786"/>
    <w:uiPriority w:val="99"/>
    <w:unhideWhenUsed/>
    <w:qFormat/>
    <w:tblPr/>
  </w:style>
  <w:style w:type="paragraph" w:styleId="798">
    <w:name w:val="索引 4"/>
    <w:basedOn w:val="786"/>
    <w:next w:val="786"/>
    <w:link w:val="786"/>
    <w:qFormat/>
    <w:pPr>
      <w:ind w:left="1260"/>
      <w:jc w:val="both"/>
      <w:keepLines w:val="0"/>
      <w:keepNext w:val="0"/>
      <w:widowControl w:val="off"/>
      <w:suppressLineNumbers w:val="0"/>
    </w:pPr>
    <w:rPr>
      <w:rFonts w:ascii="Times New Roman" w:hAnsi="Times New Roman" w:eastAsia="楷体_GB2312" w:cs="Times New Roman"/>
      <w:sz w:val="26"/>
      <w:szCs w:val="26"/>
      <w:lang w:val="en-US" w:eastAsia="zh-CN" w:bidi="ar"/>
    </w:rPr>
  </w:style>
  <w:style w:type="character" w:styleId="799">
    <w:name w:val="Heading 1 Char"/>
    <w:next w:val="799"/>
    <w:link w:val="787"/>
    <w:uiPriority w:val="9"/>
    <w:qFormat/>
    <w:rPr>
      <w:rFonts w:ascii="Arial" w:hAnsi="Arial" w:eastAsia="Arial" w:cs="Arial"/>
      <w:sz w:val="40"/>
      <w:szCs w:val="40"/>
    </w:rPr>
  </w:style>
  <w:style w:type="character" w:styleId="800">
    <w:name w:val="Heading 2 Char"/>
    <w:next w:val="800"/>
    <w:link w:val="788"/>
    <w:uiPriority w:val="9"/>
    <w:qFormat/>
    <w:rPr>
      <w:rFonts w:ascii="Arial" w:hAnsi="Arial" w:eastAsia="Arial" w:cs="Arial"/>
      <w:sz w:val="34"/>
    </w:rPr>
  </w:style>
  <w:style w:type="character" w:styleId="801">
    <w:name w:val="Heading 3 Char"/>
    <w:next w:val="801"/>
    <w:link w:val="789"/>
    <w:uiPriority w:val="9"/>
    <w:qFormat/>
    <w:rPr>
      <w:rFonts w:ascii="Arial" w:hAnsi="Arial" w:eastAsia="Arial" w:cs="Arial"/>
      <w:sz w:val="30"/>
      <w:szCs w:val="30"/>
    </w:rPr>
  </w:style>
  <w:style w:type="character" w:styleId="802">
    <w:name w:val="Heading 4 Char"/>
    <w:next w:val="802"/>
    <w:link w:val="790"/>
    <w:uiPriority w:val="9"/>
    <w:qFormat/>
    <w:rPr>
      <w:rFonts w:ascii="Arial" w:hAnsi="Arial" w:eastAsia="Arial" w:cs="Arial"/>
      <w:b/>
      <w:bCs/>
      <w:sz w:val="26"/>
      <w:szCs w:val="26"/>
    </w:rPr>
  </w:style>
  <w:style w:type="character" w:styleId="803">
    <w:name w:val="Heading 5 Char"/>
    <w:next w:val="803"/>
    <w:link w:val="791"/>
    <w:uiPriority w:val="9"/>
    <w:qFormat/>
    <w:rPr>
      <w:rFonts w:ascii="Arial" w:hAnsi="Arial" w:eastAsia="Arial" w:cs="Arial"/>
      <w:b/>
      <w:bCs/>
      <w:sz w:val="24"/>
      <w:szCs w:val="24"/>
    </w:rPr>
  </w:style>
  <w:style w:type="character" w:styleId="804">
    <w:name w:val="Heading 6 Char"/>
    <w:next w:val="804"/>
    <w:link w:val="792"/>
    <w:uiPriority w:val="9"/>
    <w:qFormat/>
    <w:rPr>
      <w:rFonts w:ascii="Arial" w:hAnsi="Arial" w:eastAsia="Arial" w:cs="Arial"/>
      <w:b/>
      <w:bCs/>
      <w:sz w:val="22"/>
      <w:szCs w:val="22"/>
    </w:rPr>
  </w:style>
  <w:style w:type="character" w:styleId="805">
    <w:name w:val="Heading 7 Char"/>
    <w:next w:val="805"/>
    <w:link w:val="793"/>
    <w:uiPriority w:val="9"/>
    <w:qFormat/>
    <w:rPr>
      <w:rFonts w:ascii="Arial" w:hAnsi="Arial" w:eastAsia="Arial" w:cs="Arial"/>
      <w:b/>
      <w:bCs/>
      <w:i/>
      <w:iCs/>
      <w:sz w:val="22"/>
      <w:szCs w:val="22"/>
    </w:rPr>
  </w:style>
  <w:style w:type="character" w:styleId="806">
    <w:name w:val="Heading 8 Char"/>
    <w:next w:val="806"/>
    <w:link w:val="794"/>
    <w:uiPriority w:val="9"/>
    <w:qFormat/>
    <w:rPr>
      <w:rFonts w:ascii="Arial" w:hAnsi="Arial" w:eastAsia="Arial" w:cs="Arial"/>
      <w:i/>
      <w:iCs/>
      <w:sz w:val="22"/>
      <w:szCs w:val="22"/>
    </w:rPr>
  </w:style>
  <w:style w:type="character" w:styleId="807">
    <w:name w:val="Heading 9 Char"/>
    <w:next w:val="807"/>
    <w:link w:val="795"/>
    <w:uiPriority w:val="9"/>
    <w:qFormat/>
    <w:rPr>
      <w:rFonts w:ascii="Arial" w:hAnsi="Arial" w:eastAsia="Arial" w:cs="Arial"/>
      <w:i/>
      <w:iCs/>
      <w:sz w:val="21"/>
      <w:szCs w:val="21"/>
    </w:rPr>
  </w:style>
  <w:style w:type="paragraph" w:styleId="808">
    <w:name w:val="目录 7"/>
    <w:basedOn w:val="786"/>
    <w:next w:val="786"/>
    <w:link w:val="786"/>
    <w:uiPriority w:val="39"/>
    <w:unhideWhenUsed/>
    <w:qFormat/>
    <w:pPr>
      <w:ind w:left="1701" w:right="0" w:firstLine="0"/>
      <w:spacing w:after="57"/>
    </w:pPr>
  </w:style>
  <w:style w:type="paragraph" w:styleId="809">
    <w:name w:val="题注"/>
    <w:basedOn w:val="786"/>
    <w:next w:val="786"/>
    <w:link w:val="786"/>
    <w:uiPriority w:val="35"/>
    <w:unhideWhenUsed/>
    <w:qFormat/>
    <w:pPr>
      <w:spacing w:line="276" w:lineRule="auto"/>
    </w:pPr>
    <w:rPr>
      <w:b/>
      <w:bCs/>
      <w:color w:val="4f81bd"/>
      <w:sz w:val="18"/>
      <w:szCs w:val="18"/>
    </w:rPr>
  </w:style>
  <w:style w:type="paragraph" w:styleId="810">
    <w:name w:val="批注文字"/>
    <w:basedOn w:val="786"/>
    <w:next w:val="810"/>
    <w:link w:val="786"/>
    <w:uiPriority w:val="99"/>
    <w:unhideWhenUsed/>
    <w:qFormat/>
    <w:pPr>
      <w:jc w:val="left"/>
    </w:pPr>
  </w:style>
  <w:style w:type="paragraph" w:styleId="811">
    <w:name w:val="目录 5"/>
    <w:basedOn w:val="786"/>
    <w:next w:val="786"/>
    <w:link w:val="786"/>
    <w:uiPriority w:val="39"/>
    <w:unhideWhenUsed/>
    <w:qFormat/>
    <w:pPr>
      <w:ind w:left="1134" w:right="0" w:firstLine="0"/>
      <w:spacing w:after="57"/>
    </w:pPr>
  </w:style>
  <w:style w:type="paragraph" w:styleId="812">
    <w:name w:val="目录 3"/>
    <w:basedOn w:val="786"/>
    <w:next w:val="786"/>
    <w:link w:val="786"/>
    <w:uiPriority w:val="39"/>
    <w:unhideWhenUsed/>
    <w:qFormat/>
    <w:pPr>
      <w:ind w:left="567" w:right="0" w:firstLine="0"/>
      <w:spacing w:after="57"/>
    </w:pPr>
  </w:style>
  <w:style w:type="paragraph" w:styleId="813">
    <w:name w:val="目录 8"/>
    <w:basedOn w:val="786"/>
    <w:next w:val="786"/>
    <w:link w:val="786"/>
    <w:uiPriority w:val="39"/>
    <w:unhideWhenUsed/>
    <w:qFormat/>
    <w:pPr>
      <w:ind w:left="1984" w:right="0" w:firstLine="0"/>
      <w:spacing w:after="57"/>
    </w:pPr>
  </w:style>
  <w:style w:type="paragraph" w:styleId="814">
    <w:name w:val="尾注文本"/>
    <w:basedOn w:val="786"/>
    <w:next w:val="814"/>
    <w:link w:val="815"/>
    <w:uiPriority w:val="99"/>
    <w:unhideWhenUsed/>
    <w:qFormat/>
    <w:pPr>
      <w:spacing w:after="0" w:line="240" w:lineRule="auto"/>
    </w:pPr>
    <w:rPr>
      <w:sz w:val="20"/>
    </w:rPr>
  </w:style>
  <w:style w:type="character" w:styleId="815">
    <w:name w:val="Endnote Text Char"/>
    <w:next w:val="815"/>
    <w:link w:val="814"/>
    <w:uiPriority w:val="99"/>
    <w:qFormat/>
    <w:rPr>
      <w:sz w:val="20"/>
    </w:rPr>
  </w:style>
  <w:style w:type="paragraph" w:styleId="816">
    <w:name w:val="页脚"/>
    <w:basedOn w:val="786"/>
    <w:next w:val="816"/>
    <w:link w:val="817"/>
    <w:uiPriority w:val="99"/>
    <w:unhideWhenUsed/>
    <w:qFormat/>
    <w:pPr>
      <w:spacing w:after="0" w:line="240" w:lineRule="auto"/>
      <w:tabs>
        <w:tab w:val="center" w:pos="7143" w:leader="none"/>
        <w:tab w:val="right" w:pos="14287" w:leader="none"/>
      </w:tabs>
    </w:pPr>
  </w:style>
  <w:style w:type="character" w:styleId="817">
    <w:name w:val="Caption Char"/>
    <w:next w:val="817"/>
    <w:link w:val="816"/>
    <w:uiPriority w:val="99"/>
    <w:qFormat/>
  </w:style>
  <w:style w:type="paragraph" w:styleId="818">
    <w:name w:val="页眉"/>
    <w:basedOn w:val="786"/>
    <w:next w:val="818"/>
    <w:link w:val="819"/>
    <w:uiPriority w:val="99"/>
    <w:unhideWhenUsed/>
    <w:qFormat/>
    <w:pPr>
      <w:spacing w:after="0" w:line="240" w:lineRule="auto"/>
      <w:tabs>
        <w:tab w:val="center" w:pos="7143" w:leader="none"/>
        <w:tab w:val="right" w:pos="14287" w:leader="none"/>
      </w:tabs>
    </w:pPr>
  </w:style>
  <w:style w:type="character" w:styleId="819">
    <w:name w:val="Header Char"/>
    <w:next w:val="819"/>
    <w:link w:val="818"/>
    <w:uiPriority w:val="99"/>
    <w:qFormat/>
  </w:style>
  <w:style w:type="paragraph" w:styleId="820">
    <w:name w:val="目录 1"/>
    <w:basedOn w:val="786"/>
    <w:next w:val="786"/>
    <w:link w:val="786"/>
    <w:uiPriority w:val="39"/>
    <w:unhideWhenUsed/>
    <w:qFormat/>
    <w:pPr>
      <w:ind w:left="0" w:right="0" w:firstLine="0"/>
      <w:spacing w:after="57"/>
    </w:pPr>
  </w:style>
  <w:style w:type="paragraph" w:styleId="821">
    <w:name w:val="目录 4"/>
    <w:basedOn w:val="786"/>
    <w:next w:val="786"/>
    <w:link w:val="786"/>
    <w:uiPriority w:val="39"/>
    <w:unhideWhenUsed/>
    <w:qFormat/>
    <w:pPr>
      <w:ind w:left="850" w:right="0" w:firstLine="0"/>
      <w:spacing w:after="57"/>
    </w:pPr>
  </w:style>
  <w:style w:type="paragraph" w:styleId="822">
    <w:name w:val="副标题"/>
    <w:basedOn w:val="786"/>
    <w:next w:val="786"/>
    <w:link w:val="823"/>
    <w:uiPriority w:val="11"/>
    <w:qFormat/>
    <w:pPr>
      <w:spacing w:before="200" w:after="200"/>
    </w:pPr>
    <w:rPr>
      <w:sz w:val="24"/>
      <w:szCs w:val="24"/>
    </w:rPr>
  </w:style>
  <w:style w:type="character" w:styleId="823">
    <w:name w:val="Subtitle Char"/>
    <w:next w:val="823"/>
    <w:link w:val="822"/>
    <w:uiPriority w:val="11"/>
    <w:qFormat/>
    <w:rPr>
      <w:sz w:val="24"/>
      <w:szCs w:val="24"/>
    </w:rPr>
  </w:style>
  <w:style w:type="paragraph" w:styleId="824">
    <w:name w:val="脚注文本"/>
    <w:basedOn w:val="786"/>
    <w:next w:val="824"/>
    <w:link w:val="825"/>
    <w:uiPriority w:val="99"/>
    <w:unhideWhenUsed/>
    <w:qFormat/>
    <w:pPr>
      <w:spacing w:after="40" w:line="240" w:lineRule="auto"/>
    </w:pPr>
    <w:rPr>
      <w:sz w:val="18"/>
    </w:rPr>
  </w:style>
  <w:style w:type="character" w:styleId="825">
    <w:name w:val="Footnote Text Char"/>
    <w:next w:val="825"/>
    <w:link w:val="824"/>
    <w:uiPriority w:val="99"/>
    <w:qFormat/>
    <w:rPr>
      <w:sz w:val="18"/>
    </w:rPr>
  </w:style>
  <w:style w:type="paragraph" w:styleId="826">
    <w:name w:val="目录 6"/>
    <w:basedOn w:val="786"/>
    <w:next w:val="786"/>
    <w:link w:val="786"/>
    <w:uiPriority w:val="39"/>
    <w:unhideWhenUsed/>
    <w:qFormat/>
    <w:pPr>
      <w:ind w:left="1417" w:right="0" w:firstLine="0"/>
      <w:spacing w:after="57"/>
    </w:pPr>
  </w:style>
  <w:style w:type="paragraph" w:styleId="827">
    <w:name w:val="图表目录"/>
    <w:basedOn w:val="786"/>
    <w:next w:val="786"/>
    <w:link w:val="786"/>
    <w:uiPriority w:val="99"/>
    <w:unhideWhenUsed/>
    <w:qFormat/>
    <w:pPr>
      <w:spacing w:after="0" w:afterAutospacing="0"/>
    </w:pPr>
  </w:style>
  <w:style w:type="paragraph" w:styleId="828">
    <w:name w:val="目录 2"/>
    <w:basedOn w:val="786"/>
    <w:next w:val="786"/>
    <w:link w:val="786"/>
    <w:uiPriority w:val="39"/>
    <w:unhideWhenUsed/>
    <w:qFormat/>
    <w:pPr>
      <w:ind w:left="283" w:right="0" w:firstLine="0"/>
      <w:spacing w:after="57"/>
    </w:pPr>
  </w:style>
  <w:style w:type="paragraph" w:styleId="829">
    <w:name w:val="目录 9"/>
    <w:basedOn w:val="786"/>
    <w:next w:val="786"/>
    <w:link w:val="786"/>
    <w:uiPriority w:val="39"/>
    <w:unhideWhenUsed/>
    <w:qFormat/>
    <w:pPr>
      <w:ind w:left="2268" w:right="0" w:firstLine="0"/>
      <w:spacing w:after="57"/>
    </w:pPr>
  </w:style>
  <w:style w:type="paragraph" w:styleId="830">
    <w:name w:val="标题"/>
    <w:basedOn w:val="786"/>
    <w:next w:val="786"/>
    <w:link w:val="831"/>
    <w:uiPriority w:val="10"/>
    <w:qFormat/>
    <w:pPr>
      <w:contextualSpacing/>
      <w:spacing w:before="300" w:after="200"/>
    </w:pPr>
    <w:rPr>
      <w:sz w:val="48"/>
      <w:szCs w:val="48"/>
    </w:rPr>
  </w:style>
  <w:style w:type="character" w:styleId="831">
    <w:name w:val="Title Char"/>
    <w:next w:val="831"/>
    <w:link w:val="830"/>
    <w:uiPriority w:val="10"/>
    <w:qFormat/>
    <w:rPr>
      <w:sz w:val="48"/>
      <w:szCs w:val="48"/>
    </w:rPr>
  </w:style>
  <w:style w:type="table" w:styleId="832">
    <w:name w:val="网格型"/>
    <w:next w:val="832"/>
    <w:link w:val="786"/>
    <w:uiPriority w:val="59"/>
    <w:qFormat/>
    <w:pPr>
      <w:spacing w:after="0" w:line="240" w:lineRule="auto"/>
    </w:pPr>
    <w:tblPr/>
  </w:style>
  <w:style w:type="character" w:styleId="833">
    <w:name w:val="要点"/>
    <w:basedOn w:val="796"/>
    <w:next w:val="833"/>
    <w:link w:val="786"/>
    <w:uiPriority w:val="22"/>
    <w:qFormat/>
    <w:rPr>
      <w:b/>
    </w:rPr>
  </w:style>
  <w:style w:type="character" w:styleId="834">
    <w:name w:val="尾注引用"/>
    <w:next w:val="834"/>
    <w:link w:val="786"/>
    <w:uiPriority w:val="99"/>
    <w:unhideWhenUsed/>
    <w:qFormat/>
    <w:rPr>
      <w:vertAlign w:val="superscript"/>
    </w:rPr>
  </w:style>
  <w:style w:type="character" w:styleId="835">
    <w:name w:val="超链接"/>
    <w:next w:val="835"/>
    <w:link w:val="786"/>
    <w:uiPriority w:val="99"/>
    <w:unhideWhenUsed/>
    <w:qFormat/>
    <w:rPr>
      <w:color w:val="0000ff"/>
      <w:u w:val="single"/>
    </w:rPr>
  </w:style>
  <w:style w:type="character" w:styleId="836">
    <w:name w:val="脚注引用"/>
    <w:next w:val="836"/>
    <w:link w:val="786"/>
    <w:uiPriority w:val="99"/>
    <w:unhideWhenUsed/>
    <w:qFormat/>
    <w:rPr>
      <w:vertAlign w:val="superscript"/>
    </w:rPr>
  </w:style>
  <w:style w:type="character" w:styleId="837">
    <w:name w:val="Footer Char"/>
    <w:next w:val="837"/>
    <w:link w:val="816"/>
    <w:uiPriority w:val="99"/>
    <w:qFormat/>
  </w:style>
  <w:style w:type="character" w:styleId="838">
    <w:name w:val="标题 3 Char"/>
    <w:next w:val="838"/>
    <w:link w:val="839"/>
    <w:qFormat/>
    <w:rPr>
      <w:rFonts w:ascii="Times New Roman" w:hAnsi="Times New Roman" w:eastAsia="宋体" w:cs="Times New Roman"/>
      <w:b/>
      <w:bCs/>
      <w:sz w:val="32"/>
      <w:szCs w:val="32"/>
    </w:rPr>
  </w:style>
  <w:style w:type="paragraph" w:styleId="839">
    <w:name w:val="标题 31"/>
    <w:basedOn w:val="786"/>
    <w:next w:val="840"/>
    <w:link w:val="838"/>
    <w:qFormat/>
    <w:pPr>
      <w:keepLines/>
      <w:keepNext/>
      <w:spacing w:before="260" w:after="260" w:line="416" w:lineRule="auto"/>
      <w:outlineLvl w:val="2"/>
    </w:pPr>
    <w:rPr>
      <w:b/>
      <w:bCs/>
      <w:sz w:val="32"/>
      <w:szCs w:val="32"/>
    </w:rPr>
  </w:style>
  <w:style w:type="paragraph" w:styleId="840">
    <w:name w:val="正文缩进11"/>
    <w:basedOn w:val="786"/>
    <w:next w:val="840"/>
    <w:link w:val="841"/>
    <w:qFormat/>
    <w:pPr>
      <w:ind w:firstLine="420"/>
    </w:pPr>
    <w:rPr>
      <w:sz w:val="20"/>
    </w:rPr>
  </w:style>
  <w:style w:type="character" w:styleId="841">
    <w:name w:val="正文缩进 Char"/>
    <w:next w:val="841"/>
    <w:link w:val="840"/>
    <w:qFormat/>
    <w:rPr>
      <w:rFonts w:ascii="Times New Roman" w:hAnsi="Times New Roman" w:eastAsia="宋体" w:cs="Times New Roman"/>
      <w:szCs w:val="21"/>
    </w:rPr>
  </w:style>
  <w:style w:type="character" w:styleId="842">
    <w:name w:val="标题 1 Char"/>
    <w:next w:val="842"/>
    <w:link w:val="843"/>
    <w:uiPriority w:val="9"/>
    <w:qFormat/>
    <w:rPr>
      <w:rFonts w:ascii="楷体_GB2312" w:hAnsi="Times New Roman" w:eastAsia="楷体_GB2312" w:cs="Times New Roman"/>
      <w:sz w:val="28"/>
      <w:szCs w:val="28"/>
    </w:rPr>
  </w:style>
  <w:style w:type="paragraph" w:styleId="843">
    <w:name w:val="标题 11"/>
    <w:basedOn w:val="786"/>
    <w:next w:val="786"/>
    <w:link w:val="842"/>
    <w:uiPriority w:val="9"/>
    <w:qFormat/>
    <w:pPr>
      <w:jc w:val="center"/>
      <w:keepNext/>
      <w:outlineLvl w:val="0"/>
    </w:pPr>
    <w:rPr>
      <w:rFonts w:ascii="楷体_GB2312" w:eastAsia="楷体_GB2312"/>
      <w:sz w:val="28"/>
      <w:szCs w:val="28"/>
    </w:rPr>
  </w:style>
  <w:style w:type="character" w:styleId="844">
    <w:name w:val="font281"/>
    <w:next w:val="844"/>
    <w:link w:val="786"/>
    <w:qFormat/>
    <w:rPr>
      <w:rFonts w:ascii="Times New Roman" w:hAnsi="Times New Roman" w:eastAsia="宋体" w:cs="Times New Roman"/>
      <w:sz w:val="21"/>
      <w:szCs w:val="21"/>
      <w:lang w:val="en-US" w:eastAsia="zh-CN" w:bidi="ar-SA"/>
    </w:rPr>
  </w:style>
  <w:style w:type="paragraph" w:styleId="845">
    <w:name w:val="List Paragraph"/>
    <w:basedOn w:val="786"/>
    <w:next w:val="845"/>
    <w:link w:val="786"/>
    <w:uiPriority w:val="34"/>
    <w:qFormat/>
    <w:pPr>
      <w:contextualSpacing/>
      <w:ind w:left="720"/>
    </w:pPr>
  </w:style>
  <w:style w:type="paragraph" w:styleId="846">
    <w:name w:val="No Spacing"/>
    <w:next w:val="846"/>
    <w:link w:val="786"/>
    <w:uiPriority w:val="1"/>
    <w:qFormat/>
    <w:pPr>
      <w:spacing w:before="0" w:after="0" w:line="240" w:lineRule="auto"/>
    </w:pPr>
    <w:rPr>
      <w:rFonts w:ascii="Times New Roman" w:hAnsi="Times New Roman" w:eastAsia="宋体" w:cs="Times New Roman"/>
    </w:rPr>
  </w:style>
  <w:style w:type="paragraph" w:styleId="847">
    <w:name w:val="Quote"/>
    <w:basedOn w:val="786"/>
    <w:next w:val="786"/>
    <w:link w:val="848"/>
    <w:uiPriority w:val="29"/>
    <w:qFormat/>
    <w:pPr>
      <w:ind w:left="720" w:right="720"/>
    </w:pPr>
    <w:rPr>
      <w:i/>
    </w:rPr>
  </w:style>
  <w:style w:type="character" w:styleId="848">
    <w:name w:val="Quote Char"/>
    <w:next w:val="848"/>
    <w:link w:val="847"/>
    <w:uiPriority w:val="29"/>
    <w:qFormat/>
    <w:rPr>
      <w:i/>
    </w:rPr>
  </w:style>
  <w:style w:type="character" w:styleId="849">
    <w:name w:val="Intense Quote Char"/>
    <w:next w:val="849"/>
    <w:link w:val="786"/>
    <w:uiPriority w:val="30"/>
    <w:qFormat/>
    <w:rPr>
      <w:i/>
    </w:rPr>
  </w:style>
  <w:style w:type="table" w:styleId="850">
    <w:name w:val="Table Grid Light"/>
    <w:next w:val="850"/>
    <w:link w:val="786"/>
    <w:uiPriority w:val="59"/>
    <w:qFormat/>
    <w:pPr>
      <w:spacing w:after="0" w:line="240" w:lineRule="auto"/>
    </w:pPr>
    <w:tblPr/>
  </w:style>
  <w:style w:type="table" w:styleId="851">
    <w:name w:val="Plain Table 1"/>
    <w:next w:val="851"/>
    <w:link w:val="786"/>
    <w:uiPriority w:val="59"/>
    <w:qFormat/>
    <w:pPr>
      <w:spacing w:after="0" w:line="240" w:lineRule="auto"/>
    </w:pPr>
    <w:tblPr/>
  </w:style>
  <w:style w:type="table" w:styleId="852">
    <w:name w:val="Plain Table 2"/>
    <w:next w:val="852"/>
    <w:link w:val="786"/>
    <w:uiPriority w:val="59"/>
    <w:qFormat/>
    <w:pPr>
      <w:spacing w:after="0" w:line="240" w:lineRule="auto"/>
    </w:pPr>
    <w:tblPr/>
  </w:style>
  <w:style w:type="table" w:styleId="853">
    <w:name w:val="Plain Table 3"/>
    <w:next w:val="853"/>
    <w:link w:val="786"/>
    <w:uiPriority w:val="99"/>
    <w:qFormat/>
    <w:pPr>
      <w:spacing w:after="0" w:line="240" w:lineRule="auto"/>
    </w:pPr>
    <w:tblPr/>
  </w:style>
  <w:style w:type="table" w:styleId="854">
    <w:name w:val="Plain Table 4"/>
    <w:next w:val="854"/>
    <w:link w:val="786"/>
    <w:uiPriority w:val="99"/>
    <w:qFormat/>
    <w:pPr>
      <w:spacing w:after="0" w:line="240" w:lineRule="auto"/>
    </w:pPr>
    <w:tblPr/>
  </w:style>
  <w:style w:type="table" w:styleId="855">
    <w:name w:val="Plain Table 5"/>
    <w:next w:val="855"/>
    <w:link w:val="786"/>
    <w:uiPriority w:val="99"/>
    <w:qFormat/>
    <w:pPr>
      <w:spacing w:after="0" w:line="240" w:lineRule="auto"/>
    </w:pPr>
    <w:tblPr/>
  </w:style>
  <w:style w:type="table" w:styleId="856">
    <w:name w:val="Grid Table 1 Light"/>
    <w:next w:val="856"/>
    <w:link w:val="786"/>
    <w:uiPriority w:val="99"/>
    <w:qFormat/>
    <w:pPr>
      <w:spacing w:after="0" w:line="240" w:lineRule="auto"/>
    </w:pPr>
    <w:tblPr/>
  </w:style>
  <w:style w:type="table" w:styleId="857">
    <w:name w:val="Grid Table 1 Light - Accent 1"/>
    <w:next w:val="857"/>
    <w:link w:val="786"/>
    <w:uiPriority w:val="99"/>
    <w:qFormat/>
    <w:pPr>
      <w:spacing w:after="0" w:line="240" w:lineRule="auto"/>
    </w:pPr>
    <w:tblPr/>
  </w:style>
  <w:style w:type="table" w:styleId="858">
    <w:name w:val="Grid Table 1 Light - Accent 2"/>
    <w:next w:val="858"/>
    <w:link w:val="786"/>
    <w:uiPriority w:val="99"/>
    <w:qFormat/>
    <w:pPr>
      <w:spacing w:after="0" w:line="240" w:lineRule="auto"/>
    </w:pPr>
    <w:tblPr/>
  </w:style>
  <w:style w:type="table" w:styleId="859">
    <w:name w:val="Grid Table 1 Light - Accent 3"/>
    <w:next w:val="859"/>
    <w:link w:val="786"/>
    <w:uiPriority w:val="99"/>
    <w:qFormat/>
    <w:pPr>
      <w:spacing w:after="0" w:line="240" w:lineRule="auto"/>
    </w:pPr>
    <w:tblPr/>
  </w:style>
  <w:style w:type="table" w:styleId="860">
    <w:name w:val="Grid Table 1 Light - Accent 4"/>
    <w:next w:val="860"/>
    <w:link w:val="786"/>
    <w:uiPriority w:val="99"/>
    <w:qFormat/>
    <w:pPr>
      <w:spacing w:after="0" w:line="240" w:lineRule="auto"/>
    </w:pPr>
    <w:tblPr/>
  </w:style>
  <w:style w:type="table" w:styleId="861">
    <w:name w:val="Grid Table 1 Light - Accent 5"/>
    <w:next w:val="861"/>
    <w:link w:val="786"/>
    <w:uiPriority w:val="99"/>
    <w:qFormat/>
    <w:pPr>
      <w:spacing w:after="0" w:line="240" w:lineRule="auto"/>
    </w:pPr>
    <w:tblPr/>
  </w:style>
  <w:style w:type="table" w:styleId="862">
    <w:name w:val="Grid Table 1 Light - Accent 6"/>
    <w:next w:val="862"/>
    <w:link w:val="786"/>
    <w:uiPriority w:val="99"/>
    <w:qFormat/>
    <w:pPr>
      <w:spacing w:after="0" w:line="240" w:lineRule="auto"/>
    </w:pPr>
    <w:tblPr/>
  </w:style>
  <w:style w:type="table" w:styleId="863">
    <w:name w:val="Grid Table 2"/>
    <w:next w:val="863"/>
    <w:link w:val="786"/>
    <w:uiPriority w:val="99"/>
    <w:qFormat/>
    <w:pPr>
      <w:spacing w:after="0" w:line="240" w:lineRule="auto"/>
    </w:pPr>
    <w:tblPr/>
  </w:style>
  <w:style w:type="table" w:styleId="864">
    <w:name w:val="Grid Table 2 - Accent 1"/>
    <w:next w:val="864"/>
    <w:link w:val="786"/>
    <w:uiPriority w:val="99"/>
    <w:qFormat/>
    <w:pPr>
      <w:spacing w:after="0" w:line="240" w:lineRule="auto"/>
    </w:pPr>
    <w:tblPr/>
  </w:style>
  <w:style w:type="table" w:styleId="865">
    <w:name w:val="Grid Table 2 - Accent 2"/>
    <w:next w:val="865"/>
    <w:link w:val="786"/>
    <w:uiPriority w:val="99"/>
    <w:qFormat/>
    <w:pPr>
      <w:spacing w:after="0" w:line="240" w:lineRule="auto"/>
    </w:pPr>
    <w:tblPr/>
  </w:style>
  <w:style w:type="table" w:styleId="866">
    <w:name w:val="Grid Table 2 - Accent 3"/>
    <w:next w:val="866"/>
    <w:link w:val="786"/>
    <w:uiPriority w:val="99"/>
    <w:qFormat/>
    <w:pPr>
      <w:spacing w:after="0" w:line="240" w:lineRule="auto"/>
    </w:pPr>
    <w:tblPr/>
  </w:style>
  <w:style w:type="table" w:styleId="867">
    <w:name w:val="Grid Table 2 - Accent 4"/>
    <w:next w:val="867"/>
    <w:link w:val="786"/>
    <w:uiPriority w:val="99"/>
    <w:qFormat/>
    <w:pPr>
      <w:spacing w:after="0" w:line="240" w:lineRule="auto"/>
    </w:pPr>
    <w:tblPr/>
  </w:style>
  <w:style w:type="table" w:styleId="868">
    <w:name w:val="Grid Table 2 - Accent 5"/>
    <w:next w:val="868"/>
    <w:link w:val="786"/>
    <w:uiPriority w:val="99"/>
    <w:qFormat/>
    <w:pPr>
      <w:spacing w:after="0" w:line="240" w:lineRule="auto"/>
    </w:pPr>
    <w:tblPr/>
  </w:style>
  <w:style w:type="table" w:styleId="869">
    <w:name w:val="Grid Table 2 - Accent 6"/>
    <w:next w:val="869"/>
    <w:link w:val="786"/>
    <w:uiPriority w:val="99"/>
    <w:qFormat/>
    <w:pPr>
      <w:spacing w:after="0" w:line="240" w:lineRule="auto"/>
    </w:pPr>
    <w:tblPr/>
  </w:style>
  <w:style w:type="table" w:styleId="870">
    <w:name w:val="Grid Table 3"/>
    <w:next w:val="870"/>
    <w:link w:val="786"/>
    <w:uiPriority w:val="99"/>
    <w:qFormat/>
    <w:pPr>
      <w:spacing w:after="0" w:line="240" w:lineRule="auto"/>
    </w:pPr>
    <w:tblPr/>
  </w:style>
  <w:style w:type="table" w:styleId="871">
    <w:name w:val="Grid Table 3 - Accent 1"/>
    <w:next w:val="871"/>
    <w:link w:val="786"/>
    <w:uiPriority w:val="99"/>
    <w:qFormat/>
    <w:pPr>
      <w:spacing w:after="0" w:line="240" w:lineRule="auto"/>
    </w:pPr>
    <w:tblPr/>
  </w:style>
  <w:style w:type="table" w:styleId="872">
    <w:name w:val="Grid Table 3 - Accent 2"/>
    <w:next w:val="872"/>
    <w:link w:val="786"/>
    <w:uiPriority w:val="99"/>
    <w:qFormat/>
    <w:pPr>
      <w:spacing w:after="0" w:line="240" w:lineRule="auto"/>
    </w:pPr>
    <w:tblPr/>
  </w:style>
  <w:style w:type="table" w:styleId="873">
    <w:name w:val="Grid Table 3 - Accent 3"/>
    <w:next w:val="873"/>
    <w:link w:val="786"/>
    <w:uiPriority w:val="99"/>
    <w:qFormat/>
    <w:pPr>
      <w:spacing w:after="0" w:line="240" w:lineRule="auto"/>
    </w:pPr>
    <w:tblPr/>
  </w:style>
  <w:style w:type="table" w:styleId="874">
    <w:name w:val="Grid Table 3 - Accent 4"/>
    <w:next w:val="874"/>
    <w:link w:val="786"/>
    <w:uiPriority w:val="99"/>
    <w:qFormat/>
    <w:pPr>
      <w:spacing w:after="0" w:line="240" w:lineRule="auto"/>
    </w:pPr>
    <w:tblPr/>
  </w:style>
  <w:style w:type="table" w:styleId="875">
    <w:name w:val="Grid Table 3 - Accent 5"/>
    <w:next w:val="875"/>
    <w:link w:val="786"/>
    <w:uiPriority w:val="99"/>
    <w:qFormat/>
    <w:pPr>
      <w:spacing w:after="0" w:line="240" w:lineRule="auto"/>
    </w:pPr>
    <w:tblPr/>
  </w:style>
  <w:style w:type="table" w:styleId="876">
    <w:name w:val="Grid Table 3 - Accent 6"/>
    <w:next w:val="876"/>
    <w:link w:val="786"/>
    <w:uiPriority w:val="99"/>
    <w:qFormat/>
    <w:pPr>
      <w:spacing w:after="0" w:line="240" w:lineRule="auto"/>
    </w:pPr>
    <w:tblPr/>
  </w:style>
  <w:style w:type="table" w:styleId="877">
    <w:name w:val="Grid Table 4"/>
    <w:next w:val="877"/>
    <w:link w:val="786"/>
    <w:uiPriority w:val="59"/>
    <w:qFormat/>
    <w:pPr>
      <w:spacing w:after="0" w:line="240" w:lineRule="auto"/>
    </w:pPr>
    <w:tblPr/>
  </w:style>
  <w:style w:type="table" w:styleId="878">
    <w:name w:val="Grid Table 4 - Accent 1"/>
    <w:next w:val="878"/>
    <w:link w:val="786"/>
    <w:uiPriority w:val="59"/>
    <w:qFormat/>
    <w:pPr>
      <w:spacing w:after="0" w:line="240" w:lineRule="auto"/>
    </w:pPr>
    <w:tblPr/>
  </w:style>
  <w:style w:type="table" w:styleId="879">
    <w:name w:val="Grid Table 4 - Accent 2"/>
    <w:next w:val="879"/>
    <w:link w:val="786"/>
    <w:uiPriority w:val="59"/>
    <w:qFormat/>
    <w:pPr>
      <w:spacing w:after="0" w:line="240" w:lineRule="auto"/>
    </w:pPr>
    <w:tblPr/>
  </w:style>
  <w:style w:type="table" w:styleId="880">
    <w:name w:val="Grid Table 4 - Accent 3"/>
    <w:next w:val="880"/>
    <w:link w:val="786"/>
    <w:uiPriority w:val="59"/>
    <w:qFormat/>
    <w:pPr>
      <w:spacing w:after="0" w:line="240" w:lineRule="auto"/>
    </w:pPr>
    <w:tblPr/>
  </w:style>
  <w:style w:type="table" w:styleId="881">
    <w:name w:val="Grid Table 4 - Accent 4"/>
    <w:next w:val="881"/>
    <w:link w:val="786"/>
    <w:uiPriority w:val="59"/>
    <w:qFormat/>
    <w:pPr>
      <w:spacing w:after="0" w:line="240" w:lineRule="auto"/>
    </w:pPr>
    <w:tblPr/>
  </w:style>
  <w:style w:type="table" w:styleId="882">
    <w:name w:val="Grid Table 4 - Accent 5"/>
    <w:next w:val="882"/>
    <w:link w:val="786"/>
    <w:uiPriority w:val="59"/>
    <w:qFormat/>
    <w:pPr>
      <w:spacing w:after="0" w:line="240" w:lineRule="auto"/>
    </w:pPr>
    <w:tblPr/>
  </w:style>
  <w:style w:type="table" w:styleId="883">
    <w:name w:val="Grid Table 4 - Accent 6"/>
    <w:next w:val="883"/>
    <w:link w:val="786"/>
    <w:uiPriority w:val="59"/>
    <w:qFormat/>
    <w:pPr>
      <w:spacing w:after="0" w:line="240" w:lineRule="auto"/>
    </w:pPr>
    <w:tblPr/>
  </w:style>
  <w:style w:type="table" w:styleId="884">
    <w:name w:val="Grid Table 5 Dark"/>
    <w:next w:val="884"/>
    <w:link w:val="786"/>
    <w:uiPriority w:val="99"/>
    <w:qFormat/>
    <w:pPr>
      <w:spacing w:after="0" w:line="240" w:lineRule="auto"/>
    </w:pPr>
    <w:tblPr/>
  </w:style>
  <w:style w:type="table" w:styleId="885">
    <w:name w:val="Grid Table 5 Dark- Accent 1"/>
    <w:next w:val="885"/>
    <w:link w:val="786"/>
    <w:uiPriority w:val="99"/>
    <w:qFormat/>
    <w:pPr>
      <w:spacing w:after="0" w:line="240" w:lineRule="auto"/>
    </w:pPr>
    <w:tblPr/>
  </w:style>
  <w:style w:type="table" w:styleId="886">
    <w:name w:val="Grid Table 5 Dark - Accent 2"/>
    <w:next w:val="886"/>
    <w:link w:val="786"/>
    <w:uiPriority w:val="99"/>
    <w:qFormat/>
    <w:pPr>
      <w:spacing w:after="0" w:line="240" w:lineRule="auto"/>
    </w:pPr>
    <w:tblPr/>
  </w:style>
  <w:style w:type="table" w:styleId="887">
    <w:name w:val="Grid Table 5 Dark - Accent 3"/>
    <w:next w:val="887"/>
    <w:link w:val="786"/>
    <w:uiPriority w:val="99"/>
    <w:qFormat/>
    <w:pPr>
      <w:spacing w:after="0" w:line="240" w:lineRule="auto"/>
    </w:pPr>
    <w:tblPr/>
  </w:style>
  <w:style w:type="table" w:styleId="888">
    <w:name w:val="Grid Table 5 Dark- Accent 4"/>
    <w:next w:val="888"/>
    <w:link w:val="786"/>
    <w:uiPriority w:val="99"/>
    <w:qFormat/>
    <w:pPr>
      <w:spacing w:after="0" w:line="240" w:lineRule="auto"/>
    </w:pPr>
    <w:tblPr/>
  </w:style>
  <w:style w:type="table" w:styleId="889">
    <w:name w:val="Grid Table 5 Dark - Accent 5"/>
    <w:next w:val="889"/>
    <w:link w:val="786"/>
    <w:uiPriority w:val="99"/>
    <w:qFormat/>
    <w:pPr>
      <w:spacing w:after="0" w:line="240" w:lineRule="auto"/>
    </w:pPr>
    <w:tblPr/>
  </w:style>
  <w:style w:type="table" w:styleId="890">
    <w:name w:val="Grid Table 5 Dark - Accent 6"/>
    <w:next w:val="890"/>
    <w:link w:val="786"/>
    <w:uiPriority w:val="99"/>
    <w:qFormat/>
    <w:pPr>
      <w:spacing w:after="0" w:line="240" w:lineRule="auto"/>
    </w:pPr>
    <w:tblPr/>
  </w:style>
  <w:style w:type="table" w:styleId="891">
    <w:name w:val="Grid Table 6 Colorful"/>
    <w:next w:val="891"/>
    <w:link w:val="786"/>
    <w:uiPriority w:val="99"/>
    <w:qFormat/>
    <w:pPr>
      <w:spacing w:after="0" w:line="240" w:lineRule="auto"/>
    </w:pPr>
    <w:tblPr/>
  </w:style>
  <w:style w:type="table" w:styleId="892">
    <w:name w:val="Grid Table 6 Colorful - Accent 1"/>
    <w:next w:val="892"/>
    <w:link w:val="786"/>
    <w:uiPriority w:val="99"/>
    <w:qFormat/>
    <w:pPr>
      <w:spacing w:after="0" w:line="240" w:lineRule="auto"/>
    </w:pPr>
    <w:tblPr/>
  </w:style>
  <w:style w:type="table" w:styleId="893">
    <w:name w:val="Grid Table 6 Colorful - Accent 2"/>
    <w:next w:val="893"/>
    <w:link w:val="786"/>
    <w:uiPriority w:val="99"/>
    <w:qFormat/>
    <w:pPr>
      <w:spacing w:after="0" w:line="240" w:lineRule="auto"/>
    </w:pPr>
    <w:tblPr/>
  </w:style>
  <w:style w:type="table" w:styleId="894">
    <w:name w:val="Grid Table 6 Colorful - Accent 3"/>
    <w:next w:val="894"/>
    <w:link w:val="786"/>
    <w:uiPriority w:val="99"/>
    <w:qFormat/>
    <w:pPr>
      <w:spacing w:after="0" w:line="240" w:lineRule="auto"/>
    </w:pPr>
    <w:tblPr/>
  </w:style>
  <w:style w:type="table" w:styleId="895">
    <w:name w:val="Grid Table 6 Colorful - Accent 4"/>
    <w:next w:val="895"/>
    <w:link w:val="786"/>
    <w:uiPriority w:val="99"/>
    <w:qFormat/>
    <w:pPr>
      <w:spacing w:after="0" w:line="240" w:lineRule="auto"/>
    </w:pPr>
    <w:tblPr/>
  </w:style>
  <w:style w:type="table" w:styleId="896">
    <w:name w:val="Grid Table 6 Colorful - Accent 5"/>
    <w:next w:val="896"/>
    <w:link w:val="786"/>
    <w:uiPriority w:val="99"/>
    <w:qFormat/>
    <w:pPr>
      <w:spacing w:after="0" w:line="240" w:lineRule="auto"/>
    </w:pPr>
    <w:tblPr/>
  </w:style>
  <w:style w:type="table" w:styleId="897">
    <w:name w:val="Grid Table 6 Colorful - Accent 6"/>
    <w:next w:val="897"/>
    <w:link w:val="786"/>
    <w:uiPriority w:val="99"/>
    <w:qFormat/>
    <w:pPr>
      <w:spacing w:after="0" w:line="240" w:lineRule="auto"/>
    </w:pPr>
    <w:tblPr/>
  </w:style>
  <w:style w:type="table" w:styleId="898">
    <w:name w:val="Grid Table 7 Colorful"/>
    <w:next w:val="898"/>
    <w:link w:val="786"/>
    <w:uiPriority w:val="99"/>
    <w:qFormat/>
    <w:pPr>
      <w:spacing w:after="0" w:line="240" w:lineRule="auto"/>
    </w:pPr>
    <w:tblPr/>
  </w:style>
  <w:style w:type="table" w:styleId="899">
    <w:name w:val="Grid Table 7 Colorful - Accent 1"/>
    <w:next w:val="899"/>
    <w:link w:val="786"/>
    <w:uiPriority w:val="99"/>
    <w:qFormat/>
    <w:pPr>
      <w:spacing w:after="0" w:line="240" w:lineRule="auto"/>
    </w:pPr>
    <w:tblPr/>
  </w:style>
  <w:style w:type="table" w:styleId="900">
    <w:name w:val="Grid Table 7 Colorful - Accent 2"/>
    <w:next w:val="900"/>
    <w:link w:val="786"/>
    <w:uiPriority w:val="99"/>
    <w:qFormat/>
    <w:pPr>
      <w:spacing w:after="0" w:line="240" w:lineRule="auto"/>
    </w:pPr>
    <w:tblPr/>
  </w:style>
  <w:style w:type="table" w:styleId="901">
    <w:name w:val="Grid Table 7 Colorful - Accent 3"/>
    <w:next w:val="901"/>
    <w:link w:val="786"/>
    <w:uiPriority w:val="99"/>
    <w:qFormat/>
    <w:pPr>
      <w:spacing w:after="0" w:line="240" w:lineRule="auto"/>
    </w:pPr>
    <w:tblPr/>
  </w:style>
  <w:style w:type="table" w:styleId="902">
    <w:name w:val="Grid Table 7 Colorful - Accent 4"/>
    <w:next w:val="902"/>
    <w:link w:val="786"/>
    <w:uiPriority w:val="99"/>
    <w:qFormat/>
    <w:pPr>
      <w:spacing w:after="0" w:line="240" w:lineRule="auto"/>
    </w:pPr>
    <w:tblPr/>
  </w:style>
  <w:style w:type="table" w:styleId="903">
    <w:name w:val="Grid Table 7 Colorful - Accent 5"/>
    <w:next w:val="903"/>
    <w:link w:val="786"/>
    <w:uiPriority w:val="99"/>
    <w:qFormat/>
    <w:pPr>
      <w:spacing w:after="0" w:line="240" w:lineRule="auto"/>
    </w:pPr>
    <w:tblPr/>
  </w:style>
  <w:style w:type="table" w:styleId="904">
    <w:name w:val="Grid Table 7 Colorful - Accent 6"/>
    <w:next w:val="904"/>
    <w:link w:val="786"/>
    <w:uiPriority w:val="99"/>
    <w:qFormat/>
    <w:pPr>
      <w:spacing w:after="0" w:line="240" w:lineRule="auto"/>
    </w:pPr>
    <w:tblPr/>
  </w:style>
  <w:style w:type="table" w:styleId="905">
    <w:name w:val="List Table 1 Light"/>
    <w:next w:val="905"/>
    <w:link w:val="786"/>
    <w:uiPriority w:val="99"/>
    <w:qFormat/>
    <w:pPr>
      <w:spacing w:after="0" w:line="240" w:lineRule="auto"/>
    </w:pPr>
    <w:tblPr/>
  </w:style>
  <w:style w:type="table" w:styleId="906">
    <w:name w:val="List Table 1 Light - Accent 1"/>
    <w:next w:val="906"/>
    <w:link w:val="786"/>
    <w:uiPriority w:val="99"/>
    <w:qFormat/>
    <w:pPr>
      <w:spacing w:after="0" w:line="240" w:lineRule="auto"/>
    </w:pPr>
    <w:tblPr/>
  </w:style>
  <w:style w:type="table" w:styleId="907">
    <w:name w:val="List Table 1 Light - Accent 2"/>
    <w:next w:val="907"/>
    <w:link w:val="786"/>
    <w:uiPriority w:val="99"/>
    <w:qFormat/>
    <w:pPr>
      <w:spacing w:after="0" w:line="240" w:lineRule="auto"/>
    </w:pPr>
    <w:tblPr/>
  </w:style>
  <w:style w:type="table" w:styleId="908">
    <w:name w:val="List Table 1 Light - Accent 3"/>
    <w:next w:val="908"/>
    <w:link w:val="786"/>
    <w:uiPriority w:val="99"/>
    <w:qFormat/>
    <w:pPr>
      <w:spacing w:after="0" w:line="240" w:lineRule="auto"/>
    </w:pPr>
    <w:tblPr/>
  </w:style>
  <w:style w:type="table" w:styleId="909">
    <w:name w:val="List Table 1 Light - Accent 4"/>
    <w:next w:val="909"/>
    <w:link w:val="786"/>
    <w:uiPriority w:val="99"/>
    <w:qFormat/>
    <w:pPr>
      <w:spacing w:after="0" w:line="240" w:lineRule="auto"/>
    </w:pPr>
    <w:tblPr/>
  </w:style>
  <w:style w:type="table" w:styleId="910">
    <w:name w:val="List Table 1 Light - Accent 5"/>
    <w:next w:val="910"/>
    <w:link w:val="786"/>
    <w:uiPriority w:val="99"/>
    <w:qFormat/>
    <w:pPr>
      <w:spacing w:after="0" w:line="240" w:lineRule="auto"/>
    </w:pPr>
    <w:tblPr/>
  </w:style>
  <w:style w:type="table" w:styleId="911">
    <w:name w:val="List Table 1 Light - Accent 6"/>
    <w:next w:val="911"/>
    <w:link w:val="786"/>
    <w:uiPriority w:val="99"/>
    <w:qFormat/>
    <w:pPr>
      <w:spacing w:after="0" w:line="240" w:lineRule="auto"/>
    </w:pPr>
    <w:tblPr/>
  </w:style>
  <w:style w:type="table" w:styleId="912">
    <w:name w:val="List Table 2"/>
    <w:next w:val="912"/>
    <w:link w:val="786"/>
    <w:uiPriority w:val="99"/>
    <w:qFormat/>
    <w:pPr>
      <w:spacing w:after="0" w:line="240" w:lineRule="auto"/>
    </w:pPr>
    <w:tblPr/>
  </w:style>
  <w:style w:type="table" w:styleId="913">
    <w:name w:val="List Table 2 - Accent 1"/>
    <w:next w:val="913"/>
    <w:link w:val="786"/>
    <w:uiPriority w:val="99"/>
    <w:qFormat/>
    <w:pPr>
      <w:spacing w:after="0" w:line="240" w:lineRule="auto"/>
    </w:pPr>
    <w:tblPr/>
  </w:style>
  <w:style w:type="table" w:styleId="914">
    <w:name w:val="List Table 2 - Accent 2"/>
    <w:next w:val="914"/>
    <w:link w:val="786"/>
    <w:uiPriority w:val="99"/>
    <w:qFormat/>
    <w:pPr>
      <w:spacing w:after="0" w:line="240" w:lineRule="auto"/>
    </w:pPr>
    <w:tblPr/>
  </w:style>
  <w:style w:type="table" w:styleId="915">
    <w:name w:val="List Table 2 - Accent 3"/>
    <w:next w:val="915"/>
    <w:link w:val="786"/>
    <w:uiPriority w:val="99"/>
    <w:qFormat/>
    <w:pPr>
      <w:spacing w:after="0" w:line="240" w:lineRule="auto"/>
    </w:pPr>
    <w:tblPr/>
  </w:style>
  <w:style w:type="table" w:styleId="916">
    <w:name w:val="List Table 2 - Accent 4"/>
    <w:next w:val="916"/>
    <w:link w:val="786"/>
    <w:uiPriority w:val="99"/>
    <w:qFormat/>
    <w:pPr>
      <w:spacing w:after="0" w:line="240" w:lineRule="auto"/>
    </w:pPr>
    <w:tblPr/>
  </w:style>
  <w:style w:type="table" w:styleId="917">
    <w:name w:val="List Table 2 - Accent 5"/>
    <w:next w:val="917"/>
    <w:link w:val="786"/>
    <w:uiPriority w:val="99"/>
    <w:qFormat/>
    <w:pPr>
      <w:spacing w:after="0" w:line="240" w:lineRule="auto"/>
    </w:pPr>
    <w:tblPr/>
  </w:style>
  <w:style w:type="table" w:styleId="918">
    <w:name w:val="List Table 2 - Accent 6"/>
    <w:next w:val="918"/>
    <w:link w:val="786"/>
    <w:uiPriority w:val="99"/>
    <w:qFormat/>
    <w:pPr>
      <w:spacing w:after="0" w:line="240" w:lineRule="auto"/>
    </w:pPr>
    <w:tblPr/>
  </w:style>
  <w:style w:type="table" w:styleId="919">
    <w:name w:val="List Table 3"/>
    <w:next w:val="919"/>
    <w:link w:val="786"/>
    <w:uiPriority w:val="99"/>
    <w:qFormat/>
    <w:pPr>
      <w:spacing w:after="0" w:line="240" w:lineRule="auto"/>
    </w:pPr>
    <w:tblPr/>
  </w:style>
  <w:style w:type="table" w:styleId="920">
    <w:name w:val="List Table 3 - Accent 1"/>
    <w:next w:val="920"/>
    <w:link w:val="786"/>
    <w:uiPriority w:val="99"/>
    <w:qFormat/>
    <w:pPr>
      <w:spacing w:after="0" w:line="240" w:lineRule="auto"/>
    </w:pPr>
    <w:tblPr/>
  </w:style>
  <w:style w:type="table" w:styleId="921">
    <w:name w:val="List Table 3 - Accent 2"/>
    <w:next w:val="921"/>
    <w:link w:val="786"/>
    <w:uiPriority w:val="99"/>
    <w:qFormat/>
    <w:pPr>
      <w:spacing w:after="0" w:line="240" w:lineRule="auto"/>
    </w:pPr>
    <w:tblPr/>
  </w:style>
  <w:style w:type="table" w:styleId="922">
    <w:name w:val="List Table 3 - Accent 3"/>
    <w:next w:val="922"/>
    <w:link w:val="786"/>
    <w:uiPriority w:val="99"/>
    <w:qFormat/>
    <w:pPr>
      <w:spacing w:after="0" w:line="240" w:lineRule="auto"/>
    </w:pPr>
    <w:tblPr/>
  </w:style>
  <w:style w:type="table" w:styleId="923">
    <w:name w:val="List Table 3 - Accent 4"/>
    <w:next w:val="923"/>
    <w:link w:val="786"/>
    <w:uiPriority w:val="99"/>
    <w:qFormat/>
    <w:pPr>
      <w:spacing w:after="0" w:line="240" w:lineRule="auto"/>
    </w:pPr>
    <w:tblPr/>
  </w:style>
  <w:style w:type="table" w:styleId="924">
    <w:name w:val="List Table 3 - Accent 5"/>
    <w:next w:val="924"/>
    <w:link w:val="786"/>
    <w:uiPriority w:val="99"/>
    <w:qFormat/>
    <w:pPr>
      <w:spacing w:after="0" w:line="240" w:lineRule="auto"/>
    </w:pPr>
    <w:tblPr/>
  </w:style>
  <w:style w:type="table" w:styleId="925">
    <w:name w:val="List Table 3 - Accent 6"/>
    <w:next w:val="925"/>
    <w:link w:val="786"/>
    <w:uiPriority w:val="99"/>
    <w:qFormat/>
    <w:pPr>
      <w:spacing w:after="0" w:line="240" w:lineRule="auto"/>
    </w:pPr>
    <w:tblPr/>
  </w:style>
  <w:style w:type="table" w:styleId="926">
    <w:name w:val="List Table 4"/>
    <w:next w:val="926"/>
    <w:link w:val="786"/>
    <w:uiPriority w:val="99"/>
    <w:qFormat/>
    <w:pPr>
      <w:spacing w:after="0" w:line="240" w:lineRule="auto"/>
    </w:pPr>
    <w:tblPr/>
  </w:style>
  <w:style w:type="table" w:styleId="927">
    <w:name w:val="List Table 4 - Accent 1"/>
    <w:next w:val="927"/>
    <w:link w:val="786"/>
    <w:uiPriority w:val="99"/>
    <w:qFormat/>
    <w:pPr>
      <w:spacing w:after="0" w:line="240" w:lineRule="auto"/>
    </w:pPr>
    <w:tblPr/>
  </w:style>
  <w:style w:type="table" w:styleId="928">
    <w:name w:val="List Table 4 - Accent 2"/>
    <w:next w:val="928"/>
    <w:link w:val="786"/>
    <w:uiPriority w:val="99"/>
    <w:qFormat/>
    <w:pPr>
      <w:spacing w:after="0" w:line="240" w:lineRule="auto"/>
    </w:pPr>
    <w:tblPr/>
  </w:style>
  <w:style w:type="table" w:styleId="929">
    <w:name w:val="List Table 4 - Accent 3"/>
    <w:next w:val="929"/>
    <w:link w:val="786"/>
    <w:uiPriority w:val="99"/>
    <w:qFormat/>
    <w:pPr>
      <w:spacing w:after="0" w:line="240" w:lineRule="auto"/>
    </w:pPr>
    <w:tblPr/>
  </w:style>
  <w:style w:type="table" w:styleId="930">
    <w:name w:val="List Table 4 - Accent 4"/>
    <w:next w:val="930"/>
    <w:link w:val="786"/>
    <w:uiPriority w:val="99"/>
    <w:qFormat/>
    <w:pPr>
      <w:spacing w:after="0" w:line="240" w:lineRule="auto"/>
    </w:pPr>
    <w:tblPr/>
  </w:style>
  <w:style w:type="table" w:styleId="931">
    <w:name w:val="List Table 4 - Accent 5"/>
    <w:next w:val="931"/>
    <w:link w:val="786"/>
    <w:uiPriority w:val="99"/>
    <w:qFormat/>
    <w:pPr>
      <w:spacing w:after="0" w:line="240" w:lineRule="auto"/>
    </w:pPr>
    <w:tblPr/>
  </w:style>
  <w:style w:type="table" w:styleId="932">
    <w:name w:val="List Table 4 - Accent 6"/>
    <w:next w:val="932"/>
    <w:link w:val="786"/>
    <w:uiPriority w:val="99"/>
    <w:qFormat/>
    <w:pPr>
      <w:spacing w:after="0" w:line="240" w:lineRule="auto"/>
    </w:pPr>
    <w:tblPr/>
  </w:style>
  <w:style w:type="table" w:styleId="933">
    <w:name w:val="List Table 5 Dark"/>
    <w:next w:val="933"/>
    <w:link w:val="786"/>
    <w:uiPriority w:val="99"/>
    <w:qFormat/>
    <w:pPr>
      <w:spacing w:after="0" w:line="240" w:lineRule="auto"/>
    </w:pPr>
    <w:tblPr/>
  </w:style>
  <w:style w:type="table" w:styleId="934">
    <w:name w:val="List Table 5 Dark - Accent 1"/>
    <w:next w:val="934"/>
    <w:link w:val="786"/>
    <w:uiPriority w:val="99"/>
    <w:qFormat/>
    <w:pPr>
      <w:spacing w:after="0" w:line="240" w:lineRule="auto"/>
    </w:pPr>
    <w:tblPr/>
  </w:style>
  <w:style w:type="table" w:styleId="935">
    <w:name w:val="List Table 5 Dark - Accent 2"/>
    <w:next w:val="935"/>
    <w:link w:val="786"/>
    <w:uiPriority w:val="99"/>
    <w:qFormat/>
    <w:pPr>
      <w:spacing w:after="0" w:line="240" w:lineRule="auto"/>
    </w:pPr>
    <w:tblPr/>
  </w:style>
  <w:style w:type="table" w:styleId="936">
    <w:name w:val="List Table 5 Dark - Accent 3"/>
    <w:next w:val="936"/>
    <w:link w:val="786"/>
    <w:uiPriority w:val="99"/>
    <w:qFormat/>
    <w:pPr>
      <w:spacing w:after="0" w:line="240" w:lineRule="auto"/>
    </w:pPr>
    <w:tblPr/>
  </w:style>
  <w:style w:type="table" w:styleId="937">
    <w:name w:val="List Table 5 Dark - Accent 4"/>
    <w:next w:val="937"/>
    <w:link w:val="786"/>
    <w:uiPriority w:val="99"/>
    <w:qFormat/>
    <w:pPr>
      <w:spacing w:after="0" w:line="240" w:lineRule="auto"/>
    </w:pPr>
    <w:tblPr/>
  </w:style>
  <w:style w:type="table" w:styleId="938">
    <w:name w:val="List Table 5 Dark - Accent 5"/>
    <w:next w:val="938"/>
    <w:link w:val="786"/>
    <w:uiPriority w:val="99"/>
    <w:qFormat/>
    <w:pPr>
      <w:spacing w:after="0" w:line="240" w:lineRule="auto"/>
    </w:pPr>
    <w:tblPr/>
  </w:style>
  <w:style w:type="table" w:styleId="939">
    <w:name w:val="List Table 5 Dark - Accent 6"/>
    <w:next w:val="939"/>
    <w:link w:val="786"/>
    <w:uiPriority w:val="99"/>
    <w:qFormat/>
    <w:pPr>
      <w:spacing w:after="0" w:line="240" w:lineRule="auto"/>
    </w:pPr>
    <w:tblPr/>
  </w:style>
  <w:style w:type="table" w:styleId="940">
    <w:name w:val="List Table 6 Colorful"/>
    <w:next w:val="940"/>
    <w:link w:val="786"/>
    <w:uiPriority w:val="99"/>
    <w:qFormat/>
    <w:pPr>
      <w:spacing w:after="0" w:line="240" w:lineRule="auto"/>
    </w:pPr>
    <w:tblPr/>
  </w:style>
  <w:style w:type="table" w:styleId="941">
    <w:name w:val="List Table 6 Colorful - Accent 1"/>
    <w:next w:val="941"/>
    <w:link w:val="786"/>
    <w:uiPriority w:val="99"/>
    <w:qFormat/>
    <w:pPr>
      <w:spacing w:after="0" w:line="240" w:lineRule="auto"/>
    </w:pPr>
    <w:tblPr/>
  </w:style>
  <w:style w:type="table" w:styleId="942">
    <w:name w:val="List Table 6 Colorful - Accent 2"/>
    <w:next w:val="942"/>
    <w:link w:val="786"/>
    <w:uiPriority w:val="99"/>
    <w:qFormat/>
    <w:pPr>
      <w:spacing w:after="0" w:line="240" w:lineRule="auto"/>
    </w:pPr>
    <w:tblPr/>
  </w:style>
  <w:style w:type="table" w:styleId="943">
    <w:name w:val="List Table 6 Colorful - Accent 3"/>
    <w:next w:val="943"/>
    <w:link w:val="786"/>
    <w:uiPriority w:val="99"/>
    <w:qFormat/>
    <w:pPr>
      <w:spacing w:after="0" w:line="240" w:lineRule="auto"/>
    </w:pPr>
    <w:tblPr/>
  </w:style>
  <w:style w:type="table" w:styleId="944">
    <w:name w:val="List Table 6 Colorful - Accent 4"/>
    <w:next w:val="944"/>
    <w:link w:val="786"/>
    <w:uiPriority w:val="99"/>
    <w:qFormat/>
    <w:pPr>
      <w:spacing w:after="0" w:line="240" w:lineRule="auto"/>
    </w:pPr>
    <w:tblPr/>
  </w:style>
  <w:style w:type="table" w:styleId="945">
    <w:name w:val="List Table 6 Colorful - Accent 5"/>
    <w:next w:val="945"/>
    <w:link w:val="786"/>
    <w:uiPriority w:val="99"/>
    <w:qFormat/>
    <w:pPr>
      <w:spacing w:after="0" w:line="240" w:lineRule="auto"/>
    </w:pPr>
    <w:tblPr/>
  </w:style>
  <w:style w:type="table" w:styleId="946">
    <w:name w:val="List Table 6 Colorful - Accent 6"/>
    <w:next w:val="946"/>
    <w:link w:val="786"/>
    <w:uiPriority w:val="99"/>
    <w:qFormat/>
    <w:pPr>
      <w:spacing w:after="0" w:line="240" w:lineRule="auto"/>
    </w:pPr>
    <w:tblPr/>
  </w:style>
  <w:style w:type="table" w:styleId="947">
    <w:name w:val="List Table 7 Colorful"/>
    <w:next w:val="947"/>
    <w:link w:val="786"/>
    <w:uiPriority w:val="99"/>
    <w:qFormat/>
    <w:pPr>
      <w:spacing w:after="0" w:line="240" w:lineRule="auto"/>
    </w:pPr>
    <w:tblPr/>
  </w:style>
  <w:style w:type="table" w:styleId="948">
    <w:name w:val="List Table 7 Colorful - Accent 1"/>
    <w:next w:val="948"/>
    <w:link w:val="786"/>
    <w:uiPriority w:val="99"/>
    <w:qFormat/>
    <w:pPr>
      <w:spacing w:after="0" w:line="240" w:lineRule="auto"/>
    </w:pPr>
    <w:tblPr/>
  </w:style>
  <w:style w:type="table" w:styleId="949">
    <w:name w:val="List Table 7 Colorful - Accent 2"/>
    <w:next w:val="949"/>
    <w:link w:val="786"/>
    <w:uiPriority w:val="99"/>
    <w:qFormat/>
    <w:pPr>
      <w:spacing w:after="0" w:line="240" w:lineRule="auto"/>
    </w:pPr>
    <w:tblPr/>
  </w:style>
  <w:style w:type="table" w:styleId="950">
    <w:name w:val="List Table 7 Colorful - Accent 3"/>
    <w:next w:val="950"/>
    <w:link w:val="786"/>
    <w:uiPriority w:val="99"/>
    <w:qFormat/>
    <w:pPr>
      <w:spacing w:after="0" w:line="240" w:lineRule="auto"/>
    </w:pPr>
    <w:tblPr/>
  </w:style>
  <w:style w:type="table" w:styleId="951">
    <w:name w:val="List Table 7 Colorful - Accent 4"/>
    <w:next w:val="951"/>
    <w:link w:val="786"/>
    <w:uiPriority w:val="99"/>
    <w:qFormat/>
    <w:pPr>
      <w:spacing w:after="0" w:line="240" w:lineRule="auto"/>
    </w:pPr>
    <w:tblPr/>
  </w:style>
  <w:style w:type="table" w:styleId="952">
    <w:name w:val="List Table 7 Colorful - Accent 5"/>
    <w:next w:val="952"/>
    <w:link w:val="786"/>
    <w:uiPriority w:val="99"/>
    <w:qFormat/>
    <w:pPr>
      <w:spacing w:after="0" w:line="240" w:lineRule="auto"/>
    </w:pPr>
    <w:tblPr/>
  </w:style>
  <w:style w:type="table" w:styleId="953">
    <w:name w:val="List Table 7 Colorful - Accent 6"/>
    <w:next w:val="953"/>
    <w:link w:val="786"/>
    <w:uiPriority w:val="99"/>
    <w:qFormat/>
    <w:pPr>
      <w:spacing w:after="0" w:line="240" w:lineRule="auto"/>
    </w:pPr>
    <w:tblPr/>
  </w:style>
  <w:style w:type="table" w:styleId="954">
    <w:name w:val="Lined - Accent"/>
    <w:next w:val="954"/>
    <w:link w:val="786"/>
    <w:uiPriority w:val="99"/>
    <w:qFormat/>
    <w:pPr>
      <w:spacing w:after="0" w:line="240" w:lineRule="auto"/>
    </w:pPr>
    <w:rPr>
      <w:color w:val="404040"/>
    </w:rPr>
    <w:tblPr/>
  </w:style>
  <w:style w:type="table" w:styleId="955">
    <w:name w:val="Lined - Accent 1"/>
    <w:next w:val="955"/>
    <w:link w:val="786"/>
    <w:uiPriority w:val="99"/>
    <w:qFormat/>
    <w:pPr>
      <w:spacing w:after="0" w:line="240" w:lineRule="auto"/>
    </w:pPr>
    <w:rPr>
      <w:color w:val="404040"/>
    </w:rPr>
    <w:tblPr/>
  </w:style>
  <w:style w:type="table" w:styleId="956">
    <w:name w:val="Lined - Accent 2"/>
    <w:next w:val="956"/>
    <w:link w:val="786"/>
    <w:uiPriority w:val="99"/>
    <w:qFormat/>
    <w:pPr>
      <w:spacing w:after="0" w:line="240" w:lineRule="auto"/>
    </w:pPr>
    <w:rPr>
      <w:color w:val="404040"/>
    </w:rPr>
    <w:tblPr/>
  </w:style>
  <w:style w:type="table" w:styleId="957">
    <w:name w:val="Lined - Accent 3"/>
    <w:next w:val="957"/>
    <w:link w:val="786"/>
    <w:uiPriority w:val="99"/>
    <w:qFormat/>
    <w:pPr>
      <w:spacing w:after="0" w:line="240" w:lineRule="auto"/>
    </w:pPr>
    <w:rPr>
      <w:color w:val="404040"/>
    </w:rPr>
    <w:tblPr/>
  </w:style>
  <w:style w:type="table" w:styleId="958">
    <w:name w:val="Lined - Accent 4"/>
    <w:next w:val="958"/>
    <w:link w:val="786"/>
    <w:uiPriority w:val="99"/>
    <w:qFormat/>
    <w:pPr>
      <w:spacing w:after="0" w:line="240" w:lineRule="auto"/>
    </w:pPr>
    <w:rPr>
      <w:color w:val="404040"/>
    </w:rPr>
    <w:tblPr/>
  </w:style>
  <w:style w:type="table" w:styleId="959">
    <w:name w:val="Lined - Accent 5"/>
    <w:next w:val="959"/>
    <w:link w:val="786"/>
    <w:uiPriority w:val="99"/>
    <w:qFormat/>
    <w:pPr>
      <w:spacing w:after="0" w:line="240" w:lineRule="auto"/>
    </w:pPr>
    <w:rPr>
      <w:color w:val="404040"/>
    </w:rPr>
    <w:tblPr/>
  </w:style>
  <w:style w:type="table" w:styleId="960">
    <w:name w:val="Lined - Accent 6"/>
    <w:next w:val="960"/>
    <w:link w:val="786"/>
    <w:uiPriority w:val="99"/>
    <w:qFormat/>
    <w:pPr>
      <w:spacing w:after="0" w:line="240" w:lineRule="auto"/>
    </w:pPr>
    <w:rPr>
      <w:color w:val="404040"/>
    </w:rPr>
    <w:tblPr/>
  </w:style>
  <w:style w:type="table" w:styleId="961">
    <w:name w:val="Bordered &amp; Lined - Accent"/>
    <w:next w:val="961"/>
    <w:link w:val="786"/>
    <w:uiPriority w:val="99"/>
    <w:qFormat/>
    <w:pPr>
      <w:spacing w:after="0" w:line="240" w:lineRule="auto"/>
    </w:pPr>
    <w:rPr>
      <w:color w:val="404040"/>
    </w:rPr>
    <w:tblPr/>
  </w:style>
  <w:style w:type="table" w:styleId="962">
    <w:name w:val="Bordered &amp; Lined - Accent 1"/>
    <w:next w:val="962"/>
    <w:link w:val="786"/>
    <w:uiPriority w:val="99"/>
    <w:qFormat/>
    <w:pPr>
      <w:spacing w:after="0" w:line="240" w:lineRule="auto"/>
    </w:pPr>
    <w:rPr>
      <w:color w:val="404040"/>
    </w:rPr>
    <w:tblPr/>
  </w:style>
  <w:style w:type="table" w:styleId="963">
    <w:name w:val="Bordered &amp; Lined - Accent 2"/>
    <w:next w:val="963"/>
    <w:link w:val="786"/>
    <w:uiPriority w:val="99"/>
    <w:qFormat/>
    <w:pPr>
      <w:spacing w:after="0" w:line="240" w:lineRule="auto"/>
    </w:pPr>
    <w:rPr>
      <w:color w:val="404040"/>
    </w:rPr>
    <w:tblPr/>
  </w:style>
  <w:style w:type="table" w:styleId="964">
    <w:name w:val="Bordered &amp; Lined - Accent 3"/>
    <w:next w:val="964"/>
    <w:link w:val="786"/>
    <w:uiPriority w:val="99"/>
    <w:qFormat/>
    <w:pPr>
      <w:spacing w:after="0" w:line="240" w:lineRule="auto"/>
    </w:pPr>
    <w:rPr>
      <w:color w:val="404040"/>
    </w:rPr>
    <w:tblPr/>
  </w:style>
  <w:style w:type="table" w:styleId="965">
    <w:name w:val="Bordered &amp; Lined - Accent 4"/>
    <w:next w:val="965"/>
    <w:link w:val="786"/>
    <w:uiPriority w:val="99"/>
    <w:qFormat/>
    <w:pPr>
      <w:spacing w:after="0" w:line="240" w:lineRule="auto"/>
    </w:pPr>
    <w:rPr>
      <w:color w:val="404040"/>
    </w:rPr>
    <w:tblPr/>
  </w:style>
  <w:style w:type="table" w:styleId="966">
    <w:name w:val="Bordered &amp; Lined - Accent 5"/>
    <w:next w:val="966"/>
    <w:link w:val="786"/>
    <w:uiPriority w:val="99"/>
    <w:qFormat/>
    <w:pPr>
      <w:spacing w:after="0" w:line="240" w:lineRule="auto"/>
    </w:pPr>
    <w:rPr>
      <w:color w:val="404040"/>
    </w:rPr>
    <w:tblPr/>
  </w:style>
  <w:style w:type="table" w:styleId="967">
    <w:name w:val="Bordered &amp; Lined - Accent 6"/>
    <w:next w:val="967"/>
    <w:link w:val="786"/>
    <w:uiPriority w:val="99"/>
    <w:qFormat/>
    <w:pPr>
      <w:spacing w:after="0" w:line="240" w:lineRule="auto"/>
    </w:pPr>
    <w:rPr>
      <w:color w:val="404040"/>
    </w:rPr>
    <w:tblPr/>
  </w:style>
  <w:style w:type="table" w:styleId="968">
    <w:name w:val="Bordered"/>
    <w:next w:val="968"/>
    <w:link w:val="786"/>
    <w:uiPriority w:val="99"/>
    <w:qFormat/>
    <w:pPr>
      <w:spacing w:after="0" w:line="240" w:lineRule="auto"/>
    </w:pPr>
    <w:tblPr/>
  </w:style>
  <w:style w:type="table" w:styleId="969">
    <w:name w:val="Bordered - Accent 1"/>
    <w:next w:val="969"/>
    <w:link w:val="786"/>
    <w:uiPriority w:val="99"/>
    <w:qFormat/>
    <w:pPr>
      <w:spacing w:after="0" w:line="240" w:lineRule="auto"/>
    </w:pPr>
    <w:tblPr/>
  </w:style>
  <w:style w:type="table" w:styleId="970">
    <w:name w:val="Bordered - Accent 2"/>
    <w:next w:val="970"/>
    <w:link w:val="786"/>
    <w:uiPriority w:val="99"/>
    <w:qFormat/>
    <w:pPr>
      <w:spacing w:after="0" w:line="240" w:lineRule="auto"/>
    </w:pPr>
    <w:tblPr/>
  </w:style>
  <w:style w:type="table" w:styleId="971">
    <w:name w:val="Bordered - Accent 3"/>
    <w:next w:val="971"/>
    <w:link w:val="786"/>
    <w:uiPriority w:val="99"/>
    <w:qFormat/>
    <w:pPr>
      <w:spacing w:after="0" w:line="240" w:lineRule="auto"/>
    </w:pPr>
    <w:tblPr/>
  </w:style>
  <w:style w:type="table" w:styleId="972">
    <w:name w:val="Bordered - Accent 4"/>
    <w:next w:val="972"/>
    <w:link w:val="786"/>
    <w:uiPriority w:val="99"/>
    <w:qFormat/>
    <w:pPr>
      <w:spacing w:after="0" w:line="240" w:lineRule="auto"/>
    </w:pPr>
    <w:tblPr/>
  </w:style>
  <w:style w:type="table" w:styleId="973">
    <w:name w:val="Bordered - Accent 5"/>
    <w:next w:val="973"/>
    <w:link w:val="786"/>
    <w:uiPriority w:val="99"/>
    <w:qFormat/>
    <w:pPr>
      <w:spacing w:after="0" w:line="240" w:lineRule="auto"/>
    </w:pPr>
    <w:tblPr/>
  </w:style>
  <w:style w:type="table" w:styleId="974">
    <w:name w:val="Bordered - Accent 6"/>
    <w:next w:val="974"/>
    <w:link w:val="786"/>
    <w:uiPriority w:val="99"/>
    <w:qFormat/>
    <w:pPr>
      <w:spacing w:after="0" w:line="240" w:lineRule="auto"/>
    </w:pPr>
    <w:tblPr/>
  </w:style>
  <w:style w:type="paragraph" w:styleId="975">
    <w:name w:val="TOC Heading"/>
    <w:next w:val="975"/>
    <w:link w:val="786"/>
    <w:uiPriority w:val="39"/>
    <w:unhideWhenUsed/>
    <w:qFormat/>
    <w:rPr>
      <w:rFonts w:ascii="Times New Roman" w:hAnsi="Times New Roman" w:eastAsia="宋体" w:cs="Times New Roman"/>
    </w:rPr>
  </w:style>
  <w:style w:type="paragraph" w:styleId="976">
    <w:name w:val="标题 21"/>
    <w:basedOn w:val="786"/>
    <w:next w:val="840"/>
    <w:link w:val="977"/>
    <w:qFormat/>
    <w:pPr>
      <w:jc w:val="center"/>
      <w:keepLines/>
      <w:keepNext/>
      <w:spacing w:before="260" w:after="260" w:line="416" w:lineRule="auto"/>
      <w:outlineLvl w:val="1"/>
    </w:pPr>
    <w:rPr>
      <w:rFonts w:ascii="Arial" w:hAnsi="Arial" w:eastAsia="幼圆"/>
      <w:b/>
      <w:bCs/>
      <w:sz w:val="44"/>
      <w:szCs w:val="44"/>
    </w:rPr>
  </w:style>
  <w:style w:type="character" w:styleId="977">
    <w:name w:val="标题 2 Char"/>
    <w:next w:val="977"/>
    <w:link w:val="976"/>
    <w:qFormat/>
    <w:rPr>
      <w:rFonts w:ascii="Arial" w:hAnsi="Arial" w:eastAsia="幼圆" w:cs="Arial"/>
      <w:b/>
      <w:bCs/>
      <w:sz w:val="44"/>
      <w:szCs w:val="44"/>
    </w:rPr>
  </w:style>
  <w:style w:type="paragraph" w:styleId="978">
    <w:name w:val="标题 411"/>
    <w:basedOn w:val="786"/>
    <w:next w:val="786"/>
    <w:link w:val="979"/>
    <w:uiPriority w:val="9"/>
    <w:qFormat/>
    <w:pPr>
      <w:keepLines/>
      <w:keepNext/>
      <w:spacing w:before="280" w:after="290" w:line="376" w:lineRule="auto"/>
      <w:outlineLvl w:val="3"/>
    </w:pPr>
    <w:rPr>
      <w:rFonts w:ascii="Arial" w:hAnsi="Arial" w:eastAsia="黑体"/>
      <w:b/>
      <w:bCs/>
      <w:sz w:val="28"/>
      <w:szCs w:val="28"/>
    </w:rPr>
  </w:style>
  <w:style w:type="character" w:styleId="979">
    <w:name w:val="标题 4 Char"/>
    <w:next w:val="979"/>
    <w:link w:val="978"/>
    <w:uiPriority w:val="9"/>
    <w:qFormat/>
    <w:rPr>
      <w:rFonts w:ascii="Arial" w:hAnsi="Arial" w:eastAsia="黑体" w:cs="Arial"/>
      <w:b/>
      <w:bCs/>
      <w:sz w:val="28"/>
      <w:szCs w:val="28"/>
    </w:rPr>
  </w:style>
  <w:style w:type="paragraph" w:styleId="980">
    <w:name w:val="标题 51"/>
    <w:basedOn w:val="786"/>
    <w:next w:val="840"/>
    <w:link w:val="981"/>
    <w:qFormat/>
    <w:pPr>
      <w:keepNext/>
      <w:outlineLvl w:val="4"/>
    </w:pPr>
    <w:rPr>
      <w:rFonts w:ascii="宋体"/>
      <w:color w:val="000000"/>
      <w:sz w:val="28"/>
      <w:szCs w:val="28"/>
    </w:rPr>
  </w:style>
  <w:style w:type="character" w:styleId="981">
    <w:name w:val="标题 5 Char"/>
    <w:next w:val="981"/>
    <w:link w:val="980"/>
    <w:qFormat/>
    <w:rPr>
      <w:rFonts w:ascii="宋体" w:hAnsi="Times New Roman" w:eastAsia="宋体" w:cs="Times New Roman"/>
      <w:color w:val="000000"/>
      <w:sz w:val="28"/>
      <w:szCs w:val="28"/>
    </w:rPr>
  </w:style>
  <w:style w:type="paragraph" w:styleId="982">
    <w:name w:val="标题 61"/>
    <w:basedOn w:val="786"/>
    <w:next w:val="786"/>
    <w:link w:val="983"/>
    <w:qFormat/>
    <w:pPr>
      <w:numPr>
        <w:ilvl w:val="5"/>
        <w:numId w:val="1"/>
      </w:numPr>
      <w:keepLines/>
      <w:keepNext/>
      <w:spacing w:before="240" w:after="64" w:line="320" w:lineRule="auto"/>
      <w:outlineLvl w:val="5"/>
    </w:pPr>
    <w:rPr>
      <w:rFonts w:ascii="Arial" w:hAnsi="Arial" w:eastAsia="黑体"/>
      <w:b/>
      <w:bCs/>
      <w:sz w:val="24"/>
      <w:szCs w:val="24"/>
    </w:rPr>
  </w:style>
  <w:style w:type="character" w:styleId="983">
    <w:name w:val="标题 6 Char"/>
    <w:next w:val="983"/>
    <w:link w:val="982"/>
    <w:qFormat/>
    <w:rPr>
      <w:rFonts w:ascii="Arial" w:hAnsi="Arial" w:eastAsia="黑体" w:cs="Times New Roman"/>
      <w:b/>
      <w:bCs/>
      <w:sz w:val="24"/>
      <w:szCs w:val="24"/>
    </w:rPr>
  </w:style>
  <w:style w:type="paragraph" w:styleId="984">
    <w:name w:val="标题 71"/>
    <w:basedOn w:val="786"/>
    <w:next w:val="786"/>
    <w:link w:val="985"/>
    <w:qFormat/>
    <w:pPr>
      <w:numPr>
        <w:ilvl w:val="6"/>
        <w:numId w:val="1"/>
      </w:numPr>
      <w:keepLines/>
      <w:keepNext/>
      <w:spacing w:before="240" w:after="64" w:line="320" w:lineRule="auto"/>
      <w:outlineLvl w:val="6"/>
    </w:pPr>
    <w:rPr>
      <w:b/>
      <w:bCs/>
      <w:sz w:val="24"/>
      <w:szCs w:val="24"/>
    </w:rPr>
  </w:style>
  <w:style w:type="character" w:styleId="985">
    <w:name w:val="标题 7 Char"/>
    <w:next w:val="985"/>
    <w:link w:val="984"/>
    <w:qFormat/>
    <w:rPr>
      <w:rFonts w:ascii="Times New Roman" w:hAnsi="Times New Roman" w:eastAsia="宋体" w:cs="Times New Roman"/>
      <w:b/>
      <w:bCs/>
      <w:sz w:val="24"/>
      <w:szCs w:val="24"/>
    </w:rPr>
  </w:style>
  <w:style w:type="paragraph" w:styleId="986">
    <w:name w:val="标题 81"/>
    <w:basedOn w:val="786"/>
    <w:next w:val="786"/>
    <w:link w:val="987"/>
    <w:qFormat/>
    <w:pPr>
      <w:numPr>
        <w:ilvl w:val="7"/>
        <w:numId w:val="1"/>
      </w:numPr>
      <w:keepLines/>
      <w:keepNext/>
      <w:spacing w:before="240" w:after="64" w:line="320" w:lineRule="auto"/>
      <w:outlineLvl w:val="7"/>
    </w:pPr>
    <w:rPr>
      <w:rFonts w:ascii="Arial" w:hAnsi="Arial" w:eastAsia="黑体"/>
      <w:sz w:val="24"/>
      <w:szCs w:val="24"/>
    </w:rPr>
  </w:style>
  <w:style w:type="character" w:styleId="987">
    <w:name w:val="标题 8 Char"/>
    <w:next w:val="987"/>
    <w:link w:val="986"/>
    <w:qFormat/>
    <w:rPr>
      <w:rFonts w:ascii="Arial" w:hAnsi="Arial" w:eastAsia="黑体" w:cs="Times New Roman"/>
      <w:sz w:val="24"/>
      <w:szCs w:val="24"/>
    </w:rPr>
  </w:style>
  <w:style w:type="paragraph" w:styleId="988">
    <w:name w:val="标题 91"/>
    <w:basedOn w:val="786"/>
    <w:next w:val="786"/>
    <w:link w:val="989"/>
    <w:qFormat/>
    <w:pPr>
      <w:numPr>
        <w:ilvl w:val="8"/>
        <w:numId w:val="1"/>
      </w:numPr>
      <w:keepLines/>
      <w:keepNext/>
      <w:spacing w:before="240" w:after="64" w:line="320" w:lineRule="auto"/>
      <w:outlineLvl w:val="8"/>
    </w:pPr>
    <w:rPr>
      <w:rFonts w:ascii="Arial" w:hAnsi="Arial" w:eastAsia="黑体"/>
      <w:sz w:val="20"/>
    </w:rPr>
  </w:style>
  <w:style w:type="character" w:styleId="989">
    <w:name w:val="标题 9 Char"/>
    <w:next w:val="989"/>
    <w:link w:val="988"/>
    <w:qFormat/>
    <w:rPr>
      <w:rFonts w:ascii="Arial" w:hAnsi="Arial" w:eastAsia="黑体" w:cs="Times New Roman"/>
      <w:szCs w:val="21"/>
    </w:rPr>
  </w:style>
  <w:style w:type="character" w:styleId="990">
    <w:name w:val="默认段落字体1"/>
    <w:next w:val="990"/>
    <w:link w:val="786"/>
    <w:uiPriority w:val="1"/>
    <w:unhideWhenUsed/>
    <w:qFormat/>
  </w:style>
  <w:style w:type="table" w:styleId="991">
    <w:name w:val="普通表格1"/>
    <w:next w:val="991"/>
    <w:link w:val="786"/>
    <w:uiPriority w:val="99"/>
    <w:unhideWhenUsed/>
    <w:qFormat/>
    <w:tblPr/>
  </w:style>
  <w:style w:type="paragraph" w:styleId="992">
    <w:name w:val="列表 31"/>
    <w:basedOn w:val="786"/>
    <w:next w:val="992"/>
    <w:link w:val="786"/>
    <w:qFormat/>
    <w:pPr>
      <w:ind w:left="100" w:hanging="200"/>
    </w:pPr>
  </w:style>
  <w:style w:type="paragraph" w:styleId="993">
    <w:name w:val="目录 71"/>
    <w:basedOn w:val="786"/>
    <w:next w:val="786"/>
    <w:link w:val="786"/>
    <w:semiHidden/>
    <w:qFormat/>
    <w:pPr>
      <w:ind w:left="1260"/>
      <w:jc w:val="left"/>
    </w:pPr>
  </w:style>
  <w:style w:type="paragraph" w:styleId="994">
    <w:name w:val="文档结构图1"/>
    <w:basedOn w:val="786"/>
    <w:next w:val="994"/>
    <w:link w:val="995"/>
    <w:semiHidden/>
    <w:qFormat/>
    <w:pPr>
      <w:shd w:val="clear" w:color="auto" w:fill="000080"/>
    </w:pPr>
    <w:rPr>
      <w:sz w:val="20"/>
    </w:rPr>
  </w:style>
  <w:style w:type="character" w:styleId="995">
    <w:name w:val="文档结构图 Char"/>
    <w:next w:val="995"/>
    <w:link w:val="994"/>
    <w:semiHidden/>
    <w:qFormat/>
    <w:rPr>
      <w:rFonts w:ascii="Times New Roman" w:hAnsi="Times New Roman" w:eastAsia="宋体" w:cs="Times New Roman"/>
      <w:szCs w:val="21"/>
      <w:shd w:val="clear" w:color="auto" w:fill="000080"/>
    </w:rPr>
  </w:style>
  <w:style w:type="paragraph" w:styleId="996">
    <w:name w:val="批注文字1"/>
    <w:basedOn w:val="786"/>
    <w:next w:val="996"/>
    <w:link w:val="997"/>
    <w:uiPriority w:val="99"/>
    <w:semiHidden/>
    <w:qFormat/>
    <w:pPr>
      <w:jc w:val="left"/>
    </w:pPr>
    <w:rPr>
      <w:sz w:val="20"/>
    </w:rPr>
  </w:style>
  <w:style w:type="character" w:styleId="997">
    <w:name w:val="批注文字 Char"/>
    <w:next w:val="997"/>
    <w:link w:val="996"/>
    <w:uiPriority w:val="99"/>
    <w:semiHidden/>
    <w:qFormat/>
    <w:rPr>
      <w:rFonts w:ascii="Times New Roman" w:hAnsi="Times New Roman" w:eastAsia="宋体" w:cs="Times New Roman"/>
      <w:szCs w:val="21"/>
    </w:rPr>
  </w:style>
  <w:style w:type="paragraph" w:styleId="998">
    <w:name w:val="正文文本 31"/>
    <w:basedOn w:val="786"/>
    <w:next w:val="998"/>
    <w:link w:val="999"/>
    <w:qFormat/>
    <w:rPr>
      <w:rFonts w:ascii="仿宋_GB2312" w:hAnsi="Arial" w:eastAsia="仿宋_GB2312"/>
      <w:sz w:val="32"/>
      <w:szCs w:val="32"/>
    </w:rPr>
  </w:style>
  <w:style w:type="character" w:styleId="999">
    <w:name w:val="正文文本 3 Char"/>
    <w:next w:val="999"/>
    <w:link w:val="998"/>
    <w:qFormat/>
    <w:rPr>
      <w:rFonts w:ascii="仿宋_GB2312" w:hAnsi="Arial" w:eastAsia="仿宋_GB2312" w:cs="Times New Roman"/>
      <w:sz w:val="32"/>
      <w:szCs w:val="32"/>
    </w:rPr>
  </w:style>
  <w:style w:type="paragraph" w:styleId="1000">
    <w:name w:val="正文文本1"/>
    <w:basedOn w:val="786"/>
    <w:next w:val="1000"/>
    <w:link w:val="1001"/>
    <w:uiPriority w:val="99"/>
    <w:qFormat/>
    <w:rPr>
      <w:rFonts w:ascii="楷体_GB2312" w:hAnsi="Arial" w:eastAsia="楷体_GB2312"/>
      <w:sz w:val="28"/>
      <w:szCs w:val="28"/>
    </w:rPr>
  </w:style>
  <w:style w:type="character" w:styleId="1001">
    <w:name w:val="正文文本 Char"/>
    <w:next w:val="1001"/>
    <w:link w:val="1000"/>
    <w:qFormat/>
    <w:rPr>
      <w:rFonts w:ascii="楷体_GB2312" w:hAnsi="Arial" w:eastAsia="楷体_GB2312" w:cs="Times New Roman"/>
      <w:sz w:val="28"/>
      <w:szCs w:val="28"/>
    </w:rPr>
  </w:style>
  <w:style w:type="paragraph" w:styleId="1002">
    <w:name w:val="正文文本缩进1"/>
    <w:basedOn w:val="786"/>
    <w:next w:val="1004"/>
    <w:link w:val="1003"/>
    <w:uiPriority w:val="99"/>
    <w:qFormat/>
    <w:pPr>
      <w:ind w:firstLine="645"/>
    </w:pPr>
    <w:rPr>
      <w:rFonts w:ascii="楷体_GB2312" w:eastAsia="楷体_GB2312"/>
      <w:sz w:val="32"/>
      <w:szCs w:val="32"/>
    </w:rPr>
  </w:style>
  <w:style w:type="character" w:styleId="1003">
    <w:name w:val="正文文本缩进 Char"/>
    <w:next w:val="1003"/>
    <w:link w:val="1002"/>
    <w:qFormat/>
    <w:rPr>
      <w:rFonts w:ascii="楷体_GB2312" w:hAnsi="Times New Roman" w:eastAsia="楷体_GB2312" w:cs="Times New Roman"/>
      <w:sz w:val="32"/>
      <w:szCs w:val="32"/>
    </w:rPr>
  </w:style>
  <w:style w:type="paragraph" w:styleId="1004">
    <w:name w:val="寄信人地址1"/>
    <w:basedOn w:val="786"/>
    <w:next w:val="1004"/>
    <w:link w:val="786"/>
    <w:uiPriority w:val="99"/>
    <w:unhideWhenUsed/>
    <w:qFormat/>
    <w:rPr>
      <w:rFonts w:hint="eastAsia" w:ascii="Arial" w:hAnsi="Arial" w:eastAsia="宋体" w:cs="Times New Roman"/>
      <w:sz w:val="24"/>
      <w:szCs w:val="24"/>
    </w:rPr>
  </w:style>
  <w:style w:type="paragraph" w:styleId="1005">
    <w:name w:val="列表 21"/>
    <w:basedOn w:val="786"/>
    <w:next w:val="1005"/>
    <w:link w:val="786"/>
    <w:qFormat/>
    <w:pPr>
      <w:ind w:left="100" w:hanging="200"/>
    </w:pPr>
  </w:style>
  <w:style w:type="paragraph" w:styleId="1006">
    <w:name w:val="索引 41"/>
    <w:basedOn w:val="786"/>
    <w:next w:val="786"/>
    <w:link w:val="786"/>
    <w:uiPriority w:val="99"/>
    <w:qFormat/>
    <w:pPr>
      <w:ind w:left="600"/>
    </w:pPr>
    <w:rPr>
      <w:rFonts w:ascii="Calibri" w:hAnsi="Calibri" w:eastAsia="宋体" w:cs="Times New Roman"/>
      <w:szCs w:val="24"/>
    </w:rPr>
  </w:style>
  <w:style w:type="paragraph" w:styleId="1007">
    <w:name w:val="目录 51"/>
    <w:basedOn w:val="786"/>
    <w:next w:val="786"/>
    <w:link w:val="786"/>
    <w:semiHidden/>
    <w:qFormat/>
    <w:pPr>
      <w:ind w:left="840"/>
      <w:jc w:val="left"/>
    </w:pPr>
  </w:style>
  <w:style w:type="paragraph" w:styleId="1008">
    <w:name w:val="目录 31"/>
    <w:basedOn w:val="786"/>
    <w:next w:val="786"/>
    <w:link w:val="786"/>
    <w:semiHidden/>
    <w:qFormat/>
    <w:pPr>
      <w:ind w:left="420"/>
      <w:jc w:val="left"/>
    </w:pPr>
    <w:rPr>
      <w:i/>
      <w:iCs/>
      <w:szCs w:val="24"/>
    </w:rPr>
  </w:style>
  <w:style w:type="paragraph" w:styleId="1009">
    <w:name w:val="纯文本1"/>
    <w:basedOn w:val="786"/>
    <w:next w:val="1009"/>
    <w:link w:val="1010"/>
    <w:qFormat/>
    <w:rPr>
      <w:rFonts w:ascii="宋体" w:hAnsi="Courier New"/>
      <w:sz w:val="20"/>
    </w:rPr>
  </w:style>
  <w:style w:type="character" w:styleId="1010">
    <w:name w:val="纯文本 Char"/>
    <w:next w:val="1010"/>
    <w:link w:val="1009"/>
    <w:qFormat/>
    <w:rPr>
      <w:rFonts w:ascii="宋体" w:hAnsi="Courier New" w:eastAsia="宋体" w:cs="Courier New"/>
      <w:szCs w:val="21"/>
    </w:rPr>
  </w:style>
  <w:style w:type="paragraph" w:styleId="1011">
    <w:name w:val="目录 81"/>
    <w:basedOn w:val="786"/>
    <w:next w:val="786"/>
    <w:link w:val="786"/>
    <w:semiHidden/>
    <w:qFormat/>
    <w:pPr>
      <w:ind w:left="1470"/>
      <w:jc w:val="left"/>
    </w:pPr>
  </w:style>
  <w:style w:type="paragraph" w:styleId="1012">
    <w:name w:val="日期1"/>
    <w:basedOn w:val="786"/>
    <w:next w:val="786"/>
    <w:link w:val="1013"/>
    <w:qFormat/>
    <w:rPr>
      <w:sz w:val="24"/>
      <w:szCs w:val="24"/>
    </w:rPr>
  </w:style>
  <w:style w:type="character" w:styleId="1013">
    <w:name w:val="日期 Char"/>
    <w:next w:val="1013"/>
    <w:link w:val="1012"/>
    <w:qFormat/>
    <w:rPr>
      <w:rFonts w:ascii="Times New Roman" w:hAnsi="Times New Roman" w:eastAsia="宋体" w:cs="Times New Roman"/>
      <w:sz w:val="24"/>
      <w:szCs w:val="24"/>
    </w:rPr>
  </w:style>
  <w:style w:type="paragraph" w:styleId="1014">
    <w:name w:val="正文文本缩进 21"/>
    <w:basedOn w:val="786"/>
    <w:next w:val="1014"/>
    <w:link w:val="1015"/>
    <w:qFormat/>
    <w:pPr>
      <w:ind w:left="630" w:firstLine="645"/>
    </w:pPr>
    <w:rPr>
      <w:rFonts w:ascii="Arial" w:hAnsi="Arial" w:eastAsia="仿宋_GB2312"/>
      <w:sz w:val="32"/>
      <w:szCs w:val="32"/>
    </w:rPr>
  </w:style>
  <w:style w:type="character" w:styleId="1015">
    <w:name w:val="正文文本缩进 2 Char"/>
    <w:next w:val="1015"/>
    <w:link w:val="1014"/>
    <w:qFormat/>
    <w:rPr>
      <w:rFonts w:ascii="Arial" w:hAnsi="Arial" w:eastAsia="仿宋_GB2312" w:cs="Arial"/>
      <w:sz w:val="32"/>
      <w:szCs w:val="32"/>
    </w:rPr>
  </w:style>
  <w:style w:type="paragraph" w:styleId="1016">
    <w:name w:val="批注框文本1"/>
    <w:basedOn w:val="786"/>
    <w:next w:val="1016"/>
    <w:link w:val="1017"/>
    <w:qFormat/>
    <w:rPr>
      <w:sz w:val="18"/>
      <w:szCs w:val="18"/>
    </w:rPr>
  </w:style>
  <w:style w:type="character" w:styleId="1017">
    <w:name w:val="批注框文本 Char"/>
    <w:next w:val="1017"/>
    <w:link w:val="1016"/>
    <w:qFormat/>
    <w:rPr>
      <w:rFonts w:ascii="Times New Roman" w:hAnsi="Times New Roman" w:eastAsia="宋体" w:cs="Times New Roman"/>
      <w:sz w:val="18"/>
      <w:szCs w:val="18"/>
    </w:rPr>
  </w:style>
  <w:style w:type="paragraph" w:styleId="1018">
    <w:name w:val="页脚11"/>
    <w:basedOn w:val="786"/>
    <w:next w:val="1020"/>
    <w:link w:val="1019"/>
    <w:qFormat/>
    <w:pPr>
      <w:jc w:val="left"/>
      <w:tabs>
        <w:tab w:val="center" w:pos="4153" w:leader="none"/>
        <w:tab w:val="right" w:pos="8306" w:leader="none"/>
      </w:tabs>
    </w:pPr>
    <w:rPr>
      <w:sz w:val="18"/>
      <w:szCs w:val="18"/>
    </w:rPr>
  </w:style>
  <w:style w:type="character" w:styleId="1019">
    <w:name w:val="页脚 Char"/>
    <w:next w:val="1019"/>
    <w:link w:val="1018"/>
    <w:qFormat/>
    <w:rPr>
      <w:rFonts w:ascii="Times New Roman" w:hAnsi="Times New Roman" w:eastAsia="宋体" w:cs="Times New Roman"/>
      <w:sz w:val="18"/>
      <w:szCs w:val="18"/>
    </w:rPr>
  </w:style>
  <w:style w:type="paragraph" w:styleId="1020">
    <w:name w:val="TOC Heading1"/>
    <w:next w:val="786"/>
    <w:link w:val="786"/>
    <w:qFormat/>
    <w:rPr>
      <w:rFonts w:ascii="Times New Roman" w:hAnsi="Times New Roman" w:eastAsia="宋体" w:cs="Times New Roman"/>
      <w:sz w:val="32"/>
      <w:lang w:val="en-US" w:eastAsia="zh-CN" w:bidi="ar-SA"/>
    </w:rPr>
  </w:style>
  <w:style w:type="paragraph" w:styleId="1021">
    <w:name w:val="页眉11"/>
    <w:basedOn w:val="786"/>
    <w:next w:val="1021"/>
    <w:link w:val="1022"/>
    <w:qFormat/>
    <w:pPr>
      <w:jc w:val="center"/>
      <w:tabs>
        <w:tab w:val="center" w:pos="4153" w:leader="none"/>
        <w:tab w:val="right" w:pos="8306" w:leader="none"/>
      </w:tabs>
      <w:pBdr>
        <w:bottom w:val="single" w:color="000000" w:sz="6" w:space="1"/>
      </w:pBdr>
    </w:pPr>
    <w:rPr>
      <w:sz w:val="18"/>
      <w:szCs w:val="18"/>
    </w:rPr>
  </w:style>
  <w:style w:type="character" w:styleId="1022">
    <w:name w:val="页眉 Char"/>
    <w:next w:val="1022"/>
    <w:link w:val="1021"/>
    <w:qFormat/>
    <w:rPr>
      <w:rFonts w:ascii="Times New Roman" w:hAnsi="Times New Roman" w:eastAsia="宋体" w:cs="Times New Roman"/>
      <w:sz w:val="18"/>
      <w:szCs w:val="18"/>
    </w:rPr>
  </w:style>
  <w:style w:type="paragraph" w:styleId="1023">
    <w:name w:val="目录 11"/>
    <w:basedOn w:val="786"/>
    <w:next w:val="786"/>
    <w:link w:val="786"/>
    <w:semiHidden/>
    <w:qFormat/>
    <w:pPr>
      <w:jc w:val="left"/>
      <w:spacing w:before="120" w:after="120" w:line="400" w:lineRule="exact"/>
      <w:tabs>
        <w:tab w:val="right" w:pos="8720" w:leader="dot"/>
      </w:tabs>
    </w:pPr>
    <w:rPr>
      <w:rFonts w:ascii="宋体" w:hAnsi="宋体"/>
      <w:caps/>
      <w:sz w:val="24"/>
      <w:szCs w:val="24"/>
    </w:rPr>
  </w:style>
  <w:style w:type="paragraph" w:styleId="1024">
    <w:name w:val="目录 41"/>
    <w:basedOn w:val="786"/>
    <w:next w:val="786"/>
    <w:link w:val="786"/>
    <w:semiHidden/>
    <w:qFormat/>
    <w:pPr>
      <w:ind w:left="630"/>
      <w:jc w:val="left"/>
    </w:pPr>
  </w:style>
  <w:style w:type="paragraph" w:styleId="1025">
    <w:name w:val="列表1"/>
    <w:basedOn w:val="786"/>
    <w:next w:val="1025"/>
    <w:link w:val="786"/>
    <w:qFormat/>
    <w:pPr>
      <w:ind w:left="200" w:hanging="200"/>
    </w:pPr>
  </w:style>
  <w:style w:type="paragraph" w:styleId="1026">
    <w:name w:val="目录 61"/>
    <w:basedOn w:val="786"/>
    <w:next w:val="786"/>
    <w:link w:val="786"/>
    <w:semiHidden/>
    <w:qFormat/>
    <w:pPr>
      <w:ind w:left="1050"/>
      <w:jc w:val="left"/>
    </w:pPr>
  </w:style>
  <w:style w:type="paragraph" w:styleId="1027">
    <w:name w:val="正文文本缩进 31"/>
    <w:basedOn w:val="786"/>
    <w:next w:val="1027"/>
    <w:link w:val="1028"/>
    <w:qFormat/>
    <w:pPr>
      <w:ind w:left="645" w:firstLine="645"/>
    </w:pPr>
    <w:rPr>
      <w:rFonts w:ascii="Arial" w:hAnsi="Arial" w:eastAsia="仿宋_GB2312"/>
      <w:color w:val="ffff00"/>
      <w:sz w:val="32"/>
      <w:szCs w:val="32"/>
    </w:rPr>
  </w:style>
  <w:style w:type="character" w:styleId="1028">
    <w:name w:val="正文文本缩进 3 Char"/>
    <w:next w:val="1028"/>
    <w:link w:val="1027"/>
    <w:qFormat/>
    <w:rPr>
      <w:rFonts w:ascii="Arial" w:hAnsi="Arial" w:eastAsia="仿宋_GB2312" w:cs="Arial"/>
      <w:color w:val="ffff00"/>
      <w:sz w:val="32"/>
      <w:szCs w:val="32"/>
    </w:rPr>
  </w:style>
  <w:style w:type="paragraph" w:styleId="1029">
    <w:name w:val="图表目录1"/>
    <w:basedOn w:val="786"/>
    <w:next w:val="786"/>
    <w:link w:val="786"/>
    <w:semiHidden/>
    <w:qFormat/>
    <w:pPr>
      <w:ind w:left="840" w:hanging="420"/>
    </w:pPr>
  </w:style>
  <w:style w:type="paragraph" w:styleId="1030">
    <w:name w:val="目录 21"/>
    <w:basedOn w:val="786"/>
    <w:next w:val="786"/>
    <w:link w:val="786"/>
    <w:semiHidden/>
    <w:qFormat/>
    <w:pPr>
      <w:ind w:left="210"/>
      <w:jc w:val="left"/>
    </w:pPr>
    <w:rPr>
      <w:smallCaps/>
      <w:szCs w:val="24"/>
    </w:rPr>
  </w:style>
  <w:style w:type="paragraph" w:styleId="1031">
    <w:name w:val="目录 91"/>
    <w:basedOn w:val="786"/>
    <w:next w:val="786"/>
    <w:link w:val="786"/>
    <w:semiHidden/>
    <w:qFormat/>
    <w:pPr>
      <w:ind w:left="1680"/>
      <w:jc w:val="left"/>
    </w:pPr>
  </w:style>
  <w:style w:type="paragraph" w:styleId="1032">
    <w:name w:val="正文文本 21"/>
    <w:basedOn w:val="786"/>
    <w:next w:val="1032"/>
    <w:link w:val="1033"/>
    <w:qFormat/>
    <w:pPr>
      <w:jc w:val="center"/>
      <w:widowControl/>
    </w:pPr>
    <w:rPr>
      <w:rFonts w:ascii="楷体_GB2312" w:eastAsia="楷体_GB2312"/>
      <w:sz w:val="28"/>
      <w:szCs w:val="28"/>
    </w:rPr>
  </w:style>
  <w:style w:type="character" w:styleId="1033">
    <w:name w:val="正文文本 2 Char"/>
    <w:next w:val="1033"/>
    <w:link w:val="1032"/>
    <w:qFormat/>
    <w:rPr>
      <w:rFonts w:ascii="楷体_GB2312" w:hAnsi="Times New Roman" w:eastAsia="楷体_GB2312" w:cs="Times New Roman"/>
      <w:sz w:val="28"/>
      <w:szCs w:val="28"/>
    </w:rPr>
  </w:style>
  <w:style w:type="paragraph" w:styleId="1034">
    <w:name w:val="普通(网站)1"/>
    <w:basedOn w:val="786"/>
    <w:next w:val="1034"/>
    <w:link w:val="786"/>
    <w:uiPriority w:val="99"/>
    <w:qFormat/>
    <w:pPr>
      <w:jc w:val="left"/>
      <w:spacing w:before="100" w:beforeAutospacing="1" w:after="100" w:afterAutospacing="1"/>
      <w:widowControl/>
    </w:pPr>
    <w:rPr>
      <w:rFonts w:ascii="宋体" w:hAnsi="宋体" w:cs="宋体"/>
      <w:sz w:val="24"/>
      <w:szCs w:val="24"/>
    </w:rPr>
  </w:style>
  <w:style w:type="paragraph" w:styleId="1035">
    <w:name w:val="索引 11"/>
    <w:basedOn w:val="786"/>
    <w:next w:val="786"/>
    <w:link w:val="786"/>
    <w:semiHidden/>
    <w:qFormat/>
    <w:pPr>
      <w:spacing w:line="240" w:lineRule="atLeast"/>
    </w:pPr>
    <w:rPr>
      <w:b/>
      <w:bCs/>
    </w:rPr>
  </w:style>
  <w:style w:type="paragraph" w:styleId="1036">
    <w:name w:val="批注主题1"/>
    <w:basedOn w:val="996"/>
    <w:next w:val="996"/>
    <w:link w:val="1037"/>
    <w:qFormat/>
    <w:rPr>
      <w:b/>
      <w:bCs/>
    </w:rPr>
  </w:style>
  <w:style w:type="character" w:styleId="1037">
    <w:name w:val="批注主题 Char"/>
    <w:next w:val="1037"/>
    <w:link w:val="1036"/>
    <w:qFormat/>
    <w:rPr>
      <w:rFonts w:ascii="Times New Roman" w:hAnsi="Times New Roman" w:eastAsia="宋体" w:cs="Times New Roman"/>
      <w:b/>
      <w:bCs/>
      <w:szCs w:val="21"/>
    </w:rPr>
  </w:style>
  <w:style w:type="paragraph" w:styleId="1038">
    <w:name w:val="正文首行缩进1"/>
    <w:basedOn w:val="786"/>
    <w:next w:val="1038"/>
    <w:link w:val="1039"/>
    <w:uiPriority w:val="99"/>
    <w:qFormat/>
    <w:pPr>
      <w:ind w:firstLine="200"/>
      <w:spacing w:line="360" w:lineRule="auto"/>
    </w:pPr>
    <w:rPr>
      <w:rFonts w:ascii="仿宋_GB2312" w:eastAsia="仿宋_GB2312"/>
      <w:sz w:val="30"/>
      <w:szCs w:val="30"/>
    </w:rPr>
  </w:style>
  <w:style w:type="character" w:styleId="1039">
    <w:name w:val="正文首行缩进 Char"/>
    <w:next w:val="1039"/>
    <w:link w:val="1038"/>
    <w:qFormat/>
    <w:rPr>
      <w:rFonts w:ascii="仿宋_GB2312" w:hAnsi="Times New Roman" w:eastAsia="仿宋_GB2312" w:cs="Times New Roman"/>
      <w:sz w:val="30"/>
      <w:szCs w:val="30"/>
    </w:rPr>
  </w:style>
  <w:style w:type="paragraph" w:styleId="1040">
    <w:name w:val="正文首行缩进 21"/>
    <w:basedOn w:val="1002"/>
    <w:next w:val="1040"/>
    <w:link w:val="1041"/>
    <w:uiPriority w:val="99"/>
    <w:qFormat/>
    <w:pPr>
      <w:ind w:firstLine="420"/>
      <w:spacing w:line="360" w:lineRule="auto"/>
    </w:pPr>
    <w:rPr>
      <w:rFonts w:ascii="宋体" w:hAnsi="宋体" w:eastAsia="宋体"/>
      <w:szCs w:val="20"/>
    </w:rPr>
  </w:style>
  <w:style w:type="character" w:styleId="1041">
    <w:name w:val="正文首行缩进 2 Char"/>
    <w:next w:val="1041"/>
    <w:link w:val="1040"/>
    <w:qFormat/>
    <w:rPr>
      <w:rFonts w:ascii="宋体" w:hAnsi="宋体" w:eastAsia="宋体" w:cs="Times New Roman"/>
      <w:sz w:val="32"/>
      <w:szCs w:val="20"/>
    </w:rPr>
  </w:style>
  <w:style w:type="table" w:styleId="1042">
    <w:name w:val="网格型1"/>
    <w:basedOn w:val="991"/>
    <w:next w:val="1042"/>
    <w:link w:val="786"/>
    <w:qFormat/>
    <w:pPr>
      <w:jc w:val="both"/>
      <w:widowControl w:val="off"/>
    </w:pPr>
    <w:rPr>
      <w:rFonts w:ascii="Times New Roman" w:hAnsi="Times New Roman" w:eastAsia="宋体" w:cs="Times New Roman"/>
      <w:sz w:val="20"/>
      <w:szCs w:val="20"/>
    </w:rPr>
    <w:tblPr/>
  </w:style>
  <w:style w:type="character" w:styleId="1043">
    <w:name w:val="要点1"/>
    <w:next w:val="1043"/>
    <w:link w:val="786"/>
    <w:qFormat/>
    <w:rPr>
      <w:b/>
      <w:bCs/>
    </w:rPr>
  </w:style>
  <w:style w:type="character" w:styleId="1044">
    <w:name w:val="页码11"/>
    <w:next w:val="1044"/>
    <w:link w:val="786"/>
    <w:qFormat/>
  </w:style>
  <w:style w:type="character" w:styleId="1045">
    <w:name w:val="已访问的超链接1"/>
    <w:next w:val="1045"/>
    <w:link w:val="786"/>
    <w:uiPriority w:val="99"/>
    <w:qFormat/>
    <w:rPr>
      <w:color w:val="800080"/>
      <w:u w:val="single"/>
    </w:rPr>
  </w:style>
  <w:style w:type="character" w:styleId="1046">
    <w:name w:val="HTML 打字机1"/>
    <w:next w:val="1046"/>
    <w:link w:val="786"/>
    <w:uiPriority w:val="99"/>
    <w:qFormat/>
    <w:rPr>
      <w:rFonts w:ascii="宋体" w:hAnsi="宋体" w:eastAsia="宋体" w:cs="宋体"/>
      <w:sz w:val="24"/>
      <w:szCs w:val="24"/>
    </w:rPr>
  </w:style>
  <w:style w:type="character" w:styleId="1047">
    <w:name w:val="超链接1"/>
    <w:next w:val="1047"/>
    <w:link w:val="786"/>
    <w:uiPriority w:val="99"/>
    <w:qFormat/>
    <w:rPr>
      <w:color w:val="0000ff"/>
      <w:u w:val="single"/>
    </w:rPr>
  </w:style>
  <w:style w:type="character" w:styleId="1048">
    <w:name w:val="批注引用1"/>
    <w:next w:val="1048"/>
    <w:link w:val="786"/>
    <w:qFormat/>
    <w:rPr>
      <w:sz w:val="21"/>
      <w:szCs w:val="21"/>
    </w:rPr>
  </w:style>
  <w:style w:type="paragraph" w:styleId="1049">
    <w:name w:val="toc 11"/>
    <w:next w:val="786"/>
    <w:link w:val="786"/>
    <w:qFormat/>
    <w:pPr>
      <w:jc w:val="both"/>
    </w:pPr>
    <w:rPr>
      <w:rFonts w:ascii="Times New Roman" w:hAnsi="Times New Roman" w:eastAsia="宋体" w:cs="Times New Roman"/>
      <w:sz w:val="21"/>
      <w:lang w:val="en-US" w:eastAsia="zh-CN" w:bidi="ar-SA"/>
    </w:rPr>
  </w:style>
  <w:style w:type="paragraph" w:styleId="1050">
    <w:name w:val="AONormal"/>
    <w:next w:val="1050"/>
    <w:link w:val="786"/>
    <w:qFormat/>
    <w:pPr>
      <w:ind w:firstLine="440"/>
      <w:spacing w:line="400" w:lineRule="exact"/>
    </w:pPr>
    <w:rPr>
      <w:rFonts w:ascii="华文楷体" w:hAnsi="华文楷体" w:eastAsia="华文楷体" w:cs="华文楷体"/>
      <w:sz w:val="22"/>
      <w:szCs w:val="21"/>
      <w:lang w:val="en-US" w:eastAsia="zh-CN" w:bidi="ar-SA"/>
    </w:rPr>
  </w:style>
  <w:style w:type="character" w:styleId="1051">
    <w:name w:val="页码1"/>
    <w:next w:val="1051"/>
    <w:link w:val="786"/>
    <w:qFormat/>
    <w:rPr>
      <w:sz w:val="21"/>
      <w:szCs w:val="21"/>
      <w:lang w:val="en-US" w:eastAsia="zh-CN" w:bidi="ar-SA"/>
    </w:rPr>
  </w:style>
  <w:style w:type="character" w:styleId="1052">
    <w:name w:val="font5 Char"/>
    <w:next w:val="1052"/>
    <w:link w:val="786"/>
    <w:qFormat/>
    <w:rPr>
      <w:rFonts w:ascii="宋体" w:hAnsi="宋体" w:eastAsia="宋体"/>
      <w:sz w:val="28"/>
      <w:szCs w:val="28"/>
      <w:lang w:val="en-US" w:eastAsia="zh-CN" w:bidi="ar-SA"/>
    </w:rPr>
  </w:style>
  <w:style w:type="character" w:styleId="1053">
    <w:name w:val="二级目录 Char"/>
    <w:next w:val="1053"/>
    <w:link w:val="1054"/>
    <w:qFormat/>
    <w:rPr>
      <w:b/>
      <w:sz w:val="30"/>
      <w:szCs w:val="28"/>
      <w:lang w:val="en-US" w:eastAsia="zh-CN" w:bidi="ar-SA"/>
    </w:rPr>
  </w:style>
  <w:style w:type="paragraph" w:styleId="1054">
    <w:name w:val="二级目录"/>
    <w:next w:val="786"/>
    <w:link w:val="1053"/>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55">
    <w:name w:val="列出段落 Char"/>
    <w:next w:val="1055"/>
    <w:link w:val="1056"/>
    <w:qFormat/>
    <w:rPr>
      <w:rFonts w:ascii="Calibri" w:hAnsi="Calibri"/>
      <w:sz w:val="24"/>
      <w:szCs w:val="24"/>
      <w:lang w:eastAsia="en-US" w:bidi="en-US"/>
    </w:rPr>
  </w:style>
  <w:style w:type="paragraph" w:styleId="1056">
    <w:name w:val="列出段落1"/>
    <w:basedOn w:val="786"/>
    <w:next w:val="1056"/>
    <w:link w:val="1055"/>
    <w:qFormat/>
    <w:pPr>
      <w:contextualSpacing/>
      <w:ind w:left="720"/>
      <w:jc w:val="left"/>
      <w:widowControl/>
    </w:pPr>
    <w:rPr>
      <w:rFonts w:ascii="Calibri" w:hAnsi="Calibri"/>
      <w:sz w:val="24"/>
      <w:szCs w:val="24"/>
      <w:lang w:eastAsia="en-US" w:bidi="en-US"/>
    </w:rPr>
  </w:style>
  <w:style w:type="paragraph" w:styleId="1057">
    <w:name w:val="Body Text(ch)"/>
    <w:basedOn w:val="786"/>
    <w:next w:val="1000"/>
    <w:link w:val="786"/>
    <w:qFormat/>
    <w:pPr>
      <w:spacing w:after="120"/>
    </w:pPr>
    <w:rPr>
      <w:rFonts w:ascii="宋体" w:hAnsi="Arial"/>
      <w:bCs/>
      <w:iCs/>
      <w:szCs w:val="24"/>
    </w:rPr>
  </w:style>
  <w:style w:type="paragraph" w:styleId="1058">
    <w:name w:val="xl27"/>
    <w:basedOn w:val="786"/>
    <w:next w:val="1058"/>
    <w:link w:val="78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9">
    <w:name w:val="xl26"/>
    <w:basedOn w:val="786"/>
    <w:next w:val="1059"/>
    <w:link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0">
    <w:name w:val="Char"/>
    <w:basedOn w:val="786"/>
    <w:next w:val="1060"/>
    <w:link w:val="786"/>
    <w:qFormat/>
    <w:pPr>
      <w:ind w:firstLine="200"/>
      <w:tabs>
        <w:tab w:val="left" w:pos="360" w:leader="none"/>
      </w:tabs>
    </w:pPr>
    <w:rPr>
      <w:sz w:val="28"/>
      <w:szCs w:val="30"/>
    </w:rPr>
  </w:style>
  <w:style w:type="paragraph" w:styleId="1061">
    <w:name w:val=" Char"/>
    <w:basedOn w:val="994"/>
    <w:next w:val="1061"/>
    <w:link w:val="786"/>
    <w:qFormat/>
    <w:rPr>
      <w:rFonts w:ascii="Tahoma" w:hAnsi="Tahoma"/>
      <w:sz w:val="24"/>
      <w:szCs w:val="24"/>
    </w:rPr>
  </w:style>
  <w:style w:type="paragraph" w:styleId="1062">
    <w:name w:val="普通正文"/>
    <w:basedOn w:val="786"/>
    <w:next w:val="1062"/>
    <w:link w:val="786"/>
    <w:qFormat/>
    <w:pPr>
      <w:ind w:firstLine="480"/>
      <w:jc w:val="left"/>
      <w:spacing w:before="120" w:after="120" w:line="360" w:lineRule="auto"/>
    </w:pPr>
    <w:rPr>
      <w:rFonts w:ascii="Arial" w:hAnsi="Arial"/>
      <w:sz w:val="24"/>
      <w:szCs w:val="24"/>
    </w:rPr>
  </w:style>
  <w:style w:type="paragraph" w:styleId="1063">
    <w:name w:val="table_lines"/>
    <w:basedOn w:val="786"/>
    <w:next w:val="1063"/>
    <w:link w:val="786"/>
    <w:qFormat/>
    <w:pPr>
      <w:jc w:val="left"/>
      <w:widowControl/>
    </w:pPr>
    <w:rPr>
      <w:sz w:val="20"/>
      <w:szCs w:val="20"/>
      <w:lang w:val="de-DE" w:eastAsia="de-DE"/>
    </w:rPr>
  </w:style>
  <w:style w:type="paragraph" w:styleId="1064">
    <w:name w:val="附录1"/>
    <w:next w:val="1064"/>
    <w:link w:val="786"/>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65">
    <w:name w:val="font7"/>
    <w:basedOn w:val="786"/>
    <w:next w:val="1065"/>
    <w:link w:val="786"/>
    <w:qFormat/>
    <w:pPr>
      <w:jc w:val="left"/>
      <w:spacing w:before="100" w:beforeAutospacing="1" w:after="100" w:afterAutospacing="1"/>
      <w:widowControl/>
    </w:pPr>
    <w:rPr>
      <w:rFonts w:hint="eastAsia" w:ascii="宋体" w:hAnsi="宋体"/>
      <w:sz w:val="18"/>
      <w:szCs w:val="18"/>
    </w:rPr>
  </w:style>
  <w:style w:type="paragraph" w:styleId="1066">
    <w:name w:val=" Char Char Char Char"/>
    <w:basedOn w:val="994"/>
    <w:next w:val="1066"/>
    <w:link w:val="786"/>
    <w:qFormat/>
    <w:pPr>
      <w:spacing w:line="360" w:lineRule="auto"/>
    </w:pPr>
    <w:rPr>
      <w:rFonts w:ascii="Tahoma" w:hAnsi="Tahoma"/>
      <w:sz w:val="24"/>
      <w:szCs w:val="24"/>
    </w:rPr>
  </w:style>
  <w:style w:type="paragraph" w:styleId="1067">
    <w:name w:val="列出段落"/>
    <w:basedOn w:val="786"/>
    <w:next w:val="1067"/>
    <w:link w:val="786"/>
    <w:uiPriority w:val="99"/>
    <w:qFormat/>
    <w:pPr>
      <w:contextualSpacing/>
      <w:ind w:left="720"/>
      <w:jc w:val="left"/>
      <w:widowControl/>
    </w:pPr>
    <w:rPr>
      <w:rFonts w:ascii="Calibri" w:hAnsi="Calibri"/>
      <w:sz w:val="24"/>
      <w:szCs w:val="24"/>
      <w:lang w:eastAsia="en-US" w:bidi="en-US"/>
    </w:rPr>
  </w:style>
  <w:style w:type="paragraph" w:styleId="1068">
    <w:name w:val="4"/>
    <w:basedOn w:val="786"/>
    <w:next w:val="1027"/>
    <w:link w:val="786"/>
    <w:qFormat/>
    <w:pPr>
      <w:ind w:firstLine="420"/>
      <w:spacing w:line="360" w:lineRule="auto"/>
    </w:pPr>
    <w:rPr>
      <w:color w:val="ff0000"/>
      <w:sz w:val="24"/>
      <w:szCs w:val="24"/>
    </w:rPr>
  </w:style>
  <w:style w:type="paragraph" w:styleId="1069">
    <w:name w:val="普通 (Web)"/>
    <w:basedOn w:val="786"/>
    <w:next w:val="1069"/>
    <w:link w:val="786"/>
    <w:qFormat/>
    <w:pPr>
      <w:jc w:val="left"/>
      <w:spacing w:before="100" w:beforeAutospacing="1" w:after="100" w:afterAutospacing="1"/>
      <w:widowControl/>
    </w:pPr>
    <w:rPr>
      <w:rFonts w:ascii="宋体" w:hAnsi="宋体"/>
      <w:sz w:val="24"/>
      <w:szCs w:val="24"/>
    </w:rPr>
  </w:style>
  <w:style w:type="paragraph" w:styleId="1070">
    <w:name w:val=" Char Char Char Char Char Char Char Char Char Char"/>
    <w:basedOn w:val="786"/>
    <w:next w:val="1070"/>
    <w:link w:val="786"/>
    <w:qFormat/>
    <w:pPr>
      <w:spacing w:line="360" w:lineRule="auto"/>
    </w:pPr>
    <w:rPr>
      <w:sz w:val="24"/>
      <w:szCs w:val="20"/>
    </w:rPr>
  </w:style>
  <w:style w:type="paragraph" w:styleId="1071">
    <w:name w:val="样式1"/>
    <w:basedOn w:val="786"/>
    <w:next w:val="1071"/>
    <w:link w:val="786"/>
    <w:qFormat/>
    <w:pPr>
      <w:numPr>
        <w:ilvl w:val="0"/>
        <w:numId w:val="3"/>
      </w:numPr>
      <w:tabs>
        <w:tab w:val="left" w:pos="709" w:leader="none"/>
      </w:tabs>
    </w:pPr>
    <w:rPr>
      <w:rFonts w:ascii="宋体" w:hAnsi="宋体"/>
    </w:rPr>
  </w:style>
  <w:style w:type="paragraph" w:styleId="1072">
    <w:name w:val="font6"/>
    <w:basedOn w:val="786"/>
    <w:next w:val="1072"/>
    <w:link w:val="786"/>
    <w:qFormat/>
    <w:pPr>
      <w:jc w:val="left"/>
      <w:spacing w:before="100" w:beforeAutospacing="1" w:after="100" w:afterAutospacing="1"/>
      <w:widowControl/>
    </w:pPr>
    <w:rPr>
      <w:rFonts w:hint="eastAsia" w:ascii="宋体" w:hAnsi="宋体"/>
      <w:sz w:val="28"/>
      <w:szCs w:val="28"/>
      <w:u w:val="single"/>
    </w:rPr>
  </w:style>
  <w:style w:type="paragraph" w:styleId="1073">
    <w:name w:val="xl25"/>
    <w:basedOn w:val="786"/>
    <w:next w:val="1073"/>
    <w:link w:val="78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4">
    <w:name w:val="图标"/>
    <w:basedOn w:val="786"/>
    <w:next w:val="786"/>
    <w:link w:val="78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5">
    <w:name w:val="标题3"/>
    <w:basedOn w:val="786"/>
    <w:next w:val="786"/>
    <w:link w:val="786"/>
    <w:qFormat/>
    <w:pPr>
      <w:ind w:firstLine="624"/>
      <w:spacing w:line="590" w:lineRule="atLeast"/>
    </w:pPr>
    <w:rPr>
      <w:rFonts w:ascii="方正黑体_GBK" w:eastAsia="方正黑体_GBK"/>
      <w:sz w:val="32"/>
      <w:szCs w:val="32"/>
    </w:rPr>
  </w:style>
  <w:style w:type="paragraph" w:styleId="1076">
    <w:name w:val="xl24"/>
    <w:basedOn w:val="786"/>
    <w:next w:val="1076"/>
    <w:link w:val="78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7">
    <w:name w:val="xl29"/>
    <w:basedOn w:val="786"/>
    <w:next w:val="1077"/>
    <w:link w:val="78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8">
    <w:name w:val="Char Char Char Char Char Char Char Char"/>
    <w:basedOn w:val="786"/>
    <w:next w:val="1078"/>
    <w:link w:val="786"/>
    <w:qFormat/>
    <w:pPr>
      <w:jc w:val="left"/>
      <w:spacing w:after="160" w:line="240" w:lineRule="exact"/>
      <w:widowControl/>
    </w:pPr>
    <w:rPr>
      <w:rFonts w:ascii="Verdana" w:hAnsi="Verdana"/>
      <w:sz w:val="20"/>
      <w:szCs w:val="20"/>
      <w:lang w:eastAsia="en-US"/>
    </w:rPr>
  </w:style>
  <w:style w:type="paragraph" w:styleId="1079">
    <w:name w:val="xl28"/>
    <w:basedOn w:val="786"/>
    <w:next w:val="1079"/>
    <w:link w:val="78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0">
    <w:name w:val=" Char Char Char Char Char Char Char Char"/>
    <w:basedOn w:val="786"/>
    <w:next w:val="1080"/>
    <w:link w:val="786"/>
    <w:qFormat/>
    <w:pPr>
      <w:jc w:val="left"/>
      <w:spacing w:after="160" w:line="240" w:lineRule="exact"/>
      <w:widowControl/>
    </w:pPr>
    <w:rPr>
      <w:rFonts w:ascii="Verdana" w:hAnsi="Verdana"/>
      <w:sz w:val="20"/>
      <w:szCs w:val="20"/>
      <w:lang w:eastAsia="en-US"/>
    </w:rPr>
  </w:style>
  <w:style w:type="paragraph" w:styleId="1081">
    <w:name w:val="xl30"/>
    <w:basedOn w:val="786"/>
    <w:next w:val="1081"/>
    <w:link w:val="786"/>
    <w:qFormat/>
    <w:pPr>
      <w:jc w:val="center"/>
      <w:spacing w:before="100" w:beforeAutospacing="1" w:after="100" w:afterAutospacing="1"/>
      <w:widowControl/>
    </w:pPr>
    <w:rPr>
      <w:rFonts w:ascii="宋体" w:hAnsi="宋体"/>
      <w:b/>
      <w:bCs/>
      <w:sz w:val="36"/>
      <w:szCs w:val="36"/>
    </w:rPr>
  </w:style>
  <w:style w:type="paragraph" w:styleId="1082">
    <w:name w:val="Char Char Char Char"/>
    <w:basedOn w:val="994"/>
    <w:next w:val="1082"/>
    <w:link w:val="786"/>
    <w:qFormat/>
    <w:pPr>
      <w:spacing w:line="360" w:lineRule="auto"/>
    </w:pPr>
    <w:rPr>
      <w:rFonts w:ascii="Tahoma" w:hAnsi="Tahoma"/>
      <w:sz w:val="24"/>
      <w:szCs w:val="24"/>
    </w:rPr>
  </w:style>
  <w:style w:type="paragraph" w:styleId="1083">
    <w:name w:val="table_1stline"/>
    <w:basedOn w:val="786"/>
    <w:next w:val="1083"/>
    <w:link w:val="786"/>
    <w:qFormat/>
    <w:pPr>
      <w:jc w:val="left"/>
      <w:spacing w:before="120"/>
      <w:widowControl/>
    </w:pPr>
    <w:rPr>
      <w:bCs/>
      <w:sz w:val="20"/>
      <w:szCs w:val="20"/>
      <w:lang w:val="de-DE" w:eastAsia="de-DE"/>
    </w:rPr>
  </w:style>
  <w:style w:type="paragraph" w:styleId="1084">
    <w:name w:val="font5"/>
    <w:basedOn w:val="786"/>
    <w:next w:val="1084"/>
    <w:link w:val="786"/>
    <w:qFormat/>
    <w:pPr>
      <w:jc w:val="left"/>
      <w:spacing w:before="100" w:beforeAutospacing="1" w:after="100" w:afterAutospacing="1"/>
      <w:widowControl/>
    </w:pPr>
    <w:rPr>
      <w:rFonts w:hint="eastAsia" w:ascii="宋体" w:hAnsi="宋体"/>
      <w:sz w:val="28"/>
      <w:szCs w:val="28"/>
    </w:rPr>
  </w:style>
  <w:style w:type="paragraph" w:styleId="1085">
    <w:name w:val="标题1"/>
    <w:basedOn w:val="786"/>
    <w:next w:val="786"/>
    <w:link w:val="78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6">
    <w:name w:val="修订"/>
    <w:next w:val="1086"/>
    <w:link w:val="786"/>
    <w:uiPriority w:val="99"/>
    <w:semiHidden/>
    <w:qFormat/>
    <w:rPr>
      <w:rFonts w:ascii="Times New Roman" w:hAnsi="Times New Roman" w:eastAsia="宋体" w:cs="Times New Roman"/>
      <w:sz w:val="21"/>
      <w:szCs w:val="21"/>
      <w:lang w:val="en-US" w:eastAsia="zh-CN" w:bidi="ar-SA"/>
    </w:rPr>
  </w:style>
  <w:style w:type="paragraph" w:styleId="1087">
    <w:name w:val="无间隔"/>
    <w:next w:val="1087"/>
    <w:link w:val="786"/>
    <w:uiPriority w:val="99"/>
    <w:qFormat/>
    <w:pPr>
      <w:jc w:val="both"/>
      <w:widowControl w:val="off"/>
    </w:pPr>
    <w:rPr>
      <w:rFonts w:ascii="Times New Roman" w:hAnsi="Times New Roman" w:eastAsia="宋体" w:cs="Times New Roman"/>
      <w:sz w:val="21"/>
      <w:szCs w:val="21"/>
      <w:lang w:val="en-US" w:eastAsia="zh-CN" w:bidi="ar-SA"/>
    </w:rPr>
  </w:style>
  <w:style w:type="paragraph" w:styleId="1088">
    <w:name w:val="普通文字"/>
    <w:basedOn w:val="786"/>
    <w:next w:val="786"/>
    <w:link w:val="786"/>
    <w:uiPriority w:val="99"/>
    <w:qFormat/>
    <w:rPr>
      <w:rFonts w:ascii="宋体" w:hAnsi="Times New Roman" w:eastAsia="宋体" w:cs="Times New Roman"/>
      <w:sz w:val="24"/>
      <w:szCs w:val="20"/>
      <w:u w:val="none"/>
    </w:rPr>
  </w:style>
  <w:style w:type="paragraph" w:styleId="1089">
    <w:name w:val="目录 111"/>
    <w:basedOn w:val="786"/>
    <w:next w:val="786"/>
    <w:link w:val="786"/>
    <w:uiPriority w:val="39"/>
    <w:unhideWhenUsed/>
    <w:qFormat/>
    <w:pPr>
      <w:jc w:val="left"/>
      <w:spacing w:after="100" w:line="259" w:lineRule="auto"/>
      <w:widowControl/>
    </w:pPr>
    <w:rPr>
      <w:rFonts w:ascii="Calibri" w:hAnsi="Calibri" w:eastAsia="宋体"/>
      <w:sz w:val="22"/>
      <w:szCs w:val="22"/>
    </w:rPr>
  </w:style>
  <w:style w:type="character" w:styleId="1090">
    <w:name w:val="font11"/>
    <w:next w:val="1090"/>
    <w:link w:val="786"/>
    <w:qFormat/>
    <w:rPr>
      <w:rFonts w:hint="eastAsia" w:ascii="宋体" w:hAnsi="宋体" w:eastAsia="宋体" w:cs="宋体"/>
      <w:color w:val="000000"/>
      <w:sz w:val="20"/>
      <w:szCs w:val="20"/>
      <w:u w:val="none"/>
    </w:rPr>
  </w:style>
  <w:style w:type="paragraph" w:styleId="1091">
    <w:name w:val="msonormal"/>
    <w:basedOn w:val="786"/>
    <w:next w:val="1091"/>
    <w:link w:val="786"/>
    <w:qFormat/>
    <w:pPr>
      <w:jc w:val="left"/>
      <w:spacing w:before="100" w:beforeAutospacing="1" w:after="100" w:afterAutospacing="1"/>
      <w:widowControl/>
    </w:pPr>
    <w:rPr>
      <w:rFonts w:ascii="宋体" w:hAnsi="宋体" w:cs="宋体"/>
      <w:sz w:val="24"/>
      <w:szCs w:val="24"/>
    </w:rPr>
  </w:style>
  <w:style w:type="paragraph" w:styleId="1092">
    <w:name w:val="xl66"/>
    <w:basedOn w:val="786"/>
    <w:next w:val="1092"/>
    <w:link w:val="786"/>
    <w:qFormat/>
    <w:pPr>
      <w:jc w:val="left"/>
      <w:spacing w:before="100" w:beforeAutospacing="1" w:after="100" w:afterAutospacing="1"/>
      <w:widowControl/>
    </w:pPr>
    <w:rPr>
      <w:rFonts w:ascii="宋体" w:hAnsi="宋体" w:cs="宋体"/>
      <w:sz w:val="22"/>
      <w:szCs w:val="22"/>
    </w:rPr>
  </w:style>
  <w:style w:type="paragraph" w:styleId="1093">
    <w:name w:val="xl67"/>
    <w:basedOn w:val="786"/>
    <w:next w:val="1093"/>
    <w:link w:val="786"/>
    <w:qFormat/>
    <w:pPr>
      <w:jc w:val="left"/>
      <w:spacing w:before="100" w:beforeAutospacing="1" w:after="100" w:afterAutospacing="1"/>
      <w:widowControl/>
    </w:pPr>
    <w:rPr>
      <w:rFonts w:ascii="宋体" w:hAnsi="宋体" w:cs="宋体"/>
      <w:color w:val="000000"/>
      <w:sz w:val="22"/>
      <w:szCs w:val="22"/>
    </w:rPr>
  </w:style>
  <w:style w:type="paragraph" w:styleId="1094">
    <w:name w:val="xl68"/>
    <w:basedOn w:val="786"/>
    <w:next w:val="1094"/>
    <w:link w:val="786"/>
    <w:qFormat/>
    <w:pPr>
      <w:jc w:val="center"/>
      <w:spacing w:before="100" w:beforeAutospacing="1" w:after="100" w:afterAutospacing="1"/>
      <w:widowControl/>
    </w:pPr>
    <w:rPr>
      <w:rFonts w:ascii="宋体" w:hAnsi="宋体" w:cs="宋体"/>
      <w:sz w:val="22"/>
      <w:szCs w:val="22"/>
    </w:rPr>
  </w:style>
  <w:style w:type="paragraph" w:styleId="1095">
    <w:name w:val="xl69"/>
    <w:basedOn w:val="786"/>
    <w:next w:val="1095"/>
    <w:link w:val="786"/>
    <w:qFormat/>
    <w:pPr>
      <w:jc w:val="center"/>
      <w:spacing w:before="100" w:beforeAutospacing="1" w:after="100" w:afterAutospacing="1"/>
      <w:widowControl/>
    </w:pPr>
    <w:rPr>
      <w:rFonts w:ascii="宋体" w:hAnsi="宋体" w:cs="宋体"/>
      <w:sz w:val="18"/>
      <w:szCs w:val="18"/>
    </w:rPr>
  </w:style>
  <w:style w:type="paragraph" w:styleId="1096">
    <w:name w:val="xl70"/>
    <w:basedOn w:val="786"/>
    <w:next w:val="1096"/>
    <w:link w:val="786"/>
    <w:qFormat/>
    <w:pPr>
      <w:jc w:val="center"/>
      <w:spacing w:before="100" w:beforeAutospacing="1" w:after="100" w:afterAutospacing="1"/>
      <w:widowControl/>
    </w:pPr>
    <w:rPr>
      <w:rFonts w:ascii="宋体" w:hAnsi="宋体" w:cs="宋体"/>
      <w:color w:val="000000"/>
      <w:sz w:val="22"/>
      <w:szCs w:val="22"/>
    </w:rPr>
  </w:style>
  <w:style w:type="paragraph" w:styleId="1097">
    <w:name w:val="xl71"/>
    <w:basedOn w:val="786"/>
    <w:next w:val="1097"/>
    <w:link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2"/>
      <w:szCs w:val="22"/>
    </w:rPr>
  </w:style>
  <w:style w:type="paragraph" w:styleId="1098">
    <w:name w:val="xl72"/>
    <w:basedOn w:val="786"/>
    <w:next w:val="1098"/>
    <w:link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99">
    <w:name w:val="xl73"/>
    <w:basedOn w:val="786"/>
    <w:next w:val="1099"/>
    <w:link w:val="786"/>
    <w:qFormat/>
    <w:pPr>
      <w:jc w:val="center"/>
      <w:spacing w:before="100" w:beforeAutospacing="1" w:after="100" w:afterAutospacing="1"/>
      <w:shd w:val="clear" w:color="000000" w:fill="a9d08e"/>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00">
    <w:name w:val="xl74"/>
    <w:basedOn w:val="786"/>
    <w:next w:val="1100"/>
    <w:link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01">
    <w:name w:val="xl75"/>
    <w:basedOn w:val="786"/>
    <w:next w:val="1101"/>
    <w:link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02">
    <w:name w:val="xl76"/>
    <w:basedOn w:val="786"/>
    <w:next w:val="1102"/>
    <w:link w:val="786"/>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03">
    <w:name w:val="xl77"/>
    <w:basedOn w:val="786"/>
    <w:next w:val="1103"/>
    <w:link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4">
    <w:name w:val="xl78"/>
    <w:basedOn w:val="786"/>
    <w:next w:val="1104"/>
    <w:link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5">
    <w:name w:val="xl79"/>
    <w:basedOn w:val="786"/>
    <w:next w:val="1105"/>
    <w:link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6">
    <w:name w:val="xl80"/>
    <w:basedOn w:val="786"/>
    <w:next w:val="1106"/>
    <w:link w:val="78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107">
    <w:name w:val="xl81"/>
    <w:basedOn w:val="786"/>
    <w:next w:val="1107"/>
    <w:link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08">
    <w:name w:val="xl82"/>
    <w:basedOn w:val="786"/>
    <w:next w:val="1108"/>
    <w:link w:val="786"/>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9">
    <w:name w:val="xl83"/>
    <w:basedOn w:val="786"/>
    <w:next w:val="1109"/>
    <w:link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0">
    <w:name w:val="xl84"/>
    <w:basedOn w:val="786"/>
    <w:next w:val="1110"/>
    <w:link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11">
    <w:name w:val="xl85"/>
    <w:basedOn w:val="786"/>
    <w:next w:val="1111"/>
    <w:link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12">
    <w:name w:val="xl86"/>
    <w:basedOn w:val="786"/>
    <w:next w:val="1112"/>
    <w:link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13">
    <w:name w:val="xl87"/>
    <w:basedOn w:val="786"/>
    <w:next w:val="1113"/>
    <w:link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14">
    <w:name w:val="xl88"/>
    <w:basedOn w:val="786"/>
    <w:next w:val="1114"/>
    <w:link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5">
    <w:name w:val="xl89"/>
    <w:basedOn w:val="786"/>
    <w:next w:val="1115"/>
    <w:link w:val="786"/>
    <w:qFormat/>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116">
    <w:name w:val="xl90"/>
    <w:basedOn w:val="786"/>
    <w:next w:val="1116"/>
    <w:link w:val="78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17">
    <w:name w:val="xl91"/>
    <w:basedOn w:val="786"/>
    <w:next w:val="1117"/>
    <w:link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8">
    <w:name w:val="xl92"/>
    <w:basedOn w:val="786"/>
    <w:next w:val="1118"/>
    <w:link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9">
    <w:name w:val="xl93"/>
    <w:basedOn w:val="786"/>
    <w:next w:val="1119"/>
    <w:link w:val="786"/>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20">
    <w:name w:val="xl94"/>
    <w:basedOn w:val="786"/>
    <w:next w:val="1120"/>
    <w:link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21">
    <w:name w:val="xl95"/>
    <w:basedOn w:val="786"/>
    <w:next w:val="1121"/>
    <w:link w:val="78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22">
    <w:name w:val="xl96"/>
    <w:basedOn w:val="786"/>
    <w:next w:val="1122"/>
    <w:link w:val="78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123">
    <w:name w:val="xl97"/>
    <w:basedOn w:val="786"/>
    <w:next w:val="1123"/>
    <w:link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4">
    <w:name w:val="xl98"/>
    <w:basedOn w:val="786"/>
    <w:next w:val="1124"/>
    <w:link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5">
    <w:name w:val="xl99"/>
    <w:basedOn w:val="786"/>
    <w:next w:val="1125"/>
    <w:link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6">
    <w:name w:val="xl100"/>
    <w:basedOn w:val="786"/>
    <w:next w:val="1126"/>
    <w:link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7">
    <w:name w:val="xl101"/>
    <w:basedOn w:val="786"/>
    <w:next w:val="1127"/>
    <w:link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8">
    <w:name w:val="xl102"/>
    <w:basedOn w:val="786"/>
    <w:next w:val="1128"/>
    <w:link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9">
    <w:name w:val="xl103"/>
    <w:basedOn w:val="786"/>
    <w:next w:val="1129"/>
    <w:link w:val="78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30">
    <w:name w:val="xl104"/>
    <w:basedOn w:val="786"/>
    <w:next w:val="1130"/>
    <w:link w:val="786"/>
    <w:qFormat/>
    <w:pPr>
      <w:jc w:val="center"/>
      <w:spacing w:before="100" w:beforeAutospacing="1" w:after="100" w:afterAutospacing="1"/>
      <w:widowControl/>
      <w:pBdr>
        <w:top w:val="single" w:color="000000" w:sz="4" w:space="0"/>
      </w:pBdr>
    </w:pPr>
    <w:rPr>
      <w:rFonts w:ascii="宋体" w:hAnsi="宋体" w:cs="宋体"/>
      <w:sz w:val="18"/>
      <w:szCs w:val="18"/>
    </w:rPr>
  </w:style>
  <w:style w:type="paragraph" w:styleId="1131">
    <w:name w:val="xl105"/>
    <w:basedOn w:val="786"/>
    <w:next w:val="1131"/>
    <w:link w:val="786"/>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32">
    <w:name w:val="xl106"/>
    <w:basedOn w:val="786"/>
    <w:next w:val="1132"/>
    <w:link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33">
    <w:name w:val="xl107"/>
    <w:basedOn w:val="786"/>
    <w:next w:val="1133"/>
    <w:link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2"/>
      <w:szCs w:val="22"/>
    </w:rPr>
  </w:style>
  <w:style w:type="paragraph" w:styleId="1134">
    <w:name w:val="xl108"/>
    <w:basedOn w:val="786"/>
    <w:next w:val="1134"/>
    <w:link w:val="786"/>
    <w:qFormat/>
    <w:pPr>
      <w:jc w:val="left"/>
      <w:spacing w:before="100" w:beforeAutospacing="1" w:after="100" w:afterAutospacing="1"/>
      <w:shd w:val="clear" w:color="000000" w:fill="a9d08e"/>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35">
    <w:name w:val="xl109"/>
    <w:basedOn w:val="786"/>
    <w:next w:val="1135"/>
    <w:link w:val="786"/>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36">
    <w:name w:val="xl110"/>
    <w:basedOn w:val="786"/>
    <w:next w:val="1136"/>
    <w:link w:val="786"/>
    <w:qFormat/>
    <w:pPr>
      <w:jc w:val="left"/>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137">
    <w:name w:val="xl111"/>
    <w:basedOn w:val="786"/>
    <w:next w:val="1137"/>
    <w:link w:val="786"/>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8">
    <w:name w:val="xl112"/>
    <w:basedOn w:val="786"/>
    <w:next w:val="1138"/>
    <w:link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9">
    <w:name w:val="xl113"/>
    <w:basedOn w:val="786"/>
    <w:next w:val="1139"/>
    <w:link w:val="78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40">
    <w:name w:val="xl114"/>
    <w:basedOn w:val="786"/>
    <w:next w:val="1140"/>
    <w:link w:val="786"/>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41">
    <w:name w:val="xl115"/>
    <w:basedOn w:val="786"/>
    <w:next w:val="1141"/>
    <w:link w:val="786"/>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42">
    <w:name w:val="xl116"/>
    <w:basedOn w:val="786"/>
    <w:next w:val="1142"/>
    <w:link w:val="786"/>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43">
    <w:name w:val="xl117"/>
    <w:basedOn w:val="786"/>
    <w:next w:val="1143"/>
    <w:link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44">
    <w:name w:val="xl118"/>
    <w:basedOn w:val="786"/>
    <w:next w:val="1144"/>
    <w:link w:val="786"/>
    <w:qFormat/>
    <w:pPr>
      <w:jc w:val="left"/>
      <w:spacing w:before="100" w:beforeAutospacing="1" w:after="100" w:afterAutospacing="1"/>
      <w:widowControl/>
    </w:pPr>
    <w:rPr>
      <w:rFonts w:ascii="宋体" w:hAnsi="宋体" w:cs="宋体"/>
      <w:sz w:val="24"/>
      <w:szCs w:val="24"/>
    </w:rPr>
  </w:style>
  <w:style w:type="paragraph" w:styleId="1145">
    <w:name w:val="xl119"/>
    <w:basedOn w:val="786"/>
    <w:next w:val="1145"/>
    <w:link w:val="786"/>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46">
    <w:name w:val="xl120"/>
    <w:basedOn w:val="786"/>
    <w:next w:val="1146"/>
    <w:link w:val="786"/>
    <w:qFormat/>
    <w:pPr>
      <w:jc w:val="center"/>
      <w:spacing w:before="100" w:beforeAutospacing="1" w:after="100" w:afterAutospacing="1"/>
      <w:shd w:val="clear" w:color="000000" w:fill="ef949f"/>
      <w:widowControl/>
      <w:pBdr>
        <w:top w:val="single" w:color="000000" w:sz="4" w:space="0"/>
        <w:bottom w:val="single" w:color="000000" w:sz="4" w:space="0"/>
      </w:pBdr>
    </w:pPr>
    <w:rPr>
      <w:rFonts w:ascii="宋体" w:hAnsi="宋体" w:cs="宋体"/>
      <w:b/>
      <w:bCs/>
      <w:sz w:val="24"/>
      <w:szCs w:val="24"/>
    </w:rPr>
  </w:style>
  <w:style w:type="paragraph" w:styleId="1147">
    <w:name w:val="xl121"/>
    <w:basedOn w:val="786"/>
    <w:next w:val="1147"/>
    <w:link w:val="786"/>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148">
    <w:name w:val="xl122"/>
    <w:basedOn w:val="786"/>
    <w:next w:val="1148"/>
    <w:link w:val="786"/>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49">
    <w:name w:val="xl123"/>
    <w:basedOn w:val="786"/>
    <w:next w:val="1149"/>
    <w:link w:val="78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50">
    <w:name w:val="xl124"/>
    <w:basedOn w:val="786"/>
    <w:next w:val="1150"/>
    <w:link w:val="78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151">
    <w:name w:val="xl125"/>
    <w:basedOn w:val="786"/>
    <w:next w:val="1151"/>
    <w:link w:val="78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18"/>
      <w:szCs w:val="18"/>
    </w:rPr>
  </w:style>
  <w:style w:type="paragraph" w:styleId="1152">
    <w:name w:val="xl126"/>
    <w:basedOn w:val="786"/>
    <w:next w:val="1152"/>
    <w:link w:val="78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18"/>
      <w:szCs w:val="18"/>
    </w:rPr>
  </w:style>
  <w:style w:type="paragraph" w:styleId="1153">
    <w:name w:val="xl127"/>
    <w:basedOn w:val="786"/>
    <w:next w:val="1153"/>
    <w:link w:val="78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54">
    <w:name w:val="xl128"/>
    <w:basedOn w:val="786"/>
    <w:next w:val="1154"/>
    <w:link w:val="78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55">
    <w:name w:val="xl129"/>
    <w:basedOn w:val="786"/>
    <w:next w:val="1155"/>
    <w:link w:val="786"/>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156">
    <w:name w:val="xl130"/>
    <w:basedOn w:val="786"/>
    <w:next w:val="1156"/>
    <w:link w:val="786"/>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157">
    <w:name w:val="xl131"/>
    <w:basedOn w:val="786"/>
    <w:next w:val="1157"/>
    <w:link w:val="786"/>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2"/>
      <w:szCs w:val="22"/>
    </w:rPr>
  </w:style>
  <w:style w:type="paragraph" w:styleId="1158">
    <w:name w:val="xl132"/>
    <w:basedOn w:val="786"/>
    <w:next w:val="1158"/>
    <w:link w:val="786"/>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159">
    <w:name w:val="xl133"/>
    <w:basedOn w:val="786"/>
    <w:next w:val="1159"/>
    <w:link w:val="786"/>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2"/>
      <w:szCs w:val="22"/>
    </w:rPr>
  </w:style>
  <w:style w:type="paragraph" w:styleId="1160">
    <w:name w:val="xl134"/>
    <w:basedOn w:val="786"/>
    <w:next w:val="1160"/>
    <w:link w:val="786"/>
    <w:qFormat/>
    <w:pPr>
      <w:jc w:val="center"/>
      <w:spacing w:before="100" w:beforeAutospacing="1" w:after="100" w:afterAutospacing="1"/>
      <w:shd w:val="clear" w:color="000000" w:fill="ef949f"/>
      <w:widowControl/>
      <w:pBdr>
        <w:top w:val="single" w:color="000000" w:sz="4" w:space="0"/>
        <w:bottom w:val="single" w:color="000000" w:sz="4" w:space="0"/>
      </w:pBdr>
    </w:pPr>
    <w:rPr>
      <w:rFonts w:ascii="宋体" w:hAnsi="宋体" w:cs="宋体"/>
      <w:b/>
      <w:bCs/>
      <w:sz w:val="22"/>
      <w:szCs w:val="22"/>
    </w:rPr>
  </w:style>
  <w:style w:type="paragraph" w:styleId="1161">
    <w:name w:val="xl135"/>
    <w:basedOn w:val="786"/>
    <w:next w:val="1161"/>
    <w:link w:val="786"/>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162">
    <w:name w:val="xl136"/>
    <w:basedOn w:val="786"/>
    <w:next w:val="1162"/>
    <w:link w:val="786"/>
    <w:qFormat/>
    <w:pPr>
      <w:jc w:val="center"/>
      <w:spacing w:before="100" w:beforeAutospacing="1" w:after="100" w:afterAutospacing="1"/>
      <w:shd w:val="clear" w:color="000000" w:fill="a9d08e"/>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63">
    <w:name w:val="xl137"/>
    <w:basedOn w:val="786"/>
    <w:next w:val="1163"/>
    <w:link w:val="786"/>
    <w:qFormat/>
    <w:pPr>
      <w:jc w:val="center"/>
      <w:spacing w:before="100" w:beforeAutospacing="1" w:after="100" w:afterAutospacing="1"/>
      <w:shd w:val="clear" w:color="000000" w:fill="a9d08e"/>
      <w:widowControl/>
      <w:pBdr>
        <w:top w:val="single" w:color="000000" w:sz="4" w:space="0"/>
        <w:bottom w:val="single" w:color="000000" w:sz="4" w:space="0"/>
        <w:right w:val="single" w:color="000000" w:sz="4" w:space="0"/>
      </w:pBdr>
    </w:pPr>
    <w:rPr>
      <w:rFonts w:ascii="宋体" w:hAnsi="宋体" w:cs="宋体"/>
      <w:b/>
      <w:bCs/>
      <w:sz w:val="24"/>
      <w:szCs w:val="24"/>
    </w:rPr>
  </w:style>
  <w:style w:type="character" w:styleId="1164">
    <w:name w:val="font101"/>
    <w:next w:val="1164"/>
    <w:link w:val="786"/>
    <w:qFormat/>
    <w:rPr>
      <w:rFonts w:ascii="Times New Roman" w:hAnsi="Times New Roman" w:cs="Times New Roman"/>
      <w:color w:val="000000"/>
      <w:sz w:val="22"/>
      <w:szCs w:val="22"/>
      <w:u w:val="none"/>
    </w:rPr>
  </w:style>
  <w:style w:type="character" w:styleId="1165">
    <w:name w:val="font71"/>
    <w:next w:val="1165"/>
    <w:link w:val="786"/>
    <w:qFormat/>
    <w:rPr>
      <w:rFonts w:hint="eastAsia" w:ascii="宋体" w:hAnsi="宋体" w:eastAsia="宋体" w:cs="宋体"/>
      <w:color w:val="000000"/>
      <w:sz w:val="20"/>
      <w:szCs w:val="20"/>
      <w:u w:val="none"/>
    </w:rPr>
  </w:style>
  <w:style w:type="character" w:styleId="1166">
    <w:name w:val="font31"/>
    <w:next w:val="1166"/>
    <w:link w:val="786"/>
    <w:qFormat/>
    <w:rPr>
      <w:rFonts w:hint="eastAsia" w:ascii="宋体" w:hAnsi="宋体" w:eastAsia="宋体" w:cs="宋体"/>
      <w:b/>
      <w:bCs/>
      <w:color w:val="000000"/>
      <w:sz w:val="22"/>
      <w:szCs w:val="22"/>
      <w:u w:val="none"/>
    </w:rPr>
  </w:style>
  <w:style w:type="character" w:styleId="1167">
    <w:name w:val="font01"/>
    <w:next w:val="1167"/>
    <w:link w:val="786"/>
    <w:qFormat/>
    <w:rPr>
      <w:rFonts w:hint="eastAsia" w:ascii="宋体" w:hAnsi="宋体" w:eastAsia="宋体" w:cs="宋体"/>
      <w:color w:val="000000"/>
      <w:sz w:val="24"/>
      <w:szCs w:val="24"/>
      <w:u w:val="none"/>
    </w:rPr>
  </w:style>
  <w:style w:type="paragraph" w:styleId="1168">
    <w:name w:val="正文文本首行缩进 21"/>
    <w:basedOn w:val="1002"/>
    <w:next w:val="1168"/>
    <w:link w:val="786"/>
    <w:qFormat/>
    <w:pPr>
      <w:ind w:left="420" w:firstLine="420"/>
      <w:spacing w:after="120"/>
    </w:pPr>
    <w:rPr>
      <w:rFonts w:ascii="Calibri" w:hAnsi="Calibri" w:eastAsia="宋体" w:cs="Times New Roman"/>
      <w:sz w:val="21"/>
      <w:szCs w:val="24"/>
      <w:lang w:val="en-US" w:eastAsia="zh-CN"/>
    </w:rPr>
  </w:style>
  <w:style w:type="paragraph" w:styleId="1169">
    <w:name w:val="段"/>
    <w:next w:val="786"/>
    <w:link w:val="786"/>
    <w:qFormat/>
    <w:pPr>
      <w:ind w:firstLine="200"/>
      <w:jc w:val="both"/>
    </w:pPr>
    <w:rPr>
      <w:rFonts w:ascii="宋体" w:hAnsi="Times New Roman" w:eastAsia="宋体" w:cs="Times New Roman"/>
      <w:sz w:val="21"/>
      <w:lang w:val="en-US" w:eastAsia="zh-CN" w:bidi="ar-SA"/>
    </w:rPr>
  </w:style>
  <w:style w:type="paragraph" w:styleId="1170">
    <w:name w:val="页眉1"/>
    <w:basedOn w:val="786"/>
    <w:next w:val="1170"/>
    <w:link w:val="786"/>
    <w:uiPriority w:val="99"/>
    <w:qFormat/>
    <w:pPr>
      <w:jc w:val="center"/>
      <w:tabs>
        <w:tab w:val="center" w:pos="4153" w:leader="none"/>
        <w:tab w:val="right" w:pos="8306" w:leader="none"/>
      </w:tabs>
      <w:pBdr>
        <w:bottom w:val="single" w:color="000000" w:sz="6" w:space="1"/>
      </w:pBdr>
    </w:pPr>
    <w:rPr>
      <w:sz w:val="18"/>
      <w:szCs w:val="18"/>
    </w:rPr>
  </w:style>
  <w:style w:type="paragraph" w:styleId="1171">
    <w:name w:val="页脚1"/>
    <w:basedOn w:val="786"/>
    <w:next w:val="1172"/>
    <w:link w:val="786"/>
    <w:qFormat/>
    <w:pPr>
      <w:jc w:val="left"/>
      <w:tabs>
        <w:tab w:val="center" w:pos="4153" w:leader="none"/>
        <w:tab w:val="right" w:pos="8306" w:leader="none"/>
      </w:tabs>
    </w:pPr>
    <w:rPr>
      <w:sz w:val="18"/>
      <w:szCs w:val="18"/>
    </w:rPr>
  </w:style>
  <w:style w:type="paragraph" w:styleId="1172">
    <w:name w:val="Intense Quote"/>
    <w:basedOn w:val="786"/>
    <w:next w:val="786"/>
    <w:link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73">
    <w:name w:val="font121"/>
    <w:basedOn w:val="990"/>
    <w:next w:val="1173"/>
    <w:link w:val="786"/>
    <w:qFormat/>
    <w:rPr>
      <w:rFonts w:hint="eastAsia" w:ascii="宋体" w:hAnsi="宋体" w:eastAsia="宋体" w:cs="宋体"/>
      <w:color w:val="000000"/>
      <w:sz w:val="18"/>
      <w:szCs w:val="18"/>
      <w:u w:val="none"/>
    </w:rPr>
  </w:style>
  <w:style w:type="character" w:styleId="1174">
    <w:name w:val="font61"/>
    <w:basedOn w:val="990"/>
    <w:next w:val="1174"/>
    <w:link w:val="786"/>
    <w:qFormat/>
    <w:rPr>
      <w:rFonts w:hint="eastAsia" w:ascii="宋体" w:hAnsi="宋体" w:eastAsia="宋体" w:cs="宋体"/>
      <w:b/>
      <w:bCs/>
      <w:color w:val="000000"/>
      <w:sz w:val="22"/>
      <w:szCs w:val="22"/>
      <w:u w:val="none"/>
    </w:rPr>
  </w:style>
  <w:style w:type="paragraph" w:styleId="1175">
    <w:name w:val="首行缩进"/>
    <w:next w:val="1175"/>
    <w:link w:val="786"/>
    <w:qFormat/>
    <w:pPr>
      <w:ind w:firstLine="480"/>
      <w:jc w:val="both"/>
      <w:widowControl w:val="off"/>
    </w:pPr>
    <w:rPr>
      <w:rFonts w:ascii="Times New Roman" w:hAnsi="Times New Roman" w:eastAsia="宋体" w:cs="Times New Roman"/>
      <w:sz w:val="21"/>
      <w:lang w:val="zh-CN" w:eastAsia="zh-CN" w:bidi="ar-SA"/>
    </w:rPr>
  </w:style>
  <w:style w:type="paragraph" w:styleId="1176">
    <w:name w:val="WPSOffice手动目录 1"/>
    <w:next w:val="1176"/>
    <w:link w:val="786"/>
    <w:qFormat/>
    <w:rPr>
      <w:rFonts w:ascii="Times New Roman" w:hAnsi="Times New Roman" w:eastAsia="宋体" w:cs="Times New Roman"/>
      <w:sz w:val="20"/>
      <w:szCs w:val="20"/>
    </w:rPr>
  </w:style>
  <w:style w:type="paragraph" w:styleId="1177">
    <w:name w:val="_Style 1"/>
    <w:basedOn w:val="786"/>
    <w:next w:val="1177"/>
    <w:link w:val="786"/>
    <w:uiPriority w:val="99"/>
    <w:qFormat/>
    <w:pPr>
      <w:ind w:firstLine="420"/>
    </w:pPr>
    <w:rPr>
      <w:rFonts w:ascii="Calibri" w:hAnsi="Calibri"/>
      <w:szCs w:val="22"/>
    </w:rPr>
  </w:style>
  <w:style w:type="paragraph" w:styleId="1178">
    <w:name w:val="标题 41"/>
    <w:basedOn w:val="786"/>
    <w:next w:val="1179"/>
    <w:link w:val="786"/>
    <w:qFormat/>
    <w:pPr>
      <w:keepLines/>
      <w:keepNext/>
      <w:spacing w:before="280" w:after="290" w:line="376" w:lineRule="auto"/>
      <w:outlineLvl w:val="3"/>
    </w:pPr>
    <w:rPr>
      <w:rFonts w:ascii="Arial" w:hAnsi="Arial" w:eastAsia="黑体"/>
      <w:b/>
      <w:bCs/>
      <w:sz w:val="28"/>
      <w:szCs w:val="28"/>
    </w:rPr>
  </w:style>
  <w:style w:type="paragraph" w:styleId="1179">
    <w:name w:val="正文缩进1"/>
    <w:basedOn w:val="786"/>
    <w:next w:val="1179"/>
    <w:link w:val="786"/>
    <w:qFormat/>
    <w:pPr>
      <w:ind w:firstLine="420"/>
    </w:pPr>
    <w:rPr>
      <w:sz w:val="20"/>
    </w:rPr>
  </w:style>
  <w:style w:type="character" w:styleId="1180">
    <w:name w:val="font201"/>
    <w:basedOn w:val="796"/>
    <w:next w:val="1180"/>
    <w:link w:val="786"/>
    <w:qFormat/>
    <w:rPr>
      <w:rFonts w:ascii="Arial Narrow" w:hAnsi="Arial Narrow" w:eastAsia="Arial Narrow" w:cs="Arial Narrow"/>
      <w:color w:val="000000"/>
      <w:sz w:val="20"/>
      <w:szCs w:val="20"/>
      <w:u w:val="none"/>
    </w:rPr>
  </w:style>
  <w:style w:type="character" w:styleId="1181">
    <w:name w:val="font212"/>
    <w:basedOn w:val="796"/>
    <w:next w:val="1181"/>
    <w:link w:val="786"/>
    <w:qFormat/>
    <w:rPr>
      <w:rFonts w:hint="eastAsia" w:ascii="宋体" w:hAnsi="宋体" w:eastAsia="宋体" w:cs="宋体"/>
      <w:color w:val="000000"/>
      <w:sz w:val="20"/>
      <w:szCs w:val="20"/>
      <w:u w:val="none"/>
      <w:vertAlign w:val="superscript"/>
    </w:rPr>
  </w:style>
  <w:style w:type="character" w:styleId="1182">
    <w:name w:val="15"/>
    <w:basedOn w:val="796"/>
    <w:next w:val="1182"/>
    <w:link w:val="786"/>
    <w:rPr>
      <w:rFonts w:ascii="Times New Roman" w:hAnsi="Times New Roman" w:cs="Times New Roman"/>
    </w:rPr>
  </w:style>
  <w:style w:type="character" w:styleId="1183" w:default="1">
    <w:name w:val="Default Paragraph Font"/>
    <w:uiPriority w:val="1"/>
    <w:semiHidden/>
    <w:unhideWhenUsed/>
  </w:style>
  <w:style w:type="numbering" w:styleId="1184" w:default="1">
    <w:name w:val="No List"/>
    <w:uiPriority w:val="99"/>
    <w:semiHidden/>
    <w:unhideWhenUsed/>
  </w:style>
  <w:style w:type="table" w:styleId="11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潘琳芳</cp:lastModifiedBy>
  <cp:revision>2</cp:revision>
  <dcterms:created xsi:type="dcterms:W3CDTF">2024-05-19T13:55:00Z</dcterms:created>
  <dcterms:modified xsi:type="dcterms:W3CDTF">2026-04-27T07:23:38Z</dcterms:modified>
</cp:coreProperties>
</file>