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t xml:space="preserve">启东市第二人民医院异地新建项目护理设备（床单元消毒器、加热毯、医用冰箱等）采购项目（一标包）（</w:t>
      </w:r>
      <w:r>
        <w:rPr>
          <w:rFonts w:hint="eastAsia" w:ascii="宋体" w:hAnsi="宋体" w:eastAsia="宋体" w:cs="宋体"/>
          <w:bCs/>
          <w:color w:val="000000"/>
          <w:spacing w:val="20"/>
          <w:sz w:val="44"/>
          <w:highlight w:val="none"/>
          <w:lang w:val="en-US" w:eastAsia="zh-CN"/>
        </w:rPr>
        <w:t xml:space="preserve">三</w:t>
      </w:r>
      <w:r>
        <w:rPr>
          <w:rFonts w:hint="eastAsia" w:ascii="宋体" w:hAnsi="宋体" w:eastAsia="宋体" w:cs="宋体"/>
          <w:bCs/>
          <w:color w:val="000000"/>
          <w:spacing w:val="20"/>
          <w:sz w:val="44"/>
          <w:highlight w:val="none"/>
          <w:lang w:val="en-US" w:eastAsia="zh-CN"/>
        </w:rPr>
        <w:t xml:space="preserve">次）</w:t>
      </w:r>
      <w:r>
        <w:rPr>
          <w:rFonts w:hint="eastAsia" w:ascii="宋体" w:hAnsi="宋体" w:eastAsia="宋体" w:cs="宋体"/>
          <w:bCs/>
          <w:color w:val="000000"/>
          <w:spacing w:val="20"/>
          <w:sz w:val="44"/>
          <w:highlight w:val="none"/>
          <w:lang w:val="en-US" w:eastAsia="zh-CN"/>
        </w:rPr>
      </w:r>
      <w:r/>
    </w:p>
    <w:p>
      <w:pPr>
        <w:pStyle w:val="647"/>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47"/>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47"/>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653"/>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3"/>
        <w:ind w:firstLine="720"/>
        <w:jc w:val="both"/>
        <w:spacing w:line="500" w:lineRule="exact"/>
        <w:tabs>
          <w:tab w:val="left" w:pos="210" w:leader="none"/>
        </w:tabs>
        <w:rPr>
          <w:rFonts w:hint="eastAsia" w:ascii="宋体" w:hAnsi="宋体" w:eastAsia="宋体" w:cs="宋体"/>
          <w:b/>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号：JSZC-320681-HXTH-G2026-</w:t>
      </w:r>
      <w:r>
        <w:rPr>
          <w:rFonts w:hint="eastAsia" w:ascii="宋体" w:hAnsi="宋体" w:eastAsia="宋体" w:cs="宋体"/>
          <w:b w:val="0"/>
          <w:bCs/>
          <w:color w:val="000000"/>
          <w:sz w:val="36"/>
          <w:szCs w:val="36"/>
          <w:highlight w:val="none"/>
          <w:lang w:val="en-US" w:eastAsia="zh-CN"/>
        </w:rPr>
        <w:t xml:space="preserve">0016  </w:t>
      </w:r>
      <w:r>
        <w:rPr>
          <w:rFonts w:hint="eastAsia" w:ascii="宋体" w:hAnsi="宋体" w:eastAsia="宋体" w:cs="宋体"/>
          <w:b/>
          <w:bCs/>
          <w:color w:val="000000"/>
          <w:sz w:val="36"/>
          <w:szCs w:val="36"/>
          <w:highlight w:val="none"/>
          <w:lang w:eastAsia="zh-CN"/>
        </w:rPr>
      </w:r>
      <w:r/>
    </w:p>
    <w:p>
      <w:pPr>
        <w:pStyle w:val="647"/>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7"/>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7"/>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7"/>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7"/>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7"/>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47"/>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12"/>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712"/>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w:t>
      </w:r>
      <w:r>
        <w:rPr>
          <w:rFonts w:hint="eastAsia" w:ascii="宋体" w:hAnsi="宋体" w:eastAsia="宋体" w:cs="宋体"/>
          <w:b/>
          <w:bCs/>
          <w:color w:val="000000"/>
          <w:sz w:val="32"/>
          <w:highlight w:val="none"/>
          <w:u w:val="single"/>
          <w:lang w:val="en-US" w:eastAsia="zh-CN"/>
        </w:rPr>
        <w:t xml:space="preserve">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03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18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647"/>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647"/>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647"/>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647"/>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47"/>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4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47"/>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47"/>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47"/>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47"/>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47"/>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7"/>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47"/>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47"/>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7"/>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47"/>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启东市第二人民医院异地新建项目护理设备（床单元消毒器、加热毯、医用冰箱等）采购项目（一标包）（三次）</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:JSZC-320681-HXTH-G2026-0016</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启东市第二人民医院异地新建项目护理设备（床单元消毒器、加热毯、医用冰箱等）采购项目（一标包）（三次）</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点00分（北京时间）前递交投标文件。</w:t>
      </w:r>
      <w:r>
        <w:rPr>
          <w:rFonts w:hint="eastAsia" w:ascii="宋体" w:hAnsi="宋体" w:eastAsia="宋体" w:cs="宋体"/>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JSZC-320681-HXTH-G2026-0016 </w:t>
      </w:r>
      <w:r>
        <w:rPr>
          <w:rFonts w:hint="eastAsia" w:ascii="宋体" w:hAnsi="宋体" w:eastAsia="宋体" w:cs="宋体"/>
          <w:color w:val="000000"/>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启东市第二人民医院异地新建项目护理设备（床单元消毒器、加热毯、医用冰箱等）采购项目（一标包）（三次）</w:t>
      </w:r>
      <w:r>
        <w:rPr>
          <w:rFonts w:hint="eastAsia" w:ascii="宋体" w:hAnsi="宋体" w:eastAsia="宋体" w:cs="宋体"/>
          <w:color w:val="000000"/>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38.3916万元</w:t>
      </w:r>
      <w:r>
        <w:rPr>
          <w:rFonts w:hint="eastAsia" w:ascii="宋体" w:hAnsi="宋体" w:eastAsia="宋体" w:cs="宋体"/>
          <w:color w:val="000000"/>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38.3916万元</w:t>
      </w:r>
      <w:r>
        <w:rPr>
          <w:rFonts w:hint="eastAsia" w:ascii="宋体" w:hAnsi="宋体" w:eastAsia="宋体" w:cs="宋体"/>
          <w:color w:val="000000"/>
          <w:sz w:val="28"/>
          <w:szCs w:val="28"/>
          <w:highlight w:val="none"/>
          <w:lang w:val="en-US" w:eastAsia="zh-CN"/>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本项目属于非专门面向中小企业采购的项目，无落实政府采购政策需满足的资格要求</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u w:val="single"/>
        </w:rPr>
      </w:r>
      <w:r/>
    </w:p>
    <w:p>
      <w:pPr>
        <w:pStyle w:val="675"/>
        <w:ind w:left="0" w:firstLine="560"/>
        <w:spacing w:before="0"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rPr>
      </w:r>
      <w:r/>
    </w:p>
    <w:p>
      <w:pPr>
        <w:pStyle w:val="675"/>
        <w:ind w:left="0" w:firstLine="560"/>
        <w:spacing w:before="0" w:line="540" w:lineRule="exact"/>
        <w:rPr>
          <w:rFonts w:hint="eastAsia" w:ascii="宋体" w:hAnsi="宋体" w:eastAsia="宋体" w:cs="宋体"/>
          <w:strike w:val="0"/>
          <w:color w:val="000000"/>
          <w:sz w:val="28"/>
          <w:szCs w:val="28"/>
          <w:highlight w:val="none"/>
          <w:lang w:val="en-US" w:eastAsia="zh-CN"/>
        </w:rPr>
      </w:pPr>
      <w:r>
        <w:rPr>
          <w:rFonts w:hint="eastAsia" w:ascii="宋体" w:hAnsi="宋体" w:eastAsia="宋体" w:cs="宋体"/>
          <w:strike w:val="0"/>
          <w:color w:val="000000"/>
          <w:sz w:val="28"/>
          <w:szCs w:val="28"/>
          <w:highlight w:val="none"/>
        </w:rPr>
        <w:t xml:space="preserve">3.1投标人须提</w:t>
      </w:r>
      <w:r>
        <w:rPr>
          <w:rFonts w:hint="eastAsia" w:ascii="宋体" w:hAnsi="宋体" w:eastAsia="宋体" w:cs="宋体"/>
          <w:strike w:val="0"/>
          <w:color w:val="000000"/>
          <w:sz w:val="28"/>
          <w:szCs w:val="28"/>
          <w:highlight w:val="none"/>
          <w:lang w:val="en-US" w:eastAsia="zh-CN"/>
        </w:rPr>
        <w:t xml:space="preserve">供①所投产品</w:t>
      </w:r>
      <w:r>
        <w:rPr>
          <w:rFonts w:hint="eastAsia" w:ascii="宋体" w:hAnsi="宋体" w:eastAsia="宋体" w:cs="宋体"/>
          <w:b/>
          <w:bCs/>
          <w:strike w:val="0"/>
          <w:color w:val="000000"/>
          <w:sz w:val="28"/>
          <w:szCs w:val="28"/>
          <w:highlight w:val="none"/>
          <w:lang w:val="en-US" w:eastAsia="zh-CN"/>
        </w:rPr>
        <w:t xml:space="preserve">生产企业</w:t>
      </w:r>
      <w:r>
        <w:rPr>
          <w:rFonts w:hint="eastAsia" w:ascii="宋体" w:hAnsi="宋体" w:eastAsia="宋体" w:cs="宋体"/>
          <w:strike w:val="0"/>
          <w:color w:val="000000"/>
          <w:sz w:val="28"/>
          <w:szCs w:val="28"/>
          <w:highlight w:val="none"/>
          <w:lang w:val="en-US" w:eastAsia="zh-CN"/>
        </w:rPr>
        <w:t xml:space="preserve">具有有效期的《消毒产品生产企业卫生许可证》；②</w:t>
      </w:r>
      <w:r>
        <w:rPr>
          <w:rFonts w:hint="eastAsia" w:ascii="宋体" w:hAnsi="宋体" w:eastAsia="宋体" w:cs="宋体"/>
          <w:b/>
          <w:bCs/>
          <w:strike w:val="0"/>
          <w:color w:val="000000"/>
          <w:sz w:val="28"/>
          <w:szCs w:val="28"/>
          <w:highlight w:val="none"/>
          <w:lang w:val="en-US" w:eastAsia="zh-CN"/>
        </w:rPr>
        <w:t xml:space="preserve">所投产品</w:t>
      </w:r>
      <w:r>
        <w:rPr>
          <w:rFonts w:hint="eastAsia" w:ascii="宋体" w:hAnsi="宋体" w:eastAsia="宋体" w:cs="宋体"/>
          <w:strike w:val="0"/>
          <w:color w:val="000000"/>
          <w:sz w:val="28"/>
          <w:szCs w:val="28"/>
          <w:highlight w:val="none"/>
          <w:lang w:val="en-US" w:eastAsia="zh-CN"/>
        </w:rPr>
        <w:t xml:space="preserve">须具有有效的《消毒产品卫生安全评价报告》或《新消毒产品卫生许可批件》。</w:t>
      </w:r>
      <w:r>
        <w:rPr>
          <w:rFonts w:hint="eastAsia" w:ascii="宋体" w:hAnsi="宋体" w:eastAsia="宋体" w:cs="宋体"/>
          <w:strike w:val="0"/>
          <w:color w:val="000000"/>
          <w:sz w:val="28"/>
          <w:szCs w:val="28"/>
          <w:highlight w:val="none"/>
          <w:lang w:val="en-US" w:eastAsia="zh-CN"/>
        </w:rPr>
      </w:r>
      <w:r/>
    </w:p>
    <w:p>
      <w:pPr>
        <w:pStyle w:val="675"/>
        <w:ind w:left="0" w:firstLine="560"/>
        <w:spacing w:before="0" w:line="54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rPr>
        <w:t xml:space="preserve">（投标文件中无需提供证明材料）</w:t>
      </w:r>
      <w:r>
        <w:rPr>
          <w:rFonts w:hint="eastAsia" w:ascii="宋体" w:hAnsi="宋体" w:eastAsia="宋体" w:cs="宋体"/>
          <w:b/>
          <w:bCs/>
          <w:color w:val="000000"/>
          <w:sz w:val="28"/>
          <w:szCs w:val="28"/>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03</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04</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w:t>
      </w:r>
      <w:r>
        <w:rPr>
          <w:rFonts w:hint="eastAsia" w:ascii="宋体" w:hAnsi="宋体" w:eastAsia="宋体" w:cs="宋体"/>
          <w:i/>
          <w:color w:val="000000"/>
          <w:sz w:val="28"/>
          <w:szCs w:val="28"/>
          <w:highlight w:val="none"/>
          <w:u w:val="singl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b w:val="0"/>
          <w:bCs w:val="0"/>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47"/>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47"/>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647"/>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3．软件技术支持</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47"/>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4" w:name="_Toc20823275"/>
      <w:r/>
      <w:bookmarkStart w:id="5" w:name="_Toc513029203"/>
      <w:r/>
      <w:bookmarkStart w:id="6" w:name="_Toc120614214"/>
      <w:r/>
      <w:bookmarkStart w:id="7" w:name="_Toc16938519"/>
      <w:r>
        <w:rPr>
          <w:rFonts w:hint="eastAsia" w:ascii="宋体" w:hAnsi="宋体" w:eastAsia="宋体" w:cs="宋体"/>
          <w:color w:val="000000"/>
          <w:sz w:val="28"/>
          <w:szCs w:val="28"/>
          <w:highlight w:val="none"/>
        </w:rPr>
        <w:t xml:space="preserve">（一）总则</w:t>
      </w:r>
      <w:bookmarkEnd w:id="4"/>
      <w:r/>
      <w:bookmarkEnd w:id="5"/>
      <w:r/>
      <w:bookmarkEnd w:id="6"/>
      <w:r/>
      <w:bookmarkEnd w:id="7"/>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ascii="宋体" w:hAnsi="宋体" w:eastAsia="宋体" w:cs="宋体"/>
          <w:color w:val="000000"/>
          <w:sz w:val="28"/>
          <w:szCs w:val="28"/>
          <w:highlight w:val="none"/>
        </w:rPr>
        <w:t xml:space="preserve">1</w:t>
      </w:r>
      <w:bookmarkEnd w:id="9"/>
      <w:r>
        <w:rPr>
          <w:rFonts w:hint="eastAsia" w:ascii="宋体" w:hAnsi="宋体" w:eastAsia="宋体" w:cs="宋体"/>
          <w:color w:val="000000"/>
          <w:sz w:val="28"/>
          <w:szCs w:val="28"/>
          <w:highlight w:val="none"/>
        </w:rPr>
        <w:t xml:space="preserve">.招标方式</w:t>
      </w:r>
      <w:bookmarkEnd w:id="10"/>
      <w:r/>
      <w:bookmarkEnd w:id="11"/>
      <w:r/>
      <w:bookmarkEnd w:id="12"/>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13" w:name="_Toc20823277"/>
      <w:r/>
      <w:bookmarkStart w:id="14" w:name="_Toc16938521"/>
      <w:r/>
      <w:bookmarkStart w:id="15" w:name="_Toc513029205"/>
      <w:r>
        <w:rPr>
          <w:rFonts w:hint="eastAsia" w:ascii="宋体" w:hAnsi="宋体" w:eastAsia="宋体" w:cs="宋体"/>
          <w:color w:val="000000"/>
          <w:sz w:val="28"/>
          <w:szCs w:val="28"/>
          <w:highlight w:val="none"/>
        </w:rPr>
        <w:t xml:space="preserve">2.合格的投标人</w:t>
      </w:r>
      <w:bookmarkEnd w:id="13"/>
      <w:r/>
      <w:bookmarkEnd w:id="14"/>
      <w:r/>
      <w:bookmarkEnd w:id="15"/>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16" w:name="_Toc20823278"/>
      <w:r/>
      <w:bookmarkStart w:id="17" w:name="_Toc513029206"/>
      <w:r/>
      <w:bookmarkStart w:id="18" w:name="_Toc16938522"/>
      <w:r>
        <w:rPr>
          <w:rFonts w:hint="eastAsia" w:ascii="宋体" w:hAnsi="宋体" w:eastAsia="宋体" w:cs="宋体"/>
          <w:color w:val="000000"/>
          <w:sz w:val="28"/>
          <w:szCs w:val="28"/>
          <w:highlight w:val="none"/>
        </w:rPr>
        <w:t xml:space="preserve">3.适用法律</w:t>
      </w:r>
      <w:bookmarkEnd w:id="16"/>
      <w:r/>
      <w:bookmarkEnd w:id="17"/>
      <w:r/>
      <w:bookmarkEnd w:id="18"/>
      <w:r>
        <w:rPr>
          <w:rFonts w:hint="eastAsia" w:ascii="宋体" w:hAnsi="宋体" w:eastAsia="宋体" w:cs="宋体"/>
          <w:b/>
          <w:bCs/>
          <w:color w:val="000000"/>
          <w:sz w:val="28"/>
          <w:szCs w:val="28"/>
          <w:highlight w:val="none"/>
        </w:rPr>
      </w:r>
      <w:r/>
    </w:p>
    <w:p>
      <w:pPr>
        <w:pStyle w:val="647"/>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19" w:name="_Toc513029207"/>
      <w:r/>
      <w:bookmarkStart w:id="20" w:name="_Toc20823279"/>
      <w:r/>
      <w:bookmarkStart w:id="21" w:name="_Toc16938523"/>
      <w:r/>
      <w:bookmarkStart w:id="22" w:name="_Toc462564067"/>
      <w:r>
        <w:rPr>
          <w:rFonts w:hint="eastAsia" w:ascii="宋体" w:hAnsi="宋体" w:eastAsia="宋体" w:cs="宋体"/>
          <w:color w:val="000000"/>
          <w:sz w:val="28"/>
          <w:szCs w:val="28"/>
          <w:highlight w:val="none"/>
        </w:rPr>
        <w:t xml:space="preserve">4.投标费用</w:t>
      </w:r>
      <w:bookmarkEnd w:id="19"/>
      <w:r/>
      <w:bookmarkEnd w:id="20"/>
      <w:r/>
      <w:bookmarkEnd w:id="21"/>
      <w:r/>
      <w:bookmarkEnd w:id="22"/>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23" w:name="_Toc513029209"/>
      <w:r/>
      <w:bookmarkStart w:id="24" w:name="_Toc20823281"/>
      <w:r/>
      <w:bookmarkStart w:id="25" w:name="_Toc120614215"/>
      <w:r/>
      <w:bookmarkStart w:id="26" w:name="_Toc16938525"/>
      <w:r>
        <w:rPr>
          <w:rFonts w:hint="eastAsia" w:ascii="宋体" w:hAnsi="宋体" w:eastAsia="宋体" w:cs="宋体"/>
          <w:color w:val="000000"/>
          <w:sz w:val="28"/>
          <w:szCs w:val="28"/>
          <w:highlight w:val="none"/>
        </w:rPr>
        <w:t xml:space="preserve">（二）招标文件</w:t>
      </w:r>
      <w:bookmarkEnd w:id="23"/>
      <w:r/>
      <w:bookmarkEnd w:id="24"/>
      <w:r/>
      <w:bookmarkEnd w:id="25"/>
      <w:r/>
      <w:bookmarkEnd w:id="26"/>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27" w:name="_Toc513029210"/>
      <w:r/>
      <w:bookmarkStart w:id="28" w:name="_Toc20823282"/>
      <w:r/>
      <w:bookmarkStart w:id="29" w:name="_Toc16938526"/>
      <w:r>
        <w:rPr>
          <w:rFonts w:hint="eastAsia" w:ascii="宋体" w:hAnsi="宋体" w:eastAsia="宋体" w:cs="宋体"/>
          <w:color w:val="000000"/>
          <w:sz w:val="28"/>
          <w:szCs w:val="28"/>
          <w:highlight w:val="none"/>
        </w:rPr>
        <w:t xml:space="preserve">1.招标文件构成</w:t>
      </w:r>
      <w:bookmarkEnd w:id="27"/>
      <w:r/>
      <w:bookmarkEnd w:id="28"/>
      <w:r/>
      <w:bookmarkEnd w:id="29"/>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30" w:name="_Toc16938527"/>
      <w:r/>
      <w:bookmarkStart w:id="31" w:name="_Toc462564070"/>
      <w:r/>
      <w:bookmarkStart w:id="32" w:name="_Toc20823283"/>
      <w:r/>
      <w:bookmarkStart w:id="33" w:name="_Toc513029211"/>
      <w:r>
        <w:rPr>
          <w:rFonts w:hint="eastAsia" w:ascii="宋体" w:hAnsi="宋体" w:eastAsia="宋体" w:cs="宋体"/>
          <w:color w:val="000000"/>
          <w:sz w:val="28"/>
          <w:szCs w:val="28"/>
          <w:highlight w:val="none"/>
        </w:rPr>
        <w:t xml:space="preserve">2.招标文件的澄清</w:t>
      </w:r>
      <w:bookmarkEnd w:id="30"/>
      <w:r/>
      <w:bookmarkEnd w:id="31"/>
      <w:r/>
      <w:bookmarkEnd w:id="32"/>
      <w:r/>
      <w:bookmarkEnd w:id="33"/>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34" w:name="_Toc513029212"/>
      <w:r/>
      <w:bookmarkStart w:id="35" w:name="_Toc20823284"/>
      <w:r/>
      <w:bookmarkStart w:id="36" w:name="_Toc16938528"/>
      <w:r/>
      <w:bookmarkStart w:id="37" w:name="_Toc462564071"/>
      <w:r>
        <w:rPr>
          <w:rFonts w:hint="eastAsia" w:ascii="宋体" w:hAnsi="宋体" w:eastAsia="宋体" w:cs="宋体"/>
          <w:color w:val="000000"/>
          <w:sz w:val="28"/>
          <w:szCs w:val="28"/>
          <w:highlight w:val="none"/>
        </w:rPr>
        <w:t xml:space="preserve">3.招标文件的修改</w:t>
      </w:r>
      <w:bookmarkEnd w:id="34"/>
      <w:r/>
      <w:bookmarkEnd w:id="35"/>
      <w:r/>
      <w:bookmarkEnd w:id="36"/>
      <w:r/>
      <w:bookmarkEnd w:id="37"/>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38" w:name="_Toc120614216"/>
      <w:r/>
      <w:bookmarkStart w:id="39" w:name="_Toc513029213"/>
      <w:r/>
      <w:bookmarkStart w:id="40" w:name="_Toc20823285"/>
      <w:r/>
      <w:bookmarkStart w:id="41" w:name="_Toc16938529"/>
      <w:r/>
      <w:bookmarkStart w:id="42" w:name="_Toc462564072"/>
      <w:r>
        <w:rPr>
          <w:rFonts w:hint="eastAsia" w:ascii="宋体" w:hAnsi="宋体" w:eastAsia="宋体" w:cs="宋体"/>
          <w:color w:val="000000"/>
          <w:sz w:val="28"/>
          <w:szCs w:val="28"/>
          <w:highlight w:val="none"/>
        </w:rPr>
        <w:t xml:space="preserve">（三）投标文件的编制</w:t>
      </w:r>
      <w:bookmarkEnd w:id="38"/>
      <w:r/>
      <w:bookmarkEnd w:id="39"/>
      <w:r/>
      <w:bookmarkEnd w:id="40"/>
      <w:r/>
      <w:bookmarkEnd w:id="41"/>
      <w:r/>
      <w:bookmarkEnd w:id="42"/>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Cs/>
          <w:color w:val="000000"/>
          <w:sz w:val="28"/>
          <w:szCs w:val="28"/>
          <w:highlight w:val="none"/>
        </w:rPr>
      </w:pPr>
      <w:r/>
      <w:bookmarkStart w:id="43" w:name="_Toc20823286"/>
      <w:r/>
      <w:bookmarkStart w:id="44" w:name="_Toc462564073"/>
      <w:r/>
      <w:bookmarkStart w:id="45" w:name="_Toc16938530"/>
      <w:r/>
      <w:bookmarkStart w:id="46" w:name="_Toc513029214"/>
      <w:r>
        <w:rPr>
          <w:rFonts w:hint="eastAsia" w:ascii="宋体" w:hAnsi="宋体" w:eastAsia="宋体" w:cs="宋体"/>
          <w:color w:val="000000"/>
          <w:sz w:val="28"/>
          <w:szCs w:val="28"/>
          <w:highlight w:val="none"/>
        </w:rPr>
        <w:t xml:space="preserve">1.投标文件的语言及度量衡单位</w:t>
      </w:r>
      <w:bookmarkEnd w:id="43"/>
      <w:r/>
      <w:bookmarkEnd w:id="44"/>
      <w:r/>
      <w:bookmarkEnd w:id="45"/>
      <w:r/>
      <w:bookmarkEnd w:id="46"/>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47" w:name="_Toc462564074"/>
      <w:r/>
      <w:bookmarkStart w:id="48" w:name="_Toc513029215"/>
      <w:r/>
      <w:bookmarkStart w:id="49" w:name="_Toc16938531"/>
      <w:r/>
      <w:bookmarkStart w:id="50" w:name="_Toc20823287"/>
      <w:r>
        <w:rPr>
          <w:rFonts w:hint="eastAsia" w:ascii="宋体" w:hAnsi="宋体" w:eastAsia="宋体" w:cs="宋体"/>
          <w:color w:val="000000"/>
          <w:sz w:val="28"/>
          <w:szCs w:val="28"/>
          <w:highlight w:val="none"/>
        </w:rPr>
        <w:t xml:space="preserve">2.投标文件构成</w:t>
      </w:r>
      <w:bookmarkEnd w:id="47"/>
      <w:r/>
      <w:bookmarkEnd w:id="48"/>
      <w:r/>
      <w:bookmarkEnd w:id="49"/>
      <w:r/>
      <w:bookmarkEnd w:id="50"/>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51" w:name="_Hlt26954838"/>
      <w:r/>
      <w:bookmarkEnd w:id="51"/>
      <w:r/>
      <w:bookmarkStart w:id="52" w:name="_Hlt26670360"/>
      <w:r/>
      <w:bookmarkEnd w:id="52"/>
      <w:r/>
      <w:bookmarkStart w:id="53" w:name="_Toc49090511"/>
      <w:r/>
      <w:bookmarkStart w:id="54" w:name="_Toc14577360"/>
      <w:r/>
      <w:bookmarkStart w:id="55" w:name="_Hlt26668975"/>
      <w:r/>
      <w:bookmarkEnd w:id="55"/>
      <w:r>
        <w:rPr>
          <w:rFonts w:hint="eastAsia" w:ascii="宋体" w:hAnsi="宋体" w:eastAsia="宋体" w:cs="宋体"/>
          <w:color w:val="000000"/>
          <w:sz w:val="28"/>
          <w:szCs w:val="28"/>
          <w:highlight w:val="none"/>
        </w:rPr>
        <w:t xml:space="preserve">3.投标有效期</w:t>
      </w:r>
      <w:bookmarkEnd w:id="53"/>
      <w:r/>
      <w:bookmarkEnd w:id="54"/>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56" w:name="_Toc120614217"/>
      <w:r/>
      <w:bookmarkStart w:id="57" w:name="_Toc20823296"/>
      <w:r/>
      <w:bookmarkStart w:id="58" w:name="_Toc16938540"/>
      <w:r/>
      <w:bookmarkStart w:id="59" w:name="_Hlt26954852"/>
      <w:r/>
      <w:bookmarkEnd w:id="59"/>
      <w:r/>
      <w:bookmarkStart w:id="60" w:name="_Hlt26954739"/>
      <w:r/>
      <w:bookmarkEnd w:id="60"/>
      <w:r/>
      <w:bookmarkStart w:id="61" w:name="_Toc513029224"/>
      <w:r>
        <w:rPr>
          <w:rFonts w:hint="eastAsia" w:ascii="宋体" w:hAnsi="宋体" w:eastAsia="宋体" w:cs="宋体"/>
          <w:color w:val="000000"/>
          <w:sz w:val="28"/>
          <w:szCs w:val="28"/>
          <w:highlight w:val="none"/>
        </w:rPr>
        <w:t xml:space="preserve">（四）投标文件的递交</w:t>
      </w:r>
      <w:bookmarkEnd w:id="56"/>
      <w:r/>
      <w:bookmarkEnd w:id="57"/>
      <w:r/>
      <w:bookmarkEnd w:id="58"/>
      <w:r/>
      <w:bookmarkEnd w:id="61"/>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62" w:name="_Toc462564084"/>
      <w:r/>
      <w:bookmarkStart w:id="63" w:name="_Toc20823297"/>
      <w:r/>
      <w:bookmarkStart w:id="64" w:name="_Toc16938541"/>
      <w:r/>
      <w:bookmarkStart w:id="65" w:name="_Toc513029225"/>
      <w:r>
        <w:rPr>
          <w:rFonts w:hint="eastAsia" w:ascii="宋体" w:hAnsi="宋体" w:eastAsia="宋体" w:cs="宋体"/>
          <w:color w:val="000000"/>
          <w:sz w:val="28"/>
          <w:szCs w:val="28"/>
          <w:highlight w:val="none"/>
        </w:rPr>
        <w:t xml:space="preserve">1.投标文件</w:t>
      </w:r>
      <w:bookmarkEnd w:id="62"/>
      <w:r/>
      <w:bookmarkEnd w:id="63"/>
      <w:r/>
      <w:bookmarkEnd w:id="64"/>
      <w:r/>
      <w:bookmarkEnd w:id="65"/>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47"/>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6" w:name="_Toc20823298"/>
      <w:r/>
      <w:bookmarkStart w:id="67" w:name="_Toc513029226"/>
      <w:r/>
      <w:bookmarkStart w:id="68" w:name="_Toc16938542"/>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47"/>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6"/>
      <w:r/>
      <w:bookmarkEnd w:id="67"/>
      <w:r/>
      <w:bookmarkEnd w:id="68"/>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69" w:name="_Toc16938543"/>
      <w:r/>
      <w:bookmarkStart w:id="70" w:name="_Toc20823299"/>
      <w:r/>
      <w:bookmarkStart w:id="71" w:name="_Toc513029227"/>
      <w:r>
        <w:rPr>
          <w:rFonts w:hint="eastAsia" w:ascii="宋体" w:hAnsi="宋体" w:eastAsia="宋体" w:cs="宋体"/>
          <w:color w:val="000000"/>
          <w:sz w:val="28"/>
          <w:szCs w:val="28"/>
          <w:highlight w:val="none"/>
        </w:rPr>
        <w:t xml:space="preserve">3.投标文件</w:t>
      </w:r>
      <w:bookmarkEnd w:id="69"/>
      <w:r/>
      <w:bookmarkEnd w:id="70"/>
      <w:r/>
      <w:bookmarkEnd w:id="71"/>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72" w:name="_Toc20823300"/>
      <w:r/>
      <w:bookmarkStart w:id="73" w:name="_Toc16938544"/>
      <w:r/>
      <w:bookmarkStart w:id="74" w:name="_Toc513029228"/>
      <w:r>
        <w:rPr>
          <w:rFonts w:hint="eastAsia" w:ascii="宋体" w:hAnsi="宋体" w:eastAsia="宋体" w:cs="宋体"/>
          <w:color w:val="000000"/>
          <w:sz w:val="28"/>
          <w:szCs w:val="28"/>
          <w:highlight w:val="none"/>
        </w:rPr>
        <w:t xml:space="preserve">4.投标文件的撤回和修改</w:t>
      </w:r>
      <w:bookmarkEnd w:id="72"/>
      <w:r/>
      <w:bookmarkEnd w:id="73"/>
      <w:r/>
      <w:bookmarkEnd w:id="74"/>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647"/>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47"/>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647"/>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75" w:name="_Toc120614218"/>
      <w:r/>
      <w:bookmarkStart w:id="76" w:name="_Toc20823301"/>
      <w:r/>
      <w:bookmarkStart w:id="77" w:name="_Toc513029229"/>
      <w:r/>
      <w:bookmarkStart w:id="78" w:name="_Toc16938545"/>
      <w:r>
        <w:rPr>
          <w:rFonts w:hint="eastAsia" w:ascii="宋体" w:hAnsi="宋体" w:eastAsia="宋体" w:cs="宋体"/>
          <w:color w:val="000000"/>
          <w:sz w:val="28"/>
          <w:szCs w:val="28"/>
          <w:highlight w:val="none"/>
        </w:rPr>
        <w:t xml:space="preserve">（五）开标与评标</w:t>
      </w:r>
      <w:bookmarkEnd w:id="75"/>
      <w:r/>
      <w:bookmarkEnd w:id="76"/>
      <w:r/>
      <w:bookmarkEnd w:id="77"/>
      <w:r/>
      <w:bookmarkEnd w:id="78"/>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79" w:name="_Toc513029230"/>
      <w:r/>
      <w:bookmarkStart w:id="80" w:name="_Toc20823302"/>
      <w:r/>
      <w:bookmarkStart w:id="81" w:name="_Toc16938546"/>
      <w:r>
        <w:rPr>
          <w:rFonts w:hint="eastAsia" w:ascii="宋体" w:hAnsi="宋体" w:eastAsia="宋体" w:cs="宋体"/>
          <w:color w:val="000000"/>
          <w:sz w:val="28"/>
          <w:szCs w:val="28"/>
          <w:highlight w:val="none"/>
        </w:rPr>
        <w:t xml:space="preserve">1开标</w:t>
      </w:r>
      <w:bookmarkEnd w:id="79"/>
      <w:r/>
      <w:bookmarkEnd w:id="80"/>
      <w:r/>
      <w:bookmarkEnd w:id="81"/>
      <w:r>
        <w:rPr>
          <w:rFonts w:hint="eastAsia" w:ascii="宋体" w:hAnsi="宋体" w:eastAsia="宋体" w:cs="宋体"/>
          <w:b/>
          <w:bCs/>
          <w:color w:val="000000"/>
          <w:sz w:val="28"/>
          <w:szCs w:val="28"/>
          <w:highlight w:val="none"/>
        </w:rPr>
      </w:r>
      <w:r/>
    </w:p>
    <w:p>
      <w:pPr>
        <w:pStyle w:val="647"/>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47"/>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82" w:name="_Toc513029231"/>
      <w:r/>
      <w:bookmarkStart w:id="83" w:name="_Toc20823303"/>
      <w:r/>
      <w:bookmarkStart w:id="84" w:name="_Toc16938547"/>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4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47"/>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47"/>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bookmarkEnd w:id="82"/>
      <w:r/>
      <w:bookmarkEnd w:id="83"/>
      <w:r/>
      <w:bookmarkEnd w:id="84"/>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85" w:name="_Toc513029232"/>
      <w:r/>
      <w:bookmarkStart w:id="86" w:name="_Toc16938548"/>
      <w:r/>
      <w:bookmarkStart w:id="87" w:name="_Toc20823304"/>
      <w:r>
        <w:rPr>
          <w:rFonts w:hint="eastAsia" w:ascii="宋体" w:hAnsi="宋体" w:eastAsia="宋体" w:cs="宋体"/>
          <w:color w:val="000000"/>
          <w:sz w:val="28"/>
          <w:szCs w:val="28"/>
          <w:highlight w:val="none"/>
        </w:rPr>
        <w:t xml:space="preserve">4.投标的澄清</w:t>
      </w:r>
      <w:bookmarkEnd w:id="85"/>
      <w:r/>
      <w:bookmarkEnd w:id="86"/>
      <w:r/>
      <w:bookmarkEnd w:id="87"/>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Start w:id="88" w:name="_Toc513029233"/>
      <w:r/>
      <w:bookmarkStart w:id="89" w:name="_Toc20823305"/>
      <w:r/>
      <w:bookmarkStart w:id="90" w:name="_Toc16938549"/>
      <w:r>
        <w:rPr>
          <w:rFonts w:hint="eastAsia" w:ascii="宋体" w:hAnsi="宋体" w:eastAsia="宋体" w:cs="宋体"/>
          <w:color w:val="000000"/>
          <w:sz w:val="28"/>
          <w:szCs w:val="28"/>
          <w:highlight w:val="none"/>
        </w:rPr>
        <w:t xml:space="preserve">5对投标文件的初审</w:t>
      </w:r>
      <w:bookmarkEnd w:id="88"/>
      <w:r/>
      <w:bookmarkEnd w:id="89"/>
      <w:r/>
      <w:bookmarkEnd w:id="90"/>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bookmarkStart w:id="91" w:name="_Toc20823306"/>
      <w:r/>
      <w:bookmarkStart w:id="92" w:name="_Toc513029234"/>
      <w:r/>
      <w:bookmarkStart w:id="93"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bCs/>
          <w:color w:val="000000"/>
          <w:sz w:val="28"/>
          <w:szCs w:val="28"/>
          <w:highlight w:val="none"/>
        </w:rPr>
      </w:pPr>
      <w:r/>
      <w:bookmarkEnd w:id="91"/>
      <w:r/>
      <w:bookmarkEnd w:id="92"/>
      <w:r/>
      <w:bookmarkEnd w:id="93"/>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bookmarkStart w:id="94" w:name="_Toc20823307"/>
      <w:r/>
      <w:bookmarkStart w:id="95" w:name="_Toc513029235"/>
      <w:r/>
      <w:bookmarkStart w:id="96" w:name="_Toc16938551"/>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End w:id="94"/>
      <w:r/>
      <w:bookmarkEnd w:id="95"/>
      <w:r/>
      <w:bookmarkEnd w:id="96"/>
      <w:r/>
      <w:bookmarkStart w:id="97" w:name="_Toc120614219"/>
      <w:r>
        <w:rPr>
          <w:rFonts w:hint="eastAsia" w:ascii="宋体" w:hAnsi="宋体" w:eastAsia="宋体" w:cs="宋体"/>
          <w:color w:val="000000"/>
          <w:sz w:val="28"/>
          <w:szCs w:val="28"/>
          <w:highlight w:val="none"/>
        </w:rPr>
        <w:t xml:space="preserve">（六）定标</w:t>
      </w:r>
      <w:bookmarkEnd w:id="97"/>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bookmarkStart w:id="98" w:name="_Toc20823310"/>
      <w:r/>
      <w:bookmarkStart w:id="99" w:name="_Toc16938554"/>
      <w:r>
        <w:rPr>
          <w:rFonts w:hint="eastAsia" w:ascii="宋体" w:hAnsi="宋体" w:eastAsia="宋体" w:cs="宋体"/>
          <w:color w:val="000000"/>
          <w:sz w:val="28"/>
          <w:szCs w:val="28"/>
          <w:highlight w:val="none"/>
        </w:rPr>
        <w:t xml:space="preserve">1.确定</w:t>
      </w:r>
      <w:bookmarkEnd w:id="98"/>
      <w:r/>
      <w:bookmarkEnd w:id="99"/>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bookmarkStart w:id="100"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0"/>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47"/>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50"/>
        <w:spacing w:before="0" w:after="0" w:line="500" w:lineRule="exact"/>
        <w:rPr>
          <w:rFonts w:hint="eastAsia" w:ascii="宋体" w:hAnsi="宋体" w:eastAsia="宋体" w:cs="宋体"/>
          <w:color w:val="000000"/>
          <w:sz w:val="28"/>
          <w:szCs w:val="28"/>
          <w:highlight w:val="none"/>
        </w:rPr>
      </w:pPr>
      <w:r/>
      <w:bookmarkStart w:id="101" w:name="_Toc120614220"/>
      <w:r/>
      <w:bookmarkStart w:id="102" w:name="_Toc513029236"/>
      <w:r/>
      <w:bookmarkStart w:id="103" w:name="_Toc16938552"/>
      <w:r/>
      <w:bookmarkStart w:id="104" w:name="_Toc20823308"/>
      <w:r>
        <w:rPr>
          <w:rFonts w:hint="eastAsia" w:ascii="宋体" w:hAnsi="宋体" w:eastAsia="宋体" w:cs="宋体"/>
          <w:color w:val="000000"/>
          <w:sz w:val="28"/>
          <w:szCs w:val="28"/>
          <w:highlight w:val="none"/>
        </w:rPr>
        <w:t xml:space="preserve">（七）授予合同</w:t>
      </w:r>
      <w:bookmarkEnd w:id="101"/>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bookmarkEnd w:id="102"/>
      <w:r/>
      <w:bookmarkEnd w:id="103"/>
      <w:r/>
      <w:bookmarkEnd w:id="104"/>
      <w:r/>
      <w:bookmarkStart w:id="105" w:name="_Toc16938553"/>
      <w:r/>
      <w:bookmarkStart w:id="106" w:name="_Toc20823309"/>
      <w:r/>
      <w:bookmarkStart w:id="107"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51"/>
        <w:jc w:val="both"/>
        <w:spacing w:line="500" w:lineRule="exact"/>
        <w:rPr>
          <w:rFonts w:hint="eastAsia" w:ascii="宋体" w:hAnsi="宋体" w:eastAsia="宋体" w:cs="宋体"/>
          <w:b/>
          <w:color w:val="000000"/>
          <w:sz w:val="28"/>
          <w:szCs w:val="28"/>
          <w:highlight w:val="none"/>
        </w:rPr>
      </w:pPr>
      <w:r/>
      <w:bookmarkEnd w:id="105"/>
      <w:r/>
      <w:bookmarkEnd w:id="106"/>
      <w:r/>
      <w:bookmarkEnd w:id="107"/>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47"/>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47"/>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647"/>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647"/>
        <w:ind w:firstLine="602"/>
        <w:spacing w:line="500" w:lineRule="exact"/>
        <w:rPr>
          <w:rFonts w:hint="eastAsia" w:ascii="宋体" w:hAnsi="宋体" w:eastAsia="宋体" w:cs="宋体"/>
          <w:b w:val="0"/>
          <w:bCs w:val="0"/>
          <w:color w:val="000000"/>
          <w:sz w:val="30"/>
          <w:szCs w:val="30"/>
          <w:highlight w:val="none"/>
          <w:lang w:eastAsia="zh-CN"/>
        </w:rPr>
      </w:pPr>
      <w:r>
        <w:rPr>
          <w:rFonts w:hint="eastAsia" w:ascii="宋体" w:hAnsi="宋体" w:eastAsia="宋体" w:cs="宋体"/>
          <w:b/>
          <w:bCs/>
          <w:color w:val="000000"/>
          <w:sz w:val="30"/>
          <w:szCs w:val="30"/>
          <w:highlight w:val="none"/>
        </w:rPr>
        <w:t xml:space="preserve">（一）</w:t>
      </w:r>
      <w:r>
        <w:rPr>
          <w:rFonts w:hint="eastAsia" w:ascii="宋体" w:hAnsi="宋体" w:eastAsia="宋体" w:cs="宋体"/>
          <w:b/>
          <w:bCs/>
          <w:color w:val="000000"/>
          <w:sz w:val="28"/>
          <w:szCs w:val="28"/>
          <w:highlight w:val="none"/>
        </w:rPr>
        <w:t xml:space="preserve">采购内容：</w:t>
      </w:r>
      <w:r>
        <w:rPr>
          <w:rFonts w:hint="eastAsia" w:ascii="宋体" w:hAnsi="宋体" w:eastAsia="宋体" w:cs="宋体"/>
          <w:color w:val="000000"/>
          <w:sz w:val="30"/>
          <w:szCs w:val="30"/>
          <w:highlight w:val="none"/>
          <w:lang w:val="en-US" w:eastAsia="zh-CN"/>
        </w:rPr>
        <w:t xml:space="preserve">启东市第二人民医院异地新建项目护理设备（床单元消毒器、加热毯、医用冰箱等）采购项目</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lang w:eastAsia="zh-CN"/>
        </w:rPr>
        <w:t xml:space="preserve">一标包</w:t>
      </w:r>
      <w:r>
        <w:rPr>
          <w:rFonts w:hint="eastAsia" w:ascii="宋体" w:hAnsi="宋体" w:eastAsia="宋体" w:cs="宋体"/>
          <w:color w:val="000000"/>
          <w:sz w:val="30"/>
          <w:szCs w:val="30"/>
          <w:highlight w:val="none"/>
          <w:lang w:eastAsia="zh-CN"/>
        </w:rPr>
        <w:t xml:space="preserve">），具体内容详见采购清单。</w:t>
      </w:r>
      <w:r>
        <w:rPr>
          <w:rFonts w:hint="eastAsia" w:ascii="宋体" w:hAnsi="宋体" w:eastAsia="宋体" w:cs="宋体"/>
          <w:b w:val="0"/>
          <w:bCs w:val="0"/>
          <w:color w:val="000000"/>
          <w:sz w:val="30"/>
          <w:szCs w:val="30"/>
          <w:highlight w:val="none"/>
          <w:lang w:eastAsia="zh-CN"/>
        </w:rPr>
      </w:r>
      <w:r/>
    </w:p>
    <w:p>
      <w:pPr>
        <w:pStyle w:val="647"/>
        <w:ind w:firstLine="602"/>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eastAsia="zh-CN"/>
        </w:rPr>
        <w:t xml:space="preserve">（二）</w:t>
      </w:r>
      <w:r>
        <w:rPr>
          <w:rFonts w:hint="eastAsia" w:ascii="宋体" w:hAnsi="宋体" w:eastAsia="宋体" w:cs="宋体"/>
          <w:b/>
          <w:bCs/>
          <w:color w:val="000000"/>
          <w:sz w:val="30"/>
          <w:szCs w:val="30"/>
          <w:highlight w:val="none"/>
        </w:rPr>
        <w:t xml:space="preserve">采购清单：</w:t>
      </w:r>
      <w:r>
        <w:rPr>
          <w:rFonts w:hint="eastAsia" w:ascii="宋体" w:hAnsi="宋体" w:eastAsia="宋体" w:cs="宋体"/>
          <w:b/>
          <w:bCs/>
          <w:color w:val="000000"/>
          <w:sz w:val="30"/>
          <w:szCs w:val="30"/>
          <w:highlight w:val="none"/>
        </w:rPr>
      </w:r>
      <w:r/>
    </w:p>
    <w:p>
      <w:pPr>
        <w:pStyle w:val="647"/>
        <w:ind w:firstLine="301"/>
        <w:rPr>
          <w:rFonts w:hint="eastAsia" w:ascii="宋体" w:hAnsi="宋体" w:eastAsia="宋体" w:cs="宋体"/>
          <w:color w:val="000000"/>
          <w:highlight w:val="none"/>
          <w:lang w:val="en-US" w:eastAsia="zh-CN"/>
        </w:rPr>
      </w:pPr>
      <w:r>
        <w:rPr>
          <w:rFonts w:hint="eastAsia" w:ascii="宋体" w:hAnsi="宋体" w:eastAsia="宋体" w:cs="宋体"/>
          <w:b/>
          <w:bCs/>
          <w:color w:val="000000"/>
          <w:sz w:val="30"/>
          <w:szCs w:val="30"/>
          <w:highlight w:val="none"/>
          <w:lang w:val="en-US" w:eastAsia="zh-CN"/>
        </w:rPr>
        <w:t xml:space="preserve">一标包：</w:t>
      </w:r>
      <w:r>
        <w:rPr>
          <w:rFonts w:hint="eastAsia" w:ascii="宋体" w:hAnsi="宋体" w:eastAsia="宋体" w:cs="宋体"/>
          <w:color w:val="000000"/>
          <w:highlight w:val="none"/>
          <w:lang w:val="en-US" w:eastAsia="zh-CN"/>
        </w:rPr>
      </w:r>
      <w:r/>
    </w:p>
    <w:tbl>
      <w:tblPr>
        <w:tblW w:w="9493" w:type="dxa"/>
        <w:tblInd w:w="-3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7"/>
        <w:gridCol w:w="1143"/>
        <w:gridCol w:w="6413"/>
        <w:gridCol w:w="720"/>
        <w:gridCol w:w="720"/>
      </w:tblGrid>
      <w:tr>
        <w:trPr>
          <w:trHeight w:val="560"/>
        </w:trPr>
        <w:tc>
          <w:tcPr>
            <w:tcW w:w="497" w:type="dxa"/>
            <w:vAlign w:val="center"/>
            <w:textDirection w:val="lrTb"/>
            <w:noWrap/>
          </w:tcPr>
          <w:p>
            <w:pPr>
              <w:pStyle w:val="64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143" w:type="dxa"/>
            <w:vAlign w:val="center"/>
            <w:textDirection w:val="lrTb"/>
            <w:noWrap w:val="false"/>
          </w:tcPr>
          <w:p>
            <w:pPr>
              <w:pStyle w:val="647"/>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设备</w:t>
            </w:r>
            <w:r>
              <w:rPr>
                <w:rFonts w:hint="eastAsia" w:ascii="宋体" w:hAnsi="宋体" w:eastAsia="宋体" w:cs="宋体"/>
                <w:b/>
                <w:bCs/>
                <w:i w:val="0"/>
                <w:iCs w:val="0"/>
                <w:color w:val="000000"/>
                <w:sz w:val="22"/>
                <w:szCs w:val="22"/>
                <w:highlight w:val="none"/>
                <w:u w:val="none"/>
                <w:lang w:val="en-US" w:eastAsia="zh-CN" w:bidi="ar"/>
              </w:rPr>
            </w:r>
            <w:r/>
          </w:p>
          <w:p>
            <w:pPr>
              <w:pStyle w:val="64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tcW w:w="6413" w:type="dxa"/>
            <w:vAlign w:val="center"/>
            <w:textDirection w:val="lrTb"/>
            <w:noWrap/>
          </w:tcPr>
          <w:p>
            <w:pPr>
              <w:pStyle w:val="64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技术参数要求</w:t>
            </w:r>
            <w:r>
              <w:rPr>
                <w:rFonts w:hint="eastAsia" w:ascii="宋体" w:hAnsi="宋体" w:eastAsia="宋体" w:cs="宋体"/>
                <w:b/>
                <w:bCs/>
                <w:i w:val="0"/>
                <w:iCs w:val="0"/>
                <w:color w:val="000000"/>
                <w:sz w:val="22"/>
                <w:szCs w:val="22"/>
                <w:highlight w:val="none"/>
                <w:u w:val="none"/>
              </w:rPr>
            </w:r>
            <w:r/>
          </w:p>
        </w:tc>
        <w:tc>
          <w:tcPr>
            <w:tcW w:w="720" w:type="dxa"/>
            <w:vAlign w:val="center"/>
            <w:textDirection w:val="lrTb"/>
            <w:noWrap/>
          </w:tcPr>
          <w:p>
            <w:pPr>
              <w:pStyle w:val="64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20" w:type="dxa"/>
            <w:vAlign w:val="center"/>
            <w:textDirection w:val="lrTb"/>
            <w:noWrap/>
          </w:tcPr>
          <w:p>
            <w:pPr>
              <w:pStyle w:val="647"/>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r>
      <w:tr>
        <w:trPr>
          <w:trHeight w:val="575"/>
        </w:trPr>
        <w:tc>
          <w:tcPr>
            <w:tcW w:w="497"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1143" w:type="dxa"/>
            <w:vAlign w:val="center"/>
            <w:textDirection w:val="lrTb"/>
            <w:noWrap w:val="false"/>
          </w:tcPr>
          <w:p>
            <w:pPr>
              <w:pStyle w:val="647"/>
              <w:numPr>
                <w:ilvl w:val="0"/>
                <w:numId w:val="0"/>
              </w:numPr>
              <w:jc w:val="cente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床单位消毒器</w:t>
            </w:r>
            <w:r>
              <w:rPr>
                <w:rFonts w:hint="eastAsia" w:ascii="Calibri" w:hAnsi="Calibri" w:eastAsia="宋体" w:cs="Times New Roman"/>
                <w:color w:val="000000"/>
                <w:sz w:val="21"/>
                <w:szCs w:val="24"/>
                <w:highlight w:val="none"/>
                <w:lang w:val="en-US" w:eastAsia="zh-CN" w:bidi="ar-SA"/>
              </w:rPr>
            </w:r>
            <w:r/>
          </w:p>
        </w:tc>
        <w:tc>
          <w:tcPr>
            <w:tcW w:w="6413" w:type="dxa"/>
            <w:vAlign w:val="center"/>
            <w:textDirection w:val="lrTb"/>
            <w:noWrap/>
          </w:tcPr>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1、采用臭氧消毒，杀菌广谱、彻底，消毒完毕后自动还原为氧气，无死角、无残留、无污染；</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2、床单位消毒器机身采用全金属阻燃材料制作，并且配备内外双保险丝，使用寿命长、安全系数高；</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3、机身小巧灵活，占用空间小；配备高品质静音脚轮，易于推动；机体带有两个收纳盒，可单独存放消毒管与电源线；</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4、消毒效果强力，且整机运行噪音≤55dB，无噪声干扰病人；</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5、杀菌因子：臭氧；采用新型的沿面放电技术，产生高浓度臭氧，由外至内，深层彻底消毒；</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6、机器消毒时间0-99min可调，默认时间10min快速消毒；</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b/>
                <w:bCs/>
                <w:strike/>
                <w:color w:val="000000"/>
                <w:sz w:val="21"/>
                <w:szCs w:val="24"/>
                <w:highlight w:val="none"/>
                <w:lang w:val="en-US" w:eastAsia="zh-CN" w:bidi="ar-SA"/>
              </w:rPr>
            </w:pPr>
            <w:r>
              <w:rPr>
                <w:rFonts w:hint="eastAsia" w:ascii="Calibri" w:hAnsi="Calibri" w:eastAsia="宋体" w:cs="Times New Roman"/>
                <w:b/>
                <w:bCs/>
                <w:color w:val="000000"/>
                <w:sz w:val="21"/>
                <w:szCs w:val="24"/>
                <w:highlight w:val="none"/>
                <w:lang w:val="en-US" w:eastAsia="zh-CN" w:bidi="ar-SA"/>
              </w:rPr>
              <w:t xml:space="preserve">▲7、臭氧产出量≥4000mg/h，臭氧浓度≥2700mg/m3 ，臭氧泄漏量≤0.01mg/m3</w:t>
            </w:r>
            <w:r>
              <w:rPr>
                <w:rFonts w:hint="eastAsia" w:ascii="Calibri" w:hAnsi="Calibri" w:eastAsia="宋体" w:cs="Times New Roman"/>
                <w:b/>
                <w:bCs/>
                <w:strike w:val="0"/>
                <w:color w:val="000000"/>
                <w:sz w:val="21"/>
                <w:szCs w:val="24"/>
                <w:highlight w:val="none"/>
                <w:lang w:val="en-US" w:eastAsia="zh-CN" w:bidi="ar-SA"/>
              </w:rPr>
              <w:t xml:space="preserve">；</w:t>
            </w:r>
            <w:r>
              <w:rPr>
                <w:rFonts w:hint="eastAsia" w:ascii="Calibri" w:hAnsi="Calibri" w:eastAsia="宋体" w:cs="Times New Roman"/>
                <w:b/>
                <w:bCs/>
                <w:strike/>
                <w:color w:val="000000"/>
                <w:sz w:val="21"/>
                <w:szCs w:val="24"/>
                <w:highlight w:val="none"/>
                <w:lang w:val="en-US" w:eastAsia="zh-CN" w:bidi="ar-SA"/>
              </w:rPr>
            </w:r>
            <w:r/>
          </w:p>
          <w:p>
            <w:pPr>
              <w:pStyle w:val="647"/>
              <w:numPr>
                <w:ilvl w:val="0"/>
                <w:numId w:val="0"/>
              </w:numPr>
              <w:rPr>
                <w:rFonts w:hint="eastAsia" w:ascii="Calibri" w:hAnsi="Calibri" w:eastAsia="宋体" w:cs="Times New Roman"/>
                <w:b/>
                <w:bCs/>
                <w:strike/>
                <w:color w:val="000000"/>
                <w:sz w:val="21"/>
                <w:szCs w:val="24"/>
                <w:highlight w:val="none"/>
                <w:lang w:val="en-US" w:eastAsia="zh-CN" w:bidi="ar-SA"/>
              </w:rPr>
            </w:pPr>
            <w:r>
              <w:rPr>
                <w:rFonts w:hint="eastAsia" w:ascii="Calibri" w:hAnsi="Calibri" w:eastAsia="宋体" w:cs="Times New Roman"/>
                <w:b/>
                <w:bCs/>
                <w:strike w:val="0"/>
                <w:color w:val="000000"/>
                <w:sz w:val="21"/>
                <w:szCs w:val="24"/>
                <w:highlight w:val="none"/>
                <w:lang w:val="en-US" w:eastAsia="zh-CN" w:bidi="ar-SA"/>
              </w:rPr>
              <w:t xml:space="preserve">▲8、消毒一个工作周期后（抽气3min、消毒10min、保持5min、还原5min），消毒袋内臭氧残留量≤0.1mg/m3，消毒罩内臭氧残留量≤0.1mg/m3；</w:t>
            </w:r>
            <w:r>
              <w:rPr>
                <w:rFonts w:hint="eastAsia" w:ascii="Calibri" w:hAnsi="Calibri" w:eastAsia="宋体" w:cs="Times New Roman"/>
                <w:b/>
                <w:bCs/>
                <w:strike/>
                <w:color w:val="000000"/>
                <w:sz w:val="21"/>
                <w:szCs w:val="24"/>
                <w:highlight w:val="none"/>
                <w:lang w:val="en-US" w:eastAsia="zh-CN" w:bidi="ar-SA"/>
              </w:rPr>
            </w:r>
            <w:r/>
          </w:p>
          <w:p>
            <w:pPr>
              <w:pStyle w:val="647"/>
              <w:numPr>
                <w:ilvl w:val="0"/>
                <w:numId w:val="0"/>
              </w:numPr>
              <w:rPr>
                <w:rFonts w:hint="eastAsia" w:ascii="Calibri" w:hAnsi="Calibri" w:eastAsia="宋体" w:cs="Times New Roman"/>
                <w:strike w:val="0"/>
                <w:color w:val="000000"/>
                <w:sz w:val="21"/>
                <w:szCs w:val="24"/>
                <w:highlight w:val="none"/>
                <w:lang w:val="en-US" w:eastAsia="zh-CN" w:bidi="ar-SA"/>
              </w:rPr>
            </w:pPr>
            <w:r>
              <w:rPr>
                <w:rFonts w:hint="eastAsia" w:ascii="Calibri" w:hAnsi="Calibri" w:eastAsia="宋体" w:cs="Times New Roman"/>
                <w:strike w:val="0"/>
                <w:color w:val="000000"/>
                <w:sz w:val="21"/>
                <w:szCs w:val="24"/>
                <w:highlight w:val="none"/>
                <w:lang w:val="en-US" w:eastAsia="zh-CN" w:bidi="ar-SA"/>
              </w:rPr>
              <w:t xml:space="preserve">9、对大肠杆菌杀灭对数值＞3；</w:t>
            </w:r>
            <w:r>
              <w:rPr>
                <w:rFonts w:hint="eastAsia" w:ascii="Calibri" w:hAnsi="Calibri" w:eastAsia="宋体" w:cs="Times New Roman"/>
                <w:strike w:val="0"/>
                <w:color w:val="000000"/>
                <w:sz w:val="21"/>
                <w:szCs w:val="24"/>
                <w:highlight w:val="none"/>
                <w:lang w:val="en-US" w:eastAsia="zh-CN" w:bidi="ar-SA"/>
              </w:rPr>
            </w:r>
            <w:r/>
          </w:p>
          <w:p>
            <w:pPr>
              <w:pStyle w:val="647"/>
              <w:numPr>
                <w:ilvl w:val="0"/>
                <w:numId w:val="0"/>
              </w:numPr>
              <w:rPr>
                <w:rFonts w:hint="eastAsia" w:ascii="Calibri" w:hAnsi="Calibri" w:eastAsia="宋体" w:cs="Times New Roman"/>
                <w:strike w:val="0"/>
                <w:color w:val="000000"/>
                <w:sz w:val="21"/>
                <w:szCs w:val="24"/>
                <w:highlight w:val="none"/>
                <w:lang w:val="en-US" w:eastAsia="zh-CN" w:bidi="ar-SA"/>
              </w:rPr>
            </w:pPr>
            <w:r>
              <w:rPr>
                <w:rFonts w:hint="eastAsia" w:ascii="Calibri" w:hAnsi="Calibri" w:eastAsia="宋体" w:cs="Times New Roman"/>
                <w:strike w:val="0"/>
                <w:color w:val="000000"/>
                <w:sz w:val="21"/>
                <w:szCs w:val="24"/>
                <w:highlight w:val="none"/>
                <w:lang w:val="en-US" w:eastAsia="zh-CN" w:bidi="ar-SA"/>
              </w:rPr>
              <w:t xml:space="preserve">10、对金黄色葡萄球菌杀灭对数值＞3；</w:t>
            </w:r>
            <w:r>
              <w:rPr>
                <w:rFonts w:hint="eastAsia" w:ascii="Calibri" w:hAnsi="Calibri" w:eastAsia="宋体" w:cs="Times New Roman"/>
                <w:strike w:val="0"/>
                <w:color w:val="000000"/>
                <w:sz w:val="21"/>
                <w:szCs w:val="24"/>
                <w:highlight w:val="none"/>
                <w:lang w:val="en-US" w:eastAsia="zh-CN" w:bidi="ar-SA"/>
              </w:rPr>
            </w:r>
            <w:r/>
          </w:p>
          <w:p>
            <w:pPr>
              <w:pStyle w:val="647"/>
              <w:numPr>
                <w:ilvl w:val="0"/>
                <w:numId w:val="0"/>
              </w:numPr>
              <w:rPr>
                <w:rFonts w:hint="eastAsia" w:ascii="Calibri" w:hAnsi="Calibri" w:eastAsia="宋体" w:cs="Times New Roman"/>
                <w:strike w:val="0"/>
                <w:color w:val="000000"/>
                <w:sz w:val="21"/>
                <w:szCs w:val="24"/>
                <w:highlight w:val="none"/>
                <w:lang w:val="en-US" w:eastAsia="zh-CN" w:bidi="ar-SA"/>
              </w:rPr>
            </w:pPr>
            <w:r>
              <w:rPr>
                <w:rFonts w:hint="eastAsia" w:ascii="Calibri" w:hAnsi="Calibri" w:eastAsia="宋体" w:cs="Times New Roman"/>
                <w:strike w:val="0"/>
                <w:color w:val="000000"/>
                <w:sz w:val="21"/>
                <w:szCs w:val="24"/>
                <w:highlight w:val="none"/>
                <w:lang w:val="en-US" w:eastAsia="zh-CN" w:bidi="ar-SA"/>
              </w:rPr>
              <w:t xml:space="preserve">11、对白色念珠菌的杀灭对数值＞3；</w:t>
            </w:r>
            <w:r>
              <w:rPr>
                <w:rFonts w:hint="eastAsia" w:ascii="Calibri" w:hAnsi="Calibri" w:eastAsia="宋体" w:cs="Times New Roman"/>
                <w:strike w:val="0"/>
                <w:color w:val="000000"/>
                <w:sz w:val="21"/>
                <w:szCs w:val="24"/>
                <w:highlight w:val="none"/>
                <w:lang w:val="en-US" w:eastAsia="zh-CN" w:bidi="ar-SA"/>
              </w:rPr>
            </w:r>
            <w:r/>
          </w:p>
          <w:p>
            <w:pPr>
              <w:pStyle w:val="647"/>
              <w:numPr>
                <w:ilvl w:val="0"/>
                <w:numId w:val="0"/>
              </w:numPr>
              <w:rPr>
                <w:rFonts w:hint="eastAsia" w:ascii="Calibri" w:hAnsi="Calibri" w:eastAsia="宋体" w:cs="Times New Roman"/>
                <w:b/>
                <w:bCs/>
                <w:strike/>
                <w:color w:val="000000"/>
                <w:sz w:val="21"/>
                <w:szCs w:val="24"/>
                <w:highlight w:val="none"/>
                <w:lang w:val="en-US" w:eastAsia="zh-CN" w:bidi="ar-SA"/>
              </w:rPr>
            </w:pPr>
            <w:r>
              <w:rPr>
                <w:rFonts w:hint="eastAsia" w:ascii="Calibri" w:hAnsi="Calibri" w:eastAsia="宋体" w:cs="Times New Roman"/>
                <w:b/>
                <w:bCs/>
                <w:strike w:val="0"/>
                <w:color w:val="000000"/>
                <w:sz w:val="21"/>
                <w:szCs w:val="24"/>
                <w:highlight w:val="none"/>
                <w:lang w:val="en-US" w:eastAsia="zh-CN" w:bidi="ar-SA"/>
              </w:rPr>
              <w:t xml:space="preserve">▲12、对铜绿假单胞菌的杀灭对数值＞3；</w:t>
            </w:r>
            <w:r>
              <w:rPr>
                <w:rFonts w:hint="eastAsia" w:ascii="Calibri" w:hAnsi="Calibri" w:eastAsia="宋体" w:cs="Times New Roman"/>
                <w:b/>
                <w:bCs/>
                <w:strike/>
                <w:color w:val="000000"/>
                <w:sz w:val="21"/>
                <w:szCs w:val="24"/>
                <w:highlight w:val="none"/>
                <w:lang w:val="en-US" w:eastAsia="zh-CN" w:bidi="ar-SA"/>
              </w:rPr>
            </w:r>
            <w:r/>
          </w:p>
          <w:p>
            <w:pPr>
              <w:pStyle w:val="647"/>
              <w:numPr>
                <w:ilvl w:val="0"/>
                <w:numId w:val="0"/>
              </w:numPr>
              <w:rPr>
                <w:rFonts w:hint="eastAsia" w:ascii="Calibri" w:hAnsi="Calibri" w:eastAsia="宋体" w:cs="Times New Roman"/>
                <w:b/>
                <w:bCs/>
                <w:strike/>
                <w:color w:val="000000"/>
                <w:sz w:val="21"/>
                <w:szCs w:val="24"/>
                <w:highlight w:val="none"/>
                <w:lang w:val="en-US" w:eastAsia="zh-CN" w:bidi="ar-SA"/>
              </w:rPr>
            </w:pPr>
            <w:r>
              <w:rPr>
                <w:rFonts w:hint="eastAsia" w:ascii="Calibri" w:hAnsi="Calibri" w:eastAsia="宋体" w:cs="Times New Roman"/>
                <w:b/>
                <w:bCs/>
                <w:strike w:val="0"/>
                <w:color w:val="000000"/>
                <w:sz w:val="21"/>
                <w:szCs w:val="24"/>
                <w:highlight w:val="none"/>
                <w:lang w:val="en-US" w:eastAsia="zh-CN" w:bidi="ar-SA"/>
              </w:rPr>
              <w:t xml:space="preserve">▲13、对肺炎克雷伯氏菌的杀灭对数值＞3；</w:t>
            </w:r>
            <w:r>
              <w:rPr>
                <w:rFonts w:hint="eastAsia" w:ascii="Calibri" w:hAnsi="Calibri" w:eastAsia="宋体" w:cs="Times New Roman"/>
                <w:b/>
                <w:bCs/>
                <w:strike/>
                <w:color w:val="000000"/>
                <w:sz w:val="21"/>
                <w:szCs w:val="24"/>
                <w:highlight w:val="none"/>
                <w:lang w:val="en-US" w:eastAsia="zh-CN" w:bidi="ar-SA"/>
              </w:rPr>
            </w:r>
            <w:r/>
          </w:p>
          <w:p>
            <w:pPr>
              <w:pStyle w:val="647"/>
              <w:numPr>
                <w:ilvl w:val="0"/>
                <w:numId w:val="0"/>
              </w:numPr>
              <w:rPr>
                <w:rFonts w:ascii="Calibri" w:hAnsi="Calibri" w:eastAsia="宋体" w:cs="Times New Roman"/>
                <w:b/>
                <w:bCs/>
                <w:strike/>
                <w:color w:val="000000"/>
                <w:sz w:val="21"/>
                <w:szCs w:val="24"/>
                <w:highlight w:val="none"/>
                <w:lang w:val="en-US" w:eastAsia="zh-CN" w:bidi="ar-SA"/>
              </w:rPr>
            </w:pPr>
            <w:r>
              <w:rPr>
                <w:rFonts w:hint="eastAsia" w:ascii="Calibri" w:hAnsi="Calibri" w:eastAsia="宋体" w:cs="Times New Roman"/>
                <w:b/>
                <w:bCs/>
                <w:strike w:val="0"/>
                <w:color w:val="000000"/>
                <w:sz w:val="21"/>
                <w:szCs w:val="24"/>
                <w:highlight w:val="none"/>
                <w:lang w:val="en-US" w:eastAsia="zh-CN" w:bidi="ar-SA"/>
              </w:rPr>
              <w:t xml:space="preserve">▲14、对新型冠状病毒SARS-CoV-2杀灭对数值＞3；</w:t>
            </w:r>
            <w:r>
              <w:rPr>
                <w:rFonts w:ascii="Calibri" w:hAnsi="Calibri" w:eastAsia="宋体" w:cs="Times New Roman"/>
                <w:b/>
                <w:bCs/>
                <w:strike/>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strike w:val="0"/>
                <w:color w:val="000000"/>
                <w:sz w:val="21"/>
                <w:szCs w:val="24"/>
                <w:highlight w:val="none"/>
                <w:lang w:val="en-US" w:eastAsia="zh-CN" w:bidi="ar-SA"/>
              </w:rPr>
              <w:t xml:space="preserve">15、采用液晶显示屏，按键占比大</w:t>
            </w:r>
            <w:r>
              <w:rPr>
                <w:rFonts w:hint="eastAsia" w:ascii="Calibri" w:hAnsi="Calibri" w:eastAsia="宋体" w:cs="Times New Roman"/>
                <w:color w:val="000000"/>
                <w:sz w:val="21"/>
                <w:szCs w:val="24"/>
                <w:highlight w:val="none"/>
                <w:lang w:val="en-US" w:eastAsia="zh-CN" w:bidi="ar-SA"/>
              </w:rPr>
              <w:t xml:space="preserve">，操作简单，屏幕显示清晰准确，利于观察操作；</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16、机器具备抽气、消毒、保持、还原四种功能，且四种功能均为0-99min可调；</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17、采用新型的沿面放电技术，产生高浓度的臭氧通过“抽真空—充臭氧—快还原”的模式使臭氧完全渗透到被褥、床垫、枕芯中，由外至内深层彻底消毒，并且具有防霉、防虫、除异味的作用；</w:t>
            </w:r>
            <w:r>
              <w:rPr>
                <w:rFonts w:hint="eastAsia" w:ascii="Calibri" w:hAnsi="Calibri" w:eastAsia="宋体" w:cs="Times New Roman"/>
                <w:color w:val="000000"/>
                <w:sz w:val="21"/>
                <w:szCs w:val="24"/>
                <w:highlight w:val="none"/>
                <w:lang w:val="en-US" w:eastAsia="zh-CN" w:bidi="ar-SA"/>
              </w:rPr>
            </w:r>
            <w:r/>
          </w:p>
          <w:p>
            <w:pPr>
              <w:pStyle w:val="647"/>
              <w:numPr>
                <w:ilvl w:val="0"/>
                <w:numId w:val="0"/>
              </w:numPr>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t xml:space="preserve">18、双管路设计，可同时对2个床单位、4床被褥进行消毒；多次性消毒袋、消毒罩与一次性消毒袋、消毒罩均可现货选配。</w:t>
            </w:r>
            <w:r>
              <w:rPr>
                <w:rFonts w:hint="eastAsia" w:ascii="Calibri" w:hAnsi="Calibri" w:eastAsia="宋体" w:cs="Times New Roman"/>
                <w:color w:val="000000"/>
                <w:sz w:val="21"/>
                <w:szCs w:val="24"/>
                <w:highlight w:val="none"/>
                <w:lang w:val="en-US" w:eastAsia="zh-CN" w:bidi="ar-SA"/>
              </w:rPr>
            </w:r>
            <w:r/>
          </w:p>
        </w:tc>
        <w:tc>
          <w:tcPr>
            <w:tcW w:w="720"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SA"/>
              </w:rPr>
            </w:r>
            <w:r/>
          </w:p>
        </w:tc>
        <w:tc>
          <w:tcPr>
            <w:tcW w:w="720"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SA"/>
              </w:rPr>
            </w:r>
            <w:r/>
          </w:p>
        </w:tc>
      </w:tr>
      <w:tr>
        <w:trPr>
          <w:trHeight w:val="3300"/>
        </w:trPr>
        <w:tc>
          <w:tcPr>
            <w:tcW w:w="497" w:type="dxa"/>
            <w:vAlign w:val="center"/>
            <w:vMerge w:val="restart"/>
            <w:textDirection w:val="lrTb"/>
            <w:noWrap/>
          </w:tcPr>
          <w:p>
            <w:pPr>
              <w:pStyle w:val="6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1143" w:type="dxa"/>
            <w:vAlign w:val="center"/>
            <w:vMerge w:val="restart"/>
            <w:textDirection w:val="lrTb"/>
            <w:noWrap w:val="false"/>
          </w:tcPr>
          <w:p>
            <w:pPr>
              <w:pStyle w:val="64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空气消毒机</w:t>
            </w:r>
            <w:r>
              <w:rPr>
                <w:rFonts w:hint="eastAsia" w:ascii="宋体" w:hAnsi="宋体" w:eastAsia="宋体" w:cs="宋体"/>
                <w:i w:val="0"/>
                <w:iCs w:val="0"/>
                <w:color w:val="000000"/>
                <w:sz w:val="21"/>
                <w:szCs w:val="21"/>
                <w:highlight w:val="none"/>
                <w:u w:val="none"/>
                <w:lang w:val="en-US" w:eastAsia="zh-CN" w:bidi="ar"/>
              </w:rPr>
            </w:r>
            <w:r/>
          </w:p>
        </w:tc>
        <w:tc>
          <w:tcPr>
            <w:tcW w:w="6413" w:type="dxa"/>
            <w:vAlign w:val="center"/>
            <w:textDirection w:val="lrTb"/>
            <w:noWrap/>
          </w:tcPr>
          <w:p>
            <w:pPr>
              <w:pStyle w:val="647"/>
              <w:numPr>
                <w:ilvl w:val="0"/>
                <w:numId w:val="0"/>
              </w:numP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一、适用范围：</w:t>
            </w:r>
            <w:r>
              <w:rPr>
                <w:rFonts w:hint="eastAsia" w:ascii="宋体" w:hAnsi="宋体" w:eastAsia="宋体" w:cs="宋体"/>
                <w:b/>
                <w:bCs/>
                <w:color w:val="000000"/>
                <w:sz w:val="21"/>
                <w:szCs w:val="21"/>
                <w:highlight w:val="none"/>
              </w:rPr>
              <w:t xml:space="preserve">适用</w:t>
            </w:r>
            <w:r>
              <w:rPr>
                <w:rFonts w:hint="eastAsia" w:ascii="宋体" w:hAnsi="宋体" w:eastAsia="宋体" w:cs="宋体"/>
                <w:b/>
                <w:bCs/>
                <w:color w:val="000000"/>
                <w:sz w:val="21"/>
                <w:szCs w:val="21"/>
                <w:highlight w:val="none"/>
                <w:lang w:val="en-US" w:eastAsia="zh-CN"/>
              </w:rPr>
              <w:t xml:space="preserve">100</w:t>
            </w:r>
            <w:r>
              <w:rPr>
                <w:rFonts w:hint="eastAsia" w:ascii="宋体" w:hAnsi="宋体" w:eastAsia="宋体" w:cs="宋体"/>
                <w:b/>
                <w:bCs/>
                <w:color w:val="000000"/>
                <w:sz w:val="21"/>
                <w:szCs w:val="21"/>
                <w:highlight w:val="none"/>
              </w:rPr>
              <w:t xml:space="preserve">m³体积及以下的场所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bidi="ar-SA"/>
              </w:rPr>
            </w:r>
            <w:r/>
          </w:p>
          <w:p>
            <w:pPr>
              <w:pStyle w:val="647"/>
              <w:numPr>
                <w:ilvl w:val="0"/>
                <w:numId w:val="0"/>
              </w:numP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二、技术参数要求：</w:t>
            </w:r>
            <w:r>
              <w:rPr>
                <w:rFonts w:hint="eastAsia" w:ascii="宋体" w:hAnsi="宋体" w:eastAsia="宋体" w:cs="宋体"/>
                <w:b/>
                <w:bCs/>
                <w:color w:val="000000"/>
                <w:sz w:val="21"/>
                <w:szCs w:val="21"/>
                <w:highlight w:val="none"/>
                <w:lang w:val="en-US" w:eastAsia="zh-CN" w:bidi="ar-SA"/>
              </w:rPr>
            </w:r>
            <w:r/>
          </w:p>
          <w:p>
            <w:pPr>
              <w:pStyle w:val="647"/>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采用等离子体消毒灭菌，杀菌广谱、彻底；内含</w:t>
            </w:r>
            <w:r>
              <w:rPr>
                <w:rFonts w:hint="eastAsia" w:ascii="宋体" w:hAnsi="宋体" w:eastAsia="宋体" w:cs="宋体"/>
                <w:color w:val="000000"/>
                <w:sz w:val="21"/>
                <w:szCs w:val="21"/>
                <w:highlight w:val="none"/>
                <w:lang w:val="en-US" w:eastAsia="zh-CN"/>
              </w:rPr>
              <w:t xml:space="preserve">复合式</w:t>
            </w:r>
            <w:r>
              <w:rPr>
                <w:rFonts w:hint="eastAsia" w:ascii="宋体" w:hAnsi="宋体" w:eastAsia="宋体" w:cs="宋体"/>
                <w:color w:val="000000"/>
                <w:sz w:val="21"/>
                <w:szCs w:val="21"/>
                <w:highlight w:val="none"/>
              </w:rPr>
              <w:t xml:space="preserve">过滤器，可有效除去空气中的挥发性气体、各种异味以及过滤毛发、粉尘等大尘埃颗粒；</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医用等离子体空气消毒器壳体采用优质冷轧钢板，结构强度高，完全阻燃；表面静电喷涂，防尘效果好、使用寿命长、安全系数高；</w:t>
            </w:r>
            <w:r>
              <w:rPr>
                <w:rFonts w:hint="eastAsia" w:ascii="宋体" w:hAnsi="宋体" w:eastAsia="宋体" w:cs="宋体"/>
                <w:color w:val="000000"/>
                <w:sz w:val="21"/>
                <w:szCs w:val="21"/>
                <w:highlight w:val="none"/>
              </w:rPr>
            </w:r>
            <w:r/>
          </w:p>
          <w:p>
            <w:pPr>
              <w:pStyle w:val="647"/>
              <w:numPr>
                <w:ilvl w:val="0"/>
                <w:numId w:val="0"/>
              </w:numPr>
              <w:rPr>
                <w:rFonts w:hint="eastAsia" w:ascii="宋体" w:hAnsi="宋体" w:eastAsia="宋体" w:cs="宋体"/>
                <w:b/>
                <w:bCs/>
                <w:strike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额定循环风量≥</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00m³/h，可适用</w:t>
            </w:r>
            <w:r>
              <w:rPr>
                <w:rFonts w:hint="eastAsia" w:ascii="宋体" w:hAnsi="宋体" w:eastAsia="宋体" w:cs="宋体"/>
                <w:b/>
                <w:bCs/>
                <w:color w:val="000000"/>
                <w:sz w:val="21"/>
                <w:szCs w:val="21"/>
                <w:highlight w:val="none"/>
                <w:lang w:val="en-US" w:eastAsia="zh-CN"/>
              </w:rPr>
              <w:t xml:space="preserve">100</w:t>
            </w:r>
            <w:r>
              <w:rPr>
                <w:rFonts w:hint="eastAsia" w:ascii="宋体" w:hAnsi="宋体" w:eastAsia="宋体" w:cs="宋体"/>
                <w:b/>
                <w:bCs/>
                <w:color w:val="000000"/>
                <w:sz w:val="21"/>
                <w:szCs w:val="21"/>
                <w:highlight w:val="none"/>
              </w:rPr>
              <w:t xml:space="preserve">m³体积及以下的场所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安</w:t>
            </w:r>
            <w:r>
              <w:rPr>
                <w:rFonts w:hint="eastAsia" w:ascii="宋体" w:hAnsi="宋体" w:eastAsia="宋体" w:cs="宋体"/>
                <w:b/>
                <w:bCs/>
                <w:strike w:val="0"/>
                <w:color w:val="000000"/>
                <w:sz w:val="21"/>
                <w:szCs w:val="21"/>
                <w:highlight w:val="none"/>
                <w:lang w:val="en-US" w:eastAsia="zh-CN"/>
              </w:rPr>
              <w:t xml:space="preserve">装方式移动式；</w:t>
            </w:r>
            <w:r>
              <w:rPr>
                <w:rFonts w:hint="eastAsia" w:ascii="宋体" w:hAnsi="宋体" w:eastAsia="宋体" w:cs="宋体"/>
                <w:b/>
                <w:bCs/>
                <w:strike w:val="0"/>
                <w:color w:val="000000"/>
                <w:sz w:val="21"/>
                <w:szCs w:val="21"/>
                <w:highlight w:val="none"/>
                <w:lang w:val="en-US" w:eastAsia="zh-CN"/>
              </w:rPr>
            </w:r>
            <w:r/>
          </w:p>
          <w:p>
            <w:pPr>
              <w:pStyle w:val="647"/>
              <w:rPr>
                <w:rFonts w:hint="eastAsia" w:ascii="宋体" w:hAnsi="宋体" w:eastAsia="宋体" w:cs="宋体"/>
                <w:b/>
                <w:bCs/>
                <w:strike/>
                <w:color w:val="000000"/>
                <w:sz w:val="21"/>
                <w:szCs w:val="21"/>
                <w:highlight w:val="none"/>
                <w:lang w:eastAsia="zh-CN"/>
              </w:rPr>
            </w:pPr>
            <w:r>
              <w:rPr>
                <w:rFonts w:hint="eastAsia" w:ascii="宋体" w:hAnsi="宋体" w:eastAsia="宋体" w:cs="宋体"/>
                <w:b/>
                <w:bCs/>
                <w:strike w:val="0"/>
                <w:color w:val="000000"/>
                <w:sz w:val="21"/>
                <w:szCs w:val="21"/>
                <w:highlight w:val="none"/>
                <w:lang w:val="en-US" w:eastAsia="zh-CN"/>
              </w:rPr>
              <w:t xml:space="preserve">▲4</w:t>
            </w:r>
            <w:r>
              <w:rPr>
                <w:rFonts w:hint="eastAsia" w:ascii="宋体" w:hAnsi="宋体" w:eastAsia="宋体" w:cs="宋体"/>
                <w:b/>
                <w:bCs/>
                <w:strike w:val="0"/>
                <w:color w:val="000000"/>
                <w:sz w:val="21"/>
                <w:szCs w:val="21"/>
                <w:highlight w:val="none"/>
              </w:rPr>
              <w:t xml:space="preserve">、</w:t>
            </w:r>
            <w:r>
              <w:rPr>
                <w:rFonts w:hint="eastAsia" w:ascii="宋体" w:hAnsi="宋体" w:eastAsia="宋体" w:cs="宋体"/>
                <w:b/>
                <w:bCs/>
                <w:strike w:val="0"/>
                <w:color w:val="000000"/>
                <w:sz w:val="21"/>
                <w:szCs w:val="21"/>
                <w:highlight w:val="none"/>
                <w:lang w:val="en-US" w:eastAsia="zh-CN"/>
              </w:rPr>
              <w:t xml:space="preserve">等离子体发生器</w:t>
            </w:r>
            <w:r>
              <w:rPr>
                <w:rFonts w:hint="eastAsia" w:ascii="宋体" w:hAnsi="宋体" w:eastAsia="宋体" w:cs="宋体"/>
                <w:b/>
                <w:bCs/>
                <w:strike w:val="0"/>
                <w:color w:val="000000"/>
                <w:sz w:val="21"/>
                <w:szCs w:val="21"/>
                <w:highlight w:val="none"/>
              </w:rPr>
              <w:t xml:space="preserve">电场强度</w:t>
            </w:r>
            <w:r>
              <w:rPr>
                <w:rFonts w:hint="eastAsia" w:ascii="宋体" w:hAnsi="宋体" w:eastAsia="宋体" w:cs="宋体"/>
                <w:b/>
                <w:bCs/>
                <w:strike w:val="0"/>
                <w:color w:val="000000"/>
                <w:sz w:val="21"/>
                <w:szCs w:val="21"/>
                <w:highlight w:val="none"/>
                <w:lang w:val="en-US" w:eastAsia="zh-CN"/>
              </w:rPr>
              <w:t xml:space="preserve">≥8000</w:t>
            </w:r>
            <w:r>
              <w:rPr>
                <w:rFonts w:hint="eastAsia" w:ascii="宋体" w:hAnsi="宋体" w:eastAsia="宋体" w:cs="宋体"/>
                <w:b/>
                <w:bCs/>
                <w:strike w:val="0"/>
                <w:color w:val="000000"/>
                <w:sz w:val="21"/>
                <w:szCs w:val="21"/>
                <w:highlight w:val="none"/>
              </w:rPr>
              <w:t xml:space="preserve">V</w:t>
            </w:r>
            <w:r>
              <w:rPr>
                <w:rFonts w:hint="eastAsia" w:ascii="宋体" w:hAnsi="宋体" w:eastAsia="宋体" w:cs="宋体"/>
                <w:b/>
                <w:bCs/>
                <w:strike w:val="0"/>
                <w:color w:val="000000"/>
                <w:sz w:val="21"/>
                <w:szCs w:val="21"/>
                <w:highlight w:val="none"/>
                <w:lang w:eastAsia="zh-CN"/>
              </w:rPr>
              <w:t xml:space="preserve">；</w:t>
            </w:r>
            <w:r>
              <w:rPr>
                <w:rFonts w:hint="eastAsia" w:ascii="宋体" w:hAnsi="宋体" w:eastAsia="宋体" w:cs="宋体"/>
                <w:b/>
                <w:bCs/>
                <w:strike/>
                <w:color w:val="000000"/>
                <w:sz w:val="21"/>
                <w:szCs w:val="21"/>
                <w:highlight w:val="none"/>
                <w:lang w:eastAsia="zh-CN"/>
              </w:rPr>
            </w:r>
            <w:r/>
          </w:p>
          <w:p>
            <w:pPr>
              <w:pStyle w:val="647"/>
              <w:numPr>
                <w:ilvl w:val="0"/>
                <w:numId w:val="0"/>
              </w:numPr>
              <w:rPr>
                <w:rFonts w:hint="eastAsia" w:ascii="宋体" w:hAnsi="宋体" w:eastAsia="宋体" w:cs="宋体"/>
                <w:b/>
                <w:bCs/>
                <w:strike w:val="0"/>
                <w:color w:val="000000"/>
                <w:sz w:val="21"/>
                <w:szCs w:val="21"/>
                <w:highlight w:val="none"/>
                <w:lang w:eastAsia="zh-CN"/>
              </w:rPr>
            </w:pPr>
            <w:r>
              <w:rPr>
                <w:rFonts w:hint="eastAsia" w:ascii="宋体" w:hAnsi="宋体" w:eastAsia="宋体" w:cs="宋体"/>
                <w:b/>
                <w:bCs/>
                <w:strike w:val="0"/>
                <w:color w:val="000000"/>
                <w:sz w:val="21"/>
                <w:szCs w:val="21"/>
                <w:highlight w:val="none"/>
                <w:lang w:val="en-US" w:eastAsia="zh-CN"/>
              </w:rPr>
              <w:t xml:space="preserve">▲</w:t>
            </w:r>
            <w:r>
              <w:rPr>
                <w:rFonts w:hint="eastAsia" w:ascii="宋体" w:hAnsi="宋体" w:eastAsia="宋体" w:cs="宋体"/>
                <w:b/>
                <w:bCs/>
                <w:strike w:val="0"/>
                <w:color w:val="000000"/>
                <w:sz w:val="21"/>
                <w:szCs w:val="21"/>
                <w:highlight w:val="none"/>
                <w:lang w:val="en-US" w:eastAsia="zh-CN" w:bidi="ar-SA"/>
              </w:rPr>
              <w:t xml:space="preserve">5、</w:t>
            </w:r>
            <w:r>
              <w:rPr>
                <w:rFonts w:hint="eastAsia" w:ascii="宋体" w:hAnsi="宋体" w:eastAsia="宋体" w:cs="宋体"/>
                <w:b/>
                <w:bCs/>
                <w:strike w:val="0"/>
                <w:color w:val="000000"/>
                <w:sz w:val="21"/>
                <w:szCs w:val="21"/>
                <w:highlight w:val="none"/>
                <w:lang w:val="en-US" w:eastAsia="zh-CN"/>
              </w:rPr>
              <w:t xml:space="preserve">等离子体发生器</w:t>
            </w:r>
            <w:r>
              <w:rPr>
                <w:rFonts w:hint="eastAsia" w:ascii="宋体" w:hAnsi="宋体" w:eastAsia="宋体" w:cs="宋体"/>
                <w:b/>
                <w:bCs/>
                <w:strike w:val="0"/>
                <w:color w:val="000000"/>
                <w:sz w:val="21"/>
                <w:szCs w:val="21"/>
                <w:highlight w:val="none"/>
              </w:rPr>
              <w:t xml:space="preserve">集尘区电场强度</w:t>
            </w:r>
            <w:r>
              <w:rPr>
                <w:rFonts w:hint="eastAsia" w:ascii="宋体" w:hAnsi="宋体" w:eastAsia="宋体" w:cs="宋体"/>
                <w:b/>
                <w:bCs/>
                <w:strike w:val="0"/>
                <w:color w:val="000000"/>
                <w:sz w:val="21"/>
                <w:szCs w:val="21"/>
                <w:highlight w:val="none"/>
                <w:lang w:val="en-US" w:eastAsia="zh-CN"/>
              </w:rPr>
              <w:t xml:space="preserve">≥35</w:t>
            </w:r>
            <w:r>
              <w:rPr>
                <w:rFonts w:hint="eastAsia" w:ascii="宋体" w:hAnsi="宋体" w:eastAsia="宋体" w:cs="宋体"/>
                <w:b/>
                <w:bCs/>
                <w:strike w:val="0"/>
                <w:color w:val="000000"/>
                <w:sz w:val="21"/>
                <w:szCs w:val="21"/>
                <w:highlight w:val="none"/>
              </w:rPr>
              <w:t xml:space="preserve">00V；</w:t>
            </w:r>
            <w:r>
              <w:rPr>
                <w:rFonts w:hint="eastAsia" w:ascii="宋体" w:hAnsi="宋体" w:eastAsia="宋体" w:cs="宋体"/>
                <w:b/>
                <w:bCs/>
                <w:strike w:val="0"/>
                <w:color w:val="000000"/>
                <w:sz w:val="21"/>
                <w:szCs w:val="21"/>
                <w:highlight w:val="none"/>
                <w:lang w:eastAsia="zh-CN"/>
              </w:rPr>
            </w:r>
            <w:r/>
          </w:p>
          <w:p>
            <w:pPr>
              <w:pStyle w:val="647"/>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rPr>
              <w:t xml:space="preserve">等离子体发生器</w:t>
            </w:r>
            <w:r>
              <w:rPr>
                <w:rFonts w:hint="eastAsia" w:ascii="宋体" w:hAnsi="宋体" w:eastAsia="宋体" w:cs="宋体"/>
                <w:color w:val="000000"/>
                <w:sz w:val="21"/>
                <w:szCs w:val="21"/>
                <w:highlight w:val="none"/>
              </w:rPr>
              <w:t xml:space="preserve">产生的等离子体密度可达5.6×10</w:t>
            </w:r>
            <w:r>
              <w:rPr>
                <w:rFonts w:hint="eastAsia" w:ascii="宋体" w:hAnsi="宋体" w:eastAsia="宋体" w:cs="宋体"/>
                <w:color w:val="000000"/>
                <w:sz w:val="21"/>
                <w:szCs w:val="21"/>
                <w:highlight w:val="none"/>
                <w:vertAlign w:val="superscript"/>
                <w:lang w:val="en-US" w:eastAsia="zh-CN"/>
              </w:rPr>
              <w:t xml:space="preserve">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1.25×10</w:t>
            </w:r>
            <w:r>
              <w:rPr>
                <w:rFonts w:hint="eastAsia" w:ascii="宋体" w:hAnsi="宋体" w:eastAsia="宋体" w:cs="宋体"/>
                <w:color w:val="000000"/>
                <w:sz w:val="21"/>
                <w:szCs w:val="21"/>
                <w:highlight w:val="none"/>
                <w:vertAlign w:val="superscript"/>
                <w:lang w:val="en-US" w:eastAsia="zh-CN"/>
              </w:rPr>
              <w:t xml:space="preserve">19</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b/>
                <w:bCs/>
                <w:color w:val="000000"/>
                <w:sz w:val="21"/>
                <w:szCs w:val="21"/>
                <w:highlight w:val="none"/>
                <w:lang w:val="en-US" w:eastAsia="zh-CN"/>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rPr>
              <w:t xml:space="preserve">等离子体发生器</w:t>
            </w:r>
            <w:r>
              <w:rPr>
                <w:rFonts w:hint="eastAsia" w:ascii="宋体" w:hAnsi="宋体" w:eastAsia="宋体" w:cs="宋体"/>
                <w:b/>
                <w:bCs/>
                <w:color w:val="000000"/>
                <w:sz w:val="21"/>
                <w:szCs w:val="21"/>
                <w:highlight w:val="none"/>
                <w:lang w:val="en-US" w:eastAsia="zh-CN"/>
              </w:rPr>
              <w:t xml:space="preserve">使用</w:t>
            </w:r>
            <w:r>
              <w:rPr>
                <w:rFonts w:hint="eastAsia" w:ascii="宋体" w:hAnsi="宋体" w:eastAsia="宋体" w:cs="宋体"/>
                <w:b/>
                <w:bCs/>
                <w:color w:val="000000"/>
                <w:sz w:val="21"/>
                <w:szCs w:val="21"/>
                <w:highlight w:val="none"/>
              </w:rPr>
              <w:t xml:space="preserve">寿命≥</w:t>
            </w: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rPr>
              <w:t xml:space="preserve">000h</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高压电源使用寿命≥45000h</w:t>
            </w:r>
            <w:r>
              <w:rPr>
                <w:rFonts w:hint="eastAsia" w:ascii="宋体" w:hAnsi="宋体" w:eastAsia="宋体" w:cs="宋体"/>
                <w:b/>
                <w:bCs/>
                <w:color w:val="000000"/>
                <w:sz w:val="21"/>
                <w:szCs w:val="21"/>
                <w:highlight w:val="none"/>
              </w:rPr>
              <w:t xml:space="preserve">；</w:t>
            </w:r>
            <w:r>
              <w:rPr>
                <w:rFonts w:hint="eastAsia" w:ascii="宋体" w:hAnsi="宋体" w:eastAsia="宋体" w:cs="宋体"/>
                <w:b/>
                <w:bCs/>
                <w:strike/>
                <w:color w:val="000000"/>
                <w:sz w:val="21"/>
                <w:szCs w:val="21"/>
                <w:highlight w:val="none"/>
                <w:lang w:val="en-US" w:eastAsia="zh-CN"/>
              </w:rPr>
            </w:r>
            <w:r/>
          </w:p>
          <w:p>
            <w:pPr>
              <w:pStyle w:val="647"/>
              <w:numPr>
                <w:ilvl w:val="0"/>
                <w:numId w:val="0"/>
              </w:numPr>
              <w:rPr>
                <w:rFonts w:hint="eastAsia" w:ascii="宋体" w:hAnsi="宋体" w:eastAsia="宋体" w:cs="宋体"/>
                <w:strike/>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rPr>
              <w:t xml:space="preserve">等离子体发生器防水等级符合：GB/T4208-2017 IPX2；</w:t>
            </w:r>
            <w:r>
              <w:rPr>
                <w:rFonts w:hint="eastAsia" w:ascii="宋体" w:hAnsi="宋体" w:eastAsia="宋体" w:cs="宋体"/>
                <w:strike/>
                <w:color w:val="000000"/>
                <w:sz w:val="21"/>
                <w:szCs w:val="21"/>
                <w:highlight w:val="none"/>
                <w:lang w:val="en-US" w:eastAsia="zh-CN"/>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rPr>
              <w:t xml:space="preserve">等离子体发生器高温检测符合：GB/T2423.2-2008 严酷等级：85℃、检测时间2h；</w:t>
            </w:r>
            <w:r>
              <w:rPr>
                <w:rFonts w:hint="eastAsia" w:ascii="宋体" w:hAnsi="宋体" w:eastAsia="宋体" w:cs="宋体"/>
                <w:b/>
                <w:bCs/>
                <w:strike/>
                <w:color w:val="000000"/>
                <w:sz w:val="21"/>
                <w:szCs w:val="21"/>
                <w:highlight w:val="none"/>
                <w:lang w:val="en-US" w:eastAsia="zh-CN"/>
              </w:rPr>
            </w:r>
            <w:r/>
          </w:p>
          <w:p>
            <w:pPr>
              <w:pStyle w:val="647"/>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rPr>
              <w:t xml:space="preserve">配备负离子发生器，所产生负离子密度≥4.82×10</w:t>
            </w:r>
            <w:r>
              <w:rPr>
                <w:rFonts w:hint="eastAsia" w:ascii="宋体" w:hAnsi="宋体" w:eastAsia="宋体" w:cs="宋体"/>
                <w:color w:val="000000"/>
                <w:sz w:val="21"/>
                <w:szCs w:val="21"/>
                <w:highlight w:val="none"/>
                <w:vertAlign w:val="superscript"/>
              </w:rPr>
              <w:t xml:space="preserve">7</w:t>
            </w:r>
            <w:r>
              <w:rPr>
                <w:rFonts w:hint="eastAsia" w:ascii="宋体" w:hAnsi="宋体" w:eastAsia="宋体" w:cs="宋体"/>
                <w:color w:val="000000"/>
                <w:sz w:val="21"/>
                <w:szCs w:val="21"/>
                <w:highlight w:val="none"/>
              </w:rPr>
              <w:t xml:space="preserve">个/cm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rPr>
              <w:t xml:space="preserve">设备持续工作1h，臭氧残留量</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val="en-US" w:eastAsia="zh-CN"/>
              </w:rPr>
              <w:t xml:space="preserve">002</w:t>
            </w:r>
            <w:r>
              <w:rPr>
                <w:rFonts w:hint="eastAsia" w:ascii="宋体" w:hAnsi="宋体" w:eastAsia="宋体" w:cs="宋体"/>
                <w:color w:val="000000"/>
                <w:sz w:val="21"/>
                <w:szCs w:val="21"/>
                <w:highlight w:val="none"/>
              </w:rPr>
              <w:t xml:space="preserve">mg/m³</w:t>
            </w:r>
            <w:r>
              <w:rPr>
                <w:rFonts w:hint="eastAsia" w:ascii="宋体" w:hAnsi="宋体" w:eastAsia="宋体" w:cs="宋体"/>
                <w:strike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rPr>
              <w:t xml:space="preserve">对白色葡萄球菌的杀灭率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99.90%；</w:t>
            </w:r>
            <w:r>
              <w:rPr>
                <w:rFonts w:hint="eastAsia" w:ascii="宋体" w:hAnsi="宋体" w:eastAsia="宋体" w:cs="宋体"/>
                <w:color w:val="000000"/>
                <w:sz w:val="21"/>
                <w:szCs w:val="21"/>
                <w:highlight w:val="none"/>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bidi="ar-SA"/>
              </w:rPr>
              <w:t xml:space="preserve">13、</w:t>
            </w:r>
            <w:r>
              <w:rPr>
                <w:rFonts w:hint="eastAsia" w:ascii="宋体" w:hAnsi="宋体" w:eastAsia="宋体" w:cs="宋体"/>
                <w:b/>
                <w:bCs/>
                <w:color w:val="000000"/>
                <w:sz w:val="21"/>
                <w:szCs w:val="21"/>
                <w:highlight w:val="none"/>
              </w:rPr>
              <w:t xml:space="preserve">设备持续工作30min，PM2.5去除率≥99.92%；设备持续工作1h，PM2.5去除率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99.99%；</w:t>
            </w:r>
            <w:r>
              <w:rPr>
                <w:rFonts w:hint="eastAsia" w:ascii="宋体" w:hAnsi="宋体" w:eastAsia="宋体" w:cs="宋体"/>
                <w:b/>
                <w:bCs/>
                <w:strike/>
                <w:color w:val="000000"/>
                <w:sz w:val="21"/>
                <w:szCs w:val="21"/>
                <w:highlight w:val="none"/>
                <w:lang w:val="en-US" w:eastAsia="zh-CN"/>
              </w:rPr>
            </w:r>
            <w:r/>
          </w:p>
          <w:p>
            <w:pPr>
              <w:pStyle w:val="647"/>
              <w:numPr>
                <w:ilvl w:val="0"/>
                <w:numId w:val="0"/>
              </w:numPr>
              <w:rPr>
                <w:rFonts w:hint="eastAsia" w:ascii="宋体" w:hAnsi="宋体" w:eastAsia="宋体" w:cs="宋体"/>
                <w:strike/>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rPr>
              <w:t xml:space="preserve">设备持续工作1h，对体积为</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室内空气中的自然菌消亡率均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trike/>
                <w:color w:val="000000"/>
                <w:sz w:val="21"/>
                <w:szCs w:val="21"/>
                <w:highlight w:val="none"/>
                <w:lang w:eastAsia="zh-CN"/>
              </w:rPr>
            </w:r>
            <w:r/>
          </w:p>
          <w:p>
            <w:pPr>
              <w:pStyle w:val="647"/>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rPr>
              <w:t xml:space="preserve">设备持续工作2h，甲醛的净化效率≥9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%、氨的净化效率≥9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%、苯的净化效率≥9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%、TVOC净化效率≥9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16、气雾室肺炎克雷伯氏菌、金黄色葡萄球菌、黑曲霉菌、龟分枝杆菌的杀灭率≥99.9%；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17、气雾室冠状病毒HCoV-229E、甲型流感病毒H3N2的杀灭率≥99.99%；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18、气雾室新型冠状病毒SARS-CoV-2的杀灭率≥99.99％；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19、设备在100m³密闭空间内开启60min，空气洁净度达到 8 级（相当于原100000级）的要求；</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20、气雾室甲型流感病毒H1N1的杀灭率≥</w:t>
            </w:r>
            <w:r>
              <w:rPr>
                <w:rFonts w:hint="eastAsia" w:ascii="宋体" w:hAnsi="宋体" w:eastAsia="宋体" w:cs="宋体"/>
                <w:color w:val="000000"/>
                <w:sz w:val="21"/>
                <w:szCs w:val="21"/>
                <w:highlight w:val="none"/>
                <w:lang w:val="en-US" w:eastAsia="zh-CN" w:bidi="ar"/>
              </w:rPr>
              <w:t xml:space="preserve">99.99％；</w:t>
            </w:r>
            <w:r>
              <w:rPr>
                <w:rFonts w:hint="eastAsia" w:ascii="宋体" w:hAnsi="宋体" w:eastAsia="宋体" w:cs="宋体"/>
                <w:color w:val="000000"/>
                <w:sz w:val="21"/>
                <w:szCs w:val="21"/>
                <w:highlight w:val="none"/>
                <w:lang w:val="en-US" w:eastAsia="zh-CN" w:bidi="ar"/>
              </w:rPr>
            </w:r>
            <w:r/>
          </w:p>
          <w:p>
            <w:pPr>
              <w:pStyle w:val="647"/>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▲21、设备持续消毒1h，对溶血性链球菌、鼠伤寒沙门氏菌杀灭率≥99.9%；</w:t>
            </w:r>
            <w:r>
              <w:rPr>
                <w:rFonts w:hint="eastAsia" w:ascii="宋体" w:hAnsi="宋体" w:eastAsia="宋体" w:cs="宋体"/>
                <w:b/>
                <w:bCs/>
                <w:color w:val="000000"/>
                <w:sz w:val="21"/>
                <w:szCs w:val="21"/>
                <w:highlight w:val="none"/>
                <w:lang w:val="en-US" w:eastAsia="zh-CN"/>
              </w:rPr>
            </w:r>
            <w:r/>
          </w:p>
          <w:p>
            <w:pPr>
              <w:pStyle w:val="647"/>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▲22、设备持续消毒1h，噬菌体Phi-X174病毒去除率≥99.99%；</w:t>
            </w:r>
            <w:r>
              <w:rPr>
                <w:rFonts w:hint="eastAsia" w:ascii="宋体" w:hAnsi="宋体" w:eastAsia="宋体" w:cs="宋体"/>
                <w:b/>
                <w:bCs/>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23、设备持续消毒1h，对大肠杆菌、白色念珠菌的杀灭率≥99.9%；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▲24、设备持续消毒30min，对单增李斯特菌、福氏志贺菌的杀灭率≥99.99%；</w:t>
            </w:r>
            <w:r>
              <w:rPr>
                <w:rFonts w:hint="eastAsia" w:ascii="宋体" w:hAnsi="宋体" w:eastAsia="宋体" w:cs="宋体"/>
                <w:b/>
                <w:bCs/>
                <w:strike/>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25、设备持续消毒30min，对铜绿假单胞菌的杀灭率≥99.9%；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▲26、设备持续消毒30min，对人冠状病毒 HCoV-OC43、肠道病毒 EV71的杀灭率≥99.99%；</w:t>
            </w:r>
            <w:r>
              <w:rPr>
                <w:rFonts w:hint="eastAsia" w:ascii="宋体" w:hAnsi="宋体" w:eastAsia="宋体" w:cs="宋体"/>
                <w:b/>
                <w:bCs/>
                <w:strike/>
                <w:color w:val="000000"/>
                <w:sz w:val="21"/>
                <w:szCs w:val="21"/>
                <w:highlight w:val="none"/>
                <w:lang w:val="en-US" w:eastAsia="zh-CN"/>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bCs/>
                <w:color w:val="000000"/>
                <w:sz w:val="21"/>
                <w:szCs w:val="21"/>
                <w:highlight w:val="none"/>
              </w:rPr>
              <w:t xml:space="preserve">远程红外线遥控，可实时显示北京时间，故障报警，可查询显示累计时间等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高、中、低三挡可调风速供用户选择；手控、遥控多种控制方式供用户选择；手动、定时、临时多种工作模式方便用户操作；控制器上设有一键锁定功能，防止误操作；</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程控数量（定时消毒）≥6组，具备工作时间自动累计功能，满足临床需求；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7"/>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、采用复合式过滤器，可有效去除有机气体和医院的各种异味；采用新型多功能两段式等离子体模块，杀菌效率高，集尘效果好，方便维护保养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r>
            <w:r/>
          </w:p>
        </w:tc>
        <w:tc>
          <w:tcPr>
            <w:tcW w:w="720"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tcPr>
          <w:p>
            <w:pPr>
              <w:pStyle w:val="6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ascii="宋体" w:hAnsi="宋体" w:eastAsia="宋体" w:cs="宋体"/>
                <w:i w:val="0"/>
                <w:iCs w:val="0"/>
                <w:color w:val="000000"/>
                <w:sz w:val="22"/>
                <w:szCs w:val="22"/>
                <w:highlight w:val="none"/>
                <w:u w:val="none"/>
                <w:lang w:val="en-US" w:eastAsia="zh-CN" w:bidi="ar"/>
              </w:rPr>
            </w:r>
            <w:r/>
          </w:p>
        </w:tc>
      </w:tr>
      <w:tr>
        <w:trPr>
          <w:trHeight w:val="560"/>
        </w:trPr>
        <w:tc>
          <w:tcPr>
            <w:tcW w:w="497" w:type="dxa"/>
            <w:vAlign w:val="center"/>
            <w:vMerge w:val="continue"/>
            <w:textDirection w:val="lrTb"/>
            <w:noWrap/>
          </w:tcPr>
          <w:p>
            <w:pPr>
              <w:pStyle w:val="647"/>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r>
            <w:r/>
          </w:p>
        </w:tc>
        <w:tc>
          <w:tcPr>
            <w:tcW w:w="1143" w:type="dxa"/>
            <w:vAlign w:val="center"/>
            <w:vMerge w:val="continue"/>
            <w:textDirection w:val="lrTb"/>
            <w:noWrap w:val="false"/>
          </w:tcPr>
          <w:p>
            <w:pPr>
              <w:pStyle w:val="64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6413" w:type="dxa"/>
            <w:vAlign w:val="center"/>
            <w:textDirection w:val="lrTb"/>
            <w:noWrap/>
          </w:tcPr>
          <w:p>
            <w:pPr>
              <w:pStyle w:val="647"/>
              <w:numPr>
                <w:ilvl w:val="0"/>
                <w:numId w:val="0"/>
              </w:numP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一、适用范围：</w:t>
            </w:r>
            <w:r>
              <w:rPr>
                <w:rFonts w:hint="eastAsia" w:ascii="宋体" w:hAnsi="宋体" w:eastAsia="宋体" w:cs="宋体"/>
                <w:b/>
                <w:bCs/>
                <w:color w:val="000000"/>
                <w:sz w:val="21"/>
                <w:szCs w:val="21"/>
                <w:highlight w:val="none"/>
              </w:rPr>
              <w:t xml:space="preserve">适用</w:t>
            </w:r>
            <w:r>
              <w:rPr>
                <w:rFonts w:hint="eastAsia" w:ascii="宋体" w:hAnsi="宋体" w:eastAsia="宋体" w:cs="宋体"/>
                <w:b/>
                <w:bCs/>
                <w:color w:val="000000"/>
                <w:sz w:val="21"/>
                <w:szCs w:val="21"/>
                <w:highlight w:val="none"/>
                <w:lang w:val="en-US" w:eastAsia="zh-CN"/>
              </w:rPr>
              <w:t xml:space="preserve">130</w:t>
            </w:r>
            <w:r>
              <w:rPr>
                <w:rFonts w:hint="eastAsia" w:ascii="宋体" w:hAnsi="宋体" w:eastAsia="宋体" w:cs="宋体"/>
                <w:b/>
                <w:bCs/>
                <w:color w:val="000000"/>
                <w:sz w:val="21"/>
                <w:szCs w:val="21"/>
                <w:highlight w:val="none"/>
              </w:rPr>
              <w:t xml:space="preserve">m³体积及以下的场所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bidi="ar-SA"/>
              </w:rPr>
            </w:r>
            <w:r/>
          </w:p>
          <w:p>
            <w:pPr>
              <w:pStyle w:val="647"/>
              <w:numPr>
                <w:ilvl w:val="0"/>
                <w:numId w:val="0"/>
              </w:numP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二、技术参数要求：</w:t>
            </w:r>
            <w:r>
              <w:rPr>
                <w:rFonts w:hint="eastAsia" w:ascii="宋体" w:hAnsi="宋体" w:eastAsia="宋体" w:cs="宋体"/>
                <w:b/>
                <w:bCs/>
                <w:color w:val="000000"/>
                <w:sz w:val="21"/>
                <w:szCs w:val="21"/>
                <w:highlight w:val="none"/>
                <w:lang w:val="en-US" w:eastAsia="zh-CN" w:bidi="ar-SA"/>
              </w:rPr>
            </w:r>
            <w:r/>
          </w:p>
          <w:p>
            <w:pPr>
              <w:pStyle w:val="647"/>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采用等离子体消毒灭菌，杀菌广谱、彻底；内含</w:t>
            </w:r>
            <w:r>
              <w:rPr>
                <w:rFonts w:hint="eastAsia" w:ascii="宋体" w:hAnsi="宋体" w:eastAsia="宋体" w:cs="宋体"/>
                <w:color w:val="000000"/>
                <w:sz w:val="21"/>
                <w:szCs w:val="21"/>
                <w:highlight w:val="none"/>
                <w:lang w:val="en-US" w:eastAsia="zh-CN"/>
              </w:rPr>
              <w:t xml:space="preserve">复合式</w:t>
            </w:r>
            <w:r>
              <w:rPr>
                <w:rFonts w:hint="eastAsia" w:ascii="宋体" w:hAnsi="宋体" w:eastAsia="宋体" w:cs="宋体"/>
                <w:color w:val="000000"/>
                <w:sz w:val="21"/>
                <w:szCs w:val="21"/>
                <w:highlight w:val="none"/>
              </w:rPr>
              <w:t xml:space="preserve">过滤器，可有效除去空气中的挥发性气体、各种异味以及过滤毛发、粉尘等大尘埃颗粒；</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医用等离子体空气消毒器壳体采用优质冷轧钢板，结构强度高，完全阻燃；表面静电喷涂，防尘效果好、使用寿命长、安全系数高；</w:t>
            </w:r>
            <w:r>
              <w:rPr>
                <w:rFonts w:hint="eastAsia" w:ascii="宋体" w:hAnsi="宋体" w:eastAsia="宋体" w:cs="宋体"/>
                <w:color w:val="000000"/>
                <w:sz w:val="21"/>
                <w:szCs w:val="21"/>
                <w:highlight w:val="none"/>
              </w:rPr>
            </w:r>
            <w:r/>
          </w:p>
          <w:p>
            <w:pPr>
              <w:pStyle w:val="647"/>
              <w:numPr>
                <w:ilvl w:val="0"/>
                <w:numId w:val="0"/>
              </w:numP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额定循环风量≥</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00m³/h，可适用</w:t>
            </w:r>
            <w:r>
              <w:rPr>
                <w:rFonts w:hint="eastAsia" w:ascii="宋体" w:hAnsi="宋体" w:eastAsia="宋体" w:cs="宋体"/>
                <w:b/>
                <w:bCs/>
                <w:color w:val="000000"/>
                <w:sz w:val="21"/>
                <w:szCs w:val="21"/>
                <w:highlight w:val="none"/>
                <w:lang w:val="en-US" w:eastAsia="zh-CN"/>
              </w:rPr>
              <w:t xml:space="preserve">130</w:t>
            </w:r>
            <w:r>
              <w:rPr>
                <w:rFonts w:hint="eastAsia" w:ascii="宋体" w:hAnsi="宋体" w:eastAsia="宋体" w:cs="宋体"/>
                <w:b/>
                <w:bCs/>
                <w:color w:val="000000"/>
                <w:sz w:val="21"/>
                <w:szCs w:val="21"/>
                <w:highlight w:val="none"/>
              </w:rPr>
              <w:t xml:space="preserve">m³体积及以下的场所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安装方式移动式</w:t>
            </w:r>
            <w:r>
              <w:rPr>
                <w:rFonts w:hint="eastAsia" w:ascii="宋体" w:hAnsi="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64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等离子体发生器</w:t>
            </w:r>
            <w:r>
              <w:rPr>
                <w:rFonts w:hint="eastAsia" w:ascii="宋体" w:hAnsi="宋体" w:eastAsia="宋体" w:cs="宋体"/>
                <w:color w:val="000000"/>
                <w:sz w:val="21"/>
                <w:szCs w:val="21"/>
                <w:highlight w:val="none"/>
              </w:rPr>
              <w:t xml:space="preserve">电场强度</w:t>
            </w:r>
            <w:r>
              <w:rPr>
                <w:rFonts w:hint="eastAsia" w:ascii="宋体" w:hAnsi="宋体" w:eastAsia="宋体" w:cs="宋体"/>
                <w:color w:val="000000"/>
                <w:sz w:val="21"/>
                <w:szCs w:val="21"/>
                <w:highlight w:val="none"/>
                <w:lang w:val="en-US" w:eastAsia="zh-CN"/>
              </w:rPr>
              <w:t xml:space="preserve">≥8000</w:t>
            </w:r>
            <w:r>
              <w:rPr>
                <w:rFonts w:hint="eastAsia" w:ascii="宋体" w:hAnsi="宋体" w:eastAsia="宋体" w:cs="宋体"/>
                <w:color w:val="000000"/>
                <w:sz w:val="21"/>
                <w:szCs w:val="21"/>
                <w:highlight w:val="none"/>
              </w:rPr>
              <w:t xml:space="preserve">V</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rPr>
              <w:t xml:space="preserve">等离子体发生器</w:t>
            </w:r>
            <w:r>
              <w:rPr>
                <w:rFonts w:hint="eastAsia" w:ascii="宋体" w:hAnsi="宋体" w:eastAsia="宋体" w:cs="宋体"/>
                <w:color w:val="000000"/>
                <w:sz w:val="21"/>
                <w:szCs w:val="21"/>
                <w:highlight w:val="none"/>
              </w:rPr>
              <w:t xml:space="preserve">集尘区电场强度</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00V；</w:t>
            </w:r>
            <w:r>
              <w:rPr>
                <w:rFonts w:hint="eastAsia" w:ascii="宋体" w:hAnsi="宋体" w:eastAsia="宋体" w:cs="宋体"/>
                <w:color w:val="000000"/>
                <w:sz w:val="21"/>
                <w:szCs w:val="21"/>
                <w:highlight w:val="none"/>
                <w:lang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rPr>
              <w:t xml:space="preserve">等离子体发生器</w:t>
            </w:r>
            <w:r>
              <w:rPr>
                <w:rFonts w:hint="eastAsia" w:ascii="宋体" w:hAnsi="宋体" w:eastAsia="宋体" w:cs="宋体"/>
                <w:color w:val="000000"/>
                <w:sz w:val="21"/>
                <w:szCs w:val="21"/>
                <w:highlight w:val="none"/>
              </w:rPr>
              <w:t xml:space="preserve">产生的等离子体密度可达5.6×10</w:t>
            </w:r>
            <w:r>
              <w:rPr>
                <w:rFonts w:hint="eastAsia" w:ascii="宋体" w:hAnsi="宋体" w:eastAsia="宋体" w:cs="宋体"/>
                <w:color w:val="000000"/>
                <w:sz w:val="21"/>
                <w:szCs w:val="21"/>
                <w:highlight w:val="none"/>
                <w:vertAlign w:val="superscript"/>
                <w:lang w:val="en-US" w:eastAsia="zh-CN"/>
              </w:rPr>
              <w:t xml:space="preserve">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1.25×10</w:t>
            </w:r>
            <w:r>
              <w:rPr>
                <w:rFonts w:hint="eastAsia" w:ascii="宋体" w:hAnsi="宋体" w:eastAsia="宋体" w:cs="宋体"/>
                <w:color w:val="000000"/>
                <w:sz w:val="21"/>
                <w:szCs w:val="21"/>
                <w:highlight w:val="none"/>
                <w:vertAlign w:val="superscript"/>
                <w:lang w:val="en-US" w:eastAsia="zh-CN"/>
              </w:rPr>
              <w:t xml:space="preserve">19</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rPr>
              <w:t xml:space="preserve">等离子体发生器</w:t>
            </w:r>
            <w:r>
              <w:rPr>
                <w:rFonts w:hint="eastAsia" w:ascii="宋体" w:hAnsi="宋体" w:eastAsia="宋体" w:cs="宋体"/>
                <w:color w:val="000000"/>
                <w:sz w:val="21"/>
                <w:szCs w:val="21"/>
                <w:highlight w:val="none"/>
                <w:lang w:val="en-US" w:eastAsia="zh-CN"/>
              </w:rPr>
              <w:t xml:space="preserve">使用</w:t>
            </w:r>
            <w:r>
              <w:rPr>
                <w:rFonts w:hint="eastAsia" w:ascii="宋体" w:hAnsi="宋体" w:eastAsia="宋体" w:cs="宋体"/>
                <w:color w:val="000000"/>
                <w:sz w:val="21"/>
                <w:szCs w:val="21"/>
                <w:highlight w:val="none"/>
              </w:rPr>
              <w:t xml:space="preserve">寿命≥</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000h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高压电源使用寿命≥45000h</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strike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rPr>
              <w:t xml:space="preserve">等离子体发生器防水等级符合：GB/T4208-2017 IPX2</w:t>
            </w:r>
            <w:r>
              <w:rPr>
                <w:rFonts w:hint="eastAsia" w:ascii="宋体" w:hAnsi="宋体" w:eastAsia="宋体" w:cs="宋体"/>
                <w:strike w:val="0"/>
                <w:color w:val="000000"/>
                <w:sz w:val="21"/>
                <w:szCs w:val="21"/>
                <w:highlight w:val="none"/>
                <w:lang w:val="en-US" w:eastAsia="zh-CN"/>
              </w:rPr>
              <w:t xml:space="preserve">；</w:t>
            </w:r>
            <w:r>
              <w:rPr>
                <w:rFonts w:hint="eastAsia" w:ascii="宋体" w:hAnsi="宋体" w:eastAsia="宋体" w:cs="宋体"/>
                <w:strike w:val="0"/>
                <w:color w:val="000000"/>
                <w:sz w:val="21"/>
                <w:szCs w:val="21"/>
                <w:highlight w:val="none"/>
                <w:lang w:val="en-US" w:eastAsia="zh-CN"/>
              </w:rPr>
            </w:r>
            <w:r/>
          </w:p>
          <w:p>
            <w:pPr>
              <w:pStyle w:val="647"/>
              <w:numPr>
                <w:ilvl w:val="0"/>
                <w:numId w:val="0"/>
              </w:numPr>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en-US" w:eastAsia="zh-CN"/>
              </w:rPr>
              <w:t xml:space="preserve">等离子体发生器高温检测符合：GB/T2423.2-2008 严酷等级：85℃、检测时间2h；</w:t>
            </w:r>
            <w:r>
              <w:rPr>
                <w:rFonts w:hint="eastAsia" w:ascii="宋体" w:hAnsi="宋体" w:eastAsia="宋体" w:cs="宋体"/>
                <w:b/>
                <w:bCs/>
                <w:strike/>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rPr>
              <w:t xml:space="preserve">配备负离子发生器，所产生负离子密度≥4.82×10</w:t>
            </w:r>
            <w:r>
              <w:rPr>
                <w:rFonts w:hint="eastAsia" w:ascii="宋体" w:hAnsi="宋体" w:eastAsia="宋体" w:cs="宋体"/>
                <w:color w:val="000000"/>
                <w:sz w:val="21"/>
                <w:szCs w:val="21"/>
                <w:highlight w:val="none"/>
                <w:vertAlign w:val="superscript"/>
              </w:rPr>
              <w:t xml:space="preserve">7</w:t>
            </w:r>
            <w:r>
              <w:rPr>
                <w:rFonts w:hint="eastAsia" w:ascii="宋体" w:hAnsi="宋体" w:eastAsia="宋体" w:cs="宋体"/>
                <w:color w:val="000000"/>
                <w:sz w:val="21"/>
                <w:szCs w:val="21"/>
                <w:highlight w:val="none"/>
              </w:rPr>
              <w:t xml:space="preserve">个/cm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strike w:val="0"/>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rPr>
              <w:t xml:space="preserve">设备持续工作1h，臭氧残留量</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val="en-US" w:eastAsia="zh-CN"/>
              </w:rPr>
              <w:t xml:space="preserve">002</w:t>
            </w:r>
            <w:r>
              <w:rPr>
                <w:rFonts w:hint="eastAsia" w:ascii="宋体" w:hAnsi="宋体" w:eastAsia="宋体" w:cs="宋体"/>
                <w:color w:val="000000"/>
                <w:sz w:val="21"/>
                <w:szCs w:val="21"/>
                <w:highlight w:val="none"/>
              </w:rPr>
              <w:t xml:space="preserve">mg/m³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trike w:val="0"/>
                <w:color w:val="000000"/>
                <w:sz w:val="21"/>
                <w:szCs w:val="21"/>
                <w:highlight w:val="none"/>
                <w:lang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rPr>
              <w:t xml:space="preserve">对白色葡萄球菌的杀灭率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99.90%；</w:t>
            </w:r>
            <w:r>
              <w:rPr>
                <w:rFonts w:hint="eastAsia" w:ascii="宋体" w:hAnsi="宋体" w:eastAsia="宋体" w:cs="宋体"/>
                <w:color w:val="000000"/>
                <w:sz w:val="21"/>
                <w:szCs w:val="21"/>
                <w:highlight w:val="none"/>
                <w:lang w:val="en-US" w:eastAsia="zh-CN"/>
              </w:rPr>
            </w:r>
            <w:r/>
          </w:p>
          <w:p>
            <w:pPr>
              <w:pStyle w:val="647"/>
              <w:numPr>
                <w:ilvl w:val="0"/>
                <w:numId w:val="0"/>
              </w:numPr>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rPr>
              <w:t xml:space="preserve">设备持续工作30min，PM2.5去除率≥99.92%；设备持续工作1h，PM2.5去除率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99.99%；</w:t>
            </w:r>
            <w:r>
              <w:rPr>
                <w:rFonts w:hint="eastAsia" w:ascii="宋体" w:hAnsi="宋体" w:eastAsia="宋体" w:cs="宋体"/>
                <w:color w:val="000000"/>
                <w:sz w:val="21"/>
                <w:szCs w:val="21"/>
                <w:highlight w:val="none"/>
              </w:rPr>
            </w:r>
            <w:r/>
          </w:p>
          <w:p>
            <w:pPr>
              <w:pStyle w:val="647"/>
              <w:numPr>
                <w:ilvl w:val="0"/>
                <w:numId w:val="0"/>
              </w:numPr>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rPr>
              <w:t xml:space="preserve">设备持续工作1h，对体积为</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室内空气中的自然菌消亡率均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numPr>
                <w:ilvl w:val="0"/>
                <w:numId w:val="0"/>
              </w:numPr>
              <w:ind w:left="0" w:firstLine="0"/>
              <w:rPr>
                <w:rFonts w:hint="eastAsia" w:ascii="宋体" w:hAnsi="宋体" w:eastAsia="宋体" w:cs="宋体"/>
                <w:b/>
                <w:bCs/>
                <w:strike/>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bidi="ar-SA"/>
              </w:rPr>
              <w:t xml:space="preserve">15、</w:t>
            </w:r>
            <w:r>
              <w:rPr>
                <w:rFonts w:hint="eastAsia" w:ascii="宋体" w:hAnsi="宋体" w:eastAsia="宋体" w:cs="宋体"/>
                <w:b/>
                <w:bCs/>
                <w:color w:val="000000"/>
                <w:sz w:val="21"/>
                <w:szCs w:val="21"/>
                <w:highlight w:val="none"/>
              </w:rPr>
              <w:t xml:space="preserve">设备持续工作2h，甲醛的净化效率≥9</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%、氨的净化效率≥9</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%、苯的净化效率≥9</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%、TVOC净化效率≥9</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strike/>
                <w:color w:val="000000"/>
                <w:sz w:val="21"/>
                <w:szCs w:val="21"/>
                <w:highlight w:val="none"/>
                <w:lang w:val="en-US" w:eastAsia="zh-CN"/>
              </w:rPr>
            </w:r>
            <w:r/>
          </w:p>
          <w:p>
            <w:pPr>
              <w:pStyle w:val="647"/>
              <w:numPr>
                <w:ilvl w:val="0"/>
                <w:numId w:val="0"/>
              </w:numPr>
              <w:ind w:left="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rPr>
              <w:t xml:space="preserve">气雾室肺炎克雷伯氏菌、金黄色葡萄球菌、黑曲霉菌、龟分枝杆菌的杀灭率≥99.9%；</w:t>
            </w:r>
            <w:r>
              <w:rPr>
                <w:rFonts w:hint="eastAsia" w:ascii="宋体" w:hAnsi="宋体" w:eastAsia="宋体" w:cs="宋体"/>
                <w:color w:val="000000"/>
                <w:sz w:val="21"/>
                <w:szCs w:val="21"/>
                <w:highlight w:val="none"/>
                <w:lang w:val="en-US" w:eastAsia="zh-CN"/>
              </w:rPr>
            </w:r>
            <w:r/>
          </w:p>
          <w:p>
            <w:pPr>
              <w:pStyle w:val="647"/>
              <w:numPr>
                <w:ilvl w:val="0"/>
                <w:numId w:val="0"/>
              </w:numPr>
              <w:ind w:left="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▲17、气雾室冠状病毒HCoV-229E、甲型流感病毒H3N2的杀灭率≥99.99%；</w:t>
            </w:r>
            <w:r>
              <w:rPr>
                <w:rFonts w:hint="eastAsia" w:ascii="宋体" w:hAnsi="宋体" w:eastAsia="宋体" w:cs="宋体"/>
                <w:b/>
                <w:bCs/>
                <w:color w:val="000000"/>
                <w:sz w:val="21"/>
                <w:szCs w:val="21"/>
                <w:highlight w:val="none"/>
                <w:lang w:val="en-US" w:eastAsia="zh-CN"/>
              </w:rPr>
            </w:r>
            <w:r/>
          </w:p>
          <w:p>
            <w:pPr>
              <w:pStyle w:val="647"/>
              <w:numPr>
                <w:ilvl w:val="0"/>
                <w:numId w:val="0"/>
              </w:numPr>
              <w:ind w:left="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18、气雾室新型冠状病毒SARS-CoV-2的杀灭率≥99.99％；</w:t>
            </w:r>
            <w:r>
              <w:rPr>
                <w:rFonts w:hint="eastAsia" w:ascii="宋体" w:hAnsi="宋体" w:eastAsia="宋体" w:cs="宋体"/>
                <w:color w:val="000000"/>
                <w:sz w:val="21"/>
                <w:szCs w:val="21"/>
                <w:highlight w:val="none"/>
                <w:lang w:val="en-US" w:eastAsia="zh-CN"/>
              </w:rPr>
            </w:r>
            <w:r/>
          </w:p>
          <w:p>
            <w:pPr>
              <w:pStyle w:val="647"/>
              <w:numPr>
                <w:ilvl w:val="0"/>
                <w:numId w:val="0"/>
              </w:numPr>
              <w:ind w:left="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▲19、设备在1</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0m³密闭空间内开启60min，空气洁净度达到 8 级（相当于原100000 级）的要求；</w:t>
            </w:r>
            <w:r>
              <w:rPr>
                <w:rFonts w:hint="eastAsia" w:ascii="宋体" w:hAnsi="宋体" w:eastAsia="宋体" w:cs="宋体"/>
                <w:b/>
                <w:bCs/>
                <w:color w:val="000000"/>
                <w:sz w:val="21"/>
                <w:szCs w:val="21"/>
                <w:highlight w:val="none"/>
                <w:lang w:val="en-US" w:eastAsia="zh-CN"/>
              </w:rPr>
            </w:r>
            <w:r/>
          </w:p>
          <w:p>
            <w:pPr>
              <w:pStyle w:val="647"/>
              <w:numPr>
                <w:ilvl w:val="0"/>
                <w:numId w:val="0"/>
              </w:numPr>
              <w:ind w:left="0"/>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rPr>
              <w:t xml:space="preserve">▲20、气雾室甲型流感病毒H1N1的杀灭率≥</w:t>
            </w:r>
            <w:r>
              <w:rPr>
                <w:rFonts w:hint="eastAsia" w:ascii="宋体" w:hAnsi="宋体" w:eastAsia="宋体" w:cs="宋体"/>
                <w:b/>
                <w:bCs/>
                <w:color w:val="000000"/>
                <w:sz w:val="21"/>
                <w:szCs w:val="21"/>
                <w:highlight w:val="none"/>
                <w:lang w:val="en-US" w:eastAsia="zh-CN" w:bidi="ar"/>
              </w:rPr>
              <w:t xml:space="preserve">99.99％；</w:t>
            </w:r>
            <w:r>
              <w:rPr>
                <w:rFonts w:hint="eastAsia" w:ascii="宋体" w:hAnsi="宋体" w:eastAsia="宋体" w:cs="宋体"/>
                <w:b/>
                <w:bCs/>
                <w:color w:val="000000"/>
                <w:sz w:val="21"/>
                <w:szCs w:val="21"/>
                <w:highlight w:val="none"/>
                <w:lang w:val="en-US" w:eastAsia="zh-CN" w:bidi="ar"/>
              </w:rPr>
            </w:r>
            <w:r/>
          </w:p>
          <w:p>
            <w:pPr>
              <w:pStyle w:val="647"/>
              <w:numPr>
                <w:ilvl w:val="0"/>
                <w:numId w:val="0"/>
              </w:numPr>
              <w:ind w:left="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21、</w:t>
            </w:r>
            <w:r>
              <w:rPr>
                <w:rFonts w:hint="eastAsia" w:ascii="宋体" w:hAnsi="宋体" w:eastAsia="宋体" w:cs="宋体"/>
                <w:b w:val="0"/>
                <w:bCs w:val="0"/>
                <w:color w:val="000000"/>
                <w:sz w:val="21"/>
                <w:szCs w:val="21"/>
                <w:highlight w:val="none"/>
                <w:lang w:val="en-US" w:eastAsia="zh-CN"/>
              </w:rPr>
              <w:t xml:space="preserve">设备持续消毒1h，对溶血性链球菌、鼠伤寒沙门氏菌杀灭率≥99.9%；</w:t>
            </w:r>
            <w:r>
              <w:rPr>
                <w:rFonts w:hint="eastAsia" w:ascii="宋体" w:hAnsi="宋体" w:eastAsia="宋体" w:cs="宋体"/>
                <w:b w:val="0"/>
                <w:bCs w:val="0"/>
                <w:color w:val="000000"/>
                <w:sz w:val="21"/>
                <w:szCs w:val="21"/>
                <w:highlight w:val="none"/>
                <w:lang w:val="en-US" w:eastAsia="zh-CN"/>
              </w:rPr>
            </w:r>
            <w:r/>
          </w:p>
          <w:p>
            <w:pPr>
              <w:pStyle w:val="647"/>
              <w:numPr>
                <w:ilvl w:val="0"/>
                <w:numId w:val="0"/>
              </w:numPr>
              <w:ind w:left="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rPr>
              <w:t xml:space="preserve">设备持续消毒1h，噬菌体Phi-X174病毒去除率≥99.99%；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23、设备持续消毒1h，对大肠杆菌、白色念珠菌的杀灭率≥99.9%；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24、设备持续消毒30min，对单增李斯特菌、福氏志贺菌的杀灭率≥99.99%；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25、设备持续消毒30min，对铜绿假单胞菌的杀灭率≥99.9%；</w:t>
            </w:r>
            <w:r>
              <w:rPr>
                <w:rFonts w:hint="eastAsia" w:ascii="宋体" w:hAnsi="宋体" w:eastAsia="宋体" w:cs="宋体"/>
                <w:color w:val="000000"/>
                <w:sz w:val="21"/>
                <w:szCs w:val="21"/>
                <w:highlight w:val="none"/>
                <w:lang w:val="en-US" w:eastAsia="zh-CN"/>
              </w:rPr>
            </w:r>
            <w:r/>
          </w:p>
          <w:p>
            <w:pPr>
              <w:pStyle w:val="647"/>
              <w:numPr>
                <w:ilvl w:val="0"/>
                <w:numId w:val="0"/>
              </w:numPr>
              <w:rPr>
                <w:rFonts w:hint="eastAsia" w:ascii="宋体" w:hAnsi="宋体" w:eastAsia="宋体" w:cs="宋体"/>
                <w:strike/>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26、设备持续消毒30min，对人冠状病毒 HCoV-OC43、肠道病毒 EV71的杀灭率≥99.99%；</w:t>
            </w:r>
            <w:r>
              <w:rPr>
                <w:rFonts w:hint="eastAsia" w:ascii="宋体" w:hAnsi="宋体" w:eastAsia="宋体" w:cs="宋体"/>
                <w:strike/>
                <w:color w:val="000000"/>
                <w:sz w:val="21"/>
                <w:szCs w:val="21"/>
                <w:highlight w:val="none"/>
                <w:lang w:val="en-US" w:eastAsia="zh-CN"/>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bCs/>
                <w:color w:val="000000"/>
                <w:sz w:val="21"/>
                <w:szCs w:val="21"/>
                <w:highlight w:val="none"/>
              </w:rPr>
              <w:t xml:space="preserve">远程红外线遥控，可实时显示北京时间，故障报警，可查询显示累计时间等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高、中、低三挡可调风速供用户选择；手控、遥控多种控制方式供用户选择；手动、定时、临时多种工作模式方便用户操作；控制器上设有一键锁定功能，防止误操作；</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程控数量（定时消毒）≥6组，具备工作时间自动累计功能，满足临床需求；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4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、采用复合式过滤器，可有效去除有机气体和医院的各种异味；采用新型多功能两段式等离子体模块，杀菌效率高，集尘效果好，方便维护保养；</w:t>
            </w:r>
            <w:r>
              <w:rPr>
                <w:rFonts w:hint="eastAsia" w:ascii="宋体" w:hAnsi="宋体" w:eastAsia="宋体" w:cs="宋体"/>
                <w:color w:val="000000"/>
                <w:sz w:val="21"/>
                <w:szCs w:val="21"/>
                <w:highlight w:val="none"/>
                <w:lang w:val="en-US" w:eastAsia="zh-CN"/>
              </w:rPr>
            </w:r>
            <w:r/>
          </w:p>
        </w:tc>
        <w:tc>
          <w:tcPr>
            <w:tcW w:w="720"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720" w:type="dxa"/>
            <w:vAlign w:val="center"/>
            <w:textDirection w:val="lrTb"/>
            <w:noWrap/>
          </w:tcPr>
          <w:p>
            <w:pPr>
              <w:pStyle w:val="6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r>
    </w:tbl>
    <w:p>
      <w:pPr>
        <w:pStyle w:val="647"/>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64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采购清单</w:t>
      </w:r>
      <w:r>
        <w:rPr>
          <w:rFonts w:hint="eastAsia" w:ascii="宋体" w:hAnsi="宋体" w:eastAsia="宋体" w:cs="宋体"/>
          <w:b/>
          <w:bCs/>
          <w:color w:val="000000"/>
          <w:sz w:val="24"/>
          <w:szCs w:val="24"/>
          <w:highlight w:val="none"/>
        </w:rPr>
        <w:t xml:space="preserve">中的功能/</w:t>
      </w:r>
      <w:r>
        <w:rPr>
          <w:rFonts w:hint="eastAsia" w:ascii="宋体" w:hAnsi="宋体" w:eastAsia="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参数要求是满足</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使用需要的基本技术参数，并未要求</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拟用产品的功能/参数与其完全一致。因为</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或制造商不同，很可能设备名称、功能名称不一致，只要功能实现即可。</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可进行现场勘察（相关费用自理），了解安装位置和应用部署架构，若因未现场勘查或现场勘查错误造成的任何后果，全部责任由</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自负。</w:t>
      </w:r>
      <w:r>
        <w:rPr>
          <w:rFonts w:hint="eastAsia" w:ascii="宋体" w:hAnsi="宋体" w:eastAsia="宋体" w:cs="宋体"/>
          <w:b/>
          <w:bCs/>
          <w:color w:val="000000"/>
          <w:sz w:val="24"/>
          <w:szCs w:val="24"/>
          <w:highlight w:val="none"/>
        </w:rPr>
      </w:r>
      <w:r/>
    </w:p>
    <w:p>
      <w:pPr>
        <w:pStyle w:val="675"/>
        <w:numPr>
          <w:ilvl w:val="0"/>
          <w:numId w:val="0"/>
        </w:numPr>
        <w:ind w:firstLine="562"/>
        <w:spacing w:before="0"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（三）本项目（</w:t>
      </w: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lang w:eastAsia="zh-CN"/>
        </w:rPr>
        <w:t xml:space="preserve">标包）核心产品、主要标的：</w:t>
      </w:r>
      <w:r>
        <w:rPr>
          <w:rFonts w:hint="eastAsia" w:ascii="宋体" w:hAnsi="宋体" w:eastAsia="宋体" w:cs="宋体"/>
          <w:b w:val="0"/>
          <w:bCs w:val="0"/>
          <w:color w:val="000000"/>
          <w:sz w:val="28"/>
          <w:szCs w:val="28"/>
          <w:highlight w:val="none"/>
          <w:lang w:val="en-US" w:eastAsia="zh-CN"/>
        </w:rPr>
        <w:t xml:space="preserve">床单位消毒器</w:t>
      </w:r>
      <w:r>
        <w:rPr>
          <w:rFonts w:hint="eastAsia" w:ascii="宋体" w:hAnsi="宋体" w:eastAsia="宋体" w:cs="宋体"/>
          <w:b w:val="0"/>
          <w:bCs w:val="0"/>
          <w:color w:val="000000"/>
          <w:sz w:val="28"/>
          <w:szCs w:val="28"/>
          <w:highlight w:val="none"/>
          <w:lang w:eastAsia="zh-CN"/>
        </w:rPr>
        <w:t xml:space="preserve">。</w:t>
      </w:r>
      <w:r>
        <w:rPr>
          <w:rFonts w:hint="eastAsia" w:ascii="宋体" w:hAnsi="宋体" w:eastAsia="宋体" w:cs="宋体"/>
          <w:b w:val="0"/>
          <w:bCs w:val="0"/>
          <w:color w:val="000000"/>
          <w:sz w:val="28"/>
          <w:szCs w:val="28"/>
          <w:highlight w:val="none"/>
          <w:lang w:eastAsia="zh-CN"/>
        </w:rPr>
      </w:r>
      <w:r/>
    </w:p>
    <w:p>
      <w:pPr>
        <w:pStyle w:val="675"/>
        <w:ind w:left="0" w:firstLine="562"/>
        <w:spacing w:before="0" w:line="54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lang w:eastAsia="zh-CN"/>
        </w:rPr>
        <w:t xml:space="preserve">四</w:t>
      </w: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rPr>
        <w:t xml:space="preserve">项目实施时间和地点：</w:t>
      </w:r>
      <w:r>
        <w:rPr>
          <w:rFonts w:hint="eastAsia" w:ascii="宋体" w:hAnsi="宋体" w:eastAsia="宋体" w:cs="宋体"/>
          <w:b/>
          <w:bCs/>
          <w:color w:val="000000"/>
          <w:sz w:val="28"/>
          <w:szCs w:val="28"/>
          <w:highlight w:val="none"/>
          <w:lang w:val="zh-CN"/>
        </w:rPr>
      </w:r>
      <w:r/>
    </w:p>
    <w:p>
      <w:pPr>
        <w:pStyle w:val="675"/>
        <w:ind w:left="0" w:firstLine="560"/>
        <w:spacing w:before="0"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28"/>
          <w:szCs w:val="28"/>
          <w:highlight w:val="none"/>
        </w:rPr>
      </w:r>
      <w:r/>
    </w:p>
    <w:p>
      <w:pPr>
        <w:pStyle w:val="675"/>
        <w:ind w:left="0" w:firstLine="560"/>
        <w:spacing w:before="0"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2.交货、安装地点：成交供应商应按照采购人的要求将货物运至采购人指定地点，确保正常使用。</w:t>
      </w:r>
      <w:r>
        <w:rPr>
          <w:rFonts w:hint="eastAsia" w:ascii="宋体" w:hAnsi="宋体" w:eastAsia="宋体" w:cs="宋体"/>
          <w:color w:val="000000"/>
          <w:sz w:val="28"/>
          <w:szCs w:val="28"/>
          <w:highlight w:val="none"/>
        </w:rPr>
      </w:r>
      <w:r/>
    </w:p>
    <w:p>
      <w:pPr>
        <w:pStyle w:val="675"/>
        <w:ind w:left="0" w:firstLine="562"/>
        <w:spacing w:before="0" w:line="54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五</w:t>
      </w:r>
      <w:r>
        <w:rPr>
          <w:rFonts w:hint="eastAsia" w:ascii="宋体" w:hAnsi="宋体" w:eastAsia="宋体" w:cs="宋体"/>
          <w:b/>
          <w:bCs/>
          <w:color w:val="000000"/>
          <w:sz w:val="28"/>
          <w:szCs w:val="28"/>
          <w:highlight w:val="none"/>
        </w:rPr>
        <w:t xml:space="preserve">）质量要求：</w:t>
      </w:r>
      <w:r>
        <w:rPr>
          <w:rFonts w:hint="eastAsia" w:ascii="宋体" w:hAnsi="宋体" w:eastAsia="宋体" w:cs="宋体"/>
          <w:color w:val="000000"/>
          <w:sz w:val="28"/>
          <w:szCs w:val="28"/>
          <w:highlight w:val="none"/>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28"/>
          <w:szCs w:val="28"/>
          <w:highlight w:val="none"/>
        </w:rPr>
      </w:r>
      <w:r/>
    </w:p>
    <w:p>
      <w:pPr>
        <w:pStyle w:val="647"/>
        <w:ind w:firstLine="562"/>
        <w:spacing w:line="540" w:lineRule="exact"/>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售后服务及其他（含安装、调试、培训、维护等）</w:t>
      </w:r>
      <w:r>
        <w:rPr>
          <w:rFonts w:hint="eastAsia" w:ascii="宋体" w:hAnsi="宋体" w:eastAsia="宋体" w:cs="宋体"/>
          <w:b/>
          <w:bCs/>
          <w:color w:val="000000"/>
          <w:sz w:val="28"/>
          <w:szCs w:val="28"/>
          <w:highlight w:val="none"/>
          <w:lang w:val="zh-CN"/>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成交供应商承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2.质保期限（自交货并验收合格之日起计）：</w:t>
      </w:r>
      <w:r>
        <w:rPr>
          <w:rFonts w:hint="eastAsia" w:ascii="宋体" w:hAnsi="宋体" w:eastAsia="宋体" w:cs="宋体"/>
          <w:color w:val="000000"/>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4.培训要求</w:t>
      </w:r>
      <w:r>
        <w:rPr>
          <w:rFonts w:hint="eastAsia" w:ascii="宋体" w:hAnsi="宋体" w:eastAsia="宋体" w:cs="宋体"/>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（1）中标供应商提供免费培训管理技术人员的服务。</w:t>
      </w:r>
      <w:r>
        <w:rPr>
          <w:rFonts w:hint="eastAsia" w:ascii="宋体" w:hAnsi="宋体" w:eastAsia="宋体" w:cs="宋体"/>
          <w:color w:val="000000"/>
          <w:sz w:val="28"/>
          <w:szCs w:val="28"/>
          <w:highlight w:val="none"/>
          <w:lang w:val="zh-CN"/>
        </w:rPr>
      </w:r>
      <w:r/>
    </w:p>
    <w:p>
      <w:pPr>
        <w:pStyle w:val="647"/>
        <w:ind w:firstLine="560"/>
        <w:spacing w:line="5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28"/>
          <w:szCs w:val="28"/>
          <w:highlight w:val="none"/>
          <w:lang w:val="zh-CN"/>
        </w:rPr>
      </w:r>
      <w:r/>
    </w:p>
    <w:p>
      <w:pPr>
        <w:pStyle w:val="647"/>
        <w:ind w:firstLine="560"/>
        <w:spacing w:line="5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（3）培训内容包括正常使用和一般故障排除，并提供完整的培训资料、培训计划等文档。</w:t>
      </w:r>
      <w:r>
        <w:rPr>
          <w:rFonts w:hint="eastAsia" w:ascii="宋体" w:hAnsi="宋体" w:eastAsia="宋体" w:cs="宋体"/>
          <w:color w:val="000000"/>
          <w:sz w:val="28"/>
          <w:szCs w:val="28"/>
          <w:highlight w:val="none"/>
          <w:lang w:val="zh-CN"/>
        </w:rPr>
      </w:r>
      <w:r/>
    </w:p>
    <w:p>
      <w:pPr>
        <w:pStyle w:val="647"/>
        <w:ind w:firstLine="560"/>
        <w:spacing w:line="5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5.如果成交供应商不能履行售后服务承诺，将禁止该单位参加采购单位以后的相关招标活动。</w:t>
      </w:r>
      <w:r>
        <w:rPr>
          <w:rFonts w:hint="eastAsia" w:ascii="宋体" w:hAnsi="宋体" w:eastAsia="宋体" w:cs="宋体"/>
          <w:color w:val="000000"/>
          <w:sz w:val="28"/>
          <w:szCs w:val="28"/>
          <w:highlight w:val="none"/>
        </w:rPr>
      </w:r>
      <w:r/>
    </w:p>
    <w:p>
      <w:pPr>
        <w:pStyle w:val="647"/>
        <w:ind w:firstLine="562"/>
        <w:spacing w:line="5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）项目验收</w:t>
      </w:r>
      <w:r>
        <w:rPr>
          <w:rFonts w:hint="eastAsia" w:ascii="宋体" w:hAnsi="宋体" w:eastAsia="宋体" w:cs="宋体"/>
          <w:b/>
          <w:bCs/>
          <w:color w:val="000000"/>
          <w:sz w:val="28"/>
          <w:szCs w:val="28"/>
          <w:highlight w:val="none"/>
        </w:rPr>
      </w:r>
      <w:r/>
    </w:p>
    <w:p>
      <w:pPr>
        <w:pStyle w:val="647"/>
        <w:ind w:firstLine="560"/>
        <w:spacing w:line="5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28"/>
          <w:szCs w:val="28"/>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47"/>
        <w:ind w:firstLine="560"/>
        <w:spacing w:line="54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28"/>
          <w:szCs w:val="28"/>
          <w:highlight w:val="none"/>
          <w:lang w:val="zh-CN"/>
        </w:rPr>
      </w:r>
      <w:r/>
    </w:p>
    <w:p>
      <w:pPr>
        <w:pStyle w:val="647"/>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采购标的的其他技术、服务等要求</w:t>
      </w:r>
      <w:r>
        <w:rPr>
          <w:rFonts w:hint="eastAsia" w:ascii="宋体" w:hAnsi="宋体" w:eastAsia="宋体" w:cs="宋体"/>
          <w:b/>
          <w:bCs/>
          <w:color w:val="000000"/>
          <w:sz w:val="28"/>
          <w:szCs w:val="28"/>
          <w:highlight w:val="none"/>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一</w:t>
      </w:r>
      <w:r>
        <w:rPr>
          <w:rFonts w:hint="eastAsia" w:ascii="宋体" w:hAnsi="宋体" w:eastAsia="宋体" w:cs="宋体"/>
          <w:sz w:val="28"/>
          <w:szCs w:val="28"/>
        </w:rPr>
        <w:t xml:space="preserve">】</w:t>
      </w:r>
      <w:r>
        <w:rPr>
          <w:rFonts w:hint="eastAsia" w:ascii="宋体" w:hAnsi="宋体" w:eastAsia="宋体" w:cs="宋体"/>
          <w:sz w:val="28"/>
          <w:szCs w:val="28"/>
        </w:rPr>
        <w:t xml:space="preserve">政府采购中实施本国产品标准及相关政策</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1.本项目对采购本国产品给予政策支持，具体内容见招标文件“第四部分 开标和评标”。</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w:t>
      </w:r>
      <w:r>
        <w:rPr>
          <w:rFonts w:hint="eastAsia" w:ascii="宋体" w:hAnsi="宋体" w:eastAsia="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rPr>
      </w:r>
      <w:r/>
    </w:p>
    <w:p>
      <w:pPr>
        <w:pStyle w:val="647"/>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rPr>
      </w:r>
      <w:r/>
    </w:p>
    <w:p>
      <w:pPr>
        <w:pStyle w:val="647"/>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sz w:val="28"/>
          <w:szCs w:val="28"/>
          <w:highlight w:val="yellow"/>
        </w:rPr>
      </w:r>
      <w:r/>
    </w:p>
    <w:p>
      <w:pPr>
        <w:pStyle w:val="647"/>
        <w:ind w:firstLine="562"/>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九</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color w:val="000000"/>
          <w:sz w:val="28"/>
          <w:szCs w:val="28"/>
          <w:highlight w:val="none"/>
          <w:lang w:val="en-US" w:eastAsia="zh-CN"/>
        </w:rPr>
        <w:t xml:space="preserve">供应商的总报价为本项目服务期内所包含的一切费用，报价采用全费用综合单价报价方式，综合单价包括（但不限于）</w:t>
      </w:r>
      <w:r>
        <w:rPr>
          <w:rFonts w:hint="eastAsia" w:ascii="宋体" w:hAnsi="宋体" w:eastAsia="宋体" w:cs="宋体"/>
          <w:color w:val="000000"/>
          <w:sz w:val="28"/>
          <w:szCs w:val="28"/>
          <w:highlight w:val="none"/>
          <w:lang w:val="en-US" w:eastAsia="zh-CN"/>
        </w:rPr>
        <w:t xml:space="preserve">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如有）、全部产品通过验收并交付使用及保修等一切费用，招标代理费及相关费用，以及供应商认为需要的其他费用等。招标文件中所有内容涉及的费用，按常规应当包括的其它费用，投标时一次包定,结算时不再另行追加。请各供应商在报价时请充分考虑各种因素。</w:t>
      </w:r>
      <w:r>
        <w:rPr>
          <w:rFonts w:hint="eastAsia" w:ascii="宋体" w:hAnsi="宋体" w:eastAsia="宋体" w:cs="宋体"/>
          <w:color w:val="000000"/>
          <w:sz w:val="28"/>
          <w:szCs w:val="28"/>
          <w:highlight w:val="none"/>
          <w:lang w:val="en-US" w:eastAsia="zh-CN"/>
        </w:rPr>
      </w:r>
      <w:r/>
    </w:p>
    <w:p>
      <w:pPr>
        <w:pStyle w:val="647"/>
        <w:ind w:firstLine="562"/>
        <w:spacing w:line="50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（十）付款方式：</w:t>
      </w:r>
      <w:r>
        <w:rPr>
          <w:rFonts w:hint="eastAsia" w:ascii="宋体" w:hAnsi="宋体" w:eastAsia="宋体" w:cs="宋体"/>
          <w:b w:val="0"/>
          <w:bCs w:val="0"/>
          <w:color w:val="000000"/>
          <w:sz w:val="28"/>
          <w:szCs w:val="28"/>
          <w:highlight w:val="none"/>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color w:val="000000"/>
          <w:sz w:val="28"/>
          <w:szCs w:val="28"/>
          <w:highlight w:val="none"/>
          <w:lang w:eastAsia="zh-CN"/>
        </w:rPr>
      </w:r>
      <w:r/>
    </w:p>
    <w:p>
      <w:pPr>
        <w:pStyle w:val="647"/>
        <w:ind w:firstLine="562"/>
        <w:spacing w:line="500" w:lineRule="exact"/>
        <w:rPr>
          <w:rFonts w:hint="eastAsia" w:ascii="宋体" w:hAnsi="宋体" w:eastAsia="宋体" w:cs="宋体"/>
          <w:color w:val="000000"/>
          <w:sz w:val="28"/>
          <w:szCs w:val="28"/>
          <w:highlight w:val="none"/>
          <w:u w:val="none"/>
        </w:rPr>
      </w:pPr>
      <w:r>
        <w:rPr>
          <w:rFonts w:hint="eastAsia" w:ascii="宋体" w:hAnsi="宋体" w:eastAsia="宋体" w:cs="宋体"/>
          <w:b/>
          <w:bCs/>
          <w:color w:val="000000"/>
          <w:sz w:val="28"/>
          <w:szCs w:val="28"/>
          <w:highlight w:val="none"/>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highlight w:val="none"/>
          <w:u w:val="none"/>
        </w:rPr>
      </w:r>
      <w:r/>
    </w:p>
    <w:p>
      <w:pPr>
        <w:pStyle w:val="647"/>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u w:val="none"/>
          <w:lang w:eastAsia="zh-CN"/>
        </w:rPr>
        <w:t xml:space="preserve">十一</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647"/>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sz w:val="28"/>
          <w:szCs w:val="28"/>
        </w:rPr>
        <w:t xml:space="preserve">（十</w:t>
      </w: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647"/>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）合同条款</w:t>
      </w:r>
      <w:r>
        <w:rPr>
          <w:rFonts w:hint="eastAsia" w:ascii="宋体" w:hAnsi="宋体" w:eastAsia="宋体" w:cs="宋体"/>
          <w:color w:val="000000"/>
          <w:sz w:val="28"/>
          <w:szCs w:val="28"/>
          <w:highlight w:val="none"/>
        </w:rPr>
      </w:r>
      <w:r/>
    </w:p>
    <w:p>
      <w:pPr>
        <w:pStyle w:val="647"/>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启东市卫生健康委员会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47"/>
        <w:keepLines w:val="0"/>
        <w:keepNext w:val="0"/>
        <w:pageBreakBefore w:val="0"/>
        <w:spacing w:before="120" w:after="120" w:line="48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乙方：（卖方）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647"/>
        <w:keepLines w:val="0"/>
        <w:keepNext w:val="0"/>
        <w:pageBreakBefore w:val="0"/>
        <w:spacing w:before="120" w:after="120" w:line="480" w:lineRule="exact"/>
        <w:widowControl w:val="off"/>
        <w:rPr>
          <w:color w:val="000000"/>
          <w:highlight w:val="none"/>
          <w:u w:val="single"/>
        </w:rPr>
      </w:pP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江苏启晟集团有限公司</w:t>
      </w:r>
      <w:r>
        <w:rPr>
          <w:color w:val="000000"/>
          <w:highlight w:val="none"/>
          <w:u w:val="single"/>
        </w:rPr>
      </w:r>
      <w:r/>
    </w:p>
    <w:p>
      <w:pPr>
        <w:pStyle w:val="647"/>
        <w:ind w:firstLine="480"/>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依据《中华人</w:t>
      </w:r>
      <w:r>
        <w:rPr>
          <w:rFonts w:hint="eastAsia" w:ascii="宋体" w:hAnsi="宋体" w:eastAsia="宋体" w:cs="宋体"/>
          <w:color w:val="000000"/>
          <w:sz w:val="24"/>
          <w:highlight w:val="none"/>
        </w:rPr>
        <w:t xml:space="preserve">民共和国民法典》及其他有关法律、行政法规，遵循平等、自愿、公平和诚实信用的原则，对</w:t>
      </w:r>
      <w:r>
        <w:rPr>
          <w:rFonts w:hint="eastAsia" w:ascii="宋体" w:hAnsi="宋体" w:eastAsia="宋体" w:cs="宋体"/>
          <w:color w:val="000000"/>
          <w:sz w:val="24"/>
          <w:highlight w:val="none"/>
          <w:u w:val="single"/>
          <w:lang w:val="en-US" w:eastAsia="zh-CN"/>
        </w:rPr>
        <w:t xml:space="preserve">启东市第二人民医院异地新建项目护理设备（床单元消毒器、加热毯、医用冰箱等）采购项目</w:t>
      </w:r>
      <w:r>
        <w:rPr>
          <w:rFonts w:hint="eastAsia" w:ascii="宋体" w:hAnsi="宋体" w:cs="宋体"/>
          <w:color w:val="000000"/>
          <w:sz w:val="24"/>
          <w:highlight w:val="none"/>
          <w:u w:val="single"/>
          <w:lang w:val="en-US" w:eastAsia="zh-CN"/>
        </w:rPr>
        <w:t xml:space="preserve">（    标包）</w:t>
      </w:r>
      <w:r>
        <w:rPr>
          <w:rFonts w:hint="eastAsia" w:ascii="宋体" w:hAnsi="宋体" w:cs="宋体"/>
          <w:color w:val="000000"/>
          <w:sz w:val="24"/>
          <w:highlight w:val="none"/>
        </w:rPr>
        <w:t xml:space="preserve">进行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公开招标</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采购，经过评委的严格审核评定，确定</w:t>
      </w:r>
      <w:r>
        <w:rPr>
          <w:rFonts w:hint="eastAsia" w:ascii="宋体" w:hAnsi="宋体" w:cs="宋体"/>
          <w:color w:val="000000"/>
          <w:sz w:val="24"/>
          <w:highlight w:val="none"/>
          <w:u w:val="single"/>
          <w:lang w:val="en-US" w:eastAsia="zh-CN"/>
        </w:rPr>
        <w:t xml:space="preserve">  （乙方）  </w:t>
      </w:r>
      <w:r>
        <w:rPr>
          <w:rFonts w:hint="eastAsia" w:ascii="宋体" w:hAnsi="宋体" w:cs="宋体"/>
          <w:color w:val="000000"/>
          <w:sz w:val="24"/>
          <w:highlight w:val="none"/>
        </w:rPr>
        <w:t xml:space="preserve">为本次成交供应商。</w:t>
      </w:r>
      <w:r>
        <w:rPr>
          <w:rFonts w:hint="eastAsia" w:ascii="宋体" w:hAnsi="宋体" w:cs="宋体"/>
          <w:color w:val="000000"/>
          <w:sz w:val="24"/>
          <w:highlight w:val="none"/>
          <w:lang w:eastAsia="zh-CN"/>
        </w:rPr>
        <w:t xml:space="preserve">甲方、乙方、出资方同意按照下面条款和条件签署本</w:t>
      </w:r>
      <w:r>
        <w:rPr>
          <w:rFonts w:hint="eastAsia" w:ascii="宋体" w:hAnsi="宋体" w:cs="宋体"/>
          <w:color w:val="000000"/>
          <w:sz w:val="24"/>
          <w:highlight w:val="none"/>
        </w:rPr>
        <w:t xml:space="preserve">合同。</w:t>
      </w:r>
      <w:r>
        <w:rPr>
          <w:rFonts w:hint="eastAsia" w:ascii="宋体" w:hAnsi="宋体" w:cs="宋体"/>
          <w:color w:val="000000"/>
          <w:sz w:val="24"/>
          <w:highlight w:val="none"/>
        </w:rPr>
      </w:r>
      <w:r/>
    </w:p>
    <w:p>
      <w:pPr>
        <w:pStyle w:val="647"/>
        <w:keepLines w:val="0"/>
        <w:keepNext w:val="0"/>
        <w:pageBreakBefore w:val="0"/>
        <w:spacing w:before="120" w:after="120" w:line="48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w:t>
      </w:r>
      <w:r>
        <w:rPr>
          <w:rFonts w:hint="eastAsia" w:ascii="宋体" w:hAnsi="宋体" w:eastAsia="宋体" w:cs="宋体"/>
          <w:color w:val="000000"/>
          <w:sz w:val="24"/>
          <w:highlight w:val="none"/>
        </w:rPr>
        <w:t xml:space="preserve">合同金额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w:t>
      </w:r>
      <w:r>
        <w:rPr>
          <w:rFonts w:hint="eastAsia" w:ascii="宋体" w:hAnsi="宋体" w:eastAsia="宋体" w:cs="宋体"/>
          <w:color w:val="000000"/>
          <w:sz w:val="24"/>
          <w:highlight w:val="none"/>
          <w:lang w:val="en-US" w:eastAsia="zh-CN"/>
        </w:rPr>
        <w:t xml:space="preserve">LIS端口费用（如有）、</w:t>
      </w:r>
      <w:r>
        <w:rPr>
          <w:rFonts w:hint="eastAsia" w:ascii="宋体" w:hAnsi="宋体" w:eastAsia="宋体" w:cs="宋体"/>
          <w:color w:val="000000"/>
          <w:sz w:val="24"/>
          <w:highlight w:val="none"/>
        </w:rPr>
        <w:t xml:space="preserve">调试、运行、技术服务支持、保修期内维保服务、管道凿墙槽费、配合费、利润、税金、验收费、总承包配合费</w:t>
      </w:r>
      <w:r>
        <w:rPr>
          <w:rFonts w:hint="eastAsia" w:ascii="宋体" w:hAnsi="宋体" w:eastAsia="宋体" w:cs="宋体"/>
          <w:color w:val="000000"/>
          <w:sz w:val="24"/>
          <w:highlight w:val="none"/>
          <w:lang w:val="zh-CN"/>
        </w:rPr>
        <w:t xml:space="preserve">（如有）</w:t>
      </w:r>
      <w:r>
        <w:rPr>
          <w:rFonts w:hint="eastAsia" w:ascii="宋体" w:hAnsi="宋体" w:eastAsia="宋体" w:cs="宋体"/>
          <w:color w:val="000000"/>
          <w:sz w:val="24"/>
          <w:highlight w:val="none"/>
        </w:rPr>
        <w:t xml:space="preserve">、全部产品通过验收并交付使用及保修等一切费用，以及</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认为需要的其他费用等。</w:t>
      </w:r>
      <w:r>
        <w:rPr>
          <w:rFonts w:hint="eastAsia" w:ascii="宋体" w:hAnsi="宋体" w:eastAsia="宋体" w:cs="宋体"/>
          <w:color w:val="000000"/>
          <w:sz w:val="24"/>
          <w:highlight w:val="none"/>
          <w:lang w:val="zh-CN"/>
        </w:rPr>
        <w:t xml:space="preserve">招标文件中所有内容涉及的费用，按常规应当包括的其它费用，投标时一次包定,结算时不再另行追加。请乙方充分考虑各种因素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三、技术资料</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乙方应按采购文件规定的时间向甲方提供货物的有关技术资料。</w:t>
      </w:r>
      <w:r>
        <w:rPr>
          <w:rFonts w:hint="eastAsia" w:ascii="宋体" w:hAnsi="宋体" w:cs="宋体"/>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四、知识产权</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五、产权担保</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乙方保证所交付的货物的所有权完全属于乙方且无任何抵押、查封等产权瑕疵。</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六、转包</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6.1本合同范围的货物，应由乙方直接供应，不得转让他人供应。</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cs="宋体"/>
          <w:color w:val="000000"/>
          <w:sz w:val="24"/>
          <w:highlight w:val="none"/>
          <w:u w:val="none"/>
          <w:lang w:eastAsia="zh-CN"/>
        </w:rPr>
        <w:t xml:space="preserve">（以投标承诺为准）</w:t>
      </w:r>
      <w:r>
        <w:rPr>
          <w:rFonts w:hint="eastAsia" w:ascii="宋体" w:hAnsi="宋体" w:eastAsia="宋体" w:cs="宋体"/>
          <w:color w:val="000000"/>
          <w:sz w:val="24"/>
          <w:highlight w:val="none"/>
          <w:lang w:eastAsia="zh-CN"/>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八、交货期、交货方式及交货地点</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8.1 </w:t>
      </w:r>
      <w:r>
        <w:rPr>
          <w:rFonts w:hint="eastAsia" w:ascii="宋体" w:hAnsi="宋体" w:eastAsia="宋体" w:cs="宋体"/>
          <w:color w:val="000000"/>
          <w:sz w:val="24"/>
          <w:highlight w:val="none"/>
          <w:lang w:val="en-US" w:eastAsia="zh-CN"/>
        </w:rPr>
        <w:t xml:space="preserve">供货周期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签订合同后，接到</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通知之日起30日历天内交货、安装、调试完毕。如因</w:t>
      </w:r>
      <w:r>
        <w:rPr>
          <w:rFonts w:hint="eastAsia" w:ascii="宋体" w:hAnsi="宋体" w:cs="宋体"/>
          <w:color w:val="000000"/>
          <w:sz w:val="24"/>
          <w:highlight w:val="none"/>
          <w:lang w:val="en-US" w:eastAsia="zh-CN"/>
        </w:rPr>
        <w:t xml:space="preserve">乙方</w:t>
      </w:r>
      <w:r>
        <w:rPr>
          <w:rFonts w:hint="eastAsia" w:ascii="宋体" w:hAnsi="宋体" w:eastAsia="宋体" w:cs="宋体"/>
          <w:color w:val="000000"/>
          <w:sz w:val="24"/>
          <w:highlight w:val="none"/>
          <w:lang w:val="en-US" w:eastAsia="zh-CN"/>
        </w:rPr>
        <w:t xml:space="preserve">原因延期的，除扣除全部履约保证金外，每推迟一天加罚3000元</w:t>
      </w:r>
      <w:r>
        <w:rPr>
          <w:rFonts w:hint="eastAsia" w:ascii="宋体" w:hAnsi="宋体" w:eastAsia="宋体" w:cs="宋体"/>
          <w:color w:val="000000"/>
          <w:sz w:val="24"/>
          <w:highlight w:val="none"/>
        </w:rPr>
        <w:t xml:space="preserve">。</w:t>
      </w:r>
      <w:r>
        <w:rPr>
          <w:rFonts w:hint="eastAsia" w:ascii="宋体" w:hAnsi="宋体" w:cs="宋体"/>
          <w:color w:val="000000"/>
          <w:spacing w:val="-6"/>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8.2交货方式：送货上门</w:t>
      </w:r>
      <w:r>
        <w:rPr>
          <w:rFonts w:hint="eastAsia" w:ascii="宋体" w:hAnsi="宋体" w:cs="宋体"/>
          <w:color w:val="000000"/>
          <w:sz w:val="24"/>
          <w:highlight w:val="none"/>
        </w:rPr>
      </w:r>
      <w:r/>
    </w:p>
    <w:p>
      <w:pPr>
        <w:pStyle w:val="647"/>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8.3交货</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地点：乙方应按照甲方的要求将货物运至甲方指定地点，确保正常使用。（具体放置位置由甲方指定地点）</w:t>
      </w:r>
      <w:r>
        <w:rPr>
          <w:rFonts w:hint="eastAsia" w:ascii="宋体" w:hAnsi="宋体" w:cs="宋体"/>
          <w:color w:val="000000"/>
          <w:sz w:val="24"/>
          <w:highlight w:val="none"/>
        </w:rPr>
      </w:r>
      <w:r/>
    </w:p>
    <w:p>
      <w:pPr>
        <w:pStyle w:val="759"/>
        <w:keepLines w:val="0"/>
        <w:keepNext w:val="0"/>
        <w:pageBreakBefore w:val="0"/>
        <w:spacing w:before="120" w:after="120" w:line="480" w:lineRule="exact"/>
        <w:rPr>
          <w:rFonts w:hint="eastAsia" w:hAnsi="宋体" w:cs="宋体"/>
          <w:b/>
          <w:color w:val="000000"/>
          <w:sz w:val="24"/>
          <w:highlight w:val="none"/>
        </w:rPr>
      </w:pPr>
      <w:r>
        <w:rPr>
          <w:rFonts w:hint="eastAsia" w:hAnsi="宋体" w:cs="宋体"/>
          <w:b/>
          <w:color w:val="000000"/>
          <w:sz w:val="24"/>
          <w:highlight w:val="none"/>
        </w:rPr>
        <w:t xml:space="preserve">九、货款支付</w:t>
      </w:r>
      <w:r>
        <w:rPr>
          <w:rFonts w:hint="eastAsia"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9.1付款方式：</w:t>
      </w:r>
      <w:r>
        <w:rPr>
          <w:rFonts w:hint="eastAsia" w:ascii="宋体" w:hAnsi="宋体" w:cs="宋体"/>
          <w:color w:val="000000"/>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十.税费</w:t>
      </w:r>
      <w:r>
        <w:rPr>
          <w:rFonts w:hint="eastAsia" w:ascii="宋体" w:hAnsi="宋体" w:cs="宋体"/>
          <w:b/>
          <w:color w:val="000000"/>
          <w:sz w:val="24"/>
          <w:highlight w:val="none"/>
        </w:rPr>
      </w:r>
      <w:r/>
    </w:p>
    <w:p>
      <w:pPr>
        <w:pStyle w:val="647"/>
        <w:ind w:left="612" w:hanging="61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本合同执行中相关的一切税费均由乙方负担。</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十一、质量保证及售后服务</w:t>
      </w:r>
      <w:r>
        <w:rPr>
          <w:rFonts w:hint="eastAsia" w:ascii="宋体" w:hAnsi="宋体" w:cs="宋体"/>
          <w:b/>
          <w:color w:val="000000"/>
          <w:sz w:val="24"/>
          <w:highlight w:val="none"/>
        </w:rPr>
      </w:r>
      <w:r/>
    </w:p>
    <w:p>
      <w:pPr>
        <w:pStyle w:val="647"/>
        <w:keepLines w:val="0"/>
        <w:keepNext w:val="0"/>
        <w:pageBreakBefore w:val="0"/>
        <w:spacing w:line="480" w:lineRule="exact"/>
        <w:rPr>
          <w:rFonts w:hint="eastAsia" w:ascii="仿宋" w:hAnsi="仿宋" w:eastAsia="仿宋" w:cs="仿宋"/>
          <w:color w:val="000000"/>
          <w:sz w:val="30"/>
          <w:szCs w:val="30"/>
          <w:highlight w:val="none"/>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质量要求:</w:t>
      </w:r>
      <w:r>
        <w:rPr>
          <w:rFonts w:hint="eastAsia" w:ascii="宋体" w:hAnsi="宋体" w:cs="宋体"/>
          <w:color w:val="000000"/>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000000"/>
          <w:sz w:val="24"/>
          <w:highlight w:val="none"/>
        </w:rPr>
        <w:t xml:space="preserve">。</w:t>
      </w:r>
      <w:r>
        <w:rPr>
          <w:rFonts w:hint="eastAsia" w:ascii="仿宋" w:hAnsi="仿宋" w:eastAsia="仿宋" w:cs="仿宋"/>
          <w:color w:val="000000"/>
          <w:sz w:val="30"/>
          <w:szCs w:val="30"/>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所有货物进场前均须提供产品合格证书、检测报告或有效的证明文件后方可安装。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质保期限（自交货并验收合格之日起计）：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年（以投标承诺为准），原厂质保期高于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将对照招标文件和</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的投标文件，对设备、授权、证明文件进行核验。如发现设备、授权、证明文件与招标文件、投标文件不一致，</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取消其中标供应商资格，由此给</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造成的一切损失，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应承担全部赔偿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培训要求</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提供免费培训管理技术人员的服务。</w:t>
      </w:r>
      <w:r>
        <w:rPr>
          <w:rFonts w:hint="eastAsia" w:ascii="宋体" w:hAnsi="宋体" w:cs="宋体"/>
          <w:color w:val="000000"/>
          <w:sz w:val="24"/>
          <w:highlight w:val="none"/>
          <w:lang w:val="zh-CN"/>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应安排厂家技术人员对使用单位技术人员进行集中原厂培训。</w:t>
      </w:r>
      <w:r>
        <w:rPr>
          <w:rFonts w:hint="eastAsia" w:ascii="宋体" w:hAnsi="宋体" w:cs="宋体"/>
          <w:color w:val="000000"/>
          <w:sz w:val="24"/>
          <w:highlight w:val="none"/>
          <w:lang w:val="zh-CN"/>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eastAsia="宋体" w:cs="宋体"/>
          <w:color w:val="000000"/>
          <w:sz w:val="24"/>
          <w:highlight w:val="none"/>
          <w:lang w:val="zh-CN"/>
        </w:rPr>
        <w:t xml:space="preserve">）培训内容包括正常使用和一般故障排除，并提供完整的培训资料、培训计划等文档。</w:t>
      </w:r>
      <w:r>
        <w:rPr>
          <w:rFonts w:hint="eastAsia" w:ascii="宋体" w:hAnsi="宋体" w:eastAsia="宋体" w:cs="宋体"/>
          <w:color w:val="000000"/>
          <w:sz w:val="24"/>
          <w:highlight w:val="none"/>
          <w:lang w:val="zh-CN"/>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如果乙方不能履行售后服务承诺，将禁止该单位参加甲方以后的相关招标活动。</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乙方提供的货物在质保期内因货物本身的质量问题发生故障，乙方应负责免费更换。对达</w:t>
      </w:r>
      <w:r>
        <w:rPr>
          <w:rFonts w:hint="eastAsia" w:ascii="宋体" w:hAnsi="宋体" w:eastAsia="宋体" w:cs="宋体"/>
          <w:color w:val="000000"/>
          <w:sz w:val="24"/>
          <w:highlight w:val="none"/>
          <w:lang w:val="zh-CN"/>
        </w:rPr>
        <w:t xml:space="preserve">不到</w:t>
      </w:r>
      <w:r>
        <w:rPr>
          <w:rFonts w:hint="eastAsia" w:ascii="宋体" w:hAnsi="宋体" w:eastAsia="宋体" w:cs="宋体"/>
          <w:color w:val="000000"/>
          <w:sz w:val="24"/>
          <w:highlight w:val="none"/>
        </w:rPr>
        <w:t xml:space="preserve">技术要求者，根据实际情况，经双方协商，可按以下办法处理：                                                     </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 更换：由乙方承担所发生的全部费用。                           </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 贬值处理：由甲乙双方合议定价。                               </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 退货处理：乙方应退还</w:t>
      </w:r>
      <w:r>
        <w:rPr>
          <w:rFonts w:hint="eastAsia" w:ascii="宋体" w:hAnsi="宋体" w:eastAsia="宋体" w:cs="宋体"/>
          <w:color w:val="000000"/>
          <w:sz w:val="24"/>
          <w:highlight w:val="none"/>
          <w:lang w:eastAsia="zh-CN"/>
        </w:rPr>
        <w:t xml:space="preserve">甲方或出资方</w:t>
      </w:r>
      <w:r>
        <w:rPr>
          <w:rFonts w:hint="eastAsia" w:ascii="宋体" w:hAnsi="宋体" w:eastAsia="宋体" w:cs="宋体"/>
          <w:color w:val="000000"/>
          <w:sz w:val="24"/>
          <w:highlight w:val="none"/>
        </w:rPr>
        <w:t xml:space="preserve">支付的合同款，同时承担该货物的直接费用（运输、保险、检验、货款利息及银行手续费等）。</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highlight w:val="none"/>
        </w:rPr>
      </w:r>
      <w:r/>
    </w:p>
    <w:p>
      <w:pPr>
        <w:pStyle w:val="647"/>
        <w:jc w:val="left"/>
        <w:keepLines w:val="0"/>
        <w:keepNext w:val="0"/>
        <w:pageBreakBefore w:val="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000000"/>
          <w:sz w:val="24"/>
          <w:highlight w:val="none"/>
          <w:lang w:eastAsia="zh-CN"/>
        </w:rPr>
        <w:t xml:space="preserve">或出资方</w:t>
      </w:r>
      <w:r>
        <w:rPr>
          <w:rFonts w:hint="eastAsia" w:ascii="宋体" w:hAnsi="宋体" w:cs="宋体"/>
          <w:color w:val="000000"/>
          <w:sz w:val="24"/>
          <w:highlight w:val="none"/>
        </w:rPr>
        <w:t xml:space="preserve">不再另外支付。如因基建、暖通等改造导致工期延误，则视为乙方违约，相关违约责任由乙方承担，甲方有权扣除合同金额的10%作为合同违约金。</w:t>
      </w:r>
      <w:r>
        <w:rPr>
          <w:rFonts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十二、货物验收</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12.1乙方提供的产品应由启东市市场监督管理局组织抽样检</w:t>
      </w:r>
      <w:r>
        <w:rPr>
          <w:rFonts w:hint="eastAsia" w:ascii="宋体" w:hAnsi="宋体" w:cs="宋体"/>
          <w:color w:val="000000"/>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12.2</w:t>
      </w:r>
      <w:r>
        <w:rPr>
          <w:rFonts w:hint="eastAsia" w:ascii="宋体" w:hAnsi="宋体" w:cs="宋体"/>
          <w:color w:val="000000"/>
          <w:sz w:val="24"/>
          <w:highlight w:val="none"/>
          <w:lang w:val="zh-CN"/>
        </w:rPr>
        <w:t xml:space="preserve">启东市市场监督管理局对没有具体执行标准或者以现有设备条件无法进行检测鉴定的情况下，</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可以委托第三方检测机构进行鉴定，产品质量鉴定结果不合格的，乙方承担检测费用，</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不支付任何补偿费用。</w:t>
      </w:r>
      <w:r>
        <w:rPr>
          <w:rFonts w:hint="eastAsia" w:ascii="宋体" w:hAnsi="宋体" w:cs="宋体"/>
          <w:color w:val="000000"/>
          <w:sz w:val="24"/>
          <w:highlight w:val="none"/>
          <w:lang w:val="zh-CN"/>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十三、货物包装、发运及运输</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.1 乙方应在货物</w:t>
      </w:r>
      <w:r>
        <w:rPr>
          <w:rFonts w:hint="eastAsia" w:ascii="宋体" w:hAnsi="宋体" w:cs="宋体"/>
          <w:color w:val="000000"/>
          <w:sz w:val="24"/>
          <w:highlight w:val="none"/>
          <w:lang w:val="zh-CN"/>
        </w:rPr>
        <w:t xml:space="preserve">发运</w:t>
      </w:r>
      <w:r>
        <w:rPr>
          <w:rFonts w:hint="eastAsia" w:ascii="宋体" w:hAnsi="宋体" w:cs="宋体"/>
          <w:color w:val="000000"/>
          <w:sz w:val="24"/>
          <w:highlight w:val="none"/>
        </w:rPr>
        <w:t xml:space="preserve">前对其进行满足运输距离、防潮、防震、防锈和防破损装卸等要求包装，以保证货物安全运达甲方指定地点。</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.2 使用说明书、质量检验证明书、随配附件和工具以及清单一并附于货物内。</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.3 乙方在货物发运手续办理完毕后24小时内或货到甲方48小时前通知甲方，以准备接货。</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.4 货物在验收合格交付甲方前所发生的所有风险由乙方承担。</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十四、违约责任</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14.1 乙方货物逾期交付的，乙方应按每推迟一天加罚3000元，向甲方支付违约金外，并扣除全部履约保证金。</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14.2乙方货物逾期交付超过</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个日历天的，甲方有权单方面解除合同，乙方应向甲方支付合同总价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14.3违约金的支付</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①违约金从履约保证金中扣除；</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②违约金超过履约保证金部分由应付货款中扣除；</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③违约金超过应付货款的差额部分，乙方须支付差额部分，乙方拒绝支付的，甲方可向法院起诉要求乙方支付。</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十五、不可抗力事件处理</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 不可抗力事件发生后，应立即通知对方，并寄送有关权威机构出具的证明。</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.3 不可抗力事件延续120天以上，甲方有权选择终止合同或继续履行合同。</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十六、解决争议的方法</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双方在执行合同中所发生的一切争议，可通过协商解决，并签订补充协议。如协商不成，可向甲方所在地人民法院提起诉讼。</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十七、履约保证金</w:t>
      </w:r>
      <w:r>
        <w:rPr>
          <w:rFonts w:ascii="宋体" w:hAnsi="宋体" w:cs="宋体"/>
          <w:b/>
          <w:bCs/>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17.1本项目中标后的履约保证金为项目</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价的10%（</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元），乙方的履约保证金须在</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通知书发出之日起至合同签订前汇入</w:t>
      </w:r>
      <w:r>
        <w:rPr>
          <w:rFonts w:hint="eastAsia" w:ascii="宋体" w:hAnsi="宋体" w:cs="宋体"/>
          <w:color w:val="000000"/>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highlight w:val="none"/>
        </w:rPr>
        <w:t xml:space="preserve">账户（应当以数字人民币、支票、汇票或者金融机构、担保机构出具的保函等非现金形式提交），乙方凭中标通知书与</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签订合同。超期或未有协商，则视为自动放弃成交资格。</w:t>
      </w:r>
      <w:r>
        <w:rPr>
          <w:rFonts w:hint="eastAsia" w:ascii="宋体" w:hAnsi="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17.2乙方全部履约合同义务，经</w:t>
      </w:r>
      <w:r>
        <w:rPr>
          <w:rFonts w:hint="eastAsia" w:ascii="宋体" w:hAnsi="宋体" w:cs="宋体"/>
          <w:color w:val="000000"/>
          <w:sz w:val="24"/>
          <w:highlight w:val="none"/>
        </w:rPr>
        <w:t xml:space="preserve">甲方</w:t>
      </w:r>
      <w:r>
        <w:rPr>
          <w:rFonts w:hint="eastAsia" w:ascii="宋体" w:hAnsi="宋体"/>
          <w:color w:val="000000"/>
          <w:sz w:val="24"/>
          <w:highlight w:val="none"/>
        </w:rPr>
        <w:t xml:space="preserve">验收合格无质量、进度等问题的，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在验收合格后一次性退还履约保证金，</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若逾期退还履约保证金的，按照逾期部分的每日0.05%支付违约金。</w:t>
      </w:r>
      <w:r>
        <w:rPr>
          <w:rFonts w:hint="eastAsia" w:ascii="宋体" w:hAnsi="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17.3发生以下情况的，履约保证金不予退还或部分退还：</w:t>
      </w:r>
      <w:r>
        <w:rPr>
          <w:rFonts w:hint="eastAsia" w:ascii="宋体" w:hAnsi="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a.签订合同后，乙方不履行合同义务的，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有权全额扣除履约保证金，全额不予退还，同时</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亦有权终止合同，乙方还须承担相应的法律赔偿责任。</w:t>
      </w:r>
      <w:r>
        <w:rPr>
          <w:rFonts w:hint="eastAsia" w:ascii="宋体" w:hAnsi="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b.乙方在履约过程中发生违约行为，给</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造成损失的，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有权在乙方缴纳的履约保证金中予以扣款，以弥补</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经济损失，不足的部分乙方另外补齐。</w:t>
      </w:r>
      <w:r>
        <w:rPr>
          <w:rFonts w:hint="eastAsia" w:ascii="宋体" w:hAnsi="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十八、其他</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olor w:val="000000"/>
          <w:sz w:val="24"/>
          <w:highlight w:val="none"/>
        </w:rPr>
        <w:t xml:space="preserve">所有</w:t>
      </w:r>
      <w:r>
        <w:rPr>
          <w:rFonts w:hint="eastAsia" w:ascii="宋体" w:hAnsi="宋体" w:cs="宋体"/>
          <w:color w:val="000000"/>
          <w:sz w:val="24"/>
          <w:highlight w:val="none"/>
        </w:rPr>
        <w:t xml:space="preserve">附件、招标文件、投标文件、中标通知书及补充协议均为合同的有效组成部分，与本合同具有同等法律效力。</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18.2 如一方地址、电话、传真号码有变更，应在变更当日内书面通知对方，否则，应承担相应责任。</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18.3 除甲方事先书面同意外，乙方不得部分或全部转让其应履行的合同项下的义务。</w:t>
      </w:r>
      <w:r>
        <w:rPr>
          <w:rFonts w:hint="eastAsia" w:ascii="宋体" w:hAnsi="宋体" w:cs="宋体"/>
          <w:color w:val="000000"/>
          <w:sz w:val="24"/>
          <w:highlight w:val="none"/>
        </w:rPr>
      </w:r>
      <w:r/>
    </w:p>
    <w:p>
      <w:pPr>
        <w:pStyle w:val="647"/>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十九、合同生效</w:t>
      </w:r>
      <w:r>
        <w:rPr>
          <w:rFonts w:hint="eastAsia" w:ascii="宋体" w:hAnsi="宋体" w:cs="宋体"/>
          <w:b/>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19.1 本合同由</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w:t>
      </w:r>
      <w:r>
        <w:rPr>
          <w:rFonts w:hint="eastAsia" w:ascii="宋体" w:hAnsi="宋体" w:cs="宋体"/>
          <w:color w:val="000000"/>
          <w:sz w:val="24"/>
          <w:highlight w:val="none"/>
          <w:lang w:eastAsia="zh-CN"/>
        </w:rPr>
        <w:t xml:space="preserve">法定代表人签字</w:t>
      </w:r>
      <w:r>
        <w:rPr>
          <w:rFonts w:hint="eastAsia" w:ascii="宋体" w:hAnsi="宋体" w:cs="宋体"/>
          <w:color w:val="000000"/>
          <w:sz w:val="24"/>
          <w:highlight w:val="none"/>
        </w:rPr>
        <w:t xml:space="preserve">并加盖公章（同时</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方应加盖骑缝章）后生效，合同一式</w:t>
      </w:r>
      <w:r>
        <w:rPr>
          <w:rFonts w:hint="eastAsia" w:ascii="宋体" w:hAnsi="宋体" w:cs="宋体"/>
          <w:color w:val="000000"/>
          <w:sz w:val="24"/>
          <w:highlight w:val="none"/>
          <w:lang w:eastAsia="zh-CN"/>
        </w:rPr>
        <w:t xml:space="preserve">九</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三方</w:t>
      </w:r>
      <w:r>
        <w:rPr>
          <w:rFonts w:hint="eastAsia" w:ascii="宋体" w:hAnsi="宋体" w:cs="宋体"/>
          <w:color w:val="000000"/>
          <w:sz w:val="24"/>
          <w:highlight w:val="none"/>
        </w:rPr>
        <w:t xml:space="preserve">各执</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647"/>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19.2本合同未尽事宜，遵照《中华人民共和国民法典》有关条文执行。</w:t>
      </w:r>
      <w:r>
        <w:rPr>
          <w:rFonts w:hint="eastAsia" w:ascii="宋体" w:hAnsi="宋体" w:cs="宋体"/>
          <w:color w:val="000000"/>
          <w:sz w:val="24"/>
          <w:highlight w:val="none"/>
        </w:rPr>
      </w:r>
      <w:r/>
    </w:p>
    <w:p>
      <w:pPr>
        <w:pStyle w:val="647"/>
        <w:rPr>
          <w:color w:val="000000"/>
          <w:highlight w:val="none"/>
        </w:rPr>
      </w:pPr>
      <w:r>
        <w:rPr>
          <w:color w:val="000000"/>
          <w:highlight w:val="none"/>
        </w:rPr>
      </w:r>
      <w:r/>
    </w:p>
    <w:p>
      <w:pPr>
        <w:pStyle w:val="647"/>
        <w:rPr>
          <w:color w:val="000000"/>
          <w:highlight w:val="none"/>
        </w:rPr>
      </w:pPr>
      <w:r>
        <w:rPr>
          <w:color w:val="000000"/>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spacing w:line="620" w:lineRule="exact"/>
        <w:rPr>
          <w:rFonts w:hint="eastAsia"/>
          <w:color w:val="000000"/>
          <w:sz w:val="24"/>
          <w:szCs w:val="24"/>
          <w:highlight w:val="none"/>
          <w:u w:val="none"/>
        </w:rPr>
      </w:pPr>
      <w:r>
        <w:rPr>
          <w:rFonts w:hint="eastAsia"/>
          <w:color w:val="000000"/>
          <w:sz w:val="24"/>
          <w:szCs w:val="24"/>
          <w:highlight w:val="none"/>
          <w:u w:val="none"/>
        </w:rPr>
        <w:t xml:space="preserve">地址：</w:t>
      </w:r>
      <w:r>
        <w:rPr>
          <w:color w:val="000000"/>
          <w:sz w:val="24"/>
          <w:szCs w:val="24"/>
          <w:highlight w:val="none"/>
          <w:u w:val="none"/>
        </w:rPr>
        <w:t xml:space="preserve"> </w:t>
      </w:r>
      <w:r>
        <w:rPr>
          <w:rFonts w:hint="eastAsia"/>
          <w:color w:val="000000"/>
          <w:sz w:val="24"/>
          <w:szCs w:val="24"/>
          <w:highlight w:val="none"/>
          <w:u w:val="none"/>
          <w:lang w:val="en-US" w:eastAsia="zh-CN"/>
        </w:rPr>
        <w:t xml:space="preserve">                             </w:t>
      </w:r>
      <w:r>
        <w:rPr>
          <w:rFonts w:hint="eastAsia"/>
          <w:color w:val="000000"/>
          <w:sz w:val="24"/>
          <w:szCs w:val="24"/>
          <w:highlight w:val="none"/>
          <w:u w:val="none"/>
        </w:rPr>
        <w:t xml:space="preserve">地址：</w:t>
      </w:r>
      <w:r>
        <w:rPr>
          <w:rFonts w:hint="eastAsia"/>
          <w:color w:val="000000"/>
          <w:sz w:val="24"/>
          <w:szCs w:val="24"/>
          <w:highlight w:val="none"/>
          <w:u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rPr>
          <w:color w:val="000000"/>
          <w:highlight w:val="none"/>
        </w:rPr>
      </w:pPr>
      <w:r>
        <w:rPr>
          <w:color w:val="000000"/>
          <w:highlight w:val="none"/>
        </w:rPr>
      </w:r>
      <w:r/>
    </w:p>
    <w:p>
      <w:pPr>
        <w:pStyle w:val="64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eastAsia="宋体"/>
          <w:color w:val="000000"/>
          <w:sz w:val="24"/>
          <w:szCs w:val="24"/>
          <w:highlight w:val="none"/>
          <w:u w:val="none"/>
          <w:lang w:val="en-US" w:eastAsia="zh-CN"/>
        </w:rPr>
      </w:pPr>
      <w:r>
        <w:rPr>
          <w:rFonts w:hint="eastAsia"/>
          <w:color w:val="000000"/>
          <w:sz w:val="24"/>
          <w:szCs w:val="24"/>
          <w:highlight w:val="none"/>
          <w:u w:val="none"/>
        </w:rPr>
        <w:t xml:space="preserve">地址：</w:t>
      </w:r>
      <w:r>
        <w:rPr>
          <w:rFonts w:eastAsia="宋体"/>
          <w:color w:val="000000"/>
          <w:sz w:val="24"/>
          <w:szCs w:val="24"/>
          <w:highlight w:val="none"/>
          <w:u w:val="none"/>
          <w:lang w:val="en-US" w:eastAsia="zh-CN"/>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7"/>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47"/>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color w:val="000000"/>
          <w:sz w:val="32"/>
          <w:szCs w:val="32"/>
          <w:highlight w:val="none"/>
        </w:rPr>
      </w:r>
      <w:r/>
    </w:p>
    <w:p>
      <w:pPr>
        <w:pStyle w:val="647"/>
        <w:rPr>
          <w:color w:val="000000"/>
          <w:highlight w:val="none"/>
        </w:rPr>
      </w:pPr>
      <w:r>
        <w:rPr>
          <w:color w:val="000000"/>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712"/>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47"/>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712"/>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47"/>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647"/>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647"/>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647"/>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647"/>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716"/>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647"/>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647"/>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716"/>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647"/>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647"/>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p>
      <w:pPr>
        <w:pStyle w:val="647"/>
        <w:ind w:firstLine="700"/>
        <w:jc w:val="left"/>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647"/>
        <w:ind w:firstLine="700"/>
        <w:jc w:val="left"/>
        <w:spacing w:line="5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bl>
      <w:tblPr>
        <w:tblW w:w="51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7"/>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7"/>
              <w:jc w:val="left"/>
              <w:widowControl/>
              <w:rPr>
                <w:rFonts w:hint="eastAsia" w:ascii="宋体" w:hAnsi="宋体" w:eastAsia="宋体" w:cs="宋体"/>
                <w:strike/>
                <w:color w:val="000000"/>
                <w:sz w:val="24"/>
                <w:highlight w:val="none"/>
              </w:rPr>
            </w:pP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标包：</w:t>
            </w: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1.35</w:t>
            </w:r>
            <w:r>
              <w:rPr>
                <w:rFonts w:hint="eastAsia" w:ascii="宋体" w:hAnsi="宋体" w:eastAsia="宋体" w:cs="宋体"/>
                <w:bCs/>
                <w:color w:val="000000"/>
                <w:sz w:val="24"/>
                <w:highlight w:val="none"/>
              </w:rPr>
              <w:t xml:space="preserve">分；其它技术参数每有一项不满足扣</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strike/>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（1）本项目中加“</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”部分的参数须</w:t>
            </w:r>
            <w:r>
              <w:rPr>
                <w:rFonts w:hint="eastAsia" w:ascii="宋体" w:hAnsi="宋体" w:eastAsia="宋体" w:cs="宋体"/>
                <w:b/>
                <w:bCs/>
                <w:color w:val="000000"/>
                <w:sz w:val="24"/>
                <w:szCs w:val="24"/>
                <w:highlight w:val="none"/>
                <w:lang w:val="en-US" w:eastAsia="zh-CN"/>
              </w:rPr>
              <w:t xml:space="preserve">提供原厂官方商业宣传文本技术白皮书</w:t>
            </w:r>
            <w:r>
              <w:rPr>
                <w:rFonts w:hint="eastAsia" w:ascii="宋体" w:hAnsi="宋体" w:cs="宋体"/>
                <w:b/>
                <w:bCs/>
                <w:color w:val="000000"/>
                <w:sz w:val="24"/>
                <w:szCs w:val="24"/>
                <w:highlight w:val="none"/>
                <w:lang w:val="en-US" w:eastAsia="zh-CN"/>
              </w:rPr>
              <w:t xml:space="preserve">（或原厂说明书）</w:t>
            </w:r>
            <w:r>
              <w:rPr>
                <w:rFonts w:hint="eastAsia" w:ascii="宋体" w:hAnsi="宋体" w:eastAsia="宋体" w:cs="宋体"/>
                <w:b/>
                <w:bCs/>
                <w:color w:val="000000"/>
                <w:sz w:val="24"/>
                <w:szCs w:val="24"/>
                <w:highlight w:val="none"/>
                <w:lang w:val="en-US" w:eastAsia="zh-CN"/>
              </w:rPr>
              <w:t xml:space="preserve">，或制造商官网链接及截图，或第三方检测机构出具的检测报告证明材料,</w:t>
            </w:r>
            <w:r>
              <w:rPr>
                <w:rFonts w:hint="eastAsia" w:ascii="宋体" w:hAnsi="宋体" w:eastAsia="宋体" w:cs="宋体"/>
                <w:b/>
                <w:bCs/>
                <w:color w:val="000000"/>
                <w:sz w:val="24"/>
                <w:highlight w:val="none"/>
              </w:rPr>
              <w:t xml:space="preserve">未按要求提供资料或资料无法支持参数内容，视为不得分；</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val="0"/>
                <w:color w:val="000000"/>
                <w:sz w:val="24"/>
              </w:rPr>
              <w:t xml:space="preserve">其它不加“▲”的</w:t>
            </w:r>
            <w:r>
              <w:rPr>
                <w:rFonts w:hint="eastAsia" w:ascii="宋体" w:hAnsi="宋体" w:eastAsia="宋体" w:cs="宋体"/>
                <w:b/>
                <w:bCs w:val="0"/>
                <w:color w:val="000000"/>
                <w:sz w:val="24"/>
                <w:highlight w:val="none"/>
              </w:rPr>
              <w:t xml:space="preserve">技</w:t>
            </w:r>
            <w:r>
              <w:rPr>
                <w:rFonts w:hint="eastAsia" w:ascii="宋体" w:hAnsi="宋体" w:eastAsia="宋体" w:cs="宋体"/>
                <w:b/>
                <w:bCs/>
                <w:color w:val="000000"/>
                <w:sz w:val="24"/>
                <w:highlight w:val="none"/>
              </w:rPr>
              <w:t xml:space="preserve">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47"/>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7"/>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7"/>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7"/>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47"/>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vMerge w:val="restart"/>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47"/>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47"/>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47"/>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4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802" w:type="dxa"/>
            <w:vAlign w:val="center"/>
            <w:vMerge w:val="continue"/>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647"/>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0"/>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7"/>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年1月1日以来（以合同签订时间为准）完成</w:t>
            </w:r>
            <w:r>
              <w:rPr>
                <w:rFonts w:hint="eastAsia" w:ascii="宋体" w:hAnsi="宋体" w:cs="宋体"/>
                <w:b/>
                <w:bCs/>
                <w:color w:val="000000"/>
                <w:sz w:val="24"/>
                <w:highlight w:val="none"/>
                <w:lang w:eastAsia="zh-CN"/>
              </w:rPr>
              <w:t xml:space="preserve">本项目</w:t>
            </w:r>
            <w:r>
              <w:rPr>
                <w:rFonts w:hint="eastAsia" w:ascii="宋体" w:hAnsi="宋体" w:cs="宋体"/>
                <w:b/>
                <w:bCs/>
                <w:color w:val="000000"/>
                <w:sz w:val="24"/>
                <w:highlight w:val="none"/>
                <w:lang w:val="en-US" w:eastAsia="zh-CN"/>
              </w:rPr>
              <w:t xml:space="preserve">所投</w:t>
            </w:r>
            <w:r>
              <w:rPr>
                <w:rFonts w:hint="eastAsia" w:ascii="宋体" w:hAnsi="宋体" w:eastAsia="宋体" w:cs="宋体"/>
                <w:b/>
                <w:bCs/>
                <w:color w:val="000000"/>
                <w:sz w:val="24"/>
                <w:highlight w:val="none"/>
                <w:lang w:eastAsia="zh-CN"/>
              </w:rPr>
              <w:t xml:space="preserve">产品</w:t>
            </w:r>
            <w:r>
              <w:rPr>
                <w:rFonts w:hint="eastAsia" w:ascii="宋体" w:hAnsi="宋体" w:eastAsia="宋体" w:cs="宋体"/>
                <w:color w:val="000000"/>
                <w:sz w:val="24"/>
                <w:highlight w:val="none"/>
              </w:rPr>
              <w:t xml:space="preserve">的业绩</w:t>
            </w:r>
            <w:r>
              <w:rPr>
                <w:rFonts w:hint="eastAsia" w:ascii="宋体" w:hAnsi="宋体" w:eastAsia="宋体" w:cs="宋体"/>
                <w:b/>
                <w:bCs/>
                <w:color w:val="000000"/>
                <w:sz w:val="24"/>
                <w:highlight w:val="none"/>
                <w:lang w:eastAsia="zh-CN"/>
              </w:rPr>
              <w:t xml:space="preserve">（每份业绩至少包含核心产品）</w:t>
            </w:r>
            <w:r>
              <w:rPr>
                <w:rFonts w:hint="eastAsia" w:ascii="宋体" w:hAnsi="宋体" w:eastAsia="宋体" w:cs="宋体"/>
                <w:color w:val="000000"/>
                <w:sz w:val="24"/>
                <w:highlight w:val="none"/>
              </w:rPr>
              <w:t xml:space="preserve">，有一份得1分，满分2分。</w:t>
            </w:r>
            <w:r>
              <w:rPr>
                <w:rFonts w:hint="eastAsia" w:ascii="宋体" w:hAnsi="宋体" w:eastAsia="宋体" w:cs="宋体"/>
                <w:color w:val="000000"/>
                <w:sz w:val="24"/>
                <w:highlight w:val="none"/>
              </w:rPr>
            </w:r>
            <w:r/>
          </w:p>
          <w:p>
            <w:pPr>
              <w:pStyle w:val="760"/>
              <w:ind w:firstLine="0"/>
              <w:spacing w:line="24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60"/>
              <w:ind w:firstLine="0"/>
              <w:jc w:val="center"/>
              <w:spacing w:line="240" w:lineRule="auto"/>
              <w:rPr>
                <w:rFonts w:hint="eastAsia" w:ascii="宋体" w:hAnsi="宋体" w:eastAsia="宋体" w:cs="宋体"/>
                <w:color w:val="0000ff"/>
                <w:highlight w:val="none"/>
              </w:rPr>
            </w:pPr>
            <w:r>
              <w:rPr>
                <w:rFonts w:hint="eastAsia" w:ascii="宋体" w:hAnsi="宋体" w:eastAsia="宋体" w:cs="宋体"/>
                <w:color w:val="000000"/>
                <w:highlight w:val="none"/>
              </w:rPr>
              <w:t xml:space="preserve">8</w:t>
            </w:r>
            <w:r>
              <w:rPr>
                <w:rFonts w:hint="eastAsia" w:ascii="宋体" w:hAnsi="宋体" w:eastAsia="宋体" w:cs="宋体"/>
                <w:color w:val="0000ff"/>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4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4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47"/>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color w:val="000000"/>
          <w:sz w:val="28"/>
          <w:szCs w:val="28"/>
          <w:highlight w:val="none"/>
          <w:lang w:val="en-US" w:eastAsia="zh-CN"/>
        </w:rPr>
      </w:r>
      <w:r/>
    </w:p>
    <w:p>
      <w:pPr>
        <w:pStyle w:val="647"/>
        <w:ind w:firstLine="84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rPr>
          <w:rFonts w:hint="eastAsia" w:ascii="宋体" w:hAnsi="宋体" w:eastAsia="宋体" w:cs="宋体"/>
          <w:color w:val="000000"/>
          <w:sz w:val="28"/>
          <w:szCs w:val="28"/>
          <w:highlight w:val="none"/>
        </w:rPr>
      </w:r>
      <w:r/>
    </w:p>
    <w:p>
      <w:pPr>
        <w:pStyle w:val="712"/>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1．专门面向中小企业采购的项目或者采购包，不再执行价格评审优惠的扶持政策。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2．非专门面向中小企业采购的项目或者采购包，执行以下价格评审优惠的扶持政策。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对小型和微型企业产品给予10%的扣除价格，用扣除后的价格参与评审。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对残疾人福利性单位，给予10%的价格扣除，用扣除后的价格参与评审。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残疾人福利单位需按照采购文件的要求提供《残疾人福利性单位声明函》。</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残疾人福利单位标准请参照《关于促进残疾人就业政府采购政策的通知》（财库〔2017〕141号）。</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对监狱和戒毒企业（简称监狱企业）给予10%的价格扣除，用扣除后的价格参与评审。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3、采购本国产品的支持政策</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3.2 当采购项目或者采购包中含有多种产品，供应商为该采购项目或者采购包提供的符合本国产品标准的产品成本之和占该供应商提供的全部产品成本之和的比例达到80%以上时（供应商需在“第五部分 投标文件格式”的“附件8 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3.3 供应商需按照招标文件的要求提供《关于符合本国产品标准的声明函》（以下简称《声明函》），如不提供将不享受本国产品价格评审优惠。</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3.4 供应商需在《声明函》中逐一、准确填写产品名称、厂名、生产厂址三项信息（</w:t>
      </w:r>
      <w:r>
        <w:rPr>
          <w:rFonts w:hint="eastAsia" w:ascii="宋体" w:hAnsi="宋体" w:eastAsia="宋体" w:cs="宋体"/>
          <w:b/>
          <w:sz w:val="28"/>
          <w:szCs w:val="28"/>
        </w:rPr>
        <w:t xml:space="preserve">《声明函》中用斜线划除的地方无需填写</w:t>
      </w:r>
      <w:r>
        <w:rPr>
          <w:rFonts w:hint="eastAsia" w:ascii="宋体" w:hAnsi="宋体" w:eastAsia="宋体" w:cs="宋体"/>
          <w:bCs/>
          <w:sz w:val="28"/>
          <w:szCs w:val="28"/>
        </w:rPr>
        <w:t xml:space="preserve">），三项信息中任意一项未填写的视为该项产品不符合本国产品标准，不享受本国产品价格评审优惠。</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sz w:val="28"/>
          <w:szCs w:val="28"/>
        </w:rPr>
      </w:r>
      <w:r/>
    </w:p>
    <w:p>
      <w:pPr>
        <w:pStyle w:val="647"/>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647"/>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647"/>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647"/>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47"/>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47"/>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47"/>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47"/>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47"/>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647"/>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6</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投标人须提</w:t>
      </w:r>
      <w:r>
        <w:rPr>
          <w:rFonts w:hint="eastAsia" w:ascii="宋体" w:hAnsi="宋体" w:eastAsia="宋体" w:cs="宋体"/>
          <w:color w:val="000000"/>
          <w:sz w:val="28"/>
          <w:szCs w:val="28"/>
          <w:highlight w:val="none"/>
          <w:lang w:val="en-US" w:eastAsia="zh-CN"/>
        </w:rPr>
        <w:t xml:space="preserve">供①所投产品生产企业具有有效期的《消毒产品生产企业卫生许可证》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；②</w:t>
      </w:r>
      <w:r>
        <w:rPr>
          <w:rFonts w:hint="eastAsia" w:ascii="宋体" w:hAnsi="宋体" w:eastAsia="宋体" w:cs="宋体"/>
          <w:b/>
          <w:bCs/>
          <w:color w:val="000000"/>
          <w:sz w:val="28"/>
          <w:szCs w:val="28"/>
          <w:highlight w:val="none"/>
          <w:lang w:val="en-US" w:eastAsia="zh-CN"/>
        </w:rPr>
        <w:t xml:space="preserve">所投产品</w:t>
      </w:r>
      <w:r>
        <w:rPr>
          <w:rFonts w:hint="eastAsia" w:ascii="宋体" w:hAnsi="宋体" w:eastAsia="宋体" w:cs="宋体"/>
          <w:color w:val="000000"/>
          <w:sz w:val="28"/>
          <w:szCs w:val="28"/>
          <w:highlight w:val="none"/>
          <w:lang w:val="en-US" w:eastAsia="zh-CN"/>
        </w:rPr>
        <w:t xml:space="preserve">须具有有效的《消毒产品卫生安全评价报告》或《新消毒产品卫生许可批件》</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lang w:val="zh-CN"/>
        </w:rPr>
        <w:t xml:space="preserve">商务部分正负偏离表（格式见附件6）、技术部分正负偏离表（格式见附件7）。</w:t>
      </w:r>
      <w:r>
        <w:rPr>
          <w:rFonts w:hint="eastAsia" w:ascii="宋体" w:hAnsi="宋体" w:eastAsia="宋体" w:cs="宋体"/>
          <w:bCs/>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zh-CN"/>
        </w:rPr>
        <w:t xml:space="preserve">填制正负偏离表，完全响应的，请以空白表列示。不完全响应的，必须在偏离表中列示；列示不全的，视同故意隐瞒。</w:t>
      </w:r>
      <w:r>
        <w:rPr>
          <w:rFonts w:hint="eastAsia" w:ascii="宋体" w:hAnsi="宋体" w:eastAsia="宋体" w:cs="宋体"/>
          <w:bCs/>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.分项报价明</w:t>
      </w:r>
      <w:r>
        <w:rPr>
          <w:rFonts w:hint="eastAsia" w:ascii="宋体" w:hAnsi="宋体" w:eastAsia="宋体" w:cs="宋体"/>
          <w:color w:val="000000"/>
          <w:sz w:val="28"/>
          <w:szCs w:val="28"/>
          <w:highlight w:val="none"/>
          <w:lang w:val="zh-CN"/>
        </w:rPr>
        <w:t xml:space="preserve">细表（格式见附件8）；</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.中小企业声明函（</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格式见附件9）；</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.残疾人福利性单位声明函（</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格式见附件10）；</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.监狱和戒毒企业证明材料（</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格式见附件11）；</w:t>
      </w:r>
      <w:r>
        <w:rPr>
          <w:rFonts w:hint="eastAsia" w:ascii="宋体" w:hAnsi="宋体" w:eastAsia="宋体" w:cs="宋体"/>
          <w:color w:val="000000"/>
          <w:sz w:val="28"/>
          <w:szCs w:val="28"/>
          <w:highlight w:val="none"/>
          <w:lang w:val="zh-CN"/>
        </w:rPr>
      </w:r>
      <w:r/>
    </w:p>
    <w:p>
      <w:pPr>
        <w:pStyle w:val="647"/>
        <w:contextualSpacing w:val="0"/>
        <w:jc w:val="both"/>
        <w:keepLines w:val="0"/>
        <w:keepNext w:val="0"/>
        <w:pageBreakBefore w:val="0"/>
        <w:spacing w:before="0" w:after="0" w:line="527" w:lineRule="exact"/>
        <w:widowControl w:val="off"/>
        <w:rPr>
          <w:rFonts w:hint="eastAsia" w:ascii="宋体" w:hAnsi="宋体" w:eastAsia="宋体" w:cs="宋体"/>
          <w:color w:val="000000"/>
          <w:sz w:val="32"/>
          <w:szCs w:val="32"/>
          <w:highlight w:val="none"/>
          <w:lang w:val="zh-CN"/>
        </w:rPr>
        <w:suppressLineNumbers w:val="0"/>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zh-CN"/>
        </w:rPr>
        <w:t xml:space="preserve">.关于符合本国产品标准的声明函（格式见附件12，如不提供将不享受本国产品价格评审优惠。）。</w:t>
      </w: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647"/>
        <w:jc w:val="center"/>
        <w:rPr>
          <w:rFonts w:hint="eastAsia" w:ascii="宋体" w:hAnsi="宋体"/>
          <w:b/>
          <w:color w:val="000000"/>
          <w:sz w:val="30"/>
          <w:szCs w:val="30"/>
        </w:rPr>
      </w:pPr>
      <w:r>
        <w:rPr>
          <w:rFonts w:hint="eastAsia" w:ascii="宋体" w:hAnsi="宋体"/>
          <w:b/>
          <w:color w:val="000000"/>
          <w:sz w:val="30"/>
          <w:szCs w:val="30"/>
        </w:rPr>
        <w:t xml:space="preserve">投标人符合《中华人民共和国政府采购法》第二十二条规定条件的声明函</w:t>
      </w:r>
      <w:r>
        <w:rPr>
          <w:rFonts w:hint="eastAsia" w:ascii="宋体" w:hAnsi="宋体"/>
          <w:b/>
          <w:color w:val="000000"/>
          <w:sz w:val="30"/>
          <w:szCs w:val="30"/>
        </w:rPr>
      </w:r>
      <w:r/>
    </w:p>
    <w:p>
      <w:pPr>
        <w:pStyle w:val="647"/>
        <w:ind w:firstLine="482"/>
        <w:spacing w:line="520" w:lineRule="exact"/>
        <w:rPr>
          <w:rFonts w:ascii="宋体" w:hAnsi="宋体"/>
          <w:b/>
          <w:bCs/>
          <w:color w:val="000000"/>
          <w:sz w:val="24"/>
          <w:szCs w:val="21"/>
        </w:rPr>
      </w:pPr>
      <w:r>
        <w:rPr>
          <w:rFonts w:ascii="宋体" w:hAnsi="宋体"/>
          <w:b/>
          <w:bCs/>
          <w:color w:val="000000"/>
          <w:sz w:val="24"/>
          <w:szCs w:val="21"/>
        </w:rPr>
      </w:r>
      <w:r/>
    </w:p>
    <w:p>
      <w:pPr>
        <w:pStyle w:val="64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4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4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4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4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4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4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47"/>
        <w:ind w:firstLine="482"/>
        <w:spacing w:line="500" w:lineRule="exact"/>
        <w:rPr>
          <w:rFonts w:hint="eastAsia" w:ascii="宋体" w:hAnsi="宋体"/>
          <w:color w:val="000000"/>
          <w:sz w:val="24"/>
        </w:rPr>
      </w:pPr>
      <w:r>
        <w:rPr>
          <w:rFonts w:hint="eastAsia" w:ascii="宋体" w:hAnsi="宋体"/>
          <w:color w:val="000000"/>
          <w:sz w:val="24"/>
        </w:rPr>
      </w:r>
      <w:r/>
    </w:p>
    <w:p>
      <w:pPr>
        <w:pStyle w:val="647"/>
        <w:spacing w:line="500" w:lineRule="exact"/>
        <w:rPr>
          <w:rFonts w:hint="eastAsia" w:ascii="宋体" w:hAnsi="宋体"/>
          <w:color w:val="000000"/>
          <w:sz w:val="24"/>
        </w:rPr>
      </w:pPr>
      <w:r>
        <w:rPr>
          <w:rFonts w:hint="eastAsia" w:ascii="宋体" w:hAnsi="宋体"/>
          <w:color w:val="000000"/>
          <w:sz w:val="24"/>
        </w:rPr>
      </w:r>
      <w:r/>
    </w:p>
    <w:p>
      <w:pPr>
        <w:pStyle w:val="64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4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4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4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4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4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47"/>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47"/>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64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47"/>
        <w:spacing w:line="480" w:lineRule="exact"/>
        <w:rPr>
          <w:rFonts w:ascii="宋体" w:hAnsi="宋体"/>
          <w:sz w:val="24"/>
        </w:rPr>
      </w:pPr>
      <w:r>
        <w:rPr>
          <w:rFonts w:ascii="宋体" w:hAnsi="宋体"/>
          <w:sz w:val="24"/>
        </w:rPr>
      </w:r>
      <w:r/>
    </w:p>
    <w:p>
      <w:pPr>
        <w:pStyle w:val="647"/>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47"/>
        <w:ind w:firstLine="480"/>
        <w:spacing w:line="480" w:lineRule="exact"/>
        <w:rPr>
          <w:rFonts w:ascii="宋体" w:hAnsi="宋体"/>
          <w:sz w:val="24"/>
        </w:rPr>
      </w:pPr>
      <w:r>
        <w:rPr>
          <w:rFonts w:ascii="宋体" w:hAnsi="宋体"/>
          <w:sz w:val="24"/>
        </w:rPr>
      </w:r>
      <w:r/>
    </w:p>
    <w:p>
      <w:pPr>
        <w:pStyle w:val="647"/>
        <w:ind w:firstLine="480"/>
        <w:spacing w:line="480" w:lineRule="exact"/>
        <w:rPr>
          <w:rFonts w:ascii="宋体" w:hAnsi="宋体"/>
          <w:sz w:val="24"/>
        </w:rPr>
      </w:pPr>
      <w:r>
        <w:rPr>
          <w:rFonts w:ascii="宋体" w:hAnsi="宋体"/>
          <w:sz w:val="24"/>
        </w:rPr>
      </w:r>
      <w:r/>
    </w:p>
    <w:p>
      <w:pPr>
        <w:pStyle w:val="647"/>
        <w:ind w:left="3255" w:firstLine="240"/>
        <w:spacing w:line="480" w:lineRule="auto"/>
        <w:rPr>
          <w:rFonts w:ascii="宋体" w:hAnsi="宋体"/>
          <w:sz w:val="24"/>
        </w:rPr>
      </w:pPr>
      <w:r>
        <w:rPr>
          <w:rFonts w:ascii="宋体" w:hAnsi="宋体"/>
          <w:sz w:val="24"/>
        </w:rPr>
      </w:r>
      <w:r/>
    </w:p>
    <w:p>
      <w:pPr>
        <w:pStyle w:val="647"/>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47"/>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47"/>
        <w:jc w:val="left"/>
        <w:spacing w:line="480" w:lineRule="auto"/>
        <w:rPr>
          <w:rFonts w:hint="eastAsia"/>
        </w:rPr>
      </w:pPr>
      <w:r>
        <w:rPr>
          <w:rFonts w:hint="eastAsia"/>
        </w:rPr>
      </w:r>
      <w:r/>
    </w:p>
    <w:p>
      <w:pPr>
        <w:pStyle w:val="647"/>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647"/>
      </w:pPr>
      <w:r>
        <w:rPr>
          <w:rFonts w:hint="eastAsia"/>
        </w:rPr>
        <w:t xml:space="preserve">     </w:t>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47"/>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u w:val="singl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47"/>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u w:val="single"/>
          <w:lang w:val="zh-CN"/>
        </w:rPr>
      </w:r>
      <w:r/>
    </w:p>
    <w:p>
      <w:pPr>
        <w:pStyle w:val="647"/>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47"/>
        <w:rPr>
          <w:rFonts w:ascii="Calibri" w:hAnsi="Calibri"/>
          <w:sz w:val="32"/>
          <w:szCs w:val="32"/>
        </w:rPr>
      </w:pPr>
      <w:r>
        <w:rPr>
          <w:rFonts w:ascii="Calibri" w:hAnsi="Calibri"/>
          <w:sz w:val="32"/>
          <w:szCs w:val="32"/>
        </w:rPr>
      </w:r>
      <w:r/>
    </w:p>
    <w:p>
      <w:pPr>
        <w:pStyle w:val="647"/>
        <w:ind w:firstLine="560"/>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rPr>
          <w:rFonts w:ascii="宋体" w:hAnsi="宋体"/>
          <w:sz w:val="28"/>
          <w:szCs w:val="28"/>
        </w:rPr>
      </w:r>
      <w:r/>
    </w:p>
    <w:p>
      <w:pPr>
        <w:pStyle w:val="647"/>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rPr>
          <w:rFonts w:ascii="宋体" w:hAnsi="宋体"/>
          <w:sz w:val="28"/>
          <w:szCs w:val="28"/>
        </w:rPr>
      </w:r>
      <w:r/>
    </w:p>
    <w:p>
      <w:pPr>
        <w:pStyle w:val="647"/>
        <w:ind w:firstLine="420"/>
        <w:rPr>
          <w:rFonts w:ascii="宋体" w:hAnsi="宋体"/>
          <w:sz w:val="28"/>
          <w:szCs w:val="28"/>
        </w:rPr>
      </w:pPr>
      <w:r>
        <w:rPr>
          <w:rFonts w:ascii="宋体" w:hAnsi="宋体"/>
          <w:sz w:val="28"/>
          <w:szCs w:val="28"/>
        </w:rPr>
      </w:r>
      <w:r/>
    </w:p>
    <w:p>
      <w:pPr>
        <w:pStyle w:val="647"/>
        <w:ind w:firstLine="420"/>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4"/>
          <w:szCs w:val="21"/>
        </w:rPr>
      </w:r>
      <w:r/>
    </w:p>
    <w:p>
      <w:pPr>
        <w:pStyle w:val="647"/>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47"/>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47"/>
        <w:jc w:val="right"/>
        <w:rPr>
          <w:rFonts w:ascii="宋体" w:hAnsi="宋体"/>
          <w:sz w:val="28"/>
          <w:szCs w:val="28"/>
        </w:rPr>
      </w:pPr>
      <w:r>
        <w:rPr>
          <w:rFonts w:ascii="宋体" w:hAnsi="宋体"/>
          <w:sz w:val="28"/>
          <w:szCs w:val="28"/>
        </w:rPr>
      </w:r>
      <w:r/>
    </w:p>
    <w:p>
      <w:pPr>
        <w:pStyle w:val="647"/>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rPr>
          <w:rFonts w:ascii="宋体" w:hAnsi="宋体"/>
          <w:sz w:val="28"/>
          <w:szCs w:val="28"/>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647"/>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47"/>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47"/>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47"/>
        <w:spacing w:line="360" w:lineRule="auto"/>
        <w:rPr>
          <w:rFonts w:ascii="宋体" w:hAnsi="宋体" w:cs="宋体"/>
          <w:sz w:val="24"/>
          <w:lang w:val="zh-CN"/>
        </w:rPr>
      </w:pPr>
      <w:r>
        <w:rPr>
          <w:rFonts w:ascii="宋体" w:hAnsi="宋体" w:cs="宋体"/>
          <w:sz w:val="24"/>
          <w:lang w:val="zh-CN"/>
        </w:rPr>
      </w:r>
      <w:r/>
    </w:p>
    <w:p>
      <w:pPr>
        <w:pStyle w:val="647"/>
        <w:ind w:firstLine="4560"/>
        <w:spacing w:line="360" w:lineRule="auto"/>
        <w:rPr>
          <w:rFonts w:ascii="宋体" w:hAnsi="宋体" w:cs="宋体"/>
          <w:sz w:val="24"/>
          <w:lang w:val="zh-CN"/>
        </w:rPr>
      </w:pPr>
      <w:r>
        <w:rPr>
          <w:rFonts w:ascii="宋体" w:hAnsi="宋体" w:cs="宋体"/>
          <w:sz w:val="24"/>
          <w:lang w:val="zh-CN"/>
        </w:rPr>
      </w:r>
      <w:r/>
    </w:p>
    <w:p>
      <w:pPr>
        <w:pStyle w:val="647"/>
        <w:ind w:firstLine="4080"/>
        <w:spacing w:line="360" w:lineRule="auto"/>
        <w:rPr>
          <w:rFonts w:ascii="宋体" w:hAnsi="宋体" w:cs="宋体"/>
          <w:sz w:val="24"/>
          <w:lang w:val="zh-CN" w:bidi="ar"/>
        </w:rPr>
      </w:pPr>
      <w:r>
        <w:rPr>
          <w:rFonts w:hint="eastAsia" w:ascii="宋体" w:hAnsi="宋体" w:cs="宋体"/>
          <w:sz w:val="24"/>
          <w:lang w:val="zh-CN" w:bidi="ar"/>
        </w:rPr>
        <w:t xml:space="preserve">投标供应商名称(盖公章)：</w:t>
      </w:r>
      <w:r>
        <w:rPr>
          <w:rFonts w:ascii="宋体" w:hAnsi="宋体" w:cs="宋体"/>
          <w:sz w:val="24"/>
          <w:lang w:val="zh-CN" w:bidi="ar"/>
        </w:rPr>
      </w:r>
      <w:r/>
    </w:p>
    <w:p>
      <w:pPr>
        <w:pStyle w:val="647"/>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rPr>
          <w:rFonts w:ascii="宋体" w:hAnsi="宋体" w:cs="宋体"/>
          <w:sz w:val="24"/>
          <w:lang w:val="zh-CN" w:bidi="ar"/>
        </w:rPr>
      </w:r>
      <w:r/>
    </w:p>
    <w:p>
      <w:pPr>
        <w:pStyle w:val="647"/>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rPr>
          <w:rFonts w:ascii="宋体" w:hAnsi="宋体" w:cs="宋体"/>
          <w:sz w:val="24"/>
          <w:lang w:val="zh-CN" w:bidi="ar"/>
        </w:rPr>
      </w:r>
      <w:r/>
    </w:p>
    <w:p>
      <w:pPr>
        <w:pStyle w:val="647"/>
        <w:ind w:firstLine="4080"/>
        <w:spacing w:line="360" w:lineRule="auto"/>
        <w:rPr>
          <w:rFonts w:ascii="宋体" w:hAnsi="宋体" w:cs="宋体"/>
          <w:color w:val="000000"/>
          <w:sz w:val="24"/>
          <w:highlight w:val="none"/>
          <w:lang w:val="zh-CN" w:bidi="ar"/>
        </w:rPr>
      </w:pPr>
      <w:r>
        <w:rPr>
          <w:rFonts w:ascii="宋体" w:hAnsi="宋体" w:cs="宋体"/>
          <w:color w:val="000000"/>
          <w:sz w:val="24"/>
          <w:highlight w:val="none"/>
          <w:lang w:val="zh-CN" w:bidi="ar"/>
        </w:rPr>
      </w:r>
      <w:r/>
    </w:p>
    <w:p>
      <w:pPr>
        <w:pStyle w:val="647"/>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647"/>
        <w:jc w:val="center"/>
        <w:keepLines/>
        <w:keepNext/>
        <w:spacing w:before="260" w:after="260" w:line="416" w:lineRule="auto"/>
        <w:rPr>
          <w:rFonts w:ascii="宋体" w:hAnsi="宋体" w:cs="宋体"/>
          <w:b/>
          <w:color w:val="000000"/>
          <w:sz w:val="32"/>
          <w:szCs w:val="32"/>
          <w:highlight w:val="none"/>
          <w:lang w:bidi="ar"/>
        </w:rPr>
        <w:outlineLvl w:val="1"/>
      </w:pPr>
      <w:r>
        <w:rPr>
          <w:rFonts w:hint="eastAsia" w:ascii="宋体" w:hAnsi="宋体" w:cs="宋体"/>
          <w:b/>
          <w:color w:val="000000"/>
          <w:sz w:val="32"/>
          <w:szCs w:val="32"/>
          <w:highlight w:val="none"/>
          <w:lang w:bidi="ar"/>
        </w:rPr>
        <w:t xml:space="preserve">投标函</w:t>
      </w:r>
      <w:r>
        <w:rPr>
          <w:rFonts w:ascii="宋体" w:hAnsi="宋体" w:cs="宋体"/>
          <w:b/>
          <w:color w:val="000000"/>
          <w:sz w:val="32"/>
          <w:szCs w:val="32"/>
          <w:highlight w:val="none"/>
          <w:lang w:bidi="ar"/>
        </w:rPr>
      </w:r>
      <w:r/>
    </w:p>
    <w:p>
      <w:pPr>
        <w:pStyle w:val="647"/>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_（采购人名称）</w:t>
      </w:r>
      <w:r>
        <w:rPr>
          <w:rFonts w:ascii="宋体" w:hAnsi="宋体"/>
          <w:sz w:val="24"/>
          <w:szCs w:val="21"/>
        </w:rPr>
      </w:r>
      <w:r/>
    </w:p>
    <w:p>
      <w:pPr>
        <w:pStyle w:val="647"/>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为____________________的招标文件，我方正式提交投标函，并宣布同意如下内容：</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47"/>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4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4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4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47"/>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r>
      <w:r/>
    </w:p>
    <w:p>
      <w:pPr>
        <w:pStyle w:val="675"/>
      </w:pPr>
      <w:r/>
      <w:r/>
    </w:p>
    <w:p>
      <w:pPr>
        <w:pStyle w:val="647"/>
        <w:rPr>
          <w:rFonts w:hint="eastAsia"/>
        </w:rPr>
      </w:pPr>
      <w:r>
        <w:rPr>
          <w:rFonts w:hint="eastAsia"/>
        </w:rPr>
      </w:r>
      <w:r/>
    </w:p>
    <w:p>
      <w:pPr>
        <w:pStyle w:val="647"/>
        <w:ind w:right="180" w:firstLine="960"/>
        <w:spacing w:line="560" w:lineRule="exact"/>
        <w:rPr>
          <w:rFonts w:ascii="宋体" w:hAnsi="宋体"/>
          <w:color w:val="000000"/>
          <w:sz w:val="24"/>
        </w:rPr>
      </w:pPr>
      <w:r>
        <w:rPr>
          <w:rFonts w:hint="eastAsia" w:ascii="宋体" w:hAnsi="宋体"/>
          <w:color w:val="000000"/>
          <w:sz w:val="24"/>
        </w:rPr>
        <w:t xml:space="preserve">投标人名称（盖公章）：</w:t>
      </w:r>
      <w:r>
        <w:rPr>
          <w:rFonts w:ascii="宋体" w:hAnsi="宋体"/>
          <w:color w:val="000000"/>
          <w:sz w:val="24"/>
        </w:rPr>
      </w:r>
      <w:r/>
    </w:p>
    <w:p>
      <w:pPr>
        <w:pStyle w:val="647"/>
        <w:ind w:left="420" w:firstLine="480"/>
        <w:jc w:val="left"/>
        <w:spacing w:line="420" w:lineRule="exact"/>
        <w:rPr>
          <w:rFonts w:ascii="宋体" w:hAnsi="宋体"/>
          <w:sz w:val="24"/>
          <w:szCs w:val="21"/>
        </w:rPr>
      </w:pPr>
      <w:r>
        <w:rPr>
          <w:rFonts w:ascii="宋体" w:hAnsi="宋体"/>
          <w:sz w:val="24"/>
          <w:szCs w:val="21"/>
        </w:rPr>
      </w:r>
      <w:r/>
    </w:p>
    <w:p>
      <w:pPr>
        <w:pStyle w:val="647"/>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64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4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47"/>
              <w:jc w:val="center"/>
              <w:spacing w:line="340" w:lineRule="exact"/>
              <w:rPr>
                <w:rFonts w:ascii="宋体" w:hAnsi="宋体"/>
                <w:sz w:val="24"/>
              </w:rPr>
            </w:pPr>
            <w:r>
              <w:rPr>
                <w:rFonts w:ascii="宋体" w:hAnsi="宋体"/>
                <w:sz w:val="24"/>
              </w:rPr>
            </w:r>
            <w:r/>
          </w:p>
          <w:p>
            <w:pPr>
              <w:pStyle w:val="64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548"/>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400"/>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sz w:val="24"/>
              </w:rPr>
            </w:pPr>
            <w:r>
              <w:rPr>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419"/>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bl>
    <w:p>
      <w:pPr>
        <w:pStyle w:val="64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47"/>
        <w:contextualSpacing/>
        <w:ind w:firstLine="480"/>
        <w:spacing w:line="300" w:lineRule="auto"/>
        <w:rPr>
          <w:rFonts w:hint="eastAsia" w:ascii="宋体" w:hAnsi="宋体"/>
          <w:sz w:val="24"/>
        </w:rPr>
      </w:pPr>
      <w:r>
        <w:rPr>
          <w:rFonts w:hint="eastAsia" w:ascii="宋体" w:hAnsi="宋体"/>
          <w:sz w:val="24"/>
        </w:rPr>
        <w:t xml:space="preserve">1.未说明偏离的，将被认为响应招标文件的规定，但该表不作为投标人对所投标内容关于商务部分等详细描述和说明的替代。</w:t>
      </w:r>
      <w:r>
        <w:rPr>
          <w:rFonts w:hint="eastAsia" w:ascii="宋体" w:hAnsi="宋体"/>
          <w:sz w:val="24"/>
        </w:rPr>
      </w:r>
      <w:r/>
    </w:p>
    <w:p>
      <w:pPr>
        <w:pStyle w:val="647"/>
        <w:contextualSpacing/>
        <w:ind w:firstLine="480"/>
        <w:spacing w:line="300" w:lineRule="auto"/>
        <w:rPr>
          <w:rFonts w:hint="eastAsia"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47"/>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3840"/>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47"/>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64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4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4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47"/>
              <w:jc w:val="center"/>
              <w:spacing w:line="340" w:lineRule="exact"/>
              <w:rPr>
                <w:rFonts w:ascii="宋体" w:hAnsi="宋体"/>
                <w:sz w:val="24"/>
              </w:rPr>
            </w:pPr>
            <w:r>
              <w:rPr>
                <w:rFonts w:ascii="宋体" w:hAnsi="宋体"/>
                <w:sz w:val="24"/>
              </w:rPr>
            </w:r>
            <w:r/>
          </w:p>
          <w:p>
            <w:pPr>
              <w:pStyle w:val="64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548"/>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400"/>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sz w:val="24"/>
              </w:rPr>
            </w:pPr>
            <w:r>
              <w:rPr>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r>
        <w:trPr>
          <w:trHeight w:val="419"/>
        </w:trPr>
        <w:tc>
          <w:tcPr>
            <w:tcW w:w="460" w:type="dxa"/>
            <w:vAlign w:val="top"/>
            <w:textDirection w:val="lrTb"/>
            <w:noWrap w:val="false"/>
          </w:tcPr>
          <w:p>
            <w:pPr>
              <w:pStyle w:val="64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47"/>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47"/>
              <w:jc w:val="left"/>
              <w:spacing w:line="340" w:lineRule="exact"/>
              <w:rPr>
                <w:sz w:val="24"/>
              </w:rPr>
            </w:pPr>
            <w:r>
              <w:rPr>
                <w:sz w:val="24"/>
              </w:rPr>
            </w:r>
            <w:r/>
          </w:p>
        </w:tc>
        <w:tc>
          <w:tcPr>
            <w:tcW w:w="778" w:type="dxa"/>
            <w:vAlign w:val="top"/>
            <w:textDirection w:val="lrTb"/>
            <w:noWrap w:val="false"/>
          </w:tcPr>
          <w:p>
            <w:pPr>
              <w:pStyle w:val="647"/>
              <w:jc w:val="left"/>
              <w:spacing w:line="340" w:lineRule="exact"/>
              <w:rPr>
                <w:sz w:val="24"/>
              </w:rPr>
            </w:pPr>
            <w:r>
              <w:rPr>
                <w:sz w:val="24"/>
              </w:rPr>
            </w:r>
            <w:r/>
          </w:p>
        </w:tc>
      </w:tr>
    </w:tbl>
    <w:p>
      <w:pPr>
        <w:pStyle w:val="64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47"/>
        <w:contextualSpacing/>
        <w:ind w:firstLine="480"/>
        <w:spacing w:line="300" w:lineRule="auto"/>
        <w:rPr>
          <w:rFonts w:hint="eastAsia" w:ascii="宋体" w:hAnsi="宋体"/>
          <w:color w:val="000000"/>
          <w:sz w:val="24"/>
        </w:rPr>
      </w:pPr>
      <w:r>
        <w:rPr>
          <w:rFonts w:hint="eastAsia" w:ascii="宋体" w:hAnsi="宋体"/>
          <w:sz w:val="24"/>
        </w:rPr>
        <w:t xml:space="preserve">1.未说明偏离的，将被认为响应招标文件的规定，但该表不作为投标人对所投标内容关于技术部分等详细描述和说明的替代。</w:t>
      </w:r>
      <w:r>
        <w:rPr>
          <w:rFonts w:hint="eastAsia" w:ascii="宋体" w:hAnsi="宋体"/>
          <w:color w:val="000000"/>
          <w:sz w:val="24"/>
        </w:rPr>
      </w:r>
      <w:r/>
    </w:p>
    <w:p>
      <w:pPr>
        <w:pStyle w:val="647"/>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 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47"/>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47"/>
        <w:contextualSpacing/>
        <w:ind w:firstLine="3840"/>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47"/>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47"/>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647"/>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647"/>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投标人名称（盖章）：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月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日</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gridSpan w:val="2"/>
            <w:tcW w:w="1340"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top"/>
            <w:textDirection w:val="lrTb"/>
            <w:noWrap w:val="false"/>
          </w:tcPr>
          <w:p>
            <w:pPr>
              <w:pStyle w:val="647"/>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647"/>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03" w:type="dxa"/>
            <w:vAlign w:val="center"/>
            <w:textDirection w:val="lrTb"/>
            <w:noWrap w:val="false"/>
          </w:tcPr>
          <w:p>
            <w:pPr>
              <w:pStyle w:val="647"/>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2"/>
            <w:tcW w:w="134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647"/>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tcW w:w="992" w:type="dxa"/>
            <w:vAlign w:val="top"/>
            <w:textDirection w:val="lrTb"/>
            <w:noWrap w:val="false"/>
          </w:tcPr>
          <w:p>
            <w:pPr>
              <w:pStyle w:val="647"/>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9"/>
            <w:tcW w:w="8774" w:type="dxa"/>
            <w:vAlign w:val="center"/>
            <w:textDirection w:val="lrTb"/>
            <w:noWrap w:val="false"/>
          </w:tcPr>
          <w:p>
            <w:pPr>
              <w:pStyle w:val="647"/>
              <w:jc w:val="center"/>
              <w:spacing w:line="360" w:lineRule="auto"/>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r>
      <w:tr>
        <w:trPr>
          <w:cantSplit/>
          <w:trHeight w:val="441"/>
        </w:trPr>
        <w:tc>
          <w:tcPr>
            <w:gridSpan w:val="11"/>
            <w:tcW w:w="10803" w:type="dxa"/>
            <w:vAlign w:val="center"/>
            <w:textDirection w:val="lrTb"/>
            <w:noWrap w:val="false"/>
          </w:tcPr>
          <w:p>
            <w:pPr>
              <w:pStyle w:val="647"/>
              <w:jc w:val="left"/>
              <w:spacing w:line="360" w:lineRule="auto"/>
              <w:rPr>
                <w:rFonts w:hint="eastAsia" w:ascii="仿宋_GB2312" w:hAnsi="宋体" w:eastAsia="仿宋_GB2312"/>
                <w:color w:val="000000"/>
                <w:sz w:val="24"/>
                <w:highlight w:val="none"/>
              </w:rPr>
            </w:pPr>
            <w:r>
              <w:rPr>
                <w:rFonts w:hint="eastAsia" w:ascii="仿宋_GB2312" w:hAnsi="宋体" w:eastAsia="仿宋_GB2312"/>
                <w:sz w:val="28"/>
                <w:szCs w:val="28"/>
                <w:highlight w:val="none"/>
              </w:rPr>
              <w:t xml:space="preserve">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 xml:space="preserve">***</w:t>
            </w:r>
            <w:r>
              <w:rPr>
                <w:rFonts w:hint="eastAsia" w:ascii="仿宋_GB2312" w:hAnsi="宋体" w:eastAsia="仿宋_GB2312"/>
                <w:sz w:val="28"/>
                <w:szCs w:val="28"/>
                <w:highlight w:val="none"/>
              </w:rPr>
              <w:t xml:space="preserve">%。</w:t>
            </w:r>
            <w:r>
              <w:rPr>
                <w:rFonts w:hint="eastAsia" w:ascii="仿宋_GB2312" w:hAnsi="宋体" w:eastAsia="仿宋_GB2312"/>
                <w:color w:val="000000"/>
                <w:sz w:val="24"/>
                <w:highlight w:val="none"/>
              </w:rPr>
            </w:r>
            <w:r/>
          </w:p>
        </w:tc>
      </w:tr>
    </w:tbl>
    <w:p>
      <w:pPr>
        <w:pStyle w:val="647"/>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pStyle w:val="647"/>
        <w:ind w:firstLine="482"/>
        <w:spacing w:line="300" w:lineRule="auto"/>
        <w:rPr>
          <w:rFonts w:hint="eastAsia" w:ascii="宋体" w:hAnsi="宋体" w:eastAsia="宋体" w:cs="宋体"/>
          <w:b/>
          <w:sz w:val="24"/>
          <w:lang w:val="zh-CN"/>
        </w:rPr>
        <w:outlineLvl w:val="0"/>
      </w:pPr>
      <w:r>
        <w:rPr>
          <w:rFonts w:hint="eastAsia" w:ascii="宋体" w:hAnsi="宋体" w:eastAsia="宋体" w:cs="宋体"/>
          <w:b/>
          <w:sz w:val="24"/>
          <w:lang w:val="zh-CN"/>
        </w:rPr>
        <w:t xml:space="preserve">注：1.投标人必须详细报出货物类项目采购清单中各个子项的名称、品牌、</w:t>
      </w:r>
      <w:r>
        <w:rPr>
          <w:rFonts w:hint="eastAsia" w:ascii="宋体" w:hAnsi="宋体" w:eastAsia="宋体" w:cs="宋体"/>
          <w:b/>
          <w:sz w:val="24"/>
        </w:rPr>
        <w:t xml:space="preserve">生产厂家名称、</w:t>
      </w:r>
      <w:r>
        <w:rPr>
          <w:rFonts w:hint="eastAsia" w:ascii="宋体" w:hAnsi="宋体" w:eastAsia="宋体" w:cs="宋体"/>
          <w:b/>
          <w:sz w:val="24"/>
          <w:lang w:val="zh-CN"/>
        </w:rPr>
        <w:t xml:space="preserve">规格型号、数量、单价、</w:t>
      </w:r>
      <w:r>
        <w:rPr>
          <w:rFonts w:hint="eastAsia" w:ascii="宋体" w:hAnsi="宋体" w:eastAsia="宋体" w:cs="宋体"/>
          <w:b/>
          <w:sz w:val="24"/>
        </w:rPr>
        <w:t xml:space="preserve">备注中的内容（服务类项目按实际情况填写）</w:t>
      </w:r>
      <w:r>
        <w:rPr>
          <w:rFonts w:hint="eastAsia" w:ascii="宋体" w:hAnsi="宋体" w:eastAsia="宋体" w:cs="宋体"/>
          <w:b/>
          <w:sz w:val="24"/>
          <w:lang w:val="zh-CN"/>
        </w:rPr>
        <w:t xml:space="preserve">，且本表各分项报价合计应当与开标一览表报价合计相等。请各投标人务必按照以上要求填报，否则作为无效投标处理。</w:t>
      </w:r>
      <w:r>
        <w:rPr>
          <w:rFonts w:hint="eastAsia" w:ascii="宋体" w:hAnsi="宋体" w:eastAsia="宋体" w:cs="宋体"/>
          <w:b/>
          <w:sz w:val="24"/>
          <w:lang w:val="zh-CN"/>
        </w:rPr>
      </w:r>
      <w:r/>
    </w:p>
    <w:p>
      <w:pPr>
        <w:pStyle w:val="647"/>
        <w:ind w:firstLine="482"/>
        <w:spacing w:line="300" w:lineRule="auto"/>
        <w:rPr>
          <w:rFonts w:ascii="宋体" w:hAnsi="宋体" w:cs="宋体"/>
          <w:b/>
          <w:sz w:val="24"/>
          <w:lang w:val="zh-CN"/>
        </w:rPr>
        <w:outlineLvl w:val="0"/>
      </w:pPr>
      <w:r>
        <w:rPr>
          <w:rFonts w:hint="eastAsia" w:ascii="宋体" w:hAnsi="宋体" w:eastAsia="宋体" w:cs="宋体"/>
          <w:b/>
          <w:sz w:val="24"/>
        </w:rPr>
        <w:t xml:space="preserve">2.供应商须详细备注主要标的信息，并</w:t>
      </w:r>
      <w:r>
        <w:rPr>
          <w:rFonts w:hint="eastAsia" w:ascii="宋体" w:hAnsi="宋体" w:eastAsia="宋体" w:cs="宋体"/>
          <w:b/>
          <w:sz w:val="24"/>
          <w:lang w:val="zh-CN"/>
        </w:rPr>
        <w:t xml:space="preserve">将随中标（成交）结果公告进行公示。内容不实的，属于提供虚假材料谋</w:t>
      </w:r>
      <w:r>
        <w:rPr>
          <w:rFonts w:hint="eastAsia" w:ascii="宋体" w:hAnsi="宋体" w:cs="宋体"/>
          <w:b/>
          <w:sz w:val="24"/>
          <w:lang w:val="zh-CN"/>
        </w:rPr>
        <w:t xml:space="preserve">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ascii="宋体" w:hAnsi="宋体" w:cs="宋体"/>
          <w:b/>
          <w:sz w:val="24"/>
          <w:lang w:val="zh-CN"/>
        </w:rPr>
      </w:r>
      <w:r/>
    </w:p>
    <w:p>
      <w:pPr>
        <w:pStyle w:val="647"/>
        <w:ind w:firstLine="482"/>
        <w:spacing w:line="300" w:lineRule="auto"/>
        <w:rPr>
          <w:rFonts w:ascii="宋体" w:hAnsi="宋体" w:cs="宋体"/>
          <w:b/>
          <w:sz w:val="24"/>
          <w:lang w:val="zh-CN"/>
        </w:rPr>
        <w:outlineLvl w:val="0"/>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sz w:val="24"/>
          <w:lang w:val="zh-CN"/>
        </w:rPr>
        <w:t xml:space="preserve">。</w:t>
      </w:r>
      <w:r>
        <w:rPr>
          <w:rFonts w:ascii="宋体" w:hAnsi="宋体" w:cs="宋体"/>
          <w:b/>
          <w:sz w:val="24"/>
          <w:lang w:val="zh-CN"/>
        </w:rPr>
      </w:r>
      <w:r/>
    </w:p>
    <w:p>
      <w:pPr>
        <w:pStyle w:val="647"/>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647"/>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4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647"/>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47"/>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47"/>
        <w:spacing w:line="360" w:lineRule="auto"/>
        <w:rPr>
          <w:sz w:val="28"/>
          <w:szCs w:val="28"/>
          <w:lang w:bidi="zh-CN"/>
        </w:rPr>
        <w:outlineLvl w:val="0"/>
      </w:pPr>
      <w:r>
        <w:rPr>
          <w:sz w:val="28"/>
          <w:szCs w:val="28"/>
          <w:lang w:bidi="zh-CN"/>
        </w:rPr>
        <w:t xml:space="preserve">……</w:t>
      </w:r>
      <w:r>
        <w:rPr>
          <w:sz w:val="28"/>
          <w:szCs w:val="28"/>
          <w:lang w:bidi="zh-CN"/>
        </w:rPr>
      </w:r>
      <w:r/>
    </w:p>
    <w:p>
      <w:pPr>
        <w:pStyle w:val="64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4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4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4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47"/>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64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3.投标供应商须根据上述要求，详细列明货物清单中所有产品制造商的具体情况，否则不能享受中小微企业扶持政策。</w:t>
      </w:r>
      <w:r>
        <w:rPr>
          <w:rFonts w:hint="eastAsia" w:ascii="宋体" w:hAnsi="宋体" w:cs="宋体"/>
          <w:szCs w:val="21"/>
          <w:lang w:bidi="zh-CN"/>
        </w:rPr>
      </w:r>
      <w:r/>
    </w:p>
    <w:p>
      <w:pPr>
        <w:pStyle w:val="647"/>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647"/>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47"/>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47"/>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64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4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4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47"/>
        <w:ind w:firstLine="560"/>
        <w:spacing w:line="588" w:lineRule="exact"/>
        <w:rPr>
          <w:rFonts w:ascii="宋体" w:hAnsi="宋体"/>
          <w:sz w:val="28"/>
          <w:szCs w:val="28"/>
        </w:rPr>
      </w:pPr>
      <w:r>
        <w:rPr>
          <w:rFonts w:ascii="宋体" w:hAnsi="宋体"/>
          <w:sz w:val="28"/>
          <w:szCs w:val="28"/>
        </w:rPr>
      </w:r>
      <w:r/>
    </w:p>
    <w:p>
      <w:pPr>
        <w:pStyle w:val="64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4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4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47"/>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64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47"/>
        <w:ind w:firstLine="495"/>
        <w:spacing w:line="420" w:lineRule="exact"/>
        <w:rPr>
          <w:rFonts w:hint="eastAsia" w:ascii="宋体" w:hAnsi="宋体" w:cs="宋体"/>
          <w:sz w:val="28"/>
          <w:szCs w:val="28"/>
        </w:rPr>
      </w:pPr>
      <w:r>
        <w:rPr>
          <w:rFonts w:hint="eastAsia" w:ascii="宋体" w:hAnsi="宋体" w:cs="宋体"/>
          <w:sz w:val="28"/>
          <w:szCs w:val="28"/>
        </w:rPr>
      </w:r>
      <w:r/>
    </w:p>
    <w:p>
      <w:pPr>
        <w:pStyle w:val="64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47"/>
        <w:ind w:firstLine="495"/>
        <w:spacing w:line="420" w:lineRule="exact"/>
        <w:rPr>
          <w:rFonts w:ascii="宋体" w:hAnsi="宋体" w:cs="宋体"/>
          <w:sz w:val="28"/>
          <w:szCs w:val="28"/>
        </w:rPr>
      </w:pPr>
      <w:r>
        <w:rPr>
          <w:rFonts w:ascii="宋体" w:hAnsi="宋体" w:cs="宋体"/>
          <w:sz w:val="28"/>
          <w:szCs w:val="28"/>
        </w:rPr>
      </w:r>
      <w:r/>
    </w:p>
    <w:p>
      <w:pPr>
        <w:pStyle w:val="64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47"/>
        <w:spacing w:line="300" w:lineRule="auto"/>
        <w:rPr>
          <w:sz w:val="28"/>
          <w:szCs w:val="28"/>
        </w:rPr>
        <w:outlineLvl w:val="0"/>
      </w:pPr>
      <w:r>
        <w:rPr>
          <w:sz w:val="28"/>
          <w:szCs w:val="28"/>
        </w:rPr>
      </w:r>
      <w:r/>
    </w:p>
    <w:p>
      <w:pPr>
        <w:pStyle w:val="647"/>
        <w:spacing w:line="300" w:lineRule="auto"/>
        <w:rPr>
          <w:sz w:val="28"/>
          <w:szCs w:val="28"/>
        </w:rPr>
        <w:outlineLvl w:val="0"/>
      </w:pPr>
      <w:r>
        <w:rPr>
          <w:sz w:val="28"/>
          <w:szCs w:val="28"/>
        </w:rPr>
      </w:r>
      <w:r/>
    </w:p>
    <w:p>
      <w:pPr>
        <w:pStyle w:val="647"/>
        <w:spacing w:line="300" w:lineRule="auto"/>
        <w:rPr>
          <w:sz w:val="28"/>
          <w:szCs w:val="28"/>
        </w:rPr>
        <w:outlineLvl w:val="0"/>
      </w:pPr>
      <w:r>
        <w:rPr>
          <w:sz w:val="28"/>
          <w:szCs w:val="28"/>
        </w:rPr>
      </w:r>
      <w:r/>
    </w:p>
    <w:p>
      <w:pPr>
        <w:pStyle w:val="647"/>
        <w:spacing w:line="300" w:lineRule="auto"/>
        <w:rPr>
          <w:rFonts w:hint="eastAsia"/>
          <w:sz w:val="28"/>
          <w:szCs w:val="28"/>
        </w:rPr>
        <w:outlineLvl w:val="0"/>
      </w:pPr>
      <w:r>
        <w:rPr>
          <w:rFonts w:hint="eastAsia"/>
          <w:sz w:val="28"/>
          <w:szCs w:val="28"/>
        </w:rPr>
      </w:r>
      <w:r/>
    </w:p>
    <w:p>
      <w:pPr>
        <w:pStyle w:val="64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47"/>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47"/>
        <w:spacing w:line="300" w:lineRule="auto"/>
        <w:rPr>
          <w:rFonts w:hint="eastAsia"/>
          <w:color w:val="000000"/>
          <w:sz w:val="28"/>
          <w:szCs w:val="28"/>
          <w:highlight w:val="none"/>
        </w:rPr>
        <w:outlineLvl w:val="0"/>
      </w:pPr>
      <w:r>
        <w:rPr>
          <w:rFonts w:hint="eastAsia"/>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47"/>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rPr>
          <w:rFonts w:hint="eastAsia" w:ascii="宋体" w:hAnsi="宋体" w:eastAsia="宋体" w:cs="宋体"/>
          <w:bCs/>
          <w:color w:val="000000"/>
          <w:sz w:val="32"/>
          <w:szCs w:val="32"/>
          <w:highlight w:val="none"/>
          <w:lang w:bidi="ar"/>
        </w:rPr>
      </w:r>
      <w:r/>
    </w:p>
    <w:p>
      <w:pPr>
        <w:pStyle w:val="647"/>
        <w:jc w:val="cente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关于符合本国产品标准的声明函（采购包号：**）</w:t>
      </w:r>
      <w:r>
        <w:rPr>
          <w:rFonts w:hint="eastAsia" w:ascii="宋体" w:hAnsi="宋体" w:eastAsia="宋体" w:cs="宋体"/>
          <w:sz w:val="32"/>
          <w:szCs w:val="32"/>
        </w:rPr>
      </w:r>
      <w:r/>
    </w:p>
    <w:p>
      <w:pPr>
        <w:pStyle w:val="698"/>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698"/>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698"/>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706"/>
          <w:rFonts w:hint="eastAsia" w:ascii="宋体" w:hAnsi="宋体" w:eastAsia="宋体" w:cs="宋体"/>
          <w:i w:val="0"/>
          <w:color w:val="000000"/>
          <w:u w:val="single"/>
          <w:shd w:val="clear" w:color="auto" w:fill="ffffff"/>
        </w:rPr>
        <w:t xml:space="preserve">（产品名称1）</w:t>
      </w:r>
      <w:r>
        <w:rPr>
          <w:rStyle w:val="706"/>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706"/>
          <w:rFonts w:hint="eastAsia" w:ascii="宋体" w:hAnsi="宋体" w:eastAsia="宋体" w:cs="宋体"/>
          <w:i w:val="0"/>
          <w:color w:val="000000"/>
          <w:u w:val="single"/>
          <w:shd w:val="clear" w:color="auto" w:fill="ffffff"/>
        </w:rPr>
        <w:t xml:space="preserve">（厂名）</w:t>
      </w:r>
      <w:r>
        <w:rPr>
          <w:rStyle w:val="706"/>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706"/>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706"/>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706"/>
          <w:rFonts w:hint="eastAsia" w:ascii="宋体" w:hAnsi="宋体" w:eastAsia="宋体" w:cs="宋体"/>
          <w:i w:val="0"/>
          <w:color w:val="000000"/>
          <w:u w:val="single"/>
          <w:shd w:val="clear" w:color="auto" w:fill="ffffff"/>
        </w:rPr>
        <w:t xml:space="preserve">（规定比例）</w:t>
      </w:r>
      <w:r>
        <w:rPr>
          <w:rStyle w:val="706"/>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70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06"/>
          <w:rFonts w:hint="eastAsia" w:ascii="宋体" w:hAnsi="宋体" w:eastAsia="宋体" w:cs="宋体"/>
          <w:i w:val="0"/>
          <w:color w:val="000000"/>
          <w:u w:val="single"/>
          <w:shd w:val="clear" w:color="auto" w:fill="ffffff"/>
        </w:rPr>
        <w:t xml:space="preserve">（关键组件）</w:t>
      </w:r>
      <w:r>
        <w:rPr>
          <w:rStyle w:val="706"/>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70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06"/>
          <w:rFonts w:hint="eastAsia" w:ascii="宋体" w:hAnsi="宋体" w:eastAsia="宋体" w:cs="宋体"/>
          <w:i w:val="0"/>
          <w:color w:val="000000"/>
          <w:u w:val="single"/>
          <w:shd w:val="clear" w:color="auto" w:fill="ffffff"/>
        </w:rPr>
        <w:t xml:space="preserve">（关键工序）</w:t>
      </w:r>
      <w:r>
        <w:rPr>
          <w:rStyle w:val="706"/>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698"/>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70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706"/>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706"/>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70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706"/>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706"/>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706"/>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706"/>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06"/>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698"/>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698"/>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698"/>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98"/>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698"/>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698"/>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698"/>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698"/>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698"/>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698"/>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698"/>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698"/>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647"/>
        <w:spacing w:line="300" w:lineRule="auto"/>
        <w:rPr>
          <w:sz w:val="28"/>
          <w:szCs w:val="28"/>
        </w:rPr>
        <w:outlineLvl w:val="0"/>
      </w:pPr>
      <w:r>
        <w:rPr>
          <w:sz w:val="28"/>
          <w:szCs w:val="28"/>
        </w:rPr>
      </w:r>
      <w:r/>
    </w:p>
    <w:p>
      <w:pPr>
        <w:pStyle w:val="647"/>
        <w:spacing w:line="300" w:lineRule="auto"/>
        <w:rPr>
          <w:sz w:val="28"/>
          <w:szCs w:val="28"/>
        </w:rPr>
        <w:outlineLvl w:val="0"/>
      </w:pPr>
      <w:r>
        <w:rPr>
          <w:sz w:val="28"/>
          <w:szCs w:val="28"/>
        </w:rPr>
      </w:r>
      <w:r/>
    </w:p>
    <w:p>
      <w:pPr>
        <w:pStyle w:val="647"/>
        <w:spacing w:line="300" w:lineRule="auto"/>
        <w:rPr>
          <w:sz w:val="28"/>
          <w:szCs w:val="28"/>
        </w:rPr>
        <w:outlineLvl w:val="0"/>
      </w:pPr>
      <w:r>
        <w:rPr>
          <w:sz w:val="28"/>
          <w:szCs w:val="28"/>
        </w:rPr>
      </w:r>
      <w:r/>
    </w:p>
    <w:p>
      <w:pPr>
        <w:pStyle w:val="647"/>
        <w:rPr>
          <w:rFonts w:hint="eastAsia" w:ascii="宋体" w:hAnsi="宋体" w:eastAsia="宋体" w:cs="宋体"/>
          <w:bCs/>
          <w:color w:val="000000"/>
          <w:sz w:val="32"/>
          <w:szCs w:val="32"/>
          <w:highlight w:val="none"/>
          <w:lang w:eastAsia="zh-CN" w:bidi="ar"/>
        </w:rPr>
      </w:pPr>
      <w:r>
        <w:rPr>
          <w:rFonts w:hint="eastAsia" w:ascii="宋体" w:hAnsi="宋体" w:eastAsia="宋体" w:cs="宋体"/>
          <w:bCs/>
          <w:color w:val="000000"/>
          <w:sz w:val="44"/>
          <w:szCs w:val="44"/>
          <w:highlight w:val="none"/>
        </w:rPr>
        <w:br w:type="page" w:clear="all"/>
      </w:r>
      <w:r>
        <w:rPr>
          <w:rFonts w:hint="eastAsia" w:ascii="宋体" w:hAnsi="宋体" w:eastAsia="宋体" w:cs="宋体"/>
          <w:bCs/>
          <w:color w:val="000000"/>
          <w:sz w:val="32"/>
          <w:szCs w:val="32"/>
          <w:highlight w:val="none"/>
          <w:lang w:bidi="ar"/>
        </w:rPr>
        <w:t xml:space="preserve">附件1</w:t>
      </w:r>
      <w:r>
        <w:rPr>
          <w:rFonts w:hint="eastAsia" w:ascii="宋体" w:hAnsi="宋体" w:eastAsia="宋体" w:cs="宋体"/>
          <w:bCs/>
          <w:color w:val="000000"/>
          <w:sz w:val="32"/>
          <w:szCs w:val="32"/>
          <w:highlight w:val="none"/>
          <w:lang w:val="en-US" w:eastAsia="zh-CN" w:bidi="ar"/>
        </w:rPr>
        <w:t xml:space="preserve">3</w:t>
      </w:r>
      <w:r>
        <w:rPr>
          <w:rFonts w:hint="eastAsia" w:ascii="宋体" w:hAnsi="宋体" w:eastAsia="宋体" w:cs="宋体"/>
          <w:bCs/>
          <w:color w:val="000000"/>
          <w:sz w:val="32"/>
          <w:szCs w:val="32"/>
          <w:highlight w:val="none"/>
          <w:lang w:eastAsia="zh-CN" w:bidi="ar"/>
        </w:rPr>
      </w:r>
      <w:r/>
    </w:p>
    <w:p>
      <w:pPr>
        <w:pStyle w:val="647"/>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647"/>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647"/>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647"/>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64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64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64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647"/>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3"/>
      <w:isLgl w:val="false"/>
      <w:suff w:val="tab"/>
      <w:lvlText w:val=""/>
      <w:lvlJc w:val="left"/>
      <w:pPr>
        <w:pStyle w:val="64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47"/>
        <w:ind w:left="960" w:hanging="480"/>
        <w:tabs>
          <w:tab w:val="num" w:pos="960" w:leader="none"/>
        </w:tabs>
      </w:pPr>
    </w:lvl>
    <w:lvl w:ilvl="2">
      <w:start w:val="1"/>
      <w:numFmt w:val="lowerRoman"/>
      <w:isLgl w:val="false"/>
      <w:suff w:val="tab"/>
      <w:lvlText w:val="%3."/>
      <w:lvlJc w:val="right"/>
      <w:pPr>
        <w:pStyle w:val="647"/>
        <w:ind w:left="1440" w:hanging="480"/>
        <w:tabs>
          <w:tab w:val="num" w:pos="1440" w:leader="none"/>
        </w:tabs>
      </w:pPr>
    </w:lvl>
    <w:lvl w:ilvl="3">
      <w:start w:val="1"/>
      <w:numFmt w:val="decimal"/>
      <w:isLgl w:val="false"/>
      <w:suff w:val="tab"/>
      <w:lvlText w:val="%4."/>
      <w:lvlJc w:val="left"/>
      <w:pPr>
        <w:pStyle w:val="647"/>
        <w:ind w:left="1920" w:hanging="480"/>
        <w:tabs>
          <w:tab w:val="num" w:pos="1920" w:leader="none"/>
        </w:tabs>
      </w:pPr>
    </w:lvl>
    <w:lvl w:ilvl="4">
      <w:start w:val="1"/>
      <w:numFmt w:val="ideographTraditional"/>
      <w:isLgl w:val="false"/>
      <w:suff w:val="tab"/>
      <w:lvlText w:val="%5、"/>
      <w:lvlJc w:val="left"/>
      <w:pPr>
        <w:pStyle w:val="647"/>
        <w:ind w:left="2400" w:hanging="480"/>
        <w:tabs>
          <w:tab w:val="num" w:pos="2400" w:leader="none"/>
        </w:tabs>
      </w:pPr>
    </w:lvl>
    <w:lvl w:ilvl="5">
      <w:start w:val="1"/>
      <w:numFmt w:val="lowerRoman"/>
      <w:isLgl w:val="false"/>
      <w:suff w:val="tab"/>
      <w:lvlText w:val="%6."/>
      <w:lvlJc w:val="right"/>
      <w:pPr>
        <w:pStyle w:val="647"/>
        <w:ind w:left="2880" w:hanging="480"/>
        <w:tabs>
          <w:tab w:val="num" w:pos="2880" w:leader="none"/>
        </w:tabs>
      </w:pPr>
    </w:lvl>
    <w:lvl w:ilvl="6">
      <w:start w:val="1"/>
      <w:numFmt w:val="decimal"/>
      <w:isLgl w:val="false"/>
      <w:suff w:val="tab"/>
      <w:lvlText w:val="%7."/>
      <w:lvlJc w:val="left"/>
      <w:pPr>
        <w:pStyle w:val="647"/>
        <w:ind w:left="3360" w:hanging="480"/>
        <w:tabs>
          <w:tab w:val="num" w:pos="3360" w:leader="none"/>
        </w:tabs>
      </w:pPr>
    </w:lvl>
    <w:lvl w:ilvl="7">
      <w:start w:val="1"/>
      <w:numFmt w:val="ideographTraditional"/>
      <w:isLgl w:val="false"/>
      <w:suff w:val="tab"/>
      <w:lvlText w:val="%8、"/>
      <w:lvlJc w:val="left"/>
      <w:pPr>
        <w:pStyle w:val="647"/>
        <w:ind w:left="3840" w:hanging="480"/>
        <w:tabs>
          <w:tab w:val="num" w:pos="3840" w:leader="none"/>
        </w:tabs>
      </w:pPr>
    </w:lvl>
    <w:lvl w:ilvl="8">
      <w:start w:val="1"/>
      <w:numFmt w:val="lowerRoman"/>
      <w:isLgl w:val="false"/>
      <w:suff w:val="tab"/>
      <w:lvlText w:val="%9."/>
      <w:lvlJc w:val="right"/>
      <w:pPr>
        <w:pStyle w:val="647"/>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sz w:val="21"/>
      <w:szCs w:val="24"/>
      <w:lang w:val="en-US" w:eastAsia="zh-CN" w:bidi="ar-SA"/>
    </w:rPr>
  </w:style>
  <w:style w:type="paragraph" w:styleId="648">
    <w:name w:val="标题 1"/>
    <w:basedOn w:val="647"/>
    <w:next w:val="647"/>
    <w:link w:val="659"/>
    <w:qFormat/>
    <w:pPr>
      <w:keepLines/>
      <w:keepNext/>
      <w:spacing w:before="340" w:after="330" w:line="578" w:lineRule="auto"/>
      <w:outlineLvl w:val="0"/>
    </w:pPr>
    <w:rPr>
      <w:b/>
      <w:bCs/>
      <w:sz w:val="44"/>
      <w:szCs w:val="44"/>
    </w:rPr>
  </w:style>
  <w:style w:type="paragraph" w:styleId="649">
    <w:name w:val="标题 2"/>
    <w:basedOn w:val="647"/>
    <w:next w:val="647"/>
    <w:link w:val="660"/>
    <w:qFormat/>
    <w:pPr>
      <w:keepLines/>
      <w:keepNext/>
      <w:spacing w:before="260" w:after="260" w:line="416" w:lineRule="auto"/>
      <w:outlineLvl w:val="1"/>
    </w:pPr>
    <w:rPr>
      <w:rFonts w:ascii="Arial" w:hAnsi="Arial" w:eastAsia="黑体"/>
      <w:b/>
      <w:bCs/>
      <w:sz w:val="32"/>
      <w:szCs w:val="32"/>
    </w:rPr>
  </w:style>
  <w:style w:type="paragraph" w:styleId="650">
    <w:name w:val="标题 3"/>
    <w:basedOn w:val="647"/>
    <w:next w:val="647"/>
    <w:link w:val="661"/>
    <w:qFormat/>
    <w:pPr>
      <w:keepLines/>
      <w:keepNext/>
      <w:spacing w:before="260" w:after="260" w:line="416" w:lineRule="auto"/>
      <w:outlineLvl w:val="2"/>
    </w:pPr>
    <w:rPr>
      <w:b/>
      <w:bCs/>
      <w:sz w:val="32"/>
      <w:szCs w:val="32"/>
    </w:rPr>
  </w:style>
  <w:style w:type="paragraph" w:styleId="651">
    <w:name w:val="标题 4"/>
    <w:basedOn w:val="647"/>
    <w:next w:val="647"/>
    <w:link w:val="662"/>
    <w:qFormat/>
    <w:pPr>
      <w:jc w:val="center"/>
      <w:keepNext/>
      <w:outlineLvl w:val="3"/>
    </w:pPr>
    <w:rPr>
      <w:rFonts w:eastAsia="新宋体"/>
      <w:sz w:val="30"/>
      <w:szCs w:val="21"/>
    </w:rPr>
  </w:style>
  <w:style w:type="paragraph" w:styleId="652">
    <w:name w:val="标题 5"/>
    <w:basedOn w:val="647"/>
    <w:next w:val="647"/>
    <w:link w:val="663"/>
    <w:qFormat/>
    <w:pPr>
      <w:keepLines/>
      <w:keepNext/>
      <w:spacing w:before="280" w:after="290" w:line="376" w:lineRule="auto"/>
      <w:outlineLvl w:val="4"/>
    </w:pPr>
    <w:rPr>
      <w:b/>
      <w:bCs/>
      <w:sz w:val="28"/>
      <w:szCs w:val="28"/>
    </w:rPr>
  </w:style>
  <w:style w:type="paragraph" w:styleId="653">
    <w:name w:val="标题 6"/>
    <w:basedOn w:val="647"/>
    <w:next w:val="665"/>
    <w:link w:val="664"/>
    <w:qFormat/>
    <w:pPr>
      <w:jc w:val="center"/>
      <w:keepNext/>
      <w:outlineLvl w:val="5"/>
    </w:pPr>
    <w:rPr>
      <w:b/>
      <w:sz w:val="44"/>
      <w:szCs w:val="20"/>
    </w:rPr>
  </w:style>
  <w:style w:type="paragraph" w:styleId="654">
    <w:name w:val="标题 7"/>
    <w:basedOn w:val="647"/>
    <w:next w:val="647"/>
    <w:link w:val="667"/>
    <w:qFormat/>
    <w:pPr>
      <w:keepLines/>
      <w:keepNext/>
      <w:spacing w:before="240" w:after="64" w:line="320" w:lineRule="auto"/>
      <w:outlineLvl w:val="6"/>
    </w:pPr>
    <w:rPr>
      <w:b/>
      <w:bCs/>
      <w:sz w:val="24"/>
    </w:rPr>
  </w:style>
  <w:style w:type="paragraph" w:styleId="655">
    <w:name w:val="标题 8"/>
    <w:basedOn w:val="647"/>
    <w:next w:val="647"/>
    <w:link w:val="668"/>
    <w:qFormat/>
    <w:pPr>
      <w:keepLines/>
      <w:keepNext/>
      <w:spacing w:before="240" w:after="64" w:line="320" w:lineRule="auto"/>
      <w:outlineLvl w:val="7"/>
    </w:pPr>
    <w:rPr>
      <w:rFonts w:ascii="Arial" w:hAnsi="Arial" w:eastAsia="黑体"/>
      <w:sz w:val="24"/>
    </w:rPr>
  </w:style>
  <w:style w:type="paragraph" w:styleId="656">
    <w:name w:val="标题 9"/>
    <w:basedOn w:val="647"/>
    <w:next w:val="647"/>
    <w:link w:val="669"/>
    <w:qFormat/>
    <w:pPr>
      <w:keepLines/>
      <w:keepNext/>
      <w:spacing w:before="240" w:after="64" w:line="320" w:lineRule="auto"/>
      <w:outlineLvl w:val="8"/>
    </w:pPr>
    <w:rPr>
      <w:rFonts w:ascii="Arial" w:hAnsi="Arial" w:eastAsia="黑体"/>
      <w:sz w:val="24"/>
      <w:szCs w:val="21"/>
    </w:rPr>
  </w:style>
  <w:style w:type="character" w:styleId="657">
    <w:name w:val="默认段落字体"/>
    <w:next w:val="657"/>
    <w:link w:val="647"/>
    <w:uiPriority w:val="1"/>
    <w:unhideWhenUsed/>
  </w:style>
  <w:style w:type="table" w:styleId="658">
    <w:name w:val="普通表格"/>
    <w:next w:val="658"/>
    <w:link w:val="647"/>
    <w:uiPriority w:val="99"/>
    <w:unhideWhenUsed/>
    <w:qFormat/>
    <w:tblPr/>
  </w:style>
  <w:style w:type="character" w:styleId="659">
    <w:name w:val="标题 1 Char"/>
    <w:next w:val="659"/>
    <w:link w:val="648"/>
    <w:rPr>
      <w:rFonts w:ascii="Times New Roman" w:hAnsi="Times New Roman" w:eastAsia="宋体" w:cs="Times New Roman"/>
      <w:b/>
      <w:bCs/>
      <w:sz w:val="44"/>
      <w:szCs w:val="44"/>
    </w:rPr>
  </w:style>
  <w:style w:type="character" w:styleId="660">
    <w:name w:val="标题 2 Char"/>
    <w:next w:val="660"/>
    <w:link w:val="649"/>
    <w:rPr>
      <w:rFonts w:ascii="Arial" w:hAnsi="Arial" w:eastAsia="黑体" w:cs="Times New Roman"/>
      <w:b/>
      <w:bCs/>
      <w:sz w:val="32"/>
      <w:szCs w:val="32"/>
    </w:rPr>
  </w:style>
  <w:style w:type="character" w:styleId="661">
    <w:name w:val="标题 3 Char"/>
    <w:next w:val="661"/>
    <w:link w:val="650"/>
    <w:rPr>
      <w:rFonts w:ascii="Times New Roman" w:hAnsi="Times New Roman" w:eastAsia="宋体" w:cs="Times New Roman"/>
      <w:b/>
      <w:bCs/>
      <w:sz w:val="32"/>
      <w:szCs w:val="32"/>
    </w:rPr>
  </w:style>
  <w:style w:type="character" w:styleId="662">
    <w:name w:val="标题 4 Char"/>
    <w:next w:val="662"/>
    <w:link w:val="651"/>
    <w:rPr>
      <w:rFonts w:ascii="Times New Roman" w:hAnsi="Times New Roman" w:eastAsia="新宋体" w:cs="Times New Roman"/>
      <w:sz w:val="30"/>
      <w:szCs w:val="21"/>
    </w:rPr>
  </w:style>
  <w:style w:type="character" w:styleId="663">
    <w:name w:val="标题 5 Char"/>
    <w:next w:val="663"/>
    <w:link w:val="652"/>
    <w:rPr>
      <w:rFonts w:ascii="Times New Roman" w:hAnsi="Times New Roman" w:eastAsia="宋体" w:cs="Times New Roman"/>
      <w:b/>
      <w:bCs/>
      <w:sz w:val="28"/>
      <w:szCs w:val="28"/>
    </w:rPr>
  </w:style>
  <w:style w:type="character" w:styleId="664">
    <w:name w:val="标题 6 Char"/>
    <w:next w:val="664"/>
    <w:link w:val="653"/>
    <w:rPr>
      <w:rFonts w:ascii="Times New Roman" w:hAnsi="Times New Roman" w:eastAsia="宋体" w:cs="Times New Roman"/>
      <w:b/>
      <w:sz w:val="44"/>
      <w:szCs w:val="20"/>
    </w:rPr>
  </w:style>
  <w:style w:type="paragraph" w:styleId="665">
    <w:name w:val="正文缩进"/>
    <w:basedOn w:val="647"/>
    <w:next w:val="665"/>
    <w:link w:val="666"/>
    <w:pPr>
      <w:ind w:firstLine="420"/>
    </w:pPr>
    <w:rPr>
      <w:sz w:val="20"/>
      <w:szCs w:val="20"/>
    </w:rPr>
  </w:style>
  <w:style w:type="character" w:styleId="666">
    <w:name w:val="正文缩进 Char"/>
    <w:next w:val="666"/>
    <w:link w:val="665"/>
    <w:rPr>
      <w:rFonts w:ascii="Times New Roman" w:hAnsi="Times New Roman" w:eastAsia="宋体" w:cs="Times New Roman"/>
      <w:sz w:val="20"/>
      <w:szCs w:val="20"/>
    </w:rPr>
  </w:style>
  <w:style w:type="character" w:styleId="667">
    <w:name w:val="标题 7 Char"/>
    <w:next w:val="667"/>
    <w:link w:val="654"/>
    <w:rPr>
      <w:rFonts w:ascii="Times New Roman" w:hAnsi="Times New Roman" w:eastAsia="宋体" w:cs="Times New Roman"/>
      <w:b/>
      <w:bCs/>
      <w:sz w:val="24"/>
      <w:szCs w:val="24"/>
    </w:rPr>
  </w:style>
  <w:style w:type="character" w:styleId="668">
    <w:name w:val="标题 8 Char"/>
    <w:next w:val="668"/>
    <w:link w:val="655"/>
    <w:rPr>
      <w:rFonts w:ascii="Arial" w:hAnsi="Arial" w:eastAsia="黑体" w:cs="Times New Roman"/>
      <w:sz w:val="24"/>
      <w:szCs w:val="24"/>
    </w:rPr>
  </w:style>
  <w:style w:type="character" w:styleId="669">
    <w:name w:val="标题 9 Char"/>
    <w:next w:val="669"/>
    <w:link w:val="656"/>
    <w:rPr>
      <w:rFonts w:ascii="Arial" w:hAnsi="Arial" w:eastAsia="黑体" w:cs="Times New Roman"/>
      <w:sz w:val="24"/>
      <w:szCs w:val="21"/>
    </w:rPr>
  </w:style>
  <w:style w:type="paragraph" w:styleId="670">
    <w:name w:val="文档结构图"/>
    <w:basedOn w:val="647"/>
    <w:next w:val="670"/>
    <w:link w:val="671"/>
    <w:semiHidden/>
    <w:pPr>
      <w:shd w:val="clear" w:color="auto" w:fill="000080"/>
    </w:pPr>
    <w:rPr>
      <w:sz w:val="20"/>
    </w:rPr>
  </w:style>
  <w:style w:type="character" w:styleId="671">
    <w:name w:val="文档结构图 Char"/>
    <w:next w:val="671"/>
    <w:link w:val="670"/>
    <w:semiHidden/>
    <w:rPr>
      <w:szCs w:val="24"/>
      <w:shd w:val="clear" w:color="auto" w:fill="000080"/>
    </w:rPr>
  </w:style>
  <w:style w:type="paragraph" w:styleId="672">
    <w:name w:val="批注文字"/>
    <w:basedOn w:val="647"/>
    <w:next w:val="672"/>
    <w:link w:val="647"/>
    <w:uiPriority w:val="99"/>
    <w:unhideWhenUsed/>
    <w:qFormat/>
    <w:pPr>
      <w:jc w:val="left"/>
    </w:pPr>
  </w:style>
  <w:style w:type="paragraph" w:styleId="673">
    <w:name w:val="正文文本 3"/>
    <w:basedOn w:val="647"/>
    <w:next w:val="673"/>
    <w:link w:val="674"/>
    <w:pPr>
      <w:spacing w:after="120"/>
    </w:pPr>
    <w:rPr>
      <w:sz w:val="16"/>
      <w:szCs w:val="16"/>
    </w:rPr>
  </w:style>
  <w:style w:type="character" w:styleId="674">
    <w:name w:val="正文文本 3 Char"/>
    <w:next w:val="674"/>
    <w:link w:val="673"/>
    <w:rPr>
      <w:rFonts w:ascii="Times New Roman" w:hAnsi="Times New Roman" w:eastAsia="宋体" w:cs="Times New Roman"/>
      <w:sz w:val="16"/>
      <w:szCs w:val="16"/>
    </w:rPr>
  </w:style>
  <w:style w:type="paragraph" w:styleId="675">
    <w:name w:val="正文文本"/>
    <w:basedOn w:val="647"/>
    <w:next w:val="675"/>
    <w:link w:val="676"/>
    <w:rPr>
      <w:rFonts w:ascii="仿宋_GB2312" w:eastAsia="仿宋_GB2312"/>
      <w:sz w:val="24"/>
      <w:szCs w:val="20"/>
    </w:rPr>
  </w:style>
  <w:style w:type="character" w:styleId="676">
    <w:name w:val="正文文本 Char"/>
    <w:next w:val="676"/>
    <w:link w:val="675"/>
    <w:rPr>
      <w:rFonts w:ascii="仿宋_GB2312" w:hAnsi="Times New Roman" w:eastAsia="仿宋_GB2312" w:cs="Times New Roman"/>
      <w:sz w:val="24"/>
      <w:szCs w:val="20"/>
    </w:rPr>
  </w:style>
  <w:style w:type="paragraph" w:styleId="677">
    <w:name w:val="正文文本缩进"/>
    <w:basedOn w:val="647"/>
    <w:next w:val="679"/>
    <w:link w:val="678"/>
    <w:pPr>
      <w:ind w:left="765"/>
    </w:pPr>
    <w:rPr>
      <w:rFonts w:ascii="仿宋_GB2312" w:eastAsia="仿宋_GB2312"/>
      <w:sz w:val="28"/>
      <w:szCs w:val="20"/>
    </w:rPr>
  </w:style>
  <w:style w:type="character" w:styleId="678">
    <w:name w:val="正文文本缩进 Char"/>
    <w:next w:val="678"/>
    <w:link w:val="677"/>
    <w:rPr>
      <w:rFonts w:ascii="仿宋_GB2312" w:hAnsi="Times New Roman" w:eastAsia="仿宋_GB2312" w:cs="Times New Roman"/>
      <w:sz w:val="28"/>
      <w:szCs w:val="20"/>
    </w:rPr>
  </w:style>
  <w:style w:type="paragraph" w:styleId="679">
    <w:name w:val="寄信人地址"/>
    <w:basedOn w:val="647"/>
    <w:next w:val="679"/>
    <w:link w:val="647"/>
    <w:qFormat/>
    <w:rPr>
      <w:rFonts w:ascii="Arial" w:hAnsi="Arial"/>
    </w:rPr>
  </w:style>
  <w:style w:type="paragraph" w:styleId="680">
    <w:name w:val="纯文本"/>
    <w:basedOn w:val="647"/>
    <w:next w:val="680"/>
    <w:link w:val="681"/>
    <w:rPr>
      <w:rFonts w:ascii="宋体" w:hAnsi="Courier New"/>
      <w:sz w:val="20"/>
      <w:szCs w:val="21"/>
    </w:rPr>
  </w:style>
  <w:style w:type="character" w:styleId="681">
    <w:name w:val="纯文本 Char"/>
    <w:next w:val="681"/>
    <w:link w:val="680"/>
    <w:rPr>
      <w:rFonts w:ascii="宋体" w:hAnsi="Courier New" w:eastAsia="宋体" w:cs="Courier New"/>
      <w:szCs w:val="21"/>
    </w:rPr>
  </w:style>
  <w:style w:type="paragraph" w:styleId="682">
    <w:name w:val="日期"/>
    <w:basedOn w:val="647"/>
    <w:next w:val="647"/>
    <w:link w:val="683"/>
    <w:rPr>
      <w:sz w:val="24"/>
      <w:szCs w:val="20"/>
    </w:rPr>
  </w:style>
  <w:style w:type="character" w:styleId="683">
    <w:name w:val="日期 Char"/>
    <w:next w:val="683"/>
    <w:link w:val="682"/>
    <w:rPr>
      <w:rFonts w:ascii="Times New Roman" w:hAnsi="Times New Roman" w:eastAsia="宋体" w:cs="Times New Roman"/>
      <w:sz w:val="24"/>
      <w:szCs w:val="20"/>
    </w:rPr>
  </w:style>
  <w:style w:type="paragraph" w:styleId="684">
    <w:name w:val="正文文本缩进 2"/>
    <w:basedOn w:val="647"/>
    <w:next w:val="684"/>
    <w:link w:val="685"/>
    <w:pPr>
      <w:ind w:firstLine="560"/>
      <w:spacing w:line="500" w:lineRule="exact"/>
    </w:pPr>
    <w:rPr>
      <w:rFonts w:eastAsia="仿宋_GB2312"/>
      <w:sz w:val="28"/>
      <w:szCs w:val="20"/>
    </w:rPr>
  </w:style>
  <w:style w:type="character" w:styleId="685">
    <w:name w:val="正文文本缩进 2 Char"/>
    <w:next w:val="685"/>
    <w:link w:val="684"/>
    <w:rPr>
      <w:rFonts w:ascii="Times New Roman" w:hAnsi="Times New Roman" w:eastAsia="仿宋_GB2312" w:cs="Times New Roman"/>
      <w:sz w:val="28"/>
      <w:szCs w:val="20"/>
    </w:rPr>
  </w:style>
  <w:style w:type="paragraph" w:styleId="686">
    <w:name w:val="批注框文本"/>
    <w:basedOn w:val="647"/>
    <w:next w:val="686"/>
    <w:link w:val="687"/>
    <w:semiHidden/>
    <w:rPr>
      <w:sz w:val="18"/>
      <w:szCs w:val="18"/>
    </w:rPr>
  </w:style>
  <w:style w:type="character" w:styleId="687">
    <w:name w:val="批注框文本 Char"/>
    <w:next w:val="687"/>
    <w:link w:val="686"/>
    <w:semiHidden/>
    <w:rPr>
      <w:sz w:val="18"/>
      <w:szCs w:val="18"/>
    </w:rPr>
  </w:style>
  <w:style w:type="paragraph" w:styleId="688">
    <w:name w:val="页脚"/>
    <w:basedOn w:val="647"/>
    <w:next w:val="688"/>
    <w:link w:val="689"/>
    <w:uiPriority w:val="99"/>
    <w:pPr>
      <w:jc w:val="left"/>
      <w:tabs>
        <w:tab w:val="center" w:pos="4153" w:leader="none"/>
        <w:tab w:val="right" w:pos="8306" w:leader="none"/>
      </w:tabs>
    </w:pPr>
    <w:rPr>
      <w:sz w:val="18"/>
      <w:szCs w:val="20"/>
    </w:rPr>
  </w:style>
  <w:style w:type="character" w:styleId="689">
    <w:name w:val="页脚 Char"/>
    <w:next w:val="689"/>
    <w:link w:val="688"/>
    <w:uiPriority w:val="99"/>
    <w:rPr>
      <w:rFonts w:ascii="Times New Roman" w:hAnsi="Times New Roman" w:eastAsia="宋体" w:cs="Times New Roman"/>
      <w:sz w:val="18"/>
      <w:szCs w:val="20"/>
    </w:rPr>
  </w:style>
  <w:style w:type="paragraph" w:styleId="690">
    <w:name w:val="页眉"/>
    <w:basedOn w:val="647"/>
    <w:next w:val="690"/>
    <w:link w:val="691"/>
    <w:pPr>
      <w:jc w:val="center"/>
      <w:tabs>
        <w:tab w:val="center" w:pos="4153" w:leader="none"/>
        <w:tab w:val="right" w:pos="8306" w:leader="none"/>
      </w:tabs>
      <w:pBdr>
        <w:bottom w:val="single" w:color="000000" w:sz="6" w:space="1"/>
      </w:pBdr>
    </w:pPr>
    <w:rPr>
      <w:sz w:val="18"/>
      <w:szCs w:val="18"/>
    </w:rPr>
  </w:style>
  <w:style w:type="character" w:styleId="691">
    <w:name w:val="页眉 Char"/>
    <w:next w:val="691"/>
    <w:link w:val="690"/>
    <w:rPr>
      <w:rFonts w:ascii="Times New Roman" w:hAnsi="Times New Roman" w:eastAsia="宋体" w:cs="Times New Roman"/>
      <w:sz w:val="18"/>
      <w:szCs w:val="18"/>
    </w:rPr>
  </w:style>
  <w:style w:type="paragraph" w:styleId="692">
    <w:name w:val="目录 1"/>
    <w:basedOn w:val="647"/>
    <w:next w:val="647"/>
    <w:link w:val="647"/>
    <w:semiHidden/>
    <w:rPr>
      <w:sz w:val="24"/>
    </w:rPr>
  </w:style>
  <w:style w:type="paragraph" w:styleId="693">
    <w:name w:val="列表"/>
    <w:basedOn w:val="647"/>
    <w:next w:val="693"/>
    <w:link w:val="647"/>
    <w:pPr>
      <w:ind w:left="200" w:hanging="200"/>
    </w:pPr>
  </w:style>
  <w:style w:type="paragraph" w:styleId="694">
    <w:name w:val="正文文本缩进 3"/>
    <w:basedOn w:val="647"/>
    <w:next w:val="694"/>
    <w:link w:val="695"/>
    <w:pPr>
      <w:ind w:left="420"/>
      <w:spacing w:after="120"/>
    </w:pPr>
    <w:rPr>
      <w:sz w:val="16"/>
      <w:szCs w:val="16"/>
    </w:rPr>
  </w:style>
  <w:style w:type="character" w:styleId="695">
    <w:name w:val="正文文本缩进 3 Char"/>
    <w:next w:val="695"/>
    <w:link w:val="694"/>
    <w:rPr>
      <w:rFonts w:ascii="Times New Roman" w:hAnsi="Times New Roman" w:eastAsia="宋体" w:cs="Times New Roman"/>
      <w:sz w:val="16"/>
      <w:szCs w:val="16"/>
    </w:rPr>
  </w:style>
  <w:style w:type="paragraph" w:styleId="696">
    <w:name w:val="正文文本 2"/>
    <w:basedOn w:val="647"/>
    <w:next w:val="696"/>
    <w:link w:val="697"/>
    <w:rPr>
      <w:b/>
      <w:bCs/>
      <w:sz w:val="18"/>
    </w:rPr>
  </w:style>
  <w:style w:type="character" w:styleId="697">
    <w:name w:val="正文文本 2 Char"/>
    <w:next w:val="697"/>
    <w:link w:val="696"/>
    <w:rPr>
      <w:rFonts w:ascii="Times New Roman" w:hAnsi="Times New Roman" w:eastAsia="宋体" w:cs="Times New Roman"/>
      <w:b/>
      <w:bCs/>
      <w:sz w:val="18"/>
      <w:szCs w:val="24"/>
    </w:rPr>
  </w:style>
  <w:style w:type="paragraph" w:styleId="698">
    <w:name w:val="普通(网站)"/>
    <w:basedOn w:val="647"/>
    <w:next w:val="698"/>
    <w:link w:val="647"/>
    <w:pPr>
      <w:jc w:val="left"/>
      <w:spacing w:before="100" w:beforeAutospacing="1" w:after="100" w:afterAutospacing="1"/>
      <w:widowControl/>
    </w:pPr>
    <w:rPr>
      <w:rFonts w:ascii="宋体" w:hAnsi="宋体"/>
      <w:color w:val="000000"/>
      <w:sz w:val="24"/>
    </w:rPr>
  </w:style>
  <w:style w:type="paragraph" w:styleId="699">
    <w:name w:val="正文首行缩进"/>
    <w:basedOn w:val="675"/>
    <w:next w:val="699"/>
    <w:link w:val="700"/>
    <w:pPr>
      <w:ind w:firstLine="420"/>
      <w:spacing w:after="120"/>
    </w:pPr>
    <w:rPr>
      <w:rFonts w:ascii="Times New Roman" w:eastAsia="宋体"/>
      <w:szCs w:val="24"/>
    </w:rPr>
  </w:style>
  <w:style w:type="character" w:styleId="700">
    <w:name w:val="正文首行缩进 Char"/>
    <w:next w:val="700"/>
    <w:link w:val="699"/>
    <w:rPr>
      <w:rFonts w:ascii="Times New Roman" w:hAnsi="Times New Roman" w:eastAsia="宋体" w:cs="Times New Roman"/>
      <w:sz w:val="24"/>
      <w:szCs w:val="24"/>
    </w:rPr>
  </w:style>
  <w:style w:type="paragraph" w:styleId="701">
    <w:name w:val="正文首行缩进 2"/>
    <w:basedOn w:val="677"/>
    <w:next w:val="647"/>
    <w:link w:val="647"/>
    <w:uiPriority w:val="99"/>
    <w:qFormat/>
    <w:pPr>
      <w:ind w:firstLine="420"/>
      <w:spacing w:after="0"/>
    </w:pPr>
  </w:style>
  <w:style w:type="table" w:styleId="702">
    <w:name w:val="网格型"/>
    <w:basedOn w:val="658"/>
    <w:next w:val="702"/>
    <w:link w:val="647"/>
    <w:uiPriority w:val="59"/>
    <w:tblPr/>
  </w:style>
  <w:style w:type="character" w:styleId="703">
    <w:name w:val="要点"/>
    <w:next w:val="703"/>
    <w:link w:val="647"/>
    <w:qFormat/>
    <w:rPr>
      <w:b/>
      <w:bCs/>
    </w:rPr>
  </w:style>
  <w:style w:type="character" w:styleId="704">
    <w:name w:val="页码"/>
    <w:next w:val="704"/>
    <w:link w:val="647"/>
  </w:style>
  <w:style w:type="character" w:styleId="705">
    <w:name w:val="已访问的超链接"/>
    <w:next w:val="705"/>
    <w:link w:val="647"/>
    <w:rPr>
      <w:color w:val="800080"/>
      <w:u w:val="single"/>
    </w:rPr>
  </w:style>
  <w:style w:type="character" w:styleId="706">
    <w:name w:val="强调"/>
    <w:next w:val="706"/>
    <w:link w:val="647"/>
    <w:qFormat/>
    <w:rPr>
      <w:i/>
    </w:rPr>
  </w:style>
  <w:style w:type="character" w:styleId="707">
    <w:name w:val="超链接"/>
    <w:next w:val="707"/>
    <w:link w:val="647"/>
    <w:rPr>
      <w:color w:val="0000ff"/>
      <w:u w:val="single"/>
    </w:rPr>
  </w:style>
  <w:style w:type="character" w:styleId="708">
    <w:name w:val="列出段落 Char"/>
    <w:next w:val="708"/>
    <w:link w:val="709"/>
    <w:uiPriority w:val="99"/>
  </w:style>
  <w:style w:type="paragraph" w:styleId="709">
    <w:name w:val="列出段落"/>
    <w:basedOn w:val="647"/>
    <w:next w:val="709"/>
    <w:link w:val="708"/>
    <w:uiPriority w:val="99"/>
    <w:qFormat/>
    <w:pPr>
      <w:ind w:firstLine="420"/>
    </w:pPr>
    <w:rPr>
      <w:sz w:val="20"/>
      <w:szCs w:val="20"/>
    </w:rPr>
  </w:style>
  <w:style w:type="character" w:styleId="710">
    <w:name w:val="文档结构图 Char1"/>
    <w:next w:val="710"/>
    <w:link w:val="647"/>
    <w:uiPriority w:val="99"/>
    <w:semiHidden/>
    <w:rPr>
      <w:rFonts w:ascii="宋体" w:hAnsi="Times New Roman" w:eastAsia="宋体" w:cs="Times New Roman"/>
      <w:sz w:val="18"/>
      <w:szCs w:val="18"/>
    </w:rPr>
  </w:style>
  <w:style w:type="character" w:styleId="711">
    <w:name w:val="普通正文 Char"/>
    <w:next w:val="711"/>
    <w:link w:val="712"/>
    <w:rPr>
      <w:rFonts w:ascii="Arial" w:hAnsi="Arial"/>
      <w:sz w:val="24"/>
      <w:szCs w:val="24"/>
    </w:rPr>
  </w:style>
  <w:style w:type="paragraph" w:styleId="712">
    <w:name w:val="普通正文"/>
    <w:basedOn w:val="647"/>
    <w:next w:val="712"/>
    <w:link w:val="711"/>
    <w:pPr>
      <w:ind w:left="-2" w:right="120" w:firstLine="480"/>
      <w:jc w:val="center"/>
      <w:spacing w:before="120" w:after="120" w:line="360" w:lineRule="auto"/>
    </w:pPr>
    <w:rPr>
      <w:rFonts w:ascii="Arial" w:hAnsi="Arial"/>
      <w:sz w:val="24"/>
    </w:rPr>
  </w:style>
  <w:style w:type="character" w:styleId="713">
    <w:name w:val="FA正文 Char"/>
    <w:next w:val="713"/>
    <w:link w:val="714"/>
    <w:rPr>
      <w:rFonts w:ascii="宋体" w:hAnsi="宋体" w:eastAsia="宋体" w:cs="Times New Roman"/>
      <w:sz w:val="28"/>
      <w:szCs w:val="28"/>
    </w:rPr>
  </w:style>
  <w:style w:type="paragraph" w:styleId="714">
    <w:name w:val="FA正文"/>
    <w:basedOn w:val="647"/>
    <w:next w:val="714"/>
    <w:link w:val="713"/>
    <w:pPr>
      <w:ind w:firstLine="538"/>
      <w:spacing w:line="440" w:lineRule="atLeast"/>
      <w:tabs>
        <w:tab w:val="left" w:pos="3375" w:leader="none"/>
      </w:tabs>
    </w:pPr>
    <w:rPr>
      <w:rFonts w:ascii="宋体" w:hAnsi="宋体"/>
      <w:sz w:val="28"/>
      <w:szCs w:val="28"/>
    </w:rPr>
  </w:style>
  <w:style w:type="character" w:styleId="715">
    <w:name w:val="正文缩进2格 Char"/>
    <w:next w:val="715"/>
    <w:link w:val="716"/>
    <w:rPr>
      <w:rFonts w:ascii="仿宋_GB2312" w:hAnsi="宋体" w:eastAsia="仿宋_GB2312" w:cs="Times New Roman"/>
      <w:sz w:val="31"/>
      <w:szCs w:val="28"/>
    </w:rPr>
  </w:style>
  <w:style w:type="paragraph" w:styleId="716">
    <w:name w:val="正文缩进2格"/>
    <w:basedOn w:val="647"/>
    <w:next w:val="716"/>
    <w:link w:val="715"/>
    <w:pPr>
      <w:ind w:firstLine="639"/>
      <w:spacing w:line="600" w:lineRule="exact"/>
    </w:pPr>
    <w:rPr>
      <w:rFonts w:ascii="仿宋_GB2312" w:hAnsi="宋体" w:eastAsia="仿宋_GB2312"/>
      <w:sz w:val="31"/>
      <w:szCs w:val="28"/>
    </w:rPr>
  </w:style>
  <w:style w:type="character" w:styleId="717">
    <w:name w:val="cn_text1"/>
    <w:next w:val="717"/>
    <w:link w:val="647"/>
    <w:rPr>
      <w:rFonts w:ascii="ˎ̥" w:hAnsi="ˎ̥"/>
      <w:color w:val="003399"/>
      <w:spacing w:val="15"/>
      <w:sz w:val="18"/>
      <w:szCs w:val="18"/>
    </w:rPr>
  </w:style>
  <w:style w:type="character" w:styleId="718">
    <w:name w:val="ssss Char"/>
    <w:next w:val="718"/>
    <w:link w:val="647"/>
    <w:rPr>
      <w:rFonts w:eastAsia="宋体"/>
      <w:sz w:val="24"/>
      <w:szCs w:val="24"/>
      <w:lang w:val="en-US" w:eastAsia="zh-CN" w:bidi="ar-SA"/>
    </w:rPr>
  </w:style>
  <w:style w:type="character" w:styleId="719">
    <w:name w:val="ssss Char1"/>
    <w:next w:val="719"/>
    <w:link w:val="720"/>
    <w:rPr>
      <w:rFonts w:ascii="Times New Roman" w:hAnsi="Times New Roman" w:eastAsia="宋体" w:cs="Times New Roman"/>
      <w:sz w:val="24"/>
      <w:szCs w:val="24"/>
    </w:rPr>
  </w:style>
  <w:style w:type="paragraph" w:styleId="720">
    <w:name w:val="ssss"/>
    <w:basedOn w:val="647"/>
    <w:next w:val="720"/>
    <w:link w:val="719"/>
    <w:pPr>
      <w:ind w:firstLine="480"/>
      <w:spacing w:line="360" w:lineRule="auto"/>
    </w:pPr>
    <w:rPr>
      <w:sz w:val="24"/>
    </w:rPr>
  </w:style>
  <w:style w:type="character" w:styleId="721">
    <w:name w:val="标题 4 Char1,H4 Char,heading 4 Char,h4 Char,PIM 4 Char,bullet Char,bl Char,bb Char,H41 Char,H42 Char,H43 Char,H44 Char,H45 Char,H46 Char,H47 Char,H48 Char,H49 Char,H410 Char,H411 Char,H421 Char,H431 Char,H441 Char,H451 Char,H461 Char,H471 Char,H481 Char"/>
    <w:next w:val="721"/>
    <w:link w:val="647"/>
    <w:rPr>
      <w:rFonts w:ascii="Arial" w:hAnsi="Arial" w:eastAsia="黑体"/>
      <w:b/>
      <w:bCs/>
      <w:sz w:val="28"/>
      <w:szCs w:val="28"/>
      <w:lang w:val="en-US" w:eastAsia="zh-CN" w:bidi="ar-SA"/>
    </w:rPr>
  </w:style>
  <w:style w:type="character" w:styleId="722">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2"/>
    <w:link w:val="647"/>
    <w:uiPriority w:val="34"/>
    <w:qFormat/>
    <w:rPr>
      <w:rFonts w:ascii="Calibri" w:hAnsi="Calibri"/>
      <w:sz w:val="21"/>
      <w:szCs w:val="22"/>
    </w:rPr>
  </w:style>
  <w:style w:type="character" w:styleId="723">
    <w:name w:val="批注框文本 Char1"/>
    <w:next w:val="723"/>
    <w:link w:val="647"/>
    <w:uiPriority w:val="99"/>
    <w:semiHidden/>
    <w:rPr>
      <w:rFonts w:ascii="Times New Roman" w:hAnsi="Times New Roman" w:eastAsia="宋体" w:cs="Times New Roman"/>
      <w:sz w:val="18"/>
      <w:szCs w:val="18"/>
    </w:rPr>
  </w:style>
  <w:style w:type="character" w:styleId="724">
    <w:name w:val="样式 ssss + 宋体 五号1 Char"/>
    <w:next w:val="724"/>
    <w:link w:val="725"/>
    <w:rPr>
      <w:rFonts w:ascii="宋体" w:hAnsi="宋体" w:eastAsia="宋体" w:cs="Times New Roman"/>
      <w:sz w:val="24"/>
      <w:szCs w:val="24"/>
    </w:rPr>
  </w:style>
  <w:style w:type="paragraph" w:styleId="725">
    <w:name w:val="样式 ssss + 宋体 五号1"/>
    <w:basedOn w:val="720"/>
    <w:next w:val="725"/>
    <w:link w:val="724"/>
    <w:rPr>
      <w:rFonts w:ascii="宋体" w:hAnsi="宋体"/>
    </w:rPr>
  </w:style>
  <w:style w:type="character" w:styleId="726">
    <w:name w:val="point_normal1"/>
    <w:next w:val="726"/>
    <w:link w:val="647"/>
    <w:rPr>
      <w:rFonts w:ascii="Arial" w:hAnsi="Arial" w:cs="Arial"/>
      <w:sz w:val="16"/>
      <w:szCs w:val="16"/>
    </w:rPr>
  </w:style>
  <w:style w:type="paragraph" w:styleId="727">
    <w:name w:val="样式 正文文本缩进 3 + 四号"/>
    <w:basedOn w:val="694"/>
    <w:next w:val="727"/>
    <w:link w:val="647"/>
    <w:pPr>
      <w:ind w:left="0" w:firstLine="437"/>
      <w:spacing w:after="0" w:line="360" w:lineRule="auto"/>
    </w:pPr>
    <w:rPr>
      <w:sz w:val="24"/>
      <w:szCs w:val="21"/>
    </w:rPr>
  </w:style>
  <w:style w:type="paragraph" w:styleId="728">
    <w:name w:val="2cxsplast"/>
    <w:basedOn w:val="647"/>
    <w:next w:val="728"/>
    <w:link w:val="647"/>
    <w:pPr>
      <w:jc w:val="left"/>
      <w:spacing w:before="100" w:beforeAutospacing="1" w:after="100" w:afterAutospacing="1"/>
      <w:widowControl/>
    </w:pPr>
    <w:rPr>
      <w:rFonts w:ascii="宋体" w:hAnsi="宋体" w:cs="宋体"/>
      <w:sz w:val="24"/>
    </w:rPr>
  </w:style>
  <w:style w:type="paragraph" w:styleId="729">
    <w:name w:val="ec_msonormal"/>
    <w:basedOn w:val="647"/>
    <w:next w:val="729"/>
    <w:link w:val="647"/>
    <w:pPr>
      <w:jc w:val="left"/>
      <w:spacing w:before="100" w:beforeAutospacing="1" w:after="100" w:afterAutospacing="1"/>
      <w:widowControl/>
    </w:pPr>
    <w:rPr>
      <w:rFonts w:ascii="宋体" w:hAnsi="宋体"/>
      <w:sz w:val="24"/>
    </w:rPr>
  </w:style>
  <w:style w:type="paragraph" w:styleId="730">
    <w:name w:val=" Char Char Char Char"/>
    <w:basedOn w:val="647"/>
    <w:next w:val="730"/>
    <w:link w:val="647"/>
    <w:rPr>
      <w:rFonts w:ascii="Tahoma" w:hAnsi="Tahoma"/>
      <w:sz w:val="24"/>
      <w:szCs w:val="20"/>
    </w:rPr>
  </w:style>
  <w:style w:type="paragraph" w:styleId="731">
    <w:name w:val=" Char Char Char Char Char Char Char Char Char Char Char Char Char"/>
    <w:basedOn w:val="647"/>
    <w:next w:val="731"/>
    <w:link w:val="647"/>
  </w:style>
  <w:style w:type="paragraph" w:styleId="732">
    <w:name w:val="表格正文"/>
    <w:basedOn w:val="647"/>
    <w:next w:val="732"/>
    <w:link w:val="647"/>
    <w:pPr>
      <w:jc w:val="left"/>
      <w:spacing w:line="360" w:lineRule="auto"/>
    </w:pPr>
    <w:rPr>
      <w:rFonts w:ascii="Calibri" w:hAnsi="Calibri"/>
      <w:color w:val="000000"/>
      <w:szCs w:val="28"/>
    </w:rPr>
  </w:style>
  <w:style w:type="paragraph" w:styleId="733">
    <w:name w:val="Normal1"/>
    <w:next w:val="733"/>
    <w:link w:val="647"/>
    <w:pPr>
      <w:jc w:val="both"/>
      <w:spacing w:line="315" w:lineRule="atLeast"/>
      <w:widowControl w:val="off"/>
    </w:pPr>
    <w:rPr>
      <w:rFonts w:ascii="宋体"/>
      <w:sz w:val="24"/>
      <w:lang w:val="en-US" w:eastAsia="zh-CN" w:bidi="ar-SA"/>
    </w:rPr>
  </w:style>
  <w:style w:type="paragraph" w:styleId="734">
    <w:name w:val="Char Char Char Char"/>
    <w:basedOn w:val="647"/>
    <w:next w:val="734"/>
    <w:link w:val="647"/>
    <w:rPr>
      <w:rFonts w:ascii="Tahoma" w:hAnsi="Tahoma"/>
      <w:sz w:val="24"/>
      <w:szCs w:val="20"/>
    </w:rPr>
  </w:style>
  <w:style w:type="paragraph" w:styleId="735">
    <w:name w:val="Char Char Char"/>
    <w:basedOn w:val="647"/>
    <w:next w:val="735"/>
    <w:link w:val="647"/>
    <w:rPr>
      <w:rFonts w:ascii="Tahoma" w:hAnsi="Tahoma"/>
      <w:sz w:val="24"/>
      <w:szCs w:val="20"/>
    </w:rPr>
  </w:style>
  <w:style w:type="paragraph" w:styleId="736">
    <w:name w:val="标题-----3"/>
    <w:basedOn w:val="650"/>
    <w:next w:val="736"/>
    <w:link w:val="647"/>
    <w:pPr>
      <w:spacing w:before="0" w:after="0" w:line="240" w:lineRule="auto"/>
      <w:outlineLvl w:val="0"/>
    </w:pPr>
    <w:rPr>
      <w:rFonts w:ascii="宋体" w:hAnsi="宋体"/>
      <w:b w:val="0"/>
      <w:bCs w:val="0"/>
      <w:sz w:val="28"/>
      <w:szCs w:val="28"/>
    </w:rPr>
  </w:style>
  <w:style w:type="paragraph" w:styleId="737">
    <w:name w:val="样式 ssss + 居中"/>
    <w:basedOn w:val="720"/>
    <w:next w:val="737"/>
    <w:link w:val="647"/>
    <w:pPr>
      <w:jc w:val="center"/>
    </w:pPr>
    <w:rPr>
      <w:rFonts w:cs="宋体"/>
      <w:szCs w:val="20"/>
    </w:rPr>
  </w:style>
  <w:style w:type="paragraph" w:styleId="738">
    <w:name w:val="样式 宋体 四号 黑色 左侧:  0.74 厘米 首行缩进:  0.74 厘米 行距: 1.5 倍行距"/>
    <w:basedOn w:val="647"/>
    <w:next w:val="738"/>
    <w:link w:val="647"/>
    <w:pPr>
      <w:ind w:firstLine="420"/>
      <w:spacing w:line="360" w:lineRule="auto"/>
    </w:pPr>
    <w:rPr>
      <w:rFonts w:ascii="宋体"/>
      <w:color w:val="000000"/>
      <w:sz w:val="24"/>
      <w:szCs w:val="21"/>
    </w:rPr>
  </w:style>
  <w:style w:type="paragraph" w:styleId="739">
    <w:name w:val="样式 样式 ssss + 宋体 五号 + 首行缩进:  2 字符"/>
    <w:basedOn w:val="740"/>
    <w:next w:val="739"/>
    <w:link w:val="647"/>
    <w:pPr>
      <w:ind w:firstLine="480"/>
    </w:pPr>
  </w:style>
  <w:style w:type="paragraph" w:styleId="740">
    <w:name w:val="样式 ssss + 宋体 五号"/>
    <w:basedOn w:val="720"/>
    <w:next w:val="740"/>
    <w:link w:val="647"/>
    <w:pPr>
      <w:ind w:firstLine="420"/>
    </w:pPr>
    <w:rPr>
      <w:rFonts w:ascii="宋体" w:hAnsi="宋体" w:cs="宋体"/>
      <w:szCs w:val="20"/>
    </w:rPr>
  </w:style>
  <w:style w:type="paragraph" w:styleId="741">
    <w:name w:val="msonormalcxsplast"/>
    <w:basedOn w:val="647"/>
    <w:next w:val="741"/>
    <w:link w:val="647"/>
    <w:pPr>
      <w:jc w:val="left"/>
      <w:spacing w:before="100" w:beforeAutospacing="1" w:after="100" w:afterAutospacing="1"/>
      <w:widowControl/>
    </w:pPr>
    <w:rPr>
      <w:rFonts w:ascii="宋体" w:hAnsi="宋体" w:cs="宋体"/>
      <w:sz w:val="24"/>
    </w:rPr>
  </w:style>
  <w:style w:type="paragraph" w:styleId="742">
    <w:name w:val=" Char"/>
    <w:basedOn w:val="647"/>
    <w:next w:val="742"/>
    <w:link w:val="647"/>
    <w:rPr>
      <w:rFonts w:ascii="Tahoma" w:hAnsi="Tahoma"/>
      <w:sz w:val="24"/>
      <w:szCs w:val="20"/>
    </w:rPr>
  </w:style>
  <w:style w:type="paragraph" w:styleId="743">
    <w:name w:val="xl25"/>
    <w:basedOn w:val="647"/>
    <w:next w:val="743"/>
    <w:link w:val="64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4">
    <w:name w:val="标题------4"/>
    <w:basedOn w:val="651"/>
    <w:next w:val="744"/>
    <w:link w:val="647"/>
    <w:pPr>
      <w:ind w:left="960" w:hanging="420"/>
      <w:jc w:val="both"/>
      <w:keepLines/>
      <w:spacing w:line="360" w:lineRule="auto"/>
    </w:pPr>
    <w:rPr>
      <w:rFonts w:ascii="仿宋_GB2312" w:hAnsi="宋体" w:eastAsia="仿宋_GB2312" w:cs="仿宋_GB2312"/>
      <w:b/>
      <w:sz w:val="28"/>
      <w:szCs w:val="28"/>
      <w:lang w:val="zh-CN"/>
    </w:rPr>
  </w:style>
  <w:style w:type="paragraph" w:styleId="745">
    <w:name w:val="msonormalcxspmiddle"/>
    <w:basedOn w:val="647"/>
    <w:next w:val="745"/>
    <w:link w:val="647"/>
    <w:pPr>
      <w:jc w:val="left"/>
      <w:spacing w:before="100" w:beforeAutospacing="1" w:after="100" w:afterAutospacing="1"/>
      <w:widowControl/>
    </w:pPr>
    <w:rPr>
      <w:rFonts w:ascii="宋体" w:hAnsi="宋体" w:cs="宋体"/>
      <w:sz w:val="24"/>
    </w:rPr>
  </w:style>
  <w:style w:type="paragraph" w:styleId="746">
    <w:name w:val="Char Char Char Char Char Char Char Char Char Char Char Char Char"/>
    <w:basedOn w:val="647"/>
    <w:next w:val="746"/>
    <w:link w:val="647"/>
    <w:rPr>
      <w:sz w:val="24"/>
    </w:rPr>
  </w:style>
  <w:style w:type="paragraph" w:styleId="747">
    <w:name w:val="表格"/>
    <w:basedOn w:val="647"/>
    <w:next w:val="747"/>
    <w:link w:val="647"/>
    <w:rPr>
      <w:rFonts w:ascii="Arial" w:hAnsi="Arial"/>
      <w:sz w:val="24"/>
    </w:rPr>
  </w:style>
  <w:style w:type="paragraph" w:styleId="748">
    <w:name w:val="正文样式1"/>
    <w:basedOn w:val="647"/>
    <w:next w:val="748"/>
    <w:link w:val="647"/>
    <w:pPr>
      <w:ind w:firstLine="480"/>
      <w:spacing w:before="120" w:after="120" w:line="360" w:lineRule="auto"/>
    </w:pPr>
    <w:rPr>
      <w:sz w:val="24"/>
      <w:szCs w:val="20"/>
    </w:rPr>
  </w:style>
  <w:style w:type="paragraph" w:styleId="749">
    <w:name w:val=" Char Char1 Char Char Char Char Char Char"/>
    <w:basedOn w:val="647"/>
    <w:next w:val="749"/>
    <w:link w:val="647"/>
    <w:pPr>
      <w:jc w:val="left"/>
      <w:spacing w:after="160" w:line="240" w:lineRule="exact"/>
      <w:widowControl/>
    </w:pPr>
    <w:rPr>
      <w:rFonts w:ascii="Verdana" w:hAnsi="Verdana" w:eastAsia="仿宋_GB2312"/>
      <w:sz w:val="24"/>
      <w:szCs w:val="20"/>
      <w:lang w:eastAsia="en-US"/>
    </w:rPr>
  </w:style>
  <w:style w:type="paragraph" w:styleId="750">
    <w:name w:val="Char Char Char Char Char Char Char Char Char Char"/>
    <w:basedOn w:val="647"/>
    <w:next w:val="750"/>
    <w:link w:val="647"/>
    <w:rPr>
      <w:rFonts w:ascii="Tahoma" w:hAnsi="Tahoma"/>
      <w:sz w:val="24"/>
      <w:szCs w:val="20"/>
    </w:rPr>
  </w:style>
  <w:style w:type="paragraph" w:styleId="751">
    <w:name w:val="Char"/>
    <w:basedOn w:val="647"/>
    <w:next w:val="751"/>
    <w:link w:val="647"/>
    <w:pPr>
      <w:tabs>
        <w:tab w:val="left" w:pos="360" w:leader="none"/>
      </w:tabs>
    </w:pPr>
    <w:rPr>
      <w:sz w:val="24"/>
    </w:rPr>
  </w:style>
  <w:style w:type="paragraph" w:styleId="752">
    <w:name w:val="标题1"/>
    <w:basedOn w:val="647"/>
    <w:next w:val="647"/>
    <w:link w:val="647"/>
    <w:pPr>
      <w:jc w:val="center"/>
      <w:spacing w:line="700" w:lineRule="atLeast"/>
      <w:tabs>
        <w:tab w:val="left" w:pos="9193" w:leader="none"/>
        <w:tab w:val="left" w:pos="9827" w:leader="none"/>
      </w:tabs>
    </w:pPr>
    <w:rPr>
      <w:rFonts w:ascii="方正小标宋_GBK" w:eastAsia="方正小标宋_GBK"/>
      <w:sz w:val="44"/>
      <w:szCs w:val="20"/>
    </w:rPr>
  </w:style>
  <w:style w:type="paragraph" w:styleId="753">
    <w:name w:val="Header2"/>
    <w:basedOn w:val="647"/>
    <w:next w:val="753"/>
    <w:link w:val="647"/>
    <w:pPr>
      <w:numPr>
        <w:ilvl w:val="0"/>
        <w:numId w:val="1"/>
      </w:numPr>
      <w:tabs>
        <w:tab w:val="left" w:pos="480" w:leader="none"/>
      </w:tabs>
    </w:pPr>
  </w:style>
  <w:style w:type="paragraph" w:styleId="754">
    <w:name w:val=" Char Char 字元 字元 字元 Char Char Char Char"/>
    <w:basedOn w:val="647"/>
    <w:next w:val="754"/>
    <w:link w:val="647"/>
    <w:pPr>
      <w:spacing w:line="360" w:lineRule="auto"/>
    </w:pPr>
    <w:rPr>
      <w:sz w:val="24"/>
      <w:szCs w:val="20"/>
    </w:rPr>
  </w:style>
  <w:style w:type="paragraph" w:styleId="755">
    <w:name w:val="2cxspmiddle"/>
    <w:basedOn w:val="647"/>
    <w:next w:val="755"/>
    <w:link w:val="647"/>
    <w:pPr>
      <w:jc w:val="left"/>
      <w:spacing w:before="100" w:beforeAutospacing="1" w:after="100" w:afterAutospacing="1"/>
      <w:widowControl/>
    </w:pPr>
    <w:rPr>
      <w:rFonts w:ascii="宋体" w:hAnsi="宋体" w:cs="宋体"/>
      <w:sz w:val="24"/>
    </w:rPr>
  </w:style>
  <w:style w:type="paragraph" w:styleId="756">
    <w:name w:val="正文_0_0"/>
    <w:next w:val="756"/>
    <w:link w:val="647"/>
    <w:qFormat/>
    <w:pPr>
      <w:jc w:val="both"/>
      <w:widowControl w:val="off"/>
    </w:pPr>
    <w:rPr>
      <w:sz w:val="21"/>
      <w:szCs w:val="24"/>
      <w:lang w:val="en-US" w:eastAsia="zh-CN" w:bidi="ar-SA"/>
    </w:rPr>
  </w:style>
  <w:style w:type="paragraph" w:styleId="757">
    <w:name w:val="正文_1_0"/>
    <w:next w:val="757"/>
    <w:link w:val="647"/>
    <w:qFormat/>
    <w:pPr>
      <w:jc w:val="both"/>
      <w:widowControl w:val="off"/>
    </w:pPr>
    <w:rPr>
      <w:sz w:val="21"/>
      <w:szCs w:val="24"/>
      <w:lang w:val="en-US" w:eastAsia="zh-CN" w:bidi="ar-SA"/>
    </w:rPr>
  </w:style>
  <w:style w:type="table" w:styleId="758">
    <w:name w:val="网格型1"/>
    <w:basedOn w:val="658"/>
    <w:next w:val="758"/>
    <w:link w:val="647"/>
    <w:uiPriority w:val="39"/>
    <w:rPr>
      <w:rFonts w:ascii="等线" w:hAnsi="等线" w:eastAsia="等线" w:cs="Times New Roman"/>
      <w:sz w:val="21"/>
      <w:szCs w:val="22"/>
    </w:rPr>
    <w:tblPr/>
  </w:style>
  <w:style w:type="paragraph" w:styleId="759">
    <w:name w:val="纯文本1"/>
    <w:basedOn w:val="647"/>
    <w:next w:val="759"/>
    <w:link w:val="647"/>
    <w:qFormat/>
    <w:rPr>
      <w:rFonts w:ascii="宋体" w:hAnsi="Courier New" w:cs="Courier New"/>
    </w:rPr>
  </w:style>
  <w:style w:type="paragraph" w:styleId="760">
    <w:name w:val="段"/>
    <w:next w:val="647"/>
    <w:link w:val="647"/>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61">
    <w:name w:val="正文文本1"/>
    <w:basedOn w:val="647"/>
    <w:next w:val="761"/>
    <w:link w:val="647"/>
    <w:qFormat/>
    <w:rPr>
      <w:rFonts w:ascii="楷体_GB2312" w:hAnsi="Arial" w:eastAsia="楷体_GB2312"/>
      <w:sz w:val="28"/>
      <w:szCs w:val="28"/>
    </w:rPr>
  </w:style>
  <w:style w:type="character" w:styleId="762">
    <w:name w:val="font101"/>
    <w:basedOn w:val="657"/>
    <w:next w:val="762"/>
    <w:link w:val="647"/>
    <w:qFormat/>
    <w:rPr>
      <w:rFonts w:hint="eastAsia" w:ascii="宋体" w:hAnsi="宋体" w:eastAsia="宋体" w:cs="宋体"/>
      <w:color w:val="000000"/>
      <w:sz w:val="22"/>
      <w:szCs w:val="22"/>
      <w:u w:val="none"/>
    </w:rPr>
  </w:style>
  <w:style w:type="character" w:styleId="763">
    <w:name w:val="font21"/>
    <w:basedOn w:val="657"/>
    <w:next w:val="763"/>
    <w:link w:val="647"/>
    <w:qFormat/>
    <w:rPr>
      <w:rFonts w:hint="eastAsia" w:ascii="微软雅黑" w:hAnsi="微软雅黑" w:eastAsia="微软雅黑" w:cs="微软雅黑"/>
      <w:color w:val="000000"/>
      <w:sz w:val="22"/>
      <w:szCs w:val="22"/>
      <w:u w:val="none"/>
    </w:rPr>
  </w:style>
  <w:style w:type="paragraph" w:styleId="764">
    <w:name w:val="列出段落1"/>
    <w:basedOn w:val="647"/>
    <w:next w:val="764"/>
    <w:link w:val="647"/>
    <w:uiPriority w:val="34"/>
    <w:qFormat/>
    <w:pPr>
      <w:contextualSpacing/>
      <w:ind w:left="720"/>
      <w:jc w:val="left"/>
      <w:widowControl/>
    </w:pPr>
    <w:rPr>
      <w:sz w:val="24"/>
      <w:lang w:eastAsia="en-US" w:bidi="en-US"/>
    </w:rPr>
  </w:style>
  <w:style w:type="paragraph" w:styleId="765">
    <w:name w:val="Default"/>
    <w:next w:val="765"/>
    <w:link w:val="647"/>
    <w:qFormat/>
    <w:pPr>
      <w:widowControl w:val="off"/>
    </w:pPr>
    <w:rPr>
      <w:rFonts w:ascii="New Baskerville" w:hAnsi="Times New Roman" w:eastAsia="New Baskerville" w:cs="New Baskerville"/>
      <w:color w:val="000000"/>
      <w:sz w:val="24"/>
      <w:szCs w:val="24"/>
      <w:lang w:val="en-US" w:eastAsia="zh-CN" w:bidi="ar-SA"/>
    </w:rPr>
  </w:style>
  <w:style w:type="character" w:styleId="8658" w:default="1">
    <w:name w:val="Default Paragraph Font"/>
    <w:uiPriority w:val="1"/>
    <w:semiHidden/>
    <w:unhideWhenUsed/>
  </w:style>
  <w:style w:type="numbering" w:styleId="8659" w:default="1">
    <w:name w:val="No List"/>
    <w:uiPriority w:val="99"/>
    <w:semiHidden/>
    <w:unhideWhenUsed/>
  </w:style>
  <w:style w:type="table" w:styleId="8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2026-03-18T02:50:43Z</dcterms:modified>
</cp:coreProperties>
</file>