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EC32A6">
      <w:pPr>
        <w:spacing w:line="720" w:lineRule="exact"/>
        <w:ind w:left="6500" w:hanging="6500" w:hangingChars="1250"/>
        <w:rPr>
          <w:rFonts w:eastAsia="文鼎中隶简"/>
          <w:sz w:val="52"/>
        </w:rPr>
      </w:pPr>
      <w:bookmarkStart w:id="0" w:name="_Toc465856610"/>
    </w:p>
    <w:p w14:paraId="2C844CA2">
      <w:pPr>
        <w:spacing w:line="720" w:lineRule="exact"/>
        <w:ind w:left="6500" w:hanging="6500" w:hangingChars="1250"/>
        <w:rPr>
          <w:rFonts w:eastAsia="文鼎中隶简"/>
          <w:sz w:val="52"/>
        </w:rPr>
      </w:pPr>
    </w:p>
    <w:p w14:paraId="2F69A2FB">
      <w:pPr>
        <w:spacing w:line="720" w:lineRule="exact"/>
        <w:ind w:left="6500" w:hanging="6500" w:hangingChars="1250"/>
        <w:rPr>
          <w:rFonts w:eastAsia="华康简楷"/>
          <w:sz w:val="72"/>
        </w:rPr>
      </w:pPr>
      <w:r>
        <w:rPr>
          <w:rFonts w:eastAsia="文鼎中隶简"/>
          <w:sz w:val="52"/>
        </w:rPr>
        <w:pict>
          <v:shape id="AutoShape 15" o:spid="_x0000_s1026" o:spt="136" type="#_x0000_t136" style="position:absolute;left:0pt;margin-left:53.95pt;margin-top:52.2pt;height:71.1pt;width:367.5pt;z-index:251659264;mso-width-relative:page;mso-height-relative:page;" fillcolor="#000000" filled="t" coordsize="21600,21600">
            <v:path/>
            <v:fill on="t" focussize="0,0"/>
            <v:stroke miterlimit="2"/>
            <v:imagedata o:title=""/>
            <o:lock v:ext="edit" text="f"/>
            <v:textpath on="t" fitshape="t" fitpath="t" trim="t" xscale="f" string="竞争性磋商采购文件" style="font-family:华康简魏碑;font-size:40pt;font-weight:bold;v-text-align:center;"/>
            <o:extrusion backdepth="25pt" color="#FFFFFF" lightposition="-50000,50000,10000" lightposition2="50000,0,10000" on="t" type="perspective" viewpointorigin="0,0"/>
          </v:shape>
        </w:pict>
      </w:r>
      <w:r>
        <w:rPr>
          <w:rFonts w:eastAsia="文鼎中隶简"/>
          <w:sz w:val="52"/>
        </w:rPr>
        <w:cr/>
      </w:r>
    </w:p>
    <w:p w14:paraId="4C21D9EB">
      <w:pPr>
        <w:spacing w:line="720" w:lineRule="exact"/>
        <w:jc w:val="center"/>
        <w:rPr>
          <w:rFonts w:eastAsia="华文新魏"/>
          <w:sz w:val="70"/>
        </w:rPr>
      </w:pPr>
    </w:p>
    <w:p w14:paraId="5AEF21CC">
      <w:pPr>
        <w:spacing w:line="720" w:lineRule="exact"/>
        <w:jc w:val="center"/>
        <w:rPr>
          <w:rFonts w:eastAsia="华文新魏"/>
          <w:sz w:val="70"/>
        </w:rPr>
      </w:pPr>
    </w:p>
    <w:p w14:paraId="4DA46197">
      <w:pPr>
        <w:spacing w:line="720" w:lineRule="exact"/>
        <w:jc w:val="center"/>
        <w:rPr>
          <w:rFonts w:eastAsia="华文新魏"/>
          <w:sz w:val="70"/>
        </w:rPr>
      </w:pPr>
    </w:p>
    <w:p w14:paraId="24D8040B">
      <w:pPr>
        <w:spacing w:line="720" w:lineRule="exact"/>
        <w:jc w:val="center"/>
        <w:rPr>
          <w:rFonts w:eastAsia="华文新魏"/>
          <w:sz w:val="70"/>
        </w:rPr>
      </w:pPr>
    </w:p>
    <w:tbl>
      <w:tblPr>
        <w:tblStyle w:val="39"/>
        <w:tblW w:w="9008" w:type="dxa"/>
        <w:jc w:val="center"/>
        <w:tblLayout w:type="fixed"/>
        <w:tblCellMar>
          <w:top w:w="0" w:type="dxa"/>
          <w:left w:w="108" w:type="dxa"/>
          <w:bottom w:w="0" w:type="dxa"/>
          <w:right w:w="108" w:type="dxa"/>
        </w:tblCellMar>
      </w:tblPr>
      <w:tblGrid>
        <w:gridCol w:w="2427"/>
        <w:gridCol w:w="6581"/>
      </w:tblGrid>
      <w:tr w14:paraId="1C47BD29">
        <w:tblPrEx>
          <w:tblCellMar>
            <w:top w:w="0" w:type="dxa"/>
            <w:left w:w="108" w:type="dxa"/>
            <w:bottom w:w="0" w:type="dxa"/>
            <w:right w:w="108" w:type="dxa"/>
          </w:tblCellMar>
        </w:tblPrEx>
        <w:trPr>
          <w:trHeight w:val="509" w:hRule="atLeast"/>
          <w:jc w:val="center"/>
        </w:trPr>
        <w:tc>
          <w:tcPr>
            <w:tcW w:w="2427" w:type="dxa"/>
            <w:vAlign w:val="center"/>
          </w:tcPr>
          <w:p w14:paraId="22F6CCF5">
            <w:pPr>
              <w:spacing w:line="360" w:lineRule="auto"/>
              <w:rPr>
                <w:b/>
                <w:spacing w:val="40"/>
                <w:sz w:val="36"/>
                <w:highlight w:val="none"/>
              </w:rPr>
            </w:pPr>
            <w:bookmarkStart w:id="1" w:name="OLE_LINK14" w:colFirst="1" w:colLast="1"/>
            <w:bookmarkStart w:id="2" w:name="OLE_LINK13" w:colFirst="1" w:colLast="1"/>
            <w:bookmarkStart w:id="3" w:name="OLE_LINK1" w:colFirst="1" w:colLast="1"/>
            <w:bookmarkStart w:id="4" w:name="OLE_LINK17" w:colFirst="1" w:colLast="1"/>
            <w:bookmarkStart w:id="5" w:name="OLE_LINK3" w:colFirst="1" w:colLast="1"/>
            <w:bookmarkStart w:id="6" w:name="OLE_LINK27" w:colFirst="1" w:colLast="1"/>
            <w:bookmarkStart w:id="7" w:name="OLE_LINK24" w:colFirst="1" w:colLast="1"/>
            <w:bookmarkStart w:id="8" w:name="OLE_LINK29" w:colFirst="1" w:colLast="1"/>
            <w:r>
              <w:rPr>
                <w:rFonts w:hint="eastAsia" w:hAnsi="宋体"/>
                <w:b/>
                <w:bCs/>
                <w:spacing w:val="16"/>
                <w:sz w:val="44"/>
                <w:highlight w:val="none"/>
                <w:lang w:eastAsia="zh-CN"/>
              </w:rPr>
              <w:t>标段</w:t>
            </w:r>
            <w:r>
              <w:rPr>
                <w:rFonts w:hAnsi="宋体"/>
                <w:b/>
                <w:bCs/>
                <w:spacing w:val="16"/>
                <w:sz w:val="44"/>
                <w:highlight w:val="none"/>
              </w:rPr>
              <w:t>名称：</w:t>
            </w:r>
          </w:p>
        </w:tc>
        <w:tc>
          <w:tcPr>
            <w:tcW w:w="6581" w:type="dxa"/>
            <w:vAlign w:val="center"/>
          </w:tcPr>
          <w:p w14:paraId="168FD971">
            <w:pPr>
              <w:spacing w:line="800" w:lineRule="exact"/>
              <w:rPr>
                <w:rFonts w:hint="eastAsia" w:eastAsia="宋体"/>
                <w:b/>
                <w:spacing w:val="-20"/>
                <w:sz w:val="44"/>
                <w:szCs w:val="44"/>
                <w:highlight w:val="none"/>
                <w:lang w:eastAsia="zh-CN"/>
              </w:rPr>
            </w:pPr>
            <w:r>
              <w:rPr>
                <w:rFonts w:hint="eastAsia" w:hAnsi="宋体"/>
                <w:b/>
                <w:spacing w:val="-20"/>
                <w:sz w:val="44"/>
                <w:szCs w:val="44"/>
                <w:highlight w:val="none"/>
                <w:lang w:eastAsia="zh-CN"/>
              </w:rPr>
              <w:t>连岛景区2026年度四季草花栽植工程</w:t>
            </w:r>
          </w:p>
        </w:tc>
      </w:tr>
      <w:bookmarkEnd w:id="1"/>
      <w:bookmarkEnd w:id="2"/>
      <w:bookmarkEnd w:id="3"/>
      <w:bookmarkEnd w:id="4"/>
      <w:bookmarkEnd w:id="5"/>
      <w:bookmarkEnd w:id="6"/>
      <w:bookmarkEnd w:id="7"/>
      <w:bookmarkEnd w:id="8"/>
      <w:tr w14:paraId="399D9AB5">
        <w:tblPrEx>
          <w:tblCellMar>
            <w:top w:w="0" w:type="dxa"/>
            <w:left w:w="108" w:type="dxa"/>
            <w:bottom w:w="0" w:type="dxa"/>
            <w:right w:w="108" w:type="dxa"/>
          </w:tblCellMar>
        </w:tblPrEx>
        <w:trPr>
          <w:jc w:val="center"/>
        </w:trPr>
        <w:tc>
          <w:tcPr>
            <w:tcW w:w="2427" w:type="dxa"/>
            <w:vAlign w:val="center"/>
          </w:tcPr>
          <w:p w14:paraId="3721AD52">
            <w:pPr>
              <w:spacing w:line="360" w:lineRule="auto"/>
              <w:rPr>
                <w:b/>
                <w:spacing w:val="40"/>
                <w:sz w:val="36"/>
                <w:highlight w:val="none"/>
              </w:rPr>
            </w:pPr>
            <w:bookmarkStart w:id="9" w:name="OLE_LINK2" w:colFirst="1" w:colLast="1"/>
            <w:bookmarkStart w:id="10" w:name="OLE_LINK15" w:colFirst="1" w:colLast="1"/>
            <w:bookmarkStart w:id="11" w:name="OLE_LINK30" w:colFirst="1" w:colLast="1"/>
            <w:bookmarkStart w:id="12" w:name="OLE_LINK18" w:colFirst="1" w:colLast="1"/>
            <w:bookmarkStart w:id="13" w:name="OLE_LINK5" w:colFirst="1" w:colLast="1"/>
            <w:bookmarkStart w:id="14" w:name="OLE_LINK25" w:colFirst="1" w:colLast="1"/>
            <w:r>
              <w:rPr>
                <w:rFonts w:hint="eastAsia" w:hAnsi="宋体"/>
                <w:b/>
                <w:bCs/>
                <w:spacing w:val="16"/>
                <w:sz w:val="44"/>
                <w:highlight w:val="none"/>
                <w:lang w:eastAsia="zh-CN"/>
              </w:rPr>
              <w:t>项目</w:t>
            </w:r>
            <w:r>
              <w:rPr>
                <w:rFonts w:hAnsi="宋体"/>
                <w:b/>
                <w:bCs/>
                <w:spacing w:val="16"/>
                <w:sz w:val="44"/>
                <w:highlight w:val="none"/>
              </w:rPr>
              <w:t>编号：</w:t>
            </w:r>
          </w:p>
        </w:tc>
        <w:tc>
          <w:tcPr>
            <w:tcW w:w="6581" w:type="dxa"/>
            <w:vAlign w:val="center"/>
          </w:tcPr>
          <w:p w14:paraId="4741A191">
            <w:pPr>
              <w:spacing w:line="800" w:lineRule="exact"/>
              <w:rPr>
                <w:rFonts w:hint="default" w:hAnsi="宋体"/>
                <w:b/>
                <w:spacing w:val="-20"/>
                <w:sz w:val="44"/>
                <w:szCs w:val="44"/>
                <w:highlight w:val="none"/>
                <w:lang w:val="en-US" w:eastAsia="zh-CN"/>
              </w:rPr>
            </w:pPr>
            <w:r>
              <w:rPr>
                <w:rFonts w:hint="eastAsia" w:hAnsi="宋体"/>
                <w:b/>
                <w:spacing w:val="-20"/>
                <w:sz w:val="44"/>
                <w:szCs w:val="44"/>
                <w:highlight w:val="none"/>
                <w:lang w:eastAsia="zh-CN"/>
              </w:rPr>
              <w:t>JSZC-320703-BYGS-C2026-0004</w:t>
            </w:r>
          </w:p>
        </w:tc>
      </w:tr>
      <w:bookmarkEnd w:id="9"/>
      <w:bookmarkEnd w:id="10"/>
      <w:bookmarkEnd w:id="11"/>
      <w:bookmarkEnd w:id="12"/>
      <w:bookmarkEnd w:id="13"/>
      <w:bookmarkEnd w:id="14"/>
    </w:tbl>
    <w:p w14:paraId="1D4F751D">
      <w:pPr>
        <w:pStyle w:val="17"/>
        <w:tabs>
          <w:tab w:val="left" w:pos="6810"/>
        </w:tabs>
        <w:rPr>
          <w:rFonts w:ascii="Times New Roman"/>
          <w:b/>
          <w:bCs/>
          <w:sz w:val="36"/>
          <w:highlight w:val="none"/>
        </w:rPr>
      </w:pPr>
      <w:r>
        <w:rPr>
          <w:rFonts w:ascii="Times New Roman"/>
          <w:b/>
          <w:bCs/>
          <w:sz w:val="36"/>
          <w:highlight w:val="none"/>
        </w:rPr>
        <w:tab/>
      </w:r>
    </w:p>
    <w:p w14:paraId="77EA7F40">
      <w:pPr>
        <w:pStyle w:val="17"/>
        <w:rPr>
          <w:rFonts w:ascii="Times New Roman"/>
          <w:b/>
          <w:bCs/>
          <w:sz w:val="32"/>
          <w:highlight w:val="none"/>
        </w:rPr>
      </w:pPr>
    </w:p>
    <w:tbl>
      <w:tblPr>
        <w:tblStyle w:val="39"/>
        <w:tblW w:w="9855"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48"/>
        <w:gridCol w:w="2520"/>
        <w:gridCol w:w="6687"/>
      </w:tblGrid>
      <w:tr w14:paraId="03D36058">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7" w:hRule="atLeast"/>
        </w:trPr>
        <w:tc>
          <w:tcPr>
            <w:tcW w:w="648" w:type="dxa"/>
          </w:tcPr>
          <w:p w14:paraId="3EF261F4">
            <w:pPr>
              <w:spacing w:line="360" w:lineRule="auto"/>
              <w:rPr>
                <w:rFonts w:eastAsia="文鼎CS楷体"/>
                <w:b/>
                <w:bCs/>
                <w:w w:val="95"/>
                <w:sz w:val="32"/>
                <w:highlight w:val="none"/>
              </w:rPr>
            </w:pPr>
            <w:bookmarkStart w:id="15" w:name="OLE_LINK4" w:colFirst="2" w:colLast="2"/>
            <w:bookmarkStart w:id="16" w:name="OLE_LINK31" w:colFirst="2" w:colLast="2"/>
          </w:p>
        </w:tc>
        <w:tc>
          <w:tcPr>
            <w:tcW w:w="2520" w:type="dxa"/>
            <w:vAlign w:val="bottom"/>
          </w:tcPr>
          <w:p w14:paraId="2D5E9FF3">
            <w:pPr>
              <w:spacing w:line="360" w:lineRule="auto"/>
              <w:jc w:val="right"/>
              <w:rPr>
                <w:highlight w:val="none"/>
              </w:rPr>
            </w:pPr>
            <w:r>
              <w:rPr>
                <w:rFonts w:eastAsia="文鼎CS楷体"/>
                <w:b/>
                <w:bCs/>
                <w:w w:val="95"/>
                <w:sz w:val="32"/>
                <w:highlight w:val="none"/>
              </w:rPr>
              <w:t>采   购   人：</w:t>
            </w:r>
          </w:p>
        </w:tc>
        <w:tc>
          <w:tcPr>
            <w:tcW w:w="6687" w:type="dxa"/>
            <w:vAlign w:val="bottom"/>
          </w:tcPr>
          <w:p w14:paraId="6A129DE5">
            <w:pPr>
              <w:spacing w:line="360" w:lineRule="auto"/>
              <w:rPr>
                <w:rFonts w:hint="eastAsia" w:eastAsia="文鼎CS楷体"/>
                <w:b/>
                <w:bCs/>
                <w:sz w:val="32"/>
                <w:szCs w:val="20"/>
                <w:highlight w:val="none"/>
                <w:lang w:eastAsia="zh-CN"/>
              </w:rPr>
            </w:pPr>
            <w:r>
              <w:rPr>
                <w:rFonts w:hint="eastAsia" w:eastAsia="文鼎CS楷体"/>
                <w:b/>
                <w:bCs/>
                <w:sz w:val="32"/>
                <w:szCs w:val="20"/>
                <w:highlight w:val="none"/>
                <w:lang w:eastAsia="zh-CN"/>
              </w:rPr>
              <w:t>连云港市连云区墟沟林场</w:t>
            </w:r>
          </w:p>
        </w:tc>
      </w:tr>
      <w:bookmarkEnd w:id="15"/>
      <w:bookmarkEnd w:id="16"/>
      <w:tr w14:paraId="675A7770">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48" w:type="dxa"/>
          </w:tcPr>
          <w:p w14:paraId="7002314D">
            <w:pPr>
              <w:spacing w:line="360" w:lineRule="auto"/>
              <w:rPr>
                <w:rFonts w:eastAsia="文鼎CS楷体"/>
                <w:b/>
                <w:bCs/>
                <w:w w:val="95"/>
                <w:sz w:val="32"/>
                <w:highlight w:val="none"/>
              </w:rPr>
            </w:pPr>
          </w:p>
        </w:tc>
        <w:tc>
          <w:tcPr>
            <w:tcW w:w="2520" w:type="dxa"/>
            <w:vAlign w:val="center"/>
          </w:tcPr>
          <w:p w14:paraId="4CA65C4A">
            <w:pPr>
              <w:spacing w:line="360" w:lineRule="auto"/>
              <w:jc w:val="right"/>
              <w:rPr>
                <w:highlight w:val="none"/>
              </w:rPr>
            </w:pPr>
            <w:r>
              <w:rPr>
                <w:rFonts w:eastAsia="文鼎CS楷体"/>
                <w:b/>
                <w:bCs/>
                <w:w w:val="95"/>
                <w:sz w:val="32"/>
                <w:highlight w:val="none"/>
              </w:rPr>
              <w:t>采购代理机构：</w:t>
            </w:r>
          </w:p>
        </w:tc>
        <w:tc>
          <w:tcPr>
            <w:tcW w:w="6687" w:type="dxa"/>
            <w:vAlign w:val="center"/>
          </w:tcPr>
          <w:p w14:paraId="713EB0CA">
            <w:pPr>
              <w:pStyle w:val="17"/>
              <w:spacing w:line="360" w:lineRule="auto"/>
              <w:rPr>
                <w:rFonts w:hint="eastAsia" w:ascii="Times New Roman" w:eastAsia="文鼎CS楷体"/>
                <w:b/>
                <w:bCs/>
                <w:w w:val="95"/>
                <w:sz w:val="32"/>
                <w:highlight w:val="none"/>
                <w:lang w:eastAsia="zh-CN"/>
              </w:rPr>
            </w:pPr>
            <w:r>
              <w:rPr>
                <w:rFonts w:hint="eastAsia" w:ascii="Times New Roman" w:eastAsia="文鼎CS楷体"/>
                <w:b/>
                <w:bCs/>
                <w:w w:val="95"/>
                <w:sz w:val="32"/>
                <w:highlight w:val="none"/>
                <w:lang w:eastAsia="zh-CN"/>
              </w:rPr>
              <w:t>连云港博雅物业管理服务评估监理有限公司</w:t>
            </w:r>
          </w:p>
        </w:tc>
      </w:tr>
    </w:tbl>
    <w:p w14:paraId="00AF6F22">
      <w:pPr>
        <w:spacing w:line="360" w:lineRule="auto"/>
        <w:rPr>
          <w:highlight w:val="none"/>
        </w:rPr>
      </w:pPr>
    </w:p>
    <w:tbl>
      <w:tblPr>
        <w:tblStyle w:val="39"/>
        <w:tblW w:w="4428" w:type="dxa"/>
        <w:tblInd w:w="3486" w:type="dxa"/>
        <w:tblLayout w:type="fixed"/>
        <w:tblCellMar>
          <w:top w:w="0" w:type="dxa"/>
          <w:left w:w="108" w:type="dxa"/>
          <w:bottom w:w="0" w:type="dxa"/>
          <w:right w:w="108" w:type="dxa"/>
        </w:tblCellMar>
      </w:tblPr>
      <w:tblGrid>
        <w:gridCol w:w="4428"/>
      </w:tblGrid>
      <w:tr w14:paraId="6BD6CA98">
        <w:trPr>
          <w:trHeight w:val="385" w:hRule="atLeast"/>
        </w:trPr>
        <w:tc>
          <w:tcPr>
            <w:tcW w:w="4428" w:type="dxa"/>
          </w:tcPr>
          <w:p w14:paraId="40AED434">
            <w:pPr>
              <w:pStyle w:val="17"/>
              <w:spacing w:line="360" w:lineRule="auto"/>
              <w:rPr>
                <w:rFonts w:ascii="Times New Roman"/>
                <w:b/>
                <w:sz w:val="32"/>
                <w:szCs w:val="32"/>
                <w:highlight w:val="none"/>
              </w:rPr>
            </w:pPr>
            <w:r>
              <w:rPr>
                <w:rFonts w:ascii="Times New Roman"/>
                <w:b/>
                <w:sz w:val="32"/>
                <w:szCs w:val="32"/>
                <w:highlight w:val="none"/>
              </w:rPr>
              <w:fldChar w:fldCharType="begin"/>
            </w:r>
            <w:r>
              <w:rPr>
                <w:rFonts w:ascii="Times New Roman"/>
                <w:b/>
                <w:sz w:val="32"/>
                <w:szCs w:val="32"/>
                <w:highlight w:val="none"/>
              </w:rPr>
              <w:instrText xml:space="preserve"> LINK Excel.Sheet.8 E:\\2015</w:instrText>
            </w:r>
            <w:r>
              <w:rPr>
                <w:rFonts w:ascii="Times New Roman" w:hAnsi="宋体"/>
                <w:b/>
                <w:sz w:val="32"/>
                <w:szCs w:val="32"/>
                <w:highlight w:val="none"/>
              </w:rPr>
              <w:instrText xml:space="preserve">年</w:instrText>
            </w:r>
            <w:r>
              <w:rPr>
                <w:rFonts w:ascii="Times New Roman"/>
                <w:b/>
                <w:sz w:val="32"/>
                <w:szCs w:val="32"/>
                <w:highlight w:val="none"/>
              </w:rPr>
              <w:instrText xml:space="preserve">\\</w:instrText>
            </w:r>
            <w:r>
              <w:rPr>
                <w:rFonts w:ascii="Times New Roman" w:hAnsi="宋体"/>
                <w:b/>
                <w:sz w:val="32"/>
                <w:szCs w:val="32"/>
                <w:highlight w:val="none"/>
              </w:rPr>
              <w:instrText xml:space="preserve">市地方海事局</w:instrText>
            </w:r>
            <w:r>
              <w:rPr>
                <w:rFonts w:ascii="Times New Roman"/>
                <w:b/>
                <w:sz w:val="32"/>
                <w:szCs w:val="32"/>
                <w:highlight w:val="none"/>
              </w:rPr>
              <w:instrText xml:space="preserve">\\</w:instrText>
            </w:r>
            <w:r>
              <w:rPr>
                <w:rFonts w:ascii="Times New Roman" w:hAnsi="宋体"/>
                <w:b/>
                <w:sz w:val="32"/>
                <w:szCs w:val="32"/>
                <w:highlight w:val="none"/>
              </w:rPr>
              <w:instrText xml:space="preserve">办公楼装修工程</w:instrText>
            </w:r>
            <w:r>
              <w:rPr>
                <w:rFonts w:ascii="Times New Roman"/>
                <w:b/>
                <w:sz w:val="32"/>
                <w:szCs w:val="32"/>
                <w:highlight w:val="none"/>
              </w:rPr>
              <w:instrText xml:space="preserve">\\</w:instrText>
            </w:r>
            <w:r>
              <w:rPr>
                <w:rFonts w:ascii="Times New Roman" w:hAnsi="宋体"/>
                <w:b/>
                <w:sz w:val="32"/>
                <w:szCs w:val="32"/>
                <w:highlight w:val="none"/>
              </w:rPr>
              <w:instrText xml:space="preserve">景区公安分局刑侦技术楼维修工程公开招标</w:instrText>
            </w:r>
            <w:r>
              <w:rPr>
                <w:rFonts w:ascii="Times New Roman"/>
                <w:b/>
                <w:sz w:val="32"/>
                <w:szCs w:val="32"/>
                <w:highlight w:val="none"/>
              </w:rPr>
              <w:instrText xml:space="preserve">\\</w:instrText>
            </w:r>
            <w:r>
              <w:rPr>
                <w:rFonts w:ascii="Times New Roman" w:hAnsi="宋体"/>
                <w:b/>
                <w:sz w:val="32"/>
                <w:szCs w:val="32"/>
                <w:highlight w:val="none"/>
              </w:rPr>
              <w:instrText xml:space="preserve">工程类公开招标链接数据源</w:instrText>
            </w:r>
            <w:r>
              <w:rPr>
                <w:rFonts w:ascii="Times New Roman"/>
                <w:b/>
                <w:sz w:val="32"/>
                <w:szCs w:val="32"/>
                <w:highlight w:val="none"/>
              </w:rPr>
              <w:instrText xml:space="preserve">.xls Sheet1!R32C3 \a \t \* MERGEFORMAT </w:instrText>
            </w:r>
            <w:r>
              <w:rPr>
                <w:rFonts w:ascii="Times New Roman"/>
                <w:kern w:val="0"/>
                <w:sz w:val="20"/>
                <w:highlight w:val="none"/>
              </w:rPr>
              <w:fldChar w:fldCharType="separate"/>
            </w:r>
            <w:bookmarkStart w:id="17" w:name="_1336475279"/>
            <w:bookmarkEnd w:id="17"/>
            <w:bookmarkStart w:id="18" w:name="_1407051528"/>
            <w:bookmarkEnd w:id="18"/>
            <w:bookmarkStart w:id="19" w:name="_1471955348"/>
            <w:bookmarkEnd w:id="19"/>
            <w:bookmarkStart w:id="20" w:name="_1298271315"/>
            <w:bookmarkEnd w:id="20"/>
            <w:bookmarkStart w:id="21" w:name="_1447850345"/>
            <w:bookmarkEnd w:id="21"/>
            <w:bookmarkStart w:id="22" w:name="_1407138770"/>
            <w:bookmarkEnd w:id="22"/>
            <w:bookmarkStart w:id="23" w:name="_1278423018"/>
            <w:bookmarkEnd w:id="23"/>
            <w:bookmarkStart w:id="24" w:name="_1407132958"/>
            <w:bookmarkEnd w:id="24"/>
            <w:bookmarkStart w:id="25" w:name="_1372492601"/>
            <w:bookmarkEnd w:id="25"/>
            <w:bookmarkStart w:id="26" w:name="_1298270684"/>
            <w:bookmarkEnd w:id="26"/>
            <w:bookmarkStart w:id="27" w:name="_1407154196"/>
            <w:bookmarkEnd w:id="27"/>
            <w:bookmarkStart w:id="28" w:name="_1407138454"/>
            <w:bookmarkEnd w:id="28"/>
            <w:bookmarkStart w:id="29" w:name="_1372599658"/>
            <w:bookmarkEnd w:id="29"/>
            <w:bookmarkStart w:id="30" w:name="_1448089845"/>
            <w:bookmarkEnd w:id="30"/>
            <w:bookmarkStart w:id="31" w:name="_1407649454"/>
            <w:bookmarkEnd w:id="31"/>
            <w:bookmarkStart w:id="32" w:name="_1291116219"/>
            <w:bookmarkEnd w:id="32"/>
            <w:bookmarkStart w:id="33" w:name="_1479037598"/>
            <w:bookmarkEnd w:id="33"/>
            <w:bookmarkStart w:id="34" w:name="_1372599208"/>
            <w:bookmarkEnd w:id="34"/>
            <w:bookmarkStart w:id="35" w:name="_1468218264"/>
            <w:bookmarkEnd w:id="35"/>
            <w:bookmarkStart w:id="36" w:name="_1297771980"/>
            <w:bookmarkEnd w:id="36"/>
            <w:bookmarkStart w:id="37" w:name="_1372492890"/>
            <w:bookmarkEnd w:id="37"/>
            <w:bookmarkStart w:id="38" w:name="_1291189843"/>
            <w:bookmarkEnd w:id="38"/>
            <w:bookmarkStart w:id="39" w:name="_1407133253"/>
            <w:bookmarkEnd w:id="39"/>
            <w:bookmarkStart w:id="40" w:name="_1297758037"/>
            <w:bookmarkEnd w:id="40"/>
            <w:bookmarkStart w:id="41" w:name="_1467808401"/>
            <w:bookmarkEnd w:id="41"/>
            <w:bookmarkStart w:id="42" w:name="_1407131003"/>
            <w:bookmarkEnd w:id="42"/>
            <w:bookmarkStart w:id="43" w:name="_1297774439"/>
            <w:bookmarkEnd w:id="43"/>
            <w:bookmarkStart w:id="44" w:name="_1435736218"/>
            <w:bookmarkEnd w:id="44"/>
            <w:bookmarkStart w:id="45" w:name="_1486967582"/>
            <w:bookmarkEnd w:id="45"/>
            <w:bookmarkStart w:id="46" w:name="_1297752558"/>
            <w:bookmarkEnd w:id="46"/>
            <w:bookmarkStart w:id="47" w:name="_1407131738"/>
            <w:bookmarkEnd w:id="47"/>
            <w:bookmarkStart w:id="48" w:name="_1486968668"/>
            <w:bookmarkEnd w:id="48"/>
            <w:bookmarkStart w:id="49" w:name="_1279442339"/>
            <w:bookmarkEnd w:id="49"/>
            <w:bookmarkStart w:id="50" w:name="_1291464772"/>
            <w:bookmarkEnd w:id="50"/>
            <w:bookmarkStart w:id="51" w:name="_1435759884"/>
            <w:bookmarkEnd w:id="51"/>
            <w:bookmarkStart w:id="52" w:name="_1468245416"/>
            <w:bookmarkEnd w:id="52"/>
            <w:bookmarkStart w:id="53" w:name="_1468217283"/>
            <w:bookmarkEnd w:id="53"/>
            <w:bookmarkStart w:id="54" w:name="_1278423854"/>
            <w:bookmarkEnd w:id="54"/>
            <w:bookmarkStart w:id="55" w:name="_1297771658"/>
            <w:bookmarkEnd w:id="55"/>
            <w:bookmarkStart w:id="56" w:name="_1280844196"/>
            <w:bookmarkEnd w:id="56"/>
            <w:bookmarkStart w:id="57" w:name="_1337000242"/>
            <w:bookmarkEnd w:id="57"/>
            <w:bookmarkStart w:id="58" w:name="_1336909890"/>
            <w:bookmarkEnd w:id="58"/>
            <w:r>
              <w:rPr>
                <w:rFonts w:ascii="Times New Roman"/>
                <w:b/>
                <w:sz w:val="32"/>
                <w:szCs w:val="32"/>
                <w:highlight w:val="none"/>
              </w:rPr>
              <w:t>202</w:t>
            </w:r>
            <w:r>
              <w:rPr>
                <w:rFonts w:hint="eastAsia" w:ascii="Times New Roman"/>
                <w:b/>
                <w:sz w:val="32"/>
                <w:szCs w:val="32"/>
                <w:highlight w:val="none"/>
                <w:lang w:val="en-US" w:eastAsia="zh-CN"/>
              </w:rPr>
              <w:t>6</w:t>
            </w:r>
            <w:r>
              <w:rPr>
                <w:rFonts w:ascii="Times New Roman"/>
                <w:b/>
                <w:sz w:val="32"/>
                <w:szCs w:val="32"/>
                <w:highlight w:val="none"/>
              </w:rPr>
              <w:t>年</w:t>
            </w:r>
            <w:r>
              <w:rPr>
                <w:rFonts w:hint="eastAsia" w:ascii="Times New Roman"/>
                <w:b/>
                <w:sz w:val="32"/>
                <w:szCs w:val="32"/>
                <w:highlight w:val="none"/>
                <w:lang w:val="en-US" w:eastAsia="zh-CN"/>
              </w:rPr>
              <w:t>04</w:t>
            </w:r>
            <w:r>
              <w:rPr>
                <w:rFonts w:ascii="Times New Roman"/>
                <w:b/>
                <w:sz w:val="32"/>
                <w:szCs w:val="32"/>
                <w:highlight w:val="none"/>
              </w:rPr>
              <w:t>月</w:t>
            </w:r>
            <w:r>
              <w:rPr>
                <w:rFonts w:ascii="Times New Roman"/>
                <w:b/>
                <w:sz w:val="32"/>
                <w:szCs w:val="32"/>
                <w:highlight w:val="none"/>
              </w:rPr>
              <w:fldChar w:fldCharType="end"/>
            </w:r>
          </w:p>
        </w:tc>
      </w:tr>
      <w:tr w14:paraId="34D360C7">
        <w:tblPrEx>
          <w:tblCellMar>
            <w:top w:w="0" w:type="dxa"/>
            <w:left w:w="108" w:type="dxa"/>
            <w:bottom w:w="0" w:type="dxa"/>
            <w:right w:w="108" w:type="dxa"/>
          </w:tblCellMar>
        </w:tblPrEx>
        <w:trPr>
          <w:trHeight w:val="385" w:hRule="atLeast"/>
        </w:trPr>
        <w:tc>
          <w:tcPr>
            <w:tcW w:w="4428" w:type="dxa"/>
          </w:tcPr>
          <w:p w14:paraId="6FF03F6A">
            <w:pPr>
              <w:pStyle w:val="17"/>
              <w:spacing w:line="360" w:lineRule="auto"/>
              <w:rPr>
                <w:rFonts w:ascii="Times New Roman"/>
                <w:b/>
                <w:sz w:val="32"/>
                <w:szCs w:val="32"/>
              </w:rPr>
            </w:pPr>
          </w:p>
        </w:tc>
      </w:tr>
    </w:tbl>
    <w:p w14:paraId="4EDCB318">
      <w:pPr>
        <w:pStyle w:val="17"/>
        <w:spacing w:line="360" w:lineRule="auto"/>
        <w:rPr>
          <w:rFonts w:ascii="Times New Roman"/>
          <w:b/>
          <w:sz w:val="32"/>
          <w:szCs w:val="32"/>
        </w:rPr>
        <w:sectPr>
          <w:headerReference r:id="rId3" w:type="first"/>
          <w:footerReference r:id="rId4" w:type="first"/>
          <w:pgSz w:w="11906" w:h="16838"/>
          <w:pgMar w:top="1134" w:right="1134" w:bottom="1134" w:left="1134" w:header="851" w:footer="828" w:gutter="0"/>
          <w:pgNumType w:start="1"/>
          <w:cols w:space="720" w:num="1"/>
          <w:docGrid w:linePitch="312" w:charSpace="0"/>
        </w:sectPr>
      </w:pPr>
    </w:p>
    <w:p w14:paraId="74090700">
      <w:pPr>
        <w:spacing w:line="500" w:lineRule="exact"/>
        <w:jc w:val="center"/>
        <w:outlineLvl w:val="0"/>
        <w:rPr>
          <w:sz w:val="44"/>
          <w:szCs w:val="21"/>
        </w:rPr>
      </w:pPr>
    </w:p>
    <w:p w14:paraId="46776017">
      <w:pPr>
        <w:spacing w:line="500" w:lineRule="exact"/>
        <w:jc w:val="center"/>
        <w:outlineLvl w:val="0"/>
        <w:rPr>
          <w:b/>
          <w:bCs/>
          <w:sz w:val="44"/>
          <w:szCs w:val="21"/>
        </w:rPr>
      </w:pPr>
      <w:bookmarkStart w:id="59" w:name="_Toc30551"/>
      <w:bookmarkStart w:id="60" w:name="_Toc22650"/>
      <w:bookmarkStart w:id="61" w:name="_Toc99113318"/>
      <w:bookmarkStart w:id="62" w:name="_Toc49762231"/>
      <w:bookmarkStart w:id="63" w:name="_Toc523502640"/>
      <w:bookmarkStart w:id="64" w:name="_Toc5997"/>
      <w:bookmarkStart w:id="65" w:name="_Toc12438"/>
      <w:bookmarkStart w:id="66" w:name="_Toc5037035"/>
      <w:r>
        <w:rPr>
          <w:b/>
          <w:bCs/>
          <w:sz w:val="44"/>
          <w:szCs w:val="21"/>
        </w:rPr>
        <w:t>目 录</w:t>
      </w:r>
      <w:bookmarkEnd w:id="0"/>
      <w:bookmarkEnd w:id="59"/>
      <w:bookmarkEnd w:id="60"/>
      <w:bookmarkEnd w:id="61"/>
      <w:bookmarkEnd w:id="62"/>
      <w:bookmarkEnd w:id="63"/>
      <w:bookmarkEnd w:id="64"/>
      <w:bookmarkEnd w:id="65"/>
      <w:bookmarkEnd w:id="66"/>
    </w:p>
    <w:p w14:paraId="512EBEB2">
      <w:pPr>
        <w:pStyle w:val="24"/>
        <w:tabs>
          <w:tab w:val="right" w:leader="dot" w:pos="9638"/>
          <w:tab w:val="clear" w:pos="9440"/>
        </w:tabs>
      </w:pPr>
      <w:r>
        <w:rPr>
          <w:rFonts w:ascii="Times New Roman"/>
          <w:sz w:val="28"/>
        </w:rPr>
        <w:fldChar w:fldCharType="begin"/>
      </w:r>
      <w:r>
        <w:rPr>
          <w:rFonts w:ascii="Times New Roman"/>
          <w:sz w:val="28"/>
        </w:rPr>
        <w:instrText xml:space="preserve"> TOC \o "1-3" \h \z \u </w:instrText>
      </w:r>
      <w:r>
        <w:rPr>
          <w:rFonts w:ascii="Times New Roman"/>
          <w:sz w:val="28"/>
        </w:rPr>
        <w:fldChar w:fldCharType="separate"/>
      </w:r>
      <w:r>
        <w:rPr>
          <w:szCs w:val="28"/>
        </w:rPr>
        <w:fldChar w:fldCharType="begin"/>
      </w:r>
      <w:r>
        <w:rPr>
          <w:szCs w:val="28"/>
        </w:rPr>
        <w:instrText xml:space="preserve"> HYPERLINK \l _Toc25383 </w:instrText>
      </w:r>
      <w:r>
        <w:rPr>
          <w:szCs w:val="28"/>
        </w:rPr>
        <w:fldChar w:fldCharType="separate"/>
      </w:r>
      <w:r>
        <w:rPr>
          <w:rFonts w:ascii="Times New Roman" w:eastAsia="宋体"/>
          <w:szCs w:val="36"/>
        </w:rPr>
        <w:t>第一章 竞争性磋商采购公告</w:t>
      </w:r>
      <w:r>
        <w:tab/>
      </w:r>
      <w:r>
        <w:fldChar w:fldCharType="begin"/>
      </w:r>
      <w:r>
        <w:instrText xml:space="preserve"> PAGEREF _Toc25383 \h </w:instrText>
      </w:r>
      <w:r>
        <w:fldChar w:fldCharType="separate"/>
      </w:r>
      <w:r>
        <w:t>1</w:t>
      </w:r>
      <w:r>
        <w:fldChar w:fldCharType="end"/>
      </w:r>
      <w:r>
        <w:rPr>
          <w:szCs w:val="28"/>
        </w:rPr>
        <w:fldChar w:fldCharType="end"/>
      </w:r>
    </w:p>
    <w:p w14:paraId="1580E8D0">
      <w:pPr>
        <w:pStyle w:val="24"/>
        <w:tabs>
          <w:tab w:val="right" w:leader="dot" w:pos="9638"/>
          <w:tab w:val="clear" w:pos="9440"/>
        </w:tabs>
      </w:pPr>
      <w:r>
        <w:rPr>
          <w:szCs w:val="28"/>
        </w:rPr>
        <w:fldChar w:fldCharType="begin"/>
      </w:r>
      <w:r>
        <w:rPr>
          <w:szCs w:val="28"/>
        </w:rPr>
        <w:instrText xml:space="preserve"> HYPERLINK \l _Toc24892 </w:instrText>
      </w:r>
      <w:r>
        <w:rPr>
          <w:szCs w:val="28"/>
        </w:rPr>
        <w:fldChar w:fldCharType="separate"/>
      </w:r>
      <w:r>
        <w:rPr>
          <w:rFonts w:hint="eastAsia" w:ascii="Times New Roman" w:eastAsia="宋体"/>
          <w:szCs w:val="36"/>
        </w:rPr>
        <w:t xml:space="preserve">第二章 </w:t>
      </w:r>
      <w:r>
        <w:rPr>
          <w:rFonts w:ascii="Times New Roman" w:eastAsia="宋体"/>
          <w:szCs w:val="36"/>
        </w:rPr>
        <w:t>磋商须知</w:t>
      </w:r>
      <w:r>
        <w:tab/>
      </w:r>
      <w:r>
        <w:fldChar w:fldCharType="begin"/>
      </w:r>
      <w:r>
        <w:instrText xml:space="preserve"> PAGEREF _Toc24892 \h </w:instrText>
      </w:r>
      <w:r>
        <w:fldChar w:fldCharType="separate"/>
      </w:r>
      <w:r>
        <w:t>5</w:t>
      </w:r>
      <w:r>
        <w:fldChar w:fldCharType="end"/>
      </w:r>
      <w:r>
        <w:rPr>
          <w:szCs w:val="28"/>
        </w:rPr>
        <w:fldChar w:fldCharType="end"/>
      </w:r>
    </w:p>
    <w:p w14:paraId="4D28D7F7">
      <w:pPr>
        <w:pStyle w:val="24"/>
        <w:tabs>
          <w:tab w:val="right" w:leader="dot" w:pos="9638"/>
          <w:tab w:val="clear" w:pos="9440"/>
        </w:tabs>
      </w:pPr>
      <w:r>
        <w:rPr>
          <w:szCs w:val="28"/>
        </w:rPr>
        <w:fldChar w:fldCharType="begin"/>
      </w:r>
      <w:r>
        <w:rPr>
          <w:szCs w:val="28"/>
        </w:rPr>
        <w:instrText xml:space="preserve"> HYPERLINK \l _Toc9257 </w:instrText>
      </w:r>
      <w:r>
        <w:rPr>
          <w:szCs w:val="28"/>
        </w:rPr>
        <w:fldChar w:fldCharType="separate"/>
      </w:r>
      <w:r>
        <w:rPr>
          <w:rFonts w:hint="eastAsia"/>
          <w:szCs w:val="36"/>
        </w:rPr>
        <w:t>第三章  政府采购合同格式</w:t>
      </w:r>
      <w:r>
        <w:tab/>
      </w:r>
      <w:r>
        <w:fldChar w:fldCharType="begin"/>
      </w:r>
      <w:r>
        <w:instrText xml:space="preserve"> PAGEREF _Toc9257 \h </w:instrText>
      </w:r>
      <w:r>
        <w:fldChar w:fldCharType="separate"/>
      </w:r>
      <w:r>
        <w:t>18</w:t>
      </w:r>
      <w:r>
        <w:fldChar w:fldCharType="end"/>
      </w:r>
      <w:r>
        <w:rPr>
          <w:szCs w:val="28"/>
        </w:rPr>
        <w:fldChar w:fldCharType="end"/>
      </w:r>
    </w:p>
    <w:p w14:paraId="2F3732D4">
      <w:pPr>
        <w:pStyle w:val="24"/>
        <w:tabs>
          <w:tab w:val="right" w:leader="dot" w:pos="9638"/>
          <w:tab w:val="clear" w:pos="9440"/>
        </w:tabs>
      </w:pPr>
      <w:r>
        <w:rPr>
          <w:szCs w:val="28"/>
        </w:rPr>
        <w:fldChar w:fldCharType="begin"/>
      </w:r>
      <w:r>
        <w:rPr>
          <w:szCs w:val="28"/>
        </w:rPr>
        <w:instrText xml:space="preserve"> HYPERLINK \l _Toc23780 </w:instrText>
      </w:r>
      <w:r>
        <w:rPr>
          <w:szCs w:val="28"/>
        </w:rPr>
        <w:fldChar w:fldCharType="separate"/>
      </w:r>
      <w:r>
        <w:rPr>
          <w:szCs w:val="36"/>
        </w:rPr>
        <w:t>第四章 项目需求</w:t>
      </w:r>
      <w:r>
        <w:tab/>
      </w:r>
      <w:r>
        <w:fldChar w:fldCharType="begin"/>
      </w:r>
      <w:r>
        <w:instrText xml:space="preserve"> PAGEREF _Toc23780 \h </w:instrText>
      </w:r>
      <w:r>
        <w:fldChar w:fldCharType="separate"/>
      </w:r>
      <w:r>
        <w:t>25</w:t>
      </w:r>
      <w:r>
        <w:fldChar w:fldCharType="end"/>
      </w:r>
      <w:r>
        <w:rPr>
          <w:szCs w:val="28"/>
        </w:rPr>
        <w:fldChar w:fldCharType="end"/>
      </w:r>
    </w:p>
    <w:p w14:paraId="14D83D10">
      <w:pPr>
        <w:pStyle w:val="24"/>
        <w:tabs>
          <w:tab w:val="right" w:leader="dot" w:pos="9638"/>
          <w:tab w:val="clear" w:pos="9440"/>
        </w:tabs>
      </w:pPr>
      <w:r>
        <w:rPr>
          <w:szCs w:val="28"/>
        </w:rPr>
        <w:fldChar w:fldCharType="begin"/>
      </w:r>
      <w:r>
        <w:rPr>
          <w:szCs w:val="28"/>
        </w:rPr>
        <w:instrText xml:space="preserve"> HYPERLINK \l _Toc24622 </w:instrText>
      </w:r>
      <w:r>
        <w:rPr>
          <w:szCs w:val="28"/>
        </w:rPr>
        <w:fldChar w:fldCharType="separate"/>
      </w:r>
      <w:r>
        <w:rPr>
          <w:rFonts w:ascii="Times New Roman" w:eastAsia="宋体"/>
          <w:szCs w:val="36"/>
          <w:highlight w:val="none"/>
        </w:rPr>
        <w:t>第五章 评审方法和评审标准</w:t>
      </w:r>
      <w:r>
        <w:tab/>
      </w:r>
      <w:r>
        <w:fldChar w:fldCharType="begin"/>
      </w:r>
      <w:r>
        <w:instrText xml:space="preserve"> PAGEREF _Toc24622 \h </w:instrText>
      </w:r>
      <w:r>
        <w:fldChar w:fldCharType="separate"/>
      </w:r>
      <w:r>
        <w:t>28</w:t>
      </w:r>
      <w:r>
        <w:fldChar w:fldCharType="end"/>
      </w:r>
      <w:r>
        <w:rPr>
          <w:szCs w:val="28"/>
        </w:rPr>
        <w:fldChar w:fldCharType="end"/>
      </w:r>
    </w:p>
    <w:p w14:paraId="6024FABA">
      <w:pPr>
        <w:pStyle w:val="24"/>
        <w:tabs>
          <w:tab w:val="right" w:leader="dot" w:pos="9638"/>
          <w:tab w:val="clear" w:pos="9440"/>
        </w:tabs>
      </w:pPr>
      <w:r>
        <w:rPr>
          <w:szCs w:val="28"/>
        </w:rPr>
        <w:fldChar w:fldCharType="begin"/>
      </w:r>
      <w:r>
        <w:rPr>
          <w:szCs w:val="28"/>
        </w:rPr>
        <w:instrText xml:space="preserve"> HYPERLINK \l _Toc1756 </w:instrText>
      </w:r>
      <w:r>
        <w:rPr>
          <w:szCs w:val="28"/>
        </w:rPr>
        <w:fldChar w:fldCharType="separate"/>
      </w:r>
      <w:r>
        <w:rPr>
          <w:rFonts w:ascii="Times New Roman" w:eastAsia="宋体"/>
          <w:szCs w:val="36"/>
          <w:highlight w:val="none"/>
        </w:rPr>
        <w:t>第六章  竞争性磋商响应文件格式</w:t>
      </w:r>
      <w:r>
        <w:tab/>
      </w:r>
      <w:r>
        <w:fldChar w:fldCharType="begin"/>
      </w:r>
      <w:r>
        <w:instrText xml:space="preserve"> PAGEREF _Toc1756 \h </w:instrText>
      </w:r>
      <w:r>
        <w:fldChar w:fldCharType="separate"/>
      </w:r>
      <w:r>
        <w:t>31</w:t>
      </w:r>
      <w:r>
        <w:fldChar w:fldCharType="end"/>
      </w:r>
      <w:r>
        <w:rPr>
          <w:szCs w:val="28"/>
        </w:rPr>
        <w:fldChar w:fldCharType="end"/>
      </w:r>
    </w:p>
    <w:p w14:paraId="6D636B00">
      <w:pPr>
        <w:spacing w:line="500" w:lineRule="exact"/>
      </w:pPr>
      <w:r>
        <w:rPr>
          <w:szCs w:val="28"/>
        </w:rPr>
        <w:fldChar w:fldCharType="end"/>
      </w:r>
    </w:p>
    <w:p w14:paraId="7A10FF30">
      <w:pPr>
        <w:pStyle w:val="2"/>
        <w:tabs>
          <w:tab w:val="left" w:pos="2385"/>
        </w:tabs>
        <w:spacing w:line="500" w:lineRule="exact"/>
        <w:rPr>
          <w:rFonts w:ascii="Times New Roman" w:eastAsia="宋体"/>
        </w:rPr>
      </w:pPr>
      <w:r>
        <w:rPr>
          <w:rFonts w:ascii="Times New Roman" w:eastAsia="宋体"/>
        </w:rPr>
        <w:tab/>
      </w:r>
    </w:p>
    <w:p w14:paraId="06A6010D"/>
    <w:p w14:paraId="535ACC17"/>
    <w:p w14:paraId="0E7A2731"/>
    <w:p w14:paraId="4A19A485"/>
    <w:p w14:paraId="66E2D4F4">
      <w:pPr>
        <w:tabs>
          <w:tab w:val="left" w:pos="1500"/>
        </w:tabs>
      </w:pPr>
      <w:r>
        <w:tab/>
      </w:r>
    </w:p>
    <w:p w14:paraId="09A26E4E"/>
    <w:p w14:paraId="37D7550B">
      <w:pPr>
        <w:sectPr>
          <w:headerReference r:id="rId5" w:type="default"/>
          <w:pgSz w:w="11906" w:h="16838"/>
          <w:pgMar w:top="1134" w:right="1134" w:bottom="1134" w:left="1134" w:header="851" w:footer="828" w:gutter="0"/>
          <w:cols w:space="720" w:num="1"/>
          <w:docGrid w:linePitch="312" w:charSpace="0"/>
        </w:sectPr>
      </w:pPr>
    </w:p>
    <w:p w14:paraId="5911DEAA"/>
    <w:p w14:paraId="1C3702BC">
      <w:pPr>
        <w:pStyle w:val="2"/>
        <w:spacing w:line="500" w:lineRule="exact"/>
        <w:jc w:val="center"/>
        <w:rPr>
          <w:rFonts w:ascii="Times New Roman" w:eastAsia="宋体"/>
          <w:b/>
          <w:sz w:val="36"/>
          <w:szCs w:val="36"/>
        </w:rPr>
      </w:pPr>
      <w:bookmarkStart w:id="67" w:name="_Toc25383"/>
      <w:r>
        <w:rPr>
          <w:rFonts w:ascii="Times New Roman" w:eastAsia="宋体"/>
          <w:b/>
          <w:sz w:val="36"/>
          <w:szCs w:val="36"/>
        </w:rPr>
        <w:t>第一章 竞争性磋商采购公告</w:t>
      </w:r>
      <w:bookmarkEnd w:id="67"/>
    </w:p>
    <w:p w14:paraId="3D65B652">
      <w:pPr>
        <w:pStyle w:val="56"/>
        <w:rPr>
          <w:rFonts w:hint="eastAsia" w:ascii="宋体" w:hAnsi="宋体" w:eastAsia="宋体" w:cs="宋体"/>
          <w:sz w:val="21"/>
          <w:szCs w:val="21"/>
          <w:highlight w:val="none"/>
          <w:lang w:val="en-US" w:eastAsia="zh-CN"/>
        </w:rPr>
      </w:pPr>
      <w:bookmarkStart w:id="68" w:name="OLE_LINK8"/>
      <w:bookmarkStart w:id="69" w:name="OLE_LINK16"/>
      <w:bookmarkStart w:id="70" w:name="OLE_LINK28"/>
      <w:bookmarkStart w:id="71" w:name="OLE_LINK33"/>
      <w:bookmarkStart w:id="72" w:name="OLE_LINK32"/>
      <w:bookmarkStart w:id="73" w:name="OLE_LINK10"/>
      <w:bookmarkStart w:id="74" w:name="OLE_LINK19"/>
      <w:bookmarkStart w:id="75" w:name="OLE_LINK26"/>
      <w:bookmarkStart w:id="76" w:name="OLE_LINK11"/>
      <w:bookmarkStart w:id="77" w:name="OLE_LINK22"/>
      <w:bookmarkStart w:id="78" w:name="OLE_LINK34"/>
      <w:bookmarkStart w:id="79" w:name="OLE_LINK12"/>
      <w:bookmarkStart w:id="80" w:name="OLE_LINK23"/>
      <w:bookmarkStart w:id="81" w:name="OLE_LINK20"/>
      <w:bookmarkStart w:id="82" w:name="OLE_LINK21"/>
      <w:bookmarkStart w:id="83" w:name="OLE_LINK6"/>
      <w:bookmarkStart w:id="84" w:name="OLE_LINK35"/>
      <w:bookmarkStart w:id="85" w:name="OLE_LINK36"/>
      <w:bookmarkStart w:id="86" w:name="OLE_LINK9"/>
      <w:r>
        <w:rPr>
          <w:rFonts w:hint="eastAsia" w:asciiTheme="minorEastAsia" w:hAnsiTheme="minorEastAsia" w:eastAsiaTheme="minorEastAsia" w:cstheme="minorEastAsia"/>
          <w:color w:val="333333"/>
          <w:kern w:val="0"/>
          <w:sz w:val="24"/>
          <w:szCs w:val="24"/>
          <w:highlight w:val="none"/>
          <w:lang w:val="en-US" w:eastAsia="zh-CN" w:bidi="ar-SA"/>
        </w:rPr>
        <w:t xml:space="preserve">              </w:t>
      </w:r>
    </w:p>
    <w:tbl>
      <w:tblPr>
        <w:tblStyle w:val="39"/>
        <w:tblW w:w="9561" w:type="dxa"/>
        <w:tblInd w:w="1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1"/>
      </w:tblGrid>
      <w:tr w14:paraId="4E3B3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9561" w:type="dxa"/>
            <w:vAlign w:val="top"/>
          </w:tcPr>
          <w:p w14:paraId="6A4DC787">
            <w:pPr>
              <w:keepNext w:val="0"/>
              <w:keepLines w:val="0"/>
              <w:pageBreakBefore w:val="0"/>
              <w:widowControl w:val="0"/>
              <w:kinsoku/>
              <w:wordWrap/>
              <w:overflowPunct/>
              <w:topLinePunct w:val="0"/>
              <w:autoSpaceDE/>
              <w:autoSpaceDN/>
              <w:bidi w:val="0"/>
              <w:adjustRightInd/>
              <w:snapToGrid/>
              <w:spacing w:line="400" w:lineRule="exact"/>
              <w:ind w:left="282" w:firstLine="0" w:firstLineChars="0"/>
              <w:jc w:val="left"/>
              <w:textAlignment w:val="auto"/>
              <w:rPr>
                <w:rFonts w:hint="eastAsia" w:ascii="宋体" w:hAnsi="宋体" w:eastAsia="宋体" w:cs="宋体"/>
                <w:color w:val="333333"/>
                <w:kern w:val="0"/>
                <w:sz w:val="21"/>
                <w:szCs w:val="21"/>
                <w:highlight w:val="none"/>
                <w:lang w:val="en-US" w:eastAsia="zh-CN" w:bidi="ar-SA"/>
              </w:rPr>
            </w:pPr>
            <w:r>
              <w:rPr>
                <w:rFonts w:hint="eastAsia" w:ascii="宋体" w:hAnsi="宋体" w:eastAsia="宋体" w:cs="宋体"/>
                <w:color w:val="333333"/>
                <w:kern w:val="0"/>
                <w:sz w:val="21"/>
                <w:szCs w:val="21"/>
                <w:highlight w:val="none"/>
                <w:lang w:val="en-US" w:eastAsia="zh-CN" w:bidi="ar-SA"/>
              </w:rPr>
              <w:t>项目概况</w:t>
            </w:r>
          </w:p>
          <w:p w14:paraId="7253644E">
            <w:pPr>
              <w:keepNext w:val="0"/>
              <w:keepLines w:val="0"/>
              <w:pageBreakBefore w:val="0"/>
              <w:widowControl w:val="0"/>
              <w:kinsoku/>
              <w:wordWrap/>
              <w:overflowPunct/>
              <w:topLinePunct w:val="0"/>
              <w:autoSpaceDE/>
              <w:autoSpaceDN/>
              <w:bidi w:val="0"/>
              <w:adjustRightInd/>
              <w:snapToGrid/>
              <w:spacing w:line="400" w:lineRule="exact"/>
              <w:ind w:left="210" w:leftChars="100" w:firstLine="420" w:firstLineChars="200"/>
              <w:jc w:val="left"/>
              <w:textAlignment w:val="auto"/>
              <w:rPr>
                <w:rFonts w:hint="eastAsia" w:ascii="宋体" w:hAnsi="宋体" w:eastAsia="宋体" w:cs="宋体"/>
                <w:color w:val="333333"/>
                <w:kern w:val="0"/>
                <w:sz w:val="21"/>
                <w:szCs w:val="21"/>
                <w:highlight w:val="none"/>
                <w:lang w:val="en-US" w:eastAsia="zh-CN" w:bidi="ar-SA"/>
              </w:rPr>
            </w:pPr>
            <w:r>
              <w:rPr>
                <w:rFonts w:hint="eastAsia" w:ascii="宋体" w:hAnsi="宋体" w:cs="宋体"/>
                <w:color w:val="000000"/>
                <w:sz w:val="21"/>
                <w:szCs w:val="21"/>
                <w:u w:val="single"/>
                <w:lang w:eastAsia="zh-CN"/>
              </w:rPr>
              <w:t>连岛景区2026年度四季草花栽植工程</w:t>
            </w:r>
            <w:r>
              <w:rPr>
                <w:rFonts w:hint="eastAsia" w:ascii="宋体" w:hAnsi="宋体" w:eastAsia="宋体" w:cs="宋体"/>
                <w:color w:val="000000"/>
                <w:sz w:val="21"/>
                <w:szCs w:val="21"/>
                <w:u w:val="single"/>
                <w:lang w:eastAsia="zh-CN"/>
              </w:rPr>
              <w:t>（项目编号：</w:t>
            </w:r>
            <w:r>
              <w:rPr>
                <w:rFonts w:ascii="Segoe UI" w:hAnsi="Segoe UI" w:eastAsia="Segoe UI" w:cs="Segoe UI"/>
                <w:i w:val="0"/>
                <w:iCs w:val="0"/>
                <w:caps w:val="0"/>
                <w:spacing w:val="0"/>
                <w:sz w:val="21"/>
                <w:szCs w:val="21"/>
                <w:u w:val="single"/>
                <w:shd w:val="clear" w:fill="FFFFFF"/>
              </w:rPr>
              <w:t>JSZC-320703-BYGS-C2026-0004</w:t>
            </w:r>
            <w:r>
              <w:rPr>
                <w:rFonts w:hint="eastAsia" w:ascii="宋体" w:hAnsi="宋体" w:eastAsia="宋体" w:cs="宋体"/>
                <w:color w:val="000000"/>
                <w:sz w:val="21"/>
                <w:szCs w:val="21"/>
                <w:u w:val="single"/>
                <w:lang w:eastAsia="zh-CN"/>
              </w:rPr>
              <w:t>）</w:t>
            </w:r>
            <w:r>
              <w:rPr>
                <w:rFonts w:hint="eastAsia" w:ascii="宋体" w:hAnsi="宋体" w:eastAsia="宋体" w:cs="宋体"/>
                <w:color w:val="000000"/>
                <w:sz w:val="21"/>
                <w:szCs w:val="21"/>
                <w:lang w:eastAsia="zh-CN"/>
              </w:rPr>
              <w:t xml:space="preserve">采购项目的潜在供应商应在江苏政府采购网（http://jszfcg.jsczt.cn/） </w:t>
            </w:r>
            <w:r>
              <w:rPr>
                <w:rFonts w:hint="eastAsia" w:ascii="宋体" w:hAnsi="宋体" w:eastAsia="宋体" w:cs="宋体"/>
                <w:color w:val="333333"/>
                <w:sz w:val="21"/>
                <w:szCs w:val="21"/>
              </w:rPr>
              <w:t>获取采购文件</w:t>
            </w:r>
            <w:r>
              <w:rPr>
                <w:rFonts w:hint="eastAsia" w:ascii="宋体" w:hAnsi="宋体" w:eastAsia="宋体" w:cs="宋体"/>
                <w:color w:val="000000"/>
                <w:sz w:val="21"/>
                <w:szCs w:val="21"/>
                <w:lang w:eastAsia="zh-CN"/>
              </w:rPr>
              <w:t>，</w:t>
            </w:r>
            <w:r>
              <w:rPr>
                <w:rFonts w:hint="eastAsia" w:ascii="宋体" w:hAnsi="宋体" w:eastAsia="宋体" w:cs="宋体"/>
                <w:color w:val="333333"/>
                <w:kern w:val="0"/>
                <w:sz w:val="21"/>
                <w:szCs w:val="21"/>
                <w:highlight w:val="none"/>
                <w:lang w:val="en-US" w:eastAsia="zh-CN" w:bidi="ar-SA"/>
              </w:rPr>
              <w:t>并于</w:t>
            </w:r>
            <w:r>
              <w:rPr>
                <w:rFonts w:hint="eastAsia" w:ascii="宋体" w:hAnsi="宋体" w:eastAsia="宋体" w:cs="宋体"/>
                <w:b/>
                <w:bCs/>
                <w:color w:val="333333"/>
                <w:kern w:val="0"/>
                <w:sz w:val="21"/>
                <w:szCs w:val="21"/>
                <w:highlight w:val="none"/>
                <w:u w:val="single"/>
                <w:lang w:val="en-US" w:eastAsia="zh-CN" w:bidi="ar-SA"/>
              </w:rPr>
              <w:t>202</w:t>
            </w:r>
            <w:r>
              <w:rPr>
                <w:rFonts w:hint="eastAsia" w:ascii="宋体" w:hAnsi="宋体" w:cs="宋体"/>
                <w:b/>
                <w:bCs/>
                <w:color w:val="333333"/>
                <w:kern w:val="0"/>
                <w:sz w:val="21"/>
                <w:szCs w:val="21"/>
                <w:highlight w:val="none"/>
                <w:u w:val="single"/>
                <w:lang w:val="en-US" w:eastAsia="zh-CN" w:bidi="ar-SA"/>
              </w:rPr>
              <w:t>6</w:t>
            </w:r>
            <w:r>
              <w:rPr>
                <w:rFonts w:hint="eastAsia" w:ascii="宋体" w:hAnsi="宋体" w:eastAsia="宋体" w:cs="宋体"/>
                <w:b/>
                <w:bCs/>
                <w:color w:val="333333"/>
                <w:kern w:val="0"/>
                <w:sz w:val="21"/>
                <w:szCs w:val="21"/>
                <w:highlight w:val="none"/>
                <w:u w:val="single"/>
                <w:lang w:val="en-US" w:eastAsia="zh-CN" w:bidi="ar-SA"/>
              </w:rPr>
              <w:t>年</w:t>
            </w:r>
            <w:r>
              <w:rPr>
                <w:rFonts w:hint="eastAsia" w:ascii="宋体" w:hAnsi="宋体" w:cs="宋体"/>
                <w:b/>
                <w:bCs/>
                <w:color w:val="333333"/>
                <w:kern w:val="0"/>
                <w:sz w:val="21"/>
                <w:szCs w:val="21"/>
                <w:highlight w:val="none"/>
                <w:u w:val="single"/>
                <w:lang w:val="en-US" w:eastAsia="zh-CN" w:bidi="ar-SA"/>
              </w:rPr>
              <w:t>4</w:t>
            </w:r>
            <w:r>
              <w:rPr>
                <w:rFonts w:hint="eastAsia" w:ascii="宋体" w:hAnsi="宋体" w:eastAsia="宋体" w:cs="宋体"/>
                <w:b/>
                <w:bCs/>
                <w:color w:val="333333"/>
                <w:kern w:val="0"/>
                <w:sz w:val="21"/>
                <w:szCs w:val="21"/>
                <w:highlight w:val="none"/>
                <w:u w:val="single"/>
                <w:lang w:val="en-US" w:eastAsia="zh-CN" w:bidi="ar-SA"/>
              </w:rPr>
              <w:t>月</w:t>
            </w:r>
            <w:r>
              <w:rPr>
                <w:rFonts w:hint="eastAsia" w:ascii="宋体" w:hAnsi="宋体" w:cs="宋体"/>
                <w:b/>
                <w:bCs/>
                <w:color w:val="333333"/>
                <w:kern w:val="0"/>
                <w:sz w:val="21"/>
                <w:szCs w:val="21"/>
                <w:highlight w:val="none"/>
                <w:u w:val="single"/>
                <w:lang w:val="en-US" w:eastAsia="zh-CN" w:bidi="ar-SA"/>
              </w:rPr>
              <w:t>28</w:t>
            </w:r>
            <w:r>
              <w:rPr>
                <w:rFonts w:hint="eastAsia" w:ascii="宋体" w:hAnsi="宋体" w:eastAsia="宋体" w:cs="宋体"/>
                <w:b/>
                <w:bCs/>
                <w:color w:val="333333"/>
                <w:kern w:val="0"/>
                <w:sz w:val="21"/>
                <w:szCs w:val="21"/>
                <w:highlight w:val="none"/>
                <w:u w:val="single"/>
                <w:lang w:val="en-US" w:eastAsia="zh-CN" w:bidi="ar-SA"/>
              </w:rPr>
              <w:t>日</w:t>
            </w:r>
            <w:r>
              <w:rPr>
                <w:rFonts w:hint="eastAsia" w:ascii="宋体" w:hAnsi="宋体" w:cs="宋体"/>
                <w:b/>
                <w:bCs/>
                <w:color w:val="333333"/>
                <w:kern w:val="0"/>
                <w:sz w:val="21"/>
                <w:szCs w:val="21"/>
                <w:highlight w:val="none"/>
                <w:u w:val="single"/>
                <w:lang w:val="en-US" w:eastAsia="zh-CN" w:bidi="ar-SA"/>
              </w:rPr>
              <w:t>14</w:t>
            </w:r>
            <w:r>
              <w:rPr>
                <w:rFonts w:hint="eastAsia" w:ascii="宋体" w:hAnsi="宋体" w:eastAsia="宋体" w:cs="宋体"/>
                <w:b/>
                <w:bCs/>
                <w:color w:val="333333"/>
                <w:kern w:val="0"/>
                <w:sz w:val="21"/>
                <w:szCs w:val="21"/>
                <w:highlight w:val="none"/>
                <w:u w:val="single"/>
                <w:lang w:val="en-US" w:eastAsia="zh-CN" w:bidi="ar-SA"/>
              </w:rPr>
              <w:t>点</w:t>
            </w:r>
            <w:r>
              <w:rPr>
                <w:rFonts w:hint="eastAsia" w:ascii="宋体" w:hAnsi="宋体" w:cs="宋体"/>
                <w:b/>
                <w:bCs/>
                <w:color w:val="333333"/>
                <w:kern w:val="0"/>
                <w:sz w:val="21"/>
                <w:szCs w:val="21"/>
                <w:highlight w:val="none"/>
                <w:u w:val="single"/>
                <w:lang w:val="en-US" w:eastAsia="zh-CN" w:bidi="ar-SA"/>
              </w:rPr>
              <w:t>30</w:t>
            </w:r>
            <w:r>
              <w:rPr>
                <w:rFonts w:hint="eastAsia" w:ascii="宋体" w:hAnsi="宋体" w:eastAsia="宋体" w:cs="宋体"/>
                <w:b/>
                <w:bCs/>
                <w:color w:val="333333"/>
                <w:kern w:val="0"/>
                <w:sz w:val="21"/>
                <w:szCs w:val="21"/>
                <w:highlight w:val="none"/>
                <w:u w:val="single"/>
                <w:lang w:val="en-US" w:eastAsia="zh-CN" w:bidi="ar-SA"/>
              </w:rPr>
              <w:t>分00秒</w:t>
            </w:r>
            <w:r>
              <w:rPr>
                <w:rFonts w:hint="eastAsia" w:ascii="宋体" w:hAnsi="宋体" w:eastAsia="宋体" w:cs="宋体"/>
                <w:b/>
                <w:bCs/>
                <w:color w:val="333333"/>
                <w:kern w:val="0"/>
                <w:sz w:val="21"/>
                <w:szCs w:val="21"/>
                <w:highlight w:val="none"/>
                <w:lang w:val="en-US" w:eastAsia="zh-CN" w:bidi="ar-SA"/>
              </w:rPr>
              <w:t>（</w:t>
            </w:r>
            <w:r>
              <w:rPr>
                <w:rFonts w:hint="eastAsia" w:ascii="宋体" w:hAnsi="宋体" w:eastAsia="宋体" w:cs="宋体"/>
                <w:color w:val="333333"/>
                <w:kern w:val="0"/>
                <w:sz w:val="21"/>
                <w:szCs w:val="21"/>
                <w:highlight w:val="none"/>
                <w:lang w:val="en-US" w:eastAsia="zh-CN" w:bidi="ar-SA"/>
              </w:rPr>
              <w:t>北京时间）前提交响应文件。</w:t>
            </w:r>
          </w:p>
        </w:tc>
      </w:tr>
    </w:tbl>
    <w:p w14:paraId="54422BA7">
      <w:pPr>
        <w:pStyle w:val="33"/>
        <w:keepNext w:val="0"/>
        <w:keepLines w:val="0"/>
        <w:pageBreakBefore w:val="0"/>
        <w:kinsoku/>
        <w:wordWrap/>
        <w:overflowPunct/>
        <w:topLinePunct w:val="0"/>
        <w:autoSpaceDE/>
        <w:autoSpaceDN/>
        <w:bidi w:val="0"/>
        <w:adjustRightInd/>
        <w:snapToGrid/>
        <w:spacing w:before="0" w:beforeAutospacing="0" w:after="0" w:afterAutospacing="0" w:line="450" w:lineRule="exact"/>
        <w:ind w:firstLine="422" w:firstLineChars="200"/>
        <w:contextualSpacing/>
        <w:textAlignment w:val="auto"/>
        <w:rPr>
          <w:rFonts w:hint="eastAsia" w:ascii="宋体" w:hAnsi="宋体" w:eastAsia="宋体" w:cs="宋体"/>
          <w:b/>
          <w:bCs/>
          <w:color w:val="333333"/>
          <w:sz w:val="21"/>
          <w:szCs w:val="21"/>
          <w:highlight w:val="none"/>
        </w:rPr>
      </w:pPr>
      <w:r>
        <w:rPr>
          <w:rFonts w:hint="eastAsia" w:ascii="宋体" w:hAnsi="宋体" w:eastAsia="宋体" w:cs="宋体"/>
          <w:b/>
          <w:bCs/>
          <w:color w:val="333333"/>
          <w:sz w:val="21"/>
          <w:szCs w:val="21"/>
          <w:highlight w:val="none"/>
        </w:rPr>
        <w:t>一、项目基本情况</w:t>
      </w:r>
    </w:p>
    <w:p w14:paraId="18885BEA">
      <w:pPr>
        <w:pStyle w:val="33"/>
        <w:keepNext w:val="0"/>
        <w:keepLines w:val="0"/>
        <w:pageBreakBefore w:val="0"/>
        <w:kinsoku/>
        <w:wordWrap/>
        <w:overflowPunct/>
        <w:topLinePunct w:val="0"/>
        <w:autoSpaceDE/>
        <w:autoSpaceDN/>
        <w:bidi w:val="0"/>
        <w:adjustRightInd/>
        <w:snapToGrid/>
        <w:spacing w:before="0" w:beforeAutospacing="0" w:after="0" w:afterAutospacing="0" w:line="450" w:lineRule="exact"/>
        <w:ind w:firstLine="420" w:firstLineChars="200"/>
        <w:contextualSpacing/>
        <w:textAlignment w:val="auto"/>
        <w:rPr>
          <w:rFonts w:ascii="Segoe UI" w:hAnsi="Segoe UI" w:eastAsia="Segoe UI" w:cs="Segoe UI"/>
          <w:i w:val="0"/>
          <w:iCs w:val="0"/>
          <w:caps w:val="0"/>
          <w:spacing w:val="0"/>
          <w:sz w:val="21"/>
          <w:szCs w:val="21"/>
          <w:shd w:val="clear" w:fill="FFFFFF"/>
        </w:rPr>
      </w:pPr>
      <w:r>
        <w:rPr>
          <w:rFonts w:hint="eastAsia" w:ascii="宋体" w:hAnsi="宋体" w:eastAsia="宋体" w:cs="宋体"/>
          <w:color w:val="333333"/>
          <w:sz w:val="21"/>
          <w:szCs w:val="21"/>
          <w:highlight w:val="none"/>
          <w:lang w:val="zh-CN" w:eastAsia="zh-CN"/>
        </w:rPr>
        <w:t>项目编号：</w:t>
      </w:r>
      <w:r>
        <w:rPr>
          <w:rFonts w:ascii="Segoe UI" w:hAnsi="Segoe UI" w:eastAsia="Segoe UI" w:cs="Segoe UI"/>
          <w:i w:val="0"/>
          <w:iCs w:val="0"/>
          <w:caps w:val="0"/>
          <w:spacing w:val="0"/>
          <w:sz w:val="21"/>
          <w:szCs w:val="21"/>
          <w:shd w:val="clear" w:fill="FFFFFF"/>
        </w:rPr>
        <w:t>JSZC-320703-BYGS-C2026-0004</w:t>
      </w:r>
    </w:p>
    <w:p w14:paraId="001DB022">
      <w:pPr>
        <w:pStyle w:val="33"/>
        <w:keepNext w:val="0"/>
        <w:keepLines w:val="0"/>
        <w:pageBreakBefore w:val="0"/>
        <w:kinsoku/>
        <w:wordWrap/>
        <w:overflowPunct/>
        <w:topLinePunct w:val="0"/>
        <w:autoSpaceDE/>
        <w:autoSpaceDN/>
        <w:bidi w:val="0"/>
        <w:adjustRightInd/>
        <w:snapToGrid/>
        <w:spacing w:before="0" w:beforeAutospacing="0" w:after="0" w:afterAutospacing="0" w:line="450" w:lineRule="exact"/>
        <w:ind w:firstLine="420" w:firstLineChars="200"/>
        <w:contextualSpacing/>
        <w:textAlignment w:val="auto"/>
        <w:rPr>
          <w:rFonts w:hint="eastAsia" w:ascii="宋体" w:hAnsi="宋体" w:eastAsia="宋体" w:cs="宋体"/>
          <w:color w:val="333333"/>
          <w:sz w:val="21"/>
          <w:szCs w:val="21"/>
          <w:highlight w:val="none"/>
          <w:lang w:eastAsia="zh-CN"/>
        </w:rPr>
      </w:pPr>
      <w:r>
        <w:rPr>
          <w:rFonts w:hint="eastAsia" w:ascii="宋体" w:hAnsi="宋体" w:eastAsia="宋体" w:cs="宋体"/>
          <w:color w:val="333333"/>
          <w:sz w:val="21"/>
          <w:szCs w:val="21"/>
          <w:highlight w:val="none"/>
          <w:lang w:eastAsia="zh-CN"/>
        </w:rPr>
        <w:t>标段名称：</w:t>
      </w:r>
      <w:r>
        <w:rPr>
          <w:rFonts w:hint="eastAsia" w:ascii="宋体" w:hAnsi="宋体" w:eastAsia="宋体" w:cs="宋体"/>
          <w:color w:val="333333"/>
          <w:sz w:val="21"/>
          <w:szCs w:val="21"/>
          <w:highlight w:val="none"/>
          <w:lang w:val="en-US" w:eastAsia="zh-CN"/>
        </w:rPr>
        <w:t>连岛景区</w:t>
      </w:r>
      <w:r>
        <w:rPr>
          <w:rFonts w:hint="eastAsia" w:hAnsi="宋体" w:cs="宋体"/>
          <w:color w:val="333333"/>
          <w:sz w:val="21"/>
          <w:szCs w:val="21"/>
          <w:highlight w:val="none"/>
          <w:lang w:val="en-US" w:eastAsia="zh-CN"/>
        </w:rPr>
        <w:t>2026年度四季草花栽植工程</w:t>
      </w:r>
      <w:bookmarkStart w:id="302" w:name="_GoBack"/>
      <w:bookmarkEnd w:id="302"/>
    </w:p>
    <w:p w14:paraId="2E491D2A">
      <w:pPr>
        <w:pStyle w:val="33"/>
        <w:keepNext w:val="0"/>
        <w:keepLines w:val="0"/>
        <w:pageBreakBefore w:val="0"/>
        <w:kinsoku/>
        <w:wordWrap/>
        <w:overflowPunct/>
        <w:topLinePunct w:val="0"/>
        <w:autoSpaceDE/>
        <w:autoSpaceDN/>
        <w:bidi w:val="0"/>
        <w:adjustRightInd/>
        <w:snapToGrid/>
        <w:spacing w:before="0" w:beforeAutospacing="0" w:after="0" w:afterAutospacing="0" w:line="450" w:lineRule="exact"/>
        <w:ind w:firstLine="420" w:firstLineChars="200"/>
        <w:contextualSpacing/>
        <w:textAlignment w:val="auto"/>
        <w:rPr>
          <w:rFonts w:hint="eastAsia" w:ascii="宋体" w:hAnsi="宋体" w:eastAsia="宋体" w:cs="宋体"/>
          <w:color w:val="333333"/>
          <w:sz w:val="21"/>
          <w:szCs w:val="21"/>
          <w:highlight w:val="none"/>
          <w:lang w:eastAsia="zh-CN"/>
        </w:rPr>
      </w:pPr>
      <w:r>
        <w:rPr>
          <w:rFonts w:hint="eastAsia" w:ascii="宋体" w:hAnsi="宋体" w:eastAsia="宋体" w:cs="宋体"/>
          <w:color w:val="333333"/>
          <w:sz w:val="21"/>
          <w:szCs w:val="21"/>
          <w:highlight w:val="none"/>
          <w:lang w:eastAsia="zh-CN"/>
        </w:rPr>
        <w:t>采购方式：竞争性磋商。</w:t>
      </w:r>
    </w:p>
    <w:p w14:paraId="6AC69F38">
      <w:pPr>
        <w:pStyle w:val="33"/>
        <w:keepNext w:val="0"/>
        <w:keepLines w:val="0"/>
        <w:pageBreakBefore w:val="0"/>
        <w:kinsoku/>
        <w:wordWrap/>
        <w:overflowPunct/>
        <w:topLinePunct w:val="0"/>
        <w:autoSpaceDE/>
        <w:autoSpaceDN/>
        <w:bidi w:val="0"/>
        <w:adjustRightInd/>
        <w:snapToGrid/>
        <w:spacing w:before="0" w:beforeAutospacing="0" w:after="0" w:afterAutospacing="0" w:line="450" w:lineRule="exact"/>
        <w:ind w:firstLine="420" w:firstLineChars="200"/>
        <w:contextualSpacing/>
        <w:textAlignment w:val="auto"/>
        <w:rPr>
          <w:rFonts w:hint="eastAsia" w:ascii="宋体" w:hAnsi="宋体" w:eastAsia="宋体" w:cs="宋体"/>
          <w:color w:val="333333"/>
          <w:sz w:val="21"/>
          <w:szCs w:val="21"/>
          <w:highlight w:val="none"/>
          <w:lang w:eastAsia="zh-CN"/>
        </w:rPr>
      </w:pPr>
      <w:r>
        <w:rPr>
          <w:rFonts w:hint="eastAsia" w:ascii="宋体" w:hAnsi="宋体" w:eastAsia="宋体" w:cs="宋体"/>
          <w:color w:val="333333"/>
          <w:sz w:val="21"/>
          <w:szCs w:val="21"/>
          <w:highlight w:val="none"/>
          <w:lang w:eastAsia="zh-CN"/>
        </w:rPr>
        <w:t>预算金额：</w:t>
      </w:r>
      <w:r>
        <w:rPr>
          <w:rFonts w:hint="eastAsia" w:ascii="宋体" w:hAnsi="宋体" w:eastAsia="宋体" w:cs="宋体"/>
          <w:b/>
          <w:bCs/>
          <w:color w:val="333333"/>
          <w:sz w:val="21"/>
          <w:szCs w:val="21"/>
          <w:highlight w:val="none"/>
          <w:lang w:eastAsia="zh-CN"/>
        </w:rPr>
        <w:t>人民币</w:t>
      </w:r>
      <w:r>
        <w:rPr>
          <w:rFonts w:hint="eastAsia" w:hAnsi="宋体" w:cs="宋体"/>
          <w:b/>
          <w:bCs/>
          <w:color w:val="333333"/>
          <w:sz w:val="21"/>
          <w:szCs w:val="21"/>
          <w:highlight w:val="none"/>
          <w:lang w:val="en-US" w:eastAsia="zh-CN"/>
        </w:rPr>
        <w:t>206.74</w:t>
      </w:r>
      <w:r>
        <w:rPr>
          <w:rFonts w:hint="eastAsia" w:ascii="宋体" w:hAnsi="宋体" w:eastAsia="宋体" w:cs="宋体"/>
          <w:b/>
          <w:bCs/>
          <w:color w:val="333333"/>
          <w:sz w:val="21"/>
          <w:szCs w:val="21"/>
          <w:highlight w:val="none"/>
          <w:lang w:eastAsia="zh-CN"/>
        </w:rPr>
        <w:t>万元</w:t>
      </w:r>
      <w:r>
        <w:rPr>
          <w:rFonts w:hint="eastAsia" w:ascii="宋体" w:hAnsi="宋体" w:eastAsia="宋体" w:cs="宋体"/>
          <w:color w:val="333333"/>
          <w:sz w:val="21"/>
          <w:szCs w:val="21"/>
          <w:highlight w:val="none"/>
          <w:lang w:eastAsia="zh-CN"/>
        </w:rPr>
        <w:t>。</w:t>
      </w:r>
    </w:p>
    <w:p w14:paraId="1F13778D">
      <w:pPr>
        <w:pStyle w:val="33"/>
        <w:keepNext w:val="0"/>
        <w:keepLines w:val="0"/>
        <w:pageBreakBefore w:val="0"/>
        <w:kinsoku/>
        <w:wordWrap/>
        <w:overflowPunct/>
        <w:topLinePunct w:val="0"/>
        <w:autoSpaceDE/>
        <w:autoSpaceDN/>
        <w:bidi w:val="0"/>
        <w:adjustRightInd/>
        <w:snapToGrid/>
        <w:spacing w:before="0" w:beforeAutospacing="0" w:after="0" w:afterAutospacing="0" w:line="450" w:lineRule="exact"/>
        <w:ind w:firstLine="420" w:firstLineChars="200"/>
        <w:contextualSpacing/>
        <w:textAlignment w:val="auto"/>
        <w:rPr>
          <w:rFonts w:hint="default" w:ascii="宋体" w:hAnsi="宋体" w:eastAsia="宋体" w:cs="宋体"/>
          <w:color w:val="333333"/>
          <w:sz w:val="21"/>
          <w:szCs w:val="21"/>
          <w:highlight w:val="none"/>
          <w:lang w:val="en-US" w:eastAsia="zh-CN"/>
        </w:rPr>
      </w:pPr>
      <w:r>
        <w:rPr>
          <w:rFonts w:hint="eastAsia" w:hAnsi="宋体" w:cs="宋体"/>
          <w:color w:val="333333"/>
          <w:sz w:val="21"/>
          <w:szCs w:val="21"/>
          <w:highlight w:val="none"/>
          <w:lang w:val="en-US" w:eastAsia="zh-CN"/>
        </w:rPr>
        <w:t>最高限价：</w:t>
      </w:r>
      <w:r>
        <w:rPr>
          <w:rFonts w:hint="eastAsia" w:ascii="宋体" w:hAnsi="宋体" w:eastAsia="宋体" w:cs="宋体"/>
          <w:b/>
          <w:bCs/>
          <w:color w:val="333333"/>
          <w:sz w:val="21"/>
          <w:szCs w:val="21"/>
          <w:highlight w:val="none"/>
          <w:lang w:eastAsia="zh-CN"/>
        </w:rPr>
        <w:t>人民币</w:t>
      </w:r>
      <w:r>
        <w:rPr>
          <w:rFonts w:hint="eastAsia" w:hAnsi="宋体" w:cs="宋体"/>
          <w:b/>
          <w:bCs/>
          <w:color w:val="333333"/>
          <w:sz w:val="21"/>
          <w:szCs w:val="21"/>
          <w:highlight w:val="none"/>
          <w:lang w:val="en-US" w:eastAsia="zh-CN"/>
        </w:rPr>
        <w:t>206.74</w:t>
      </w:r>
      <w:r>
        <w:rPr>
          <w:rFonts w:hint="eastAsia" w:ascii="宋体" w:hAnsi="宋体" w:eastAsia="宋体" w:cs="宋体"/>
          <w:b/>
          <w:bCs/>
          <w:color w:val="333333"/>
          <w:sz w:val="21"/>
          <w:szCs w:val="21"/>
          <w:highlight w:val="none"/>
          <w:lang w:eastAsia="zh-CN"/>
        </w:rPr>
        <w:t>万元</w:t>
      </w:r>
      <w:r>
        <w:rPr>
          <w:rFonts w:hint="eastAsia" w:ascii="宋体" w:hAnsi="宋体" w:eastAsia="宋体" w:cs="宋体"/>
          <w:color w:val="333333"/>
          <w:sz w:val="21"/>
          <w:szCs w:val="21"/>
          <w:highlight w:val="none"/>
          <w:lang w:eastAsia="zh-CN"/>
        </w:rPr>
        <w:t>；报价超过</w:t>
      </w:r>
      <w:r>
        <w:rPr>
          <w:rFonts w:hint="eastAsia" w:hAnsi="宋体" w:cs="宋体"/>
          <w:color w:val="333333"/>
          <w:sz w:val="21"/>
          <w:szCs w:val="21"/>
          <w:highlight w:val="none"/>
          <w:lang w:val="en-US" w:eastAsia="zh-CN"/>
        </w:rPr>
        <w:t>此</w:t>
      </w:r>
      <w:r>
        <w:rPr>
          <w:rFonts w:hint="eastAsia" w:ascii="宋体" w:hAnsi="宋体" w:eastAsia="宋体" w:cs="宋体"/>
          <w:color w:val="333333"/>
          <w:sz w:val="21"/>
          <w:szCs w:val="21"/>
          <w:highlight w:val="none"/>
          <w:lang w:eastAsia="zh-CN"/>
        </w:rPr>
        <w:t>金额的响应文件无效。</w:t>
      </w:r>
    </w:p>
    <w:p w14:paraId="77F9A0B8">
      <w:pPr>
        <w:pStyle w:val="33"/>
        <w:keepNext w:val="0"/>
        <w:keepLines w:val="0"/>
        <w:pageBreakBefore w:val="0"/>
        <w:kinsoku/>
        <w:wordWrap/>
        <w:overflowPunct/>
        <w:topLinePunct w:val="0"/>
        <w:autoSpaceDE/>
        <w:autoSpaceDN/>
        <w:bidi w:val="0"/>
        <w:adjustRightInd/>
        <w:snapToGrid/>
        <w:spacing w:before="0" w:beforeAutospacing="0" w:after="0" w:afterAutospacing="0" w:line="450" w:lineRule="exact"/>
        <w:ind w:firstLine="420" w:firstLineChars="200"/>
        <w:contextualSpacing/>
        <w:textAlignment w:val="auto"/>
        <w:rPr>
          <w:rFonts w:hint="eastAsia" w:ascii="宋体" w:hAnsi="宋体" w:eastAsia="宋体" w:cs="宋体"/>
          <w:color w:val="333333"/>
          <w:sz w:val="21"/>
          <w:szCs w:val="21"/>
          <w:highlight w:val="none"/>
          <w:lang w:eastAsia="zh-CN"/>
        </w:rPr>
      </w:pPr>
      <w:r>
        <w:rPr>
          <w:rFonts w:hint="eastAsia" w:ascii="宋体" w:hAnsi="宋体" w:eastAsia="宋体" w:cs="宋体"/>
          <w:color w:val="333333"/>
          <w:sz w:val="21"/>
          <w:szCs w:val="21"/>
          <w:highlight w:val="none"/>
          <w:lang w:eastAsia="zh-CN"/>
        </w:rPr>
        <w:t>对项目需求部分的询问、质疑请与采购人联系，由采购人负责答复。</w:t>
      </w:r>
    </w:p>
    <w:p w14:paraId="4FDA3959">
      <w:pPr>
        <w:pStyle w:val="33"/>
        <w:keepNext w:val="0"/>
        <w:keepLines w:val="0"/>
        <w:pageBreakBefore w:val="0"/>
        <w:kinsoku/>
        <w:wordWrap/>
        <w:overflowPunct/>
        <w:topLinePunct w:val="0"/>
        <w:autoSpaceDE/>
        <w:autoSpaceDN/>
        <w:bidi w:val="0"/>
        <w:adjustRightInd/>
        <w:snapToGrid/>
        <w:spacing w:before="0" w:beforeAutospacing="0" w:after="0" w:afterAutospacing="0" w:line="450" w:lineRule="exact"/>
        <w:ind w:firstLine="420" w:firstLineChars="200"/>
        <w:contextualSpacing/>
        <w:textAlignment w:val="auto"/>
        <w:rPr>
          <w:rFonts w:hint="eastAsia" w:ascii="宋体" w:hAnsi="宋体" w:eastAsia="宋体" w:cs="宋体"/>
          <w:color w:val="333333"/>
          <w:sz w:val="21"/>
          <w:szCs w:val="21"/>
          <w:highlight w:val="none"/>
          <w:lang w:eastAsia="zh-CN"/>
        </w:rPr>
      </w:pPr>
      <w:r>
        <w:rPr>
          <w:rFonts w:hint="eastAsia" w:ascii="宋体" w:hAnsi="宋体" w:eastAsia="宋体" w:cs="宋体"/>
          <w:color w:val="333333"/>
          <w:sz w:val="21"/>
          <w:szCs w:val="21"/>
          <w:highlight w:val="none"/>
          <w:lang w:eastAsia="zh-CN"/>
        </w:rPr>
        <w:t>采购需求：</w:t>
      </w:r>
      <w:r>
        <w:rPr>
          <w:rFonts w:hint="eastAsia" w:ascii="宋体" w:hAnsi="宋体" w:eastAsia="宋体" w:cs="宋体"/>
          <w:color w:val="333333"/>
          <w:sz w:val="21"/>
          <w:szCs w:val="21"/>
          <w:highlight w:val="none"/>
          <w:lang w:val="en-US" w:eastAsia="zh-CN"/>
        </w:rPr>
        <w:t>连岛景区</w:t>
      </w:r>
      <w:r>
        <w:rPr>
          <w:rFonts w:hint="eastAsia" w:hAnsi="宋体" w:cs="宋体"/>
          <w:color w:val="333333"/>
          <w:sz w:val="21"/>
          <w:szCs w:val="21"/>
          <w:highlight w:val="none"/>
          <w:lang w:val="en-US" w:eastAsia="zh-CN"/>
        </w:rPr>
        <w:t>2026年度四季草花栽植工程</w:t>
      </w:r>
      <w:r>
        <w:rPr>
          <w:rFonts w:hint="eastAsia" w:ascii="宋体" w:hAnsi="宋体" w:eastAsia="宋体" w:cs="宋体"/>
          <w:color w:val="333333"/>
          <w:sz w:val="21"/>
          <w:szCs w:val="21"/>
          <w:highlight w:val="none"/>
          <w:lang w:val="en-US" w:eastAsia="zh-CN"/>
        </w:rPr>
        <w:t>施工</w:t>
      </w:r>
      <w:r>
        <w:rPr>
          <w:rFonts w:hint="eastAsia" w:ascii="宋体" w:hAnsi="宋体" w:eastAsia="宋体" w:cs="宋体"/>
          <w:color w:val="333333"/>
          <w:sz w:val="21"/>
          <w:szCs w:val="21"/>
          <w:highlight w:val="none"/>
          <w:lang w:eastAsia="zh-CN"/>
        </w:rPr>
        <w:t>，具体</w:t>
      </w:r>
      <w:r>
        <w:rPr>
          <w:rFonts w:hint="eastAsia" w:hAnsi="宋体" w:cs="宋体"/>
          <w:color w:val="333333"/>
          <w:sz w:val="21"/>
          <w:szCs w:val="21"/>
          <w:highlight w:val="none"/>
          <w:lang w:val="en-US" w:eastAsia="zh-CN"/>
        </w:rPr>
        <w:t>详见工程量清单及</w:t>
      </w:r>
      <w:r>
        <w:rPr>
          <w:rFonts w:hint="eastAsia" w:ascii="宋体" w:hAnsi="宋体" w:eastAsia="宋体" w:cs="宋体"/>
          <w:color w:val="333333"/>
          <w:sz w:val="21"/>
          <w:szCs w:val="21"/>
          <w:highlight w:val="none"/>
          <w:lang w:eastAsia="zh-CN"/>
        </w:rPr>
        <w:t>第四章“项目需求”。</w:t>
      </w:r>
    </w:p>
    <w:p w14:paraId="32D533B1">
      <w:pPr>
        <w:pStyle w:val="33"/>
        <w:keepNext w:val="0"/>
        <w:keepLines w:val="0"/>
        <w:pageBreakBefore w:val="0"/>
        <w:kinsoku/>
        <w:wordWrap/>
        <w:overflowPunct/>
        <w:topLinePunct w:val="0"/>
        <w:autoSpaceDE/>
        <w:autoSpaceDN/>
        <w:bidi w:val="0"/>
        <w:adjustRightInd/>
        <w:snapToGrid/>
        <w:spacing w:before="0" w:beforeAutospacing="0" w:after="0" w:afterAutospacing="0" w:line="450" w:lineRule="exact"/>
        <w:ind w:firstLine="420" w:firstLineChars="200"/>
        <w:contextualSpacing/>
        <w:textAlignment w:val="auto"/>
        <w:rPr>
          <w:rFonts w:hint="eastAsia" w:ascii="宋体" w:hAnsi="宋体" w:eastAsia="宋体" w:cs="宋体"/>
          <w:color w:val="333333"/>
          <w:sz w:val="21"/>
          <w:szCs w:val="21"/>
          <w:highlight w:val="none"/>
          <w:lang w:val="en-US" w:eastAsia="zh-CN"/>
        </w:rPr>
      </w:pPr>
      <w:r>
        <w:rPr>
          <w:rFonts w:hint="eastAsia" w:ascii="宋体" w:hAnsi="宋体" w:eastAsia="宋体" w:cs="宋体"/>
          <w:color w:val="333333"/>
          <w:sz w:val="21"/>
          <w:szCs w:val="21"/>
          <w:highlight w:val="none"/>
          <w:lang w:val="en-US" w:eastAsia="zh-CN"/>
        </w:rPr>
        <w:t>合同履行期限（工期）：签订合同后至202</w:t>
      </w:r>
      <w:r>
        <w:rPr>
          <w:rFonts w:hint="eastAsia" w:hAnsi="宋体" w:cs="宋体"/>
          <w:color w:val="333333"/>
          <w:sz w:val="21"/>
          <w:szCs w:val="21"/>
          <w:highlight w:val="none"/>
          <w:lang w:val="en-US" w:eastAsia="zh-CN"/>
        </w:rPr>
        <w:t>6</w:t>
      </w:r>
      <w:r>
        <w:rPr>
          <w:rFonts w:hint="eastAsia" w:ascii="宋体" w:hAnsi="宋体" w:eastAsia="宋体" w:cs="宋体"/>
          <w:color w:val="333333"/>
          <w:sz w:val="21"/>
          <w:szCs w:val="21"/>
          <w:highlight w:val="none"/>
          <w:lang w:val="en-US" w:eastAsia="zh-CN"/>
        </w:rPr>
        <w:t>年12月底（</w:t>
      </w:r>
      <w:r>
        <w:rPr>
          <w:rFonts w:hint="eastAsia" w:ascii="宋体" w:hAnsi="宋体" w:eastAsia="宋体" w:cs="宋体"/>
          <w:b/>
          <w:bCs/>
          <w:color w:val="333333"/>
          <w:sz w:val="21"/>
          <w:szCs w:val="21"/>
          <w:highlight w:val="none"/>
          <w:lang w:val="en-US" w:eastAsia="zh-CN"/>
        </w:rPr>
        <w:t>每个季节具体栽植</w:t>
      </w:r>
      <w:r>
        <w:rPr>
          <w:rFonts w:hint="eastAsia" w:hAnsi="宋体" w:cs="宋体"/>
          <w:b/>
          <w:bCs/>
          <w:color w:val="333333"/>
          <w:sz w:val="21"/>
          <w:szCs w:val="21"/>
          <w:highlight w:val="none"/>
          <w:lang w:val="en-US" w:eastAsia="zh-CN"/>
        </w:rPr>
        <w:t>实施时间</w:t>
      </w:r>
      <w:r>
        <w:rPr>
          <w:rFonts w:hint="eastAsia" w:ascii="宋体" w:hAnsi="宋体" w:eastAsia="宋体" w:cs="宋体"/>
          <w:b/>
          <w:bCs/>
          <w:color w:val="333333"/>
          <w:sz w:val="21"/>
          <w:szCs w:val="21"/>
          <w:highlight w:val="none"/>
          <w:lang w:val="en-US" w:eastAsia="zh-CN"/>
        </w:rPr>
        <w:t>，</w:t>
      </w:r>
      <w:r>
        <w:rPr>
          <w:rFonts w:hint="eastAsia" w:hAnsi="宋体" w:cs="宋体"/>
          <w:b/>
          <w:bCs/>
          <w:color w:val="333333"/>
          <w:sz w:val="21"/>
          <w:szCs w:val="21"/>
          <w:highlight w:val="none"/>
          <w:lang w:val="en-US" w:eastAsia="zh-CN"/>
        </w:rPr>
        <w:t>以</w:t>
      </w:r>
      <w:r>
        <w:rPr>
          <w:rFonts w:hint="eastAsia" w:ascii="宋体" w:hAnsi="宋体" w:eastAsia="宋体" w:cs="宋体"/>
          <w:b/>
          <w:bCs/>
          <w:color w:val="333333"/>
          <w:sz w:val="21"/>
          <w:szCs w:val="21"/>
          <w:highlight w:val="none"/>
          <w:lang w:val="en-US" w:eastAsia="zh-CN"/>
        </w:rPr>
        <w:t>采购人书面通知为准</w:t>
      </w:r>
      <w:r>
        <w:rPr>
          <w:rFonts w:hint="eastAsia" w:ascii="宋体" w:hAnsi="宋体" w:eastAsia="宋体" w:cs="宋体"/>
          <w:color w:val="333333"/>
          <w:sz w:val="21"/>
          <w:szCs w:val="21"/>
          <w:highlight w:val="none"/>
          <w:lang w:val="en-US" w:eastAsia="zh-CN"/>
        </w:rPr>
        <w:t>）。</w:t>
      </w:r>
    </w:p>
    <w:p w14:paraId="30BB1F53">
      <w:pPr>
        <w:pStyle w:val="33"/>
        <w:keepNext w:val="0"/>
        <w:keepLines w:val="0"/>
        <w:pageBreakBefore w:val="0"/>
        <w:kinsoku/>
        <w:wordWrap/>
        <w:overflowPunct/>
        <w:topLinePunct w:val="0"/>
        <w:autoSpaceDE/>
        <w:autoSpaceDN/>
        <w:bidi w:val="0"/>
        <w:adjustRightInd/>
        <w:snapToGrid/>
        <w:spacing w:before="0" w:beforeAutospacing="0" w:after="0" w:afterAutospacing="0" w:line="450" w:lineRule="exact"/>
        <w:ind w:firstLine="420" w:firstLineChars="200"/>
        <w:contextualSpacing/>
        <w:textAlignment w:val="auto"/>
        <w:rPr>
          <w:rFonts w:hint="eastAsia" w:ascii="宋体" w:hAnsi="宋体" w:eastAsia="宋体" w:cs="宋体"/>
          <w:color w:val="333333"/>
          <w:sz w:val="21"/>
          <w:szCs w:val="21"/>
          <w:highlight w:val="none"/>
          <w:lang w:val="en-US" w:eastAsia="zh-CN"/>
        </w:rPr>
      </w:pPr>
      <w:r>
        <w:rPr>
          <w:rFonts w:hint="eastAsia" w:ascii="宋体" w:hAnsi="宋体" w:eastAsia="宋体" w:cs="宋体"/>
          <w:color w:val="333333"/>
          <w:sz w:val="21"/>
          <w:szCs w:val="21"/>
          <w:highlight w:val="none"/>
          <w:lang w:val="en-US" w:eastAsia="zh-CN"/>
        </w:rPr>
        <w:t>质量：合格且通过验收。</w:t>
      </w:r>
    </w:p>
    <w:p w14:paraId="60E6F4D4">
      <w:pPr>
        <w:pStyle w:val="33"/>
        <w:keepNext w:val="0"/>
        <w:keepLines w:val="0"/>
        <w:pageBreakBefore w:val="0"/>
        <w:kinsoku/>
        <w:wordWrap/>
        <w:overflowPunct/>
        <w:topLinePunct w:val="0"/>
        <w:autoSpaceDE/>
        <w:autoSpaceDN/>
        <w:bidi w:val="0"/>
        <w:adjustRightInd/>
        <w:snapToGrid/>
        <w:spacing w:before="0" w:beforeAutospacing="0" w:after="0" w:afterAutospacing="0" w:line="450" w:lineRule="exact"/>
        <w:ind w:firstLine="420" w:firstLineChars="200"/>
        <w:contextualSpacing/>
        <w:textAlignment w:val="auto"/>
        <w:rPr>
          <w:rFonts w:hint="eastAsia" w:ascii="宋体" w:hAnsi="宋体" w:eastAsia="宋体" w:cs="宋体"/>
          <w:color w:val="333333"/>
          <w:sz w:val="21"/>
          <w:szCs w:val="21"/>
          <w:highlight w:val="none"/>
          <w:lang w:val="en-US" w:eastAsia="zh-CN"/>
        </w:rPr>
      </w:pPr>
      <w:r>
        <w:rPr>
          <w:rFonts w:hint="eastAsia" w:ascii="宋体" w:hAnsi="宋体" w:eastAsia="宋体" w:cs="宋体"/>
          <w:color w:val="333333"/>
          <w:sz w:val="21"/>
          <w:szCs w:val="21"/>
          <w:highlight w:val="none"/>
          <w:lang w:val="en-US" w:eastAsia="zh-CN"/>
        </w:rPr>
        <w:t>地点：采购人指定地点。</w:t>
      </w:r>
    </w:p>
    <w:p w14:paraId="6C492156">
      <w:pPr>
        <w:pStyle w:val="33"/>
        <w:keepNext w:val="0"/>
        <w:keepLines w:val="0"/>
        <w:pageBreakBefore w:val="0"/>
        <w:kinsoku/>
        <w:wordWrap/>
        <w:overflowPunct/>
        <w:topLinePunct w:val="0"/>
        <w:autoSpaceDE/>
        <w:autoSpaceDN/>
        <w:bidi w:val="0"/>
        <w:adjustRightInd/>
        <w:snapToGrid/>
        <w:spacing w:before="0" w:beforeAutospacing="0" w:after="0" w:afterAutospacing="0" w:line="450" w:lineRule="exact"/>
        <w:ind w:firstLine="422" w:firstLineChars="200"/>
        <w:contextualSpacing/>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二</w:t>
      </w: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eastAsia="zh-CN"/>
        </w:rPr>
        <w:t>供应商</w:t>
      </w:r>
      <w:r>
        <w:rPr>
          <w:rFonts w:hint="eastAsia" w:ascii="宋体" w:hAnsi="宋体" w:eastAsia="宋体" w:cs="宋体"/>
          <w:b/>
          <w:bCs/>
          <w:sz w:val="21"/>
          <w:szCs w:val="21"/>
          <w:highlight w:val="none"/>
        </w:rPr>
        <w:t>资质要求：</w:t>
      </w:r>
    </w:p>
    <w:p w14:paraId="7A00D17B">
      <w:pPr>
        <w:pStyle w:val="33"/>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420"/>
        <w:contextualSpacing/>
        <w:textAlignment w:val="auto"/>
        <w:rPr>
          <w:rFonts w:ascii="Times New Roman" w:cs="Times New Roman"/>
          <w:color w:val="auto"/>
          <w:sz w:val="21"/>
          <w:szCs w:val="21"/>
          <w:highlight w:val="none"/>
        </w:rPr>
      </w:pPr>
      <w:r>
        <w:rPr>
          <w:rFonts w:hint="eastAsia" w:ascii="Times New Roman" w:cs="Times New Roman"/>
          <w:color w:val="auto"/>
          <w:sz w:val="21"/>
          <w:szCs w:val="21"/>
          <w:highlight w:val="none"/>
        </w:rPr>
        <w:t>1、满足《中华人民共和国政府采购法》第二十二条规定；</w:t>
      </w:r>
    </w:p>
    <w:p w14:paraId="5DFA636C">
      <w:pPr>
        <w:pStyle w:val="33"/>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420"/>
        <w:contextualSpacing/>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（1）法人或者其他组织的营业执照等证明文件，自然人的身份证明；</w:t>
      </w:r>
    </w:p>
    <w:p w14:paraId="4AD1F879">
      <w:pPr>
        <w:pStyle w:val="33"/>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420"/>
        <w:contextualSpacing/>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（2）上一年度的财务状况报告；（成立不满一年无需提供）</w:t>
      </w:r>
    </w:p>
    <w:p w14:paraId="4A16575F">
      <w:pPr>
        <w:pStyle w:val="33"/>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420"/>
        <w:contextualSpacing/>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（3）依法缴纳税收和社会保障资金的相关材料；</w:t>
      </w:r>
    </w:p>
    <w:p w14:paraId="20356080">
      <w:pPr>
        <w:pStyle w:val="33"/>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632"/>
        <w:contextualSpacing/>
        <w:textAlignment w:val="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注：（根据连财购〔2023〕4号文件精神，（2）、（3）项可以提供《财务状况报告及税收、社会保障资金缴纳情况承诺函》，详见磋商文件格式）</w:t>
      </w:r>
    </w:p>
    <w:p w14:paraId="48041C5F">
      <w:pPr>
        <w:pStyle w:val="33"/>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420"/>
        <w:contextualSpacing/>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（4）具备履行合同所必需的设备和专业技术能力的声明（见磋商文件格式，按要求提供证明材料）；</w:t>
      </w:r>
    </w:p>
    <w:p w14:paraId="151817A4">
      <w:pPr>
        <w:pStyle w:val="33"/>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420"/>
        <w:contextualSpacing/>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（5）参加政府采购活动前3年内在经营活动中没有重大违法记录的书面声明（详见磋商文件格式）</w:t>
      </w:r>
      <w:r>
        <w:rPr>
          <w:rFonts w:hint="eastAsia" w:ascii="Times New Roman" w:cs="Times New Roman"/>
          <w:color w:val="auto"/>
          <w:sz w:val="21"/>
          <w:szCs w:val="21"/>
          <w:highlight w:val="none"/>
          <w:lang w:val="en-US" w:eastAsia="zh-CN"/>
        </w:rPr>
        <w:t>。</w:t>
      </w:r>
    </w:p>
    <w:p w14:paraId="47BC7755">
      <w:pPr>
        <w:pStyle w:val="33"/>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420"/>
        <w:contextualSpacing/>
        <w:textAlignment w:val="auto"/>
        <w:rPr>
          <w:rFonts w:ascii="Times New Roman" w:cs="Times New Roman"/>
          <w:b/>
          <w:bCs/>
          <w:color w:val="auto"/>
          <w:highlight w:val="none"/>
        </w:rPr>
      </w:pPr>
      <w:r>
        <w:rPr>
          <w:rFonts w:hint="eastAsia" w:ascii="Times New Roman" w:cs="Times New Roman"/>
          <w:color w:val="auto"/>
          <w:sz w:val="21"/>
          <w:szCs w:val="21"/>
          <w:highlight w:val="none"/>
        </w:rPr>
        <w:t>2、落实政府采购政策需满足的资格要求：</w:t>
      </w:r>
      <w:r>
        <w:rPr>
          <w:rFonts w:hint="eastAsia" w:ascii="Times New Roman" w:cs="Times New Roman"/>
          <w:b/>
          <w:color w:val="auto"/>
          <w:sz w:val="21"/>
          <w:szCs w:val="21"/>
          <w:highlight w:val="none"/>
        </w:rPr>
        <w:t>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p>
    <w:p w14:paraId="3C494E59">
      <w:pPr>
        <w:pStyle w:val="33"/>
        <w:keepNext w:val="0"/>
        <w:keepLines w:val="0"/>
        <w:pageBreakBefore w:val="0"/>
        <w:kinsoku/>
        <w:wordWrap/>
        <w:overflowPunct/>
        <w:topLinePunct w:val="0"/>
        <w:autoSpaceDE/>
        <w:autoSpaceDN/>
        <w:bidi w:val="0"/>
        <w:adjustRightInd/>
        <w:snapToGrid/>
        <w:spacing w:before="0" w:beforeAutospacing="0" w:after="0" w:afterAutospacing="0" w:line="450" w:lineRule="exact"/>
        <w:ind w:firstLine="420" w:firstLineChars="200"/>
        <w:contextualSpacing/>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3.本项目的特定资格要求：</w:t>
      </w:r>
    </w:p>
    <w:p w14:paraId="5A7D7B8F">
      <w:pPr>
        <w:pStyle w:val="3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contextualSpacing/>
        <w:textAlignment w:val="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eastAsia="zh-CN"/>
        </w:rPr>
        <w:t>（</w:t>
      </w:r>
      <w:r>
        <w:rPr>
          <w:rFonts w:hint="eastAsia" w:ascii="Times New Roman" w:hAnsi="Times New Roman" w:cs="Times New Roman"/>
          <w:color w:val="auto"/>
          <w:sz w:val="21"/>
          <w:szCs w:val="21"/>
          <w:highlight w:val="none"/>
          <w:lang w:val="en-US" w:eastAsia="zh-CN"/>
        </w:rPr>
        <w:t>1</w:t>
      </w:r>
      <w:r>
        <w:rPr>
          <w:rFonts w:hint="eastAsia" w:ascii="Times New Roman" w:hAnsi="Times New Roman" w:cs="Times New Roman"/>
          <w:color w:val="auto"/>
          <w:sz w:val="21"/>
          <w:szCs w:val="21"/>
          <w:highlight w:val="none"/>
          <w:lang w:eastAsia="zh-CN"/>
        </w:rPr>
        <w:t>）供应商</w:t>
      </w:r>
      <w:r>
        <w:rPr>
          <w:rFonts w:hint="eastAsia" w:ascii="Times New Roman" w:hAnsi="Times New Roman" w:cs="Times New Roman"/>
          <w:color w:val="auto"/>
          <w:sz w:val="21"/>
          <w:szCs w:val="21"/>
          <w:highlight w:val="none"/>
        </w:rPr>
        <w:t>具有</w:t>
      </w:r>
      <w:r>
        <w:rPr>
          <w:rFonts w:hint="eastAsia" w:ascii="Times New Roman" w:hAnsi="Times New Roman" w:cs="Times New Roman"/>
          <w:color w:val="auto"/>
          <w:sz w:val="21"/>
          <w:szCs w:val="21"/>
          <w:highlight w:val="none"/>
          <w:lang w:eastAsia="zh-CN"/>
        </w:rPr>
        <w:t>：</w:t>
      </w:r>
      <w:r>
        <w:rPr>
          <w:rFonts w:hint="eastAsia" w:ascii="Times New Roman" w:hAnsi="Times New Roman" w:cs="Times New Roman"/>
          <w:color w:val="auto"/>
          <w:sz w:val="21"/>
          <w:szCs w:val="21"/>
          <w:highlight w:val="none"/>
        </w:rPr>
        <w:t>独立订立合同的能力，持有效的营业执照</w:t>
      </w:r>
      <w:r>
        <w:rPr>
          <w:rFonts w:hint="eastAsia" w:ascii="Times New Roman" w:hAnsi="Times New Roman" w:cs="Times New Roman"/>
          <w:color w:val="auto"/>
          <w:sz w:val="21"/>
          <w:szCs w:val="21"/>
          <w:highlight w:val="none"/>
          <w:lang w:eastAsia="zh-CN"/>
        </w:rPr>
        <w:t>（</w:t>
      </w:r>
      <w:r>
        <w:rPr>
          <w:rFonts w:hint="eastAsia" w:ascii="Times New Roman" w:hAnsi="Times New Roman" w:cs="Times New Roman"/>
          <w:b/>
          <w:bCs/>
          <w:color w:val="auto"/>
          <w:sz w:val="21"/>
          <w:szCs w:val="21"/>
          <w:highlight w:val="none"/>
          <w:lang w:eastAsia="zh-CN"/>
        </w:rPr>
        <w:t>提供有效的营业执照扫描件</w:t>
      </w:r>
      <w:r>
        <w:rPr>
          <w:rFonts w:hint="eastAsia" w:ascii="Times New Roman" w:hAnsi="Times New Roman" w:cs="Times New Roman"/>
          <w:color w:val="auto"/>
          <w:sz w:val="21"/>
          <w:szCs w:val="21"/>
          <w:highlight w:val="none"/>
          <w:lang w:eastAsia="zh-CN"/>
        </w:rPr>
        <w:t>）</w:t>
      </w:r>
      <w:r>
        <w:rPr>
          <w:rFonts w:hint="eastAsia" w:ascii="Times New Roman" w:hAnsi="Times New Roman" w:cs="Times New Roman"/>
          <w:color w:val="auto"/>
          <w:sz w:val="21"/>
          <w:szCs w:val="21"/>
          <w:highlight w:val="none"/>
        </w:rPr>
        <w:t>；</w:t>
      </w:r>
    </w:p>
    <w:p w14:paraId="2116BE3B">
      <w:pPr>
        <w:pStyle w:val="3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contextualSpacing/>
        <w:textAlignment w:val="auto"/>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w:t>
      </w:r>
      <w:r>
        <w:rPr>
          <w:rFonts w:hint="eastAsia" w:ascii="Times New Roman" w:cs="Times New Roman"/>
          <w:color w:val="auto"/>
          <w:sz w:val="21"/>
          <w:szCs w:val="21"/>
          <w:highlight w:val="none"/>
          <w:lang w:val="en-US" w:eastAsia="zh-CN"/>
        </w:rPr>
        <w:t>2</w:t>
      </w:r>
      <w:r>
        <w:rPr>
          <w:rFonts w:hint="eastAsia" w:ascii="Times New Roman" w:cs="Times New Roman"/>
          <w:color w:val="auto"/>
          <w:sz w:val="21"/>
          <w:szCs w:val="21"/>
          <w:highlight w:val="none"/>
        </w:rPr>
        <w:t>）项目负责人具备：本项目要求授权委托人必须为项目负责人，不接受项目负责人以外的人员作为委托人参与</w:t>
      </w:r>
      <w:r>
        <w:rPr>
          <w:rFonts w:hint="eastAsia" w:ascii="Times New Roman" w:cs="Times New Roman"/>
          <w:color w:val="auto"/>
          <w:sz w:val="21"/>
          <w:szCs w:val="21"/>
          <w:highlight w:val="none"/>
          <w:lang w:eastAsia="zh-CN"/>
        </w:rPr>
        <w:t>谈判</w:t>
      </w:r>
      <w:r>
        <w:rPr>
          <w:rFonts w:hint="eastAsia" w:ascii="Times New Roman" w:cs="Times New Roman"/>
          <w:color w:val="auto"/>
          <w:sz w:val="21"/>
          <w:szCs w:val="21"/>
          <w:highlight w:val="none"/>
        </w:rPr>
        <w:t>过程中各环节的活动。拟派项目负责人必须为供应商的员工，提供近202</w:t>
      </w:r>
      <w:r>
        <w:rPr>
          <w:rFonts w:hint="eastAsia" w:ascii="Times New Roman" w:cs="Times New Roman"/>
          <w:color w:val="auto"/>
          <w:sz w:val="21"/>
          <w:szCs w:val="21"/>
          <w:highlight w:val="none"/>
          <w:lang w:val="en-US" w:eastAsia="zh-CN"/>
        </w:rPr>
        <w:t>6</w:t>
      </w:r>
      <w:r>
        <w:rPr>
          <w:rFonts w:hint="eastAsia" w:ascii="Times New Roman" w:cs="Times New Roman"/>
          <w:color w:val="auto"/>
          <w:sz w:val="21"/>
          <w:szCs w:val="21"/>
          <w:highlight w:val="none"/>
        </w:rPr>
        <w:t>年</w:t>
      </w:r>
      <w:r>
        <w:rPr>
          <w:rFonts w:hint="eastAsia" w:ascii="Times New Roman" w:cs="Times New Roman"/>
          <w:color w:val="auto"/>
          <w:sz w:val="21"/>
          <w:szCs w:val="21"/>
          <w:highlight w:val="none"/>
          <w:lang w:val="en-US" w:eastAsia="zh-CN"/>
        </w:rPr>
        <w:t>01</w:t>
      </w:r>
      <w:r>
        <w:rPr>
          <w:rFonts w:hint="eastAsia" w:ascii="Times New Roman" w:cs="Times New Roman"/>
          <w:color w:val="auto"/>
          <w:sz w:val="21"/>
          <w:szCs w:val="21"/>
          <w:highlight w:val="none"/>
        </w:rPr>
        <w:t>月（含）至今中任意一个月由供应商为其缴纳的社保缴纳证明（加盖社保中心章或社保中心参保缴费证明电子专用章）</w:t>
      </w:r>
      <w:r>
        <w:rPr>
          <w:rFonts w:hint="eastAsia" w:ascii="Times New Roman" w:cs="Times New Roman"/>
          <w:color w:val="auto"/>
          <w:sz w:val="21"/>
          <w:szCs w:val="21"/>
          <w:highlight w:val="none"/>
          <w:lang w:eastAsia="zh-CN"/>
        </w:rPr>
        <w:t>；（</w:t>
      </w:r>
      <w:r>
        <w:rPr>
          <w:rFonts w:hint="eastAsia" w:ascii="Times New Roman" w:cs="Times New Roman"/>
          <w:b/>
          <w:bCs/>
          <w:color w:val="auto"/>
          <w:sz w:val="21"/>
          <w:szCs w:val="21"/>
          <w:highlight w:val="none"/>
          <w:lang w:eastAsia="zh-CN"/>
        </w:rPr>
        <w:t>提供项目负责人社保缴纳证明扫描件</w:t>
      </w:r>
      <w:r>
        <w:rPr>
          <w:rFonts w:hint="eastAsia" w:ascii="Times New Roman" w:cs="Times New Roman"/>
          <w:color w:val="auto"/>
          <w:sz w:val="21"/>
          <w:szCs w:val="21"/>
          <w:highlight w:val="none"/>
          <w:lang w:eastAsia="zh-CN"/>
        </w:rPr>
        <w:t>）</w:t>
      </w:r>
    </w:p>
    <w:p w14:paraId="6E16C237">
      <w:pPr>
        <w:pStyle w:val="3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contextualSpacing/>
        <w:textAlignment w:val="auto"/>
        <w:rPr>
          <w:rFonts w:hint="eastAsia" w:ascii="Times New Roman" w:cs="Times New Roman"/>
          <w:color w:val="auto"/>
          <w:sz w:val="21"/>
          <w:szCs w:val="21"/>
          <w:highlight w:val="none"/>
        </w:rPr>
      </w:pPr>
      <w:r>
        <w:rPr>
          <w:rFonts w:hint="eastAsia" w:ascii="Times New Roman" w:cs="Times New Roman"/>
          <w:color w:val="auto"/>
          <w:sz w:val="21"/>
          <w:szCs w:val="21"/>
          <w:highlight w:val="none"/>
        </w:rPr>
        <w:t>（</w:t>
      </w:r>
      <w:r>
        <w:rPr>
          <w:rFonts w:hint="eastAsia" w:ascii="Times New Roman" w:cs="Times New Roman"/>
          <w:color w:val="auto"/>
          <w:sz w:val="21"/>
          <w:szCs w:val="21"/>
          <w:highlight w:val="none"/>
          <w:lang w:val="en-US" w:eastAsia="zh-CN"/>
        </w:rPr>
        <w:t>4</w:t>
      </w:r>
      <w:r>
        <w:rPr>
          <w:rFonts w:hint="eastAsia" w:ascii="Times New Roman" w:cs="Times New Roman"/>
          <w:color w:val="auto"/>
          <w:sz w:val="21"/>
          <w:szCs w:val="21"/>
          <w:highlight w:val="none"/>
        </w:rPr>
        <w:t>）供应商无不良行为、无借牌挂靠行为、项目负责人无不良行为承诺书，供应商、法定代表人、项目负责人无行贿犯罪记录承诺书</w:t>
      </w: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rPr>
        <w:t>（</w:t>
      </w:r>
      <w:r>
        <w:rPr>
          <w:rFonts w:hint="eastAsia" w:ascii="Times New Roman" w:cs="Times New Roman"/>
          <w:b/>
          <w:bCs/>
          <w:color w:val="auto"/>
          <w:sz w:val="21"/>
          <w:szCs w:val="21"/>
          <w:highlight w:val="none"/>
          <w:lang w:eastAsia="zh-CN"/>
        </w:rPr>
        <w:t>见</w:t>
      </w:r>
      <w:r>
        <w:rPr>
          <w:rFonts w:hint="eastAsia" w:ascii="Times New Roman" w:cs="Times New Roman"/>
          <w:b/>
          <w:bCs/>
          <w:color w:val="auto"/>
          <w:sz w:val="21"/>
          <w:szCs w:val="21"/>
          <w:highlight w:val="none"/>
        </w:rPr>
        <w:t>供应商承诺书格式</w:t>
      </w:r>
      <w:r>
        <w:rPr>
          <w:rFonts w:hint="eastAsia" w:ascii="Times New Roman" w:cs="Times New Roman"/>
          <w:color w:val="auto"/>
          <w:sz w:val="21"/>
          <w:szCs w:val="21"/>
          <w:highlight w:val="none"/>
        </w:rPr>
        <w:t>）</w:t>
      </w:r>
    </w:p>
    <w:p w14:paraId="43871F1B">
      <w:pPr>
        <w:pStyle w:val="3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contextualSpacing/>
        <w:textAlignment w:val="auto"/>
        <w:rPr>
          <w:rFonts w:hint="eastAsia" w:ascii="Times New Roman" w:cs="Times New Roman"/>
          <w:color w:val="auto"/>
          <w:sz w:val="21"/>
          <w:szCs w:val="21"/>
          <w:highlight w:val="none"/>
        </w:rPr>
      </w:pPr>
      <w:r>
        <w:rPr>
          <w:rFonts w:hint="eastAsia" w:ascii="Times New Roman" w:cs="Times New Roman"/>
          <w:color w:val="auto"/>
          <w:sz w:val="21"/>
          <w:szCs w:val="21"/>
          <w:highlight w:val="none"/>
        </w:rPr>
        <w:t>（</w:t>
      </w:r>
      <w:r>
        <w:rPr>
          <w:rFonts w:hint="eastAsia" w:ascii="Times New Roman" w:cs="Times New Roman"/>
          <w:color w:val="auto"/>
          <w:sz w:val="21"/>
          <w:szCs w:val="21"/>
          <w:highlight w:val="none"/>
          <w:lang w:val="en-US" w:eastAsia="zh-CN"/>
        </w:rPr>
        <w:t>5</w:t>
      </w:r>
      <w:r>
        <w:rPr>
          <w:rFonts w:hint="eastAsia" w:ascii="Times New Roman" w:cs="Times New Roman"/>
          <w:color w:val="auto"/>
          <w:sz w:val="21"/>
          <w:szCs w:val="21"/>
          <w:highlight w:val="none"/>
        </w:rPr>
        <w:t>）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p>
    <w:p w14:paraId="334A4E0A">
      <w:pPr>
        <w:pStyle w:val="33"/>
        <w:spacing w:before="0" w:beforeAutospacing="0" w:after="0" w:afterAutospacing="0" w:line="360" w:lineRule="auto"/>
        <w:ind w:firstLine="422" w:firstLineChars="200"/>
        <w:contextualSpacing/>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rPr>
        <w:t>5、本项目不接受联合体供应商参与竞标</w:t>
      </w:r>
      <w:r>
        <w:rPr>
          <w:rFonts w:hint="eastAsia" w:ascii="Times New Roman" w:cs="Times New Roman"/>
          <w:b/>
          <w:bCs/>
          <w:sz w:val="21"/>
          <w:szCs w:val="21"/>
          <w:lang w:eastAsia="zh-CN"/>
        </w:rPr>
        <w:t>。</w:t>
      </w:r>
    </w:p>
    <w:p w14:paraId="29E5B07A">
      <w:pPr>
        <w:keepNext w:val="0"/>
        <w:keepLines w:val="0"/>
        <w:pageBreakBefore w:val="0"/>
        <w:widowControl/>
        <w:kinsoku/>
        <w:wordWrap/>
        <w:overflowPunct/>
        <w:topLinePunct w:val="0"/>
        <w:autoSpaceDE/>
        <w:autoSpaceDN/>
        <w:bidi w:val="0"/>
        <w:adjustRightInd/>
        <w:snapToGrid/>
        <w:spacing w:line="480" w:lineRule="exact"/>
        <w:ind w:firstLine="422"/>
        <w:contextualSpacing/>
        <w:jc w:val="left"/>
        <w:textAlignment w:val="auto"/>
        <w:rPr>
          <w:b/>
          <w:color w:val="auto"/>
          <w:szCs w:val="21"/>
          <w:highlight w:val="none"/>
        </w:rPr>
      </w:pPr>
      <w:r>
        <w:rPr>
          <w:rFonts w:hint="eastAsia"/>
          <w:b/>
          <w:color w:val="auto"/>
          <w:szCs w:val="21"/>
          <w:highlight w:val="none"/>
        </w:rPr>
        <w:t>三、磋商文件的获取</w:t>
      </w:r>
    </w:p>
    <w:p w14:paraId="1BFB57E7">
      <w:pPr>
        <w:pStyle w:val="33"/>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422"/>
        <w:contextualSpacing/>
        <w:textAlignment w:val="auto"/>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1、</w:t>
      </w:r>
      <w:r>
        <w:rPr>
          <w:rFonts w:hint="eastAsia" w:ascii="Times New Roman" w:cs="Times New Roman"/>
          <w:b/>
          <w:bCs/>
          <w:color w:val="auto"/>
          <w:sz w:val="21"/>
          <w:szCs w:val="21"/>
          <w:highlight w:val="none"/>
        </w:rPr>
        <w:t>时间：</w:t>
      </w:r>
      <w:r>
        <w:rPr>
          <w:rFonts w:hint="eastAsia" w:ascii="Times New Roman" w:cs="Times New Roman"/>
          <w:b/>
          <w:bCs/>
          <w:color w:val="auto"/>
          <w:sz w:val="21"/>
          <w:szCs w:val="21"/>
          <w:highlight w:val="none"/>
          <w:lang w:eastAsia="zh-CN"/>
        </w:rPr>
        <w:t>自磋商文件公告发布起</w:t>
      </w:r>
      <w:r>
        <w:rPr>
          <w:rFonts w:hint="eastAsia" w:ascii="Times New Roman" w:cs="Times New Roman"/>
          <w:b/>
          <w:bCs/>
          <w:color w:val="auto"/>
          <w:sz w:val="21"/>
          <w:szCs w:val="21"/>
          <w:highlight w:val="none"/>
          <w:lang w:val="en-US" w:eastAsia="zh-CN"/>
        </w:rPr>
        <w:t>5个工作日</w:t>
      </w:r>
      <w:r>
        <w:rPr>
          <w:rFonts w:hint="eastAsia" w:ascii="Times New Roman" w:cs="Times New Roman"/>
          <w:b/>
          <w:bCs/>
          <w:color w:val="auto"/>
          <w:sz w:val="21"/>
          <w:szCs w:val="21"/>
          <w:highlight w:val="none"/>
        </w:rPr>
        <w:t>；</w:t>
      </w:r>
    </w:p>
    <w:p w14:paraId="0E7E5507">
      <w:pPr>
        <w:pStyle w:val="33"/>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422"/>
        <w:contextualSpacing/>
        <w:textAlignment w:val="auto"/>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2、</w:t>
      </w:r>
      <w:r>
        <w:rPr>
          <w:rFonts w:hint="eastAsia" w:ascii="Times New Roman" w:cs="Times New Roman"/>
          <w:b/>
          <w:bCs/>
          <w:color w:val="auto"/>
          <w:sz w:val="21"/>
          <w:szCs w:val="21"/>
          <w:highlight w:val="none"/>
        </w:rPr>
        <w:t>方式：在“江苏政府采购网”自行免费下载</w:t>
      </w:r>
      <w:r>
        <w:rPr>
          <w:rFonts w:hint="eastAsia" w:ascii="Times New Roman" w:cs="Times New Roman"/>
          <w:b/>
          <w:bCs/>
          <w:color w:val="auto"/>
          <w:sz w:val="21"/>
          <w:szCs w:val="21"/>
          <w:highlight w:val="none"/>
          <w:lang w:eastAsia="zh-CN"/>
        </w:rPr>
        <w:t>磋商</w:t>
      </w:r>
      <w:r>
        <w:rPr>
          <w:rFonts w:hint="eastAsia" w:ascii="Times New Roman" w:cs="Times New Roman"/>
          <w:b/>
          <w:bCs/>
          <w:color w:val="auto"/>
          <w:sz w:val="21"/>
          <w:szCs w:val="21"/>
          <w:highlight w:val="none"/>
        </w:rPr>
        <w:t>文件。</w:t>
      </w:r>
    </w:p>
    <w:p w14:paraId="360BED60">
      <w:pPr>
        <w:pStyle w:val="33"/>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1054"/>
        <w:contextualSpacing/>
        <w:textAlignment w:val="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方法及步骤如下（可参考）：</w:t>
      </w:r>
    </w:p>
    <w:p w14:paraId="12A066B1">
      <w:pPr>
        <w:pStyle w:val="33"/>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840"/>
        <w:contextualSpacing/>
        <w:textAlignment w:val="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lang w:val="en-US" w:eastAsia="zh-CN"/>
        </w:rPr>
        <w:t>1</w:t>
      </w: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rPr>
        <w:t>登录http://jszfcg.jsczt.cn/ ，或进入江苏政府采购网，点击“苏采云”进入系统。</w:t>
      </w:r>
    </w:p>
    <w:p w14:paraId="4FF8FF89">
      <w:pPr>
        <w:pStyle w:val="33"/>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840"/>
        <w:contextualSpacing/>
        <w:textAlignment w:val="auto"/>
        <w:rPr>
          <w:rFonts w:ascii="Times New Roman" w:cs="Times New Roman"/>
          <w:b/>
          <w:bCs/>
          <w:color w:val="auto"/>
          <w:sz w:val="21"/>
          <w:szCs w:val="21"/>
          <w:highlight w:val="none"/>
        </w:rPr>
      </w:pP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lang w:val="en-US" w:eastAsia="zh-CN"/>
        </w:rPr>
        <w:t>2</w:t>
      </w: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w:t>
      </w:r>
      <w:r>
        <w:rPr>
          <w:rFonts w:hint="eastAsia" w:ascii="Times New Roman" w:cs="Times New Roman"/>
          <w:color w:val="auto"/>
          <w:sz w:val="21"/>
          <w:szCs w:val="21"/>
          <w:highlight w:val="none"/>
          <w:lang w:eastAsia="zh-CN"/>
        </w:rPr>
        <w:t>响应文件</w:t>
      </w:r>
      <w:r>
        <w:rPr>
          <w:rFonts w:hint="eastAsia" w:ascii="Times New Roman" w:cs="Times New Roman"/>
          <w:color w:val="auto"/>
          <w:sz w:val="21"/>
          <w:szCs w:val="21"/>
          <w:highlight w:val="none"/>
        </w:rPr>
        <w:t>。</w:t>
      </w:r>
      <w:r>
        <w:rPr>
          <w:rFonts w:hint="eastAsia" w:ascii="Times New Roman" w:cs="Times New Roman"/>
          <w:b/>
          <w:bCs/>
          <w:color w:val="auto"/>
          <w:sz w:val="21"/>
          <w:szCs w:val="21"/>
          <w:highlight w:val="none"/>
        </w:rPr>
        <w:t>具体见《江苏省政府采购管理交易系统(苏采云)供应商操作手册》。</w:t>
      </w:r>
    </w:p>
    <w:p w14:paraId="49701BB9">
      <w:pPr>
        <w:pStyle w:val="33"/>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840"/>
        <w:contextualSpacing/>
        <w:textAlignment w:val="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lang w:val="en-US" w:eastAsia="zh-CN"/>
        </w:rPr>
        <w:t>3</w:t>
      </w: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rPr>
        <w:t>潜在供应商访问“苏采云”系统的网络地址和方法:“苏采云”系统的网址:http://jszfcg.jsczt.cn/。</w:t>
      </w:r>
    </w:p>
    <w:p w14:paraId="760500BA">
      <w:pPr>
        <w:pStyle w:val="33"/>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840"/>
        <w:contextualSpacing/>
        <w:textAlignment w:val="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lang w:val="en-US" w:eastAsia="zh-CN"/>
        </w:rPr>
        <w:t>4</w:t>
      </w: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rPr>
        <w:t>“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p>
    <w:p w14:paraId="4DA0EFD3">
      <w:pPr>
        <w:pStyle w:val="33"/>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840"/>
        <w:contextualSpacing/>
        <w:textAlignment w:val="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lang w:val="en-US" w:eastAsia="zh-CN"/>
        </w:rPr>
        <w:t>5</w:t>
      </w: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rPr>
        <w:t>采购文件(后缀名为“.kedt”)、供应商操作手册及政府采购客户端工具可通过“苏采云”系统--已报名项目--报名详情页面内相应链接进行下载。</w:t>
      </w:r>
    </w:p>
    <w:p w14:paraId="72C65087">
      <w:pPr>
        <w:pStyle w:val="33"/>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840"/>
        <w:contextualSpacing/>
        <w:textAlignment w:val="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lang w:val="en-US" w:eastAsia="zh-CN"/>
        </w:rPr>
        <w:t>6</w:t>
      </w:r>
      <w:r>
        <w:rPr>
          <w:rFonts w:hint="eastAsia" w:ascii="Times New Roman" w:cs="Times New Roman"/>
          <w:color w:val="auto"/>
          <w:sz w:val="21"/>
          <w:szCs w:val="21"/>
          <w:highlight w:val="none"/>
          <w:lang w:eastAsia="zh-CN"/>
        </w:rPr>
        <w:t>）采购代理机构</w:t>
      </w:r>
      <w:r>
        <w:rPr>
          <w:rFonts w:hint="eastAsia" w:ascii="Times New Roman" w:cs="Times New Roman"/>
          <w:color w:val="auto"/>
          <w:sz w:val="21"/>
          <w:szCs w:val="21"/>
          <w:highlight w:val="none"/>
        </w:rPr>
        <w:t>将数据电文形式的采购文件加载至“苏采云”系统，供潜在供应商下载或者查阅。</w:t>
      </w:r>
    </w:p>
    <w:p w14:paraId="20CB0EC6">
      <w:pPr>
        <w:pStyle w:val="33"/>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840"/>
        <w:contextualSpacing/>
        <w:textAlignment w:val="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lang w:val="en-US" w:eastAsia="zh-CN"/>
        </w:rPr>
        <w:t>7</w:t>
      </w: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rPr>
        <w:t>请潜在供应商提前安装相应的控件(详见《江苏省政府采购管理交易系统(苏采云)供应商操作手册&gt;)并使用谷歌浏览器登录“苏采云”系统参与不见面开评标。</w:t>
      </w:r>
    </w:p>
    <w:p w14:paraId="32F32027">
      <w:pPr>
        <w:keepNext w:val="0"/>
        <w:keepLines w:val="0"/>
        <w:pageBreakBefore w:val="0"/>
        <w:widowControl/>
        <w:kinsoku/>
        <w:wordWrap/>
        <w:overflowPunct/>
        <w:topLinePunct w:val="0"/>
        <w:autoSpaceDE/>
        <w:autoSpaceDN/>
        <w:bidi w:val="0"/>
        <w:adjustRightInd/>
        <w:snapToGrid/>
        <w:spacing w:line="480" w:lineRule="exact"/>
        <w:ind w:firstLine="422"/>
        <w:contextualSpacing/>
        <w:jc w:val="left"/>
        <w:textAlignment w:val="auto"/>
        <w:rPr>
          <w:rFonts w:ascii="宋体" w:hAnsi="宋体" w:cs="宋体"/>
          <w:b/>
          <w:bCs/>
          <w:color w:val="auto"/>
          <w:szCs w:val="21"/>
          <w:highlight w:val="none"/>
        </w:rPr>
      </w:pPr>
      <w:r>
        <w:rPr>
          <w:rFonts w:hint="eastAsia" w:ascii="宋体" w:hAnsi="宋体" w:cs="宋体"/>
          <w:b/>
          <w:bCs/>
          <w:color w:val="auto"/>
          <w:szCs w:val="21"/>
          <w:highlight w:val="none"/>
        </w:rPr>
        <w:t>四、电子响应文件递交及开启</w:t>
      </w:r>
    </w:p>
    <w:p w14:paraId="292C674C">
      <w:pPr>
        <w:keepNext w:val="0"/>
        <w:keepLines w:val="0"/>
        <w:pageBreakBefore w:val="0"/>
        <w:widowControl/>
        <w:kinsoku/>
        <w:wordWrap/>
        <w:overflowPunct/>
        <w:topLinePunct w:val="0"/>
        <w:autoSpaceDE/>
        <w:autoSpaceDN/>
        <w:bidi w:val="0"/>
        <w:adjustRightInd/>
        <w:snapToGrid/>
        <w:spacing w:line="480" w:lineRule="exact"/>
        <w:ind w:firstLine="525"/>
        <w:contextualSpacing/>
        <w:jc w:val="left"/>
        <w:textAlignment w:val="auto"/>
        <w:rPr>
          <w:rFonts w:ascii="宋体" w:hAnsi="宋体" w:cs="宋体"/>
          <w:color w:val="auto"/>
          <w:szCs w:val="21"/>
          <w:highlight w:val="none"/>
        </w:rPr>
      </w:pPr>
      <w:r>
        <w:rPr>
          <w:rFonts w:hint="eastAsia" w:ascii="宋体" w:hAnsi="宋体" w:cs="宋体"/>
          <w:color w:val="auto"/>
          <w:szCs w:val="21"/>
          <w:highlight w:val="none"/>
        </w:rPr>
        <w:t>1、电子响应文件递交截止时间与地点：</w:t>
      </w:r>
    </w:p>
    <w:p w14:paraId="5D02380B">
      <w:pPr>
        <w:keepNext w:val="0"/>
        <w:keepLines w:val="0"/>
        <w:pageBreakBefore w:val="0"/>
        <w:widowControl/>
        <w:kinsoku/>
        <w:wordWrap/>
        <w:overflowPunct/>
        <w:topLinePunct w:val="0"/>
        <w:autoSpaceDE/>
        <w:autoSpaceDN/>
        <w:bidi w:val="0"/>
        <w:adjustRightInd/>
        <w:snapToGrid/>
        <w:spacing w:line="480" w:lineRule="exact"/>
        <w:ind w:firstLine="527"/>
        <w:contextualSpacing/>
        <w:jc w:val="left"/>
        <w:textAlignment w:val="auto"/>
        <w:rPr>
          <w:rFonts w:ascii="宋体" w:hAnsi="宋体" w:cs="宋体"/>
          <w:b/>
          <w:color w:val="auto"/>
          <w:szCs w:val="21"/>
          <w:highlight w:val="none"/>
        </w:rPr>
      </w:pPr>
      <w:r>
        <w:rPr>
          <w:rFonts w:hint="eastAsia" w:ascii="宋体" w:hAnsi="宋体" w:cs="宋体"/>
          <w:b/>
          <w:color w:val="auto"/>
          <w:szCs w:val="21"/>
          <w:highlight w:val="none"/>
        </w:rPr>
        <w:t>时间：202</w:t>
      </w:r>
      <w:r>
        <w:rPr>
          <w:rFonts w:hint="eastAsia" w:ascii="宋体" w:hAnsi="宋体" w:cs="宋体"/>
          <w:b/>
          <w:color w:val="auto"/>
          <w:szCs w:val="21"/>
          <w:highlight w:val="none"/>
          <w:lang w:val="en-US" w:eastAsia="zh-CN"/>
        </w:rPr>
        <w:t>6</w:t>
      </w:r>
      <w:r>
        <w:rPr>
          <w:rFonts w:hint="eastAsia" w:ascii="宋体" w:hAnsi="宋体" w:cs="宋体"/>
          <w:b/>
          <w:color w:val="auto"/>
          <w:szCs w:val="21"/>
          <w:highlight w:val="none"/>
        </w:rPr>
        <w:t>年</w:t>
      </w:r>
      <w:r>
        <w:rPr>
          <w:rFonts w:hint="eastAsia" w:ascii="宋体" w:hAnsi="宋体" w:cs="宋体"/>
          <w:b/>
          <w:color w:val="auto"/>
          <w:szCs w:val="21"/>
          <w:highlight w:val="none"/>
          <w:lang w:val="en-US" w:eastAsia="zh-CN"/>
        </w:rPr>
        <w:t>04</w:t>
      </w:r>
      <w:r>
        <w:rPr>
          <w:rFonts w:hint="eastAsia" w:ascii="宋体" w:hAnsi="宋体" w:cs="宋体"/>
          <w:b/>
          <w:color w:val="auto"/>
          <w:szCs w:val="21"/>
          <w:highlight w:val="none"/>
        </w:rPr>
        <w:t>月</w:t>
      </w:r>
      <w:r>
        <w:rPr>
          <w:rFonts w:hint="eastAsia" w:ascii="宋体" w:hAnsi="宋体" w:cs="宋体"/>
          <w:b/>
          <w:color w:val="auto"/>
          <w:szCs w:val="21"/>
          <w:highlight w:val="none"/>
          <w:lang w:val="en-US" w:eastAsia="zh-CN"/>
        </w:rPr>
        <w:t>28</w:t>
      </w:r>
      <w:r>
        <w:rPr>
          <w:rFonts w:hint="eastAsia" w:ascii="宋体" w:hAnsi="宋体" w:cs="宋体"/>
          <w:b/>
          <w:color w:val="auto"/>
          <w:szCs w:val="21"/>
          <w:highlight w:val="none"/>
        </w:rPr>
        <w:t>日</w:t>
      </w:r>
      <w:r>
        <w:rPr>
          <w:rFonts w:hint="eastAsia" w:ascii="宋体" w:hAnsi="宋体" w:cs="宋体"/>
          <w:b/>
          <w:color w:val="auto"/>
          <w:szCs w:val="21"/>
          <w:highlight w:val="none"/>
          <w:lang w:val="en-US" w:eastAsia="zh-CN"/>
        </w:rPr>
        <w:t>14</w:t>
      </w:r>
      <w:r>
        <w:rPr>
          <w:rFonts w:hint="eastAsia" w:ascii="宋体" w:hAnsi="宋体" w:cs="宋体"/>
          <w:b/>
          <w:color w:val="auto"/>
          <w:szCs w:val="21"/>
          <w:highlight w:val="none"/>
        </w:rPr>
        <w:t>时</w:t>
      </w:r>
      <w:r>
        <w:rPr>
          <w:rFonts w:hint="eastAsia" w:ascii="宋体" w:hAnsi="宋体" w:cs="宋体"/>
          <w:b/>
          <w:color w:val="auto"/>
          <w:szCs w:val="21"/>
          <w:highlight w:val="none"/>
          <w:lang w:val="en-US" w:eastAsia="zh-CN"/>
        </w:rPr>
        <w:t>30</w:t>
      </w:r>
      <w:r>
        <w:rPr>
          <w:rFonts w:hint="eastAsia" w:ascii="宋体" w:hAnsi="宋体" w:cs="宋体"/>
          <w:b/>
          <w:color w:val="auto"/>
          <w:szCs w:val="21"/>
          <w:highlight w:val="none"/>
        </w:rPr>
        <w:t>分（北京时间）</w:t>
      </w:r>
    </w:p>
    <w:p w14:paraId="1126B33B">
      <w:pPr>
        <w:keepNext w:val="0"/>
        <w:keepLines w:val="0"/>
        <w:pageBreakBefore w:val="0"/>
        <w:widowControl/>
        <w:kinsoku/>
        <w:wordWrap/>
        <w:overflowPunct/>
        <w:topLinePunct w:val="0"/>
        <w:autoSpaceDE/>
        <w:autoSpaceDN/>
        <w:bidi w:val="0"/>
        <w:adjustRightInd/>
        <w:snapToGrid/>
        <w:spacing w:line="480" w:lineRule="exact"/>
        <w:ind w:firstLine="527"/>
        <w:contextualSpacing/>
        <w:jc w:val="left"/>
        <w:textAlignment w:val="auto"/>
        <w:rPr>
          <w:rFonts w:ascii="宋体" w:hAnsi="宋体" w:cs="宋体"/>
          <w:b/>
          <w:color w:val="auto"/>
          <w:szCs w:val="21"/>
          <w:highlight w:val="none"/>
        </w:rPr>
      </w:pPr>
      <w:r>
        <w:rPr>
          <w:rFonts w:hint="eastAsia" w:ascii="宋体" w:hAnsi="宋体" w:cs="宋体"/>
          <w:b/>
          <w:color w:val="auto"/>
          <w:szCs w:val="21"/>
          <w:highlight w:val="none"/>
        </w:rPr>
        <w:t>地址：</w:t>
      </w:r>
      <w:r>
        <w:rPr>
          <w:rFonts w:hint="eastAsia" w:ascii="宋体" w:hAnsi="宋体" w:cs="宋体"/>
          <w:b/>
          <w:color w:val="auto"/>
          <w:szCs w:val="21"/>
          <w:highlight w:val="none"/>
          <w:lang w:eastAsia="zh-CN"/>
        </w:rPr>
        <w:t>江苏省政府采购管理交易系统(苏采云)</w:t>
      </w:r>
      <w:r>
        <w:rPr>
          <w:rFonts w:hint="eastAsia" w:ascii="宋体" w:hAnsi="宋体" w:cs="宋体"/>
          <w:b/>
          <w:color w:val="auto"/>
          <w:szCs w:val="21"/>
          <w:highlight w:val="none"/>
        </w:rPr>
        <w:t>网上开标大厅。</w:t>
      </w:r>
    </w:p>
    <w:p w14:paraId="63EE6D7C">
      <w:pPr>
        <w:keepNext w:val="0"/>
        <w:keepLines w:val="0"/>
        <w:pageBreakBefore w:val="0"/>
        <w:widowControl/>
        <w:kinsoku/>
        <w:wordWrap/>
        <w:overflowPunct/>
        <w:topLinePunct w:val="0"/>
        <w:autoSpaceDE/>
        <w:autoSpaceDN/>
        <w:bidi w:val="0"/>
        <w:adjustRightInd/>
        <w:snapToGrid/>
        <w:spacing w:line="480" w:lineRule="exact"/>
        <w:ind w:firstLine="525"/>
        <w:contextualSpacing/>
        <w:jc w:val="left"/>
        <w:textAlignment w:val="auto"/>
        <w:rPr>
          <w:rFonts w:ascii="宋体" w:hAnsi="宋体" w:cs="宋体"/>
          <w:color w:val="auto"/>
          <w:szCs w:val="21"/>
          <w:highlight w:val="none"/>
        </w:rPr>
      </w:pPr>
      <w:r>
        <w:rPr>
          <w:rFonts w:hint="eastAsia" w:ascii="宋体" w:hAnsi="宋体" w:cs="宋体"/>
          <w:color w:val="auto"/>
          <w:szCs w:val="21"/>
          <w:highlight w:val="none"/>
        </w:rPr>
        <w:t>2、开启时间与地点：</w:t>
      </w:r>
    </w:p>
    <w:p w14:paraId="56108BD1">
      <w:pPr>
        <w:keepNext w:val="0"/>
        <w:keepLines w:val="0"/>
        <w:pageBreakBefore w:val="0"/>
        <w:widowControl/>
        <w:kinsoku/>
        <w:wordWrap/>
        <w:overflowPunct/>
        <w:topLinePunct w:val="0"/>
        <w:autoSpaceDE/>
        <w:autoSpaceDN/>
        <w:bidi w:val="0"/>
        <w:adjustRightInd/>
        <w:snapToGrid/>
        <w:spacing w:line="480" w:lineRule="exact"/>
        <w:ind w:firstLine="527"/>
        <w:contextualSpacing/>
        <w:jc w:val="left"/>
        <w:textAlignment w:val="auto"/>
        <w:rPr>
          <w:rFonts w:ascii="宋体" w:hAnsi="宋体" w:cs="宋体"/>
          <w:b/>
          <w:color w:val="auto"/>
          <w:szCs w:val="21"/>
          <w:highlight w:val="none"/>
        </w:rPr>
      </w:pPr>
      <w:r>
        <w:rPr>
          <w:rFonts w:hint="eastAsia" w:ascii="宋体" w:hAnsi="宋体" w:cs="宋体"/>
          <w:b/>
          <w:color w:val="auto"/>
          <w:szCs w:val="21"/>
          <w:highlight w:val="none"/>
        </w:rPr>
        <w:t>时间：</w:t>
      </w:r>
      <w:r>
        <w:rPr>
          <w:rFonts w:hint="eastAsia" w:ascii="宋体" w:hAnsi="宋体" w:cs="宋体"/>
          <w:b/>
          <w:color w:val="auto"/>
          <w:szCs w:val="21"/>
          <w:highlight w:val="none"/>
          <w:lang w:val="en-US" w:eastAsia="zh-CN"/>
        </w:rPr>
        <w:t>2026</w:t>
      </w:r>
      <w:r>
        <w:rPr>
          <w:rFonts w:hint="eastAsia" w:ascii="宋体" w:hAnsi="宋体" w:cs="宋体"/>
          <w:b/>
          <w:color w:val="auto"/>
          <w:szCs w:val="21"/>
          <w:highlight w:val="none"/>
        </w:rPr>
        <w:t>年</w:t>
      </w:r>
      <w:r>
        <w:rPr>
          <w:rFonts w:hint="eastAsia" w:ascii="宋体" w:hAnsi="宋体" w:cs="宋体"/>
          <w:b/>
          <w:color w:val="auto"/>
          <w:szCs w:val="21"/>
          <w:highlight w:val="none"/>
          <w:lang w:val="en-US" w:eastAsia="zh-CN"/>
        </w:rPr>
        <w:t>04</w:t>
      </w:r>
      <w:r>
        <w:rPr>
          <w:rFonts w:hint="eastAsia" w:ascii="宋体" w:hAnsi="宋体" w:cs="宋体"/>
          <w:b/>
          <w:color w:val="auto"/>
          <w:szCs w:val="21"/>
          <w:highlight w:val="none"/>
        </w:rPr>
        <w:t>月</w:t>
      </w:r>
      <w:r>
        <w:rPr>
          <w:rFonts w:hint="eastAsia" w:ascii="宋体" w:hAnsi="宋体" w:cs="宋体"/>
          <w:b/>
          <w:color w:val="auto"/>
          <w:szCs w:val="21"/>
          <w:highlight w:val="none"/>
          <w:lang w:val="en-US" w:eastAsia="zh-CN"/>
        </w:rPr>
        <w:t>28</w:t>
      </w:r>
      <w:r>
        <w:rPr>
          <w:rFonts w:hint="eastAsia" w:ascii="宋体" w:hAnsi="宋体" w:cs="宋体"/>
          <w:b/>
          <w:color w:val="auto"/>
          <w:szCs w:val="21"/>
          <w:highlight w:val="none"/>
        </w:rPr>
        <w:t>日</w:t>
      </w:r>
      <w:r>
        <w:rPr>
          <w:rFonts w:hint="eastAsia" w:ascii="宋体" w:hAnsi="宋体" w:cs="宋体"/>
          <w:b/>
          <w:color w:val="auto"/>
          <w:szCs w:val="21"/>
          <w:highlight w:val="none"/>
          <w:lang w:val="en-US" w:eastAsia="zh-CN"/>
        </w:rPr>
        <w:t>14</w:t>
      </w:r>
      <w:r>
        <w:rPr>
          <w:rFonts w:hint="eastAsia" w:ascii="宋体" w:hAnsi="宋体" w:cs="宋体"/>
          <w:b/>
          <w:color w:val="auto"/>
          <w:szCs w:val="21"/>
          <w:highlight w:val="none"/>
        </w:rPr>
        <w:t>时</w:t>
      </w:r>
      <w:r>
        <w:rPr>
          <w:rFonts w:hint="eastAsia" w:ascii="宋体" w:hAnsi="宋体" w:cs="宋体"/>
          <w:b/>
          <w:color w:val="auto"/>
          <w:szCs w:val="21"/>
          <w:highlight w:val="none"/>
          <w:lang w:val="en-US" w:eastAsia="zh-CN"/>
        </w:rPr>
        <w:t>30</w:t>
      </w:r>
      <w:r>
        <w:rPr>
          <w:rFonts w:hint="eastAsia" w:ascii="宋体" w:hAnsi="宋体" w:cs="宋体"/>
          <w:b/>
          <w:color w:val="auto"/>
          <w:szCs w:val="21"/>
          <w:highlight w:val="none"/>
        </w:rPr>
        <w:t>分（北京时间）</w:t>
      </w:r>
    </w:p>
    <w:p w14:paraId="08713FDF">
      <w:pPr>
        <w:keepNext w:val="0"/>
        <w:keepLines w:val="0"/>
        <w:pageBreakBefore w:val="0"/>
        <w:widowControl/>
        <w:kinsoku/>
        <w:wordWrap/>
        <w:overflowPunct/>
        <w:topLinePunct w:val="0"/>
        <w:autoSpaceDE/>
        <w:autoSpaceDN/>
        <w:bidi w:val="0"/>
        <w:adjustRightInd/>
        <w:snapToGrid/>
        <w:spacing w:line="480" w:lineRule="exact"/>
        <w:ind w:firstLine="527"/>
        <w:contextualSpacing/>
        <w:jc w:val="left"/>
        <w:textAlignment w:val="auto"/>
        <w:rPr>
          <w:rFonts w:ascii="宋体" w:hAnsi="宋体" w:cs="宋体"/>
          <w:color w:val="auto"/>
          <w:szCs w:val="21"/>
          <w:highlight w:val="none"/>
        </w:rPr>
      </w:pPr>
      <w:r>
        <w:rPr>
          <w:rFonts w:hint="eastAsia" w:ascii="宋体" w:hAnsi="宋体" w:cs="宋体"/>
          <w:b/>
          <w:color w:val="auto"/>
          <w:szCs w:val="21"/>
          <w:highlight w:val="none"/>
        </w:rPr>
        <w:t>地址：</w:t>
      </w:r>
      <w:r>
        <w:rPr>
          <w:rFonts w:hint="eastAsia" w:ascii="宋体" w:hAnsi="宋体" w:cs="宋体"/>
          <w:b/>
          <w:color w:val="auto"/>
          <w:szCs w:val="21"/>
          <w:highlight w:val="none"/>
          <w:lang w:eastAsia="zh-CN"/>
        </w:rPr>
        <w:t>江苏省政府采购管理交易系统(苏采云)</w:t>
      </w:r>
      <w:r>
        <w:rPr>
          <w:rFonts w:hint="eastAsia" w:ascii="宋体" w:hAnsi="宋体" w:cs="宋体"/>
          <w:b/>
          <w:color w:val="auto"/>
          <w:szCs w:val="21"/>
          <w:highlight w:val="none"/>
        </w:rPr>
        <w:t>网上开标大厅。</w:t>
      </w:r>
    </w:p>
    <w:p w14:paraId="165CF01A">
      <w:pPr>
        <w:pStyle w:val="33"/>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422"/>
        <w:contextualSpacing/>
        <w:textAlignment w:val="auto"/>
        <w:rPr>
          <w:rFonts w:hAnsi="宋体"/>
          <w:b/>
          <w:color w:val="auto"/>
          <w:sz w:val="21"/>
          <w:szCs w:val="21"/>
          <w:highlight w:val="none"/>
        </w:rPr>
      </w:pPr>
      <w:r>
        <w:rPr>
          <w:rFonts w:hint="eastAsia" w:hAnsi="宋体"/>
          <w:b/>
          <w:color w:val="auto"/>
          <w:sz w:val="21"/>
          <w:szCs w:val="21"/>
          <w:highlight w:val="none"/>
        </w:rPr>
        <w:t>五、公告期限</w:t>
      </w:r>
    </w:p>
    <w:p w14:paraId="7723109B">
      <w:pPr>
        <w:pStyle w:val="33"/>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420"/>
        <w:contextualSpacing/>
        <w:textAlignment w:val="auto"/>
        <w:rPr>
          <w:rFonts w:hAnsi="宋体"/>
          <w:color w:val="auto"/>
          <w:sz w:val="21"/>
          <w:szCs w:val="21"/>
          <w:highlight w:val="none"/>
        </w:rPr>
      </w:pPr>
      <w:r>
        <w:rPr>
          <w:rFonts w:hint="eastAsia" w:hAnsi="宋体"/>
          <w:color w:val="auto"/>
          <w:sz w:val="21"/>
          <w:szCs w:val="21"/>
          <w:highlight w:val="none"/>
        </w:rPr>
        <w:t>本项目公告期限时间为：自本公告发布之日起</w:t>
      </w:r>
      <w:r>
        <w:rPr>
          <w:rFonts w:hint="eastAsia" w:hAnsi="宋体"/>
          <w:b/>
          <w:bCs/>
          <w:color w:val="auto"/>
          <w:sz w:val="21"/>
          <w:szCs w:val="21"/>
          <w:highlight w:val="none"/>
        </w:rPr>
        <w:t>3个</w:t>
      </w:r>
      <w:r>
        <w:rPr>
          <w:rFonts w:hint="eastAsia" w:hAnsi="宋体"/>
          <w:color w:val="auto"/>
          <w:sz w:val="21"/>
          <w:szCs w:val="21"/>
          <w:highlight w:val="none"/>
        </w:rPr>
        <w:t>工作日。</w:t>
      </w:r>
    </w:p>
    <w:p w14:paraId="113BC9D7">
      <w:pPr>
        <w:pStyle w:val="33"/>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422"/>
        <w:contextualSpacing/>
        <w:textAlignment w:val="auto"/>
        <w:rPr>
          <w:rFonts w:hAnsi="宋体"/>
          <w:b/>
          <w:color w:val="auto"/>
          <w:sz w:val="21"/>
          <w:szCs w:val="21"/>
          <w:highlight w:val="none"/>
        </w:rPr>
      </w:pPr>
      <w:r>
        <w:rPr>
          <w:rFonts w:hint="eastAsia" w:hAnsi="宋体"/>
          <w:b/>
          <w:color w:val="auto"/>
          <w:sz w:val="21"/>
          <w:szCs w:val="21"/>
          <w:highlight w:val="none"/>
        </w:rPr>
        <w:t>六、其他补充事宜</w:t>
      </w:r>
    </w:p>
    <w:p w14:paraId="2BFDF563">
      <w:pPr>
        <w:pStyle w:val="33"/>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420"/>
        <w:contextualSpacing/>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1、本次磋商采购不收取磋商保证金。</w:t>
      </w:r>
    </w:p>
    <w:p w14:paraId="6CEFFDE8">
      <w:pPr>
        <w:pStyle w:val="33"/>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420"/>
        <w:contextualSpacing/>
        <w:textAlignment w:val="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w:t>
      </w:r>
      <w:r>
        <w:rPr>
          <w:rFonts w:hint="eastAsia" w:ascii="Times New Roman" w:hAnsi="Times New Roman" w:eastAsia="宋体" w:cs="Times New Roman"/>
          <w:b/>
          <w:bCs/>
          <w:color w:val="auto"/>
          <w:sz w:val="21"/>
          <w:szCs w:val="21"/>
          <w:highlight w:val="none"/>
          <w:lang w:val="en-US" w:eastAsia="zh-CN"/>
        </w:rPr>
        <w:t>本磋商文件中斜体且有下划线部分为实质性要求和条件，由采购人根据实际情况设置，供应商须逐条明确作出满足实质性要求和条件的响应，否则将按无效响应处理。</w:t>
      </w:r>
    </w:p>
    <w:p w14:paraId="06C37514">
      <w:pPr>
        <w:pStyle w:val="33"/>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420"/>
        <w:contextualSpacing/>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p>
    <w:p w14:paraId="61D18650">
      <w:pPr>
        <w:pStyle w:val="33"/>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420"/>
        <w:contextualSpacing/>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p>
    <w:p w14:paraId="01F85166">
      <w:pPr>
        <w:pStyle w:val="33"/>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420"/>
        <w:contextualSpacing/>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http://www.ccgp-jiangsu.gov.cn/jiangsu/zlxz/ee/ee3a4bc5a3454aa2b0d9312230633ce9.html</w:t>
      </w:r>
    </w:p>
    <w:p w14:paraId="5DFAB0EC">
      <w:pPr>
        <w:pStyle w:val="33"/>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420"/>
        <w:contextualSpacing/>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p>
    <w:p w14:paraId="3F3A635C">
      <w:pPr>
        <w:keepNext w:val="0"/>
        <w:keepLines w:val="0"/>
        <w:pageBreakBefore w:val="0"/>
        <w:widowControl/>
        <w:kinsoku/>
        <w:wordWrap/>
        <w:overflowPunct/>
        <w:topLinePunct w:val="0"/>
        <w:autoSpaceDE/>
        <w:autoSpaceDN/>
        <w:bidi w:val="0"/>
        <w:adjustRightInd/>
        <w:snapToGrid/>
        <w:spacing w:line="450" w:lineRule="exact"/>
        <w:ind w:firstLine="422" w:firstLineChars="200"/>
        <w:contextualSpacing/>
        <w:jc w:val="lef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八</w:t>
      </w:r>
      <w:r>
        <w:rPr>
          <w:rFonts w:hint="eastAsia" w:ascii="宋体" w:hAnsi="宋体" w:eastAsia="宋体" w:cs="宋体"/>
          <w:b/>
          <w:bCs/>
          <w:sz w:val="21"/>
          <w:szCs w:val="21"/>
          <w:highlight w:val="none"/>
        </w:rPr>
        <w:t>、联系方式</w:t>
      </w:r>
    </w:p>
    <w:p w14:paraId="3597793F">
      <w:pPr>
        <w:keepNext w:val="0"/>
        <w:keepLines w:val="0"/>
        <w:pageBreakBefore w:val="0"/>
        <w:widowControl/>
        <w:kinsoku/>
        <w:wordWrap/>
        <w:overflowPunct/>
        <w:topLinePunct w:val="0"/>
        <w:autoSpaceDE/>
        <w:autoSpaceDN/>
        <w:bidi w:val="0"/>
        <w:adjustRightInd/>
        <w:snapToGrid/>
        <w:spacing w:line="450" w:lineRule="exact"/>
        <w:ind w:firstLine="480"/>
        <w:contextualSpacing/>
        <w:jc w:val="lef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lang w:eastAsia="zh-CN"/>
        </w:rPr>
        <w:t>采购人：连云港市连云区墟沟林场</w:t>
      </w:r>
    </w:p>
    <w:p w14:paraId="6D597ABE">
      <w:pPr>
        <w:keepNext w:val="0"/>
        <w:keepLines w:val="0"/>
        <w:pageBreakBefore w:val="0"/>
        <w:widowControl/>
        <w:kinsoku/>
        <w:wordWrap/>
        <w:overflowPunct/>
        <w:topLinePunct w:val="0"/>
        <w:autoSpaceDE/>
        <w:autoSpaceDN/>
        <w:bidi w:val="0"/>
        <w:adjustRightInd/>
        <w:snapToGrid/>
        <w:spacing w:line="450" w:lineRule="exact"/>
        <w:ind w:firstLine="480"/>
        <w:contextualSpacing/>
        <w:jc w:val="lef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地</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址：连云港市连云区墟沟林场</w:t>
      </w:r>
    </w:p>
    <w:p w14:paraId="39C1C46D">
      <w:pPr>
        <w:keepNext w:val="0"/>
        <w:keepLines w:val="0"/>
        <w:pageBreakBefore w:val="0"/>
        <w:widowControl/>
        <w:kinsoku/>
        <w:wordWrap/>
        <w:overflowPunct/>
        <w:topLinePunct w:val="0"/>
        <w:autoSpaceDE/>
        <w:autoSpaceDN/>
        <w:bidi w:val="0"/>
        <w:adjustRightInd/>
        <w:snapToGrid/>
        <w:spacing w:line="450" w:lineRule="exact"/>
        <w:ind w:firstLine="480"/>
        <w:contextualSpacing/>
        <w:jc w:val="lef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联系方式：0518-</w:t>
      </w:r>
      <w:r>
        <w:rPr>
          <w:rFonts w:hint="eastAsia" w:ascii="宋体" w:hAnsi="宋体" w:eastAsia="宋体" w:cs="宋体"/>
          <w:sz w:val="21"/>
          <w:szCs w:val="21"/>
          <w:highlight w:val="none"/>
          <w:lang w:val="en-US" w:eastAsia="zh-CN"/>
        </w:rPr>
        <w:t>82310369</w:t>
      </w:r>
    </w:p>
    <w:p w14:paraId="5BEEEE86">
      <w:pPr>
        <w:keepNext w:val="0"/>
        <w:keepLines w:val="0"/>
        <w:pageBreakBefore w:val="0"/>
        <w:widowControl/>
        <w:kinsoku/>
        <w:wordWrap/>
        <w:overflowPunct/>
        <w:topLinePunct w:val="0"/>
        <w:autoSpaceDE/>
        <w:autoSpaceDN/>
        <w:bidi w:val="0"/>
        <w:adjustRightInd/>
        <w:snapToGrid/>
        <w:spacing w:line="450" w:lineRule="exact"/>
        <w:ind w:firstLine="480"/>
        <w:contextualSpacing/>
        <w:jc w:val="left"/>
        <w:textAlignment w:val="auto"/>
        <w:rPr>
          <w:rFonts w:hint="eastAsia" w:ascii="宋体" w:hAnsi="宋体" w:cs="宋体"/>
          <w:sz w:val="21"/>
          <w:szCs w:val="21"/>
          <w:highlight w:val="none"/>
          <w:lang w:val="en-US" w:eastAsia="zh-CN"/>
        </w:rPr>
      </w:pPr>
    </w:p>
    <w:p w14:paraId="72FDAE5E">
      <w:pPr>
        <w:keepNext w:val="0"/>
        <w:keepLines w:val="0"/>
        <w:pageBreakBefore w:val="0"/>
        <w:widowControl/>
        <w:kinsoku/>
        <w:wordWrap/>
        <w:overflowPunct/>
        <w:topLinePunct w:val="0"/>
        <w:autoSpaceDE/>
        <w:autoSpaceDN/>
        <w:bidi w:val="0"/>
        <w:adjustRightInd/>
        <w:snapToGrid/>
        <w:spacing w:line="450" w:lineRule="exact"/>
        <w:ind w:firstLine="480"/>
        <w:contextualSpacing/>
        <w:jc w:val="left"/>
        <w:textAlignment w:val="auto"/>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lang w:eastAsia="zh-CN"/>
        </w:rPr>
        <w:t>招标代理机构：</w:t>
      </w:r>
      <w:r>
        <w:rPr>
          <w:rFonts w:hint="eastAsia" w:ascii="宋体" w:hAnsi="宋体" w:cs="宋体"/>
          <w:sz w:val="21"/>
          <w:szCs w:val="21"/>
          <w:highlight w:val="none"/>
          <w:lang w:eastAsia="zh-CN"/>
        </w:rPr>
        <w:t>连云港博雅物业管理服务评估监理有限公司</w:t>
      </w:r>
    </w:p>
    <w:p w14:paraId="6400733C">
      <w:pPr>
        <w:snapToGrid w:val="0"/>
        <w:spacing w:line="400" w:lineRule="exact"/>
        <w:ind w:firstLine="437"/>
        <w:rPr>
          <w:rFonts w:hint="eastAsia" w:ascii="宋体" w:hAnsi="宋体" w:eastAsia="宋体" w:cs="宋体"/>
          <w:color w:val="000000"/>
          <w:sz w:val="21"/>
          <w:szCs w:val="21"/>
          <w:u w:val="single"/>
        </w:rPr>
      </w:pPr>
      <w:r>
        <w:rPr>
          <w:rFonts w:hint="eastAsia" w:ascii="宋体" w:hAnsi="宋体" w:eastAsia="宋体" w:cs="宋体"/>
          <w:sz w:val="21"/>
          <w:szCs w:val="21"/>
          <w:highlight w:val="none"/>
          <w:lang w:eastAsia="zh-CN"/>
        </w:rPr>
        <w:t>地址：</w:t>
      </w:r>
      <w:r>
        <w:rPr>
          <w:rFonts w:hint="eastAsia" w:ascii="宋体" w:hAnsi="宋体" w:eastAsia="宋体" w:cs="宋体"/>
          <w:spacing w:val="-4"/>
          <w:sz w:val="21"/>
          <w:szCs w:val="21"/>
        </w:rPr>
        <w:t>中国（江苏）自由贸易试验区连云港片区海滨大道阳光国际中心D8-1室</w:t>
      </w:r>
    </w:p>
    <w:p w14:paraId="317E4DB3">
      <w:pPr>
        <w:snapToGrid w:val="0"/>
        <w:spacing w:line="400" w:lineRule="exact"/>
        <w:ind w:firstLine="404" w:firstLineChars="200"/>
        <w:rPr>
          <w:rFonts w:hint="eastAsia" w:ascii="宋体" w:hAnsi="宋体" w:eastAsia="宋体" w:cs="宋体"/>
          <w:color w:val="000000"/>
          <w:sz w:val="21"/>
          <w:szCs w:val="21"/>
        </w:rPr>
      </w:pPr>
      <w:r>
        <w:rPr>
          <w:rFonts w:hint="eastAsia" w:ascii="宋体" w:hAnsi="宋体" w:eastAsia="宋体" w:cs="宋体"/>
          <w:spacing w:val="-4"/>
          <w:sz w:val="21"/>
          <w:szCs w:val="21"/>
        </w:rPr>
        <w:t>联系人：宋工</w:t>
      </w:r>
    </w:p>
    <w:p w14:paraId="6533D867">
      <w:pPr>
        <w:spacing w:line="400" w:lineRule="exact"/>
        <w:ind w:firstLine="420" w:firstLineChars="200"/>
        <w:rPr>
          <w:rFonts w:hint="eastAsia" w:ascii="宋体" w:hAnsi="宋体" w:eastAsia="宋体" w:cs="宋体"/>
          <w:sz w:val="21"/>
          <w:szCs w:val="21"/>
        </w:rPr>
      </w:pPr>
      <w:r>
        <w:rPr>
          <w:rFonts w:hint="eastAsia" w:ascii="宋体" w:hAnsi="宋体" w:eastAsia="宋体" w:cs="宋体"/>
          <w:color w:val="000000"/>
          <w:sz w:val="21"/>
          <w:szCs w:val="21"/>
        </w:rPr>
        <w:t>邮箱：</w:t>
      </w:r>
      <w:r>
        <w:rPr>
          <w:rFonts w:hint="eastAsia" w:ascii="宋体" w:hAnsi="宋体" w:eastAsia="宋体" w:cs="宋体"/>
          <w:sz w:val="21"/>
          <w:szCs w:val="21"/>
        </w:rPr>
        <w:t>boyawuye@126.com</w:t>
      </w:r>
    </w:p>
    <w:p w14:paraId="681A2774">
      <w:pPr>
        <w:snapToGrid w:val="0"/>
        <w:spacing w:line="400" w:lineRule="exact"/>
        <w:ind w:firstLine="437"/>
        <w:rPr>
          <w:rFonts w:hint="eastAsia" w:ascii="宋体" w:hAnsi="宋体" w:eastAsia="宋体" w:cs="宋体"/>
          <w:color w:val="000000"/>
          <w:sz w:val="21"/>
          <w:szCs w:val="21"/>
        </w:rPr>
      </w:pPr>
      <w:r>
        <w:rPr>
          <w:rFonts w:hint="eastAsia" w:ascii="宋体" w:hAnsi="宋体" w:eastAsia="宋体" w:cs="宋体"/>
          <w:color w:val="000000"/>
          <w:sz w:val="21"/>
          <w:szCs w:val="21"/>
        </w:rPr>
        <w:t>联系电话：17751860035</w:t>
      </w:r>
    </w:p>
    <w:p w14:paraId="6CAA2BFA">
      <w:pPr>
        <w:pageBreakBefore w:val="0"/>
        <w:kinsoku/>
        <w:wordWrap/>
        <w:overflowPunct/>
        <w:topLinePunct w:val="0"/>
        <w:autoSpaceDE/>
        <w:autoSpaceDN/>
        <w:bidi w:val="0"/>
        <w:spacing w:line="420" w:lineRule="exact"/>
        <w:ind w:firstLine="420" w:firstLineChars="200"/>
        <w:textAlignment w:val="auto"/>
        <w:rPr>
          <w:rFonts w:hint="eastAsia" w:ascii="宋体" w:hAnsi="宋体" w:cs="宋体"/>
          <w:color w:val="000000"/>
          <w:sz w:val="21"/>
          <w:szCs w:val="21"/>
          <w:highlight w:val="none"/>
        </w:rPr>
      </w:pPr>
    </w:p>
    <w:p w14:paraId="15481EB9">
      <w:pPr>
        <w:pageBreakBefore w:val="0"/>
        <w:kinsoku/>
        <w:wordWrap/>
        <w:overflowPunct/>
        <w:topLinePunct w:val="0"/>
        <w:autoSpaceDE/>
        <w:autoSpaceDN/>
        <w:bidi w:val="0"/>
        <w:spacing w:line="420" w:lineRule="exact"/>
        <w:ind w:firstLine="420" w:firstLineChars="200"/>
        <w:textAlignment w:val="auto"/>
        <w:rPr>
          <w:rFonts w:ascii="宋体" w:hAnsi="宋体" w:cs="宋体"/>
          <w:color w:val="000000"/>
          <w:sz w:val="21"/>
          <w:szCs w:val="21"/>
          <w:highlight w:val="none"/>
        </w:rPr>
      </w:pPr>
      <w:r>
        <w:rPr>
          <w:rFonts w:hint="eastAsia" w:ascii="宋体" w:hAnsi="宋体" w:cs="宋体"/>
          <w:color w:val="000000"/>
          <w:sz w:val="21"/>
          <w:szCs w:val="21"/>
          <w:highlight w:val="none"/>
        </w:rPr>
        <w:t>3</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rPr>
        <w:t>项目联系</w:t>
      </w:r>
      <w:r>
        <w:rPr>
          <w:rFonts w:ascii="宋体" w:hAnsi="宋体" w:cs="宋体"/>
          <w:color w:val="000000"/>
          <w:sz w:val="21"/>
          <w:szCs w:val="21"/>
          <w:highlight w:val="none"/>
        </w:rPr>
        <w:t>方式</w:t>
      </w:r>
    </w:p>
    <w:p w14:paraId="3B33C8F6">
      <w:pPr>
        <w:pageBreakBefore w:val="0"/>
        <w:kinsoku/>
        <w:wordWrap/>
        <w:overflowPunct/>
        <w:topLinePunct w:val="0"/>
        <w:autoSpaceDE/>
        <w:autoSpaceDN/>
        <w:bidi w:val="0"/>
        <w:spacing w:line="420" w:lineRule="exact"/>
        <w:ind w:firstLine="420" w:firstLineChars="200"/>
        <w:textAlignment w:val="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项目联系人：</w:t>
      </w:r>
      <w:r>
        <w:rPr>
          <w:rFonts w:hint="eastAsia" w:ascii="宋体" w:hAnsi="宋体" w:cs="宋体"/>
          <w:color w:val="000000"/>
          <w:sz w:val="21"/>
          <w:szCs w:val="21"/>
          <w:highlight w:val="none"/>
          <w:lang w:val="en-US" w:eastAsia="zh-CN"/>
        </w:rPr>
        <w:t>软先生</w:t>
      </w:r>
    </w:p>
    <w:p w14:paraId="6811A758">
      <w:pPr>
        <w:pageBreakBefore w:val="0"/>
        <w:kinsoku/>
        <w:wordWrap/>
        <w:overflowPunct/>
        <w:topLinePunct w:val="0"/>
        <w:autoSpaceDE/>
        <w:autoSpaceDN/>
        <w:bidi w:val="0"/>
        <w:spacing w:line="420" w:lineRule="exact"/>
        <w:ind w:firstLine="420" w:firstLineChars="200"/>
        <w:textAlignment w:val="auto"/>
        <w:rPr>
          <w:rFonts w:hint="eastAsia" w:ascii="宋体" w:hAnsi="宋体" w:cs="宋体"/>
          <w:color w:val="000000"/>
          <w:sz w:val="21"/>
          <w:szCs w:val="21"/>
          <w:highlight w:val="none"/>
        </w:rPr>
      </w:pPr>
      <w:r>
        <w:rPr>
          <w:rFonts w:hint="eastAsia" w:ascii="宋体" w:hAnsi="宋体" w:cs="宋体"/>
          <w:color w:val="000000"/>
          <w:sz w:val="21"/>
          <w:szCs w:val="21"/>
          <w:highlight w:val="none"/>
        </w:rPr>
        <w:t>电　 　 话：</w:t>
      </w:r>
      <w:r>
        <w:rPr>
          <w:rFonts w:hint="eastAsia" w:ascii="宋体" w:hAnsi="宋体" w:eastAsia="宋体" w:cs="宋体"/>
          <w:sz w:val="21"/>
          <w:szCs w:val="21"/>
          <w:highlight w:val="none"/>
          <w:lang w:eastAsia="zh-CN"/>
        </w:rPr>
        <w:t>0518-</w:t>
      </w:r>
      <w:r>
        <w:rPr>
          <w:rFonts w:hint="eastAsia" w:ascii="宋体" w:hAnsi="宋体" w:eastAsia="宋体" w:cs="宋体"/>
          <w:sz w:val="21"/>
          <w:szCs w:val="21"/>
          <w:highlight w:val="none"/>
          <w:lang w:val="en-US" w:eastAsia="zh-CN"/>
        </w:rPr>
        <w:t>82310369</w:t>
      </w:r>
      <w:r>
        <w:rPr>
          <w:rFonts w:hint="eastAsia" w:ascii="宋体" w:hAnsi="宋体" w:cs="宋体"/>
          <w:color w:val="000000"/>
          <w:sz w:val="21"/>
          <w:szCs w:val="21"/>
          <w:highlight w:val="none"/>
        </w:rPr>
        <w:t xml:space="preserve"> </w:t>
      </w:r>
    </w:p>
    <w:p w14:paraId="2ACB8504">
      <w:pPr>
        <w:keepNext w:val="0"/>
        <w:keepLines w:val="0"/>
        <w:pageBreakBefore w:val="0"/>
        <w:widowControl/>
        <w:kinsoku/>
        <w:wordWrap/>
        <w:overflowPunct/>
        <w:topLinePunct w:val="0"/>
        <w:autoSpaceDE/>
        <w:autoSpaceDN/>
        <w:bidi w:val="0"/>
        <w:adjustRightInd/>
        <w:snapToGrid/>
        <w:spacing w:line="450" w:lineRule="exact"/>
        <w:ind w:firstLine="480"/>
        <w:contextualSpacing/>
        <w:jc w:val="left"/>
        <w:textAlignment w:val="auto"/>
        <w:rPr>
          <w:rFonts w:hint="eastAsia" w:ascii="宋体" w:hAnsi="宋体" w:eastAsia="宋体" w:cs="宋体"/>
          <w:b/>
          <w:bCs/>
          <w:sz w:val="21"/>
          <w:szCs w:val="21"/>
          <w:highlight w:val="none"/>
          <w:lang w:eastAsia="zh-CN"/>
        </w:rPr>
      </w:pPr>
    </w:p>
    <w:p w14:paraId="0C4F718D">
      <w:pPr>
        <w:spacing w:line="360" w:lineRule="auto"/>
        <w:ind w:firstLine="422" w:firstLineChars="200"/>
        <w:jc w:val="both"/>
        <w:rPr>
          <w:rFonts w:ascii="宋体" w:hAnsi="宋体" w:cs="宋体"/>
          <w:b/>
          <w:bCs/>
          <w:color w:val="000000"/>
          <w:highlight w:val="none"/>
        </w:rPr>
      </w:pPr>
      <w:r>
        <w:rPr>
          <w:rFonts w:hint="eastAsia" w:ascii="宋体" w:hAnsi="宋体" w:cs="宋体"/>
          <w:b/>
          <w:bCs/>
          <w:color w:val="000000"/>
          <w:sz w:val="21"/>
          <w:szCs w:val="21"/>
          <w:highlight w:val="none"/>
        </w:rPr>
        <w:t>20</w:t>
      </w:r>
      <w:r>
        <w:rPr>
          <w:rFonts w:hint="eastAsia" w:ascii="宋体" w:hAnsi="宋体" w:cs="宋体"/>
          <w:b/>
          <w:bCs/>
          <w:color w:val="000000"/>
          <w:sz w:val="21"/>
          <w:szCs w:val="21"/>
          <w:highlight w:val="none"/>
          <w:lang w:val="en-US" w:eastAsia="zh-CN"/>
        </w:rPr>
        <w:t>26</w:t>
      </w:r>
      <w:r>
        <w:rPr>
          <w:rFonts w:hint="eastAsia" w:ascii="宋体" w:hAnsi="宋体" w:cs="宋体"/>
          <w:b/>
          <w:bCs/>
          <w:color w:val="000000"/>
          <w:sz w:val="21"/>
          <w:szCs w:val="21"/>
          <w:highlight w:val="none"/>
        </w:rPr>
        <w:t>年</w:t>
      </w:r>
      <w:r>
        <w:rPr>
          <w:rFonts w:hint="eastAsia" w:ascii="宋体" w:hAnsi="宋体" w:cs="宋体"/>
          <w:b/>
          <w:bCs/>
          <w:color w:val="000000"/>
          <w:sz w:val="21"/>
          <w:szCs w:val="21"/>
          <w:highlight w:val="none"/>
          <w:lang w:val="en-US" w:eastAsia="zh-CN"/>
        </w:rPr>
        <w:t>04</w:t>
      </w:r>
      <w:r>
        <w:rPr>
          <w:rFonts w:hint="eastAsia" w:ascii="宋体" w:hAnsi="宋体" w:cs="宋体"/>
          <w:b/>
          <w:bCs/>
          <w:color w:val="000000"/>
          <w:sz w:val="21"/>
          <w:szCs w:val="21"/>
          <w:highlight w:val="none"/>
        </w:rPr>
        <w:t>月</w:t>
      </w:r>
      <w:r>
        <w:rPr>
          <w:rFonts w:hint="eastAsia" w:ascii="宋体" w:hAnsi="宋体" w:cs="宋体"/>
          <w:b/>
          <w:bCs/>
          <w:color w:val="000000"/>
          <w:sz w:val="21"/>
          <w:szCs w:val="21"/>
          <w:highlight w:val="none"/>
          <w:lang w:val="en-US" w:eastAsia="zh-CN"/>
        </w:rPr>
        <w:t>14</w:t>
      </w:r>
      <w:r>
        <w:rPr>
          <w:rFonts w:hint="eastAsia" w:ascii="宋体" w:hAnsi="宋体" w:cs="宋体"/>
          <w:b/>
          <w:bCs/>
          <w:color w:val="000000"/>
          <w:sz w:val="21"/>
          <w:szCs w:val="21"/>
          <w:highlight w:val="none"/>
        </w:rPr>
        <w:t>日</w:t>
      </w:r>
    </w:p>
    <w:p w14:paraId="5193A30D">
      <w:pPr>
        <w:rPr>
          <w:rFonts w:hint="eastAsia"/>
          <w:highlight w:val="none"/>
          <w:lang w:val="en-US" w:eastAsia="zh-CN"/>
        </w:rPr>
        <w:sectPr>
          <w:footerReference r:id="rId6" w:type="default"/>
          <w:pgSz w:w="11906" w:h="16838"/>
          <w:pgMar w:top="1134" w:right="1134" w:bottom="1134" w:left="1134" w:header="851" w:footer="828" w:gutter="0"/>
          <w:pgNumType w:start="1"/>
          <w:cols w:space="720" w:num="1"/>
          <w:docGrid w:linePitch="312" w:charSpace="0"/>
        </w:sectPr>
      </w:pPr>
    </w:p>
    <w:p w14:paraId="389F73D7">
      <w:pPr>
        <w:spacing w:line="240" w:lineRule="exact"/>
        <w:rPr>
          <w:b/>
          <w:sz w:val="24"/>
          <w:szCs w:val="24"/>
        </w:rPr>
      </w:pPr>
    </w:p>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14:paraId="45480A51">
      <w:pPr>
        <w:pStyle w:val="2"/>
        <w:spacing w:line="40" w:lineRule="exact"/>
        <w:ind w:firstLine="3253" w:firstLineChars="900"/>
        <w:rPr>
          <w:rFonts w:ascii="Times New Roman" w:eastAsia="宋体"/>
          <w:b/>
          <w:sz w:val="36"/>
          <w:szCs w:val="36"/>
        </w:rPr>
      </w:pPr>
      <w:bookmarkStart w:id="87" w:name="_Toc14577347"/>
      <w:bookmarkStart w:id="88" w:name="_Toc513029209"/>
      <w:bookmarkStart w:id="89" w:name="_Toc61149549"/>
    </w:p>
    <w:p w14:paraId="153A1620">
      <w:pPr>
        <w:pStyle w:val="2"/>
        <w:numPr>
          <w:ilvl w:val="0"/>
          <w:numId w:val="1"/>
        </w:numPr>
        <w:spacing w:line="500" w:lineRule="exact"/>
        <w:ind w:firstLine="3253" w:firstLineChars="900"/>
        <w:rPr>
          <w:rFonts w:ascii="Times New Roman" w:eastAsia="宋体"/>
          <w:b/>
          <w:sz w:val="36"/>
          <w:szCs w:val="36"/>
        </w:rPr>
      </w:pPr>
      <w:bookmarkStart w:id="90" w:name="_Toc24892"/>
      <w:r>
        <w:rPr>
          <w:rFonts w:ascii="Times New Roman" w:eastAsia="宋体"/>
          <w:b/>
          <w:sz w:val="36"/>
          <w:szCs w:val="36"/>
        </w:rPr>
        <w:t>磋商须知</w:t>
      </w:r>
      <w:bookmarkEnd w:id="90"/>
    </w:p>
    <w:p w14:paraId="59F8AA51"/>
    <w:p w14:paraId="66C46F4D">
      <w:pPr>
        <w:pStyle w:val="33"/>
        <w:spacing w:before="0" w:beforeAutospacing="0" w:after="0" w:afterAutospacing="0" w:line="360" w:lineRule="auto"/>
        <w:ind w:firstLine="2310" w:firstLineChars="1100"/>
        <w:contextualSpacing/>
        <w:rPr>
          <w:rFonts w:ascii="Times New Roman" w:cs="Times New Roman"/>
          <w:sz w:val="21"/>
          <w:szCs w:val="21"/>
        </w:rPr>
      </w:pPr>
      <w:r>
        <w:rPr>
          <w:rFonts w:hint="eastAsia" w:ascii="Times New Roman" w:cs="Times New Roman"/>
          <w:sz w:val="21"/>
          <w:szCs w:val="21"/>
        </w:rPr>
        <w:t>（参加竞争性磋商的供应商以下简称“磋商供应商”）</w:t>
      </w:r>
    </w:p>
    <w:bookmarkEnd w:id="87"/>
    <w:bookmarkEnd w:id="88"/>
    <w:bookmarkEnd w:id="89"/>
    <w:p w14:paraId="779BE9E6">
      <w:pPr>
        <w:keepNext/>
        <w:keepLines/>
        <w:spacing w:before="120" w:after="120" w:line="360" w:lineRule="auto"/>
        <w:outlineLvl w:val="1"/>
        <w:rPr>
          <w:rFonts w:ascii="黑体" w:hAnsi="黑体" w:eastAsia="黑体" w:cs="宋体"/>
          <w:bCs/>
          <w:color w:val="auto"/>
          <w:szCs w:val="21"/>
          <w:highlight w:val="none"/>
        </w:rPr>
      </w:pPr>
      <w:bookmarkStart w:id="91" w:name="_Toc25775"/>
      <w:bookmarkStart w:id="92" w:name="_Toc12256"/>
      <w:bookmarkStart w:id="93" w:name="_Toc513029237"/>
      <w:bookmarkStart w:id="94" w:name="_Toc16938553"/>
      <w:bookmarkStart w:id="95" w:name="_Toc20823309"/>
      <w:r>
        <w:rPr>
          <w:rFonts w:hint="eastAsia" w:ascii="黑体" w:hAnsi="黑体" w:eastAsia="黑体" w:cs="宋体"/>
          <w:bCs/>
          <w:color w:val="auto"/>
          <w:szCs w:val="21"/>
          <w:highlight w:val="none"/>
        </w:rPr>
        <w:t>一、总则</w:t>
      </w:r>
      <w:bookmarkEnd w:id="91"/>
      <w:bookmarkEnd w:id="92"/>
    </w:p>
    <w:p w14:paraId="5EFDC8B2">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1、适用范围</w:t>
      </w:r>
    </w:p>
    <w:p w14:paraId="76A9F3CA">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1.1 本竞争性磋商文件（以下简称磋商文件）仅适用此项目。</w:t>
      </w:r>
    </w:p>
    <w:p w14:paraId="716C2115">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1.2 本项目采购采用电子化方式，采购文件、响应文件、开启、评审和成交结果发布全程电子化。</w:t>
      </w:r>
    </w:p>
    <w:p w14:paraId="1CFA89BE">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2、项目采购方式</w:t>
      </w:r>
    </w:p>
    <w:p w14:paraId="260744F2">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本次采购采取竞争性磋商的方式。</w:t>
      </w:r>
    </w:p>
    <w:p w14:paraId="0838AF7F">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3、合格的磋商供应商</w:t>
      </w:r>
    </w:p>
    <w:p w14:paraId="750A83A8">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3</w:t>
      </w:r>
      <w:r>
        <w:rPr>
          <w:rFonts w:hint="eastAsia" w:ascii="宋体" w:hAnsi="宋体" w:eastAsia="宋体" w:cs="Times New Roman"/>
          <w:color w:val="auto"/>
          <w:szCs w:val="21"/>
          <w:highlight w:val="none"/>
        </w:rPr>
        <w:t>.1满足磋商公告中供应商资格要求的规定。</w:t>
      </w:r>
    </w:p>
    <w:p w14:paraId="2259A23A">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3</w:t>
      </w:r>
      <w:r>
        <w:rPr>
          <w:rFonts w:hint="eastAsia" w:ascii="宋体" w:hAnsi="宋体" w:eastAsia="宋体" w:cs="Times New Roman"/>
          <w:color w:val="auto"/>
          <w:szCs w:val="21"/>
          <w:highlight w:val="none"/>
        </w:rPr>
        <w:t>.2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5385B6CD">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3</w:t>
      </w:r>
      <w:r>
        <w:rPr>
          <w:rFonts w:hint="eastAsia" w:ascii="宋体" w:hAnsi="宋体" w:eastAsia="宋体" w:cs="Times New Roman"/>
          <w:color w:val="auto"/>
          <w:szCs w:val="21"/>
          <w:highlight w:val="none"/>
        </w:rPr>
        <w:t>.3 满足本磋商文件实质性要求和条件的规定。</w:t>
      </w:r>
    </w:p>
    <w:p w14:paraId="055846E5">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3</w:t>
      </w:r>
      <w:r>
        <w:rPr>
          <w:rFonts w:hint="eastAsia" w:ascii="宋体" w:hAnsi="宋体" w:eastAsia="宋体" w:cs="Times New Roman"/>
          <w:color w:val="auto"/>
          <w:szCs w:val="21"/>
          <w:highlight w:val="none"/>
        </w:rPr>
        <w:t>.4 符合上述条件的供应商应承担投标及履约过程应承担的全部责任与义务。</w:t>
      </w:r>
    </w:p>
    <w:p w14:paraId="116342EA">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4、参加磋商费用</w:t>
      </w:r>
    </w:p>
    <w:p w14:paraId="560B9941">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4.1参加</w:t>
      </w:r>
      <w:r>
        <w:rPr>
          <w:rFonts w:hint="eastAsia" w:ascii="宋体" w:hAnsi="宋体" w:eastAsia="宋体" w:cs="Times New Roman"/>
          <w:color w:val="auto"/>
          <w:szCs w:val="21"/>
          <w:highlight w:val="none"/>
          <w:lang w:eastAsia="zh-CN"/>
        </w:rPr>
        <w:t>供应商</w:t>
      </w:r>
      <w:r>
        <w:rPr>
          <w:rFonts w:hint="eastAsia" w:ascii="宋体" w:hAnsi="宋体" w:eastAsia="宋体" w:cs="Times New Roman"/>
          <w:color w:val="auto"/>
          <w:szCs w:val="21"/>
          <w:highlight w:val="none"/>
        </w:rPr>
        <w:t>应自行承担所有与参加磋商有关的费用。不论最终的成交结果如何，</w:t>
      </w:r>
      <w:r>
        <w:rPr>
          <w:rFonts w:hint="eastAsia" w:ascii="宋体" w:hAnsi="宋体" w:cs="Times New Roman"/>
          <w:color w:val="auto"/>
          <w:szCs w:val="21"/>
          <w:highlight w:val="none"/>
          <w:lang w:val="en-US" w:eastAsia="zh-CN"/>
        </w:rPr>
        <w:t>采购人及代理机构</w:t>
      </w:r>
      <w:r>
        <w:rPr>
          <w:rFonts w:hint="eastAsia" w:ascii="宋体" w:hAnsi="宋体" w:eastAsia="宋体" w:cs="Times New Roman"/>
          <w:color w:val="auto"/>
          <w:szCs w:val="21"/>
          <w:highlight w:val="none"/>
        </w:rPr>
        <w:t>在任何情况下均无义务和责任承担这些费用。</w:t>
      </w:r>
    </w:p>
    <w:p w14:paraId="06B7BE2A">
      <w:pPr>
        <w:pStyle w:val="33"/>
        <w:spacing w:before="0" w:beforeAutospacing="0" w:after="0" w:afterAutospacing="0" w:line="360" w:lineRule="auto"/>
        <w:ind w:firstLine="422" w:firstLineChars="200"/>
        <w:contextualSpacing/>
        <w:rPr>
          <w:rFonts w:hint="eastAsia" w:ascii="Times New Roman" w:hAnsi="Times New Roman" w:eastAsia="宋体" w:cs="Times New Roman"/>
          <w:b/>
          <w:bCs/>
          <w:sz w:val="21"/>
          <w:szCs w:val="21"/>
          <w:highlight w:val="none"/>
        </w:rPr>
      </w:pPr>
      <w:r>
        <w:rPr>
          <w:rFonts w:hint="eastAsia" w:ascii="Times New Roman" w:hAnsi="Times New Roman" w:eastAsia="宋体" w:cs="Times New Roman"/>
          <w:b/>
          <w:bCs/>
          <w:sz w:val="21"/>
          <w:szCs w:val="21"/>
          <w:highlight w:val="none"/>
        </w:rPr>
        <w:t>4.2此次磋商招标代理费按计价格[20</w:t>
      </w:r>
      <w:r>
        <w:rPr>
          <w:rFonts w:hint="eastAsia" w:ascii="Times New Roman" w:hAnsi="Times New Roman" w:eastAsia="宋体" w:cs="Times New Roman"/>
          <w:b/>
          <w:bCs/>
          <w:sz w:val="21"/>
          <w:szCs w:val="21"/>
          <w:highlight w:val="none"/>
          <w:lang w:val="en-US" w:eastAsia="zh-CN"/>
        </w:rPr>
        <w:t>22</w:t>
      </w:r>
      <w:r>
        <w:rPr>
          <w:rFonts w:hint="eastAsia" w:ascii="Times New Roman" w:hAnsi="Times New Roman" w:eastAsia="宋体" w:cs="Times New Roman"/>
          <w:b/>
          <w:bCs/>
          <w:sz w:val="21"/>
          <w:szCs w:val="21"/>
          <w:highlight w:val="none"/>
        </w:rPr>
        <w:t>]</w:t>
      </w:r>
      <w:r>
        <w:rPr>
          <w:rFonts w:hint="eastAsia" w:ascii="Times New Roman" w:hAnsi="Times New Roman" w:eastAsia="宋体" w:cs="Times New Roman"/>
          <w:b/>
          <w:bCs/>
          <w:sz w:val="21"/>
          <w:szCs w:val="21"/>
          <w:highlight w:val="none"/>
          <w:lang w:val="en-US" w:eastAsia="zh-CN"/>
        </w:rPr>
        <w:t>002</w:t>
      </w:r>
      <w:r>
        <w:rPr>
          <w:rFonts w:hint="eastAsia" w:ascii="Times New Roman" w:hAnsi="Times New Roman" w:eastAsia="宋体" w:cs="Times New Roman"/>
          <w:b/>
          <w:bCs/>
          <w:sz w:val="21"/>
          <w:szCs w:val="21"/>
          <w:highlight w:val="none"/>
        </w:rPr>
        <w:t>号文</w:t>
      </w:r>
      <w:r>
        <w:rPr>
          <w:rFonts w:hint="eastAsia" w:ascii="Times New Roman" w:hAnsi="Times New Roman" w:eastAsia="宋体" w:cs="Times New Roman"/>
          <w:b/>
          <w:bCs/>
          <w:sz w:val="21"/>
          <w:szCs w:val="21"/>
          <w:highlight w:val="none"/>
          <w:lang w:eastAsia="zh-CN"/>
        </w:rPr>
        <w:t>的规定</w:t>
      </w:r>
      <w:r>
        <w:rPr>
          <w:rFonts w:hint="eastAsia" w:ascii="Times New Roman" w:cs="Times New Roman"/>
          <w:b/>
          <w:bCs/>
          <w:sz w:val="21"/>
          <w:szCs w:val="21"/>
          <w:highlight w:val="none"/>
          <w:lang w:val="en-US" w:eastAsia="zh-CN"/>
        </w:rPr>
        <w:t>50</w:t>
      </w:r>
      <w:r>
        <w:rPr>
          <w:rFonts w:hint="eastAsia" w:ascii="Times New Roman" w:hAnsi="Times New Roman" w:eastAsia="宋体" w:cs="Times New Roman"/>
          <w:b/>
          <w:bCs/>
          <w:sz w:val="21"/>
          <w:szCs w:val="21"/>
          <w:highlight w:val="none"/>
          <w:lang w:val="en-US" w:eastAsia="zh-CN"/>
        </w:rPr>
        <w:t>%</w:t>
      </w:r>
      <w:r>
        <w:rPr>
          <w:rFonts w:hint="eastAsia" w:ascii="Times New Roman" w:hAnsi="Times New Roman" w:eastAsia="宋体" w:cs="Times New Roman"/>
          <w:b/>
          <w:bCs/>
          <w:sz w:val="21"/>
          <w:szCs w:val="21"/>
          <w:highlight w:val="none"/>
        </w:rPr>
        <w:t>计取</w:t>
      </w:r>
      <w:r>
        <w:rPr>
          <w:rFonts w:hint="eastAsia" w:ascii="Times New Roman" w:hAnsi="Times New Roman" w:eastAsia="宋体" w:cs="Times New Roman"/>
          <w:b/>
          <w:bCs/>
          <w:sz w:val="21"/>
          <w:szCs w:val="21"/>
          <w:highlight w:val="none"/>
          <w:lang w:val="en-US" w:eastAsia="zh-CN"/>
        </w:rPr>
        <w:t>、</w:t>
      </w:r>
      <w:r>
        <w:rPr>
          <w:rFonts w:hint="eastAsia" w:ascii="Times New Roman" w:hAnsi="Times New Roman" w:eastAsia="宋体" w:cs="Times New Roman"/>
          <w:b/>
          <w:bCs/>
          <w:sz w:val="21"/>
          <w:szCs w:val="21"/>
          <w:highlight w:val="none"/>
        </w:rPr>
        <w:t>工程量清单</w:t>
      </w:r>
      <w:r>
        <w:rPr>
          <w:rFonts w:hint="eastAsia" w:ascii="Times New Roman" w:hAnsi="Times New Roman" w:cs="Times New Roman"/>
          <w:b/>
          <w:bCs/>
          <w:sz w:val="21"/>
          <w:szCs w:val="21"/>
          <w:highlight w:val="none"/>
          <w:lang w:val="en-US" w:eastAsia="zh-CN"/>
        </w:rPr>
        <w:t>及控制价</w:t>
      </w:r>
      <w:r>
        <w:rPr>
          <w:rFonts w:hint="eastAsia" w:ascii="Times New Roman" w:hAnsi="Times New Roman" w:eastAsia="宋体" w:cs="Times New Roman"/>
          <w:b/>
          <w:bCs/>
          <w:sz w:val="21"/>
          <w:szCs w:val="21"/>
          <w:highlight w:val="none"/>
        </w:rPr>
        <w:t>编制费按苏价服[20</w:t>
      </w:r>
      <w:r>
        <w:rPr>
          <w:rFonts w:hint="eastAsia" w:ascii="Times New Roman" w:hAnsi="Times New Roman" w:eastAsia="宋体" w:cs="Times New Roman"/>
          <w:b/>
          <w:bCs/>
          <w:sz w:val="21"/>
          <w:szCs w:val="21"/>
          <w:highlight w:val="none"/>
          <w:lang w:val="en-US" w:eastAsia="zh-CN"/>
        </w:rPr>
        <w:t>22</w:t>
      </w:r>
      <w:r>
        <w:rPr>
          <w:rFonts w:hint="eastAsia" w:ascii="Times New Roman" w:hAnsi="Times New Roman" w:eastAsia="宋体" w:cs="Times New Roman"/>
          <w:b/>
          <w:bCs/>
          <w:sz w:val="21"/>
          <w:szCs w:val="21"/>
          <w:highlight w:val="none"/>
        </w:rPr>
        <w:t>]</w:t>
      </w:r>
      <w:r>
        <w:rPr>
          <w:rFonts w:hint="eastAsia" w:ascii="Times New Roman" w:hAnsi="Times New Roman" w:eastAsia="宋体" w:cs="Times New Roman"/>
          <w:b/>
          <w:bCs/>
          <w:sz w:val="21"/>
          <w:szCs w:val="21"/>
          <w:highlight w:val="none"/>
          <w:lang w:val="en-US" w:eastAsia="zh-CN"/>
        </w:rPr>
        <w:t>7</w:t>
      </w:r>
      <w:r>
        <w:rPr>
          <w:rFonts w:hint="eastAsia" w:ascii="Times New Roman" w:hAnsi="Times New Roman" w:eastAsia="宋体" w:cs="Times New Roman"/>
          <w:b/>
          <w:bCs/>
          <w:sz w:val="21"/>
          <w:szCs w:val="21"/>
          <w:highlight w:val="none"/>
        </w:rPr>
        <w:t>号的规定</w:t>
      </w:r>
      <w:r>
        <w:rPr>
          <w:rFonts w:hint="eastAsia" w:ascii="Times New Roman" w:cs="Times New Roman"/>
          <w:b/>
          <w:bCs/>
          <w:sz w:val="21"/>
          <w:szCs w:val="21"/>
          <w:highlight w:val="none"/>
          <w:lang w:val="en-US" w:eastAsia="zh-CN"/>
        </w:rPr>
        <w:t>50</w:t>
      </w:r>
      <w:r>
        <w:rPr>
          <w:rFonts w:hint="eastAsia" w:ascii="Times New Roman" w:hAnsi="Times New Roman" w:eastAsia="宋体" w:cs="Times New Roman"/>
          <w:b/>
          <w:bCs/>
          <w:sz w:val="21"/>
          <w:szCs w:val="21"/>
          <w:highlight w:val="none"/>
          <w:lang w:val="en-US" w:eastAsia="zh-CN"/>
        </w:rPr>
        <w:t>%</w:t>
      </w:r>
      <w:r>
        <w:rPr>
          <w:rFonts w:hint="eastAsia" w:ascii="Times New Roman" w:hAnsi="Times New Roman" w:eastAsia="宋体" w:cs="Times New Roman"/>
          <w:b/>
          <w:bCs/>
          <w:sz w:val="21"/>
          <w:szCs w:val="21"/>
          <w:highlight w:val="none"/>
        </w:rPr>
        <w:t>计取，以上费用均由</w:t>
      </w:r>
      <w:r>
        <w:rPr>
          <w:rFonts w:hint="eastAsia" w:ascii="Times New Roman" w:hAnsi="Times New Roman" w:eastAsia="宋体" w:cs="Times New Roman"/>
          <w:b/>
          <w:bCs/>
          <w:sz w:val="21"/>
          <w:szCs w:val="21"/>
          <w:highlight w:val="none"/>
          <w:lang w:eastAsia="zh-CN"/>
        </w:rPr>
        <w:t>成交供应商领取</w:t>
      </w:r>
      <w:r>
        <w:rPr>
          <w:rFonts w:hint="eastAsia" w:ascii="Times New Roman" w:hAnsi="Times New Roman" w:eastAsia="宋体" w:cs="Times New Roman"/>
          <w:b/>
          <w:bCs/>
          <w:sz w:val="21"/>
          <w:szCs w:val="21"/>
          <w:highlight w:val="none"/>
        </w:rPr>
        <w:t>中标通知书时一次</w:t>
      </w:r>
      <w:r>
        <w:rPr>
          <w:rFonts w:hint="eastAsia" w:ascii="Times New Roman" w:hAnsi="Times New Roman" w:eastAsia="宋体" w:cs="Times New Roman"/>
          <w:b/>
          <w:bCs/>
          <w:sz w:val="21"/>
          <w:szCs w:val="21"/>
          <w:highlight w:val="none"/>
          <w:lang w:eastAsia="zh-CN"/>
        </w:rPr>
        <w:t>性</w:t>
      </w:r>
      <w:r>
        <w:rPr>
          <w:rFonts w:hint="eastAsia" w:ascii="Times New Roman" w:hAnsi="Times New Roman" w:eastAsia="宋体" w:cs="Times New Roman"/>
          <w:b/>
          <w:bCs/>
          <w:sz w:val="21"/>
          <w:szCs w:val="21"/>
          <w:highlight w:val="none"/>
        </w:rPr>
        <w:t>支付</w:t>
      </w:r>
      <w:r>
        <w:rPr>
          <w:rFonts w:hint="eastAsia" w:ascii="Times New Roman" w:hAnsi="Times New Roman" w:eastAsia="宋体" w:cs="Times New Roman"/>
          <w:b/>
          <w:bCs/>
          <w:sz w:val="21"/>
          <w:szCs w:val="21"/>
          <w:highlight w:val="none"/>
          <w:lang w:val="en-US" w:eastAsia="zh-CN"/>
        </w:rPr>
        <w:t>。</w:t>
      </w:r>
      <w:r>
        <w:rPr>
          <w:rFonts w:hint="eastAsia" w:ascii="Times New Roman" w:cs="Times New Roman"/>
          <w:b/>
          <w:bCs/>
          <w:sz w:val="21"/>
          <w:szCs w:val="21"/>
          <w:highlight w:val="none"/>
          <w:lang w:eastAsia="zh-CN"/>
        </w:rPr>
        <w:t>供应商</w:t>
      </w:r>
      <w:r>
        <w:rPr>
          <w:rFonts w:hint="eastAsia" w:ascii="Times New Roman" w:hAnsi="Times New Roman" w:eastAsia="宋体" w:cs="Times New Roman"/>
          <w:b/>
          <w:bCs/>
          <w:sz w:val="21"/>
          <w:szCs w:val="21"/>
          <w:highlight w:val="none"/>
        </w:rPr>
        <w:t>须将此部分费用综合考虑在</w:t>
      </w:r>
      <w:r>
        <w:rPr>
          <w:rFonts w:hint="eastAsia" w:ascii="Times New Roman" w:cs="Times New Roman"/>
          <w:b/>
          <w:bCs/>
          <w:sz w:val="21"/>
          <w:szCs w:val="21"/>
          <w:highlight w:val="none"/>
          <w:lang w:eastAsia="zh-CN"/>
        </w:rPr>
        <w:t>响应</w:t>
      </w:r>
      <w:r>
        <w:rPr>
          <w:rFonts w:hint="eastAsia" w:ascii="Times New Roman" w:hAnsi="Times New Roman" w:eastAsia="宋体" w:cs="Times New Roman"/>
          <w:b/>
          <w:bCs/>
          <w:sz w:val="21"/>
          <w:szCs w:val="21"/>
          <w:highlight w:val="none"/>
        </w:rPr>
        <w:t>报价中，不单列。</w:t>
      </w:r>
    </w:p>
    <w:p w14:paraId="3C487487">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5、磋商文件的约束力</w:t>
      </w:r>
    </w:p>
    <w:p w14:paraId="1B2E6476">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供应商一旦依法获取了本磋商文件并决定参加磋商，即被认为接受了本磋商文件的规定和约束，并且视为已经知道或应当知道自身权益是否受到了损害。</w:t>
      </w:r>
    </w:p>
    <w:p w14:paraId="62F6A1B8">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6、</w:t>
      </w:r>
      <w:bookmarkStart w:id="96" w:name="_Toc16938527"/>
      <w:bookmarkStart w:id="97" w:name="_Toc20823283"/>
      <w:bookmarkStart w:id="98" w:name="_Toc513029211"/>
      <w:bookmarkStart w:id="99" w:name="_Toc462564070"/>
      <w:r>
        <w:rPr>
          <w:rFonts w:hint="eastAsia" w:ascii="宋体" w:hAnsi="宋体"/>
          <w:color w:val="auto"/>
          <w:szCs w:val="21"/>
          <w:highlight w:val="none"/>
        </w:rPr>
        <w:t>磋商文件的</w:t>
      </w:r>
      <w:bookmarkEnd w:id="96"/>
      <w:bookmarkEnd w:id="97"/>
      <w:bookmarkEnd w:id="98"/>
      <w:bookmarkEnd w:id="99"/>
      <w:r>
        <w:rPr>
          <w:rFonts w:hint="eastAsia" w:ascii="宋体" w:hAnsi="宋体"/>
          <w:color w:val="auto"/>
          <w:szCs w:val="21"/>
          <w:highlight w:val="none"/>
        </w:rPr>
        <w:t>询问及修改</w:t>
      </w:r>
    </w:p>
    <w:p w14:paraId="4E6255EB">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6.1 任何要求对磋商文件进行询问的供应商，均应在提交首次响应文件截止时间五日前按“竞争性磋商采购邀请”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w:t>
      </w:r>
      <w:r>
        <w:rPr>
          <w:rFonts w:hint="eastAsia" w:ascii="宋体" w:hAnsi="宋体"/>
          <w:color w:val="auto"/>
          <w:szCs w:val="21"/>
          <w:highlight w:val="none"/>
          <w:lang w:eastAsia="zh-CN"/>
        </w:rPr>
        <w:t>江苏省政府采购管理交易系统(苏采云)</w:t>
      </w:r>
      <w:r>
        <w:rPr>
          <w:rFonts w:hint="eastAsia" w:ascii="宋体" w:hAnsi="宋体"/>
          <w:color w:val="auto"/>
          <w:szCs w:val="21"/>
          <w:highlight w:val="none"/>
        </w:rPr>
        <w:t>上发布公告形式通知所有获取磋商文件的供应商。不足五日的，代理机构应当顺延提交首次响应文件截止时间。</w:t>
      </w:r>
    </w:p>
    <w:p w14:paraId="695B5FDB">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6.2 代理机构或采购人可以视采购项目的具体情况，组织供应商进行现场考察或召开磋商前答疑会，但不单独或分别组织只有一个供应商参加的现场考察或答疑会。</w:t>
      </w:r>
    </w:p>
    <w:p w14:paraId="580FC5DD">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7、磋商文件的解释</w:t>
      </w:r>
    </w:p>
    <w:p w14:paraId="18264F44">
      <w:pPr>
        <w:spacing w:line="360" w:lineRule="auto"/>
        <w:ind w:firstLine="420"/>
        <w:jc w:val="left"/>
        <w:rPr>
          <w:rFonts w:ascii="宋体" w:hAnsi="宋体"/>
          <w:bCs/>
          <w:color w:val="auto"/>
          <w:szCs w:val="21"/>
          <w:highlight w:val="none"/>
        </w:rPr>
      </w:pPr>
      <w:r>
        <w:rPr>
          <w:rFonts w:hint="eastAsia" w:ascii="宋体" w:hAnsi="宋体"/>
          <w:bCs/>
          <w:color w:val="auto"/>
          <w:szCs w:val="21"/>
          <w:highlight w:val="none"/>
        </w:rPr>
        <w:t>7.1 本磋商文件由代理机构负责解释。</w:t>
      </w:r>
    </w:p>
    <w:p w14:paraId="0D4FFABC">
      <w:pPr>
        <w:keepNext/>
        <w:keepLines/>
        <w:spacing w:before="120" w:after="120" w:line="360" w:lineRule="auto"/>
        <w:outlineLvl w:val="1"/>
        <w:rPr>
          <w:rFonts w:ascii="黑体" w:hAnsi="黑体" w:eastAsia="黑体" w:cs="宋体"/>
          <w:bCs/>
          <w:color w:val="auto"/>
          <w:szCs w:val="21"/>
          <w:highlight w:val="none"/>
        </w:rPr>
      </w:pPr>
      <w:bookmarkStart w:id="100" w:name="_Hlt26670345"/>
      <w:bookmarkEnd w:id="100"/>
      <w:bookmarkStart w:id="101" w:name="_Hlt26668969"/>
      <w:bookmarkEnd w:id="101"/>
      <w:bookmarkStart w:id="102" w:name="_Hlt26954830"/>
      <w:bookmarkEnd w:id="102"/>
      <w:bookmarkStart w:id="103" w:name="_Hlt26670354"/>
      <w:bookmarkEnd w:id="103"/>
      <w:bookmarkStart w:id="104" w:name="_Hlt26954832"/>
      <w:bookmarkEnd w:id="104"/>
      <w:bookmarkStart w:id="105" w:name="_Hlt26954828"/>
      <w:bookmarkEnd w:id="105"/>
      <w:bookmarkStart w:id="106" w:name="_Hlt26670348"/>
      <w:bookmarkEnd w:id="106"/>
      <w:bookmarkStart w:id="107" w:name="_Toc14577351"/>
      <w:bookmarkStart w:id="108" w:name="_Toc462564072"/>
      <w:bookmarkStart w:id="109" w:name="_Toc61149553"/>
      <w:bookmarkStart w:id="110" w:name="_Toc513029213"/>
      <w:bookmarkStart w:id="111" w:name="_Toc11837"/>
      <w:bookmarkStart w:id="112" w:name="_Toc253"/>
      <w:r>
        <w:rPr>
          <w:rFonts w:hint="eastAsia" w:ascii="黑体" w:hAnsi="黑体" w:eastAsia="黑体" w:cs="宋体"/>
          <w:bCs/>
          <w:color w:val="auto"/>
          <w:szCs w:val="21"/>
          <w:highlight w:val="none"/>
        </w:rPr>
        <w:t>二、磋商响应文件的编制</w:t>
      </w:r>
      <w:bookmarkEnd w:id="107"/>
      <w:bookmarkEnd w:id="108"/>
      <w:bookmarkEnd w:id="109"/>
      <w:bookmarkEnd w:id="110"/>
      <w:r>
        <w:rPr>
          <w:rFonts w:hint="eastAsia" w:ascii="黑体" w:hAnsi="黑体" w:eastAsia="黑体" w:cs="宋体"/>
          <w:bCs/>
          <w:color w:val="auto"/>
          <w:szCs w:val="21"/>
          <w:highlight w:val="none"/>
        </w:rPr>
        <w:t>及保证金收取</w:t>
      </w:r>
      <w:bookmarkEnd w:id="111"/>
      <w:bookmarkEnd w:id="112"/>
    </w:p>
    <w:p w14:paraId="3259F7F6">
      <w:pPr>
        <w:tabs>
          <w:tab w:val="left" w:pos="900"/>
        </w:tabs>
        <w:spacing w:line="360" w:lineRule="auto"/>
        <w:ind w:firstLine="420"/>
        <w:jc w:val="left"/>
        <w:rPr>
          <w:rFonts w:ascii="宋体" w:hAnsi="宋体"/>
          <w:color w:val="auto"/>
          <w:szCs w:val="21"/>
          <w:highlight w:val="none"/>
        </w:rPr>
      </w:pPr>
      <w:bookmarkStart w:id="113" w:name="_Hlt26954834"/>
      <w:bookmarkEnd w:id="113"/>
      <w:bookmarkStart w:id="114" w:name="_Toc61149555"/>
      <w:bookmarkStart w:id="115" w:name="_Toc14577353"/>
      <w:bookmarkStart w:id="116" w:name="_Toc513029215"/>
      <w:bookmarkStart w:id="117" w:name="_Toc462564074"/>
      <w:bookmarkStart w:id="118" w:name="_Toc513029214"/>
      <w:bookmarkStart w:id="119" w:name="_Toc61149554"/>
      <w:bookmarkStart w:id="120" w:name="_Toc462564073"/>
      <w:bookmarkStart w:id="121" w:name="_Toc14577352"/>
      <w:r>
        <w:rPr>
          <w:rFonts w:hint="eastAsia" w:ascii="宋体" w:hAnsi="宋体"/>
          <w:color w:val="auto"/>
          <w:szCs w:val="21"/>
          <w:highlight w:val="none"/>
        </w:rPr>
        <w:t>1、响应文件</w:t>
      </w:r>
      <w:bookmarkEnd w:id="114"/>
      <w:bookmarkEnd w:id="115"/>
      <w:bookmarkEnd w:id="116"/>
      <w:bookmarkEnd w:id="117"/>
      <w:r>
        <w:rPr>
          <w:rFonts w:hint="eastAsia" w:ascii="宋体" w:hAnsi="宋体"/>
          <w:color w:val="auto"/>
          <w:szCs w:val="21"/>
          <w:highlight w:val="none"/>
        </w:rPr>
        <w:t>编制要求</w:t>
      </w:r>
      <w:bookmarkEnd w:id="118"/>
      <w:bookmarkEnd w:id="119"/>
      <w:bookmarkEnd w:id="120"/>
      <w:bookmarkEnd w:id="121"/>
    </w:p>
    <w:p w14:paraId="356C34F9">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1.1 磋商供应商提交的响应文件以及磋商供应商与代理机构及采购人就有关磋商的所有来往函电均应使用简体中文。磋商文件中既有中文也有外文的，以中文意义为准。</w:t>
      </w:r>
    </w:p>
    <w:p w14:paraId="4D483A8D">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1.2 除技术性能另有规定外，响应文件所使用的度量衡单位，均须采用国家法定计量单位。</w:t>
      </w:r>
    </w:p>
    <w:p w14:paraId="471E01BA">
      <w:pPr>
        <w:tabs>
          <w:tab w:val="left" w:pos="900"/>
        </w:tabs>
        <w:spacing w:line="360" w:lineRule="auto"/>
        <w:ind w:firstLine="420"/>
        <w:jc w:val="left"/>
        <w:rPr>
          <w:rFonts w:ascii="宋体" w:hAnsi="宋体"/>
          <w:color w:val="auto"/>
          <w:szCs w:val="21"/>
          <w:highlight w:val="none"/>
        </w:rPr>
      </w:pPr>
      <w:bookmarkStart w:id="122" w:name="_Hlt26954836"/>
      <w:bookmarkEnd w:id="122"/>
      <w:bookmarkStart w:id="123" w:name="_Hlt26670357"/>
      <w:bookmarkEnd w:id="123"/>
      <w:bookmarkStart w:id="124" w:name="_Toc513029219"/>
      <w:bookmarkStart w:id="125" w:name="_Toc14577357"/>
      <w:bookmarkStart w:id="126" w:name="_Toc61149558"/>
      <w:bookmarkStart w:id="127" w:name="_Toc14577355"/>
      <w:bookmarkStart w:id="128" w:name="_Toc513029217"/>
      <w:bookmarkStart w:id="129" w:name="_Toc61149557"/>
      <w:r>
        <w:rPr>
          <w:rFonts w:hint="eastAsia" w:ascii="宋体" w:hAnsi="宋体"/>
          <w:color w:val="auto"/>
          <w:szCs w:val="21"/>
          <w:highlight w:val="none"/>
        </w:rPr>
        <w:t>2、参加磋商供应商资格的文件</w:t>
      </w:r>
      <w:bookmarkEnd w:id="124"/>
      <w:bookmarkEnd w:id="125"/>
      <w:bookmarkEnd w:id="126"/>
      <w:r>
        <w:rPr>
          <w:rFonts w:hint="eastAsia" w:ascii="宋体" w:hAnsi="宋体"/>
          <w:color w:val="auto"/>
          <w:szCs w:val="21"/>
          <w:highlight w:val="none"/>
        </w:rPr>
        <w:t>证明</w:t>
      </w:r>
    </w:p>
    <w:p w14:paraId="57AAE5E7">
      <w:pPr>
        <w:tabs>
          <w:tab w:val="left" w:pos="900"/>
        </w:tabs>
        <w:spacing w:line="360" w:lineRule="auto"/>
        <w:ind w:firstLine="420"/>
        <w:jc w:val="left"/>
        <w:rPr>
          <w:rFonts w:ascii="宋体" w:hAnsi="宋体"/>
          <w:color w:val="auto"/>
          <w:szCs w:val="21"/>
          <w:highlight w:val="none"/>
        </w:rPr>
      </w:pPr>
      <w:bookmarkStart w:id="130" w:name="_Hlt26668999"/>
      <w:bookmarkEnd w:id="130"/>
      <w:r>
        <w:rPr>
          <w:rFonts w:hint="eastAsia" w:ascii="宋体" w:hAnsi="宋体"/>
          <w:color w:val="auto"/>
          <w:szCs w:val="21"/>
          <w:highlight w:val="none"/>
        </w:rPr>
        <w:t>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7E880965">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2.2 磋商供应商除必须具有履行合同所需提供的设备以及服务的能力外，还必须具备相应的财务、技术方面的能力。</w:t>
      </w:r>
    </w:p>
    <w:p w14:paraId="7979611F">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2.3 磋商供应商委托代理时还应提交法定代表人授权委托书，请按第六章“竞争性磋商响应文件格式”填写并附法定代表人与委托代理人身份证明电子件。</w:t>
      </w:r>
    </w:p>
    <w:p w14:paraId="6EB75C72">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3、</w:t>
      </w:r>
      <w:bookmarkEnd w:id="127"/>
      <w:bookmarkEnd w:id="128"/>
      <w:bookmarkEnd w:id="129"/>
      <w:r>
        <w:rPr>
          <w:rFonts w:hint="eastAsia" w:ascii="宋体" w:hAnsi="宋体"/>
          <w:color w:val="auto"/>
          <w:szCs w:val="21"/>
          <w:highlight w:val="none"/>
        </w:rPr>
        <w:t>磋商报价</w:t>
      </w:r>
    </w:p>
    <w:p w14:paraId="111FFFA3">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1. 磋商报价</w:t>
      </w:r>
    </w:p>
    <w:p w14:paraId="31421BB5">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1.1 磋商报价应是磋商文件所确定的采购范围内的全部工作内容的价格体现。其应包括施工设备、劳务、管理、材料、安装、维护、利润、税金及政策性文件规定的各项应有费用等。</w:t>
      </w:r>
    </w:p>
    <w:p w14:paraId="6F366FC1">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1.2 磋商报价方式：本工程采用下列第(2)种方式。</w:t>
      </w:r>
    </w:p>
    <w:p w14:paraId="7D25CF0E">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(1) 磋商报价应是磋商文件（包括施工图纸）所确定的采购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p>
    <w:p w14:paraId="244E5132">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2</w:t>
      </w:r>
      <w:r>
        <w:rPr>
          <w:rFonts w:hint="eastAsia" w:ascii="宋体" w:hAnsi="宋体"/>
          <w:color w:val="auto"/>
          <w:szCs w:val="21"/>
          <w:highlight w:val="none"/>
          <w:lang w:eastAsia="zh-CN"/>
        </w:rPr>
        <w:t>）</w:t>
      </w:r>
      <w:r>
        <w:rPr>
          <w:rFonts w:hint="eastAsia" w:ascii="宋体" w:hAnsi="宋体"/>
          <w:color w:val="auto"/>
          <w:szCs w:val="21"/>
          <w:highlight w:val="none"/>
        </w:rPr>
        <w:t>固定单价报价：供应商应充分考虑施工期间各类建材的市场风险和政策性调整确定风险系数计入总报价，今后不作调整。设计变更和采购人要求变动的内容除外。结算方式在合同专用条款中明确。</w:t>
      </w:r>
    </w:p>
    <w:p w14:paraId="1B6D6CE4">
      <w:pPr>
        <w:tabs>
          <w:tab w:val="left" w:pos="900"/>
        </w:tabs>
        <w:spacing w:line="360" w:lineRule="auto"/>
        <w:ind w:firstLine="420"/>
        <w:jc w:val="left"/>
        <w:rPr>
          <w:rFonts w:hint="eastAsia" w:ascii="宋体" w:hAnsi="宋体"/>
          <w:b/>
          <w:bCs/>
          <w:color w:val="auto"/>
          <w:szCs w:val="21"/>
          <w:highlight w:val="none"/>
        </w:rPr>
      </w:pPr>
      <w:r>
        <w:rPr>
          <w:rFonts w:hint="eastAsia" w:ascii="宋体" w:hAnsi="宋体"/>
          <w:b/>
          <w:bCs/>
          <w:color w:val="auto"/>
          <w:szCs w:val="21"/>
          <w:highlight w:val="none"/>
        </w:rPr>
        <w:t>本次采购采用竞争性磋商，因第二轮报价只报总价，结算时，以成交供应商提交的综合单价同比下浮【下浮率=（1-第二轮报价/第一轮报价）*100%】。</w:t>
      </w:r>
    </w:p>
    <w:p w14:paraId="56168B89">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1.3 磋商报价的计价方法</w:t>
      </w:r>
    </w:p>
    <w:p w14:paraId="45398307">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(1)本工程项目采用</w:t>
      </w:r>
      <w:r>
        <w:rPr>
          <w:rFonts w:hint="eastAsia" w:ascii="宋体" w:hAnsi="宋体"/>
          <w:color w:val="auto"/>
          <w:szCs w:val="21"/>
          <w:highlight w:val="none"/>
          <w:u w:val="single"/>
        </w:rPr>
        <w:t xml:space="preserve"> 工程量清单 </w:t>
      </w:r>
      <w:r>
        <w:rPr>
          <w:rFonts w:hint="eastAsia" w:ascii="宋体" w:hAnsi="宋体"/>
          <w:color w:val="auto"/>
          <w:szCs w:val="21"/>
          <w:highlight w:val="none"/>
        </w:rPr>
        <w:t>计价方法。供应商应根据采购人提供的工程量清单计算单价、合价以及各种政策性费用。</w:t>
      </w:r>
    </w:p>
    <w:p w14:paraId="3D7ECF9C">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(2)除非合同中另有规定，磋商供应商在报价中所报的单价和合价，以及磋商报价汇总表中的价格均包括完成该工程项目的成本、利润、税金、开办费、技术措施费、大型机械进退场费、风险费、政策性文件规定费用等所有费用。</w:t>
      </w:r>
    </w:p>
    <w:p w14:paraId="131C4238">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(3)施工用水电差价进报价，采购人不再另行支付。</w:t>
      </w:r>
    </w:p>
    <w:p w14:paraId="1B2A4E81">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(4)本项目采用营改增后的一般计税方法计算报价。</w:t>
      </w:r>
    </w:p>
    <w:p w14:paraId="3F8F1A2E">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1.4 可选用的工程预算、费用定额和政策性文件</w:t>
      </w:r>
    </w:p>
    <w:p w14:paraId="3DD9F126">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(1)用于磋商报价可参考的依据为：《建设工程工程量清单计价规范》、《江苏省建设工程费用定额》、《江苏省市政工程计价定额》、近期的《建设工程材料信息价》。</w:t>
      </w:r>
    </w:p>
    <w:p w14:paraId="1DC101F0">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(2)政策性文件按照现行江苏省建设厅、连云港市建设局颁发的相关文件规定执行。</w:t>
      </w:r>
    </w:p>
    <w:p w14:paraId="08B24E76">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1.5 各供应商的第二次报价均不得高于第一次报价，如高于第一次报价为无效报价，按照无效响应处理。经磋商后，最后报价低于磋商供应商在响应文件首次报价的分项报价同比例调整。最低报价不能作为成交的保证。</w:t>
      </w:r>
    </w:p>
    <w:p w14:paraId="633B11E9">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3.2</w:t>
      </w:r>
      <w:r>
        <w:rPr>
          <w:rFonts w:hint="eastAsia" w:ascii="宋体" w:hAnsi="宋体"/>
          <w:color w:val="auto"/>
          <w:szCs w:val="21"/>
          <w:highlight w:val="none"/>
        </w:rPr>
        <w:t>报价货币</w:t>
      </w:r>
    </w:p>
    <w:p w14:paraId="50EBA76D">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2.1 磋商应以人民币报价。</w:t>
      </w:r>
    </w:p>
    <w:p w14:paraId="7D3C6DC2">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3. 磋商报价的编制要求。</w:t>
      </w:r>
    </w:p>
    <w:p w14:paraId="1A6DEC06">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3.1 磋商供应商必须按工程量清单，用综合单价法编制磋商预算。工程量清单数量、暂定价、暂估价、独立费不得变更、不得优惠，否则视为重大偏差。</w:t>
      </w:r>
    </w:p>
    <w:p w14:paraId="30B0A53A">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3.2 下列费用为不可竞争费用，不可竞争费用应严格执行有关费用标准，不得降低标准进行磋商，否则作无效响应处理。</w:t>
      </w:r>
    </w:p>
    <w:p w14:paraId="5A076910">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(1)规费：包括环境保护税、社会保障费及住房公积金，应按照有权部门规定计取。</w:t>
      </w:r>
    </w:p>
    <w:p w14:paraId="606C7875">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(2)税金：包括按规定必须计入工程造价的营业税、城市维护建设税和教育费附加，按照不含税工程造价乘以工程所在地的税率计算。</w:t>
      </w:r>
    </w:p>
    <w:p w14:paraId="3090EF5D">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(3)安全文明施工费：包括安全文明施工基本费、省级标化增加费、扬尘费，应按照有权部门规定计取。</w:t>
      </w:r>
    </w:p>
    <w:p w14:paraId="1C86F652">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3.</w:t>
      </w:r>
      <w:r>
        <w:rPr>
          <w:rFonts w:hint="eastAsia" w:ascii="宋体" w:hAnsi="宋体"/>
          <w:color w:val="auto"/>
          <w:szCs w:val="21"/>
          <w:highlight w:val="none"/>
          <w:lang w:val="en-US" w:eastAsia="zh-CN"/>
        </w:rPr>
        <w:t>4</w:t>
      </w:r>
      <w:r>
        <w:rPr>
          <w:rFonts w:hint="eastAsia" w:ascii="宋体" w:hAnsi="宋体"/>
          <w:color w:val="auto"/>
          <w:szCs w:val="21"/>
          <w:highlight w:val="none"/>
        </w:rPr>
        <w:t xml:space="preserve"> 本工程由供应商自购的材料，供应商须编制自购主要材料一览表，注明品牌、规格、型号、产地、数量、单价和合价。报价中含材料价差，结算时不予调整。</w:t>
      </w:r>
    </w:p>
    <w:p w14:paraId="54070A2B">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3.</w:t>
      </w:r>
      <w:r>
        <w:rPr>
          <w:rFonts w:hint="eastAsia" w:ascii="宋体" w:hAnsi="宋体"/>
          <w:color w:val="auto"/>
          <w:szCs w:val="21"/>
          <w:highlight w:val="none"/>
          <w:lang w:val="en-US" w:eastAsia="zh-CN"/>
        </w:rPr>
        <w:t>5</w:t>
      </w:r>
      <w:r>
        <w:rPr>
          <w:rFonts w:hint="eastAsia" w:ascii="宋体" w:hAnsi="宋体"/>
          <w:color w:val="auto"/>
          <w:szCs w:val="21"/>
          <w:highlight w:val="none"/>
        </w:rPr>
        <w:t xml:space="preserve"> 工程中产生的垃圾均需由成交供应商自行负责清运，费用由成交供应商承担。</w:t>
      </w:r>
    </w:p>
    <w:p w14:paraId="456E00DA">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3.</w:t>
      </w:r>
      <w:r>
        <w:rPr>
          <w:rFonts w:hint="eastAsia" w:ascii="宋体" w:hAnsi="宋体"/>
          <w:color w:val="auto"/>
          <w:szCs w:val="21"/>
          <w:highlight w:val="none"/>
          <w:lang w:val="en-US" w:eastAsia="zh-CN"/>
        </w:rPr>
        <w:t>6</w:t>
      </w:r>
      <w:r>
        <w:rPr>
          <w:rFonts w:hint="eastAsia" w:ascii="宋体" w:hAnsi="宋体"/>
          <w:color w:val="auto"/>
          <w:szCs w:val="21"/>
          <w:highlight w:val="none"/>
        </w:rPr>
        <w:t>供应商可自行对施工现场和周围环境进行勘察，以充分了解工地位置、环境、道路、储存空间、装卸限制及任何其他足以影响报价之情况，任何因忽视或误解工地情况而导致的成本增加或工期延长等情况一律不予认可。</w:t>
      </w:r>
    </w:p>
    <w:p w14:paraId="0CDBCE28">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3.</w:t>
      </w:r>
      <w:r>
        <w:rPr>
          <w:rFonts w:hint="eastAsia" w:ascii="宋体" w:hAnsi="宋体"/>
          <w:color w:val="auto"/>
          <w:szCs w:val="21"/>
          <w:highlight w:val="none"/>
          <w:lang w:val="en-US" w:eastAsia="zh-CN"/>
        </w:rPr>
        <w:t>7</w:t>
      </w:r>
      <w:r>
        <w:rPr>
          <w:rFonts w:hint="eastAsia" w:ascii="宋体" w:hAnsi="宋体"/>
          <w:color w:val="auto"/>
          <w:szCs w:val="21"/>
          <w:highlight w:val="none"/>
        </w:rPr>
        <w:t>采购人向供应商提供的有关施工现场的资料和数据是采购人现有的能使供应商利用的资料。采购人对供应商由此做出的推论、理解和结论概不负责。</w:t>
      </w:r>
    </w:p>
    <w:p w14:paraId="3CF82D11">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3.</w:t>
      </w:r>
      <w:r>
        <w:rPr>
          <w:rFonts w:hint="eastAsia" w:ascii="宋体" w:hAnsi="宋体"/>
          <w:color w:val="auto"/>
          <w:szCs w:val="21"/>
          <w:highlight w:val="none"/>
          <w:lang w:val="en-US" w:eastAsia="zh-CN"/>
        </w:rPr>
        <w:t>8</w:t>
      </w:r>
      <w:r>
        <w:rPr>
          <w:rFonts w:hint="eastAsia" w:ascii="宋体" w:hAnsi="宋体"/>
          <w:color w:val="auto"/>
          <w:szCs w:val="21"/>
          <w:highlight w:val="none"/>
        </w:rPr>
        <w:t xml:space="preserve"> 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p>
    <w:p w14:paraId="4783EAE5">
      <w:pPr>
        <w:tabs>
          <w:tab w:val="left" w:pos="900"/>
        </w:tabs>
        <w:spacing w:line="360" w:lineRule="auto"/>
        <w:ind w:firstLine="420"/>
        <w:jc w:val="left"/>
        <w:rPr>
          <w:rFonts w:hint="eastAsia" w:ascii="宋体" w:hAnsi="宋体" w:cs="宋体"/>
          <w:color w:val="auto"/>
          <w:highlight w:val="none"/>
        </w:rPr>
      </w:pPr>
      <w:r>
        <w:rPr>
          <w:rFonts w:hint="eastAsia" w:ascii="宋体" w:hAnsi="宋体"/>
          <w:color w:val="auto"/>
          <w:szCs w:val="21"/>
          <w:highlight w:val="none"/>
        </w:rPr>
        <w:t>3.</w:t>
      </w:r>
      <w:r>
        <w:rPr>
          <w:rFonts w:hint="eastAsia" w:ascii="宋体" w:hAnsi="宋体"/>
          <w:color w:val="auto"/>
          <w:szCs w:val="21"/>
          <w:highlight w:val="none"/>
          <w:lang w:val="en-US" w:eastAsia="zh-CN"/>
        </w:rPr>
        <w:t>9</w:t>
      </w:r>
      <w:r>
        <w:rPr>
          <w:rFonts w:hint="eastAsia" w:ascii="宋体" w:hAnsi="宋体"/>
          <w:color w:val="auto"/>
          <w:szCs w:val="21"/>
          <w:highlight w:val="none"/>
        </w:rPr>
        <w:t xml:space="preserve"> 供应商应当在响应文件中详细、定量地列出优惠让利的理由及所采取的技术措施</w:t>
      </w:r>
      <w:r>
        <w:rPr>
          <w:rFonts w:hint="eastAsia" w:ascii="宋体" w:hAnsi="宋体" w:cs="宋体"/>
          <w:color w:val="auto"/>
          <w:highlight w:val="none"/>
        </w:rPr>
        <w:t>。</w:t>
      </w:r>
    </w:p>
    <w:p w14:paraId="4FF744FC">
      <w:pPr>
        <w:tabs>
          <w:tab w:val="left" w:pos="900"/>
        </w:tabs>
        <w:spacing w:line="360" w:lineRule="auto"/>
        <w:ind w:firstLine="420"/>
        <w:jc w:val="left"/>
        <w:rPr>
          <w:rFonts w:ascii="宋体" w:hAnsi="宋体"/>
          <w:color w:val="auto"/>
          <w:szCs w:val="21"/>
          <w:highlight w:val="none"/>
        </w:rPr>
      </w:pPr>
      <w:bookmarkStart w:id="131" w:name="_Hlt26670486"/>
      <w:bookmarkEnd w:id="131"/>
      <w:bookmarkStart w:id="132" w:name="_Hlt26668983"/>
      <w:bookmarkEnd w:id="132"/>
      <w:bookmarkStart w:id="133" w:name="_Hlt26670425"/>
      <w:bookmarkEnd w:id="133"/>
      <w:bookmarkStart w:id="134" w:name="_Hlt26954844"/>
      <w:bookmarkEnd w:id="134"/>
      <w:bookmarkStart w:id="135" w:name="_Hlt26954846"/>
      <w:bookmarkEnd w:id="135"/>
      <w:bookmarkStart w:id="136" w:name="_Hlt26954848"/>
      <w:bookmarkEnd w:id="136"/>
      <w:bookmarkStart w:id="137" w:name="_Hlt26954842"/>
      <w:bookmarkEnd w:id="137"/>
      <w:bookmarkStart w:id="138" w:name="_Hlt26954731"/>
      <w:bookmarkEnd w:id="138"/>
      <w:bookmarkStart w:id="139" w:name="_Hlt26670482"/>
      <w:bookmarkEnd w:id="139"/>
      <w:bookmarkStart w:id="140" w:name="_Hlt26670403"/>
      <w:bookmarkEnd w:id="140"/>
      <w:bookmarkStart w:id="141" w:name="_Toc513029221"/>
      <w:bookmarkStart w:id="142" w:name="_Toc14577359"/>
      <w:bookmarkStart w:id="143" w:name="_Toc61149559"/>
      <w:r>
        <w:rPr>
          <w:rFonts w:hint="eastAsia" w:ascii="宋体" w:hAnsi="宋体"/>
          <w:color w:val="auto"/>
          <w:szCs w:val="21"/>
          <w:highlight w:val="none"/>
        </w:rPr>
        <w:t>4、项目需求响应方案</w:t>
      </w:r>
    </w:p>
    <w:p w14:paraId="24ADEED1">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4.1 提供为完成本项目的总体实施方案。</w:t>
      </w:r>
    </w:p>
    <w:p w14:paraId="03B63C4E">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4.2 对磋商文件中项目需求的技术与商务条款要求逐项作出应答，并提供依据或说明。</w:t>
      </w:r>
    </w:p>
    <w:p w14:paraId="77DE897A">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4.3 磋商供应商认为需要的其他技术文件或说明。</w:t>
      </w:r>
    </w:p>
    <w:p w14:paraId="073E98D0">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5、磋商保证金</w:t>
      </w:r>
      <w:bookmarkEnd w:id="141"/>
      <w:bookmarkEnd w:id="142"/>
      <w:bookmarkEnd w:id="143"/>
    </w:p>
    <w:p w14:paraId="263FB06F">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 xml:space="preserve">5.1 </w:t>
      </w:r>
      <w:r>
        <w:rPr>
          <w:rFonts w:hint="eastAsia" w:ascii="宋体" w:hAnsi="宋体"/>
          <w:b/>
          <w:bCs/>
          <w:color w:val="auto"/>
          <w:szCs w:val="21"/>
          <w:highlight w:val="none"/>
        </w:rPr>
        <w:t>本项目不收取磋商保证金。</w:t>
      </w:r>
    </w:p>
    <w:p w14:paraId="047B6F29">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6、响应文件制作工具</w:t>
      </w:r>
    </w:p>
    <w:p w14:paraId="25867F1E">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6.1 磋商供应商必须使用</w:t>
      </w:r>
      <w:r>
        <w:rPr>
          <w:rFonts w:hint="eastAsia" w:ascii="宋体" w:hAnsi="宋体"/>
          <w:color w:val="auto"/>
          <w:szCs w:val="21"/>
          <w:highlight w:val="none"/>
          <w:lang w:eastAsia="zh-CN"/>
        </w:rPr>
        <w:t>苏采云系统</w:t>
      </w:r>
      <w:r>
        <w:rPr>
          <w:rFonts w:hint="eastAsia" w:ascii="宋体" w:hAnsi="宋体"/>
          <w:color w:val="auto"/>
          <w:szCs w:val="21"/>
          <w:highlight w:val="none"/>
        </w:rPr>
        <w:t>可接受的响应文件制作工具编制响应文件，系统操作流程详见</w:t>
      </w:r>
      <w:r>
        <w:rPr>
          <w:rFonts w:hint="eastAsia" w:ascii="宋体" w:hAnsi="宋体"/>
          <w:color w:val="auto"/>
          <w:szCs w:val="21"/>
          <w:highlight w:val="none"/>
          <w:lang w:eastAsia="zh-CN"/>
        </w:rPr>
        <w:t>江苏省政府采购管理交易系统(苏采云)</w:t>
      </w:r>
      <w:r>
        <w:rPr>
          <w:rFonts w:hint="eastAsia" w:ascii="宋体" w:hAnsi="宋体"/>
          <w:color w:val="auto"/>
          <w:szCs w:val="21"/>
          <w:highlight w:val="none"/>
        </w:rPr>
        <w:t>-下载中心-供应商操作手册[网]，请及时关注版本更新。</w:t>
      </w:r>
    </w:p>
    <w:p w14:paraId="5FA9402A">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7、响应文件构成</w:t>
      </w:r>
    </w:p>
    <w:p w14:paraId="2330B36F">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磋商供应商编制的响应文件应包括商务文件、技术文件、评审因素所需材料和其他材料等内容，相关文件的提交如未特别注明可提供扫描件。</w:t>
      </w:r>
    </w:p>
    <w:p w14:paraId="4BA6FB74">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7.1 响应文件格式：</w:t>
      </w:r>
    </w:p>
    <w:p w14:paraId="1AC8AC36">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填写供应商名称、供应商地址、法定代表人、委托代理人、日期等内容。</w:t>
      </w:r>
    </w:p>
    <w:p w14:paraId="26B5822A">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7.2 商务文件：（政府采购政策有关材料可选提交；委托代理时必须提交法定代表人授权委托书，其他文件必须提交，否则按无效响应处理）</w:t>
      </w:r>
    </w:p>
    <w:p w14:paraId="73CACD96">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（1）响应函：请按给定格式及要求填写。</w:t>
      </w:r>
    </w:p>
    <w:p w14:paraId="6444C4B8">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（2）开标一览表（首次磋商报价表）：请按给定格式及要求填写。</w:t>
      </w:r>
    </w:p>
    <w:p w14:paraId="7CA1AB51">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（3）报价明细表（首次磋商报价明细表）：</w:t>
      </w:r>
      <w:r>
        <w:rPr>
          <w:rFonts w:hint="eastAsia" w:ascii="宋体" w:hAnsi="宋体"/>
          <w:color w:val="auto"/>
          <w:szCs w:val="21"/>
          <w:highlight w:val="none"/>
          <w:lang w:eastAsia="zh-CN"/>
        </w:rPr>
        <w:t>按磋商文件中工程量清单报价</w:t>
      </w:r>
      <w:r>
        <w:rPr>
          <w:rFonts w:hint="eastAsia" w:ascii="宋体" w:hAnsi="宋体"/>
          <w:color w:val="auto"/>
          <w:szCs w:val="21"/>
          <w:highlight w:val="none"/>
        </w:rPr>
        <w:t>。</w:t>
      </w:r>
    </w:p>
    <w:p w14:paraId="5B681018">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（4）政府采购政策：中小企业声明函、残疾人福利性单位声明函及省级以上监狱管理局、戒毒管理局（含新疆生产建设兵团）出具的属于监狱企业的证明文件，填报要求详见“七、政策功能”。</w:t>
      </w:r>
    </w:p>
    <w:p w14:paraId="2836BC06">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（5）资格审查材料：</w:t>
      </w:r>
    </w:p>
    <w:p w14:paraId="08F46219">
      <w:pPr>
        <w:tabs>
          <w:tab w:val="left" w:pos="900"/>
        </w:tabs>
        <w:spacing w:line="360" w:lineRule="auto"/>
        <w:ind w:firstLine="630"/>
        <w:jc w:val="left"/>
        <w:rPr>
          <w:rFonts w:ascii="宋体" w:hAnsi="宋体"/>
          <w:color w:val="auto"/>
          <w:szCs w:val="21"/>
          <w:highlight w:val="none"/>
        </w:rPr>
      </w:pPr>
      <w:r>
        <w:rPr>
          <w:rFonts w:hint="eastAsia" w:ascii="宋体" w:hAnsi="宋体"/>
          <w:color w:val="auto"/>
          <w:szCs w:val="21"/>
          <w:highlight w:val="none"/>
        </w:rPr>
        <w:t>见本磋商文件第一章“竞争性磋商采购邀请”“二、申请人的资格要求”。</w:t>
      </w:r>
    </w:p>
    <w:p w14:paraId="229E0F8D">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（6）法定代表人授权委托书：请按给定格式及要求填写。</w:t>
      </w:r>
    </w:p>
    <w:p w14:paraId="43611D31">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（7）商务条款偏离表：请按给定格式及要求，并根据供应商响应承诺的商务条件与“合同条款”“项目需求”等的差异填写。</w:t>
      </w:r>
    </w:p>
    <w:p w14:paraId="13A87849">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7.3 技术文件：（以下文件必须提交，否则按无效响应处理）</w:t>
      </w:r>
    </w:p>
    <w:p w14:paraId="51D884EA">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（1）技术标：可以但不限于技术方案、磋商文件规定的其他文件等，格式自定。</w:t>
      </w:r>
    </w:p>
    <w:p w14:paraId="78059451">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（2）项目需求响应：格式自定。</w:t>
      </w:r>
    </w:p>
    <w:p w14:paraId="3C7042C0">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7.4 评审因素所需材料：</w:t>
      </w:r>
    </w:p>
    <w:p w14:paraId="7B59044B">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如有，请按磋商文件要求提供。</w:t>
      </w:r>
    </w:p>
    <w:p w14:paraId="277DF72D">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7.5 其他材料：</w:t>
      </w:r>
    </w:p>
    <w:p w14:paraId="1584490E">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如有，请按磋商文件要求提供。</w:t>
      </w:r>
    </w:p>
    <w:p w14:paraId="09E5315D">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8、生成响应文件</w:t>
      </w:r>
    </w:p>
    <w:p w14:paraId="641E7501">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p>
    <w:p w14:paraId="533EB8AC">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8.2 电子响应文件不得涂改、行间插字或删除，如出现上述情况应重新编制。</w:t>
      </w:r>
    </w:p>
    <w:p w14:paraId="0C9C7EF9">
      <w:pPr>
        <w:keepNext/>
        <w:keepLines/>
        <w:spacing w:before="120" w:after="120" w:line="360" w:lineRule="auto"/>
        <w:outlineLvl w:val="1"/>
        <w:rPr>
          <w:rFonts w:ascii="黑体" w:hAnsi="黑体" w:eastAsia="黑体" w:cs="宋体"/>
          <w:bCs/>
          <w:color w:val="auto"/>
          <w:szCs w:val="21"/>
          <w:highlight w:val="none"/>
        </w:rPr>
      </w:pPr>
      <w:bookmarkStart w:id="144" w:name="_Hlt26670493"/>
      <w:bookmarkEnd w:id="144"/>
      <w:bookmarkStart w:id="145" w:name="_Hlt26954749"/>
      <w:bookmarkEnd w:id="145"/>
      <w:bookmarkStart w:id="146" w:name="_Hlt26954739"/>
      <w:bookmarkEnd w:id="146"/>
      <w:bookmarkStart w:id="147" w:name="_Hlt26954854"/>
      <w:bookmarkEnd w:id="147"/>
      <w:bookmarkStart w:id="148" w:name="_Hlt26954734"/>
      <w:bookmarkEnd w:id="148"/>
      <w:bookmarkStart w:id="149" w:name="_Hlt26954850"/>
      <w:bookmarkEnd w:id="149"/>
      <w:bookmarkStart w:id="150" w:name="_Hlt26670489"/>
      <w:bookmarkEnd w:id="150"/>
      <w:bookmarkStart w:id="151" w:name="_Hlt26954852"/>
      <w:bookmarkEnd w:id="151"/>
      <w:bookmarkStart w:id="152" w:name="_Toc513029224"/>
      <w:bookmarkStart w:id="153" w:name="_Toc1959"/>
      <w:bookmarkStart w:id="154" w:name="_Toc14577362"/>
      <w:bookmarkStart w:id="155" w:name="_Toc61149562"/>
      <w:bookmarkStart w:id="156" w:name="_Toc20347"/>
      <w:r>
        <w:rPr>
          <w:rFonts w:hint="eastAsia" w:ascii="黑体" w:hAnsi="黑体" w:eastAsia="黑体" w:cs="宋体"/>
          <w:bCs/>
          <w:color w:val="auto"/>
          <w:szCs w:val="21"/>
          <w:highlight w:val="none"/>
        </w:rPr>
        <w:t>三、</w:t>
      </w:r>
      <w:bookmarkEnd w:id="152"/>
      <w:bookmarkEnd w:id="153"/>
      <w:bookmarkEnd w:id="154"/>
      <w:bookmarkEnd w:id="155"/>
      <w:r>
        <w:rPr>
          <w:rFonts w:hint="eastAsia" w:ascii="黑体" w:hAnsi="黑体" w:eastAsia="黑体" w:cs="宋体"/>
          <w:bCs/>
          <w:color w:val="auto"/>
          <w:szCs w:val="21"/>
          <w:highlight w:val="none"/>
        </w:rPr>
        <w:t>响应文件及样品的递交</w:t>
      </w:r>
      <w:bookmarkEnd w:id="156"/>
    </w:p>
    <w:p w14:paraId="067D5BD4">
      <w:pPr>
        <w:tabs>
          <w:tab w:val="left" w:pos="900"/>
        </w:tabs>
        <w:spacing w:line="360" w:lineRule="auto"/>
        <w:ind w:firstLine="420"/>
        <w:jc w:val="left"/>
        <w:rPr>
          <w:rFonts w:ascii="宋体" w:hAnsi="宋体"/>
          <w:color w:val="auto"/>
          <w:szCs w:val="21"/>
          <w:highlight w:val="none"/>
        </w:rPr>
      </w:pPr>
      <w:bookmarkStart w:id="157" w:name="_Hlt26954856"/>
      <w:bookmarkEnd w:id="157"/>
      <w:r>
        <w:rPr>
          <w:rFonts w:hint="eastAsia" w:ascii="宋体" w:hAnsi="宋体"/>
          <w:color w:val="auto"/>
          <w:szCs w:val="21"/>
          <w:highlight w:val="none"/>
        </w:rPr>
        <w:t>1、响应文件的上传、修改和撤回</w:t>
      </w:r>
    </w:p>
    <w:p w14:paraId="261DC564">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1.1 供应商应当按照《操作手册》规定，在提交响应文件截止时间前</w:t>
      </w:r>
      <w:r>
        <w:rPr>
          <w:rFonts w:ascii="宋体" w:hAnsi="宋体"/>
          <w:color w:val="auto"/>
          <w:szCs w:val="21"/>
          <w:highlight w:val="none"/>
        </w:rPr>
        <w:t>制作</w:t>
      </w:r>
      <w:r>
        <w:rPr>
          <w:rFonts w:hint="eastAsia" w:ascii="宋体" w:hAnsi="宋体"/>
          <w:color w:val="auto"/>
          <w:szCs w:val="21"/>
          <w:highlight w:val="none"/>
        </w:rPr>
        <w:t>并上传电子响应文件。</w:t>
      </w:r>
    </w:p>
    <w:p w14:paraId="1CA35AD4">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1.2 磋商供应商在上传响应文件后可以对其修改或撤回，但这种修改或撤回，必须在规定的截止时间前。</w:t>
      </w:r>
    </w:p>
    <w:p w14:paraId="0FC22CB3">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1.3 如需对电子响应文件修改，磋商供应商可以在截止时间前登录电子交易平台撤回文件，并上传新的响应文件，响应文件以最终完成上传的为准。</w:t>
      </w:r>
    </w:p>
    <w:p w14:paraId="329EC051">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1.4 磋商供应商不得在截止时间后修改响应文件，也不得在截止时间起至磋商有效期满前撤回响应文件。</w:t>
      </w:r>
    </w:p>
    <w:p w14:paraId="52C28092">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2</w:t>
      </w:r>
      <w:r>
        <w:rPr>
          <w:rFonts w:hint="eastAsia" w:ascii="宋体" w:hAnsi="宋体"/>
          <w:color w:val="auto"/>
          <w:szCs w:val="21"/>
          <w:highlight w:val="none"/>
        </w:rPr>
        <w:t>、提交响应文件截止时间</w:t>
      </w:r>
    </w:p>
    <w:p w14:paraId="1C3D8B9F">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2</w:t>
      </w:r>
      <w:r>
        <w:rPr>
          <w:rFonts w:hint="eastAsia" w:ascii="宋体" w:hAnsi="宋体"/>
          <w:color w:val="auto"/>
          <w:szCs w:val="21"/>
          <w:highlight w:val="none"/>
        </w:rPr>
        <w:t>.1供应商上传电子响应文件的时间不得迟于磋商公告中规定的提交响应文件截止时间。</w:t>
      </w:r>
    </w:p>
    <w:p w14:paraId="73CBBDD4">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供应商应充分考虑到网络环境、网络带宽等风险因素，如因供应商自身原因造成的电子响应文件上传不成功的按照本磋商文件第二章规定做无效响应处理。</w:t>
      </w:r>
    </w:p>
    <w:p w14:paraId="7E9704BE">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2</w:t>
      </w:r>
      <w:r>
        <w:rPr>
          <w:rFonts w:hint="eastAsia" w:ascii="宋体" w:hAnsi="宋体"/>
          <w:color w:val="auto"/>
          <w:szCs w:val="21"/>
          <w:highlight w:val="none"/>
        </w:rPr>
        <w:t xml:space="preserve">.2 </w:t>
      </w:r>
      <w:r>
        <w:rPr>
          <w:rFonts w:hint="eastAsia" w:ascii="宋体" w:hAnsi="宋体"/>
          <w:color w:val="auto"/>
          <w:szCs w:val="21"/>
          <w:highlight w:val="none"/>
          <w:lang w:eastAsia="zh-CN"/>
        </w:rPr>
        <w:t>采购代理机构</w:t>
      </w:r>
      <w:r>
        <w:rPr>
          <w:rFonts w:hint="eastAsia" w:ascii="宋体" w:hAnsi="宋体"/>
          <w:color w:val="auto"/>
          <w:szCs w:val="21"/>
          <w:highlight w:val="none"/>
        </w:rPr>
        <w:t>可以按照规定，通过修改磋商文件酌情延长提交响应文件截止日期，在此情况下，供应商的所有权利和义务以及供应商受制的截止日期均应以延长后新的截止日期为准。</w:t>
      </w:r>
    </w:p>
    <w:p w14:paraId="3B2203B7">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、磋商响应有效期</w:t>
      </w:r>
    </w:p>
    <w:p w14:paraId="5BA8BBC3">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.1 磋商响应有效期为代理机构规定的响应文件接收截止时间后六十（60）天。磋商响应有效期比规定短的将被视为非实质性响应而予以拒绝。</w:t>
      </w:r>
    </w:p>
    <w:p w14:paraId="714547C4">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.2 在特殊情况下，代理机构于原磋商响应有效期满之前，可向磋商供应商提出延长磋商响应有效期的要求。这种要求与答复均应采用书面形式。磋商供应商可以拒绝代理机构的这一要求而放弃磋商响应，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p>
    <w:p w14:paraId="4FA3E3C4">
      <w:pPr>
        <w:tabs>
          <w:tab w:val="left" w:pos="900"/>
        </w:tabs>
        <w:spacing w:line="360" w:lineRule="auto"/>
        <w:ind w:firstLine="420"/>
        <w:jc w:val="left"/>
        <w:rPr>
          <w:rFonts w:ascii="宋体" w:hAnsi="宋体"/>
          <w:color w:val="auto"/>
          <w:szCs w:val="21"/>
          <w:highlight w:val="none"/>
        </w:rPr>
      </w:pPr>
      <w:bookmarkStart w:id="158" w:name="_Hlt26954864"/>
      <w:bookmarkEnd w:id="158"/>
      <w:bookmarkStart w:id="159" w:name="_Hlt26670523"/>
      <w:bookmarkEnd w:id="159"/>
      <w:bookmarkStart w:id="160" w:name="_Toc25246"/>
      <w:r>
        <w:rPr>
          <w:rFonts w:hint="eastAsia" w:ascii="宋体" w:hAnsi="宋体"/>
          <w:color w:val="auto"/>
          <w:szCs w:val="21"/>
          <w:highlight w:val="none"/>
          <w:lang w:val="en-US" w:eastAsia="zh-CN"/>
        </w:rPr>
        <w:t>4</w:t>
      </w:r>
      <w:r>
        <w:rPr>
          <w:rFonts w:hint="eastAsia" w:ascii="宋体" w:hAnsi="宋体"/>
          <w:color w:val="auto"/>
          <w:szCs w:val="21"/>
          <w:highlight w:val="none"/>
        </w:rPr>
        <w:t>、提交样品截止时间和地点</w:t>
      </w:r>
    </w:p>
    <w:p w14:paraId="682A1759">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4</w:t>
      </w:r>
      <w:r>
        <w:rPr>
          <w:rFonts w:hint="eastAsia" w:ascii="宋体" w:hAnsi="宋体"/>
          <w:color w:val="auto"/>
          <w:szCs w:val="21"/>
          <w:highlight w:val="none"/>
        </w:rPr>
        <w:t>.1 采购项目需要提交样品的，供应商应当于磋商文件规定的样品接收截止时间前将样品送达指定地点并登记完毕，否则不予接收。</w:t>
      </w:r>
    </w:p>
    <w:p w14:paraId="02F9488B">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4</w:t>
      </w:r>
      <w:r>
        <w:rPr>
          <w:rFonts w:hint="eastAsia" w:ascii="宋体" w:hAnsi="宋体"/>
          <w:color w:val="auto"/>
          <w:szCs w:val="21"/>
          <w:highlight w:val="none"/>
        </w:rPr>
        <w:t>.2 成交供应商提供的样品由采购人封存、保管，作为履约验收的参考。未成交供应商提供的样品，应在成交结果公布后两个工作日内领回，否则按无主物品处理。</w:t>
      </w:r>
    </w:p>
    <w:p w14:paraId="6E1084AF">
      <w:pPr>
        <w:tabs>
          <w:tab w:val="left" w:pos="900"/>
        </w:tabs>
        <w:spacing w:line="360" w:lineRule="auto"/>
        <w:ind w:firstLine="420"/>
        <w:jc w:val="lef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4.3 本工程无需递交样品。</w:t>
      </w:r>
    </w:p>
    <w:p w14:paraId="747A58B7">
      <w:pPr>
        <w:keepNext/>
        <w:keepLines/>
        <w:spacing w:before="120" w:after="120" w:line="360" w:lineRule="auto"/>
        <w:outlineLvl w:val="1"/>
        <w:rPr>
          <w:rFonts w:hint="eastAsia" w:ascii="宋体" w:hAnsi="宋体" w:eastAsia="宋体" w:cs="Times New Roman"/>
          <w:b/>
          <w:bCs/>
          <w:color w:val="auto"/>
          <w:sz w:val="21"/>
          <w:szCs w:val="21"/>
          <w:highlight w:val="none"/>
          <w:lang w:val="en-US" w:eastAsia="zh-CN" w:bidi="ar-SA"/>
        </w:rPr>
      </w:pPr>
      <w:bookmarkStart w:id="161" w:name="_Toc29621"/>
      <w:r>
        <w:rPr>
          <w:rFonts w:hint="eastAsia" w:ascii="宋体" w:hAnsi="宋体" w:eastAsia="宋体" w:cs="Times New Roman"/>
          <w:b/>
          <w:bCs/>
          <w:color w:val="auto"/>
          <w:sz w:val="21"/>
          <w:szCs w:val="21"/>
          <w:highlight w:val="none"/>
          <w:lang w:val="en-US" w:eastAsia="zh-CN" w:bidi="ar-SA"/>
        </w:rPr>
        <w:t>四、响应文件的解密与评审</w:t>
      </w:r>
      <w:bookmarkEnd w:id="160"/>
      <w:bookmarkEnd w:id="161"/>
    </w:p>
    <w:p w14:paraId="1E09B291">
      <w:pPr>
        <w:tabs>
          <w:tab w:val="left" w:pos="900"/>
        </w:tabs>
        <w:spacing w:line="360" w:lineRule="auto"/>
        <w:ind w:firstLine="420"/>
        <w:jc w:val="left"/>
        <w:rPr>
          <w:rFonts w:hint="eastAsia" w:ascii="宋体" w:hAnsi="宋体"/>
          <w:color w:val="auto"/>
          <w:szCs w:val="21"/>
          <w:highlight w:val="none"/>
        </w:rPr>
      </w:pPr>
      <w:bookmarkStart w:id="162" w:name="_Toc16938546"/>
      <w:bookmarkStart w:id="163" w:name="_Toc20823302"/>
      <w:bookmarkStart w:id="164" w:name="_Toc513029230"/>
      <w:bookmarkStart w:id="165" w:name="_Toc513029235"/>
      <w:bookmarkStart w:id="166" w:name="_Toc20823307"/>
      <w:bookmarkStart w:id="167" w:name="_Toc16938551"/>
      <w:r>
        <w:rPr>
          <w:rFonts w:hint="eastAsia" w:ascii="宋体" w:hAnsi="宋体"/>
          <w:color w:val="auto"/>
          <w:szCs w:val="21"/>
          <w:highlight w:val="none"/>
          <w:lang w:val="en-US" w:eastAsia="zh-CN"/>
        </w:rPr>
        <w:t>1</w:t>
      </w:r>
      <w:r>
        <w:rPr>
          <w:rFonts w:hint="eastAsia" w:ascii="宋体" w:hAnsi="宋体"/>
          <w:color w:val="auto"/>
          <w:szCs w:val="21"/>
          <w:highlight w:val="none"/>
        </w:rPr>
        <w:t>、</w:t>
      </w:r>
      <w:bookmarkEnd w:id="162"/>
      <w:bookmarkEnd w:id="163"/>
      <w:bookmarkEnd w:id="164"/>
      <w:r>
        <w:rPr>
          <w:rFonts w:hint="eastAsia" w:ascii="宋体" w:hAnsi="宋体"/>
          <w:color w:val="auto"/>
          <w:szCs w:val="21"/>
          <w:highlight w:val="none"/>
        </w:rPr>
        <w:t>响应文件解密</w:t>
      </w:r>
    </w:p>
    <w:p w14:paraId="47195214">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1</w:t>
      </w:r>
      <w:r>
        <w:rPr>
          <w:rFonts w:hint="eastAsia" w:ascii="宋体" w:hAnsi="宋体"/>
          <w:color w:val="auto"/>
          <w:szCs w:val="21"/>
          <w:highlight w:val="none"/>
        </w:rPr>
        <w:t>.1供应商应当按照《操作手册》规定，在苏采云系统规定的时间内对磋商响应文件进行解密。</w:t>
      </w:r>
    </w:p>
    <w:p w14:paraId="1BF445BE">
      <w:pPr>
        <w:tabs>
          <w:tab w:val="left" w:pos="900"/>
        </w:tabs>
        <w:spacing w:line="360" w:lineRule="auto"/>
        <w:ind w:firstLine="420"/>
        <w:jc w:val="left"/>
        <w:rPr>
          <w:rFonts w:hint="eastAsia" w:ascii="宋体" w:hAnsi="宋体"/>
          <w:color w:val="auto"/>
          <w:szCs w:val="21"/>
          <w:highlight w:val="none"/>
        </w:rPr>
      </w:pPr>
      <w:bookmarkStart w:id="168" w:name="_Toc16938547"/>
      <w:bookmarkStart w:id="169" w:name="_Toc20823303"/>
      <w:bookmarkStart w:id="170" w:name="_Toc513029231"/>
      <w:r>
        <w:rPr>
          <w:rFonts w:hint="eastAsia" w:ascii="宋体" w:hAnsi="宋体"/>
          <w:color w:val="auto"/>
          <w:szCs w:val="21"/>
          <w:highlight w:val="none"/>
          <w:lang w:val="en-US" w:eastAsia="zh-CN"/>
        </w:rPr>
        <w:t>2</w:t>
      </w:r>
      <w:r>
        <w:rPr>
          <w:rFonts w:hint="eastAsia" w:ascii="宋体" w:hAnsi="宋体"/>
          <w:color w:val="auto"/>
          <w:szCs w:val="21"/>
          <w:highlight w:val="none"/>
        </w:rPr>
        <w:t>、磋商小组</w:t>
      </w:r>
    </w:p>
    <w:p w14:paraId="3C8AAC45">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2</w:t>
      </w:r>
      <w:r>
        <w:rPr>
          <w:rFonts w:hint="eastAsia" w:ascii="宋体" w:hAnsi="宋体"/>
          <w:color w:val="auto"/>
          <w:szCs w:val="21"/>
          <w:highlight w:val="none"/>
        </w:rPr>
        <w:t>.1</w:t>
      </w:r>
      <w:r>
        <w:rPr>
          <w:rFonts w:hint="eastAsia" w:ascii="宋体" w:hAnsi="宋体"/>
          <w:color w:val="auto"/>
          <w:szCs w:val="21"/>
          <w:highlight w:val="none"/>
          <w:lang w:eastAsia="zh-CN"/>
        </w:rPr>
        <w:t>采购代理机构</w:t>
      </w:r>
      <w:r>
        <w:rPr>
          <w:rFonts w:hint="eastAsia" w:ascii="宋体" w:hAnsi="宋体"/>
          <w:color w:val="auto"/>
          <w:szCs w:val="21"/>
          <w:highlight w:val="none"/>
        </w:rPr>
        <w:t>将组织磋商小组对响应文件进行评审。磋商小组由采购人代表和有关技术、经济等方面的专家组成，且人员构成符合政府采购有关规定。</w:t>
      </w:r>
    </w:p>
    <w:p w14:paraId="044A14F3">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2</w:t>
      </w:r>
      <w:r>
        <w:rPr>
          <w:rFonts w:hint="eastAsia" w:ascii="宋体" w:hAnsi="宋体"/>
          <w:color w:val="auto"/>
          <w:szCs w:val="21"/>
          <w:highlight w:val="none"/>
        </w:rPr>
        <w:t>.2磋商小组独立工作，负责评审所有响应文件并推荐成交侯选人。</w:t>
      </w:r>
    </w:p>
    <w:p w14:paraId="21DD2434">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、评审过程的保密与公正</w:t>
      </w:r>
      <w:bookmarkEnd w:id="168"/>
      <w:bookmarkEnd w:id="169"/>
      <w:bookmarkEnd w:id="170"/>
    </w:p>
    <w:p w14:paraId="2F4EC9D3">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.1磋商小组、采购人和</w:t>
      </w:r>
      <w:r>
        <w:rPr>
          <w:rFonts w:hint="eastAsia" w:ascii="宋体" w:hAnsi="宋体"/>
          <w:color w:val="auto"/>
          <w:szCs w:val="21"/>
          <w:highlight w:val="none"/>
          <w:lang w:eastAsia="zh-CN"/>
        </w:rPr>
        <w:t>采购代理机构</w:t>
      </w:r>
      <w:r>
        <w:rPr>
          <w:rFonts w:hint="eastAsia" w:ascii="宋体" w:hAnsi="宋体"/>
          <w:color w:val="auto"/>
          <w:szCs w:val="21"/>
          <w:highlight w:val="none"/>
        </w:rPr>
        <w:t>工作人员、相关监督人员等与评审工作有关的人员，对评审情况以及在评审过程中获悉的国家秘密、商业秘密负有保密责任。</w:t>
      </w:r>
    </w:p>
    <w:p w14:paraId="4E2CF3F6">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.2在评审过程中，供应商不得以任何行为影响磋商评审过程，否则其响应文件将被作为无效响应文件。</w:t>
      </w:r>
    </w:p>
    <w:p w14:paraId="21A2BF8A">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.3在项目评审期间，</w:t>
      </w:r>
      <w:r>
        <w:rPr>
          <w:rFonts w:hint="eastAsia" w:ascii="宋体" w:hAnsi="宋体"/>
          <w:color w:val="auto"/>
          <w:szCs w:val="21"/>
          <w:highlight w:val="none"/>
          <w:lang w:eastAsia="zh-CN"/>
        </w:rPr>
        <w:t>采购代理机构</w:t>
      </w:r>
      <w:r>
        <w:rPr>
          <w:rFonts w:hint="eastAsia" w:ascii="宋体" w:hAnsi="宋体"/>
          <w:color w:val="auto"/>
          <w:szCs w:val="21"/>
          <w:highlight w:val="none"/>
        </w:rPr>
        <w:t>将设专门人员与供应商联系。</w:t>
      </w:r>
    </w:p>
    <w:p w14:paraId="3C05777F">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.4</w:t>
      </w:r>
      <w:r>
        <w:rPr>
          <w:rFonts w:hint="eastAsia" w:ascii="宋体" w:hAnsi="宋体"/>
          <w:color w:val="auto"/>
          <w:szCs w:val="21"/>
          <w:highlight w:val="none"/>
          <w:lang w:eastAsia="zh-CN"/>
        </w:rPr>
        <w:t>采购代理机构</w:t>
      </w:r>
      <w:r>
        <w:rPr>
          <w:rFonts w:hint="eastAsia" w:ascii="宋体" w:hAnsi="宋体"/>
          <w:color w:val="auto"/>
          <w:szCs w:val="21"/>
          <w:highlight w:val="none"/>
        </w:rPr>
        <w:t>和磋商小组不向未成交的供应商解释未成交原因，也不公布评审过程中的相关细节。</w:t>
      </w:r>
    </w:p>
    <w:p w14:paraId="58C640C2">
      <w:pPr>
        <w:tabs>
          <w:tab w:val="left" w:pos="900"/>
        </w:tabs>
        <w:spacing w:line="360" w:lineRule="auto"/>
        <w:ind w:firstLine="420"/>
        <w:jc w:val="left"/>
        <w:rPr>
          <w:rFonts w:hint="eastAsia" w:ascii="宋体" w:hAnsi="宋体"/>
          <w:color w:val="auto"/>
          <w:szCs w:val="21"/>
          <w:highlight w:val="none"/>
        </w:rPr>
      </w:pPr>
      <w:bookmarkStart w:id="171" w:name="_Toc16938548"/>
      <w:bookmarkStart w:id="172" w:name="_Toc20823304"/>
      <w:bookmarkStart w:id="173" w:name="_Toc513029232"/>
      <w:r>
        <w:rPr>
          <w:rFonts w:hint="eastAsia" w:ascii="宋体" w:hAnsi="宋体"/>
          <w:color w:val="auto"/>
          <w:szCs w:val="21"/>
          <w:highlight w:val="none"/>
          <w:lang w:val="en-US" w:eastAsia="zh-CN"/>
        </w:rPr>
        <w:t>4</w:t>
      </w:r>
      <w:r>
        <w:rPr>
          <w:rFonts w:hint="eastAsia" w:ascii="宋体" w:hAnsi="宋体"/>
          <w:color w:val="auto"/>
          <w:szCs w:val="21"/>
          <w:highlight w:val="none"/>
        </w:rPr>
        <w:t>、评审过程中的的澄清</w:t>
      </w:r>
      <w:bookmarkEnd w:id="171"/>
      <w:bookmarkEnd w:id="172"/>
      <w:bookmarkEnd w:id="173"/>
    </w:p>
    <w:p w14:paraId="2B2EB82F">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4</w:t>
      </w:r>
      <w:r>
        <w:rPr>
          <w:rFonts w:hint="eastAsia" w:ascii="宋体" w:hAnsi="宋体"/>
          <w:color w:val="auto"/>
          <w:szCs w:val="21"/>
          <w:highlight w:val="none"/>
        </w:rPr>
        <w:t>.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6F2B809">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磋商小组并非对每个供应商都作澄清要求。</w:t>
      </w:r>
    </w:p>
    <w:p w14:paraId="5150C423">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4</w:t>
      </w:r>
      <w:r>
        <w:rPr>
          <w:rFonts w:hint="eastAsia" w:ascii="宋体" w:hAnsi="宋体"/>
          <w:color w:val="auto"/>
          <w:szCs w:val="21"/>
          <w:highlight w:val="none"/>
        </w:rPr>
        <w:t>.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8848575">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4</w:t>
      </w:r>
      <w:r>
        <w:rPr>
          <w:rFonts w:hint="eastAsia" w:ascii="宋体" w:hAnsi="宋体"/>
          <w:color w:val="auto"/>
          <w:szCs w:val="21"/>
          <w:highlight w:val="none"/>
        </w:rPr>
        <w:t>.3接到磋商小组澄清、说明和更正要求的供应商如未按规定做出澄清、说明和 更正，其风险由供应商自行承担。</w:t>
      </w:r>
    </w:p>
    <w:p w14:paraId="2988611A">
      <w:pPr>
        <w:tabs>
          <w:tab w:val="left" w:pos="900"/>
        </w:tabs>
        <w:spacing w:line="360" w:lineRule="auto"/>
        <w:ind w:firstLine="420"/>
        <w:jc w:val="left"/>
        <w:rPr>
          <w:rFonts w:hint="eastAsia" w:ascii="宋体" w:hAnsi="宋体"/>
          <w:color w:val="auto"/>
          <w:szCs w:val="21"/>
          <w:highlight w:val="none"/>
        </w:rPr>
      </w:pPr>
      <w:bookmarkStart w:id="174" w:name="_Toc513029233"/>
      <w:bookmarkStart w:id="175" w:name="_Toc20823305"/>
      <w:bookmarkStart w:id="176" w:name="_Toc16938549"/>
      <w:r>
        <w:rPr>
          <w:rFonts w:hint="eastAsia" w:ascii="宋体" w:hAnsi="宋体"/>
          <w:color w:val="auto"/>
          <w:szCs w:val="21"/>
          <w:highlight w:val="none"/>
          <w:lang w:val="en-US" w:eastAsia="zh-CN"/>
        </w:rPr>
        <w:t>5</w:t>
      </w:r>
      <w:r>
        <w:rPr>
          <w:rFonts w:hint="eastAsia" w:ascii="宋体" w:hAnsi="宋体"/>
          <w:color w:val="auto"/>
          <w:szCs w:val="21"/>
          <w:highlight w:val="none"/>
        </w:rPr>
        <w:t>、对响应文件的审</w:t>
      </w:r>
      <w:bookmarkEnd w:id="174"/>
      <w:bookmarkEnd w:id="175"/>
      <w:bookmarkEnd w:id="176"/>
      <w:r>
        <w:rPr>
          <w:rFonts w:hint="eastAsia" w:ascii="宋体" w:hAnsi="宋体"/>
          <w:color w:val="auto"/>
          <w:szCs w:val="21"/>
          <w:highlight w:val="none"/>
        </w:rPr>
        <w:t>查</w:t>
      </w:r>
    </w:p>
    <w:p w14:paraId="16A8D83C">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5</w:t>
      </w:r>
      <w:r>
        <w:rPr>
          <w:rFonts w:hint="eastAsia" w:ascii="宋体" w:hAnsi="宋体"/>
          <w:color w:val="auto"/>
          <w:szCs w:val="21"/>
          <w:highlight w:val="none"/>
        </w:rPr>
        <w:t>.1响应文件审查分为资格审查和符合性审查。</w:t>
      </w:r>
    </w:p>
    <w:p w14:paraId="05209421">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5</w:t>
      </w:r>
      <w:r>
        <w:rPr>
          <w:rFonts w:hint="eastAsia" w:ascii="宋体" w:hAnsi="宋体"/>
          <w:color w:val="auto"/>
          <w:szCs w:val="21"/>
          <w:highlight w:val="none"/>
        </w:rPr>
        <w:t>.1.1资格审查：由磋商小组依据法律法规和磋商文件的规定，对响应文件中的资格证明文件进行审查，以确定供应商是否具备参加磋商的资格。</w:t>
      </w:r>
    </w:p>
    <w:p w14:paraId="5C26EA24">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磋商小组在进行资格审查的同时，将在“信用中国”网站（www.creditchina.gov.cn）查询供应商的信用记录，以确定供应商是否具备磋商资格,查询结果留存并归档。</w:t>
      </w:r>
    </w:p>
    <w:p w14:paraId="11034C50">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1F23C21D">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5</w:t>
      </w:r>
      <w:r>
        <w:rPr>
          <w:rFonts w:hint="eastAsia" w:ascii="宋体" w:hAnsi="宋体"/>
          <w:color w:val="auto"/>
          <w:szCs w:val="21"/>
          <w:highlight w:val="none"/>
        </w:rPr>
        <w:t>.1.2符合性审查：依据磋商文件的规定，由磋商小组从响应文件的有效性、完整性和对磋商文件的响应程度进行审查，以确定是否对磋商文件的实质性要求作出响应。</w:t>
      </w:r>
    </w:p>
    <w:p w14:paraId="69E52B6D">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5</w:t>
      </w:r>
      <w:r>
        <w:rPr>
          <w:rFonts w:hint="eastAsia" w:ascii="宋体" w:hAnsi="宋体"/>
          <w:color w:val="auto"/>
          <w:szCs w:val="21"/>
          <w:highlight w:val="none"/>
        </w:rPr>
        <w:t>.1.3未通过资格审查或符合性审查的供应商，磋商小组将在苏采云系统中告知未通过资格审查或符合性审查的原因，评审结束后，磋商小组将不再告知未通过资格审查或符合性审查的原因。</w:t>
      </w:r>
    </w:p>
    <w:p w14:paraId="32F7D03E">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5</w:t>
      </w:r>
      <w:r>
        <w:rPr>
          <w:rFonts w:hint="eastAsia" w:ascii="宋体" w:hAnsi="宋体"/>
          <w:color w:val="auto"/>
          <w:szCs w:val="21"/>
          <w:highlight w:val="none"/>
        </w:rPr>
        <w:t>.2在详细评审之前，磋商小组将首先审查每份响应文件是否实质性响应了磋商文件的要求。实质性响应的响应文件应该是与磋商文件要求的条款、条件和规格相符，没有重大偏离或保留。</w:t>
      </w:r>
    </w:p>
    <w:p w14:paraId="1316B8D7">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所谓重大偏离或保留是指与磋商文件规定的实质性要求存在负偏离，或者在实质上与磋商文件不一致，而且限制了合同中买方和</w:t>
      </w:r>
      <w:r>
        <w:rPr>
          <w:rFonts w:hint="eastAsia" w:ascii="宋体" w:hAnsi="宋体"/>
          <w:color w:val="auto"/>
          <w:szCs w:val="21"/>
          <w:highlight w:val="none"/>
          <w:lang w:eastAsia="zh-CN"/>
        </w:rPr>
        <w:t>采购代理机构</w:t>
      </w:r>
      <w:r>
        <w:rPr>
          <w:rFonts w:hint="eastAsia" w:ascii="宋体" w:hAnsi="宋体"/>
          <w:color w:val="auto"/>
          <w:szCs w:val="21"/>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CB55276">
      <w:pPr>
        <w:pStyle w:val="33"/>
        <w:spacing w:before="0" w:beforeAutospacing="0" w:after="0" w:afterAutospacing="0" w:line="360" w:lineRule="auto"/>
        <w:ind w:firstLine="422"/>
        <w:contextualSpacing/>
        <w:rPr>
          <w:rFonts w:ascii="Times New Roman" w:cs="Times New Roman"/>
          <w:b/>
          <w:bCs/>
          <w:color w:val="auto"/>
          <w:sz w:val="21"/>
          <w:szCs w:val="21"/>
          <w:highlight w:val="none"/>
        </w:rPr>
      </w:pPr>
      <w:r>
        <w:rPr>
          <w:rFonts w:hint="eastAsia" w:ascii="Times New Roman" w:cs="Times New Roman"/>
          <w:b/>
          <w:bCs/>
          <w:color w:val="auto"/>
          <w:sz w:val="21"/>
          <w:szCs w:val="21"/>
          <w:highlight w:val="none"/>
        </w:rPr>
        <w:t>5.3 响应文件有下列情况之一的，属于重大偏差，视为未能对磋商文件作出实质性响应，应当作为无效响应予以否决：</w:t>
      </w:r>
    </w:p>
    <w:p w14:paraId="4E402973">
      <w:pPr>
        <w:pStyle w:val="33"/>
        <w:spacing w:before="0" w:beforeAutospacing="0" w:after="0" w:afterAutospacing="0" w:line="360" w:lineRule="auto"/>
        <w:ind w:firstLine="422"/>
        <w:contextualSpacing/>
        <w:rPr>
          <w:rFonts w:hint="eastAsia" w:ascii="Times New Roman" w:cs="Times New Roman"/>
          <w:b/>
          <w:bCs/>
          <w:color w:val="auto"/>
          <w:sz w:val="21"/>
          <w:szCs w:val="21"/>
          <w:highlight w:val="none"/>
        </w:rPr>
      </w:pPr>
      <w:r>
        <w:rPr>
          <w:rFonts w:hint="eastAsia" w:ascii="Times New Roman" w:cs="Times New Roman"/>
          <w:b/>
          <w:bCs/>
          <w:color w:val="auto"/>
          <w:sz w:val="21"/>
          <w:szCs w:val="21"/>
          <w:highlight w:val="none"/>
        </w:rPr>
        <w:t>(1) 响应文件未按照磋商文件要求加盖CA电子公章的；</w:t>
      </w:r>
    </w:p>
    <w:p w14:paraId="5B9E6296">
      <w:pPr>
        <w:pStyle w:val="33"/>
        <w:spacing w:before="0" w:beforeAutospacing="0" w:after="0" w:afterAutospacing="0" w:line="360" w:lineRule="auto"/>
        <w:ind w:firstLine="422"/>
        <w:contextualSpacing/>
        <w:rPr>
          <w:rFonts w:ascii="Times New Roman" w:cs="Times New Roman"/>
          <w:b/>
          <w:bCs/>
          <w:color w:val="auto"/>
          <w:sz w:val="21"/>
          <w:szCs w:val="21"/>
          <w:highlight w:val="none"/>
        </w:rPr>
      </w:pPr>
      <w:r>
        <w:rPr>
          <w:rFonts w:hint="eastAsia" w:ascii="Times New Roman" w:cs="Times New Roman"/>
          <w:b/>
          <w:bCs/>
          <w:color w:val="auto"/>
          <w:sz w:val="21"/>
          <w:szCs w:val="21"/>
          <w:highlight w:val="none"/>
        </w:rPr>
        <w:t>(2) 响应文件中的磋商响应函未加盖企业法定代表人（或企业法定代表人委托代理人）印章（或签字）的；</w:t>
      </w:r>
    </w:p>
    <w:p w14:paraId="5BD1BE86">
      <w:pPr>
        <w:pStyle w:val="33"/>
        <w:spacing w:before="0" w:beforeAutospacing="0" w:after="0" w:afterAutospacing="0" w:line="360" w:lineRule="auto"/>
        <w:ind w:firstLine="422"/>
        <w:contextualSpacing/>
        <w:rPr>
          <w:rFonts w:ascii="Times New Roman" w:cs="Times New Roman"/>
          <w:b/>
          <w:bCs/>
          <w:color w:val="auto"/>
          <w:sz w:val="21"/>
          <w:szCs w:val="21"/>
          <w:highlight w:val="none"/>
        </w:rPr>
      </w:pPr>
      <w:r>
        <w:rPr>
          <w:rFonts w:hint="eastAsia" w:ascii="Times New Roman" w:cs="Times New Roman"/>
          <w:b/>
          <w:bCs/>
          <w:color w:val="auto"/>
          <w:sz w:val="21"/>
          <w:szCs w:val="21"/>
          <w:highlight w:val="none"/>
        </w:rPr>
        <w:t>(3) 磋商响应函加盖企业法定代表人委托代理人印章（或签字），企业法定代表人委托代理人没有合法、有效的委托书的；</w:t>
      </w:r>
    </w:p>
    <w:p w14:paraId="2AAF70C3">
      <w:pPr>
        <w:pStyle w:val="33"/>
        <w:spacing w:before="0" w:beforeAutospacing="0" w:after="0" w:afterAutospacing="0" w:line="360" w:lineRule="auto"/>
        <w:ind w:firstLine="422"/>
        <w:contextualSpacing/>
        <w:rPr>
          <w:rFonts w:ascii="Times New Roman" w:cs="Times New Roman"/>
          <w:b/>
          <w:bCs/>
          <w:color w:val="auto"/>
          <w:sz w:val="21"/>
          <w:szCs w:val="21"/>
          <w:highlight w:val="none"/>
        </w:rPr>
      </w:pPr>
      <w:r>
        <w:rPr>
          <w:rFonts w:hint="eastAsia" w:ascii="Times New Roman" w:cs="Times New Roman"/>
          <w:b/>
          <w:bCs/>
          <w:color w:val="auto"/>
          <w:sz w:val="21"/>
          <w:szCs w:val="21"/>
          <w:highlight w:val="none"/>
        </w:rPr>
        <w:t>(4) 磋商供应商资质条件不符合国家有关规定，或者不满足磋商文件规定的资格条件的；</w:t>
      </w:r>
    </w:p>
    <w:p w14:paraId="64A9B9D2">
      <w:pPr>
        <w:pStyle w:val="33"/>
        <w:spacing w:before="0" w:beforeAutospacing="0" w:after="0" w:afterAutospacing="0" w:line="360" w:lineRule="auto"/>
        <w:ind w:firstLine="422"/>
        <w:contextualSpacing/>
        <w:rPr>
          <w:rFonts w:ascii="Times New Roman" w:cs="Times New Roman"/>
          <w:b/>
          <w:bCs/>
          <w:color w:val="auto"/>
          <w:sz w:val="21"/>
          <w:szCs w:val="21"/>
          <w:highlight w:val="none"/>
        </w:rPr>
      </w:pPr>
      <w:r>
        <w:rPr>
          <w:rFonts w:hint="eastAsia" w:ascii="Times New Roman" w:cs="Times New Roman"/>
          <w:b/>
          <w:bCs/>
          <w:color w:val="auto"/>
          <w:sz w:val="21"/>
          <w:szCs w:val="21"/>
          <w:highlight w:val="none"/>
        </w:rPr>
        <w:t>(</w:t>
      </w:r>
      <w:r>
        <w:rPr>
          <w:rFonts w:hint="eastAsia" w:ascii="Times New Roman" w:cs="Times New Roman"/>
          <w:b/>
          <w:bCs/>
          <w:color w:val="auto"/>
          <w:sz w:val="21"/>
          <w:szCs w:val="21"/>
          <w:highlight w:val="none"/>
          <w:lang w:val="en-US" w:eastAsia="zh-CN"/>
        </w:rPr>
        <w:t>5</w:t>
      </w:r>
      <w:r>
        <w:rPr>
          <w:rFonts w:hint="eastAsia" w:ascii="Times New Roman" w:cs="Times New Roman"/>
          <w:b/>
          <w:bCs/>
          <w:color w:val="auto"/>
          <w:sz w:val="21"/>
          <w:szCs w:val="21"/>
          <w:highlight w:val="none"/>
        </w:rPr>
        <w:t>) 响应文件报价低于工程成本或者高于磋商文件设定的预算价或者采购人设置的最高限价的；</w:t>
      </w:r>
    </w:p>
    <w:p w14:paraId="787E1A04">
      <w:pPr>
        <w:pStyle w:val="33"/>
        <w:spacing w:before="0" w:beforeAutospacing="0" w:after="0" w:afterAutospacing="0" w:line="360" w:lineRule="auto"/>
        <w:ind w:firstLine="422"/>
        <w:contextualSpacing/>
        <w:rPr>
          <w:rFonts w:ascii="Times New Roman" w:cs="Times New Roman"/>
          <w:b/>
          <w:bCs/>
          <w:color w:val="auto"/>
          <w:sz w:val="21"/>
          <w:szCs w:val="21"/>
          <w:highlight w:val="none"/>
        </w:rPr>
      </w:pPr>
      <w:r>
        <w:rPr>
          <w:rFonts w:hint="eastAsia" w:ascii="Times New Roman" w:cs="Times New Roman"/>
          <w:b/>
          <w:bCs/>
          <w:color w:val="auto"/>
          <w:sz w:val="21"/>
          <w:szCs w:val="21"/>
          <w:highlight w:val="none"/>
        </w:rPr>
        <w:t>(</w:t>
      </w:r>
      <w:r>
        <w:rPr>
          <w:rFonts w:hint="eastAsia" w:ascii="Times New Roman" w:cs="Times New Roman"/>
          <w:b/>
          <w:bCs/>
          <w:color w:val="auto"/>
          <w:sz w:val="21"/>
          <w:szCs w:val="21"/>
          <w:highlight w:val="none"/>
          <w:lang w:val="en-US" w:eastAsia="zh-CN"/>
        </w:rPr>
        <w:t>6</w:t>
      </w:r>
      <w:r>
        <w:rPr>
          <w:rFonts w:hint="eastAsia" w:ascii="Times New Roman" w:cs="Times New Roman"/>
          <w:b/>
          <w:bCs/>
          <w:color w:val="auto"/>
          <w:sz w:val="21"/>
          <w:szCs w:val="21"/>
          <w:highlight w:val="none"/>
        </w:rPr>
        <w:t>) 同一磋商供应商提交两个及以上不同的响应文件或者磋商报价，但磋商文件要求提交备选磋商的除外；</w:t>
      </w:r>
    </w:p>
    <w:p w14:paraId="417F1E41">
      <w:pPr>
        <w:pStyle w:val="33"/>
        <w:spacing w:before="0" w:beforeAutospacing="0" w:after="0" w:afterAutospacing="0" w:line="360" w:lineRule="auto"/>
        <w:ind w:firstLine="422"/>
        <w:contextualSpacing/>
        <w:rPr>
          <w:rFonts w:ascii="Times New Roman" w:cs="Times New Roman"/>
          <w:b/>
          <w:bCs/>
          <w:color w:val="auto"/>
          <w:sz w:val="21"/>
          <w:szCs w:val="21"/>
          <w:highlight w:val="none"/>
        </w:rPr>
      </w:pPr>
      <w:r>
        <w:rPr>
          <w:rFonts w:hint="eastAsia" w:ascii="Times New Roman" w:cs="Times New Roman"/>
          <w:b/>
          <w:bCs/>
          <w:color w:val="auto"/>
          <w:sz w:val="21"/>
          <w:szCs w:val="21"/>
          <w:highlight w:val="none"/>
        </w:rPr>
        <w:t>(</w:t>
      </w:r>
      <w:r>
        <w:rPr>
          <w:rFonts w:hint="eastAsia" w:ascii="Times New Roman" w:cs="Times New Roman"/>
          <w:b/>
          <w:bCs/>
          <w:color w:val="auto"/>
          <w:sz w:val="21"/>
          <w:szCs w:val="21"/>
          <w:highlight w:val="none"/>
          <w:lang w:val="en-US" w:eastAsia="zh-CN"/>
        </w:rPr>
        <w:t>7</w:t>
      </w:r>
      <w:r>
        <w:rPr>
          <w:rFonts w:hint="eastAsia" w:ascii="Times New Roman" w:cs="Times New Roman"/>
          <w:b/>
          <w:bCs/>
          <w:color w:val="auto"/>
          <w:sz w:val="21"/>
          <w:szCs w:val="21"/>
          <w:highlight w:val="none"/>
        </w:rPr>
        <w:t>) 响应文件中已标价工程量清单与磋商文件规定的暂估价、暂列金额及甲供材料价格不一致的；</w:t>
      </w:r>
    </w:p>
    <w:p w14:paraId="467FD054">
      <w:pPr>
        <w:pStyle w:val="33"/>
        <w:spacing w:before="0" w:beforeAutospacing="0" w:after="0" w:afterAutospacing="0" w:line="360" w:lineRule="auto"/>
        <w:ind w:firstLine="422"/>
        <w:contextualSpacing/>
        <w:rPr>
          <w:rFonts w:ascii="Times New Roman" w:cs="Times New Roman"/>
          <w:b/>
          <w:bCs/>
          <w:color w:val="auto"/>
          <w:sz w:val="21"/>
          <w:szCs w:val="21"/>
          <w:highlight w:val="none"/>
        </w:rPr>
      </w:pPr>
      <w:r>
        <w:rPr>
          <w:rFonts w:hint="eastAsia" w:ascii="Times New Roman" w:cs="Times New Roman"/>
          <w:b/>
          <w:bCs/>
          <w:color w:val="auto"/>
          <w:sz w:val="21"/>
          <w:szCs w:val="21"/>
          <w:highlight w:val="none"/>
        </w:rPr>
        <w:t>(</w:t>
      </w:r>
      <w:r>
        <w:rPr>
          <w:rFonts w:hint="eastAsia" w:ascii="Times New Roman" w:cs="Times New Roman"/>
          <w:b/>
          <w:bCs/>
          <w:color w:val="auto"/>
          <w:sz w:val="21"/>
          <w:szCs w:val="21"/>
          <w:highlight w:val="none"/>
          <w:lang w:val="en-US" w:eastAsia="zh-CN"/>
        </w:rPr>
        <w:t>8</w:t>
      </w:r>
      <w:r>
        <w:rPr>
          <w:rFonts w:hint="eastAsia" w:ascii="Times New Roman" w:cs="Times New Roman"/>
          <w:b/>
          <w:bCs/>
          <w:color w:val="auto"/>
          <w:sz w:val="21"/>
          <w:szCs w:val="21"/>
          <w:highlight w:val="none"/>
        </w:rPr>
        <w:t>) 响应文件中已标价工程量清单与磋商文件明确列出的不可竞争费用项目或费率或计算基础不一致的；</w:t>
      </w:r>
    </w:p>
    <w:p w14:paraId="1F68636F">
      <w:pPr>
        <w:pStyle w:val="33"/>
        <w:spacing w:before="0" w:beforeAutospacing="0" w:after="0" w:afterAutospacing="0" w:line="360" w:lineRule="auto"/>
        <w:ind w:firstLine="422"/>
        <w:contextualSpacing/>
        <w:rPr>
          <w:rFonts w:ascii="Times New Roman" w:cs="Times New Roman"/>
          <w:b/>
          <w:bCs/>
          <w:color w:val="auto"/>
          <w:sz w:val="21"/>
          <w:szCs w:val="21"/>
          <w:highlight w:val="none"/>
        </w:rPr>
      </w:pPr>
      <w:r>
        <w:rPr>
          <w:rFonts w:hint="eastAsia" w:ascii="Times New Roman" w:cs="Times New Roman"/>
          <w:b/>
          <w:bCs/>
          <w:color w:val="auto"/>
          <w:sz w:val="21"/>
          <w:szCs w:val="21"/>
          <w:highlight w:val="none"/>
        </w:rPr>
        <w:t>(</w:t>
      </w:r>
      <w:r>
        <w:rPr>
          <w:rFonts w:hint="eastAsia" w:ascii="Times New Roman" w:cs="Times New Roman"/>
          <w:b/>
          <w:bCs/>
          <w:color w:val="auto"/>
          <w:sz w:val="21"/>
          <w:szCs w:val="21"/>
          <w:highlight w:val="none"/>
          <w:lang w:val="en-US" w:eastAsia="zh-CN"/>
        </w:rPr>
        <w:t>9</w:t>
      </w:r>
      <w:r>
        <w:rPr>
          <w:rFonts w:hint="eastAsia" w:ascii="Times New Roman" w:cs="Times New Roman"/>
          <w:b/>
          <w:bCs/>
          <w:color w:val="auto"/>
          <w:sz w:val="21"/>
          <w:szCs w:val="21"/>
          <w:highlight w:val="none"/>
        </w:rPr>
        <w:t>).响应文件的已标价工程量清单与磋商文件提供的工程量清单中的项目编码、项目名称、项目特征、计量单位、工程量不一致的；</w:t>
      </w:r>
    </w:p>
    <w:p w14:paraId="0492D2D2">
      <w:pPr>
        <w:pStyle w:val="33"/>
        <w:spacing w:before="0" w:beforeAutospacing="0" w:after="0" w:afterAutospacing="0" w:line="360" w:lineRule="auto"/>
        <w:ind w:firstLine="422"/>
        <w:contextualSpacing/>
        <w:rPr>
          <w:rFonts w:ascii="Times New Roman" w:cs="Times New Roman"/>
          <w:b/>
          <w:bCs/>
          <w:color w:val="auto"/>
          <w:sz w:val="21"/>
          <w:szCs w:val="21"/>
          <w:highlight w:val="none"/>
        </w:rPr>
      </w:pPr>
      <w:r>
        <w:rPr>
          <w:rFonts w:hint="eastAsia" w:ascii="Times New Roman" w:cs="Times New Roman"/>
          <w:b/>
          <w:bCs/>
          <w:color w:val="auto"/>
          <w:sz w:val="21"/>
          <w:szCs w:val="21"/>
          <w:highlight w:val="none"/>
        </w:rPr>
        <w:t>(1</w:t>
      </w:r>
      <w:r>
        <w:rPr>
          <w:rFonts w:hint="eastAsia" w:ascii="Times New Roman" w:cs="Times New Roman"/>
          <w:b/>
          <w:bCs/>
          <w:color w:val="auto"/>
          <w:sz w:val="21"/>
          <w:szCs w:val="21"/>
          <w:highlight w:val="none"/>
          <w:lang w:val="en-US" w:eastAsia="zh-CN"/>
        </w:rPr>
        <w:t>0</w:t>
      </w:r>
      <w:r>
        <w:rPr>
          <w:rFonts w:hint="eastAsia" w:ascii="Times New Roman" w:cs="Times New Roman"/>
          <w:b/>
          <w:bCs/>
          <w:color w:val="auto"/>
          <w:sz w:val="21"/>
          <w:szCs w:val="21"/>
          <w:highlight w:val="none"/>
        </w:rPr>
        <w:t>) 响应文件载明的磋商项目完成期限超过磋商文件规定的期限的；</w:t>
      </w:r>
    </w:p>
    <w:p w14:paraId="0ED53CE8">
      <w:pPr>
        <w:pStyle w:val="33"/>
        <w:spacing w:before="0" w:beforeAutospacing="0" w:after="0" w:afterAutospacing="0" w:line="360" w:lineRule="auto"/>
        <w:ind w:firstLine="422"/>
        <w:contextualSpacing/>
        <w:rPr>
          <w:rFonts w:ascii="Times New Roman" w:cs="Times New Roman"/>
          <w:b/>
          <w:bCs/>
          <w:color w:val="auto"/>
          <w:sz w:val="21"/>
          <w:szCs w:val="21"/>
          <w:highlight w:val="none"/>
        </w:rPr>
      </w:pPr>
      <w:r>
        <w:rPr>
          <w:rFonts w:hint="eastAsia" w:ascii="Times New Roman" w:cs="Times New Roman"/>
          <w:b/>
          <w:bCs/>
          <w:color w:val="auto"/>
          <w:sz w:val="21"/>
          <w:szCs w:val="21"/>
          <w:highlight w:val="none"/>
        </w:rPr>
        <w:t>(</w:t>
      </w:r>
      <w:r>
        <w:rPr>
          <w:rFonts w:hint="eastAsia" w:ascii="Times New Roman" w:cs="Times New Roman"/>
          <w:b/>
          <w:bCs/>
          <w:color w:val="auto"/>
          <w:sz w:val="21"/>
          <w:szCs w:val="21"/>
          <w:highlight w:val="none"/>
          <w:lang w:val="en-US" w:eastAsia="zh-CN"/>
        </w:rPr>
        <w:t>11</w:t>
      </w:r>
      <w:r>
        <w:rPr>
          <w:rFonts w:hint="eastAsia" w:ascii="Times New Roman" w:cs="Times New Roman"/>
          <w:b/>
          <w:bCs/>
          <w:color w:val="auto"/>
          <w:sz w:val="21"/>
          <w:szCs w:val="21"/>
          <w:highlight w:val="none"/>
        </w:rPr>
        <w:t>) 明显不符合技术规范、技术标准的要求的；</w:t>
      </w:r>
    </w:p>
    <w:p w14:paraId="3B6C51C1">
      <w:pPr>
        <w:pStyle w:val="33"/>
        <w:spacing w:before="0" w:beforeAutospacing="0" w:after="0" w:afterAutospacing="0" w:line="360" w:lineRule="auto"/>
        <w:ind w:firstLine="422"/>
        <w:contextualSpacing/>
        <w:rPr>
          <w:rFonts w:ascii="Times New Roman" w:cs="Times New Roman"/>
          <w:b/>
          <w:bCs/>
          <w:color w:val="auto"/>
          <w:sz w:val="21"/>
          <w:szCs w:val="21"/>
          <w:highlight w:val="none"/>
        </w:rPr>
      </w:pPr>
      <w:r>
        <w:rPr>
          <w:rFonts w:hint="eastAsia" w:ascii="Times New Roman" w:cs="Times New Roman"/>
          <w:b/>
          <w:bCs/>
          <w:color w:val="auto"/>
          <w:sz w:val="21"/>
          <w:szCs w:val="21"/>
          <w:highlight w:val="none"/>
        </w:rPr>
        <w:t>(1</w:t>
      </w:r>
      <w:r>
        <w:rPr>
          <w:rFonts w:hint="eastAsia" w:ascii="Times New Roman" w:cs="Times New Roman"/>
          <w:b/>
          <w:bCs/>
          <w:color w:val="auto"/>
          <w:sz w:val="21"/>
          <w:szCs w:val="21"/>
          <w:highlight w:val="none"/>
          <w:lang w:val="en-US" w:eastAsia="zh-CN"/>
        </w:rPr>
        <w:t>2</w:t>
      </w:r>
      <w:r>
        <w:rPr>
          <w:rFonts w:hint="eastAsia" w:ascii="Times New Roman" w:cs="Times New Roman"/>
          <w:b/>
          <w:bCs/>
          <w:color w:val="auto"/>
          <w:sz w:val="21"/>
          <w:szCs w:val="21"/>
          <w:highlight w:val="none"/>
        </w:rPr>
        <w:t>) 响应文件载明的货物包装方式、检验标准和方法等不符合磋商文件的要求的；</w:t>
      </w:r>
    </w:p>
    <w:p w14:paraId="40F68C54">
      <w:pPr>
        <w:pStyle w:val="33"/>
        <w:spacing w:before="0" w:beforeAutospacing="0" w:after="0" w:afterAutospacing="0" w:line="360" w:lineRule="auto"/>
        <w:ind w:firstLine="422"/>
        <w:contextualSpacing/>
        <w:rPr>
          <w:rFonts w:ascii="Times New Roman" w:cs="Times New Roman"/>
          <w:b/>
          <w:bCs/>
          <w:color w:val="auto"/>
          <w:sz w:val="21"/>
          <w:szCs w:val="21"/>
          <w:highlight w:val="none"/>
        </w:rPr>
      </w:pPr>
      <w:r>
        <w:rPr>
          <w:rFonts w:hint="eastAsia" w:ascii="Times New Roman" w:cs="Times New Roman"/>
          <w:b/>
          <w:bCs/>
          <w:color w:val="auto"/>
          <w:sz w:val="21"/>
          <w:szCs w:val="21"/>
          <w:highlight w:val="none"/>
        </w:rPr>
        <w:t>(1</w:t>
      </w:r>
      <w:r>
        <w:rPr>
          <w:rFonts w:hint="eastAsia" w:ascii="Times New Roman" w:cs="Times New Roman"/>
          <w:b/>
          <w:bCs/>
          <w:color w:val="auto"/>
          <w:sz w:val="21"/>
          <w:szCs w:val="21"/>
          <w:highlight w:val="none"/>
          <w:lang w:val="en-US" w:eastAsia="zh-CN"/>
        </w:rPr>
        <w:t>3</w:t>
      </w:r>
      <w:r>
        <w:rPr>
          <w:rFonts w:hint="eastAsia" w:ascii="Times New Roman" w:cs="Times New Roman"/>
          <w:b/>
          <w:bCs/>
          <w:color w:val="auto"/>
          <w:sz w:val="21"/>
          <w:szCs w:val="21"/>
          <w:highlight w:val="none"/>
        </w:rPr>
        <w:t>) 响应文件提出了不能满足磋商文件要求或采购人不能接受的工程验收、计量、价款结算和支付办法的；</w:t>
      </w:r>
    </w:p>
    <w:p w14:paraId="5AFC59B4">
      <w:pPr>
        <w:tabs>
          <w:tab w:val="left" w:pos="900"/>
        </w:tabs>
        <w:spacing w:line="360" w:lineRule="auto"/>
        <w:ind w:firstLine="420"/>
        <w:jc w:val="left"/>
        <w:rPr>
          <w:rFonts w:hint="eastAsia" w:ascii="宋体" w:hAnsi="宋体"/>
          <w:b/>
          <w:bCs/>
          <w:color w:val="auto"/>
          <w:szCs w:val="21"/>
          <w:highlight w:val="none"/>
        </w:rPr>
      </w:pPr>
      <w:r>
        <w:rPr>
          <w:rFonts w:hint="eastAsia" w:ascii="Times New Roman" w:cs="Times New Roman"/>
          <w:b/>
          <w:bCs/>
          <w:color w:val="auto"/>
          <w:sz w:val="21"/>
          <w:szCs w:val="21"/>
          <w:highlight w:val="none"/>
        </w:rPr>
        <w:t>(1</w:t>
      </w:r>
      <w:r>
        <w:rPr>
          <w:rFonts w:hint="eastAsia" w:ascii="Times New Roman" w:cs="Times New Roman"/>
          <w:b/>
          <w:bCs/>
          <w:color w:val="auto"/>
          <w:sz w:val="21"/>
          <w:szCs w:val="21"/>
          <w:highlight w:val="none"/>
          <w:lang w:val="en-US" w:eastAsia="zh-CN"/>
        </w:rPr>
        <w:t>4</w:t>
      </w:r>
      <w:r>
        <w:rPr>
          <w:rFonts w:hint="eastAsia" w:ascii="Times New Roman" w:cs="Times New Roman"/>
          <w:b/>
          <w:bCs/>
          <w:color w:val="auto"/>
          <w:sz w:val="21"/>
          <w:szCs w:val="21"/>
          <w:highlight w:val="none"/>
        </w:rPr>
        <w:t>) 未按磋商文件要求提供</w:t>
      </w:r>
      <w:r>
        <w:rPr>
          <w:rFonts w:hint="eastAsia" w:ascii="Times New Roman" w:cs="Times New Roman"/>
          <w:b/>
          <w:bCs/>
          <w:color w:val="auto"/>
          <w:sz w:val="21"/>
          <w:szCs w:val="21"/>
          <w:highlight w:val="none"/>
          <w:lang w:eastAsia="zh-CN"/>
        </w:rPr>
        <w:t>响应文件或</w:t>
      </w:r>
      <w:r>
        <w:rPr>
          <w:rFonts w:hint="eastAsia" w:ascii="宋体" w:hAnsi="宋体"/>
          <w:b/>
          <w:bCs/>
          <w:color w:val="auto"/>
          <w:szCs w:val="21"/>
          <w:highlight w:val="none"/>
        </w:rPr>
        <w:t>供应商在苏采云系统规定的时间内未成功解密电子响应文件的。</w:t>
      </w:r>
    </w:p>
    <w:p w14:paraId="1B0BE84B">
      <w:pPr>
        <w:pStyle w:val="33"/>
        <w:spacing w:before="0" w:beforeAutospacing="0" w:after="0" w:afterAutospacing="0" w:line="360" w:lineRule="auto"/>
        <w:ind w:firstLine="422"/>
        <w:contextualSpacing/>
        <w:rPr>
          <w:rFonts w:ascii="Times New Roman" w:cs="Times New Roman"/>
          <w:b/>
          <w:bCs/>
          <w:color w:val="auto"/>
          <w:sz w:val="21"/>
          <w:szCs w:val="21"/>
          <w:highlight w:val="none"/>
        </w:rPr>
      </w:pPr>
      <w:r>
        <w:rPr>
          <w:rFonts w:hint="eastAsia" w:ascii="Times New Roman" w:cs="Times New Roman"/>
          <w:b/>
          <w:bCs/>
          <w:color w:val="auto"/>
          <w:sz w:val="21"/>
          <w:szCs w:val="21"/>
          <w:highlight w:val="none"/>
        </w:rPr>
        <w:t>(</w:t>
      </w:r>
      <w:r>
        <w:rPr>
          <w:rFonts w:hint="eastAsia" w:ascii="Times New Roman" w:cs="Times New Roman"/>
          <w:b/>
          <w:bCs/>
          <w:color w:val="auto"/>
          <w:sz w:val="21"/>
          <w:szCs w:val="21"/>
          <w:highlight w:val="none"/>
          <w:lang w:val="en-US" w:eastAsia="zh-CN"/>
        </w:rPr>
        <w:t>15</w:t>
      </w:r>
      <w:r>
        <w:rPr>
          <w:rFonts w:hint="eastAsia" w:ascii="Times New Roman" w:cs="Times New Roman"/>
          <w:b/>
          <w:bCs/>
          <w:color w:val="auto"/>
          <w:sz w:val="21"/>
          <w:szCs w:val="21"/>
          <w:highlight w:val="none"/>
        </w:rPr>
        <w:t>) 不同磋商供应商的响应文件以及响应文件制作过程出现了评审委员会认为不应当雷同的情况的；</w:t>
      </w:r>
    </w:p>
    <w:p w14:paraId="15AD56E2">
      <w:pPr>
        <w:pStyle w:val="33"/>
        <w:spacing w:before="0" w:beforeAutospacing="0" w:after="0" w:afterAutospacing="0" w:line="360" w:lineRule="auto"/>
        <w:ind w:firstLine="422"/>
        <w:contextualSpacing/>
        <w:rPr>
          <w:rFonts w:ascii="Times New Roman" w:cs="Times New Roman"/>
          <w:b/>
          <w:bCs/>
          <w:color w:val="auto"/>
          <w:sz w:val="21"/>
          <w:szCs w:val="21"/>
          <w:highlight w:val="none"/>
        </w:rPr>
      </w:pPr>
      <w:r>
        <w:rPr>
          <w:rFonts w:hint="eastAsia" w:ascii="Times New Roman" w:cs="Times New Roman"/>
          <w:b/>
          <w:bCs/>
          <w:color w:val="auto"/>
          <w:sz w:val="21"/>
          <w:szCs w:val="21"/>
          <w:highlight w:val="none"/>
        </w:rPr>
        <w:t>(</w:t>
      </w:r>
      <w:r>
        <w:rPr>
          <w:rFonts w:hint="eastAsia" w:ascii="Times New Roman" w:cs="Times New Roman"/>
          <w:b/>
          <w:bCs/>
          <w:color w:val="auto"/>
          <w:sz w:val="21"/>
          <w:szCs w:val="21"/>
          <w:highlight w:val="none"/>
          <w:lang w:val="en-US" w:eastAsia="zh-CN"/>
        </w:rPr>
        <w:t>16</w:t>
      </w:r>
      <w:r>
        <w:rPr>
          <w:rFonts w:hint="eastAsia" w:ascii="Times New Roman" w:cs="Times New Roman"/>
          <w:b/>
          <w:bCs/>
          <w:color w:val="auto"/>
          <w:sz w:val="21"/>
          <w:szCs w:val="21"/>
          <w:highlight w:val="none"/>
        </w:rPr>
        <w:t>) 以他人的名义参与磋商、串通磋商、以行贿手段谋取成交或者以其他弄虚作假方式参与磋商的；</w:t>
      </w:r>
    </w:p>
    <w:p w14:paraId="2DE0445F">
      <w:pPr>
        <w:pStyle w:val="33"/>
        <w:spacing w:before="0" w:beforeAutospacing="0" w:after="0" w:afterAutospacing="0" w:line="360" w:lineRule="auto"/>
        <w:ind w:firstLine="422"/>
        <w:contextualSpacing/>
        <w:rPr>
          <w:rFonts w:ascii="Times New Roman" w:cs="Times New Roman"/>
          <w:b/>
          <w:bCs/>
          <w:color w:val="auto"/>
          <w:sz w:val="21"/>
          <w:szCs w:val="21"/>
          <w:highlight w:val="none"/>
        </w:rPr>
      </w:pPr>
      <w:r>
        <w:rPr>
          <w:rFonts w:hint="eastAsia" w:ascii="Times New Roman" w:cs="Times New Roman"/>
          <w:b/>
          <w:bCs/>
          <w:color w:val="auto"/>
          <w:sz w:val="21"/>
          <w:szCs w:val="21"/>
          <w:highlight w:val="none"/>
        </w:rPr>
        <w:t>(</w:t>
      </w:r>
      <w:r>
        <w:rPr>
          <w:rFonts w:hint="eastAsia" w:ascii="Times New Roman" w:cs="Times New Roman"/>
          <w:b/>
          <w:bCs/>
          <w:color w:val="auto"/>
          <w:sz w:val="21"/>
          <w:szCs w:val="21"/>
          <w:highlight w:val="none"/>
          <w:lang w:val="en-US" w:eastAsia="zh-CN"/>
        </w:rPr>
        <w:t>17</w:t>
      </w:r>
      <w:r>
        <w:rPr>
          <w:rFonts w:hint="eastAsia" w:ascii="Times New Roman" w:cs="Times New Roman"/>
          <w:b/>
          <w:bCs/>
          <w:color w:val="auto"/>
          <w:sz w:val="21"/>
          <w:szCs w:val="21"/>
          <w:highlight w:val="none"/>
        </w:rPr>
        <w:t>) 不符合法律、法规和磋商文件中规定的其他实质性要求和条件的；</w:t>
      </w:r>
    </w:p>
    <w:p w14:paraId="1E76D8E3">
      <w:pPr>
        <w:pStyle w:val="33"/>
        <w:spacing w:before="0" w:beforeAutospacing="0" w:after="0" w:afterAutospacing="0" w:line="360" w:lineRule="auto"/>
        <w:ind w:firstLine="422"/>
        <w:contextualSpacing/>
        <w:rPr>
          <w:rFonts w:hint="eastAsia" w:ascii="Times New Roman" w:eastAsia="宋体" w:cs="Times New Roman"/>
          <w:b/>
          <w:bCs/>
          <w:color w:val="auto"/>
          <w:sz w:val="21"/>
          <w:szCs w:val="21"/>
          <w:highlight w:val="none"/>
          <w:lang w:eastAsia="zh-CN"/>
        </w:rPr>
      </w:pPr>
      <w:r>
        <w:rPr>
          <w:rFonts w:hint="eastAsia" w:ascii="Times New Roman" w:cs="Times New Roman"/>
          <w:b/>
          <w:bCs/>
          <w:color w:val="auto"/>
          <w:sz w:val="21"/>
          <w:szCs w:val="21"/>
          <w:highlight w:val="none"/>
        </w:rPr>
        <w:t>(</w:t>
      </w:r>
      <w:r>
        <w:rPr>
          <w:rFonts w:hint="eastAsia" w:ascii="Times New Roman" w:cs="Times New Roman"/>
          <w:b/>
          <w:bCs/>
          <w:color w:val="auto"/>
          <w:sz w:val="21"/>
          <w:szCs w:val="21"/>
          <w:highlight w:val="none"/>
          <w:lang w:val="en-US" w:eastAsia="zh-CN"/>
        </w:rPr>
        <w:t>18</w:t>
      </w:r>
      <w:r>
        <w:rPr>
          <w:rFonts w:hint="eastAsia" w:ascii="Times New Roman" w:cs="Times New Roman"/>
          <w:b/>
          <w:bCs/>
          <w:color w:val="auto"/>
          <w:sz w:val="21"/>
          <w:szCs w:val="21"/>
          <w:highlight w:val="none"/>
        </w:rPr>
        <w:t>) 其他法律、法规及本磋商文件规定的属未实质性响应的响应文件的情形</w:t>
      </w:r>
      <w:r>
        <w:rPr>
          <w:rFonts w:hint="eastAsia" w:ascii="Times New Roman" w:cs="Times New Roman"/>
          <w:b/>
          <w:bCs/>
          <w:color w:val="auto"/>
          <w:sz w:val="21"/>
          <w:szCs w:val="21"/>
          <w:highlight w:val="none"/>
          <w:lang w:eastAsia="zh-CN"/>
        </w:rPr>
        <w:t>；</w:t>
      </w:r>
    </w:p>
    <w:p w14:paraId="10A1DB72">
      <w:pPr>
        <w:tabs>
          <w:tab w:val="left" w:pos="900"/>
        </w:tabs>
        <w:spacing w:line="360" w:lineRule="auto"/>
        <w:ind w:firstLine="632" w:firstLineChars="300"/>
        <w:jc w:val="left"/>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① </w:t>
      </w:r>
      <w:r>
        <w:rPr>
          <w:rFonts w:hint="eastAsia" w:ascii="宋体" w:hAnsi="宋体"/>
          <w:b/>
          <w:bCs/>
          <w:color w:val="auto"/>
          <w:szCs w:val="21"/>
          <w:highlight w:val="none"/>
        </w:rPr>
        <w:t>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32B92AE">
      <w:pPr>
        <w:tabs>
          <w:tab w:val="left" w:pos="900"/>
        </w:tabs>
        <w:spacing w:line="360" w:lineRule="auto"/>
        <w:ind w:firstLine="632" w:firstLineChars="300"/>
        <w:jc w:val="left"/>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② </w:t>
      </w:r>
      <w:r>
        <w:rPr>
          <w:rFonts w:hint="eastAsia" w:ascii="宋体" w:hAnsi="宋体"/>
          <w:b/>
          <w:bCs/>
          <w:color w:val="auto"/>
          <w:szCs w:val="21"/>
          <w:highlight w:val="none"/>
        </w:rPr>
        <w:t>响应文件含有采购人不能接受的附加条件的。</w:t>
      </w:r>
    </w:p>
    <w:p w14:paraId="6090107A">
      <w:pPr>
        <w:tabs>
          <w:tab w:val="left" w:pos="900"/>
        </w:tabs>
        <w:spacing w:line="360" w:lineRule="auto"/>
        <w:ind w:firstLine="632" w:firstLineChars="300"/>
        <w:jc w:val="left"/>
        <w:rPr>
          <w:rFonts w:hint="eastAsia" w:ascii="宋体" w:hAnsi="宋体"/>
          <w:b/>
          <w:bCs/>
          <w:color w:val="auto"/>
          <w:szCs w:val="21"/>
          <w:highlight w:val="none"/>
          <w:lang w:eastAsia="zh-CN"/>
        </w:rPr>
      </w:pPr>
      <w:r>
        <w:rPr>
          <w:rFonts w:hint="eastAsia" w:ascii="宋体" w:hAnsi="宋体"/>
          <w:b/>
          <w:bCs/>
          <w:color w:val="auto"/>
          <w:szCs w:val="21"/>
          <w:highlight w:val="none"/>
          <w:lang w:val="en-US" w:eastAsia="zh-CN"/>
        </w:rPr>
        <w:t xml:space="preserve">③ </w:t>
      </w:r>
      <w:r>
        <w:rPr>
          <w:rFonts w:hint="eastAsia" w:ascii="宋体" w:hAnsi="宋体"/>
          <w:b/>
          <w:bCs/>
          <w:color w:val="auto"/>
          <w:szCs w:val="21"/>
          <w:highlight w:val="none"/>
        </w:rPr>
        <w:t>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
          <w:bCs/>
          <w:color w:val="auto"/>
          <w:szCs w:val="21"/>
          <w:highlight w:val="none"/>
          <w:lang w:eastAsia="zh-CN"/>
        </w:rPr>
        <w:t>。</w:t>
      </w:r>
    </w:p>
    <w:p w14:paraId="6481489F">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5</w:t>
      </w:r>
      <w:r>
        <w:rPr>
          <w:rFonts w:hint="eastAsia" w:ascii="宋体" w:hAnsi="宋体"/>
          <w:color w:val="auto"/>
          <w:szCs w:val="21"/>
          <w:highlight w:val="none"/>
        </w:rPr>
        <w:t>.4未实质性响应磋商文件的响应文件按无效响应处理。</w:t>
      </w:r>
    </w:p>
    <w:p w14:paraId="08728127">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5</w:t>
      </w:r>
      <w:r>
        <w:rPr>
          <w:rFonts w:hint="eastAsia" w:ascii="宋体" w:hAnsi="宋体"/>
          <w:color w:val="auto"/>
          <w:szCs w:val="21"/>
          <w:highlight w:val="none"/>
        </w:rPr>
        <w:t>.5如果响应文件实质上没有响应磋商文件的要求，磋商小组将予以拒绝，供应商不得通过修改或撤销不合要求的偏离或保留而使其成为实质性响应的文件。</w:t>
      </w:r>
    </w:p>
    <w:p w14:paraId="027959FD">
      <w:pPr>
        <w:tabs>
          <w:tab w:val="left" w:pos="900"/>
        </w:tabs>
        <w:spacing w:line="360" w:lineRule="auto"/>
        <w:ind w:firstLine="420"/>
        <w:jc w:val="left"/>
        <w:rPr>
          <w:rFonts w:hint="eastAsia" w:ascii="宋体" w:hAnsi="宋体"/>
          <w:color w:val="auto"/>
          <w:szCs w:val="21"/>
          <w:highlight w:val="none"/>
        </w:rPr>
      </w:pPr>
      <w:bookmarkStart w:id="177" w:name="_Toc20823306"/>
      <w:bookmarkStart w:id="178" w:name="_Toc16938550"/>
      <w:bookmarkStart w:id="179" w:name="_Toc513029234"/>
      <w:r>
        <w:rPr>
          <w:rFonts w:hint="eastAsia" w:ascii="宋体" w:hAnsi="宋体"/>
          <w:color w:val="auto"/>
          <w:szCs w:val="21"/>
          <w:highlight w:val="none"/>
          <w:lang w:val="en-US" w:eastAsia="zh-CN"/>
        </w:rPr>
        <w:t>5</w:t>
      </w:r>
      <w:r>
        <w:rPr>
          <w:rFonts w:hint="eastAsia" w:ascii="宋体" w:hAnsi="宋体"/>
          <w:color w:val="auto"/>
          <w:szCs w:val="21"/>
          <w:highlight w:val="none"/>
        </w:rPr>
        <w:t>.6供应商在项目评审全过程中应保持通讯畅通，并安排专人与</w:t>
      </w:r>
      <w:r>
        <w:rPr>
          <w:rFonts w:hint="eastAsia" w:ascii="宋体" w:hAnsi="宋体"/>
          <w:color w:val="auto"/>
          <w:szCs w:val="21"/>
          <w:highlight w:val="none"/>
          <w:lang w:eastAsia="zh-CN"/>
        </w:rPr>
        <w:t>采购代理机构</w:t>
      </w:r>
      <w:r>
        <w:rPr>
          <w:rFonts w:hint="eastAsia" w:ascii="宋体" w:hAnsi="宋体"/>
          <w:color w:val="auto"/>
          <w:szCs w:val="21"/>
          <w:highlight w:val="none"/>
        </w:rPr>
        <w:t>及磋商小组联系。</w:t>
      </w:r>
    </w:p>
    <w:p w14:paraId="7164B9E0">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6</w:t>
      </w:r>
      <w:r>
        <w:rPr>
          <w:rFonts w:hint="eastAsia" w:ascii="宋体" w:hAnsi="宋体"/>
          <w:color w:val="auto"/>
          <w:szCs w:val="21"/>
          <w:highlight w:val="none"/>
        </w:rPr>
        <w:t>、</w:t>
      </w:r>
      <w:bookmarkEnd w:id="177"/>
      <w:bookmarkEnd w:id="178"/>
      <w:bookmarkEnd w:id="179"/>
      <w:r>
        <w:rPr>
          <w:rFonts w:hint="eastAsia" w:ascii="宋体" w:hAnsi="宋体"/>
          <w:color w:val="auto"/>
          <w:szCs w:val="21"/>
          <w:highlight w:val="none"/>
        </w:rPr>
        <w:t>磋商程序及评审方法和评审标准</w:t>
      </w:r>
    </w:p>
    <w:p w14:paraId="6508D08D">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6.1 磋商程序</w:t>
      </w:r>
    </w:p>
    <w:p w14:paraId="033A4B30">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6</w:t>
      </w:r>
      <w:r>
        <w:rPr>
          <w:rFonts w:hint="eastAsia" w:ascii="宋体" w:hAnsi="宋体"/>
          <w:color w:val="auto"/>
          <w:szCs w:val="21"/>
          <w:highlight w:val="none"/>
        </w:rPr>
        <w:t>.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9B17551">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43CA5D4F">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6</w:t>
      </w:r>
      <w:r>
        <w:rPr>
          <w:rFonts w:hint="eastAsia" w:ascii="宋体" w:hAnsi="宋体"/>
          <w:color w:val="auto"/>
          <w:szCs w:val="21"/>
          <w:highlight w:val="none"/>
        </w:rPr>
        <w:t>.1.2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p>
    <w:p w14:paraId="4C3CA473">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磋商文件不能详细列明采购标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68DB9823">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33ED9634">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6</w:t>
      </w:r>
      <w:r>
        <w:rPr>
          <w:rFonts w:hint="eastAsia" w:ascii="宋体" w:hAnsi="宋体"/>
          <w:color w:val="auto"/>
          <w:szCs w:val="21"/>
          <w:highlight w:val="none"/>
        </w:rPr>
        <w:t>.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16F46158">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6.1.4 本项目各分项最终结算价按照磋商首次报价与最后报价同比例变动。</w:t>
      </w:r>
    </w:p>
    <w:p w14:paraId="6CCFEC4C">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6.2 评审方法和标准</w:t>
      </w:r>
    </w:p>
    <w:p w14:paraId="1326B5A5">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6.2.1 评审方法。</w:t>
      </w:r>
      <w:r>
        <w:rPr>
          <w:rFonts w:hint="eastAsia" w:ascii="宋体" w:hAnsi="宋体"/>
          <w:b/>
          <w:color w:val="auto"/>
          <w:szCs w:val="21"/>
          <w:highlight w:val="none"/>
        </w:rPr>
        <w:t>经磋商确定最终采购需求和确定提交最后报价的供应商后，由磋商小组采用综合评分法对提交最后报价的供应商的响应文件和最后报价进行综合评分。</w:t>
      </w:r>
    </w:p>
    <w:p w14:paraId="66E82218">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综合评分法，是指响应文件满足磋商文件全部实质性要求且按评审因素的量化指标评审得分最高的供应商为成交候选供应商的评审方法。</w:t>
      </w:r>
    </w:p>
    <w:p w14:paraId="32CA5761">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评审时，磋商小组各成员独立对每个有效响应的文件进行评价、打分，然后汇总每个供应商每项评审因素的得分。</w:t>
      </w:r>
    </w:p>
    <w:p w14:paraId="62CB5B32">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6.2.2 评审标准</w:t>
      </w:r>
    </w:p>
    <w:p w14:paraId="6FDD0AFD">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见本磋商文件第五章“评审方法和评审标准”。</w:t>
      </w:r>
    </w:p>
    <w:p w14:paraId="31EA6C32">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6.2.3 评审报告</w:t>
      </w:r>
    </w:p>
    <w:p w14:paraId="42740929">
      <w:pPr>
        <w:tabs>
          <w:tab w:val="left" w:pos="900"/>
        </w:tabs>
        <w:spacing w:line="360" w:lineRule="auto"/>
        <w:ind w:firstLine="420"/>
        <w:jc w:val="left"/>
        <w:rPr>
          <w:rFonts w:ascii="宋体" w:hAnsi="宋体"/>
          <w:color w:val="auto"/>
          <w:szCs w:val="21"/>
          <w:highlight w:val="none"/>
        </w:rPr>
      </w:pPr>
      <w:r>
        <w:rPr>
          <w:rFonts w:ascii="宋体" w:hAnsi="宋体"/>
          <w:color w:val="auto"/>
          <w:szCs w:val="21"/>
          <w:highlight w:val="none"/>
        </w:rPr>
        <w:t>评审报告由磋商小组全体人员签字认可。磋商小组成员对评审报告有异议的，磋商小组按照少数服从多数的原则推荐成交候选</w:t>
      </w:r>
      <w:r>
        <w:rPr>
          <w:rFonts w:hint="eastAsia" w:ascii="宋体" w:hAnsi="宋体"/>
          <w:color w:val="auto"/>
          <w:szCs w:val="21"/>
          <w:highlight w:val="none"/>
        </w:rPr>
        <w:t>供应商</w:t>
      </w:r>
      <w:r>
        <w:rPr>
          <w:rFonts w:ascii="宋体" w:hAnsi="宋体"/>
          <w:color w:val="auto"/>
          <w:szCs w:val="21"/>
          <w:highlight w:val="none"/>
        </w:rPr>
        <w:t>，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0611792A">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6.3 采购活动终止的情况</w:t>
      </w:r>
    </w:p>
    <w:p w14:paraId="724601C9">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出现下列情形之一的，本次竞争性磋商采购活动将被终止：</w:t>
      </w:r>
    </w:p>
    <w:p w14:paraId="79D83604">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lang w:val="en-US" w:eastAsia="zh-CN"/>
        </w:rPr>
        <w:t>6</w:t>
      </w:r>
      <w:r>
        <w:rPr>
          <w:rFonts w:hint="eastAsia" w:ascii="宋体" w:hAnsi="宋体"/>
          <w:color w:val="auto"/>
          <w:szCs w:val="21"/>
          <w:highlight w:val="none"/>
        </w:rPr>
        <w:t>.3.1因情况变化，不再符合规定的竞争性磋商采购方式适用情形的。</w:t>
      </w:r>
    </w:p>
    <w:p w14:paraId="242F23D7">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lang w:val="en-US" w:eastAsia="zh-CN"/>
        </w:rPr>
        <w:t>6</w:t>
      </w:r>
      <w:r>
        <w:rPr>
          <w:rFonts w:hint="eastAsia" w:ascii="宋体" w:hAnsi="宋体"/>
          <w:color w:val="auto"/>
          <w:szCs w:val="21"/>
          <w:highlight w:val="none"/>
        </w:rPr>
        <w:t>.3.2出现影响采购公正的违法、违规行为的。</w:t>
      </w:r>
    </w:p>
    <w:p w14:paraId="24A9922E">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lang w:val="en-US" w:eastAsia="zh-CN"/>
        </w:rPr>
        <w:t>6</w:t>
      </w:r>
      <w:r>
        <w:rPr>
          <w:rFonts w:hint="eastAsia" w:ascii="宋体" w:hAnsi="宋体"/>
          <w:color w:val="auto"/>
          <w:szCs w:val="21"/>
          <w:highlight w:val="none"/>
        </w:rPr>
        <w:t>.3.3除本磋商文件第二章第</w:t>
      </w:r>
      <w:r>
        <w:rPr>
          <w:rFonts w:hint="eastAsia" w:ascii="宋体" w:hAnsi="宋体"/>
          <w:color w:val="auto"/>
          <w:szCs w:val="21"/>
          <w:highlight w:val="none"/>
          <w:lang w:val="en-US" w:eastAsia="zh-CN"/>
        </w:rPr>
        <w:t>6</w:t>
      </w:r>
      <w:r>
        <w:rPr>
          <w:rFonts w:hint="eastAsia" w:ascii="宋体" w:hAnsi="宋体"/>
          <w:color w:val="auto"/>
          <w:szCs w:val="21"/>
          <w:highlight w:val="none"/>
        </w:rPr>
        <w:t>.1.2条第三款规定的情形外，在采购过程中符合要求的供应商或者最后报价未超过采购预算的供应商不足3家的。</w:t>
      </w:r>
    </w:p>
    <w:p w14:paraId="61A2DAC8">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lang w:val="en-US" w:eastAsia="zh-CN"/>
        </w:rPr>
        <w:t>6</w:t>
      </w:r>
      <w:r>
        <w:rPr>
          <w:rFonts w:hint="eastAsia" w:ascii="宋体" w:hAnsi="宋体"/>
          <w:color w:val="auto"/>
          <w:szCs w:val="21"/>
          <w:highlight w:val="none"/>
        </w:rPr>
        <w:t>.3.4在苏采云系统规定时间内成功解密电子响应文件的供应商不足3家的。</w:t>
      </w:r>
    </w:p>
    <w:p w14:paraId="4845268C">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7、响应文件现场开启特殊情况处理（</w:t>
      </w:r>
      <w:r>
        <w:rPr>
          <w:rFonts w:hint="eastAsia" w:ascii="宋体" w:hAnsi="宋体"/>
          <w:b/>
          <w:bCs/>
          <w:color w:val="auto"/>
          <w:szCs w:val="21"/>
          <w:highlight w:val="none"/>
        </w:rPr>
        <w:t>采用不见面交易方式采购的本条款不适用</w:t>
      </w:r>
      <w:r>
        <w:rPr>
          <w:rFonts w:hint="eastAsia" w:ascii="宋体" w:hAnsi="宋体"/>
          <w:color w:val="auto"/>
          <w:szCs w:val="21"/>
          <w:highlight w:val="none"/>
        </w:rPr>
        <w:t>）</w:t>
      </w:r>
    </w:p>
    <w:p w14:paraId="15E96B35">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7.1 因“开评标系统”自身故障，开标活动无法正常进行时，将使用响应文件备份U盘继续进行响应文件开启。</w:t>
      </w:r>
    </w:p>
    <w:p w14:paraId="7751F730">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“开评标系统”自身故障是指非供应商原因造成所有供应商电子响应文件均无法解密的情形，部分响应文件无法解密的，不适用该条款。</w:t>
      </w:r>
    </w:p>
    <w:p w14:paraId="0A7E941A">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对于不同载体的响应文件，开启、评审及认定顺序为电子响应文件、备份U盘，前项不能读取的可按后项评审。</w:t>
      </w:r>
      <w:bookmarkEnd w:id="165"/>
      <w:bookmarkEnd w:id="166"/>
      <w:bookmarkEnd w:id="167"/>
    </w:p>
    <w:p w14:paraId="06E88BCC">
      <w:pPr>
        <w:keepNext/>
        <w:keepLines/>
        <w:spacing w:before="120" w:after="120" w:line="360" w:lineRule="auto"/>
        <w:outlineLvl w:val="1"/>
        <w:rPr>
          <w:rFonts w:ascii="黑体" w:hAnsi="黑体" w:eastAsia="黑体" w:cs="宋体"/>
          <w:bCs/>
          <w:color w:val="auto"/>
          <w:szCs w:val="21"/>
          <w:highlight w:val="none"/>
        </w:rPr>
      </w:pPr>
      <w:bookmarkStart w:id="180" w:name="_Toc16329"/>
      <w:bookmarkStart w:id="181" w:name="_Toc6230"/>
      <w:r>
        <w:rPr>
          <w:rFonts w:hint="eastAsia" w:ascii="黑体" w:hAnsi="黑体" w:eastAsia="黑体" w:cs="宋体"/>
          <w:bCs/>
          <w:color w:val="auto"/>
          <w:szCs w:val="21"/>
          <w:highlight w:val="none"/>
        </w:rPr>
        <w:t>五、成交</w:t>
      </w:r>
      <w:bookmarkEnd w:id="180"/>
      <w:bookmarkEnd w:id="181"/>
    </w:p>
    <w:p w14:paraId="4C7B5754">
      <w:pPr>
        <w:tabs>
          <w:tab w:val="left" w:pos="900"/>
        </w:tabs>
        <w:spacing w:line="360" w:lineRule="auto"/>
        <w:ind w:firstLine="420"/>
        <w:jc w:val="left"/>
        <w:rPr>
          <w:rFonts w:ascii="宋体" w:hAnsi="宋体"/>
          <w:color w:val="auto"/>
          <w:szCs w:val="21"/>
          <w:highlight w:val="none"/>
        </w:rPr>
      </w:pPr>
      <w:bookmarkStart w:id="182" w:name="_Toc513029238"/>
      <w:bookmarkStart w:id="183" w:name="_Toc16938554"/>
      <w:bookmarkStart w:id="184" w:name="_Toc20823310"/>
      <w:r>
        <w:rPr>
          <w:rFonts w:hint="eastAsia" w:ascii="宋体" w:hAnsi="宋体"/>
          <w:color w:val="auto"/>
          <w:szCs w:val="21"/>
          <w:highlight w:val="none"/>
        </w:rPr>
        <w:t>1、</w:t>
      </w:r>
      <w:bookmarkEnd w:id="182"/>
      <w:r>
        <w:rPr>
          <w:rFonts w:hint="eastAsia" w:ascii="宋体" w:hAnsi="宋体"/>
          <w:color w:val="auto"/>
          <w:szCs w:val="21"/>
          <w:highlight w:val="none"/>
        </w:rPr>
        <w:t>确定</w:t>
      </w:r>
      <w:bookmarkEnd w:id="183"/>
      <w:bookmarkEnd w:id="184"/>
      <w:r>
        <w:rPr>
          <w:rFonts w:hint="eastAsia" w:ascii="宋体" w:hAnsi="宋体"/>
          <w:color w:val="auto"/>
          <w:szCs w:val="21"/>
          <w:highlight w:val="none"/>
        </w:rPr>
        <w:t>成交单位</w:t>
      </w:r>
    </w:p>
    <w:p w14:paraId="23BCE14F">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7C20EFB9">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1.2 根据采购人的授权，磋商小组直接确定排名第一的成交候选供应商为成交供应商，代理机构将在</w:t>
      </w:r>
      <w:r>
        <w:rPr>
          <w:rFonts w:hint="eastAsia" w:ascii="宋体" w:hAnsi="宋体"/>
          <w:color w:val="auto"/>
          <w:szCs w:val="21"/>
          <w:highlight w:val="none"/>
          <w:lang w:eastAsia="zh-CN"/>
        </w:rPr>
        <w:t>江苏省政府采购管理交易系统(苏采云)</w:t>
      </w:r>
      <w:r>
        <w:rPr>
          <w:rFonts w:hint="eastAsia" w:ascii="宋体" w:hAnsi="宋体"/>
          <w:color w:val="auto"/>
          <w:szCs w:val="21"/>
          <w:highlight w:val="none"/>
        </w:rPr>
        <w:t>公告成交结果，成交公告期限为1个工作日，同时向成交供应商发出成交通知书。</w:t>
      </w:r>
      <w:r>
        <w:rPr>
          <w:rFonts w:hint="eastAsia" w:ascii="宋体" w:hAnsi="宋体"/>
          <w:b/>
          <w:color w:val="auto"/>
          <w:szCs w:val="21"/>
          <w:highlight w:val="none"/>
        </w:rPr>
        <w:t>成交供应商在领取成交通知书时，按要求提供与电子响应文件一致的纸质打印文件（</w:t>
      </w:r>
      <w:r>
        <w:rPr>
          <w:rFonts w:hint="eastAsia" w:ascii="宋体" w:hAnsi="宋体"/>
          <w:b/>
          <w:color w:val="auto"/>
          <w:szCs w:val="21"/>
          <w:highlight w:val="none"/>
          <w:lang w:eastAsia="zh-CN"/>
        </w:rPr>
        <w:t>一正三副</w:t>
      </w:r>
      <w:r>
        <w:rPr>
          <w:rFonts w:hint="eastAsia" w:ascii="宋体" w:hAnsi="宋体"/>
          <w:b/>
          <w:color w:val="auto"/>
          <w:szCs w:val="21"/>
          <w:highlight w:val="none"/>
        </w:rPr>
        <w:t>）。</w:t>
      </w:r>
    </w:p>
    <w:p w14:paraId="4CCD855B">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2、成交供应商有下列情形之一的，将取消其成交资格：</w:t>
      </w:r>
    </w:p>
    <w:p w14:paraId="76763168">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（1）提供虚假材料谋取成交的；</w:t>
      </w:r>
    </w:p>
    <w:p w14:paraId="467C5C07">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（2）与评审专家、采购人、其他供应商或者代理机构工作人员恶意串通的；</w:t>
      </w:r>
    </w:p>
    <w:p w14:paraId="0F08856B">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（3）向评审专家、采购人或代理机构工作人员行贿或者提供其他不正当利益的；</w:t>
      </w:r>
    </w:p>
    <w:p w14:paraId="09CF803D">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（4）不满足本磋商文件规定的实质性要求，但在评审过程中又未被磋商小组发现的；</w:t>
      </w:r>
    </w:p>
    <w:p w14:paraId="17A3420A">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（5）成交后无正当理由拒不与采购人签订政府采购合同或者未按照磋商文件确定的事项签订政府采购合同的；</w:t>
      </w:r>
    </w:p>
    <w:p w14:paraId="0BF36990">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（6）将政府采购合同转包的；</w:t>
      </w:r>
    </w:p>
    <w:p w14:paraId="77CB40B9">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（7）法律、法规、规章规定的属于成交无效的其他情形。</w:t>
      </w:r>
    </w:p>
    <w:p w14:paraId="132B6C31">
      <w:pPr>
        <w:keepNext/>
        <w:keepLines/>
        <w:spacing w:before="120" w:after="120" w:line="360" w:lineRule="auto"/>
        <w:outlineLvl w:val="1"/>
        <w:rPr>
          <w:rFonts w:ascii="黑体" w:hAnsi="黑体" w:eastAsia="黑体" w:cs="宋体"/>
          <w:bCs/>
          <w:color w:val="auto"/>
          <w:szCs w:val="21"/>
          <w:highlight w:val="none"/>
        </w:rPr>
      </w:pPr>
      <w:bookmarkStart w:id="185" w:name="_Toc30004"/>
      <w:bookmarkStart w:id="186" w:name="_Toc13061"/>
      <w:r>
        <w:rPr>
          <w:rFonts w:hint="eastAsia" w:ascii="黑体" w:hAnsi="黑体" w:eastAsia="黑体" w:cs="宋体"/>
          <w:bCs/>
          <w:color w:val="auto"/>
          <w:szCs w:val="21"/>
          <w:highlight w:val="none"/>
        </w:rPr>
        <w:t>六、合同签订相关事项</w:t>
      </w:r>
      <w:bookmarkEnd w:id="185"/>
      <w:bookmarkEnd w:id="186"/>
    </w:p>
    <w:p w14:paraId="508686DB">
      <w:pPr>
        <w:tabs>
          <w:tab w:val="left" w:pos="900"/>
        </w:tabs>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1、签订合同</w:t>
      </w:r>
    </w:p>
    <w:p w14:paraId="07A746A6">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lang w:val="en-US" w:eastAsia="zh-CN"/>
        </w:rPr>
        <w:t>1.1</w:t>
      </w:r>
      <w:r>
        <w:rPr>
          <w:rFonts w:hint="eastAsia" w:ascii="宋体" w:hAnsi="宋体"/>
          <w:color w:val="auto"/>
          <w:szCs w:val="21"/>
          <w:highlight w:val="none"/>
        </w:rPr>
        <w:t>采购人与</w:t>
      </w:r>
      <w:r>
        <w:rPr>
          <w:rFonts w:ascii="宋体" w:hAnsi="宋体"/>
          <w:color w:val="auto"/>
          <w:szCs w:val="21"/>
          <w:highlight w:val="none"/>
        </w:rPr>
        <w:t>成交</w:t>
      </w:r>
      <w:r>
        <w:rPr>
          <w:rFonts w:hint="eastAsia" w:ascii="宋体" w:hAnsi="宋体"/>
          <w:color w:val="auto"/>
          <w:szCs w:val="21"/>
          <w:highlight w:val="none"/>
        </w:rPr>
        <w:t>供应商</w:t>
      </w:r>
      <w:r>
        <w:rPr>
          <w:rFonts w:ascii="宋体" w:hAnsi="宋体"/>
          <w:color w:val="auto"/>
          <w:szCs w:val="21"/>
          <w:highlight w:val="none"/>
        </w:rPr>
        <w:t>应当在成交通知书发出之日起</w:t>
      </w:r>
      <w:r>
        <w:rPr>
          <w:rFonts w:hint="eastAsia" w:ascii="宋体" w:hAnsi="宋体"/>
          <w:color w:val="auto"/>
          <w:szCs w:val="21"/>
          <w:highlight w:val="none"/>
        </w:rPr>
        <w:t>30</w:t>
      </w:r>
      <w:r>
        <w:rPr>
          <w:rFonts w:ascii="宋体" w:hAnsi="宋体"/>
          <w:color w:val="auto"/>
          <w:szCs w:val="21"/>
          <w:highlight w:val="none"/>
        </w:rPr>
        <w:t>日内，按照磋商文件确定的合同文本以及采购标的、规格型号、采购金额、采购数量、技术和服务要求等事项签订政府采购合同。</w:t>
      </w:r>
    </w:p>
    <w:p w14:paraId="39C30E48">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1.2 磋商文件、成交供应商的响应文件及磋商采购过程中有关澄清、承诺文件均作为合同附件。</w:t>
      </w:r>
    </w:p>
    <w:p w14:paraId="0622BDED">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 xml:space="preserve">1.3 </w:t>
      </w:r>
      <w:r>
        <w:rPr>
          <w:rFonts w:hint="eastAsia" w:ascii="宋体" w:hAnsi="宋体"/>
          <w:b/>
          <w:color w:val="auto"/>
          <w:szCs w:val="21"/>
          <w:highlight w:val="none"/>
        </w:rPr>
        <w:t>签订合同后，成交供应商不得将成交产品或服务进行转包。</w:t>
      </w:r>
      <w:r>
        <w:rPr>
          <w:rFonts w:hint="eastAsia" w:ascii="宋体" w:hAnsi="宋体"/>
          <w:color w:val="auto"/>
          <w:szCs w:val="21"/>
          <w:highlight w:val="none"/>
        </w:rPr>
        <w:t>未经采购人同意，成交供应商也不得采用分包的形式履行合同，否则采购人有权终止合同，成交供应商的履约保证金将不予退还。转包或分包造成采购人损失的，成交供应商应承担相应赔偿责任。</w:t>
      </w:r>
    </w:p>
    <w:p w14:paraId="37DC7490">
      <w:pPr>
        <w:tabs>
          <w:tab w:val="left" w:pos="900"/>
        </w:tabs>
        <w:spacing w:line="360" w:lineRule="auto"/>
        <w:ind w:firstLine="420"/>
        <w:jc w:val="left"/>
        <w:rPr>
          <w:rFonts w:hint="default" w:ascii="宋体" w:hAnsi="宋体" w:eastAsia="宋体"/>
          <w:b/>
          <w:bCs/>
          <w:color w:val="auto"/>
          <w:szCs w:val="21"/>
          <w:highlight w:val="none"/>
          <w:lang w:val="en-US" w:eastAsia="zh-CN"/>
        </w:rPr>
      </w:pPr>
      <w:r>
        <w:rPr>
          <w:rFonts w:hint="eastAsia" w:ascii="宋体" w:hAnsi="宋体"/>
          <w:color w:val="auto"/>
          <w:szCs w:val="21"/>
          <w:highlight w:val="none"/>
        </w:rPr>
        <w:t>2、履约保证金：</w:t>
      </w:r>
      <w:r>
        <w:rPr>
          <w:rFonts w:hint="eastAsia" w:ascii="宋体" w:hAnsi="宋体"/>
          <w:b/>
          <w:bCs/>
          <w:color w:val="auto"/>
          <w:szCs w:val="21"/>
          <w:highlight w:val="none"/>
          <w:lang w:val="en-US" w:eastAsia="zh-CN"/>
        </w:rPr>
        <w:t>本工程不收取履约保证金。</w:t>
      </w:r>
    </w:p>
    <w:p w14:paraId="4D661FB6">
      <w:pPr>
        <w:tabs>
          <w:tab w:val="left" w:pos="900"/>
        </w:tabs>
        <w:spacing w:line="360" w:lineRule="auto"/>
        <w:ind w:firstLine="420"/>
        <w:jc w:val="left"/>
        <w:rPr>
          <w:rFonts w:ascii="黑体" w:hAnsi="黑体" w:eastAsia="黑体" w:cs="宋体"/>
          <w:bCs/>
          <w:color w:val="auto"/>
          <w:szCs w:val="21"/>
          <w:highlight w:val="none"/>
        </w:rPr>
      </w:pPr>
      <w:r>
        <w:rPr>
          <w:rFonts w:hint="eastAsia" w:ascii="黑体" w:hAnsi="黑体" w:eastAsia="黑体" w:cs="宋体"/>
          <w:bCs/>
          <w:color w:val="auto"/>
          <w:szCs w:val="21"/>
          <w:highlight w:val="none"/>
        </w:rPr>
        <w:t>七、政策功能</w:t>
      </w:r>
    </w:p>
    <w:p w14:paraId="5EF4EDC0">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 支持中小企业发展</w:t>
      </w:r>
    </w:p>
    <w:p w14:paraId="6900F03B">
      <w:pPr>
        <w:tabs>
          <w:tab w:val="left" w:pos="900"/>
        </w:tabs>
        <w:spacing w:line="360" w:lineRule="auto"/>
        <w:ind w:firstLine="420"/>
        <w:jc w:val="left"/>
        <w:rPr>
          <w:rFonts w:hint="eastAsia" w:ascii="宋体" w:hAnsi="宋体" w:eastAsia="宋体" w:cs="Times New Roman"/>
          <w:b/>
          <w:bCs/>
          <w:color w:val="auto"/>
          <w:szCs w:val="21"/>
          <w:highlight w:val="none"/>
          <w:lang w:eastAsia="zh-CN"/>
        </w:rPr>
      </w:pPr>
      <w:r>
        <w:rPr>
          <w:rFonts w:hint="eastAsia" w:ascii="宋体" w:hAnsi="宋体" w:eastAsia="宋体" w:cs="Times New Roman"/>
          <w:color w:val="auto"/>
          <w:szCs w:val="21"/>
          <w:highlight w:val="none"/>
        </w:rPr>
        <w:t>1.1、</w:t>
      </w:r>
      <w:r>
        <w:rPr>
          <w:rFonts w:hint="default" w:ascii="宋体" w:hAnsi="宋体" w:cs="Times New Roman"/>
          <w:color w:val="auto"/>
          <w:szCs w:val="21"/>
          <w:highlight w:val="none"/>
        </w:rPr>
        <w:t>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default" w:ascii="宋体" w:hAnsi="宋体" w:cs="Times New Roman"/>
          <w:b/>
          <w:bCs/>
          <w:color w:val="auto"/>
          <w:szCs w:val="21"/>
          <w:highlight w:val="none"/>
        </w:rPr>
        <w:t>专门面向中型企业、小型企业、微型企业、残疾人福利性单位、监狱企业采购</w:t>
      </w:r>
      <w:r>
        <w:rPr>
          <w:rFonts w:hint="eastAsia" w:ascii="宋体" w:hAnsi="宋体" w:cs="Times New Roman"/>
          <w:b/>
          <w:bCs/>
          <w:color w:val="auto"/>
          <w:szCs w:val="21"/>
          <w:highlight w:val="none"/>
          <w:lang w:eastAsia="zh-CN"/>
        </w:rPr>
        <w:t>。</w:t>
      </w:r>
    </w:p>
    <w:p w14:paraId="3929CB80">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1.2</w:t>
      </w:r>
      <w:r>
        <w:rPr>
          <w:rFonts w:hint="eastAsia" w:ascii="宋体" w:hAnsi="宋体" w:eastAsia="宋体" w:cs="Times New Roman"/>
          <w:color w:val="auto"/>
          <w:szCs w:val="21"/>
          <w:highlight w:val="none"/>
        </w:rPr>
        <w:t>参加本项目政府采购活动的</w:t>
      </w:r>
      <w:r>
        <w:rPr>
          <w:rFonts w:hint="eastAsia" w:ascii="宋体" w:hAnsi="宋体" w:cs="Times New Roman"/>
          <w:color w:val="auto"/>
          <w:szCs w:val="21"/>
          <w:highlight w:val="none"/>
          <w:lang w:eastAsia="zh-CN"/>
        </w:rPr>
        <w:t>供应商</w:t>
      </w:r>
      <w:r>
        <w:rPr>
          <w:rFonts w:hint="eastAsia" w:ascii="宋体" w:hAnsi="宋体" w:eastAsia="宋体" w:cs="Times New Roman"/>
          <w:color w:val="auto"/>
          <w:szCs w:val="21"/>
          <w:highlight w:val="none"/>
        </w:rPr>
        <w:t xml:space="preserve">应当提供的材料： </w:t>
      </w:r>
    </w:p>
    <w:p w14:paraId="459E2EAD">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hint="eastAsia" w:ascii="宋体" w:hAnsi="宋体" w:cs="Times New Roman"/>
          <w:color w:val="auto"/>
          <w:szCs w:val="21"/>
          <w:highlight w:val="none"/>
          <w:lang w:eastAsia="zh-CN"/>
        </w:rPr>
        <w:t>供应商</w:t>
      </w:r>
      <w:r>
        <w:rPr>
          <w:rFonts w:hint="eastAsia" w:ascii="宋体" w:hAnsi="宋体" w:eastAsia="宋体" w:cs="Times New Roman"/>
          <w:color w:val="auto"/>
          <w:szCs w:val="21"/>
          <w:highlight w:val="none"/>
        </w:rPr>
        <w:t xml:space="preserve">为中型企业、小型企业、微型企业的，提供《中小企业声明函》（第六章 </w:t>
      </w:r>
      <w:r>
        <w:rPr>
          <w:rFonts w:hint="eastAsia" w:ascii="宋体" w:hAnsi="宋体" w:cs="Times New Roman"/>
          <w:color w:val="auto"/>
          <w:szCs w:val="21"/>
          <w:highlight w:val="none"/>
          <w:lang w:eastAsia="zh-CN"/>
        </w:rPr>
        <w:t>响应文件</w:t>
      </w:r>
      <w:r>
        <w:rPr>
          <w:rFonts w:hint="eastAsia" w:ascii="宋体" w:hAnsi="宋体" w:eastAsia="宋体" w:cs="Times New Roman"/>
          <w:color w:val="auto"/>
          <w:szCs w:val="21"/>
          <w:highlight w:val="none"/>
        </w:rPr>
        <w:t>格式）。</w:t>
      </w:r>
    </w:p>
    <w:p w14:paraId="5894DC7D">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（2）符合《关于促进残疾人就业政府采购政策的通知》（财库〔2017〕141号）规定的条件并提供《残疾人福利性单位声明函》（第六章 </w:t>
      </w:r>
      <w:r>
        <w:rPr>
          <w:rFonts w:hint="eastAsia" w:ascii="宋体" w:hAnsi="宋体" w:cs="Times New Roman"/>
          <w:color w:val="auto"/>
          <w:szCs w:val="21"/>
          <w:highlight w:val="none"/>
          <w:lang w:eastAsia="zh-CN"/>
        </w:rPr>
        <w:t>响应文件</w:t>
      </w:r>
      <w:r>
        <w:rPr>
          <w:rFonts w:hint="eastAsia" w:ascii="宋体" w:hAnsi="宋体" w:eastAsia="宋体" w:cs="Times New Roman"/>
          <w:color w:val="auto"/>
          <w:szCs w:val="21"/>
          <w:highlight w:val="none"/>
        </w:rPr>
        <w:t>格式）的残疾人福利性单位视同小型、微型企业。</w:t>
      </w:r>
    </w:p>
    <w:p w14:paraId="5C12C10D">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符合《关于政府采购支持监狱企业发展有关问题的通知》（财库〔2014〕68号）规定的监狱企业并提供省级以上监狱管理局、戒毒管理局（含新疆生产建设兵团）出具的属于监狱企业证明文件的，视同小型、微型企业。</w:t>
      </w:r>
    </w:p>
    <w:p w14:paraId="6379CAE7">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1.3</w:t>
      </w:r>
      <w:r>
        <w:rPr>
          <w:rFonts w:hint="eastAsia" w:ascii="宋体" w:hAnsi="宋体" w:eastAsia="宋体" w:cs="Times New Roman"/>
          <w:color w:val="auto"/>
          <w:szCs w:val="21"/>
          <w:highlight w:val="none"/>
        </w:rPr>
        <w:t xml:space="preserve"> 享受扶持政策获得政府采购合同的，小微型企业不得将合同分包给大中型企业，中型企业不得将合同分包给大型企业。</w:t>
      </w:r>
    </w:p>
    <w:p w14:paraId="2575361A">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2.支持绿色发展</w:t>
      </w:r>
    </w:p>
    <w:p w14:paraId="185DED1E">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rPr>
        <w:t>.1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ascii="宋体" w:hAnsi="宋体" w:cs="Times New Roman"/>
          <w:color w:val="auto"/>
          <w:szCs w:val="21"/>
          <w:highlight w:val="none"/>
          <w:lang w:eastAsia="zh-CN"/>
        </w:rPr>
        <w:t>供应商</w:t>
      </w:r>
      <w:r>
        <w:rPr>
          <w:rFonts w:hint="eastAsia" w:ascii="宋体" w:hAnsi="宋体" w:eastAsia="宋体" w:cs="Times New Roman"/>
          <w:color w:val="auto"/>
          <w:szCs w:val="21"/>
          <w:highlight w:val="none"/>
        </w:rPr>
        <w:t>须按</w:t>
      </w:r>
      <w:r>
        <w:rPr>
          <w:rFonts w:hint="eastAsia" w:ascii="宋体" w:hAnsi="宋体" w:cs="Times New Roman"/>
          <w:color w:val="auto"/>
          <w:szCs w:val="21"/>
          <w:highlight w:val="none"/>
          <w:lang w:eastAsia="zh-CN"/>
        </w:rPr>
        <w:t>磋商</w:t>
      </w:r>
      <w:r>
        <w:rPr>
          <w:rFonts w:hint="eastAsia" w:ascii="宋体" w:hAnsi="宋体" w:eastAsia="宋体" w:cs="Times New Roman"/>
          <w:color w:val="auto"/>
          <w:szCs w:val="21"/>
          <w:highlight w:val="none"/>
        </w:rPr>
        <w:t>文件要求提供相关产品认证证书。</w:t>
      </w:r>
    </w:p>
    <w:p w14:paraId="5A0D79C3">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rPr>
        <w:t>.2 为助力打好污染防治攻坚战，推广使用绿色包装，政府采购货物、工程和服务项目中涉及商品包装和快递包装的，</w:t>
      </w:r>
      <w:r>
        <w:rPr>
          <w:rFonts w:hint="eastAsia" w:ascii="宋体" w:hAnsi="宋体" w:cs="Times New Roman"/>
          <w:color w:val="auto"/>
          <w:szCs w:val="21"/>
          <w:highlight w:val="none"/>
          <w:lang w:eastAsia="zh-CN"/>
        </w:rPr>
        <w:t>供应商</w:t>
      </w:r>
      <w:r>
        <w:rPr>
          <w:rFonts w:hint="eastAsia" w:ascii="宋体" w:hAnsi="宋体" w:eastAsia="宋体" w:cs="Times New Roman"/>
          <w:color w:val="auto"/>
          <w:szCs w:val="21"/>
          <w:highlight w:val="none"/>
        </w:rPr>
        <w:t>提供产品及相关快递服务的具体包装要求要参考《商品包装政府采购需求标准（试行）》、《快递包装政府采购需求标准（试行）》。</w:t>
      </w:r>
    </w:p>
    <w:p w14:paraId="2CE7E9C7">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rPr>
        <w:t>.3 为落实挥发性有机化合物（VOCs）治理要求，本项目采购标的如涉及涂料、胶黏剂、油墨、清洗剂等挥发性有机物产品的，</w:t>
      </w:r>
      <w:r>
        <w:rPr>
          <w:rFonts w:hint="eastAsia" w:ascii="宋体" w:hAnsi="宋体" w:cs="Times New Roman"/>
          <w:color w:val="auto"/>
          <w:szCs w:val="21"/>
          <w:highlight w:val="none"/>
          <w:lang w:eastAsia="zh-CN"/>
        </w:rPr>
        <w:t>供应商</w:t>
      </w:r>
      <w:r>
        <w:rPr>
          <w:rFonts w:hint="eastAsia" w:ascii="宋体" w:hAnsi="宋体" w:eastAsia="宋体" w:cs="Times New Roman"/>
          <w:color w:val="auto"/>
          <w:szCs w:val="21"/>
          <w:highlight w:val="none"/>
        </w:rPr>
        <w:t>应当执行国家和我省VOCs含量限制标准，并优先使用低挥发性原辅材料。</w:t>
      </w:r>
      <w:r>
        <w:rPr>
          <w:rFonts w:hint="eastAsia" w:ascii="宋体" w:hAnsi="宋体" w:cs="Times New Roman"/>
          <w:color w:val="auto"/>
          <w:szCs w:val="21"/>
          <w:highlight w:val="none"/>
          <w:lang w:eastAsia="zh-CN"/>
        </w:rPr>
        <w:t>供应商</w:t>
      </w:r>
      <w:r>
        <w:rPr>
          <w:rFonts w:hint="eastAsia" w:ascii="宋体" w:hAnsi="宋体" w:eastAsia="宋体" w:cs="Times New Roman"/>
          <w:color w:val="auto"/>
          <w:szCs w:val="21"/>
          <w:highlight w:val="none"/>
        </w:rPr>
        <w:t>使用低VOCs含量的涂料、胶黏剂等将纳入政府采购合同条款。</w:t>
      </w:r>
    </w:p>
    <w:p w14:paraId="0C014E7A">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3.</w:t>
      </w:r>
      <w:r>
        <w:rPr>
          <w:rFonts w:hint="eastAsia" w:ascii="宋体" w:hAnsi="宋体" w:eastAsia="宋体" w:cs="Times New Roman"/>
          <w:color w:val="auto"/>
          <w:szCs w:val="21"/>
          <w:highlight w:val="none"/>
        </w:rPr>
        <w:t>政府采购需求标准</w:t>
      </w:r>
    </w:p>
    <w:p w14:paraId="024BCBF2">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3.1</w:t>
      </w:r>
      <w:r>
        <w:rPr>
          <w:rFonts w:hint="eastAsia" w:ascii="宋体" w:hAnsi="宋体" w:eastAsia="宋体" w:cs="Times New Roman"/>
          <w:color w:val="auto"/>
          <w:szCs w:val="21"/>
          <w:highlight w:val="none"/>
        </w:rPr>
        <w:t xml:space="preserve">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783BFF4B">
      <w:pPr>
        <w:keepNext/>
        <w:keepLines/>
        <w:spacing w:before="120" w:after="120" w:line="360" w:lineRule="auto"/>
        <w:outlineLvl w:val="1"/>
        <w:rPr>
          <w:rFonts w:ascii="黑体" w:hAnsi="黑体" w:eastAsia="黑体" w:cs="宋体"/>
          <w:bCs/>
          <w:color w:val="auto"/>
          <w:szCs w:val="21"/>
          <w:highlight w:val="none"/>
        </w:rPr>
      </w:pPr>
      <w:bookmarkStart w:id="187" w:name="_Toc31302"/>
      <w:bookmarkStart w:id="188" w:name="_Toc16970"/>
      <w:r>
        <w:rPr>
          <w:rFonts w:hint="eastAsia" w:ascii="黑体" w:hAnsi="黑体" w:eastAsia="黑体" w:cs="宋体"/>
          <w:bCs/>
          <w:color w:val="auto"/>
          <w:szCs w:val="21"/>
          <w:highlight w:val="none"/>
        </w:rPr>
        <w:t>八、质疑和投诉</w:t>
      </w:r>
      <w:bookmarkEnd w:id="187"/>
      <w:bookmarkEnd w:id="188"/>
    </w:p>
    <w:p w14:paraId="5E6A39B8">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质疑的提出</w:t>
      </w:r>
    </w:p>
    <w:p w14:paraId="157AF0AE">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1.1 提出质疑的供应商应当是参与所质疑项目采购活动的供应商。</w:t>
      </w:r>
    </w:p>
    <w:p w14:paraId="1EC97BF7">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b/>
          <w:color w:val="auto"/>
          <w:szCs w:val="21"/>
          <w:highlight w:val="none"/>
        </w:rPr>
        <w:t>未依照采购公告要求获取采购文件的供应商，视为未参与该项目的采购活动，不具备对该采购文件提出质疑的法定权利。</w:t>
      </w:r>
    </w:p>
    <w:p w14:paraId="78727541">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 xml:space="preserve">1.3 </w:t>
      </w:r>
      <w:r>
        <w:rPr>
          <w:rFonts w:ascii="宋体" w:hAnsi="宋体"/>
          <w:color w:val="auto"/>
          <w:szCs w:val="21"/>
          <w:highlight w:val="none"/>
        </w:rPr>
        <w:t>提出质疑时，必须坚持“谁主张，谁举证”“实事求是”的原则，不能臆测。属于须由法定部门调查、侦查或先行作出相关认定的事项，质疑</w:t>
      </w:r>
      <w:r>
        <w:rPr>
          <w:rFonts w:hint="eastAsia" w:ascii="宋体" w:hAnsi="宋体"/>
          <w:color w:val="auto"/>
          <w:szCs w:val="21"/>
          <w:highlight w:val="none"/>
        </w:rPr>
        <w:t>供应商</w:t>
      </w:r>
      <w:r>
        <w:rPr>
          <w:rFonts w:ascii="宋体" w:hAnsi="宋体"/>
          <w:color w:val="auto"/>
          <w:szCs w:val="21"/>
          <w:highlight w:val="none"/>
        </w:rPr>
        <w:t>应当依法申请具有法定职权的部门查清、认定，并将相关结果提供给</w:t>
      </w:r>
      <w:r>
        <w:rPr>
          <w:rFonts w:hint="eastAsia" w:ascii="宋体" w:hAnsi="宋体"/>
          <w:color w:val="auto"/>
          <w:szCs w:val="21"/>
          <w:highlight w:val="none"/>
        </w:rPr>
        <w:t>采购人、代理机构</w:t>
      </w:r>
      <w:r>
        <w:rPr>
          <w:rFonts w:ascii="宋体" w:hAnsi="宋体"/>
          <w:color w:val="auto"/>
          <w:szCs w:val="21"/>
          <w:highlight w:val="none"/>
        </w:rPr>
        <w:t>。</w:t>
      </w:r>
      <w:r>
        <w:rPr>
          <w:rFonts w:hint="eastAsia" w:ascii="宋体" w:hAnsi="宋体"/>
          <w:color w:val="auto"/>
          <w:szCs w:val="21"/>
          <w:highlight w:val="none"/>
        </w:rPr>
        <w:t>采购人、代理机构</w:t>
      </w:r>
      <w:r>
        <w:rPr>
          <w:rFonts w:ascii="宋体" w:hAnsi="宋体"/>
          <w:color w:val="auto"/>
          <w:szCs w:val="21"/>
          <w:highlight w:val="none"/>
        </w:rPr>
        <w:t>不具有法定调查、认定权限。</w:t>
      </w:r>
    </w:p>
    <w:p w14:paraId="58601AE6">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 xml:space="preserve">1.4 </w:t>
      </w:r>
      <w:r>
        <w:rPr>
          <w:rFonts w:hint="eastAsia" w:ascii="宋体" w:hAnsi="宋体"/>
          <w:b/>
          <w:color w:val="auto"/>
          <w:szCs w:val="21"/>
          <w:highlight w:val="none"/>
        </w:rPr>
        <w:t>质疑函的接收方式为供应商书面原件提交。</w:t>
      </w:r>
      <w:r>
        <w:rPr>
          <w:rFonts w:hint="eastAsia" w:ascii="宋体" w:hAnsi="宋体"/>
          <w:color w:val="auto"/>
          <w:szCs w:val="21"/>
          <w:highlight w:val="none"/>
        </w:rPr>
        <w:t>联系部门、联系电话和通讯地址详见本磋商文件“竞争性磋商采购邀请”。</w:t>
      </w:r>
      <w:r>
        <w:rPr>
          <w:rFonts w:ascii="宋体" w:hAnsi="宋体"/>
          <w:color w:val="auto"/>
          <w:szCs w:val="21"/>
          <w:highlight w:val="none"/>
        </w:rPr>
        <w:t>质疑实行实名制，不得进行虚假、恶意质疑。</w:t>
      </w:r>
    </w:p>
    <w:p w14:paraId="79F84EC6">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1.5 质疑函应当使用范本（详见</w:t>
      </w:r>
      <w:r>
        <w:rPr>
          <w:rFonts w:hint="eastAsia" w:ascii="宋体" w:hAnsi="宋体"/>
          <w:color w:val="auto"/>
          <w:szCs w:val="21"/>
          <w:highlight w:val="none"/>
          <w:lang w:eastAsia="zh-CN"/>
        </w:rPr>
        <w:t>江苏省</w:t>
      </w:r>
      <w:r>
        <w:rPr>
          <w:rFonts w:hint="eastAsia" w:ascii="宋体" w:hAnsi="宋体"/>
          <w:color w:val="auto"/>
          <w:szCs w:val="21"/>
          <w:highlight w:val="none"/>
        </w:rPr>
        <w:t>政府采购交易平台-监管信息-意见反馈）。</w:t>
      </w:r>
    </w:p>
    <w:p w14:paraId="69B3A3A1">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供应商提出质疑应当</w:t>
      </w:r>
      <w:r>
        <w:rPr>
          <w:rFonts w:hint="eastAsia" w:ascii="宋体" w:hAnsi="宋体"/>
          <w:b/>
          <w:color w:val="auto"/>
          <w:szCs w:val="21"/>
          <w:highlight w:val="none"/>
        </w:rPr>
        <w:t>提交质疑函和必要的证明材料</w:t>
      </w:r>
      <w:r>
        <w:rPr>
          <w:rFonts w:hint="eastAsia" w:ascii="宋体" w:hAnsi="宋体"/>
          <w:color w:val="auto"/>
          <w:szCs w:val="21"/>
          <w:highlight w:val="none"/>
        </w:rPr>
        <w:t>。应当包括下列内容：</w:t>
      </w:r>
    </w:p>
    <w:p w14:paraId="6F1D955A">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（1）供应商的姓名或者名称、地址、邮编、联系人及联系电话；</w:t>
      </w:r>
    </w:p>
    <w:p w14:paraId="5B7C57AB">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（2）质疑项目的名称、编号；</w:t>
      </w:r>
    </w:p>
    <w:p w14:paraId="08A81532">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（3）具体、明确的质疑事项和与质疑事项相关的请求；</w:t>
      </w:r>
    </w:p>
    <w:p w14:paraId="28D37CB4">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（4）事实依据；</w:t>
      </w:r>
    </w:p>
    <w:p w14:paraId="3C9F81D1">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（5）必要的法律依据；</w:t>
      </w:r>
    </w:p>
    <w:p w14:paraId="6F2434DE">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（6）提出质疑的日期；</w:t>
      </w:r>
    </w:p>
    <w:p w14:paraId="280A0E58">
      <w:pPr>
        <w:tabs>
          <w:tab w:val="left" w:pos="900"/>
        </w:tabs>
        <w:spacing w:line="360" w:lineRule="auto"/>
        <w:ind w:firstLine="420"/>
        <w:jc w:val="left"/>
        <w:rPr>
          <w:rFonts w:ascii="宋体" w:hAnsi="宋体"/>
          <w:b/>
          <w:color w:val="auto"/>
          <w:szCs w:val="21"/>
          <w:highlight w:val="none"/>
        </w:rPr>
      </w:pPr>
      <w:r>
        <w:rPr>
          <w:rFonts w:hint="eastAsia" w:ascii="宋体" w:hAnsi="宋体"/>
          <w:color w:val="auto"/>
          <w:szCs w:val="21"/>
          <w:highlight w:val="none"/>
        </w:rPr>
        <w:t>（7）</w:t>
      </w:r>
      <w:r>
        <w:rPr>
          <w:rFonts w:hint="eastAsia" w:ascii="宋体" w:hAnsi="宋体"/>
          <w:b/>
          <w:color w:val="auto"/>
          <w:szCs w:val="21"/>
          <w:highlight w:val="none"/>
        </w:rPr>
        <w:t>必要的证明材料；</w:t>
      </w:r>
    </w:p>
    <w:p w14:paraId="2A9891D2">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（8）采购文件(交易文件)下载回执函；</w:t>
      </w:r>
    </w:p>
    <w:p w14:paraId="1304DD72">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（9）营业执照复印件及法定代表人授权委托书、法定代表人身份证复印件、委托代理人身份证复印件。</w:t>
      </w:r>
    </w:p>
    <w:p w14:paraId="34500BD3">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供应商为自然人的，应当由本人签字；供应商为法人或者其他组织的，应当由法定代表人、主要负责人，或者其委托代理人签字或者盖章，并加盖单位公章。</w:t>
      </w:r>
    </w:p>
    <w:p w14:paraId="41054543">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质疑函的受理和答复</w:t>
      </w:r>
    </w:p>
    <w:p w14:paraId="1AB68A9D">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 xml:space="preserve">2.1 </w:t>
      </w:r>
      <w:r>
        <w:rPr>
          <w:rFonts w:ascii="宋体" w:hAnsi="宋体"/>
          <w:color w:val="auto"/>
          <w:szCs w:val="21"/>
          <w:highlight w:val="none"/>
        </w:rPr>
        <w:t>质疑</w:t>
      </w:r>
      <w:r>
        <w:rPr>
          <w:rFonts w:hint="eastAsia" w:ascii="宋体" w:hAnsi="宋体"/>
          <w:color w:val="auto"/>
          <w:szCs w:val="21"/>
          <w:highlight w:val="none"/>
        </w:rPr>
        <w:t>供应商</w:t>
      </w:r>
      <w:r>
        <w:rPr>
          <w:rFonts w:ascii="宋体" w:hAnsi="宋体"/>
          <w:color w:val="auto"/>
          <w:szCs w:val="21"/>
          <w:highlight w:val="none"/>
        </w:rPr>
        <w:t>应</w:t>
      </w:r>
      <w:r>
        <w:rPr>
          <w:rFonts w:hint="eastAsia" w:ascii="宋体" w:hAnsi="宋体"/>
          <w:color w:val="auto"/>
          <w:szCs w:val="21"/>
          <w:highlight w:val="none"/>
        </w:rPr>
        <w:t>当</w:t>
      </w:r>
      <w:r>
        <w:rPr>
          <w:rFonts w:ascii="宋体" w:hAnsi="宋体"/>
          <w:color w:val="auto"/>
          <w:szCs w:val="21"/>
          <w:highlight w:val="none"/>
        </w:rPr>
        <w:t>保证其提出的质疑事项及必要</w:t>
      </w:r>
      <w:r>
        <w:rPr>
          <w:rFonts w:hint="eastAsia" w:ascii="宋体" w:hAnsi="宋体"/>
          <w:color w:val="auto"/>
          <w:szCs w:val="21"/>
          <w:highlight w:val="none"/>
        </w:rPr>
        <w:t>的</w:t>
      </w:r>
      <w:r>
        <w:rPr>
          <w:rFonts w:ascii="宋体" w:hAnsi="宋体"/>
          <w:color w:val="auto"/>
          <w:szCs w:val="21"/>
          <w:highlight w:val="none"/>
        </w:rPr>
        <w:t>证明材料的真实性及来源的合法性，并承担相应的法律责任。</w:t>
      </w:r>
      <w:r>
        <w:rPr>
          <w:rFonts w:ascii="宋体" w:hAnsi="宋体"/>
          <w:b/>
          <w:color w:val="auto"/>
          <w:szCs w:val="21"/>
          <w:highlight w:val="none"/>
        </w:rPr>
        <w:t>对不能提供必要</w:t>
      </w:r>
      <w:r>
        <w:rPr>
          <w:rFonts w:hint="eastAsia" w:ascii="宋体" w:hAnsi="宋体"/>
          <w:b/>
          <w:color w:val="auto"/>
          <w:szCs w:val="21"/>
          <w:highlight w:val="none"/>
        </w:rPr>
        <w:t>的</w:t>
      </w:r>
      <w:r>
        <w:rPr>
          <w:rFonts w:ascii="宋体" w:hAnsi="宋体"/>
          <w:b/>
          <w:color w:val="auto"/>
          <w:szCs w:val="21"/>
          <w:highlight w:val="none"/>
        </w:rPr>
        <w:t>证明材料的、涉及商业秘密的、非书面原件形式的、匿名的质疑函将不予受理</w:t>
      </w:r>
      <w:r>
        <w:rPr>
          <w:rFonts w:ascii="宋体" w:hAnsi="宋体"/>
          <w:color w:val="auto"/>
          <w:szCs w:val="21"/>
          <w:highlight w:val="none"/>
        </w:rPr>
        <w:t>。必要</w:t>
      </w:r>
      <w:r>
        <w:rPr>
          <w:rFonts w:hint="eastAsia" w:ascii="宋体" w:hAnsi="宋体"/>
          <w:color w:val="auto"/>
          <w:szCs w:val="21"/>
          <w:highlight w:val="none"/>
        </w:rPr>
        <w:t>的</w:t>
      </w:r>
      <w:r>
        <w:rPr>
          <w:rFonts w:ascii="宋体" w:hAnsi="宋体"/>
          <w:color w:val="auto"/>
          <w:szCs w:val="21"/>
          <w:highlight w:val="none"/>
        </w:rPr>
        <w:t>证明材料要具备客观性、关联性、合法性，无法查实的（如宣传册、媒体报道、猜测、推理等）不能作为证明材料。</w:t>
      </w:r>
      <w:r>
        <w:rPr>
          <w:rFonts w:hint="eastAsia" w:ascii="宋体" w:hAnsi="宋体"/>
          <w:color w:val="auto"/>
          <w:szCs w:val="21"/>
          <w:highlight w:val="none"/>
        </w:rPr>
        <w:t>采购人、代理机构</w:t>
      </w:r>
      <w:r>
        <w:rPr>
          <w:rFonts w:ascii="宋体" w:hAnsi="宋体"/>
          <w:color w:val="auto"/>
          <w:szCs w:val="21"/>
          <w:highlight w:val="none"/>
        </w:rPr>
        <w:t>不负责搜集必要</w:t>
      </w:r>
      <w:r>
        <w:rPr>
          <w:rFonts w:hint="eastAsia" w:ascii="宋体" w:hAnsi="宋体"/>
          <w:color w:val="auto"/>
          <w:szCs w:val="21"/>
          <w:highlight w:val="none"/>
        </w:rPr>
        <w:t>的</w:t>
      </w:r>
      <w:r>
        <w:rPr>
          <w:rFonts w:ascii="宋体" w:hAnsi="宋体"/>
          <w:color w:val="auto"/>
          <w:szCs w:val="21"/>
          <w:highlight w:val="none"/>
        </w:rPr>
        <w:t>证明材料等工作。</w:t>
      </w:r>
    </w:p>
    <w:p w14:paraId="07870497">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 xml:space="preserve">2.2 </w:t>
      </w:r>
      <w:r>
        <w:rPr>
          <w:rFonts w:ascii="宋体" w:hAnsi="宋体"/>
          <w:color w:val="auto"/>
          <w:szCs w:val="21"/>
          <w:highlight w:val="none"/>
        </w:rPr>
        <w:t>对符合质疑要求的，</w:t>
      </w:r>
      <w:r>
        <w:rPr>
          <w:rFonts w:hint="eastAsia" w:ascii="宋体" w:hAnsi="宋体"/>
          <w:color w:val="auto"/>
          <w:szCs w:val="21"/>
          <w:highlight w:val="none"/>
        </w:rPr>
        <w:t>采购人、代理机构接收</w:t>
      </w:r>
      <w:r>
        <w:rPr>
          <w:rFonts w:ascii="宋体" w:hAnsi="宋体"/>
          <w:color w:val="auto"/>
          <w:szCs w:val="21"/>
          <w:highlight w:val="none"/>
        </w:rPr>
        <w:t>并登记《质疑函登记表》。在处理过程中，发现需要质疑</w:t>
      </w:r>
      <w:r>
        <w:rPr>
          <w:rFonts w:hint="eastAsia" w:ascii="宋体" w:hAnsi="宋体"/>
          <w:color w:val="auto"/>
          <w:szCs w:val="21"/>
          <w:highlight w:val="none"/>
        </w:rPr>
        <w:t>供应商</w:t>
      </w:r>
      <w:r>
        <w:rPr>
          <w:rFonts w:ascii="宋体" w:hAnsi="宋体"/>
          <w:color w:val="auto"/>
          <w:szCs w:val="21"/>
          <w:highlight w:val="none"/>
        </w:rPr>
        <w:t>进一步补充必要</w:t>
      </w:r>
      <w:r>
        <w:rPr>
          <w:rFonts w:hint="eastAsia" w:ascii="宋体" w:hAnsi="宋体"/>
          <w:color w:val="auto"/>
          <w:szCs w:val="21"/>
          <w:highlight w:val="none"/>
        </w:rPr>
        <w:t>的</w:t>
      </w:r>
      <w:r>
        <w:rPr>
          <w:rFonts w:ascii="宋体" w:hAnsi="宋体"/>
          <w:color w:val="auto"/>
          <w:szCs w:val="21"/>
          <w:highlight w:val="none"/>
        </w:rPr>
        <w:t>证明材料的，质疑</w:t>
      </w:r>
      <w:r>
        <w:rPr>
          <w:rFonts w:hint="eastAsia" w:ascii="宋体" w:hAnsi="宋体"/>
          <w:color w:val="auto"/>
          <w:szCs w:val="21"/>
          <w:highlight w:val="none"/>
        </w:rPr>
        <w:t>供应商应</w:t>
      </w:r>
      <w:r>
        <w:rPr>
          <w:rFonts w:ascii="宋体" w:hAnsi="宋体"/>
          <w:color w:val="auto"/>
          <w:szCs w:val="21"/>
          <w:highlight w:val="none"/>
        </w:rPr>
        <w:t>在法定的时间内提供，质疑答复时间相应顺延。质疑</w:t>
      </w:r>
      <w:r>
        <w:rPr>
          <w:rFonts w:hint="eastAsia" w:ascii="宋体" w:hAnsi="宋体"/>
          <w:color w:val="auto"/>
          <w:szCs w:val="21"/>
          <w:highlight w:val="none"/>
        </w:rPr>
        <w:t>供应商</w:t>
      </w:r>
      <w:r>
        <w:rPr>
          <w:rFonts w:ascii="宋体" w:hAnsi="宋体"/>
          <w:color w:val="auto"/>
          <w:szCs w:val="21"/>
          <w:highlight w:val="none"/>
        </w:rPr>
        <w:t>不能按时提供必要</w:t>
      </w:r>
      <w:r>
        <w:rPr>
          <w:rFonts w:hint="eastAsia" w:ascii="宋体" w:hAnsi="宋体"/>
          <w:color w:val="auto"/>
          <w:szCs w:val="21"/>
          <w:highlight w:val="none"/>
        </w:rPr>
        <w:t>的</w:t>
      </w:r>
      <w:r>
        <w:rPr>
          <w:rFonts w:ascii="宋体" w:hAnsi="宋体"/>
          <w:color w:val="auto"/>
          <w:szCs w:val="21"/>
          <w:highlight w:val="none"/>
        </w:rPr>
        <w:t>证明材料的，视同放弃质疑。</w:t>
      </w:r>
    </w:p>
    <w:p w14:paraId="73A74DE9">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 xml:space="preserve">2.3 </w:t>
      </w:r>
      <w:r>
        <w:rPr>
          <w:rFonts w:ascii="宋体" w:hAnsi="宋体"/>
          <w:color w:val="auto"/>
          <w:szCs w:val="21"/>
          <w:highlight w:val="none"/>
        </w:rPr>
        <w:t>对不符合质疑要求的，</w:t>
      </w:r>
      <w:r>
        <w:rPr>
          <w:rFonts w:hint="eastAsia" w:ascii="宋体" w:hAnsi="宋体"/>
          <w:color w:val="auto"/>
          <w:szCs w:val="21"/>
          <w:highlight w:val="none"/>
        </w:rPr>
        <w:t>采购人、代理机构</w:t>
      </w:r>
      <w:r>
        <w:rPr>
          <w:rFonts w:ascii="宋体" w:hAnsi="宋体"/>
          <w:color w:val="auto"/>
          <w:szCs w:val="21"/>
          <w:highlight w:val="none"/>
        </w:rPr>
        <w:t>有权要求其补充必要</w:t>
      </w:r>
      <w:r>
        <w:rPr>
          <w:rFonts w:hint="eastAsia" w:ascii="宋体" w:hAnsi="宋体"/>
          <w:color w:val="auto"/>
          <w:szCs w:val="21"/>
          <w:highlight w:val="none"/>
        </w:rPr>
        <w:t>的</w:t>
      </w:r>
      <w:r>
        <w:rPr>
          <w:rFonts w:ascii="宋体" w:hAnsi="宋体"/>
          <w:color w:val="auto"/>
          <w:szCs w:val="21"/>
          <w:highlight w:val="none"/>
        </w:rPr>
        <w:t>证明材料，质疑</w:t>
      </w:r>
      <w:r>
        <w:rPr>
          <w:rFonts w:hint="eastAsia" w:ascii="宋体" w:hAnsi="宋体"/>
          <w:color w:val="auto"/>
          <w:szCs w:val="21"/>
          <w:highlight w:val="none"/>
        </w:rPr>
        <w:t>供应商</w:t>
      </w:r>
      <w:r>
        <w:rPr>
          <w:rFonts w:ascii="宋体" w:hAnsi="宋体"/>
          <w:color w:val="auto"/>
          <w:szCs w:val="21"/>
          <w:highlight w:val="none"/>
        </w:rPr>
        <w:t>未在法定的时间内提供补充必要</w:t>
      </w:r>
      <w:r>
        <w:rPr>
          <w:rFonts w:hint="eastAsia" w:ascii="宋体" w:hAnsi="宋体"/>
          <w:color w:val="auto"/>
          <w:szCs w:val="21"/>
          <w:highlight w:val="none"/>
        </w:rPr>
        <w:t>的</w:t>
      </w:r>
      <w:r>
        <w:rPr>
          <w:rFonts w:ascii="宋体" w:hAnsi="宋体"/>
          <w:color w:val="auto"/>
          <w:szCs w:val="21"/>
          <w:highlight w:val="none"/>
        </w:rPr>
        <w:t>证明材料的，视同放弃质疑。</w:t>
      </w:r>
    </w:p>
    <w:p w14:paraId="56BFE212">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2.4 采购人、代理机构</w:t>
      </w:r>
      <w:r>
        <w:rPr>
          <w:rFonts w:ascii="宋体" w:hAnsi="宋体"/>
          <w:color w:val="auto"/>
          <w:szCs w:val="21"/>
          <w:highlight w:val="none"/>
        </w:rPr>
        <w:t>负责将质疑</w:t>
      </w:r>
      <w:r>
        <w:rPr>
          <w:rFonts w:hint="eastAsia" w:ascii="宋体" w:hAnsi="宋体"/>
          <w:color w:val="auto"/>
          <w:szCs w:val="21"/>
          <w:highlight w:val="none"/>
        </w:rPr>
        <w:t>供应商</w:t>
      </w:r>
      <w:r>
        <w:rPr>
          <w:rFonts w:ascii="宋体" w:hAnsi="宋体"/>
          <w:color w:val="auto"/>
          <w:szCs w:val="21"/>
          <w:highlight w:val="none"/>
        </w:rPr>
        <w:t>提出的质疑函及</w:t>
      </w:r>
      <w:r>
        <w:rPr>
          <w:rFonts w:hint="eastAsia" w:ascii="宋体" w:hAnsi="宋体"/>
          <w:color w:val="auto"/>
          <w:szCs w:val="21"/>
          <w:highlight w:val="none"/>
        </w:rPr>
        <w:t>相关</w:t>
      </w:r>
      <w:r>
        <w:rPr>
          <w:rFonts w:ascii="宋体" w:hAnsi="宋体"/>
          <w:color w:val="auto"/>
          <w:szCs w:val="21"/>
          <w:highlight w:val="none"/>
        </w:rPr>
        <w:t>材料提供给评审委员会协助答复，并将答复意见回复质疑</w:t>
      </w:r>
      <w:r>
        <w:rPr>
          <w:rFonts w:hint="eastAsia" w:ascii="宋体" w:hAnsi="宋体"/>
          <w:color w:val="auto"/>
          <w:szCs w:val="21"/>
          <w:highlight w:val="none"/>
        </w:rPr>
        <w:t>供应商</w:t>
      </w:r>
      <w:r>
        <w:rPr>
          <w:rFonts w:ascii="宋体" w:hAnsi="宋体"/>
          <w:color w:val="auto"/>
          <w:szCs w:val="21"/>
          <w:highlight w:val="none"/>
        </w:rPr>
        <w:t>。必要时，可向被质疑</w:t>
      </w:r>
      <w:r>
        <w:rPr>
          <w:rFonts w:hint="eastAsia" w:ascii="宋体" w:hAnsi="宋体"/>
          <w:color w:val="auto"/>
          <w:szCs w:val="21"/>
          <w:highlight w:val="none"/>
        </w:rPr>
        <w:t>供应商</w:t>
      </w:r>
      <w:r>
        <w:rPr>
          <w:rFonts w:ascii="宋体" w:hAnsi="宋体"/>
          <w:color w:val="auto"/>
          <w:szCs w:val="21"/>
          <w:highlight w:val="none"/>
        </w:rPr>
        <w:t>转发《质疑函》及</w:t>
      </w:r>
      <w:r>
        <w:rPr>
          <w:rFonts w:hint="eastAsia" w:ascii="宋体" w:hAnsi="宋体"/>
          <w:color w:val="auto"/>
          <w:szCs w:val="21"/>
          <w:highlight w:val="none"/>
        </w:rPr>
        <w:t>相关</w:t>
      </w:r>
      <w:r>
        <w:rPr>
          <w:rFonts w:ascii="宋体" w:hAnsi="宋体"/>
          <w:color w:val="auto"/>
          <w:szCs w:val="21"/>
          <w:highlight w:val="none"/>
        </w:rPr>
        <w:t>材料。被质疑</w:t>
      </w:r>
      <w:r>
        <w:rPr>
          <w:rFonts w:hint="eastAsia" w:ascii="宋体" w:hAnsi="宋体"/>
          <w:color w:val="auto"/>
          <w:szCs w:val="21"/>
          <w:highlight w:val="none"/>
        </w:rPr>
        <w:t>供应商</w:t>
      </w:r>
      <w:r>
        <w:rPr>
          <w:rFonts w:ascii="宋体" w:hAnsi="宋体"/>
          <w:color w:val="auto"/>
          <w:szCs w:val="21"/>
          <w:highlight w:val="none"/>
        </w:rPr>
        <w:t>应当在要求的时间内，以书面形式作出说明并提交</w:t>
      </w:r>
      <w:r>
        <w:rPr>
          <w:rFonts w:hint="eastAsia" w:ascii="宋体" w:hAnsi="宋体"/>
          <w:color w:val="auto"/>
          <w:szCs w:val="21"/>
          <w:highlight w:val="none"/>
        </w:rPr>
        <w:t>相关</w:t>
      </w:r>
      <w:r>
        <w:rPr>
          <w:rFonts w:ascii="宋体" w:hAnsi="宋体"/>
          <w:color w:val="auto"/>
          <w:szCs w:val="21"/>
          <w:highlight w:val="none"/>
        </w:rPr>
        <w:t>材料。</w:t>
      </w:r>
    </w:p>
    <w:p w14:paraId="54B2747A">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质疑处理</w:t>
      </w:r>
    </w:p>
    <w:p w14:paraId="07B1359A">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 xml:space="preserve">3.1 </w:t>
      </w:r>
      <w:r>
        <w:rPr>
          <w:rFonts w:ascii="宋体" w:hAnsi="宋体"/>
          <w:color w:val="auto"/>
          <w:szCs w:val="21"/>
          <w:highlight w:val="none"/>
        </w:rPr>
        <w:t>质疑</w:t>
      </w:r>
      <w:r>
        <w:rPr>
          <w:rFonts w:hint="eastAsia" w:ascii="宋体" w:hAnsi="宋体"/>
          <w:color w:val="auto"/>
          <w:szCs w:val="21"/>
          <w:highlight w:val="none"/>
        </w:rPr>
        <w:t>供应商未按照法定程序进行质疑投诉的，</w:t>
      </w:r>
      <w:r>
        <w:rPr>
          <w:rFonts w:ascii="宋体" w:hAnsi="宋体"/>
          <w:color w:val="auto"/>
          <w:szCs w:val="21"/>
          <w:highlight w:val="none"/>
        </w:rPr>
        <w:t>视为一般失信行为。</w:t>
      </w:r>
    </w:p>
    <w:p w14:paraId="28F3D539">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 xml:space="preserve">3.2 </w:t>
      </w:r>
      <w:r>
        <w:rPr>
          <w:rFonts w:ascii="宋体" w:hAnsi="宋体"/>
          <w:color w:val="auto"/>
          <w:szCs w:val="21"/>
          <w:highlight w:val="none"/>
        </w:rPr>
        <w:t>质疑</w:t>
      </w:r>
      <w:r>
        <w:rPr>
          <w:rFonts w:hint="eastAsia" w:ascii="宋体" w:hAnsi="宋体"/>
          <w:color w:val="auto"/>
          <w:szCs w:val="21"/>
          <w:highlight w:val="none"/>
        </w:rPr>
        <w:t>供应商不配合或者采用不正当手段干扰政府采购质疑、投诉处理工作</w:t>
      </w:r>
      <w:r>
        <w:rPr>
          <w:rFonts w:ascii="宋体" w:hAnsi="宋体"/>
          <w:color w:val="auto"/>
          <w:szCs w:val="21"/>
          <w:highlight w:val="none"/>
        </w:rPr>
        <w:t>的，视为一般失信行为。</w:t>
      </w:r>
    </w:p>
    <w:p w14:paraId="6F691994">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 xml:space="preserve">3.3 </w:t>
      </w:r>
      <w:r>
        <w:rPr>
          <w:rFonts w:ascii="宋体" w:hAnsi="宋体"/>
          <w:color w:val="auto"/>
          <w:szCs w:val="21"/>
          <w:highlight w:val="none"/>
        </w:rPr>
        <w:t>质疑</w:t>
      </w:r>
      <w:r>
        <w:rPr>
          <w:rFonts w:hint="eastAsia" w:ascii="宋体" w:hAnsi="宋体"/>
          <w:color w:val="auto"/>
          <w:szCs w:val="21"/>
          <w:highlight w:val="none"/>
        </w:rPr>
        <w:t>供应商投诉受理期间，就同一事项多头举报，干扰财政部门投诉处理</w:t>
      </w:r>
      <w:r>
        <w:rPr>
          <w:rFonts w:ascii="宋体" w:hAnsi="宋体"/>
          <w:color w:val="auto"/>
          <w:szCs w:val="21"/>
          <w:highlight w:val="none"/>
        </w:rPr>
        <w:t>的，视为一般失信行为。</w:t>
      </w:r>
    </w:p>
    <w:p w14:paraId="1E00A125">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 xml:space="preserve">3.4 </w:t>
      </w:r>
      <w:r>
        <w:rPr>
          <w:rFonts w:ascii="宋体" w:hAnsi="宋体"/>
          <w:color w:val="auto"/>
          <w:szCs w:val="21"/>
          <w:highlight w:val="none"/>
        </w:rPr>
        <w:t>质疑</w:t>
      </w:r>
      <w:r>
        <w:rPr>
          <w:rFonts w:hint="eastAsia" w:ascii="宋体" w:hAnsi="宋体"/>
          <w:color w:val="auto"/>
          <w:szCs w:val="21"/>
          <w:highlight w:val="none"/>
        </w:rPr>
        <w:t>供应商在全国范围12个月内三次以上质疑查无实据</w:t>
      </w:r>
      <w:r>
        <w:rPr>
          <w:rFonts w:ascii="宋体" w:hAnsi="宋体"/>
          <w:color w:val="auto"/>
          <w:szCs w:val="21"/>
          <w:highlight w:val="none"/>
        </w:rPr>
        <w:t>的，视为一般失信行为。</w:t>
      </w:r>
    </w:p>
    <w:p w14:paraId="738D355D">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 xml:space="preserve">3.5 </w:t>
      </w:r>
      <w:r>
        <w:rPr>
          <w:rFonts w:ascii="宋体" w:hAnsi="宋体"/>
          <w:color w:val="auto"/>
          <w:szCs w:val="21"/>
          <w:highlight w:val="none"/>
        </w:rPr>
        <w:t>质疑</w:t>
      </w:r>
      <w:r>
        <w:rPr>
          <w:rFonts w:hint="eastAsia" w:ascii="宋体" w:hAnsi="宋体"/>
          <w:color w:val="auto"/>
          <w:szCs w:val="21"/>
          <w:highlight w:val="none"/>
        </w:rPr>
        <w:t>供应商采用捏造事实、提供虚假材料或者以非法手段取得证明材料等方式进行虚假、恶意投诉</w:t>
      </w:r>
      <w:r>
        <w:rPr>
          <w:rFonts w:ascii="宋体" w:hAnsi="宋体"/>
          <w:color w:val="auto"/>
          <w:szCs w:val="21"/>
          <w:highlight w:val="none"/>
        </w:rPr>
        <w:t>的，视为</w:t>
      </w:r>
      <w:r>
        <w:rPr>
          <w:rFonts w:hint="eastAsia" w:ascii="宋体" w:hAnsi="宋体"/>
          <w:color w:val="auto"/>
          <w:szCs w:val="21"/>
          <w:highlight w:val="none"/>
        </w:rPr>
        <w:t>严重失信行为</w:t>
      </w:r>
      <w:r>
        <w:rPr>
          <w:rFonts w:ascii="宋体" w:hAnsi="宋体"/>
          <w:color w:val="auto"/>
          <w:szCs w:val="21"/>
          <w:highlight w:val="none"/>
        </w:rPr>
        <w:t>。（</w:t>
      </w:r>
      <w:r>
        <w:rPr>
          <w:rFonts w:hint="eastAsia" w:ascii="宋体" w:hAnsi="宋体"/>
          <w:color w:val="auto"/>
          <w:szCs w:val="21"/>
          <w:highlight w:val="none"/>
        </w:rPr>
        <w:t>证据来源的合法性存在明显疑问，投诉人无法证明其取得方式合法的，视为以非法手段取得证明材料</w:t>
      </w:r>
      <w:r>
        <w:rPr>
          <w:rFonts w:ascii="宋体" w:hAnsi="宋体"/>
          <w:color w:val="auto"/>
          <w:szCs w:val="21"/>
          <w:highlight w:val="none"/>
        </w:rPr>
        <w:t>）</w:t>
      </w:r>
    </w:p>
    <w:p w14:paraId="2516F864">
      <w:pPr>
        <w:tabs>
          <w:tab w:val="left" w:pos="900"/>
        </w:tabs>
        <w:spacing w:line="360" w:lineRule="auto"/>
        <w:ind w:firstLine="420"/>
        <w:jc w:val="left"/>
        <w:rPr>
          <w:rFonts w:ascii="宋体" w:hAnsi="宋体"/>
          <w:color w:val="auto"/>
          <w:szCs w:val="21"/>
          <w:highlight w:val="none"/>
        </w:rPr>
      </w:pPr>
      <w:r>
        <w:rPr>
          <w:rFonts w:hint="eastAsia" w:ascii="宋体" w:hAnsi="宋体"/>
          <w:color w:val="auto"/>
          <w:szCs w:val="21"/>
          <w:highlight w:val="none"/>
        </w:rPr>
        <w:t>3.6未尽事宜，依照有关法律、法规执行。</w:t>
      </w:r>
    </w:p>
    <w:p w14:paraId="2E2C72F4">
      <w:pPr>
        <w:spacing w:line="360" w:lineRule="auto"/>
        <w:ind w:firstLine="420"/>
        <w:jc w:val="left"/>
        <w:rPr>
          <w:rFonts w:ascii="宋体" w:hAnsi="宋体"/>
          <w:color w:val="auto"/>
          <w:szCs w:val="21"/>
          <w:highlight w:val="none"/>
        </w:rPr>
      </w:pPr>
      <w:r>
        <w:rPr>
          <w:rFonts w:hint="eastAsia" w:ascii="宋体" w:hAnsi="宋体"/>
          <w:color w:val="auto"/>
          <w:szCs w:val="21"/>
          <w:highlight w:val="none"/>
        </w:rPr>
        <w:t>4、投诉</w:t>
      </w:r>
    </w:p>
    <w:p w14:paraId="0F09C7E0">
      <w:pPr>
        <w:spacing w:line="360" w:lineRule="auto"/>
        <w:ind w:firstLine="420"/>
        <w:jc w:val="left"/>
        <w:rPr>
          <w:rFonts w:ascii="黑体" w:hAnsi="黑体" w:eastAsia="黑体"/>
          <w:color w:val="auto"/>
          <w:szCs w:val="21"/>
          <w:highlight w:val="none"/>
        </w:rPr>
      </w:pPr>
      <w:r>
        <w:rPr>
          <w:rFonts w:hint="eastAsia" w:ascii="宋体" w:hAnsi="宋体"/>
          <w:color w:val="auto"/>
          <w:szCs w:val="21"/>
          <w:highlight w:val="none"/>
        </w:rPr>
        <w:t>投诉事项依照有关法律、法规执行。</w:t>
      </w:r>
    </w:p>
    <w:p w14:paraId="22B2CB42">
      <w:pPr>
        <w:pStyle w:val="57"/>
        <w:spacing w:line="360" w:lineRule="auto"/>
        <w:ind w:firstLine="420"/>
        <w:rPr>
          <w:color w:val="auto"/>
          <w:szCs w:val="21"/>
          <w:highlight w:val="none"/>
        </w:rPr>
      </w:pPr>
    </w:p>
    <w:p w14:paraId="0749C487">
      <w:pPr>
        <w:keepNext/>
        <w:keepLines/>
        <w:spacing w:line="360" w:lineRule="auto"/>
        <w:jc w:val="center"/>
        <w:outlineLvl w:val="0"/>
        <w:rPr>
          <w:b/>
          <w:color w:val="auto"/>
          <w:sz w:val="36"/>
          <w:szCs w:val="36"/>
          <w:highlight w:val="none"/>
        </w:rPr>
        <w:sectPr>
          <w:pgSz w:w="11906" w:h="16838"/>
          <w:pgMar w:top="1134" w:right="1134" w:bottom="1134" w:left="1622" w:header="851" w:footer="992" w:gutter="0"/>
          <w:cols w:space="720" w:num="1"/>
          <w:docGrid w:linePitch="360" w:charSpace="0"/>
        </w:sectPr>
      </w:pPr>
    </w:p>
    <w:bookmarkEnd w:id="93"/>
    <w:bookmarkEnd w:id="94"/>
    <w:bookmarkEnd w:id="95"/>
    <w:p w14:paraId="13341A0C">
      <w:pPr>
        <w:keepNext/>
        <w:keepLines/>
        <w:adjustRightInd w:val="0"/>
        <w:spacing w:line="360" w:lineRule="auto"/>
        <w:jc w:val="center"/>
        <w:textAlignment w:val="baseline"/>
        <w:outlineLvl w:val="0"/>
        <w:rPr>
          <w:b/>
          <w:sz w:val="36"/>
          <w:szCs w:val="36"/>
        </w:rPr>
      </w:pPr>
      <w:bookmarkStart w:id="189" w:name="_Toc139967211"/>
      <w:bookmarkStart w:id="190" w:name="_Toc32045"/>
      <w:bookmarkStart w:id="191" w:name="_Toc513622228"/>
      <w:bookmarkStart w:id="192" w:name="_Toc139966427"/>
    </w:p>
    <w:p w14:paraId="309AB6E4">
      <w:pPr>
        <w:keepNext/>
        <w:keepLines/>
        <w:adjustRightInd w:val="0"/>
        <w:spacing w:line="360" w:lineRule="auto"/>
        <w:jc w:val="center"/>
        <w:textAlignment w:val="baseline"/>
        <w:outlineLvl w:val="0"/>
        <w:rPr>
          <w:b/>
          <w:sz w:val="36"/>
          <w:szCs w:val="36"/>
        </w:rPr>
      </w:pPr>
      <w:bookmarkStart w:id="193" w:name="_Toc9257"/>
      <w:r>
        <w:rPr>
          <w:rFonts w:hint="eastAsia"/>
          <w:b/>
          <w:sz w:val="36"/>
          <w:szCs w:val="36"/>
        </w:rPr>
        <w:t>第三章  政府采购合同格式</w:t>
      </w:r>
      <w:bookmarkEnd w:id="189"/>
      <w:bookmarkEnd w:id="190"/>
      <w:bookmarkEnd w:id="191"/>
      <w:bookmarkEnd w:id="192"/>
      <w:bookmarkEnd w:id="193"/>
    </w:p>
    <w:p w14:paraId="2C9CBA2F">
      <w:pPr>
        <w:spacing w:line="360" w:lineRule="auto"/>
        <w:ind w:firstLine="880" w:firstLineChars="200"/>
        <w:rPr>
          <w:rFonts w:ascii="宋体" w:hAnsi="宋体"/>
          <w:color w:val="000000"/>
          <w:sz w:val="44"/>
        </w:rPr>
      </w:pPr>
    </w:p>
    <w:p w14:paraId="3D028773">
      <w:pPr>
        <w:spacing w:line="360" w:lineRule="auto"/>
        <w:ind w:firstLine="1827" w:firstLineChars="350"/>
        <w:rPr>
          <w:rFonts w:ascii="宋体" w:hAnsi="宋体"/>
          <w:b/>
          <w:bCs/>
          <w:color w:val="000000"/>
          <w:sz w:val="52"/>
        </w:rPr>
      </w:pPr>
      <w:r>
        <w:rPr>
          <w:rFonts w:hint="eastAsia" w:ascii="宋体" w:hAnsi="宋体"/>
          <w:b/>
          <w:bCs/>
          <w:color w:val="000000"/>
          <w:sz w:val="52"/>
        </w:rPr>
        <w:t>连 云 港 市 政 府 采 购</w:t>
      </w:r>
    </w:p>
    <w:p w14:paraId="03D4D948">
      <w:pPr>
        <w:spacing w:line="360" w:lineRule="auto"/>
        <w:ind w:firstLine="420" w:firstLineChars="200"/>
        <w:rPr>
          <w:rFonts w:ascii="宋体" w:hAnsi="宋体"/>
          <w:color w:val="000000"/>
        </w:rPr>
      </w:pPr>
    </w:p>
    <w:p w14:paraId="09BC3764">
      <w:pPr>
        <w:spacing w:line="360" w:lineRule="auto"/>
        <w:ind w:firstLine="3914" w:firstLineChars="886"/>
        <w:rPr>
          <w:rFonts w:ascii="宋体" w:hAnsi="宋体"/>
          <w:b/>
          <w:bCs/>
          <w:color w:val="000000"/>
          <w:sz w:val="44"/>
        </w:rPr>
      </w:pPr>
      <w:r>
        <w:rPr>
          <w:rFonts w:hint="eastAsia" w:ascii="宋体" w:hAnsi="宋体"/>
          <w:b/>
          <w:bCs/>
          <w:color w:val="000000"/>
          <w:sz w:val="44"/>
        </w:rPr>
        <w:t>合  同</w:t>
      </w:r>
    </w:p>
    <w:p w14:paraId="5D4CE2B4">
      <w:pPr>
        <w:spacing w:line="360" w:lineRule="auto"/>
        <w:ind w:firstLine="420" w:firstLineChars="200"/>
        <w:rPr>
          <w:rFonts w:ascii="宋体" w:hAnsi="宋体"/>
          <w:color w:val="000000"/>
        </w:rPr>
      </w:pPr>
    </w:p>
    <w:p w14:paraId="1DA94948">
      <w:pPr>
        <w:spacing w:line="360" w:lineRule="auto"/>
        <w:ind w:firstLine="3507" w:firstLineChars="794"/>
        <w:rPr>
          <w:rFonts w:ascii="宋体" w:hAnsi="宋体"/>
          <w:b/>
          <w:bCs/>
          <w:color w:val="000000"/>
          <w:sz w:val="44"/>
        </w:rPr>
      </w:pPr>
    </w:p>
    <w:p w14:paraId="1D242B16">
      <w:pPr>
        <w:spacing w:line="360" w:lineRule="auto"/>
        <w:ind w:firstLine="1802" w:firstLineChars="408"/>
        <w:rPr>
          <w:rFonts w:ascii="宋体" w:hAnsi="宋体"/>
          <w:b/>
          <w:bCs/>
          <w:color w:val="000000"/>
          <w:sz w:val="44"/>
          <w:szCs w:val="44"/>
        </w:rPr>
      </w:pPr>
      <w:r>
        <w:rPr>
          <w:rFonts w:hint="eastAsia" w:ascii="宋体" w:hAnsi="宋体"/>
          <w:b/>
          <w:bCs/>
          <w:color w:val="000000"/>
          <w:sz w:val="44"/>
          <w:szCs w:val="44"/>
        </w:rPr>
        <w:t>合同编号：</w:t>
      </w:r>
    </w:p>
    <w:p w14:paraId="0BDB1AF4">
      <w:pPr>
        <w:spacing w:line="360" w:lineRule="auto"/>
        <w:ind w:firstLine="880" w:firstLineChars="200"/>
        <w:rPr>
          <w:rFonts w:ascii="宋体" w:hAnsi="宋体"/>
          <w:color w:val="000000"/>
          <w:sz w:val="44"/>
        </w:rPr>
      </w:pPr>
    </w:p>
    <w:p w14:paraId="4F0BD0B3">
      <w:pPr>
        <w:spacing w:line="360" w:lineRule="auto"/>
        <w:ind w:firstLine="880" w:firstLineChars="200"/>
        <w:rPr>
          <w:rFonts w:ascii="宋体" w:hAnsi="宋体"/>
          <w:color w:val="000000"/>
          <w:sz w:val="44"/>
        </w:rPr>
      </w:pPr>
    </w:p>
    <w:p w14:paraId="237421DC">
      <w:pPr>
        <w:spacing w:line="360" w:lineRule="auto"/>
        <w:ind w:firstLine="880" w:firstLineChars="200"/>
        <w:rPr>
          <w:rFonts w:ascii="宋体" w:hAnsi="宋体"/>
          <w:color w:val="000000"/>
          <w:sz w:val="44"/>
        </w:rPr>
      </w:pPr>
    </w:p>
    <w:p w14:paraId="595665F0">
      <w:pPr>
        <w:pStyle w:val="144"/>
      </w:pPr>
    </w:p>
    <w:p w14:paraId="6FA01481">
      <w:pPr>
        <w:spacing w:line="360" w:lineRule="auto"/>
        <w:ind w:firstLine="1758" w:firstLineChars="398"/>
        <w:rPr>
          <w:rFonts w:ascii="宋体" w:hAnsi="宋体"/>
          <w:b/>
          <w:bCs/>
          <w:color w:val="000000"/>
          <w:sz w:val="44"/>
        </w:rPr>
      </w:pPr>
      <w:r>
        <w:rPr>
          <w:rFonts w:hint="eastAsia" w:ascii="宋体" w:hAnsi="宋体"/>
          <w:b/>
          <w:bCs/>
          <w:color w:val="000000"/>
          <w:sz w:val="44"/>
        </w:rPr>
        <w:t>采  购 人：</w:t>
      </w:r>
    </w:p>
    <w:p w14:paraId="0327C524">
      <w:pPr>
        <w:spacing w:line="360" w:lineRule="auto"/>
        <w:ind w:firstLine="1758" w:firstLineChars="398"/>
        <w:rPr>
          <w:rFonts w:ascii="宋体" w:hAnsi="宋体"/>
          <w:b/>
          <w:bCs/>
          <w:color w:val="000000"/>
          <w:sz w:val="44"/>
        </w:rPr>
      </w:pPr>
      <w:r>
        <w:rPr>
          <w:rFonts w:hint="eastAsia" w:ascii="宋体" w:hAnsi="宋体"/>
          <w:b/>
          <w:bCs/>
          <w:color w:val="000000"/>
          <w:sz w:val="44"/>
        </w:rPr>
        <w:t>成交供应商：</w:t>
      </w:r>
    </w:p>
    <w:p w14:paraId="14A68EF9">
      <w:pPr>
        <w:spacing w:line="360" w:lineRule="auto"/>
        <w:ind w:firstLine="420" w:firstLineChars="200"/>
        <w:rPr>
          <w:rFonts w:ascii="宋体" w:hAnsi="宋体"/>
          <w:color w:val="000000"/>
        </w:rPr>
      </w:pPr>
    </w:p>
    <w:p w14:paraId="7001A6C6">
      <w:pPr>
        <w:spacing w:line="360" w:lineRule="auto"/>
        <w:ind w:firstLine="420" w:firstLineChars="200"/>
        <w:rPr>
          <w:rFonts w:ascii="宋体" w:hAnsi="宋体"/>
          <w:color w:val="000000"/>
        </w:rPr>
      </w:pPr>
    </w:p>
    <w:p w14:paraId="3366803C">
      <w:pPr>
        <w:spacing w:line="360" w:lineRule="auto"/>
        <w:ind w:firstLine="420" w:firstLineChars="200"/>
        <w:rPr>
          <w:rFonts w:ascii="宋体" w:hAnsi="宋体"/>
          <w:color w:val="000000"/>
        </w:rPr>
      </w:pPr>
    </w:p>
    <w:p w14:paraId="2AEAED30">
      <w:pPr>
        <w:spacing w:line="240" w:lineRule="exact"/>
        <w:ind w:firstLine="420" w:firstLineChars="200"/>
        <w:rPr>
          <w:rFonts w:eastAsiaTheme="minorEastAsia"/>
        </w:rPr>
      </w:pPr>
    </w:p>
    <w:p w14:paraId="4EADBF54">
      <w:pPr>
        <w:keepNext/>
        <w:spacing w:line="500" w:lineRule="exact"/>
        <w:jc w:val="center"/>
        <w:outlineLvl w:val="0"/>
        <w:rPr>
          <w:rFonts w:hint="eastAsia" w:ascii="宋体"/>
          <w:b/>
          <w:sz w:val="36"/>
          <w:szCs w:val="36"/>
        </w:rPr>
        <w:sectPr>
          <w:footerReference r:id="rId7" w:type="default"/>
          <w:pgSz w:w="11906" w:h="16838"/>
          <w:pgMar w:top="1134" w:right="1134" w:bottom="1134" w:left="1134" w:header="851" w:footer="828" w:gutter="0"/>
          <w:cols w:space="720" w:num="1"/>
          <w:docGrid w:linePitch="312" w:charSpace="0"/>
        </w:sectPr>
      </w:pPr>
      <w:bookmarkStart w:id="194" w:name="_Toc13790"/>
      <w:bookmarkStart w:id="195" w:name="_Toc16798"/>
      <w:bookmarkStart w:id="196" w:name="_Toc50385976"/>
    </w:p>
    <w:p w14:paraId="1BFCF9DF">
      <w:pPr>
        <w:keepNext/>
        <w:spacing w:line="500" w:lineRule="exact"/>
        <w:jc w:val="center"/>
        <w:outlineLvl w:val="0"/>
        <w:rPr>
          <w:rFonts w:ascii="宋体"/>
          <w:b/>
          <w:sz w:val="21"/>
          <w:szCs w:val="21"/>
        </w:rPr>
      </w:pPr>
      <w:bookmarkStart w:id="197" w:name="_Toc1685"/>
      <w:r>
        <w:rPr>
          <w:rFonts w:hint="eastAsia" w:ascii="宋体"/>
          <w:b/>
          <w:sz w:val="21"/>
          <w:szCs w:val="21"/>
        </w:rPr>
        <w:t>合同条款及格式</w:t>
      </w:r>
      <w:bookmarkEnd w:id="194"/>
      <w:bookmarkEnd w:id="195"/>
      <w:bookmarkEnd w:id="196"/>
      <w:bookmarkEnd w:id="197"/>
    </w:p>
    <w:p w14:paraId="7946A6FF">
      <w:pPr>
        <w:rPr>
          <w:sz w:val="21"/>
          <w:szCs w:val="21"/>
        </w:rPr>
      </w:pPr>
    </w:p>
    <w:p w14:paraId="0E080A1D">
      <w:pPr>
        <w:adjustRightInd w:val="0"/>
        <w:snapToGrid w:val="0"/>
        <w:spacing w:line="360" w:lineRule="auto"/>
        <w:ind w:firstLine="1680" w:firstLineChars="800"/>
        <w:rPr>
          <w:rFonts w:ascii="宋体" w:hAnsi="宋体"/>
          <w:b/>
          <w:bCs/>
          <w:color w:val="000000"/>
          <w:sz w:val="21"/>
          <w:szCs w:val="21"/>
        </w:rPr>
      </w:pPr>
      <w:r>
        <w:rPr>
          <w:rFonts w:hint="eastAsia"/>
          <w:color w:val="000000"/>
          <w:sz w:val="21"/>
          <w:szCs w:val="21"/>
        </w:rPr>
        <w:t xml:space="preserve">    </w:t>
      </w:r>
      <w:r>
        <w:rPr>
          <w:rFonts w:hint="eastAsia"/>
          <w:color w:val="000000"/>
          <w:sz w:val="21"/>
          <w:szCs w:val="21"/>
          <w:lang w:val="en-US" w:eastAsia="zh-CN"/>
        </w:rPr>
        <w:t xml:space="preserve">   </w:t>
      </w:r>
      <w:r>
        <w:rPr>
          <w:rFonts w:hint="eastAsia"/>
          <w:color w:val="000000"/>
          <w:sz w:val="21"/>
          <w:szCs w:val="21"/>
        </w:rPr>
        <w:t>（如行业内有合同格式，可采用行业内合同）</w:t>
      </w:r>
    </w:p>
    <w:p w14:paraId="4BFD93BF">
      <w:pPr>
        <w:widowControl/>
        <w:spacing w:before="100" w:after="100" w:line="440" w:lineRule="exact"/>
        <w:ind w:left="250" w:right="24" w:firstLine="420" w:firstLineChars="200"/>
        <w:jc w:val="left"/>
        <w:rPr>
          <w:rFonts w:ascii="宋体" w:hAnsi="宋体"/>
          <w:kern w:val="0"/>
          <w:sz w:val="21"/>
          <w:szCs w:val="21"/>
        </w:rPr>
      </w:pPr>
      <w:r>
        <w:rPr>
          <w:rFonts w:hint="eastAsia" w:ascii="宋体" w:hAnsi="宋体"/>
          <w:kern w:val="0"/>
          <w:sz w:val="21"/>
          <w:szCs w:val="21"/>
        </w:rPr>
        <w:t>采购人</w:t>
      </w:r>
      <w:r>
        <w:rPr>
          <w:rFonts w:ascii="宋体" w:hAnsi="宋体"/>
          <w:kern w:val="0"/>
          <w:sz w:val="21"/>
          <w:szCs w:val="21"/>
        </w:rPr>
        <w:t>（全称）：</w:t>
      </w:r>
    </w:p>
    <w:p w14:paraId="5A57477D">
      <w:pPr>
        <w:widowControl/>
        <w:spacing w:before="100" w:after="100" w:line="440" w:lineRule="exact"/>
        <w:ind w:left="250" w:right="24" w:firstLine="420" w:firstLineChars="200"/>
        <w:jc w:val="left"/>
        <w:rPr>
          <w:rFonts w:ascii="宋体" w:hAnsi="宋体"/>
          <w:kern w:val="0"/>
          <w:sz w:val="21"/>
          <w:szCs w:val="21"/>
        </w:rPr>
      </w:pPr>
      <w:r>
        <w:rPr>
          <w:rFonts w:hint="eastAsia" w:ascii="宋体" w:hAnsi="宋体"/>
          <w:kern w:val="0"/>
          <w:sz w:val="21"/>
          <w:szCs w:val="21"/>
        </w:rPr>
        <w:t>供货商</w:t>
      </w:r>
      <w:r>
        <w:rPr>
          <w:rFonts w:ascii="宋体" w:hAnsi="宋体"/>
          <w:kern w:val="0"/>
          <w:sz w:val="21"/>
          <w:szCs w:val="21"/>
        </w:rPr>
        <w:t>（全称）：</w:t>
      </w:r>
    </w:p>
    <w:p w14:paraId="0993FBD4">
      <w:pPr>
        <w:widowControl/>
        <w:spacing w:before="20" w:after="20" w:line="440" w:lineRule="exact"/>
        <w:ind w:left="249" w:right="23"/>
        <w:jc w:val="left"/>
        <w:rPr>
          <w:rFonts w:ascii="宋体" w:hAnsi="宋体"/>
          <w:kern w:val="0"/>
          <w:sz w:val="21"/>
          <w:szCs w:val="21"/>
        </w:rPr>
      </w:pPr>
      <w:r>
        <w:rPr>
          <w:rFonts w:ascii="宋体" w:hAnsi="宋体"/>
          <w:kern w:val="0"/>
          <w:sz w:val="21"/>
          <w:szCs w:val="21"/>
        </w:rPr>
        <w:t>　　依照《中华人民共和国</w:t>
      </w:r>
      <w:r>
        <w:rPr>
          <w:rFonts w:hint="eastAsia" w:ascii="宋体" w:hAnsi="宋体"/>
          <w:kern w:val="0"/>
          <w:sz w:val="21"/>
          <w:szCs w:val="21"/>
        </w:rPr>
        <w:t>民法典</w:t>
      </w:r>
      <w:r>
        <w:rPr>
          <w:rFonts w:ascii="宋体" w:hAnsi="宋体"/>
          <w:kern w:val="0"/>
          <w:sz w:val="21"/>
          <w:szCs w:val="21"/>
        </w:rPr>
        <w:t>》、《中华人民共和国</w:t>
      </w:r>
      <w:r>
        <w:rPr>
          <w:rFonts w:hint="eastAsia" w:ascii="宋体" w:hAnsi="宋体"/>
          <w:kern w:val="0"/>
          <w:sz w:val="21"/>
          <w:szCs w:val="21"/>
        </w:rPr>
        <w:t>政府采购法</w:t>
      </w:r>
      <w:r>
        <w:rPr>
          <w:rFonts w:ascii="宋体" w:hAnsi="宋体"/>
          <w:kern w:val="0"/>
          <w:sz w:val="21"/>
          <w:szCs w:val="21"/>
        </w:rPr>
        <w:t>》及其他有关法律、行政法规、遵循平等、自愿、公平和诚实信用的原则，双方就本建设</w:t>
      </w:r>
      <w:r>
        <w:rPr>
          <w:rFonts w:hint="eastAsia" w:ascii="宋体" w:hAnsi="宋体"/>
          <w:sz w:val="21"/>
          <w:szCs w:val="21"/>
          <w:u w:val="single"/>
          <w:lang w:eastAsia="zh-CN"/>
        </w:rPr>
        <w:t>连岛景区2026年度四季草花栽植工程</w:t>
      </w:r>
      <w:r>
        <w:rPr>
          <w:rFonts w:ascii="宋体" w:hAnsi="宋体"/>
          <w:kern w:val="0"/>
          <w:sz w:val="21"/>
          <w:szCs w:val="21"/>
        </w:rPr>
        <w:t>协商一致，订立本合同。</w:t>
      </w:r>
    </w:p>
    <w:p w14:paraId="016B9E9A">
      <w:pPr>
        <w:pStyle w:val="33"/>
        <w:spacing w:line="440" w:lineRule="exact"/>
        <w:ind w:firstLine="422" w:firstLineChars="200"/>
        <w:contextualSpacing/>
        <w:rPr>
          <w:b/>
          <w:bCs/>
          <w:sz w:val="21"/>
          <w:szCs w:val="21"/>
        </w:rPr>
      </w:pPr>
      <w:bookmarkStart w:id="198" w:name="_Toc351203484"/>
      <w:r>
        <w:rPr>
          <w:rFonts w:hint="eastAsia"/>
          <w:b/>
          <w:bCs/>
          <w:sz w:val="21"/>
          <w:szCs w:val="21"/>
        </w:rPr>
        <w:t>一</w:t>
      </w:r>
      <w:r>
        <w:rPr>
          <w:b/>
          <w:bCs/>
          <w:sz w:val="21"/>
          <w:szCs w:val="21"/>
        </w:rPr>
        <w:t>、</w:t>
      </w:r>
      <w:r>
        <w:rPr>
          <w:rFonts w:hint="eastAsia"/>
          <w:b/>
          <w:bCs/>
          <w:sz w:val="21"/>
          <w:szCs w:val="21"/>
        </w:rPr>
        <w:t>项目</w:t>
      </w:r>
      <w:r>
        <w:rPr>
          <w:b/>
          <w:bCs/>
          <w:sz w:val="21"/>
          <w:szCs w:val="21"/>
        </w:rPr>
        <w:t>概况：</w:t>
      </w:r>
    </w:p>
    <w:p w14:paraId="61074791">
      <w:pPr>
        <w:pStyle w:val="33"/>
        <w:spacing w:line="440" w:lineRule="exact"/>
        <w:ind w:firstLine="420" w:firstLineChars="200"/>
        <w:contextualSpacing/>
        <w:rPr>
          <w:rFonts w:hint="eastAsia" w:eastAsia="宋体"/>
          <w:sz w:val="21"/>
          <w:szCs w:val="21"/>
          <w:highlight w:val="none"/>
          <w:lang w:eastAsia="zh-CN"/>
        </w:rPr>
      </w:pPr>
      <w:r>
        <w:rPr>
          <w:sz w:val="21"/>
          <w:szCs w:val="21"/>
        </w:rPr>
        <w:t>1.1</w:t>
      </w:r>
      <w:r>
        <w:rPr>
          <w:rFonts w:hint="eastAsia"/>
          <w:sz w:val="21"/>
          <w:szCs w:val="21"/>
          <w:highlight w:val="none"/>
        </w:rPr>
        <w:t>项目</w:t>
      </w:r>
      <w:r>
        <w:rPr>
          <w:sz w:val="21"/>
          <w:szCs w:val="21"/>
          <w:highlight w:val="none"/>
        </w:rPr>
        <w:t>名称：</w:t>
      </w:r>
      <w:r>
        <w:rPr>
          <w:rFonts w:hint="eastAsia"/>
          <w:sz w:val="21"/>
          <w:szCs w:val="21"/>
          <w:highlight w:val="none"/>
          <w:lang w:eastAsia="zh-CN"/>
        </w:rPr>
        <w:t>连岛景区2026年度四季草花栽植工程</w:t>
      </w:r>
    </w:p>
    <w:p w14:paraId="0D461718">
      <w:pPr>
        <w:pStyle w:val="33"/>
        <w:spacing w:line="440" w:lineRule="exact"/>
        <w:ind w:firstLine="420" w:firstLineChars="200"/>
        <w:contextualSpacing/>
        <w:rPr>
          <w:sz w:val="21"/>
          <w:szCs w:val="21"/>
          <w:highlight w:val="none"/>
        </w:rPr>
      </w:pPr>
      <w:r>
        <w:rPr>
          <w:sz w:val="21"/>
          <w:szCs w:val="21"/>
          <w:highlight w:val="none"/>
        </w:rPr>
        <w:t xml:space="preserve">1.2 </w:t>
      </w:r>
      <w:r>
        <w:rPr>
          <w:rFonts w:hint="eastAsia"/>
          <w:sz w:val="21"/>
          <w:szCs w:val="21"/>
          <w:highlight w:val="none"/>
        </w:rPr>
        <w:t>服务</w:t>
      </w:r>
      <w:r>
        <w:rPr>
          <w:sz w:val="21"/>
          <w:szCs w:val="21"/>
          <w:highlight w:val="none"/>
        </w:rPr>
        <w:t>地点</w:t>
      </w:r>
      <w:r>
        <w:rPr>
          <w:rFonts w:hint="eastAsia"/>
          <w:sz w:val="21"/>
          <w:szCs w:val="21"/>
          <w:highlight w:val="none"/>
        </w:rPr>
        <w:t>：</w:t>
      </w:r>
      <w:r>
        <w:rPr>
          <w:rFonts w:hint="eastAsia"/>
          <w:sz w:val="21"/>
          <w:szCs w:val="21"/>
          <w:highlight w:val="none"/>
          <w:lang w:eastAsia="zh-CN"/>
        </w:rPr>
        <w:t>采购人指定地点</w:t>
      </w:r>
      <w:r>
        <w:rPr>
          <w:rFonts w:hint="eastAsia"/>
          <w:sz w:val="21"/>
          <w:szCs w:val="21"/>
          <w:highlight w:val="none"/>
        </w:rPr>
        <w:t>。</w:t>
      </w:r>
    </w:p>
    <w:p w14:paraId="12F30EE8">
      <w:pPr>
        <w:pStyle w:val="33"/>
        <w:spacing w:line="440" w:lineRule="exact"/>
        <w:ind w:firstLine="420" w:firstLineChars="200"/>
        <w:contextualSpacing/>
        <w:rPr>
          <w:sz w:val="21"/>
          <w:szCs w:val="21"/>
          <w:highlight w:val="none"/>
        </w:rPr>
      </w:pPr>
      <w:r>
        <w:rPr>
          <w:sz w:val="21"/>
          <w:szCs w:val="21"/>
          <w:highlight w:val="none"/>
        </w:rPr>
        <w:t xml:space="preserve">1.3 </w:t>
      </w:r>
      <w:r>
        <w:rPr>
          <w:rFonts w:hint="eastAsia"/>
          <w:sz w:val="21"/>
          <w:szCs w:val="21"/>
          <w:highlight w:val="none"/>
        </w:rPr>
        <w:t>采购</w:t>
      </w:r>
      <w:r>
        <w:rPr>
          <w:sz w:val="21"/>
          <w:szCs w:val="21"/>
          <w:highlight w:val="none"/>
        </w:rPr>
        <w:t>范围：</w:t>
      </w:r>
      <w:r>
        <w:rPr>
          <w:rFonts w:hint="eastAsia"/>
          <w:sz w:val="21"/>
          <w:szCs w:val="21"/>
          <w:highlight w:val="none"/>
          <w:lang w:eastAsia="zh-CN"/>
        </w:rPr>
        <w:t>连岛景区2026年度四季草花栽植工程</w:t>
      </w:r>
      <w:r>
        <w:rPr>
          <w:rFonts w:hint="eastAsia"/>
          <w:sz w:val="21"/>
          <w:szCs w:val="21"/>
          <w:highlight w:val="none"/>
        </w:rPr>
        <w:t>施工；详见工程量清单。</w:t>
      </w:r>
    </w:p>
    <w:bookmarkEnd w:id="198"/>
    <w:p w14:paraId="112E5ABB">
      <w:pPr>
        <w:pStyle w:val="33"/>
        <w:keepNext w:val="0"/>
        <w:keepLines w:val="0"/>
        <w:pageBreakBefore w:val="0"/>
        <w:kinsoku/>
        <w:wordWrap/>
        <w:overflowPunct/>
        <w:topLinePunct w:val="0"/>
        <w:autoSpaceDE/>
        <w:autoSpaceDN/>
        <w:bidi w:val="0"/>
        <w:adjustRightInd/>
        <w:snapToGrid/>
        <w:spacing w:before="0" w:beforeAutospacing="0" w:after="0" w:afterAutospacing="0" w:line="450" w:lineRule="exact"/>
        <w:ind w:firstLine="422" w:firstLineChars="200"/>
        <w:contextualSpacing/>
        <w:textAlignment w:val="auto"/>
        <w:rPr>
          <w:rFonts w:hint="eastAsia" w:ascii="宋体" w:hAnsi="宋体" w:eastAsia="宋体" w:cs="宋体"/>
          <w:color w:val="333333"/>
          <w:sz w:val="21"/>
          <w:szCs w:val="21"/>
          <w:highlight w:val="none"/>
          <w:lang w:val="en-US" w:eastAsia="zh-CN"/>
        </w:rPr>
      </w:pPr>
      <w:r>
        <w:rPr>
          <w:rFonts w:hint="eastAsia"/>
          <w:b/>
          <w:bCs/>
          <w:sz w:val="21"/>
          <w:szCs w:val="21"/>
          <w:highlight w:val="none"/>
        </w:rPr>
        <w:t>二</w:t>
      </w:r>
      <w:r>
        <w:rPr>
          <w:b/>
          <w:bCs/>
          <w:sz w:val="21"/>
          <w:szCs w:val="21"/>
          <w:highlight w:val="none"/>
        </w:rPr>
        <w:t>、</w:t>
      </w:r>
      <w:r>
        <w:rPr>
          <w:rFonts w:hint="eastAsia"/>
          <w:b/>
          <w:bCs/>
          <w:sz w:val="21"/>
          <w:szCs w:val="21"/>
          <w:highlight w:val="none"/>
        </w:rPr>
        <w:t>工期</w:t>
      </w:r>
      <w:r>
        <w:rPr>
          <w:b/>
          <w:bCs/>
          <w:sz w:val="21"/>
          <w:szCs w:val="21"/>
          <w:highlight w:val="none"/>
        </w:rPr>
        <w:t>：</w:t>
      </w:r>
      <w:r>
        <w:rPr>
          <w:rFonts w:hint="eastAsia" w:ascii="宋体" w:hAnsi="宋体" w:eastAsia="宋体" w:cs="宋体"/>
          <w:color w:val="333333"/>
          <w:sz w:val="21"/>
          <w:szCs w:val="21"/>
          <w:highlight w:val="none"/>
          <w:lang w:val="en-US" w:eastAsia="zh-CN"/>
        </w:rPr>
        <w:t>签订合同后至202</w:t>
      </w:r>
      <w:r>
        <w:rPr>
          <w:rFonts w:hint="eastAsia" w:hAnsi="宋体" w:cs="宋体"/>
          <w:color w:val="333333"/>
          <w:sz w:val="21"/>
          <w:szCs w:val="21"/>
          <w:highlight w:val="none"/>
          <w:lang w:val="en-US" w:eastAsia="zh-CN"/>
        </w:rPr>
        <w:t>6</w:t>
      </w:r>
      <w:r>
        <w:rPr>
          <w:rFonts w:hint="eastAsia" w:ascii="宋体" w:hAnsi="宋体" w:eastAsia="宋体" w:cs="宋体"/>
          <w:color w:val="333333"/>
          <w:sz w:val="21"/>
          <w:szCs w:val="21"/>
          <w:highlight w:val="none"/>
          <w:lang w:val="en-US" w:eastAsia="zh-CN"/>
        </w:rPr>
        <w:t>年12月底（</w:t>
      </w:r>
      <w:r>
        <w:rPr>
          <w:rFonts w:hint="eastAsia" w:ascii="宋体" w:hAnsi="宋体" w:eastAsia="宋体" w:cs="宋体"/>
          <w:b/>
          <w:bCs/>
          <w:color w:val="333333"/>
          <w:sz w:val="21"/>
          <w:szCs w:val="21"/>
          <w:highlight w:val="none"/>
          <w:lang w:val="en-US" w:eastAsia="zh-CN"/>
        </w:rPr>
        <w:t>每个季节具体栽植</w:t>
      </w:r>
      <w:r>
        <w:rPr>
          <w:rFonts w:hint="eastAsia" w:hAnsi="宋体" w:cs="宋体"/>
          <w:b/>
          <w:bCs/>
          <w:color w:val="333333"/>
          <w:sz w:val="21"/>
          <w:szCs w:val="21"/>
          <w:highlight w:val="none"/>
          <w:lang w:val="en-US" w:eastAsia="zh-CN"/>
        </w:rPr>
        <w:t>实施时间</w:t>
      </w:r>
      <w:r>
        <w:rPr>
          <w:rFonts w:hint="eastAsia" w:ascii="宋体" w:hAnsi="宋体" w:eastAsia="宋体" w:cs="宋体"/>
          <w:b/>
          <w:bCs/>
          <w:color w:val="333333"/>
          <w:sz w:val="21"/>
          <w:szCs w:val="21"/>
          <w:highlight w:val="none"/>
          <w:lang w:val="en-US" w:eastAsia="zh-CN"/>
        </w:rPr>
        <w:t>，</w:t>
      </w:r>
      <w:r>
        <w:rPr>
          <w:rFonts w:hint="eastAsia" w:hAnsi="宋体" w:cs="宋体"/>
          <w:b/>
          <w:bCs/>
          <w:color w:val="333333"/>
          <w:sz w:val="21"/>
          <w:szCs w:val="21"/>
          <w:highlight w:val="none"/>
          <w:lang w:val="en-US" w:eastAsia="zh-CN"/>
        </w:rPr>
        <w:t>以</w:t>
      </w:r>
      <w:r>
        <w:rPr>
          <w:rFonts w:hint="eastAsia" w:ascii="宋体" w:hAnsi="宋体" w:eastAsia="宋体" w:cs="宋体"/>
          <w:b/>
          <w:bCs/>
          <w:color w:val="333333"/>
          <w:sz w:val="21"/>
          <w:szCs w:val="21"/>
          <w:highlight w:val="none"/>
          <w:lang w:val="en-US" w:eastAsia="zh-CN"/>
        </w:rPr>
        <w:t>采购人书面通知为准</w:t>
      </w:r>
      <w:r>
        <w:rPr>
          <w:rFonts w:hint="eastAsia" w:ascii="宋体" w:hAnsi="宋体" w:eastAsia="宋体" w:cs="宋体"/>
          <w:color w:val="333333"/>
          <w:sz w:val="21"/>
          <w:szCs w:val="21"/>
          <w:highlight w:val="none"/>
          <w:lang w:val="en-US" w:eastAsia="zh-CN"/>
        </w:rPr>
        <w:t>）。</w:t>
      </w:r>
    </w:p>
    <w:p w14:paraId="0B59387E">
      <w:pPr>
        <w:pStyle w:val="33"/>
        <w:spacing w:line="440" w:lineRule="exact"/>
        <w:ind w:firstLine="420" w:firstLineChars="200"/>
        <w:contextualSpacing/>
        <w:rPr>
          <w:sz w:val="21"/>
          <w:szCs w:val="21"/>
          <w:highlight w:val="none"/>
        </w:rPr>
      </w:pPr>
      <w:r>
        <w:rPr>
          <w:rFonts w:hint="eastAsia"/>
          <w:sz w:val="21"/>
          <w:szCs w:val="21"/>
          <w:highlight w:val="none"/>
        </w:rPr>
        <w:t>2.1</w:t>
      </w:r>
      <w:r>
        <w:rPr>
          <w:sz w:val="21"/>
          <w:szCs w:val="21"/>
          <w:highlight w:val="none"/>
        </w:rPr>
        <w:t>因承包人原因造成工期延误，逾期竣工违约金的计算方法为：每延误一天，承包人支付违约金额</w:t>
      </w:r>
      <w:r>
        <w:rPr>
          <w:rFonts w:hint="eastAsia"/>
          <w:sz w:val="21"/>
          <w:szCs w:val="21"/>
          <w:highlight w:val="none"/>
        </w:rPr>
        <w:t>1000元整</w:t>
      </w:r>
      <w:r>
        <w:rPr>
          <w:sz w:val="21"/>
          <w:szCs w:val="21"/>
          <w:highlight w:val="none"/>
        </w:rPr>
        <w:t>；违约金由发包人在应支付给承包人的款项中直接扣除。因承包人原因造成工期延误，逾期竣工违约金的上限：违约金支付的限额为工程总价的10%。</w:t>
      </w:r>
    </w:p>
    <w:p w14:paraId="759B0D4B">
      <w:pPr>
        <w:pStyle w:val="33"/>
        <w:spacing w:line="440" w:lineRule="exact"/>
        <w:ind w:firstLine="420" w:firstLineChars="200"/>
        <w:contextualSpacing/>
        <w:rPr>
          <w:sz w:val="21"/>
          <w:szCs w:val="21"/>
          <w:highlight w:val="none"/>
        </w:rPr>
      </w:pPr>
      <w:r>
        <w:rPr>
          <w:rFonts w:hint="eastAsia"/>
          <w:sz w:val="21"/>
          <w:szCs w:val="21"/>
          <w:highlight w:val="none"/>
        </w:rPr>
        <w:t>2.2其他要求</w:t>
      </w:r>
      <w:r>
        <w:rPr>
          <w:sz w:val="21"/>
          <w:szCs w:val="21"/>
          <w:highlight w:val="none"/>
        </w:rPr>
        <w:t>：A、承包人应当按照发包人书面指定的开工日期开工。承包人不能按时开工，应当不迟于发包人通知的开工日期前3天，以书面形式向发包人工程师提出延期开工的理由和要求。发包人代表应当在接到延期开工申请后的48小时内以书面形式答复承包人。发包人工程师在接到延期开工申请后48小时内不答复，视为同意承包人要求，工期相应顺延。发包人工程师不同意延期要求或承包人未在规定时间内提出延期开工要求，工期不予顺延。B、开工前承包人对施工图纸认真核查，积极配合发包人组织的施工图纸交底及会审工作，指出图纸上任何不符施工常规、惯例或规范之处，以及设计图纸中错、漏、碰问题，并做好各系统管线的协调工作。如因承包人未能在施工该道工序提前10日协调解决好此类矛盾、问题而造成工程费用增加和工期延误，承包人承担全部责任。C、合同总价已包括必须的加班工作以使本工程能在竣工之日前完成。以后补偿加班费的要求将不获考虑。D、根据施工现场等实际需要，对施工现场布置进行调整和整修、对设计图纸进行变更，承包人应无条件给予配合执行，并在发包人规定的时间内完成，否则，每逾期一日，承包人应向发包人支付人民币1000元违约金，并限时完成指令。</w:t>
      </w:r>
    </w:p>
    <w:p w14:paraId="43E0E8C3">
      <w:pPr>
        <w:pStyle w:val="33"/>
        <w:numPr>
          <w:ilvl w:val="0"/>
          <w:numId w:val="2"/>
        </w:numPr>
        <w:spacing w:line="440" w:lineRule="exact"/>
        <w:ind w:firstLine="422" w:firstLineChars="200"/>
        <w:contextualSpacing/>
        <w:rPr>
          <w:rFonts w:hint="eastAsia" w:hAnsi="宋体"/>
          <w:b/>
          <w:sz w:val="21"/>
          <w:szCs w:val="21"/>
          <w:highlight w:val="none"/>
          <w:lang w:eastAsia="zh-CN"/>
        </w:rPr>
      </w:pPr>
      <w:r>
        <w:rPr>
          <w:rFonts w:hAnsi="宋体"/>
          <w:b/>
          <w:sz w:val="21"/>
          <w:szCs w:val="21"/>
          <w:highlight w:val="none"/>
        </w:rPr>
        <w:t>质量</w:t>
      </w:r>
      <w:r>
        <w:rPr>
          <w:rFonts w:hint="eastAsia" w:hAnsi="宋体"/>
          <w:b/>
          <w:sz w:val="21"/>
          <w:szCs w:val="21"/>
          <w:highlight w:val="none"/>
          <w:lang w:eastAsia="zh-CN"/>
        </w:rPr>
        <w:t>要求</w:t>
      </w:r>
    </w:p>
    <w:p w14:paraId="663FDB77">
      <w:pPr>
        <w:pStyle w:val="33"/>
        <w:numPr>
          <w:ilvl w:val="0"/>
          <w:numId w:val="0"/>
        </w:numPr>
        <w:spacing w:line="440" w:lineRule="exact"/>
        <w:ind w:firstLine="843" w:firstLineChars="400"/>
        <w:contextualSpacing/>
        <w:rPr>
          <w:rFonts w:hAnsi="宋体"/>
          <w:b/>
          <w:bCs w:val="0"/>
          <w:sz w:val="21"/>
          <w:szCs w:val="21"/>
          <w:highlight w:val="none"/>
        </w:rPr>
      </w:pPr>
      <w:r>
        <w:rPr>
          <w:rFonts w:hAnsi="宋体"/>
          <w:b/>
          <w:bCs w:val="0"/>
          <w:sz w:val="21"/>
          <w:szCs w:val="21"/>
          <w:highlight w:val="none"/>
        </w:rPr>
        <w:t>标</w:t>
      </w:r>
      <w:r>
        <w:rPr>
          <w:rFonts w:hint="eastAsia" w:hAnsi="宋体"/>
          <w:b/>
          <w:bCs w:val="0"/>
          <w:sz w:val="21"/>
          <w:szCs w:val="21"/>
          <w:highlight w:val="none"/>
          <w:lang w:val="en-US" w:eastAsia="zh-CN"/>
        </w:rPr>
        <w:t xml:space="preserve">  </w:t>
      </w:r>
      <w:r>
        <w:rPr>
          <w:rFonts w:hAnsi="宋体"/>
          <w:b/>
          <w:bCs w:val="0"/>
          <w:sz w:val="21"/>
          <w:szCs w:val="21"/>
          <w:highlight w:val="none"/>
        </w:rPr>
        <w:t>准：合格</w:t>
      </w:r>
      <w:r>
        <w:rPr>
          <w:rFonts w:hint="eastAsia" w:hAnsi="宋体"/>
          <w:b/>
          <w:bCs w:val="0"/>
          <w:sz w:val="21"/>
          <w:szCs w:val="21"/>
          <w:highlight w:val="none"/>
        </w:rPr>
        <w:t>且通过验收</w:t>
      </w:r>
      <w:r>
        <w:rPr>
          <w:rFonts w:hAnsi="宋体"/>
          <w:b/>
          <w:bCs w:val="0"/>
          <w:sz w:val="21"/>
          <w:szCs w:val="21"/>
          <w:highlight w:val="none"/>
        </w:rPr>
        <w:t>。</w:t>
      </w:r>
    </w:p>
    <w:p w14:paraId="31C05A99">
      <w:pPr>
        <w:pStyle w:val="33"/>
        <w:numPr>
          <w:ilvl w:val="0"/>
          <w:numId w:val="0"/>
        </w:numPr>
        <w:spacing w:line="440" w:lineRule="exact"/>
        <w:ind w:firstLine="843" w:firstLineChars="400"/>
        <w:contextualSpacing/>
        <w:rPr>
          <w:rFonts w:hint="default"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eastAsia="zh-CN"/>
        </w:rPr>
        <w:t>养护期：验收合格后</w:t>
      </w:r>
      <w:r>
        <w:rPr>
          <w:rFonts w:hint="eastAsia" w:hAnsi="宋体" w:cs="宋体"/>
          <w:b/>
          <w:bCs w:val="0"/>
          <w:sz w:val="21"/>
          <w:szCs w:val="21"/>
          <w:highlight w:val="none"/>
          <w:lang w:val="en-US" w:eastAsia="zh-CN"/>
        </w:rPr>
        <w:t>1</w:t>
      </w:r>
      <w:r>
        <w:rPr>
          <w:rFonts w:hint="eastAsia" w:ascii="宋体" w:hAnsi="宋体" w:eastAsia="宋体" w:cs="宋体"/>
          <w:b/>
          <w:bCs w:val="0"/>
          <w:sz w:val="21"/>
          <w:szCs w:val="21"/>
          <w:highlight w:val="none"/>
          <w:lang w:val="en-US" w:eastAsia="zh-CN"/>
        </w:rPr>
        <w:t>个月。</w:t>
      </w:r>
    </w:p>
    <w:p w14:paraId="403E042B">
      <w:pPr>
        <w:pStyle w:val="33"/>
        <w:spacing w:line="440" w:lineRule="exact"/>
        <w:ind w:firstLine="422" w:firstLineChars="200"/>
        <w:contextualSpacing/>
        <w:rPr>
          <w:rFonts w:hAnsi="宋体"/>
          <w:b/>
          <w:sz w:val="21"/>
          <w:szCs w:val="21"/>
        </w:rPr>
      </w:pPr>
      <w:r>
        <w:rPr>
          <w:rFonts w:hAnsi="宋体"/>
          <w:b/>
          <w:sz w:val="21"/>
          <w:szCs w:val="21"/>
        </w:rPr>
        <w:t>四、合同价款：</w:t>
      </w:r>
      <w:r>
        <w:rPr>
          <w:rFonts w:hint="eastAsia" w:hAnsi="宋体"/>
          <w:b/>
          <w:sz w:val="21"/>
          <w:szCs w:val="21"/>
        </w:rPr>
        <w:t>（大写）</w:t>
      </w:r>
    </w:p>
    <w:p w14:paraId="7638A2F7">
      <w:pPr>
        <w:spacing w:line="440" w:lineRule="exact"/>
        <w:ind w:left="50" w:leftChars="24" w:firstLine="1370" w:firstLineChars="650"/>
        <w:rPr>
          <w:rFonts w:ascii="宋体" w:hAnsi="宋体" w:cs="宋体"/>
          <w:b/>
          <w:kern w:val="0"/>
          <w:sz w:val="21"/>
          <w:szCs w:val="21"/>
        </w:rPr>
      </w:pPr>
      <w:r>
        <w:rPr>
          <w:rFonts w:hint="eastAsia" w:ascii="宋体" w:hAnsi="宋体" w:cs="宋体"/>
          <w:b/>
          <w:kern w:val="0"/>
          <w:sz w:val="21"/>
          <w:szCs w:val="21"/>
        </w:rPr>
        <w:t xml:space="preserve">     （小写）</w:t>
      </w:r>
    </w:p>
    <w:p w14:paraId="50985F72">
      <w:pPr>
        <w:tabs>
          <w:tab w:val="left" w:pos="993"/>
          <w:tab w:val="left" w:pos="1134"/>
        </w:tabs>
        <w:adjustRightInd w:val="0"/>
        <w:snapToGrid w:val="0"/>
        <w:spacing w:line="440" w:lineRule="exact"/>
        <w:ind w:firstLine="420" w:firstLineChars="200"/>
        <w:rPr>
          <w:rFonts w:ascii="宋体" w:hAnsi="宋体"/>
          <w:sz w:val="21"/>
          <w:szCs w:val="21"/>
        </w:rPr>
      </w:pPr>
      <w:r>
        <w:rPr>
          <w:rFonts w:hint="eastAsia" w:ascii="宋体" w:hAnsi="宋体"/>
          <w:sz w:val="21"/>
          <w:szCs w:val="21"/>
        </w:rPr>
        <w:t>4.1</w:t>
      </w:r>
      <w:r>
        <w:rPr>
          <w:rFonts w:ascii="宋体" w:hAnsi="宋体"/>
          <w:sz w:val="21"/>
          <w:szCs w:val="21"/>
        </w:rPr>
        <w:t>本工程合同形式为固定</w:t>
      </w:r>
      <w:r>
        <w:rPr>
          <w:rFonts w:hint="eastAsia" w:ascii="宋体" w:hAnsi="宋体"/>
          <w:sz w:val="21"/>
          <w:szCs w:val="21"/>
        </w:rPr>
        <w:t>综合单价</w:t>
      </w:r>
      <w:r>
        <w:rPr>
          <w:rFonts w:ascii="宋体" w:hAnsi="宋体"/>
          <w:sz w:val="21"/>
          <w:szCs w:val="21"/>
        </w:rPr>
        <w:t>合同。</w:t>
      </w:r>
      <w:r>
        <w:rPr>
          <w:rFonts w:hint="eastAsia" w:ascii="宋体" w:hAnsi="宋体"/>
          <w:sz w:val="21"/>
          <w:szCs w:val="21"/>
        </w:rPr>
        <w:t>合同价款</w:t>
      </w:r>
      <w:r>
        <w:rPr>
          <w:rFonts w:ascii="宋体" w:hAnsi="宋体"/>
          <w:sz w:val="21"/>
          <w:szCs w:val="21"/>
        </w:rPr>
        <w:t>应包括</w:t>
      </w:r>
      <w:r>
        <w:rPr>
          <w:rFonts w:hint="eastAsia" w:ascii="宋体" w:hAnsi="宋体"/>
          <w:sz w:val="21"/>
          <w:szCs w:val="21"/>
        </w:rPr>
        <w:t>招标</w:t>
      </w:r>
      <w:r>
        <w:rPr>
          <w:rFonts w:ascii="宋体" w:hAnsi="宋体"/>
          <w:sz w:val="21"/>
          <w:szCs w:val="21"/>
        </w:rPr>
        <w:t>文件所确定的招标范围内相应图纸的全部内容（如图纸和清单不符以清单为准），和为完成上述内容所必须的附属工程和临时工程的全部费用，即包括工程项目的成本、利润、税金、开办费、招标代理所需费用、技术措施费、大型机械进出场费、风险费（包括气候变化引起的）和政策性文件规定费用，投标报价中还应充分考虑工程及材料涉及的相关试验、测试费用（试验应在国家认可的权威机构进行，对确需到其它实验室进行的试验，应报采购人认可；未经认可的，采购人有权要求重新检测、试验）。投标报价如有优惠，须在单价中反映。在合同执行期内，合同单价不变。</w:t>
      </w:r>
    </w:p>
    <w:p w14:paraId="11A59255">
      <w:pPr>
        <w:spacing w:line="440" w:lineRule="exact"/>
        <w:ind w:firstLine="420" w:firstLineChars="200"/>
        <w:rPr>
          <w:rFonts w:ascii="宋体" w:hAnsi="宋体"/>
          <w:color w:val="000000"/>
          <w:sz w:val="21"/>
          <w:szCs w:val="21"/>
        </w:rPr>
      </w:pPr>
      <w:r>
        <w:rPr>
          <w:rFonts w:hint="eastAsia" w:ascii="宋体" w:hAnsi="宋体"/>
          <w:sz w:val="21"/>
          <w:szCs w:val="21"/>
        </w:rPr>
        <w:t>注：综合单价调整：当出现综合单价错误或不平衡报价时，超过工程量清单中相应工程量时综合单价应予调整；调价原则</w:t>
      </w:r>
      <w:r>
        <w:rPr>
          <w:rFonts w:ascii="宋体" w:hAnsi="宋体"/>
          <w:sz w:val="21"/>
          <w:szCs w:val="21"/>
        </w:rPr>
        <w:t>采用</w:t>
      </w:r>
      <w:r>
        <w:rPr>
          <w:rFonts w:hint="eastAsia" w:ascii="宋体" w:hAnsi="宋体"/>
          <w:sz w:val="21"/>
          <w:szCs w:val="21"/>
        </w:rPr>
        <w:t>投标（响应）</w:t>
      </w:r>
      <w:r>
        <w:rPr>
          <w:rFonts w:ascii="宋体" w:hAnsi="宋体"/>
          <w:sz w:val="21"/>
          <w:szCs w:val="21"/>
        </w:rPr>
        <w:t>时的基础资料，由承包人提出综合单价，经采购人和工程师确认后执行，利润及管理费的比例按</w:t>
      </w:r>
      <w:r>
        <w:rPr>
          <w:rFonts w:hint="eastAsia" w:ascii="宋体" w:hAnsi="宋体"/>
          <w:sz w:val="21"/>
          <w:szCs w:val="21"/>
        </w:rPr>
        <w:t>投标文件</w:t>
      </w:r>
      <w:r>
        <w:rPr>
          <w:rFonts w:ascii="宋体" w:hAnsi="宋体"/>
          <w:sz w:val="21"/>
          <w:szCs w:val="21"/>
        </w:rPr>
        <w:t>中平均的比例执行。</w:t>
      </w:r>
    </w:p>
    <w:p w14:paraId="38D64886">
      <w:pPr>
        <w:spacing w:line="440" w:lineRule="exact"/>
        <w:ind w:left="50"/>
        <w:rPr>
          <w:rFonts w:ascii="宋体" w:hAnsi="宋体"/>
          <w:b/>
          <w:color w:val="000000"/>
          <w:sz w:val="21"/>
          <w:szCs w:val="21"/>
        </w:rPr>
      </w:pPr>
      <w:r>
        <w:rPr>
          <w:rFonts w:ascii="宋体" w:hAnsi="宋体"/>
          <w:b/>
          <w:color w:val="000000"/>
          <w:sz w:val="21"/>
          <w:szCs w:val="21"/>
        </w:rPr>
        <w:t>五、付款方式：</w:t>
      </w:r>
    </w:p>
    <w:p w14:paraId="5A3F59B2">
      <w:pPr>
        <w:tabs>
          <w:tab w:val="left" w:pos="993"/>
          <w:tab w:val="left" w:pos="1134"/>
        </w:tabs>
        <w:adjustRightInd w:val="0"/>
        <w:snapToGrid w:val="0"/>
        <w:spacing w:line="440" w:lineRule="exact"/>
        <w:ind w:firstLine="422" w:firstLineChars="200"/>
        <w:rPr>
          <w:rFonts w:ascii="宋体" w:hAnsi="宋体"/>
          <w:b/>
          <w:bCs/>
          <w:color w:val="000000"/>
          <w:sz w:val="21"/>
          <w:szCs w:val="21"/>
          <w:highlight w:val="none"/>
        </w:rPr>
      </w:pPr>
      <w:r>
        <w:rPr>
          <w:rFonts w:hint="eastAsia" w:ascii="宋体" w:hAnsi="宋体"/>
          <w:b/>
          <w:bCs/>
          <w:color w:val="000000"/>
          <w:sz w:val="21"/>
          <w:szCs w:val="21"/>
          <w:highlight w:val="none"/>
        </w:rPr>
        <w:t>5.1</w:t>
      </w:r>
      <w:r>
        <w:rPr>
          <w:rFonts w:hint="eastAsia" w:ascii="宋体" w:hAnsi="宋体"/>
          <w:b/>
          <w:bCs/>
          <w:color w:val="000000"/>
          <w:sz w:val="21"/>
          <w:szCs w:val="21"/>
          <w:highlight w:val="none"/>
          <w:lang w:val="en-US" w:eastAsia="zh-CN"/>
        </w:rPr>
        <w:t xml:space="preserve"> 春季草花栽植完成且养护期（1个月）结束后，付合同价的20%；夏季草花栽植完成且养护期（1个月）结束后，付合同价的20%；秋季草花栽植完成且养护期（1个月）结束后，付合同价的20%；全部草花栽植完成且养护期（1个月）结束后，支付至审定价</w:t>
      </w:r>
      <w:r>
        <w:rPr>
          <w:rFonts w:hint="eastAsia" w:ascii="宋体" w:hAnsi="宋体"/>
          <w:b/>
          <w:bCs/>
          <w:color w:val="000000"/>
          <w:sz w:val="21"/>
          <w:szCs w:val="21"/>
          <w:highlight w:val="none"/>
        </w:rPr>
        <w:t>款</w:t>
      </w:r>
      <w:r>
        <w:rPr>
          <w:rFonts w:hint="eastAsia" w:ascii="宋体" w:hAnsi="宋体"/>
          <w:b/>
          <w:bCs/>
          <w:color w:val="000000"/>
          <w:sz w:val="21"/>
          <w:szCs w:val="21"/>
          <w:highlight w:val="none"/>
          <w:lang w:eastAsia="zh-CN"/>
        </w:rPr>
        <w:t>的</w:t>
      </w:r>
      <w:r>
        <w:rPr>
          <w:rFonts w:hint="eastAsia" w:ascii="宋体" w:hAnsi="宋体"/>
          <w:b/>
          <w:bCs/>
          <w:color w:val="000000"/>
          <w:sz w:val="21"/>
          <w:szCs w:val="21"/>
          <w:highlight w:val="none"/>
          <w:lang w:val="en-US" w:eastAsia="zh-CN"/>
        </w:rPr>
        <w:t>100%。</w:t>
      </w:r>
      <w:r>
        <w:rPr>
          <w:rFonts w:hint="eastAsia" w:ascii="宋体" w:hAnsi="宋体"/>
          <w:b/>
          <w:bCs/>
          <w:color w:val="000000"/>
          <w:sz w:val="21"/>
          <w:szCs w:val="21"/>
          <w:highlight w:val="none"/>
        </w:rPr>
        <w:t xml:space="preserve">付款凭承包人出具工程所在地税务部门正规发票。 </w:t>
      </w:r>
    </w:p>
    <w:p w14:paraId="25098143">
      <w:pPr>
        <w:tabs>
          <w:tab w:val="left" w:pos="993"/>
          <w:tab w:val="left" w:pos="1134"/>
        </w:tabs>
        <w:adjustRightInd w:val="0"/>
        <w:snapToGrid w:val="0"/>
        <w:spacing w:line="440" w:lineRule="exact"/>
        <w:ind w:firstLine="420" w:firstLineChars="200"/>
        <w:rPr>
          <w:rFonts w:ascii="宋体" w:hAnsi="宋体"/>
          <w:color w:val="000000"/>
          <w:sz w:val="21"/>
          <w:szCs w:val="21"/>
          <w:highlight w:val="none"/>
        </w:rPr>
      </w:pPr>
      <w:bookmarkStart w:id="199" w:name="_Toc304295574"/>
      <w:bookmarkStart w:id="200" w:name="_Toc297216207"/>
      <w:bookmarkStart w:id="201" w:name="_Toc296503199"/>
      <w:bookmarkStart w:id="202" w:name="_Toc297123548"/>
      <w:bookmarkStart w:id="203" w:name="_Toc312677507"/>
      <w:bookmarkStart w:id="204" w:name="_Toc292559909"/>
      <w:bookmarkStart w:id="205" w:name="_Toc297120499"/>
      <w:bookmarkStart w:id="206" w:name="_Toc297048385"/>
      <w:bookmarkStart w:id="207" w:name="_Toc296944538"/>
      <w:bookmarkStart w:id="208" w:name="_Toc303539154"/>
      <w:bookmarkStart w:id="209" w:name="_Toc292559404"/>
      <w:bookmarkStart w:id="210" w:name="_Toc296891027"/>
      <w:bookmarkStart w:id="211" w:name="_Toc296346700"/>
      <w:bookmarkStart w:id="212" w:name="_Toc300934997"/>
      <w:bookmarkStart w:id="213" w:name="_Toc296347198"/>
      <w:bookmarkStart w:id="214" w:name="_Toc296891239"/>
      <w:bookmarkStart w:id="215" w:name="_Toc312678033"/>
      <w:r>
        <w:rPr>
          <w:rFonts w:hint="eastAsia" w:ascii="宋体" w:hAnsi="宋体"/>
          <w:color w:val="000000"/>
          <w:sz w:val="21"/>
          <w:szCs w:val="21"/>
          <w:highlight w:val="none"/>
        </w:rPr>
        <w:t xml:space="preserve"> 5.2</w:t>
      </w:r>
      <w:r>
        <w:rPr>
          <w:rFonts w:ascii="宋体" w:hAnsi="宋体"/>
          <w:color w:val="000000"/>
          <w:sz w:val="21"/>
          <w:szCs w:val="21"/>
          <w:highlight w:val="none"/>
        </w:rPr>
        <w:t xml:space="preserve"> 暂估价</w:t>
      </w:r>
    </w:p>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14:paraId="08F44554">
      <w:pPr>
        <w:tabs>
          <w:tab w:val="left" w:pos="993"/>
          <w:tab w:val="left" w:pos="1134"/>
        </w:tabs>
        <w:adjustRightInd w:val="0"/>
        <w:snapToGrid w:val="0"/>
        <w:spacing w:line="440" w:lineRule="exact"/>
        <w:ind w:firstLine="420" w:firstLineChars="200"/>
        <w:rPr>
          <w:rFonts w:ascii="宋体" w:hAnsi="宋体"/>
          <w:sz w:val="21"/>
          <w:szCs w:val="21"/>
        </w:rPr>
      </w:pPr>
      <w:r>
        <w:rPr>
          <w:rFonts w:ascii="宋体" w:hAnsi="宋体"/>
          <w:kern w:val="0"/>
          <w:sz w:val="21"/>
          <w:szCs w:val="21"/>
        </w:rPr>
        <w:t>暂</w:t>
      </w:r>
      <w:bookmarkStart w:id="216" w:name="_Toc312677508"/>
      <w:bookmarkStart w:id="217" w:name="_Toc318581176"/>
      <w:bookmarkStart w:id="218" w:name="_Toc312678034"/>
      <w:r>
        <w:rPr>
          <w:rFonts w:ascii="宋体" w:hAnsi="宋体"/>
          <w:kern w:val="0"/>
          <w:sz w:val="21"/>
          <w:szCs w:val="21"/>
        </w:rPr>
        <w:t>估价材料和工程</w:t>
      </w:r>
      <w:r>
        <w:rPr>
          <w:rFonts w:ascii="宋体" w:hAnsi="宋体"/>
          <w:sz w:val="21"/>
          <w:szCs w:val="21"/>
        </w:rPr>
        <w:t>设备</w:t>
      </w:r>
      <w:r>
        <w:rPr>
          <w:rFonts w:ascii="宋体" w:hAnsi="宋体"/>
          <w:kern w:val="0"/>
          <w:sz w:val="21"/>
          <w:szCs w:val="21"/>
        </w:rPr>
        <w:t>的明细详见附件：《</w:t>
      </w:r>
      <w:r>
        <w:rPr>
          <w:rFonts w:ascii="宋体" w:hAnsi="宋体"/>
          <w:color w:val="000000"/>
          <w:sz w:val="21"/>
          <w:szCs w:val="21"/>
        </w:rPr>
        <w:t>暂估价一览表》</w:t>
      </w:r>
      <w:r>
        <w:rPr>
          <w:rFonts w:ascii="宋体" w:hAnsi="宋体"/>
          <w:kern w:val="0"/>
          <w:sz w:val="21"/>
          <w:szCs w:val="21"/>
        </w:rPr>
        <w:t>。</w:t>
      </w:r>
    </w:p>
    <w:bookmarkEnd w:id="216"/>
    <w:bookmarkEnd w:id="217"/>
    <w:bookmarkEnd w:id="218"/>
    <w:p w14:paraId="384EB5E4">
      <w:pPr>
        <w:tabs>
          <w:tab w:val="left" w:pos="993"/>
          <w:tab w:val="left" w:pos="1134"/>
        </w:tabs>
        <w:adjustRightInd w:val="0"/>
        <w:snapToGrid w:val="0"/>
        <w:spacing w:line="440" w:lineRule="exact"/>
        <w:ind w:firstLine="420" w:firstLineChars="200"/>
        <w:rPr>
          <w:rFonts w:ascii="宋体" w:hAnsi="宋体"/>
          <w:sz w:val="21"/>
          <w:szCs w:val="21"/>
        </w:rPr>
      </w:pPr>
      <w:bookmarkStart w:id="219" w:name="_Toc318581177"/>
      <w:bookmarkStart w:id="220" w:name="_Toc312678035"/>
      <w:bookmarkStart w:id="221" w:name="_Toc312677509"/>
      <w:r>
        <w:rPr>
          <w:rFonts w:hint="eastAsia" w:ascii="宋体" w:hAnsi="宋体"/>
          <w:sz w:val="21"/>
          <w:szCs w:val="21"/>
        </w:rPr>
        <w:t xml:space="preserve"> 5.2</w:t>
      </w:r>
      <w:r>
        <w:rPr>
          <w:rFonts w:ascii="宋体" w:hAnsi="宋体"/>
          <w:sz w:val="21"/>
          <w:szCs w:val="21"/>
        </w:rPr>
        <w:t>.1 依法必须招标的暂估价项目</w:t>
      </w:r>
    </w:p>
    <w:bookmarkEnd w:id="219"/>
    <w:bookmarkEnd w:id="220"/>
    <w:bookmarkEnd w:id="221"/>
    <w:p w14:paraId="181BE386">
      <w:pPr>
        <w:tabs>
          <w:tab w:val="left" w:pos="993"/>
          <w:tab w:val="left" w:pos="1134"/>
        </w:tabs>
        <w:adjustRightInd w:val="0"/>
        <w:snapToGrid w:val="0"/>
        <w:spacing w:line="440" w:lineRule="exact"/>
        <w:ind w:firstLine="420" w:firstLineChars="200"/>
        <w:rPr>
          <w:rFonts w:ascii="宋体" w:hAnsi="宋体"/>
          <w:sz w:val="21"/>
          <w:szCs w:val="21"/>
        </w:rPr>
      </w:pPr>
      <w:r>
        <w:rPr>
          <w:rFonts w:ascii="宋体" w:hAnsi="宋体"/>
          <w:sz w:val="21"/>
          <w:szCs w:val="21"/>
        </w:rPr>
        <w:t>对于依法必须招标的暂估价项目的确认和批准采取</w:t>
      </w:r>
      <w:r>
        <w:rPr>
          <w:rFonts w:hint="eastAsia" w:ascii="宋体" w:hAnsi="宋体"/>
          <w:sz w:val="21"/>
          <w:szCs w:val="21"/>
        </w:rPr>
        <w:t>公开招标</w:t>
      </w:r>
      <w:r>
        <w:rPr>
          <w:rFonts w:ascii="宋体" w:hAnsi="宋体"/>
          <w:sz w:val="21"/>
          <w:szCs w:val="21"/>
        </w:rPr>
        <w:t>方式确定</w:t>
      </w:r>
      <w:r>
        <w:rPr>
          <w:rFonts w:hint="eastAsia" w:ascii="宋体" w:hAnsi="宋体"/>
          <w:sz w:val="21"/>
          <w:szCs w:val="21"/>
        </w:rPr>
        <w:t>，</w:t>
      </w:r>
      <w:r>
        <w:rPr>
          <w:rFonts w:ascii="宋体" w:hAnsi="宋体"/>
          <w:sz w:val="21"/>
          <w:szCs w:val="21"/>
        </w:rPr>
        <w:t xml:space="preserve">由承包人组织招标。 </w:t>
      </w:r>
    </w:p>
    <w:p w14:paraId="457A3BC6">
      <w:pPr>
        <w:tabs>
          <w:tab w:val="left" w:pos="993"/>
          <w:tab w:val="left" w:pos="1134"/>
        </w:tabs>
        <w:adjustRightInd w:val="0"/>
        <w:snapToGrid w:val="0"/>
        <w:spacing w:line="440" w:lineRule="exact"/>
        <w:ind w:firstLine="420" w:firstLineChars="200"/>
        <w:rPr>
          <w:rFonts w:ascii="宋体" w:hAnsi="宋体"/>
          <w:sz w:val="21"/>
          <w:szCs w:val="21"/>
        </w:rPr>
      </w:pPr>
      <w:r>
        <w:rPr>
          <w:rFonts w:hint="eastAsia" w:ascii="宋体" w:hAnsi="宋体"/>
          <w:sz w:val="21"/>
          <w:szCs w:val="21"/>
        </w:rPr>
        <w:t xml:space="preserve"> 5.2</w:t>
      </w:r>
      <w:r>
        <w:rPr>
          <w:rFonts w:ascii="宋体" w:hAnsi="宋体"/>
          <w:sz w:val="21"/>
          <w:szCs w:val="21"/>
        </w:rPr>
        <w:t>.2 不属于依法必须招标的暂估价项目</w:t>
      </w:r>
    </w:p>
    <w:p w14:paraId="1A74B6F3">
      <w:pPr>
        <w:tabs>
          <w:tab w:val="left" w:pos="993"/>
          <w:tab w:val="left" w:pos="1134"/>
        </w:tabs>
        <w:adjustRightInd w:val="0"/>
        <w:snapToGrid w:val="0"/>
        <w:spacing w:line="440" w:lineRule="exact"/>
        <w:ind w:firstLine="420" w:firstLineChars="200"/>
        <w:rPr>
          <w:rFonts w:ascii="宋体" w:hAnsi="宋体"/>
          <w:sz w:val="21"/>
          <w:szCs w:val="21"/>
        </w:rPr>
      </w:pPr>
      <w:r>
        <w:rPr>
          <w:rFonts w:ascii="宋体" w:hAnsi="宋体"/>
          <w:sz w:val="21"/>
          <w:szCs w:val="21"/>
        </w:rPr>
        <w:t>对于不属于依法必须招标的暂估价项目的确认和批准：清单中材料暂估价为甲供材料或甲控乙购材料，具体采购方式由采购人确定。承包人投标报价时按材料暂估价格表规定的材料单价报价，采购人暂定的材料品种、规格及价格，投标报价时不得改变。竣工结算时，承包人采购的其实际价格按采购人确认的单价进行调整，价差除计取税金外，其他费用不再计取；采购人采购的，只计取3%的配合费。所有暂定价材料价格均为到工地院内卸车价。暂定价材料二次搬运及现场保管、清理等发生的费用，由承包人在投标报价中已自行考虑。</w:t>
      </w:r>
    </w:p>
    <w:p w14:paraId="264BED2F">
      <w:pPr>
        <w:tabs>
          <w:tab w:val="left" w:pos="993"/>
          <w:tab w:val="left" w:pos="1134"/>
        </w:tabs>
        <w:adjustRightInd w:val="0"/>
        <w:snapToGrid w:val="0"/>
        <w:spacing w:line="440" w:lineRule="exact"/>
        <w:ind w:firstLine="420" w:firstLineChars="200"/>
        <w:rPr>
          <w:rFonts w:ascii="宋体" w:hAnsi="宋体"/>
          <w:sz w:val="21"/>
          <w:szCs w:val="21"/>
        </w:rPr>
      </w:pPr>
      <w:r>
        <w:rPr>
          <w:rFonts w:hint="eastAsia" w:ascii="宋体" w:hAnsi="宋体"/>
          <w:sz w:val="21"/>
          <w:szCs w:val="21"/>
        </w:rPr>
        <w:t>5.3</w:t>
      </w:r>
      <w:r>
        <w:rPr>
          <w:rFonts w:ascii="宋体" w:hAnsi="宋体"/>
          <w:sz w:val="21"/>
          <w:szCs w:val="21"/>
        </w:rPr>
        <w:t>暂列金额</w:t>
      </w:r>
    </w:p>
    <w:p w14:paraId="5808FADE">
      <w:pPr>
        <w:tabs>
          <w:tab w:val="left" w:pos="993"/>
          <w:tab w:val="left" w:pos="1134"/>
        </w:tabs>
        <w:adjustRightInd w:val="0"/>
        <w:snapToGrid w:val="0"/>
        <w:spacing w:line="440" w:lineRule="exact"/>
        <w:ind w:firstLine="420" w:firstLineChars="200"/>
        <w:rPr>
          <w:rFonts w:ascii="宋体" w:hAnsi="宋体"/>
          <w:color w:val="000000"/>
          <w:kern w:val="0"/>
          <w:sz w:val="21"/>
          <w:szCs w:val="21"/>
        </w:rPr>
      </w:pPr>
      <w:r>
        <w:rPr>
          <w:rFonts w:ascii="宋体" w:hAnsi="宋体"/>
          <w:sz w:val="21"/>
          <w:szCs w:val="21"/>
        </w:rPr>
        <w:t>合同当事人关于暂列金额使用的约定：由采购人确定使用项目和金额，结算时按实调整。</w:t>
      </w:r>
      <w:bookmarkStart w:id="222" w:name="_Toc351203643"/>
    </w:p>
    <w:p w14:paraId="63EC56DE">
      <w:pPr>
        <w:tabs>
          <w:tab w:val="left" w:pos="993"/>
          <w:tab w:val="left" w:pos="1134"/>
        </w:tabs>
        <w:adjustRightInd w:val="0"/>
        <w:snapToGrid w:val="0"/>
        <w:spacing w:line="440" w:lineRule="exact"/>
        <w:ind w:firstLine="420" w:firstLineChars="200"/>
        <w:rPr>
          <w:rFonts w:ascii="宋体" w:hAnsi="宋体"/>
          <w:color w:val="000000"/>
          <w:sz w:val="21"/>
          <w:szCs w:val="21"/>
        </w:rPr>
      </w:pPr>
      <w:r>
        <w:rPr>
          <w:rFonts w:hint="eastAsia" w:ascii="宋体" w:hAnsi="宋体"/>
          <w:color w:val="000000"/>
          <w:sz w:val="21"/>
          <w:szCs w:val="21"/>
        </w:rPr>
        <w:t xml:space="preserve">5.4 </w:t>
      </w:r>
      <w:r>
        <w:rPr>
          <w:rFonts w:ascii="宋体" w:hAnsi="宋体"/>
          <w:color w:val="000000"/>
          <w:sz w:val="21"/>
          <w:szCs w:val="21"/>
        </w:rPr>
        <w:t>价格调整</w:t>
      </w:r>
      <w:bookmarkEnd w:id="222"/>
    </w:p>
    <w:p w14:paraId="6A65F262">
      <w:pPr>
        <w:tabs>
          <w:tab w:val="left" w:pos="993"/>
          <w:tab w:val="left" w:pos="1134"/>
        </w:tabs>
        <w:adjustRightInd w:val="0"/>
        <w:snapToGrid w:val="0"/>
        <w:spacing w:line="440" w:lineRule="exact"/>
        <w:ind w:firstLine="420" w:firstLineChars="200"/>
        <w:rPr>
          <w:rFonts w:ascii="宋体" w:hAnsi="宋体"/>
          <w:sz w:val="21"/>
          <w:szCs w:val="21"/>
        </w:rPr>
      </w:pPr>
      <w:bookmarkStart w:id="223" w:name="_Toc297216209"/>
      <w:bookmarkStart w:id="224" w:name="_Toc292559911"/>
      <w:bookmarkStart w:id="225" w:name="_Toc312678039"/>
      <w:bookmarkStart w:id="226" w:name="_Toc297048387"/>
      <w:bookmarkStart w:id="227" w:name="_Toc297123550"/>
      <w:bookmarkStart w:id="228" w:name="_Toc296891241"/>
      <w:bookmarkStart w:id="229" w:name="_Toc300935000"/>
      <w:bookmarkStart w:id="230" w:name="_Toc304295577"/>
      <w:bookmarkStart w:id="231" w:name="_Toc296347200"/>
      <w:bookmarkStart w:id="232" w:name="_Toc292559406"/>
      <w:bookmarkStart w:id="233" w:name="_Toc296346702"/>
      <w:bookmarkStart w:id="234" w:name="_Toc296503201"/>
      <w:bookmarkStart w:id="235" w:name="_Toc297120501"/>
      <w:bookmarkStart w:id="236" w:name="_Toc296944540"/>
      <w:bookmarkStart w:id="237" w:name="_Toc296891029"/>
      <w:bookmarkStart w:id="238" w:name="_Toc303539157"/>
      <w:r>
        <w:rPr>
          <w:rFonts w:hint="eastAsia" w:ascii="宋体" w:hAnsi="宋体"/>
          <w:sz w:val="21"/>
          <w:szCs w:val="21"/>
        </w:rPr>
        <w:t>5.4</w:t>
      </w:r>
      <w:r>
        <w:rPr>
          <w:rFonts w:ascii="宋体" w:hAnsi="宋体"/>
          <w:sz w:val="21"/>
          <w:szCs w:val="21"/>
        </w:rPr>
        <w:t>.1 市场价格波动引起的调整</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rPr>
          <w:rFonts w:hint="eastAsia" w:ascii="宋体" w:hAnsi="宋体"/>
          <w:sz w:val="21"/>
          <w:szCs w:val="21"/>
        </w:rPr>
        <w:t>：不调整。</w:t>
      </w:r>
    </w:p>
    <w:p w14:paraId="18E4E75E">
      <w:pPr>
        <w:spacing w:line="440" w:lineRule="exact"/>
        <w:rPr>
          <w:rFonts w:ascii="宋体" w:hAnsi="宋体"/>
          <w:b/>
          <w:color w:val="000000"/>
          <w:sz w:val="21"/>
          <w:szCs w:val="21"/>
        </w:rPr>
      </w:pPr>
      <w:r>
        <w:rPr>
          <w:rFonts w:ascii="宋体" w:hAnsi="宋体"/>
          <w:b/>
          <w:color w:val="000000"/>
          <w:sz w:val="21"/>
          <w:szCs w:val="21"/>
        </w:rPr>
        <w:t>六、材料设备供应：</w:t>
      </w:r>
    </w:p>
    <w:p w14:paraId="174564F0">
      <w:pPr>
        <w:tabs>
          <w:tab w:val="left" w:pos="993"/>
          <w:tab w:val="left" w:pos="1134"/>
        </w:tabs>
        <w:adjustRightInd w:val="0"/>
        <w:snapToGrid w:val="0"/>
        <w:spacing w:line="440" w:lineRule="exact"/>
        <w:ind w:firstLine="420" w:firstLineChars="200"/>
        <w:rPr>
          <w:rFonts w:ascii="宋体" w:hAnsi="宋体"/>
          <w:sz w:val="21"/>
          <w:szCs w:val="21"/>
        </w:rPr>
      </w:pPr>
      <w:r>
        <w:rPr>
          <w:rFonts w:ascii="宋体" w:hAnsi="宋体"/>
          <w:sz w:val="21"/>
          <w:szCs w:val="21"/>
        </w:rPr>
        <w:t>6.1工程所需材料均由承包人自行采购供应，承包人应按清单、方案中列明的内容和有关标准要求采购，生产厂家必须征得发包人书面同意，并提供产品合格证明，对材料质量负责。材料的送检费由承包人承担。</w:t>
      </w:r>
    </w:p>
    <w:p w14:paraId="2BC80EEF">
      <w:pPr>
        <w:tabs>
          <w:tab w:val="left" w:pos="993"/>
          <w:tab w:val="left" w:pos="1134"/>
        </w:tabs>
        <w:adjustRightInd w:val="0"/>
        <w:snapToGrid w:val="0"/>
        <w:spacing w:line="440" w:lineRule="exact"/>
        <w:ind w:firstLine="420" w:firstLineChars="200"/>
        <w:rPr>
          <w:rFonts w:ascii="宋体" w:hAnsi="宋体"/>
          <w:sz w:val="21"/>
          <w:szCs w:val="21"/>
        </w:rPr>
      </w:pPr>
      <w:bookmarkStart w:id="239" w:name="_Toc171675539"/>
      <w:bookmarkStart w:id="240" w:name="_Toc15478"/>
      <w:bookmarkStart w:id="241" w:name="_Toc196282733"/>
      <w:bookmarkStart w:id="242" w:name="_Toc476472398"/>
      <w:bookmarkStart w:id="243" w:name="_Toc196098721"/>
      <w:r>
        <w:rPr>
          <w:rFonts w:ascii="宋体" w:hAnsi="宋体"/>
          <w:sz w:val="21"/>
          <w:szCs w:val="21"/>
        </w:rPr>
        <w:t>6.2供货原则</w:t>
      </w:r>
      <w:bookmarkEnd w:id="239"/>
      <w:bookmarkEnd w:id="240"/>
      <w:bookmarkEnd w:id="241"/>
      <w:bookmarkEnd w:id="242"/>
    </w:p>
    <w:p w14:paraId="54F927CE">
      <w:pPr>
        <w:tabs>
          <w:tab w:val="left" w:pos="993"/>
          <w:tab w:val="left" w:pos="1134"/>
        </w:tabs>
        <w:adjustRightInd w:val="0"/>
        <w:snapToGrid w:val="0"/>
        <w:spacing w:line="440" w:lineRule="exact"/>
        <w:ind w:firstLine="420" w:firstLineChars="200"/>
        <w:rPr>
          <w:rFonts w:ascii="宋体" w:hAnsi="宋体"/>
          <w:sz w:val="21"/>
          <w:szCs w:val="21"/>
        </w:rPr>
      </w:pPr>
      <w:r>
        <w:rPr>
          <w:rFonts w:ascii="宋体" w:hAnsi="宋体"/>
          <w:sz w:val="21"/>
          <w:szCs w:val="21"/>
        </w:rPr>
        <w:t>承包人按本磋商文件确定的供货范围供货，承包人的供货应满足磋商文件技术规范书的要求并提供相关的技术服务。</w:t>
      </w:r>
    </w:p>
    <w:p w14:paraId="28F39770">
      <w:pPr>
        <w:tabs>
          <w:tab w:val="left" w:pos="993"/>
          <w:tab w:val="left" w:pos="1134"/>
        </w:tabs>
        <w:adjustRightInd w:val="0"/>
        <w:snapToGrid w:val="0"/>
        <w:spacing w:line="440" w:lineRule="exact"/>
        <w:ind w:firstLine="420" w:firstLineChars="200"/>
        <w:rPr>
          <w:rFonts w:ascii="宋体" w:hAnsi="宋体"/>
          <w:sz w:val="21"/>
          <w:szCs w:val="21"/>
        </w:rPr>
      </w:pPr>
      <w:r>
        <w:rPr>
          <w:rFonts w:ascii="宋体" w:hAnsi="宋体"/>
          <w:sz w:val="21"/>
          <w:szCs w:val="21"/>
        </w:rPr>
        <w:t>承包人应根据发包人提供的原始数据、技术要求和现场限定的条件，合理选择其供货范围内的设备和材料，保证其性能指标和系统安全可靠地运行，在此基础上应尽可能运行经济。</w:t>
      </w:r>
    </w:p>
    <w:p w14:paraId="602E0DBC">
      <w:pPr>
        <w:tabs>
          <w:tab w:val="left" w:pos="993"/>
          <w:tab w:val="left" w:pos="1134"/>
        </w:tabs>
        <w:adjustRightInd w:val="0"/>
        <w:snapToGrid w:val="0"/>
        <w:spacing w:line="440" w:lineRule="exact"/>
        <w:ind w:firstLine="420" w:firstLineChars="200"/>
        <w:rPr>
          <w:rFonts w:ascii="宋体" w:hAnsi="宋体"/>
          <w:sz w:val="21"/>
          <w:szCs w:val="21"/>
        </w:rPr>
      </w:pPr>
      <w:r>
        <w:rPr>
          <w:rFonts w:ascii="宋体" w:hAnsi="宋体"/>
          <w:sz w:val="21"/>
          <w:szCs w:val="21"/>
        </w:rPr>
        <w:t>本工程所采用的设备应采用目前先进的技术，即具有高的可靠性、可操作性、可维修性和可扩展性。</w:t>
      </w:r>
    </w:p>
    <w:bookmarkEnd w:id="243"/>
    <w:p w14:paraId="461DBD26">
      <w:pPr>
        <w:spacing w:line="440" w:lineRule="exact"/>
        <w:ind w:left="50"/>
        <w:rPr>
          <w:rFonts w:ascii="宋体" w:hAnsi="宋体"/>
          <w:b/>
          <w:color w:val="000000"/>
          <w:sz w:val="21"/>
          <w:szCs w:val="21"/>
        </w:rPr>
      </w:pPr>
      <w:r>
        <w:rPr>
          <w:rFonts w:ascii="宋体" w:hAnsi="宋体"/>
          <w:b/>
          <w:color w:val="000000"/>
          <w:sz w:val="21"/>
          <w:szCs w:val="21"/>
        </w:rPr>
        <w:t>七、工地派驻代表：</w:t>
      </w:r>
    </w:p>
    <w:p w14:paraId="7015C240">
      <w:pPr>
        <w:tabs>
          <w:tab w:val="left" w:pos="993"/>
          <w:tab w:val="left" w:pos="1134"/>
        </w:tabs>
        <w:adjustRightInd w:val="0"/>
        <w:snapToGrid w:val="0"/>
        <w:spacing w:line="440" w:lineRule="exact"/>
        <w:ind w:firstLine="420" w:firstLineChars="200"/>
        <w:rPr>
          <w:rFonts w:ascii="宋体" w:hAnsi="宋体"/>
          <w:color w:val="000000"/>
          <w:sz w:val="21"/>
          <w:szCs w:val="21"/>
        </w:rPr>
      </w:pPr>
      <w:r>
        <w:rPr>
          <w:rFonts w:ascii="宋体" w:hAnsi="宋体"/>
          <w:color w:val="000000"/>
          <w:sz w:val="21"/>
          <w:szCs w:val="21"/>
        </w:rPr>
        <w:t>采购人</w:t>
      </w:r>
      <w:r>
        <w:rPr>
          <w:rFonts w:ascii="宋体" w:hAnsi="宋体"/>
          <w:sz w:val="21"/>
          <w:szCs w:val="21"/>
        </w:rPr>
        <w:t>代表</w:t>
      </w:r>
      <w:r>
        <w:rPr>
          <w:rFonts w:ascii="宋体" w:hAnsi="宋体"/>
          <w:color w:val="000000"/>
          <w:sz w:val="21"/>
          <w:szCs w:val="21"/>
        </w:rPr>
        <w:t>：</w:t>
      </w:r>
      <w:r>
        <w:rPr>
          <w:rFonts w:hint="eastAsia" w:ascii="宋体" w:hAnsi="宋体"/>
          <w:color w:val="000000"/>
          <w:sz w:val="21"/>
          <w:szCs w:val="21"/>
          <w:lang w:val="en-US" w:eastAsia="zh-CN"/>
        </w:rPr>
        <w:t xml:space="preserve">    </w:t>
      </w:r>
      <w:r>
        <w:rPr>
          <w:rFonts w:ascii="宋体" w:hAnsi="宋体"/>
          <w:color w:val="000000"/>
          <w:sz w:val="21"/>
          <w:szCs w:val="21"/>
        </w:rPr>
        <w:t>姓名：</w:t>
      </w:r>
      <w:r>
        <w:rPr>
          <w:rFonts w:hint="eastAsia" w:ascii="宋体" w:hAnsi="宋体"/>
          <w:color w:val="000000"/>
          <w:sz w:val="21"/>
          <w:szCs w:val="21"/>
          <w:lang w:val="en-US" w:eastAsia="zh-CN"/>
        </w:rPr>
        <w:t xml:space="preserve">         </w:t>
      </w:r>
      <w:r>
        <w:rPr>
          <w:rFonts w:ascii="宋体" w:hAnsi="宋体"/>
          <w:sz w:val="21"/>
          <w:szCs w:val="21"/>
        </w:rPr>
        <w:t>职务</w:t>
      </w:r>
      <w:r>
        <w:rPr>
          <w:rFonts w:ascii="宋体" w:hAnsi="宋体"/>
          <w:color w:val="000000"/>
          <w:sz w:val="21"/>
          <w:szCs w:val="21"/>
        </w:rPr>
        <w:t>：</w:t>
      </w:r>
      <w:r>
        <w:rPr>
          <w:rFonts w:hint="eastAsia" w:ascii="宋体" w:hAnsi="宋体"/>
          <w:color w:val="000000"/>
          <w:sz w:val="21"/>
          <w:szCs w:val="21"/>
        </w:rPr>
        <w:t xml:space="preserve">现场工程师 </w:t>
      </w:r>
    </w:p>
    <w:p w14:paraId="428EE8BE">
      <w:pPr>
        <w:tabs>
          <w:tab w:val="left" w:pos="993"/>
          <w:tab w:val="left" w:pos="1134"/>
        </w:tabs>
        <w:adjustRightInd w:val="0"/>
        <w:snapToGrid w:val="0"/>
        <w:spacing w:line="440" w:lineRule="exact"/>
        <w:ind w:firstLine="420" w:firstLineChars="200"/>
        <w:rPr>
          <w:rFonts w:ascii="宋体" w:hAnsi="宋体"/>
          <w:color w:val="000000"/>
          <w:sz w:val="21"/>
          <w:szCs w:val="21"/>
        </w:rPr>
      </w:pPr>
      <w:r>
        <w:rPr>
          <w:rFonts w:ascii="宋体" w:hAnsi="宋体"/>
          <w:color w:val="000000"/>
          <w:sz w:val="21"/>
          <w:szCs w:val="21"/>
        </w:rPr>
        <w:t>供应商</w:t>
      </w:r>
      <w:r>
        <w:rPr>
          <w:rFonts w:ascii="宋体" w:hAnsi="宋体"/>
          <w:sz w:val="21"/>
          <w:szCs w:val="21"/>
        </w:rPr>
        <w:t>代表</w:t>
      </w:r>
      <w:r>
        <w:rPr>
          <w:rFonts w:ascii="宋体" w:hAnsi="宋体"/>
          <w:color w:val="000000"/>
          <w:sz w:val="21"/>
          <w:szCs w:val="21"/>
        </w:rPr>
        <w:t>：</w:t>
      </w:r>
      <w:r>
        <w:rPr>
          <w:rFonts w:hint="eastAsia" w:ascii="宋体" w:hAnsi="宋体"/>
          <w:color w:val="000000"/>
          <w:sz w:val="21"/>
          <w:szCs w:val="21"/>
          <w:lang w:val="en-US" w:eastAsia="zh-CN"/>
        </w:rPr>
        <w:t xml:space="preserve">    </w:t>
      </w:r>
      <w:r>
        <w:rPr>
          <w:rFonts w:ascii="宋体" w:hAnsi="宋体"/>
          <w:color w:val="000000"/>
          <w:sz w:val="21"/>
          <w:szCs w:val="21"/>
        </w:rPr>
        <w:t>姓名：</w:t>
      </w:r>
      <w:r>
        <w:rPr>
          <w:rFonts w:hint="eastAsia" w:ascii="宋体" w:hAnsi="宋体"/>
          <w:color w:val="000000"/>
          <w:sz w:val="21"/>
          <w:szCs w:val="21"/>
          <w:lang w:val="en-US" w:eastAsia="zh-CN"/>
        </w:rPr>
        <w:t xml:space="preserve">         </w:t>
      </w:r>
      <w:r>
        <w:rPr>
          <w:rFonts w:ascii="宋体" w:hAnsi="宋体"/>
          <w:color w:val="000000"/>
          <w:sz w:val="21"/>
          <w:szCs w:val="21"/>
        </w:rPr>
        <w:t>职务：</w:t>
      </w:r>
      <w:r>
        <w:rPr>
          <w:rFonts w:ascii="宋体" w:hAnsi="宋体"/>
          <w:sz w:val="21"/>
          <w:szCs w:val="21"/>
        </w:rPr>
        <w:t>项目</w:t>
      </w:r>
      <w:r>
        <w:rPr>
          <w:rFonts w:hint="eastAsia" w:ascii="宋体" w:hAnsi="宋体"/>
          <w:color w:val="000000"/>
          <w:sz w:val="21"/>
          <w:szCs w:val="21"/>
        </w:rPr>
        <w:t>负责人</w:t>
      </w:r>
    </w:p>
    <w:p w14:paraId="6DE9A6A3">
      <w:pPr>
        <w:spacing w:line="440" w:lineRule="exact"/>
        <w:ind w:left="50"/>
        <w:rPr>
          <w:rFonts w:ascii="宋体" w:hAnsi="宋体"/>
          <w:b/>
          <w:color w:val="000000"/>
          <w:sz w:val="21"/>
          <w:szCs w:val="21"/>
        </w:rPr>
      </w:pPr>
      <w:r>
        <w:rPr>
          <w:rFonts w:ascii="宋体" w:hAnsi="宋体"/>
          <w:b/>
          <w:color w:val="000000"/>
          <w:sz w:val="21"/>
          <w:szCs w:val="21"/>
        </w:rPr>
        <w:t>八、采购人工作职责：</w:t>
      </w:r>
    </w:p>
    <w:p w14:paraId="173ADB8B">
      <w:pPr>
        <w:tabs>
          <w:tab w:val="left" w:pos="993"/>
          <w:tab w:val="left" w:pos="1134"/>
        </w:tabs>
        <w:adjustRightInd w:val="0"/>
        <w:snapToGrid w:val="0"/>
        <w:spacing w:line="440" w:lineRule="exact"/>
        <w:ind w:firstLine="420" w:firstLineChars="200"/>
        <w:rPr>
          <w:rFonts w:ascii="宋体" w:hAnsi="宋体"/>
          <w:color w:val="000000"/>
          <w:sz w:val="21"/>
          <w:szCs w:val="21"/>
        </w:rPr>
      </w:pPr>
      <w:r>
        <w:rPr>
          <w:rFonts w:hint="eastAsia" w:ascii="宋体" w:hAnsi="宋体"/>
          <w:color w:val="000000"/>
          <w:sz w:val="21"/>
          <w:szCs w:val="21"/>
        </w:rPr>
        <w:t>8.1</w:t>
      </w:r>
      <w:r>
        <w:rPr>
          <w:rFonts w:ascii="宋体" w:hAnsi="宋体"/>
          <w:color w:val="000000"/>
          <w:sz w:val="21"/>
          <w:szCs w:val="21"/>
        </w:rPr>
        <w:t>采购人</w:t>
      </w:r>
      <w:r>
        <w:rPr>
          <w:rFonts w:ascii="宋体" w:hAnsi="宋体"/>
          <w:sz w:val="21"/>
          <w:szCs w:val="21"/>
        </w:rPr>
        <w:t>履行</w:t>
      </w:r>
      <w:r>
        <w:rPr>
          <w:rFonts w:ascii="宋体" w:hAnsi="宋体"/>
          <w:color w:val="000000"/>
          <w:sz w:val="21"/>
          <w:szCs w:val="21"/>
        </w:rPr>
        <w:t>本合同中</w:t>
      </w:r>
      <w:r>
        <w:rPr>
          <w:rFonts w:ascii="宋体" w:hAnsi="宋体"/>
          <w:sz w:val="21"/>
          <w:szCs w:val="21"/>
        </w:rPr>
        <w:t>约定</w:t>
      </w:r>
      <w:r>
        <w:rPr>
          <w:rFonts w:ascii="宋体" w:hAnsi="宋体"/>
          <w:color w:val="000000"/>
          <w:sz w:val="21"/>
          <w:szCs w:val="21"/>
        </w:rPr>
        <w:t>的权利和协议，对工程质量、进度进行监督和检查，办理验收、变更、登记手续和其它事项；负责供应商的所有资料的转发与其他单位的协调工作</w:t>
      </w:r>
      <w:r>
        <w:rPr>
          <w:rFonts w:hint="eastAsia" w:ascii="宋体" w:hAnsi="宋体"/>
          <w:color w:val="000000"/>
          <w:sz w:val="21"/>
          <w:szCs w:val="21"/>
        </w:rPr>
        <w:t>。</w:t>
      </w:r>
    </w:p>
    <w:p w14:paraId="1E628985">
      <w:pPr>
        <w:tabs>
          <w:tab w:val="left" w:pos="993"/>
          <w:tab w:val="left" w:pos="1134"/>
        </w:tabs>
        <w:adjustRightInd w:val="0"/>
        <w:snapToGrid w:val="0"/>
        <w:spacing w:line="440" w:lineRule="exact"/>
        <w:ind w:firstLine="420" w:firstLineChars="200"/>
        <w:rPr>
          <w:rFonts w:ascii="宋体" w:hAnsi="宋体"/>
          <w:sz w:val="21"/>
          <w:szCs w:val="21"/>
        </w:rPr>
      </w:pPr>
      <w:r>
        <w:rPr>
          <w:rFonts w:hint="eastAsia" w:ascii="宋体" w:hAnsi="宋体"/>
          <w:sz w:val="21"/>
          <w:szCs w:val="21"/>
        </w:rPr>
        <w:t>8.2</w:t>
      </w:r>
      <w:r>
        <w:rPr>
          <w:rFonts w:ascii="宋体" w:hAnsi="宋体"/>
          <w:sz w:val="21"/>
          <w:szCs w:val="21"/>
        </w:rPr>
        <w:t>采购人未按约定时间和</w:t>
      </w:r>
      <w:r>
        <w:rPr>
          <w:rFonts w:ascii="宋体" w:hAnsi="宋体"/>
          <w:bCs/>
          <w:sz w:val="21"/>
          <w:szCs w:val="21"/>
        </w:rPr>
        <w:t>要求</w:t>
      </w:r>
      <w:r>
        <w:rPr>
          <w:rFonts w:ascii="宋体" w:hAnsi="宋体"/>
          <w:sz w:val="21"/>
          <w:szCs w:val="21"/>
        </w:rPr>
        <w:t>履行工作，导致工期延误给供应商造成损失的，采购人应赔偿供应商有关损失。</w:t>
      </w:r>
    </w:p>
    <w:p w14:paraId="12CC9479">
      <w:pPr>
        <w:spacing w:line="440" w:lineRule="exact"/>
        <w:ind w:left="50" w:right="-150"/>
        <w:rPr>
          <w:rFonts w:ascii="宋体" w:hAnsi="宋体"/>
          <w:b/>
          <w:sz w:val="21"/>
          <w:szCs w:val="21"/>
        </w:rPr>
      </w:pPr>
      <w:r>
        <w:rPr>
          <w:rFonts w:ascii="宋体" w:hAnsi="宋体"/>
          <w:b/>
          <w:sz w:val="21"/>
          <w:szCs w:val="21"/>
        </w:rPr>
        <w:t>九、供应商工作职责：</w:t>
      </w:r>
    </w:p>
    <w:p w14:paraId="7F15A63A">
      <w:pPr>
        <w:tabs>
          <w:tab w:val="left" w:pos="993"/>
          <w:tab w:val="left" w:pos="1134"/>
        </w:tabs>
        <w:adjustRightInd w:val="0"/>
        <w:snapToGrid w:val="0"/>
        <w:spacing w:line="440" w:lineRule="exact"/>
        <w:ind w:firstLine="420" w:firstLineChars="200"/>
        <w:rPr>
          <w:rFonts w:ascii="宋体" w:hAnsi="宋体"/>
          <w:sz w:val="21"/>
          <w:szCs w:val="21"/>
        </w:rPr>
      </w:pPr>
      <w:r>
        <w:rPr>
          <w:rFonts w:hint="eastAsia" w:ascii="宋体" w:hAnsi="宋体"/>
          <w:sz w:val="21"/>
          <w:szCs w:val="21"/>
        </w:rPr>
        <w:t>9.1</w:t>
      </w:r>
      <w:r>
        <w:rPr>
          <w:rFonts w:ascii="宋体" w:hAnsi="宋体"/>
          <w:sz w:val="21"/>
          <w:szCs w:val="21"/>
        </w:rPr>
        <w:t>供应商在施工现场必须成立技术力量较强的项目经理部，及时编制和申报施工进度计划和相关资料。</w:t>
      </w:r>
    </w:p>
    <w:p w14:paraId="4854E04B">
      <w:pPr>
        <w:tabs>
          <w:tab w:val="left" w:pos="993"/>
          <w:tab w:val="left" w:pos="1134"/>
        </w:tabs>
        <w:adjustRightInd w:val="0"/>
        <w:snapToGrid w:val="0"/>
        <w:spacing w:line="440" w:lineRule="exact"/>
        <w:ind w:firstLine="420" w:firstLineChars="200"/>
        <w:rPr>
          <w:rFonts w:ascii="宋体" w:hAnsi="宋体"/>
          <w:sz w:val="21"/>
          <w:szCs w:val="21"/>
        </w:rPr>
      </w:pPr>
      <w:r>
        <w:rPr>
          <w:rFonts w:hint="eastAsia" w:ascii="宋体" w:hAnsi="宋体"/>
          <w:sz w:val="21"/>
          <w:szCs w:val="21"/>
        </w:rPr>
        <w:t>9.2</w:t>
      </w:r>
      <w:r>
        <w:rPr>
          <w:rFonts w:ascii="宋体" w:hAnsi="宋体"/>
          <w:sz w:val="21"/>
          <w:szCs w:val="21"/>
        </w:rPr>
        <w:t>供应商必须按采购人确认的施工组织设计和施工方案组织施工，履行本合同约定的权利和义务，不得再转包</w:t>
      </w:r>
      <w:r>
        <w:rPr>
          <w:rFonts w:hint="eastAsia" w:ascii="宋体" w:hAnsi="宋体"/>
          <w:sz w:val="21"/>
          <w:szCs w:val="21"/>
        </w:rPr>
        <w:t>。如需</w:t>
      </w:r>
      <w:r>
        <w:rPr>
          <w:rFonts w:ascii="宋体" w:hAnsi="宋体"/>
          <w:sz w:val="21"/>
          <w:szCs w:val="21"/>
        </w:rPr>
        <w:t>分包，</w:t>
      </w:r>
      <w:r>
        <w:rPr>
          <w:rFonts w:hint="eastAsia" w:ascii="宋体" w:hAnsi="宋体"/>
          <w:sz w:val="21"/>
          <w:szCs w:val="21"/>
        </w:rPr>
        <w:t>必须征得采购人书面同意。</w:t>
      </w:r>
      <w:r>
        <w:rPr>
          <w:rFonts w:ascii="宋体" w:hAnsi="宋体"/>
          <w:sz w:val="21"/>
          <w:szCs w:val="21"/>
        </w:rPr>
        <w:t>一经发现</w:t>
      </w:r>
      <w:r>
        <w:rPr>
          <w:rFonts w:hint="eastAsia" w:ascii="宋体" w:hAnsi="宋体"/>
          <w:sz w:val="21"/>
          <w:szCs w:val="21"/>
        </w:rPr>
        <w:t>转包或违法分包，</w:t>
      </w:r>
      <w:r>
        <w:rPr>
          <w:rFonts w:ascii="宋体" w:hAnsi="宋体"/>
          <w:sz w:val="21"/>
          <w:szCs w:val="21"/>
        </w:rPr>
        <w:t>取消其承包资格；已做工程量不予结算。</w:t>
      </w:r>
    </w:p>
    <w:p w14:paraId="1AF324FF">
      <w:pPr>
        <w:tabs>
          <w:tab w:val="left" w:pos="993"/>
          <w:tab w:val="left" w:pos="1134"/>
        </w:tabs>
        <w:adjustRightInd w:val="0"/>
        <w:snapToGrid w:val="0"/>
        <w:spacing w:line="440" w:lineRule="exact"/>
        <w:ind w:firstLine="420" w:firstLineChars="200"/>
        <w:rPr>
          <w:rFonts w:ascii="宋体" w:hAnsi="宋体"/>
          <w:sz w:val="21"/>
          <w:szCs w:val="21"/>
        </w:rPr>
      </w:pPr>
      <w:r>
        <w:rPr>
          <w:rFonts w:hint="eastAsia" w:ascii="宋体" w:hAnsi="宋体"/>
          <w:sz w:val="21"/>
          <w:szCs w:val="21"/>
        </w:rPr>
        <w:t>9.3</w:t>
      </w:r>
      <w:r>
        <w:rPr>
          <w:rFonts w:ascii="宋体" w:hAnsi="宋体"/>
          <w:sz w:val="21"/>
          <w:szCs w:val="21"/>
        </w:rPr>
        <w:t>遵守采购人对工程施工现场的有关规定，保证施工场地整洁和施工噪音符合要求。完工前必须清理好现场，如供应商违反有关环境管理规定将承担所造成的损失和罚款。</w:t>
      </w:r>
    </w:p>
    <w:p w14:paraId="21EDED06">
      <w:pPr>
        <w:tabs>
          <w:tab w:val="left" w:pos="993"/>
          <w:tab w:val="left" w:pos="1134"/>
        </w:tabs>
        <w:adjustRightInd w:val="0"/>
        <w:snapToGrid w:val="0"/>
        <w:spacing w:line="440" w:lineRule="exact"/>
        <w:ind w:firstLine="420" w:firstLineChars="200"/>
        <w:rPr>
          <w:rFonts w:ascii="宋体" w:hAnsi="宋体"/>
          <w:sz w:val="21"/>
          <w:szCs w:val="21"/>
        </w:rPr>
      </w:pPr>
      <w:r>
        <w:rPr>
          <w:rFonts w:hint="eastAsia" w:ascii="宋体" w:hAnsi="宋体"/>
          <w:sz w:val="21"/>
          <w:szCs w:val="21"/>
        </w:rPr>
        <w:t>9.4</w:t>
      </w:r>
      <w:r>
        <w:rPr>
          <w:rFonts w:ascii="宋体" w:hAnsi="宋体"/>
          <w:sz w:val="21"/>
          <w:szCs w:val="21"/>
        </w:rPr>
        <w:t>严格执行施工规范、安全操作规程。严格按照施工图和国家现行施工验收规范进行施工，做好各项质量检查记录，参加相关验收，及时提交竣工图。</w:t>
      </w:r>
    </w:p>
    <w:p w14:paraId="334D68FA">
      <w:pPr>
        <w:tabs>
          <w:tab w:val="left" w:pos="993"/>
          <w:tab w:val="left" w:pos="1134"/>
        </w:tabs>
        <w:adjustRightInd w:val="0"/>
        <w:snapToGrid w:val="0"/>
        <w:spacing w:line="440" w:lineRule="exact"/>
        <w:ind w:firstLine="420" w:firstLineChars="200"/>
        <w:rPr>
          <w:rFonts w:ascii="宋体" w:hAnsi="宋体"/>
          <w:sz w:val="21"/>
          <w:szCs w:val="21"/>
        </w:rPr>
      </w:pPr>
      <w:r>
        <w:rPr>
          <w:rFonts w:hint="eastAsia" w:ascii="宋体" w:hAnsi="宋体"/>
          <w:sz w:val="21"/>
          <w:szCs w:val="21"/>
        </w:rPr>
        <w:t>9.5</w:t>
      </w:r>
      <w:r>
        <w:rPr>
          <w:rFonts w:ascii="宋体" w:hAnsi="宋体"/>
          <w:sz w:val="21"/>
          <w:szCs w:val="21"/>
        </w:rPr>
        <w:t>遵守国家或地方政府对施工现场管理的规定，妥善保护好施工现场建筑物、设备管线，处理好由于施工带来的扰民问题及与周围施工单位的关系。</w:t>
      </w:r>
    </w:p>
    <w:p w14:paraId="40DC9280">
      <w:pPr>
        <w:tabs>
          <w:tab w:val="left" w:pos="993"/>
          <w:tab w:val="left" w:pos="1134"/>
        </w:tabs>
        <w:adjustRightInd w:val="0"/>
        <w:snapToGrid w:val="0"/>
        <w:spacing w:line="440" w:lineRule="exact"/>
        <w:ind w:firstLine="420" w:firstLineChars="200"/>
        <w:rPr>
          <w:rFonts w:ascii="宋体" w:hAnsi="宋体"/>
          <w:sz w:val="21"/>
          <w:szCs w:val="21"/>
        </w:rPr>
      </w:pPr>
      <w:r>
        <w:rPr>
          <w:rFonts w:hint="eastAsia" w:ascii="宋体" w:hAnsi="宋体"/>
          <w:sz w:val="21"/>
          <w:szCs w:val="21"/>
        </w:rPr>
        <w:t>9.6</w:t>
      </w:r>
      <w:r>
        <w:rPr>
          <w:rFonts w:ascii="宋体" w:hAnsi="宋体"/>
          <w:sz w:val="21"/>
          <w:szCs w:val="21"/>
        </w:rPr>
        <w:t>供应商未按约定时间和要求履行工作，导致工期延误给采购人造成损失的，供应商应赔偿采购人有关损失。</w:t>
      </w:r>
    </w:p>
    <w:p w14:paraId="0F0172A0">
      <w:pPr>
        <w:spacing w:line="440" w:lineRule="exact"/>
        <w:ind w:left="50" w:right="-150"/>
        <w:rPr>
          <w:rFonts w:ascii="宋体" w:hAnsi="宋体"/>
          <w:b/>
          <w:sz w:val="21"/>
          <w:szCs w:val="21"/>
        </w:rPr>
      </w:pPr>
      <w:r>
        <w:rPr>
          <w:rFonts w:ascii="宋体" w:hAnsi="宋体"/>
          <w:b/>
          <w:sz w:val="21"/>
          <w:szCs w:val="21"/>
        </w:rPr>
        <w:t>十、质量与检验：</w:t>
      </w:r>
    </w:p>
    <w:p w14:paraId="3736476C">
      <w:pPr>
        <w:tabs>
          <w:tab w:val="left" w:pos="993"/>
          <w:tab w:val="left" w:pos="1134"/>
        </w:tabs>
        <w:adjustRightInd w:val="0"/>
        <w:snapToGrid w:val="0"/>
        <w:spacing w:line="440" w:lineRule="exact"/>
        <w:ind w:firstLine="420" w:firstLineChars="200"/>
        <w:rPr>
          <w:rFonts w:ascii="宋体" w:hAnsi="宋体"/>
          <w:sz w:val="21"/>
          <w:szCs w:val="21"/>
        </w:rPr>
      </w:pPr>
      <w:r>
        <w:rPr>
          <w:rFonts w:hint="eastAsia" w:ascii="宋体" w:hAnsi="宋体"/>
          <w:sz w:val="21"/>
          <w:szCs w:val="21"/>
        </w:rPr>
        <w:t>10.1</w:t>
      </w:r>
      <w:r>
        <w:rPr>
          <w:rFonts w:ascii="宋体" w:hAnsi="宋体"/>
          <w:sz w:val="21"/>
          <w:szCs w:val="21"/>
        </w:rPr>
        <w:t>工程质量应达到本合同约定的质量标准</w:t>
      </w:r>
      <w:r>
        <w:rPr>
          <w:rFonts w:hint="eastAsia" w:ascii="宋体" w:hAnsi="宋体"/>
          <w:sz w:val="21"/>
          <w:szCs w:val="21"/>
        </w:rPr>
        <w:t>，通过验收</w:t>
      </w:r>
      <w:r>
        <w:rPr>
          <w:rFonts w:ascii="宋体" w:hAnsi="宋体"/>
          <w:sz w:val="21"/>
          <w:szCs w:val="21"/>
        </w:rPr>
        <w:t xml:space="preserve">。因供应商原因工程质量达不到约定的质量标准。采购人代表一经发现，供应商应按照采购人代表的要求改正，直到符合约定标准，其费用由供应商承担，工期不予以顺延。 </w:t>
      </w:r>
    </w:p>
    <w:p w14:paraId="3A85BF42">
      <w:pPr>
        <w:tabs>
          <w:tab w:val="left" w:pos="993"/>
          <w:tab w:val="left" w:pos="1134"/>
        </w:tabs>
        <w:adjustRightInd w:val="0"/>
        <w:snapToGrid w:val="0"/>
        <w:spacing w:line="440" w:lineRule="exact"/>
        <w:ind w:firstLine="420" w:firstLineChars="200"/>
        <w:rPr>
          <w:rFonts w:ascii="宋体" w:hAnsi="宋体"/>
          <w:sz w:val="21"/>
          <w:szCs w:val="21"/>
        </w:rPr>
      </w:pPr>
      <w:r>
        <w:rPr>
          <w:rFonts w:hint="eastAsia" w:ascii="宋体" w:hAnsi="宋体"/>
          <w:sz w:val="21"/>
          <w:szCs w:val="21"/>
        </w:rPr>
        <w:t>10.2</w:t>
      </w:r>
      <w:r>
        <w:rPr>
          <w:rFonts w:ascii="宋体" w:hAnsi="宋体"/>
          <w:sz w:val="21"/>
          <w:szCs w:val="21"/>
        </w:rPr>
        <w:t>供应商应认真按照标准、规范和设计图纸以及采购人的要求组织施工，随时接受采购人检查检验，为检查检验提供便利条件。</w:t>
      </w:r>
    </w:p>
    <w:p w14:paraId="73245351">
      <w:pPr>
        <w:spacing w:line="440" w:lineRule="exact"/>
        <w:ind w:left="50" w:right="-150"/>
        <w:rPr>
          <w:rFonts w:ascii="宋体" w:hAnsi="宋体"/>
          <w:b/>
          <w:sz w:val="21"/>
          <w:szCs w:val="21"/>
        </w:rPr>
      </w:pPr>
      <w:r>
        <w:rPr>
          <w:rFonts w:ascii="宋体" w:hAnsi="宋体"/>
          <w:b/>
          <w:sz w:val="21"/>
          <w:szCs w:val="21"/>
        </w:rPr>
        <w:t>十一、安全施工：</w:t>
      </w:r>
    </w:p>
    <w:p w14:paraId="05AA2EE1">
      <w:pPr>
        <w:tabs>
          <w:tab w:val="left" w:pos="993"/>
          <w:tab w:val="left" w:pos="1134"/>
        </w:tabs>
        <w:adjustRightInd w:val="0"/>
        <w:snapToGrid w:val="0"/>
        <w:spacing w:line="440" w:lineRule="exact"/>
        <w:ind w:firstLine="420" w:firstLineChars="200"/>
        <w:rPr>
          <w:rFonts w:ascii="宋体" w:hAnsi="宋体"/>
          <w:sz w:val="21"/>
          <w:szCs w:val="21"/>
        </w:rPr>
      </w:pPr>
      <w:r>
        <w:rPr>
          <w:rFonts w:hint="eastAsia" w:ascii="宋体" w:hAnsi="宋体"/>
          <w:sz w:val="21"/>
          <w:szCs w:val="21"/>
        </w:rPr>
        <w:t>11.1</w:t>
      </w:r>
      <w:r>
        <w:rPr>
          <w:rFonts w:ascii="宋体" w:hAnsi="宋体"/>
          <w:sz w:val="21"/>
          <w:szCs w:val="21"/>
        </w:rPr>
        <w:t>供应商必须按施工现场安全生产的有关标准组织施工，应严格遵守《建筑安装工程安全及技术规范》、《建筑安装工人安全操作规范》、和其他相关的法规、规范。并采取必要的安全防护措施，消除事故隐患，供应商</w:t>
      </w:r>
      <w:r>
        <w:rPr>
          <w:rFonts w:ascii="宋体" w:hAnsi="宋体"/>
          <w:color w:val="000000"/>
          <w:sz w:val="21"/>
          <w:szCs w:val="21"/>
        </w:rPr>
        <w:t>在施工过程中确保不发生安全事故，如由于供应商原因造成安全事故，造成的一切损失均由供应商承担，还要赔偿由此给采购人等带来的影响和损失。</w:t>
      </w:r>
    </w:p>
    <w:p w14:paraId="6C92640B">
      <w:pPr>
        <w:tabs>
          <w:tab w:val="left" w:pos="993"/>
          <w:tab w:val="left" w:pos="1134"/>
        </w:tabs>
        <w:adjustRightInd w:val="0"/>
        <w:snapToGrid w:val="0"/>
        <w:spacing w:line="440" w:lineRule="exact"/>
        <w:ind w:firstLine="420" w:firstLineChars="200"/>
        <w:rPr>
          <w:rFonts w:ascii="宋体" w:hAnsi="宋体"/>
          <w:sz w:val="21"/>
          <w:szCs w:val="21"/>
        </w:rPr>
      </w:pPr>
      <w:r>
        <w:rPr>
          <w:rFonts w:hint="eastAsia" w:ascii="宋体" w:hAnsi="宋体"/>
          <w:sz w:val="21"/>
          <w:szCs w:val="21"/>
        </w:rPr>
        <w:t>11.2</w:t>
      </w:r>
      <w:r>
        <w:rPr>
          <w:rFonts w:ascii="宋体" w:hAnsi="宋体"/>
          <w:sz w:val="21"/>
          <w:szCs w:val="21"/>
        </w:rPr>
        <w:t>采购人不得要求供应商违反安全管理的规定进行施工。因采购人原因导致的安全事故，由采购人承担相应责任及发生的费用。</w:t>
      </w:r>
    </w:p>
    <w:p w14:paraId="4918FE78">
      <w:pPr>
        <w:spacing w:line="440" w:lineRule="exact"/>
        <w:rPr>
          <w:rFonts w:ascii="宋体" w:hAnsi="宋体"/>
          <w:b/>
          <w:sz w:val="21"/>
          <w:szCs w:val="21"/>
        </w:rPr>
      </w:pPr>
      <w:r>
        <w:rPr>
          <w:rFonts w:ascii="宋体" w:hAnsi="宋体"/>
          <w:b/>
          <w:sz w:val="21"/>
          <w:szCs w:val="21"/>
        </w:rPr>
        <w:t>十</w:t>
      </w:r>
      <w:r>
        <w:rPr>
          <w:rFonts w:hint="eastAsia" w:ascii="宋体" w:hAnsi="宋体"/>
          <w:b/>
          <w:sz w:val="21"/>
          <w:szCs w:val="21"/>
        </w:rPr>
        <w:t>二</w:t>
      </w:r>
      <w:r>
        <w:rPr>
          <w:rFonts w:ascii="宋体" w:hAnsi="宋体"/>
          <w:b/>
          <w:sz w:val="21"/>
          <w:szCs w:val="21"/>
        </w:rPr>
        <w:t>、违约责任：</w:t>
      </w:r>
    </w:p>
    <w:p w14:paraId="3C1547A9">
      <w:pPr>
        <w:tabs>
          <w:tab w:val="left" w:pos="993"/>
          <w:tab w:val="left" w:pos="1134"/>
        </w:tabs>
        <w:adjustRightInd w:val="0"/>
        <w:snapToGrid w:val="0"/>
        <w:spacing w:line="440" w:lineRule="exact"/>
        <w:ind w:firstLine="420" w:firstLineChars="200"/>
        <w:rPr>
          <w:rFonts w:ascii="宋体" w:hAnsi="宋体"/>
          <w:sz w:val="21"/>
          <w:szCs w:val="21"/>
        </w:rPr>
      </w:pPr>
      <w:r>
        <w:rPr>
          <w:rFonts w:hint="eastAsia" w:ascii="宋体" w:hAnsi="宋体"/>
          <w:sz w:val="21"/>
          <w:szCs w:val="21"/>
        </w:rPr>
        <w:t>12.1</w:t>
      </w:r>
      <w:r>
        <w:rPr>
          <w:rFonts w:ascii="宋体" w:hAnsi="宋体"/>
          <w:sz w:val="21"/>
          <w:szCs w:val="21"/>
        </w:rPr>
        <w:t>由于供应商不能按照标准、规范和设计图纸及协议发出的指令施工、不能严格履行协议规定的全部内容、责任、义务，由供应商承担因此给采购人造成的经济损失，工期不予顺延，并处以相应罚款。</w:t>
      </w:r>
    </w:p>
    <w:p w14:paraId="74C993E2">
      <w:pPr>
        <w:tabs>
          <w:tab w:val="left" w:pos="993"/>
          <w:tab w:val="left" w:pos="1134"/>
        </w:tabs>
        <w:adjustRightInd w:val="0"/>
        <w:snapToGrid w:val="0"/>
        <w:spacing w:line="440" w:lineRule="exact"/>
        <w:ind w:firstLine="420" w:firstLineChars="200"/>
        <w:rPr>
          <w:rFonts w:ascii="宋体" w:hAnsi="宋体"/>
          <w:sz w:val="21"/>
          <w:szCs w:val="21"/>
        </w:rPr>
      </w:pPr>
      <w:r>
        <w:rPr>
          <w:rFonts w:hint="eastAsia" w:ascii="宋体" w:hAnsi="宋体"/>
          <w:sz w:val="21"/>
          <w:szCs w:val="21"/>
        </w:rPr>
        <w:t>12.2</w:t>
      </w:r>
      <w:r>
        <w:rPr>
          <w:rFonts w:ascii="宋体" w:hAnsi="宋体"/>
          <w:sz w:val="21"/>
          <w:szCs w:val="21"/>
        </w:rPr>
        <w:t>采购人不能按协议约定履行自己的义务，或发生错误指令，由采购人承担因此给供应商造成的经济损失，顺延延误的工期。</w:t>
      </w:r>
    </w:p>
    <w:p w14:paraId="43717483">
      <w:pPr>
        <w:tabs>
          <w:tab w:val="left" w:pos="993"/>
          <w:tab w:val="left" w:pos="1134"/>
        </w:tabs>
        <w:adjustRightInd w:val="0"/>
        <w:snapToGrid w:val="0"/>
        <w:spacing w:line="440" w:lineRule="exact"/>
        <w:ind w:firstLine="420" w:firstLineChars="200"/>
        <w:rPr>
          <w:rFonts w:ascii="宋体" w:hAnsi="宋体"/>
          <w:sz w:val="21"/>
          <w:szCs w:val="21"/>
        </w:rPr>
      </w:pPr>
      <w:r>
        <w:rPr>
          <w:rFonts w:hint="eastAsia" w:ascii="宋体" w:hAnsi="宋体"/>
          <w:sz w:val="21"/>
          <w:szCs w:val="21"/>
        </w:rPr>
        <w:t>12.3</w:t>
      </w:r>
      <w:r>
        <w:rPr>
          <w:rFonts w:ascii="宋体" w:hAnsi="宋体"/>
          <w:sz w:val="21"/>
          <w:szCs w:val="21"/>
        </w:rPr>
        <w:t>一方违约后，另一方要求违约方继续履行协议时，违约方承担上述责任，并将继续履行协议。</w:t>
      </w:r>
    </w:p>
    <w:p w14:paraId="4AF98B32">
      <w:pPr>
        <w:spacing w:line="440" w:lineRule="exact"/>
        <w:rPr>
          <w:rFonts w:ascii="宋体" w:hAnsi="宋体"/>
          <w:b/>
          <w:sz w:val="21"/>
          <w:szCs w:val="21"/>
        </w:rPr>
      </w:pPr>
      <w:r>
        <w:rPr>
          <w:rFonts w:ascii="宋体" w:hAnsi="宋体"/>
          <w:b/>
          <w:sz w:val="21"/>
          <w:szCs w:val="21"/>
        </w:rPr>
        <w:t>十</w:t>
      </w:r>
      <w:r>
        <w:rPr>
          <w:rFonts w:hint="eastAsia" w:ascii="宋体" w:hAnsi="宋体"/>
          <w:b/>
          <w:sz w:val="21"/>
          <w:szCs w:val="21"/>
        </w:rPr>
        <w:t>三</w:t>
      </w:r>
      <w:r>
        <w:rPr>
          <w:rFonts w:ascii="宋体" w:hAnsi="宋体"/>
          <w:b/>
          <w:sz w:val="21"/>
          <w:szCs w:val="21"/>
        </w:rPr>
        <w:t>、争议解决方式：</w:t>
      </w:r>
    </w:p>
    <w:p w14:paraId="15B07D35">
      <w:pPr>
        <w:tabs>
          <w:tab w:val="left" w:pos="993"/>
          <w:tab w:val="left" w:pos="1134"/>
        </w:tabs>
        <w:adjustRightInd w:val="0"/>
        <w:snapToGrid w:val="0"/>
        <w:spacing w:line="440" w:lineRule="exact"/>
        <w:ind w:firstLine="420" w:firstLineChars="200"/>
        <w:rPr>
          <w:rFonts w:ascii="宋体" w:hAnsi="宋体"/>
          <w:sz w:val="21"/>
          <w:szCs w:val="21"/>
        </w:rPr>
      </w:pPr>
      <w:r>
        <w:rPr>
          <w:rFonts w:ascii="宋体" w:hAnsi="宋体"/>
          <w:sz w:val="21"/>
          <w:szCs w:val="21"/>
        </w:rPr>
        <w:t>本合同在履行过程中发生争议由当事人双方协商解决。协商不成，由</w:t>
      </w:r>
      <w:r>
        <w:rPr>
          <w:rFonts w:hint="eastAsia" w:ascii="宋体" w:hAnsi="宋体"/>
          <w:sz w:val="21"/>
          <w:szCs w:val="21"/>
        </w:rPr>
        <w:t>采购人所在地人民法院管辖</w:t>
      </w:r>
      <w:r>
        <w:rPr>
          <w:rFonts w:ascii="宋体" w:hAnsi="宋体"/>
          <w:sz w:val="21"/>
          <w:szCs w:val="21"/>
        </w:rPr>
        <w:t>。</w:t>
      </w:r>
    </w:p>
    <w:p w14:paraId="4A6D8592">
      <w:pPr>
        <w:spacing w:line="440" w:lineRule="exact"/>
        <w:ind w:left="105" w:leftChars="50" w:right="-147"/>
        <w:jc w:val="left"/>
        <w:rPr>
          <w:rFonts w:ascii="宋体" w:hAnsi="宋体"/>
          <w:b/>
          <w:sz w:val="21"/>
          <w:szCs w:val="21"/>
        </w:rPr>
      </w:pPr>
      <w:r>
        <w:rPr>
          <w:rFonts w:ascii="宋体" w:hAnsi="宋体"/>
          <w:b/>
          <w:sz w:val="21"/>
          <w:szCs w:val="21"/>
        </w:rPr>
        <w:t>十</w:t>
      </w:r>
      <w:r>
        <w:rPr>
          <w:rFonts w:hint="eastAsia" w:ascii="宋体" w:hAnsi="宋体"/>
          <w:b/>
          <w:sz w:val="21"/>
          <w:szCs w:val="21"/>
        </w:rPr>
        <w:t>四</w:t>
      </w:r>
      <w:r>
        <w:rPr>
          <w:rFonts w:ascii="宋体" w:hAnsi="宋体"/>
          <w:b/>
          <w:sz w:val="21"/>
          <w:szCs w:val="21"/>
        </w:rPr>
        <w:t>、其它约定事项：</w:t>
      </w:r>
    </w:p>
    <w:p w14:paraId="1A4C3014">
      <w:pPr>
        <w:tabs>
          <w:tab w:val="left" w:pos="993"/>
          <w:tab w:val="left" w:pos="1134"/>
        </w:tabs>
        <w:adjustRightInd w:val="0"/>
        <w:snapToGrid w:val="0"/>
        <w:spacing w:line="440" w:lineRule="exact"/>
        <w:ind w:firstLine="420" w:firstLineChars="200"/>
        <w:rPr>
          <w:rFonts w:ascii="宋体" w:hAnsi="宋体"/>
          <w:sz w:val="21"/>
          <w:szCs w:val="21"/>
        </w:rPr>
      </w:pPr>
      <w:r>
        <w:rPr>
          <w:rFonts w:hint="eastAsia" w:ascii="宋体" w:hAnsi="宋体"/>
          <w:sz w:val="21"/>
          <w:szCs w:val="21"/>
        </w:rPr>
        <w:t>14.1为确保工程安全，合同范围可能会有所调整，供应商须无条件服从采购人安排。</w:t>
      </w:r>
    </w:p>
    <w:p w14:paraId="13E8FE36">
      <w:pPr>
        <w:tabs>
          <w:tab w:val="left" w:pos="993"/>
          <w:tab w:val="left" w:pos="1134"/>
        </w:tabs>
        <w:adjustRightInd w:val="0"/>
        <w:snapToGrid w:val="0"/>
        <w:spacing w:line="440" w:lineRule="exact"/>
        <w:ind w:firstLine="420" w:firstLineChars="200"/>
        <w:rPr>
          <w:rFonts w:ascii="宋体" w:hAnsi="宋体"/>
          <w:sz w:val="21"/>
          <w:szCs w:val="21"/>
        </w:rPr>
      </w:pPr>
      <w:r>
        <w:rPr>
          <w:rFonts w:hint="eastAsia" w:ascii="宋体" w:hAnsi="宋体"/>
          <w:sz w:val="21"/>
          <w:szCs w:val="21"/>
        </w:rPr>
        <w:t>14.2竣工结算计价方法和工程量计算规则执行</w:t>
      </w:r>
      <w:r>
        <w:rPr>
          <w:rFonts w:ascii="宋体" w:hAnsi="宋体"/>
          <w:sz w:val="21"/>
          <w:szCs w:val="21"/>
        </w:rPr>
        <w:t>《建设工程工程量清单计价规范》（GB50500-2013）</w:t>
      </w:r>
      <w:r>
        <w:rPr>
          <w:rFonts w:hint="eastAsia" w:ascii="宋体" w:hAnsi="宋体"/>
          <w:sz w:val="21"/>
          <w:szCs w:val="21"/>
        </w:rPr>
        <w:t>，综合单价固定不变。</w:t>
      </w:r>
      <w:r>
        <w:rPr>
          <w:rFonts w:ascii="宋体" w:hAnsi="宋体"/>
          <w:sz w:val="21"/>
          <w:szCs w:val="21"/>
        </w:rPr>
        <w:t>承包人应如实申报竣工结算报</w:t>
      </w:r>
      <w:r>
        <w:rPr>
          <w:rFonts w:hint="eastAsia" w:ascii="宋体" w:hAnsi="宋体"/>
          <w:sz w:val="21"/>
          <w:szCs w:val="21"/>
        </w:rPr>
        <w:t>告，工程结算值经最终审定后，核减率≤5%，审计费用由发包人承担；若核减率＞5%，则超出5%部分由施工单位承担。</w:t>
      </w:r>
    </w:p>
    <w:p w14:paraId="631A9B0B">
      <w:pPr>
        <w:tabs>
          <w:tab w:val="left" w:pos="993"/>
          <w:tab w:val="left" w:pos="1134"/>
        </w:tabs>
        <w:adjustRightInd w:val="0"/>
        <w:snapToGrid w:val="0"/>
        <w:spacing w:line="440" w:lineRule="exact"/>
        <w:ind w:firstLine="420" w:firstLineChars="200"/>
        <w:rPr>
          <w:rFonts w:ascii="宋体" w:hAnsi="宋体"/>
          <w:sz w:val="21"/>
          <w:szCs w:val="21"/>
        </w:rPr>
      </w:pPr>
      <w:r>
        <w:rPr>
          <w:rFonts w:hint="eastAsia" w:ascii="宋体" w:hAnsi="宋体"/>
          <w:sz w:val="21"/>
          <w:szCs w:val="21"/>
        </w:rPr>
        <w:t>14</w:t>
      </w:r>
      <w:r>
        <w:rPr>
          <w:rFonts w:ascii="宋体" w:hAnsi="宋体"/>
          <w:sz w:val="21"/>
          <w:szCs w:val="21"/>
        </w:rPr>
        <w:t>.</w:t>
      </w:r>
      <w:r>
        <w:rPr>
          <w:rFonts w:hint="eastAsia" w:ascii="宋体" w:hAnsi="宋体"/>
          <w:sz w:val="21"/>
          <w:szCs w:val="21"/>
        </w:rPr>
        <w:t>3</w:t>
      </w:r>
      <w:r>
        <w:rPr>
          <w:rFonts w:ascii="宋体" w:hAnsi="宋体"/>
          <w:sz w:val="21"/>
          <w:szCs w:val="21"/>
        </w:rPr>
        <w:t>承包人必须严格按国家施工验收规范及地方相关规定进行本工程的施工，承包人在施工中应严格隐蔽工程验收制度，凡有违于此造成的一切直接或间接责任均由承包人承担。本工程须执行现行建筑设计与施工验收规范。若政府主管部门、有关单位或发包人有更高的规定、守则, 承包人必须遵守, 承包人不得藉此要求发包人增加费用和施工工期。</w:t>
      </w:r>
    </w:p>
    <w:p w14:paraId="1BFC050D">
      <w:pPr>
        <w:tabs>
          <w:tab w:val="left" w:pos="993"/>
          <w:tab w:val="left" w:pos="1134"/>
        </w:tabs>
        <w:adjustRightInd w:val="0"/>
        <w:snapToGrid w:val="0"/>
        <w:spacing w:line="440" w:lineRule="exact"/>
        <w:ind w:firstLine="420" w:firstLineChars="200"/>
        <w:rPr>
          <w:rFonts w:ascii="宋体" w:hAnsi="宋体"/>
          <w:sz w:val="21"/>
          <w:szCs w:val="21"/>
        </w:rPr>
      </w:pPr>
      <w:r>
        <w:rPr>
          <w:rFonts w:hint="eastAsia" w:ascii="宋体" w:hAnsi="宋体"/>
          <w:sz w:val="21"/>
          <w:szCs w:val="21"/>
        </w:rPr>
        <w:t>14</w:t>
      </w:r>
      <w:r>
        <w:rPr>
          <w:rFonts w:ascii="宋体" w:hAnsi="宋体"/>
          <w:sz w:val="21"/>
          <w:szCs w:val="21"/>
        </w:rPr>
        <w:t>.</w:t>
      </w:r>
      <w:r>
        <w:rPr>
          <w:rFonts w:hint="eastAsia" w:ascii="宋体" w:hAnsi="宋体"/>
          <w:sz w:val="21"/>
          <w:szCs w:val="21"/>
        </w:rPr>
        <w:t>4</w:t>
      </w:r>
      <w:r>
        <w:rPr>
          <w:rFonts w:ascii="宋体" w:hAnsi="宋体"/>
          <w:sz w:val="21"/>
          <w:szCs w:val="21"/>
        </w:rPr>
        <w:t>无论工程材料是由承包人自行采购或甲供或甲控乙供，承包人应该对各种材料、器材、设备按规范规程进行检查，拒绝不符合要求的材料、器材、设备用于工程。如因承包人未履行以上职责出现不合格材料、器材、设备用于工程则全部由承包人承担责任。</w:t>
      </w:r>
    </w:p>
    <w:p w14:paraId="22C85832">
      <w:pPr>
        <w:tabs>
          <w:tab w:val="left" w:pos="993"/>
          <w:tab w:val="left" w:pos="1134"/>
        </w:tabs>
        <w:adjustRightInd w:val="0"/>
        <w:snapToGrid w:val="0"/>
        <w:spacing w:line="440" w:lineRule="exact"/>
        <w:ind w:firstLine="420" w:firstLineChars="200"/>
        <w:rPr>
          <w:rFonts w:ascii="宋体" w:hAnsi="宋体"/>
          <w:sz w:val="21"/>
          <w:szCs w:val="21"/>
        </w:rPr>
      </w:pPr>
      <w:r>
        <w:rPr>
          <w:rFonts w:hint="eastAsia" w:ascii="宋体" w:hAnsi="宋体"/>
          <w:sz w:val="21"/>
          <w:szCs w:val="21"/>
        </w:rPr>
        <w:t>14.5</w:t>
      </w:r>
      <w:r>
        <w:rPr>
          <w:rFonts w:ascii="宋体" w:hAnsi="宋体"/>
          <w:sz w:val="21"/>
          <w:szCs w:val="21"/>
        </w:rPr>
        <w:t>承包人人员资格的特别规定：所有特殊工种人员均应符合有关规定，持有有关部门颁发的资质证书或上岗证。</w:t>
      </w:r>
    </w:p>
    <w:p w14:paraId="2E2AF281">
      <w:pPr>
        <w:tabs>
          <w:tab w:val="left" w:pos="993"/>
          <w:tab w:val="left" w:pos="1134"/>
        </w:tabs>
        <w:adjustRightInd w:val="0"/>
        <w:snapToGrid w:val="0"/>
        <w:spacing w:line="440" w:lineRule="exact"/>
        <w:ind w:firstLine="420" w:firstLineChars="200"/>
        <w:rPr>
          <w:rFonts w:ascii="宋体" w:hAnsi="宋体"/>
          <w:sz w:val="21"/>
          <w:szCs w:val="21"/>
        </w:rPr>
      </w:pPr>
      <w:r>
        <w:rPr>
          <w:rFonts w:hint="eastAsia" w:ascii="宋体" w:hAnsi="宋体"/>
          <w:sz w:val="21"/>
          <w:szCs w:val="21"/>
        </w:rPr>
        <w:t>14.6</w:t>
      </w:r>
      <w:r>
        <w:rPr>
          <w:rFonts w:ascii="宋体" w:hAnsi="宋体"/>
          <w:sz w:val="21"/>
          <w:szCs w:val="21"/>
        </w:rPr>
        <w:t>承包人承诺绝对不以占用、滞留施工场地的方法拖延撤场，干扰发包人继续后续工程的施工。</w:t>
      </w:r>
    </w:p>
    <w:p w14:paraId="133B5797">
      <w:pPr>
        <w:tabs>
          <w:tab w:val="left" w:pos="993"/>
          <w:tab w:val="left" w:pos="1134"/>
        </w:tabs>
        <w:adjustRightInd w:val="0"/>
        <w:snapToGrid w:val="0"/>
        <w:spacing w:line="440" w:lineRule="exact"/>
        <w:ind w:firstLine="420" w:firstLineChars="200"/>
        <w:rPr>
          <w:rFonts w:ascii="宋体" w:hAnsi="宋体"/>
          <w:sz w:val="21"/>
          <w:szCs w:val="21"/>
        </w:rPr>
      </w:pPr>
      <w:r>
        <w:rPr>
          <w:rFonts w:hint="eastAsia" w:ascii="宋体" w:hAnsi="宋体"/>
          <w:sz w:val="21"/>
          <w:szCs w:val="21"/>
        </w:rPr>
        <w:t>14.7承包人自行</w:t>
      </w:r>
      <w:r>
        <w:rPr>
          <w:rFonts w:ascii="宋体" w:hAnsi="宋体"/>
          <w:sz w:val="21"/>
          <w:szCs w:val="21"/>
        </w:rPr>
        <w:t>妥善处理</w:t>
      </w:r>
      <w:r>
        <w:rPr>
          <w:rFonts w:hint="eastAsia" w:ascii="宋体" w:hAnsi="宋体"/>
          <w:sz w:val="21"/>
          <w:szCs w:val="21"/>
        </w:rPr>
        <w:t>施工中可能出现的地方矛盾、</w:t>
      </w:r>
      <w:r>
        <w:rPr>
          <w:rFonts w:ascii="宋体" w:hAnsi="宋体"/>
          <w:sz w:val="21"/>
          <w:szCs w:val="21"/>
        </w:rPr>
        <w:t>与周围单位</w:t>
      </w:r>
      <w:r>
        <w:rPr>
          <w:rFonts w:hint="eastAsia" w:ascii="宋体" w:hAnsi="宋体"/>
          <w:sz w:val="21"/>
          <w:szCs w:val="21"/>
        </w:rPr>
        <w:t>发生的</w:t>
      </w:r>
      <w:r>
        <w:rPr>
          <w:rFonts w:ascii="宋体" w:hAnsi="宋体"/>
          <w:sz w:val="21"/>
          <w:szCs w:val="21"/>
        </w:rPr>
        <w:t>关系</w:t>
      </w:r>
      <w:r>
        <w:rPr>
          <w:rFonts w:hint="eastAsia" w:ascii="宋体" w:hAnsi="宋体"/>
          <w:sz w:val="21"/>
          <w:szCs w:val="21"/>
        </w:rPr>
        <w:t>等干扰施工的问题</w:t>
      </w:r>
      <w:r>
        <w:rPr>
          <w:rFonts w:ascii="宋体" w:hAnsi="宋体"/>
          <w:sz w:val="21"/>
          <w:szCs w:val="21"/>
        </w:rPr>
        <w:t>。</w:t>
      </w:r>
    </w:p>
    <w:p w14:paraId="758CF089">
      <w:pPr>
        <w:tabs>
          <w:tab w:val="left" w:pos="993"/>
          <w:tab w:val="left" w:pos="1134"/>
        </w:tabs>
        <w:adjustRightInd w:val="0"/>
        <w:snapToGrid w:val="0"/>
        <w:spacing w:line="440" w:lineRule="exact"/>
        <w:ind w:firstLine="422" w:firstLineChars="200"/>
        <w:rPr>
          <w:rFonts w:hint="default" w:ascii="宋体" w:hAnsi="宋体"/>
          <w:b/>
          <w:bCs/>
          <w:sz w:val="21"/>
          <w:szCs w:val="21"/>
          <w:lang w:val="en-US" w:eastAsia="zh-CN"/>
        </w:rPr>
      </w:pPr>
      <w:r>
        <w:rPr>
          <w:rFonts w:hint="eastAsia" w:ascii="宋体" w:hAnsi="宋体"/>
          <w:b/>
          <w:bCs/>
          <w:sz w:val="21"/>
          <w:szCs w:val="21"/>
          <w:lang w:val="en-US" w:eastAsia="zh-CN"/>
        </w:rPr>
        <w:t>14.8其他未尽事宜按合同通用条款执行。</w:t>
      </w:r>
    </w:p>
    <w:p w14:paraId="137BDCAD">
      <w:pPr>
        <w:spacing w:line="440" w:lineRule="exact"/>
        <w:ind w:left="105" w:leftChars="50" w:right="-147"/>
        <w:jc w:val="left"/>
        <w:rPr>
          <w:rFonts w:ascii="宋体" w:hAnsi="宋体"/>
          <w:color w:val="000000"/>
          <w:sz w:val="21"/>
          <w:szCs w:val="21"/>
        </w:rPr>
      </w:pPr>
      <w:r>
        <w:rPr>
          <w:rFonts w:ascii="宋体" w:hAnsi="宋体"/>
          <w:b/>
          <w:sz w:val="21"/>
          <w:szCs w:val="21"/>
        </w:rPr>
        <w:t>十</w:t>
      </w:r>
      <w:r>
        <w:rPr>
          <w:rFonts w:hint="eastAsia" w:ascii="宋体" w:hAnsi="宋体"/>
          <w:b/>
          <w:sz w:val="21"/>
          <w:szCs w:val="21"/>
        </w:rPr>
        <w:t>五</w:t>
      </w:r>
      <w:r>
        <w:rPr>
          <w:rFonts w:ascii="宋体" w:hAnsi="宋体"/>
          <w:b/>
          <w:sz w:val="21"/>
          <w:szCs w:val="21"/>
        </w:rPr>
        <w:t>、</w:t>
      </w:r>
      <w:r>
        <w:rPr>
          <w:rFonts w:ascii="宋体" w:hAnsi="宋体"/>
          <w:sz w:val="21"/>
          <w:szCs w:val="21"/>
        </w:rPr>
        <w:t>合同份数：本合同正本三份，采购人二份</w:t>
      </w:r>
      <w:r>
        <w:rPr>
          <w:rFonts w:hint="eastAsia" w:ascii="宋体" w:hAnsi="宋体"/>
          <w:sz w:val="21"/>
          <w:szCs w:val="21"/>
        </w:rPr>
        <w:t>、</w:t>
      </w:r>
      <w:r>
        <w:rPr>
          <w:rFonts w:ascii="宋体" w:hAnsi="宋体"/>
          <w:sz w:val="21"/>
          <w:szCs w:val="21"/>
        </w:rPr>
        <w:t>供应商一份</w:t>
      </w:r>
      <w:r>
        <w:rPr>
          <w:rFonts w:hint="eastAsia" w:ascii="宋体" w:hAnsi="宋体"/>
          <w:sz w:val="21"/>
          <w:szCs w:val="21"/>
        </w:rPr>
        <w:t>；</w:t>
      </w:r>
      <w:r>
        <w:rPr>
          <w:rFonts w:ascii="宋体" w:hAnsi="宋体"/>
          <w:sz w:val="21"/>
          <w:szCs w:val="21"/>
        </w:rPr>
        <w:t>副本六份，</w:t>
      </w:r>
      <w:r>
        <w:rPr>
          <w:rFonts w:ascii="宋体" w:hAnsi="宋体"/>
          <w:color w:val="000000"/>
          <w:sz w:val="21"/>
          <w:szCs w:val="21"/>
        </w:rPr>
        <w:t>双方各执一半。</w:t>
      </w:r>
    </w:p>
    <w:p w14:paraId="77727BB9">
      <w:pPr>
        <w:tabs>
          <w:tab w:val="left" w:pos="993"/>
          <w:tab w:val="left" w:pos="1134"/>
        </w:tabs>
        <w:adjustRightInd w:val="0"/>
        <w:snapToGrid w:val="0"/>
        <w:spacing w:line="440" w:lineRule="exact"/>
        <w:ind w:firstLine="420" w:firstLineChars="200"/>
        <w:rPr>
          <w:rFonts w:ascii="宋体" w:hAnsi="宋体"/>
          <w:sz w:val="21"/>
          <w:szCs w:val="21"/>
        </w:rPr>
      </w:pPr>
      <w:r>
        <w:rPr>
          <w:rFonts w:hint="eastAsia" w:ascii="宋体" w:hAnsi="宋体"/>
          <w:sz w:val="21"/>
          <w:szCs w:val="21"/>
        </w:rPr>
        <w:t>本合同</w:t>
      </w:r>
      <w:r>
        <w:rPr>
          <w:rFonts w:hint="eastAsia" w:ascii="宋体" w:hAnsi="宋体"/>
          <w:color w:val="000000"/>
          <w:sz w:val="21"/>
          <w:szCs w:val="21"/>
        </w:rPr>
        <w:t>双方</w:t>
      </w:r>
      <w:r>
        <w:rPr>
          <w:rFonts w:hint="eastAsia" w:ascii="宋体" w:hAnsi="宋体"/>
          <w:sz w:val="21"/>
          <w:szCs w:val="21"/>
        </w:rPr>
        <w:t xml:space="preserve">约定 </w:t>
      </w:r>
      <w:r>
        <w:rPr>
          <w:rFonts w:hint="eastAsia" w:ascii="宋体" w:hAnsi="宋体"/>
          <w:sz w:val="21"/>
          <w:szCs w:val="21"/>
          <w:u w:val="single"/>
        </w:rPr>
        <w:t xml:space="preserve"> 签字、盖章 </w:t>
      </w:r>
      <w:r>
        <w:rPr>
          <w:rFonts w:hint="eastAsia" w:ascii="宋体" w:hAnsi="宋体"/>
          <w:sz w:val="21"/>
          <w:szCs w:val="21"/>
        </w:rPr>
        <w:t xml:space="preserve"> 后生效。</w:t>
      </w:r>
    </w:p>
    <w:p w14:paraId="191308F7">
      <w:pPr>
        <w:tabs>
          <w:tab w:val="left" w:pos="993"/>
          <w:tab w:val="left" w:pos="1134"/>
        </w:tabs>
        <w:adjustRightInd w:val="0"/>
        <w:snapToGrid w:val="0"/>
        <w:spacing w:line="440" w:lineRule="exact"/>
        <w:ind w:firstLine="420" w:firstLineChars="200"/>
        <w:rPr>
          <w:rFonts w:ascii="宋体" w:hAnsi="宋体"/>
          <w:sz w:val="21"/>
          <w:szCs w:val="21"/>
        </w:rPr>
      </w:pPr>
      <w:r>
        <w:rPr>
          <w:rFonts w:hint="eastAsia" w:ascii="宋体" w:hAnsi="宋体"/>
          <w:sz w:val="21"/>
          <w:szCs w:val="21"/>
        </w:rPr>
        <w:t>合同订立地点：</w:t>
      </w:r>
      <w:r>
        <w:rPr>
          <w:rFonts w:hint="eastAsia" w:ascii="宋体" w:hAnsi="宋体"/>
          <w:sz w:val="21"/>
          <w:szCs w:val="21"/>
          <w:lang w:eastAsia="zh-CN"/>
        </w:rPr>
        <w:t>连云港市连云区墟沟林场</w:t>
      </w:r>
      <w:r>
        <w:rPr>
          <w:rFonts w:hint="eastAsia" w:ascii="宋体" w:hAnsi="宋体"/>
          <w:sz w:val="21"/>
          <w:szCs w:val="21"/>
        </w:rPr>
        <w:t xml:space="preserve"> </w:t>
      </w:r>
    </w:p>
    <w:p w14:paraId="701DEFF2">
      <w:pPr>
        <w:spacing w:line="520" w:lineRule="exact"/>
        <w:ind w:firstLine="420" w:firstLineChars="200"/>
        <w:rPr>
          <w:rFonts w:ascii="宋体" w:hAnsi="宋体"/>
          <w:sz w:val="21"/>
          <w:szCs w:val="21"/>
        </w:rPr>
      </w:pPr>
      <w:r>
        <w:rPr>
          <w:rFonts w:hint="eastAsia" w:ascii="宋体" w:hAnsi="宋体"/>
          <w:sz w:val="21"/>
          <w:szCs w:val="21"/>
        </w:rPr>
        <w:t>采 购</w:t>
      </w:r>
      <w:r>
        <w:rPr>
          <w:rFonts w:ascii="宋体" w:hAnsi="宋体"/>
          <w:sz w:val="21"/>
          <w:szCs w:val="21"/>
        </w:rPr>
        <w:t xml:space="preserve"> 人：（盖章）                  供应商：（盖章）</w:t>
      </w:r>
    </w:p>
    <w:p w14:paraId="03A0C73B">
      <w:pPr>
        <w:keepNext w:val="0"/>
        <w:keepLines w:val="0"/>
        <w:pageBreakBefore w:val="0"/>
        <w:widowControl/>
        <w:kinsoku/>
        <w:wordWrap/>
        <w:overflowPunct/>
        <w:topLinePunct w:val="0"/>
        <w:autoSpaceDE/>
        <w:autoSpaceDN/>
        <w:bidi w:val="0"/>
        <w:adjustRightInd/>
        <w:snapToGrid/>
        <w:spacing w:before="20" w:after="20" w:line="240" w:lineRule="exact"/>
        <w:ind w:left="359" w:leftChars="171" w:right="23"/>
        <w:jc w:val="left"/>
        <w:textAlignment w:val="auto"/>
        <w:rPr>
          <w:rFonts w:ascii="宋体" w:hAnsi="宋体"/>
          <w:kern w:val="0"/>
          <w:sz w:val="21"/>
          <w:szCs w:val="21"/>
        </w:rPr>
      </w:pPr>
    </w:p>
    <w:p w14:paraId="4F6C340C">
      <w:pPr>
        <w:spacing w:line="520" w:lineRule="exact"/>
        <w:ind w:firstLine="420" w:firstLineChars="200"/>
        <w:rPr>
          <w:rFonts w:ascii="宋体" w:hAnsi="宋体"/>
          <w:sz w:val="21"/>
          <w:szCs w:val="21"/>
        </w:rPr>
      </w:pPr>
      <w:r>
        <w:rPr>
          <w:rFonts w:ascii="宋体" w:hAnsi="宋体"/>
          <w:sz w:val="21"/>
          <w:szCs w:val="21"/>
        </w:rPr>
        <w:t>法定代表人（签章）：                法定代表人（签章）：</w:t>
      </w:r>
    </w:p>
    <w:p w14:paraId="3D0C55F2">
      <w:pPr>
        <w:keepNext w:val="0"/>
        <w:keepLines w:val="0"/>
        <w:pageBreakBefore w:val="0"/>
        <w:widowControl/>
        <w:kinsoku/>
        <w:wordWrap/>
        <w:overflowPunct/>
        <w:topLinePunct w:val="0"/>
        <w:autoSpaceDE/>
        <w:autoSpaceDN/>
        <w:bidi w:val="0"/>
        <w:adjustRightInd/>
        <w:snapToGrid/>
        <w:spacing w:before="20" w:after="20" w:line="240" w:lineRule="exact"/>
        <w:ind w:left="359" w:leftChars="171" w:right="23"/>
        <w:jc w:val="left"/>
        <w:textAlignment w:val="auto"/>
        <w:rPr>
          <w:rFonts w:ascii="宋体" w:hAnsi="宋体"/>
          <w:kern w:val="0"/>
          <w:sz w:val="21"/>
          <w:szCs w:val="21"/>
        </w:rPr>
      </w:pPr>
    </w:p>
    <w:p w14:paraId="099AA7BF">
      <w:pPr>
        <w:spacing w:line="520" w:lineRule="exact"/>
        <w:ind w:firstLine="420" w:firstLineChars="200"/>
        <w:rPr>
          <w:rFonts w:ascii="宋体" w:hAnsi="宋体"/>
          <w:sz w:val="21"/>
          <w:szCs w:val="21"/>
        </w:rPr>
      </w:pPr>
      <w:r>
        <w:rPr>
          <w:rFonts w:ascii="宋体" w:hAnsi="宋体"/>
          <w:sz w:val="21"/>
          <w:szCs w:val="21"/>
        </w:rPr>
        <w:t>委托代理人</w:t>
      </w:r>
      <w:r>
        <w:rPr>
          <w:rFonts w:hint="eastAsia" w:ascii="宋体" w:hAnsi="宋体"/>
          <w:sz w:val="21"/>
          <w:szCs w:val="21"/>
        </w:rPr>
        <w:t>（签字）</w:t>
      </w:r>
      <w:r>
        <w:rPr>
          <w:rFonts w:ascii="宋体" w:hAnsi="宋体"/>
          <w:sz w:val="21"/>
          <w:szCs w:val="21"/>
        </w:rPr>
        <w:t>：                委托代理人</w:t>
      </w:r>
      <w:r>
        <w:rPr>
          <w:rFonts w:hint="eastAsia" w:ascii="宋体" w:hAnsi="宋体"/>
          <w:sz w:val="21"/>
          <w:szCs w:val="21"/>
        </w:rPr>
        <w:t>（签字）</w:t>
      </w:r>
      <w:r>
        <w:rPr>
          <w:rFonts w:ascii="宋体" w:hAnsi="宋体"/>
          <w:sz w:val="21"/>
          <w:szCs w:val="21"/>
        </w:rPr>
        <w:t>：</w:t>
      </w:r>
    </w:p>
    <w:p w14:paraId="7E8C5B02">
      <w:pPr>
        <w:widowControl/>
        <w:spacing w:before="20" w:after="20" w:line="500" w:lineRule="exact"/>
        <w:ind w:left="359" w:leftChars="171" w:right="23"/>
        <w:jc w:val="left"/>
        <w:rPr>
          <w:rFonts w:ascii="宋体" w:hAnsi="宋体"/>
          <w:kern w:val="0"/>
          <w:sz w:val="21"/>
          <w:szCs w:val="21"/>
        </w:rPr>
      </w:pPr>
    </w:p>
    <w:p w14:paraId="4B79F8FD">
      <w:pPr>
        <w:spacing w:line="520" w:lineRule="exact"/>
        <w:ind w:firstLine="420" w:firstLineChars="200"/>
        <w:rPr>
          <w:rFonts w:ascii="宋体" w:hAnsi="宋体"/>
          <w:sz w:val="21"/>
          <w:szCs w:val="21"/>
        </w:rPr>
      </w:pPr>
      <w:r>
        <w:rPr>
          <w:rFonts w:ascii="宋体" w:hAnsi="宋体"/>
          <w:sz w:val="21"/>
          <w:szCs w:val="21"/>
        </w:rPr>
        <w:t>住      所：                        住      所：</w:t>
      </w:r>
    </w:p>
    <w:p w14:paraId="2B93166B">
      <w:pPr>
        <w:spacing w:line="520" w:lineRule="exact"/>
        <w:ind w:firstLine="420" w:firstLineChars="200"/>
        <w:rPr>
          <w:rFonts w:ascii="宋体" w:hAnsi="宋体"/>
          <w:sz w:val="21"/>
          <w:szCs w:val="21"/>
        </w:rPr>
      </w:pPr>
      <w:r>
        <w:rPr>
          <w:rFonts w:ascii="宋体" w:hAnsi="宋体"/>
          <w:sz w:val="21"/>
          <w:szCs w:val="21"/>
        </w:rPr>
        <w:t>电      话：                        电      话：</w:t>
      </w:r>
    </w:p>
    <w:p w14:paraId="1E9F5F64">
      <w:pPr>
        <w:spacing w:line="520" w:lineRule="exact"/>
        <w:ind w:firstLine="420" w:firstLineChars="200"/>
        <w:rPr>
          <w:rFonts w:ascii="宋体" w:hAnsi="宋体"/>
          <w:sz w:val="21"/>
          <w:szCs w:val="21"/>
        </w:rPr>
      </w:pPr>
      <w:r>
        <w:rPr>
          <w:rFonts w:ascii="宋体" w:hAnsi="宋体"/>
          <w:sz w:val="21"/>
          <w:szCs w:val="21"/>
        </w:rPr>
        <w:t>传      真：                        传      真：</w:t>
      </w:r>
    </w:p>
    <w:p w14:paraId="3D381C40">
      <w:pPr>
        <w:spacing w:line="520" w:lineRule="exact"/>
        <w:ind w:firstLine="420" w:firstLineChars="200"/>
        <w:rPr>
          <w:rFonts w:ascii="宋体" w:hAnsi="宋体"/>
          <w:sz w:val="21"/>
          <w:szCs w:val="21"/>
        </w:rPr>
      </w:pPr>
      <w:r>
        <w:rPr>
          <w:rFonts w:ascii="宋体" w:hAnsi="宋体"/>
          <w:sz w:val="21"/>
          <w:szCs w:val="21"/>
        </w:rPr>
        <w:t>开 户 银 行：                       开 户 银 行：</w:t>
      </w:r>
    </w:p>
    <w:p w14:paraId="553922B2">
      <w:pPr>
        <w:spacing w:line="520" w:lineRule="exact"/>
        <w:ind w:firstLine="420" w:firstLineChars="200"/>
        <w:rPr>
          <w:rFonts w:ascii="宋体" w:hAnsi="宋体"/>
          <w:sz w:val="21"/>
          <w:szCs w:val="21"/>
        </w:rPr>
      </w:pPr>
      <w:r>
        <w:rPr>
          <w:rFonts w:ascii="宋体" w:hAnsi="宋体"/>
          <w:sz w:val="21"/>
          <w:szCs w:val="21"/>
        </w:rPr>
        <w:t>账      号：                        账      号：</w:t>
      </w:r>
    </w:p>
    <w:p w14:paraId="7514CB6B">
      <w:pPr>
        <w:spacing w:line="520" w:lineRule="exact"/>
        <w:ind w:firstLine="420" w:firstLineChars="200"/>
        <w:rPr>
          <w:rFonts w:ascii="宋体" w:hAnsi="宋体"/>
          <w:sz w:val="21"/>
          <w:szCs w:val="21"/>
        </w:rPr>
      </w:pPr>
      <w:r>
        <w:rPr>
          <w:rFonts w:ascii="宋体" w:hAnsi="宋体"/>
          <w:sz w:val="21"/>
          <w:szCs w:val="21"/>
        </w:rPr>
        <w:t>邮 政 编 码：                       邮 政 编 码：</w:t>
      </w:r>
    </w:p>
    <w:p w14:paraId="7BA78F8B">
      <w:pPr>
        <w:spacing w:line="520" w:lineRule="exact"/>
        <w:ind w:left="210" w:leftChars="100" w:firstLine="211" w:firstLineChars="100"/>
        <w:rPr>
          <w:rFonts w:hint="eastAsia" w:ascii="宋体" w:hAnsi="宋体"/>
          <w:b/>
          <w:sz w:val="21"/>
          <w:szCs w:val="21"/>
          <w:lang w:eastAsia="zh-CN"/>
        </w:rPr>
      </w:pPr>
    </w:p>
    <w:p w14:paraId="31CC5D95">
      <w:pPr>
        <w:spacing w:line="520" w:lineRule="exact"/>
        <w:ind w:left="210" w:leftChars="100" w:firstLine="211" w:firstLineChars="100"/>
        <w:rPr>
          <w:rFonts w:hint="eastAsia" w:ascii="宋体" w:hAnsi="宋体"/>
          <w:b/>
          <w:sz w:val="21"/>
          <w:szCs w:val="21"/>
          <w:lang w:eastAsia="zh-CN"/>
        </w:rPr>
      </w:pPr>
    </w:p>
    <w:p w14:paraId="336C6CE6">
      <w:pPr>
        <w:spacing w:line="520" w:lineRule="exact"/>
        <w:ind w:left="210" w:leftChars="100" w:firstLine="211" w:firstLineChars="100"/>
        <w:rPr>
          <w:rFonts w:hint="eastAsia" w:ascii="宋体" w:hAnsi="宋体"/>
          <w:b/>
          <w:sz w:val="21"/>
          <w:szCs w:val="21"/>
          <w:lang w:eastAsia="zh-CN"/>
        </w:rPr>
      </w:pPr>
    </w:p>
    <w:p w14:paraId="07867E72">
      <w:pPr>
        <w:spacing w:line="520" w:lineRule="exact"/>
        <w:ind w:left="210" w:leftChars="100" w:firstLine="211" w:firstLineChars="100"/>
        <w:rPr>
          <w:rFonts w:hint="eastAsia" w:ascii="宋体" w:hAnsi="宋体" w:eastAsia="宋体"/>
          <w:b/>
          <w:sz w:val="21"/>
          <w:szCs w:val="21"/>
          <w:lang w:eastAsia="zh-CN"/>
        </w:rPr>
      </w:pPr>
      <w:r>
        <w:rPr>
          <w:rFonts w:hint="eastAsia" w:ascii="宋体" w:hAnsi="宋体"/>
          <w:b/>
          <w:sz w:val="21"/>
          <w:szCs w:val="21"/>
          <w:lang w:eastAsia="zh-CN"/>
        </w:rPr>
        <w:t>注：此页无正文。</w:t>
      </w:r>
    </w:p>
    <w:p w14:paraId="5F2DC9D7">
      <w:pPr>
        <w:spacing w:line="520" w:lineRule="exact"/>
        <w:ind w:left="210" w:leftChars="100" w:firstLine="241" w:firstLineChars="100"/>
        <w:rPr>
          <w:rFonts w:ascii="宋体" w:hAnsi="宋体"/>
          <w:b/>
          <w:sz w:val="24"/>
        </w:rPr>
      </w:pPr>
    </w:p>
    <w:p w14:paraId="45CCC64D">
      <w:pPr>
        <w:spacing w:line="240" w:lineRule="exact"/>
        <w:rPr>
          <w:rFonts w:ascii="宋体" w:hAnsi="宋体"/>
          <w:b/>
          <w:bCs/>
          <w:color w:val="000000"/>
          <w:sz w:val="28"/>
        </w:rPr>
      </w:pPr>
      <w:r>
        <w:rPr>
          <w:rFonts w:ascii="宋体" w:hAnsi="宋体"/>
          <w:b/>
          <w:bCs/>
          <w:color w:val="000000"/>
          <w:sz w:val="28"/>
        </w:rPr>
        <w:br w:type="page"/>
      </w:r>
    </w:p>
    <w:p w14:paraId="45F32453">
      <w:pPr>
        <w:spacing w:line="520" w:lineRule="exact"/>
        <w:rPr>
          <w:b/>
          <w:sz w:val="21"/>
          <w:szCs w:val="21"/>
        </w:rPr>
      </w:pPr>
      <w:r>
        <w:rPr>
          <w:b/>
          <w:sz w:val="21"/>
          <w:szCs w:val="21"/>
        </w:rPr>
        <w:t>附件</w:t>
      </w:r>
      <w:r>
        <w:rPr>
          <w:rFonts w:hint="eastAsia"/>
          <w:b/>
          <w:sz w:val="21"/>
          <w:szCs w:val="21"/>
          <w:lang w:val="en-US" w:eastAsia="zh-CN"/>
        </w:rPr>
        <w:t>1</w:t>
      </w:r>
      <w:r>
        <w:rPr>
          <w:b/>
          <w:sz w:val="21"/>
          <w:szCs w:val="21"/>
        </w:rPr>
        <w:t>：</w:t>
      </w:r>
    </w:p>
    <w:p w14:paraId="638254BC">
      <w:pPr>
        <w:adjustRightInd w:val="0"/>
        <w:snapToGrid w:val="0"/>
        <w:spacing w:line="300" w:lineRule="auto"/>
        <w:jc w:val="center"/>
        <w:rPr>
          <w:b/>
          <w:bCs/>
          <w:sz w:val="21"/>
          <w:szCs w:val="21"/>
        </w:rPr>
      </w:pPr>
    </w:p>
    <w:p w14:paraId="6B4BE853">
      <w:pPr>
        <w:adjustRightInd w:val="0"/>
        <w:snapToGrid w:val="0"/>
        <w:spacing w:line="300" w:lineRule="auto"/>
        <w:jc w:val="center"/>
        <w:rPr>
          <w:b/>
          <w:bCs/>
          <w:sz w:val="21"/>
          <w:szCs w:val="21"/>
        </w:rPr>
      </w:pPr>
    </w:p>
    <w:p w14:paraId="2991364C">
      <w:pPr>
        <w:adjustRightInd w:val="0"/>
        <w:snapToGrid w:val="0"/>
        <w:spacing w:line="300" w:lineRule="auto"/>
        <w:jc w:val="center"/>
        <w:rPr>
          <w:b/>
          <w:snapToGrid w:val="0"/>
          <w:sz w:val="21"/>
          <w:szCs w:val="21"/>
        </w:rPr>
      </w:pPr>
      <w:r>
        <w:rPr>
          <w:b/>
          <w:bCs/>
          <w:sz w:val="21"/>
          <w:szCs w:val="21"/>
        </w:rPr>
        <w:t>安全生产责任承诺书</w:t>
      </w:r>
    </w:p>
    <w:p w14:paraId="6D5FF709">
      <w:pPr>
        <w:rPr>
          <w:sz w:val="21"/>
          <w:szCs w:val="21"/>
        </w:rPr>
      </w:pPr>
    </w:p>
    <w:p w14:paraId="68A104CB">
      <w:pPr>
        <w:spacing w:line="520" w:lineRule="exact"/>
        <w:rPr>
          <w:sz w:val="21"/>
          <w:szCs w:val="21"/>
        </w:rPr>
      </w:pPr>
      <w:r>
        <w:rPr>
          <w:rFonts w:hint="eastAsia"/>
          <w:sz w:val="21"/>
          <w:szCs w:val="21"/>
          <w:lang w:eastAsia="zh-CN"/>
        </w:rPr>
        <w:t>连云港市连云区墟沟林场</w:t>
      </w:r>
      <w:r>
        <w:rPr>
          <w:sz w:val="21"/>
          <w:szCs w:val="21"/>
        </w:rPr>
        <w:t>：</w:t>
      </w:r>
    </w:p>
    <w:p w14:paraId="152BB829">
      <w:pPr>
        <w:spacing w:line="240" w:lineRule="exact"/>
        <w:rPr>
          <w:sz w:val="21"/>
          <w:szCs w:val="21"/>
        </w:rPr>
      </w:pPr>
    </w:p>
    <w:p w14:paraId="7C9D0D18">
      <w:pPr>
        <w:spacing w:line="520" w:lineRule="exact"/>
        <w:ind w:firstLine="420" w:firstLineChars="200"/>
        <w:rPr>
          <w:sz w:val="21"/>
          <w:szCs w:val="21"/>
        </w:rPr>
      </w:pPr>
      <w:r>
        <w:rPr>
          <w:rFonts w:hint="eastAsia"/>
          <w:sz w:val="21"/>
          <w:szCs w:val="21"/>
        </w:rPr>
        <w:t>我单位在</w:t>
      </w:r>
      <w:r>
        <w:rPr>
          <w:rFonts w:hint="eastAsia"/>
          <w:sz w:val="21"/>
          <w:szCs w:val="21"/>
          <w:lang w:eastAsia="zh-CN"/>
        </w:rPr>
        <w:t>连岛景区2026年度四季草花栽植工程</w:t>
      </w:r>
      <w:r>
        <w:rPr>
          <w:rFonts w:hint="eastAsia"/>
          <w:sz w:val="21"/>
          <w:szCs w:val="21"/>
        </w:rPr>
        <w:t>项目磋商中有幸中标，现就安全生产承诺如下：现场安全文明施工，保证不发生任何安全责任事故、人员伤亡事故；不损坏公共设施、电力燃气通信给排水等市政管网。如因施工造成的任何设施等损坏，我单位自行修复或赔偿。在此工程施工过程中所发生的一切工伤、交通等安全事故以及造成的经济损失，均由我单位自行承担，并承担一切责任。</w:t>
      </w:r>
    </w:p>
    <w:p w14:paraId="1D7F4F4F">
      <w:pPr>
        <w:spacing w:line="520" w:lineRule="exact"/>
        <w:ind w:firstLine="420" w:firstLineChars="200"/>
        <w:rPr>
          <w:sz w:val="21"/>
          <w:szCs w:val="21"/>
        </w:rPr>
      </w:pPr>
    </w:p>
    <w:p w14:paraId="52328C5E">
      <w:pPr>
        <w:spacing w:line="520" w:lineRule="exact"/>
        <w:ind w:firstLine="420" w:firstLineChars="200"/>
        <w:rPr>
          <w:sz w:val="21"/>
          <w:szCs w:val="21"/>
        </w:rPr>
      </w:pPr>
    </w:p>
    <w:p w14:paraId="0E105CBF">
      <w:pPr>
        <w:spacing w:line="520" w:lineRule="exact"/>
        <w:ind w:firstLine="420" w:firstLineChars="200"/>
        <w:rPr>
          <w:sz w:val="21"/>
          <w:szCs w:val="21"/>
        </w:rPr>
      </w:pPr>
    </w:p>
    <w:p w14:paraId="52F12FCC">
      <w:pPr>
        <w:spacing w:line="520" w:lineRule="exact"/>
        <w:ind w:firstLine="420" w:firstLineChars="200"/>
        <w:rPr>
          <w:sz w:val="21"/>
          <w:szCs w:val="21"/>
        </w:rPr>
      </w:pPr>
      <w:r>
        <w:rPr>
          <w:rFonts w:hint="eastAsia"/>
          <w:sz w:val="21"/>
          <w:szCs w:val="21"/>
        </w:rPr>
        <w:t xml:space="preserve">                                单位盖章：</w:t>
      </w:r>
    </w:p>
    <w:p w14:paraId="409769C3">
      <w:pPr>
        <w:spacing w:line="520" w:lineRule="exact"/>
        <w:ind w:firstLine="420" w:firstLineChars="200"/>
        <w:rPr>
          <w:sz w:val="21"/>
          <w:szCs w:val="21"/>
        </w:rPr>
      </w:pPr>
    </w:p>
    <w:p w14:paraId="36238641">
      <w:pPr>
        <w:spacing w:line="520" w:lineRule="exact"/>
        <w:ind w:firstLine="420" w:firstLineChars="200"/>
        <w:rPr>
          <w:sz w:val="21"/>
          <w:szCs w:val="21"/>
        </w:rPr>
      </w:pPr>
      <w:r>
        <w:rPr>
          <w:rFonts w:hint="eastAsia"/>
          <w:sz w:val="21"/>
          <w:szCs w:val="21"/>
        </w:rPr>
        <w:t xml:space="preserve">                                  日期：</w:t>
      </w:r>
    </w:p>
    <w:p w14:paraId="4636D45F">
      <w:pPr>
        <w:tabs>
          <w:tab w:val="left" w:pos="900"/>
        </w:tabs>
        <w:spacing w:line="500" w:lineRule="exact"/>
        <w:ind w:firstLine="420" w:firstLineChars="200"/>
        <w:jc w:val="left"/>
        <w:rPr>
          <w:rFonts w:ascii="宋体" w:hAnsi="宋体"/>
          <w:bCs/>
          <w:sz w:val="21"/>
          <w:szCs w:val="21"/>
        </w:rPr>
      </w:pPr>
    </w:p>
    <w:p w14:paraId="06C752F7">
      <w:pPr>
        <w:pStyle w:val="56"/>
        <w:rPr>
          <w:rFonts w:ascii="宋体" w:hAnsi="宋体"/>
          <w:sz w:val="21"/>
          <w:szCs w:val="21"/>
        </w:rPr>
        <w:sectPr>
          <w:pgSz w:w="11906" w:h="16838"/>
          <w:pgMar w:top="1134" w:right="1134" w:bottom="1134" w:left="1134" w:header="851" w:footer="828" w:gutter="0"/>
          <w:cols w:space="720" w:num="1"/>
          <w:docGrid w:linePitch="312" w:charSpace="0"/>
        </w:sectPr>
      </w:pPr>
    </w:p>
    <w:p w14:paraId="6D858508">
      <w:pPr>
        <w:pStyle w:val="56"/>
        <w:rPr>
          <w:rFonts w:ascii="宋体" w:hAnsi="宋体"/>
        </w:rPr>
      </w:pPr>
    </w:p>
    <w:p w14:paraId="6479C6DC">
      <w:pPr>
        <w:keepNext/>
        <w:keepLines/>
        <w:pageBreakBefore w:val="0"/>
        <w:widowControl w:val="0"/>
        <w:kinsoku/>
        <w:wordWrap/>
        <w:overflowPunct/>
        <w:topLinePunct w:val="0"/>
        <w:autoSpaceDE/>
        <w:autoSpaceDN/>
        <w:bidi w:val="0"/>
        <w:adjustRightInd w:val="0"/>
        <w:snapToGrid/>
        <w:spacing w:line="240" w:lineRule="exact"/>
        <w:jc w:val="center"/>
        <w:textAlignment w:val="baseline"/>
        <w:outlineLvl w:val="0"/>
        <w:rPr>
          <w:b/>
          <w:sz w:val="36"/>
          <w:szCs w:val="36"/>
        </w:rPr>
      </w:pPr>
    </w:p>
    <w:p w14:paraId="4491D6EA">
      <w:pPr>
        <w:keepNext/>
        <w:keepLines/>
        <w:adjustRightInd w:val="0"/>
        <w:spacing w:line="360" w:lineRule="auto"/>
        <w:jc w:val="center"/>
        <w:textAlignment w:val="baseline"/>
        <w:outlineLvl w:val="0"/>
        <w:rPr>
          <w:b/>
          <w:sz w:val="36"/>
          <w:szCs w:val="36"/>
        </w:rPr>
      </w:pPr>
      <w:bookmarkStart w:id="244" w:name="_Toc23780"/>
      <w:r>
        <w:rPr>
          <w:b/>
          <w:sz w:val="36"/>
          <w:szCs w:val="36"/>
        </w:rPr>
        <w:t>第四章 项目需求</w:t>
      </w:r>
      <w:bookmarkEnd w:id="244"/>
    </w:p>
    <w:p w14:paraId="0F84DE5F">
      <w:pPr>
        <w:spacing w:line="360" w:lineRule="auto"/>
        <w:ind w:firstLine="517"/>
        <w:jc w:val="left"/>
        <w:rPr>
          <w:rFonts w:hint="eastAsia" w:ascii="宋体" w:hAnsi="宋体" w:eastAsia="宋体" w:cs="宋体"/>
          <w:b/>
          <w:bCs/>
          <w:color w:val="auto"/>
          <w:sz w:val="21"/>
          <w:szCs w:val="21"/>
          <w:highlight w:val="none"/>
        </w:rPr>
      </w:pPr>
      <w:bookmarkStart w:id="245" w:name="_Toc23828480"/>
      <w:bookmarkStart w:id="246" w:name="_Toc26554097"/>
      <w:bookmarkStart w:id="247" w:name="_Toc61149622"/>
      <w:r>
        <w:rPr>
          <w:rFonts w:hint="eastAsia" w:ascii="宋体" w:hAnsi="宋体" w:eastAsia="宋体" w:cs="宋体"/>
          <w:b/>
          <w:bCs/>
          <w:color w:val="auto"/>
          <w:sz w:val="21"/>
          <w:szCs w:val="21"/>
          <w:highlight w:val="none"/>
        </w:rPr>
        <w:t>说明：项目采购方式为竞争性磋商，项目属性为</w:t>
      </w:r>
      <w:r>
        <w:rPr>
          <w:rFonts w:hint="eastAsia" w:ascii="宋体" w:hAnsi="宋体" w:cs="宋体"/>
          <w:b/>
          <w:bCs/>
          <w:color w:val="auto"/>
          <w:sz w:val="21"/>
          <w:szCs w:val="21"/>
          <w:highlight w:val="none"/>
          <w:lang w:eastAsia="zh-CN"/>
        </w:rPr>
        <w:t>工程</w:t>
      </w:r>
      <w:r>
        <w:rPr>
          <w:rFonts w:hint="eastAsia" w:ascii="宋体" w:hAnsi="宋体" w:eastAsia="宋体" w:cs="宋体"/>
          <w:b/>
          <w:bCs/>
          <w:color w:val="auto"/>
          <w:sz w:val="21"/>
          <w:szCs w:val="21"/>
          <w:highlight w:val="none"/>
        </w:rPr>
        <w:t>，采购标的对应的中小企业划分标准所属行业为</w:t>
      </w:r>
      <w:r>
        <w:rPr>
          <w:rFonts w:hint="eastAsia" w:ascii="宋体" w:hAnsi="宋体" w:eastAsia="宋体" w:cs="宋体"/>
          <w:b/>
          <w:bCs/>
          <w:color w:val="auto"/>
          <w:sz w:val="21"/>
          <w:szCs w:val="21"/>
          <w:highlight w:val="none"/>
          <w:u w:val="single"/>
        </w:rPr>
        <w:t>“</w:t>
      </w:r>
      <w:r>
        <w:rPr>
          <w:rFonts w:hint="eastAsia" w:ascii="宋体" w:hAnsi="宋体" w:cs="宋体"/>
          <w:b/>
          <w:bCs/>
          <w:color w:val="auto"/>
          <w:sz w:val="21"/>
          <w:szCs w:val="21"/>
          <w:highlight w:val="none"/>
          <w:u w:val="single"/>
          <w:lang w:eastAsia="zh-CN"/>
        </w:rPr>
        <w:t>建筑业</w:t>
      </w:r>
      <w:r>
        <w:rPr>
          <w:rFonts w:hint="eastAsia" w:ascii="宋体" w:hAnsi="宋体" w:eastAsia="宋体" w:cs="宋体"/>
          <w:b/>
          <w:bCs/>
          <w:color w:val="auto"/>
          <w:sz w:val="21"/>
          <w:szCs w:val="21"/>
          <w:highlight w:val="none"/>
          <w:u w:val="single"/>
        </w:rPr>
        <w:t>”</w:t>
      </w:r>
      <w:r>
        <w:rPr>
          <w:rFonts w:hint="eastAsia" w:ascii="宋体" w:hAnsi="宋体" w:eastAsia="宋体" w:cs="宋体"/>
          <w:b/>
          <w:bCs/>
          <w:color w:val="auto"/>
          <w:sz w:val="21"/>
          <w:szCs w:val="21"/>
          <w:highlight w:val="none"/>
        </w:rPr>
        <w:t>。</w:t>
      </w:r>
    </w:p>
    <w:p w14:paraId="71B328B7">
      <w:pPr>
        <w:keepNext w:val="0"/>
        <w:keepLines w:val="0"/>
        <w:pageBreakBefore w:val="0"/>
        <w:widowControl w:val="0"/>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筑业行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C7773C7">
      <w:pPr>
        <w:spacing w:line="500" w:lineRule="exact"/>
        <w:ind w:firstLine="422"/>
        <w:jc w:val="left"/>
        <w:rPr>
          <w:rFonts w:hint="eastAsia"/>
          <w:b/>
          <w:bCs/>
          <w:color w:val="auto"/>
          <w:sz w:val="21"/>
          <w:szCs w:val="21"/>
          <w:highlight w:val="none"/>
        </w:rPr>
      </w:pPr>
      <w:r>
        <w:rPr>
          <w:rFonts w:hint="eastAsia"/>
          <w:b/>
          <w:color w:val="auto"/>
          <w:sz w:val="21"/>
          <w:szCs w:val="21"/>
          <w:highlight w:val="none"/>
        </w:rPr>
        <w:t>本磋商文件中</w:t>
      </w:r>
      <w:r>
        <w:rPr>
          <w:rFonts w:hint="eastAsia"/>
          <w:b/>
          <w:i/>
          <w:color w:val="auto"/>
          <w:sz w:val="21"/>
          <w:szCs w:val="21"/>
          <w:highlight w:val="none"/>
          <w:u w:val="single"/>
        </w:rPr>
        <w:t>斜体且有下划线部分</w:t>
      </w:r>
      <w:r>
        <w:rPr>
          <w:rFonts w:hint="eastAsia"/>
          <w:b/>
          <w:color w:val="auto"/>
          <w:sz w:val="21"/>
          <w:szCs w:val="21"/>
          <w:highlight w:val="none"/>
        </w:rPr>
        <w:t>为实质性要求和条件</w:t>
      </w:r>
      <w:r>
        <w:rPr>
          <w:rFonts w:hint="eastAsia"/>
          <w:color w:val="auto"/>
          <w:sz w:val="21"/>
          <w:szCs w:val="21"/>
          <w:highlight w:val="none"/>
        </w:rPr>
        <w:t>，由采购人根据实际情况设置，</w:t>
      </w:r>
      <w:r>
        <w:rPr>
          <w:rFonts w:hint="eastAsia"/>
          <w:b/>
          <w:bCs/>
          <w:color w:val="auto"/>
          <w:sz w:val="21"/>
          <w:szCs w:val="21"/>
          <w:highlight w:val="none"/>
        </w:rPr>
        <w:t>供应商须逐条明确作出满足实质性要求和条件的响应，否则将按无效响应处理。</w:t>
      </w:r>
    </w:p>
    <w:p w14:paraId="3B6F6296">
      <w:pPr>
        <w:pStyle w:val="33"/>
        <w:keepNext w:val="0"/>
        <w:keepLines w:val="0"/>
        <w:pageBreakBefore w:val="0"/>
        <w:kinsoku/>
        <w:wordWrap/>
        <w:overflowPunct/>
        <w:topLinePunct w:val="0"/>
        <w:autoSpaceDE/>
        <w:autoSpaceDN/>
        <w:bidi w:val="0"/>
        <w:adjustRightInd/>
        <w:snapToGrid/>
        <w:spacing w:before="0" w:beforeAutospacing="0" w:after="0" w:afterAutospacing="0" w:line="450" w:lineRule="exact"/>
        <w:ind w:firstLine="422" w:firstLineChars="200"/>
        <w:contextualSpacing/>
        <w:textAlignment w:val="auto"/>
        <w:rPr>
          <w:rFonts w:hint="eastAsia" w:ascii="宋体" w:hAnsi="宋体" w:eastAsia="宋体" w:cs="宋体"/>
          <w:color w:val="auto"/>
          <w:szCs w:val="21"/>
          <w:highlight w:val="none"/>
          <w:lang w:eastAsia="zh-CN"/>
        </w:rPr>
      </w:pPr>
      <w:r>
        <w:rPr>
          <w:rFonts w:hint="eastAsia" w:cs="Times New Roman"/>
          <w:b/>
          <w:bCs/>
          <w:color w:val="auto"/>
          <w:sz w:val="21"/>
          <w:szCs w:val="21"/>
          <w:highlight w:val="none"/>
          <w:lang w:val="en-US" w:eastAsia="zh-CN"/>
        </w:rPr>
        <w:t>一</w:t>
      </w:r>
      <w:r>
        <w:rPr>
          <w:rFonts w:hint="eastAsia" w:ascii="Times New Roman" w:hAnsi="Times New Roman" w:eastAsia="宋体" w:cs="Times New Roman"/>
          <w:b/>
          <w:bCs/>
          <w:color w:val="auto"/>
          <w:sz w:val="21"/>
          <w:szCs w:val="21"/>
          <w:highlight w:val="none"/>
          <w:lang w:val="en-US" w:eastAsia="zh-CN"/>
        </w:rPr>
        <w:t>、</w:t>
      </w:r>
      <w:r>
        <w:rPr>
          <w:rFonts w:hint="eastAsia" w:ascii="Times New Roman"/>
          <w:b/>
          <w:bCs/>
          <w:color w:val="auto"/>
          <w:sz w:val="21"/>
          <w:szCs w:val="21"/>
          <w:highlight w:val="none"/>
        </w:rPr>
        <w:t>采购范围：</w:t>
      </w:r>
      <w:r>
        <w:rPr>
          <w:rFonts w:hint="eastAsia" w:ascii="宋体" w:hAnsi="宋体" w:eastAsia="宋体" w:cs="宋体"/>
          <w:color w:val="333333"/>
          <w:sz w:val="21"/>
          <w:szCs w:val="21"/>
          <w:highlight w:val="none"/>
          <w:lang w:val="en-US" w:eastAsia="zh-CN"/>
        </w:rPr>
        <w:t>连岛景区</w:t>
      </w:r>
      <w:r>
        <w:rPr>
          <w:rFonts w:hint="eastAsia" w:hAnsi="宋体" w:cs="宋体"/>
          <w:color w:val="333333"/>
          <w:sz w:val="21"/>
          <w:szCs w:val="21"/>
          <w:highlight w:val="none"/>
          <w:lang w:val="en-US" w:eastAsia="zh-CN"/>
        </w:rPr>
        <w:t>2026年度四季草花栽植工程</w:t>
      </w:r>
      <w:r>
        <w:rPr>
          <w:rFonts w:hint="eastAsia" w:ascii="宋体" w:hAnsi="宋体" w:eastAsia="宋体" w:cs="宋体"/>
          <w:color w:val="333333"/>
          <w:sz w:val="21"/>
          <w:szCs w:val="21"/>
          <w:highlight w:val="none"/>
          <w:lang w:val="en-US" w:eastAsia="zh-CN"/>
        </w:rPr>
        <w:t>施工</w:t>
      </w:r>
      <w:r>
        <w:rPr>
          <w:rFonts w:hint="eastAsia" w:ascii="宋体" w:hAnsi="宋体" w:eastAsia="宋体" w:cs="宋体"/>
          <w:color w:val="333333"/>
          <w:sz w:val="21"/>
          <w:szCs w:val="21"/>
          <w:highlight w:val="none"/>
          <w:lang w:eastAsia="zh-CN"/>
        </w:rPr>
        <w:t>，具体</w:t>
      </w:r>
      <w:r>
        <w:rPr>
          <w:rFonts w:hint="eastAsia" w:hAnsi="宋体" w:cs="宋体"/>
          <w:color w:val="333333"/>
          <w:sz w:val="21"/>
          <w:szCs w:val="21"/>
          <w:highlight w:val="none"/>
          <w:lang w:val="en-US" w:eastAsia="zh-CN"/>
        </w:rPr>
        <w:t>详见工程量清单。</w:t>
      </w:r>
      <w:r>
        <w:rPr>
          <w:rFonts w:hint="eastAsia" w:ascii="Times New Roman"/>
          <w:b/>
          <w:bCs/>
          <w:color w:val="auto"/>
          <w:sz w:val="21"/>
          <w:szCs w:val="21"/>
          <w:highlight w:val="none"/>
        </w:rPr>
        <w:t>工程量清单：另附（上传至苏采云系统新增附件处）。</w:t>
      </w:r>
    </w:p>
    <w:p w14:paraId="0D96BBAA">
      <w:pPr>
        <w:keepNext w:val="0"/>
        <w:keepLines w:val="0"/>
        <w:pageBreakBefore w:val="0"/>
        <w:widowControl w:val="0"/>
        <w:spacing w:line="400" w:lineRule="exact"/>
        <w:ind w:firstLine="422"/>
        <w:jc w:val="left"/>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二</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eastAsia="zh-CN"/>
        </w:rPr>
        <w:t>技术条款</w:t>
      </w:r>
    </w:p>
    <w:p w14:paraId="0B6E5B6E">
      <w:pPr>
        <w:keepNext w:val="0"/>
        <w:keepLines w:val="0"/>
        <w:pageBreakBefore w:val="0"/>
        <w:widowControl w:val="0"/>
        <w:spacing w:line="440" w:lineRule="exact"/>
        <w:ind w:firstLine="422"/>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（一）本工程采用的计价规范</w:t>
      </w:r>
    </w:p>
    <w:p w14:paraId="1099C781">
      <w:pPr>
        <w:keepNext w:val="0"/>
        <w:keepLines w:val="0"/>
        <w:pageBreakBefore w:val="0"/>
        <w:widowControl w:val="0"/>
        <w:spacing w:line="440" w:lineRule="exact"/>
        <w:ind w:firstLine="630" w:firstLineChars="3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1、《建设工程工程量清单计价规范》(GB50500-2013)；</w:t>
      </w:r>
    </w:p>
    <w:p w14:paraId="342361B0">
      <w:pPr>
        <w:keepNext w:val="0"/>
        <w:keepLines w:val="0"/>
        <w:pageBreakBefore w:val="0"/>
        <w:widowControl w:val="0"/>
        <w:spacing w:line="440" w:lineRule="exact"/>
        <w:ind w:firstLine="630" w:firstLineChars="3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2、《江苏省建设工程费用定额》(2014)；</w:t>
      </w:r>
    </w:p>
    <w:p w14:paraId="4428DD95">
      <w:pPr>
        <w:keepNext w:val="0"/>
        <w:keepLines w:val="0"/>
        <w:pageBreakBefore w:val="0"/>
        <w:widowControl w:val="0"/>
        <w:spacing w:line="440" w:lineRule="exact"/>
        <w:ind w:firstLine="630" w:firstLineChars="3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、连云港市及江苏省相关文件精神。</w:t>
      </w:r>
    </w:p>
    <w:p w14:paraId="56DD4808">
      <w:pPr>
        <w:keepNext w:val="0"/>
        <w:keepLines w:val="0"/>
        <w:pageBreakBefore w:val="0"/>
        <w:widowControl w:val="0"/>
        <w:spacing w:line="440" w:lineRule="exact"/>
        <w:ind w:firstLine="422"/>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（二）本工程采用的技术规范</w:t>
      </w:r>
    </w:p>
    <w:p w14:paraId="40A5E3E4">
      <w:pPr>
        <w:keepNext w:val="0"/>
        <w:keepLines w:val="0"/>
        <w:pageBreakBefore w:val="0"/>
        <w:widowControl w:val="0"/>
        <w:spacing w:line="480" w:lineRule="exact"/>
        <w:ind w:firstLine="442"/>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1、本工程工程量清单。</w:t>
      </w:r>
    </w:p>
    <w:p w14:paraId="33A5C1DE">
      <w:pPr>
        <w:keepNext w:val="0"/>
        <w:keepLines w:val="0"/>
        <w:pageBreakBefore w:val="0"/>
        <w:widowControl w:val="0"/>
        <w:spacing w:line="480" w:lineRule="exact"/>
        <w:ind w:firstLine="442"/>
        <w:jc w:val="left"/>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三</w:t>
      </w:r>
      <w:r>
        <w:rPr>
          <w:rFonts w:hint="eastAsia" w:ascii="宋体" w:hAnsi="宋体" w:eastAsia="宋体" w:cs="宋体"/>
          <w:b/>
          <w:color w:val="auto"/>
          <w:sz w:val="21"/>
          <w:szCs w:val="21"/>
          <w:highlight w:val="none"/>
        </w:rPr>
        <w:t>、商务条款</w:t>
      </w:r>
    </w:p>
    <w:p w14:paraId="43E7AD89">
      <w:pPr>
        <w:keepNext w:val="0"/>
        <w:keepLines w:val="0"/>
        <w:pageBreakBefore w:val="0"/>
        <w:widowControl w:val="0"/>
        <w:spacing w:line="480" w:lineRule="exact"/>
        <w:ind w:firstLine="654" w:firstLineChars="310"/>
        <w:jc w:val="left"/>
        <w:rPr>
          <w:rFonts w:hint="eastAsia" w:ascii="Times New Roman" w:hAnsi="Times New Roman" w:eastAsia="宋体" w:cs="Times New Roman"/>
          <w:b/>
          <w:i/>
          <w:color w:val="auto"/>
          <w:kern w:val="2"/>
          <w:sz w:val="21"/>
          <w:szCs w:val="21"/>
          <w:highlight w:val="none"/>
          <w:u w:val="single"/>
          <w:lang w:val="en-US" w:eastAsia="zh-CN" w:bidi="ar-SA"/>
        </w:rPr>
      </w:pPr>
      <w:r>
        <w:rPr>
          <w:rFonts w:hint="eastAsia" w:ascii="Times New Roman" w:hAnsi="Times New Roman" w:eastAsia="宋体" w:cs="Times New Roman"/>
          <w:b/>
          <w:i/>
          <w:color w:val="auto"/>
          <w:kern w:val="2"/>
          <w:sz w:val="21"/>
          <w:szCs w:val="21"/>
          <w:highlight w:val="none"/>
          <w:u w:val="single"/>
          <w:lang w:val="en-US" w:eastAsia="zh-CN" w:bidi="ar-SA"/>
        </w:rPr>
        <w:t>1、付款方式：春季草花栽植完成且养护期（1个月）结束后，付合同价的20%；夏季草花栽植完成且养护期（1个月）结束后，付合同价的20%；秋季草花栽植完成且养护期（1个月）结束后，付合同价的20%；全部草花栽植完成且养护期（1个月）结束后，支付至审定价款的100%。付款凭承包人出具工程所在地税务部门正规发票。</w:t>
      </w:r>
    </w:p>
    <w:p w14:paraId="47446304">
      <w:pPr>
        <w:pStyle w:val="33"/>
        <w:keepNext w:val="0"/>
        <w:keepLines w:val="0"/>
        <w:pageBreakBefore w:val="0"/>
        <w:kinsoku/>
        <w:wordWrap/>
        <w:overflowPunct/>
        <w:topLinePunct w:val="0"/>
        <w:autoSpaceDE/>
        <w:autoSpaceDN/>
        <w:bidi w:val="0"/>
        <w:adjustRightInd/>
        <w:snapToGrid/>
        <w:spacing w:before="0" w:beforeAutospacing="0" w:after="0" w:afterAutospacing="0" w:line="450" w:lineRule="exact"/>
        <w:ind w:firstLine="632" w:firstLineChars="300"/>
        <w:contextualSpacing/>
        <w:textAlignment w:val="auto"/>
        <w:rPr>
          <w:rFonts w:hint="eastAsia" w:ascii="宋体" w:hAnsi="宋体" w:eastAsia="宋体" w:cs="宋体"/>
          <w:b/>
          <w:bCs/>
          <w:i/>
          <w:iCs/>
          <w:color w:val="333333"/>
          <w:sz w:val="21"/>
          <w:szCs w:val="21"/>
          <w:highlight w:val="none"/>
          <w:u w:val="single"/>
          <w:lang w:val="en-US" w:eastAsia="zh-CN"/>
        </w:rPr>
      </w:pPr>
      <w:r>
        <w:rPr>
          <w:rFonts w:hint="eastAsia" w:hAnsi="宋体"/>
          <w:b/>
          <w:bCs/>
          <w:i/>
          <w:iCs/>
          <w:color w:val="000000"/>
          <w:kern w:val="2"/>
          <w:sz w:val="21"/>
          <w:szCs w:val="21"/>
          <w:highlight w:val="none"/>
          <w:u w:val="single"/>
          <w:lang w:val="en-US" w:eastAsia="zh-CN"/>
        </w:rPr>
        <w:t>2</w:t>
      </w:r>
      <w:r>
        <w:rPr>
          <w:rFonts w:hint="eastAsia" w:hAnsi="宋体"/>
          <w:b/>
          <w:bCs/>
          <w:i/>
          <w:iCs/>
          <w:color w:val="000000"/>
          <w:kern w:val="2"/>
          <w:sz w:val="21"/>
          <w:szCs w:val="21"/>
          <w:highlight w:val="none"/>
          <w:u w:val="single"/>
          <w:lang w:val="zh-CN"/>
        </w:rPr>
        <w:t>、</w:t>
      </w:r>
      <w:r>
        <w:rPr>
          <w:rFonts w:hint="eastAsia" w:ascii="宋体" w:hAnsi="宋体" w:eastAsia="宋体" w:cs="宋体"/>
          <w:b/>
          <w:bCs/>
          <w:i/>
          <w:iCs/>
          <w:color w:val="333333"/>
          <w:kern w:val="0"/>
          <w:sz w:val="21"/>
          <w:szCs w:val="21"/>
          <w:highlight w:val="none"/>
          <w:u w:val="single"/>
          <w:lang w:val="en-US" w:eastAsia="zh-CN" w:bidi="ar-SA"/>
        </w:rPr>
        <w:t>合同履行期限（工期）：</w:t>
      </w:r>
      <w:r>
        <w:rPr>
          <w:rFonts w:hint="eastAsia" w:ascii="宋体" w:hAnsi="宋体" w:eastAsia="宋体" w:cs="宋体"/>
          <w:b/>
          <w:bCs/>
          <w:i/>
          <w:iCs/>
          <w:color w:val="333333"/>
          <w:sz w:val="21"/>
          <w:szCs w:val="21"/>
          <w:highlight w:val="none"/>
          <w:u w:val="single"/>
          <w:lang w:val="en-US" w:eastAsia="zh-CN"/>
        </w:rPr>
        <w:t>签订合同后至202</w:t>
      </w:r>
      <w:r>
        <w:rPr>
          <w:rFonts w:hint="eastAsia" w:hAnsi="宋体" w:cs="宋体"/>
          <w:b/>
          <w:bCs/>
          <w:i/>
          <w:iCs/>
          <w:color w:val="333333"/>
          <w:sz w:val="21"/>
          <w:szCs w:val="21"/>
          <w:highlight w:val="none"/>
          <w:u w:val="single"/>
          <w:lang w:val="en-US" w:eastAsia="zh-CN"/>
        </w:rPr>
        <w:t>6</w:t>
      </w:r>
      <w:r>
        <w:rPr>
          <w:rFonts w:hint="eastAsia" w:ascii="宋体" w:hAnsi="宋体" w:eastAsia="宋体" w:cs="宋体"/>
          <w:b/>
          <w:bCs/>
          <w:i/>
          <w:iCs/>
          <w:color w:val="333333"/>
          <w:sz w:val="21"/>
          <w:szCs w:val="21"/>
          <w:highlight w:val="none"/>
          <w:u w:val="single"/>
          <w:lang w:val="en-US" w:eastAsia="zh-CN"/>
        </w:rPr>
        <w:t>年12月底（每个季节具体栽植</w:t>
      </w:r>
      <w:r>
        <w:rPr>
          <w:rFonts w:hint="eastAsia" w:hAnsi="宋体" w:cs="宋体"/>
          <w:b/>
          <w:bCs/>
          <w:i/>
          <w:iCs/>
          <w:color w:val="333333"/>
          <w:sz w:val="21"/>
          <w:szCs w:val="21"/>
          <w:highlight w:val="none"/>
          <w:u w:val="single"/>
          <w:lang w:val="en-US" w:eastAsia="zh-CN"/>
        </w:rPr>
        <w:t>实施时间</w:t>
      </w:r>
      <w:r>
        <w:rPr>
          <w:rFonts w:hint="eastAsia" w:ascii="宋体" w:hAnsi="宋体" w:eastAsia="宋体" w:cs="宋体"/>
          <w:b/>
          <w:bCs/>
          <w:i/>
          <w:iCs/>
          <w:color w:val="333333"/>
          <w:sz w:val="21"/>
          <w:szCs w:val="21"/>
          <w:highlight w:val="none"/>
          <w:u w:val="single"/>
          <w:lang w:val="en-US" w:eastAsia="zh-CN"/>
        </w:rPr>
        <w:t>，</w:t>
      </w:r>
      <w:r>
        <w:rPr>
          <w:rFonts w:hint="eastAsia" w:hAnsi="宋体" w:cs="宋体"/>
          <w:b/>
          <w:bCs/>
          <w:i/>
          <w:iCs/>
          <w:color w:val="333333"/>
          <w:sz w:val="21"/>
          <w:szCs w:val="21"/>
          <w:highlight w:val="none"/>
          <w:u w:val="single"/>
          <w:lang w:val="en-US" w:eastAsia="zh-CN"/>
        </w:rPr>
        <w:t>以</w:t>
      </w:r>
      <w:r>
        <w:rPr>
          <w:rFonts w:hint="eastAsia" w:ascii="宋体" w:hAnsi="宋体" w:eastAsia="宋体" w:cs="宋体"/>
          <w:b/>
          <w:bCs/>
          <w:i/>
          <w:iCs/>
          <w:color w:val="333333"/>
          <w:sz w:val="21"/>
          <w:szCs w:val="21"/>
          <w:highlight w:val="none"/>
          <w:u w:val="single"/>
          <w:lang w:val="en-US" w:eastAsia="zh-CN"/>
        </w:rPr>
        <w:t>采购人书面通知为准）。</w:t>
      </w:r>
    </w:p>
    <w:p w14:paraId="0C834FD0">
      <w:pPr>
        <w:pStyle w:val="33"/>
        <w:spacing w:before="0" w:beforeAutospacing="0" w:after="0" w:afterAutospacing="0" w:line="360" w:lineRule="auto"/>
        <w:ind w:firstLine="632" w:firstLineChars="300"/>
        <w:contextualSpacing/>
        <w:rPr>
          <w:rFonts w:hint="default" w:hAnsi="宋体"/>
          <w:b/>
          <w:bCs/>
          <w:i/>
          <w:iCs/>
          <w:color w:val="000000"/>
          <w:kern w:val="2"/>
          <w:sz w:val="21"/>
          <w:szCs w:val="21"/>
          <w:highlight w:val="none"/>
          <w:u w:val="single"/>
          <w:lang w:val="en-US" w:eastAsia="zh-CN"/>
        </w:rPr>
      </w:pPr>
      <w:r>
        <w:rPr>
          <w:rFonts w:hint="eastAsia" w:hAnsi="宋体"/>
          <w:b/>
          <w:bCs/>
          <w:i/>
          <w:iCs/>
          <w:color w:val="000000"/>
          <w:kern w:val="2"/>
          <w:sz w:val="21"/>
          <w:szCs w:val="21"/>
          <w:highlight w:val="none"/>
          <w:u w:val="single"/>
          <w:lang w:val="en-US" w:eastAsia="zh-CN"/>
        </w:rPr>
        <w:t>3、工作范围：草花栽植最终开始实施面积，以采购人确定工作范围及内容为准。</w:t>
      </w:r>
    </w:p>
    <w:p w14:paraId="5C847711">
      <w:pPr>
        <w:pStyle w:val="33"/>
        <w:spacing w:before="0" w:beforeAutospacing="0" w:after="0" w:afterAutospacing="0" w:line="360" w:lineRule="auto"/>
        <w:ind w:firstLine="630" w:firstLineChars="300"/>
        <w:contextualSpacing/>
        <w:rPr>
          <w:rFonts w:hint="eastAsia" w:hAnsi="宋体"/>
          <w:color w:val="000000"/>
          <w:kern w:val="2"/>
          <w:sz w:val="21"/>
          <w:szCs w:val="21"/>
          <w:highlight w:val="none"/>
        </w:rPr>
      </w:pPr>
      <w:r>
        <w:rPr>
          <w:rFonts w:hint="eastAsia" w:hAnsi="宋体"/>
          <w:color w:val="000000"/>
          <w:kern w:val="2"/>
          <w:sz w:val="21"/>
          <w:szCs w:val="21"/>
          <w:highlight w:val="none"/>
          <w:lang w:val="en-US" w:eastAsia="zh-CN"/>
        </w:rPr>
        <w:t>4、</w:t>
      </w:r>
      <w:r>
        <w:rPr>
          <w:rFonts w:hint="eastAsia" w:hAnsi="宋体"/>
          <w:color w:val="000000"/>
          <w:kern w:val="2"/>
          <w:sz w:val="21"/>
          <w:szCs w:val="21"/>
          <w:highlight w:val="none"/>
        </w:rPr>
        <w:t>履约保证金：本项目不收取履约保证金。</w:t>
      </w:r>
    </w:p>
    <w:p w14:paraId="13BCEC3E">
      <w:pPr>
        <w:keepNext w:val="0"/>
        <w:keepLines w:val="0"/>
        <w:pageBreakBefore w:val="0"/>
        <w:widowControl w:val="0"/>
        <w:spacing w:line="480" w:lineRule="exact"/>
        <w:ind w:firstLine="482"/>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四</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现场施工要求</w:t>
      </w:r>
    </w:p>
    <w:p w14:paraId="0AC51FB4">
      <w:pPr>
        <w:keepNext w:val="0"/>
        <w:keepLines w:val="0"/>
        <w:pageBreakBefore w:val="0"/>
        <w:widowControl w:val="0"/>
        <w:spacing w:line="4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p>
    <w:p w14:paraId="3EFDCC83">
      <w:pPr>
        <w:keepNext w:val="0"/>
        <w:keepLines w:val="0"/>
        <w:pageBreakBefore w:val="0"/>
        <w:widowControl w:val="0"/>
        <w:spacing w:line="4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p>
    <w:p w14:paraId="3C0BEF2B">
      <w:pPr>
        <w:spacing w:line="52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本工程完工后要对合成材料及面层进行检测，待各项指标检测合格后方可进行工程竣工验收、结算。</w:t>
      </w:r>
    </w:p>
    <w:p w14:paraId="08D1ADCF">
      <w:pPr>
        <w:keepNext w:val="0"/>
        <w:keepLines w:val="0"/>
        <w:pageBreakBefore w:val="0"/>
        <w:widowControl w:val="0"/>
        <w:spacing w:line="4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p>
    <w:p w14:paraId="75391034">
      <w:pPr>
        <w:keepNext w:val="0"/>
        <w:keepLines w:val="0"/>
        <w:pageBreakBefore w:val="0"/>
        <w:widowControl w:val="0"/>
        <w:spacing w:line="4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p>
    <w:p w14:paraId="7488F41C">
      <w:pPr>
        <w:keepNext w:val="0"/>
        <w:keepLines w:val="0"/>
        <w:pageBreakBefore w:val="0"/>
        <w:widowControl w:val="0"/>
        <w:spacing w:line="4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、成交供应商负责工程验收及交付使用前的工程卫生清理工作，该费用包含在报价中。</w:t>
      </w:r>
    </w:p>
    <w:p w14:paraId="7435DBB2">
      <w:pPr>
        <w:keepNext w:val="0"/>
        <w:keepLines w:val="0"/>
        <w:pageBreakBefore w:val="0"/>
        <w:widowControl w:val="0"/>
        <w:spacing w:line="4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、本工程技术规范高于国家标准的，按相应的规范执行；低于国家标准的，按国家标准执行。</w:t>
      </w:r>
    </w:p>
    <w:p w14:paraId="4506252A">
      <w:pPr>
        <w:keepNext w:val="0"/>
        <w:keepLines w:val="0"/>
        <w:pageBreakBefore w:val="0"/>
        <w:widowControl w:val="0"/>
        <w:spacing w:line="4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p>
    <w:p w14:paraId="7E12275A">
      <w:pPr>
        <w:keepNext w:val="0"/>
        <w:keepLines w:val="0"/>
        <w:pageBreakBefore w:val="0"/>
        <w:widowControl w:val="0"/>
        <w:spacing w:line="4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、本工程工期紧，如需赶工施工，以保证项目顺利完成，报价时包含赶工、雨季施工、反季节施工等措施费用。</w:t>
      </w:r>
    </w:p>
    <w:p w14:paraId="11E26E69">
      <w:pPr>
        <w:spacing w:line="520" w:lineRule="exact"/>
        <w:ind w:firstLine="482"/>
        <w:rPr>
          <w:rFonts w:ascii="宋体" w:hAnsi="宋体" w:cs="宋体"/>
          <w:b/>
          <w:bCs/>
          <w:color w:val="auto"/>
          <w:sz w:val="21"/>
          <w:szCs w:val="21"/>
          <w:highlight w:val="none"/>
        </w:rPr>
      </w:pPr>
      <w:r>
        <w:rPr>
          <w:rFonts w:hint="eastAsia" w:ascii="宋体" w:hAnsi="宋体" w:cs="宋体"/>
          <w:b/>
          <w:color w:val="auto"/>
          <w:sz w:val="21"/>
          <w:szCs w:val="21"/>
          <w:highlight w:val="none"/>
          <w:lang w:val="en-US" w:eastAsia="zh-CN"/>
        </w:rPr>
        <w:t>五</w:t>
      </w:r>
      <w:r>
        <w:rPr>
          <w:rFonts w:hint="eastAsia" w:ascii="宋体" w:hAnsi="宋体" w:cs="宋体"/>
          <w:b/>
          <w:color w:val="auto"/>
          <w:sz w:val="21"/>
          <w:szCs w:val="21"/>
          <w:highlight w:val="none"/>
        </w:rPr>
        <w:t>、报价及其他要求</w:t>
      </w:r>
    </w:p>
    <w:p w14:paraId="5187C0FB">
      <w:pPr>
        <w:keepNext w:val="0"/>
        <w:keepLines w:val="0"/>
        <w:pageBreakBefore w:val="0"/>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1、报价要求：</w:t>
      </w:r>
    </w:p>
    <w:p w14:paraId="71C24EF7">
      <w:pPr>
        <w:keepNext w:val="0"/>
        <w:keepLines w:val="0"/>
        <w:pageBreakBefore w:val="0"/>
        <w:spacing w:line="360" w:lineRule="auto"/>
        <w:ind w:firstLine="480"/>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lang w:val="en-US" w:eastAsia="zh-CN"/>
        </w:rPr>
        <w:t>1</w:t>
      </w: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lang w:val="en-US" w:eastAsia="zh-CN"/>
        </w:rPr>
        <w:t>本项目执行苏财购〔2025〕62号文，“关于推动解决政府采购异常低价问题相关工作的通知”。相关内容如下：</w:t>
      </w:r>
    </w:p>
    <w:p w14:paraId="359389D2">
      <w:pPr>
        <w:keepNext w:val="0"/>
        <w:keepLines w:val="0"/>
        <w:pageBreakBefore w:val="0"/>
        <w:spacing w:line="360" w:lineRule="auto"/>
        <w:ind w:firstLine="480"/>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强化政府采购异常低价审查</w:t>
      </w:r>
    </w:p>
    <w:p w14:paraId="79C1E6B8">
      <w:pPr>
        <w:keepNext w:val="0"/>
        <w:keepLines w:val="0"/>
        <w:pageBreakBefore w:val="0"/>
        <w:spacing w:line="360" w:lineRule="auto"/>
        <w:ind w:firstLine="480"/>
        <w:rPr>
          <w:rFonts w:hint="default" w:ascii="宋体" w:hAnsi="宋体" w:eastAsia="宋体" w:cs="宋体"/>
          <w:b/>
          <w:bCs/>
          <w:color w:val="000000"/>
          <w:sz w:val="21"/>
          <w:szCs w:val="21"/>
        </w:rPr>
      </w:pPr>
      <w:r>
        <w:rPr>
          <w:rFonts w:hint="eastAsia" w:ascii="宋体" w:hAnsi="宋体" w:eastAsia="宋体" w:cs="宋体"/>
          <w:b/>
          <w:bCs/>
          <w:color w:val="000000"/>
          <w:sz w:val="21"/>
          <w:szCs w:val="21"/>
        </w:rPr>
        <w:t>评审委员会启动异常低价投标（响应）审查的情形和具体要求，包括：</w:t>
      </w:r>
    </w:p>
    <w:p w14:paraId="560CD515">
      <w:pPr>
        <w:keepNext w:val="0"/>
        <w:keepLines w:val="0"/>
        <w:pageBreakBefore w:val="0"/>
        <w:spacing w:line="360" w:lineRule="auto"/>
        <w:ind w:firstLine="480"/>
        <w:rPr>
          <w:rFonts w:hint="default" w:ascii="宋体" w:hAnsi="宋体" w:eastAsia="宋体" w:cs="宋体"/>
          <w:b/>
          <w:bCs/>
          <w:color w:val="000000"/>
          <w:sz w:val="21"/>
          <w:szCs w:val="21"/>
        </w:rPr>
      </w:pPr>
      <w:r>
        <w:rPr>
          <w:rFonts w:hint="eastAsia" w:ascii="宋体" w:hAnsi="宋体" w:eastAsia="宋体" w:cs="宋体"/>
          <w:b/>
          <w:bCs/>
          <w:color w:val="000000"/>
          <w:sz w:val="21"/>
          <w:szCs w:val="21"/>
        </w:rPr>
        <w:t>（一）评审过程中出现下列情形之一的，评审委员会应当启动异常低价投标（响应）审查程序：</w:t>
      </w:r>
    </w:p>
    <w:p w14:paraId="3A76A9BF">
      <w:pPr>
        <w:keepNext w:val="0"/>
        <w:keepLines w:val="0"/>
        <w:pageBreakBefore w:val="0"/>
        <w:spacing w:line="360" w:lineRule="auto"/>
        <w:ind w:firstLine="480"/>
        <w:rPr>
          <w:rFonts w:hint="default" w:ascii="宋体" w:hAnsi="宋体" w:eastAsia="宋体" w:cs="宋体"/>
          <w:b/>
          <w:bCs/>
          <w:color w:val="000000"/>
          <w:sz w:val="21"/>
          <w:szCs w:val="21"/>
        </w:rPr>
      </w:pPr>
      <w:r>
        <w:rPr>
          <w:rFonts w:hint="default" w:ascii="宋体" w:hAnsi="宋体" w:eastAsia="宋体" w:cs="宋体"/>
          <w:b/>
          <w:bCs/>
          <w:color w:val="000000"/>
          <w:sz w:val="21"/>
          <w:szCs w:val="21"/>
        </w:rPr>
        <w:t>1</w:t>
      </w:r>
      <w:r>
        <w:rPr>
          <w:rFonts w:hint="eastAsia" w:ascii="宋体" w:hAnsi="宋体" w:eastAsia="宋体" w:cs="宋体"/>
          <w:b/>
          <w:bCs/>
          <w:color w:val="000000"/>
          <w:sz w:val="21"/>
          <w:szCs w:val="21"/>
          <w:lang w:val="en-US" w:eastAsia="zh-CN"/>
        </w:rPr>
        <w:t>.</w:t>
      </w:r>
      <w:r>
        <w:rPr>
          <w:rFonts w:hint="eastAsia" w:ascii="宋体" w:hAnsi="宋体" w:eastAsia="宋体" w:cs="宋体"/>
          <w:b/>
          <w:bCs/>
          <w:color w:val="000000"/>
          <w:sz w:val="21"/>
          <w:szCs w:val="21"/>
        </w:rPr>
        <w:t>投标（响应）报价低于采购项目预算</w:t>
      </w:r>
      <w:r>
        <w:rPr>
          <w:rFonts w:hint="default" w:ascii="宋体" w:hAnsi="宋体" w:eastAsia="宋体" w:cs="宋体"/>
          <w:b/>
          <w:bCs/>
          <w:color w:val="000000"/>
          <w:sz w:val="21"/>
          <w:szCs w:val="21"/>
        </w:rPr>
        <w:t>50%</w:t>
      </w:r>
      <w:r>
        <w:rPr>
          <w:rFonts w:hint="eastAsia" w:ascii="宋体" w:hAnsi="宋体" w:eastAsia="宋体" w:cs="宋体"/>
          <w:b/>
          <w:bCs/>
          <w:color w:val="000000"/>
          <w:sz w:val="21"/>
          <w:szCs w:val="21"/>
        </w:rPr>
        <w:t>的，即投标（响应）报价</w:t>
      </w:r>
      <w:r>
        <w:rPr>
          <w:rFonts w:hint="default" w:ascii="宋体" w:hAnsi="宋体" w:eastAsia="宋体" w:cs="宋体"/>
          <w:b/>
          <w:bCs/>
          <w:color w:val="000000"/>
          <w:sz w:val="21"/>
          <w:szCs w:val="21"/>
        </w:rPr>
        <w:t>&lt;</w:t>
      </w:r>
      <w:r>
        <w:rPr>
          <w:rFonts w:hint="eastAsia" w:ascii="宋体" w:hAnsi="宋体" w:eastAsia="宋体" w:cs="宋体"/>
          <w:b/>
          <w:bCs/>
          <w:color w:val="000000"/>
          <w:sz w:val="21"/>
          <w:szCs w:val="21"/>
        </w:rPr>
        <w:t>采购项目预算×</w:t>
      </w:r>
      <w:r>
        <w:rPr>
          <w:rFonts w:hint="default" w:ascii="宋体" w:hAnsi="宋体" w:eastAsia="宋体" w:cs="宋体"/>
          <w:b/>
          <w:bCs/>
          <w:color w:val="000000"/>
          <w:sz w:val="21"/>
          <w:szCs w:val="21"/>
        </w:rPr>
        <w:t>50%</w:t>
      </w:r>
      <w:r>
        <w:rPr>
          <w:rFonts w:hint="eastAsia" w:ascii="宋体" w:hAnsi="宋体" w:eastAsia="宋体" w:cs="宋体"/>
          <w:b/>
          <w:bCs/>
          <w:color w:val="000000"/>
          <w:sz w:val="21"/>
          <w:szCs w:val="21"/>
        </w:rPr>
        <w:t>；</w:t>
      </w:r>
    </w:p>
    <w:p w14:paraId="1426EBB7">
      <w:pPr>
        <w:keepNext w:val="0"/>
        <w:keepLines w:val="0"/>
        <w:pageBreakBefore w:val="0"/>
        <w:spacing w:line="360" w:lineRule="auto"/>
        <w:ind w:firstLine="480"/>
        <w:rPr>
          <w:rFonts w:hint="default" w:ascii="宋体" w:hAnsi="宋体" w:eastAsia="宋体" w:cs="宋体"/>
          <w:b/>
          <w:bCs/>
          <w:color w:val="000000"/>
          <w:sz w:val="21"/>
          <w:szCs w:val="21"/>
        </w:rPr>
      </w:pPr>
      <w:r>
        <w:rPr>
          <w:rFonts w:hint="default" w:ascii="宋体" w:hAnsi="宋体" w:eastAsia="宋体" w:cs="宋体"/>
          <w:b/>
          <w:bCs/>
          <w:color w:val="000000"/>
          <w:sz w:val="21"/>
          <w:szCs w:val="21"/>
        </w:rPr>
        <w:t>2</w:t>
      </w:r>
      <w:r>
        <w:rPr>
          <w:rFonts w:hint="eastAsia" w:ascii="宋体" w:hAnsi="宋体" w:eastAsia="宋体" w:cs="宋体"/>
          <w:b/>
          <w:bCs/>
          <w:color w:val="000000"/>
          <w:sz w:val="21"/>
          <w:szCs w:val="21"/>
          <w:lang w:val="en-US" w:eastAsia="zh-CN"/>
        </w:rPr>
        <w:t>.</w:t>
      </w:r>
      <w:r>
        <w:rPr>
          <w:rFonts w:hint="eastAsia" w:ascii="宋体" w:hAnsi="宋体" w:eastAsia="宋体" w:cs="宋体"/>
          <w:b/>
          <w:bCs/>
          <w:color w:val="000000"/>
          <w:sz w:val="21"/>
          <w:szCs w:val="21"/>
        </w:rPr>
        <w:t>投标（响应）报价低于采购项目最高限价</w:t>
      </w:r>
      <w:r>
        <w:rPr>
          <w:rFonts w:hint="default" w:ascii="宋体" w:hAnsi="宋体" w:eastAsia="宋体" w:cs="宋体"/>
          <w:b/>
          <w:bCs/>
          <w:color w:val="000000"/>
          <w:sz w:val="21"/>
          <w:szCs w:val="21"/>
        </w:rPr>
        <w:t>45%</w:t>
      </w:r>
      <w:r>
        <w:rPr>
          <w:rFonts w:hint="eastAsia" w:ascii="宋体" w:hAnsi="宋体" w:eastAsia="宋体" w:cs="宋体"/>
          <w:b/>
          <w:bCs/>
          <w:color w:val="000000"/>
          <w:sz w:val="21"/>
          <w:szCs w:val="21"/>
        </w:rPr>
        <w:t>的，即投标（响应）报价&lt;采购项目最高限价×</w:t>
      </w:r>
      <w:r>
        <w:rPr>
          <w:rFonts w:hint="default" w:ascii="宋体" w:hAnsi="宋体" w:eastAsia="宋体" w:cs="宋体"/>
          <w:b/>
          <w:bCs/>
          <w:color w:val="000000"/>
          <w:sz w:val="21"/>
          <w:szCs w:val="21"/>
        </w:rPr>
        <w:t>45%</w:t>
      </w:r>
      <w:r>
        <w:rPr>
          <w:rFonts w:hint="eastAsia" w:ascii="宋体" w:hAnsi="宋体" w:eastAsia="宋体" w:cs="宋体"/>
          <w:b/>
          <w:bCs/>
          <w:color w:val="000000"/>
          <w:sz w:val="21"/>
          <w:szCs w:val="21"/>
        </w:rPr>
        <w:t>；</w:t>
      </w:r>
    </w:p>
    <w:p w14:paraId="0C4BD1AB">
      <w:pPr>
        <w:keepNext w:val="0"/>
        <w:keepLines w:val="0"/>
        <w:pageBreakBefore w:val="0"/>
        <w:spacing w:line="360" w:lineRule="auto"/>
        <w:ind w:firstLine="480"/>
        <w:rPr>
          <w:rFonts w:hint="default" w:ascii="宋体" w:hAnsi="宋体" w:eastAsia="宋体" w:cs="宋体"/>
          <w:b/>
          <w:bCs/>
          <w:color w:val="000000"/>
          <w:sz w:val="21"/>
          <w:szCs w:val="21"/>
        </w:rPr>
      </w:pPr>
      <w:r>
        <w:rPr>
          <w:rFonts w:hint="default" w:ascii="宋体" w:hAnsi="宋体" w:eastAsia="宋体" w:cs="宋体"/>
          <w:b/>
          <w:bCs/>
          <w:color w:val="000000"/>
          <w:sz w:val="21"/>
          <w:szCs w:val="21"/>
        </w:rPr>
        <w:t>3.</w:t>
      </w:r>
      <w:r>
        <w:rPr>
          <w:rFonts w:hint="eastAsia" w:ascii="宋体" w:hAnsi="宋体" w:eastAsia="宋体" w:cs="宋体"/>
          <w:b/>
          <w:bCs/>
          <w:color w:val="000000"/>
          <w:sz w:val="21"/>
          <w:szCs w:val="21"/>
        </w:rPr>
        <w:t>评审委员会认定的供应商报价过低、有可能影响产品质量或者不能诚信履约的其他情形。</w:t>
      </w:r>
    </w:p>
    <w:p w14:paraId="6A23B45A">
      <w:pPr>
        <w:keepNext w:val="0"/>
        <w:keepLines w:val="0"/>
        <w:pageBreakBefore w:val="0"/>
        <w:spacing w:line="360" w:lineRule="auto"/>
        <w:ind w:firstLine="480"/>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bCs/>
          <w:color w:val="000000"/>
          <w:sz w:val="21"/>
          <w:szCs w:val="21"/>
          <w:lang w:eastAsia="zh-CN"/>
        </w:rPr>
        <w:t>书面说明上传苏采云系统中澄清环节。</w:t>
      </w:r>
    </w:p>
    <w:p w14:paraId="52861260">
      <w:pPr>
        <w:keepNext w:val="0"/>
        <w:keepLines w:val="0"/>
        <w:pageBreakBefore w:val="0"/>
        <w:spacing w:line="360" w:lineRule="auto"/>
        <w:ind w:firstLine="480"/>
        <w:rPr>
          <w:rFonts w:hint="eastAsia" w:ascii="宋体" w:hAnsi="宋体" w:cs="宋体"/>
          <w:color w:val="000000"/>
          <w:sz w:val="21"/>
          <w:szCs w:val="21"/>
        </w:rPr>
      </w:pP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2</w:t>
      </w:r>
      <w:r>
        <w:rPr>
          <w:rFonts w:hint="eastAsia" w:ascii="宋体" w:hAnsi="宋体" w:cs="宋体"/>
          <w:color w:val="000000"/>
          <w:sz w:val="21"/>
          <w:szCs w:val="21"/>
          <w:lang w:eastAsia="zh-CN"/>
        </w:rPr>
        <w:t>）</w:t>
      </w:r>
      <w:r>
        <w:rPr>
          <w:rFonts w:hint="eastAsia" w:ascii="宋体" w:hAnsi="宋体" w:cs="宋体"/>
          <w:color w:val="000000"/>
          <w:sz w:val="21"/>
          <w:szCs w:val="21"/>
        </w:rPr>
        <w:t>本工程合同形式为固定</w:t>
      </w:r>
      <w:r>
        <w:rPr>
          <w:rFonts w:hint="eastAsia" w:ascii="宋体" w:hAnsi="宋体" w:cs="宋体"/>
          <w:sz w:val="21"/>
          <w:szCs w:val="21"/>
        </w:rPr>
        <w:t>综合</w:t>
      </w:r>
      <w:r>
        <w:rPr>
          <w:rFonts w:hint="eastAsia" w:ascii="宋体" w:hAnsi="宋体" w:cs="宋体"/>
          <w:color w:val="000000"/>
          <w:sz w:val="21"/>
          <w:szCs w:val="21"/>
        </w:rPr>
        <w:t>单价合同。合同价款应包括</w:t>
      </w:r>
      <w:r>
        <w:rPr>
          <w:rFonts w:hint="eastAsia" w:ascii="宋体" w:hAnsi="宋体" w:cs="宋体"/>
          <w:color w:val="000000"/>
          <w:sz w:val="21"/>
          <w:szCs w:val="21"/>
          <w:lang w:eastAsia="zh-CN"/>
        </w:rPr>
        <w:t>谈判文件</w:t>
      </w:r>
      <w:r>
        <w:rPr>
          <w:rFonts w:hint="eastAsia" w:ascii="宋体" w:hAnsi="宋体" w:cs="宋体"/>
          <w:color w:val="000000"/>
          <w:sz w:val="21"/>
          <w:szCs w:val="21"/>
        </w:rPr>
        <w:t>所确定的招标范围内相应图纸的全部内容（如图纸和清单不符以清单为准），和为完成上述内容所必须的附属工程和临时工程的全部费用，即包括工程项目的成本、利润、税金、开办费、招标代理所需费用、技术措施费、大型机械进出场费、风险费（包括气候变化引起的）和政策性文件规定费用</w:t>
      </w:r>
      <w:r>
        <w:rPr>
          <w:rFonts w:hint="eastAsia" w:ascii="宋体" w:hAnsi="宋体" w:cs="宋体"/>
          <w:color w:val="000000"/>
          <w:sz w:val="21"/>
          <w:szCs w:val="21"/>
          <w:lang w:eastAsia="zh-CN"/>
        </w:rPr>
        <w:t>。</w:t>
      </w:r>
      <w:r>
        <w:rPr>
          <w:rFonts w:hint="eastAsia" w:ascii="宋体" w:hAnsi="宋体" w:cs="宋体"/>
          <w:color w:val="000000"/>
          <w:sz w:val="21"/>
          <w:szCs w:val="21"/>
        </w:rPr>
        <w:t>报价中还应充分考虑工程及材料涉及的相关试验、测试费用（试验应在国家认可的权威机构进行，对确需到其它实验室进行的试验，应报采购人认可；未经认可的，采购人有权要求重新检测、试验）。报价如有优惠，须在单价中反映。在合同执行期内，合同单价不变。</w:t>
      </w:r>
    </w:p>
    <w:p w14:paraId="02A3D56C">
      <w:pPr>
        <w:keepNext w:val="0"/>
        <w:keepLines w:val="0"/>
        <w:pageBreakBefore w:val="0"/>
        <w:spacing w:line="360" w:lineRule="auto"/>
        <w:ind w:firstLine="480"/>
        <w:rPr>
          <w:rFonts w:hint="eastAsia" w:ascii="宋体" w:hAnsi="宋体" w:cs="宋体"/>
          <w:color w:val="000000"/>
          <w:sz w:val="21"/>
          <w:szCs w:val="21"/>
        </w:rPr>
      </w:pPr>
      <w:r>
        <w:rPr>
          <w:rFonts w:hint="eastAsia" w:ascii="宋体" w:hAnsi="宋体" w:cs="宋体"/>
          <w:color w:val="000000"/>
          <w:sz w:val="21"/>
          <w:szCs w:val="21"/>
        </w:rPr>
        <w:t>2、工作中涉及的敏感资料、电子数据等相关信息，成交供应商应严格执行保密的相关规定，不得以任何方式向任何第三人披露、泄露或许可第三人使用，否则追究其相应法律责任。</w:t>
      </w:r>
    </w:p>
    <w:p w14:paraId="104A5A64">
      <w:pPr>
        <w:keepNext w:val="0"/>
        <w:keepLines w:val="0"/>
        <w:pageBreakBefore w:val="0"/>
        <w:spacing w:line="360" w:lineRule="auto"/>
        <w:ind w:firstLine="480"/>
        <w:rPr>
          <w:rFonts w:hint="eastAsia" w:ascii="宋体" w:hAnsi="宋体" w:cs="宋体"/>
          <w:color w:val="000000"/>
          <w:sz w:val="21"/>
          <w:szCs w:val="21"/>
        </w:rPr>
      </w:pPr>
      <w:r>
        <w:rPr>
          <w:rFonts w:hint="eastAsia" w:ascii="宋体" w:hAnsi="宋体" w:cs="宋体"/>
          <w:color w:val="000000"/>
          <w:sz w:val="21"/>
          <w:szCs w:val="21"/>
        </w:rPr>
        <w:t>3、保密要求：从磋商时起到成交公告发布时止，有关响应文件的审查、澄清、评估和比较以及有关授予合同的意向的一切情况都不得透露给供应商或与上述评审工作无关的人员。</w:t>
      </w:r>
    </w:p>
    <w:p w14:paraId="418AD60D">
      <w:pPr>
        <w:widowControl/>
        <w:jc w:val="left"/>
        <w:rPr>
          <w:rFonts w:ascii="宋体" w:hAnsi="宋体" w:cs="宋体"/>
          <w:kern w:val="0"/>
          <w:sz w:val="21"/>
          <w:szCs w:val="21"/>
          <w:lang w:bidi="en-US"/>
        </w:rPr>
      </w:pPr>
      <w:r>
        <w:rPr>
          <w:rFonts w:hAnsi="宋体" w:cs="宋体"/>
          <w:kern w:val="0"/>
          <w:sz w:val="21"/>
          <w:szCs w:val="21"/>
          <w:lang w:bidi="en-US"/>
        </w:rPr>
        <w:br w:type="page"/>
      </w:r>
    </w:p>
    <w:p w14:paraId="7ECAC06F">
      <w:pPr>
        <w:pStyle w:val="17"/>
        <w:rPr>
          <w:rFonts w:hAnsi="宋体" w:cs="宋体"/>
          <w:kern w:val="0"/>
          <w:sz w:val="24"/>
          <w:szCs w:val="24"/>
          <w:lang w:bidi="en-US"/>
        </w:rPr>
      </w:pPr>
    </w:p>
    <w:bookmarkEnd w:id="245"/>
    <w:bookmarkEnd w:id="246"/>
    <w:bookmarkEnd w:id="247"/>
    <w:p w14:paraId="599D3829">
      <w:pPr>
        <w:pStyle w:val="2"/>
        <w:spacing w:line="500" w:lineRule="exact"/>
        <w:jc w:val="center"/>
        <w:rPr>
          <w:rFonts w:ascii="Times New Roman" w:eastAsia="宋体"/>
          <w:b/>
          <w:color w:val="auto"/>
          <w:sz w:val="36"/>
          <w:szCs w:val="36"/>
          <w:highlight w:val="none"/>
        </w:rPr>
      </w:pPr>
      <w:bookmarkStart w:id="248" w:name="_Toc24622"/>
      <w:r>
        <w:rPr>
          <w:rFonts w:ascii="Times New Roman" w:eastAsia="宋体"/>
          <w:b/>
          <w:color w:val="auto"/>
          <w:sz w:val="36"/>
          <w:szCs w:val="36"/>
          <w:highlight w:val="none"/>
        </w:rPr>
        <w:t>第五章 评审方法和评审标准</w:t>
      </w:r>
      <w:bookmarkEnd w:id="248"/>
    </w:p>
    <w:p w14:paraId="4427D9F5">
      <w:pPr>
        <w:rPr>
          <w:color w:val="auto"/>
          <w:highlight w:val="none"/>
        </w:rPr>
      </w:pPr>
    </w:p>
    <w:p w14:paraId="3BF25185">
      <w:pPr>
        <w:rPr>
          <w:color w:val="auto"/>
          <w:highlight w:val="none"/>
        </w:rPr>
      </w:pPr>
    </w:p>
    <w:p w14:paraId="00D87456">
      <w:pPr>
        <w:pStyle w:val="105"/>
        <w:spacing w:before="0" w:after="0"/>
        <w:ind w:firstLine="420"/>
        <w:rPr>
          <w:rFonts w:ascii="Times New Roman" w:hAnsi="Times New Roman"/>
          <w:bCs/>
          <w:color w:val="auto"/>
          <w:sz w:val="21"/>
          <w:szCs w:val="21"/>
          <w:highlight w:val="none"/>
        </w:rPr>
      </w:pPr>
      <w:r>
        <w:rPr>
          <w:rFonts w:ascii="Times New Roman" w:hAnsi="Times New Roman"/>
          <w:bCs/>
          <w:color w:val="auto"/>
          <w:sz w:val="21"/>
          <w:szCs w:val="21"/>
          <w:highlight w:val="none"/>
        </w:rPr>
        <w:t>一、</w:t>
      </w:r>
      <w:r>
        <w:rPr>
          <w:rFonts w:ascii="Times New Roman" w:hAnsi="Times New Roman"/>
          <w:color w:val="auto"/>
          <w:sz w:val="21"/>
          <w:szCs w:val="21"/>
          <w:highlight w:val="none"/>
        </w:rPr>
        <w:t>磋商小组</w:t>
      </w:r>
    </w:p>
    <w:p w14:paraId="229A745E">
      <w:pPr>
        <w:pStyle w:val="105"/>
        <w:spacing w:before="0" w:after="0"/>
        <w:ind w:firstLine="420"/>
        <w:rPr>
          <w:rFonts w:ascii="Times New Roman" w:hAnsi="Times New Roman"/>
          <w:bCs/>
          <w:color w:val="auto"/>
          <w:sz w:val="21"/>
          <w:szCs w:val="21"/>
          <w:highlight w:val="none"/>
        </w:rPr>
      </w:pPr>
      <w:r>
        <w:rPr>
          <w:rFonts w:ascii="Times New Roman" w:hAnsi="Times New Roman"/>
          <w:bCs/>
          <w:color w:val="auto"/>
          <w:sz w:val="21"/>
          <w:szCs w:val="21"/>
          <w:highlight w:val="none"/>
        </w:rPr>
        <w:t>本项目磋商小组由采购人代表和评审专家组成</w:t>
      </w:r>
      <w:r>
        <w:rPr>
          <w:rFonts w:hint="eastAsia" w:ascii="Times New Roman" w:hAnsi="Times New Roman"/>
          <w:bCs/>
          <w:color w:val="auto"/>
          <w:sz w:val="21"/>
          <w:szCs w:val="21"/>
          <w:highlight w:val="none"/>
        </w:rPr>
        <w:t>，</w:t>
      </w:r>
      <w:r>
        <w:rPr>
          <w:rFonts w:ascii="Times New Roman" w:hAnsi="Times New Roman"/>
          <w:bCs/>
          <w:color w:val="auto"/>
          <w:sz w:val="21"/>
          <w:szCs w:val="21"/>
          <w:highlight w:val="none"/>
        </w:rPr>
        <w:t>从江苏省政府采购评审专家库中随机抽取评审专家。</w:t>
      </w:r>
    </w:p>
    <w:p w14:paraId="26E14099">
      <w:pPr>
        <w:pStyle w:val="105"/>
        <w:spacing w:before="0" w:after="0"/>
        <w:ind w:firstLine="420"/>
        <w:rPr>
          <w:rFonts w:ascii="Times New Roman" w:hAnsi="Times New Roman"/>
          <w:b/>
          <w:color w:val="auto"/>
          <w:sz w:val="21"/>
          <w:szCs w:val="21"/>
          <w:highlight w:val="none"/>
        </w:rPr>
      </w:pPr>
      <w:r>
        <w:rPr>
          <w:rFonts w:ascii="Times New Roman" w:hAnsi="Times New Roman"/>
          <w:bCs/>
          <w:color w:val="auto"/>
          <w:sz w:val="21"/>
          <w:szCs w:val="21"/>
          <w:highlight w:val="none"/>
        </w:rPr>
        <w:t>二</w:t>
      </w:r>
      <w:r>
        <w:rPr>
          <w:rFonts w:ascii="Times New Roman" w:hAnsi="Times New Roman"/>
          <w:color w:val="auto"/>
          <w:sz w:val="21"/>
          <w:szCs w:val="21"/>
          <w:highlight w:val="none"/>
        </w:rPr>
        <w:t>、评审方法：</w:t>
      </w:r>
      <w:r>
        <w:rPr>
          <w:rFonts w:ascii="Times New Roman" w:hAnsi="Times New Roman"/>
          <w:b/>
          <w:color w:val="auto"/>
          <w:sz w:val="21"/>
          <w:szCs w:val="21"/>
          <w:highlight w:val="none"/>
        </w:rPr>
        <w:t>综合评分法</w:t>
      </w:r>
      <w:r>
        <w:rPr>
          <w:rFonts w:hint="eastAsia" w:ascii="Times New Roman" w:hAnsi="Times New Roman"/>
          <w:b/>
          <w:color w:val="auto"/>
          <w:sz w:val="21"/>
          <w:szCs w:val="21"/>
          <w:highlight w:val="none"/>
        </w:rPr>
        <w:t>。</w:t>
      </w:r>
    </w:p>
    <w:p w14:paraId="3F6F6F31">
      <w:pPr>
        <w:spacing w:line="360" w:lineRule="auto"/>
        <w:ind w:firstLine="420"/>
        <w:rPr>
          <w:bCs/>
          <w:color w:val="auto"/>
          <w:szCs w:val="21"/>
          <w:highlight w:val="none"/>
        </w:rPr>
      </w:pPr>
      <w:r>
        <w:rPr>
          <w:bCs/>
          <w:color w:val="auto"/>
          <w:szCs w:val="21"/>
          <w:highlight w:val="none"/>
        </w:rPr>
        <w:t>竞争性磋商小组对满足竞争性磋商文件实质性要求的响应文件，按照本章规定的评分标准进行打分，磋商小组应当根据综合评分情况，按评审后得分由高到低顺序排列。得分相同的，按磋商报价由低到高顺序排列。得分且磋商报价相同的并列。响应文件满足磋商文件全部实质性要求，且按照评审因素的量化指标评审得分最高的</w:t>
      </w:r>
      <w:r>
        <w:rPr>
          <w:rFonts w:hint="eastAsia"/>
          <w:bCs/>
          <w:color w:val="auto"/>
          <w:szCs w:val="21"/>
          <w:highlight w:val="none"/>
        </w:rPr>
        <w:t>供应商</w:t>
      </w:r>
      <w:r>
        <w:rPr>
          <w:bCs/>
          <w:color w:val="auto"/>
          <w:szCs w:val="21"/>
          <w:highlight w:val="none"/>
        </w:rPr>
        <w:t>为排名第一的中标候选人。</w:t>
      </w:r>
    </w:p>
    <w:p w14:paraId="2872A41A">
      <w:pPr>
        <w:spacing w:line="360" w:lineRule="auto"/>
        <w:ind w:firstLine="420"/>
        <w:rPr>
          <w:bCs/>
          <w:color w:val="auto"/>
          <w:szCs w:val="21"/>
          <w:highlight w:val="none"/>
        </w:rPr>
      </w:pPr>
      <w:r>
        <w:rPr>
          <w:bCs/>
          <w:color w:val="auto"/>
          <w:szCs w:val="21"/>
          <w:highlight w:val="none"/>
        </w:rPr>
        <w:t>经磋商确定最终采购需求和提交最后报价的</w:t>
      </w:r>
      <w:r>
        <w:rPr>
          <w:rFonts w:hint="eastAsia"/>
          <w:bCs/>
          <w:color w:val="auto"/>
          <w:szCs w:val="21"/>
          <w:highlight w:val="none"/>
        </w:rPr>
        <w:t>供应商</w:t>
      </w:r>
      <w:r>
        <w:rPr>
          <w:bCs/>
          <w:color w:val="auto"/>
          <w:szCs w:val="21"/>
          <w:highlight w:val="none"/>
        </w:rPr>
        <w:t>后，由磋商小组采用综合评分法对提交最后报价的</w:t>
      </w:r>
      <w:r>
        <w:rPr>
          <w:rFonts w:hint="eastAsia"/>
          <w:bCs/>
          <w:color w:val="auto"/>
          <w:szCs w:val="21"/>
          <w:highlight w:val="none"/>
        </w:rPr>
        <w:t>供应商</w:t>
      </w:r>
      <w:r>
        <w:rPr>
          <w:bCs/>
          <w:color w:val="auto"/>
          <w:szCs w:val="21"/>
          <w:highlight w:val="none"/>
        </w:rPr>
        <w:t>的响应文件和最后报价进行综合评分。</w:t>
      </w:r>
    </w:p>
    <w:p w14:paraId="042E79B2">
      <w:pPr>
        <w:spacing w:line="360" w:lineRule="auto"/>
        <w:ind w:firstLine="420"/>
        <w:rPr>
          <w:bCs/>
          <w:color w:val="auto"/>
          <w:szCs w:val="21"/>
          <w:highlight w:val="none"/>
        </w:rPr>
      </w:pPr>
      <w:r>
        <w:rPr>
          <w:bCs/>
          <w:color w:val="auto"/>
          <w:szCs w:val="21"/>
          <w:highlight w:val="none"/>
        </w:rPr>
        <w:t>综合评分法，是指响应文件满足磋商文件全部实质性要求且按评审因素的量化指标评审得分最高的</w:t>
      </w:r>
      <w:r>
        <w:rPr>
          <w:rFonts w:hint="eastAsia"/>
          <w:bCs/>
          <w:color w:val="auto"/>
          <w:szCs w:val="21"/>
          <w:highlight w:val="none"/>
        </w:rPr>
        <w:t>供应商</w:t>
      </w:r>
      <w:r>
        <w:rPr>
          <w:bCs/>
          <w:color w:val="auto"/>
          <w:szCs w:val="21"/>
          <w:highlight w:val="none"/>
        </w:rPr>
        <w:t>为成交候选</w:t>
      </w:r>
      <w:r>
        <w:rPr>
          <w:rFonts w:hint="eastAsia"/>
          <w:bCs/>
          <w:color w:val="auto"/>
          <w:szCs w:val="21"/>
          <w:highlight w:val="none"/>
        </w:rPr>
        <w:t>供应商</w:t>
      </w:r>
      <w:r>
        <w:rPr>
          <w:bCs/>
          <w:color w:val="auto"/>
          <w:szCs w:val="21"/>
          <w:highlight w:val="none"/>
        </w:rPr>
        <w:t>的评审方法。</w:t>
      </w:r>
    </w:p>
    <w:p w14:paraId="2A3571D7">
      <w:pPr>
        <w:pStyle w:val="105"/>
        <w:spacing w:before="0" w:after="0"/>
        <w:ind w:firstLine="420"/>
        <w:rPr>
          <w:rFonts w:ascii="Times New Roman" w:hAnsi="Times New Roman"/>
          <w:bCs/>
          <w:color w:val="auto"/>
          <w:sz w:val="21"/>
          <w:szCs w:val="21"/>
          <w:highlight w:val="none"/>
        </w:rPr>
      </w:pPr>
      <w:r>
        <w:rPr>
          <w:rFonts w:ascii="Times New Roman" w:hAnsi="Times New Roman"/>
          <w:bCs/>
          <w:color w:val="auto"/>
          <w:sz w:val="21"/>
          <w:szCs w:val="21"/>
          <w:highlight w:val="none"/>
        </w:rPr>
        <w:t>三、</w:t>
      </w:r>
      <w:r>
        <w:rPr>
          <w:rFonts w:ascii="Times New Roman" w:hAnsi="Times New Roman"/>
          <w:color w:val="auto"/>
          <w:sz w:val="21"/>
          <w:szCs w:val="21"/>
          <w:highlight w:val="none"/>
        </w:rPr>
        <w:t>评审</w:t>
      </w:r>
      <w:r>
        <w:rPr>
          <w:rFonts w:ascii="Times New Roman" w:hAnsi="Times New Roman"/>
          <w:bCs/>
          <w:color w:val="auto"/>
          <w:sz w:val="21"/>
          <w:szCs w:val="21"/>
          <w:highlight w:val="none"/>
        </w:rPr>
        <w:t>原则</w:t>
      </w:r>
    </w:p>
    <w:p w14:paraId="07BC776C">
      <w:pPr>
        <w:pStyle w:val="105"/>
        <w:spacing w:before="0" w:after="0"/>
        <w:ind w:firstLine="420"/>
        <w:rPr>
          <w:rFonts w:ascii="Times New Roman" w:hAnsi="Times New Roman"/>
          <w:bCs/>
          <w:color w:val="auto"/>
          <w:sz w:val="21"/>
          <w:szCs w:val="21"/>
          <w:highlight w:val="none"/>
        </w:rPr>
      </w:pPr>
      <w:r>
        <w:rPr>
          <w:rFonts w:ascii="Times New Roman" w:hAnsi="Times New Roman"/>
          <w:color w:val="auto"/>
          <w:sz w:val="21"/>
          <w:szCs w:val="21"/>
          <w:highlight w:val="none"/>
        </w:rPr>
        <w:t>磋商小组</w:t>
      </w:r>
      <w:r>
        <w:rPr>
          <w:rFonts w:ascii="Times New Roman" w:hAnsi="Times New Roman"/>
          <w:bCs/>
          <w:color w:val="auto"/>
          <w:sz w:val="21"/>
          <w:szCs w:val="21"/>
          <w:highlight w:val="none"/>
        </w:rPr>
        <w:t>必须客观、公正、审慎，不带任何倾向性和启发性；不得向外界透露任何与评审有关的内容；任何单位和个人不得干扰、影响评审的正常进行；磋商小组及有关工作人员不得私下与</w:t>
      </w:r>
      <w:r>
        <w:rPr>
          <w:rFonts w:hint="eastAsia" w:ascii="Times New Roman" w:hAnsi="Times New Roman"/>
          <w:bCs/>
          <w:color w:val="auto"/>
          <w:sz w:val="21"/>
          <w:szCs w:val="21"/>
          <w:highlight w:val="none"/>
        </w:rPr>
        <w:t>供应商</w:t>
      </w:r>
      <w:r>
        <w:rPr>
          <w:rFonts w:ascii="Times New Roman" w:hAnsi="Times New Roman"/>
          <w:bCs/>
          <w:color w:val="auto"/>
          <w:sz w:val="21"/>
          <w:szCs w:val="21"/>
          <w:highlight w:val="none"/>
        </w:rPr>
        <w:t>接触。</w:t>
      </w:r>
    </w:p>
    <w:p w14:paraId="5B360DA8">
      <w:pPr>
        <w:pStyle w:val="17"/>
        <w:spacing w:line="480" w:lineRule="exact"/>
        <w:ind w:firstLine="420"/>
        <w:jc w:val="left"/>
        <w:rPr>
          <w:rFonts w:hAnsi="宋体"/>
          <w:color w:val="auto"/>
          <w:szCs w:val="21"/>
          <w:highlight w:val="none"/>
        </w:rPr>
      </w:pPr>
      <w:r>
        <w:rPr>
          <w:rFonts w:hint="eastAsia" w:hAnsi="宋体"/>
          <w:color w:val="auto"/>
          <w:szCs w:val="21"/>
          <w:highlight w:val="none"/>
        </w:rPr>
        <w:t xml:space="preserve">四、评审标准： </w:t>
      </w:r>
    </w:p>
    <w:p w14:paraId="5EFD294F">
      <w:pPr>
        <w:pStyle w:val="17"/>
        <w:spacing w:line="480" w:lineRule="exact"/>
        <w:ind w:firstLine="420"/>
        <w:jc w:val="left"/>
        <w:rPr>
          <w:rFonts w:hAnsi="宋体"/>
          <w:color w:val="auto"/>
          <w:szCs w:val="21"/>
          <w:highlight w:val="none"/>
        </w:rPr>
      </w:pPr>
      <w:r>
        <w:rPr>
          <w:rFonts w:hint="eastAsia" w:hAnsi="宋体"/>
          <w:color w:val="auto"/>
          <w:szCs w:val="21"/>
          <w:highlight w:val="none"/>
        </w:rPr>
        <w:t>（一）评审时，磋商小组以磋商文件为评审依据，磋商小组各成员独立对每个有效响应的文件进行评价、打分，然后汇总每个供应商每项评分因素的得分。</w:t>
      </w:r>
    </w:p>
    <w:p w14:paraId="48A5BC80">
      <w:pPr>
        <w:pStyle w:val="17"/>
        <w:spacing w:line="480" w:lineRule="exact"/>
        <w:ind w:firstLine="420"/>
        <w:jc w:val="left"/>
        <w:rPr>
          <w:rFonts w:hint="eastAsia" w:hAnsi="宋体"/>
          <w:color w:val="auto"/>
          <w:szCs w:val="21"/>
          <w:highlight w:val="none"/>
        </w:rPr>
      </w:pPr>
      <w:r>
        <w:rPr>
          <w:rFonts w:hint="eastAsia" w:hAnsi="宋体"/>
          <w:color w:val="auto"/>
          <w:szCs w:val="21"/>
          <w:highlight w:val="none"/>
        </w:rPr>
        <w:t>（二）本项目评分总分为100分，按四舍五入取至小数点后两位。</w:t>
      </w:r>
    </w:p>
    <w:p w14:paraId="31E40790">
      <w:pPr>
        <w:pStyle w:val="17"/>
        <w:spacing w:line="480" w:lineRule="exact"/>
        <w:ind w:firstLine="420"/>
        <w:jc w:val="left"/>
        <w:rPr>
          <w:rFonts w:hint="eastAsia" w:hAnsi="宋体" w:eastAsia="宋体"/>
          <w:color w:val="auto"/>
          <w:szCs w:val="21"/>
          <w:highlight w:val="none"/>
          <w:lang w:eastAsia="zh-CN"/>
        </w:rPr>
      </w:pPr>
      <w:r>
        <w:rPr>
          <w:rFonts w:hint="eastAsia" w:ascii="宋体" w:hAnsi="宋体" w:eastAsia="宋体" w:cs="Times New Roman"/>
          <w:b/>
          <w:bCs/>
          <w:color w:val="auto"/>
          <w:sz w:val="21"/>
          <w:szCs w:val="21"/>
          <w:highlight w:val="none"/>
          <w:lang w:val="en-US" w:eastAsia="zh-CN" w:bidi="ar-SA"/>
        </w:rPr>
        <w:t>（三）</w:t>
      </w:r>
      <w:r>
        <w:rPr>
          <w:rFonts w:hint="eastAsia" w:hAnsi="宋体"/>
          <w:color w:val="auto"/>
          <w:szCs w:val="21"/>
          <w:highlight w:val="none"/>
        </w:rPr>
        <w:t>强化政府采购异常低价审查</w:t>
      </w:r>
      <w:r>
        <w:rPr>
          <w:rFonts w:hint="eastAsia" w:hAnsi="宋体"/>
          <w:color w:val="auto"/>
          <w:szCs w:val="21"/>
          <w:highlight w:val="none"/>
          <w:lang w:eastAsia="zh-CN"/>
        </w:rPr>
        <w:t>。</w:t>
      </w:r>
    </w:p>
    <w:p w14:paraId="19C66E9D">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本项目执行苏财购〔2025〕62号文，“关于推动解决政府采购异常低价问题相关工作的通知”</w:t>
      </w:r>
      <w:r>
        <w:rPr>
          <w:rFonts w:hint="eastAsia" w:hAnsi="宋体" w:cs="Times New Roman"/>
          <w:b/>
          <w:bCs/>
          <w:color w:val="auto"/>
          <w:sz w:val="21"/>
          <w:szCs w:val="21"/>
          <w:highlight w:val="none"/>
          <w:lang w:val="en-US" w:eastAsia="zh-CN" w:bidi="ar-SA"/>
        </w:rPr>
        <w:t>。相关内容如下：</w:t>
      </w:r>
    </w:p>
    <w:p w14:paraId="19CED1BC">
      <w:pPr>
        <w:pStyle w:val="17"/>
        <w:spacing w:line="480" w:lineRule="exact"/>
        <w:ind w:firstLine="420"/>
        <w:jc w:val="left"/>
        <w:rPr>
          <w:rFonts w:hint="default" w:hAnsi="宋体"/>
          <w:color w:val="auto"/>
          <w:szCs w:val="21"/>
          <w:highlight w:val="none"/>
        </w:rPr>
      </w:pPr>
      <w:r>
        <w:rPr>
          <w:rFonts w:hint="eastAsia" w:hAnsi="宋体"/>
          <w:color w:val="auto"/>
          <w:szCs w:val="21"/>
          <w:highlight w:val="none"/>
          <w:lang w:eastAsia="zh-CN"/>
        </w:rPr>
        <w:t>磋商</w:t>
      </w:r>
      <w:r>
        <w:rPr>
          <w:rFonts w:hint="eastAsia" w:hAnsi="宋体"/>
          <w:color w:val="auto"/>
          <w:szCs w:val="21"/>
          <w:highlight w:val="none"/>
        </w:rPr>
        <w:t>评审委员会启动异常低价投标（响应）审查的情形和具体要求，包括：</w:t>
      </w:r>
    </w:p>
    <w:p w14:paraId="10DB9BBA">
      <w:pPr>
        <w:pStyle w:val="17"/>
        <w:spacing w:line="480" w:lineRule="exact"/>
        <w:ind w:firstLine="420"/>
        <w:jc w:val="left"/>
        <w:rPr>
          <w:rFonts w:hint="default" w:hAnsi="宋体"/>
          <w:color w:val="auto"/>
          <w:szCs w:val="21"/>
          <w:highlight w:val="none"/>
        </w:rPr>
      </w:pPr>
      <w:r>
        <w:rPr>
          <w:rFonts w:hint="eastAsia" w:hAnsi="宋体"/>
          <w:color w:val="auto"/>
          <w:szCs w:val="21"/>
          <w:highlight w:val="none"/>
        </w:rPr>
        <w:t>（一）评审过程中出现下列情形之一的，评审委员会应当启动异常低价投标（响应）审查程序：</w:t>
      </w:r>
    </w:p>
    <w:p w14:paraId="11C8BC27">
      <w:pPr>
        <w:pStyle w:val="17"/>
        <w:spacing w:line="480" w:lineRule="exact"/>
        <w:ind w:firstLine="420"/>
        <w:jc w:val="left"/>
        <w:rPr>
          <w:rFonts w:hint="default" w:hAnsi="宋体"/>
          <w:color w:val="auto"/>
          <w:szCs w:val="21"/>
          <w:highlight w:val="none"/>
        </w:rPr>
      </w:pPr>
      <w:r>
        <w:rPr>
          <w:rFonts w:hint="default" w:hAnsi="宋体"/>
          <w:color w:val="auto"/>
          <w:szCs w:val="21"/>
          <w:highlight w:val="none"/>
        </w:rPr>
        <w:t>1</w:t>
      </w:r>
      <w:r>
        <w:rPr>
          <w:rFonts w:hint="eastAsia" w:hAnsi="宋体"/>
          <w:color w:val="auto"/>
          <w:szCs w:val="21"/>
          <w:highlight w:val="none"/>
        </w:rPr>
        <w:t>．投标（响应）报价低于采购项目预算</w:t>
      </w:r>
      <w:r>
        <w:rPr>
          <w:rFonts w:hint="default" w:hAnsi="宋体"/>
          <w:color w:val="auto"/>
          <w:szCs w:val="21"/>
          <w:highlight w:val="none"/>
        </w:rPr>
        <w:t>50%</w:t>
      </w:r>
      <w:r>
        <w:rPr>
          <w:rFonts w:hint="eastAsia" w:hAnsi="宋体"/>
          <w:color w:val="auto"/>
          <w:szCs w:val="21"/>
          <w:highlight w:val="none"/>
        </w:rPr>
        <w:t>的，即投标（响应）报价</w:t>
      </w:r>
      <w:r>
        <w:rPr>
          <w:rFonts w:hint="default" w:hAnsi="宋体"/>
          <w:color w:val="auto"/>
          <w:szCs w:val="21"/>
          <w:highlight w:val="none"/>
        </w:rPr>
        <w:t>&lt;</w:t>
      </w:r>
      <w:r>
        <w:rPr>
          <w:rFonts w:hint="eastAsia" w:hAnsi="宋体"/>
          <w:color w:val="auto"/>
          <w:szCs w:val="21"/>
          <w:highlight w:val="none"/>
        </w:rPr>
        <w:t>采购项目预算×</w:t>
      </w:r>
      <w:r>
        <w:rPr>
          <w:rFonts w:hint="default" w:hAnsi="宋体"/>
          <w:color w:val="auto"/>
          <w:szCs w:val="21"/>
          <w:highlight w:val="none"/>
        </w:rPr>
        <w:t>50%</w:t>
      </w:r>
      <w:r>
        <w:rPr>
          <w:rFonts w:hint="eastAsia" w:hAnsi="宋体"/>
          <w:color w:val="auto"/>
          <w:szCs w:val="21"/>
          <w:highlight w:val="none"/>
        </w:rPr>
        <w:t>；</w:t>
      </w:r>
    </w:p>
    <w:p w14:paraId="332729A1">
      <w:pPr>
        <w:pStyle w:val="17"/>
        <w:spacing w:line="480" w:lineRule="exact"/>
        <w:ind w:firstLine="420"/>
        <w:jc w:val="left"/>
        <w:rPr>
          <w:rFonts w:hint="default" w:hAnsi="宋体"/>
          <w:color w:val="auto"/>
          <w:szCs w:val="21"/>
          <w:highlight w:val="none"/>
        </w:rPr>
      </w:pPr>
      <w:r>
        <w:rPr>
          <w:rFonts w:hint="default" w:hAnsi="宋体"/>
          <w:color w:val="auto"/>
          <w:szCs w:val="21"/>
          <w:highlight w:val="none"/>
        </w:rPr>
        <w:t>2</w:t>
      </w:r>
      <w:r>
        <w:rPr>
          <w:rFonts w:hint="eastAsia" w:hAnsi="宋体"/>
          <w:color w:val="auto"/>
          <w:szCs w:val="21"/>
          <w:highlight w:val="none"/>
        </w:rPr>
        <w:t>．投标（响应）报价低于采购项目最高限价</w:t>
      </w:r>
      <w:r>
        <w:rPr>
          <w:rFonts w:hint="default" w:hAnsi="宋体"/>
          <w:color w:val="auto"/>
          <w:szCs w:val="21"/>
          <w:highlight w:val="none"/>
        </w:rPr>
        <w:t>45%</w:t>
      </w:r>
      <w:r>
        <w:rPr>
          <w:rFonts w:hint="eastAsia" w:hAnsi="宋体"/>
          <w:color w:val="auto"/>
          <w:szCs w:val="21"/>
          <w:highlight w:val="none"/>
        </w:rPr>
        <w:t>的，即投标（响应）报价&lt;采购项目最高限价×</w:t>
      </w:r>
      <w:r>
        <w:rPr>
          <w:rFonts w:hint="default" w:hAnsi="宋体"/>
          <w:color w:val="auto"/>
          <w:szCs w:val="21"/>
          <w:highlight w:val="none"/>
        </w:rPr>
        <w:t>45%</w:t>
      </w:r>
      <w:r>
        <w:rPr>
          <w:rFonts w:hint="eastAsia" w:hAnsi="宋体"/>
          <w:color w:val="auto"/>
          <w:szCs w:val="21"/>
          <w:highlight w:val="none"/>
        </w:rPr>
        <w:t>；</w:t>
      </w:r>
    </w:p>
    <w:p w14:paraId="231BB06D">
      <w:pPr>
        <w:pStyle w:val="17"/>
        <w:spacing w:line="480" w:lineRule="exact"/>
        <w:ind w:firstLine="420"/>
        <w:jc w:val="left"/>
        <w:rPr>
          <w:rFonts w:hint="default" w:hAnsi="宋体"/>
          <w:color w:val="auto"/>
          <w:szCs w:val="21"/>
          <w:highlight w:val="none"/>
        </w:rPr>
      </w:pPr>
      <w:r>
        <w:rPr>
          <w:rFonts w:hint="default" w:hAnsi="宋体"/>
          <w:color w:val="auto"/>
          <w:szCs w:val="21"/>
          <w:highlight w:val="none"/>
        </w:rPr>
        <w:t>3. </w:t>
      </w:r>
      <w:r>
        <w:rPr>
          <w:rFonts w:hint="eastAsia" w:hAnsi="宋体"/>
          <w:color w:val="auto"/>
          <w:szCs w:val="21"/>
          <w:highlight w:val="none"/>
        </w:rPr>
        <w:t>评审委员会认定的供应商报价过低、有可能影响产品质量或者不能诚信履约的其他情形。</w:t>
      </w:r>
    </w:p>
    <w:p w14:paraId="2C24D722">
      <w:pPr>
        <w:pStyle w:val="17"/>
        <w:spacing w:line="480" w:lineRule="exact"/>
        <w:ind w:firstLine="420"/>
        <w:jc w:val="left"/>
        <w:rPr>
          <w:rFonts w:hint="default" w:hAnsi="宋体"/>
          <w:color w:val="auto"/>
          <w:szCs w:val="21"/>
          <w:highlight w:val="none"/>
        </w:rPr>
      </w:pPr>
      <w:r>
        <w:rPr>
          <w:rFonts w:hint="eastAsia" w:hAnsi="宋体"/>
          <w:color w:val="auto"/>
          <w:szCs w:val="21"/>
          <w:highlight w:val="none"/>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365C50C">
      <w:pPr>
        <w:pStyle w:val="17"/>
        <w:spacing w:line="480" w:lineRule="exact"/>
        <w:ind w:firstLine="420"/>
        <w:jc w:val="left"/>
        <w:rPr>
          <w:rFonts w:hint="eastAsia" w:hAnsi="宋体" w:eastAsia="宋体"/>
          <w:color w:val="auto"/>
          <w:szCs w:val="21"/>
          <w:highlight w:val="none"/>
          <w:lang w:eastAsia="zh-CN"/>
        </w:rPr>
      </w:pPr>
      <w:r>
        <w:rPr>
          <w:rFonts w:hint="eastAsia" w:hAnsi="宋体"/>
          <w:color w:val="auto"/>
          <w:szCs w:val="21"/>
          <w:highlight w:val="none"/>
        </w:rPr>
        <w:t>采购人委托采购代理机构开展采购活动并负责采购文件的，应当在委托代理协议中约定采购文件中明确实施政府采购异常低价审查的有关要求。</w:t>
      </w:r>
      <w:r>
        <w:rPr>
          <w:rFonts w:hint="eastAsia" w:hAnsi="宋体"/>
          <w:b/>
          <w:bCs/>
          <w:color w:val="auto"/>
          <w:szCs w:val="21"/>
          <w:highlight w:val="none"/>
          <w:lang w:eastAsia="zh-CN"/>
        </w:rPr>
        <w:t>书面说明上传苏采云系统中澄清环节。</w:t>
      </w:r>
    </w:p>
    <w:tbl>
      <w:tblPr>
        <w:tblStyle w:val="39"/>
        <w:tblpPr w:leftFromText="180" w:rightFromText="180" w:vertAnchor="text" w:horzAnchor="page" w:tblpX="1245" w:tblpY="711"/>
        <w:tblW w:w="100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73"/>
        <w:gridCol w:w="1827"/>
        <w:gridCol w:w="6200"/>
        <w:gridCol w:w="1117"/>
      </w:tblGrid>
      <w:tr w14:paraId="2E5D5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027" w:type="dxa"/>
            <w:gridSpan w:val="5"/>
            <w:shd w:val="clear" w:color="auto" w:fill="EEECE1"/>
            <w:vAlign w:val="center"/>
          </w:tcPr>
          <w:p w14:paraId="3656DFD0">
            <w:pPr>
              <w:spacing w:line="264" w:lineRule="auto"/>
              <w:jc w:val="center"/>
              <w:rPr>
                <w:rFonts w:hint="eastAsia" w:ascii="宋体" w:hAnsi="宋体" w:eastAsia="宋体" w:cs="宋体"/>
                <w:b/>
                <w:color w:val="000000"/>
                <w:sz w:val="21"/>
                <w:szCs w:val="21"/>
              </w:rPr>
            </w:pPr>
            <w:bookmarkStart w:id="249" w:name="_Toc2747"/>
            <w:r>
              <w:rPr>
                <w:rFonts w:hint="eastAsia" w:ascii="宋体" w:hAnsi="宋体" w:eastAsia="宋体" w:cs="宋体"/>
                <w:b/>
                <w:color w:val="000000"/>
                <w:sz w:val="21"/>
                <w:szCs w:val="21"/>
              </w:rPr>
              <w:t>评分表</w:t>
            </w:r>
          </w:p>
        </w:tc>
      </w:tr>
      <w:tr w14:paraId="55CF6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0027" w:type="dxa"/>
            <w:gridSpan w:val="5"/>
            <w:shd w:val="clear" w:color="auto" w:fill="EEECE1"/>
            <w:vAlign w:val="center"/>
          </w:tcPr>
          <w:p w14:paraId="44FAA34B">
            <w:pPr>
              <w:snapToGrid w:val="0"/>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pacing w:val="15"/>
                <w:sz w:val="21"/>
                <w:szCs w:val="21"/>
              </w:rPr>
              <w:t>一、报价评分（满分</w:t>
            </w:r>
            <w:r>
              <w:rPr>
                <w:rFonts w:hint="eastAsia" w:ascii="宋体" w:hAnsi="宋体" w:eastAsia="宋体" w:cs="宋体"/>
                <w:b/>
                <w:color w:val="000000"/>
                <w:spacing w:val="15"/>
                <w:sz w:val="21"/>
                <w:szCs w:val="21"/>
                <w:lang w:val="en-US" w:eastAsia="zh-CN"/>
              </w:rPr>
              <w:t>3</w:t>
            </w:r>
            <w:r>
              <w:rPr>
                <w:rFonts w:hint="eastAsia" w:ascii="宋体" w:hAnsi="宋体" w:eastAsia="宋体" w:cs="宋体"/>
                <w:b/>
                <w:color w:val="000000"/>
                <w:spacing w:val="15"/>
                <w:sz w:val="21"/>
                <w:szCs w:val="21"/>
              </w:rPr>
              <w:t>0分）</w:t>
            </w:r>
          </w:p>
        </w:tc>
      </w:tr>
      <w:tr w14:paraId="1EDA3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exact"/>
        </w:trPr>
        <w:tc>
          <w:tcPr>
            <w:tcW w:w="883" w:type="dxa"/>
            <w:gridSpan w:val="2"/>
            <w:vAlign w:val="center"/>
          </w:tcPr>
          <w:p w14:paraId="0B0EF90D">
            <w:pPr>
              <w:snapToGrid w:val="0"/>
              <w:spacing w:line="360" w:lineRule="auto"/>
              <w:ind w:left="-6" w:leftChars="-3"/>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827" w:type="dxa"/>
            <w:vAlign w:val="center"/>
          </w:tcPr>
          <w:p w14:paraId="26788774">
            <w:pPr>
              <w:snapToGrid w:val="0"/>
              <w:spacing w:line="360" w:lineRule="auto"/>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评分内容</w:t>
            </w:r>
          </w:p>
        </w:tc>
        <w:tc>
          <w:tcPr>
            <w:tcW w:w="6200" w:type="dxa"/>
            <w:vAlign w:val="center"/>
          </w:tcPr>
          <w:p w14:paraId="7262956A">
            <w:pPr>
              <w:snapToGrid w:val="0"/>
              <w:spacing w:line="360" w:lineRule="auto"/>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评分标准</w:t>
            </w:r>
          </w:p>
        </w:tc>
        <w:tc>
          <w:tcPr>
            <w:tcW w:w="1117" w:type="dxa"/>
            <w:vAlign w:val="center"/>
          </w:tcPr>
          <w:p w14:paraId="07CC5114">
            <w:pPr>
              <w:snapToGrid w:val="0"/>
              <w:spacing w:line="360" w:lineRule="auto"/>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分值</w:t>
            </w:r>
          </w:p>
        </w:tc>
      </w:tr>
      <w:tr w14:paraId="083E7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trPr>
        <w:tc>
          <w:tcPr>
            <w:tcW w:w="883" w:type="dxa"/>
            <w:gridSpan w:val="2"/>
            <w:vAlign w:val="center"/>
          </w:tcPr>
          <w:p w14:paraId="1B0678F7">
            <w:pPr>
              <w:snapToGrid w:val="0"/>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01</w:t>
            </w:r>
          </w:p>
        </w:tc>
        <w:tc>
          <w:tcPr>
            <w:tcW w:w="1827" w:type="dxa"/>
            <w:vAlign w:val="center"/>
          </w:tcPr>
          <w:p w14:paraId="57A094C1">
            <w:pPr>
              <w:snapToGrid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报价评分</w:t>
            </w:r>
          </w:p>
        </w:tc>
        <w:tc>
          <w:tcPr>
            <w:tcW w:w="6200" w:type="dxa"/>
          </w:tcPr>
          <w:p w14:paraId="19E0EE3E">
            <w:pPr>
              <w:spacing w:line="400" w:lineRule="exact"/>
              <w:ind w:firstLine="210" w:firstLine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价格分统一采用低价优先法计算，即满足磋商文件要求且最后报价最低的供应商的价格为磋商基准价，其价格分为满分。其他供应商的价格分统一按照下列公式计算：</w:t>
            </w:r>
          </w:p>
          <w:p w14:paraId="0577FEF7">
            <w:pP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磋商报价得分=(磋商基准价/最后磋商报价)×</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分</w:t>
            </w:r>
          </w:p>
          <w:p w14:paraId="0A78BA42">
            <w:pPr>
              <w:shd w:val="clear" w:color="auto" w:fill="FFFFFF"/>
              <w:spacing w:line="400" w:lineRule="exact"/>
              <w:rPr>
                <w:rFonts w:hint="eastAsia" w:ascii="宋体" w:hAnsi="宋体" w:eastAsia="宋体" w:cs="宋体"/>
                <w:color w:val="000000"/>
                <w:sz w:val="21"/>
                <w:szCs w:val="21"/>
              </w:rPr>
            </w:pPr>
            <w:r>
              <w:rPr>
                <w:rFonts w:hint="eastAsia" w:ascii="宋体" w:hAnsi="宋体" w:eastAsia="宋体" w:cs="宋体"/>
                <w:color w:val="auto"/>
                <w:sz w:val="21"/>
                <w:szCs w:val="21"/>
                <w:highlight w:val="none"/>
              </w:rPr>
              <w:t>项目评审过程中，不得去掉最后报价中的最高报价和最低报价。</w:t>
            </w:r>
          </w:p>
        </w:tc>
        <w:tc>
          <w:tcPr>
            <w:tcW w:w="1117" w:type="dxa"/>
            <w:vAlign w:val="center"/>
          </w:tcPr>
          <w:p w14:paraId="3CFA4221">
            <w:pPr>
              <w:snapToGrid w:val="0"/>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pacing w:val="15"/>
                <w:sz w:val="21"/>
                <w:szCs w:val="21"/>
                <w:lang w:val="en-US" w:eastAsia="zh-CN"/>
              </w:rPr>
              <w:t>3</w:t>
            </w:r>
            <w:r>
              <w:rPr>
                <w:rFonts w:hint="eastAsia" w:ascii="宋体" w:hAnsi="宋体" w:eastAsia="宋体" w:cs="宋体"/>
                <w:color w:val="000000"/>
                <w:spacing w:val="15"/>
                <w:sz w:val="21"/>
                <w:szCs w:val="21"/>
              </w:rPr>
              <w:t>0</w:t>
            </w:r>
          </w:p>
        </w:tc>
      </w:tr>
      <w:tr w14:paraId="1C083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0027" w:type="dxa"/>
            <w:gridSpan w:val="5"/>
            <w:shd w:val="clear" w:color="auto" w:fill="EEECE1"/>
            <w:vAlign w:val="center"/>
          </w:tcPr>
          <w:p w14:paraId="12F51CAB">
            <w:pPr>
              <w:snapToGrid w:val="0"/>
              <w:spacing w:line="360" w:lineRule="auto"/>
              <w:jc w:val="center"/>
              <w:rPr>
                <w:rFonts w:hint="eastAsia" w:ascii="宋体" w:hAnsi="宋体" w:eastAsia="宋体" w:cs="宋体"/>
                <w:color w:val="000000"/>
                <w:sz w:val="21"/>
                <w:szCs w:val="21"/>
              </w:rPr>
            </w:pPr>
            <w:r>
              <w:rPr>
                <w:rFonts w:hint="eastAsia" w:ascii="宋体" w:hAnsi="宋体" w:eastAsia="宋体" w:cs="宋体"/>
                <w:b/>
                <w:color w:val="000000"/>
                <w:spacing w:val="15"/>
                <w:sz w:val="21"/>
                <w:szCs w:val="21"/>
              </w:rPr>
              <w:t>二、商务部分（满分</w:t>
            </w:r>
            <w:r>
              <w:rPr>
                <w:rFonts w:hint="eastAsia" w:ascii="宋体" w:hAnsi="宋体" w:cs="宋体"/>
                <w:b/>
                <w:color w:val="000000"/>
                <w:spacing w:val="15"/>
                <w:sz w:val="21"/>
                <w:szCs w:val="21"/>
                <w:lang w:val="en-US" w:eastAsia="zh-CN"/>
              </w:rPr>
              <w:t>28</w:t>
            </w:r>
            <w:r>
              <w:rPr>
                <w:rFonts w:hint="eastAsia" w:ascii="宋体" w:hAnsi="宋体" w:eastAsia="宋体" w:cs="宋体"/>
                <w:b/>
                <w:color w:val="000000"/>
                <w:spacing w:val="15"/>
                <w:sz w:val="21"/>
                <w:szCs w:val="21"/>
              </w:rPr>
              <w:t>分）</w:t>
            </w:r>
          </w:p>
        </w:tc>
      </w:tr>
      <w:tr w14:paraId="07F42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883" w:type="dxa"/>
            <w:gridSpan w:val="2"/>
            <w:vAlign w:val="center"/>
          </w:tcPr>
          <w:p w14:paraId="3949603A">
            <w:pPr>
              <w:snapToGrid w:val="0"/>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02</w:t>
            </w:r>
          </w:p>
        </w:tc>
        <w:tc>
          <w:tcPr>
            <w:tcW w:w="1827" w:type="dxa"/>
            <w:vAlign w:val="center"/>
          </w:tcPr>
          <w:p w14:paraId="793FFFFA">
            <w:pPr>
              <w:snapToGrid w:val="0"/>
              <w:spacing w:line="240" w:lineRule="exact"/>
              <w:ind w:firstLine="210" w:firstLineChars="100"/>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eastAsia="zh-CN"/>
              </w:rPr>
              <w:t>证书</w:t>
            </w:r>
          </w:p>
        </w:tc>
        <w:tc>
          <w:tcPr>
            <w:tcW w:w="6200" w:type="dxa"/>
            <w:vAlign w:val="center"/>
          </w:tcPr>
          <w:p w14:paraId="7F3CC9C4">
            <w:pPr>
              <w:pStyle w:val="17"/>
              <w:spacing w:line="300" w:lineRule="exact"/>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1、供应商具有园林绿化养护服务资质证书的得3分</w:t>
            </w:r>
            <w:r>
              <w:rPr>
                <w:rFonts w:hint="eastAsia" w:ascii="宋体" w:hAnsi="宋体" w:eastAsia="宋体" w:cs="宋体"/>
                <w:color w:val="000000"/>
                <w:sz w:val="21"/>
                <w:szCs w:val="21"/>
              </w:rPr>
              <w:t>（在有效期内）</w:t>
            </w:r>
            <w:r>
              <w:rPr>
                <w:rFonts w:hint="eastAsia" w:ascii="宋体" w:hAnsi="宋体" w:eastAsia="宋体" w:cs="宋体"/>
                <w:color w:val="000000"/>
                <w:sz w:val="21"/>
                <w:szCs w:val="21"/>
                <w:lang w:eastAsia="zh-CN"/>
              </w:rPr>
              <w:t>；</w:t>
            </w:r>
          </w:p>
          <w:p w14:paraId="6B168EDC">
            <w:pPr>
              <w:pStyle w:val="17"/>
              <w:spacing w:line="300" w:lineRule="exact"/>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2、供应商具有有害生物防制服务资质等级国家证书的得3分，省级证书的得1分（在有效期内）；</w:t>
            </w:r>
          </w:p>
          <w:p w14:paraId="6CF9C665">
            <w:pPr>
              <w:pStyle w:val="17"/>
              <w:spacing w:line="300" w:lineRule="exact"/>
              <w:jc w:val="left"/>
              <w:rPr>
                <w:rFonts w:hint="eastAsia" w:ascii="宋体" w:hAnsi="宋体" w:eastAsia="宋体" w:cs="宋体"/>
                <w:color w:val="000000"/>
                <w:sz w:val="21"/>
                <w:szCs w:val="21"/>
                <w:lang w:eastAsia="zh-CN"/>
              </w:rPr>
            </w:pPr>
            <w:r>
              <w:rPr>
                <w:rFonts w:hint="eastAsia" w:hAnsi="宋体" w:cs="宋体"/>
                <w:color w:val="000000"/>
                <w:sz w:val="21"/>
                <w:szCs w:val="21"/>
                <w:lang w:val="en-US" w:eastAsia="zh-CN"/>
              </w:rPr>
              <w:t>3</w:t>
            </w:r>
            <w:r>
              <w:rPr>
                <w:rFonts w:hint="eastAsia" w:ascii="宋体" w:hAnsi="宋体" w:eastAsia="宋体" w:cs="宋体"/>
                <w:color w:val="000000"/>
                <w:sz w:val="21"/>
                <w:szCs w:val="21"/>
                <w:lang w:val="en-US" w:eastAsia="zh-CN"/>
              </w:rPr>
              <w:t>、</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具备信用等级为AAA级的得</w:t>
            </w:r>
            <w:r>
              <w:rPr>
                <w:rFonts w:hint="eastAsia" w:hAnsi="宋体" w:cs="宋体"/>
                <w:color w:val="000000"/>
                <w:sz w:val="21"/>
                <w:szCs w:val="21"/>
                <w:lang w:val="en-US" w:eastAsia="zh-CN"/>
              </w:rPr>
              <w:t>2</w:t>
            </w:r>
            <w:r>
              <w:rPr>
                <w:rFonts w:hint="eastAsia" w:ascii="宋体" w:hAnsi="宋体" w:eastAsia="宋体" w:cs="宋体"/>
                <w:color w:val="000000"/>
                <w:sz w:val="21"/>
                <w:szCs w:val="21"/>
              </w:rPr>
              <w:t>分， AA级的得</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rPr>
              <w:t>分（在有效期内）</w:t>
            </w:r>
            <w:r>
              <w:rPr>
                <w:rFonts w:hint="eastAsia" w:ascii="宋体" w:hAnsi="宋体" w:eastAsia="宋体" w:cs="宋体"/>
                <w:color w:val="000000"/>
                <w:sz w:val="21"/>
                <w:szCs w:val="21"/>
                <w:lang w:eastAsia="zh-CN"/>
              </w:rPr>
              <w:t>；</w:t>
            </w:r>
          </w:p>
          <w:p w14:paraId="2ADE4CFE">
            <w:pPr>
              <w:pStyle w:val="17"/>
              <w:spacing w:line="300" w:lineRule="exact"/>
              <w:jc w:val="left"/>
              <w:rPr>
                <w:rFonts w:hint="eastAsia" w:ascii="宋体" w:hAnsi="宋体" w:eastAsia="宋体" w:cs="宋体"/>
                <w:color w:val="000000"/>
                <w:sz w:val="21"/>
                <w:szCs w:val="21"/>
                <w:lang w:eastAsia="zh-CN"/>
              </w:rPr>
            </w:pPr>
            <w:r>
              <w:rPr>
                <w:rFonts w:hint="eastAsia" w:hAnsi="宋体" w:cs="宋体"/>
                <w:color w:val="000000"/>
                <w:sz w:val="21"/>
                <w:szCs w:val="21"/>
                <w:lang w:val="en-US" w:eastAsia="zh-CN"/>
              </w:rPr>
              <w:t>4</w:t>
            </w:r>
            <w:r>
              <w:rPr>
                <w:rFonts w:hint="eastAsia" w:ascii="宋体" w:hAnsi="宋体" w:eastAsia="宋体" w:cs="宋体"/>
                <w:color w:val="000000"/>
                <w:sz w:val="21"/>
                <w:szCs w:val="21"/>
                <w:lang w:val="en-US" w:eastAsia="zh-CN"/>
              </w:rPr>
              <w:t>、</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具有资信等级为AAA级的得</w:t>
            </w:r>
            <w:r>
              <w:rPr>
                <w:rFonts w:hint="eastAsia" w:hAnsi="宋体" w:cs="宋体"/>
                <w:color w:val="000000"/>
                <w:sz w:val="21"/>
                <w:szCs w:val="21"/>
                <w:lang w:val="en-US" w:eastAsia="zh-CN"/>
              </w:rPr>
              <w:t>2</w:t>
            </w:r>
            <w:r>
              <w:rPr>
                <w:rFonts w:hint="eastAsia" w:ascii="宋体" w:hAnsi="宋体" w:eastAsia="宋体" w:cs="宋体"/>
                <w:color w:val="000000"/>
                <w:sz w:val="21"/>
                <w:szCs w:val="21"/>
              </w:rPr>
              <w:t>分， AA级的得</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rPr>
              <w:t>分（在有效期内）</w:t>
            </w:r>
            <w:r>
              <w:rPr>
                <w:rFonts w:hint="eastAsia" w:ascii="宋体" w:hAnsi="宋体" w:eastAsia="宋体" w:cs="宋体"/>
                <w:color w:val="000000"/>
                <w:sz w:val="21"/>
                <w:szCs w:val="21"/>
                <w:lang w:eastAsia="zh-CN"/>
              </w:rPr>
              <w:t>；</w:t>
            </w:r>
          </w:p>
          <w:p w14:paraId="6703BB27">
            <w:pPr>
              <w:pStyle w:val="17"/>
              <w:spacing w:line="300" w:lineRule="exact"/>
              <w:jc w:val="left"/>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rPr>
              <w:t>注：证明材料提供证书</w:t>
            </w:r>
            <w:r>
              <w:rPr>
                <w:rFonts w:hint="eastAsia" w:ascii="宋体" w:hAnsi="宋体" w:eastAsia="宋体" w:cs="宋体"/>
                <w:b/>
                <w:bCs/>
                <w:color w:val="000000"/>
                <w:sz w:val="21"/>
                <w:szCs w:val="21"/>
                <w:lang w:eastAsia="zh-CN"/>
              </w:rPr>
              <w:t>原件彩色扫描件</w:t>
            </w:r>
            <w:r>
              <w:rPr>
                <w:rFonts w:hint="eastAsia" w:ascii="宋体" w:hAnsi="宋体" w:eastAsia="宋体" w:cs="宋体"/>
                <w:b/>
                <w:bCs/>
                <w:color w:val="000000"/>
                <w:sz w:val="21"/>
                <w:szCs w:val="21"/>
              </w:rPr>
              <w:t>，未提供或未按要求提供此项不得分。</w:t>
            </w:r>
          </w:p>
        </w:tc>
        <w:tc>
          <w:tcPr>
            <w:tcW w:w="1117" w:type="dxa"/>
            <w:vAlign w:val="center"/>
          </w:tcPr>
          <w:p w14:paraId="7CD28F5D">
            <w:pPr>
              <w:snapToGrid w:val="0"/>
              <w:spacing w:line="360" w:lineRule="auto"/>
              <w:jc w:val="center"/>
              <w:rPr>
                <w:rFonts w:hint="default" w:ascii="宋体" w:hAnsi="宋体" w:eastAsia="宋体" w:cs="宋体"/>
                <w:color w:val="000000"/>
                <w:spacing w:val="15"/>
                <w:sz w:val="21"/>
                <w:szCs w:val="21"/>
                <w:lang w:val="en-US" w:eastAsia="zh-CN"/>
              </w:rPr>
            </w:pPr>
            <w:r>
              <w:rPr>
                <w:rFonts w:hint="eastAsia" w:ascii="宋体" w:hAnsi="宋体" w:cs="宋体"/>
                <w:color w:val="000000"/>
                <w:spacing w:val="15"/>
                <w:sz w:val="21"/>
                <w:szCs w:val="21"/>
                <w:lang w:val="en-US" w:eastAsia="zh-CN"/>
              </w:rPr>
              <w:t>10</w:t>
            </w:r>
          </w:p>
        </w:tc>
      </w:tr>
      <w:tr w14:paraId="422D8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9" w:hRule="atLeast"/>
        </w:trPr>
        <w:tc>
          <w:tcPr>
            <w:tcW w:w="883" w:type="dxa"/>
            <w:gridSpan w:val="2"/>
            <w:vAlign w:val="center"/>
          </w:tcPr>
          <w:p w14:paraId="5151777A">
            <w:pPr>
              <w:snapToGrid w:val="0"/>
              <w:spacing w:line="360" w:lineRule="auto"/>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0</w:t>
            </w:r>
            <w:r>
              <w:rPr>
                <w:rFonts w:hint="eastAsia" w:ascii="宋体" w:hAnsi="宋体" w:eastAsia="宋体" w:cs="宋体"/>
                <w:color w:val="000000"/>
                <w:sz w:val="21"/>
                <w:szCs w:val="21"/>
                <w:lang w:val="en-US" w:eastAsia="zh-CN"/>
              </w:rPr>
              <w:t>3</w:t>
            </w:r>
          </w:p>
        </w:tc>
        <w:tc>
          <w:tcPr>
            <w:tcW w:w="1827" w:type="dxa"/>
            <w:vAlign w:val="center"/>
          </w:tcPr>
          <w:p w14:paraId="2219D818">
            <w:pPr>
              <w:snapToGrid w:val="0"/>
              <w:spacing w:line="240" w:lineRule="exact"/>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业绩</w:t>
            </w:r>
          </w:p>
        </w:tc>
        <w:tc>
          <w:tcPr>
            <w:tcW w:w="6200" w:type="dxa"/>
            <w:vAlign w:val="center"/>
          </w:tcPr>
          <w:p w14:paraId="1A25C8CE">
            <w:pPr>
              <w:snapToGrid w:val="0"/>
              <w:spacing w:line="320" w:lineRule="exact"/>
              <w:ind w:firstLine="210" w:firstLineChars="100"/>
              <w:jc w:val="left"/>
              <w:rPr>
                <w:rFonts w:hint="eastAsia" w:ascii="宋体" w:hAnsi="宋体" w:eastAsia="宋体" w:cs="宋体"/>
                <w:sz w:val="21"/>
                <w:szCs w:val="21"/>
              </w:rPr>
            </w:pPr>
            <w:r>
              <w:rPr>
                <w:rFonts w:hint="eastAsia" w:ascii="宋体" w:hAnsi="宋体" w:eastAsia="宋体" w:cs="宋体"/>
                <w:sz w:val="21"/>
                <w:szCs w:val="21"/>
                <w:lang w:val="en-US" w:eastAsia="zh-CN"/>
              </w:rPr>
              <w:t>1、2023</w:t>
            </w:r>
            <w:r>
              <w:rPr>
                <w:rFonts w:hint="eastAsia" w:ascii="宋体" w:hAnsi="宋体" w:eastAsia="宋体" w:cs="宋体"/>
                <w:sz w:val="21"/>
                <w:szCs w:val="21"/>
              </w:rPr>
              <w:t>年至今供应商承担过</w:t>
            </w:r>
            <w:r>
              <w:rPr>
                <w:rFonts w:hint="eastAsia" w:ascii="宋体" w:hAnsi="宋体" w:eastAsia="宋体" w:cs="宋体"/>
                <w:sz w:val="21"/>
                <w:szCs w:val="21"/>
                <w:lang w:eastAsia="zh-CN"/>
              </w:rPr>
              <w:t>类似的（绿化工程施工）</w:t>
            </w:r>
            <w:r>
              <w:rPr>
                <w:rFonts w:hint="eastAsia" w:ascii="宋体" w:hAnsi="宋体" w:eastAsia="宋体" w:cs="宋体"/>
                <w:sz w:val="21"/>
                <w:szCs w:val="21"/>
              </w:rPr>
              <w:t>业绩的有一个得</w:t>
            </w:r>
            <w:r>
              <w:rPr>
                <w:rFonts w:hint="eastAsia" w:ascii="宋体" w:hAnsi="宋体" w:eastAsia="宋体" w:cs="宋体"/>
                <w:sz w:val="21"/>
                <w:szCs w:val="21"/>
                <w:lang w:val="en-US" w:eastAsia="zh-CN"/>
              </w:rPr>
              <w:t>3</w:t>
            </w:r>
            <w:r>
              <w:rPr>
                <w:rFonts w:hint="eastAsia" w:ascii="宋体" w:hAnsi="宋体" w:eastAsia="宋体" w:cs="宋体"/>
                <w:sz w:val="21"/>
                <w:szCs w:val="21"/>
              </w:rPr>
              <w:t>分，最多得</w:t>
            </w:r>
            <w:r>
              <w:rPr>
                <w:rFonts w:hint="eastAsia" w:ascii="宋体" w:hAnsi="宋体" w:eastAsia="宋体" w:cs="宋体"/>
                <w:sz w:val="21"/>
                <w:szCs w:val="21"/>
                <w:lang w:val="en-US" w:eastAsia="zh-CN"/>
              </w:rPr>
              <w:t>12</w:t>
            </w:r>
            <w:r>
              <w:rPr>
                <w:rFonts w:hint="eastAsia" w:ascii="宋体" w:hAnsi="宋体" w:eastAsia="宋体" w:cs="宋体"/>
                <w:sz w:val="21"/>
                <w:szCs w:val="21"/>
              </w:rPr>
              <w:t>分。</w:t>
            </w:r>
          </w:p>
          <w:p w14:paraId="3F7D6C6F">
            <w:pPr>
              <w:snapToGrid w:val="0"/>
              <w:spacing w:line="320" w:lineRule="exact"/>
              <w:ind w:firstLine="210" w:firstLineChars="100"/>
              <w:jc w:val="left"/>
              <w:rPr>
                <w:rFonts w:hint="eastAsia" w:ascii="宋体" w:hAnsi="宋体" w:eastAsia="宋体" w:cs="宋体"/>
                <w:sz w:val="21"/>
                <w:szCs w:val="21"/>
              </w:rPr>
            </w:pPr>
            <w:r>
              <w:rPr>
                <w:rFonts w:hint="eastAsia" w:ascii="宋体" w:hAnsi="宋体" w:eastAsia="宋体" w:cs="宋体"/>
                <w:sz w:val="21"/>
                <w:szCs w:val="21"/>
                <w:lang w:val="en-US" w:eastAsia="zh-CN"/>
              </w:rPr>
              <w:t>2、2023</w:t>
            </w:r>
            <w:r>
              <w:rPr>
                <w:rFonts w:hint="eastAsia" w:ascii="宋体" w:hAnsi="宋体" w:eastAsia="宋体" w:cs="宋体"/>
                <w:sz w:val="21"/>
                <w:szCs w:val="21"/>
              </w:rPr>
              <w:t>年至今供应商承担过</w:t>
            </w:r>
            <w:r>
              <w:rPr>
                <w:rFonts w:hint="eastAsia" w:ascii="宋体" w:hAnsi="宋体" w:eastAsia="宋体" w:cs="宋体"/>
                <w:sz w:val="21"/>
                <w:szCs w:val="21"/>
                <w:lang w:eastAsia="zh-CN"/>
              </w:rPr>
              <w:t>类似的（绿化养护）</w:t>
            </w:r>
            <w:r>
              <w:rPr>
                <w:rFonts w:hint="eastAsia" w:ascii="宋体" w:hAnsi="宋体" w:eastAsia="宋体" w:cs="宋体"/>
                <w:sz w:val="21"/>
                <w:szCs w:val="21"/>
              </w:rPr>
              <w:t>业绩的有一个得</w:t>
            </w:r>
            <w:r>
              <w:rPr>
                <w:rFonts w:hint="eastAsia" w:ascii="宋体" w:hAnsi="宋体" w:eastAsia="宋体" w:cs="宋体"/>
                <w:sz w:val="21"/>
                <w:szCs w:val="21"/>
                <w:lang w:val="en-US" w:eastAsia="zh-CN"/>
              </w:rPr>
              <w:t>2</w:t>
            </w:r>
            <w:r>
              <w:rPr>
                <w:rFonts w:hint="eastAsia" w:ascii="宋体" w:hAnsi="宋体" w:eastAsia="宋体" w:cs="宋体"/>
                <w:sz w:val="21"/>
                <w:szCs w:val="21"/>
              </w:rPr>
              <w:t>分，最多得</w:t>
            </w:r>
            <w:r>
              <w:rPr>
                <w:rFonts w:hint="eastAsia" w:ascii="宋体" w:hAnsi="宋体" w:cs="宋体"/>
                <w:sz w:val="21"/>
                <w:szCs w:val="21"/>
                <w:lang w:val="en-US" w:eastAsia="zh-CN"/>
              </w:rPr>
              <w:t>6</w:t>
            </w:r>
            <w:r>
              <w:rPr>
                <w:rFonts w:hint="eastAsia" w:ascii="宋体" w:hAnsi="宋体" w:eastAsia="宋体" w:cs="宋体"/>
                <w:sz w:val="21"/>
                <w:szCs w:val="21"/>
              </w:rPr>
              <w:t>分。</w:t>
            </w:r>
          </w:p>
          <w:p w14:paraId="4406C251">
            <w:pPr>
              <w:keepNext w:val="0"/>
              <w:keepLines w:val="0"/>
              <w:widowControl/>
              <w:suppressLineNumbers w:val="0"/>
              <w:jc w:val="left"/>
              <w:rPr>
                <w:rFonts w:hint="eastAsia" w:ascii="宋体" w:hAnsi="宋体" w:eastAsia="宋体" w:cs="宋体"/>
                <w:b/>
                <w:color w:val="000000"/>
                <w:sz w:val="21"/>
                <w:szCs w:val="21"/>
              </w:rPr>
            </w:pPr>
            <w:r>
              <w:rPr>
                <w:rFonts w:hint="eastAsia" w:ascii="宋体" w:hAnsi="宋体" w:eastAsia="宋体" w:cs="宋体"/>
                <w:b/>
                <w:color w:val="000000"/>
                <w:sz w:val="21"/>
                <w:szCs w:val="21"/>
              </w:rPr>
              <w:t>注：时间以合同签订时间为准，证明材料提供合同文件</w:t>
            </w:r>
            <w:r>
              <w:rPr>
                <w:rFonts w:hint="eastAsia" w:ascii="宋体" w:hAnsi="宋体" w:eastAsia="宋体" w:cs="宋体"/>
                <w:b/>
                <w:color w:val="000000"/>
                <w:sz w:val="21"/>
                <w:szCs w:val="21"/>
                <w:lang w:val="en-US" w:eastAsia="zh-CN"/>
              </w:rPr>
              <w:t>彩色</w:t>
            </w:r>
            <w:r>
              <w:rPr>
                <w:rFonts w:hint="eastAsia" w:ascii="宋体" w:hAnsi="宋体" w:eastAsia="宋体" w:cs="宋体"/>
                <w:b/>
                <w:color w:val="000000"/>
                <w:sz w:val="21"/>
                <w:szCs w:val="21"/>
              </w:rPr>
              <w:t>扫描件加盖供应商公章。合同需反映相关信息，</w:t>
            </w:r>
            <w:r>
              <w:rPr>
                <w:rFonts w:hint="eastAsia" w:ascii="宋体" w:hAnsi="宋体" w:eastAsia="宋体" w:cs="宋体"/>
                <w:b/>
                <w:color w:val="000000"/>
                <w:sz w:val="21"/>
                <w:szCs w:val="21"/>
                <w:lang w:eastAsia="zh-CN"/>
              </w:rPr>
              <w:t>未提供或未按要求提供此项</w:t>
            </w:r>
            <w:r>
              <w:rPr>
                <w:rFonts w:hint="eastAsia" w:ascii="宋体" w:hAnsi="宋体" w:eastAsia="宋体" w:cs="宋体"/>
                <w:b/>
                <w:color w:val="000000"/>
                <w:sz w:val="21"/>
                <w:szCs w:val="21"/>
              </w:rPr>
              <w:t>不得分。</w:t>
            </w:r>
            <w:r>
              <w:rPr>
                <w:rFonts w:hint="eastAsia" w:ascii="宋体" w:hAnsi="宋体" w:eastAsia="宋体" w:cs="宋体"/>
                <w:b/>
                <w:bCs/>
                <w:sz w:val="21"/>
                <w:szCs w:val="21"/>
                <w:lang w:val="zh-CN"/>
              </w:rPr>
              <w:t>合同</w:t>
            </w:r>
            <w:r>
              <w:rPr>
                <w:rFonts w:hint="eastAsia" w:ascii="宋体" w:hAnsi="宋体" w:eastAsia="宋体" w:cs="宋体"/>
                <w:b/>
                <w:bCs/>
                <w:sz w:val="21"/>
                <w:szCs w:val="21"/>
              </w:rPr>
              <w:t>类似，由评审委员会统一认定后给予得分。</w:t>
            </w:r>
          </w:p>
        </w:tc>
        <w:tc>
          <w:tcPr>
            <w:tcW w:w="1117" w:type="dxa"/>
            <w:vAlign w:val="center"/>
          </w:tcPr>
          <w:p w14:paraId="085F3A60">
            <w:pPr>
              <w:snapToGrid w:val="0"/>
              <w:spacing w:line="360" w:lineRule="auto"/>
              <w:jc w:val="center"/>
              <w:rPr>
                <w:rFonts w:hint="default" w:ascii="宋体" w:hAnsi="宋体" w:eastAsia="宋体" w:cs="宋体"/>
                <w:color w:val="000000"/>
                <w:spacing w:val="15"/>
                <w:sz w:val="21"/>
                <w:szCs w:val="21"/>
                <w:lang w:val="en-US" w:eastAsia="zh-CN"/>
              </w:rPr>
            </w:pPr>
            <w:r>
              <w:rPr>
                <w:rFonts w:hint="eastAsia" w:ascii="宋体" w:hAnsi="宋体" w:eastAsia="宋体" w:cs="宋体"/>
                <w:color w:val="000000"/>
                <w:spacing w:val="15"/>
                <w:sz w:val="21"/>
                <w:szCs w:val="21"/>
                <w:lang w:val="en-US" w:eastAsia="zh-CN"/>
              </w:rPr>
              <w:t>18</w:t>
            </w:r>
          </w:p>
        </w:tc>
      </w:tr>
      <w:tr w14:paraId="070DF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0027" w:type="dxa"/>
            <w:gridSpan w:val="5"/>
            <w:shd w:val="clear" w:color="auto" w:fill="EEECE1"/>
            <w:vAlign w:val="center"/>
          </w:tcPr>
          <w:p w14:paraId="66AB7ABD">
            <w:pPr>
              <w:snapToGrid w:val="0"/>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三、技术部分评分</w:t>
            </w:r>
            <w:r>
              <w:rPr>
                <w:rFonts w:hint="eastAsia" w:ascii="宋体" w:hAnsi="宋体" w:eastAsia="宋体" w:cs="宋体"/>
                <w:b/>
                <w:color w:val="000000"/>
                <w:spacing w:val="15"/>
                <w:sz w:val="21"/>
                <w:szCs w:val="21"/>
              </w:rPr>
              <w:t>（满分</w:t>
            </w:r>
            <w:r>
              <w:rPr>
                <w:rFonts w:hint="eastAsia" w:ascii="宋体" w:hAnsi="宋体" w:cs="宋体"/>
                <w:b/>
                <w:color w:val="000000"/>
                <w:spacing w:val="15"/>
                <w:sz w:val="21"/>
                <w:szCs w:val="21"/>
                <w:lang w:val="en-US" w:eastAsia="zh-CN"/>
              </w:rPr>
              <w:t>42</w:t>
            </w:r>
            <w:r>
              <w:rPr>
                <w:rFonts w:hint="eastAsia" w:ascii="宋体" w:hAnsi="宋体" w:eastAsia="宋体" w:cs="宋体"/>
                <w:b/>
                <w:color w:val="000000"/>
                <w:spacing w:val="15"/>
                <w:sz w:val="21"/>
                <w:szCs w:val="21"/>
              </w:rPr>
              <w:t>）</w:t>
            </w:r>
          </w:p>
        </w:tc>
      </w:tr>
      <w:tr w14:paraId="5042A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9" w:hRule="atLeast"/>
        </w:trPr>
        <w:tc>
          <w:tcPr>
            <w:tcW w:w="810" w:type="dxa"/>
            <w:vAlign w:val="center"/>
          </w:tcPr>
          <w:p w14:paraId="3ED4C0ED">
            <w:pPr>
              <w:snapToGrid w:val="0"/>
              <w:spacing w:line="360" w:lineRule="auto"/>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0</w:t>
            </w:r>
            <w:r>
              <w:rPr>
                <w:rFonts w:hint="eastAsia" w:ascii="宋体" w:hAnsi="宋体" w:eastAsia="宋体" w:cs="宋体"/>
                <w:color w:val="000000"/>
                <w:sz w:val="21"/>
                <w:szCs w:val="21"/>
                <w:lang w:val="en-US" w:eastAsia="zh-CN"/>
              </w:rPr>
              <w:t>4</w:t>
            </w:r>
          </w:p>
        </w:tc>
        <w:tc>
          <w:tcPr>
            <w:tcW w:w="8100" w:type="dxa"/>
            <w:gridSpan w:val="3"/>
            <w:vAlign w:val="center"/>
          </w:tcPr>
          <w:p w14:paraId="01F74637">
            <w:pPr>
              <w:jc w:val="left"/>
              <w:rPr>
                <w:rFonts w:hint="eastAsia" w:ascii="宋体" w:hAnsi="宋体" w:eastAsia="宋体" w:cs="宋体"/>
                <w:sz w:val="21"/>
                <w:szCs w:val="21"/>
              </w:rPr>
            </w:pPr>
            <w:r>
              <w:rPr>
                <w:rFonts w:hint="eastAsia" w:ascii="宋体" w:hAnsi="宋体" w:eastAsia="宋体" w:cs="宋体"/>
                <w:sz w:val="21"/>
                <w:szCs w:val="21"/>
              </w:rPr>
              <w:t>施工进度计划和各阶段进度的保证措施</w:t>
            </w:r>
          </w:p>
          <w:p w14:paraId="7A16C6AD">
            <w:pPr>
              <w:spacing w:line="320" w:lineRule="exact"/>
              <w:ind w:firstLine="0" w:firstLineChars="0"/>
              <w:rPr>
                <w:rFonts w:hint="eastAsia" w:ascii="宋体" w:hAnsi="宋体" w:eastAsia="宋体" w:cs="宋体"/>
                <w:color w:val="000000"/>
                <w:sz w:val="21"/>
                <w:szCs w:val="21"/>
              </w:rPr>
            </w:pP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进度计划合理、保证措施有力的得</w:t>
            </w:r>
            <w:r>
              <w:rPr>
                <w:rFonts w:hint="eastAsia" w:ascii="宋体" w:hAnsi="宋体" w:cs="宋体"/>
                <w:color w:val="000000"/>
                <w:sz w:val="21"/>
                <w:szCs w:val="21"/>
                <w:lang w:val="en-US" w:eastAsia="zh-CN"/>
              </w:rPr>
              <w:t>7</w:t>
            </w:r>
            <w:r>
              <w:rPr>
                <w:rFonts w:hint="eastAsia" w:ascii="宋体" w:hAnsi="宋体" w:eastAsia="宋体" w:cs="宋体"/>
                <w:color w:val="000000"/>
                <w:sz w:val="21"/>
                <w:szCs w:val="21"/>
              </w:rPr>
              <w:t>分；</w:t>
            </w:r>
          </w:p>
          <w:p w14:paraId="7346619A">
            <w:pPr>
              <w:spacing w:line="320" w:lineRule="exact"/>
              <w:ind w:firstLine="0" w:firstLineChars="0"/>
              <w:rPr>
                <w:rFonts w:hint="eastAsia" w:ascii="宋体" w:hAnsi="宋体" w:eastAsia="宋体" w:cs="宋体"/>
                <w:color w:val="000000"/>
                <w:sz w:val="21"/>
                <w:szCs w:val="21"/>
              </w:rPr>
            </w:pP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进度计划较合理、保证措施较有力的得</w:t>
            </w:r>
            <w:r>
              <w:rPr>
                <w:rFonts w:hint="eastAsia" w:ascii="宋体" w:hAnsi="宋体" w:cs="宋体"/>
                <w:color w:val="000000"/>
                <w:sz w:val="21"/>
                <w:szCs w:val="21"/>
                <w:lang w:val="en-US" w:eastAsia="zh-CN"/>
              </w:rPr>
              <w:t>5</w:t>
            </w:r>
            <w:r>
              <w:rPr>
                <w:rFonts w:hint="eastAsia" w:ascii="宋体" w:hAnsi="宋体" w:eastAsia="宋体" w:cs="宋体"/>
                <w:color w:val="000000"/>
                <w:sz w:val="21"/>
                <w:szCs w:val="21"/>
              </w:rPr>
              <w:t>分；</w:t>
            </w:r>
          </w:p>
          <w:p w14:paraId="6946C384">
            <w:pPr>
              <w:spacing w:line="320" w:lineRule="exact"/>
              <w:ind w:firstLine="0" w:firstLineChars="0"/>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进度计划一般、保证措施一般的得</w:t>
            </w:r>
            <w:r>
              <w:rPr>
                <w:rFonts w:hint="eastAsia" w:ascii="宋体" w:hAnsi="宋体" w:cs="宋体"/>
                <w:color w:val="000000"/>
                <w:sz w:val="21"/>
                <w:szCs w:val="21"/>
                <w:lang w:val="en-US" w:eastAsia="zh-CN"/>
              </w:rPr>
              <w:t>3</w:t>
            </w:r>
            <w:r>
              <w:rPr>
                <w:rFonts w:hint="eastAsia" w:ascii="宋体" w:hAnsi="宋体" w:eastAsia="宋体" w:cs="宋体"/>
                <w:color w:val="000000"/>
                <w:sz w:val="21"/>
                <w:szCs w:val="21"/>
              </w:rPr>
              <w:t>分</w:t>
            </w:r>
            <w:r>
              <w:rPr>
                <w:rFonts w:hint="eastAsia" w:ascii="宋体" w:hAnsi="宋体" w:cs="宋体"/>
                <w:color w:val="000000"/>
                <w:sz w:val="21"/>
                <w:szCs w:val="21"/>
                <w:lang w:eastAsia="zh-CN"/>
              </w:rPr>
              <w:t>；</w:t>
            </w:r>
          </w:p>
          <w:p w14:paraId="38EC2BB5">
            <w:pPr>
              <w:spacing w:line="320" w:lineRule="exact"/>
              <w:ind w:firstLine="0" w:firstLineChars="0"/>
              <w:rPr>
                <w:rFonts w:hint="eastAsia" w:ascii="宋体" w:hAnsi="宋体" w:eastAsia="宋体" w:cs="宋体"/>
                <w:color w:val="000000"/>
                <w:sz w:val="21"/>
                <w:szCs w:val="21"/>
              </w:rPr>
            </w:pP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4</w:t>
            </w:r>
            <w:r>
              <w:rPr>
                <w:rFonts w:hint="eastAsia" w:ascii="宋体" w:hAnsi="宋体" w:cs="宋体"/>
                <w:color w:val="000000"/>
                <w:sz w:val="21"/>
                <w:szCs w:val="21"/>
                <w:lang w:eastAsia="zh-CN"/>
              </w:rPr>
              <w:t>）进度计划、保证措施</w:t>
            </w:r>
            <w:r>
              <w:rPr>
                <w:rFonts w:hint="eastAsia" w:ascii="宋体" w:hAnsi="宋体" w:eastAsia="宋体" w:cs="宋体"/>
                <w:color w:val="000000"/>
                <w:sz w:val="21"/>
                <w:szCs w:val="21"/>
                <w:lang w:eastAsia="zh-CN"/>
              </w:rPr>
              <w:t>较差，内容不详细：</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lang w:eastAsia="zh-CN"/>
              </w:rPr>
              <w:t>分；</w:t>
            </w:r>
          </w:p>
          <w:p w14:paraId="27AEB4A1">
            <w:pPr>
              <w:pStyle w:val="57"/>
              <w:ind w:left="0" w:leftChars="0" w:firstLine="422" w:firstLineChars="200"/>
              <w:rPr>
                <w:rFonts w:hint="eastAsia" w:ascii="宋体" w:hAnsi="宋体" w:eastAsia="宋体" w:cs="宋体"/>
                <w:sz w:val="21"/>
                <w:szCs w:val="21"/>
              </w:rPr>
            </w:pPr>
            <w:r>
              <w:rPr>
                <w:rFonts w:hint="eastAsia" w:ascii="宋体" w:hAnsi="宋体" w:eastAsia="宋体" w:cs="宋体"/>
                <w:b/>
                <w:bCs/>
                <w:color w:val="000000"/>
                <w:sz w:val="21"/>
                <w:szCs w:val="21"/>
              </w:rPr>
              <w:t>满分</w:t>
            </w:r>
            <w:r>
              <w:rPr>
                <w:rFonts w:hint="eastAsia" w:hAnsi="宋体" w:cs="宋体"/>
                <w:b/>
                <w:bCs/>
                <w:color w:val="000000"/>
                <w:sz w:val="21"/>
                <w:szCs w:val="21"/>
                <w:lang w:val="en-US" w:eastAsia="zh-CN"/>
              </w:rPr>
              <w:t>7</w:t>
            </w:r>
            <w:r>
              <w:rPr>
                <w:rFonts w:hint="eastAsia" w:ascii="宋体" w:hAnsi="宋体" w:eastAsia="宋体" w:cs="宋体"/>
                <w:b/>
                <w:bCs/>
                <w:color w:val="000000"/>
                <w:sz w:val="21"/>
                <w:szCs w:val="21"/>
              </w:rPr>
              <w:t>分，未见阐述</w:t>
            </w:r>
            <w:r>
              <w:rPr>
                <w:rFonts w:hint="eastAsia" w:hAnsi="宋体" w:cs="宋体"/>
                <w:b/>
                <w:bCs/>
                <w:color w:val="000000"/>
                <w:sz w:val="21"/>
                <w:szCs w:val="21"/>
                <w:lang w:eastAsia="zh-CN"/>
              </w:rPr>
              <w:t>此项</w:t>
            </w:r>
            <w:r>
              <w:rPr>
                <w:rFonts w:hint="eastAsia" w:ascii="宋体" w:hAnsi="宋体" w:eastAsia="宋体" w:cs="宋体"/>
                <w:b/>
                <w:bCs/>
                <w:color w:val="000000"/>
                <w:sz w:val="21"/>
                <w:szCs w:val="21"/>
              </w:rPr>
              <w:t>不得分。</w:t>
            </w:r>
          </w:p>
        </w:tc>
        <w:tc>
          <w:tcPr>
            <w:tcW w:w="1117" w:type="dxa"/>
            <w:vAlign w:val="center"/>
          </w:tcPr>
          <w:p w14:paraId="5E84825E">
            <w:pPr>
              <w:snapToGrid w:val="0"/>
              <w:spacing w:line="360" w:lineRule="auto"/>
              <w:ind w:firstLine="420" w:firstLineChars="200"/>
              <w:jc w:val="left"/>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7</w:t>
            </w:r>
          </w:p>
        </w:tc>
      </w:tr>
      <w:tr w14:paraId="12431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4" w:hRule="atLeast"/>
        </w:trPr>
        <w:tc>
          <w:tcPr>
            <w:tcW w:w="810" w:type="dxa"/>
            <w:vAlign w:val="center"/>
          </w:tcPr>
          <w:p w14:paraId="5EAAC18E">
            <w:pPr>
              <w:snapToGrid w:val="0"/>
              <w:spacing w:line="360" w:lineRule="auto"/>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0</w:t>
            </w:r>
            <w:r>
              <w:rPr>
                <w:rFonts w:hint="eastAsia" w:ascii="宋体" w:hAnsi="宋体" w:eastAsia="宋体" w:cs="宋体"/>
                <w:color w:val="000000"/>
                <w:sz w:val="21"/>
                <w:szCs w:val="21"/>
                <w:lang w:val="en-US" w:eastAsia="zh-CN"/>
              </w:rPr>
              <w:t>5</w:t>
            </w:r>
          </w:p>
        </w:tc>
        <w:tc>
          <w:tcPr>
            <w:tcW w:w="8100" w:type="dxa"/>
            <w:gridSpan w:val="3"/>
            <w:vAlign w:val="center"/>
          </w:tcPr>
          <w:p w14:paraId="09B642F0">
            <w:pPr>
              <w:jc w:val="left"/>
              <w:rPr>
                <w:rFonts w:hint="eastAsia" w:ascii="宋体" w:hAnsi="宋体" w:eastAsia="宋体" w:cs="宋体"/>
                <w:sz w:val="21"/>
                <w:szCs w:val="21"/>
              </w:rPr>
            </w:pPr>
            <w:r>
              <w:rPr>
                <w:rFonts w:hint="eastAsia" w:ascii="宋体" w:hAnsi="宋体" w:eastAsia="宋体" w:cs="宋体"/>
                <w:sz w:val="21"/>
                <w:szCs w:val="21"/>
              </w:rPr>
              <w:t>各分部分项工程的施工方案及质量保证措施</w:t>
            </w:r>
          </w:p>
          <w:p w14:paraId="1160C141">
            <w:pPr>
              <w:spacing w:line="320" w:lineRule="exact"/>
              <w:ind w:firstLine="0" w:firstLineChars="0"/>
              <w:rPr>
                <w:rFonts w:hint="eastAsia" w:ascii="宋体" w:hAnsi="宋体" w:eastAsia="宋体" w:cs="宋体"/>
                <w:color w:val="000000"/>
                <w:sz w:val="21"/>
                <w:szCs w:val="21"/>
              </w:rPr>
            </w:pP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施工方案内容详实可靠、保证措施有力的得</w:t>
            </w:r>
            <w:r>
              <w:rPr>
                <w:rFonts w:hint="eastAsia" w:ascii="宋体" w:hAnsi="宋体" w:cs="宋体"/>
                <w:color w:val="000000"/>
                <w:sz w:val="21"/>
                <w:szCs w:val="21"/>
                <w:lang w:val="en-US" w:eastAsia="zh-CN"/>
              </w:rPr>
              <w:t>8</w:t>
            </w:r>
            <w:r>
              <w:rPr>
                <w:rFonts w:hint="eastAsia" w:ascii="宋体" w:hAnsi="宋体" w:eastAsia="宋体" w:cs="宋体"/>
                <w:color w:val="000000"/>
                <w:sz w:val="21"/>
                <w:szCs w:val="21"/>
              </w:rPr>
              <w:t>分；</w:t>
            </w:r>
          </w:p>
          <w:p w14:paraId="77458B98">
            <w:pPr>
              <w:spacing w:line="320" w:lineRule="exact"/>
              <w:ind w:firstLine="0" w:firstLineChars="0"/>
              <w:rPr>
                <w:rFonts w:hint="eastAsia" w:ascii="宋体" w:hAnsi="宋体" w:eastAsia="宋体" w:cs="宋体"/>
                <w:color w:val="000000"/>
                <w:sz w:val="21"/>
                <w:szCs w:val="21"/>
              </w:rPr>
            </w:pP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施工方案内容较详实可靠、保证措施较有力的得</w:t>
            </w:r>
            <w:r>
              <w:rPr>
                <w:rFonts w:hint="eastAsia" w:ascii="宋体" w:hAnsi="宋体" w:cs="宋体"/>
                <w:color w:val="000000"/>
                <w:sz w:val="21"/>
                <w:szCs w:val="21"/>
                <w:lang w:val="en-US" w:eastAsia="zh-CN"/>
              </w:rPr>
              <w:t>5</w:t>
            </w:r>
            <w:r>
              <w:rPr>
                <w:rFonts w:hint="eastAsia" w:ascii="宋体" w:hAnsi="宋体" w:eastAsia="宋体" w:cs="宋体"/>
                <w:color w:val="000000"/>
                <w:sz w:val="21"/>
                <w:szCs w:val="21"/>
              </w:rPr>
              <w:t>分；</w:t>
            </w:r>
          </w:p>
          <w:p w14:paraId="1A23AB1A">
            <w:pPr>
              <w:spacing w:line="320" w:lineRule="exact"/>
              <w:ind w:firstLine="0" w:firstLineChars="0"/>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施工方案内容一般、保证措施一般的得</w:t>
            </w:r>
            <w:r>
              <w:rPr>
                <w:rFonts w:hint="eastAsia" w:ascii="宋体" w:hAnsi="宋体" w:cs="宋体"/>
                <w:color w:val="000000"/>
                <w:sz w:val="21"/>
                <w:szCs w:val="21"/>
                <w:lang w:val="en-US" w:eastAsia="zh-CN"/>
              </w:rPr>
              <w:t>3</w:t>
            </w:r>
            <w:r>
              <w:rPr>
                <w:rFonts w:hint="eastAsia" w:ascii="宋体" w:hAnsi="宋体" w:eastAsia="宋体" w:cs="宋体"/>
                <w:color w:val="000000"/>
                <w:sz w:val="21"/>
                <w:szCs w:val="21"/>
              </w:rPr>
              <w:t>分</w:t>
            </w:r>
            <w:r>
              <w:rPr>
                <w:rFonts w:hint="eastAsia" w:ascii="宋体" w:hAnsi="宋体" w:cs="宋体"/>
                <w:color w:val="000000"/>
                <w:sz w:val="21"/>
                <w:szCs w:val="21"/>
                <w:lang w:eastAsia="zh-CN"/>
              </w:rPr>
              <w:t>；</w:t>
            </w:r>
          </w:p>
          <w:p w14:paraId="66A58464">
            <w:pPr>
              <w:pStyle w:val="56"/>
              <w:rPr>
                <w:rFonts w:hint="eastAsia" w:eastAsia="宋体"/>
                <w:lang w:eastAsia="zh-CN"/>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施工方案内容、保证措施</w:t>
            </w:r>
            <w:r>
              <w:rPr>
                <w:rFonts w:hint="eastAsia" w:ascii="宋体" w:hAnsi="宋体" w:eastAsia="宋体" w:cs="宋体"/>
                <w:color w:val="000000"/>
                <w:sz w:val="21"/>
                <w:szCs w:val="21"/>
                <w:lang w:eastAsia="zh-CN"/>
              </w:rPr>
              <w:t>较差</w:t>
            </w:r>
            <w:r>
              <w:rPr>
                <w:rFonts w:hint="eastAsia" w:ascii="宋体" w:hAnsi="宋体" w:eastAsia="宋体" w:cs="宋体"/>
                <w:color w:val="000000"/>
                <w:sz w:val="21"/>
                <w:szCs w:val="21"/>
              </w:rPr>
              <w:t>的得</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rPr>
              <w:t>分</w:t>
            </w:r>
            <w:r>
              <w:rPr>
                <w:rFonts w:hint="eastAsia" w:ascii="宋体" w:hAnsi="宋体" w:eastAsia="宋体" w:cs="宋体"/>
                <w:color w:val="000000"/>
                <w:sz w:val="21"/>
                <w:szCs w:val="21"/>
                <w:lang w:eastAsia="zh-CN"/>
              </w:rPr>
              <w:t>；</w:t>
            </w:r>
          </w:p>
          <w:p w14:paraId="18396F7C">
            <w:pPr>
              <w:pStyle w:val="57"/>
              <w:ind w:left="0" w:leftChars="0" w:firstLine="422" w:firstLineChars="200"/>
              <w:rPr>
                <w:rFonts w:hint="eastAsia" w:ascii="宋体" w:hAnsi="宋体" w:eastAsia="宋体" w:cs="宋体"/>
                <w:sz w:val="21"/>
                <w:szCs w:val="21"/>
              </w:rPr>
            </w:pPr>
            <w:r>
              <w:rPr>
                <w:rFonts w:hint="eastAsia" w:ascii="宋体" w:hAnsi="宋体" w:eastAsia="宋体" w:cs="宋体"/>
                <w:b/>
                <w:bCs/>
                <w:color w:val="000000"/>
                <w:sz w:val="21"/>
                <w:szCs w:val="21"/>
              </w:rPr>
              <w:t>满分</w:t>
            </w:r>
            <w:r>
              <w:rPr>
                <w:rFonts w:hint="eastAsia" w:hAnsi="宋体" w:cs="宋体"/>
                <w:b/>
                <w:bCs/>
                <w:color w:val="000000"/>
                <w:sz w:val="21"/>
                <w:szCs w:val="21"/>
                <w:lang w:val="en-US" w:eastAsia="zh-CN"/>
              </w:rPr>
              <w:t>8</w:t>
            </w:r>
            <w:r>
              <w:rPr>
                <w:rFonts w:hint="eastAsia" w:ascii="宋体" w:hAnsi="宋体" w:eastAsia="宋体" w:cs="宋体"/>
                <w:b/>
                <w:bCs/>
                <w:color w:val="000000"/>
                <w:sz w:val="21"/>
                <w:szCs w:val="21"/>
              </w:rPr>
              <w:t>分，未见阐述</w:t>
            </w:r>
            <w:r>
              <w:rPr>
                <w:rFonts w:hint="eastAsia" w:hAnsi="宋体" w:cs="宋体"/>
                <w:b/>
                <w:bCs/>
                <w:color w:val="000000"/>
                <w:sz w:val="21"/>
                <w:szCs w:val="21"/>
                <w:lang w:eastAsia="zh-CN"/>
              </w:rPr>
              <w:t>此项</w:t>
            </w:r>
            <w:r>
              <w:rPr>
                <w:rFonts w:hint="eastAsia" w:ascii="宋体" w:hAnsi="宋体" w:eastAsia="宋体" w:cs="宋体"/>
                <w:b/>
                <w:bCs/>
                <w:color w:val="000000"/>
                <w:sz w:val="21"/>
                <w:szCs w:val="21"/>
              </w:rPr>
              <w:t>不得分。</w:t>
            </w:r>
          </w:p>
        </w:tc>
        <w:tc>
          <w:tcPr>
            <w:tcW w:w="1117" w:type="dxa"/>
            <w:vAlign w:val="center"/>
          </w:tcPr>
          <w:p w14:paraId="149B5221">
            <w:pPr>
              <w:snapToGrid w:val="0"/>
              <w:spacing w:line="360" w:lineRule="auto"/>
              <w:ind w:firstLine="420" w:firstLineChars="200"/>
              <w:jc w:val="left"/>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8</w:t>
            </w:r>
          </w:p>
        </w:tc>
      </w:tr>
      <w:tr w14:paraId="6EBB4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0" w:type="dxa"/>
            <w:vAlign w:val="center"/>
          </w:tcPr>
          <w:p w14:paraId="10146E3A">
            <w:pPr>
              <w:snapToGrid w:val="0"/>
              <w:spacing w:line="360" w:lineRule="auto"/>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0</w:t>
            </w:r>
            <w:r>
              <w:rPr>
                <w:rFonts w:hint="eastAsia" w:ascii="宋体" w:hAnsi="宋体" w:eastAsia="宋体" w:cs="宋体"/>
                <w:color w:val="000000"/>
                <w:sz w:val="21"/>
                <w:szCs w:val="21"/>
                <w:lang w:val="en-US" w:eastAsia="zh-CN"/>
              </w:rPr>
              <w:t>6</w:t>
            </w:r>
          </w:p>
        </w:tc>
        <w:tc>
          <w:tcPr>
            <w:tcW w:w="8100" w:type="dxa"/>
            <w:gridSpan w:val="3"/>
            <w:vAlign w:val="center"/>
          </w:tcPr>
          <w:p w14:paraId="46BFE30F">
            <w:pPr>
              <w:jc w:val="left"/>
              <w:rPr>
                <w:rFonts w:hint="eastAsia" w:ascii="宋体" w:hAnsi="宋体" w:eastAsia="宋体" w:cs="宋体"/>
                <w:sz w:val="21"/>
                <w:szCs w:val="21"/>
              </w:rPr>
            </w:pPr>
            <w:r>
              <w:rPr>
                <w:rFonts w:hint="eastAsia" w:ascii="宋体" w:hAnsi="宋体" w:eastAsia="宋体" w:cs="宋体"/>
                <w:sz w:val="21"/>
                <w:szCs w:val="21"/>
              </w:rPr>
              <w:t>安全文明施工及环境保护措施</w:t>
            </w:r>
          </w:p>
          <w:p w14:paraId="664DE653">
            <w:pPr>
              <w:spacing w:line="320" w:lineRule="exact"/>
              <w:ind w:firstLine="0" w:firstLineChars="0"/>
              <w:rPr>
                <w:rFonts w:hint="eastAsia" w:ascii="宋体" w:hAnsi="宋体" w:eastAsia="宋体" w:cs="宋体"/>
                <w:color w:val="000000"/>
                <w:sz w:val="21"/>
                <w:szCs w:val="21"/>
              </w:rPr>
            </w:pP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措施得当有力的得</w:t>
            </w:r>
            <w:r>
              <w:rPr>
                <w:rFonts w:hint="eastAsia" w:ascii="宋体" w:hAnsi="宋体" w:cs="宋体"/>
                <w:color w:val="000000"/>
                <w:sz w:val="21"/>
                <w:szCs w:val="21"/>
                <w:lang w:val="en-US" w:eastAsia="zh-CN"/>
              </w:rPr>
              <w:t>6</w:t>
            </w:r>
            <w:r>
              <w:rPr>
                <w:rFonts w:hint="eastAsia" w:ascii="宋体" w:hAnsi="宋体" w:eastAsia="宋体" w:cs="宋体"/>
                <w:color w:val="000000"/>
                <w:sz w:val="21"/>
                <w:szCs w:val="21"/>
              </w:rPr>
              <w:t>分；</w:t>
            </w:r>
          </w:p>
          <w:p w14:paraId="14C8E954">
            <w:pPr>
              <w:spacing w:line="320" w:lineRule="exact"/>
              <w:ind w:firstLine="0" w:firstLineChars="0"/>
              <w:rPr>
                <w:rFonts w:hint="eastAsia" w:ascii="宋体" w:hAnsi="宋体" w:eastAsia="宋体" w:cs="宋体"/>
                <w:color w:val="000000"/>
                <w:sz w:val="21"/>
                <w:szCs w:val="21"/>
              </w:rPr>
            </w:pP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措施较得当有力的得</w:t>
            </w:r>
            <w:r>
              <w:rPr>
                <w:rFonts w:hint="eastAsia" w:ascii="宋体" w:hAnsi="宋体" w:cs="宋体"/>
                <w:color w:val="000000"/>
                <w:sz w:val="21"/>
                <w:szCs w:val="21"/>
                <w:lang w:val="en-US" w:eastAsia="zh-CN"/>
              </w:rPr>
              <w:t>4</w:t>
            </w:r>
            <w:r>
              <w:rPr>
                <w:rFonts w:hint="eastAsia" w:ascii="宋体" w:hAnsi="宋体" w:eastAsia="宋体" w:cs="宋体"/>
                <w:color w:val="000000"/>
                <w:sz w:val="21"/>
                <w:szCs w:val="21"/>
              </w:rPr>
              <w:t>分；</w:t>
            </w:r>
          </w:p>
          <w:p w14:paraId="0E6CC17F">
            <w:pPr>
              <w:spacing w:line="320" w:lineRule="exact"/>
              <w:ind w:firstLine="0" w:firstLineChars="0"/>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措施一般的得</w:t>
            </w:r>
            <w:r>
              <w:rPr>
                <w:rFonts w:hint="eastAsia" w:ascii="宋体" w:hAnsi="宋体" w:cs="宋体"/>
                <w:color w:val="000000"/>
                <w:sz w:val="21"/>
                <w:szCs w:val="21"/>
                <w:lang w:val="en-US" w:eastAsia="zh-CN"/>
              </w:rPr>
              <w:t>2</w:t>
            </w:r>
            <w:r>
              <w:rPr>
                <w:rFonts w:hint="eastAsia" w:ascii="宋体" w:hAnsi="宋体" w:eastAsia="宋体" w:cs="宋体"/>
                <w:color w:val="000000"/>
                <w:sz w:val="21"/>
                <w:szCs w:val="21"/>
              </w:rPr>
              <w:t>分</w:t>
            </w:r>
            <w:r>
              <w:rPr>
                <w:rFonts w:hint="eastAsia" w:ascii="宋体" w:hAnsi="宋体" w:cs="宋体"/>
                <w:color w:val="000000"/>
                <w:sz w:val="21"/>
                <w:szCs w:val="21"/>
                <w:lang w:eastAsia="zh-CN"/>
              </w:rPr>
              <w:t>；</w:t>
            </w:r>
          </w:p>
          <w:p w14:paraId="49BF894D">
            <w:pPr>
              <w:pStyle w:val="56"/>
              <w:rPr>
                <w:rFonts w:hint="eastAsia" w:eastAsia="宋体"/>
                <w:lang w:eastAsia="zh-CN"/>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措施</w:t>
            </w:r>
            <w:r>
              <w:rPr>
                <w:rFonts w:hint="eastAsia" w:ascii="宋体" w:hAnsi="宋体" w:eastAsia="宋体" w:cs="宋体"/>
                <w:color w:val="000000"/>
                <w:sz w:val="21"/>
                <w:szCs w:val="21"/>
                <w:lang w:eastAsia="zh-CN"/>
              </w:rPr>
              <w:t>较差</w:t>
            </w:r>
            <w:r>
              <w:rPr>
                <w:rFonts w:hint="eastAsia" w:ascii="宋体" w:hAnsi="宋体" w:eastAsia="宋体" w:cs="宋体"/>
                <w:color w:val="000000"/>
                <w:sz w:val="21"/>
                <w:szCs w:val="21"/>
              </w:rPr>
              <w:t>的得</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rPr>
              <w:t>分</w:t>
            </w:r>
            <w:r>
              <w:rPr>
                <w:rFonts w:hint="eastAsia" w:ascii="宋体" w:hAnsi="宋体" w:eastAsia="宋体" w:cs="宋体"/>
                <w:color w:val="000000"/>
                <w:sz w:val="21"/>
                <w:szCs w:val="21"/>
                <w:lang w:eastAsia="zh-CN"/>
              </w:rPr>
              <w:t>；</w:t>
            </w:r>
          </w:p>
          <w:p w14:paraId="0AD966C6">
            <w:pPr>
              <w:pStyle w:val="57"/>
              <w:ind w:left="0" w:leftChars="0" w:firstLine="422" w:firstLineChars="200"/>
              <w:rPr>
                <w:rFonts w:hint="eastAsia" w:ascii="宋体" w:hAnsi="宋体" w:eastAsia="宋体" w:cs="宋体"/>
                <w:sz w:val="21"/>
                <w:szCs w:val="21"/>
              </w:rPr>
            </w:pPr>
            <w:r>
              <w:rPr>
                <w:rFonts w:hint="eastAsia" w:ascii="宋体" w:hAnsi="宋体" w:eastAsia="宋体" w:cs="宋体"/>
                <w:b/>
                <w:bCs/>
                <w:color w:val="000000"/>
                <w:sz w:val="21"/>
                <w:szCs w:val="21"/>
              </w:rPr>
              <w:t>满分</w:t>
            </w:r>
            <w:r>
              <w:rPr>
                <w:rFonts w:hint="eastAsia" w:hAnsi="宋体" w:cs="宋体"/>
                <w:b/>
                <w:bCs/>
                <w:color w:val="000000"/>
                <w:sz w:val="21"/>
                <w:szCs w:val="21"/>
                <w:lang w:val="en-US" w:eastAsia="zh-CN"/>
              </w:rPr>
              <w:t>6</w:t>
            </w:r>
            <w:r>
              <w:rPr>
                <w:rFonts w:hint="eastAsia" w:ascii="宋体" w:hAnsi="宋体" w:eastAsia="宋体" w:cs="宋体"/>
                <w:b/>
                <w:bCs/>
                <w:color w:val="000000"/>
                <w:sz w:val="21"/>
                <w:szCs w:val="21"/>
              </w:rPr>
              <w:t>分，未见阐述</w:t>
            </w:r>
            <w:r>
              <w:rPr>
                <w:rFonts w:hint="eastAsia" w:hAnsi="宋体" w:cs="宋体"/>
                <w:b/>
                <w:bCs/>
                <w:color w:val="000000"/>
                <w:sz w:val="21"/>
                <w:szCs w:val="21"/>
                <w:lang w:eastAsia="zh-CN"/>
              </w:rPr>
              <w:t>此项</w:t>
            </w:r>
            <w:r>
              <w:rPr>
                <w:rFonts w:hint="eastAsia" w:ascii="宋体" w:hAnsi="宋体" w:eastAsia="宋体" w:cs="宋体"/>
                <w:b/>
                <w:bCs/>
                <w:color w:val="000000"/>
                <w:sz w:val="21"/>
                <w:szCs w:val="21"/>
              </w:rPr>
              <w:t>不得分。</w:t>
            </w:r>
          </w:p>
        </w:tc>
        <w:tc>
          <w:tcPr>
            <w:tcW w:w="1117" w:type="dxa"/>
            <w:vAlign w:val="center"/>
          </w:tcPr>
          <w:p w14:paraId="6007AC12">
            <w:pPr>
              <w:snapToGrid w:val="0"/>
              <w:spacing w:line="360" w:lineRule="auto"/>
              <w:ind w:firstLine="420" w:firstLineChars="200"/>
              <w:jc w:val="left"/>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6</w:t>
            </w:r>
          </w:p>
        </w:tc>
      </w:tr>
      <w:tr w14:paraId="0B342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7" w:hRule="atLeast"/>
        </w:trPr>
        <w:tc>
          <w:tcPr>
            <w:tcW w:w="810" w:type="dxa"/>
            <w:vAlign w:val="center"/>
          </w:tcPr>
          <w:p w14:paraId="3B07703E">
            <w:pPr>
              <w:snapToGrid w:val="0"/>
              <w:spacing w:line="360" w:lineRule="auto"/>
              <w:jc w:val="center"/>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07</w:t>
            </w:r>
          </w:p>
        </w:tc>
        <w:tc>
          <w:tcPr>
            <w:tcW w:w="8100" w:type="dxa"/>
            <w:gridSpan w:val="3"/>
            <w:vAlign w:val="center"/>
          </w:tcPr>
          <w:p w14:paraId="51BFD195">
            <w:pPr>
              <w:pStyle w:val="57"/>
              <w:ind w:left="0" w:leftChars="0" w:firstLine="0" w:firstLineChars="0"/>
              <w:rPr>
                <w:rFonts w:hint="eastAsia" w:ascii="宋体" w:hAnsi="宋体" w:cs="宋体"/>
                <w:color w:val="000000"/>
                <w:szCs w:val="21"/>
                <w:lang w:val="en-US" w:eastAsia="zh-CN"/>
              </w:rPr>
            </w:pPr>
            <w:r>
              <w:rPr>
                <w:rFonts w:hint="eastAsia" w:ascii="宋体" w:hAnsi="宋体" w:cs="宋体"/>
                <w:color w:val="000000"/>
                <w:szCs w:val="21"/>
                <w:lang w:val="en-US" w:eastAsia="zh-CN"/>
              </w:rPr>
              <w:t>绿化养护计划及质量控制措施</w:t>
            </w:r>
          </w:p>
          <w:p w14:paraId="4DA425B6">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根据针对本项目的养护月历计划及质量保证措施是否得当、是否合理符合实际要求；包括但不限于工作时效、</w:t>
            </w:r>
            <w:r>
              <w:rPr>
                <w:rFonts w:hint="eastAsia" w:ascii="宋体" w:hAnsi="宋体" w:cs="宋体"/>
                <w:color w:val="000000"/>
                <w:szCs w:val="21"/>
                <w:lang w:eastAsia="zh-CN"/>
              </w:rPr>
              <w:t>质量控制</w:t>
            </w:r>
            <w:r>
              <w:rPr>
                <w:rFonts w:hint="eastAsia" w:ascii="宋体" w:hAnsi="宋体" w:eastAsia="宋体" w:cs="宋体"/>
                <w:color w:val="000000"/>
                <w:szCs w:val="21"/>
                <w:lang w:eastAsia="zh-CN"/>
              </w:rPr>
              <w:t>、节气特点等方面措施等情况进行评分；</w:t>
            </w:r>
          </w:p>
          <w:p w14:paraId="65EFCA96">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（1）科学合理，内容详细完整，操作性、实用性强：</w:t>
            </w:r>
            <w:r>
              <w:rPr>
                <w:rFonts w:hint="eastAsia" w:ascii="宋体" w:hAnsi="宋体" w:eastAsia="宋体" w:cs="宋体"/>
                <w:color w:val="000000"/>
                <w:szCs w:val="21"/>
                <w:lang w:val="en-US" w:eastAsia="zh-CN"/>
              </w:rPr>
              <w:t>8</w:t>
            </w:r>
            <w:r>
              <w:rPr>
                <w:rFonts w:hint="eastAsia" w:ascii="宋体" w:hAnsi="宋体" w:eastAsia="宋体" w:cs="宋体"/>
                <w:color w:val="000000"/>
                <w:szCs w:val="21"/>
                <w:lang w:eastAsia="zh-CN"/>
              </w:rPr>
              <w:t>分；</w:t>
            </w:r>
          </w:p>
          <w:p w14:paraId="3E5002BE">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（2）较为科学合理，内容较为详细完整，操作性、实用性较强：</w:t>
            </w:r>
            <w:r>
              <w:rPr>
                <w:rFonts w:hint="eastAsia" w:ascii="宋体" w:hAnsi="宋体" w:eastAsia="宋体" w:cs="宋体"/>
                <w:color w:val="000000"/>
                <w:szCs w:val="21"/>
                <w:lang w:val="en-US" w:eastAsia="zh-CN"/>
              </w:rPr>
              <w:t>5</w:t>
            </w:r>
            <w:r>
              <w:rPr>
                <w:rFonts w:hint="eastAsia" w:ascii="宋体" w:hAnsi="宋体" w:eastAsia="宋体" w:cs="宋体"/>
                <w:color w:val="000000"/>
                <w:szCs w:val="21"/>
                <w:lang w:eastAsia="zh-CN"/>
              </w:rPr>
              <w:t>分；</w:t>
            </w:r>
          </w:p>
          <w:p w14:paraId="7911D07B">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（3）基本合理，内容不详细，操作性、实用性一般：</w:t>
            </w:r>
            <w:r>
              <w:rPr>
                <w:rFonts w:hint="eastAsia" w:ascii="宋体" w:hAnsi="宋体" w:eastAsia="宋体" w:cs="宋体"/>
                <w:color w:val="000000"/>
                <w:szCs w:val="21"/>
                <w:lang w:val="en-US" w:eastAsia="zh-CN"/>
              </w:rPr>
              <w:t>3</w:t>
            </w:r>
            <w:r>
              <w:rPr>
                <w:rFonts w:hint="eastAsia" w:ascii="宋体" w:hAnsi="宋体" w:eastAsia="宋体" w:cs="宋体"/>
                <w:color w:val="000000"/>
                <w:szCs w:val="21"/>
                <w:lang w:eastAsia="zh-CN"/>
              </w:rPr>
              <w:t>分；</w:t>
            </w:r>
          </w:p>
          <w:p w14:paraId="77444852">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（4）合理性，完整性、操作性、实用性较差，内容不详细：</w:t>
            </w:r>
            <w:r>
              <w:rPr>
                <w:rFonts w:hint="eastAsia" w:ascii="宋体" w:hAnsi="宋体" w:eastAsia="宋体" w:cs="宋体"/>
                <w:color w:val="000000"/>
                <w:szCs w:val="21"/>
                <w:lang w:val="en-US" w:eastAsia="zh-CN"/>
              </w:rPr>
              <w:t>1</w:t>
            </w:r>
            <w:r>
              <w:rPr>
                <w:rFonts w:hint="eastAsia" w:ascii="宋体" w:hAnsi="宋体" w:eastAsia="宋体" w:cs="宋体"/>
                <w:color w:val="000000"/>
                <w:szCs w:val="21"/>
                <w:lang w:eastAsia="zh-CN"/>
              </w:rPr>
              <w:t>分；</w:t>
            </w:r>
          </w:p>
          <w:p w14:paraId="62907BF2">
            <w:pPr>
              <w:ind w:firstLine="422" w:firstLineChars="200"/>
              <w:rPr>
                <w:rFonts w:hint="eastAsia"/>
              </w:rPr>
            </w:pPr>
            <w:r>
              <w:rPr>
                <w:rFonts w:hint="eastAsia" w:ascii="宋体" w:hAnsi="宋体" w:cs="宋体"/>
                <w:b/>
                <w:bCs/>
                <w:color w:val="000000"/>
                <w:szCs w:val="21"/>
              </w:rPr>
              <w:t>满分</w:t>
            </w:r>
            <w:r>
              <w:rPr>
                <w:rFonts w:hint="eastAsia" w:ascii="宋体" w:hAnsi="宋体" w:cs="宋体"/>
                <w:b/>
                <w:bCs/>
                <w:color w:val="000000"/>
                <w:szCs w:val="21"/>
                <w:lang w:val="en-US" w:eastAsia="zh-CN"/>
              </w:rPr>
              <w:t>8</w:t>
            </w:r>
            <w:r>
              <w:rPr>
                <w:rFonts w:hint="eastAsia" w:ascii="宋体" w:hAnsi="宋体" w:cs="宋体"/>
                <w:b/>
                <w:bCs/>
                <w:color w:val="000000"/>
                <w:szCs w:val="21"/>
              </w:rPr>
              <w:t>分，未见阐述此项不得分。</w:t>
            </w:r>
          </w:p>
        </w:tc>
        <w:tc>
          <w:tcPr>
            <w:tcW w:w="1117" w:type="dxa"/>
            <w:vAlign w:val="center"/>
          </w:tcPr>
          <w:p w14:paraId="3258A657">
            <w:pPr>
              <w:snapToGrid w:val="0"/>
              <w:spacing w:line="360" w:lineRule="auto"/>
              <w:ind w:firstLine="420" w:firstLineChars="200"/>
              <w:jc w:val="left"/>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8</w:t>
            </w:r>
          </w:p>
        </w:tc>
      </w:tr>
      <w:tr w14:paraId="38A80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trPr>
        <w:tc>
          <w:tcPr>
            <w:tcW w:w="810" w:type="dxa"/>
            <w:vAlign w:val="center"/>
          </w:tcPr>
          <w:p w14:paraId="40A22A1E">
            <w:pPr>
              <w:snapToGrid w:val="0"/>
              <w:spacing w:line="360" w:lineRule="auto"/>
              <w:jc w:val="center"/>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08</w:t>
            </w:r>
          </w:p>
        </w:tc>
        <w:tc>
          <w:tcPr>
            <w:tcW w:w="8100" w:type="dxa"/>
            <w:gridSpan w:val="3"/>
            <w:vAlign w:val="center"/>
          </w:tcPr>
          <w:p w14:paraId="63A8A242">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40" w:lineRule="exact"/>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绿化</w:t>
            </w:r>
            <w:r>
              <w:rPr>
                <w:rFonts w:hint="eastAsia" w:ascii="宋体" w:hAnsi="宋体" w:eastAsia="宋体" w:cs="宋体"/>
                <w:sz w:val="21"/>
                <w:szCs w:val="21"/>
              </w:rPr>
              <w:t>病虫害防治</w:t>
            </w:r>
          </w:p>
          <w:p w14:paraId="39738CCA">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根据针对本项目的病虫害防治方案</w:t>
            </w:r>
            <w:r>
              <w:rPr>
                <w:rFonts w:hint="eastAsia" w:ascii="宋体" w:hAnsi="宋体" w:eastAsia="宋体" w:cs="宋体"/>
                <w:color w:val="000000"/>
                <w:sz w:val="21"/>
                <w:szCs w:val="21"/>
              </w:rPr>
              <w:t>从</w:t>
            </w:r>
            <w:r>
              <w:rPr>
                <w:rFonts w:hint="eastAsia" w:ascii="宋体" w:hAnsi="宋体" w:eastAsia="宋体" w:cs="宋体"/>
                <w:color w:val="000000"/>
                <w:sz w:val="21"/>
                <w:szCs w:val="21"/>
                <w:lang w:eastAsia="zh-CN"/>
              </w:rPr>
              <w:t>科学</w:t>
            </w:r>
            <w:r>
              <w:rPr>
                <w:rFonts w:hint="eastAsia" w:ascii="宋体" w:hAnsi="宋体" w:eastAsia="宋体" w:cs="宋体"/>
                <w:color w:val="000000"/>
                <w:sz w:val="21"/>
                <w:szCs w:val="21"/>
              </w:rPr>
              <w:t>合理性、针对性、</w:t>
            </w:r>
            <w:r>
              <w:rPr>
                <w:rFonts w:hint="eastAsia" w:ascii="宋体" w:hAnsi="宋体" w:eastAsia="宋体" w:cs="宋体"/>
                <w:color w:val="000000"/>
                <w:sz w:val="21"/>
                <w:szCs w:val="21"/>
                <w:lang w:eastAsia="zh-CN"/>
              </w:rPr>
              <w:t>全面性、</w:t>
            </w:r>
            <w:r>
              <w:rPr>
                <w:rFonts w:hint="eastAsia" w:ascii="宋体" w:hAnsi="宋体" w:eastAsia="宋体" w:cs="宋体"/>
                <w:color w:val="000000"/>
                <w:sz w:val="21"/>
                <w:szCs w:val="21"/>
              </w:rPr>
              <w:t>可操作性等情况进行评分</w:t>
            </w:r>
            <w:r>
              <w:rPr>
                <w:rFonts w:hint="eastAsia" w:ascii="宋体" w:hAnsi="宋体" w:eastAsia="宋体" w:cs="宋体"/>
                <w:color w:val="000000"/>
                <w:sz w:val="21"/>
                <w:szCs w:val="21"/>
                <w:lang w:eastAsia="zh-CN"/>
              </w:rPr>
              <w:t>：</w:t>
            </w:r>
          </w:p>
          <w:p w14:paraId="7A145846">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（1）病虫害防治方案科学合理，内容详细完整，针对性、操作性、实用性强：</w:t>
            </w:r>
            <w:r>
              <w:rPr>
                <w:rFonts w:hint="eastAsia" w:ascii="宋体" w:hAnsi="宋体" w:eastAsia="宋体" w:cs="宋体"/>
                <w:color w:val="000000"/>
                <w:szCs w:val="21"/>
                <w:lang w:val="en-US" w:eastAsia="zh-CN"/>
              </w:rPr>
              <w:t>7</w:t>
            </w:r>
            <w:r>
              <w:rPr>
                <w:rFonts w:hint="eastAsia" w:ascii="宋体" w:hAnsi="宋体" w:eastAsia="宋体" w:cs="宋体"/>
                <w:color w:val="000000"/>
                <w:szCs w:val="21"/>
                <w:lang w:eastAsia="zh-CN"/>
              </w:rPr>
              <w:t>分；</w:t>
            </w:r>
          </w:p>
          <w:p w14:paraId="7C77A0B6">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（2）病虫害防治方案较为科学合理，内容较为详细完整，针对性、操作性、实用性较强：</w:t>
            </w:r>
            <w:r>
              <w:rPr>
                <w:rFonts w:hint="eastAsia" w:ascii="宋体" w:hAnsi="宋体" w:eastAsia="宋体" w:cs="宋体"/>
                <w:color w:val="000000"/>
                <w:szCs w:val="21"/>
                <w:lang w:val="en-US" w:eastAsia="zh-CN"/>
              </w:rPr>
              <w:t>5</w:t>
            </w:r>
            <w:r>
              <w:rPr>
                <w:rFonts w:hint="eastAsia" w:ascii="宋体" w:hAnsi="宋体" w:eastAsia="宋体" w:cs="宋体"/>
                <w:color w:val="000000"/>
                <w:szCs w:val="21"/>
                <w:lang w:eastAsia="zh-CN"/>
              </w:rPr>
              <w:t>分；</w:t>
            </w:r>
          </w:p>
          <w:p w14:paraId="4A2EC179">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（3）病虫害防治方案基本合理，内容不太详细，针对性、可行性一般：</w:t>
            </w:r>
            <w:r>
              <w:rPr>
                <w:rFonts w:hint="eastAsia" w:ascii="宋体" w:hAnsi="宋体" w:eastAsia="宋体" w:cs="宋体"/>
                <w:color w:val="000000"/>
                <w:szCs w:val="21"/>
                <w:lang w:val="en-US" w:eastAsia="zh-CN"/>
              </w:rPr>
              <w:t>3</w:t>
            </w:r>
            <w:r>
              <w:rPr>
                <w:rFonts w:hint="eastAsia" w:ascii="宋体" w:hAnsi="宋体" w:eastAsia="宋体" w:cs="宋体"/>
                <w:color w:val="000000"/>
                <w:szCs w:val="21"/>
                <w:lang w:eastAsia="zh-CN"/>
              </w:rPr>
              <w:t>分；</w:t>
            </w:r>
          </w:p>
          <w:p w14:paraId="26BE261F">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（4）病虫害防治方案合理性，完整性、针对性、可行性较差，内容不详细：</w:t>
            </w:r>
            <w:r>
              <w:rPr>
                <w:rFonts w:hint="eastAsia" w:ascii="宋体" w:hAnsi="宋体" w:eastAsia="宋体" w:cs="宋体"/>
                <w:color w:val="000000"/>
                <w:szCs w:val="21"/>
                <w:lang w:val="en-US" w:eastAsia="zh-CN"/>
              </w:rPr>
              <w:t>1</w:t>
            </w:r>
            <w:r>
              <w:rPr>
                <w:rFonts w:hint="eastAsia" w:ascii="宋体" w:hAnsi="宋体" w:eastAsia="宋体" w:cs="宋体"/>
                <w:color w:val="000000"/>
                <w:szCs w:val="21"/>
                <w:lang w:eastAsia="zh-CN"/>
              </w:rPr>
              <w:t>分；</w:t>
            </w:r>
          </w:p>
          <w:p w14:paraId="4980E215">
            <w:pPr>
              <w:pStyle w:val="57"/>
              <w:ind w:left="0" w:leftChars="0" w:firstLine="422" w:firstLineChars="200"/>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满分</w:t>
            </w:r>
            <w:r>
              <w:rPr>
                <w:rFonts w:hint="eastAsia" w:hAnsi="宋体" w:cs="宋体"/>
                <w:b/>
                <w:bCs/>
                <w:color w:val="000000"/>
                <w:sz w:val="21"/>
                <w:szCs w:val="21"/>
                <w:lang w:val="en-US" w:eastAsia="zh-CN"/>
              </w:rPr>
              <w:t>7</w:t>
            </w:r>
            <w:r>
              <w:rPr>
                <w:rFonts w:hint="eastAsia" w:ascii="宋体" w:hAnsi="宋体" w:eastAsia="宋体" w:cs="宋体"/>
                <w:b/>
                <w:bCs/>
                <w:color w:val="000000"/>
                <w:sz w:val="21"/>
                <w:szCs w:val="21"/>
              </w:rPr>
              <w:t>分，未见阐述</w:t>
            </w:r>
            <w:r>
              <w:rPr>
                <w:rFonts w:hint="eastAsia" w:hAnsi="宋体" w:cs="宋体"/>
                <w:b/>
                <w:bCs/>
                <w:color w:val="000000"/>
                <w:sz w:val="21"/>
                <w:szCs w:val="21"/>
                <w:lang w:eastAsia="zh-CN"/>
              </w:rPr>
              <w:t>此项</w:t>
            </w:r>
            <w:r>
              <w:rPr>
                <w:rFonts w:hint="eastAsia" w:ascii="宋体" w:hAnsi="宋体" w:eastAsia="宋体" w:cs="宋体"/>
                <w:b/>
                <w:bCs/>
                <w:color w:val="000000"/>
                <w:sz w:val="21"/>
                <w:szCs w:val="21"/>
              </w:rPr>
              <w:t>不得分。</w:t>
            </w:r>
          </w:p>
        </w:tc>
        <w:tc>
          <w:tcPr>
            <w:tcW w:w="1117" w:type="dxa"/>
            <w:vAlign w:val="center"/>
          </w:tcPr>
          <w:p w14:paraId="24B13C17">
            <w:pPr>
              <w:snapToGrid w:val="0"/>
              <w:spacing w:line="360" w:lineRule="auto"/>
              <w:ind w:firstLine="420" w:firstLineChars="200"/>
              <w:jc w:val="left"/>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7</w:t>
            </w:r>
          </w:p>
        </w:tc>
      </w:tr>
      <w:tr w14:paraId="2930B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2" w:hRule="atLeast"/>
        </w:trPr>
        <w:tc>
          <w:tcPr>
            <w:tcW w:w="810" w:type="dxa"/>
            <w:vAlign w:val="center"/>
          </w:tcPr>
          <w:p w14:paraId="25869AC1">
            <w:pPr>
              <w:snapToGrid w:val="0"/>
              <w:spacing w:line="360" w:lineRule="auto"/>
              <w:jc w:val="center"/>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09</w:t>
            </w:r>
          </w:p>
        </w:tc>
        <w:tc>
          <w:tcPr>
            <w:tcW w:w="8100" w:type="dxa"/>
            <w:gridSpan w:val="3"/>
            <w:vAlign w:val="center"/>
          </w:tcPr>
          <w:p w14:paraId="0E702E8D">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项目</w:t>
            </w:r>
            <w:r>
              <w:rPr>
                <w:rFonts w:hint="eastAsia" w:ascii="宋体" w:hAnsi="宋体" w:eastAsia="宋体" w:cs="宋体"/>
                <w:color w:val="000000"/>
                <w:szCs w:val="21"/>
                <w:lang w:eastAsia="zh-CN"/>
              </w:rPr>
              <w:t>技术人员及机械设备配备部署措施</w:t>
            </w:r>
          </w:p>
          <w:p w14:paraId="7046CB05">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根据针对本项目的技术人员及机械配备的数量、合理性、针对性、岗位职责、工作流程、规章制度、机械设备合理部署等情况进行评分：</w:t>
            </w:r>
          </w:p>
          <w:p w14:paraId="30001BB9">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（1）科学合理，内容详细完整，操作性、实用性强：</w:t>
            </w:r>
            <w:r>
              <w:rPr>
                <w:rFonts w:hint="eastAsia" w:ascii="宋体" w:hAnsi="宋体" w:eastAsia="宋体" w:cs="宋体"/>
                <w:color w:val="000000"/>
                <w:szCs w:val="21"/>
                <w:lang w:val="en-US" w:eastAsia="zh-CN"/>
              </w:rPr>
              <w:t>6</w:t>
            </w:r>
            <w:r>
              <w:rPr>
                <w:rFonts w:hint="eastAsia" w:ascii="宋体" w:hAnsi="宋体" w:eastAsia="宋体" w:cs="宋体"/>
                <w:color w:val="000000"/>
                <w:szCs w:val="21"/>
                <w:lang w:eastAsia="zh-CN"/>
              </w:rPr>
              <w:t>分；</w:t>
            </w:r>
          </w:p>
          <w:p w14:paraId="365430FA">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（2）较为科学合理，内容较为详细完整，操作性、实用性较强：</w:t>
            </w:r>
            <w:r>
              <w:rPr>
                <w:rFonts w:hint="eastAsia" w:ascii="宋体" w:hAnsi="宋体" w:eastAsia="宋体" w:cs="宋体"/>
                <w:color w:val="000000"/>
                <w:szCs w:val="21"/>
                <w:lang w:val="en-US" w:eastAsia="zh-CN"/>
              </w:rPr>
              <w:t>4</w:t>
            </w:r>
            <w:r>
              <w:rPr>
                <w:rFonts w:hint="eastAsia" w:ascii="宋体" w:hAnsi="宋体" w:eastAsia="宋体" w:cs="宋体"/>
                <w:color w:val="000000"/>
                <w:szCs w:val="21"/>
                <w:lang w:eastAsia="zh-CN"/>
              </w:rPr>
              <w:t>分；</w:t>
            </w:r>
          </w:p>
          <w:p w14:paraId="76B784F7">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（3）基本合理，内容不详细，操作性、实用性一般：</w:t>
            </w:r>
            <w:r>
              <w:rPr>
                <w:rFonts w:hint="eastAsia" w:ascii="宋体" w:hAnsi="宋体" w:eastAsia="宋体" w:cs="宋体"/>
                <w:color w:val="000000"/>
                <w:szCs w:val="21"/>
                <w:lang w:val="en-US" w:eastAsia="zh-CN"/>
              </w:rPr>
              <w:t>2</w:t>
            </w:r>
            <w:r>
              <w:rPr>
                <w:rFonts w:hint="eastAsia" w:ascii="宋体" w:hAnsi="宋体" w:eastAsia="宋体" w:cs="宋体"/>
                <w:color w:val="000000"/>
                <w:szCs w:val="21"/>
                <w:lang w:eastAsia="zh-CN"/>
              </w:rPr>
              <w:t>分；</w:t>
            </w:r>
          </w:p>
          <w:p w14:paraId="03A010D2">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（4）合理性，完整性、操作性、实用性较差，内容不详细：</w:t>
            </w:r>
            <w:r>
              <w:rPr>
                <w:rFonts w:hint="eastAsia" w:ascii="宋体" w:hAnsi="宋体" w:eastAsia="宋体" w:cs="宋体"/>
                <w:color w:val="000000"/>
                <w:szCs w:val="21"/>
                <w:lang w:val="en-US" w:eastAsia="zh-CN"/>
              </w:rPr>
              <w:t>1</w:t>
            </w:r>
            <w:r>
              <w:rPr>
                <w:rFonts w:hint="eastAsia" w:ascii="宋体" w:hAnsi="宋体" w:eastAsia="宋体" w:cs="宋体"/>
                <w:color w:val="000000"/>
                <w:szCs w:val="21"/>
                <w:lang w:eastAsia="zh-CN"/>
              </w:rPr>
              <w:t>分；</w:t>
            </w:r>
          </w:p>
          <w:p w14:paraId="6BA435B6">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40" w:lineRule="exact"/>
              <w:ind w:firstLine="422" w:firstLineChars="200"/>
              <w:jc w:val="left"/>
              <w:textAlignment w:val="auto"/>
              <w:rPr>
                <w:rFonts w:hint="eastAsia" w:ascii="宋体" w:hAnsi="宋体" w:eastAsia="宋体" w:cs="宋体"/>
                <w:color w:val="000000"/>
                <w:szCs w:val="21"/>
                <w:lang w:eastAsia="zh-CN"/>
              </w:rPr>
            </w:pPr>
            <w:r>
              <w:rPr>
                <w:rFonts w:hint="eastAsia" w:ascii="宋体" w:hAnsi="宋体" w:eastAsia="宋体" w:cs="宋体"/>
                <w:b/>
                <w:bCs/>
                <w:color w:val="000000"/>
                <w:szCs w:val="21"/>
                <w:lang w:eastAsia="zh-CN"/>
              </w:rPr>
              <w:t>满分</w:t>
            </w:r>
            <w:r>
              <w:rPr>
                <w:rFonts w:hint="eastAsia" w:ascii="宋体" w:hAnsi="宋体" w:eastAsia="宋体" w:cs="宋体"/>
                <w:b/>
                <w:bCs/>
                <w:color w:val="000000"/>
                <w:szCs w:val="21"/>
                <w:lang w:val="en-US" w:eastAsia="zh-CN"/>
              </w:rPr>
              <w:t>6</w:t>
            </w:r>
            <w:r>
              <w:rPr>
                <w:rFonts w:hint="eastAsia" w:ascii="宋体" w:hAnsi="宋体" w:eastAsia="宋体" w:cs="宋体"/>
                <w:b/>
                <w:bCs/>
                <w:color w:val="000000"/>
                <w:szCs w:val="21"/>
                <w:lang w:eastAsia="zh-CN"/>
              </w:rPr>
              <w:t>分，未见阐述</w:t>
            </w:r>
            <w:r>
              <w:rPr>
                <w:rFonts w:hint="eastAsia" w:ascii="宋体" w:hAnsi="宋体" w:cs="宋体"/>
                <w:b/>
                <w:bCs/>
                <w:color w:val="000000"/>
                <w:szCs w:val="21"/>
                <w:lang w:eastAsia="zh-CN"/>
              </w:rPr>
              <w:t>此项</w:t>
            </w:r>
            <w:r>
              <w:rPr>
                <w:rFonts w:hint="eastAsia" w:ascii="宋体" w:hAnsi="宋体" w:eastAsia="宋体" w:cs="宋体"/>
                <w:b/>
                <w:bCs/>
                <w:color w:val="000000"/>
                <w:szCs w:val="21"/>
                <w:lang w:eastAsia="zh-CN"/>
              </w:rPr>
              <w:t>不得分</w:t>
            </w:r>
            <w:r>
              <w:rPr>
                <w:rFonts w:hint="eastAsia" w:ascii="宋体" w:hAnsi="宋体" w:eastAsia="宋体" w:cs="宋体"/>
                <w:color w:val="000000"/>
                <w:szCs w:val="21"/>
                <w:lang w:eastAsia="zh-CN"/>
              </w:rPr>
              <w:t>。</w:t>
            </w:r>
          </w:p>
        </w:tc>
        <w:tc>
          <w:tcPr>
            <w:tcW w:w="1117" w:type="dxa"/>
            <w:vAlign w:val="center"/>
          </w:tcPr>
          <w:p w14:paraId="1437AB66">
            <w:pPr>
              <w:snapToGrid w:val="0"/>
              <w:spacing w:line="360" w:lineRule="auto"/>
              <w:ind w:firstLine="420" w:firstLineChars="200"/>
              <w:jc w:val="left"/>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6</w:t>
            </w:r>
          </w:p>
        </w:tc>
      </w:tr>
    </w:tbl>
    <w:p w14:paraId="5229139C">
      <w:pPr>
        <w:sectPr>
          <w:pgSz w:w="11906" w:h="16838"/>
          <w:pgMar w:top="1134" w:right="1134" w:bottom="1134" w:left="1622" w:header="851" w:footer="992" w:gutter="0"/>
          <w:cols w:space="720" w:num="1"/>
          <w:docGrid w:linePitch="360" w:charSpace="0"/>
        </w:sectPr>
      </w:pPr>
    </w:p>
    <w:p w14:paraId="50B1B575"/>
    <w:p w14:paraId="3367FFC7">
      <w:pPr>
        <w:pStyle w:val="2"/>
        <w:spacing w:line="500" w:lineRule="exact"/>
        <w:jc w:val="center"/>
        <w:rPr>
          <w:rFonts w:ascii="Times New Roman" w:eastAsia="宋体"/>
          <w:b/>
          <w:color w:val="auto"/>
          <w:sz w:val="36"/>
          <w:szCs w:val="36"/>
          <w:highlight w:val="none"/>
        </w:rPr>
      </w:pPr>
      <w:bookmarkStart w:id="250" w:name="_Toc1756"/>
      <w:r>
        <w:rPr>
          <w:rFonts w:ascii="Times New Roman" w:eastAsia="宋体"/>
          <w:b/>
          <w:color w:val="auto"/>
          <w:sz w:val="36"/>
          <w:szCs w:val="36"/>
          <w:highlight w:val="none"/>
        </w:rPr>
        <w:t>第六章  竞争性磋商响应文件格式</w:t>
      </w:r>
      <w:bookmarkEnd w:id="249"/>
      <w:bookmarkEnd w:id="250"/>
    </w:p>
    <w:p w14:paraId="1BBF4670">
      <w:pPr>
        <w:spacing w:line="500" w:lineRule="exact"/>
        <w:jc w:val="center"/>
        <w:rPr>
          <w:color w:val="auto"/>
          <w:sz w:val="72"/>
          <w:szCs w:val="21"/>
          <w:highlight w:val="none"/>
        </w:rPr>
      </w:pPr>
    </w:p>
    <w:p w14:paraId="6E6319B7">
      <w:pPr>
        <w:spacing w:line="500" w:lineRule="exact"/>
        <w:jc w:val="center"/>
        <w:rPr>
          <w:color w:val="auto"/>
          <w:sz w:val="72"/>
          <w:szCs w:val="21"/>
          <w:highlight w:val="none"/>
        </w:rPr>
      </w:pPr>
    </w:p>
    <w:p w14:paraId="755335D0">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响  应  文  件</w:t>
      </w:r>
    </w:p>
    <w:p w14:paraId="377810C9">
      <w:pPr>
        <w:jc w:val="center"/>
        <w:rPr>
          <w:rFonts w:ascii="宋体" w:hAnsi="宋体" w:eastAsia="宋体" w:cs="Times New Roman"/>
          <w:b/>
          <w:color w:val="auto"/>
          <w:sz w:val="72"/>
          <w:szCs w:val="21"/>
          <w:highlight w:val="none"/>
        </w:rPr>
      </w:pPr>
    </w:p>
    <w:p w14:paraId="048F500A">
      <w:pPr>
        <w:jc w:val="center"/>
        <w:rPr>
          <w:rFonts w:ascii="宋体" w:hAnsi="宋体" w:eastAsia="宋体" w:cs="Times New Roman"/>
          <w:b/>
          <w:color w:val="auto"/>
          <w:sz w:val="72"/>
          <w:szCs w:val="21"/>
          <w:highlight w:val="none"/>
        </w:rPr>
      </w:pPr>
    </w:p>
    <w:p w14:paraId="0DAF7B1D">
      <w:pPr>
        <w:jc w:val="center"/>
        <w:rPr>
          <w:rFonts w:ascii="宋体" w:hAnsi="宋体" w:eastAsia="宋体" w:cs="Times New Roman"/>
          <w:b/>
          <w:color w:val="auto"/>
          <w:sz w:val="36"/>
          <w:szCs w:val="21"/>
          <w:highlight w:val="none"/>
        </w:rPr>
      </w:pPr>
    </w:p>
    <w:p w14:paraId="42C13C39">
      <w:pPr>
        <w:jc w:val="center"/>
        <w:rPr>
          <w:rFonts w:ascii="宋体" w:hAnsi="宋体" w:eastAsia="宋体" w:cs="Times New Roman"/>
          <w:b/>
          <w:color w:val="auto"/>
          <w:sz w:val="36"/>
          <w:szCs w:val="21"/>
          <w:highlight w:val="none"/>
        </w:rPr>
      </w:pPr>
    </w:p>
    <w:p w14:paraId="1E73F08E">
      <w:pPr>
        <w:jc w:val="center"/>
        <w:rPr>
          <w:rFonts w:ascii="宋体" w:hAnsi="宋体" w:eastAsia="宋体" w:cs="Times New Roman"/>
          <w:b/>
          <w:color w:val="auto"/>
          <w:sz w:val="36"/>
          <w:szCs w:val="21"/>
          <w:highlight w:val="none"/>
        </w:rPr>
      </w:pPr>
    </w:p>
    <w:p w14:paraId="02AF257E">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项 目 名 称：</w:t>
      </w:r>
      <w:r>
        <w:rPr>
          <w:rFonts w:hint="eastAsia" w:ascii="宋体" w:hAnsi="宋体" w:eastAsia="宋体" w:cs="Times New Roman"/>
          <w:b/>
          <w:color w:val="auto"/>
          <w:sz w:val="36"/>
          <w:szCs w:val="21"/>
          <w:highlight w:val="none"/>
          <w:u w:val="single"/>
        </w:rPr>
        <w:t xml:space="preserve">                   </w:t>
      </w:r>
    </w:p>
    <w:p w14:paraId="0762B553">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项 目 编 号：</w:t>
      </w:r>
      <w:r>
        <w:rPr>
          <w:rFonts w:hint="eastAsia" w:ascii="宋体" w:hAnsi="宋体" w:eastAsia="宋体" w:cs="Times New Roman"/>
          <w:b/>
          <w:color w:val="auto"/>
          <w:sz w:val="36"/>
          <w:szCs w:val="21"/>
          <w:highlight w:val="none"/>
          <w:u w:val="single"/>
        </w:rPr>
        <w:t xml:space="preserve">                   </w:t>
      </w:r>
    </w:p>
    <w:p w14:paraId="73144165">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供应商名称 ：</w:t>
      </w:r>
      <w:r>
        <w:rPr>
          <w:rFonts w:hint="eastAsia" w:ascii="宋体" w:hAnsi="宋体" w:eastAsia="宋体" w:cs="Times New Roman"/>
          <w:b/>
          <w:color w:val="auto"/>
          <w:sz w:val="36"/>
          <w:szCs w:val="21"/>
          <w:highlight w:val="none"/>
          <w:u w:val="single"/>
        </w:rPr>
        <w:t>（加盖CA电子公章）</w:t>
      </w:r>
    </w:p>
    <w:p w14:paraId="5BF6432F">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p>
    <w:p w14:paraId="6C17BCE4">
      <w:pPr>
        <w:spacing w:line="500" w:lineRule="exact"/>
        <w:rPr>
          <w:color w:val="auto"/>
          <w:sz w:val="36"/>
          <w:highlight w:val="none"/>
        </w:rPr>
      </w:pPr>
    </w:p>
    <w:p w14:paraId="7411C16F">
      <w:pPr>
        <w:spacing w:line="500" w:lineRule="exact"/>
        <w:rPr>
          <w:color w:val="auto"/>
          <w:sz w:val="36"/>
          <w:highlight w:val="none"/>
        </w:rPr>
      </w:pPr>
    </w:p>
    <w:p w14:paraId="3784A048">
      <w:pPr>
        <w:pStyle w:val="105"/>
        <w:spacing w:line="500" w:lineRule="exact"/>
        <w:ind w:firstLine="2464"/>
        <w:rPr>
          <w:rFonts w:ascii="Times New Roman" w:hAnsi="Times New Roman"/>
          <w:bCs/>
          <w:color w:val="auto"/>
          <w:sz w:val="32"/>
          <w:szCs w:val="32"/>
          <w:highlight w:val="none"/>
        </w:rPr>
      </w:pPr>
    </w:p>
    <w:p w14:paraId="7BBE1368">
      <w:pPr>
        <w:pStyle w:val="105"/>
        <w:spacing w:before="0" w:after="0" w:line="500" w:lineRule="exact"/>
        <w:ind w:firstLine="0"/>
        <w:rPr>
          <w:rFonts w:ascii="Times New Roman" w:hAnsi="Times New Roman"/>
          <w:color w:val="auto"/>
          <w:highlight w:val="none"/>
        </w:rPr>
      </w:pPr>
    </w:p>
    <w:p w14:paraId="23F56ACC">
      <w:pPr>
        <w:pStyle w:val="105"/>
        <w:spacing w:before="0" w:after="0" w:line="500" w:lineRule="exact"/>
        <w:ind w:firstLine="0"/>
        <w:rPr>
          <w:rFonts w:ascii="Times New Roman" w:hAnsi="Times New Roman"/>
          <w:color w:val="auto"/>
          <w:highlight w:val="none"/>
        </w:rPr>
      </w:pPr>
    </w:p>
    <w:p w14:paraId="42699687">
      <w:pPr>
        <w:pStyle w:val="105"/>
        <w:spacing w:before="0" w:after="0" w:line="500" w:lineRule="exact"/>
        <w:ind w:firstLine="0"/>
        <w:rPr>
          <w:rFonts w:ascii="Times New Roman" w:hAnsi="Times New Roman"/>
          <w:color w:val="auto"/>
          <w:highlight w:val="none"/>
        </w:rPr>
      </w:pPr>
    </w:p>
    <w:p w14:paraId="596C5064">
      <w:pPr>
        <w:pStyle w:val="105"/>
        <w:spacing w:before="0" w:after="0" w:line="500" w:lineRule="exact"/>
        <w:ind w:firstLine="0"/>
        <w:rPr>
          <w:rFonts w:ascii="Times New Roman" w:hAnsi="Times New Roman"/>
          <w:color w:val="auto"/>
          <w:highlight w:val="none"/>
        </w:rPr>
      </w:pPr>
    </w:p>
    <w:p w14:paraId="3AB1300D">
      <w:pPr>
        <w:pStyle w:val="105"/>
        <w:spacing w:before="0" w:after="0" w:line="500" w:lineRule="exact"/>
        <w:ind w:firstLine="0"/>
        <w:rPr>
          <w:rFonts w:ascii="Times New Roman" w:hAnsi="Times New Roman"/>
          <w:color w:val="auto"/>
          <w:highlight w:val="none"/>
        </w:rPr>
      </w:pPr>
    </w:p>
    <w:p w14:paraId="6D7337F9">
      <w:pPr>
        <w:pStyle w:val="105"/>
        <w:spacing w:before="0" w:after="0" w:line="500" w:lineRule="exact"/>
        <w:ind w:firstLine="0"/>
        <w:rPr>
          <w:rFonts w:ascii="Times New Roman" w:hAnsi="Times New Roman"/>
          <w:color w:val="auto"/>
          <w:highlight w:val="none"/>
        </w:rPr>
      </w:pPr>
    </w:p>
    <w:p w14:paraId="57BAE209">
      <w:pPr>
        <w:keepNext/>
        <w:keepLines/>
        <w:spacing w:before="360" w:after="200" w:line="360" w:lineRule="auto"/>
        <w:jc w:val="left"/>
        <w:outlineLvl w:val="1"/>
        <w:rPr>
          <w:rFonts w:hint="eastAsia" w:ascii="宋体" w:hAnsi="宋体" w:eastAsia="宋体" w:cs="宋体"/>
          <w:b/>
          <w:bCs/>
          <w:i/>
          <w:color w:val="auto"/>
          <w:sz w:val="24"/>
          <w:szCs w:val="24"/>
          <w:highlight w:val="none"/>
          <w:u w:val="single"/>
        </w:rPr>
      </w:pPr>
      <w:bookmarkStart w:id="251" w:name="_Toc2818"/>
      <w:bookmarkStart w:id="252" w:name="_Toc23828483"/>
      <w:bookmarkStart w:id="253" w:name="_Toc513029281"/>
      <w:bookmarkStart w:id="254" w:name="_Toc120614291"/>
      <w:bookmarkStart w:id="255" w:name="_Toc120614284"/>
      <w:bookmarkStart w:id="256" w:name="_Toc22356583"/>
      <w:bookmarkStart w:id="257" w:name="_Toc26554103"/>
      <w:bookmarkStart w:id="258" w:name="_Toc24878535"/>
      <w:bookmarkStart w:id="259" w:name="_Toc49090582"/>
    </w:p>
    <w:p w14:paraId="0F9E8BE2">
      <w:pPr>
        <w:keepNext/>
        <w:keepLines/>
        <w:spacing w:before="360" w:after="200" w:line="360" w:lineRule="auto"/>
        <w:jc w:val="left"/>
        <w:outlineLvl w:val="1"/>
        <w:rPr>
          <w:rFonts w:hint="eastAsia" w:ascii="宋体" w:hAnsi="宋体" w:eastAsia="宋体" w:cs="宋体"/>
          <w:b/>
          <w:bCs/>
          <w:i/>
          <w:color w:val="auto"/>
          <w:sz w:val="24"/>
          <w:szCs w:val="24"/>
          <w:highlight w:val="none"/>
          <w:u w:val="single"/>
        </w:rPr>
        <w:sectPr>
          <w:pgSz w:w="11906" w:h="16838"/>
          <w:pgMar w:top="1134" w:right="1134" w:bottom="1134" w:left="1622" w:header="851" w:footer="992" w:gutter="0"/>
          <w:cols w:space="720" w:num="1"/>
          <w:docGrid w:linePitch="360" w:charSpace="0"/>
        </w:sectPr>
      </w:pPr>
    </w:p>
    <w:p w14:paraId="4415DF5C">
      <w:pPr>
        <w:keepNext/>
        <w:keepLines/>
        <w:spacing w:before="360" w:after="200" w:line="360" w:lineRule="auto"/>
        <w:jc w:val="left"/>
        <w:outlineLvl w:val="1"/>
        <w:rPr>
          <w:rFonts w:hint="eastAsia" w:ascii="宋体" w:hAnsi="宋体" w:eastAsia="宋体" w:cs="宋体"/>
          <w:b/>
          <w:bCs/>
          <w:i/>
          <w:color w:val="auto"/>
          <w:sz w:val="24"/>
          <w:szCs w:val="24"/>
          <w:highlight w:val="none"/>
          <w:u w:val="single"/>
        </w:rPr>
      </w:pPr>
      <w:bookmarkStart w:id="260" w:name="_Toc30625"/>
      <w:r>
        <w:rPr>
          <w:rFonts w:hint="eastAsia" w:ascii="宋体" w:hAnsi="宋体" w:eastAsia="宋体" w:cs="宋体"/>
          <w:b/>
          <w:bCs/>
          <w:i/>
          <w:color w:val="auto"/>
          <w:sz w:val="24"/>
          <w:szCs w:val="24"/>
          <w:highlight w:val="none"/>
          <w:u w:val="single"/>
        </w:rPr>
        <w:t>一、法人或者其他组织的营业执照等证明文件，自然人的身份证明</w:t>
      </w:r>
      <w:bookmarkEnd w:id="251"/>
      <w:bookmarkEnd w:id="260"/>
    </w:p>
    <w:p w14:paraId="2C3D2B17">
      <w:pPr>
        <w:rPr>
          <w:rFonts w:hint="eastAsia" w:ascii="宋体" w:hAnsi="宋体" w:eastAsia="宋体" w:cs="宋体"/>
          <w:color w:val="auto"/>
          <w:sz w:val="24"/>
          <w:szCs w:val="24"/>
          <w:highlight w:val="none"/>
        </w:rPr>
      </w:pPr>
    </w:p>
    <w:p w14:paraId="7556BEC4">
      <w:pPr>
        <w:rPr>
          <w:rFonts w:hint="eastAsia" w:ascii="宋体" w:hAnsi="宋体" w:eastAsia="宋体" w:cs="宋体"/>
          <w:color w:val="auto"/>
          <w:sz w:val="24"/>
          <w:szCs w:val="24"/>
          <w:highlight w:val="none"/>
        </w:rPr>
      </w:pPr>
    </w:p>
    <w:p w14:paraId="61F99FA4">
      <w:pPr>
        <w:keepNext/>
        <w:keepLines/>
        <w:spacing w:before="360" w:after="200" w:line="360" w:lineRule="auto"/>
        <w:jc w:val="left"/>
        <w:outlineLvl w:val="1"/>
        <w:rPr>
          <w:rFonts w:hint="eastAsia" w:ascii="宋体" w:hAnsi="宋体" w:eastAsia="宋体" w:cs="宋体"/>
          <w:b/>
          <w:bCs/>
          <w:i/>
          <w:color w:val="auto"/>
          <w:sz w:val="24"/>
          <w:szCs w:val="24"/>
          <w:highlight w:val="none"/>
          <w:u w:val="single"/>
        </w:rPr>
      </w:pPr>
      <w:bookmarkStart w:id="261" w:name="_Toc21396"/>
      <w:bookmarkStart w:id="262" w:name="_Toc6743"/>
      <w:r>
        <w:rPr>
          <w:rFonts w:hint="eastAsia" w:ascii="宋体" w:hAnsi="宋体" w:eastAsia="宋体" w:cs="宋体"/>
          <w:b/>
          <w:bCs/>
          <w:i/>
          <w:color w:val="auto"/>
          <w:sz w:val="24"/>
          <w:szCs w:val="24"/>
          <w:highlight w:val="none"/>
          <w:u w:val="single"/>
        </w:rPr>
        <w:t>二、上一年度的财务状况报告</w:t>
      </w:r>
      <w:bookmarkEnd w:id="261"/>
      <w:bookmarkEnd w:id="262"/>
    </w:p>
    <w:p w14:paraId="016A09D1">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（成立不满一年无需提供）</w:t>
      </w:r>
    </w:p>
    <w:p w14:paraId="48736607">
      <w:pPr>
        <w:rPr>
          <w:rFonts w:hint="eastAsia" w:ascii="宋体" w:hAnsi="宋体" w:eastAsia="宋体" w:cs="宋体"/>
          <w:color w:val="auto"/>
          <w:sz w:val="24"/>
          <w:szCs w:val="24"/>
          <w:highlight w:val="none"/>
        </w:rPr>
      </w:pPr>
    </w:p>
    <w:p w14:paraId="7168B75F">
      <w:pPr>
        <w:rPr>
          <w:rFonts w:hint="eastAsia" w:ascii="宋体" w:hAnsi="宋体" w:eastAsia="宋体" w:cs="宋体"/>
          <w:color w:val="auto"/>
          <w:sz w:val="24"/>
          <w:szCs w:val="24"/>
          <w:highlight w:val="none"/>
        </w:rPr>
      </w:pPr>
    </w:p>
    <w:p w14:paraId="5AE24988">
      <w:pPr>
        <w:keepNext/>
        <w:keepLines/>
        <w:spacing w:before="360" w:after="200" w:line="360" w:lineRule="auto"/>
        <w:jc w:val="left"/>
        <w:outlineLvl w:val="1"/>
        <w:rPr>
          <w:rFonts w:hint="eastAsia" w:ascii="宋体" w:hAnsi="宋体" w:eastAsia="宋体" w:cs="宋体"/>
          <w:b/>
          <w:bCs/>
          <w:i/>
          <w:iCs/>
          <w:color w:val="auto"/>
          <w:sz w:val="24"/>
          <w:szCs w:val="24"/>
          <w:highlight w:val="none"/>
          <w:u w:val="single"/>
        </w:rPr>
      </w:pPr>
      <w:bookmarkStart w:id="263" w:name="_Toc24293"/>
      <w:bookmarkStart w:id="264" w:name="_Toc28234"/>
      <w:r>
        <w:rPr>
          <w:rFonts w:hint="eastAsia" w:ascii="宋体" w:hAnsi="宋体" w:eastAsia="宋体" w:cs="宋体"/>
          <w:b/>
          <w:bCs/>
          <w:i/>
          <w:iCs/>
          <w:color w:val="auto"/>
          <w:sz w:val="24"/>
          <w:szCs w:val="24"/>
          <w:highlight w:val="none"/>
          <w:u w:val="single"/>
        </w:rPr>
        <w:t>三、依法缴纳税收和社会保障资金的相关材料</w:t>
      </w:r>
      <w:bookmarkEnd w:id="263"/>
      <w:bookmarkEnd w:id="264"/>
    </w:p>
    <w:p w14:paraId="289BBF24">
      <w:pPr>
        <w:rPr>
          <w:rFonts w:hint="eastAsia" w:ascii="宋体" w:hAnsi="宋体" w:eastAsia="宋体" w:cs="宋体"/>
          <w:color w:val="auto"/>
          <w:sz w:val="24"/>
          <w:szCs w:val="24"/>
          <w:highlight w:val="none"/>
        </w:rPr>
      </w:pPr>
    </w:p>
    <w:p w14:paraId="4A4C702F">
      <w:pPr>
        <w:spacing w:line="36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财务状况报告及税收、社会保障资金缴纳情况承诺函</w:t>
      </w:r>
    </w:p>
    <w:p w14:paraId="5003E067">
      <w:pPr>
        <w:jc w:val="left"/>
        <w:rPr>
          <w:rFonts w:hint="eastAsia" w:ascii="宋体" w:hAnsi="宋体" w:eastAsia="宋体" w:cs="宋体"/>
          <w:color w:val="auto"/>
          <w:sz w:val="24"/>
          <w:szCs w:val="24"/>
          <w:highlight w:val="none"/>
        </w:rPr>
      </w:pPr>
    </w:p>
    <w:p w14:paraId="23E0DDC6">
      <w:pPr>
        <w:spacing w:line="5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i/>
          <w:color w:val="auto"/>
          <w:sz w:val="21"/>
          <w:szCs w:val="21"/>
          <w:highlight w:val="none"/>
          <w:u w:val="single"/>
        </w:rPr>
        <w:t>采购人名称</w:t>
      </w:r>
    </w:p>
    <w:p w14:paraId="2FB54441">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w:t>
      </w:r>
      <w:r>
        <w:rPr>
          <w:rFonts w:hint="eastAsia" w:ascii="宋体" w:hAnsi="宋体" w:eastAsia="宋体" w:cs="宋体"/>
          <w:i/>
          <w:color w:val="auto"/>
          <w:sz w:val="21"/>
          <w:szCs w:val="21"/>
          <w:highlight w:val="none"/>
          <w:u w:val="single"/>
        </w:rPr>
        <w:t>供应商名称</w:t>
      </w:r>
      <w:r>
        <w:rPr>
          <w:rFonts w:hint="eastAsia" w:ascii="宋体" w:hAnsi="宋体" w:eastAsia="宋体" w:cs="宋体"/>
          <w:color w:val="auto"/>
          <w:sz w:val="21"/>
          <w:szCs w:val="21"/>
          <w:highlight w:val="none"/>
        </w:rPr>
        <w:t>参加</w:t>
      </w:r>
      <w:r>
        <w:rPr>
          <w:rFonts w:hint="eastAsia" w:ascii="宋体" w:hAnsi="宋体" w:eastAsia="宋体" w:cs="宋体"/>
          <w:i/>
          <w:color w:val="auto"/>
          <w:sz w:val="21"/>
          <w:szCs w:val="21"/>
          <w:highlight w:val="none"/>
          <w:u w:val="single"/>
        </w:rPr>
        <w:t>项目名称</w:t>
      </w:r>
      <w:r>
        <w:rPr>
          <w:rFonts w:hint="eastAsia" w:ascii="宋体" w:hAnsi="宋体" w:eastAsia="宋体" w:cs="宋体"/>
          <w:color w:val="auto"/>
          <w:sz w:val="21"/>
          <w:szCs w:val="21"/>
          <w:highlight w:val="none"/>
        </w:rPr>
        <w:t>（项目编号：</w:t>
      </w:r>
      <w:r>
        <w:rPr>
          <w:rFonts w:hint="eastAsia" w:ascii="宋体" w:hAnsi="宋体" w:eastAsia="宋体" w:cs="宋体"/>
          <w:i/>
          <w:color w:val="auto"/>
          <w:sz w:val="21"/>
          <w:szCs w:val="21"/>
          <w:highlight w:val="none"/>
          <w:u w:val="single"/>
        </w:rPr>
        <w:t>项目编号</w:t>
      </w:r>
      <w:r>
        <w:rPr>
          <w:rFonts w:hint="eastAsia" w:ascii="宋体" w:hAnsi="宋体" w:eastAsia="宋体" w:cs="宋体"/>
          <w:color w:val="auto"/>
          <w:sz w:val="21"/>
          <w:szCs w:val="21"/>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60020499">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（1）具有良好的商业信誉和健全的财务会计制度（财务状况报告）；</w:t>
      </w:r>
    </w:p>
    <w:p w14:paraId="700C6776">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（2）有依法缴纳税收和社会保障资金的良好记录。</w:t>
      </w:r>
    </w:p>
    <w:p w14:paraId="36895DE9">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我方对上述承诺的真实性负责，如有虚假，将依法承担提供虚假材料谋取中标、成交责任，同时同意有关主管部门将相关失信信息记入公共信用信息系统并在相关政府门户网站公开。</w:t>
      </w:r>
    </w:p>
    <w:p w14:paraId="3DD9D3BB">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特此承诺</w:t>
      </w:r>
    </w:p>
    <w:p w14:paraId="3E6CF38E">
      <w:pPr>
        <w:spacing w:line="500" w:lineRule="exact"/>
        <w:ind w:firstLine="420"/>
        <w:jc w:val="left"/>
        <w:rPr>
          <w:rFonts w:hint="eastAsia" w:ascii="宋体" w:hAnsi="宋体" w:eastAsia="宋体" w:cs="宋体"/>
          <w:color w:val="auto"/>
          <w:sz w:val="21"/>
          <w:szCs w:val="21"/>
          <w:highlight w:val="none"/>
        </w:rPr>
      </w:pPr>
    </w:p>
    <w:p w14:paraId="376009A7">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供应商（公章）：</w:t>
      </w:r>
    </w:p>
    <w:p w14:paraId="2290B4EA">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法定代表人（单位负责人）或委托代理人（签名或签章）：</w:t>
      </w:r>
    </w:p>
    <w:p w14:paraId="1E442840">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73D9B28F">
      <w:pPr>
        <w:rPr>
          <w:rFonts w:hint="eastAsia" w:ascii="宋体" w:hAnsi="宋体" w:eastAsia="宋体" w:cs="宋体"/>
          <w:color w:val="auto"/>
          <w:sz w:val="21"/>
          <w:szCs w:val="21"/>
          <w:highlight w:val="none"/>
        </w:rPr>
      </w:pPr>
    </w:p>
    <w:p w14:paraId="1C359C1A">
      <w:pPr>
        <w:rPr>
          <w:rFonts w:hint="eastAsia" w:ascii="宋体" w:hAnsi="宋体" w:eastAsia="宋体" w:cs="宋体"/>
          <w:color w:val="auto"/>
          <w:sz w:val="24"/>
          <w:szCs w:val="24"/>
          <w:highlight w:val="none"/>
        </w:rPr>
      </w:pPr>
    </w:p>
    <w:p w14:paraId="7A5EF681">
      <w:pPr>
        <w:keepNext/>
        <w:keepLines/>
        <w:spacing w:before="360" w:after="200" w:line="360" w:lineRule="auto"/>
        <w:jc w:val="left"/>
        <w:outlineLvl w:val="1"/>
        <w:rPr>
          <w:rFonts w:hint="eastAsia" w:ascii="宋体" w:hAnsi="宋体" w:eastAsia="宋体" w:cs="宋体"/>
          <w:b/>
          <w:bCs/>
          <w:i/>
          <w:iCs/>
          <w:color w:val="auto"/>
          <w:sz w:val="24"/>
          <w:szCs w:val="24"/>
          <w:highlight w:val="none"/>
          <w:u w:val="single"/>
        </w:rPr>
      </w:pPr>
      <w:bookmarkStart w:id="265" w:name="_Toc5450"/>
    </w:p>
    <w:p w14:paraId="4FCAD765">
      <w:pPr>
        <w:keepNext/>
        <w:keepLines/>
        <w:spacing w:before="360" w:after="200" w:line="360" w:lineRule="auto"/>
        <w:jc w:val="left"/>
        <w:outlineLvl w:val="1"/>
        <w:rPr>
          <w:rFonts w:hint="eastAsia" w:ascii="宋体" w:hAnsi="宋体" w:eastAsia="宋体" w:cs="宋体"/>
          <w:b/>
          <w:bCs/>
          <w:i/>
          <w:iCs/>
          <w:color w:val="auto"/>
          <w:sz w:val="24"/>
          <w:szCs w:val="24"/>
          <w:highlight w:val="none"/>
          <w:u w:val="single"/>
        </w:rPr>
      </w:pPr>
      <w:bookmarkStart w:id="266" w:name="_Toc8610"/>
      <w:r>
        <w:rPr>
          <w:rFonts w:hint="eastAsia" w:ascii="宋体" w:hAnsi="宋体" w:eastAsia="宋体" w:cs="宋体"/>
          <w:b/>
          <w:bCs/>
          <w:i/>
          <w:iCs/>
          <w:color w:val="auto"/>
          <w:sz w:val="24"/>
          <w:szCs w:val="24"/>
          <w:highlight w:val="none"/>
          <w:u w:val="single"/>
        </w:rPr>
        <w:t>四、具备履行合同所必需的设备和专业技术能力的声明及证明材料</w:t>
      </w:r>
      <w:bookmarkEnd w:id="265"/>
      <w:bookmarkEnd w:id="266"/>
    </w:p>
    <w:p w14:paraId="6D36C5D3">
      <w:pPr>
        <w:spacing w:line="460" w:lineRule="exact"/>
        <w:ind w:firstLine="1680"/>
        <w:jc w:val="both"/>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具备履行合同所必需的设备和专业技术能力的声明及证明材料</w:t>
      </w:r>
    </w:p>
    <w:p w14:paraId="1736A02B">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我单位郑重声明：我单位具备履行本项采购合同所必需的设备和专业技术能力，为履行本项采购合同我公司具备如下主要设备和主要专业技术能力：</w:t>
      </w:r>
    </w:p>
    <w:p w14:paraId="24FF8046">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。（须附证明材料）</w:t>
      </w:r>
    </w:p>
    <w:p w14:paraId="6404EAC7">
      <w:pPr>
        <w:jc w:val="left"/>
        <w:rPr>
          <w:rFonts w:hint="eastAsia" w:ascii="宋体" w:hAnsi="宋体" w:eastAsia="宋体" w:cs="宋体"/>
          <w:color w:val="auto"/>
          <w:sz w:val="21"/>
          <w:szCs w:val="21"/>
          <w:highlight w:val="none"/>
        </w:rPr>
      </w:pPr>
    </w:p>
    <w:p w14:paraId="2B956B9B">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。（须附证明材料）</w:t>
      </w:r>
    </w:p>
    <w:p w14:paraId="43CF0404">
      <w:pPr>
        <w:spacing w:line="360" w:lineRule="auto"/>
        <w:ind w:firstLine="420"/>
        <w:rPr>
          <w:rFonts w:hint="eastAsia" w:ascii="宋体" w:hAnsi="宋体" w:eastAsia="宋体" w:cs="宋体"/>
          <w:color w:val="auto"/>
          <w:sz w:val="21"/>
          <w:szCs w:val="21"/>
          <w:highlight w:val="none"/>
        </w:rPr>
      </w:pPr>
    </w:p>
    <w:p w14:paraId="0D1E8EFC">
      <w:pPr>
        <w:spacing w:line="360" w:lineRule="auto"/>
        <w:ind w:firstLine="420"/>
        <w:rPr>
          <w:rFonts w:hint="eastAsia" w:ascii="宋体" w:hAnsi="宋体" w:eastAsia="宋体" w:cs="宋体"/>
          <w:color w:val="auto"/>
          <w:sz w:val="21"/>
          <w:szCs w:val="21"/>
          <w:highlight w:val="none"/>
        </w:rPr>
      </w:pPr>
    </w:p>
    <w:p w14:paraId="2E0DCBAF">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供应商（盖章）：</w:t>
      </w:r>
    </w:p>
    <w:p w14:paraId="0B1D53BF">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法定代表人（单位负责人）或委托代理人（签字或盖章）：</w:t>
      </w:r>
    </w:p>
    <w:p w14:paraId="6CF26BB8">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16EB24D9">
      <w:pPr>
        <w:jc w:val="left"/>
        <w:rPr>
          <w:rFonts w:hint="eastAsia" w:ascii="宋体" w:hAnsi="宋体" w:eastAsia="宋体" w:cs="宋体"/>
          <w:color w:val="auto"/>
          <w:sz w:val="21"/>
          <w:szCs w:val="21"/>
          <w:highlight w:val="none"/>
        </w:rPr>
      </w:pPr>
    </w:p>
    <w:p w14:paraId="253B0290">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附主要设备和主要专业技术能力的证明材料如下：</w:t>
      </w:r>
    </w:p>
    <w:p w14:paraId="196F3695">
      <w:pPr>
        <w:spacing w:line="360" w:lineRule="auto"/>
        <w:jc w:val="left"/>
        <w:rPr>
          <w:rFonts w:hint="eastAsia" w:ascii="宋体" w:hAnsi="宋体" w:eastAsia="宋体" w:cs="宋体"/>
          <w:color w:val="auto"/>
          <w:sz w:val="24"/>
          <w:szCs w:val="24"/>
          <w:highlight w:val="none"/>
        </w:rPr>
      </w:pPr>
    </w:p>
    <w:p w14:paraId="27D48949">
      <w:pPr>
        <w:spacing w:line="360" w:lineRule="auto"/>
        <w:jc w:val="left"/>
        <w:rPr>
          <w:rFonts w:hint="eastAsia" w:ascii="宋体" w:hAnsi="宋体" w:eastAsia="宋体" w:cs="宋体"/>
          <w:color w:val="auto"/>
          <w:sz w:val="24"/>
          <w:szCs w:val="24"/>
          <w:highlight w:val="none"/>
        </w:rPr>
      </w:pPr>
    </w:p>
    <w:p w14:paraId="292B78F6">
      <w:pPr>
        <w:keepNext/>
        <w:keepLines/>
        <w:spacing w:before="360" w:after="200" w:line="360" w:lineRule="auto"/>
        <w:jc w:val="left"/>
        <w:outlineLvl w:val="1"/>
        <w:rPr>
          <w:rFonts w:hint="eastAsia" w:ascii="宋体" w:hAnsi="宋体" w:eastAsia="宋体" w:cs="宋体"/>
          <w:b/>
          <w:bCs/>
          <w:i/>
          <w:iCs/>
          <w:color w:val="auto"/>
          <w:sz w:val="24"/>
          <w:szCs w:val="24"/>
          <w:highlight w:val="none"/>
          <w:u w:val="single"/>
        </w:rPr>
        <w:sectPr>
          <w:pgSz w:w="11906" w:h="16838"/>
          <w:pgMar w:top="1134" w:right="1134" w:bottom="1134" w:left="1622" w:header="851" w:footer="992" w:gutter="0"/>
          <w:cols w:space="720" w:num="1"/>
          <w:docGrid w:linePitch="360" w:charSpace="0"/>
        </w:sectPr>
      </w:pPr>
    </w:p>
    <w:p w14:paraId="78B394AA">
      <w:pPr>
        <w:keepNext/>
        <w:keepLines/>
        <w:pageBreakBefore w:val="0"/>
        <w:widowControl w:val="0"/>
        <w:spacing w:before="360" w:after="200" w:line="240" w:lineRule="exact"/>
        <w:jc w:val="left"/>
        <w:outlineLvl w:val="1"/>
        <w:rPr>
          <w:rFonts w:hint="eastAsia" w:ascii="宋体" w:hAnsi="宋体" w:eastAsia="宋体" w:cs="宋体"/>
          <w:b/>
          <w:bCs/>
          <w:i/>
          <w:iCs/>
          <w:color w:val="auto"/>
          <w:sz w:val="24"/>
          <w:szCs w:val="24"/>
          <w:highlight w:val="none"/>
          <w:u w:val="single"/>
        </w:rPr>
      </w:pPr>
    </w:p>
    <w:p w14:paraId="7E221B82">
      <w:pPr>
        <w:keepNext/>
        <w:keepLines/>
        <w:spacing w:before="360" w:after="200" w:line="360" w:lineRule="auto"/>
        <w:jc w:val="left"/>
        <w:outlineLvl w:val="1"/>
        <w:rPr>
          <w:rFonts w:hint="eastAsia" w:ascii="宋体" w:hAnsi="宋体" w:eastAsia="宋体" w:cs="宋体"/>
          <w:b/>
          <w:bCs/>
          <w:i/>
          <w:iCs/>
          <w:color w:val="auto"/>
          <w:sz w:val="24"/>
          <w:szCs w:val="24"/>
          <w:highlight w:val="none"/>
          <w:u w:val="single"/>
        </w:rPr>
      </w:pPr>
      <w:bookmarkStart w:id="267" w:name="_Toc32177"/>
      <w:bookmarkStart w:id="268" w:name="_Toc9420"/>
      <w:r>
        <w:rPr>
          <w:rFonts w:hint="eastAsia" w:ascii="宋体" w:hAnsi="宋体" w:eastAsia="宋体" w:cs="宋体"/>
          <w:b/>
          <w:bCs/>
          <w:i/>
          <w:iCs/>
          <w:color w:val="auto"/>
          <w:sz w:val="24"/>
          <w:szCs w:val="24"/>
          <w:highlight w:val="none"/>
          <w:u w:val="single"/>
        </w:rPr>
        <w:t>五、参加政府采购活动前3年内在经营活动中没有重大违法记录的书面声明</w:t>
      </w:r>
      <w:bookmarkEnd w:id="267"/>
      <w:bookmarkEnd w:id="268"/>
    </w:p>
    <w:p w14:paraId="779A6AE5">
      <w:pPr>
        <w:spacing w:line="460" w:lineRule="exact"/>
        <w:jc w:val="center"/>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声  明</w:t>
      </w:r>
    </w:p>
    <w:p w14:paraId="6F9B455E">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我单位郑重声明：参加本次政府采购活动前 3 年内，我单位在经营活动中没有因违法经营受到刑事处罚或者责令停产停业、吊销许可证或者执照、较大数额罚款等行政处罚。</w:t>
      </w:r>
    </w:p>
    <w:p w14:paraId="5FD59A51">
      <w:pPr>
        <w:spacing w:line="500" w:lineRule="exact"/>
        <w:ind w:firstLine="420"/>
        <w:jc w:val="left"/>
        <w:rPr>
          <w:rFonts w:hint="eastAsia" w:ascii="宋体" w:hAnsi="宋体" w:eastAsia="宋体" w:cs="宋体"/>
          <w:color w:val="auto"/>
          <w:sz w:val="21"/>
          <w:szCs w:val="21"/>
          <w:highlight w:val="none"/>
        </w:rPr>
      </w:pPr>
    </w:p>
    <w:p w14:paraId="75C44E63">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供应商（盖章）：</w:t>
      </w:r>
    </w:p>
    <w:p w14:paraId="493F0445">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法定代表人（单位负责人）或委托代理人（签字或盖章）：</w:t>
      </w:r>
    </w:p>
    <w:p w14:paraId="31642D6F">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346C4E71">
      <w:pPr>
        <w:rPr>
          <w:rFonts w:hint="eastAsia" w:ascii="宋体" w:hAnsi="宋体" w:eastAsia="宋体" w:cs="宋体"/>
          <w:color w:val="auto"/>
          <w:sz w:val="24"/>
          <w:szCs w:val="24"/>
          <w:highlight w:val="none"/>
        </w:rPr>
      </w:pPr>
    </w:p>
    <w:p w14:paraId="1CF2DB33">
      <w:pPr>
        <w:keepNext/>
        <w:keepLines/>
        <w:spacing w:before="360" w:after="200" w:line="360" w:lineRule="auto"/>
        <w:jc w:val="left"/>
        <w:outlineLvl w:val="1"/>
        <w:rPr>
          <w:rFonts w:hint="eastAsia" w:ascii="宋体" w:hAnsi="宋体" w:eastAsia="宋体" w:cs="宋体"/>
          <w:b/>
          <w:bCs/>
          <w:i/>
          <w:iCs/>
          <w:color w:val="auto"/>
          <w:sz w:val="24"/>
          <w:szCs w:val="24"/>
          <w:highlight w:val="none"/>
          <w:u w:val="single"/>
        </w:rPr>
        <w:sectPr>
          <w:pgSz w:w="11906" w:h="16838"/>
          <w:pgMar w:top="1134" w:right="1134" w:bottom="1134" w:left="1622" w:header="851" w:footer="992" w:gutter="0"/>
          <w:cols w:space="720" w:num="1"/>
          <w:docGrid w:linePitch="360" w:charSpace="0"/>
        </w:sectPr>
      </w:pPr>
    </w:p>
    <w:p w14:paraId="3AB82B7E">
      <w:pPr>
        <w:keepNext/>
        <w:keepLines/>
        <w:spacing w:before="360" w:after="200" w:line="360" w:lineRule="auto"/>
        <w:jc w:val="left"/>
        <w:outlineLvl w:val="1"/>
        <w:rPr>
          <w:rFonts w:hint="eastAsia" w:ascii="宋体" w:hAnsi="宋体" w:eastAsia="宋体" w:cs="宋体"/>
          <w:b/>
          <w:bCs/>
          <w:i/>
          <w:iCs/>
          <w:color w:val="auto"/>
          <w:sz w:val="24"/>
          <w:szCs w:val="24"/>
          <w:highlight w:val="none"/>
          <w:u w:val="single"/>
        </w:rPr>
      </w:pPr>
    </w:p>
    <w:p w14:paraId="32C5A200">
      <w:pPr>
        <w:keepNext/>
        <w:keepLines/>
        <w:spacing w:before="360" w:after="200" w:line="360" w:lineRule="auto"/>
        <w:jc w:val="left"/>
        <w:outlineLvl w:val="1"/>
        <w:rPr>
          <w:rFonts w:hint="eastAsia" w:ascii="宋体" w:hAnsi="宋体" w:eastAsia="宋体" w:cs="宋体"/>
          <w:b/>
          <w:bCs/>
          <w:i/>
          <w:iCs/>
          <w:color w:val="auto"/>
          <w:sz w:val="24"/>
          <w:szCs w:val="24"/>
          <w:highlight w:val="none"/>
          <w:u w:val="single"/>
        </w:rPr>
      </w:pPr>
      <w:bookmarkStart w:id="269" w:name="_Toc6779"/>
      <w:bookmarkStart w:id="270" w:name="_Toc3291"/>
      <w:r>
        <w:rPr>
          <w:rFonts w:hint="eastAsia" w:ascii="宋体" w:hAnsi="宋体" w:eastAsia="宋体" w:cs="宋体"/>
          <w:b/>
          <w:bCs/>
          <w:i/>
          <w:iCs/>
          <w:color w:val="auto"/>
          <w:sz w:val="24"/>
          <w:szCs w:val="24"/>
          <w:highlight w:val="none"/>
          <w:u w:val="single"/>
        </w:rPr>
        <w:t>六、法律、行政法规规定的其他条件的证明文件</w:t>
      </w:r>
      <w:bookmarkEnd w:id="269"/>
      <w:bookmarkEnd w:id="270"/>
    </w:p>
    <w:p w14:paraId="134B0EB6">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（如有，请按要求提供）</w:t>
      </w:r>
    </w:p>
    <w:p w14:paraId="4D63F348">
      <w:pPr>
        <w:rPr>
          <w:rFonts w:hint="eastAsia" w:ascii="宋体" w:hAnsi="宋体" w:eastAsia="宋体" w:cs="宋体"/>
          <w:color w:val="auto"/>
          <w:sz w:val="24"/>
          <w:szCs w:val="24"/>
          <w:highlight w:val="none"/>
        </w:rPr>
      </w:pPr>
    </w:p>
    <w:p w14:paraId="55C394D3">
      <w:pPr>
        <w:rPr>
          <w:rFonts w:hint="eastAsia" w:ascii="宋体" w:hAnsi="宋体" w:eastAsia="宋体" w:cs="宋体"/>
          <w:color w:val="auto"/>
          <w:sz w:val="24"/>
          <w:szCs w:val="24"/>
          <w:highlight w:val="none"/>
        </w:rPr>
      </w:pPr>
    </w:p>
    <w:p w14:paraId="64169F90">
      <w:pPr>
        <w:keepNext/>
        <w:keepLines/>
        <w:spacing w:before="360" w:after="200" w:line="360" w:lineRule="auto"/>
        <w:jc w:val="left"/>
        <w:outlineLvl w:val="1"/>
        <w:rPr>
          <w:rFonts w:hint="eastAsia" w:ascii="宋体" w:hAnsi="宋体" w:eastAsia="宋体" w:cs="宋体"/>
          <w:b/>
          <w:bCs/>
          <w:i/>
          <w:iCs/>
          <w:color w:val="auto"/>
          <w:sz w:val="24"/>
          <w:szCs w:val="24"/>
          <w:highlight w:val="none"/>
          <w:u w:val="single"/>
        </w:rPr>
      </w:pPr>
      <w:bookmarkStart w:id="271" w:name="_Toc17655"/>
      <w:bookmarkStart w:id="272" w:name="_Toc14225"/>
      <w:r>
        <w:rPr>
          <w:rFonts w:hint="eastAsia" w:ascii="宋体" w:hAnsi="宋体" w:eastAsia="宋体" w:cs="宋体"/>
          <w:b/>
          <w:bCs/>
          <w:i/>
          <w:iCs/>
          <w:color w:val="auto"/>
          <w:sz w:val="24"/>
          <w:szCs w:val="24"/>
          <w:highlight w:val="none"/>
          <w:u w:val="single"/>
        </w:rPr>
        <w:t>七、落实政府采购政策需满足的资格要求的证明文件</w:t>
      </w:r>
      <w:bookmarkEnd w:id="271"/>
      <w:bookmarkEnd w:id="272"/>
    </w:p>
    <w:p w14:paraId="4EB2EECB">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（如有，请按要求提供）</w:t>
      </w:r>
    </w:p>
    <w:p w14:paraId="7E5223AE">
      <w:pPr>
        <w:rPr>
          <w:rFonts w:hint="eastAsia" w:ascii="宋体" w:hAnsi="宋体" w:eastAsia="宋体" w:cs="宋体"/>
          <w:color w:val="auto"/>
          <w:sz w:val="24"/>
          <w:szCs w:val="24"/>
          <w:highlight w:val="none"/>
        </w:rPr>
      </w:pPr>
    </w:p>
    <w:p w14:paraId="33356514">
      <w:pPr>
        <w:rPr>
          <w:rFonts w:hint="eastAsia" w:ascii="宋体" w:hAnsi="宋体" w:eastAsia="宋体" w:cs="宋体"/>
          <w:color w:val="auto"/>
          <w:sz w:val="24"/>
          <w:szCs w:val="24"/>
          <w:highlight w:val="none"/>
        </w:rPr>
      </w:pPr>
    </w:p>
    <w:p w14:paraId="5B7BDC6F">
      <w:pPr>
        <w:keepNext/>
        <w:keepLines/>
        <w:spacing w:before="360" w:after="200" w:line="360" w:lineRule="auto"/>
        <w:jc w:val="left"/>
        <w:outlineLvl w:val="1"/>
        <w:rPr>
          <w:rFonts w:hint="eastAsia" w:ascii="宋体" w:hAnsi="宋体" w:eastAsia="宋体" w:cs="宋体"/>
          <w:b/>
          <w:bCs/>
          <w:i/>
          <w:iCs/>
          <w:color w:val="auto"/>
          <w:sz w:val="24"/>
          <w:szCs w:val="24"/>
          <w:highlight w:val="none"/>
          <w:u w:val="single"/>
        </w:rPr>
      </w:pPr>
      <w:bookmarkStart w:id="273" w:name="_Toc26018"/>
      <w:bookmarkStart w:id="274" w:name="_Toc15604"/>
      <w:r>
        <w:rPr>
          <w:rFonts w:hint="eastAsia" w:ascii="宋体" w:hAnsi="宋体" w:eastAsia="宋体" w:cs="宋体"/>
          <w:b/>
          <w:bCs/>
          <w:i/>
          <w:iCs/>
          <w:color w:val="auto"/>
          <w:sz w:val="24"/>
          <w:szCs w:val="24"/>
          <w:highlight w:val="none"/>
          <w:u w:val="single"/>
        </w:rPr>
        <w:t>八、特定资格要求的证明文件</w:t>
      </w:r>
      <w:bookmarkEnd w:id="273"/>
      <w:bookmarkEnd w:id="274"/>
    </w:p>
    <w:p w14:paraId="074C4FD0">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（如有，请按要求提供）</w:t>
      </w:r>
    </w:p>
    <w:p w14:paraId="6BAD1FBE">
      <w:pPr>
        <w:rPr>
          <w:rFonts w:hint="eastAsia" w:ascii="宋体" w:hAnsi="宋体" w:eastAsia="宋体" w:cs="宋体"/>
          <w:color w:val="auto"/>
          <w:sz w:val="24"/>
          <w:szCs w:val="24"/>
          <w:highlight w:val="none"/>
        </w:rPr>
      </w:pPr>
    </w:p>
    <w:p w14:paraId="4C32576E">
      <w:pPr>
        <w:rPr>
          <w:rFonts w:hint="eastAsia" w:ascii="宋体" w:hAnsi="宋体" w:eastAsia="宋体" w:cs="宋体"/>
          <w:color w:val="auto"/>
          <w:sz w:val="24"/>
          <w:szCs w:val="24"/>
          <w:highlight w:val="none"/>
        </w:rPr>
        <w:sectPr>
          <w:pgSz w:w="11906" w:h="16838"/>
          <w:pgMar w:top="1134" w:right="1134" w:bottom="1134" w:left="1622" w:header="851" w:footer="992" w:gutter="0"/>
          <w:cols w:space="720" w:num="1"/>
          <w:docGrid w:linePitch="360" w:charSpace="0"/>
        </w:sectPr>
      </w:pPr>
    </w:p>
    <w:p w14:paraId="2A764209">
      <w:pPr>
        <w:rPr>
          <w:rFonts w:hint="eastAsia" w:ascii="宋体" w:hAnsi="宋体" w:eastAsia="宋体" w:cs="宋体"/>
          <w:color w:val="auto"/>
          <w:sz w:val="24"/>
          <w:szCs w:val="24"/>
          <w:highlight w:val="none"/>
        </w:rPr>
      </w:pPr>
    </w:p>
    <w:p w14:paraId="5B8DD724">
      <w:pPr>
        <w:keepNext/>
        <w:keepLines/>
        <w:spacing w:before="360" w:after="200" w:line="360" w:lineRule="auto"/>
        <w:jc w:val="left"/>
        <w:outlineLvl w:val="1"/>
        <w:rPr>
          <w:rFonts w:hint="eastAsia" w:ascii="宋体" w:hAnsi="宋体" w:eastAsia="宋体" w:cs="宋体"/>
          <w:b/>
          <w:bCs/>
          <w:i/>
          <w:iCs/>
          <w:color w:val="auto"/>
          <w:sz w:val="24"/>
          <w:szCs w:val="24"/>
          <w:highlight w:val="none"/>
          <w:u w:val="single"/>
        </w:rPr>
      </w:pPr>
      <w:bookmarkStart w:id="275" w:name="_Toc27747"/>
      <w:bookmarkStart w:id="276" w:name="_Toc24700"/>
      <w:r>
        <w:rPr>
          <w:rFonts w:hint="eastAsia" w:ascii="宋体" w:hAnsi="宋体" w:eastAsia="宋体" w:cs="宋体"/>
          <w:b/>
          <w:bCs/>
          <w:i/>
          <w:iCs/>
          <w:color w:val="auto"/>
          <w:sz w:val="24"/>
          <w:szCs w:val="24"/>
          <w:highlight w:val="none"/>
          <w:u w:val="single"/>
        </w:rPr>
        <w:t>九、授权委托书与法定代表人（单位负责人）身份证明</w:t>
      </w:r>
      <w:bookmarkEnd w:id="275"/>
      <w:bookmarkEnd w:id="276"/>
    </w:p>
    <w:p w14:paraId="52F3172F">
      <w:pPr>
        <w:spacing w:line="36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授权委托书</w:t>
      </w:r>
    </w:p>
    <w:p w14:paraId="3DCB065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采购单位</w:t>
      </w:r>
    </w:p>
    <w:p w14:paraId="13026475">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本人</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的法定代表人（单位负责人），现委托</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为我方代理人。代理人根据授权，以我方名义签署、澄清确认、提交、撤回、修改</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项目（项目编号：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）响应文件和处理有关事宜，其法律后果由我方承担。</w:t>
      </w:r>
    </w:p>
    <w:p w14:paraId="5AC689C4">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委托期限：自本授权委托书签署之日起至响应有效期届满之日止。</w:t>
      </w:r>
    </w:p>
    <w:p w14:paraId="55E6BED9">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代理人无转委托权。</w:t>
      </w:r>
      <w:r>
        <w:rPr>
          <w:rFonts w:hint="eastAsia" w:ascii="宋体" w:hAnsi="宋体" w:eastAsia="宋体" w:cs="宋体"/>
          <w:color w:val="auto"/>
          <w:sz w:val="21"/>
          <w:szCs w:val="21"/>
          <w:highlight w:val="none"/>
        </w:rPr>
        <w:br w:type="textWrapping"/>
      </w:r>
    </w:p>
    <w:p w14:paraId="3B85FE2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u w:val="single"/>
        </w:rPr>
        <w:t xml:space="preserve">             </w:t>
      </w:r>
    </w:p>
    <w:p w14:paraId="01857E5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法定代表人（单位负责人）（签字、签章或印鉴）：</w:t>
      </w:r>
      <w:r>
        <w:rPr>
          <w:rFonts w:hint="eastAsia" w:ascii="宋体" w:hAnsi="宋体" w:eastAsia="宋体" w:cs="宋体"/>
          <w:color w:val="auto"/>
          <w:sz w:val="21"/>
          <w:szCs w:val="21"/>
          <w:highlight w:val="none"/>
          <w:u w:val="single"/>
        </w:rPr>
        <w:t xml:space="preserve">             </w:t>
      </w:r>
    </w:p>
    <w:p w14:paraId="57D721D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委托代理人（签字/签章）：</w:t>
      </w:r>
      <w:r>
        <w:rPr>
          <w:rFonts w:hint="eastAsia" w:ascii="宋体" w:hAnsi="宋体" w:eastAsia="宋体" w:cs="宋体"/>
          <w:color w:val="auto"/>
          <w:sz w:val="21"/>
          <w:szCs w:val="21"/>
          <w:highlight w:val="none"/>
          <w:u w:val="single"/>
        </w:rPr>
        <w:t xml:space="preserve">             </w:t>
      </w:r>
    </w:p>
    <w:p w14:paraId="732CE62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49A67435">
      <w:pPr>
        <w:tabs>
          <w:tab w:val="left" w:pos="5580"/>
        </w:tabs>
        <w:spacing w:line="360" w:lineRule="auto"/>
        <w:ind w:firstLine="420"/>
        <w:rPr>
          <w:rFonts w:hint="eastAsia" w:ascii="宋体" w:hAnsi="宋体" w:eastAsia="宋体" w:cs="宋体"/>
          <w:color w:val="auto"/>
          <w:sz w:val="21"/>
          <w:szCs w:val="21"/>
          <w:highlight w:val="none"/>
        </w:rPr>
      </w:pPr>
    </w:p>
    <w:p w14:paraId="4D99FDFE">
      <w:pPr>
        <w:tabs>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法定代表人（单位负责人）有效期内的身份证</w:t>
      </w:r>
      <w:r>
        <w:rPr>
          <w:rFonts w:hint="eastAsia" w:ascii="宋体" w:hAnsi="宋体" w:eastAsia="宋体" w:cs="宋体"/>
          <w:b/>
          <w:color w:val="auto"/>
          <w:sz w:val="21"/>
          <w:szCs w:val="21"/>
          <w:highlight w:val="none"/>
        </w:rPr>
        <w:t>正反面</w:t>
      </w:r>
      <w:r>
        <w:rPr>
          <w:rFonts w:hint="eastAsia" w:ascii="宋体" w:hAnsi="宋体" w:eastAsia="宋体" w:cs="宋体"/>
          <w:color w:val="auto"/>
          <w:sz w:val="21"/>
          <w:szCs w:val="21"/>
          <w:highlight w:val="none"/>
        </w:rPr>
        <w:t>电子件：</w:t>
      </w:r>
    </w:p>
    <w:tbl>
      <w:tblPr>
        <w:tblStyle w:val="3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8D0D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1D865359">
            <w:pPr>
              <w:tabs>
                <w:tab w:val="left" w:pos="5580"/>
              </w:tabs>
              <w:spacing w:line="360" w:lineRule="auto"/>
              <w:jc w:val="left"/>
              <w:rPr>
                <w:rFonts w:hint="eastAsia" w:ascii="宋体" w:hAnsi="宋体" w:eastAsia="宋体" w:cs="宋体"/>
                <w:color w:val="auto"/>
                <w:sz w:val="21"/>
                <w:szCs w:val="21"/>
                <w:highlight w:val="none"/>
              </w:rPr>
            </w:pPr>
          </w:p>
          <w:p w14:paraId="2048A093">
            <w:pPr>
              <w:tabs>
                <w:tab w:val="left" w:pos="5580"/>
              </w:tabs>
              <w:spacing w:line="360" w:lineRule="auto"/>
              <w:jc w:val="left"/>
              <w:rPr>
                <w:rFonts w:hint="eastAsia" w:ascii="宋体" w:hAnsi="宋体" w:eastAsia="宋体" w:cs="宋体"/>
                <w:color w:val="auto"/>
                <w:sz w:val="21"/>
                <w:szCs w:val="21"/>
                <w:highlight w:val="none"/>
              </w:rPr>
            </w:pPr>
          </w:p>
          <w:p w14:paraId="01E17E34">
            <w:pPr>
              <w:tabs>
                <w:tab w:val="left" w:pos="5580"/>
              </w:tabs>
              <w:spacing w:line="360" w:lineRule="auto"/>
              <w:jc w:val="left"/>
              <w:rPr>
                <w:rFonts w:hint="eastAsia" w:ascii="宋体" w:hAnsi="宋体" w:eastAsia="宋体" w:cs="宋体"/>
                <w:color w:val="auto"/>
                <w:sz w:val="21"/>
                <w:szCs w:val="21"/>
                <w:highlight w:val="none"/>
              </w:rPr>
            </w:pPr>
          </w:p>
        </w:tc>
        <w:tc>
          <w:tcPr>
            <w:tcW w:w="4536" w:type="dxa"/>
            <w:noWrap w:val="0"/>
          </w:tcPr>
          <w:p w14:paraId="7436615D">
            <w:pPr>
              <w:tabs>
                <w:tab w:val="left" w:pos="5580"/>
              </w:tabs>
              <w:spacing w:line="360" w:lineRule="auto"/>
              <w:jc w:val="left"/>
              <w:rPr>
                <w:rFonts w:hint="eastAsia" w:ascii="宋体" w:hAnsi="宋体" w:eastAsia="宋体" w:cs="宋体"/>
                <w:color w:val="auto"/>
                <w:sz w:val="21"/>
                <w:szCs w:val="21"/>
                <w:highlight w:val="none"/>
              </w:rPr>
            </w:pPr>
          </w:p>
          <w:p w14:paraId="5909A3A7">
            <w:pPr>
              <w:tabs>
                <w:tab w:val="left" w:pos="5580"/>
              </w:tabs>
              <w:spacing w:line="360" w:lineRule="auto"/>
              <w:jc w:val="left"/>
              <w:rPr>
                <w:rFonts w:hint="eastAsia" w:ascii="宋体" w:hAnsi="宋体" w:eastAsia="宋体" w:cs="宋体"/>
                <w:color w:val="auto"/>
                <w:sz w:val="21"/>
                <w:szCs w:val="21"/>
                <w:highlight w:val="none"/>
              </w:rPr>
            </w:pPr>
          </w:p>
          <w:p w14:paraId="26561E79">
            <w:pPr>
              <w:tabs>
                <w:tab w:val="left" w:pos="5580"/>
              </w:tabs>
              <w:spacing w:line="360" w:lineRule="auto"/>
              <w:jc w:val="left"/>
              <w:rPr>
                <w:rFonts w:hint="eastAsia" w:ascii="宋体" w:hAnsi="宋体" w:eastAsia="宋体" w:cs="宋体"/>
                <w:color w:val="auto"/>
                <w:sz w:val="21"/>
                <w:szCs w:val="21"/>
                <w:highlight w:val="none"/>
              </w:rPr>
            </w:pPr>
          </w:p>
        </w:tc>
      </w:tr>
    </w:tbl>
    <w:p w14:paraId="352E568A">
      <w:pPr>
        <w:tabs>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委托代理人有效期内的身份证</w:t>
      </w:r>
      <w:r>
        <w:rPr>
          <w:rFonts w:hint="eastAsia" w:ascii="宋体" w:hAnsi="宋体" w:eastAsia="宋体" w:cs="宋体"/>
          <w:b/>
          <w:color w:val="auto"/>
          <w:sz w:val="21"/>
          <w:szCs w:val="21"/>
          <w:highlight w:val="none"/>
        </w:rPr>
        <w:t>正反面</w:t>
      </w:r>
      <w:r>
        <w:rPr>
          <w:rFonts w:hint="eastAsia" w:ascii="宋体" w:hAnsi="宋体" w:eastAsia="宋体" w:cs="宋体"/>
          <w:color w:val="auto"/>
          <w:sz w:val="21"/>
          <w:szCs w:val="21"/>
          <w:highlight w:val="none"/>
        </w:rPr>
        <w:t>电子件：</w:t>
      </w:r>
    </w:p>
    <w:tbl>
      <w:tblPr>
        <w:tblStyle w:val="3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4921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6EF05F0A">
            <w:pPr>
              <w:tabs>
                <w:tab w:val="left" w:pos="5580"/>
              </w:tabs>
              <w:spacing w:line="360" w:lineRule="auto"/>
              <w:jc w:val="left"/>
              <w:rPr>
                <w:rFonts w:hint="eastAsia" w:ascii="宋体" w:hAnsi="宋体" w:eastAsia="宋体" w:cs="宋体"/>
                <w:color w:val="auto"/>
                <w:sz w:val="21"/>
                <w:szCs w:val="21"/>
                <w:highlight w:val="none"/>
              </w:rPr>
            </w:pPr>
          </w:p>
          <w:p w14:paraId="69C30850">
            <w:pPr>
              <w:tabs>
                <w:tab w:val="left" w:pos="5580"/>
              </w:tabs>
              <w:spacing w:line="360" w:lineRule="auto"/>
              <w:jc w:val="left"/>
              <w:rPr>
                <w:rFonts w:hint="eastAsia" w:ascii="宋体" w:hAnsi="宋体" w:eastAsia="宋体" w:cs="宋体"/>
                <w:color w:val="auto"/>
                <w:sz w:val="21"/>
                <w:szCs w:val="21"/>
                <w:highlight w:val="none"/>
              </w:rPr>
            </w:pPr>
          </w:p>
          <w:p w14:paraId="2DAF2A1F">
            <w:pPr>
              <w:tabs>
                <w:tab w:val="left" w:pos="5580"/>
              </w:tabs>
              <w:spacing w:line="360" w:lineRule="auto"/>
              <w:jc w:val="left"/>
              <w:rPr>
                <w:rFonts w:hint="eastAsia" w:ascii="宋体" w:hAnsi="宋体" w:eastAsia="宋体" w:cs="宋体"/>
                <w:color w:val="auto"/>
                <w:sz w:val="21"/>
                <w:szCs w:val="21"/>
                <w:highlight w:val="none"/>
              </w:rPr>
            </w:pPr>
          </w:p>
        </w:tc>
        <w:tc>
          <w:tcPr>
            <w:tcW w:w="4536" w:type="dxa"/>
            <w:noWrap w:val="0"/>
          </w:tcPr>
          <w:p w14:paraId="75E3E85B">
            <w:pPr>
              <w:tabs>
                <w:tab w:val="left" w:pos="5580"/>
              </w:tabs>
              <w:spacing w:line="360" w:lineRule="auto"/>
              <w:jc w:val="left"/>
              <w:rPr>
                <w:rFonts w:hint="eastAsia" w:ascii="宋体" w:hAnsi="宋体" w:eastAsia="宋体" w:cs="宋体"/>
                <w:color w:val="auto"/>
                <w:sz w:val="21"/>
                <w:szCs w:val="21"/>
                <w:highlight w:val="none"/>
              </w:rPr>
            </w:pPr>
          </w:p>
          <w:p w14:paraId="3DDD31DF">
            <w:pPr>
              <w:tabs>
                <w:tab w:val="left" w:pos="5580"/>
              </w:tabs>
              <w:spacing w:line="360" w:lineRule="auto"/>
              <w:jc w:val="left"/>
              <w:rPr>
                <w:rFonts w:hint="eastAsia" w:ascii="宋体" w:hAnsi="宋体" w:eastAsia="宋体" w:cs="宋体"/>
                <w:color w:val="auto"/>
                <w:sz w:val="21"/>
                <w:szCs w:val="21"/>
                <w:highlight w:val="none"/>
              </w:rPr>
            </w:pPr>
          </w:p>
          <w:p w14:paraId="406C17E2">
            <w:pPr>
              <w:tabs>
                <w:tab w:val="left" w:pos="5580"/>
              </w:tabs>
              <w:spacing w:line="360" w:lineRule="auto"/>
              <w:jc w:val="left"/>
              <w:rPr>
                <w:rFonts w:hint="eastAsia" w:ascii="宋体" w:hAnsi="宋体" w:eastAsia="宋体" w:cs="宋体"/>
                <w:color w:val="auto"/>
                <w:sz w:val="21"/>
                <w:szCs w:val="21"/>
                <w:highlight w:val="none"/>
              </w:rPr>
            </w:pPr>
          </w:p>
        </w:tc>
      </w:tr>
    </w:tbl>
    <w:p w14:paraId="5E21E3AF">
      <w:pPr>
        <w:tabs>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填报说明：</w:t>
      </w:r>
    </w:p>
    <w:p w14:paraId="15813713">
      <w:pPr>
        <w:tabs>
          <w:tab w:val="left" w:pos="5580"/>
        </w:tabs>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1、若供应商为事业单位或其他组织或分支机构（仅当磋商文件注明允许分支机构参与磋商的），则法定代表人（单位负责人）处的签署人可为单位负责人。</w:t>
      </w:r>
    </w:p>
    <w:p w14:paraId="43EA3969">
      <w:pPr>
        <w:tabs>
          <w:tab w:val="left" w:pos="5580"/>
        </w:tabs>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2、若响应文件中全部签字之处均为法定代表人（单位负责人）本人签署，则可不提供本《授权委托书》，但须提供《法定代表人（单位负责人）身份证明》。</w:t>
      </w:r>
    </w:p>
    <w:p w14:paraId="438E60AA">
      <w:pPr>
        <w:tabs>
          <w:tab w:val="left" w:pos="5580"/>
        </w:tabs>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3、供应商为自然人的情形，可不提供本《授权委托书》。</w:t>
      </w:r>
    </w:p>
    <w:p w14:paraId="749220C3">
      <w:pPr>
        <w:rPr>
          <w:rFonts w:hint="eastAsia" w:ascii="宋体" w:hAnsi="宋体" w:eastAsia="宋体" w:cs="宋体"/>
          <w:color w:val="auto"/>
          <w:sz w:val="24"/>
          <w:szCs w:val="24"/>
          <w:highlight w:val="none"/>
        </w:rPr>
      </w:pPr>
    </w:p>
    <w:p w14:paraId="3F9F9EBB">
      <w:pPr>
        <w:rPr>
          <w:rFonts w:hint="eastAsia" w:ascii="宋体" w:hAnsi="宋体" w:eastAsia="宋体" w:cs="宋体"/>
          <w:color w:val="auto"/>
          <w:sz w:val="24"/>
          <w:szCs w:val="24"/>
          <w:highlight w:val="none"/>
        </w:rPr>
        <w:sectPr>
          <w:pgSz w:w="11906" w:h="16838"/>
          <w:pgMar w:top="1134" w:right="1134" w:bottom="1134" w:left="1622" w:header="851" w:footer="992" w:gutter="0"/>
          <w:cols w:space="720" w:num="1"/>
          <w:docGrid w:linePitch="360" w:charSpace="0"/>
        </w:sectPr>
      </w:pPr>
    </w:p>
    <w:p w14:paraId="17E9A9BC">
      <w:pPr>
        <w:rPr>
          <w:rFonts w:hint="eastAsia" w:ascii="宋体" w:hAnsi="宋体" w:eastAsia="宋体" w:cs="宋体"/>
          <w:color w:val="auto"/>
          <w:sz w:val="24"/>
          <w:szCs w:val="24"/>
          <w:highlight w:val="none"/>
        </w:rPr>
      </w:pPr>
    </w:p>
    <w:p w14:paraId="65962838">
      <w:pPr>
        <w:spacing w:line="3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法定代表人（单位负责人）身份证明</w:t>
      </w:r>
    </w:p>
    <w:p w14:paraId="5643813A">
      <w:pPr>
        <w:spacing w:line="200" w:lineRule="exact"/>
        <w:rPr>
          <w:rFonts w:hint="eastAsia" w:ascii="宋体" w:hAnsi="宋体" w:eastAsia="宋体" w:cs="宋体"/>
          <w:color w:val="auto"/>
          <w:sz w:val="24"/>
          <w:szCs w:val="24"/>
          <w:highlight w:val="none"/>
        </w:rPr>
      </w:pPr>
    </w:p>
    <w:p w14:paraId="65B4BCA8">
      <w:pPr>
        <w:tabs>
          <w:tab w:val="left" w:pos="5580"/>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xml:space="preserve"> 采购单位 </w:t>
      </w:r>
    </w:p>
    <w:p w14:paraId="29CE6763">
      <w:pPr>
        <w:tabs>
          <w:tab w:val="left" w:pos="567"/>
          <w:tab w:val="left" w:pos="2412"/>
          <w:tab w:val="left" w:pos="3883"/>
          <w:tab w:val="left" w:pos="5352"/>
          <w:tab w:val="left" w:pos="6821"/>
        </w:tabs>
        <w:spacing w:before="120" w:line="335"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兹证明，</w:t>
      </w:r>
    </w:p>
    <w:p w14:paraId="7745275A">
      <w:pPr>
        <w:tabs>
          <w:tab w:val="left" w:pos="567"/>
          <w:tab w:val="left" w:pos="1690"/>
          <w:tab w:val="left" w:pos="3400"/>
          <w:tab w:val="left" w:pos="5110"/>
          <w:tab w:val="left" w:pos="6821"/>
        </w:tabs>
        <w:spacing w:before="120" w:line="335"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职务：</w:t>
      </w:r>
      <w:r>
        <w:rPr>
          <w:rFonts w:hint="eastAsia" w:ascii="宋体" w:hAnsi="宋体" w:eastAsia="宋体" w:cs="宋体"/>
          <w:color w:val="auto"/>
          <w:sz w:val="21"/>
          <w:szCs w:val="21"/>
          <w:highlight w:val="none"/>
          <w:u w:val="single"/>
        </w:rPr>
        <w:t xml:space="preserve">        </w:t>
      </w:r>
    </w:p>
    <w:p w14:paraId="0EBF3C78">
      <w:pPr>
        <w:tabs>
          <w:tab w:val="left" w:pos="567"/>
          <w:tab w:val="left" w:pos="2412"/>
          <w:tab w:val="left" w:pos="3883"/>
          <w:tab w:val="left" w:pos="5352"/>
          <w:tab w:val="left" w:pos="6821"/>
        </w:tabs>
        <w:spacing w:before="120" w:line="335" w:lineRule="exact"/>
        <w:rPr>
          <w:rFonts w:hint="eastAsia" w:ascii="宋体" w:hAnsi="宋体" w:eastAsia="宋体" w:cs="宋体"/>
          <w:color w:val="auto"/>
          <w:sz w:val="21"/>
          <w:szCs w:val="21"/>
          <w:highlight w:val="none"/>
        </w:rPr>
      </w:pPr>
    </w:p>
    <w:p w14:paraId="38CFDC12">
      <w:pPr>
        <w:tabs>
          <w:tab w:val="left" w:pos="2250"/>
          <w:tab w:val="left" w:pos="2412"/>
          <w:tab w:val="left" w:pos="3883"/>
          <w:tab w:val="left" w:pos="5352"/>
          <w:tab w:val="left" w:pos="6821"/>
        </w:tabs>
        <w:spacing w:before="120" w:line="335"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的法定代表人（单位负责人）。</w:t>
      </w:r>
    </w:p>
    <w:p w14:paraId="3D197ABE">
      <w:pPr>
        <w:tabs>
          <w:tab w:val="left" w:pos="567"/>
          <w:tab w:val="left" w:pos="2412"/>
          <w:tab w:val="left" w:pos="3883"/>
          <w:tab w:val="left" w:pos="5352"/>
          <w:tab w:val="left" w:pos="6821"/>
        </w:tabs>
        <w:spacing w:before="120" w:line="335" w:lineRule="exact"/>
        <w:rPr>
          <w:rFonts w:hint="eastAsia" w:ascii="宋体" w:hAnsi="宋体" w:eastAsia="宋体" w:cs="宋体"/>
          <w:color w:val="auto"/>
          <w:sz w:val="21"/>
          <w:szCs w:val="21"/>
          <w:highlight w:val="none"/>
        </w:rPr>
      </w:pPr>
    </w:p>
    <w:p w14:paraId="29CE32C1">
      <w:pPr>
        <w:tabs>
          <w:tab w:val="left" w:pos="567"/>
        </w:tabs>
        <w:spacing w:before="120" w:line="583" w:lineRule="auto"/>
        <w:ind w:right="-46"/>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法</w:t>
      </w:r>
      <w:r>
        <w:rPr>
          <w:rFonts w:hint="eastAsia" w:ascii="宋体" w:hAnsi="宋体" w:eastAsia="宋体" w:cs="宋体"/>
          <w:color w:val="auto"/>
          <w:sz w:val="21"/>
          <w:szCs w:val="21"/>
          <w:highlight w:val="none"/>
        </w:rPr>
        <w:t>定</w:t>
      </w:r>
      <w:r>
        <w:rPr>
          <w:rFonts w:hint="eastAsia" w:ascii="宋体" w:hAnsi="宋体" w:eastAsia="宋体" w:cs="宋体"/>
          <w:color w:val="auto"/>
          <w:spacing w:val="-3"/>
          <w:sz w:val="21"/>
          <w:szCs w:val="21"/>
          <w:highlight w:val="none"/>
        </w:rPr>
        <w:t>代</w:t>
      </w:r>
      <w:r>
        <w:rPr>
          <w:rFonts w:hint="eastAsia" w:ascii="宋体" w:hAnsi="宋体" w:eastAsia="宋体" w:cs="宋体"/>
          <w:color w:val="auto"/>
          <w:sz w:val="21"/>
          <w:szCs w:val="21"/>
          <w:highlight w:val="none"/>
        </w:rPr>
        <w:t>表</w:t>
      </w:r>
      <w:r>
        <w:rPr>
          <w:rFonts w:hint="eastAsia" w:ascii="宋体" w:hAnsi="宋体" w:eastAsia="宋体" w:cs="宋体"/>
          <w:color w:val="auto"/>
          <w:spacing w:val="-3"/>
          <w:sz w:val="21"/>
          <w:szCs w:val="21"/>
          <w:highlight w:val="none"/>
        </w:rPr>
        <w:t>人</w:t>
      </w:r>
      <w:r>
        <w:rPr>
          <w:rFonts w:hint="eastAsia" w:ascii="宋体" w:hAnsi="宋体" w:eastAsia="宋体" w:cs="宋体"/>
          <w:color w:val="auto"/>
          <w:sz w:val="21"/>
          <w:szCs w:val="21"/>
          <w:highlight w:val="none"/>
        </w:rPr>
        <w:t>（</w:t>
      </w:r>
      <w:r>
        <w:rPr>
          <w:rFonts w:hint="eastAsia" w:ascii="宋体" w:hAnsi="宋体" w:eastAsia="宋体" w:cs="宋体"/>
          <w:color w:val="auto"/>
          <w:spacing w:val="-3"/>
          <w:sz w:val="21"/>
          <w:szCs w:val="21"/>
          <w:highlight w:val="none"/>
        </w:rPr>
        <w:t>单</w:t>
      </w:r>
      <w:r>
        <w:rPr>
          <w:rFonts w:hint="eastAsia" w:ascii="宋体" w:hAnsi="宋体" w:eastAsia="宋体" w:cs="宋体"/>
          <w:color w:val="auto"/>
          <w:sz w:val="21"/>
          <w:szCs w:val="21"/>
          <w:highlight w:val="none"/>
        </w:rPr>
        <w:t>位</w:t>
      </w:r>
      <w:r>
        <w:rPr>
          <w:rFonts w:hint="eastAsia" w:ascii="宋体" w:hAnsi="宋体" w:eastAsia="宋体" w:cs="宋体"/>
          <w:color w:val="auto"/>
          <w:spacing w:val="-3"/>
          <w:sz w:val="21"/>
          <w:szCs w:val="21"/>
          <w:highlight w:val="none"/>
        </w:rPr>
        <w:t>负</w:t>
      </w:r>
      <w:r>
        <w:rPr>
          <w:rFonts w:hint="eastAsia" w:ascii="宋体" w:hAnsi="宋体" w:eastAsia="宋体" w:cs="宋体"/>
          <w:color w:val="auto"/>
          <w:sz w:val="21"/>
          <w:szCs w:val="21"/>
          <w:highlight w:val="none"/>
        </w:rPr>
        <w:t>责人</w:t>
      </w:r>
      <w:r>
        <w:rPr>
          <w:rFonts w:hint="eastAsia" w:ascii="宋体" w:hAnsi="宋体" w:eastAsia="宋体" w:cs="宋体"/>
          <w:color w:val="auto"/>
          <w:spacing w:val="-3"/>
          <w:sz w:val="21"/>
          <w:szCs w:val="21"/>
          <w:highlight w:val="none"/>
        </w:rPr>
        <w:t>）有效期内的身份证正反面电子件：</w:t>
      </w:r>
    </w:p>
    <w:tbl>
      <w:tblPr>
        <w:tblStyle w:val="3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BF5E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7CBFA8B4">
            <w:pPr>
              <w:tabs>
                <w:tab w:val="left" w:pos="5580"/>
              </w:tabs>
              <w:spacing w:line="360" w:lineRule="auto"/>
              <w:jc w:val="left"/>
              <w:rPr>
                <w:rFonts w:hint="eastAsia" w:ascii="宋体" w:hAnsi="宋体" w:eastAsia="宋体" w:cs="宋体"/>
                <w:color w:val="auto"/>
                <w:sz w:val="21"/>
                <w:szCs w:val="21"/>
                <w:highlight w:val="none"/>
              </w:rPr>
            </w:pPr>
          </w:p>
          <w:p w14:paraId="7F1D291B">
            <w:pPr>
              <w:tabs>
                <w:tab w:val="left" w:pos="5580"/>
              </w:tabs>
              <w:spacing w:line="360" w:lineRule="auto"/>
              <w:jc w:val="left"/>
              <w:rPr>
                <w:rFonts w:hint="eastAsia" w:ascii="宋体" w:hAnsi="宋体" w:eastAsia="宋体" w:cs="宋体"/>
                <w:color w:val="auto"/>
                <w:sz w:val="21"/>
                <w:szCs w:val="21"/>
                <w:highlight w:val="none"/>
              </w:rPr>
            </w:pPr>
          </w:p>
          <w:p w14:paraId="76462B98">
            <w:pPr>
              <w:tabs>
                <w:tab w:val="left" w:pos="5580"/>
              </w:tabs>
              <w:spacing w:line="360" w:lineRule="auto"/>
              <w:jc w:val="left"/>
              <w:rPr>
                <w:rFonts w:hint="eastAsia" w:ascii="宋体" w:hAnsi="宋体" w:eastAsia="宋体" w:cs="宋体"/>
                <w:color w:val="auto"/>
                <w:sz w:val="21"/>
                <w:szCs w:val="21"/>
                <w:highlight w:val="none"/>
              </w:rPr>
            </w:pPr>
          </w:p>
        </w:tc>
        <w:tc>
          <w:tcPr>
            <w:tcW w:w="4536" w:type="dxa"/>
            <w:noWrap w:val="0"/>
          </w:tcPr>
          <w:p w14:paraId="34C36483">
            <w:pPr>
              <w:tabs>
                <w:tab w:val="left" w:pos="5580"/>
              </w:tabs>
              <w:spacing w:line="360" w:lineRule="auto"/>
              <w:jc w:val="left"/>
              <w:rPr>
                <w:rFonts w:hint="eastAsia" w:ascii="宋体" w:hAnsi="宋体" w:eastAsia="宋体" w:cs="宋体"/>
                <w:color w:val="auto"/>
                <w:sz w:val="21"/>
                <w:szCs w:val="21"/>
                <w:highlight w:val="none"/>
              </w:rPr>
            </w:pPr>
          </w:p>
          <w:p w14:paraId="7AC90521">
            <w:pPr>
              <w:tabs>
                <w:tab w:val="left" w:pos="5580"/>
              </w:tabs>
              <w:spacing w:line="360" w:lineRule="auto"/>
              <w:jc w:val="left"/>
              <w:rPr>
                <w:rFonts w:hint="eastAsia" w:ascii="宋体" w:hAnsi="宋体" w:eastAsia="宋体" w:cs="宋体"/>
                <w:color w:val="auto"/>
                <w:sz w:val="21"/>
                <w:szCs w:val="21"/>
                <w:highlight w:val="none"/>
              </w:rPr>
            </w:pPr>
          </w:p>
          <w:p w14:paraId="54D9C0C9">
            <w:pPr>
              <w:tabs>
                <w:tab w:val="left" w:pos="5580"/>
              </w:tabs>
              <w:spacing w:line="360" w:lineRule="auto"/>
              <w:jc w:val="left"/>
              <w:rPr>
                <w:rFonts w:hint="eastAsia" w:ascii="宋体" w:hAnsi="宋体" w:eastAsia="宋体" w:cs="宋体"/>
                <w:color w:val="auto"/>
                <w:sz w:val="21"/>
                <w:szCs w:val="21"/>
                <w:highlight w:val="none"/>
              </w:rPr>
            </w:pPr>
          </w:p>
        </w:tc>
      </w:tr>
    </w:tbl>
    <w:p w14:paraId="197A36D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u w:val="single"/>
        </w:rPr>
        <w:t xml:space="preserve">             </w:t>
      </w:r>
    </w:p>
    <w:p w14:paraId="6B7A10D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法定代表人（</w:t>
      </w:r>
      <w:r>
        <w:rPr>
          <w:rFonts w:hint="eastAsia" w:ascii="宋体" w:hAnsi="宋体" w:eastAsia="宋体" w:cs="宋体"/>
          <w:color w:val="auto"/>
          <w:sz w:val="21"/>
          <w:szCs w:val="21"/>
          <w:highlight w:val="none"/>
        </w:rPr>
        <w:t>单位负责人</w:t>
      </w:r>
      <w:r>
        <w:rPr>
          <w:rFonts w:hint="eastAsia" w:ascii="宋体" w:hAnsi="宋体" w:eastAsia="宋体" w:cs="宋体"/>
          <w:color w:val="auto"/>
          <w:spacing w:val="-3"/>
          <w:sz w:val="21"/>
          <w:szCs w:val="21"/>
          <w:highlight w:val="none"/>
        </w:rPr>
        <w:t>）（签字、签章或印鉴）：</w:t>
      </w:r>
      <w:r>
        <w:rPr>
          <w:rFonts w:hint="eastAsia" w:ascii="宋体" w:hAnsi="宋体" w:eastAsia="宋体" w:cs="宋体"/>
          <w:color w:val="auto"/>
          <w:sz w:val="21"/>
          <w:szCs w:val="21"/>
          <w:highlight w:val="none"/>
          <w:u w:val="single"/>
        </w:rPr>
        <w:t xml:space="preserve">             </w:t>
      </w:r>
    </w:p>
    <w:p w14:paraId="4E7DC996">
      <w:pPr>
        <w:spacing w:line="360" w:lineRule="auto"/>
        <w:rPr>
          <w:rFonts w:hint="eastAsia" w:ascii="宋体" w:hAnsi="宋体" w:eastAsia="宋体" w:cs="宋体"/>
          <w:color w:val="auto"/>
          <w:sz w:val="21"/>
          <w:szCs w:val="21"/>
          <w:highlight w:val="none"/>
        </w:rPr>
      </w:pPr>
    </w:p>
    <w:p w14:paraId="23CE946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1B1ECDF0">
      <w:pPr>
        <w:keepNext/>
        <w:keepLines/>
        <w:spacing w:before="260" w:after="260" w:line="416" w:lineRule="auto"/>
        <w:jc w:val="left"/>
        <w:outlineLvl w:val="1"/>
        <w:rPr>
          <w:rFonts w:hint="eastAsia" w:ascii="宋体" w:hAnsi="宋体" w:eastAsia="宋体" w:cs="宋体"/>
          <w:b/>
          <w:bCs/>
          <w:i/>
          <w:iCs/>
          <w:color w:val="auto"/>
          <w:sz w:val="24"/>
          <w:szCs w:val="24"/>
          <w:highlight w:val="none"/>
          <w:u w:val="single"/>
        </w:rPr>
        <w:sectPr>
          <w:pgSz w:w="11906" w:h="16838"/>
          <w:pgMar w:top="1134" w:right="1134" w:bottom="1134" w:left="1622" w:header="851" w:footer="992" w:gutter="0"/>
          <w:cols w:space="720" w:num="1"/>
          <w:docGrid w:linePitch="360" w:charSpace="0"/>
        </w:sectPr>
      </w:pPr>
    </w:p>
    <w:p w14:paraId="512D1270">
      <w:pPr>
        <w:keepNext/>
        <w:keepLines/>
        <w:pageBreakBefore w:val="0"/>
        <w:widowControl w:val="0"/>
        <w:spacing w:before="260" w:after="260" w:line="240" w:lineRule="exact"/>
        <w:jc w:val="left"/>
        <w:outlineLvl w:val="1"/>
        <w:rPr>
          <w:rFonts w:hint="eastAsia" w:ascii="宋体" w:hAnsi="宋体" w:eastAsia="宋体" w:cs="宋体"/>
          <w:b/>
          <w:bCs/>
          <w:i/>
          <w:iCs/>
          <w:color w:val="auto"/>
          <w:sz w:val="24"/>
          <w:szCs w:val="24"/>
          <w:highlight w:val="none"/>
          <w:u w:val="single"/>
        </w:rPr>
      </w:pPr>
    </w:p>
    <w:p w14:paraId="78350E41">
      <w:pPr>
        <w:keepNext/>
        <w:keepLines/>
        <w:spacing w:before="260" w:after="260" w:line="416" w:lineRule="auto"/>
        <w:jc w:val="left"/>
        <w:outlineLvl w:val="1"/>
        <w:rPr>
          <w:rFonts w:hint="eastAsia" w:ascii="宋体" w:hAnsi="宋体" w:eastAsia="宋体" w:cs="宋体"/>
          <w:b/>
          <w:bCs/>
          <w:i/>
          <w:color w:val="auto"/>
          <w:sz w:val="24"/>
          <w:szCs w:val="24"/>
          <w:highlight w:val="none"/>
          <w:u w:val="single"/>
        </w:rPr>
      </w:pPr>
      <w:bookmarkStart w:id="277" w:name="_Toc625"/>
      <w:bookmarkStart w:id="278" w:name="_Toc19992"/>
      <w:r>
        <w:rPr>
          <w:rFonts w:hint="eastAsia" w:ascii="宋体" w:hAnsi="宋体" w:eastAsia="宋体" w:cs="宋体"/>
          <w:b/>
          <w:bCs/>
          <w:i/>
          <w:iCs/>
          <w:color w:val="auto"/>
          <w:sz w:val="24"/>
          <w:szCs w:val="24"/>
          <w:highlight w:val="none"/>
          <w:u w:val="single"/>
        </w:rPr>
        <w:t>十、磋商响应函</w:t>
      </w:r>
      <w:bookmarkEnd w:id="277"/>
      <w:bookmarkEnd w:id="278"/>
    </w:p>
    <w:p w14:paraId="6D68A7A9">
      <w:pPr>
        <w:tabs>
          <w:tab w:val="left" w:pos="36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磋商响应函</w:t>
      </w:r>
    </w:p>
    <w:p w14:paraId="7EB3B75C">
      <w:pPr>
        <w:spacing w:line="50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lang w:eastAsia="zh-CN"/>
        </w:rPr>
        <w:t>采购人</w:t>
      </w:r>
    </w:p>
    <w:p w14:paraId="3E8D60B7">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根据贵方的</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_________________磋商文件，正式授权下述签字人_________________(姓名)代表我方______________（供应商的名称），全权处理本次项目磋商采购的有关事宜。</w:t>
      </w:r>
    </w:p>
    <w:p w14:paraId="017D1086">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据此函，__________签字人兹宣布同意如下：</w:t>
      </w:r>
    </w:p>
    <w:p w14:paraId="7A0D38AC">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1.按磋商文件规定的各项要求，向买方提供所需</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（包含与</w:t>
      </w:r>
      <w:r>
        <w:rPr>
          <w:rFonts w:hint="eastAsia" w:ascii="宋体" w:hAnsi="宋体" w:eastAsia="宋体" w:cs="宋体"/>
          <w:color w:val="auto"/>
          <w:sz w:val="21"/>
          <w:szCs w:val="21"/>
          <w:highlight w:val="none"/>
          <w:lang w:val="en-US" w:eastAsia="zh-CN"/>
        </w:rPr>
        <w:t>服务有关的货物等</w:t>
      </w:r>
      <w:r>
        <w:rPr>
          <w:rFonts w:hint="eastAsia" w:ascii="宋体" w:hAnsi="宋体" w:eastAsia="宋体" w:cs="宋体"/>
          <w:color w:val="auto"/>
          <w:sz w:val="21"/>
          <w:szCs w:val="21"/>
          <w:highlight w:val="none"/>
        </w:rPr>
        <w:t>）。</w:t>
      </w:r>
    </w:p>
    <w:p w14:paraId="4C923D93">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2.我们完全理解贵方不一定将合同授予最低报价的供应商。</w:t>
      </w:r>
    </w:p>
    <w:p w14:paraId="38153737">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3.我们已详细审核全部磋商文件及其有效补充文件，我们知道必须放弃提出含糊不清或误解问题的权利。</w:t>
      </w:r>
    </w:p>
    <w:p w14:paraId="5527848F">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4.我们同意从规定的开启日期起遵循本响应文件，并在规定的磋商有效期期满之前均具有约束力。</w:t>
      </w:r>
    </w:p>
    <w:p w14:paraId="141D54E6">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5.同意向贵方提供贵方可能另外要求的与磋商采购有关的任何证据或资料，并保证我方已提供和将要提供的文件是真实的、准确的。</w:t>
      </w:r>
    </w:p>
    <w:p w14:paraId="1FB5E5B3">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6.一旦我方成交,我方将根据磋商文件的规定，严格履行合同的责任和义务,并保证在磋商文件规定的时间完成项目，交付买方验收、使用。</w:t>
      </w:r>
    </w:p>
    <w:p w14:paraId="6A6440F8">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7.与本磋商有关的正式通讯地址为：</w:t>
      </w:r>
    </w:p>
    <w:p w14:paraId="6D8269A9">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p>
    <w:p w14:paraId="38FDD1EC">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        编：</w:t>
      </w:r>
    </w:p>
    <w:p w14:paraId="2BAB9EF0">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p>
    <w:p w14:paraId="4EBA2BA4">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p>
    <w:p w14:paraId="1B7F510A">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供应商开户行：</w:t>
      </w:r>
    </w:p>
    <w:p w14:paraId="712278A0">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p>
    <w:p w14:paraId="531A066C">
      <w:pPr>
        <w:rPr>
          <w:rFonts w:hint="eastAsia" w:ascii="宋体" w:hAnsi="宋体" w:eastAsia="宋体" w:cs="宋体"/>
          <w:color w:val="auto"/>
          <w:sz w:val="21"/>
          <w:szCs w:val="21"/>
          <w:highlight w:val="none"/>
        </w:rPr>
      </w:pPr>
    </w:p>
    <w:p w14:paraId="068A0480">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供应商（盖章）：</w:t>
      </w:r>
    </w:p>
    <w:p w14:paraId="0084F3B0">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法定代表人（单位负责人）或委托代理人（签字或盖章）：</w:t>
      </w:r>
    </w:p>
    <w:p w14:paraId="6EA333C6">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662A32C9">
      <w:pPr>
        <w:rPr>
          <w:rFonts w:hint="eastAsia" w:ascii="宋体" w:hAnsi="宋体" w:eastAsia="宋体" w:cs="宋体"/>
          <w:color w:val="auto"/>
          <w:sz w:val="24"/>
          <w:szCs w:val="24"/>
          <w:highlight w:val="none"/>
        </w:rPr>
      </w:pPr>
    </w:p>
    <w:p w14:paraId="4FE29391">
      <w:pPr>
        <w:jc w:val="center"/>
        <w:rPr>
          <w:rFonts w:ascii="宋体" w:hAnsi="宋体" w:cs="宋体"/>
          <w:b/>
          <w:bCs/>
          <w:color w:val="auto"/>
          <w:szCs w:val="21"/>
          <w:highlight w:val="none"/>
        </w:rPr>
      </w:pPr>
    </w:p>
    <w:p w14:paraId="1FB580D4">
      <w:pPr>
        <w:keepNext/>
        <w:keepLines/>
        <w:spacing w:before="120" w:after="120" w:line="560" w:lineRule="exact"/>
        <w:jc w:val="left"/>
        <w:outlineLvl w:val="1"/>
        <w:rPr>
          <w:rFonts w:hint="eastAsia" w:ascii="黑体" w:hAnsi="黑体" w:eastAsia="黑体" w:cs="宋体"/>
          <w:bCs/>
          <w:color w:val="auto"/>
          <w:sz w:val="24"/>
          <w:szCs w:val="28"/>
          <w:highlight w:val="none"/>
        </w:rPr>
        <w:sectPr>
          <w:pgSz w:w="11906" w:h="16838"/>
          <w:pgMar w:top="1134" w:right="1134" w:bottom="1134" w:left="1622" w:header="851" w:footer="992" w:gutter="0"/>
          <w:cols w:space="720" w:num="1"/>
          <w:docGrid w:linePitch="360" w:charSpace="0"/>
        </w:sectPr>
      </w:pPr>
    </w:p>
    <w:p w14:paraId="0E241C77">
      <w:pPr>
        <w:keepNext/>
        <w:keepLines/>
        <w:pageBreakBefore w:val="0"/>
        <w:widowControl w:val="0"/>
        <w:spacing w:before="120" w:after="120" w:line="240" w:lineRule="exact"/>
        <w:jc w:val="left"/>
        <w:outlineLvl w:val="1"/>
        <w:rPr>
          <w:rFonts w:hint="eastAsia" w:ascii="黑体" w:hAnsi="黑体" w:eastAsia="黑体" w:cs="宋体"/>
          <w:bCs/>
          <w:color w:val="auto"/>
          <w:sz w:val="24"/>
          <w:szCs w:val="28"/>
          <w:highlight w:val="none"/>
        </w:rPr>
      </w:pPr>
    </w:p>
    <w:p w14:paraId="3D64D11B">
      <w:pPr>
        <w:keepNext/>
        <w:keepLines/>
        <w:spacing w:before="120" w:after="120" w:line="560" w:lineRule="exact"/>
        <w:jc w:val="left"/>
        <w:outlineLvl w:val="1"/>
        <w:rPr>
          <w:rFonts w:ascii="黑体" w:hAnsi="黑体" w:eastAsia="黑体" w:cs="宋体"/>
          <w:bCs/>
          <w:color w:val="auto"/>
          <w:sz w:val="24"/>
          <w:szCs w:val="28"/>
          <w:highlight w:val="none"/>
        </w:rPr>
      </w:pPr>
      <w:bookmarkStart w:id="279" w:name="_Toc27079"/>
      <w:bookmarkStart w:id="280" w:name="_Toc19609"/>
      <w:r>
        <w:rPr>
          <w:rFonts w:hint="eastAsia" w:ascii="宋体" w:hAnsi="宋体" w:eastAsia="宋体" w:cs="宋体"/>
          <w:color w:val="auto"/>
          <w:sz w:val="24"/>
          <w:szCs w:val="24"/>
          <w:highlight w:val="none"/>
        </w:rPr>
        <w:t>十一、</w:t>
      </w:r>
      <w:r>
        <w:rPr>
          <w:rFonts w:hint="eastAsia" w:ascii="黑体" w:hAnsi="黑体" w:eastAsia="黑体" w:cs="宋体"/>
          <w:bCs/>
          <w:color w:val="auto"/>
          <w:sz w:val="24"/>
          <w:szCs w:val="28"/>
          <w:highlight w:val="none"/>
        </w:rPr>
        <w:t>中小企业声明函（服务）</w:t>
      </w:r>
      <w:bookmarkEnd w:id="279"/>
      <w:bookmarkEnd w:id="280"/>
    </w:p>
    <w:p w14:paraId="4834D515">
      <w:pPr>
        <w:spacing w:line="360" w:lineRule="auto"/>
        <w:jc w:val="center"/>
        <w:rPr>
          <w:rFonts w:ascii="黑体" w:hAnsi="黑体" w:eastAsia="黑体" w:cs="宋体"/>
          <w:bCs/>
          <w:color w:val="auto"/>
          <w:szCs w:val="21"/>
          <w:highlight w:val="none"/>
        </w:rPr>
      </w:pPr>
      <w:r>
        <w:rPr>
          <w:rFonts w:hint="eastAsia" w:ascii="黑体" w:hAnsi="黑体" w:eastAsia="黑体" w:cs="宋体"/>
          <w:bCs/>
          <w:color w:val="auto"/>
          <w:szCs w:val="21"/>
          <w:highlight w:val="none"/>
        </w:rPr>
        <w:t>中小企业声明函</w:t>
      </w:r>
    </w:p>
    <w:p w14:paraId="62E37402">
      <w:pPr>
        <w:spacing w:line="360" w:lineRule="auto"/>
        <w:ind w:firstLine="420"/>
        <w:rPr>
          <w:rFonts w:ascii="宋体" w:hAnsi="宋体"/>
          <w:color w:val="auto"/>
          <w:szCs w:val="21"/>
          <w:highlight w:val="none"/>
        </w:rPr>
      </w:pPr>
      <w:r>
        <w:rPr>
          <w:rFonts w:ascii="宋体" w:hAnsi="宋体"/>
          <w:color w:val="auto"/>
          <w:szCs w:val="21"/>
          <w:highlight w:val="none"/>
        </w:rPr>
        <w:t>本公司郑重声明，根据《政府采购促进中小企业发展管理办法》（财库﹝2020﹞46号）的规定，本公司参加</w:t>
      </w:r>
      <w:r>
        <w:rPr>
          <w:rFonts w:ascii="宋体" w:hAnsi="宋体"/>
          <w:color w:val="auto"/>
          <w:szCs w:val="21"/>
          <w:highlight w:val="none"/>
          <w:u w:val="single"/>
        </w:rPr>
        <w:t>（单位名称）</w:t>
      </w:r>
      <w:r>
        <w:rPr>
          <w:rFonts w:ascii="宋体" w:hAnsi="宋体"/>
          <w:color w:val="auto"/>
          <w:szCs w:val="21"/>
          <w:highlight w:val="none"/>
        </w:rPr>
        <w:t>的</w:t>
      </w:r>
      <w:r>
        <w:rPr>
          <w:rFonts w:ascii="宋体" w:hAnsi="宋体"/>
          <w:color w:val="auto"/>
          <w:szCs w:val="21"/>
          <w:highlight w:val="none"/>
          <w:u w:val="single"/>
        </w:rPr>
        <w:t>（项目名称）</w:t>
      </w:r>
      <w:r>
        <w:rPr>
          <w:rFonts w:ascii="宋体" w:hAnsi="宋体"/>
          <w:color w:val="auto"/>
          <w:szCs w:val="21"/>
          <w:highlight w:val="none"/>
        </w:rPr>
        <w:t>采购活动，服务全部由符合政策要求的中小企业承接。</w:t>
      </w:r>
    </w:p>
    <w:p w14:paraId="041FA960">
      <w:pPr>
        <w:spacing w:line="360" w:lineRule="auto"/>
        <w:ind w:firstLine="420"/>
        <w:rPr>
          <w:rFonts w:ascii="宋体" w:hAnsi="宋体"/>
          <w:color w:val="auto"/>
          <w:szCs w:val="21"/>
          <w:highlight w:val="none"/>
        </w:rPr>
      </w:pPr>
      <w:r>
        <w:rPr>
          <w:rFonts w:ascii="宋体" w:hAnsi="宋体"/>
          <w:color w:val="auto"/>
          <w:szCs w:val="21"/>
          <w:highlight w:val="none"/>
          <w:u w:val="single"/>
        </w:rPr>
        <w:t xml:space="preserve">（标的名称） </w:t>
      </w:r>
      <w:r>
        <w:rPr>
          <w:rFonts w:ascii="宋体" w:hAnsi="宋体"/>
          <w:color w:val="auto"/>
          <w:szCs w:val="21"/>
          <w:highlight w:val="none"/>
        </w:rPr>
        <w:t>，属于</w:t>
      </w:r>
      <w:r>
        <w:rPr>
          <w:rFonts w:ascii="宋体" w:hAnsi="宋体"/>
          <w:color w:val="auto"/>
          <w:szCs w:val="21"/>
          <w:highlight w:val="none"/>
          <w:u w:val="single"/>
        </w:rPr>
        <w:t xml:space="preserve">（采购文件中明确的所属行业） </w:t>
      </w:r>
      <w:r>
        <w:rPr>
          <w:rFonts w:ascii="宋体" w:hAnsi="宋体"/>
          <w:color w:val="auto"/>
          <w:szCs w:val="21"/>
          <w:highlight w:val="none"/>
        </w:rPr>
        <w:t>行业；</w:t>
      </w:r>
      <w:r>
        <w:rPr>
          <w:rFonts w:hint="eastAsia" w:ascii="宋体" w:hAnsi="宋体"/>
          <w:color w:val="auto"/>
          <w:szCs w:val="21"/>
          <w:highlight w:val="none"/>
        </w:rPr>
        <w:t>承接企业</w:t>
      </w:r>
      <w:r>
        <w:rPr>
          <w:rFonts w:ascii="宋体" w:hAnsi="宋体"/>
          <w:color w:val="auto"/>
          <w:szCs w:val="21"/>
          <w:highlight w:val="none"/>
        </w:rPr>
        <w:t>为</w:t>
      </w:r>
      <w:r>
        <w:rPr>
          <w:rFonts w:ascii="宋体" w:hAnsi="宋体"/>
          <w:color w:val="auto"/>
          <w:szCs w:val="21"/>
          <w:highlight w:val="none"/>
          <w:u w:val="single"/>
        </w:rPr>
        <w:t>（企业名称）</w:t>
      </w:r>
      <w:r>
        <w:rPr>
          <w:rFonts w:ascii="宋体" w:hAnsi="宋体"/>
          <w:color w:val="auto"/>
          <w:szCs w:val="21"/>
          <w:highlight w:val="none"/>
        </w:rPr>
        <w:t>，从业人员人，营业收入为万元，资产总额为万元，属于</w:t>
      </w:r>
      <w:r>
        <w:rPr>
          <w:rFonts w:ascii="宋体" w:hAnsi="宋体"/>
          <w:color w:val="auto"/>
          <w:szCs w:val="21"/>
          <w:highlight w:val="none"/>
          <w:u w:val="single"/>
        </w:rPr>
        <w:t>（小型企业、微型企业</w:t>
      </w:r>
      <w:r>
        <w:rPr>
          <w:rFonts w:hint="eastAsia" w:ascii="宋体" w:hAnsi="宋体"/>
          <w:color w:val="auto"/>
          <w:szCs w:val="21"/>
          <w:highlight w:val="none"/>
          <w:u w:val="single"/>
          <w:lang w:eastAsia="zh-CN"/>
        </w:rPr>
        <w:t>、中型企业</w:t>
      </w:r>
      <w:r>
        <w:rPr>
          <w:rFonts w:ascii="宋体" w:hAnsi="宋体"/>
          <w:color w:val="auto"/>
          <w:szCs w:val="21"/>
          <w:highlight w:val="none"/>
          <w:u w:val="single"/>
        </w:rPr>
        <w:t>）</w:t>
      </w:r>
      <w:r>
        <w:rPr>
          <w:rFonts w:ascii="宋体" w:hAnsi="宋体"/>
          <w:color w:val="auto"/>
          <w:szCs w:val="21"/>
          <w:highlight w:val="none"/>
        </w:rPr>
        <w:t xml:space="preserve">； </w:t>
      </w:r>
    </w:p>
    <w:p w14:paraId="78DB4FDA">
      <w:pPr>
        <w:spacing w:line="360" w:lineRule="auto"/>
        <w:ind w:firstLine="420"/>
        <w:rPr>
          <w:rFonts w:ascii="宋体" w:hAnsi="宋体"/>
          <w:color w:val="auto"/>
          <w:szCs w:val="21"/>
          <w:highlight w:val="none"/>
        </w:rPr>
      </w:pPr>
      <w:r>
        <w:rPr>
          <w:rFonts w:ascii="宋体" w:hAnsi="宋体"/>
          <w:color w:val="auto"/>
          <w:szCs w:val="21"/>
          <w:highlight w:val="none"/>
        </w:rPr>
        <w:t>以上企业，不属于大企业的分支机构，不存在控股股东为大企业的情形，也不存在与大企业的负责人为同一人的情形。</w:t>
      </w:r>
    </w:p>
    <w:p w14:paraId="53A1DF87">
      <w:pPr>
        <w:spacing w:line="360" w:lineRule="auto"/>
        <w:ind w:firstLine="420"/>
        <w:rPr>
          <w:rFonts w:ascii="宋体" w:hAnsi="宋体"/>
          <w:color w:val="auto"/>
          <w:szCs w:val="21"/>
          <w:highlight w:val="none"/>
        </w:rPr>
      </w:pPr>
      <w:r>
        <w:rPr>
          <w:rFonts w:ascii="宋体" w:hAnsi="宋体"/>
          <w:color w:val="auto"/>
          <w:szCs w:val="21"/>
          <w:highlight w:val="none"/>
        </w:rPr>
        <w:t xml:space="preserve">本企业对上述声明内容的真实性负责。如有虚假，将依法承担相应责任。 </w:t>
      </w:r>
    </w:p>
    <w:p w14:paraId="365938BA">
      <w:pPr>
        <w:spacing w:line="360" w:lineRule="auto"/>
        <w:ind w:firstLine="420"/>
        <w:rPr>
          <w:rFonts w:ascii="宋体" w:hAnsi="宋体"/>
          <w:color w:val="auto"/>
          <w:szCs w:val="21"/>
          <w:highlight w:val="none"/>
        </w:rPr>
      </w:pPr>
    </w:p>
    <w:p w14:paraId="0814AF80">
      <w:pPr>
        <w:spacing w:line="360" w:lineRule="auto"/>
        <w:ind w:firstLine="420"/>
        <w:rPr>
          <w:rFonts w:ascii="宋体" w:hAnsi="宋体"/>
          <w:color w:val="auto"/>
          <w:szCs w:val="21"/>
          <w:highlight w:val="none"/>
        </w:rPr>
      </w:pPr>
    </w:p>
    <w:p w14:paraId="4537DA33">
      <w:pPr>
        <w:spacing w:line="360" w:lineRule="auto"/>
        <w:ind w:firstLine="420"/>
        <w:rPr>
          <w:rFonts w:ascii="宋体" w:hAnsi="宋体"/>
          <w:color w:val="auto"/>
          <w:szCs w:val="21"/>
          <w:highlight w:val="none"/>
        </w:rPr>
      </w:pPr>
    </w:p>
    <w:p w14:paraId="3AA1DDC2">
      <w:pPr>
        <w:spacing w:line="360" w:lineRule="auto"/>
        <w:ind w:right="480" w:firstLine="4305"/>
        <w:rPr>
          <w:rFonts w:ascii="宋体" w:hAnsi="宋体"/>
          <w:color w:val="auto"/>
          <w:szCs w:val="21"/>
          <w:highlight w:val="none"/>
        </w:rPr>
      </w:pPr>
      <w:r>
        <w:rPr>
          <w:rFonts w:ascii="宋体" w:hAnsi="宋体"/>
          <w:color w:val="auto"/>
          <w:szCs w:val="21"/>
          <w:highlight w:val="none"/>
        </w:rPr>
        <w:t xml:space="preserve">企业名称（盖章）： </w:t>
      </w:r>
    </w:p>
    <w:p w14:paraId="68BAA107">
      <w:pPr>
        <w:spacing w:line="360" w:lineRule="auto"/>
        <w:ind w:right="480" w:firstLine="4305"/>
        <w:rPr>
          <w:rFonts w:ascii="宋体" w:hAnsi="宋体"/>
          <w:color w:val="auto"/>
          <w:szCs w:val="21"/>
          <w:highlight w:val="none"/>
        </w:rPr>
      </w:pPr>
      <w:r>
        <w:rPr>
          <w:rFonts w:ascii="宋体" w:hAnsi="宋体"/>
          <w:color w:val="auto"/>
          <w:szCs w:val="21"/>
          <w:highlight w:val="none"/>
        </w:rPr>
        <w:t>日 期：</w:t>
      </w:r>
      <w:r>
        <w:rPr>
          <w:rFonts w:hint="eastAsia" w:ascii="宋体" w:hAnsi="宋体"/>
          <w:color w:val="auto"/>
          <w:szCs w:val="21"/>
          <w:highlight w:val="none"/>
        </w:rPr>
        <w:t xml:space="preserve">   年   月   日</w:t>
      </w:r>
    </w:p>
    <w:p w14:paraId="325C8040">
      <w:pPr>
        <w:spacing w:line="360" w:lineRule="auto"/>
        <w:ind w:right="480"/>
        <w:rPr>
          <w:rFonts w:ascii="宋体" w:hAnsi="宋体"/>
          <w:b/>
          <w:color w:val="auto"/>
          <w:szCs w:val="21"/>
          <w:highlight w:val="none"/>
        </w:rPr>
      </w:pPr>
    </w:p>
    <w:p w14:paraId="2F521AED">
      <w:pPr>
        <w:spacing w:line="360" w:lineRule="auto"/>
        <w:ind w:right="480"/>
        <w:rPr>
          <w:rFonts w:ascii="宋体" w:hAnsi="宋体"/>
          <w:b/>
          <w:color w:val="auto"/>
          <w:szCs w:val="21"/>
          <w:highlight w:val="none"/>
        </w:rPr>
      </w:pPr>
    </w:p>
    <w:p w14:paraId="276D355C">
      <w:pPr>
        <w:spacing w:line="360" w:lineRule="auto"/>
        <w:ind w:right="480" w:firstLine="420"/>
        <w:rPr>
          <w:rFonts w:ascii="宋体" w:hAnsi="宋体"/>
          <w:color w:val="auto"/>
          <w:szCs w:val="21"/>
          <w:highlight w:val="none"/>
        </w:rPr>
      </w:pPr>
      <w:r>
        <w:rPr>
          <w:rFonts w:hint="eastAsia" w:ascii="宋体" w:hAnsi="宋体"/>
          <w:color w:val="auto"/>
          <w:szCs w:val="21"/>
          <w:highlight w:val="none"/>
        </w:rPr>
        <w:t>填报说明：</w:t>
      </w:r>
    </w:p>
    <w:p w14:paraId="62BC105C">
      <w:pPr>
        <w:spacing w:line="360" w:lineRule="auto"/>
        <w:ind w:right="480" w:firstLine="420"/>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从业人员、营业收入、资产总额填报上一年度数据，无上一年度数据的新成立企业可不填报。</w:t>
      </w:r>
    </w:p>
    <w:p w14:paraId="1FDE933C">
      <w:pPr>
        <w:spacing w:line="360" w:lineRule="auto"/>
        <w:ind w:firstLine="420"/>
        <w:rPr>
          <w:rFonts w:ascii="宋体" w:hAnsi="宋体"/>
          <w:color w:val="auto"/>
          <w:szCs w:val="21"/>
          <w:highlight w:val="none"/>
        </w:rPr>
      </w:pPr>
      <w:r>
        <w:rPr>
          <w:rFonts w:hint="eastAsia" w:ascii="宋体" w:hAnsi="宋体"/>
          <w:color w:val="auto"/>
          <w:szCs w:val="21"/>
          <w:highlight w:val="none"/>
        </w:rPr>
        <w:t>2、请供应商如实填写，所填内容将作为评审的依据。如填写不完整，将不享受扶持政策。</w:t>
      </w:r>
    </w:p>
    <w:p w14:paraId="2DA7A60A">
      <w:pPr>
        <w:ind w:firstLine="480"/>
        <w:rPr>
          <w:b/>
          <w:color w:val="auto"/>
          <w:szCs w:val="21"/>
          <w:highlight w:val="none"/>
        </w:rPr>
      </w:pPr>
      <w:r>
        <w:rPr>
          <w:rFonts w:hint="eastAsia" w:ascii="宋体" w:hAnsi="宋体"/>
          <w:color w:val="auto"/>
          <w:szCs w:val="21"/>
          <w:highlight w:val="none"/>
        </w:rPr>
        <w:t>3、成交供应商的《中小企业声明函》随成交结果公开。</w:t>
      </w:r>
    </w:p>
    <w:p w14:paraId="4F40833F">
      <w:pPr>
        <w:spacing w:line="360" w:lineRule="auto"/>
        <w:ind w:firstLine="420"/>
        <w:jc w:val="left"/>
        <w:rPr>
          <w:rFonts w:hint="eastAsia" w:ascii="宋体" w:hAnsi="宋体" w:eastAsia="宋体" w:cs="宋体"/>
          <w:color w:val="auto"/>
          <w:sz w:val="21"/>
          <w:szCs w:val="21"/>
          <w:highlight w:val="none"/>
        </w:rPr>
      </w:pPr>
    </w:p>
    <w:p w14:paraId="714AAD77">
      <w:pPr>
        <w:keepNext/>
        <w:keepLines/>
        <w:spacing w:before="120" w:after="120" w:line="560" w:lineRule="exact"/>
        <w:jc w:val="left"/>
        <w:outlineLvl w:val="1"/>
        <w:rPr>
          <w:rFonts w:hint="eastAsia" w:ascii="黑体" w:hAnsi="黑体" w:eastAsia="黑体" w:cs="宋体"/>
          <w:bCs/>
          <w:color w:val="auto"/>
          <w:sz w:val="24"/>
          <w:szCs w:val="28"/>
          <w:highlight w:val="none"/>
        </w:rPr>
        <w:sectPr>
          <w:pgSz w:w="11906" w:h="16838"/>
          <w:pgMar w:top="1134" w:right="1134" w:bottom="1134" w:left="1622" w:header="851" w:footer="992" w:gutter="0"/>
          <w:cols w:space="720" w:num="1"/>
          <w:docGrid w:linePitch="360" w:charSpace="0"/>
        </w:sectPr>
      </w:pPr>
    </w:p>
    <w:p w14:paraId="514944F2">
      <w:pPr>
        <w:keepNext/>
        <w:keepLines/>
        <w:spacing w:before="120" w:after="120" w:line="560" w:lineRule="exact"/>
        <w:jc w:val="left"/>
        <w:outlineLvl w:val="1"/>
        <w:rPr>
          <w:rFonts w:hint="eastAsia" w:ascii="宋体" w:hAnsi="宋体" w:eastAsia="宋体" w:cs="宋体"/>
          <w:color w:val="auto"/>
          <w:sz w:val="24"/>
          <w:szCs w:val="24"/>
          <w:highlight w:val="none"/>
          <w:lang w:eastAsia="zh-CN"/>
        </w:rPr>
      </w:pPr>
      <w:bookmarkStart w:id="281" w:name="_Toc32240"/>
      <w:bookmarkStart w:id="282" w:name="_Toc19267"/>
      <w:r>
        <w:rPr>
          <w:rFonts w:hint="eastAsia" w:ascii="宋体" w:hAnsi="宋体" w:eastAsia="宋体" w:cs="宋体"/>
          <w:color w:val="auto"/>
          <w:sz w:val="24"/>
          <w:szCs w:val="24"/>
          <w:highlight w:val="none"/>
        </w:rPr>
        <w:t>十二、残疾人福利性单位声明函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服务</w:t>
      </w:r>
      <w:r>
        <w:rPr>
          <w:rFonts w:hint="eastAsia" w:ascii="宋体" w:hAnsi="宋体" w:cs="宋体"/>
          <w:color w:val="auto"/>
          <w:sz w:val="24"/>
          <w:szCs w:val="24"/>
          <w:highlight w:val="none"/>
          <w:lang w:eastAsia="zh-CN"/>
        </w:rPr>
        <w:t>）</w:t>
      </w:r>
      <w:bookmarkEnd w:id="281"/>
      <w:bookmarkEnd w:id="282"/>
    </w:p>
    <w:p w14:paraId="4A632FD7">
      <w:pPr>
        <w:jc w:val="center"/>
        <w:rPr>
          <w:rFonts w:ascii="黑体" w:hAnsi="黑体" w:eastAsia="黑体" w:cs="宋体"/>
          <w:bCs/>
          <w:color w:val="auto"/>
          <w:sz w:val="36"/>
          <w:szCs w:val="28"/>
          <w:highlight w:val="none"/>
        </w:rPr>
      </w:pPr>
    </w:p>
    <w:p w14:paraId="33AE7AA2">
      <w:pPr>
        <w:jc w:val="center"/>
        <w:rPr>
          <w:rFonts w:ascii="黑体" w:hAnsi="黑体" w:eastAsia="黑体" w:cs="宋体"/>
          <w:bCs/>
          <w:color w:val="auto"/>
          <w:szCs w:val="21"/>
          <w:highlight w:val="none"/>
        </w:rPr>
      </w:pPr>
      <w:r>
        <w:rPr>
          <w:rFonts w:hint="eastAsia" w:ascii="黑体" w:hAnsi="黑体" w:eastAsia="黑体" w:cs="宋体"/>
          <w:bCs/>
          <w:color w:val="auto"/>
          <w:szCs w:val="21"/>
          <w:highlight w:val="none"/>
        </w:rPr>
        <w:t>残疾人福利性单位声明函</w:t>
      </w:r>
    </w:p>
    <w:p w14:paraId="7215276A">
      <w:pPr>
        <w:spacing w:line="560" w:lineRule="exact"/>
        <w:ind w:firstLine="420"/>
        <w:rPr>
          <w:color w:val="auto"/>
          <w:szCs w:val="21"/>
          <w:highlight w:val="none"/>
        </w:rPr>
      </w:pPr>
      <w:r>
        <w:rPr>
          <w:rFonts w:hint="eastAsia"/>
          <w:color w:val="auto"/>
          <w:szCs w:val="21"/>
          <w:highlight w:val="none"/>
        </w:rPr>
        <w:t>本单位郑重声明，根据《财政部 民政部 中国残疾人联合会关于促进残疾人就业政府采购政策的通知》（财库〔2017〕141号）的规定，本单位为符合条件的残疾人福利性单位，且本单位参加单位的项目由本单位提供全部服务。</w:t>
      </w:r>
    </w:p>
    <w:p w14:paraId="5B39970D">
      <w:pPr>
        <w:spacing w:line="588" w:lineRule="exact"/>
        <w:ind w:firstLine="420"/>
        <w:rPr>
          <w:color w:val="auto"/>
          <w:szCs w:val="21"/>
          <w:highlight w:val="none"/>
        </w:rPr>
      </w:pPr>
      <w:r>
        <w:rPr>
          <w:rFonts w:hint="eastAsia"/>
          <w:color w:val="auto"/>
          <w:szCs w:val="21"/>
          <w:highlight w:val="none"/>
        </w:rPr>
        <w:t>本单位对上述声明的真实性负责。如有虚假，将依法承担相应责任。</w:t>
      </w:r>
    </w:p>
    <w:p w14:paraId="09C2B7BA">
      <w:pPr>
        <w:spacing w:line="560" w:lineRule="exact"/>
        <w:ind w:firstLine="420"/>
        <w:rPr>
          <w:color w:val="auto"/>
          <w:szCs w:val="21"/>
          <w:highlight w:val="none"/>
        </w:rPr>
      </w:pPr>
    </w:p>
    <w:p w14:paraId="0892539E">
      <w:pPr>
        <w:spacing w:line="560" w:lineRule="exact"/>
        <w:ind w:firstLine="420"/>
        <w:rPr>
          <w:color w:val="auto"/>
          <w:szCs w:val="21"/>
          <w:highlight w:val="none"/>
        </w:rPr>
      </w:pPr>
    </w:p>
    <w:p w14:paraId="557DD19B">
      <w:pPr>
        <w:spacing w:line="560" w:lineRule="exact"/>
        <w:ind w:firstLine="4410"/>
        <w:rPr>
          <w:color w:val="auto"/>
          <w:szCs w:val="21"/>
          <w:highlight w:val="none"/>
        </w:rPr>
      </w:pPr>
      <w:r>
        <w:rPr>
          <w:rFonts w:hint="eastAsia" w:ascii="宋体" w:hAnsi="宋体"/>
          <w:bCs/>
          <w:color w:val="auto"/>
          <w:szCs w:val="21"/>
          <w:highlight w:val="none"/>
        </w:rPr>
        <w:t>磋商供应商（盖章）</w:t>
      </w:r>
      <w:r>
        <w:rPr>
          <w:rFonts w:hint="eastAsia"/>
          <w:color w:val="auto"/>
          <w:szCs w:val="21"/>
          <w:highlight w:val="none"/>
        </w:rPr>
        <w:t>：</w:t>
      </w:r>
    </w:p>
    <w:p w14:paraId="34D93DC8">
      <w:pPr>
        <w:spacing w:line="560" w:lineRule="exact"/>
        <w:ind w:firstLine="4410"/>
        <w:rPr>
          <w:color w:val="auto"/>
          <w:szCs w:val="21"/>
          <w:highlight w:val="none"/>
        </w:rPr>
      </w:pPr>
      <w:r>
        <w:rPr>
          <w:rFonts w:hint="eastAsia"/>
          <w:color w:val="auto"/>
          <w:szCs w:val="21"/>
          <w:highlight w:val="none"/>
        </w:rPr>
        <w:t>日期：   年   月   日</w:t>
      </w:r>
    </w:p>
    <w:p w14:paraId="29BC5D68">
      <w:pPr>
        <w:spacing w:line="560" w:lineRule="exact"/>
        <w:ind w:firstLine="4410"/>
        <w:rPr>
          <w:color w:val="auto"/>
          <w:szCs w:val="21"/>
          <w:highlight w:val="none"/>
        </w:rPr>
      </w:pPr>
    </w:p>
    <w:p w14:paraId="438A627B">
      <w:pPr>
        <w:spacing w:line="560" w:lineRule="exact"/>
        <w:ind w:firstLine="4410"/>
        <w:rPr>
          <w:color w:val="auto"/>
          <w:szCs w:val="21"/>
          <w:highlight w:val="none"/>
        </w:rPr>
      </w:pPr>
    </w:p>
    <w:p w14:paraId="592234E4">
      <w:pPr>
        <w:spacing w:line="560" w:lineRule="exact"/>
        <w:ind w:firstLine="4410"/>
        <w:rPr>
          <w:color w:val="auto"/>
          <w:szCs w:val="21"/>
          <w:highlight w:val="none"/>
        </w:rPr>
      </w:pPr>
    </w:p>
    <w:p w14:paraId="6B1F0186">
      <w:pPr>
        <w:spacing w:line="560" w:lineRule="exact"/>
        <w:ind w:firstLine="4410"/>
        <w:rPr>
          <w:color w:val="auto"/>
          <w:szCs w:val="21"/>
          <w:highlight w:val="none"/>
        </w:rPr>
      </w:pPr>
    </w:p>
    <w:p w14:paraId="3B84C588">
      <w:pPr>
        <w:spacing w:line="560" w:lineRule="exact"/>
        <w:ind w:firstLine="4410"/>
        <w:rPr>
          <w:color w:val="auto"/>
          <w:szCs w:val="21"/>
          <w:highlight w:val="none"/>
        </w:rPr>
      </w:pPr>
    </w:p>
    <w:p w14:paraId="7F932761">
      <w:pPr>
        <w:spacing w:line="360" w:lineRule="auto"/>
        <w:ind w:firstLine="420"/>
        <w:rPr>
          <w:rFonts w:ascii="宋体" w:hAnsi="宋体"/>
          <w:bCs/>
          <w:color w:val="auto"/>
          <w:szCs w:val="21"/>
          <w:highlight w:val="none"/>
        </w:rPr>
      </w:pPr>
      <w:r>
        <w:rPr>
          <w:rFonts w:hint="eastAsia" w:ascii="宋体" w:hAnsi="宋体"/>
          <w:bCs/>
          <w:color w:val="auto"/>
          <w:szCs w:val="21"/>
          <w:highlight w:val="none"/>
        </w:rPr>
        <w:t>填报说明：</w:t>
      </w:r>
    </w:p>
    <w:p w14:paraId="6CB2468B">
      <w:pPr>
        <w:spacing w:line="360" w:lineRule="auto"/>
        <w:ind w:firstLine="420"/>
        <w:rPr>
          <w:rFonts w:ascii="宋体" w:hAnsi="宋体"/>
          <w:bCs/>
          <w:color w:val="auto"/>
          <w:szCs w:val="21"/>
          <w:highlight w:val="none"/>
        </w:rPr>
      </w:pPr>
      <w:r>
        <w:rPr>
          <w:rFonts w:hint="eastAsia" w:ascii="宋体" w:hAnsi="宋体"/>
          <w:bCs/>
          <w:color w:val="auto"/>
          <w:szCs w:val="21"/>
          <w:highlight w:val="none"/>
        </w:rPr>
        <w:t>1、请供应商如实填写，所填内容将作为评审的依据。</w:t>
      </w:r>
      <w:r>
        <w:rPr>
          <w:rFonts w:hint="eastAsia" w:ascii="宋体" w:hAnsi="宋体"/>
          <w:color w:val="auto"/>
          <w:szCs w:val="21"/>
          <w:highlight w:val="none"/>
        </w:rPr>
        <w:t>如填写不完整，将不享受扶</w:t>
      </w:r>
      <w:r>
        <w:rPr>
          <w:rFonts w:hint="eastAsia" w:ascii="宋体" w:hAnsi="宋体"/>
          <w:bCs/>
          <w:color w:val="auto"/>
          <w:szCs w:val="21"/>
          <w:highlight w:val="none"/>
        </w:rPr>
        <w:t>持政策。</w:t>
      </w:r>
    </w:p>
    <w:p w14:paraId="4D3B0664">
      <w:pPr>
        <w:spacing w:line="360" w:lineRule="auto"/>
        <w:ind w:firstLine="420"/>
        <w:rPr>
          <w:b/>
          <w:color w:val="auto"/>
          <w:szCs w:val="21"/>
          <w:highlight w:val="none"/>
        </w:rPr>
      </w:pPr>
      <w:r>
        <w:rPr>
          <w:rFonts w:hint="eastAsia" w:ascii="宋体" w:hAnsi="宋体"/>
          <w:bCs/>
          <w:color w:val="auto"/>
          <w:szCs w:val="21"/>
          <w:highlight w:val="none"/>
        </w:rPr>
        <w:t>2、成交供应商的《残疾人福利性单位声明函》随成交结果公开。</w:t>
      </w:r>
    </w:p>
    <w:p w14:paraId="00EB093E">
      <w:pPr>
        <w:keepNext/>
        <w:keepLines/>
        <w:spacing w:before="360" w:after="200" w:line="360" w:lineRule="auto"/>
        <w:jc w:val="left"/>
        <w:outlineLvl w:val="1"/>
        <w:rPr>
          <w:rFonts w:hint="eastAsia" w:ascii="宋体" w:hAnsi="宋体" w:eastAsia="宋体" w:cs="宋体"/>
          <w:i w:val="0"/>
          <w:iCs w:val="0"/>
          <w:color w:val="auto"/>
          <w:sz w:val="24"/>
          <w:szCs w:val="24"/>
          <w:highlight w:val="none"/>
          <w:u w:val="none"/>
        </w:rPr>
      </w:pPr>
      <w:r>
        <w:rPr>
          <w:color w:val="auto"/>
          <w:sz w:val="24"/>
          <w:szCs w:val="21"/>
          <w:highlight w:val="none"/>
        </w:rPr>
        <w:br w:type="page" w:clear="all"/>
      </w:r>
      <w:bookmarkStart w:id="283" w:name="_Toc20198"/>
      <w:bookmarkStart w:id="284" w:name="_Toc12334"/>
      <w:r>
        <w:rPr>
          <w:rFonts w:hint="eastAsia" w:ascii="宋体" w:hAnsi="宋体" w:eastAsia="宋体" w:cs="宋体"/>
          <w:i w:val="0"/>
          <w:iCs w:val="0"/>
          <w:color w:val="auto"/>
          <w:sz w:val="24"/>
          <w:szCs w:val="24"/>
          <w:highlight w:val="none"/>
          <w:u w:val="none"/>
        </w:rPr>
        <w:t>十</w:t>
      </w:r>
      <w:r>
        <w:rPr>
          <w:rFonts w:hint="eastAsia" w:ascii="宋体" w:hAnsi="宋体" w:eastAsia="宋体" w:cs="宋体"/>
          <w:i w:val="0"/>
          <w:iCs w:val="0"/>
          <w:color w:val="auto"/>
          <w:sz w:val="24"/>
          <w:szCs w:val="24"/>
          <w:highlight w:val="none"/>
          <w:u w:val="none"/>
          <w:lang w:eastAsia="zh-CN"/>
        </w:rPr>
        <w:t>三</w:t>
      </w:r>
      <w:r>
        <w:rPr>
          <w:rFonts w:hint="eastAsia" w:ascii="宋体" w:hAnsi="宋体" w:eastAsia="宋体" w:cs="宋体"/>
          <w:i w:val="0"/>
          <w:iCs w:val="0"/>
          <w:color w:val="auto"/>
          <w:sz w:val="24"/>
          <w:szCs w:val="24"/>
          <w:highlight w:val="none"/>
          <w:u w:val="none"/>
        </w:rPr>
        <w:t>、报价表</w:t>
      </w:r>
      <w:bookmarkEnd w:id="283"/>
      <w:bookmarkEnd w:id="284"/>
    </w:p>
    <w:p w14:paraId="21AB4B96">
      <w:pPr>
        <w:jc w:val="center"/>
        <w:rPr>
          <w:rFonts w:hint="default" w:ascii="黑体" w:hAnsi="黑体" w:eastAsia="黑体" w:cs="宋体"/>
          <w:bCs/>
          <w:color w:val="auto"/>
          <w:szCs w:val="21"/>
          <w:highlight w:val="none"/>
        </w:rPr>
      </w:pPr>
      <w:r>
        <w:rPr>
          <w:rFonts w:hint="eastAsia" w:ascii="黑体" w:hAnsi="黑体" w:eastAsia="黑体" w:cs="宋体"/>
          <w:bCs/>
          <w:color w:val="auto"/>
          <w:szCs w:val="21"/>
          <w:highlight w:val="none"/>
          <w:lang w:eastAsia="zh-CN"/>
        </w:rPr>
        <w:t>响应</w:t>
      </w:r>
      <w:r>
        <w:rPr>
          <w:rFonts w:hint="default" w:ascii="黑体" w:hAnsi="黑体" w:eastAsia="黑体" w:cs="宋体"/>
          <w:bCs/>
          <w:color w:val="auto"/>
          <w:szCs w:val="21"/>
          <w:highlight w:val="none"/>
        </w:rPr>
        <w:t>报价表</w:t>
      </w:r>
    </w:p>
    <w:p w14:paraId="58A5E6B0">
      <w:pPr>
        <w:spacing w:line="360" w:lineRule="auto"/>
        <w:jc w:val="left"/>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                               （按已提供的工程量清单报价）</w:t>
      </w:r>
    </w:p>
    <w:p w14:paraId="6DC095AE">
      <w:pPr>
        <w:spacing w:line="360" w:lineRule="auto"/>
        <w:ind w:firstLine="420"/>
        <w:rPr>
          <w:rFonts w:hint="default" w:ascii="Times New Roman" w:hAnsi="Times New Roman" w:cs="Times New Roman"/>
          <w:color w:val="auto"/>
          <w:sz w:val="21"/>
          <w:szCs w:val="21"/>
          <w:highlight w:val="none"/>
        </w:rPr>
      </w:pPr>
    </w:p>
    <w:p w14:paraId="329C5DC2">
      <w:pPr>
        <w:spacing w:line="360" w:lineRule="auto"/>
        <w:ind w:firstLine="480"/>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供应商</w:t>
      </w:r>
      <w:r>
        <w:rPr>
          <w:rFonts w:hint="default" w:ascii="Times New Roman" w:hAnsi="Times New Roman" w:cs="Times New Roman"/>
          <w:color w:val="auto"/>
          <w:sz w:val="21"/>
          <w:szCs w:val="21"/>
          <w:highlight w:val="none"/>
        </w:rPr>
        <w:t>（盖章）：</w:t>
      </w:r>
    </w:p>
    <w:p w14:paraId="39174629">
      <w:pPr>
        <w:spacing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法定代表人（单位负责人）或委托代理人（签字或盖章）：</w:t>
      </w:r>
    </w:p>
    <w:p w14:paraId="22E4BF64">
      <w:pPr>
        <w:spacing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日期：    年     月     日</w:t>
      </w:r>
    </w:p>
    <w:p w14:paraId="034C8C0A">
      <w:pPr>
        <w:keepNext/>
        <w:keepLines/>
        <w:spacing w:before="120" w:after="120" w:line="560" w:lineRule="exact"/>
        <w:jc w:val="left"/>
        <w:outlineLvl w:val="1"/>
        <w:rPr>
          <w:rFonts w:ascii="黑体" w:hAnsi="黑体" w:eastAsia="黑体" w:cs="宋体"/>
          <w:bCs/>
          <w:color w:val="auto"/>
          <w:sz w:val="24"/>
          <w:szCs w:val="28"/>
          <w:highlight w:val="none"/>
        </w:rPr>
        <w:sectPr>
          <w:pgSz w:w="11906" w:h="16838"/>
          <w:pgMar w:top="1134" w:right="1134" w:bottom="1134" w:left="1622" w:header="851" w:footer="992" w:gutter="0"/>
          <w:cols w:space="720" w:num="1"/>
          <w:docGrid w:linePitch="360" w:charSpace="0"/>
        </w:sectPr>
      </w:pPr>
    </w:p>
    <w:p w14:paraId="73EC20DB">
      <w:pPr>
        <w:keepNext/>
        <w:keepLines/>
        <w:spacing w:before="360" w:after="200" w:line="360" w:lineRule="auto"/>
        <w:jc w:val="left"/>
        <w:outlineLvl w:val="1"/>
        <w:rPr>
          <w:rFonts w:hint="eastAsia" w:ascii="宋体" w:hAnsi="宋体" w:eastAsia="宋体" w:cs="宋体"/>
          <w:i w:val="0"/>
          <w:iCs w:val="0"/>
          <w:color w:val="auto"/>
          <w:sz w:val="24"/>
          <w:szCs w:val="24"/>
          <w:highlight w:val="none"/>
          <w:u w:val="none"/>
        </w:rPr>
      </w:pPr>
      <w:bookmarkStart w:id="285" w:name="_Toc12387"/>
      <w:bookmarkStart w:id="286" w:name="_Toc12257"/>
      <w:r>
        <w:rPr>
          <w:rFonts w:hint="eastAsia" w:ascii="宋体" w:hAnsi="宋体" w:eastAsia="宋体" w:cs="宋体"/>
          <w:i w:val="0"/>
          <w:iCs w:val="0"/>
          <w:color w:val="auto"/>
          <w:sz w:val="24"/>
          <w:szCs w:val="24"/>
          <w:highlight w:val="none"/>
          <w:u w:val="none"/>
        </w:rPr>
        <w:t>十</w:t>
      </w:r>
      <w:r>
        <w:rPr>
          <w:rFonts w:hint="eastAsia" w:ascii="宋体" w:hAnsi="宋体" w:eastAsia="宋体" w:cs="宋体"/>
          <w:i w:val="0"/>
          <w:iCs w:val="0"/>
          <w:color w:val="auto"/>
          <w:sz w:val="24"/>
          <w:szCs w:val="24"/>
          <w:highlight w:val="none"/>
          <w:u w:val="none"/>
          <w:lang w:eastAsia="zh-CN"/>
        </w:rPr>
        <w:t>四</w:t>
      </w:r>
      <w:r>
        <w:rPr>
          <w:rFonts w:hint="eastAsia" w:ascii="宋体" w:hAnsi="宋体" w:eastAsia="宋体" w:cs="宋体"/>
          <w:i w:val="0"/>
          <w:iCs w:val="0"/>
          <w:color w:val="auto"/>
          <w:sz w:val="24"/>
          <w:szCs w:val="24"/>
          <w:highlight w:val="none"/>
          <w:u w:val="none"/>
        </w:rPr>
        <w:t>、技术要求响应及偏离表</w:t>
      </w:r>
      <w:bookmarkEnd w:id="285"/>
      <w:bookmarkEnd w:id="286"/>
    </w:p>
    <w:p w14:paraId="214C13EF">
      <w:pPr>
        <w:tabs>
          <w:tab w:val="left" w:pos="360"/>
        </w:tabs>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技术要求响应及偏离表</w:t>
      </w:r>
    </w:p>
    <w:p w14:paraId="27E59BA0">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p>
    <w:tbl>
      <w:tblPr>
        <w:tblStyle w:val="3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376E1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6599862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3273" w:type="dxa"/>
            <w:noWrap w:val="0"/>
            <w:vAlign w:val="center"/>
          </w:tcPr>
          <w:p w14:paraId="0EE4267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磋商文件要求</w:t>
            </w:r>
          </w:p>
        </w:tc>
        <w:tc>
          <w:tcPr>
            <w:tcW w:w="3024" w:type="dxa"/>
            <w:noWrap w:val="0"/>
            <w:vAlign w:val="center"/>
          </w:tcPr>
          <w:p w14:paraId="49FB617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响应情况</w:t>
            </w:r>
          </w:p>
        </w:tc>
        <w:tc>
          <w:tcPr>
            <w:tcW w:w="1399" w:type="dxa"/>
            <w:noWrap w:val="0"/>
            <w:vAlign w:val="center"/>
          </w:tcPr>
          <w:p w14:paraId="2044423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超出、符合或偏离</w:t>
            </w:r>
          </w:p>
        </w:tc>
      </w:tr>
      <w:tr w14:paraId="2D84D8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2C8201A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273" w:type="dxa"/>
            <w:noWrap w:val="0"/>
            <w:vAlign w:val="center"/>
          </w:tcPr>
          <w:p w14:paraId="3D7C66E8">
            <w:pPr>
              <w:jc w:val="center"/>
              <w:rPr>
                <w:rFonts w:hint="eastAsia" w:ascii="宋体" w:hAnsi="宋体" w:eastAsia="宋体" w:cs="宋体"/>
                <w:color w:val="auto"/>
                <w:sz w:val="21"/>
                <w:szCs w:val="21"/>
                <w:highlight w:val="none"/>
              </w:rPr>
            </w:pPr>
          </w:p>
        </w:tc>
        <w:tc>
          <w:tcPr>
            <w:tcW w:w="3024" w:type="dxa"/>
            <w:noWrap w:val="0"/>
            <w:vAlign w:val="center"/>
          </w:tcPr>
          <w:p w14:paraId="6CF05244">
            <w:pPr>
              <w:jc w:val="center"/>
              <w:rPr>
                <w:rFonts w:hint="eastAsia" w:ascii="宋体" w:hAnsi="宋体" w:eastAsia="宋体" w:cs="宋体"/>
                <w:color w:val="auto"/>
                <w:sz w:val="21"/>
                <w:szCs w:val="21"/>
                <w:highlight w:val="none"/>
              </w:rPr>
            </w:pPr>
          </w:p>
        </w:tc>
        <w:tc>
          <w:tcPr>
            <w:tcW w:w="1399" w:type="dxa"/>
            <w:noWrap w:val="0"/>
            <w:vAlign w:val="center"/>
          </w:tcPr>
          <w:p w14:paraId="33F1112A">
            <w:pPr>
              <w:jc w:val="center"/>
              <w:rPr>
                <w:rFonts w:hint="eastAsia" w:ascii="宋体" w:hAnsi="宋体" w:eastAsia="宋体" w:cs="宋体"/>
                <w:color w:val="auto"/>
                <w:sz w:val="21"/>
                <w:szCs w:val="21"/>
                <w:highlight w:val="none"/>
              </w:rPr>
            </w:pPr>
          </w:p>
        </w:tc>
      </w:tr>
      <w:tr w14:paraId="76EF0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7C6B262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3273" w:type="dxa"/>
            <w:noWrap w:val="0"/>
            <w:vAlign w:val="center"/>
          </w:tcPr>
          <w:p w14:paraId="79E5216B">
            <w:pPr>
              <w:jc w:val="center"/>
              <w:rPr>
                <w:rFonts w:hint="eastAsia" w:ascii="宋体" w:hAnsi="宋体" w:eastAsia="宋体" w:cs="宋体"/>
                <w:color w:val="auto"/>
                <w:sz w:val="21"/>
                <w:szCs w:val="21"/>
                <w:highlight w:val="none"/>
              </w:rPr>
            </w:pPr>
          </w:p>
        </w:tc>
        <w:tc>
          <w:tcPr>
            <w:tcW w:w="3024" w:type="dxa"/>
            <w:noWrap w:val="0"/>
            <w:vAlign w:val="center"/>
          </w:tcPr>
          <w:p w14:paraId="02EF576E">
            <w:pPr>
              <w:jc w:val="center"/>
              <w:rPr>
                <w:rFonts w:hint="eastAsia" w:ascii="宋体" w:hAnsi="宋体" w:eastAsia="宋体" w:cs="宋体"/>
                <w:color w:val="auto"/>
                <w:sz w:val="21"/>
                <w:szCs w:val="21"/>
                <w:highlight w:val="none"/>
              </w:rPr>
            </w:pPr>
          </w:p>
        </w:tc>
        <w:tc>
          <w:tcPr>
            <w:tcW w:w="1399" w:type="dxa"/>
            <w:noWrap w:val="0"/>
            <w:vAlign w:val="center"/>
          </w:tcPr>
          <w:p w14:paraId="336D22CF">
            <w:pPr>
              <w:jc w:val="center"/>
              <w:rPr>
                <w:rFonts w:hint="eastAsia" w:ascii="宋体" w:hAnsi="宋体" w:eastAsia="宋体" w:cs="宋体"/>
                <w:color w:val="auto"/>
                <w:sz w:val="21"/>
                <w:szCs w:val="21"/>
                <w:highlight w:val="none"/>
              </w:rPr>
            </w:pPr>
          </w:p>
        </w:tc>
      </w:tr>
      <w:tr w14:paraId="1613C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1230EC2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3273" w:type="dxa"/>
            <w:noWrap w:val="0"/>
            <w:vAlign w:val="center"/>
          </w:tcPr>
          <w:p w14:paraId="1350B1AE">
            <w:pPr>
              <w:jc w:val="center"/>
              <w:rPr>
                <w:rFonts w:hint="eastAsia" w:ascii="宋体" w:hAnsi="宋体" w:eastAsia="宋体" w:cs="宋体"/>
                <w:color w:val="auto"/>
                <w:sz w:val="21"/>
                <w:szCs w:val="21"/>
                <w:highlight w:val="none"/>
              </w:rPr>
            </w:pPr>
          </w:p>
        </w:tc>
        <w:tc>
          <w:tcPr>
            <w:tcW w:w="3024" w:type="dxa"/>
            <w:noWrap w:val="0"/>
            <w:vAlign w:val="center"/>
          </w:tcPr>
          <w:p w14:paraId="39978EAD">
            <w:pPr>
              <w:jc w:val="center"/>
              <w:rPr>
                <w:rFonts w:hint="eastAsia" w:ascii="宋体" w:hAnsi="宋体" w:eastAsia="宋体" w:cs="宋体"/>
                <w:color w:val="auto"/>
                <w:sz w:val="21"/>
                <w:szCs w:val="21"/>
                <w:highlight w:val="none"/>
              </w:rPr>
            </w:pPr>
          </w:p>
        </w:tc>
        <w:tc>
          <w:tcPr>
            <w:tcW w:w="1399" w:type="dxa"/>
            <w:noWrap w:val="0"/>
            <w:vAlign w:val="center"/>
          </w:tcPr>
          <w:p w14:paraId="1810A1D8">
            <w:pPr>
              <w:jc w:val="center"/>
              <w:rPr>
                <w:rFonts w:hint="eastAsia" w:ascii="宋体" w:hAnsi="宋体" w:eastAsia="宋体" w:cs="宋体"/>
                <w:color w:val="auto"/>
                <w:sz w:val="21"/>
                <w:szCs w:val="21"/>
                <w:highlight w:val="none"/>
              </w:rPr>
            </w:pPr>
          </w:p>
        </w:tc>
      </w:tr>
      <w:tr w14:paraId="2DF33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34E9380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273" w:type="dxa"/>
            <w:noWrap w:val="0"/>
            <w:vAlign w:val="center"/>
          </w:tcPr>
          <w:p w14:paraId="69169D12">
            <w:pPr>
              <w:jc w:val="center"/>
              <w:rPr>
                <w:rFonts w:hint="eastAsia" w:ascii="宋体" w:hAnsi="宋体" w:eastAsia="宋体" w:cs="宋体"/>
                <w:color w:val="auto"/>
                <w:sz w:val="21"/>
                <w:szCs w:val="21"/>
                <w:highlight w:val="none"/>
              </w:rPr>
            </w:pPr>
          </w:p>
        </w:tc>
        <w:tc>
          <w:tcPr>
            <w:tcW w:w="3024" w:type="dxa"/>
            <w:noWrap w:val="0"/>
            <w:vAlign w:val="center"/>
          </w:tcPr>
          <w:p w14:paraId="4EA8ADCA">
            <w:pPr>
              <w:jc w:val="center"/>
              <w:rPr>
                <w:rFonts w:hint="eastAsia" w:ascii="宋体" w:hAnsi="宋体" w:eastAsia="宋体" w:cs="宋体"/>
                <w:color w:val="auto"/>
                <w:sz w:val="21"/>
                <w:szCs w:val="21"/>
                <w:highlight w:val="none"/>
              </w:rPr>
            </w:pPr>
          </w:p>
        </w:tc>
        <w:tc>
          <w:tcPr>
            <w:tcW w:w="1399" w:type="dxa"/>
            <w:noWrap w:val="0"/>
            <w:vAlign w:val="center"/>
          </w:tcPr>
          <w:p w14:paraId="05D601BA">
            <w:pPr>
              <w:jc w:val="center"/>
              <w:rPr>
                <w:rFonts w:hint="eastAsia" w:ascii="宋体" w:hAnsi="宋体" w:eastAsia="宋体" w:cs="宋体"/>
                <w:color w:val="auto"/>
                <w:sz w:val="21"/>
                <w:szCs w:val="21"/>
                <w:highlight w:val="none"/>
              </w:rPr>
            </w:pPr>
          </w:p>
        </w:tc>
      </w:tr>
    </w:tbl>
    <w:p w14:paraId="3DFA266F">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供应商（盖章）：</w:t>
      </w:r>
    </w:p>
    <w:p w14:paraId="6CB795A8">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法定代表人（单位负责人）或委托代理人（签字或盖章）：</w:t>
      </w:r>
    </w:p>
    <w:p w14:paraId="38796B6F">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0117CBE2">
      <w:pPr>
        <w:rPr>
          <w:rFonts w:hint="eastAsia" w:ascii="宋体" w:hAnsi="宋体" w:eastAsia="宋体" w:cs="宋体"/>
          <w:color w:val="auto"/>
          <w:sz w:val="21"/>
          <w:szCs w:val="21"/>
          <w:highlight w:val="none"/>
        </w:rPr>
      </w:pPr>
    </w:p>
    <w:p w14:paraId="4D22B461">
      <w:pPr>
        <w:keepNext/>
        <w:keepLines/>
        <w:spacing w:before="360" w:after="200" w:line="360" w:lineRule="auto"/>
        <w:jc w:val="left"/>
        <w:outlineLvl w:val="1"/>
        <w:rPr>
          <w:rFonts w:hint="eastAsia" w:ascii="宋体" w:hAnsi="宋体" w:eastAsia="宋体" w:cs="宋体"/>
          <w:i w:val="0"/>
          <w:iCs w:val="0"/>
          <w:color w:val="auto"/>
          <w:sz w:val="24"/>
          <w:szCs w:val="24"/>
          <w:highlight w:val="none"/>
          <w:u w:val="none"/>
        </w:rPr>
      </w:pPr>
      <w:bookmarkStart w:id="287" w:name="_Hlt26955054"/>
      <w:bookmarkEnd w:id="287"/>
      <w:bookmarkStart w:id="288" w:name="_Toc23756"/>
      <w:bookmarkStart w:id="289" w:name="_Toc28114"/>
      <w:r>
        <w:rPr>
          <w:rFonts w:hint="eastAsia" w:ascii="宋体" w:hAnsi="宋体" w:eastAsia="宋体" w:cs="宋体"/>
          <w:i w:val="0"/>
          <w:iCs w:val="0"/>
          <w:color w:val="auto"/>
          <w:sz w:val="24"/>
          <w:szCs w:val="24"/>
          <w:highlight w:val="none"/>
          <w:u w:val="none"/>
        </w:rPr>
        <w:t>十</w:t>
      </w:r>
      <w:r>
        <w:rPr>
          <w:rFonts w:hint="eastAsia" w:ascii="宋体" w:hAnsi="宋体" w:eastAsia="宋体" w:cs="宋体"/>
          <w:i w:val="0"/>
          <w:iCs w:val="0"/>
          <w:color w:val="auto"/>
          <w:sz w:val="24"/>
          <w:szCs w:val="24"/>
          <w:highlight w:val="none"/>
          <w:u w:val="none"/>
          <w:lang w:eastAsia="zh-CN"/>
        </w:rPr>
        <w:t>五</w:t>
      </w:r>
      <w:r>
        <w:rPr>
          <w:rFonts w:hint="eastAsia" w:ascii="宋体" w:hAnsi="宋体" w:eastAsia="宋体" w:cs="宋体"/>
          <w:i w:val="0"/>
          <w:iCs w:val="0"/>
          <w:color w:val="auto"/>
          <w:sz w:val="24"/>
          <w:szCs w:val="24"/>
          <w:highlight w:val="none"/>
          <w:u w:val="none"/>
        </w:rPr>
        <w:t>、商务要求响应及偏离表</w:t>
      </w:r>
      <w:bookmarkEnd w:id="288"/>
      <w:bookmarkEnd w:id="289"/>
    </w:p>
    <w:p w14:paraId="2DC517D7">
      <w:pPr>
        <w:tabs>
          <w:tab w:val="left" w:pos="360"/>
        </w:tabs>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商务要求响应及偏离表</w:t>
      </w:r>
    </w:p>
    <w:p w14:paraId="67C6C612">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p>
    <w:tbl>
      <w:tblPr>
        <w:tblStyle w:val="39"/>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27D90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00B66750">
            <w:pPr>
              <w:jc w:val="center"/>
              <w:rPr>
                <w:rFonts w:hint="eastAsia" w:ascii="宋体" w:hAnsi="宋体" w:eastAsia="宋体" w:cs="宋体"/>
                <w:color w:val="auto"/>
                <w:sz w:val="21"/>
                <w:szCs w:val="21"/>
                <w:highlight w:val="none"/>
              </w:rPr>
            </w:pPr>
            <w:bookmarkStart w:id="290" w:name="_Hlt26671343"/>
            <w:bookmarkEnd w:id="290"/>
            <w:bookmarkStart w:id="291" w:name="_Hlt26955056"/>
            <w:bookmarkEnd w:id="291"/>
            <w:bookmarkStart w:id="292" w:name="_Hlt26580838"/>
            <w:bookmarkEnd w:id="292"/>
            <w:bookmarkStart w:id="293" w:name="_Hlt24879081"/>
            <w:bookmarkEnd w:id="293"/>
            <w:bookmarkStart w:id="294" w:name="_Hlt26955064"/>
            <w:bookmarkEnd w:id="294"/>
            <w:bookmarkStart w:id="295" w:name="_Hlt26671372"/>
            <w:bookmarkEnd w:id="295"/>
            <w:bookmarkStart w:id="296" w:name="_Hlt26782999"/>
            <w:bookmarkEnd w:id="296"/>
            <w:bookmarkStart w:id="297" w:name="_Hlt26609391"/>
            <w:bookmarkEnd w:id="297"/>
            <w:r>
              <w:rPr>
                <w:rFonts w:hint="eastAsia" w:ascii="宋体" w:hAnsi="宋体" w:eastAsia="宋体" w:cs="宋体"/>
                <w:color w:val="auto"/>
                <w:sz w:val="21"/>
                <w:szCs w:val="21"/>
                <w:highlight w:val="none"/>
              </w:rPr>
              <w:t>序号</w:t>
            </w:r>
          </w:p>
        </w:tc>
        <w:tc>
          <w:tcPr>
            <w:tcW w:w="3263" w:type="dxa"/>
            <w:noWrap w:val="0"/>
            <w:vAlign w:val="center"/>
          </w:tcPr>
          <w:p w14:paraId="4044BF4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磋商文件要求</w:t>
            </w:r>
          </w:p>
        </w:tc>
        <w:tc>
          <w:tcPr>
            <w:tcW w:w="3034" w:type="dxa"/>
            <w:noWrap w:val="0"/>
            <w:vAlign w:val="center"/>
          </w:tcPr>
          <w:p w14:paraId="59FE734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响应情况</w:t>
            </w:r>
          </w:p>
        </w:tc>
        <w:tc>
          <w:tcPr>
            <w:tcW w:w="1391" w:type="dxa"/>
            <w:noWrap w:val="0"/>
            <w:vAlign w:val="center"/>
          </w:tcPr>
          <w:p w14:paraId="4FDBD48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超出、符合或偏离</w:t>
            </w:r>
          </w:p>
        </w:tc>
      </w:tr>
      <w:tr w14:paraId="69424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099CC09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263" w:type="dxa"/>
            <w:noWrap w:val="0"/>
            <w:vAlign w:val="center"/>
          </w:tcPr>
          <w:p w14:paraId="76230A37">
            <w:pPr>
              <w:jc w:val="center"/>
              <w:rPr>
                <w:rFonts w:hint="eastAsia" w:ascii="宋体" w:hAnsi="宋体" w:eastAsia="宋体" w:cs="宋体"/>
                <w:color w:val="auto"/>
                <w:sz w:val="21"/>
                <w:szCs w:val="21"/>
                <w:highlight w:val="none"/>
              </w:rPr>
            </w:pPr>
          </w:p>
        </w:tc>
        <w:tc>
          <w:tcPr>
            <w:tcW w:w="3034" w:type="dxa"/>
            <w:noWrap w:val="0"/>
            <w:vAlign w:val="center"/>
          </w:tcPr>
          <w:p w14:paraId="7DBE8922">
            <w:pPr>
              <w:jc w:val="center"/>
              <w:rPr>
                <w:rFonts w:hint="eastAsia" w:ascii="宋体" w:hAnsi="宋体" w:eastAsia="宋体" w:cs="宋体"/>
                <w:color w:val="auto"/>
                <w:sz w:val="21"/>
                <w:szCs w:val="21"/>
                <w:highlight w:val="none"/>
              </w:rPr>
            </w:pPr>
          </w:p>
        </w:tc>
        <w:tc>
          <w:tcPr>
            <w:tcW w:w="1391" w:type="dxa"/>
            <w:noWrap w:val="0"/>
            <w:vAlign w:val="center"/>
          </w:tcPr>
          <w:p w14:paraId="6D50B1A3">
            <w:pPr>
              <w:jc w:val="center"/>
              <w:rPr>
                <w:rFonts w:hint="eastAsia" w:ascii="宋体" w:hAnsi="宋体" w:eastAsia="宋体" w:cs="宋体"/>
                <w:color w:val="auto"/>
                <w:sz w:val="21"/>
                <w:szCs w:val="21"/>
                <w:highlight w:val="none"/>
              </w:rPr>
            </w:pPr>
          </w:p>
        </w:tc>
      </w:tr>
      <w:tr w14:paraId="72931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06E5EBE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3263" w:type="dxa"/>
            <w:noWrap w:val="0"/>
            <w:vAlign w:val="center"/>
          </w:tcPr>
          <w:p w14:paraId="237AF97A">
            <w:pPr>
              <w:jc w:val="center"/>
              <w:rPr>
                <w:rFonts w:hint="eastAsia" w:ascii="宋体" w:hAnsi="宋体" w:eastAsia="宋体" w:cs="宋体"/>
                <w:color w:val="auto"/>
                <w:sz w:val="21"/>
                <w:szCs w:val="21"/>
                <w:highlight w:val="none"/>
              </w:rPr>
            </w:pPr>
          </w:p>
        </w:tc>
        <w:tc>
          <w:tcPr>
            <w:tcW w:w="3034" w:type="dxa"/>
            <w:noWrap w:val="0"/>
            <w:vAlign w:val="center"/>
          </w:tcPr>
          <w:p w14:paraId="5F2E4711">
            <w:pPr>
              <w:jc w:val="center"/>
              <w:rPr>
                <w:rFonts w:hint="eastAsia" w:ascii="宋体" w:hAnsi="宋体" w:eastAsia="宋体" w:cs="宋体"/>
                <w:color w:val="auto"/>
                <w:sz w:val="21"/>
                <w:szCs w:val="21"/>
                <w:highlight w:val="none"/>
              </w:rPr>
            </w:pPr>
          </w:p>
        </w:tc>
        <w:tc>
          <w:tcPr>
            <w:tcW w:w="1391" w:type="dxa"/>
            <w:noWrap w:val="0"/>
            <w:vAlign w:val="center"/>
          </w:tcPr>
          <w:p w14:paraId="46AF8B7E">
            <w:pPr>
              <w:jc w:val="center"/>
              <w:rPr>
                <w:rFonts w:hint="eastAsia" w:ascii="宋体" w:hAnsi="宋体" w:eastAsia="宋体" w:cs="宋体"/>
                <w:color w:val="auto"/>
                <w:sz w:val="21"/>
                <w:szCs w:val="21"/>
                <w:highlight w:val="none"/>
              </w:rPr>
            </w:pPr>
          </w:p>
        </w:tc>
      </w:tr>
      <w:tr w14:paraId="4A052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27124EF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3263" w:type="dxa"/>
            <w:noWrap w:val="0"/>
            <w:vAlign w:val="center"/>
          </w:tcPr>
          <w:p w14:paraId="333F7AD3">
            <w:pPr>
              <w:jc w:val="center"/>
              <w:rPr>
                <w:rFonts w:hint="eastAsia" w:ascii="宋体" w:hAnsi="宋体" w:eastAsia="宋体" w:cs="宋体"/>
                <w:color w:val="auto"/>
                <w:sz w:val="21"/>
                <w:szCs w:val="21"/>
                <w:highlight w:val="none"/>
              </w:rPr>
            </w:pPr>
          </w:p>
        </w:tc>
        <w:tc>
          <w:tcPr>
            <w:tcW w:w="3034" w:type="dxa"/>
            <w:noWrap w:val="0"/>
            <w:vAlign w:val="center"/>
          </w:tcPr>
          <w:p w14:paraId="733322F6">
            <w:pPr>
              <w:jc w:val="center"/>
              <w:rPr>
                <w:rFonts w:hint="eastAsia" w:ascii="宋体" w:hAnsi="宋体" w:eastAsia="宋体" w:cs="宋体"/>
                <w:color w:val="auto"/>
                <w:sz w:val="21"/>
                <w:szCs w:val="21"/>
                <w:highlight w:val="none"/>
              </w:rPr>
            </w:pPr>
          </w:p>
        </w:tc>
        <w:tc>
          <w:tcPr>
            <w:tcW w:w="1391" w:type="dxa"/>
            <w:noWrap w:val="0"/>
            <w:vAlign w:val="center"/>
          </w:tcPr>
          <w:p w14:paraId="5DE3ED49">
            <w:pPr>
              <w:jc w:val="center"/>
              <w:rPr>
                <w:rFonts w:hint="eastAsia" w:ascii="宋体" w:hAnsi="宋体" w:eastAsia="宋体" w:cs="宋体"/>
                <w:color w:val="auto"/>
                <w:sz w:val="21"/>
                <w:szCs w:val="21"/>
                <w:highlight w:val="none"/>
              </w:rPr>
            </w:pPr>
          </w:p>
        </w:tc>
      </w:tr>
      <w:tr w14:paraId="34A62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1E654F5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263" w:type="dxa"/>
            <w:noWrap w:val="0"/>
            <w:vAlign w:val="center"/>
          </w:tcPr>
          <w:p w14:paraId="2B37BE82">
            <w:pPr>
              <w:jc w:val="center"/>
              <w:rPr>
                <w:rFonts w:hint="eastAsia" w:ascii="宋体" w:hAnsi="宋体" w:eastAsia="宋体" w:cs="宋体"/>
                <w:color w:val="auto"/>
                <w:sz w:val="21"/>
                <w:szCs w:val="21"/>
                <w:highlight w:val="none"/>
              </w:rPr>
            </w:pPr>
          </w:p>
        </w:tc>
        <w:tc>
          <w:tcPr>
            <w:tcW w:w="3034" w:type="dxa"/>
            <w:noWrap w:val="0"/>
            <w:vAlign w:val="center"/>
          </w:tcPr>
          <w:p w14:paraId="2638905F">
            <w:pPr>
              <w:jc w:val="center"/>
              <w:rPr>
                <w:rFonts w:hint="eastAsia" w:ascii="宋体" w:hAnsi="宋体" w:eastAsia="宋体" w:cs="宋体"/>
                <w:color w:val="auto"/>
                <w:sz w:val="21"/>
                <w:szCs w:val="21"/>
                <w:highlight w:val="none"/>
              </w:rPr>
            </w:pPr>
          </w:p>
        </w:tc>
        <w:tc>
          <w:tcPr>
            <w:tcW w:w="1391" w:type="dxa"/>
            <w:noWrap w:val="0"/>
            <w:vAlign w:val="center"/>
          </w:tcPr>
          <w:p w14:paraId="3615F7B2">
            <w:pPr>
              <w:jc w:val="center"/>
              <w:rPr>
                <w:rFonts w:hint="eastAsia" w:ascii="宋体" w:hAnsi="宋体" w:eastAsia="宋体" w:cs="宋体"/>
                <w:color w:val="auto"/>
                <w:sz w:val="21"/>
                <w:szCs w:val="21"/>
                <w:highlight w:val="none"/>
              </w:rPr>
            </w:pPr>
          </w:p>
        </w:tc>
      </w:tr>
    </w:tbl>
    <w:p w14:paraId="458E9FB0">
      <w:pPr>
        <w:spacing w:line="360" w:lineRule="auto"/>
        <w:ind w:firstLine="420"/>
        <w:rPr>
          <w:rFonts w:hint="eastAsia" w:ascii="宋体" w:hAnsi="宋体" w:eastAsia="宋体" w:cs="宋体"/>
          <w:color w:val="auto"/>
          <w:sz w:val="21"/>
          <w:szCs w:val="21"/>
          <w:highlight w:val="none"/>
        </w:rPr>
      </w:pPr>
    </w:p>
    <w:p w14:paraId="683ECB30">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供应商（盖章）：</w:t>
      </w:r>
    </w:p>
    <w:p w14:paraId="216F8C15">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法定代表人（单位负责人）或委托代理人（签字或盖章）：</w:t>
      </w:r>
    </w:p>
    <w:p w14:paraId="073D387B">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2E3D5E56">
      <w:pPr>
        <w:spacing w:line="500" w:lineRule="exact"/>
        <w:rPr>
          <w:rFonts w:hint="eastAsia" w:ascii="宋体" w:hAnsi="宋体" w:eastAsia="宋体" w:cs="宋体"/>
          <w:color w:val="auto"/>
          <w:sz w:val="24"/>
          <w:szCs w:val="24"/>
          <w:highlight w:val="none"/>
        </w:rPr>
      </w:pPr>
    </w:p>
    <w:p w14:paraId="028200BD">
      <w:pPr>
        <w:rPr>
          <w:rFonts w:hint="eastAsia" w:ascii="宋体" w:hAnsi="宋体" w:eastAsia="宋体" w:cs="宋体"/>
          <w:color w:val="auto"/>
          <w:sz w:val="24"/>
          <w:szCs w:val="24"/>
          <w:highlight w:val="none"/>
        </w:rPr>
      </w:pPr>
    </w:p>
    <w:p w14:paraId="02887E6F">
      <w:pPr>
        <w:keepNext/>
        <w:keepLines/>
        <w:pageBreakBefore w:val="0"/>
        <w:widowControl w:val="0"/>
        <w:kinsoku/>
        <w:wordWrap/>
        <w:overflowPunct/>
        <w:topLinePunct w:val="0"/>
        <w:autoSpaceDE/>
        <w:autoSpaceDN/>
        <w:bidi w:val="0"/>
        <w:adjustRightInd/>
        <w:snapToGrid/>
        <w:spacing w:before="360" w:after="200" w:line="240" w:lineRule="exact"/>
        <w:jc w:val="left"/>
        <w:textAlignment w:val="auto"/>
        <w:outlineLvl w:val="1"/>
        <w:rPr>
          <w:rFonts w:hint="eastAsia" w:ascii="宋体" w:hAnsi="宋体" w:eastAsia="宋体" w:cs="宋体"/>
          <w:iCs/>
          <w:color w:val="auto"/>
          <w:sz w:val="24"/>
          <w:szCs w:val="24"/>
          <w:highlight w:val="none"/>
        </w:rPr>
      </w:pPr>
      <w:bookmarkStart w:id="298" w:name="_Toc17449"/>
    </w:p>
    <w:p w14:paraId="462B1458">
      <w:pPr>
        <w:keepNext/>
        <w:keepLines/>
        <w:spacing w:before="360" w:after="200" w:line="360" w:lineRule="auto"/>
        <w:jc w:val="left"/>
        <w:outlineLvl w:val="1"/>
        <w:rPr>
          <w:rFonts w:hint="eastAsia" w:ascii="宋体" w:hAnsi="宋体" w:eastAsia="宋体" w:cs="宋体"/>
          <w:iCs/>
          <w:color w:val="auto"/>
          <w:sz w:val="24"/>
          <w:szCs w:val="24"/>
          <w:highlight w:val="none"/>
          <w:lang w:eastAsia="zh-CN"/>
        </w:rPr>
      </w:pPr>
      <w:bookmarkStart w:id="299" w:name="_Toc23180"/>
      <w:r>
        <w:rPr>
          <w:rFonts w:hint="eastAsia" w:ascii="宋体" w:hAnsi="宋体" w:eastAsia="宋体" w:cs="宋体"/>
          <w:iCs/>
          <w:color w:val="auto"/>
          <w:sz w:val="24"/>
          <w:szCs w:val="24"/>
          <w:highlight w:val="none"/>
        </w:rPr>
        <w:t>十</w:t>
      </w:r>
      <w:r>
        <w:rPr>
          <w:rFonts w:hint="eastAsia" w:ascii="宋体" w:hAnsi="宋体" w:eastAsia="宋体" w:cs="宋体"/>
          <w:iCs/>
          <w:color w:val="auto"/>
          <w:sz w:val="24"/>
          <w:szCs w:val="24"/>
          <w:highlight w:val="none"/>
          <w:lang w:eastAsia="zh-CN"/>
        </w:rPr>
        <w:t>六</w:t>
      </w:r>
      <w:r>
        <w:rPr>
          <w:rFonts w:hint="eastAsia" w:ascii="宋体" w:hAnsi="宋体" w:eastAsia="宋体" w:cs="宋体"/>
          <w:iCs/>
          <w:color w:val="auto"/>
          <w:sz w:val="24"/>
          <w:szCs w:val="24"/>
          <w:highlight w:val="none"/>
        </w:rPr>
        <w:t>、类似项目业绩一览表</w:t>
      </w:r>
      <w:bookmarkEnd w:id="298"/>
      <w:bookmarkEnd w:id="299"/>
    </w:p>
    <w:p w14:paraId="74068FE9">
      <w:pPr>
        <w:tabs>
          <w:tab w:val="left" w:pos="360"/>
        </w:tabs>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类似项目业绩一览表</w:t>
      </w:r>
    </w:p>
    <w:p w14:paraId="4A109656">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p>
    <w:tbl>
      <w:tblPr>
        <w:tblStyle w:val="3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2697B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70BA746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686" w:type="dxa"/>
            <w:noWrap w:val="0"/>
            <w:vAlign w:val="center"/>
          </w:tcPr>
          <w:p w14:paraId="09CFB57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1850" w:type="dxa"/>
            <w:noWrap w:val="0"/>
            <w:vAlign w:val="center"/>
          </w:tcPr>
          <w:p w14:paraId="25F9C6F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签订时间</w:t>
            </w:r>
          </w:p>
        </w:tc>
        <w:tc>
          <w:tcPr>
            <w:tcW w:w="1985" w:type="dxa"/>
            <w:noWrap w:val="0"/>
            <w:vAlign w:val="center"/>
          </w:tcPr>
          <w:p w14:paraId="3553F37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采购单位</w:t>
            </w:r>
          </w:p>
        </w:tc>
        <w:tc>
          <w:tcPr>
            <w:tcW w:w="1309" w:type="dxa"/>
            <w:noWrap w:val="0"/>
            <w:vAlign w:val="center"/>
          </w:tcPr>
          <w:p w14:paraId="01711A5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主要标的</w:t>
            </w:r>
          </w:p>
        </w:tc>
      </w:tr>
      <w:tr w14:paraId="3F935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6C6B9997">
            <w:pPr>
              <w:jc w:val="center"/>
              <w:rPr>
                <w:rFonts w:hint="eastAsia" w:ascii="宋体" w:hAnsi="宋体" w:eastAsia="宋体" w:cs="宋体"/>
                <w:color w:val="auto"/>
                <w:sz w:val="21"/>
                <w:szCs w:val="21"/>
                <w:highlight w:val="none"/>
              </w:rPr>
            </w:pPr>
          </w:p>
        </w:tc>
        <w:tc>
          <w:tcPr>
            <w:tcW w:w="2686" w:type="dxa"/>
            <w:noWrap w:val="0"/>
            <w:vAlign w:val="center"/>
          </w:tcPr>
          <w:p w14:paraId="7C7CB7CE">
            <w:pPr>
              <w:jc w:val="center"/>
              <w:rPr>
                <w:rFonts w:hint="eastAsia" w:ascii="宋体" w:hAnsi="宋体" w:eastAsia="宋体" w:cs="宋体"/>
                <w:color w:val="auto"/>
                <w:sz w:val="21"/>
                <w:szCs w:val="21"/>
                <w:highlight w:val="none"/>
              </w:rPr>
            </w:pPr>
          </w:p>
        </w:tc>
        <w:tc>
          <w:tcPr>
            <w:tcW w:w="1850" w:type="dxa"/>
            <w:noWrap w:val="0"/>
          </w:tcPr>
          <w:p w14:paraId="30741591">
            <w:pPr>
              <w:jc w:val="center"/>
              <w:rPr>
                <w:rFonts w:hint="eastAsia" w:ascii="宋体" w:hAnsi="宋体" w:eastAsia="宋体" w:cs="宋体"/>
                <w:color w:val="auto"/>
                <w:sz w:val="21"/>
                <w:szCs w:val="21"/>
                <w:highlight w:val="none"/>
              </w:rPr>
            </w:pPr>
          </w:p>
        </w:tc>
        <w:tc>
          <w:tcPr>
            <w:tcW w:w="1985" w:type="dxa"/>
            <w:noWrap w:val="0"/>
            <w:vAlign w:val="center"/>
          </w:tcPr>
          <w:p w14:paraId="0AF94043">
            <w:pPr>
              <w:jc w:val="center"/>
              <w:rPr>
                <w:rFonts w:hint="eastAsia" w:ascii="宋体" w:hAnsi="宋体" w:eastAsia="宋体" w:cs="宋体"/>
                <w:color w:val="auto"/>
                <w:sz w:val="21"/>
                <w:szCs w:val="21"/>
                <w:highlight w:val="none"/>
              </w:rPr>
            </w:pPr>
          </w:p>
        </w:tc>
        <w:tc>
          <w:tcPr>
            <w:tcW w:w="1309" w:type="dxa"/>
            <w:noWrap w:val="0"/>
            <w:vAlign w:val="center"/>
          </w:tcPr>
          <w:p w14:paraId="068EA926">
            <w:pPr>
              <w:jc w:val="center"/>
              <w:rPr>
                <w:rFonts w:hint="eastAsia" w:ascii="宋体" w:hAnsi="宋体" w:eastAsia="宋体" w:cs="宋体"/>
                <w:color w:val="auto"/>
                <w:sz w:val="21"/>
                <w:szCs w:val="21"/>
                <w:highlight w:val="none"/>
              </w:rPr>
            </w:pPr>
          </w:p>
        </w:tc>
      </w:tr>
      <w:tr w14:paraId="6084B3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1C5E745">
            <w:pPr>
              <w:jc w:val="center"/>
              <w:rPr>
                <w:rFonts w:hint="eastAsia" w:ascii="宋体" w:hAnsi="宋体" w:eastAsia="宋体" w:cs="宋体"/>
                <w:color w:val="auto"/>
                <w:sz w:val="21"/>
                <w:szCs w:val="21"/>
                <w:highlight w:val="none"/>
              </w:rPr>
            </w:pPr>
          </w:p>
        </w:tc>
        <w:tc>
          <w:tcPr>
            <w:tcW w:w="2686" w:type="dxa"/>
            <w:noWrap w:val="0"/>
            <w:vAlign w:val="center"/>
          </w:tcPr>
          <w:p w14:paraId="5AF4AB9F">
            <w:pPr>
              <w:jc w:val="center"/>
              <w:rPr>
                <w:rFonts w:hint="eastAsia" w:ascii="宋体" w:hAnsi="宋体" w:eastAsia="宋体" w:cs="宋体"/>
                <w:color w:val="auto"/>
                <w:sz w:val="21"/>
                <w:szCs w:val="21"/>
                <w:highlight w:val="none"/>
              </w:rPr>
            </w:pPr>
          </w:p>
        </w:tc>
        <w:tc>
          <w:tcPr>
            <w:tcW w:w="1850" w:type="dxa"/>
            <w:noWrap w:val="0"/>
          </w:tcPr>
          <w:p w14:paraId="366C5041">
            <w:pPr>
              <w:jc w:val="center"/>
              <w:rPr>
                <w:rFonts w:hint="eastAsia" w:ascii="宋体" w:hAnsi="宋体" w:eastAsia="宋体" w:cs="宋体"/>
                <w:color w:val="auto"/>
                <w:sz w:val="21"/>
                <w:szCs w:val="21"/>
                <w:highlight w:val="none"/>
              </w:rPr>
            </w:pPr>
          </w:p>
        </w:tc>
        <w:tc>
          <w:tcPr>
            <w:tcW w:w="1985" w:type="dxa"/>
            <w:noWrap w:val="0"/>
            <w:vAlign w:val="center"/>
          </w:tcPr>
          <w:p w14:paraId="211AB23C">
            <w:pPr>
              <w:jc w:val="center"/>
              <w:rPr>
                <w:rFonts w:hint="eastAsia" w:ascii="宋体" w:hAnsi="宋体" w:eastAsia="宋体" w:cs="宋体"/>
                <w:color w:val="auto"/>
                <w:sz w:val="21"/>
                <w:szCs w:val="21"/>
                <w:highlight w:val="none"/>
              </w:rPr>
            </w:pPr>
          </w:p>
        </w:tc>
        <w:tc>
          <w:tcPr>
            <w:tcW w:w="1309" w:type="dxa"/>
            <w:noWrap w:val="0"/>
            <w:vAlign w:val="center"/>
          </w:tcPr>
          <w:p w14:paraId="5ED147B6">
            <w:pPr>
              <w:jc w:val="center"/>
              <w:rPr>
                <w:rFonts w:hint="eastAsia" w:ascii="宋体" w:hAnsi="宋体" w:eastAsia="宋体" w:cs="宋体"/>
                <w:color w:val="auto"/>
                <w:sz w:val="21"/>
                <w:szCs w:val="21"/>
                <w:highlight w:val="none"/>
              </w:rPr>
            </w:pPr>
          </w:p>
        </w:tc>
      </w:tr>
      <w:tr w14:paraId="2BC1E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1F66DA8">
            <w:pPr>
              <w:jc w:val="center"/>
              <w:rPr>
                <w:rFonts w:hint="eastAsia" w:ascii="宋体" w:hAnsi="宋体" w:eastAsia="宋体" w:cs="宋体"/>
                <w:color w:val="auto"/>
                <w:sz w:val="21"/>
                <w:szCs w:val="21"/>
                <w:highlight w:val="none"/>
              </w:rPr>
            </w:pPr>
          </w:p>
        </w:tc>
        <w:tc>
          <w:tcPr>
            <w:tcW w:w="2686" w:type="dxa"/>
            <w:noWrap w:val="0"/>
            <w:vAlign w:val="center"/>
          </w:tcPr>
          <w:p w14:paraId="36D496A6">
            <w:pPr>
              <w:jc w:val="center"/>
              <w:rPr>
                <w:rFonts w:hint="eastAsia" w:ascii="宋体" w:hAnsi="宋体" w:eastAsia="宋体" w:cs="宋体"/>
                <w:color w:val="auto"/>
                <w:sz w:val="21"/>
                <w:szCs w:val="21"/>
                <w:highlight w:val="none"/>
              </w:rPr>
            </w:pPr>
          </w:p>
        </w:tc>
        <w:tc>
          <w:tcPr>
            <w:tcW w:w="1850" w:type="dxa"/>
            <w:noWrap w:val="0"/>
          </w:tcPr>
          <w:p w14:paraId="27145798">
            <w:pPr>
              <w:jc w:val="center"/>
              <w:rPr>
                <w:rFonts w:hint="eastAsia" w:ascii="宋体" w:hAnsi="宋体" w:eastAsia="宋体" w:cs="宋体"/>
                <w:color w:val="auto"/>
                <w:sz w:val="21"/>
                <w:szCs w:val="21"/>
                <w:highlight w:val="none"/>
              </w:rPr>
            </w:pPr>
          </w:p>
        </w:tc>
        <w:tc>
          <w:tcPr>
            <w:tcW w:w="1985" w:type="dxa"/>
            <w:noWrap w:val="0"/>
            <w:vAlign w:val="center"/>
          </w:tcPr>
          <w:p w14:paraId="62B6ACCF">
            <w:pPr>
              <w:jc w:val="center"/>
              <w:rPr>
                <w:rFonts w:hint="eastAsia" w:ascii="宋体" w:hAnsi="宋体" w:eastAsia="宋体" w:cs="宋体"/>
                <w:color w:val="auto"/>
                <w:sz w:val="21"/>
                <w:szCs w:val="21"/>
                <w:highlight w:val="none"/>
              </w:rPr>
            </w:pPr>
          </w:p>
        </w:tc>
        <w:tc>
          <w:tcPr>
            <w:tcW w:w="1309" w:type="dxa"/>
            <w:noWrap w:val="0"/>
            <w:vAlign w:val="center"/>
          </w:tcPr>
          <w:p w14:paraId="787F4457">
            <w:pPr>
              <w:jc w:val="center"/>
              <w:rPr>
                <w:rFonts w:hint="eastAsia" w:ascii="宋体" w:hAnsi="宋体" w:eastAsia="宋体" w:cs="宋体"/>
                <w:color w:val="auto"/>
                <w:sz w:val="21"/>
                <w:szCs w:val="21"/>
                <w:highlight w:val="none"/>
              </w:rPr>
            </w:pPr>
          </w:p>
        </w:tc>
      </w:tr>
    </w:tbl>
    <w:p w14:paraId="38C48D37">
      <w:pPr>
        <w:spacing w:line="500" w:lineRule="exact"/>
        <w:ind w:firstLine="420"/>
        <w:rPr>
          <w:rFonts w:hint="eastAsia" w:ascii="宋体" w:hAnsi="宋体" w:eastAsia="宋体" w:cs="宋体"/>
          <w:color w:val="auto"/>
          <w:sz w:val="21"/>
          <w:szCs w:val="21"/>
          <w:highlight w:val="none"/>
        </w:rPr>
      </w:pPr>
    </w:p>
    <w:p w14:paraId="6B61D3BF">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供应商（盖章）：</w:t>
      </w:r>
    </w:p>
    <w:p w14:paraId="598B73DE">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法定代表人（单位负责人）或委托代理人（签字或盖章）：</w:t>
      </w:r>
    </w:p>
    <w:p w14:paraId="4CD70A82">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658A634C">
      <w:pPr>
        <w:keepNext/>
        <w:keepLines/>
        <w:spacing w:before="360" w:after="200" w:line="360" w:lineRule="auto"/>
        <w:jc w:val="left"/>
        <w:outlineLvl w:val="1"/>
        <w:rPr>
          <w:rFonts w:hint="eastAsia" w:ascii="宋体" w:hAnsi="宋体" w:eastAsia="宋体" w:cs="宋体"/>
          <w:iCs/>
          <w:color w:val="auto"/>
          <w:sz w:val="24"/>
          <w:szCs w:val="24"/>
          <w:highlight w:val="none"/>
        </w:rPr>
      </w:pPr>
      <w:bookmarkStart w:id="300" w:name="_Toc18363"/>
      <w:bookmarkStart w:id="301" w:name="_Toc27306"/>
      <w:r>
        <w:rPr>
          <w:rFonts w:hint="eastAsia" w:ascii="宋体" w:hAnsi="宋体" w:eastAsia="宋体" w:cs="宋体"/>
          <w:iCs/>
          <w:color w:val="auto"/>
          <w:sz w:val="24"/>
          <w:szCs w:val="24"/>
          <w:highlight w:val="none"/>
        </w:rPr>
        <w:t>十</w:t>
      </w:r>
      <w:r>
        <w:rPr>
          <w:rFonts w:hint="eastAsia" w:ascii="宋体" w:hAnsi="宋体" w:eastAsia="宋体" w:cs="宋体"/>
          <w:iCs/>
          <w:color w:val="auto"/>
          <w:sz w:val="24"/>
          <w:szCs w:val="24"/>
          <w:highlight w:val="none"/>
          <w:lang w:eastAsia="zh-CN"/>
        </w:rPr>
        <w:t>七</w:t>
      </w:r>
      <w:r>
        <w:rPr>
          <w:rFonts w:hint="eastAsia" w:ascii="宋体" w:hAnsi="宋体" w:eastAsia="宋体" w:cs="宋体"/>
          <w:iCs/>
          <w:color w:val="auto"/>
          <w:sz w:val="24"/>
          <w:szCs w:val="24"/>
          <w:highlight w:val="none"/>
        </w:rPr>
        <w:t>、项目</w:t>
      </w:r>
      <w:r>
        <w:rPr>
          <w:rFonts w:hint="eastAsia" w:ascii="宋体" w:hAnsi="宋体" w:cs="宋体"/>
          <w:iCs/>
          <w:color w:val="auto"/>
          <w:sz w:val="24"/>
          <w:szCs w:val="24"/>
          <w:highlight w:val="none"/>
          <w:lang w:eastAsia="zh-CN"/>
        </w:rPr>
        <w:t>组成员</w:t>
      </w:r>
      <w:r>
        <w:rPr>
          <w:rFonts w:hint="eastAsia" w:ascii="宋体" w:hAnsi="宋体" w:eastAsia="宋体" w:cs="宋体"/>
          <w:iCs/>
          <w:color w:val="auto"/>
          <w:sz w:val="24"/>
          <w:szCs w:val="24"/>
          <w:highlight w:val="none"/>
        </w:rPr>
        <w:t>一览表</w:t>
      </w:r>
      <w:bookmarkEnd w:id="300"/>
      <w:bookmarkEnd w:id="301"/>
    </w:p>
    <w:p w14:paraId="19E63B78">
      <w:pPr>
        <w:tabs>
          <w:tab w:val="left" w:pos="360"/>
        </w:tabs>
        <w:spacing w:line="360" w:lineRule="auto"/>
        <w:jc w:val="center"/>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项目组成员</w:t>
      </w:r>
      <w:r>
        <w:rPr>
          <w:rFonts w:hint="eastAsia" w:ascii="宋体" w:hAnsi="宋体" w:eastAsia="宋体" w:cs="宋体"/>
          <w:bCs/>
          <w:color w:val="auto"/>
          <w:sz w:val="21"/>
          <w:szCs w:val="21"/>
          <w:highlight w:val="none"/>
        </w:rPr>
        <w:t>一览表</w:t>
      </w:r>
    </w:p>
    <w:p w14:paraId="1829AF71">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p>
    <w:tbl>
      <w:tblPr>
        <w:tblStyle w:val="39"/>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27"/>
        <w:gridCol w:w="2172"/>
        <w:gridCol w:w="3361"/>
        <w:gridCol w:w="2404"/>
      </w:tblGrid>
      <w:tr w14:paraId="2CD69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62" w:type="pct"/>
            <w:noWrap w:val="0"/>
            <w:vAlign w:val="center"/>
          </w:tcPr>
          <w:p w14:paraId="495F4C4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1159" w:type="pct"/>
            <w:noWrap w:val="0"/>
            <w:vAlign w:val="center"/>
          </w:tcPr>
          <w:p w14:paraId="5BF75BF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本项目拟担任职务</w:t>
            </w:r>
          </w:p>
        </w:tc>
        <w:tc>
          <w:tcPr>
            <w:tcW w:w="1794" w:type="pct"/>
            <w:noWrap w:val="0"/>
            <w:vAlign w:val="center"/>
          </w:tcPr>
          <w:p w14:paraId="3C94F40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技术职称、专业资质</w:t>
            </w:r>
          </w:p>
        </w:tc>
        <w:tc>
          <w:tcPr>
            <w:tcW w:w="1283" w:type="pct"/>
            <w:noWrap w:val="0"/>
            <w:vAlign w:val="center"/>
          </w:tcPr>
          <w:p w14:paraId="76877D6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主要资历及担任过的职务</w:t>
            </w:r>
          </w:p>
        </w:tc>
      </w:tr>
      <w:tr w14:paraId="56125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62" w:type="pct"/>
            <w:noWrap w:val="0"/>
            <w:vAlign w:val="center"/>
          </w:tcPr>
          <w:p w14:paraId="33BC7C05">
            <w:pPr>
              <w:jc w:val="center"/>
              <w:rPr>
                <w:rFonts w:hint="eastAsia" w:ascii="宋体" w:hAnsi="宋体" w:eastAsia="宋体" w:cs="宋体"/>
                <w:color w:val="auto"/>
                <w:sz w:val="21"/>
                <w:szCs w:val="21"/>
                <w:highlight w:val="none"/>
              </w:rPr>
            </w:pPr>
          </w:p>
        </w:tc>
        <w:tc>
          <w:tcPr>
            <w:tcW w:w="1159" w:type="pct"/>
            <w:noWrap w:val="0"/>
            <w:vAlign w:val="center"/>
          </w:tcPr>
          <w:p w14:paraId="40B7451D">
            <w:pPr>
              <w:jc w:val="both"/>
              <w:rPr>
                <w:rFonts w:hint="eastAsia" w:ascii="宋体" w:hAnsi="宋体" w:eastAsia="宋体" w:cs="宋体"/>
                <w:color w:val="auto"/>
                <w:sz w:val="21"/>
                <w:szCs w:val="21"/>
                <w:highlight w:val="none"/>
                <w:lang w:eastAsia="zh-CN"/>
              </w:rPr>
            </w:pPr>
          </w:p>
        </w:tc>
        <w:tc>
          <w:tcPr>
            <w:tcW w:w="1794" w:type="pct"/>
            <w:noWrap w:val="0"/>
          </w:tcPr>
          <w:p w14:paraId="18263823">
            <w:pPr>
              <w:jc w:val="center"/>
              <w:rPr>
                <w:rFonts w:hint="eastAsia" w:ascii="宋体" w:hAnsi="宋体" w:eastAsia="宋体" w:cs="宋体"/>
                <w:color w:val="auto"/>
                <w:sz w:val="21"/>
                <w:szCs w:val="21"/>
                <w:highlight w:val="none"/>
              </w:rPr>
            </w:pPr>
          </w:p>
        </w:tc>
        <w:tc>
          <w:tcPr>
            <w:tcW w:w="1283" w:type="pct"/>
            <w:noWrap w:val="0"/>
            <w:vAlign w:val="center"/>
          </w:tcPr>
          <w:p w14:paraId="684EE29B">
            <w:pPr>
              <w:jc w:val="center"/>
              <w:rPr>
                <w:rFonts w:hint="eastAsia" w:ascii="宋体" w:hAnsi="宋体" w:eastAsia="宋体" w:cs="宋体"/>
                <w:color w:val="auto"/>
                <w:sz w:val="21"/>
                <w:szCs w:val="21"/>
                <w:highlight w:val="none"/>
              </w:rPr>
            </w:pPr>
          </w:p>
        </w:tc>
      </w:tr>
      <w:tr w14:paraId="539CA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62" w:type="pct"/>
            <w:noWrap w:val="0"/>
            <w:vAlign w:val="center"/>
          </w:tcPr>
          <w:p w14:paraId="63355F75">
            <w:pPr>
              <w:jc w:val="center"/>
              <w:rPr>
                <w:rFonts w:hint="eastAsia" w:ascii="宋体" w:hAnsi="宋体" w:eastAsia="宋体" w:cs="宋体"/>
                <w:color w:val="auto"/>
                <w:sz w:val="21"/>
                <w:szCs w:val="21"/>
                <w:highlight w:val="none"/>
              </w:rPr>
            </w:pPr>
          </w:p>
        </w:tc>
        <w:tc>
          <w:tcPr>
            <w:tcW w:w="1159" w:type="pct"/>
            <w:noWrap w:val="0"/>
            <w:vAlign w:val="center"/>
          </w:tcPr>
          <w:p w14:paraId="12A28137">
            <w:pPr>
              <w:jc w:val="both"/>
              <w:rPr>
                <w:rFonts w:hint="eastAsia" w:ascii="宋体" w:hAnsi="宋体" w:eastAsia="宋体" w:cs="宋体"/>
                <w:color w:val="auto"/>
                <w:sz w:val="21"/>
                <w:szCs w:val="21"/>
                <w:highlight w:val="none"/>
                <w:lang w:eastAsia="zh-CN"/>
              </w:rPr>
            </w:pPr>
          </w:p>
        </w:tc>
        <w:tc>
          <w:tcPr>
            <w:tcW w:w="1794" w:type="pct"/>
            <w:noWrap w:val="0"/>
          </w:tcPr>
          <w:p w14:paraId="0AE23F34">
            <w:pPr>
              <w:jc w:val="center"/>
              <w:rPr>
                <w:rFonts w:hint="eastAsia" w:ascii="宋体" w:hAnsi="宋体" w:eastAsia="宋体" w:cs="宋体"/>
                <w:color w:val="auto"/>
                <w:sz w:val="21"/>
                <w:szCs w:val="21"/>
                <w:highlight w:val="none"/>
              </w:rPr>
            </w:pPr>
          </w:p>
        </w:tc>
        <w:tc>
          <w:tcPr>
            <w:tcW w:w="1283" w:type="pct"/>
            <w:noWrap w:val="0"/>
            <w:vAlign w:val="center"/>
          </w:tcPr>
          <w:p w14:paraId="463C7EC5">
            <w:pPr>
              <w:jc w:val="center"/>
              <w:rPr>
                <w:rFonts w:hint="eastAsia" w:ascii="宋体" w:hAnsi="宋体" w:eastAsia="宋体" w:cs="宋体"/>
                <w:color w:val="auto"/>
                <w:sz w:val="21"/>
                <w:szCs w:val="21"/>
                <w:highlight w:val="none"/>
              </w:rPr>
            </w:pPr>
          </w:p>
        </w:tc>
      </w:tr>
      <w:tr w14:paraId="096AA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62" w:type="pct"/>
            <w:noWrap w:val="0"/>
            <w:vAlign w:val="center"/>
          </w:tcPr>
          <w:p w14:paraId="6864DD16">
            <w:pPr>
              <w:jc w:val="center"/>
              <w:rPr>
                <w:rFonts w:hint="eastAsia" w:ascii="宋体" w:hAnsi="宋体" w:eastAsia="宋体" w:cs="宋体"/>
                <w:color w:val="auto"/>
                <w:sz w:val="21"/>
                <w:szCs w:val="21"/>
                <w:highlight w:val="none"/>
              </w:rPr>
            </w:pPr>
          </w:p>
        </w:tc>
        <w:tc>
          <w:tcPr>
            <w:tcW w:w="1159" w:type="pct"/>
            <w:noWrap w:val="0"/>
            <w:vAlign w:val="center"/>
          </w:tcPr>
          <w:p w14:paraId="4F8A811A">
            <w:pPr>
              <w:jc w:val="both"/>
              <w:rPr>
                <w:rFonts w:hint="eastAsia" w:ascii="宋体" w:hAnsi="宋体" w:eastAsia="宋体" w:cs="宋体"/>
                <w:color w:val="auto"/>
                <w:sz w:val="21"/>
                <w:szCs w:val="21"/>
                <w:highlight w:val="none"/>
                <w:lang w:eastAsia="zh-CN"/>
              </w:rPr>
            </w:pPr>
          </w:p>
        </w:tc>
        <w:tc>
          <w:tcPr>
            <w:tcW w:w="1794" w:type="pct"/>
            <w:noWrap w:val="0"/>
          </w:tcPr>
          <w:p w14:paraId="6C87F9BC">
            <w:pPr>
              <w:jc w:val="center"/>
              <w:rPr>
                <w:rFonts w:hint="eastAsia" w:ascii="宋体" w:hAnsi="宋体" w:eastAsia="宋体" w:cs="宋体"/>
                <w:color w:val="auto"/>
                <w:sz w:val="21"/>
                <w:szCs w:val="21"/>
                <w:highlight w:val="none"/>
              </w:rPr>
            </w:pPr>
          </w:p>
        </w:tc>
        <w:tc>
          <w:tcPr>
            <w:tcW w:w="1283" w:type="pct"/>
            <w:noWrap w:val="0"/>
            <w:vAlign w:val="center"/>
          </w:tcPr>
          <w:p w14:paraId="39549862">
            <w:pPr>
              <w:jc w:val="center"/>
              <w:rPr>
                <w:rFonts w:hint="eastAsia" w:ascii="宋体" w:hAnsi="宋体" w:eastAsia="宋体" w:cs="宋体"/>
                <w:color w:val="auto"/>
                <w:sz w:val="21"/>
                <w:szCs w:val="21"/>
                <w:highlight w:val="none"/>
              </w:rPr>
            </w:pPr>
          </w:p>
        </w:tc>
      </w:tr>
      <w:tr w14:paraId="4AE6B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62" w:type="pct"/>
            <w:noWrap w:val="0"/>
            <w:vAlign w:val="center"/>
          </w:tcPr>
          <w:p w14:paraId="227E6209">
            <w:pPr>
              <w:jc w:val="center"/>
              <w:rPr>
                <w:rFonts w:hint="eastAsia" w:ascii="宋体" w:hAnsi="宋体" w:eastAsia="宋体" w:cs="宋体"/>
                <w:color w:val="auto"/>
                <w:sz w:val="21"/>
                <w:szCs w:val="21"/>
                <w:highlight w:val="none"/>
              </w:rPr>
            </w:pPr>
          </w:p>
        </w:tc>
        <w:tc>
          <w:tcPr>
            <w:tcW w:w="1159" w:type="pct"/>
            <w:noWrap w:val="0"/>
            <w:vAlign w:val="center"/>
          </w:tcPr>
          <w:p w14:paraId="0E3A38C4">
            <w:pPr>
              <w:jc w:val="both"/>
              <w:rPr>
                <w:rFonts w:hint="eastAsia" w:ascii="宋体" w:hAnsi="宋体" w:cs="宋体"/>
                <w:color w:val="auto"/>
                <w:sz w:val="21"/>
                <w:szCs w:val="21"/>
                <w:highlight w:val="none"/>
                <w:lang w:eastAsia="zh-CN"/>
              </w:rPr>
            </w:pPr>
          </w:p>
        </w:tc>
        <w:tc>
          <w:tcPr>
            <w:tcW w:w="1794" w:type="pct"/>
            <w:noWrap w:val="0"/>
          </w:tcPr>
          <w:p w14:paraId="7A3B4BAB">
            <w:pPr>
              <w:jc w:val="center"/>
              <w:rPr>
                <w:rFonts w:hint="eastAsia" w:ascii="宋体" w:hAnsi="宋体" w:eastAsia="宋体" w:cs="宋体"/>
                <w:color w:val="auto"/>
                <w:sz w:val="21"/>
                <w:szCs w:val="21"/>
                <w:highlight w:val="none"/>
              </w:rPr>
            </w:pPr>
          </w:p>
        </w:tc>
        <w:tc>
          <w:tcPr>
            <w:tcW w:w="1283" w:type="pct"/>
            <w:noWrap w:val="0"/>
            <w:vAlign w:val="center"/>
          </w:tcPr>
          <w:p w14:paraId="013090CA">
            <w:pPr>
              <w:jc w:val="center"/>
              <w:rPr>
                <w:rFonts w:hint="eastAsia" w:ascii="宋体" w:hAnsi="宋体" w:eastAsia="宋体" w:cs="宋体"/>
                <w:color w:val="auto"/>
                <w:sz w:val="21"/>
                <w:szCs w:val="21"/>
                <w:highlight w:val="none"/>
              </w:rPr>
            </w:pPr>
          </w:p>
        </w:tc>
      </w:tr>
      <w:tr w14:paraId="702A8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62" w:type="pct"/>
            <w:noWrap w:val="0"/>
            <w:vAlign w:val="center"/>
          </w:tcPr>
          <w:p w14:paraId="64F18669">
            <w:pPr>
              <w:jc w:val="center"/>
              <w:rPr>
                <w:rFonts w:hint="eastAsia" w:ascii="宋体" w:hAnsi="宋体" w:eastAsia="宋体" w:cs="宋体"/>
                <w:color w:val="auto"/>
                <w:sz w:val="21"/>
                <w:szCs w:val="21"/>
                <w:highlight w:val="none"/>
              </w:rPr>
            </w:pPr>
          </w:p>
        </w:tc>
        <w:tc>
          <w:tcPr>
            <w:tcW w:w="1159" w:type="pct"/>
            <w:noWrap w:val="0"/>
            <w:vAlign w:val="center"/>
          </w:tcPr>
          <w:p w14:paraId="6D27DBD3">
            <w:pPr>
              <w:jc w:val="both"/>
              <w:rPr>
                <w:rFonts w:hint="eastAsia" w:ascii="宋体" w:hAnsi="宋体" w:cs="宋体"/>
                <w:color w:val="auto"/>
                <w:sz w:val="21"/>
                <w:szCs w:val="21"/>
                <w:highlight w:val="none"/>
                <w:lang w:eastAsia="zh-CN"/>
              </w:rPr>
            </w:pPr>
          </w:p>
        </w:tc>
        <w:tc>
          <w:tcPr>
            <w:tcW w:w="1794" w:type="pct"/>
            <w:noWrap w:val="0"/>
          </w:tcPr>
          <w:p w14:paraId="11DEADB3">
            <w:pPr>
              <w:jc w:val="center"/>
              <w:rPr>
                <w:rFonts w:hint="eastAsia" w:ascii="宋体" w:hAnsi="宋体" w:eastAsia="宋体" w:cs="宋体"/>
                <w:color w:val="auto"/>
                <w:sz w:val="21"/>
                <w:szCs w:val="21"/>
                <w:highlight w:val="none"/>
              </w:rPr>
            </w:pPr>
          </w:p>
        </w:tc>
        <w:tc>
          <w:tcPr>
            <w:tcW w:w="1283" w:type="pct"/>
            <w:noWrap w:val="0"/>
            <w:vAlign w:val="center"/>
          </w:tcPr>
          <w:p w14:paraId="426C0AA0">
            <w:pPr>
              <w:jc w:val="center"/>
              <w:rPr>
                <w:rFonts w:hint="eastAsia" w:ascii="宋体" w:hAnsi="宋体" w:eastAsia="宋体" w:cs="宋体"/>
                <w:color w:val="auto"/>
                <w:sz w:val="21"/>
                <w:szCs w:val="21"/>
                <w:highlight w:val="none"/>
              </w:rPr>
            </w:pPr>
          </w:p>
        </w:tc>
      </w:tr>
      <w:tr w14:paraId="78E8E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62" w:type="pct"/>
            <w:noWrap w:val="0"/>
            <w:vAlign w:val="center"/>
          </w:tcPr>
          <w:p w14:paraId="6A1D99E3">
            <w:pPr>
              <w:jc w:val="center"/>
              <w:rPr>
                <w:rFonts w:hint="eastAsia" w:ascii="宋体" w:hAnsi="宋体" w:eastAsia="宋体" w:cs="宋体"/>
                <w:color w:val="auto"/>
                <w:sz w:val="21"/>
                <w:szCs w:val="21"/>
                <w:highlight w:val="none"/>
              </w:rPr>
            </w:pPr>
          </w:p>
        </w:tc>
        <w:tc>
          <w:tcPr>
            <w:tcW w:w="1159" w:type="pct"/>
            <w:noWrap w:val="0"/>
            <w:vAlign w:val="center"/>
          </w:tcPr>
          <w:p w14:paraId="2A057AD9">
            <w:pPr>
              <w:jc w:val="both"/>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p>
        </w:tc>
        <w:tc>
          <w:tcPr>
            <w:tcW w:w="1794" w:type="pct"/>
            <w:noWrap w:val="0"/>
          </w:tcPr>
          <w:p w14:paraId="049C87B9">
            <w:pPr>
              <w:jc w:val="center"/>
              <w:rPr>
                <w:rFonts w:hint="eastAsia" w:ascii="宋体" w:hAnsi="宋体" w:eastAsia="宋体" w:cs="宋体"/>
                <w:color w:val="auto"/>
                <w:sz w:val="21"/>
                <w:szCs w:val="21"/>
                <w:highlight w:val="none"/>
              </w:rPr>
            </w:pPr>
          </w:p>
        </w:tc>
        <w:tc>
          <w:tcPr>
            <w:tcW w:w="1283" w:type="pct"/>
            <w:noWrap w:val="0"/>
            <w:vAlign w:val="center"/>
          </w:tcPr>
          <w:p w14:paraId="20E7F687">
            <w:pPr>
              <w:jc w:val="center"/>
              <w:rPr>
                <w:rFonts w:hint="eastAsia" w:ascii="宋体" w:hAnsi="宋体" w:eastAsia="宋体" w:cs="宋体"/>
                <w:color w:val="auto"/>
                <w:sz w:val="21"/>
                <w:szCs w:val="21"/>
                <w:highlight w:val="none"/>
              </w:rPr>
            </w:pPr>
          </w:p>
        </w:tc>
      </w:tr>
    </w:tbl>
    <w:p w14:paraId="3A67684C">
      <w:pPr>
        <w:spacing w:line="500" w:lineRule="exact"/>
        <w:ind w:firstLine="420"/>
        <w:rPr>
          <w:rFonts w:hint="eastAsia" w:ascii="宋体" w:hAnsi="宋体" w:eastAsia="宋体" w:cs="宋体"/>
          <w:color w:val="auto"/>
          <w:sz w:val="21"/>
          <w:szCs w:val="21"/>
          <w:highlight w:val="none"/>
        </w:rPr>
      </w:pPr>
    </w:p>
    <w:p w14:paraId="1676C199">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供应商（盖章）：</w:t>
      </w:r>
    </w:p>
    <w:p w14:paraId="0F9AEBD9">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法定代表人（单位负责人）或委托代理人（签字或盖章）：</w:t>
      </w:r>
    </w:p>
    <w:p w14:paraId="74C3935B">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53AC7B9C">
      <w:pPr>
        <w:jc w:val="left"/>
        <w:rPr>
          <w:rFonts w:hint="eastAsia" w:ascii="宋体" w:hAnsi="宋体" w:eastAsia="宋体" w:cs="宋体"/>
          <w:b/>
          <w:bCs w:val="0"/>
          <w:i/>
          <w:color w:val="auto"/>
          <w:sz w:val="24"/>
          <w:szCs w:val="24"/>
          <w:highlight w:val="none"/>
          <w:u w:val="single"/>
          <w:lang w:eastAsia="zh-CN"/>
        </w:rPr>
      </w:pPr>
    </w:p>
    <w:p w14:paraId="509295C3">
      <w:pPr>
        <w:jc w:val="left"/>
        <w:rPr>
          <w:rFonts w:hint="eastAsia" w:ascii="宋体" w:hAnsi="宋体" w:eastAsia="宋体" w:cs="宋体"/>
          <w:b/>
          <w:bCs w:val="0"/>
          <w:color w:val="auto"/>
          <w:sz w:val="24"/>
          <w:szCs w:val="24"/>
          <w:highlight w:val="none"/>
        </w:rPr>
      </w:pPr>
      <w:r>
        <w:rPr>
          <w:rFonts w:hint="eastAsia" w:ascii="宋体" w:hAnsi="宋体" w:eastAsia="宋体" w:cs="宋体"/>
          <w:b/>
          <w:bCs w:val="0"/>
          <w:i/>
          <w:color w:val="auto"/>
          <w:sz w:val="24"/>
          <w:szCs w:val="24"/>
          <w:highlight w:val="none"/>
          <w:u w:val="single"/>
          <w:lang w:eastAsia="zh-CN"/>
        </w:rPr>
        <w:t>十八</w:t>
      </w:r>
      <w:r>
        <w:rPr>
          <w:rFonts w:hint="eastAsia" w:ascii="宋体" w:hAnsi="宋体" w:eastAsia="宋体" w:cs="宋体"/>
          <w:b/>
          <w:bCs w:val="0"/>
          <w:i/>
          <w:color w:val="auto"/>
          <w:sz w:val="24"/>
          <w:szCs w:val="24"/>
          <w:highlight w:val="none"/>
          <w:u w:val="single"/>
        </w:rPr>
        <w:t>、财务状况报告及税收、社会保障资金缴纳情况承诺函</w:t>
      </w:r>
    </w:p>
    <w:p w14:paraId="3B2E3262">
      <w:pPr>
        <w:jc w:val="center"/>
        <w:rPr>
          <w:rFonts w:hint="eastAsia" w:ascii="宋体" w:hAnsi="宋体" w:eastAsia="宋体" w:cs="宋体"/>
          <w:bCs/>
          <w:color w:val="auto"/>
          <w:sz w:val="24"/>
          <w:szCs w:val="24"/>
          <w:highlight w:val="none"/>
        </w:rPr>
      </w:pPr>
    </w:p>
    <w:p w14:paraId="4C1B4BDC">
      <w:pPr>
        <w:spacing w:line="56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财务状况报告及税收、社会保障资金缴纳情况承诺函</w:t>
      </w:r>
    </w:p>
    <w:p w14:paraId="3E93C6EB">
      <w:pP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i/>
          <w:color w:val="auto"/>
          <w:sz w:val="21"/>
          <w:szCs w:val="21"/>
          <w:highlight w:val="none"/>
          <w:u w:val="single"/>
        </w:rPr>
        <w:t>【</w:t>
      </w:r>
      <w:r>
        <w:rPr>
          <w:sz w:val="21"/>
          <w:szCs w:val="21"/>
          <w:u w:val="single"/>
        </w:rPr>
        <w:t>采购人名称</w:t>
      </w:r>
      <w:r>
        <w:rPr>
          <w:rFonts w:hint="eastAsia" w:ascii="宋体" w:hAnsi="宋体" w:eastAsia="宋体" w:cs="宋体"/>
          <w:i/>
          <w:color w:val="auto"/>
          <w:sz w:val="21"/>
          <w:szCs w:val="21"/>
          <w:highlight w:val="none"/>
          <w:u w:val="single"/>
        </w:rPr>
        <w:t>】</w:t>
      </w:r>
    </w:p>
    <w:p w14:paraId="0DFF7924">
      <w:pPr>
        <w:spacing w:line="5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w:t>
      </w:r>
      <w:r>
        <w:rPr>
          <w:rFonts w:hint="eastAsia" w:ascii="宋体" w:hAnsi="宋体" w:eastAsia="宋体" w:cs="宋体"/>
          <w:i/>
          <w:color w:val="auto"/>
          <w:sz w:val="21"/>
          <w:szCs w:val="21"/>
          <w:highlight w:val="none"/>
          <w:u w:val="single"/>
        </w:rPr>
        <w:t xml:space="preserve">供应商名称 </w:t>
      </w:r>
      <w:r>
        <w:rPr>
          <w:rFonts w:hint="eastAsia" w:ascii="宋体" w:hAnsi="宋体" w:eastAsia="宋体" w:cs="宋体"/>
          <w:color w:val="auto"/>
          <w:sz w:val="21"/>
          <w:szCs w:val="21"/>
          <w:highlight w:val="none"/>
        </w:rPr>
        <w:t>参加</w:t>
      </w:r>
      <w:r>
        <w:rPr>
          <w:rFonts w:hint="eastAsia" w:ascii="宋体" w:hAnsi="宋体" w:eastAsia="宋体" w:cs="宋体"/>
          <w:i/>
          <w:color w:val="auto"/>
          <w:sz w:val="21"/>
          <w:szCs w:val="21"/>
          <w:highlight w:val="none"/>
          <w:u w:val="single"/>
        </w:rPr>
        <w:t>【标段名称】</w:t>
      </w:r>
      <w:r>
        <w:rPr>
          <w:rFonts w:hint="eastAsia" w:ascii="宋体" w:hAnsi="宋体" w:eastAsia="宋体" w:cs="宋体"/>
          <w:color w:val="auto"/>
          <w:sz w:val="21"/>
          <w:szCs w:val="21"/>
          <w:highlight w:val="none"/>
        </w:rPr>
        <w:t>（项目编号：</w:t>
      </w:r>
      <w:r>
        <w:rPr>
          <w:rFonts w:hint="eastAsia" w:ascii="宋体" w:hAnsi="宋体" w:eastAsia="宋体" w:cs="宋体"/>
          <w:i/>
          <w:color w:val="auto"/>
          <w:sz w:val="21"/>
          <w:szCs w:val="21"/>
          <w:highlight w:val="none"/>
          <w:u w:val="single"/>
        </w:rPr>
        <w:t>【标段编号】</w:t>
      </w:r>
      <w:r>
        <w:rPr>
          <w:rFonts w:hint="eastAsia" w:ascii="宋体" w:hAnsi="宋体" w:eastAsia="宋体" w:cs="宋体"/>
          <w:color w:val="auto"/>
          <w:sz w:val="21"/>
          <w:szCs w:val="21"/>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0401234B">
      <w:pPr>
        <w:spacing w:line="5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（1）具有良好的商业信誉和健全的财务会计制度（财务状况报告）；</w:t>
      </w:r>
    </w:p>
    <w:p w14:paraId="3A52D38C">
      <w:pPr>
        <w:spacing w:line="5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（2）有依法缴纳税收和社会保障资金的良好记录。</w:t>
      </w:r>
    </w:p>
    <w:p w14:paraId="234482E4">
      <w:pPr>
        <w:spacing w:line="5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我方对上述承诺的真实性负责，如有虚假，将依法承担提供虚假材料谋取中标、成交责任，同时同意有关主管部门将相关失信信息记入公共信用信息系统并在相关政府门户网站公开。</w:t>
      </w:r>
    </w:p>
    <w:p w14:paraId="4A588931">
      <w:pPr>
        <w:spacing w:line="5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特此承诺</w:t>
      </w:r>
    </w:p>
    <w:p w14:paraId="04269DBD">
      <w:pPr>
        <w:spacing w:line="560" w:lineRule="exact"/>
        <w:ind w:firstLine="480"/>
        <w:rPr>
          <w:rFonts w:hint="eastAsia" w:ascii="宋体" w:hAnsi="宋体" w:eastAsia="宋体" w:cs="宋体"/>
          <w:color w:val="auto"/>
          <w:sz w:val="21"/>
          <w:szCs w:val="21"/>
          <w:highlight w:val="none"/>
        </w:rPr>
      </w:pPr>
    </w:p>
    <w:p w14:paraId="0E1FDDF7">
      <w:pPr>
        <w:spacing w:line="5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（盖章）：</w:t>
      </w:r>
    </w:p>
    <w:p w14:paraId="22E4420D">
      <w:pPr>
        <w:spacing w:line="5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法定代表人或委托代理人（签字或盖章）：</w:t>
      </w:r>
    </w:p>
    <w:p w14:paraId="72755341">
      <w:pPr>
        <w:spacing w:line="5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6D3B5DE4">
      <w:pPr>
        <w:pStyle w:val="4"/>
        <w:rPr>
          <w:rFonts w:hint="eastAsia" w:ascii="宋体" w:hAnsi="宋体" w:eastAsia="宋体" w:cs="宋体"/>
          <w:color w:val="auto"/>
          <w:sz w:val="21"/>
          <w:szCs w:val="21"/>
          <w:highlight w:val="none"/>
        </w:rPr>
      </w:pPr>
    </w:p>
    <w:p w14:paraId="2B55DC51">
      <w:pPr>
        <w:spacing w:line="360" w:lineRule="auto"/>
        <w:rPr>
          <w:rFonts w:ascii="宋体" w:hAnsi="宋体"/>
          <w:bCs/>
          <w:color w:val="auto"/>
          <w:sz w:val="24"/>
          <w:highlight w:val="none"/>
        </w:rPr>
      </w:pPr>
    </w:p>
    <w:p w14:paraId="27F40AE7">
      <w:pPr>
        <w:pStyle w:val="4"/>
        <w:rPr>
          <w:rFonts w:ascii="宋体" w:hAnsi="宋体"/>
          <w:color w:val="auto"/>
          <w:sz w:val="24"/>
          <w:szCs w:val="24"/>
          <w:highlight w:val="none"/>
        </w:rPr>
      </w:pPr>
    </w:p>
    <w:p w14:paraId="26DC7AED">
      <w:pPr>
        <w:rPr>
          <w:color w:val="auto"/>
          <w:highlight w:val="none"/>
        </w:rPr>
      </w:pPr>
    </w:p>
    <w:p w14:paraId="15879029">
      <w:pPr>
        <w:keepNext/>
        <w:keepLines/>
        <w:outlineLvl w:val="1"/>
        <w:rPr>
          <w:rFonts w:ascii="Arial" w:hAnsi="Arial" w:eastAsia="黑体"/>
          <w:b/>
          <w:bCs/>
          <w:color w:val="auto"/>
          <w:sz w:val="24"/>
          <w:szCs w:val="32"/>
          <w:highlight w:val="none"/>
        </w:rPr>
      </w:pPr>
    </w:p>
    <w:p w14:paraId="7B1A499F">
      <w:pPr>
        <w:keepNext/>
        <w:keepLines/>
        <w:outlineLvl w:val="1"/>
        <w:rPr>
          <w:rFonts w:ascii="Arial" w:hAnsi="Arial" w:eastAsia="黑体"/>
          <w:b/>
          <w:bCs/>
          <w:color w:val="auto"/>
          <w:sz w:val="24"/>
          <w:szCs w:val="32"/>
          <w:highlight w:val="none"/>
        </w:rPr>
      </w:pPr>
    </w:p>
    <w:p w14:paraId="7ADB78C7">
      <w:pPr>
        <w:keepNext/>
        <w:keepLines/>
        <w:outlineLvl w:val="1"/>
        <w:rPr>
          <w:rFonts w:ascii="Arial" w:hAnsi="Arial" w:eastAsia="黑体"/>
          <w:b/>
          <w:bCs/>
          <w:color w:val="auto"/>
          <w:sz w:val="24"/>
          <w:szCs w:val="32"/>
          <w:highlight w:val="none"/>
        </w:rPr>
      </w:pPr>
    </w:p>
    <w:p w14:paraId="60672F31">
      <w:pPr>
        <w:keepNext/>
        <w:keepLines/>
        <w:outlineLvl w:val="1"/>
        <w:rPr>
          <w:rFonts w:ascii="Arial" w:hAnsi="Arial" w:eastAsia="黑体"/>
          <w:b/>
          <w:bCs/>
          <w:color w:val="auto"/>
          <w:sz w:val="24"/>
          <w:szCs w:val="32"/>
          <w:highlight w:val="none"/>
        </w:rPr>
        <w:sectPr>
          <w:pgSz w:w="11906" w:h="16838"/>
          <w:pgMar w:top="1134" w:right="1134" w:bottom="1134" w:left="1622" w:header="851" w:footer="992" w:gutter="0"/>
          <w:cols w:space="720" w:num="1"/>
          <w:docGrid w:linePitch="360" w:charSpace="0"/>
        </w:sectPr>
      </w:pPr>
    </w:p>
    <w:p w14:paraId="2D08B99B">
      <w:pPr>
        <w:keepNext/>
        <w:keepLines/>
        <w:outlineLvl w:val="1"/>
        <w:rPr>
          <w:rFonts w:ascii="Arial" w:hAnsi="Arial" w:eastAsia="黑体"/>
          <w:b/>
          <w:bCs/>
          <w:color w:val="auto"/>
          <w:sz w:val="24"/>
          <w:szCs w:val="32"/>
          <w:highlight w:val="none"/>
        </w:rPr>
      </w:pPr>
    </w:p>
    <w:bookmarkEnd w:id="252"/>
    <w:bookmarkEnd w:id="253"/>
    <w:bookmarkEnd w:id="254"/>
    <w:bookmarkEnd w:id="255"/>
    <w:bookmarkEnd w:id="256"/>
    <w:bookmarkEnd w:id="257"/>
    <w:bookmarkEnd w:id="258"/>
    <w:bookmarkEnd w:id="259"/>
    <w:p w14:paraId="61D0092D">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eastAsia="zh-CN"/>
        </w:rPr>
        <w:t>十九、法人及项目负责人无行贿、无</w:t>
      </w:r>
      <w:r>
        <w:rPr>
          <w:rFonts w:hint="eastAsia" w:ascii="宋体" w:hAnsi="宋体" w:cs="宋体"/>
          <w:b/>
          <w:bCs w:val="0"/>
          <w:i/>
          <w:color w:val="auto"/>
          <w:sz w:val="24"/>
          <w:szCs w:val="24"/>
          <w:highlight w:val="none"/>
          <w:u w:val="single"/>
          <w:lang w:eastAsia="zh-CN"/>
        </w:rPr>
        <w:t>不良</w:t>
      </w:r>
      <w:r>
        <w:rPr>
          <w:rFonts w:hint="eastAsia" w:ascii="宋体" w:hAnsi="宋体" w:eastAsia="宋体" w:cs="宋体"/>
          <w:b/>
          <w:bCs w:val="0"/>
          <w:i/>
          <w:color w:val="auto"/>
          <w:sz w:val="24"/>
          <w:szCs w:val="24"/>
          <w:highlight w:val="none"/>
          <w:u w:val="single"/>
          <w:lang w:eastAsia="zh-CN"/>
        </w:rPr>
        <w:t>行为承诺函</w:t>
      </w:r>
    </w:p>
    <w:p w14:paraId="52D97EED">
      <w:pPr>
        <w:spacing w:line="560" w:lineRule="exact"/>
        <w:ind w:firstLine="2650" w:firstLineChars="1100"/>
        <w:rPr>
          <w:szCs w:val="21"/>
          <w:u w:val="none"/>
        </w:rPr>
      </w:pPr>
      <w:r>
        <w:rPr>
          <w:rFonts w:hint="eastAsia" w:ascii="宋体" w:hAnsi="宋体" w:eastAsia="宋体" w:cs="宋体"/>
          <w:b/>
          <w:bCs w:val="0"/>
          <w:i/>
          <w:color w:val="auto"/>
          <w:sz w:val="24"/>
          <w:szCs w:val="24"/>
          <w:highlight w:val="none"/>
          <w:u w:val="none"/>
          <w:lang w:eastAsia="zh-CN"/>
        </w:rPr>
        <w:t>法人及项目负责人无行贿、无</w:t>
      </w:r>
      <w:r>
        <w:rPr>
          <w:rFonts w:hint="eastAsia" w:ascii="宋体" w:hAnsi="宋体" w:cs="宋体"/>
          <w:b/>
          <w:bCs w:val="0"/>
          <w:i/>
          <w:color w:val="auto"/>
          <w:sz w:val="24"/>
          <w:szCs w:val="24"/>
          <w:highlight w:val="none"/>
          <w:u w:val="none"/>
          <w:lang w:eastAsia="zh-CN"/>
        </w:rPr>
        <w:t>不良</w:t>
      </w:r>
      <w:r>
        <w:rPr>
          <w:rFonts w:hint="eastAsia" w:ascii="宋体" w:hAnsi="宋体" w:eastAsia="宋体" w:cs="宋体"/>
          <w:b/>
          <w:bCs w:val="0"/>
          <w:i/>
          <w:color w:val="auto"/>
          <w:sz w:val="24"/>
          <w:szCs w:val="24"/>
          <w:highlight w:val="none"/>
          <w:u w:val="none"/>
          <w:lang w:eastAsia="zh-CN"/>
        </w:rPr>
        <w:t>行为承诺函</w:t>
      </w:r>
    </w:p>
    <w:p w14:paraId="79A4F088">
      <w:pPr>
        <w:spacing w:line="600" w:lineRule="exact"/>
        <w:rPr>
          <w:sz w:val="21"/>
          <w:szCs w:val="21"/>
        </w:rPr>
      </w:pPr>
      <w:r>
        <w:rPr>
          <w:sz w:val="21"/>
          <w:szCs w:val="21"/>
          <w:u w:val="single"/>
        </w:rPr>
        <w:t>致：（采购人名称）：</w:t>
      </w:r>
    </w:p>
    <w:p w14:paraId="4FDE91AE">
      <w:pPr>
        <w:spacing w:line="360" w:lineRule="auto"/>
        <w:ind w:firstLine="420" w:firstLineChars="200"/>
        <w:rPr>
          <w:sz w:val="21"/>
          <w:szCs w:val="21"/>
        </w:rPr>
      </w:pPr>
    </w:p>
    <w:p w14:paraId="3186B981">
      <w:pPr>
        <w:spacing w:line="360" w:lineRule="auto"/>
        <w:ind w:firstLine="420" w:firstLineChars="200"/>
        <w:rPr>
          <w:sz w:val="21"/>
          <w:szCs w:val="21"/>
        </w:rPr>
      </w:pPr>
      <w:r>
        <w:rPr>
          <w:sz w:val="21"/>
          <w:szCs w:val="21"/>
        </w:rPr>
        <w:t>我方对</w:t>
      </w:r>
      <w:r>
        <w:rPr>
          <w:rFonts w:hint="eastAsia"/>
          <w:sz w:val="21"/>
          <w:szCs w:val="21"/>
          <w:lang w:eastAsia="zh-CN"/>
        </w:rPr>
        <w:t>本工程</w:t>
      </w:r>
      <w:r>
        <w:rPr>
          <w:sz w:val="21"/>
          <w:szCs w:val="21"/>
        </w:rPr>
        <w:t>进行磋商。我方承诺：</w:t>
      </w:r>
    </w:p>
    <w:p w14:paraId="56F057F5">
      <w:pPr>
        <w:spacing w:line="360" w:lineRule="auto"/>
        <w:ind w:firstLine="420" w:firstLineChars="200"/>
        <w:rPr>
          <w:rFonts w:hAnsi="宋体"/>
          <w:sz w:val="21"/>
          <w:szCs w:val="21"/>
        </w:rPr>
      </w:pPr>
      <w:r>
        <w:rPr>
          <w:rFonts w:hAnsi="宋体"/>
          <w:sz w:val="21"/>
          <w:szCs w:val="21"/>
        </w:rPr>
        <w:t>1、绝不出借挂靠，无借牌挂靠行为</w:t>
      </w:r>
      <w:r>
        <w:rPr>
          <w:rFonts w:hint="eastAsia" w:hAnsi="宋体"/>
          <w:sz w:val="21"/>
          <w:szCs w:val="21"/>
          <w:lang w:eastAsia="zh-CN"/>
        </w:rPr>
        <w:t>、无不良行为</w:t>
      </w:r>
      <w:r>
        <w:rPr>
          <w:rFonts w:hAnsi="宋体"/>
          <w:sz w:val="21"/>
          <w:szCs w:val="21"/>
        </w:rPr>
        <w:t>；</w:t>
      </w:r>
    </w:p>
    <w:p w14:paraId="48B5F3F4">
      <w:pPr>
        <w:spacing w:line="360" w:lineRule="auto"/>
        <w:ind w:firstLine="420" w:firstLineChars="200"/>
        <w:rPr>
          <w:rFonts w:hAnsi="宋体"/>
          <w:sz w:val="21"/>
          <w:szCs w:val="21"/>
        </w:rPr>
      </w:pPr>
      <w:r>
        <w:rPr>
          <w:rFonts w:hint="eastAsia" w:hAnsi="宋体"/>
          <w:sz w:val="21"/>
          <w:szCs w:val="21"/>
          <w:lang w:val="en-US" w:eastAsia="zh-CN"/>
        </w:rPr>
        <w:t>2、项目负责</w:t>
      </w:r>
      <w:r>
        <w:rPr>
          <w:rFonts w:hAnsi="宋体"/>
          <w:sz w:val="21"/>
          <w:szCs w:val="21"/>
        </w:rPr>
        <w:t>无借牌挂靠行为</w:t>
      </w:r>
      <w:r>
        <w:rPr>
          <w:rFonts w:hint="eastAsia" w:hAnsi="宋体"/>
          <w:sz w:val="21"/>
          <w:szCs w:val="21"/>
          <w:lang w:eastAsia="zh-CN"/>
        </w:rPr>
        <w:t>、无不良行为</w:t>
      </w:r>
      <w:r>
        <w:rPr>
          <w:rFonts w:hAnsi="宋体"/>
          <w:sz w:val="21"/>
          <w:szCs w:val="21"/>
        </w:rPr>
        <w:t>；</w:t>
      </w:r>
    </w:p>
    <w:p w14:paraId="7EDF0C0D">
      <w:pPr>
        <w:spacing w:line="360" w:lineRule="auto"/>
        <w:ind w:firstLine="420" w:firstLineChars="200"/>
        <w:rPr>
          <w:sz w:val="21"/>
          <w:szCs w:val="21"/>
        </w:rPr>
      </w:pPr>
      <w:r>
        <w:rPr>
          <w:rFonts w:hint="eastAsia"/>
          <w:sz w:val="21"/>
          <w:szCs w:val="21"/>
          <w:lang w:val="en-US" w:eastAsia="zh-CN"/>
        </w:rPr>
        <w:t>3</w:t>
      </w:r>
      <w:r>
        <w:rPr>
          <w:sz w:val="21"/>
          <w:szCs w:val="21"/>
        </w:rPr>
        <w:t>、我单位近</w:t>
      </w:r>
      <w:r>
        <w:rPr>
          <w:sz w:val="21"/>
          <w:szCs w:val="21"/>
          <w:u w:val="single"/>
        </w:rPr>
        <w:t xml:space="preserve"> 3 </w:t>
      </w:r>
      <w:r>
        <w:rPr>
          <w:sz w:val="21"/>
          <w:szCs w:val="21"/>
        </w:rPr>
        <w:t>年以来无行贿行为；</w:t>
      </w:r>
    </w:p>
    <w:p w14:paraId="51B2D938">
      <w:pPr>
        <w:spacing w:line="360" w:lineRule="auto"/>
        <w:ind w:firstLine="420" w:firstLineChars="200"/>
        <w:rPr>
          <w:sz w:val="21"/>
          <w:szCs w:val="21"/>
        </w:rPr>
      </w:pPr>
      <w:r>
        <w:rPr>
          <w:rFonts w:hint="eastAsia"/>
          <w:sz w:val="21"/>
          <w:szCs w:val="21"/>
          <w:lang w:val="en-US" w:eastAsia="zh-CN"/>
        </w:rPr>
        <w:t>4</w:t>
      </w:r>
      <w:r>
        <w:rPr>
          <w:sz w:val="21"/>
          <w:szCs w:val="21"/>
        </w:rPr>
        <w:t>、我单位法定代表人</w:t>
      </w:r>
      <w:r>
        <w:rPr>
          <w:rFonts w:hint="eastAsia"/>
          <w:sz w:val="21"/>
          <w:szCs w:val="21"/>
          <w:u w:val="single"/>
          <w:lang w:val="en-US" w:eastAsia="zh-CN"/>
        </w:rPr>
        <w:t xml:space="preserve">         </w:t>
      </w:r>
      <w:r>
        <w:rPr>
          <w:sz w:val="21"/>
          <w:szCs w:val="21"/>
        </w:rPr>
        <w:t>同志近</w:t>
      </w:r>
      <w:r>
        <w:rPr>
          <w:sz w:val="21"/>
          <w:szCs w:val="21"/>
          <w:u w:val="single"/>
        </w:rPr>
        <w:t xml:space="preserve"> 5 </w:t>
      </w:r>
      <w:r>
        <w:rPr>
          <w:sz w:val="21"/>
          <w:szCs w:val="21"/>
        </w:rPr>
        <w:t>年以来无行贿行为；</w:t>
      </w:r>
    </w:p>
    <w:p w14:paraId="273BB0CE">
      <w:pPr>
        <w:spacing w:line="360" w:lineRule="auto"/>
        <w:ind w:firstLine="420" w:firstLineChars="200"/>
        <w:rPr>
          <w:sz w:val="21"/>
          <w:szCs w:val="21"/>
        </w:rPr>
      </w:pPr>
      <w:r>
        <w:rPr>
          <w:rFonts w:hint="eastAsia"/>
          <w:sz w:val="21"/>
          <w:szCs w:val="21"/>
          <w:lang w:val="en-US" w:eastAsia="zh-CN"/>
        </w:rPr>
        <w:t>5</w:t>
      </w:r>
      <w:r>
        <w:rPr>
          <w:sz w:val="21"/>
          <w:szCs w:val="21"/>
        </w:rPr>
        <w:t>、我单位所报项目负责人</w:t>
      </w:r>
      <w:r>
        <w:rPr>
          <w:rFonts w:hint="eastAsia"/>
          <w:sz w:val="21"/>
          <w:szCs w:val="21"/>
          <w:u w:val="single"/>
          <w:lang w:val="en-US" w:eastAsia="zh-CN"/>
        </w:rPr>
        <w:t xml:space="preserve">       </w:t>
      </w:r>
      <w:r>
        <w:rPr>
          <w:sz w:val="21"/>
          <w:szCs w:val="21"/>
        </w:rPr>
        <w:t>同志近</w:t>
      </w:r>
      <w:r>
        <w:rPr>
          <w:sz w:val="21"/>
          <w:szCs w:val="21"/>
          <w:u w:val="single"/>
        </w:rPr>
        <w:t xml:space="preserve"> 5</w:t>
      </w:r>
      <w:r>
        <w:rPr>
          <w:sz w:val="21"/>
          <w:szCs w:val="21"/>
        </w:rPr>
        <w:t>年以来以来无行贿行为；</w:t>
      </w:r>
    </w:p>
    <w:p w14:paraId="4AB8DAED">
      <w:pPr>
        <w:spacing w:line="360" w:lineRule="auto"/>
        <w:ind w:firstLine="420" w:firstLineChars="200"/>
        <w:rPr>
          <w:sz w:val="21"/>
          <w:szCs w:val="21"/>
        </w:rPr>
      </w:pPr>
      <w:r>
        <w:rPr>
          <w:sz w:val="21"/>
          <w:szCs w:val="21"/>
        </w:rPr>
        <w:t>如在后续工作中因虚假承诺被查实，取消我单位</w:t>
      </w:r>
      <w:r>
        <w:rPr>
          <w:rFonts w:hint="eastAsia"/>
          <w:sz w:val="21"/>
          <w:szCs w:val="21"/>
          <w:lang w:eastAsia="zh-CN"/>
        </w:rPr>
        <w:t>成交</w:t>
      </w:r>
      <w:r>
        <w:rPr>
          <w:sz w:val="21"/>
          <w:szCs w:val="21"/>
        </w:rPr>
        <w:t>资格，并愿意接受相关处罚，特此承诺！</w:t>
      </w:r>
    </w:p>
    <w:p w14:paraId="3BF1D5BF">
      <w:pPr>
        <w:spacing w:line="520" w:lineRule="exact"/>
        <w:ind w:firstLine="420" w:firstLineChars="200"/>
        <w:rPr>
          <w:sz w:val="21"/>
          <w:szCs w:val="21"/>
        </w:rPr>
      </w:pPr>
    </w:p>
    <w:p w14:paraId="674569A6">
      <w:pPr>
        <w:spacing w:line="520" w:lineRule="exact"/>
        <w:ind w:firstLine="420" w:firstLineChars="200"/>
        <w:rPr>
          <w:sz w:val="21"/>
          <w:szCs w:val="21"/>
        </w:rPr>
      </w:pPr>
      <w:r>
        <w:rPr>
          <w:sz w:val="21"/>
          <w:szCs w:val="21"/>
        </w:rPr>
        <w:t>供应商：                    （盖章）</w:t>
      </w:r>
    </w:p>
    <w:p w14:paraId="035CCA56">
      <w:pPr>
        <w:spacing w:line="520" w:lineRule="exact"/>
        <w:ind w:firstLine="420" w:firstLineChars="200"/>
        <w:rPr>
          <w:sz w:val="21"/>
          <w:szCs w:val="21"/>
        </w:rPr>
      </w:pPr>
    </w:p>
    <w:p w14:paraId="0070071B">
      <w:pPr>
        <w:spacing w:line="520" w:lineRule="exact"/>
        <w:ind w:firstLine="420" w:firstLineChars="200"/>
        <w:rPr>
          <w:sz w:val="21"/>
          <w:szCs w:val="21"/>
        </w:rPr>
      </w:pPr>
    </w:p>
    <w:p w14:paraId="6098D445">
      <w:pPr>
        <w:spacing w:line="520" w:lineRule="exact"/>
        <w:ind w:firstLine="420" w:firstLineChars="200"/>
        <w:rPr>
          <w:sz w:val="21"/>
          <w:szCs w:val="21"/>
        </w:rPr>
      </w:pPr>
      <w:r>
        <w:rPr>
          <w:sz w:val="21"/>
          <w:szCs w:val="21"/>
        </w:rPr>
        <w:t>法定代表人：                （签字或盖章）</w:t>
      </w:r>
    </w:p>
    <w:p w14:paraId="225B0D9B">
      <w:pPr>
        <w:spacing w:line="520" w:lineRule="exact"/>
        <w:ind w:firstLine="420" w:firstLineChars="200"/>
        <w:rPr>
          <w:sz w:val="21"/>
          <w:szCs w:val="21"/>
        </w:rPr>
      </w:pPr>
    </w:p>
    <w:p w14:paraId="463A1B22">
      <w:pPr>
        <w:spacing w:line="520" w:lineRule="exact"/>
        <w:ind w:firstLine="420" w:firstLineChars="200"/>
        <w:rPr>
          <w:sz w:val="21"/>
          <w:szCs w:val="21"/>
        </w:rPr>
      </w:pPr>
    </w:p>
    <w:p w14:paraId="626236D3">
      <w:pPr>
        <w:spacing w:line="480" w:lineRule="auto"/>
        <w:jc w:val="center"/>
        <w:rPr>
          <w:rFonts w:eastAsia="黑体"/>
          <w:bCs/>
          <w:color w:val="000000"/>
          <w:sz w:val="21"/>
          <w:szCs w:val="21"/>
        </w:rPr>
      </w:pPr>
      <w:r>
        <w:rPr>
          <w:sz w:val="21"/>
          <w:szCs w:val="21"/>
        </w:rPr>
        <w:t xml:space="preserve">    年    月  日</w:t>
      </w:r>
    </w:p>
    <w:p w14:paraId="421BFC90">
      <w:pPr>
        <w:spacing w:line="480" w:lineRule="auto"/>
        <w:ind w:firstLine="310" w:firstLineChars="147"/>
        <w:jc w:val="left"/>
        <w:rPr>
          <w:rFonts w:eastAsia="黑体"/>
          <w:bCs/>
          <w:color w:val="000000"/>
          <w:sz w:val="21"/>
          <w:szCs w:val="21"/>
        </w:rPr>
      </w:pPr>
      <w:r>
        <w:rPr>
          <w:b/>
          <w:sz w:val="21"/>
          <w:szCs w:val="21"/>
        </w:rPr>
        <w:t>注:供应商未盖章、法定代表人未签字或盖章此承诺书无效。</w:t>
      </w:r>
    </w:p>
    <w:p w14:paraId="4C9AD589">
      <w:pPr>
        <w:pStyle w:val="56"/>
        <w:rPr>
          <w:color w:val="auto"/>
          <w:highlight w:val="none"/>
        </w:rPr>
      </w:pPr>
    </w:p>
    <w:p w14:paraId="12641CC7">
      <w:pPr>
        <w:jc w:val="center"/>
        <w:rPr>
          <w:rFonts w:hint="eastAsia" w:ascii="黑体" w:hAnsi="黑体" w:eastAsia="黑体" w:cs="仿宋"/>
          <w:bCs/>
          <w:color w:val="auto"/>
          <w:sz w:val="40"/>
          <w:szCs w:val="32"/>
          <w:highlight w:val="none"/>
        </w:rPr>
        <w:sectPr>
          <w:headerReference r:id="rId8" w:type="default"/>
          <w:footerReference r:id="rId9" w:type="default"/>
          <w:pgSz w:w="11906" w:h="16838"/>
          <w:pgMar w:top="1015" w:right="1196" w:bottom="868" w:left="1259" w:header="851" w:footer="907" w:gutter="0"/>
          <w:cols w:space="720" w:num="1"/>
          <w:titlePg/>
          <w:docGrid w:linePitch="360" w:charSpace="0"/>
        </w:sectPr>
      </w:pPr>
    </w:p>
    <w:p w14:paraId="64100AE2">
      <w:pPr>
        <w:jc w:val="center"/>
        <w:rPr>
          <w:rFonts w:hint="eastAsia" w:ascii="黑体" w:hAnsi="黑体" w:eastAsia="黑体" w:cs="仿宋"/>
          <w:bCs/>
          <w:color w:val="auto"/>
          <w:sz w:val="40"/>
          <w:szCs w:val="32"/>
          <w:highlight w:val="none"/>
        </w:rPr>
      </w:pPr>
    </w:p>
    <w:p w14:paraId="427F5E54">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质疑函范本</w:t>
      </w:r>
    </w:p>
    <w:p w14:paraId="71FA2944">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致：</w:t>
      </w:r>
      <w:r>
        <w:rPr>
          <w:rFonts w:hint="eastAsia" w:ascii="宋体" w:hAnsi="宋体" w:eastAsia="宋体" w:cs="宋体"/>
          <w:color w:val="auto"/>
          <w:sz w:val="21"/>
          <w:szCs w:val="21"/>
          <w:highlight w:val="none"/>
          <w:u w:val="single"/>
        </w:rPr>
        <w:t xml:space="preserve">                                                                 </w:t>
      </w:r>
    </w:p>
    <w:p w14:paraId="7923C3D3">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一、质疑供应商基本信息</w:t>
      </w:r>
    </w:p>
    <w:p w14:paraId="0AE633BD">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质疑供应商：</w:t>
      </w:r>
      <w:r>
        <w:rPr>
          <w:rFonts w:hint="eastAsia" w:ascii="宋体" w:hAnsi="宋体" w:eastAsia="宋体" w:cs="宋体"/>
          <w:color w:val="auto"/>
          <w:sz w:val="21"/>
          <w:szCs w:val="21"/>
          <w:highlight w:val="none"/>
          <w:u w:val="single"/>
        </w:rPr>
        <w:t xml:space="preserve">                                                         </w:t>
      </w:r>
    </w:p>
    <w:p w14:paraId="7FE1D975">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邮编：</w:t>
      </w:r>
      <w:r>
        <w:rPr>
          <w:rFonts w:hint="eastAsia" w:ascii="宋体" w:hAnsi="宋体" w:eastAsia="宋体" w:cs="宋体"/>
          <w:color w:val="auto"/>
          <w:sz w:val="21"/>
          <w:szCs w:val="21"/>
          <w:highlight w:val="none"/>
          <w:u w:val="single"/>
        </w:rPr>
        <w:t xml:space="preserve">                            </w:t>
      </w:r>
    </w:p>
    <w:p w14:paraId="68AA79F0">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p>
    <w:p w14:paraId="148A0DAE">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授权代表：</w:t>
      </w:r>
      <w:r>
        <w:rPr>
          <w:rFonts w:hint="eastAsia" w:ascii="宋体" w:hAnsi="宋体" w:eastAsia="宋体" w:cs="宋体"/>
          <w:color w:val="auto"/>
          <w:sz w:val="21"/>
          <w:szCs w:val="21"/>
          <w:highlight w:val="none"/>
          <w:u w:val="single"/>
        </w:rPr>
        <w:t xml:space="preserve">                                                           </w:t>
      </w:r>
    </w:p>
    <w:p w14:paraId="5F080D9D">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p>
    <w:p w14:paraId="2AC4C7FC">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邮编：</w:t>
      </w:r>
      <w:r>
        <w:rPr>
          <w:rFonts w:hint="eastAsia" w:ascii="宋体" w:hAnsi="宋体" w:eastAsia="宋体" w:cs="宋体"/>
          <w:color w:val="auto"/>
          <w:sz w:val="21"/>
          <w:szCs w:val="21"/>
          <w:highlight w:val="none"/>
          <w:u w:val="single"/>
        </w:rPr>
        <w:t xml:space="preserve">                                </w:t>
      </w:r>
    </w:p>
    <w:p w14:paraId="7A65717F">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二、质疑项目基本情况</w:t>
      </w:r>
    </w:p>
    <w:p w14:paraId="439446AF">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质疑项目的名称：</w:t>
      </w:r>
      <w:r>
        <w:rPr>
          <w:rFonts w:hint="eastAsia" w:ascii="宋体" w:hAnsi="宋体" w:eastAsia="宋体" w:cs="宋体"/>
          <w:color w:val="auto"/>
          <w:sz w:val="21"/>
          <w:szCs w:val="21"/>
          <w:highlight w:val="none"/>
          <w:u w:val="single"/>
        </w:rPr>
        <w:t xml:space="preserve">                                                     </w:t>
      </w:r>
    </w:p>
    <w:p w14:paraId="384FDB00">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质疑项目的编号：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包号：</w:t>
      </w:r>
      <w:r>
        <w:rPr>
          <w:rFonts w:hint="eastAsia" w:ascii="宋体" w:hAnsi="宋体" w:eastAsia="宋体" w:cs="宋体"/>
          <w:color w:val="auto"/>
          <w:sz w:val="21"/>
          <w:szCs w:val="21"/>
          <w:highlight w:val="none"/>
          <w:u w:val="single"/>
        </w:rPr>
        <w:t xml:space="preserve">                      </w:t>
      </w:r>
    </w:p>
    <w:p w14:paraId="6EB47B53">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采购人名称：</w:t>
      </w:r>
      <w:r>
        <w:rPr>
          <w:rFonts w:hint="eastAsia" w:ascii="宋体" w:hAnsi="宋体" w:eastAsia="宋体" w:cs="宋体"/>
          <w:color w:val="auto"/>
          <w:sz w:val="21"/>
          <w:szCs w:val="21"/>
          <w:highlight w:val="none"/>
          <w:u w:val="single"/>
        </w:rPr>
        <w:t xml:space="preserve">                                                         </w:t>
      </w:r>
    </w:p>
    <w:p w14:paraId="0D445733">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采购文件获取日期：</w:t>
      </w:r>
      <w:r>
        <w:rPr>
          <w:rFonts w:hint="eastAsia" w:ascii="宋体" w:hAnsi="宋体" w:eastAsia="宋体" w:cs="宋体"/>
          <w:color w:val="auto"/>
          <w:sz w:val="21"/>
          <w:szCs w:val="21"/>
          <w:highlight w:val="none"/>
          <w:u w:val="single"/>
        </w:rPr>
        <w:t xml:space="preserve">                                                   </w:t>
      </w:r>
    </w:p>
    <w:p w14:paraId="4DDAF608">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三、质疑事项具体内容</w:t>
      </w:r>
    </w:p>
    <w:p w14:paraId="2824B1B1">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质疑事项1：</w:t>
      </w:r>
      <w:r>
        <w:rPr>
          <w:rFonts w:hint="eastAsia" w:ascii="宋体" w:hAnsi="宋体" w:eastAsia="宋体" w:cs="宋体"/>
          <w:color w:val="auto"/>
          <w:sz w:val="21"/>
          <w:szCs w:val="21"/>
          <w:highlight w:val="none"/>
          <w:u w:val="single"/>
        </w:rPr>
        <w:t xml:space="preserve">                                                          </w:t>
      </w:r>
    </w:p>
    <w:p w14:paraId="1200FC11">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事实依据：</w:t>
      </w:r>
      <w:r>
        <w:rPr>
          <w:rFonts w:hint="eastAsia" w:ascii="宋体" w:hAnsi="宋体" w:eastAsia="宋体" w:cs="宋体"/>
          <w:color w:val="auto"/>
          <w:sz w:val="21"/>
          <w:szCs w:val="21"/>
          <w:highlight w:val="none"/>
          <w:u w:val="single"/>
        </w:rPr>
        <w:t xml:space="preserve">                                                            </w:t>
      </w:r>
    </w:p>
    <w:p w14:paraId="20E10BAF">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p>
    <w:p w14:paraId="1F8BDB8B">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法律依据：</w:t>
      </w:r>
      <w:r>
        <w:rPr>
          <w:rFonts w:hint="eastAsia" w:ascii="宋体" w:hAnsi="宋体" w:eastAsia="宋体" w:cs="宋体"/>
          <w:color w:val="auto"/>
          <w:sz w:val="21"/>
          <w:szCs w:val="21"/>
          <w:highlight w:val="none"/>
          <w:u w:val="single"/>
        </w:rPr>
        <w:t xml:space="preserve">                                                            </w:t>
      </w:r>
    </w:p>
    <w:p w14:paraId="19E3F635">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p>
    <w:p w14:paraId="4730F46B">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质疑事项2</w:t>
      </w:r>
    </w:p>
    <w:p w14:paraId="73CF1000">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10D23814">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四、与质疑事项相关的质疑请求</w:t>
      </w:r>
    </w:p>
    <w:p w14:paraId="26B01026">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请求：</w:t>
      </w:r>
      <w:r>
        <w:rPr>
          <w:rFonts w:hint="eastAsia" w:ascii="宋体" w:hAnsi="宋体" w:eastAsia="宋体" w:cs="宋体"/>
          <w:color w:val="auto"/>
          <w:sz w:val="21"/>
          <w:szCs w:val="21"/>
          <w:highlight w:val="none"/>
          <w:u w:val="single"/>
        </w:rPr>
        <w:t xml:space="preserve">                                                                </w:t>
      </w:r>
    </w:p>
    <w:p w14:paraId="26021FAD">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w:t>
      </w:r>
    </w:p>
    <w:p w14:paraId="1FD81C0D">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p>
    <w:p w14:paraId="40D6634F">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质疑函制作说明：</w:t>
      </w:r>
    </w:p>
    <w:p w14:paraId="01BF9A57">
      <w:pPr>
        <w:widowControl/>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1.供应商提出质疑时，应提交质疑函和必要的证明材料。</w:t>
      </w:r>
    </w:p>
    <w:p w14:paraId="0EBBD79D">
      <w:pPr>
        <w:widowControl/>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746A0CB6">
      <w:pPr>
        <w:widowControl/>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3.质疑供应商若对项目的某一分包进行质疑，质疑函中应列明具体分包号。</w:t>
      </w:r>
    </w:p>
    <w:p w14:paraId="5BCA6247">
      <w:pPr>
        <w:widowControl/>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4.质疑函的质疑事项应具体、明确，并有必要的事实依据和法律依据。</w:t>
      </w:r>
    </w:p>
    <w:p w14:paraId="7771BC30">
      <w:pPr>
        <w:widowControl/>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5.质疑函的质疑请求应与质疑事项相关。</w:t>
      </w:r>
    </w:p>
    <w:p w14:paraId="4638A674">
      <w:pPr>
        <w:widowControl/>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18B54890">
      <w:pPr>
        <w:tabs>
          <w:tab w:val="left" w:pos="900"/>
        </w:tabs>
        <w:spacing w:line="360" w:lineRule="auto"/>
        <w:ind w:firstLine="422" w:firstLineChars="200"/>
        <w:rPr>
          <w:rFonts w:hint="eastAsia" w:ascii="宋体" w:hAnsi="宋体" w:eastAsia="宋体" w:cs="宋体"/>
          <w:b/>
          <w:bCs/>
          <w:sz w:val="21"/>
          <w:szCs w:val="21"/>
        </w:rPr>
      </w:pPr>
    </w:p>
    <w:sectPr>
      <w:headerReference r:id="rId10" w:type="default"/>
      <w:footerReference r:id="rId11" w:type="default"/>
      <w:pgSz w:w="11906" w:h="16838"/>
      <w:pgMar w:top="1015" w:right="1196" w:bottom="868" w:left="1259" w:header="851" w:footer="907" w:gutter="0"/>
      <w:cols w:space="720" w:num="1"/>
      <w:titlePg/>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方正楷体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方正黑体_GBK">
    <w:altName w:val="微软雅黑"/>
    <w:panose1 w:val="00000000000000000000"/>
    <w:charset w:val="86"/>
    <w:family w:val="auto"/>
    <w:pitch w:val="default"/>
    <w:sig w:usb0="00000000" w:usb1="00000000" w:usb2="00082016" w:usb3="00000000" w:csb0="00040001" w:csb1="00000000"/>
  </w:font>
  <w:font w:name="Tahoma">
    <w:panose1 w:val="020B0604030504040204"/>
    <w:charset w:val="00"/>
    <w:family w:val="swiss"/>
    <w:pitch w:val="default"/>
    <w:sig w:usb0="E1002EFF" w:usb1="C000605B" w:usb2="00000029" w:usb3="00000000" w:csb0="200101FF" w:csb1="20280000"/>
  </w:font>
  <w:font w:name="方正姚体">
    <w:altName w:val="宋体"/>
    <w:panose1 w:val="02010601030101010101"/>
    <w:charset w:val="86"/>
    <w:family w:val="auto"/>
    <w:pitch w:val="default"/>
    <w:sig w:usb0="00000000" w:usb1="00000000" w:usb2="00000000" w:usb3="00000000" w:csb0="00040000" w:csb1="00000000"/>
  </w:font>
  <w:font w:name="方正小标宋_GBK">
    <w:altName w:val="微软雅黑"/>
    <w:panose1 w:val="00000000000000000000"/>
    <w:charset w:val="86"/>
    <w:family w:val="auto"/>
    <w:pitch w:val="default"/>
    <w:sig w:usb0="00000000" w:usb1="00000000" w:usb2="00082016" w:usb3="00000000" w:csb0="00040001" w:csb1="00000000"/>
  </w:font>
  <w:font w:name="文鼎中隶简">
    <w:altName w:val="宋体"/>
    <w:panose1 w:val="00000000000000000000"/>
    <w:charset w:val="86"/>
    <w:family w:val="auto"/>
    <w:pitch w:val="default"/>
    <w:sig w:usb0="00000000" w:usb1="00000000" w:usb2="00000010" w:usb3="00000000" w:csb0="00040000" w:csb1="00000000"/>
  </w:font>
  <w:font w:name="华康简楷">
    <w:altName w:val="宋体"/>
    <w:panose1 w:val="00000000000000000000"/>
    <w:charset w:val="86"/>
    <w:family w:val="auto"/>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文鼎CS楷体">
    <w:altName w:val="宋体"/>
    <w:panose1 w:val="00000000000000000000"/>
    <w:charset w:val="86"/>
    <w:family w:val="modern"/>
    <w:pitch w:val="default"/>
    <w:sig w:usb0="00000000" w:usb1="00000000" w:usb2="00000010" w:usb3="00000000" w:csb0="00040000"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F21A05E0">
    <w:panose1 w:val="020B0503020204020204"/>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59CB66">
    <w:pPr>
      <w:pStyle w:val="22"/>
      <w:tabs>
        <w:tab w:val="left" w:pos="765"/>
        <w:tab w:val="clear" w:pos="4153"/>
        <w:tab w:val="clear" w:pos="8306"/>
      </w:tabs>
      <w:ind w:firstLine="4620" w:firstLineChars="2200"/>
      <w:rPr>
        <w:rFonts w:ascii="仿宋_GB2312" w:eastAsia="仿宋_GB2312"/>
        <w:sz w:val="21"/>
        <w:szCs w:val="21"/>
      </w:rPr>
    </w:pPr>
    <w:r>
      <w:rPr>
        <w:rFonts w:ascii="仿宋_GB2312" w:eastAsia="仿宋_GB2312"/>
        <w:sz w:val="21"/>
        <w:szCs w:val="21"/>
      </w:rPr>
      <w:pict>
        <v:line id="直线 2" o:spid="_x0000_s2049" o:spt="20" style="position:absolute;left:0pt;margin-left:56.4pt;margin-top:266pt;height:0pt;width:738pt;z-index:251659264;mso-width-relative:page;mso-height-relative:page;" coordsize="21600,21600" o:gfxdata="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JD76mzWAAAADAEA&#10;AA8AAAAAAAAAAQAgAAAAIgAAAGRycy9kb3ducmV2LnhtbFBLAQIUABQAAAAIAIdO4kD6p6Ed4wEA&#10;AN0DAAAOAAAAAAAAAAEAIAAAACUBAABkcnMvZTJvRG9jLnhtbFBLBQYAAAAABgAGAFkBAAB6BQAA&#10;AAA=&#10;">
          <v:path arrowok="t"/>
          <v:fill focussize="0,0"/>
          <v:stroke/>
          <v:imagedata o:title=""/>
          <o:lock v:ext="edit"/>
        </v:line>
      </w:pict>
    </w:r>
    <w:r>
      <w:rPr>
        <w:rFonts w:ascii="仿宋_GB2312" w:eastAsia="仿宋_GB2312"/>
        <w:sz w:val="21"/>
        <w:szCs w:val="21"/>
      </w:rPr>
      <w:fldChar w:fldCharType="begin"/>
    </w:r>
    <w:r>
      <w:rPr>
        <w:rFonts w:ascii="仿宋_GB2312" w:eastAsia="仿宋_GB2312"/>
        <w:sz w:val="21"/>
        <w:szCs w:val="21"/>
      </w:rPr>
      <w:instrText xml:space="preserve"> PAGE   \* MERGEFORMAT </w:instrText>
    </w:r>
    <w:r>
      <w:rPr>
        <w:rFonts w:ascii="仿宋_GB2312" w:eastAsia="仿宋_GB2312"/>
        <w:sz w:val="21"/>
        <w:szCs w:val="21"/>
      </w:rPr>
      <w:fldChar w:fldCharType="separate"/>
    </w:r>
    <w:r>
      <w:rPr>
        <w:rFonts w:ascii="仿宋_GB2312" w:eastAsia="仿宋_GB2312"/>
        <w:sz w:val="21"/>
        <w:szCs w:val="21"/>
        <w:lang w:val="zh-CN"/>
      </w:rPr>
      <w:t>30</w:t>
    </w:r>
    <w:r>
      <w:rPr>
        <w:rFonts w:ascii="仿宋_GB2312" w:eastAsia="仿宋_GB2312"/>
        <w:sz w:val="21"/>
        <w:szCs w:val="2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D6276">
    <w:pPr>
      <w:pStyle w:val="22"/>
      <w:ind w:firstLine="4860" w:firstLineChars="2700"/>
    </w:pPr>
    <w:r>
      <w:fldChar w:fldCharType="begin"/>
    </w:r>
    <w:r>
      <w:instrText xml:space="preserve"> PAGE   \* MERGEFORMAT </w:instrText>
    </w:r>
    <w:r>
      <w:fldChar w:fldCharType="separate"/>
    </w:r>
    <w:r>
      <w:rPr>
        <w:lang w:val="zh-CN"/>
      </w:rPr>
      <w:t>29</w:t>
    </w:r>
    <w:r>
      <w:rPr>
        <w:lang w:val="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F2DAA">
    <w:pPr>
      <w:pStyle w:val="22"/>
      <w:ind w:firstLine="4860" w:firstLineChars="2700"/>
    </w:pPr>
    <w:r>
      <w:fldChar w:fldCharType="begin"/>
    </w:r>
    <w:r>
      <w:instrText xml:space="preserve"> PAGE   \* MERGEFORMAT </w:instrText>
    </w:r>
    <w:r>
      <w:fldChar w:fldCharType="separate"/>
    </w:r>
    <w:r>
      <w:rPr>
        <w:lang w:val="zh-CN"/>
      </w:rPr>
      <w:t>29</w:t>
    </w:r>
    <w:r>
      <w:rPr>
        <w:lang w:val="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E8A60">
    <w:pPr>
      <w:pStyle w:val="22"/>
      <w:framePr w:wrap="around" w:vAnchor="text" w:hAnchor="margin" w:xAlign="center" w:y="1"/>
      <w:rPr>
        <w:rStyle w:val="43"/>
      </w:rPr>
    </w:pPr>
    <w:r>
      <w:fldChar w:fldCharType="begin"/>
    </w:r>
    <w:r>
      <w:rPr>
        <w:rStyle w:val="43"/>
      </w:rPr>
      <w:instrText xml:space="preserve"> PAGE   \* MERGEFORMAT </w:instrText>
    </w:r>
    <w:r>
      <w:fldChar w:fldCharType="separate"/>
    </w:r>
    <w:r>
      <w:rPr>
        <w:rStyle w:val="43"/>
        <w:lang w:val="zh-CN"/>
      </w:rPr>
      <w:t>55</w:t>
    </w:r>
    <w:r>
      <w:fldChar w:fldCharType="end"/>
    </w:r>
  </w:p>
  <w:p w14:paraId="55AB7475">
    <w:pPr>
      <w:pStyle w:val="2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4F1C8">
    <w:pPr>
      <w:pStyle w:val="22"/>
      <w:framePr w:wrap="around" w:vAnchor="text" w:hAnchor="margin" w:xAlign="center" w:y="1"/>
      <w:rPr>
        <w:rStyle w:val="43"/>
      </w:rPr>
    </w:pPr>
    <w:r>
      <w:fldChar w:fldCharType="begin"/>
    </w:r>
    <w:r>
      <w:rPr>
        <w:rStyle w:val="43"/>
      </w:rPr>
      <w:instrText xml:space="preserve"> PAGE   \* MERGEFORMAT </w:instrText>
    </w:r>
    <w:r>
      <w:fldChar w:fldCharType="separate"/>
    </w:r>
    <w:r>
      <w:rPr>
        <w:rStyle w:val="43"/>
        <w:lang w:val="zh-CN"/>
      </w:rPr>
      <w:t>55</w:t>
    </w:r>
    <w:r>
      <w:fldChar w:fldCharType="end"/>
    </w:r>
  </w:p>
  <w:p w14:paraId="3B58D930">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2814F">
    <w:pPr>
      <w:pStyle w:val="23"/>
      <w:jc w:val="both"/>
    </w:pPr>
    <w:r>
      <w:rPr>
        <w:rFonts w:hint="eastAsia"/>
        <w:i/>
        <w:color w:val="000000"/>
        <w:lang w:eastAsia="zh-CN"/>
      </w:rPr>
      <w:t>连岛景区2026年度四季草花栽植工程</w:t>
    </w:r>
    <w:r>
      <w:rPr>
        <w:rFonts w:hint="eastAsia"/>
        <w:i/>
        <w:color w:val="000000"/>
      </w:rPr>
      <w:t>竞争性磋商采购文件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ECCC3">
    <w:pPr>
      <w:pStyle w:val="23"/>
      <w:jc w:val="both"/>
    </w:pPr>
    <w:r>
      <w:rPr>
        <w:rFonts w:hint="eastAsia"/>
        <w:i/>
        <w:color w:val="000000"/>
        <w:lang w:eastAsia="zh-CN"/>
      </w:rPr>
      <w:t>连岛景区2026年度四季草花栽植工程</w:t>
    </w:r>
    <w:r>
      <w:rPr>
        <w:rFonts w:hint="eastAsia"/>
        <w:i/>
        <w:color w:val="000000"/>
      </w:rPr>
      <w:t>竞争性磋商采购文件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8A146">
    <w:pPr>
      <w:pStyle w:val="23"/>
      <w:tabs>
        <w:tab w:val="left" w:pos="3480"/>
        <w:tab w:val="clear" w:pos="4153"/>
        <w:tab w:val="clear" w:pos="8306"/>
      </w:tabs>
      <w:jc w:val="left"/>
      <w:rPr>
        <w:i/>
        <w:color w:val="000000"/>
      </w:rPr>
    </w:pPr>
    <w:r>
      <w:rPr>
        <w:rFonts w:hint="eastAsia"/>
        <w:i/>
        <w:color w:val="000000"/>
        <w:lang w:eastAsia="zh-CN"/>
      </w:rPr>
      <w:t>东方国际商务中心局部空间改造工程</w:t>
    </w:r>
    <w:r>
      <w:rPr>
        <w:rFonts w:hint="eastAsia"/>
        <w:i/>
        <w:color w:val="000000"/>
      </w:rPr>
      <w:t xml:space="preserve">竞争性磋商采购文件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945AD">
    <w:pPr>
      <w:pStyle w:val="23"/>
      <w:tabs>
        <w:tab w:val="left" w:pos="3480"/>
        <w:tab w:val="clear" w:pos="4153"/>
        <w:tab w:val="clear" w:pos="8306"/>
      </w:tabs>
      <w:jc w:val="left"/>
      <w:rPr>
        <w:i/>
        <w:color w:val="000000"/>
      </w:rPr>
    </w:pPr>
    <w:r>
      <w:rPr>
        <w:rFonts w:hint="eastAsia"/>
        <w:i/>
        <w:color w:val="000000"/>
        <w:lang w:eastAsia="zh-CN"/>
      </w:rPr>
      <w:t>连岛景区2026年度四季草花栽植工程</w:t>
    </w:r>
    <w:r>
      <w:rPr>
        <w:rFonts w:hint="eastAsia"/>
        <w:i/>
        <w:color w:val="000000"/>
      </w:rPr>
      <w:t xml:space="preserve">竞争性磋商采购文件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0E6B3D"/>
    <w:multiLevelType w:val="singleLevel"/>
    <w:tmpl w:val="FF0E6B3D"/>
    <w:lvl w:ilvl="0" w:tentative="0">
      <w:start w:val="3"/>
      <w:numFmt w:val="chineseCounting"/>
      <w:suff w:val="nothing"/>
      <w:lvlText w:val="%1、"/>
      <w:lvlJc w:val="left"/>
      <w:rPr>
        <w:rFonts w:hint="eastAsia"/>
      </w:rPr>
    </w:lvl>
  </w:abstractNum>
  <w:abstractNum w:abstractNumId="1">
    <w:nsid w:val="5625750B"/>
    <w:multiLevelType w:val="singleLevel"/>
    <w:tmpl w:val="5625750B"/>
    <w:lvl w:ilvl="0" w:tentative="0">
      <w:start w:val="2"/>
      <w:numFmt w:val="chineseCounting"/>
      <w:suff w:val="space"/>
      <w:lvlText w:val="第%1章"/>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43"/>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Dg3ZGFjNjM3ZmM3ZGE2NDc3ZmJiYTUwYzUzZWY0NzMifQ=="/>
  </w:docVars>
  <w:rsids>
    <w:rsidRoot w:val="00172A27"/>
    <w:rsid w:val="000007BA"/>
    <w:rsid w:val="000007C6"/>
    <w:rsid w:val="00001A5B"/>
    <w:rsid w:val="0000225F"/>
    <w:rsid w:val="000025EC"/>
    <w:rsid w:val="00005831"/>
    <w:rsid w:val="00005C1F"/>
    <w:rsid w:val="00006841"/>
    <w:rsid w:val="00006B44"/>
    <w:rsid w:val="000077C7"/>
    <w:rsid w:val="00007A8C"/>
    <w:rsid w:val="00010E2C"/>
    <w:rsid w:val="000116E8"/>
    <w:rsid w:val="0001530F"/>
    <w:rsid w:val="000172C6"/>
    <w:rsid w:val="000260BF"/>
    <w:rsid w:val="000275BB"/>
    <w:rsid w:val="000310EF"/>
    <w:rsid w:val="0003195C"/>
    <w:rsid w:val="00031AE4"/>
    <w:rsid w:val="00034BA2"/>
    <w:rsid w:val="000358AE"/>
    <w:rsid w:val="000379C0"/>
    <w:rsid w:val="0004293D"/>
    <w:rsid w:val="00050189"/>
    <w:rsid w:val="00050363"/>
    <w:rsid w:val="00052631"/>
    <w:rsid w:val="00052988"/>
    <w:rsid w:val="00052EB4"/>
    <w:rsid w:val="000557F6"/>
    <w:rsid w:val="0005601C"/>
    <w:rsid w:val="000560D8"/>
    <w:rsid w:val="00056338"/>
    <w:rsid w:val="00056A9D"/>
    <w:rsid w:val="00056FFD"/>
    <w:rsid w:val="000570FD"/>
    <w:rsid w:val="00057338"/>
    <w:rsid w:val="00057A1E"/>
    <w:rsid w:val="00062F43"/>
    <w:rsid w:val="000640BB"/>
    <w:rsid w:val="000645FF"/>
    <w:rsid w:val="000677C1"/>
    <w:rsid w:val="0007084D"/>
    <w:rsid w:val="00073541"/>
    <w:rsid w:val="00073E88"/>
    <w:rsid w:val="00077318"/>
    <w:rsid w:val="00080C82"/>
    <w:rsid w:val="000818B7"/>
    <w:rsid w:val="000824C3"/>
    <w:rsid w:val="00082679"/>
    <w:rsid w:val="00082801"/>
    <w:rsid w:val="00084710"/>
    <w:rsid w:val="00086AA2"/>
    <w:rsid w:val="00091831"/>
    <w:rsid w:val="000924B3"/>
    <w:rsid w:val="000958A0"/>
    <w:rsid w:val="000961CD"/>
    <w:rsid w:val="000969AB"/>
    <w:rsid w:val="000A2702"/>
    <w:rsid w:val="000A2838"/>
    <w:rsid w:val="000A2D0A"/>
    <w:rsid w:val="000A337F"/>
    <w:rsid w:val="000A4004"/>
    <w:rsid w:val="000A5343"/>
    <w:rsid w:val="000B1509"/>
    <w:rsid w:val="000B1545"/>
    <w:rsid w:val="000B2B1F"/>
    <w:rsid w:val="000B3B54"/>
    <w:rsid w:val="000B69C5"/>
    <w:rsid w:val="000B69E9"/>
    <w:rsid w:val="000B7E35"/>
    <w:rsid w:val="000C418F"/>
    <w:rsid w:val="000C7352"/>
    <w:rsid w:val="000C7789"/>
    <w:rsid w:val="000D0AB7"/>
    <w:rsid w:val="000D1521"/>
    <w:rsid w:val="000D37BC"/>
    <w:rsid w:val="000D3D4B"/>
    <w:rsid w:val="000D5B32"/>
    <w:rsid w:val="000E0816"/>
    <w:rsid w:val="000E4714"/>
    <w:rsid w:val="000E6DCA"/>
    <w:rsid w:val="000E747C"/>
    <w:rsid w:val="000F0ED1"/>
    <w:rsid w:val="000F2800"/>
    <w:rsid w:val="000F3D31"/>
    <w:rsid w:val="000F3FAF"/>
    <w:rsid w:val="000F48AB"/>
    <w:rsid w:val="000F5A7D"/>
    <w:rsid w:val="000F5BE9"/>
    <w:rsid w:val="000F7DBE"/>
    <w:rsid w:val="0010465F"/>
    <w:rsid w:val="00106B1C"/>
    <w:rsid w:val="00107B83"/>
    <w:rsid w:val="00112472"/>
    <w:rsid w:val="00112C63"/>
    <w:rsid w:val="00113CED"/>
    <w:rsid w:val="00114ED9"/>
    <w:rsid w:val="0011559F"/>
    <w:rsid w:val="00116373"/>
    <w:rsid w:val="00117856"/>
    <w:rsid w:val="0011785C"/>
    <w:rsid w:val="0012220F"/>
    <w:rsid w:val="00125873"/>
    <w:rsid w:val="00127129"/>
    <w:rsid w:val="001306DF"/>
    <w:rsid w:val="00133532"/>
    <w:rsid w:val="001459C5"/>
    <w:rsid w:val="00146B07"/>
    <w:rsid w:val="001519B0"/>
    <w:rsid w:val="0015240F"/>
    <w:rsid w:val="001579F3"/>
    <w:rsid w:val="00157A05"/>
    <w:rsid w:val="00157CEE"/>
    <w:rsid w:val="00160C4D"/>
    <w:rsid w:val="00173A79"/>
    <w:rsid w:val="00174F70"/>
    <w:rsid w:val="0017759C"/>
    <w:rsid w:val="0017761B"/>
    <w:rsid w:val="00181CE0"/>
    <w:rsid w:val="001851E5"/>
    <w:rsid w:val="001857E2"/>
    <w:rsid w:val="001863B0"/>
    <w:rsid w:val="001878EA"/>
    <w:rsid w:val="001908FB"/>
    <w:rsid w:val="00191ADD"/>
    <w:rsid w:val="0019246F"/>
    <w:rsid w:val="00195AD4"/>
    <w:rsid w:val="00195C23"/>
    <w:rsid w:val="001A070D"/>
    <w:rsid w:val="001A274E"/>
    <w:rsid w:val="001A391A"/>
    <w:rsid w:val="001A48A4"/>
    <w:rsid w:val="001A4990"/>
    <w:rsid w:val="001A4D34"/>
    <w:rsid w:val="001A773D"/>
    <w:rsid w:val="001B1145"/>
    <w:rsid w:val="001B19A2"/>
    <w:rsid w:val="001B3B0E"/>
    <w:rsid w:val="001B5CCF"/>
    <w:rsid w:val="001C0411"/>
    <w:rsid w:val="001C04D6"/>
    <w:rsid w:val="001C0E7E"/>
    <w:rsid w:val="001C48C9"/>
    <w:rsid w:val="001C4B22"/>
    <w:rsid w:val="001C5F25"/>
    <w:rsid w:val="001C7EBA"/>
    <w:rsid w:val="001C7F7D"/>
    <w:rsid w:val="001D0B3F"/>
    <w:rsid w:val="001D0D08"/>
    <w:rsid w:val="001D126A"/>
    <w:rsid w:val="001D1FC9"/>
    <w:rsid w:val="001D4159"/>
    <w:rsid w:val="001D42FC"/>
    <w:rsid w:val="001D6D02"/>
    <w:rsid w:val="001E0628"/>
    <w:rsid w:val="001E1E6A"/>
    <w:rsid w:val="001E2D04"/>
    <w:rsid w:val="001E3B8A"/>
    <w:rsid w:val="001E3C49"/>
    <w:rsid w:val="001F14E1"/>
    <w:rsid w:val="001F170B"/>
    <w:rsid w:val="001F239B"/>
    <w:rsid w:val="001F3791"/>
    <w:rsid w:val="001F49CF"/>
    <w:rsid w:val="001F6589"/>
    <w:rsid w:val="00205FD0"/>
    <w:rsid w:val="00207261"/>
    <w:rsid w:val="00210028"/>
    <w:rsid w:val="00210439"/>
    <w:rsid w:val="00211CF1"/>
    <w:rsid w:val="0021393C"/>
    <w:rsid w:val="00213BC6"/>
    <w:rsid w:val="0021403F"/>
    <w:rsid w:val="002147B7"/>
    <w:rsid w:val="002172BB"/>
    <w:rsid w:val="00220AB1"/>
    <w:rsid w:val="0022127D"/>
    <w:rsid w:val="00222FF6"/>
    <w:rsid w:val="00223DDE"/>
    <w:rsid w:val="00230E0D"/>
    <w:rsid w:val="00231433"/>
    <w:rsid w:val="00232E05"/>
    <w:rsid w:val="00232FE4"/>
    <w:rsid w:val="0023451A"/>
    <w:rsid w:val="00234B8F"/>
    <w:rsid w:val="0024426B"/>
    <w:rsid w:val="00244B15"/>
    <w:rsid w:val="00245051"/>
    <w:rsid w:val="002479CB"/>
    <w:rsid w:val="00247D73"/>
    <w:rsid w:val="00252ECB"/>
    <w:rsid w:val="002539EB"/>
    <w:rsid w:val="002547C6"/>
    <w:rsid w:val="00256086"/>
    <w:rsid w:val="002566F6"/>
    <w:rsid w:val="00256A6D"/>
    <w:rsid w:val="00257B7D"/>
    <w:rsid w:val="00262699"/>
    <w:rsid w:val="00262761"/>
    <w:rsid w:val="002643FE"/>
    <w:rsid w:val="002676DF"/>
    <w:rsid w:val="00272784"/>
    <w:rsid w:val="0027446B"/>
    <w:rsid w:val="00274546"/>
    <w:rsid w:val="002748A5"/>
    <w:rsid w:val="002751BB"/>
    <w:rsid w:val="0027577A"/>
    <w:rsid w:val="00276434"/>
    <w:rsid w:val="002825E4"/>
    <w:rsid w:val="0028605B"/>
    <w:rsid w:val="002867D0"/>
    <w:rsid w:val="00291B6F"/>
    <w:rsid w:val="0029685D"/>
    <w:rsid w:val="002A0FC7"/>
    <w:rsid w:val="002A2F05"/>
    <w:rsid w:val="002A2F3B"/>
    <w:rsid w:val="002A3937"/>
    <w:rsid w:val="002A4751"/>
    <w:rsid w:val="002A4C07"/>
    <w:rsid w:val="002A62AA"/>
    <w:rsid w:val="002A7EF5"/>
    <w:rsid w:val="002B07DF"/>
    <w:rsid w:val="002B116D"/>
    <w:rsid w:val="002B3712"/>
    <w:rsid w:val="002B4F80"/>
    <w:rsid w:val="002B5402"/>
    <w:rsid w:val="002C1040"/>
    <w:rsid w:val="002C113A"/>
    <w:rsid w:val="002C265D"/>
    <w:rsid w:val="002C5F6B"/>
    <w:rsid w:val="002C6EDD"/>
    <w:rsid w:val="002C73E1"/>
    <w:rsid w:val="002D024F"/>
    <w:rsid w:val="002D1914"/>
    <w:rsid w:val="002D27FC"/>
    <w:rsid w:val="002D57A9"/>
    <w:rsid w:val="002D5D56"/>
    <w:rsid w:val="002D5E0C"/>
    <w:rsid w:val="002D6D91"/>
    <w:rsid w:val="002E13C7"/>
    <w:rsid w:val="002E2513"/>
    <w:rsid w:val="002E51B1"/>
    <w:rsid w:val="002E5B0C"/>
    <w:rsid w:val="002E60B9"/>
    <w:rsid w:val="002E6EDC"/>
    <w:rsid w:val="002E7EB3"/>
    <w:rsid w:val="002F23CB"/>
    <w:rsid w:val="002F32DC"/>
    <w:rsid w:val="002F5D80"/>
    <w:rsid w:val="002F6918"/>
    <w:rsid w:val="002F703D"/>
    <w:rsid w:val="0030152F"/>
    <w:rsid w:val="00301AD8"/>
    <w:rsid w:val="00302521"/>
    <w:rsid w:val="0030340D"/>
    <w:rsid w:val="00305987"/>
    <w:rsid w:val="00306EA6"/>
    <w:rsid w:val="003070D2"/>
    <w:rsid w:val="00310201"/>
    <w:rsid w:val="00311F96"/>
    <w:rsid w:val="003121CF"/>
    <w:rsid w:val="00316233"/>
    <w:rsid w:val="00316354"/>
    <w:rsid w:val="00316B3D"/>
    <w:rsid w:val="0031711E"/>
    <w:rsid w:val="00321D32"/>
    <w:rsid w:val="00322419"/>
    <w:rsid w:val="00322FFE"/>
    <w:rsid w:val="00323799"/>
    <w:rsid w:val="003242F0"/>
    <w:rsid w:val="00324425"/>
    <w:rsid w:val="00324B22"/>
    <w:rsid w:val="00324F32"/>
    <w:rsid w:val="003259D2"/>
    <w:rsid w:val="003262DB"/>
    <w:rsid w:val="003304B7"/>
    <w:rsid w:val="00330E04"/>
    <w:rsid w:val="0033210D"/>
    <w:rsid w:val="00333805"/>
    <w:rsid w:val="00335A8B"/>
    <w:rsid w:val="0034003D"/>
    <w:rsid w:val="00341FEE"/>
    <w:rsid w:val="0034241B"/>
    <w:rsid w:val="00342854"/>
    <w:rsid w:val="00342D6A"/>
    <w:rsid w:val="00345565"/>
    <w:rsid w:val="00345708"/>
    <w:rsid w:val="00345F29"/>
    <w:rsid w:val="0034686D"/>
    <w:rsid w:val="00352A63"/>
    <w:rsid w:val="00353295"/>
    <w:rsid w:val="00353828"/>
    <w:rsid w:val="003538ED"/>
    <w:rsid w:val="00354A20"/>
    <w:rsid w:val="00356381"/>
    <w:rsid w:val="0035675B"/>
    <w:rsid w:val="00357019"/>
    <w:rsid w:val="00360350"/>
    <w:rsid w:val="00361063"/>
    <w:rsid w:val="00363878"/>
    <w:rsid w:val="00363BAE"/>
    <w:rsid w:val="00363C35"/>
    <w:rsid w:val="00365135"/>
    <w:rsid w:val="003656A9"/>
    <w:rsid w:val="00367A1E"/>
    <w:rsid w:val="00371DA6"/>
    <w:rsid w:val="00373BF2"/>
    <w:rsid w:val="00373DEE"/>
    <w:rsid w:val="0037481E"/>
    <w:rsid w:val="00375A6E"/>
    <w:rsid w:val="0038258B"/>
    <w:rsid w:val="003846C1"/>
    <w:rsid w:val="00385A3E"/>
    <w:rsid w:val="003860C5"/>
    <w:rsid w:val="003865F5"/>
    <w:rsid w:val="00392CDE"/>
    <w:rsid w:val="00394D76"/>
    <w:rsid w:val="00394D8E"/>
    <w:rsid w:val="00396B48"/>
    <w:rsid w:val="00397180"/>
    <w:rsid w:val="003A1C07"/>
    <w:rsid w:val="003A1D0C"/>
    <w:rsid w:val="003A38FB"/>
    <w:rsid w:val="003A411D"/>
    <w:rsid w:val="003A45E1"/>
    <w:rsid w:val="003A4A14"/>
    <w:rsid w:val="003A5A50"/>
    <w:rsid w:val="003A5EAD"/>
    <w:rsid w:val="003A60AD"/>
    <w:rsid w:val="003A6297"/>
    <w:rsid w:val="003B009A"/>
    <w:rsid w:val="003B14FC"/>
    <w:rsid w:val="003B1DF0"/>
    <w:rsid w:val="003B4112"/>
    <w:rsid w:val="003B6108"/>
    <w:rsid w:val="003C35B3"/>
    <w:rsid w:val="003C4421"/>
    <w:rsid w:val="003C5C0A"/>
    <w:rsid w:val="003C60F2"/>
    <w:rsid w:val="003D4AF8"/>
    <w:rsid w:val="003D66B2"/>
    <w:rsid w:val="003D7083"/>
    <w:rsid w:val="003E0663"/>
    <w:rsid w:val="003E0C94"/>
    <w:rsid w:val="003E0E42"/>
    <w:rsid w:val="003E1B9D"/>
    <w:rsid w:val="003E22B9"/>
    <w:rsid w:val="003E25AC"/>
    <w:rsid w:val="003E365B"/>
    <w:rsid w:val="003E4D15"/>
    <w:rsid w:val="003E57A2"/>
    <w:rsid w:val="003E5D93"/>
    <w:rsid w:val="003E79E9"/>
    <w:rsid w:val="003E7F2E"/>
    <w:rsid w:val="003F30BE"/>
    <w:rsid w:val="003F3C83"/>
    <w:rsid w:val="003F552E"/>
    <w:rsid w:val="00400DB7"/>
    <w:rsid w:val="00400E8F"/>
    <w:rsid w:val="00401914"/>
    <w:rsid w:val="00401E7D"/>
    <w:rsid w:val="00403EB9"/>
    <w:rsid w:val="0040456B"/>
    <w:rsid w:val="00404E58"/>
    <w:rsid w:val="00406965"/>
    <w:rsid w:val="0040787E"/>
    <w:rsid w:val="004078E1"/>
    <w:rsid w:val="0040797E"/>
    <w:rsid w:val="00410833"/>
    <w:rsid w:val="00410E17"/>
    <w:rsid w:val="004112C7"/>
    <w:rsid w:val="00415C7F"/>
    <w:rsid w:val="00415FC8"/>
    <w:rsid w:val="004160EC"/>
    <w:rsid w:val="004175F9"/>
    <w:rsid w:val="00420426"/>
    <w:rsid w:val="004234CD"/>
    <w:rsid w:val="00423AF2"/>
    <w:rsid w:val="00425CA6"/>
    <w:rsid w:val="00426C41"/>
    <w:rsid w:val="00427E4E"/>
    <w:rsid w:val="00431747"/>
    <w:rsid w:val="00431A37"/>
    <w:rsid w:val="0043254A"/>
    <w:rsid w:val="00433230"/>
    <w:rsid w:val="00436FAD"/>
    <w:rsid w:val="00442288"/>
    <w:rsid w:val="00444085"/>
    <w:rsid w:val="00445FD3"/>
    <w:rsid w:val="0045406A"/>
    <w:rsid w:val="0045700F"/>
    <w:rsid w:val="00463CE7"/>
    <w:rsid w:val="00466212"/>
    <w:rsid w:val="00467799"/>
    <w:rsid w:val="00470EAB"/>
    <w:rsid w:val="00473286"/>
    <w:rsid w:val="004740E6"/>
    <w:rsid w:val="00474B3B"/>
    <w:rsid w:val="004772F0"/>
    <w:rsid w:val="00480239"/>
    <w:rsid w:val="00480500"/>
    <w:rsid w:val="004910AF"/>
    <w:rsid w:val="004911AE"/>
    <w:rsid w:val="00491E1D"/>
    <w:rsid w:val="0049413B"/>
    <w:rsid w:val="004966B8"/>
    <w:rsid w:val="00496F5D"/>
    <w:rsid w:val="004A04DE"/>
    <w:rsid w:val="004A4FC5"/>
    <w:rsid w:val="004A630A"/>
    <w:rsid w:val="004A7E93"/>
    <w:rsid w:val="004B28FD"/>
    <w:rsid w:val="004B3AFB"/>
    <w:rsid w:val="004B67AD"/>
    <w:rsid w:val="004B75D9"/>
    <w:rsid w:val="004B7F57"/>
    <w:rsid w:val="004C290D"/>
    <w:rsid w:val="004C339A"/>
    <w:rsid w:val="004C4E1D"/>
    <w:rsid w:val="004C5DB0"/>
    <w:rsid w:val="004C7FA1"/>
    <w:rsid w:val="004D01A3"/>
    <w:rsid w:val="004D0F42"/>
    <w:rsid w:val="004D26C8"/>
    <w:rsid w:val="004D3C80"/>
    <w:rsid w:val="004D4B30"/>
    <w:rsid w:val="004D58A5"/>
    <w:rsid w:val="004D6D71"/>
    <w:rsid w:val="004E25F4"/>
    <w:rsid w:val="004E2611"/>
    <w:rsid w:val="004E3D91"/>
    <w:rsid w:val="004E41AC"/>
    <w:rsid w:val="004E4494"/>
    <w:rsid w:val="004E4F61"/>
    <w:rsid w:val="004E77BE"/>
    <w:rsid w:val="004F0B77"/>
    <w:rsid w:val="004F1F72"/>
    <w:rsid w:val="004F492F"/>
    <w:rsid w:val="004F4933"/>
    <w:rsid w:val="004F5BCA"/>
    <w:rsid w:val="004F6749"/>
    <w:rsid w:val="004F7CA0"/>
    <w:rsid w:val="004F7DB4"/>
    <w:rsid w:val="005016F9"/>
    <w:rsid w:val="00502F87"/>
    <w:rsid w:val="00504E9F"/>
    <w:rsid w:val="00507DE1"/>
    <w:rsid w:val="005116DE"/>
    <w:rsid w:val="00512FBB"/>
    <w:rsid w:val="0051387A"/>
    <w:rsid w:val="00513C48"/>
    <w:rsid w:val="00517019"/>
    <w:rsid w:val="00517751"/>
    <w:rsid w:val="00521731"/>
    <w:rsid w:val="00521A8A"/>
    <w:rsid w:val="00523F94"/>
    <w:rsid w:val="00524867"/>
    <w:rsid w:val="005306FE"/>
    <w:rsid w:val="00530C45"/>
    <w:rsid w:val="00530DFA"/>
    <w:rsid w:val="00530F8C"/>
    <w:rsid w:val="0053200F"/>
    <w:rsid w:val="005376AB"/>
    <w:rsid w:val="00537A35"/>
    <w:rsid w:val="00545157"/>
    <w:rsid w:val="00545DE4"/>
    <w:rsid w:val="00546FC6"/>
    <w:rsid w:val="00551E96"/>
    <w:rsid w:val="00553DC2"/>
    <w:rsid w:val="00554513"/>
    <w:rsid w:val="005546D5"/>
    <w:rsid w:val="00554BA4"/>
    <w:rsid w:val="00557FB7"/>
    <w:rsid w:val="005603B1"/>
    <w:rsid w:val="00560F2B"/>
    <w:rsid w:val="00562266"/>
    <w:rsid w:val="00562F69"/>
    <w:rsid w:val="00565553"/>
    <w:rsid w:val="005678C9"/>
    <w:rsid w:val="005768A5"/>
    <w:rsid w:val="005770AF"/>
    <w:rsid w:val="005805AB"/>
    <w:rsid w:val="00580767"/>
    <w:rsid w:val="00583807"/>
    <w:rsid w:val="005847DA"/>
    <w:rsid w:val="005874B0"/>
    <w:rsid w:val="00587CEF"/>
    <w:rsid w:val="00592781"/>
    <w:rsid w:val="0059279B"/>
    <w:rsid w:val="005935CC"/>
    <w:rsid w:val="00597C9D"/>
    <w:rsid w:val="005A13A7"/>
    <w:rsid w:val="005A2683"/>
    <w:rsid w:val="005A2721"/>
    <w:rsid w:val="005A745E"/>
    <w:rsid w:val="005A749B"/>
    <w:rsid w:val="005A7C3C"/>
    <w:rsid w:val="005B1A59"/>
    <w:rsid w:val="005B1D07"/>
    <w:rsid w:val="005B29E7"/>
    <w:rsid w:val="005B4459"/>
    <w:rsid w:val="005B5667"/>
    <w:rsid w:val="005B5EC6"/>
    <w:rsid w:val="005B6839"/>
    <w:rsid w:val="005C016D"/>
    <w:rsid w:val="005C34FA"/>
    <w:rsid w:val="005C3C9D"/>
    <w:rsid w:val="005C4CB4"/>
    <w:rsid w:val="005D3EBB"/>
    <w:rsid w:val="005D5220"/>
    <w:rsid w:val="005E21ED"/>
    <w:rsid w:val="005E2D6C"/>
    <w:rsid w:val="005E3A2F"/>
    <w:rsid w:val="005E4204"/>
    <w:rsid w:val="005E4F00"/>
    <w:rsid w:val="005E506E"/>
    <w:rsid w:val="005E542D"/>
    <w:rsid w:val="005E5954"/>
    <w:rsid w:val="005E7CB7"/>
    <w:rsid w:val="005F1147"/>
    <w:rsid w:val="005F4606"/>
    <w:rsid w:val="005F595F"/>
    <w:rsid w:val="005F5E78"/>
    <w:rsid w:val="005F6F4A"/>
    <w:rsid w:val="005F78EC"/>
    <w:rsid w:val="00600E66"/>
    <w:rsid w:val="00601918"/>
    <w:rsid w:val="00601D0D"/>
    <w:rsid w:val="00601E3B"/>
    <w:rsid w:val="0060325D"/>
    <w:rsid w:val="006075EF"/>
    <w:rsid w:val="00607D84"/>
    <w:rsid w:val="00607E28"/>
    <w:rsid w:val="006111B6"/>
    <w:rsid w:val="0061499A"/>
    <w:rsid w:val="0062094F"/>
    <w:rsid w:val="006263A5"/>
    <w:rsid w:val="00631AC1"/>
    <w:rsid w:val="00632155"/>
    <w:rsid w:val="00632DF9"/>
    <w:rsid w:val="0063507F"/>
    <w:rsid w:val="006350BD"/>
    <w:rsid w:val="00635BCE"/>
    <w:rsid w:val="006361B3"/>
    <w:rsid w:val="00640833"/>
    <w:rsid w:val="00640BC7"/>
    <w:rsid w:val="00640C17"/>
    <w:rsid w:val="006411A6"/>
    <w:rsid w:val="006445D1"/>
    <w:rsid w:val="00647C9D"/>
    <w:rsid w:val="00647D5B"/>
    <w:rsid w:val="006516AD"/>
    <w:rsid w:val="0065244F"/>
    <w:rsid w:val="00653D1F"/>
    <w:rsid w:val="00653FEB"/>
    <w:rsid w:val="006544F1"/>
    <w:rsid w:val="00654D8B"/>
    <w:rsid w:val="00656722"/>
    <w:rsid w:val="00656AFA"/>
    <w:rsid w:val="00660336"/>
    <w:rsid w:val="00660E45"/>
    <w:rsid w:val="00660FC1"/>
    <w:rsid w:val="00666A45"/>
    <w:rsid w:val="00667511"/>
    <w:rsid w:val="006748BA"/>
    <w:rsid w:val="00674A82"/>
    <w:rsid w:val="00681BCB"/>
    <w:rsid w:val="006824D0"/>
    <w:rsid w:val="00682D2B"/>
    <w:rsid w:val="006830B0"/>
    <w:rsid w:val="0068539A"/>
    <w:rsid w:val="006868F6"/>
    <w:rsid w:val="00687650"/>
    <w:rsid w:val="00690C12"/>
    <w:rsid w:val="00691921"/>
    <w:rsid w:val="00691AF1"/>
    <w:rsid w:val="006926BF"/>
    <w:rsid w:val="00695161"/>
    <w:rsid w:val="0069522D"/>
    <w:rsid w:val="00695A5A"/>
    <w:rsid w:val="00696FDD"/>
    <w:rsid w:val="00697A70"/>
    <w:rsid w:val="006A301D"/>
    <w:rsid w:val="006A3479"/>
    <w:rsid w:val="006A3652"/>
    <w:rsid w:val="006A7B1C"/>
    <w:rsid w:val="006B5A95"/>
    <w:rsid w:val="006B6A89"/>
    <w:rsid w:val="006C034C"/>
    <w:rsid w:val="006C0412"/>
    <w:rsid w:val="006C08D8"/>
    <w:rsid w:val="006C0B0D"/>
    <w:rsid w:val="006C10E5"/>
    <w:rsid w:val="006C134D"/>
    <w:rsid w:val="006C146D"/>
    <w:rsid w:val="006C2B0C"/>
    <w:rsid w:val="006C5D9E"/>
    <w:rsid w:val="006D16E2"/>
    <w:rsid w:val="006D263C"/>
    <w:rsid w:val="006D2673"/>
    <w:rsid w:val="006D37CC"/>
    <w:rsid w:val="006D3BDF"/>
    <w:rsid w:val="006D3DA4"/>
    <w:rsid w:val="006D5095"/>
    <w:rsid w:val="006D51E8"/>
    <w:rsid w:val="006D77B2"/>
    <w:rsid w:val="006E152F"/>
    <w:rsid w:val="006E1642"/>
    <w:rsid w:val="006E267A"/>
    <w:rsid w:val="006E2A32"/>
    <w:rsid w:val="006E31F9"/>
    <w:rsid w:val="006E537B"/>
    <w:rsid w:val="006E6178"/>
    <w:rsid w:val="006E68D5"/>
    <w:rsid w:val="006E7739"/>
    <w:rsid w:val="006F1576"/>
    <w:rsid w:val="006F18DC"/>
    <w:rsid w:val="006F40B2"/>
    <w:rsid w:val="006F6DED"/>
    <w:rsid w:val="00700929"/>
    <w:rsid w:val="00700CB9"/>
    <w:rsid w:val="00701B9C"/>
    <w:rsid w:val="00702D46"/>
    <w:rsid w:val="00704596"/>
    <w:rsid w:val="00705114"/>
    <w:rsid w:val="0070658D"/>
    <w:rsid w:val="00706666"/>
    <w:rsid w:val="007071D1"/>
    <w:rsid w:val="00710A57"/>
    <w:rsid w:val="00711885"/>
    <w:rsid w:val="00711F60"/>
    <w:rsid w:val="007123F1"/>
    <w:rsid w:val="007131A6"/>
    <w:rsid w:val="00716C31"/>
    <w:rsid w:val="007249E4"/>
    <w:rsid w:val="00726E3B"/>
    <w:rsid w:val="0073255D"/>
    <w:rsid w:val="00732AAE"/>
    <w:rsid w:val="0073424D"/>
    <w:rsid w:val="0073473F"/>
    <w:rsid w:val="007348B0"/>
    <w:rsid w:val="00735E66"/>
    <w:rsid w:val="00741055"/>
    <w:rsid w:val="00743755"/>
    <w:rsid w:val="00743DC4"/>
    <w:rsid w:val="0074516C"/>
    <w:rsid w:val="0074519D"/>
    <w:rsid w:val="007458A9"/>
    <w:rsid w:val="00747D53"/>
    <w:rsid w:val="00750EA7"/>
    <w:rsid w:val="00751A23"/>
    <w:rsid w:val="007520E5"/>
    <w:rsid w:val="007527B7"/>
    <w:rsid w:val="00755D6A"/>
    <w:rsid w:val="00760304"/>
    <w:rsid w:val="00761960"/>
    <w:rsid w:val="0076372C"/>
    <w:rsid w:val="00766BC2"/>
    <w:rsid w:val="00771F0B"/>
    <w:rsid w:val="00773916"/>
    <w:rsid w:val="0078150D"/>
    <w:rsid w:val="007816BA"/>
    <w:rsid w:val="007819B3"/>
    <w:rsid w:val="00782CE0"/>
    <w:rsid w:val="007838FA"/>
    <w:rsid w:val="0078394B"/>
    <w:rsid w:val="007843D0"/>
    <w:rsid w:val="007845F8"/>
    <w:rsid w:val="00785EC3"/>
    <w:rsid w:val="00787062"/>
    <w:rsid w:val="00787953"/>
    <w:rsid w:val="00787CD4"/>
    <w:rsid w:val="0079416E"/>
    <w:rsid w:val="00794B6D"/>
    <w:rsid w:val="00796345"/>
    <w:rsid w:val="00796C4D"/>
    <w:rsid w:val="00796DD6"/>
    <w:rsid w:val="007A0781"/>
    <w:rsid w:val="007A22D4"/>
    <w:rsid w:val="007A3013"/>
    <w:rsid w:val="007A4420"/>
    <w:rsid w:val="007A5E65"/>
    <w:rsid w:val="007A7425"/>
    <w:rsid w:val="007B160C"/>
    <w:rsid w:val="007B4F80"/>
    <w:rsid w:val="007B6247"/>
    <w:rsid w:val="007C05EC"/>
    <w:rsid w:val="007C1279"/>
    <w:rsid w:val="007C5653"/>
    <w:rsid w:val="007C6717"/>
    <w:rsid w:val="007C7F53"/>
    <w:rsid w:val="007D3503"/>
    <w:rsid w:val="007D6510"/>
    <w:rsid w:val="007D7E8C"/>
    <w:rsid w:val="007E00FF"/>
    <w:rsid w:val="007E01D2"/>
    <w:rsid w:val="007E04BD"/>
    <w:rsid w:val="007E0FC3"/>
    <w:rsid w:val="007E1F0C"/>
    <w:rsid w:val="007E29FA"/>
    <w:rsid w:val="007E3EDC"/>
    <w:rsid w:val="007E455E"/>
    <w:rsid w:val="007E7DD3"/>
    <w:rsid w:val="007F0710"/>
    <w:rsid w:val="007F0CBB"/>
    <w:rsid w:val="007F1144"/>
    <w:rsid w:val="007F120B"/>
    <w:rsid w:val="007F1805"/>
    <w:rsid w:val="007F200E"/>
    <w:rsid w:val="007F56ED"/>
    <w:rsid w:val="007F72F6"/>
    <w:rsid w:val="00806BBA"/>
    <w:rsid w:val="00807AA4"/>
    <w:rsid w:val="00810999"/>
    <w:rsid w:val="0081132A"/>
    <w:rsid w:val="00813C16"/>
    <w:rsid w:val="008149D9"/>
    <w:rsid w:val="00816840"/>
    <w:rsid w:val="008201DA"/>
    <w:rsid w:val="008232B4"/>
    <w:rsid w:val="00833B5C"/>
    <w:rsid w:val="00833D3F"/>
    <w:rsid w:val="0083448E"/>
    <w:rsid w:val="00837001"/>
    <w:rsid w:val="008437B3"/>
    <w:rsid w:val="00843FA1"/>
    <w:rsid w:val="00846054"/>
    <w:rsid w:val="00846FE3"/>
    <w:rsid w:val="00850A53"/>
    <w:rsid w:val="00853590"/>
    <w:rsid w:val="00853DE2"/>
    <w:rsid w:val="00856E11"/>
    <w:rsid w:val="008574E8"/>
    <w:rsid w:val="008575D8"/>
    <w:rsid w:val="008602F0"/>
    <w:rsid w:val="008614BE"/>
    <w:rsid w:val="00861834"/>
    <w:rsid w:val="0086262A"/>
    <w:rsid w:val="00863396"/>
    <w:rsid w:val="00864F54"/>
    <w:rsid w:val="00866754"/>
    <w:rsid w:val="008711F2"/>
    <w:rsid w:val="00871401"/>
    <w:rsid w:val="00872BD5"/>
    <w:rsid w:val="008733A5"/>
    <w:rsid w:val="00876194"/>
    <w:rsid w:val="00880F02"/>
    <w:rsid w:val="00882462"/>
    <w:rsid w:val="00883968"/>
    <w:rsid w:val="00885271"/>
    <w:rsid w:val="00886494"/>
    <w:rsid w:val="00886F4D"/>
    <w:rsid w:val="00887F73"/>
    <w:rsid w:val="008908CD"/>
    <w:rsid w:val="008923A9"/>
    <w:rsid w:val="00896190"/>
    <w:rsid w:val="00896E31"/>
    <w:rsid w:val="008972C9"/>
    <w:rsid w:val="008A0287"/>
    <w:rsid w:val="008A1E9F"/>
    <w:rsid w:val="008A402D"/>
    <w:rsid w:val="008A6606"/>
    <w:rsid w:val="008A6EB3"/>
    <w:rsid w:val="008B320C"/>
    <w:rsid w:val="008B3CCA"/>
    <w:rsid w:val="008B5458"/>
    <w:rsid w:val="008B7726"/>
    <w:rsid w:val="008C25C8"/>
    <w:rsid w:val="008C3371"/>
    <w:rsid w:val="008C3BF3"/>
    <w:rsid w:val="008C6E29"/>
    <w:rsid w:val="008D0D5E"/>
    <w:rsid w:val="008D2290"/>
    <w:rsid w:val="008D306F"/>
    <w:rsid w:val="008D342F"/>
    <w:rsid w:val="008D3FB9"/>
    <w:rsid w:val="008D5495"/>
    <w:rsid w:val="008E3F23"/>
    <w:rsid w:val="008E40FE"/>
    <w:rsid w:val="008E5317"/>
    <w:rsid w:val="008E61A0"/>
    <w:rsid w:val="008E6836"/>
    <w:rsid w:val="008E71D9"/>
    <w:rsid w:val="008E7EF9"/>
    <w:rsid w:val="008F048D"/>
    <w:rsid w:val="0090087D"/>
    <w:rsid w:val="00900BD9"/>
    <w:rsid w:val="00900F19"/>
    <w:rsid w:val="00903019"/>
    <w:rsid w:val="00904195"/>
    <w:rsid w:val="00904BB9"/>
    <w:rsid w:val="009076DC"/>
    <w:rsid w:val="00907A2C"/>
    <w:rsid w:val="00912A89"/>
    <w:rsid w:val="0091544A"/>
    <w:rsid w:val="00920B4B"/>
    <w:rsid w:val="00922D89"/>
    <w:rsid w:val="0092304D"/>
    <w:rsid w:val="00923227"/>
    <w:rsid w:val="009236CF"/>
    <w:rsid w:val="00927812"/>
    <w:rsid w:val="00927D81"/>
    <w:rsid w:val="00930397"/>
    <w:rsid w:val="00931602"/>
    <w:rsid w:val="009327CC"/>
    <w:rsid w:val="00934BB5"/>
    <w:rsid w:val="00934DF8"/>
    <w:rsid w:val="00934E7D"/>
    <w:rsid w:val="0093609C"/>
    <w:rsid w:val="009363FD"/>
    <w:rsid w:val="00936E5E"/>
    <w:rsid w:val="009402BC"/>
    <w:rsid w:val="0094288D"/>
    <w:rsid w:val="00945206"/>
    <w:rsid w:val="00945D9F"/>
    <w:rsid w:val="0094656C"/>
    <w:rsid w:val="00946B4E"/>
    <w:rsid w:val="0095293D"/>
    <w:rsid w:val="00953FFF"/>
    <w:rsid w:val="00954A06"/>
    <w:rsid w:val="00954FA6"/>
    <w:rsid w:val="00956085"/>
    <w:rsid w:val="00961F3E"/>
    <w:rsid w:val="00963C95"/>
    <w:rsid w:val="00966B7E"/>
    <w:rsid w:val="00967126"/>
    <w:rsid w:val="009708AA"/>
    <w:rsid w:val="00971943"/>
    <w:rsid w:val="00972310"/>
    <w:rsid w:val="0097288F"/>
    <w:rsid w:val="009733E5"/>
    <w:rsid w:val="00973FA6"/>
    <w:rsid w:val="00976395"/>
    <w:rsid w:val="00976944"/>
    <w:rsid w:val="009770A0"/>
    <w:rsid w:val="00981E30"/>
    <w:rsid w:val="0098249A"/>
    <w:rsid w:val="0098337E"/>
    <w:rsid w:val="00983453"/>
    <w:rsid w:val="0098431F"/>
    <w:rsid w:val="00984B7E"/>
    <w:rsid w:val="00985815"/>
    <w:rsid w:val="00986F9A"/>
    <w:rsid w:val="00992C9E"/>
    <w:rsid w:val="009941D5"/>
    <w:rsid w:val="009958AF"/>
    <w:rsid w:val="00996189"/>
    <w:rsid w:val="009A0077"/>
    <w:rsid w:val="009A032F"/>
    <w:rsid w:val="009A04D9"/>
    <w:rsid w:val="009A062B"/>
    <w:rsid w:val="009A091F"/>
    <w:rsid w:val="009A18D5"/>
    <w:rsid w:val="009A519B"/>
    <w:rsid w:val="009A7309"/>
    <w:rsid w:val="009B047F"/>
    <w:rsid w:val="009B07E2"/>
    <w:rsid w:val="009B0997"/>
    <w:rsid w:val="009B156E"/>
    <w:rsid w:val="009B15C1"/>
    <w:rsid w:val="009B17F9"/>
    <w:rsid w:val="009B451F"/>
    <w:rsid w:val="009C07D3"/>
    <w:rsid w:val="009C1F86"/>
    <w:rsid w:val="009C5463"/>
    <w:rsid w:val="009C70B3"/>
    <w:rsid w:val="009D18AF"/>
    <w:rsid w:val="009D317B"/>
    <w:rsid w:val="009D5D3C"/>
    <w:rsid w:val="009D67A9"/>
    <w:rsid w:val="009E03C1"/>
    <w:rsid w:val="009E102B"/>
    <w:rsid w:val="009E25E1"/>
    <w:rsid w:val="009E7E13"/>
    <w:rsid w:val="009F4458"/>
    <w:rsid w:val="00A027BD"/>
    <w:rsid w:val="00A02F12"/>
    <w:rsid w:val="00A036E9"/>
    <w:rsid w:val="00A05AA6"/>
    <w:rsid w:val="00A0608C"/>
    <w:rsid w:val="00A06EB9"/>
    <w:rsid w:val="00A1016A"/>
    <w:rsid w:val="00A129A3"/>
    <w:rsid w:val="00A12BE6"/>
    <w:rsid w:val="00A158F4"/>
    <w:rsid w:val="00A165E5"/>
    <w:rsid w:val="00A16716"/>
    <w:rsid w:val="00A16E3C"/>
    <w:rsid w:val="00A1719D"/>
    <w:rsid w:val="00A2108D"/>
    <w:rsid w:val="00A21887"/>
    <w:rsid w:val="00A2439E"/>
    <w:rsid w:val="00A272A2"/>
    <w:rsid w:val="00A30DEF"/>
    <w:rsid w:val="00A337B0"/>
    <w:rsid w:val="00A33C18"/>
    <w:rsid w:val="00A3404D"/>
    <w:rsid w:val="00A34682"/>
    <w:rsid w:val="00A34BCD"/>
    <w:rsid w:val="00A36E8C"/>
    <w:rsid w:val="00A4075A"/>
    <w:rsid w:val="00A43CDC"/>
    <w:rsid w:val="00A44D8A"/>
    <w:rsid w:val="00A45386"/>
    <w:rsid w:val="00A5017B"/>
    <w:rsid w:val="00A52D30"/>
    <w:rsid w:val="00A538FF"/>
    <w:rsid w:val="00A56069"/>
    <w:rsid w:val="00A567F7"/>
    <w:rsid w:val="00A578FD"/>
    <w:rsid w:val="00A6248D"/>
    <w:rsid w:val="00A6777D"/>
    <w:rsid w:val="00A70499"/>
    <w:rsid w:val="00A7063A"/>
    <w:rsid w:val="00A70BA7"/>
    <w:rsid w:val="00A70CE6"/>
    <w:rsid w:val="00A71AE0"/>
    <w:rsid w:val="00A76E74"/>
    <w:rsid w:val="00A81AB0"/>
    <w:rsid w:val="00A827D7"/>
    <w:rsid w:val="00A84DE6"/>
    <w:rsid w:val="00A8751C"/>
    <w:rsid w:val="00A90C21"/>
    <w:rsid w:val="00A94606"/>
    <w:rsid w:val="00A95955"/>
    <w:rsid w:val="00A96164"/>
    <w:rsid w:val="00AA1412"/>
    <w:rsid w:val="00AA4B58"/>
    <w:rsid w:val="00AA5A42"/>
    <w:rsid w:val="00AA5B34"/>
    <w:rsid w:val="00AA7A7E"/>
    <w:rsid w:val="00AB05AF"/>
    <w:rsid w:val="00AB1830"/>
    <w:rsid w:val="00AB27E7"/>
    <w:rsid w:val="00AB2E97"/>
    <w:rsid w:val="00AB3F44"/>
    <w:rsid w:val="00AC1629"/>
    <w:rsid w:val="00AC238A"/>
    <w:rsid w:val="00AC54AF"/>
    <w:rsid w:val="00AC58EC"/>
    <w:rsid w:val="00AC5F1C"/>
    <w:rsid w:val="00AC6418"/>
    <w:rsid w:val="00AD18D0"/>
    <w:rsid w:val="00AD2424"/>
    <w:rsid w:val="00AD3EF3"/>
    <w:rsid w:val="00AD4DA7"/>
    <w:rsid w:val="00AD59F6"/>
    <w:rsid w:val="00AD7FD3"/>
    <w:rsid w:val="00AE00D6"/>
    <w:rsid w:val="00AE066E"/>
    <w:rsid w:val="00AE0C99"/>
    <w:rsid w:val="00AE1F54"/>
    <w:rsid w:val="00AE2A84"/>
    <w:rsid w:val="00AE3F9A"/>
    <w:rsid w:val="00AE5871"/>
    <w:rsid w:val="00AF132E"/>
    <w:rsid w:val="00AF329D"/>
    <w:rsid w:val="00AF64C4"/>
    <w:rsid w:val="00B012D4"/>
    <w:rsid w:val="00B02449"/>
    <w:rsid w:val="00B0287C"/>
    <w:rsid w:val="00B02A6A"/>
    <w:rsid w:val="00B03E73"/>
    <w:rsid w:val="00B04766"/>
    <w:rsid w:val="00B0680A"/>
    <w:rsid w:val="00B07D1F"/>
    <w:rsid w:val="00B07EFD"/>
    <w:rsid w:val="00B1041B"/>
    <w:rsid w:val="00B10548"/>
    <w:rsid w:val="00B1399C"/>
    <w:rsid w:val="00B149CA"/>
    <w:rsid w:val="00B14A93"/>
    <w:rsid w:val="00B1758F"/>
    <w:rsid w:val="00B24967"/>
    <w:rsid w:val="00B255F8"/>
    <w:rsid w:val="00B263ED"/>
    <w:rsid w:val="00B26529"/>
    <w:rsid w:val="00B30B8D"/>
    <w:rsid w:val="00B33E42"/>
    <w:rsid w:val="00B3484A"/>
    <w:rsid w:val="00B34E2E"/>
    <w:rsid w:val="00B34E9C"/>
    <w:rsid w:val="00B35563"/>
    <w:rsid w:val="00B359CD"/>
    <w:rsid w:val="00B36903"/>
    <w:rsid w:val="00B37A26"/>
    <w:rsid w:val="00B401A6"/>
    <w:rsid w:val="00B40F6B"/>
    <w:rsid w:val="00B4172E"/>
    <w:rsid w:val="00B433BE"/>
    <w:rsid w:val="00B45177"/>
    <w:rsid w:val="00B45B0C"/>
    <w:rsid w:val="00B5202D"/>
    <w:rsid w:val="00B5672B"/>
    <w:rsid w:val="00B56AE5"/>
    <w:rsid w:val="00B578BF"/>
    <w:rsid w:val="00B612B0"/>
    <w:rsid w:val="00B67EE3"/>
    <w:rsid w:val="00B704DC"/>
    <w:rsid w:val="00B71234"/>
    <w:rsid w:val="00B716D1"/>
    <w:rsid w:val="00B72922"/>
    <w:rsid w:val="00B75123"/>
    <w:rsid w:val="00B754BF"/>
    <w:rsid w:val="00B7551D"/>
    <w:rsid w:val="00B7582D"/>
    <w:rsid w:val="00B77B1F"/>
    <w:rsid w:val="00B80DAE"/>
    <w:rsid w:val="00B82506"/>
    <w:rsid w:val="00B832F6"/>
    <w:rsid w:val="00B8535A"/>
    <w:rsid w:val="00B85EB2"/>
    <w:rsid w:val="00B9474B"/>
    <w:rsid w:val="00B94BA2"/>
    <w:rsid w:val="00B958EA"/>
    <w:rsid w:val="00BA1FAE"/>
    <w:rsid w:val="00BA2CBA"/>
    <w:rsid w:val="00BA3040"/>
    <w:rsid w:val="00BA427E"/>
    <w:rsid w:val="00BA5FD5"/>
    <w:rsid w:val="00BB0409"/>
    <w:rsid w:val="00BB05BD"/>
    <w:rsid w:val="00BB2A5C"/>
    <w:rsid w:val="00BB62D2"/>
    <w:rsid w:val="00BC16D8"/>
    <w:rsid w:val="00BC232F"/>
    <w:rsid w:val="00BC5390"/>
    <w:rsid w:val="00BD1477"/>
    <w:rsid w:val="00BD1D70"/>
    <w:rsid w:val="00BD5D35"/>
    <w:rsid w:val="00BD62F3"/>
    <w:rsid w:val="00BD67BD"/>
    <w:rsid w:val="00BD70FA"/>
    <w:rsid w:val="00BE025F"/>
    <w:rsid w:val="00BE1060"/>
    <w:rsid w:val="00BE2BAA"/>
    <w:rsid w:val="00BE30DA"/>
    <w:rsid w:val="00BE3850"/>
    <w:rsid w:val="00BE42C4"/>
    <w:rsid w:val="00BE668A"/>
    <w:rsid w:val="00BF2545"/>
    <w:rsid w:val="00BF2564"/>
    <w:rsid w:val="00BF3EEF"/>
    <w:rsid w:val="00BF5100"/>
    <w:rsid w:val="00BF6706"/>
    <w:rsid w:val="00C02836"/>
    <w:rsid w:val="00C039BB"/>
    <w:rsid w:val="00C05B15"/>
    <w:rsid w:val="00C07302"/>
    <w:rsid w:val="00C14718"/>
    <w:rsid w:val="00C2573E"/>
    <w:rsid w:val="00C25A37"/>
    <w:rsid w:val="00C25C42"/>
    <w:rsid w:val="00C26726"/>
    <w:rsid w:val="00C26D6E"/>
    <w:rsid w:val="00C317E4"/>
    <w:rsid w:val="00C338E7"/>
    <w:rsid w:val="00C35A69"/>
    <w:rsid w:val="00C360AE"/>
    <w:rsid w:val="00C40420"/>
    <w:rsid w:val="00C52092"/>
    <w:rsid w:val="00C5314A"/>
    <w:rsid w:val="00C53A5B"/>
    <w:rsid w:val="00C5428E"/>
    <w:rsid w:val="00C57800"/>
    <w:rsid w:val="00C57FD5"/>
    <w:rsid w:val="00C60AEE"/>
    <w:rsid w:val="00C618E1"/>
    <w:rsid w:val="00C62C29"/>
    <w:rsid w:val="00C66D71"/>
    <w:rsid w:val="00C703E6"/>
    <w:rsid w:val="00C72643"/>
    <w:rsid w:val="00C76ECC"/>
    <w:rsid w:val="00C851D0"/>
    <w:rsid w:val="00C878E7"/>
    <w:rsid w:val="00C87CB2"/>
    <w:rsid w:val="00C91BE5"/>
    <w:rsid w:val="00C93C99"/>
    <w:rsid w:val="00C95339"/>
    <w:rsid w:val="00C967FE"/>
    <w:rsid w:val="00C971A7"/>
    <w:rsid w:val="00CA0E99"/>
    <w:rsid w:val="00CA0ED1"/>
    <w:rsid w:val="00CA1414"/>
    <w:rsid w:val="00CA1B7E"/>
    <w:rsid w:val="00CA263C"/>
    <w:rsid w:val="00CA28B1"/>
    <w:rsid w:val="00CA43B5"/>
    <w:rsid w:val="00CB251C"/>
    <w:rsid w:val="00CB3E5B"/>
    <w:rsid w:val="00CB4474"/>
    <w:rsid w:val="00CB618A"/>
    <w:rsid w:val="00CC38AF"/>
    <w:rsid w:val="00CC4390"/>
    <w:rsid w:val="00CC7D45"/>
    <w:rsid w:val="00CE2F4A"/>
    <w:rsid w:val="00CE33F2"/>
    <w:rsid w:val="00CE3DC9"/>
    <w:rsid w:val="00CE4BB2"/>
    <w:rsid w:val="00CE69EA"/>
    <w:rsid w:val="00CE7497"/>
    <w:rsid w:val="00CF13D7"/>
    <w:rsid w:val="00CF20FF"/>
    <w:rsid w:val="00CF3B50"/>
    <w:rsid w:val="00CF3F69"/>
    <w:rsid w:val="00CF4D1B"/>
    <w:rsid w:val="00CF5BB8"/>
    <w:rsid w:val="00D00E28"/>
    <w:rsid w:val="00D02C2B"/>
    <w:rsid w:val="00D0653D"/>
    <w:rsid w:val="00D07704"/>
    <w:rsid w:val="00D11FA4"/>
    <w:rsid w:val="00D11FBC"/>
    <w:rsid w:val="00D13FA9"/>
    <w:rsid w:val="00D14113"/>
    <w:rsid w:val="00D16D9E"/>
    <w:rsid w:val="00D179B9"/>
    <w:rsid w:val="00D21837"/>
    <w:rsid w:val="00D21FF3"/>
    <w:rsid w:val="00D23B85"/>
    <w:rsid w:val="00D24DAF"/>
    <w:rsid w:val="00D27343"/>
    <w:rsid w:val="00D317A2"/>
    <w:rsid w:val="00D339F2"/>
    <w:rsid w:val="00D34780"/>
    <w:rsid w:val="00D34AF9"/>
    <w:rsid w:val="00D34E9D"/>
    <w:rsid w:val="00D35F22"/>
    <w:rsid w:val="00D36E85"/>
    <w:rsid w:val="00D407CA"/>
    <w:rsid w:val="00D44666"/>
    <w:rsid w:val="00D47326"/>
    <w:rsid w:val="00D52C0A"/>
    <w:rsid w:val="00D5753C"/>
    <w:rsid w:val="00D57729"/>
    <w:rsid w:val="00D57989"/>
    <w:rsid w:val="00D66A94"/>
    <w:rsid w:val="00D7091C"/>
    <w:rsid w:val="00D72065"/>
    <w:rsid w:val="00D724FD"/>
    <w:rsid w:val="00D72D75"/>
    <w:rsid w:val="00D72E14"/>
    <w:rsid w:val="00D73EDA"/>
    <w:rsid w:val="00D75FDD"/>
    <w:rsid w:val="00D80612"/>
    <w:rsid w:val="00D87DEE"/>
    <w:rsid w:val="00D91583"/>
    <w:rsid w:val="00D91E88"/>
    <w:rsid w:val="00D92305"/>
    <w:rsid w:val="00D942E9"/>
    <w:rsid w:val="00D95C3D"/>
    <w:rsid w:val="00D971F1"/>
    <w:rsid w:val="00D97A2A"/>
    <w:rsid w:val="00DA14D6"/>
    <w:rsid w:val="00DA1545"/>
    <w:rsid w:val="00DA21A5"/>
    <w:rsid w:val="00DA3EFD"/>
    <w:rsid w:val="00DA42E6"/>
    <w:rsid w:val="00DA4534"/>
    <w:rsid w:val="00DB048B"/>
    <w:rsid w:val="00DB2B67"/>
    <w:rsid w:val="00DB3220"/>
    <w:rsid w:val="00DB5C1C"/>
    <w:rsid w:val="00DB5D09"/>
    <w:rsid w:val="00DB66BD"/>
    <w:rsid w:val="00DB686A"/>
    <w:rsid w:val="00DB7166"/>
    <w:rsid w:val="00DC496B"/>
    <w:rsid w:val="00DC679F"/>
    <w:rsid w:val="00DC7EE5"/>
    <w:rsid w:val="00DD0C11"/>
    <w:rsid w:val="00DD11DF"/>
    <w:rsid w:val="00DD1746"/>
    <w:rsid w:val="00DD3869"/>
    <w:rsid w:val="00DD416D"/>
    <w:rsid w:val="00DD652B"/>
    <w:rsid w:val="00DD6691"/>
    <w:rsid w:val="00DD795D"/>
    <w:rsid w:val="00DE08DA"/>
    <w:rsid w:val="00DE1420"/>
    <w:rsid w:val="00DE473C"/>
    <w:rsid w:val="00DE5214"/>
    <w:rsid w:val="00DE613E"/>
    <w:rsid w:val="00DF4E05"/>
    <w:rsid w:val="00DF6097"/>
    <w:rsid w:val="00E00504"/>
    <w:rsid w:val="00E02514"/>
    <w:rsid w:val="00E02795"/>
    <w:rsid w:val="00E047B1"/>
    <w:rsid w:val="00E07B2A"/>
    <w:rsid w:val="00E11EDD"/>
    <w:rsid w:val="00E13D1E"/>
    <w:rsid w:val="00E13D46"/>
    <w:rsid w:val="00E13DA0"/>
    <w:rsid w:val="00E14425"/>
    <w:rsid w:val="00E1769A"/>
    <w:rsid w:val="00E17D7F"/>
    <w:rsid w:val="00E225E3"/>
    <w:rsid w:val="00E22EB5"/>
    <w:rsid w:val="00E23B5B"/>
    <w:rsid w:val="00E24BA0"/>
    <w:rsid w:val="00E26A3A"/>
    <w:rsid w:val="00E26D69"/>
    <w:rsid w:val="00E300DD"/>
    <w:rsid w:val="00E357DF"/>
    <w:rsid w:val="00E37366"/>
    <w:rsid w:val="00E37958"/>
    <w:rsid w:val="00E421F8"/>
    <w:rsid w:val="00E42737"/>
    <w:rsid w:val="00E4310E"/>
    <w:rsid w:val="00E43C2F"/>
    <w:rsid w:val="00E44A8C"/>
    <w:rsid w:val="00E44E56"/>
    <w:rsid w:val="00E44F09"/>
    <w:rsid w:val="00E458AD"/>
    <w:rsid w:val="00E45A6F"/>
    <w:rsid w:val="00E47EB0"/>
    <w:rsid w:val="00E51162"/>
    <w:rsid w:val="00E5256D"/>
    <w:rsid w:val="00E529AE"/>
    <w:rsid w:val="00E53E4F"/>
    <w:rsid w:val="00E570C6"/>
    <w:rsid w:val="00E62182"/>
    <w:rsid w:val="00E62643"/>
    <w:rsid w:val="00E628D5"/>
    <w:rsid w:val="00E63332"/>
    <w:rsid w:val="00E63C6A"/>
    <w:rsid w:val="00E645F9"/>
    <w:rsid w:val="00E6471B"/>
    <w:rsid w:val="00E64899"/>
    <w:rsid w:val="00E658E2"/>
    <w:rsid w:val="00E70C07"/>
    <w:rsid w:val="00E8224A"/>
    <w:rsid w:val="00E82A93"/>
    <w:rsid w:val="00E90508"/>
    <w:rsid w:val="00E91050"/>
    <w:rsid w:val="00E9185B"/>
    <w:rsid w:val="00E91BB0"/>
    <w:rsid w:val="00E93B8C"/>
    <w:rsid w:val="00EA0224"/>
    <w:rsid w:val="00EA0714"/>
    <w:rsid w:val="00EA0D6D"/>
    <w:rsid w:val="00EA5557"/>
    <w:rsid w:val="00EA588C"/>
    <w:rsid w:val="00EA5B85"/>
    <w:rsid w:val="00EA7A35"/>
    <w:rsid w:val="00EB02AD"/>
    <w:rsid w:val="00EB117E"/>
    <w:rsid w:val="00EB2EE8"/>
    <w:rsid w:val="00EB4475"/>
    <w:rsid w:val="00EB49AF"/>
    <w:rsid w:val="00EB5865"/>
    <w:rsid w:val="00EC26C9"/>
    <w:rsid w:val="00EC3017"/>
    <w:rsid w:val="00EC3062"/>
    <w:rsid w:val="00EC6381"/>
    <w:rsid w:val="00EC6BF0"/>
    <w:rsid w:val="00EC6BF7"/>
    <w:rsid w:val="00EC6CCB"/>
    <w:rsid w:val="00ED1ECC"/>
    <w:rsid w:val="00ED2EF6"/>
    <w:rsid w:val="00ED3170"/>
    <w:rsid w:val="00ED3E58"/>
    <w:rsid w:val="00ED4B3E"/>
    <w:rsid w:val="00ED614C"/>
    <w:rsid w:val="00ED666B"/>
    <w:rsid w:val="00EE0CBF"/>
    <w:rsid w:val="00EE0CFF"/>
    <w:rsid w:val="00EE47AB"/>
    <w:rsid w:val="00EE4B7B"/>
    <w:rsid w:val="00EE655C"/>
    <w:rsid w:val="00EF26CF"/>
    <w:rsid w:val="00EF3753"/>
    <w:rsid w:val="00EF4371"/>
    <w:rsid w:val="00EF78C6"/>
    <w:rsid w:val="00EF7F0B"/>
    <w:rsid w:val="00F00C87"/>
    <w:rsid w:val="00F01846"/>
    <w:rsid w:val="00F01FBB"/>
    <w:rsid w:val="00F03AF5"/>
    <w:rsid w:val="00F03C28"/>
    <w:rsid w:val="00F03D27"/>
    <w:rsid w:val="00F061F9"/>
    <w:rsid w:val="00F06995"/>
    <w:rsid w:val="00F07E4E"/>
    <w:rsid w:val="00F102EA"/>
    <w:rsid w:val="00F11959"/>
    <w:rsid w:val="00F12768"/>
    <w:rsid w:val="00F1418D"/>
    <w:rsid w:val="00F1660B"/>
    <w:rsid w:val="00F16A49"/>
    <w:rsid w:val="00F17020"/>
    <w:rsid w:val="00F17AF0"/>
    <w:rsid w:val="00F2131A"/>
    <w:rsid w:val="00F221D1"/>
    <w:rsid w:val="00F24AF0"/>
    <w:rsid w:val="00F24E8B"/>
    <w:rsid w:val="00F264A6"/>
    <w:rsid w:val="00F265D1"/>
    <w:rsid w:val="00F26C6B"/>
    <w:rsid w:val="00F26F10"/>
    <w:rsid w:val="00F27C3E"/>
    <w:rsid w:val="00F3052C"/>
    <w:rsid w:val="00F35613"/>
    <w:rsid w:val="00F36A8D"/>
    <w:rsid w:val="00F370E4"/>
    <w:rsid w:val="00F405B3"/>
    <w:rsid w:val="00F4083D"/>
    <w:rsid w:val="00F41A50"/>
    <w:rsid w:val="00F42C5C"/>
    <w:rsid w:val="00F42ED1"/>
    <w:rsid w:val="00F44B05"/>
    <w:rsid w:val="00F53EDA"/>
    <w:rsid w:val="00F57000"/>
    <w:rsid w:val="00F57938"/>
    <w:rsid w:val="00F60CDA"/>
    <w:rsid w:val="00F637C5"/>
    <w:rsid w:val="00F64DB6"/>
    <w:rsid w:val="00F6658B"/>
    <w:rsid w:val="00F7114A"/>
    <w:rsid w:val="00F73457"/>
    <w:rsid w:val="00F743C2"/>
    <w:rsid w:val="00F75016"/>
    <w:rsid w:val="00F75C03"/>
    <w:rsid w:val="00F77D14"/>
    <w:rsid w:val="00F809AD"/>
    <w:rsid w:val="00F81051"/>
    <w:rsid w:val="00F907A9"/>
    <w:rsid w:val="00F913BE"/>
    <w:rsid w:val="00F9327F"/>
    <w:rsid w:val="00F9533D"/>
    <w:rsid w:val="00FA3BEC"/>
    <w:rsid w:val="00FA3CD8"/>
    <w:rsid w:val="00FA40DA"/>
    <w:rsid w:val="00FA43C2"/>
    <w:rsid w:val="00FA5722"/>
    <w:rsid w:val="00FA5757"/>
    <w:rsid w:val="00FA5998"/>
    <w:rsid w:val="00FA5B68"/>
    <w:rsid w:val="00FB0269"/>
    <w:rsid w:val="00FB02AD"/>
    <w:rsid w:val="00FB05A0"/>
    <w:rsid w:val="00FB1DAC"/>
    <w:rsid w:val="00FB59AF"/>
    <w:rsid w:val="00FB5E88"/>
    <w:rsid w:val="00FB6F8A"/>
    <w:rsid w:val="00FC07C4"/>
    <w:rsid w:val="00FC573B"/>
    <w:rsid w:val="00FD1A97"/>
    <w:rsid w:val="00FD1F13"/>
    <w:rsid w:val="00FD2FFE"/>
    <w:rsid w:val="00FD3A46"/>
    <w:rsid w:val="00FD4E75"/>
    <w:rsid w:val="00FD58F1"/>
    <w:rsid w:val="00FD6909"/>
    <w:rsid w:val="00FD7657"/>
    <w:rsid w:val="00FE1847"/>
    <w:rsid w:val="00FF02A0"/>
    <w:rsid w:val="00FF3B9C"/>
    <w:rsid w:val="00FF6635"/>
    <w:rsid w:val="00FF7F41"/>
    <w:rsid w:val="01271F46"/>
    <w:rsid w:val="015772A4"/>
    <w:rsid w:val="01916C5A"/>
    <w:rsid w:val="01942DD7"/>
    <w:rsid w:val="019701D8"/>
    <w:rsid w:val="024D6A20"/>
    <w:rsid w:val="029A6920"/>
    <w:rsid w:val="02D65EAE"/>
    <w:rsid w:val="02E848C3"/>
    <w:rsid w:val="02EE603F"/>
    <w:rsid w:val="02FA6EC4"/>
    <w:rsid w:val="03080A49"/>
    <w:rsid w:val="032E3089"/>
    <w:rsid w:val="034C5E2C"/>
    <w:rsid w:val="03597303"/>
    <w:rsid w:val="03811B7B"/>
    <w:rsid w:val="038A4A61"/>
    <w:rsid w:val="03C373E4"/>
    <w:rsid w:val="03EC0CDF"/>
    <w:rsid w:val="04202801"/>
    <w:rsid w:val="042C0EBC"/>
    <w:rsid w:val="04803853"/>
    <w:rsid w:val="05462974"/>
    <w:rsid w:val="05575181"/>
    <w:rsid w:val="058344E3"/>
    <w:rsid w:val="05A239CB"/>
    <w:rsid w:val="05B46C62"/>
    <w:rsid w:val="05C130D2"/>
    <w:rsid w:val="05C903AD"/>
    <w:rsid w:val="06073EAB"/>
    <w:rsid w:val="0623161F"/>
    <w:rsid w:val="067D77AC"/>
    <w:rsid w:val="06990453"/>
    <w:rsid w:val="071A4272"/>
    <w:rsid w:val="075524D7"/>
    <w:rsid w:val="07B36FBA"/>
    <w:rsid w:val="07B726B7"/>
    <w:rsid w:val="07EA7A2E"/>
    <w:rsid w:val="087765B4"/>
    <w:rsid w:val="08D253F6"/>
    <w:rsid w:val="090743B8"/>
    <w:rsid w:val="0926237D"/>
    <w:rsid w:val="09774316"/>
    <w:rsid w:val="097E5D15"/>
    <w:rsid w:val="0A026FCF"/>
    <w:rsid w:val="0A2C31B1"/>
    <w:rsid w:val="0A39788C"/>
    <w:rsid w:val="0A892BC4"/>
    <w:rsid w:val="0A9031F9"/>
    <w:rsid w:val="0AE67A0C"/>
    <w:rsid w:val="0B231B0C"/>
    <w:rsid w:val="0B407B4F"/>
    <w:rsid w:val="0B4740F8"/>
    <w:rsid w:val="0BC03F12"/>
    <w:rsid w:val="0BE40273"/>
    <w:rsid w:val="0C014A6A"/>
    <w:rsid w:val="0C112E71"/>
    <w:rsid w:val="0C494A11"/>
    <w:rsid w:val="0C503850"/>
    <w:rsid w:val="0C526556"/>
    <w:rsid w:val="0C856912"/>
    <w:rsid w:val="0CA55EF6"/>
    <w:rsid w:val="0CCE7461"/>
    <w:rsid w:val="0CCF2B82"/>
    <w:rsid w:val="0CF337F0"/>
    <w:rsid w:val="0D194671"/>
    <w:rsid w:val="0D236A4E"/>
    <w:rsid w:val="0D480B91"/>
    <w:rsid w:val="0D51339D"/>
    <w:rsid w:val="0D7E63D9"/>
    <w:rsid w:val="0DF244A3"/>
    <w:rsid w:val="0DFF43C1"/>
    <w:rsid w:val="0E25221C"/>
    <w:rsid w:val="0E2B2F51"/>
    <w:rsid w:val="0E4A2F48"/>
    <w:rsid w:val="0E88236F"/>
    <w:rsid w:val="0EB352AA"/>
    <w:rsid w:val="0ED43C2A"/>
    <w:rsid w:val="0EEC75A7"/>
    <w:rsid w:val="0F117F1B"/>
    <w:rsid w:val="0F6615AF"/>
    <w:rsid w:val="0FB278B5"/>
    <w:rsid w:val="0FB90327"/>
    <w:rsid w:val="10390BE8"/>
    <w:rsid w:val="108F3FC5"/>
    <w:rsid w:val="10E56B33"/>
    <w:rsid w:val="11240831"/>
    <w:rsid w:val="116B5134"/>
    <w:rsid w:val="11CE5360"/>
    <w:rsid w:val="11F66DBA"/>
    <w:rsid w:val="12353416"/>
    <w:rsid w:val="123C5163"/>
    <w:rsid w:val="125F245C"/>
    <w:rsid w:val="12C64A60"/>
    <w:rsid w:val="12E77CCB"/>
    <w:rsid w:val="13103BAF"/>
    <w:rsid w:val="1328043C"/>
    <w:rsid w:val="132B1FAC"/>
    <w:rsid w:val="134476B8"/>
    <w:rsid w:val="136954FD"/>
    <w:rsid w:val="139C1AD0"/>
    <w:rsid w:val="13D958E4"/>
    <w:rsid w:val="13DF5787"/>
    <w:rsid w:val="13F866C4"/>
    <w:rsid w:val="140831D1"/>
    <w:rsid w:val="14395872"/>
    <w:rsid w:val="148C2E4A"/>
    <w:rsid w:val="14DF0399"/>
    <w:rsid w:val="14ED1FA1"/>
    <w:rsid w:val="15837554"/>
    <w:rsid w:val="15926D7B"/>
    <w:rsid w:val="15C40802"/>
    <w:rsid w:val="15FA0F88"/>
    <w:rsid w:val="16357BC4"/>
    <w:rsid w:val="164B6EF9"/>
    <w:rsid w:val="16712444"/>
    <w:rsid w:val="16C84C8C"/>
    <w:rsid w:val="171245B8"/>
    <w:rsid w:val="171D206E"/>
    <w:rsid w:val="17244A52"/>
    <w:rsid w:val="175568BA"/>
    <w:rsid w:val="17A7513E"/>
    <w:rsid w:val="180D7DDE"/>
    <w:rsid w:val="184B5309"/>
    <w:rsid w:val="18570060"/>
    <w:rsid w:val="185F7CF5"/>
    <w:rsid w:val="18644398"/>
    <w:rsid w:val="18FE5FED"/>
    <w:rsid w:val="19051B3A"/>
    <w:rsid w:val="190B5FA8"/>
    <w:rsid w:val="1928473E"/>
    <w:rsid w:val="19556DA3"/>
    <w:rsid w:val="19716EE5"/>
    <w:rsid w:val="198A6011"/>
    <w:rsid w:val="19FD0B50"/>
    <w:rsid w:val="1A023DF9"/>
    <w:rsid w:val="1A4B1F2C"/>
    <w:rsid w:val="1A4C2B4C"/>
    <w:rsid w:val="1AEC3E58"/>
    <w:rsid w:val="1AF17A83"/>
    <w:rsid w:val="1AF469FB"/>
    <w:rsid w:val="1B527687"/>
    <w:rsid w:val="1B647151"/>
    <w:rsid w:val="1BA7383F"/>
    <w:rsid w:val="1BC1698D"/>
    <w:rsid w:val="1C030804"/>
    <w:rsid w:val="1C684514"/>
    <w:rsid w:val="1C69015F"/>
    <w:rsid w:val="1CA1448E"/>
    <w:rsid w:val="1CAB20FF"/>
    <w:rsid w:val="1CBE465C"/>
    <w:rsid w:val="1CEC08A4"/>
    <w:rsid w:val="1D03072B"/>
    <w:rsid w:val="1D0D1826"/>
    <w:rsid w:val="1D4A1746"/>
    <w:rsid w:val="1D635EB6"/>
    <w:rsid w:val="1E1504FB"/>
    <w:rsid w:val="1E6A6411"/>
    <w:rsid w:val="1E6D005C"/>
    <w:rsid w:val="1E716D69"/>
    <w:rsid w:val="1E982F7E"/>
    <w:rsid w:val="1EBA51AE"/>
    <w:rsid w:val="1F29007A"/>
    <w:rsid w:val="1F4A7DF5"/>
    <w:rsid w:val="1F8641DE"/>
    <w:rsid w:val="2046395C"/>
    <w:rsid w:val="21284FCD"/>
    <w:rsid w:val="215979B4"/>
    <w:rsid w:val="21665A8E"/>
    <w:rsid w:val="21F52495"/>
    <w:rsid w:val="21F70FE7"/>
    <w:rsid w:val="22096FF0"/>
    <w:rsid w:val="221072CF"/>
    <w:rsid w:val="224B705D"/>
    <w:rsid w:val="224D22D1"/>
    <w:rsid w:val="227C6712"/>
    <w:rsid w:val="22AD712F"/>
    <w:rsid w:val="234622A7"/>
    <w:rsid w:val="23540871"/>
    <w:rsid w:val="23616034"/>
    <w:rsid w:val="239C2372"/>
    <w:rsid w:val="23DD3049"/>
    <w:rsid w:val="23F50F0A"/>
    <w:rsid w:val="240676D1"/>
    <w:rsid w:val="24701D9C"/>
    <w:rsid w:val="24AB7517"/>
    <w:rsid w:val="251564BB"/>
    <w:rsid w:val="254A78C3"/>
    <w:rsid w:val="254E7C06"/>
    <w:rsid w:val="2555734A"/>
    <w:rsid w:val="259865D7"/>
    <w:rsid w:val="259B5DDB"/>
    <w:rsid w:val="25BA4104"/>
    <w:rsid w:val="262E6C26"/>
    <w:rsid w:val="263923AE"/>
    <w:rsid w:val="268E6E78"/>
    <w:rsid w:val="269D2467"/>
    <w:rsid w:val="269F48CD"/>
    <w:rsid w:val="26DD5EB5"/>
    <w:rsid w:val="275B0FEC"/>
    <w:rsid w:val="276F1B63"/>
    <w:rsid w:val="278328C5"/>
    <w:rsid w:val="27865040"/>
    <w:rsid w:val="27D0206E"/>
    <w:rsid w:val="27DD5EA5"/>
    <w:rsid w:val="27F96198"/>
    <w:rsid w:val="281034C6"/>
    <w:rsid w:val="283E7A1B"/>
    <w:rsid w:val="28467405"/>
    <w:rsid w:val="2883443F"/>
    <w:rsid w:val="289037C0"/>
    <w:rsid w:val="28A349F9"/>
    <w:rsid w:val="28D04AB1"/>
    <w:rsid w:val="297404A1"/>
    <w:rsid w:val="297B6EB6"/>
    <w:rsid w:val="29E3584A"/>
    <w:rsid w:val="29E60534"/>
    <w:rsid w:val="29E80B6F"/>
    <w:rsid w:val="29EE4454"/>
    <w:rsid w:val="2A4116CC"/>
    <w:rsid w:val="2A6A2E71"/>
    <w:rsid w:val="2AD90BA6"/>
    <w:rsid w:val="2AFA196B"/>
    <w:rsid w:val="2AFF2A63"/>
    <w:rsid w:val="2B3C58C8"/>
    <w:rsid w:val="2B5B3D1A"/>
    <w:rsid w:val="2B6479CC"/>
    <w:rsid w:val="2BC25ADE"/>
    <w:rsid w:val="2C3C43E6"/>
    <w:rsid w:val="2C960766"/>
    <w:rsid w:val="2CD06059"/>
    <w:rsid w:val="2CEE1E2B"/>
    <w:rsid w:val="2CEF3328"/>
    <w:rsid w:val="2D07151B"/>
    <w:rsid w:val="2D6E6EB4"/>
    <w:rsid w:val="2D722E7E"/>
    <w:rsid w:val="2D866BA6"/>
    <w:rsid w:val="2D8E11A4"/>
    <w:rsid w:val="2D9D48C3"/>
    <w:rsid w:val="2DC61B3E"/>
    <w:rsid w:val="2DE23EA0"/>
    <w:rsid w:val="2DED6716"/>
    <w:rsid w:val="2DF42A88"/>
    <w:rsid w:val="2DFD6972"/>
    <w:rsid w:val="2E822A7D"/>
    <w:rsid w:val="2E9D41C3"/>
    <w:rsid w:val="2E9E2DE3"/>
    <w:rsid w:val="2EAE5EA6"/>
    <w:rsid w:val="2ECA7CA7"/>
    <w:rsid w:val="2F2D6A9A"/>
    <w:rsid w:val="2F5514EF"/>
    <w:rsid w:val="2FBA3C78"/>
    <w:rsid w:val="2FE14345"/>
    <w:rsid w:val="30316D8E"/>
    <w:rsid w:val="305E0CE9"/>
    <w:rsid w:val="31017054"/>
    <w:rsid w:val="316311C9"/>
    <w:rsid w:val="318462FA"/>
    <w:rsid w:val="32163870"/>
    <w:rsid w:val="327C68E9"/>
    <w:rsid w:val="329A50BF"/>
    <w:rsid w:val="32E9520F"/>
    <w:rsid w:val="32ED6040"/>
    <w:rsid w:val="32F12805"/>
    <w:rsid w:val="32F41FC1"/>
    <w:rsid w:val="3309396F"/>
    <w:rsid w:val="331502B3"/>
    <w:rsid w:val="335B4AC1"/>
    <w:rsid w:val="339F3A58"/>
    <w:rsid w:val="33D952BF"/>
    <w:rsid w:val="34081DAD"/>
    <w:rsid w:val="34187807"/>
    <w:rsid w:val="347A6B6D"/>
    <w:rsid w:val="34B67E0F"/>
    <w:rsid w:val="34BB1BF9"/>
    <w:rsid w:val="34CB54FB"/>
    <w:rsid w:val="34D72AEE"/>
    <w:rsid w:val="34F8118F"/>
    <w:rsid w:val="357A2170"/>
    <w:rsid w:val="359B545E"/>
    <w:rsid w:val="360F3492"/>
    <w:rsid w:val="361C50AD"/>
    <w:rsid w:val="36657B44"/>
    <w:rsid w:val="36AF75CF"/>
    <w:rsid w:val="37367367"/>
    <w:rsid w:val="373921AD"/>
    <w:rsid w:val="375332C3"/>
    <w:rsid w:val="379C4839"/>
    <w:rsid w:val="37BF75A5"/>
    <w:rsid w:val="37D01583"/>
    <w:rsid w:val="37D33594"/>
    <w:rsid w:val="38DF064B"/>
    <w:rsid w:val="38FB618B"/>
    <w:rsid w:val="38FF0415"/>
    <w:rsid w:val="39311A0E"/>
    <w:rsid w:val="39676A96"/>
    <w:rsid w:val="396A6A8E"/>
    <w:rsid w:val="397E5FE3"/>
    <w:rsid w:val="3996158D"/>
    <w:rsid w:val="399C77EC"/>
    <w:rsid w:val="39D6717A"/>
    <w:rsid w:val="39EE17A0"/>
    <w:rsid w:val="3A2D03B0"/>
    <w:rsid w:val="3A455DDC"/>
    <w:rsid w:val="3ABE0FC6"/>
    <w:rsid w:val="3B133CC4"/>
    <w:rsid w:val="3B1817ED"/>
    <w:rsid w:val="3B336FEF"/>
    <w:rsid w:val="3B382771"/>
    <w:rsid w:val="3B673FAC"/>
    <w:rsid w:val="3B6C3370"/>
    <w:rsid w:val="3B787F67"/>
    <w:rsid w:val="3BC24AFE"/>
    <w:rsid w:val="3BFD1858"/>
    <w:rsid w:val="3C3C7690"/>
    <w:rsid w:val="3C7A30CE"/>
    <w:rsid w:val="3CB72EFA"/>
    <w:rsid w:val="3CF3158B"/>
    <w:rsid w:val="3CF80BE6"/>
    <w:rsid w:val="3DC17781"/>
    <w:rsid w:val="3DD2280D"/>
    <w:rsid w:val="3DDC2A2F"/>
    <w:rsid w:val="3DE325E9"/>
    <w:rsid w:val="3DF151BC"/>
    <w:rsid w:val="3E076341"/>
    <w:rsid w:val="3E1621ED"/>
    <w:rsid w:val="3E874DB6"/>
    <w:rsid w:val="3EAD2E5C"/>
    <w:rsid w:val="3EB05C6A"/>
    <w:rsid w:val="3EBD133C"/>
    <w:rsid w:val="3F131056"/>
    <w:rsid w:val="3F44160A"/>
    <w:rsid w:val="3F4966EB"/>
    <w:rsid w:val="3FAC6431"/>
    <w:rsid w:val="3FCB4DD3"/>
    <w:rsid w:val="3FCE4C00"/>
    <w:rsid w:val="3FE376DC"/>
    <w:rsid w:val="401B7113"/>
    <w:rsid w:val="402439B1"/>
    <w:rsid w:val="403027DE"/>
    <w:rsid w:val="405314A4"/>
    <w:rsid w:val="40BE466E"/>
    <w:rsid w:val="40FB76FB"/>
    <w:rsid w:val="410B487E"/>
    <w:rsid w:val="413D6362"/>
    <w:rsid w:val="414D77A0"/>
    <w:rsid w:val="418F4275"/>
    <w:rsid w:val="41AF6D33"/>
    <w:rsid w:val="4289675F"/>
    <w:rsid w:val="42AD0C60"/>
    <w:rsid w:val="42AF0932"/>
    <w:rsid w:val="42C27FA2"/>
    <w:rsid w:val="42CB3072"/>
    <w:rsid w:val="432F7C60"/>
    <w:rsid w:val="435A070C"/>
    <w:rsid w:val="439E0787"/>
    <w:rsid w:val="43CD6867"/>
    <w:rsid w:val="441442EA"/>
    <w:rsid w:val="441A2D83"/>
    <w:rsid w:val="442A4E5C"/>
    <w:rsid w:val="445F2C3F"/>
    <w:rsid w:val="44625310"/>
    <w:rsid w:val="44667BF7"/>
    <w:rsid w:val="447540CD"/>
    <w:rsid w:val="447C56A9"/>
    <w:rsid w:val="449D577E"/>
    <w:rsid w:val="44B07A43"/>
    <w:rsid w:val="44C91FA0"/>
    <w:rsid w:val="45130168"/>
    <w:rsid w:val="451A2A41"/>
    <w:rsid w:val="453E39F5"/>
    <w:rsid w:val="45A76692"/>
    <w:rsid w:val="45C22B53"/>
    <w:rsid w:val="46033C1A"/>
    <w:rsid w:val="462053AE"/>
    <w:rsid w:val="463B6920"/>
    <w:rsid w:val="464509B8"/>
    <w:rsid w:val="46804174"/>
    <w:rsid w:val="46D926BB"/>
    <w:rsid w:val="46E63E0D"/>
    <w:rsid w:val="46F96400"/>
    <w:rsid w:val="4702145A"/>
    <w:rsid w:val="470D4E9B"/>
    <w:rsid w:val="475F3D89"/>
    <w:rsid w:val="47EC1AC1"/>
    <w:rsid w:val="4851401A"/>
    <w:rsid w:val="485B394F"/>
    <w:rsid w:val="486506E1"/>
    <w:rsid w:val="48B84099"/>
    <w:rsid w:val="48CF4857"/>
    <w:rsid w:val="48D63168"/>
    <w:rsid w:val="48E56237"/>
    <w:rsid w:val="491C08E8"/>
    <w:rsid w:val="496671D8"/>
    <w:rsid w:val="497D717C"/>
    <w:rsid w:val="499E6DEB"/>
    <w:rsid w:val="49C425C9"/>
    <w:rsid w:val="49E30CA1"/>
    <w:rsid w:val="4A315216"/>
    <w:rsid w:val="4A4C27B0"/>
    <w:rsid w:val="4A7969DA"/>
    <w:rsid w:val="4A7F3273"/>
    <w:rsid w:val="4A9E187C"/>
    <w:rsid w:val="4AE46036"/>
    <w:rsid w:val="4AF1623C"/>
    <w:rsid w:val="4B1E61B4"/>
    <w:rsid w:val="4B3A2B43"/>
    <w:rsid w:val="4BA559C7"/>
    <w:rsid w:val="4BFA22D2"/>
    <w:rsid w:val="4C3C741A"/>
    <w:rsid w:val="4C475A20"/>
    <w:rsid w:val="4C520973"/>
    <w:rsid w:val="4CC02C94"/>
    <w:rsid w:val="4CC9797B"/>
    <w:rsid w:val="4CCA5EF2"/>
    <w:rsid w:val="4CDB2069"/>
    <w:rsid w:val="4D155616"/>
    <w:rsid w:val="4D1F6494"/>
    <w:rsid w:val="4D3D0E96"/>
    <w:rsid w:val="4D570AE7"/>
    <w:rsid w:val="4D6B244F"/>
    <w:rsid w:val="4D6D4359"/>
    <w:rsid w:val="4D985E3F"/>
    <w:rsid w:val="4DCC31CD"/>
    <w:rsid w:val="4E100538"/>
    <w:rsid w:val="4E206B62"/>
    <w:rsid w:val="4E2C0235"/>
    <w:rsid w:val="4E624FAF"/>
    <w:rsid w:val="4EA76011"/>
    <w:rsid w:val="4FE45773"/>
    <w:rsid w:val="4FE90F65"/>
    <w:rsid w:val="508278C9"/>
    <w:rsid w:val="509B05A5"/>
    <w:rsid w:val="50A777C3"/>
    <w:rsid w:val="50DB0924"/>
    <w:rsid w:val="50F8401E"/>
    <w:rsid w:val="5111349B"/>
    <w:rsid w:val="511B51C5"/>
    <w:rsid w:val="5163612A"/>
    <w:rsid w:val="517D5879"/>
    <w:rsid w:val="5186663A"/>
    <w:rsid w:val="51E5183F"/>
    <w:rsid w:val="51FE30E3"/>
    <w:rsid w:val="51FF07E9"/>
    <w:rsid w:val="5223027C"/>
    <w:rsid w:val="524424F9"/>
    <w:rsid w:val="529C3CAF"/>
    <w:rsid w:val="529F7543"/>
    <w:rsid w:val="52C4123A"/>
    <w:rsid w:val="52F16771"/>
    <w:rsid w:val="53075B07"/>
    <w:rsid w:val="531243A6"/>
    <w:rsid w:val="53370B35"/>
    <w:rsid w:val="533741E6"/>
    <w:rsid w:val="534954BD"/>
    <w:rsid w:val="538457E2"/>
    <w:rsid w:val="53957254"/>
    <w:rsid w:val="539B6B0E"/>
    <w:rsid w:val="53B86488"/>
    <w:rsid w:val="53B86CFB"/>
    <w:rsid w:val="53ED7E81"/>
    <w:rsid w:val="54736D58"/>
    <w:rsid w:val="548A7B11"/>
    <w:rsid w:val="55142D23"/>
    <w:rsid w:val="551478CC"/>
    <w:rsid w:val="554A5438"/>
    <w:rsid w:val="554B0A0E"/>
    <w:rsid w:val="55A27E38"/>
    <w:rsid w:val="560834DF"/>
    <w:rsid w:val="56216A71"/>
    <w:rsid w:val="56357322"/>
    <w:rsid w:val="563A7E9B"/>
    <w:rsid w:val="56E24158"/>
    <w:rsid w:val="56F76EEF"/>
    <w:rsid w:val="57285716"/>
    <w:rsid w:val="57AD3186"/>
    <w:rsid w:val="57E83B88"/>
    <w:rsid w:val="57F87C35"/>
    <w:rsid w:val="580D795D"/>
    <w:rsid w:val="583F6480"/>
    <w:rsid w:val="589608CB"/>
    <w:rsid w:val="589669A8"/>
    <w:rsid w:val="58A01411"/>
    <w:rsid w:val="58CD51AF"/>
    <w:rsid w:val="58D02F37"/>
    <w:rsid w:val="58ED0E22"/>
    <w:rsid w:val="58FA278C"/>
    <w:rsid w:val="590B5E63"/>
    <w:rsid w:val="593E7C26"/>
    <w:rsid w:val="594C5E0F"/>
    <w:rsid w:val="59636E05"/>
    <w:rsid w:val="598D5F88"/>
    <w:rsid w:val="59BD0667"/>
    <w:rsid w:val="59C84196"/>
    <w:rsid w:val="5A006CE3"/>
    <w:rsid w:val="5A0208F9"/>
    <w:rsid w:val="5A2E2BDC"/>
    <w:rsid w:val="5A607966"/>
    <w:rsid w:val="5A987886"/>
    <w:rsid w:val="5AA00E2D"/>
    <w:rsid w:val="5AA6336D"/>
    <w:rsid w:val="5AAB75B9"/>
    <w:rsid w:val="5AB67AAE"/>
    <w:rsid w:val="5B355CF3"/>
    <w:rsid w:val="5B455817"/>
    <w:rsid w:val="5BBE2DEE"/>
    <w:rsid w:val="5BFE4AEE"/>
    <w:rsid w:val="5C042036"/>
    <w:rsid w:val="5C19771E"/>
    <w:rsid w:val="5C3617D1"/>
    <w:rsid w:val="5C451348"/>
    <w:rsid w:val="5C832263"/>
    <w:rsid w:val="5C94444C"/>
    <w:rsid w:val="5C9F4EFC"/>
    <w:rsid w:val="5CDD408F"/>
    <w:rsid w:val="5D4D04C1"/>
    <w:rsid w:val="5D784238"/>
    <w:rsid w:val="5D8B100C"/>
    <w:rsid w:val="5D90436C"/>
    <w:rsid w:val="5D9C768D"/>
    <w:rsid w:val="5DD46E27"/>
    <w:rsid w:val="5E3C5D42"/>
    <w:rsid w:val="5E4A0E9D"/>
    <w:rsid w:val="5E4B4FEC"/>
    <w:rsid w:val="5EA93E10"/>
    <w:rsid w:val="5EBD45C2"/>
    <w:rsid w:val="5EC155FD"/>
    <w:rsid w:val="5ED27470"/>
    <w:rsid w:val="5EEB00C7"/>
    <w:rsid w:val="5EF72C4D"/>
    <w:rsid w:val="5F0E2BD8"/>
    <w:rsid w:val="5F287544"/>
    <w:rsid w:val="5F2C5E91"/>
    <w:rsid w:val="5F3521CB"/>
    <w:rsid w:val="5F430A91"/>
    <w:rsid w:val="5FB10911"/>
    <w:rsid w:val="5FFB4B3F"/>
    <w:rsid w:val="60082773"/>
    <w:rsid w:val="611A2DA3"/>
    <w:rsid w:val="611F485D"/>
    <w:rsid w:val="612863E7"/>
    <w:rsid w:val="61585F31"/>
    <w:rsid w:val="61692091"/>
    <w:rsid w:val="61BC2827"/>
    <w:rsid w:val="61C5032E"/>
    <w:rsid w:val="61D631F5"/>
    <w:rsid w:val="61D92C5E"/>
    <w:rsid w:val="621E0E0A"/>
    <w:rsid w:val="624E6705"/>
    <w:rsid w:val="626562A0"/>
    <w:rsid w:val="626F6C32"/>
    <w:rsid w:val="629300BA"/>
    <w:rsid w:val="62B065AA"/>
    <w:rsid w:val="62B327A2"/>
    <w:rsid w:val="62D063F0"/>
    <w:rsid w:val="62EC5191"/>
    <w:rsid w:val="632443AD"/>
    <w:rsid w:val="63250213"/>
    <w:rsid w:val="63691152"/>
    <w:rsid w:val="636E7B57"/>
    <w:rsid w:val="63A774BE"/>
    <w:rsid w:val="63B830CC"/>
    <w:rsid w:val="640146EE"/>
    <w:rsid w:val="6407383D"/>
    <w:rsid w:val="640D5AD5"/>
    <w:rsid w:val="64262198"/>
    <w:rsid w:val="648329EA"/>
    <w:rsid w:val="649410BE"/>
    <w:rsid w:val="65240E0F"/>
    <w:rsid w:val="65354376"/>
    <w:rsid w:val="654F0AF9"/>
    <w:rsid w:val="655557F3"/>
    <w:rsid w:val="655A40B6"/>
    <w:rsid w:val="65731B62"/>
    <w:rsid w:val="65F14CDE"/>
    <w:rsid w:val="65F55B8D"/>
    <w:rsid w:val="66053E74"/>
    <w:rsid w:val="664B139E"/>
    <w:rsid w:val="66636A16"/>
    <w:rsid w:val="66856369"/>
    <w:rsid w:val="66E54414"/>
    <w:rsid w:val="6716654D"/>
    <w:rsid w:val="67286FE4"/>
    <w:rsid w:val="6783594B"/>
    <w:rsid w:val="678F4F41"/>
    <w:rsid w:val="67D40156"/>
    <w:rsid w:val="67D53EC8"/>
    <w:rsid w:val="67DF2B12"/>
    <w:rsid w:val="67E20EE9"/>
    <w:rsid w:val="681C3331"/>
    <w:rsid w:val="686A3E2D"/>
    <w:rsid w:val="68744ECE"/>
    <w:rsid w:val="68904F55"/>
    <w:rsid w:val="68B4356D"/>
    <w:rsid w:val="68CD22F7"/>
    <w:rsid w:val="68F57483"/>
    <w:rsid w:val="69101AED"/>
    <w:rsid w:val="692073C4"/>
    <w:rsid w:val="6922314B"/>
    <w:rsid w:val="69363F51"/>
    <w:rsid w:val="69990F25"/>
    <w:rsid w:val="69BD324B"/>
    <w:rsid w:val="69BF19B4"/>
    <w:rsid w:val="69C67303"/>
    <w:rsid w:val="69C8205B"/>
    <w:rsid w:val="6A0246B4"/>
    <w:rsid w:val="6A044787"/>
    <w:rsid w:val="6A2131FD"/>
    <w:rsid w:val="6A593FED"/>
    <w:rsid w:val="6AB12743"/>
    <w:rsid w:val="6B0E3B4F"/>
    <w:rsid w:val="6B287063"/>
    <w:rsid w:val="6B455CFB"/>
    <w:rsid w:val="6B735AE9"/>
    <w:rsid w:val="6B891100"/>
    <w:rsid w:val="6BD80534"/>
    <w:rsid w:val="6C1474F7"/>
    <w:rsid w:val="6C182983"/>
    <w:rsid w:val="6C393E1F"/>
    <w:rsid w:val="6C55564B"/>
    <w:rsid w:val="6C8139DE"/>
    <w:rsid w:val="6C9C4FB4"/>
    <w:rsid w:val="6C9D45EA"/>
    <w:rsid w:val="6CAF0F8F"/>
    <w:rsid w:val="6CD837E1"/>
    <w:rsid w:val="6D0634DD"/>
    <w:rsid w:val="6D302484"/>
    <w:rsid w:val="6D3343E6"/>
    <w:rsid w:val="6D373F6D"/>
    <w:rsid w:val="6D54510B"/>
    <w:rsid w:val="6D786D34"/>
    <w:rsid w:val="6DB225B5"/>
    <w:rsid w:val="6E0077C5"/>
    <w:rsid w:val="6E041451"/>
    <w:rsid w:val="6E0E0429"/>
    <w:rsid w:val="6E1824CB"/>
    <w:rsid w:val="6E2D002A"/>
    <w:rsid w:val="6F0B5B53"/>
    <w:rsid w:val="6F2453A8"/>
    <w:rsid w:val="6F501CC6"/>
    <w:rsid w:val="6F69637A"/>
    <w:rsid w:val="6F6A0412"/>
    <w:rsid w:val="6F7E395E"/>
    <w:rsid w:val="6FB06099"/>
    <w:rsid w:val="70B43753"/>
    <w:rsid w:val="71877C21"/>
    <w:rsid w:val="71CD13D0"/>
    <w:rsid w:val="727E6B9D"/>
    <w:rsid w:val="72B04EFA"/>
    <w:rsid w:val="72E660EF"/>
    <w:rsid w:val="73514FF8"/>
    <w:rsid w:val="73C05A2C"/>
    <w:rsid w:val="73C978A0"/>
    <w:rsid w:val="73DF0768"/>
    <w:rsid w:val="741713C4"/>
    <w:rsid w:val="74654C05"/>
    <w:rsid w:val="74742E11"/>
    <w:rsid w:val="74AC7D5E"/>
    <w:rsid w:val="74BD7D34"/>
    <w:rsid w:val="74E966A7"/>
    <w:rsid w:val="750A5168"/>
    <w:rsid w:val="75B17E3E"/>
    <w:rsid w:val="75BC5943"/>
    <w:rsid w:val="75CA033B"/>
    <w:rsid w:val="75D86037"/>
    <w:rsid w:val="760E1EAE"/>
    <w:rsid w:val="76156A84"/>
    <w:rsid w:val="763921AB"/>
    <w:rsid w:val="766D11F6"/>
    <w:rsid w:val="769431A0"/>
    <w:rsid w:val="76CA3385"/>
    <w:rsid w:val="76CA4A6E"/>
    <w:rsid w:val="771F5B04"/>
    <w:rsid w:val="77286951"/>
    <w:rsid w:val="77717F2B"/>
    <w:rsid w:val="77E65C7D"/>
    <w:rsid w:val="78254855"/>
    <w:rsid w:val="78434EA7"/>
    <w:rsid w:val="785D3D58"/>
    <w:rsid w:val="78822E1C"/>
    <w:rsid w:val="78AA1CB3"/>
    <w:rsid w:val="78DB2336"/>
    <w:rsid w:val="78DE6954"/>
    <w:rsid w:val="78E90E5D"/>
    <w:rsid w:val="78EE4DE9"/>
    <w:rsid w:val="7906733D"/>
    <w:rsid w:val="7920270B"/>
    <w:rsid w:val="79235D22"/>
    <w:rsid w:val="79335A19"/>
    <w:rsid w:val="79AF65C7"/>
    <w:rsid w:val="79DC2E94"/>
    <w:rsid w:val="7A552787"/>
    <w:rsid w:val="7A726827"/>
    <w:rsid w:val="7A775C63"/>
    <w:rsid w:val="7AA26E4E"/>
    <w:rsid w:val="7AB63E2C"/>
    <w:rsid w:val="7AD453AD"/>
    <w:rsid w:val="7AE70A91"/>
    <w:rsid w:val="7B0D2EBC"/>
    <w:rsid w:val="7B125012"/>
    <w:rsid w:val="7B163CA8"/>
    <w:rsid w:val="7B315461"/>
    <w:rsid w:val="7B4C2D3F"/>
    <w:rsid w:val="7B653093"/>
    <w:rsid w:val="7B7141D9"/>
    <w:rsid w:val="7BB86ED2"/>
    <w:rsid w:val="7C9251FC"/>
    <w:rsid w:val="7C964C2A"/>
    <w:rsid w:val="7C9C0533"/>
    <w:rsid w:val="7CA311EA"/>
    <w:rsid w:val="7CB974BC"/>
    <w:rsid w:val="7CD02199"/>
    <w:rsid w:val="7D5758FA"/>
    <w:rsid w:val="7D792F78"/>
    <w:rsid w:val="7DED6C2C"/>
    <w:rsid w:val="7DFE4A1C"/>
    <w:rsid w:val="7E6E3B9A"/>
    <w:rsid w:val="7EB43B98"/>
    <w:rsid w:val="7F237CCF"/>
    <w:rsid w:val="7F664DCB"/>
    <w:rsid w:val="7FBB552B"/>
    <w:rsid w:val="7FCD2DDC"/>
    <w:rsid w:val="7FF9278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qFormat="1" w:unhideWhenUsed="0"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iPriority="99" w:name="HTML Typewriter"/>
    <w:lsdException w:qFormat="1"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6"/>
    <w:autoRedefine/>
    <w:qFormat/>
    <w:uiPriority w:val="0"/>
    <w:pPr>
      <w:keepNext/>
      <w:outlineLvl w:val="0"/>
    </w:pPr>
    <w:rPr>
      <w:rFonts w:ascii="楷体_GB2312" w:eastAsia="楷体_GB2312"/>
      <w:sz w:val="28"/>
      <w:szCs w:val="20"/>
    </w:rPr>
  </w:style>
  <w:style w:type="paragraph" w:styleId="3">
    <w:name w:val="heading 2"/>
    <w:basedOn w:val="1"/>
    <w:next w:val="1"/>
    <w:link w:val="79"/>
    <w:autoRedefine/>
    <w:qFormat/>
    <w:uiPriority w:val="0"/>
    <w:pPr>
      <w:keepNext/>
      <w:keepLines/>
      <w:spacing w:before="260" w:after="260" w:line="415" w:lineRule="auto"/>
      <w:jc w:val="center"/>
      <w:outlineLvl w:val="1"/>
    </w:pPr>
    <w:rPr>
      <w:rFonts w:ascii="Arial" w:hAnsi="Arial" w:eastAsia="幼圆"/>
      <w:b/>
      <w:sz w:val="44"/>
      <w:szCs w:val="20"/>
    </w:rPr>
  </w:style>
  <w:style w:type="paragraph" w:styleId="4">
    <w:name w:val="heading 3"/>
    <w:basedOn w:val="1"/>
    <w:next w:val="1"/>
    <w:link w:val="68"/>
    <w:autoRedefine/>
    <w:qFormat/>
    <w:uiPriority w:val="0"/>
    <w:pPr>
      <w:keepNext/>
      <w:keepLines/>
      <w:spacing w:before="260" w:after="260" w:line="415" w:lineRule="auto"/>
      <w:outlineLvl w:val="2"/>
    </w:pPr>
    <w:rPr>
      <w:b/>
      <w:sz w:val="32"/>
      <w:szCs w:val="20"/>
    </w:rPr>
  </w:style>
  <w:style w:type="paragraph" w:styleId="5">
    <w:name w:val="heading 4"/>
    <w:basedOn w:val="1"/>
    <w:next w:val="1"/>
    <w:link w:val="65"/>
    <w:autoRedefine/>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62"/>
    <w:autoRedefine/>
    <w:qFormat/>
    <w:uiPriority w:val="0"/>
    <w:pPr>
      <w:keepNext/>
      <w:outlineLvl w:val="4"/>
    </w:pPr>
    <w:rPr>
      <w:rFonts w:ascii="宋体"/>
      <w:b/>
      <w:bCs/>
    </w:rPr>
  </w:style>
  <w:style w:type="character" w:default="1" w:styleId="41">
    <w:name w:val="Default Paragraph Font"/>
    <w:autoRedefine/>
    <w:semiHidden/>
    <w:unhideWhenUsed/>
    <w:qFormat/>
    <w:uiPriority w:val="1"/>
  </w:style>
  <w:style w:type="table" w:default="1" w:styleId="39">
    <w:name w:val="Normal Table"/>
    <w:autoRedefine/>
    <w:semiHidden/>
    <w:unhideWhenUsed/>
    <w:qFormat/>
    <w:uiPriority w:val="99"/>
    <w:tblPr>
      <w:tblCellMar>
        <w:top w:w="0" w:type="dxa"/>
        <w:left w:w="108" w:type="dxa"/>
        <w:bottom w:w="0" w:type="dxa"/>
        <w:right w:w="108" w:type="dxa"/>
      </w:tblCellMar>
    </w:tblPr>
  </w:style>
  <w:style w:type="paragraph" w:styleId="7">
    <w:name w:val="toc 7"/>
    <w:basedOn w:val="1"/>
    <w:next w:val="1"/>
    <w:autoRedefine/>
    <w:qFormat/>
    <w:uiPriority w:val="0"/>
    <w:pPr>
      <w:ind w:left="1200" w:leftChars="1200"/>
    </w:pPr>
  </w:style>
  <w:style w:type="paragraph" w:styleId="8">
    <w:name w:val="Normal Indent"/>
    <w:basedOn w:val="1"/>
    <w:autoRedefine/>
    <w:qFormat/>
    <w:uiPriority w:val="0"/>
    <w:pPr>
      <w:ind w:firstLine="420"/>
    </w:pPr>
    <w:rPr>
      <w:szCs w:val="20"/>
    </w:rPr>
  </w:style>
  <w:style w:type="paragraph" w:styleId="9">
    <w:name w:val="Document Map"/>
    <w:basedOn w:val="1"/>
    <w:link w:val="69"/>
    <w:autoRedefine/>
    <w:qFormat/>
    <w:uiPriority w:val="0"/>
    <w:pPr>
      <w:shd w:val="clear" w:color="auto" w:fill="000080"/>
    </w:pPr>
  </w:style>
  <w:style w:type="paragraph" w:styleId="10">
    <w:name w:val="annotation text"/>
    <w:basedOn w:val="1"/>
    <w:link w:val="60"/>
    <w:autoRedefine/>
    <w:qFormat/>
    <w:uiPriority w:val="0"/>
    <w:pPr>
      <w:jc w:val="left"/>
    </w:pPr>
  </w:style>
  <w:style w:type="paragraph" w:styleId="11">
    <w:name w:val="Body Text 3"/>
    <w:basedOn w:val="1"/>
    <w:link w:val="77"/>
    <w:autoRedefine/>
    <w:qFormat/>
    <w:uiPriority w:val="0"/>
    <w:rPr>
      <w:rFonts w:ascii="仿宋_GB2312" w:eastAsia="仿宋_GB2312"/>
      <w:sz w:val="32"/>
      <w:szCs w:val="20"/>
    </w:rPr>
  </w:style>
  <w:style w:type="paragraph" w:styleId="12">
    <w:name w:val="Body Text"/>
    <w:basedOn w:val="1"/>
    <w:link w:val="80"/>
    <w:autoRedefine/>
    <w:qFormat/>
    <w:uiPriority w:val="0"/>
    <w:rPr>
      <w:rFonts w:ascii="楷体_GB2312" w:eastAsia="楷体_GB2312"/>
      <w:sz w:val="28"/>
      <w:szCs w:val="20"/>
    </w:rPr>
  </w:style>
  <w:style w:type="paragraph" w:styleId="13">
    <w:name w:val="Body Text Indent"/>
    <w:basedOn w:val="1"/>
    <w:next w:val="1"/>
    <w:link w:val="73"/>
    <w:autoRedefine/>
    <w:qFormat/>
    <w:uiPriority w:val="0"/>
    <w:pPr>
      <w:ind w:firstLine="645"/>
    </w:pPr>
    <w:rPr>
      <w:rFonts w:ascii="楷体_GB2312" w:eastAsia="楷体_GB2312"/>
      <w:sz w:val="32"/>
      <w:szCs w:val="20"/>
    </w:rPr>
  </w:style>
  <w:style w:type="paragraph" w:styleId="14">
    <w:name w:val="index 4"/>
    <w:basedOn w:val="1"/>
    <w:next w:val="1"/>
    <w:autoRedefine/>
    <w:semiHidden/>
    <w:qFormat/>
    <w:uiPriority w:val="99"/>
    <w:pPr>
      <w:spacing w:line="240" w:lineRule="auto"/>
      <w:ind w:left="600" w:leftChars="600" w:firstLine="0" w:firstLineChars="0"/>
    </w:pPr>
    <w:rPr>
      <w:sz w:val="21"/>
      <w:szCs w:val="21"/>
    </w:rPr>
  </w:style>
  <w:style w:type="paragraph" w:styleId="15">
    <w:name w:val="toc 5"/>
    <w:basedOn w:val="1"/>
    <w:next w:val="1"/>
    <w:autoRedefine/>
    <w:qFormat/>
    <w:uiPriority w:val="0"/>
    <w:pPr>
      <w:ind w:left="800" w:leftChars="800"/>
    </w:pPr>
  </w:style>
  <w:style w:type="paragraph" w:styleId="16">
    <w:name w:val="toc 3"/>
    <w:basedOn w:val="1"/>
    <w:next w:val="1"/>
    <w:autoRedefine/>
    <w:qFormat/>
    <w:uiPriority w:val="0"/>
    <w:pPr>
      <w:tabs>
        <w:tab w:val="right" w:leader="dot" w:pos="9440"/>
      </w:tabs>
      <w:spacing w:line="240" w:lineRule="exact"/>
      <w:ind w:left="539"/>
      <w:jc w:val="left"/>
    </w:pPr>
    <w:rPr>
      <w:rFonts w:ascii="黑体" w:eastAsia="黑体"/>
      <w:bCs/>
      <w:iCs/>
      <w:sz w:val="18"/>
      <w:szCs w:val="32"/>
    </w:rPr>
  </w:style>
  <w:style w:type="paragraph" w:styleId="17">
    <w:name w:val="Plain Text"/>
    <w:basedOn w:val="1"/>
    <w:link w:val="81"/>
    <w:autoRedefine/>
    <w:qFormat/>
    <w:uiPriority w:val="0"/>
    <w:rPr>
      <w:rFonts w:ascii="宋体"/>
      <w:szCs w:val="20"/>
    </w:rPr>
  </w:style>
  <w:style w:type="paragraph" w:styleId="18">
    <w:name w:val="toc 8"/>
    <w:basedOn w:val="1"/>
    <w:next w:val="1"/>
    <w:autoRedefine/>
    <w:qFormat/>
    <w:uiPriority w:val="0"/>
    <w:pPr>
      <w:ind w:left="1400" w:leftChars="1400"/>
    </w:pPr>
  </w:style>
  <w:style w:type="paragraph" w:styleId="19">
    <w:name w:val="Date"/>
    <w:basedOn w:val="1"/>
    <w:next w:val="1"/>
    <w:link w:val="75"/>
    <w:autoRedefine/>
    <w:qFormat/>
    <w:uiPriority w:val="0"/>
    <w:rPr>
      <w:sz w:val="24"/>
      <w:szCs w:val="20"/>
    </w:rPr>
  </w:style>
  <w:style w:type="paragraph" w:styleId="20">
    <w:name w:val="Body Text Indent 2"/>
    <w:basedOn w:val="1"/>
    <w:link w:val="74"/>
    <w:autoRedefine/>
    <w:qFormat/>
    <w:uiPriority w:val="0"/>
    <w:pPr>
      <w:ind w:firstLine="200" w:firstLineChars="200"/>
    </w:pPr>
    <w:rPr>
      <w:rFonts w:ascii="宋体"/>
      <w:sz w:val="28"/>
    </w:rPr>
  </w:style>
  <w:style w:type="paragraph" w:styleId="21">
    <w:name w:val="Balloon Text"/>
    <w:basedOn w:val="1"/>
    <w:link w:val="64"/>
    <w:autoRedefine/>
    <w:qFormat/>
    <w:uiPriority w:val="0"/>
    <w:rPr>
      <w:sz w:val="18"/>
      <w:szCs w:val="18"/>
    </w:rPr>
  </w:style>
  <w:style w:type="paragraph" w:styleId="22">
    <w:name w:val="footer"/>
    <w:basedOn w:val="1"/>
    <w:link w:val="63"/>
    <w:autoRedefine/>
    <w:qFormat/>
    <w:uiPriority w:val="0"/>
    <w:pPr>
      <w:tabs>
        <w:tab w:val="center" w:pos="4153"/>
        <w:tab w:val="right" w:pos="8306"/>
      </w:tabs>
      <w:snapToGrid w:val="0"/>
      <w:jc w:val="left"/>
    </w:pPr>
    <w:rPr>
      <w:sz w:val="18"/>
      <w:szCs w:val="20"/>
    </w:rPr>
  </w:style>
  <w:style w:type="paragraph" w:styleId="23">
    <w:name w:val="header"/>
    <w:basedOn w:val="1"/>
    <w:link w:val="78"/>
    <w:autoRedefine/>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autoRedefine/>
    <w:qFormat/>
    <w:uiPriority w:val="39"/>
    <w:pPr>
      <w:tabs>
        <w:tab w:val="right" w:leader="dot" w:pos="9440"/>
      </w:tabs>
      <w:spacing w:before="120" w:after="120" w:line="300" w:lineRule="exact"/>
      <w:jc w:val="left"/>
    </w:pPr>
    <w:rPr>
      <w:rFonts w:ascii="黑体" w:eastAsia="黑体"/>
      <w:b/>
      <w:caps/>
      <w:sz w:val="18"/>
      <w:szCs w:val="28"/>
    </w:rPr>
  </w:style>
  <w:style w:type="paragraph" w:styleId="25">
    <w:name w:val="toc 4"/>
    <w:basedOn w:val="1"/>
    <w:next w:val="1"/>
    <w:autoRedefine/>
    <w:qFormat/>
    <w:uiPriority w:val="0"/>
    <w:pPr>
      <w:ind w:left="600" w:leftChars="600"/>
    </w:pPr>
  </w:style>
  <w:style w:type="paragraph" w:styleId="26">
    <w:name w:val="Subtitle"/>
    <w:basedOn w:val="1"/>
    <w:next w:val="1"/>
    <w:link w:val="70"/>
    <w:autoRedefine/>
    <w:qFormat/>
    <w:uiPriority w:val="0"/>
    <w:pPr>
      <w:spacing w:before="240" w:after="60" w:line="312" w:lineRule="auto"/>
      <w:jc w:val="center"/>
      <w:outlineLvl w:val="1"/>
    </w:pPr>
    <w:rPr>
      <w:rFonts w:ascii="Cambria" w:hAnsi="Cambria"/>
      <w:b/>
      <w:bCs/>
      <w:kern w:val="28"/>
      <w:sz w:val="32"/>
      <w:szCs w:val="32"/>
    </w:rPr>
  </w:style>
  <w:style w:type="paragraph" w:styleId="27">
    <w:name w:val="toc 6"/>
    <w:basedOn w:val="1"/>
    <w:next w:val="1"/>
    <w:qFormat/>
    <w:uiPriority w:val="0"/>
    <w:pPr>
      <w:ind w:left="1000" w:leftChars="1000"/>
    </w:pPr>
  </w:style>
  <w:style w:type="paragraph" w:styleId="28">
    <w:name w:val="Body Text Indent 3"/>
    <w:basedOn w:val="1"/>
    <w:link w:val="72"/>
    <w:autoRedefine/>
    <w:qFormat/>
    <w:uiPriority w:val="0"/>
    <w:pPr>
      <w:ind w:firstLine="523"/>
    </w:pPr>
    <w:rPr>
      <w:rFonts w:ascii="仿宋_GB2312" w:eastAsia="仿宋_GB2312"/>
      <w:sz w:val="24"/>
    </w:rPr>
  </w:style>
  <w:style w:type="paragraph" w:styleId="29">
    <w:name w:val="toc 2"/>
    <w:basedOn w:val="1"/>
    <w:next w:val="1"/>
    <w:autoRedefine/>
    <w:qFormat/>
    <w:uiPriority w:val="39"/>
    <w:pPr>
      <w:tabs>
        <w:tab w:val="right" w:leader="dot" w:pos="9440"/>
      </w:tabs>
      <w:spacing w:line="260" w:lineRule="exact"/>
      <w:jc w:val="left"/>
    </w:pPr>
    <w:rPr>
      <w:rFonts w:ascii="黑体" w:eastAsia="黑体"/>
      <w:b/>
      <w:bCs/>
      <w:smallCaps/>
      <w:sz w:val="18"/>
      <w:szCs w:val="44"/>
    </w:rPr>
  </w:style>
  <w:style w:type="paragraph" w:styleId="30">
    <w:name w:val="toc 9"/>
    <w:basedOn w:val="1"/>
    <w:next w:val="1"/>
    <w:autoRedefine/>
    <w:qFormat/>
    <w:uiPriority w:val="0"/>
    <w:pPr>
      <w:ind w:left="1600" w:leftChars="1600"/>
    </w:pPr>
  </w:style>
  <w:style w:type="paragraph" w:styleId="31">
    <w:name w:val="Body Text 2"/>
    <w:basedOn w:val="1"/>
    <w:link w:val="67"/>
    <w:autoRedefine/>
    <w:qFormat/>
    <w:uiPriority w:val="0"/>
    <w:pPr>
      <w:jc w:val="center"/>
    </w:pPr>
    <w:rPr>
      <w:rFonts w:ascii="仿宋_GB2312" w:eastAsia="仿宋_GB2312"/>
      <w:sz w:val="44"/>
    </w:rPr>
  </w:style>
  <w:style w:type="paragraph" w:styleId="32">
    <w:name w:val="HTML Preformatted"/>
    <w:basedOn w:val="1"/>
    <w:link w:val="5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kern w:val="0"/>
      <w:sz w:val="20"/>
      <w:szCs w:val="20"/>
    </w:rPr>
  </w:style>
  <w:style w:type="paragraph" w:styleId="33">
    <w:name w:val="Normal (Web)"/>
    <w:basedOn w:val="1"/>
    <w:autoRedefine/>
    <w:qFormat/>
    <w:uiPriority w:val="99"/>
    <w:pPr>
      <w:widowControl/>
      <w:spacing w:before="100" w:beforeAutospacing="1" w:after="100" w:afterAutospacing="1"/>
      <w:jc w:val="left"/>
    </w:pPr>
    <w:rPr>
      <w:rFonts w:ascii="宋体" w:cs="宋体"/>
      <w:kern w:val="0"/>
      <w:sz w:val="24"/>
    </w:rPr>
  </w:style>
  <w:style w:type="paragraph" w:styleId="34">
    <w:name w:val="index 1"/>
    <w:basedOn w:val="1"/>
    <w:next w:val="1"/>
    <w:autoRedefine/>
    <w:qFormat/>
    <w:uiPriority w:val="0"/>
    <w:rPr>
      <w:rFonts w:ascii="宋体"/>
      <w:szCs w:val="18"/>
    </w:rPr>
  </w:style>
  <w:style w:type="paragraph" w:styleId="35">
    <w:name w:val="annotation subject"/>
    <w:basedOn w:val="10"/>
    <w:next w:val="10"/>
    <w:link w:val="59"/>
    <w:autoRedefine/>
    <w:qFormat/>
    <w:uiPriority w:val="0"/>
    <w:rPr>
      <w:b/>
      <w:bCs/>
    </w:rPr>
  </w:style>
  <w:style w:type="paragraph" w:styleId="36">
    <w:name w:val="Body Text First Indent"/>
    <w:basedOn w:val="12"/>
    <w:autoRedefine/>
    <w:qFormat/>
    <w:uiPriority w:val="0"/>
    <w:pPr>
      <w:tabs>
        <w:tab w:val="left" w:pos="567"/>
      </w:tabs>
      <w:ind w:firstLine="420" w:firstLineChars="100"/>
    </w:pPr>
    <w:rPr>
      <w:rFonts w:ascii="等线" w:hAnsi="等线" w:eastAsia="等线" w:cs="黑体"/>
      <w:szCs w:val="22"/>
    </w:rPr>
  </w:style>
  <w:style w:type="paragraph" w:styleId="37">
    <w:name w:val="Body Text First Indent 2"/>
    <w:basedOn w:val="13"/>
    <w:next w:val="38"/>
    <w:autoRedefine/>
    <w:unhideWhenUsed/>
    <w:qFormat/>
    <w:uiPriority w:val="99"/>
    <w:pPr>
      <w:ind w:firstLine="420" w:firstLineChars="200"/>
    </w:pPr>
  </w:style>
  <w:style w:type="paragraph" w:customStyle="1" w:styleId="38">
    <w:name w:val="xl53"/>
    <w:basedOn w:val="1"/>
    <w:next w:val="1"/>
    <w:autoRedefine/>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rPr>
  </w:style>
  <w:style w:type="table" w:styleId="40">
    <w:name w:val="Table Grid"/>
    <w:basedOn w:val="39"/>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autoRedefine/>
    <w:qFormat/>
    <w:uiPriority w:val="0"/>
    <w:rPr>
      <w:b/>
      <w:bCs/>
    </w:rPr>
  </w:style>
  <w:style w:type="character" w:styleId="43">
    <w:name w:val="page number"/>
    <w:basedOn w:val="41"/>
    <w:autoRedefine/>
    <w:qFormat/>
    <w:uiPriority w:val="0"/>
  </w:style>
  <w:style w:type="character" w:styleId="44">
    <w:name w:val="FollowedHyperlink"/>
    <w:basedOn w:val="41"/>
    <w:autoRedefine/>
    <w:qFormat/>
    <w:uiPriority w:val="99"/>
    <w:rPr>
      <w:color w:val="800080"/>
      <w:u w:val="none"/>
    </w:rPr>
  </w:style>
  <w:style w:type="character" w:styleId="45">
    <w:name w:val="Emphasis"/>
    <w:basedOn w:val="41"/>
    <w:autoRedefine/>
    <w:qFormat/>
    <w:uiPriority w:val="20"/>
    <w:rPr>
      <w:b/>
      <w:bCs/>
    </w:rPr>
  </w:style>
  <w:style w:type="character" w:styleId="46">
    <w:name w:val="HTML Definition"/>
    <w:basedOn w:val="41"/>
    <w:autoRedefine/>
    <w:semiHidden/>
    <w:unhideWhenUsed/>
    <w:qFormat/>
    <w:uiPriority w:val="99"/>
  </w:style>
  <w:style w:type="character" w:styleId="47">
    <w:name w:val="HTML Typewriter"/>
    <w:basedOn w:val="41"/>
    <w:autoRedefine/>
    <w:semiHidden/>
    <w:unhideWhenUsed/>
    <w:qFormat/>
    <w:uiPriority w:val="99"/>
    <w:rPr>
      <w:rFonts w:hint="default" w:ascii="monospace" w:hAnsi="monospace" w:eastAsia="monospace" w:cs="monospace"/>
      <w:sz w:val="20"/>
    </w:rPr>
  </w:style>
  <w:style w:type="character" w:styleId="48">
    <w:name w:val="HTML Acronym"/>
    <w:basedOn w:val="41"/>
    <w:autoRedefine/>
    <w:semiHidden/>
    <w:unhideWhenUsed/>
    <w:qFormat/>
    <w:uiPriority w:val="99"/>
  </w:style>
  <w:style w:type="character" w:styleId="49">
    <w:name w:val="HTML Variable"/>
    <w:basedOn w:val="41"/>
    <w:autoRedefine/>
    <w:semiHidden/>
    <w:unhideWhenUsed/>
    <w:qFormat/>
    <w:uiPriority w:val="99"/>
  </w:style>
  <w:style w:type="character" w:styleId="50">
    <w:name w:val="Hyperlink"/>
    <w:basedOn w:val="41"/>
    <w:autoRedefine/>
    <w:qFormat/>
    <w:uiPriority w:val="99"/>
    <w:rPr>
      <w:color w:val="0000FF"/>
      <w:u w:val="none"/>
    </w:rPr>
  </w:style>
  <w:style w:type="character" w:styleId="51">
    <w:name w:val="HTML Code"/>
    <w:basedOn w:val="41"/>
    <w:autoRedefine/>
    <w:semiHidden/>
    <w:unhideWhenUsed/>
    <w:qFormat/>
    <w:uiPriority w:val="99"/>
    <w:rPr>
      <w:rFonts w:hint="default" w:ascii="monospace" w:hAnsi="monospace" w:eastAsia="monospace" w:cs="monospace"/>
      <w:sz w:val="20"/>
    </w:rPr>
  </w:style>
  <w:style w:type="character" w:styleId="52">
    <w:name w:val="annotation reference"/>
    <w:autoRedefine/>
    <w:qFormat/>
    <w:uiPriority w:val="0"/>
    <w:rPr>
      <w:sz w:val="21"/>
      <w:szCs w:val="21"/>
    </w:rPr>
  </w:style>
  <w:style w:type="character" w:styleId="53">
    <w:name w:val="HTML Cite"/>
    <w:basedOn w:val="41"/>
    <w:autoRedefine/>
    <w:semiHidden/>
    <w:unhideWhenUsed/>
    <w:qFormat/>
    <w:uiPriority w:val="99"/>
  </w:style>
  <w:style w:type="character" w:styleId="54">
    <w:name w:val="HTML Keyboard"/>
    <w:basedOn w:val="41"/>
    <w:autoRedefine/>
    <w:semiHidden/>
    <w:unhideWhenUsed/>
    <w:qFormat/>
    <w:uiPriority w:val="99"/>
    <w:rPr>
      <w:rFonts w:hint="default" w:ascii="monospace" w:hAnsi="monospace" w:eastAsia="monospace" w:cs="monospace"/>
      <w:sz w:val="20"/>
    </w:rPr>
  </w:style>
  <w:style w:type="character" w:styleId="55">
    <w:name w:val="HTML Sample"/>
    <w:basedOn w:val="41"/>
    <w:autoRedefine/>
    <w:semiHidden/>
    <w:unhideWhenUsed/>
    <w:qFormat/>
    <w:uiPriority w:val="99"/>
    <w:rPr>
      <w:rFonts w:ascii="monospace" w:hAnsi="monospace" w:eastAsia="monospace" w:cs="monospace"/>
      <w:u w:val="none"/>
      <w:bdr w:val="single" w:color="33A1D1" w:sz="6" w:space="0"/>
      <w:shd w:val="clear" w:color="auto" w:fill="FFFFFF"/>
    </w:rPr>
  </w:style>
  <w:style w:type="paragraph" w:customStyle="1" w:styleId="56">
    <w:name w:val="Default"/>
    <w:autoRedefine/>
    <w:qFormat/>
    <w:uiPriority w:val="99"/>
    <w:pPr>
      <w:widowControl w:val="0"/>
      <w:autoSpaceDE w:val="0"/>
      <w:autoSpaceDN w:val="0"/>
      <w:adjustRightInd w:val="0"/>
    </w:pPr>
    <w:rPr>
      <w:rFonts w:ascii="MS Mincho" w:hAnsi="Calibri" w:eastAsia="MS Mincho" w:cs="Times New Roman"/>
      <w:color w:val="000000"/>
      <w:sz w:val="24"/>
      <w:szCs w:val="24"/>
      <w:lang w:val="en-US" w:eastAsia="zh-CN" w:bidi="ar-SA"/>
    </w:rPr>
  </w:style>
  <w:style w:type="paragraph" w:customStyle="1" w:styleId="57">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58">
    <w:name w:val="HTML 预设格式 Char"/>
    <w:link w:val="32"/>
    <w:autoRedefine/>
    <w:qFormat/>
    <w:uiPriority w:val="0"/>
    <w:rPr>
      <w:rFonts w:ascii="黑体" w:eastAsia="黑体"/>
    </w:rPr>
  </w:style>
  <w:style w:type="character" w:customStyle="1" w:styleId="59">
    <w:name w:val="批注主题 Char"/>
    <w:basedOn w:val="60"/>
    <w:link w:val="35"/>
    <w:autoRedefine/>
    <w:qFormat/>
    <w:uiPriority w:val="0"/>
    <w:rPr>
      <w:b/>
      <w:bCs/>
      <w:kern w:val="2"/>
      <w:sz w:val="21"/>
      <w:szCs w:val="24"/>
    </w:rPr>
  </w:style>
  <w:style w:type="character" w:customStyle="1" w:styleId="60">
    <w:name w:val="批注文字 Char"/>
    <w:basedOn w:val="41"/>
    <w:link w:val="10"/>
    <w:autoRedefine/>
    <w:qFormat/>
    <w:uiPriority w:val="0"/>
    <w:rPr>
      <w:kern w:val="2"/>
      <w:sz w:val="21"/>
      <w:szCs w:val="24"/>
    </w:rPr>
  </w:style>
  <w:style w:type="character" w:customStyle="1" w:styleId="61">
    <w:name w:val="标题2 Char"/>
    <w:autoRedefine/>
    <w:qFormat/>
    <w:uiPriority w:val="0"/>
    <w:rPr>
      <w:rFonts w:ascii="方正楷体_GBK" w:eastAsia="方正楷体_GBK"/>
      <w:snapToGrid w:val="0"/>
      <w:sz w:val="32"/>
      <w:lang w:val="en-US" w:eastAsia="zh-CN" w:bidi="ar-SA"/>
    </w:rPr>
  </w:style>
  <w:style w:type="character" w:customStyle="1" w:styleId="62">
    <w:name w:val="标题 5 Char"/>
    <w:basedOn w:val="41"/>
    <w:link w:val="6"/>
    <w:autoRedefine/>
    <w:qFormat/>
    <w:uiPriority w:val="0"/>
    <w:rPr>
      <w:rFonts w:ascii="宋体"/>
      <w:b/>
      <w:bCs/>
      <w:kern w:val="2"/>
      <w:sz w:val="21"/>
      <w:szCs w:val="24"/>
    </w:rPr>
  </w:style>
  <w:style w:type="character" w:customStyle="1" w:styleId="63">
    <w:name w:val="页脚 Char"/>
    <w:link w:val="22"/>
    <w:autoRedefine/>
    <w:qFormat/>
    <w:uiPriority w:val="0"/>
    <w:rPr>
      <w:kern w:val="2"/>
      <w:sz w:val="18"/>
    </w:rPr>
  </w:style>
  <w:style w:type="character" w:customStyle="1" w:styleId="64">
    <w:name w:val="批注框文本 Char"/>
    <w:link w:val="21"/>
    <w:autoRedefine/>
    <w:qFormat/>
    <w:uiPriority w:val="0"/>
    <w:rPr>
      <w:kern w:val="2"/>
      <w:sz w:val="18"/>
      <w:szCs w:val="18"/>
    </w:rPr>
  </w:style>
  <w:style w:type="character" w:customStyle="1" w:styleId="65">
    <w:name w:val="标题 4 Char"/>
    <w:basedOn w:val="41"/>
    <w:link w:val="5"/>
    <w:autoRedefine/>
    <w:qFormat/>
    <w:uiPriority w:val="0"/>
    <w:rPr>
      <w:rFonts w:ascii="Arial" w:hAnsi="Arial" w:eastAsia="黑体"/>
      <w:b/>
      <w:bCs/>
      <w:kern w:val="2"/>
      <w:sz w:val="28"/>
      <w:szCs w:val="28"/>
    </w:rPr>
  </w:style>
  <w:style w:type="character" w:customStyle="1" w:styleId="66">
    <w:name w:val="标题 1 Char"/>
    <w:basedOn w:val="41"/>
    <w:link w:val="2"/>
    <w:autoRedefine/>
    <w:qFormat/>
    <w:uiPriority w:val="0"/>
    <w:rPr>
      <w:rFonts w:ascii="楷体_GB2312" w:eastAsia="楷体_GB2312"/>
      <w:kern w:val="2"/>
      <w:sz w:val="28"/>
    </w:rPr>
  </w:style>
  <w:style w:type="character" w:customStyle="1" w:styleId="67">
    <w:name w:val="正文文本 2 Char"/>
    <w:basedOn w:val="41"/>
    <w:link w:val="31"/>
    <w:autoRedefine/>
    <w:qFormat/>
    <w:uiPriority w:val="0"/>
    <w:rPr>
      <w:rFonts w:ascii="仿宋_GB2312" w:eastAsia="仿宋_GB2312"/>
      <w:kern w:val="2"/>
      <w:sz w:val="44"/>
      <w:szCs w:val="24"/>
    </w:rPr>
  </w:style>
  <w:style w:type="character" w:customStyle="1" w:styleId="68">
    <w:name w:val="标题 3 Char"/>
    <w:basedOn w:val="41"/>
    <w:link w:val="4"/>
    <w:autoRedefine/>
    <w:qFormat/>
    <w:uiPriority w:val="0"/>
    <w:rPr>
      <w:b/>
      <w:kern w:val="2"/>
      <w:sz w:val="32"/>
    </w:rPr>
  </w:style>
  <w:style w:type="character" w:customStyle="1" w:styleId="69">
    <w:name w:val="文档结构图 Char"/>
    <w:basedOn w:val="41"/>
    <w:link w:val="9"/>
    <w:autoRedefine/>
    <w:qFormat/>
    <w:uiPriority w:val="0"/>
    <w:rPr>
      <w:kern w:val="2"/>
      <w:sz w:val="21"/>
      <w:szCs w:val="24"/>
      <w:shd w:val="clear" w:color="auto" w:fill="000080"/>
    </w:rPr>
  </w:style>
  <w:style w:type="character" w:customStyle="1" w:styleId="70">
    <w:name w:val="副标题 Char"/>
    <w:basedOn w:val="41"/>
    <w:link w:val="26"/>
    <w:autoRedefine/>
    <w:qFormat/>
    <w:uiPriority w:val="0"/>
    <w:rPr>
      <w:rFonts w:ascii="Cambria" w:hAnsi="Cambria"/>
      <w:b/>
      <w:bCs/>
      <w:kern w:val="28"/>
      <w:sz w:val="32"/>
      <w:szCs w:val="32"/>
    </w:rPr>
  </w:style>
  <w:style w:type="character" w:customStyle="1" w:styleId="71">
    <w:name w:val="副标题 Char1"/>
    <w:basedOn w:val="41"/>
    <w:autoRedefine/>
    <w:qFormat/>
    <w:uiPriority w:val="11"/>
    <w:rPr>
      <w:rFonts w:ascii="Cambria" w:hAnsi="Cambria" w:cs="Times New Roman"/>
      <w:b/>
      <w:bCs/>
      <w:kern w:val="28"/>
      <w:sz w:val="32"/>
      <w:szCs w:val="32"/>
    </w:rPr>
  </w:style>
  <w:style w:type="character" w:customStyle="1" w:styleId="72">
    <w:name w:val="正文文本缩进 3 Char"/>
    <w:basedOn w:val="41"/>
    <w:link w:val="28"/>
    <w:autoRedefine/>
    <w:qFormat/>
    <w:uiPriority w:val="0"/>
    <w:rPr>
      <w:rFonts w:ascii="仿宋_GB2312" w:eastAsia="仿宋_GB2312"/>
      <w:kern w:val="2"/>
      <w:sz w:val="24"/>
      <w:szCs w:val="24"/>
    </w:rPr>
  </w:style>
  <w:style w:type="character" w:customStyle="1" w:styleId="73">
    <w:name w:val="正文文本缩进 Char"/>
    <w:basedOn w:val="41"/>
    <w:link w:val="13"/>
    <w:autoRedefine/>
    <w:qFormat/>
    <w:uiPriority w:val="0"/>
    <w:rPr>
      <w:rFonts w:ascii="楷体_GB2312" w:eastAsia="楷体_GB2312"/>
      <w:kern w:val="2"/>
      <w:sz w:val="32"/>
    </w:rPr>
  </w:style>
  <w:style w:type="character" w:customStyle="1" w:styleId="74">
    <w:name w:val="正文文本缩进 2 Char"/>
    <w:basedOn w:val="41"/>
    <w:link w:val="20"/>
    <w:autoRedefine/>
    <w:qFormat/>
    <w:uiPriority w:val="0"/>
    <w:rPr>
      <w:rFonts w:ascii="宋体"/>
      <w:kern w:val="2"/>
      <w:sz w:val="28"/>
      <w:szCs w:val="24"/>
    </w:rPr>
  </w:style>
  <w:style w:type="character" w:customStyle="1" w:styleId="75">
    <w:name w:val="日期 Char"/>
    <w:basedOn w:val="41"/>
    <w:link w:val="19"/>
    <w:autoRedefine/>
    <w:qFormat/>
    <w:uiPriority w:val="0"/>
    <w:rPr>
      <w:kern w:val="2"/>
      <w:sz w:val="24"/>
    </w:rPr>
  </w:style>
  <w:style w:type="character" w:customStyle="1" w:styleId="76">
    <w:name w:val="jj1"/>
    <w:autoRedefine/>
    <w:qFormat/>
    <w:uiPriority w:val="0"/>
    <w:rPr>
      <w:sz w:val="20"/>
      <w:szCs w:val="20"/>
      <w:u w:val="none"/>
    </w:rPr>
  </w:style>
  <w:style w:type="character" w:customStyle="1" w:styleId="77">
    <w:name w:val="正文文本 3 Char"/>
    <w:basedOn w:val="41"/>
    <w:link w:val="11"/>
    <w:autoRedefine/>
    <w:qFormat/>
    <w:uiPriority w:val="0"/>
    <w:rPr>
      <w:rFonts w:ascii="仿宋_GB2312" w:eastAsia="仿宋_GB2312"/>
      <w:kern w:val="2"/>
      <w:sz w:val="32"/>
    </w:rPr>
  </w:style>
  <w:style w:type="character" w:customStyle="1" w:styleId="78">
    <w:name w:val="页眉 Char"/>
    <w:basedOn w:val="41"/>
    <w:link w:val="23"/>
    <w:autoRedefine/>
    <w:qFormat/>
    <w:uiPriority w:val="99"/>
    <w:rPr>
      <w:kern w:val="2"/>
      <w:sz w:val="18"/>
      <w:szCs w:val="18"/>
    </w:rPr>
  </w:style>
  <w:style w:type="character" w:customStyle="1" w:styleId="79">
    <w:name w:val="标题 2 Char"/>
    <w:basedOn w:val="41"/>
    <w:link w:val="3"/>
    <w:autoRedefine/>
    <w:qFormat/>
    <w:uiPriority w:val="0"/>
    <w:rPr>
      <w:rFonts w:ascii="Arial" w:hAnsi="Arial" w:eastAsia="幼圆"/>
      <w:b/>
      <w:kern w:val="2"/>
      <w:sz w:val="44"/>
    </w:rPr>
  </w:style>
  <w:style w:type="character" w:customStyle="1" w:styleId="80">
    <w:name w:val="正文文本 Char"/>
    <w:basedOn w:val="41"/>
    <w:link w:val="12"/>
    <w:autoRedefine/>
    <w:qFormat/>
    <w:uiPriority w:val="0"/>
    <w:rPr>
      <w:rFonts w:ascii="楷体_GB2312" w:eastAsia="楷体_GB2312"/>
      <w:kern w:val="2"/>
      <w:sz w:val="28"/>
    </w:rPr>
  </w:style>
  <w:style w:type="character" w:customStyle="1" w:styleId="81">
    <w:name w:val="纯文本 Char"/>
    <w:basedOn w:val="41"/>
    <w:link w:val="17"/>
    <w:autoRedefine/>
    <w:qFormat/>
    <w:uiPriority w:val="0"/>
    <w:rPr>
      <w:rFonts w:ascii="宋体"/>
      <w:kern w:val="2"/>
      <w:sz w:val="21"/>
    </w:rPr>
  </w:style>
  <w:style w:type="paragraph" w:customStyle="1" w:styleId="82">
    <w:name w:val="标题3"/>
    <w:basedOn w:val="1"/>
    <w:next w:val="1"/>
    <w:autoRedefine/>
    <w:qFormat/>
    <w:uiPriority w:val="0"/>
    <w:rPr>
      <w:rFonts w:eastAsia="方正黑体_GBK"/>
    </w:rPr>
  </w:style>
  <w:style w:type="paragraph" w:customStyle="1" w:styleId="83">
    <w:name w:val="xl83"/>
    <w:basedOn w:val="1"/>
    <w:autoRedefine/>
    <w:qFormat/>
    <w:uiPriority w:val="0"/>
    <w:pPr>
      <w:widowControl/>
      <w:shd w:val="clear" w:color="FFFFFF" w:fill="FFFFFF"/>
      <w:spacing w:before="100" w:beforeAutospacing="1" w:after="100" w:afterAutospacing="1"/>
      <w:jc w:val="left"/>
      <w:textAlignment w:val="top"/>
    </w:pPr>
    <w:rPr>
      <w:rFonts w:ascii="宋体" w:hAnsi="宋体" w:cs="宋体"/>
      <w:kern w:val="0"/>
      <w:sz w:val="24"/>
      <w:u w:val="single"/>
    </w:rPr>
  </w:style>
  <w:style w:type="paragraph" w:customStyle="1" w:styleId="84">
    <w:name w:val="标书正文格式"/>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85">
    <w:name w:val="TOC 标题1"/>
    <w:basedOn w:val="2"/>
    <w:next w:val="1"/>
    <w:autoRedefine/>
    <w:qFormat/>
    <w:uiPriority w:val="0"/>
    <w:pPr>
      <w:keepLines/>
      <w:widowControl/>
      <w:spacing w:before="480" w:line="276" w:lineRule="auto"/>
      <w:jc w:val="left"/>
      <w:outlineLvl w:val="9"/>
    </w:pPr>
    <w:rPr>
      <w:rFonts w:ascii="Cambria" w:hAnsi="Cambria" w:eastAsia="宋体"/>
      <w:b/>
      <w:bCs/>
      <w:color w:val="365F91"/>
      <w:kern w:val="0"/>
      <w:szCs w:val="28"/>
    </w:rPr>
  </w:style>
  <w:style w:type="paragraph" w:customStyle="1" w:styleId="86">
    <w:name w:val="第四级"/>
    <w:basedOn w:val="1"/>
    <w:next w:val="1"/>
    <w:autoRedefine/>
    <w:qFormat/>
    <w:uiPriority w:val="0"/>
    <w:pPr>
      <w:tabs>
        <w:tab w:val="left" w:pos="1134"/>
      </w:tabs>
      <w:adjustRightInd w:val="0"/>
      <w:spacing w:line="360" w:lineRule="auto"/>
      <w:textAlignment w:val="baseline"/>
    </w:pPr>
    <w:rPr>
      <w:rFonts w:ascii="宋体" w:hAnsi="宋体" w:eastAsia="仿宋"/>
      <w:kern w:val="0"/>
      <w:sz w:val="28"/>
      <w:szCs w:val="21"/>
    </w:rPr>
  </w:style>
  <w:style w:type="paragraph" w:customStyle="1" w:styleId="87">
    <w:name w:val="Char Char Char Char1 Char Char Char"/>
    <w:basedOn w:val="9"/>
    <w:autoRedefine/>
    <w:qFormat/>
    <w:uiPriority w:val="0"/>
    <w:pPr>
      <w:adjustRightInd w:val="0"/>
      <w:snapToGrid w:val="0"/>
      <w:spacing w:line="360" w:lineRule="auto"/>
    </w:pPr>
    <w:rPr>
      <w:rFonts w:ascii="Tahoma" w:hAnsi="Tahoma"/>
      <w:sz w:val="24"/>
    </w:rPr>
  </w:style>
  <w:style w:type="paragraph" w:customStyle="1" w:styleId="88">
    <w:name w:val="xl77"/>
    <w:basedOn w:val="1"/>
    <w:autoRedefine/>
    <w:qFormat/>
    <w:uiPriority w:val="0"/>
    <w:pPr>
      <w:widowControl/>
      <w:pBdr>
        <w:top w:val="single" w:color="000000" w:sz="8" w:space="0"/>
        <w:left w:val="single" w:color="000000" w:sz="4" w:space="0"/>
        <w:bottom w:val="single" w:color="000000" w:sz="4" w:space="0"/>
        <w:right w:val="single" w:color="000000" w:sz="8" w:space="0"/>
      </w:pBdr>
      <w:shd w:val="clear" w:color="FFFFFF" w:fill="FFFFFF"/>
      <w:spacing w:before="100" w:beforeAutospacing="1" w:after="100" w:afterAutospacing="1"/>
      <w:jc w:val="center"/>
      <w:textAlignment w:val="center"/>
    </w:pPr>
    <w:rPr>
      <w:rFonts w:ascii="宋体" w:hAnsi="宋体" w:cs="宋体"/>
      <w:kern w:val="0"/>
      <w:sz w:val="20"/>
      <w:szCs w:val="20"/>
    </w:rPr>
  </w:style>
  <w:style w:type="paragraph" w:customStyle="1" w:styleId="89">
    <w:name w:val="xl47"/>
    <w:basedOn w:val="1"/>
    <w:autoRedefine/>
    <w:qFormat/>
    <w:uiPriority w:val="0"/>
    <w:pPr>
      <w:widowControl/>
      <w:spacing w:before="100" w:beforeAutospacing="1" w:after="100" w:afterAutospacing="1"/>
      <w:jc w:val="center"/>
    </w:pPr>
    <w:rPr>
      <w:rFonts w:ascii="方正姚体" w:eastAsia="方正姚体"/>
      <w:b/>
      <w:bCs/>
      <w:kern w:val="0"/>
      <w:sz w:val="36"/>
      <w:szCs w:val="36"/>
    </w:rPr>
  </w:style>
  <w:style w:type="paragraph" w:customStyle="1" w:styleId="90">
    <w:name w:val="标题2"/>
    <w:basedOn w:val="1"/>
    <w:next w:val="1"/>
    <w:autoRedefine/>
    <w:qFormat/>
    <w:uiPriority w:val="0"/>
    <w:pPr>
      <w:jc w:val="center"/>
    </w:pPr>
    <w:rPr>
      <w:rFonts w:eastAsia="方正楷体_GBK"/>
    </w:rPr>
  </w:style>
  <w:style w:type="paragraph" w:customStyle="1" w:styleId="91">
    <w:name w:val="HTML 预先格式化"/>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kern w:val="0"/>
      <w:sz w:val="20"/>
      <w:szCs w:val="20"/>
    </w:rPr>
  </w:style>
  <w:style w:type="paragraph" w:customStyle="1" w:styleId="92">
    <w:name w:val="正文 1.1.1"/>
    <w:basedOn w:val="1"/>
    <w:next w:val="1"/>
    <w:autoRedefine/>
    <w:qFormat/>
    <w:uiPriority w:val="0"/>
    <w:pPr>
      <w:tabs>
        <w:tab w:val="left" w:pos="851"/>
      </w:tabs>
      <w:adjustRightInd w:val="0"/>
      <w:spacing w:line="360" w:lineRule="auto"/>
      <w:textAlignment w:val="baseline"/>
      <w:outlineLvl w:val="2"/>
    </w:pPr>
    <w:rPr>
      <w:rFonts w:ascii="宋体"/>
      <w:color w:val="000000"/>
      <w:kern w:val="0"/>
      <w:sz w:val="28"/>
      <w:szCs w:val="21"/>
    </w:rPr>
  </w:style>
  <w:style w:type="paragraph" w:customStyle="1" w:styleId="93">
    <w:name w:val="默认段落字体 Para Char Char Char Char Char Char Char Char Char1 Char Char Char Char Char Char Char"/>
    <w:basedOn w:val="9"/>
    <w:autoRedefine/>
    <w:qFormat/>
    <w:uiPriority w:val="0"/>
    <w:rPr>
      <w:rFonts w:ascii="Tahoma" w:hAnsi="Tahoma"/>
      <w:sz w:val="24"/>
    </w:rPr>
  </w:style>
  <w:style w:type="paragraph" w:customStyle="1" w:styleId="94">
    <w:name w:val="xl79"/>
    <w:basedOn w:val="1"/>
    <w:autoRedefine/>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center"/>
      <w:textAlignment w:val="center"/>
    </w:pPr>
    <w:rPr>
      <w:rFonts w:ascii="黑体" w:hAnsi="黑体" w:eastAsia="黑体" w:cs="宋体"/>
      <w:kern w:val="0"/>
      <w:sz w:val="20"/>
      <w:szCs w:val="20"/>
    </w:rPr>
  </w:style>
  <w:style w:type="paragraph" w:customStyle="1" w:styleId="95">
    <w:name w:val="xl86"/>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96">
    <w:name w:val="xl69"/>
    <w:basedOn w:val="1"/>
    <w:autoRedefine/>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right"/>
      <w:textAlignment w:val="center"/>
    </w:pPr>
    <w:rPr>
      <w:rFonts w:ascii="宋体" w:hAnsi="宋体" w:cs="宋体"/>
      <w:kern w:val="0"/>
      <w:sz w:val="20"/>
      <w:szCs w:val="20"/>
    </w:rPr>
  </w:style>
  <w:style w:type="paragraph" w:customStyle="1" w:styleId="97">
    <w:name w:val="标题1"/>
    <w:basedOn w:val="1"/>
    <w:next w:val="1"/>
    <w:autoRedefine/>
    <w:qFormat/>
    <w:uiPriority w:val="0"/>
    <w:pPr>
      <w:tabs>
        <w:tab w:val="left" w:pos="9193"/>
        <w:tab w:val="left" w:pos="9827"/>
      </w:tabs>
      <w:spacing w:line="700" w:lineRule="atLeast"/>
      <w:jc w:val="center"/>
    </w:pPr>
    <w:rPr>
      <w:rFonts w:eastAsia="方正小标宋_GBK"/>
      <w:sz w:val="44"/>
    </w:rPr>
  </w:style>
  <w:style w:type="paragraph" w:customStyle="1" w:styleId="98">
    <w:name w:val="正文 第一章"/>
    <w:basedOn w:val="1"/>
    <w:next w:val="99"/>
    <w:autoRedefine/>
    <w:qFormat/>
    <w:uiPriority w:val="0"/>
    <w:pPr>
      <w:pageBreakBefore/>
      <w:tabs>
        <w:tab w:val="left" w:pos="0"/>
      </w:tabs>
      <w:adjustRightInd w:val="0"/>
      <w:spacing w:before="240" w:after="240" w:line="480" w:lineRule="auto"/>
      <w:ind w:left="9351" w:hanging="420"/>
      <w:jc w:val="center"/>
      <w:textAlignment w:val="baseline"/>
      <w:outlineLvl w:val="0"/>
    </w:pPr>
    <w:rPr>
      <w:rFonts w:ascii="黑体" w:eastAsia="黑体"/>
      <w:kern w:val="0"/>
      <w:sz w:val="36"/>
      <w:szCs w:val="21"/>
    </w:rPr>
  </w:style>
  <w:style w:type="paragraph" w:customStyle="1" w:styleId="99">
    <w:name w:val="正文 1.1"/>
    <w:basedOn w:val="1"/>
    <w:next w:val="92"/>
    <w:autoRedefine/>
    <w:qFormat/>
    <w:uiPriority w:val="0"/>
    <w:pPr>
      <w:adjustRightInd w:val="0"/>
      <w:spacing w:line="360" w:lineRule="auto"/>
      <w:ind w:left="350" w:hanging="350" w:hangingChars="350"/>
      <w:textAlignment w:val="baseline"/>
      <w:outlineLvl w:val="1"/>
    </w:pPr>
    <w:rPr>
      <w:rFonts w:ascii="仿宋" w:eastAsia="仿宋"/>
      <w:b/>
      <w:kern w:val="0"/>
      <w:sz w:val="28"/>
      <w:szCs w:val="21"/>
    </w:rPr>
  </w:style>
  <w:style w:type="paragraph" w:customStyle="1" w:styleId="100">
    <w:name w:val="Char1"/>
    <w:basedOn w:val="1"/>
    <w:autoRedefine/>
    <w:qFormat/>
    <w:uiPriority w:val="0"/>
    <w:pPr>
      <w:tabs>
        <w:tab w:val="left" w:pos="360"/>
      </w:tabs>
    </w:pPr>
    <w:rPr>
      <w:sz w:val="24"/>
    </w:rPr>
  </w:style>
  <w:style w:type="paragraph" w:customStyle="1" w:styleId="101">
    <w:name w:val="xl43"/>
    <w:basedOn w:val="1"/>
    <w:autoRedefine/>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102">
    <w:name w:val="xl74"/>
    <w:basedOn w:val="1"/>
    <w:autoRedefine/>
    <w:qFormat/>
    <w:uiPriority w:val="0"/>
    <w:pPr>
      <w:widowControl/>
      <w:shd w:val="clear" w:color="FFFFFF" w:fill="FFFFFF"/>
      <w:spacing w:before="100" w:beforeAutospacing="1" w:after="100" w:afterAutospacing="1"/>
      <w:jc w:val="right"/>
    </w:pPr>
    <w:rPr>
      <w:rFonts w:ascii="宋体" w:hAnsi="宋体" w:cs="宋体"/>
      <w:kern w:val="0"/>
      <w:sz w:val="20"/>
      <w:szCs w:val="20"/>
    </w:rPr>
  </w:style>
  <w:style w:type="paragraph" w:customStyle="1" w:styleId="103">
    <w:name w:val="xl67"/>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right"/>
      <w:textAlignment w:val="center"/>
    </w:pPr>
    <w:rPr>
      <w:rFonts w:ascii="宋体" w:hAnsi="宋体" w:cs="宋体"/>
      <w:kern w:val="0"/>
      <w:sz w:val="20"/>
      <w:szCs w:val="20"/>
    </w:rPr>
  </w:style>
  <w:style w:type="paragraph" w:customStyle="1" w:styleId="104">
    <w:name w:val="列出段落3"/>
    <w:basedOn w:val="1"/>
    <w:autoRedefine/>
    <w:qFormat/>
    <w:uiPriority w:val="0"/>
    <w:pPr>
      <w:ind w:firstLine="420" w:firstLineChars="200"/>
    </w:pPr>
    <w:rPr>
      <w:rFonts w:ascii="Calibri" w:hAnsi="Calibri"/>
      <w:szCs w:val="22"/>
    </w:rPr>
  </w:style>
  <w:style w:type="paragraph" w:customStyle="1" w:styleId="105">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rPr>
  </w:style>
  <w:style w:type="paragraph" w:styleId="106">
    <w:name w:val="List Paragraph"/>
    <w:basedOn w:val="1"/>
    <w:autoRedefine/>
    <w:qFormat/>
    <w:uiPriority w:val="0"/>
    <w:pPr>
      <w:ind w:firstLine="200" w:firstLineChars="200"/>
    </w:pPr>
    <w:rPr>
      <w:rFonts w:ascii="Calibri" w:hAnsi="Calibri"/>
      <w:szCs w:val="22"/>
    </w:rPr>
  </w:style>
  <w:style w:type="paragraph" w:customStyle="1" w:styleId="107">
    <w:name w:val="列出段落2"/>
    <w:basedOn w:val="1"/>
    <w:autoRedefine/>
    <w:qFormat/>
    <w:uiPriority w:val="0"/>
    <w:pPr>
      <w:ind w:firstLine="420" w:firstLineChars="200"/>
    </w:pPr>
    <w:rPr>
      <w:rFonts w:ascii="Calibri" w:hAnsi="Calibri"/>
      <w:szCs w:val="22"/>
    </w:rPr>
  </w:style>
  <w:style w:type="paragraph" w:customStyle="1" w:styleId="108">
    <w:name w:val="xl71"/>
    <w:basedOn w:val="1"/>
    <w:autoRedefine/>
    <w:qFormat/>
    <w:uiPriority w:val="0"/>
    <w:pPr>
      <w:widowControl/>
      <w:shd w:val="clear" w:color="FFFFFF" w:fill="FFFFFF"/>
      <w:spacing w:before="100" w:beforeAutospacing="1" w:after="100" w:afterAutospacing="1"/>
      <w:jc w:val="center"/>
      <w:textAlignment w:val="center"/>
    </w:pPr>
    <w:rPr>
      <w:rFonts w:ascii="宋体" w:hAnsi="宋体" w:cs="宋体"/>
      <w:b/>
      <w:bCs/>
      <w:kern w:val="0"/>
      <w:sz w:val="40"/>
      <w:szCs w:val="40"/>
    </w:rPr>
  </w:style>
  <w:style w:type="paragraph" w:customStyle="1" w:styleId="109">
    <w:name w:val="xl81"/>
    <w:basedOn w:val="1"/>
    <w:autoRedefine/>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110">
    <w:name w:val="xl80"/>
    <w:basedOn w:val="1"/>
    <w:autoRedefine/>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0"/>
      <w:szCs w:val="20"/>
    </w:rPr>
  </w:style>
  <w:style w:type="paragraph" w:customStyle="1" w:styleId="111">
    <w:name w:val="xl73"/>
    <w:basedOn w:val="1"/>
    <w:autoRedefine/>
    <w:qFormat/>
    <w:uiPriority w:val="0"/>
    <w:pPr>
      <w:widowControl/>
      <w:shd w:val="clear" w:color="FFFFFF" w:fill="FFFFFF"/>
      <w:spacing w:before="100" w:beforeAutospacing="1" w:after="100" w:afterAutospacing="1"/>
      <w:jc w:val="left"/>
    </w:pPr>
    <w:rPr>
      <w:rFonts w:ascii="宋体" w:hAnsi="宋体" w:cs="宋体"/>
      <w:kern w:val="0"/>
      <w:sz w:val="20"/>
      <w:szCs w:val="20"/>
    </w:rPr>
  </w:style>
  <w:style w:type="paragraph" w:customStyle="1" w:styleId="112">
    <w:name w:val="BioQuote Tekst"/>
    <w:basedOn w:val="1"/>
    <w:autoRedefine/>
    <w:qFormat/>
    <w:uiPriority w:val="0"/>
    <w:pPr>
      <w:ind w:right="-1"/>
    </w:pPr>
    <w:rPr>
      <w:rFonts w:ascii="Arial" w:hAnsi="Arial"/>
      <w:snapToGrid w:val="0"/>
      <w:kern w:val="0"/>
      <w:sz w:val="22"/>
      <w:szCs w:val="20"/>
      <w:lang w:eastAsia="en-US"/>
    </w:rPr>
  </w:style>
  <w:style w:type="paragraph" w:customStyle="1" w:styleId="113">
    <w:name w:val="xl65"/>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0"/>
      <w:szCs w:val="20"/>
    </w:rPr>
  </w:style>
  <w:style w:type="paragraph" w:customStyle="1" w:styleId="114">
    <w:name w:val="xl75"/>
    <w:basedOn w:val="1"/>
    <w:autoRedefine/>
    <w:qFormat/>
    <w:uiPriority w:val="0"/>
    <w:pPr>
      <w:widowControl/>
      <w:pBdr>
        <w:top w:val="single" w:color="000000" w:sz="8"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0"/>
      <w:szCs w:val="20"/>
    </w:rPr>
  </w:style>
  <w:style w:type="paragraph" w:customStyle="1" w:styleId="115">
    <w:name w:val="xl87"/>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黑体" w:hAnsi="黑体" w:eastAsia="黑体" w:cs="宋体"/>
      <w:kern w:val="0"/>
      <w:sz w:val="20"/>
      <w:szCs w:val="20"/>
    </w:rPr>
  </w:style>
  <w:style w:type="paragraph" w:customStyle="1" w:styleId="116">
    <w:name w:val="xl78"/>
    <w:basedOn w:val="1"/>
    <w:autoRedefine/>
    <w:qFormat/>
    <w:uiPriority w:val="0"/>
    <w:pPr>
      <w:widowControl/>
      <w:pBdr>
        <w:top w:val="single" w:color="000000" w:sz="4" w:space="0"/>
        <w:left w:val="single" w:color="000000" w:sz="8" w:space="0"/>
        <w:bottom w:val="single" w:color="000000" w:sz="8"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0"/>
      <w:szCs w:val="20"/>
    </w:rPr>
  </w:style>
  <w:style w:type="paragraph" w:customStyle="1" w:styleId="117">
    <w:name w:val="正文格式"/>
    <w:basedOn w:val="16"/>
    <w:autoRedefine/>
    <w:qFormat/>
    <w:uiPriority w:val="0"/>
    <w:pPr>
      <w:tabs>
        <w:tab w:val="right" w:leader="dot" w:pos="8296"/>
        <w:tab w:val="clear" w:pos="9440"/>
      </w:tabs>
      <w:spacing w:line="360" w:lineRule="auto"/>
      <w:ind w:left="0" w:firstLine="200" w:firstLineChars="200"/>
      <w:jc w:val="both"/>
    </w:pPr>
    <w:rPr>
      <w:rFonts w:ascii="微软雅黑" w:hAnsi="微软雅黑" w:eastAsia="微软雅黑"/>
      <w:iCs w:val="0"/>
      <w:szCs w:val="22"/>
    </w:rPr>
  </w:style>
  <w:style w:type="paragraph" w:customStyle="1" w:styleId="118">
    <w:name w:val="Char"/>
    <w:basedOn w:val="1"/>
    <w:autoRedefine/>
    <w:qFormat/>
    <w:uiPriority w:val="0"/>
    <w:rPr>
      <w:rFonts w:ascii="Tahoma" w:hAnsi="Tahoma"/>
      <w:snapToGrid w:val="0"/>
      <w:sz w:val="24"/>
      <w:szCs w:val="20"/>
    </w:rPr>
  </w:style>
  <w:style w:type="paragraph" w:customStyle="1" w:styleId="119">
    <w:name w:val="Table Text"/>
    <w:autoRedefine/>
    <w:qFormat/>
    <w:uiPriority w:val="0"/>
    <w:pPr>
      <w:snapToGrid w:val="0"/>
      <w:spacing w:beforeLines="50" w:after="80"/>
      <w:jc w:val="center"/>
    </w:pPr>
    <w:rPr>
      <w:rFonts w:ascii="仿宋_GB2312" w:hAnsi="Times New Roman" w:eastAsia="仿宋_GB2312" w:cs="Times New Roman"/>
      <w:sz w:val="24"/>
      <w:lang w:val="en-US" w:eastAsia="zh-CN" w:bidi="ar-SA"/>
    </w:rPr>
  </w:style>
  <w:style w:type="paragraph" w:customStyle="1" w:styleId="120">
    <w:name w:val="列出段落1"/>
    <w:basedOn w:val="1"/>
    <w:autoRedefine/>
    <w:qFormat/>
    <w:uiPriority w:val="0"/>
    <w:pPr>
      <w:widowControl/>
      <w:ind w:left="720"/>
      <w:contextualSpacing/>
      <w:jc w:val="left"/>
    </w:pPr>
    <w:rPr>
      <w:rFonts w:ascii="Calibri" w:hAnsi="Calibri"/>
      <w:kern w:val="0"/>
      <w:sz w:val="24"/>
      <w:lang w:eastAsia="en-US" w:bidi="en-US"/>
    </w:rPr>
  </w:style>
  <w:style w:type="paragraph" w:customStyle="1" w:styleId="121">
    <w:name w:val="xl88"/>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122">
    <w:name w:val="xl72"/>
    <w:basedOn w:val="1"/>
    <w:autoRedefine/>
    <w:qFormat/>
    <w:uiPriority w:val="0"/>
    <w:pPr>
      <w:widowControl/>
      <w:shd w:val="clear" w:color="FFFFFF" w:fill="FFFFFF"/>
      <w:spacing w:before="100" w:beforeAutospacing="1" w:after="100" w:afterAutospacing="1"/>
      <w:jc w:val="right"/>
      <w:textAlignment w:val="center"/>
    </w:pPr>
    <w:rPr>
      <w:rFonts w:ascii="宋体" w:hAnsi="宋体" w:cs="宋体"/>
      <w:b/>
      <w:bCs/>
      <w:kern w:val="0"/>
      <w:sz w:val="40"/>
      <w:szCs w:val="40"/>
    </w:rPr>
  </w:style>
  <w:style w:type="paragraph" w:customStyle="1" w:styleId="123">
    <w:name w:val="正文空2格  1."/>
    <w:basedOn w:val="1"/>
    <w:autoRedefine/>
    <w:qFormat/>
    <w:uiPriority w:val="0"/>
    <w:pPr>
      <w:adjustRightInd w:val="0"/>
      <w:spacing w:line="360" w:lineRule="auto"/>
      <w:ind w:firstLine="200" w:firstLineChars="200"/>
      <w:textAlignment w:val="baseline"/>
    </w:pPr>
    <w:rPr>
      <w:rFonts w:ascii="宋体" w:hAnsi="宋体" w:eastAsia="仿宋" w:cs="宋体"/>
      <w:kern w:val="0"/>
      <w:sz w:val="28"/>
      <w:szCs w:val="20"/>
    </w:rPr>
  </w:style>
  <w:style w:type="paragraph" w:customStyle="1" w:styleId="124">
    <w:name w:val="附录1"/>
    <w:autoRedefine/>
    <w:qFormat/>
    <w:uiPriority w:val="0"/>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125">
    <w:name w:val="Coms Alinea"/>
    <w:autoRedefine/>
    <w:qFormat/>
    <w:uiPriority w:val="0"/>
    <w:pPr>
      <w:widowControl w:val="0"/>
    </w:pPr>
    <w:rPr>
      <w:rFonts w:ascii="Arial" w:hAnsi="Arial" w:eastAsia="宋体" w:cs="Arial"/>
      <w:lang w:val="en-US" w:eastAsia="zh-CN" w:bidi="ar-SA"/>
    </w:rPr>
  </w:style>
  <w:style w:type="paragraph" w:customStyle="1" w:styleId="126">
    <w:name w:val="xl70"/>
    <w:basedOn w:val="1"/>
    <w:autoRedefine/>
    <w:qFormat/>
    <w:uiPriority w:val="0"/>
    <w:pPr>
      <w:widowControl/>
      <w:pBdr>
        <w:top w:val="single" w:color="000000" w:sz="4" w:space="0"/>
        <w:left w:val="single" w:color="000000" w:sz="4" w:space="0"/>
        <w:bottom w:val="single" w:color="000000" w:sz="8" w:space="0"/>
        <w:right w:val="single" w:color="000000" w:sz="8" w:space="0"/>
      </w:pBdr>
      <w:shd w:val="clear" w:color="FFFFFF" w:fill="FFFFFF"/>
      <w:spacing w:before="100" w:beforeAutospacing="1" w:after="100" w:afterAutospacing="1"/>
      <w:jc w:val="right"/>
      <w:textAlignment w:val="center"/>
    </w:pPr>
    <w:rPr>
      <w:rFonts w:ascii="宋体" w:hAnsi="宋体" w:cs="宋体"/>
      <w:kern w:val="0"/>
      <w:sz w:val="20"/>
      <w:szCs w:val="20"/>
    </w:rPr>
  </w:style>
  <w:style w:type="paragraph" w:customStyle="1" w:styleId="127">
    <w:name w:val="xl66"/>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left"/>
      <w:textAlignment w:val="center"/>
    </w:pPr>
    <w:rPr>
      <w:rFonts w:ascii="宋体" w:hAnsi="宋体" w:cs="宋体"/>
      <w:kern w:val="0"/>
      <w:sz w:val="20"/>
      <w:szCs w:val="20"/>
    </w:rPr>
  </w:style>
  <w:style w:type="paragraph" w:customStyle="1" w:styleId="128">
    <w:name w:val="xl64"/>
    <w:basedOn w:val="1"/>
    <w:autoRedefine/>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0"/>
      <w:szCs w:val="20"/>
    </w:rPr>
  </w:style>
  <w:style w:type="paragraph" w:customStyle="1" w:styleId="129">
    <w:name w:val="xl85"/>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黑体" w:hAnsi="黑体" w:eastAsia="黑体" w:cs="宋体"/>
      <w:kern w:val="0"/>
      <w:sz w:val="20"/>
      <w:szCs w:val="20"/>
    </w:rPr>
  </w:style>
  <w:style w:type="paragraph" w:customStyle="1" w:styleId="130">
    <w:name w:val="xl68"/>
    <w:basedOn w:val="1"/>
    <w:autoRedefine/>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center"/>
      <w:textAlignment w:val="center"/>
    </w:pPr>
    <w:rPr>
      <w:rFonts w:ascii="宋体" w:hAnsi="宋体" w:cs="宋体"/>
      <w:kern w:val="0"/>
      <w:sz w:val="20"/>
      <w:szCs w:val="20"/>
    </w:rPr>
  </w:style>
  <w:style w:type="paragraph" w:customStyle="1" w:styleId="131">
    <w:name w:val="xl84"/>
    <w:basedOn w:val="1"/>
    <w:autoRedefine/>
    <w:qFormat/>
    <w:uiPriority w:val="0"/>
    <w:pPr>
      <w:widowControl/>
      <w:shd w:val="clear" w:color="FFFFFF" w:fill="FFFFFF"/>
      <w:spacing w:before="100" w:beforeAutospacing="1" w:after="100" w:afterAutospacing="1"/>
      <w:jc w:val="right"/>
      <w:textAlignment w:val="top"/>
    </w:pPr>
    <w:rPr>
      <w:rFonts w:ascii="宋体" w:hAnsi="宋体" w:cs="宋体"/>
      <w:kern w:val="0"/>
      <w:sz w:val="24"/>
    </w:rPr>
  </w:style>
  <w:style w:type="paragraph" w:customStyle="1" w:styleId="132">
    <w:name w:val="Char Char Char Char"/>
    <w:basedOn w:val="9"/>
    <w:autoRedefine/>
    <w:qFormat/>
    <w:uiPriority w:val="0"/>
    <w:pPr>
      <w:adjustRightInd w:val="0"/>
      <w:snapToGrid w:val="0"/>
      <w:spacing w:line="360" w:lineRule="auto"/>
    </w:pPr>
    <w:rPr>
      <w:rFonts w:ascii="Tahoma" w:hAnsi="Tahoma"/>
      <w:sz w:val="24"/>
    </w:rPr>
  </w:style>
  <w:style w:type="paragraph" w:customStyle="1" w:styleId="133">
    <w:name w:val="xl82"/>
    <w:basedOn w:val="1"/>
    <w:autoRedefine/>
    <w:qFormat/>
    <w:uiPriority w:val="0"/>
    <w:pPr>
      <w:widowControl/>
      <w:shd w:val="clear" w:color="FFFFFF" w:fill="FFFFFF"/>
      <w:spacing w:before="100" w:beforeAutospacing="1" w:after="100" w:afterAutospacing="1"/>
      <w:jc w:val="left"/>
      <w:textAlignment w:val="top"/>
    </w:pPr>
    <w:rPr>
      <w:rFonts w:ascii="宋体" w:hAnsi="宋体" w:cs="宋体"/>
      <w:kern w:val="0"/>
      <w:sz w:val="24"/>
    </w:rPr>
  </w:style>
  <w:style w:type="paragraph" w:customStyle="1" w:styleId="134">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135">
    <w:name w:val="xl3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kern w:val="0"/>
      <w:sz w:val="24"/>
    </w:rPr>
  </w:style>
  <w:style w:type="paragraph" w:customStyle="1" w:styleId="136">
    <w:name w:val="xl76"/>
    <w:basedOn w:val="1"/>
    <w:autoRedefine/>
    <w:qFormat/>
    <w:uiPriority w:val="0"/>
    <w:pPr>
      <w:widowControl/>
      <w:pBdr>
        <w:top w:val="single" w:color="000000" w:sz="8"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0"/>
      <w:szCs w:val="20"/>
    </w:rPr>
  </w:style>
  <w:style w:type="paragraph" w:customStyle="1" w:styleId="137">
    <w:name w:val="正文_1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8">
    <w:name w:val="Char Char Char Char1 Char Char"/>
    <w:basedOn w:val="1"/>
    <w:autoRedefine/>
    <w:qFormat/>
    <w:uiPriority w:val="0"/>
    <w:pPr>
      <w:tabs>
        <w:tab w:val="left" w:pos="360"/>
      </w:tabs>
    </w:pPr>
    <w:rPr>
      <w:sz w:val="24"/>
    </w:rPr>
  </w:style>
  <w:style w:type="paragraph" w:customStyle="1" w:styleId="139">
    <w:name w:val="首行缩进"/>
    <w:basedOn w:val="1"/>
    <w:autoRedefine/>
    <w:qFormat/>
    <w:uiPriority w:val="0"/>
    <w:pPr>
      <w:ind w:firstLine="480" w:firstLineChars="200"/>
    </w:pPr>
    <w:rPr>
      <w:lang w:val="zh-CN"/>
    </w:rPr>
  </w:style>
  <w:style w:type="paragraph" w:customStyle="1" w:styleId="140">
    <w:name w:val="样式 标题 2 + 黑色 行距: 1.5 倍行距"/>
    <w:basedOn w:val="3"/>
    <w:autoRedefine/>
    <w:qFormat/>
    <w:uiPriority w:val="0"/>
    <w:pPr>
      <w:spacing w:line="360" w:lineRule="auto"/>
    </w:pPr>
    <w:rPr>
      <w:rFonts w:eastAsia="宋体"/>
      <w:color w:val="000000"/>
    </w:rPr>
  </w:style>
  <w:style w:type="character" w:customStyle="1" w:styleId="141">
    <w:name w:val="hover"/>
    <w:basedOn w:val="41"/>
    <w:autoRedefine/>
    <w:qFormat/>
    <w:uiPriority w:val="0"/>
    <w:rPr>
      <w:color w:val="5FB878"/>
    </w:rPr>
  </w:style>
  <w:style w:type="character" w:customStyle="1" w:styleId="142">
    <w:name w:val="hover1"/>
    <w:basedOn w:val="41"/>
    <w:autoRedefine/>
    <w:qFormat/>
    <w:uiPriority w:val="0"/>
    <w:rPr>
      <w:color w:val="FFFFFF"/>
    </w:rPr>
  </w:style>
  <w:style w:type="character" w:customStyle="1" w:styleId="143">
    <w:name w:val="hover2"/>
    <w:basedOn w:val="41"/>
    <w:autoRedefine/>
    <w:qFormat/>
    <w:uiPriority w:val="0"/>
    <w:rPr>
      <w:color w:val="5FB878"/>
    </w:rPr>
  </w:style>
  <w:style w:type="paragraph" w:customStyle="1" w:styleId="144">
    <w:name w:val="正文首行缩进11"/>
    <w:basedOn w:val="145"/>
    <w:next w:val="1"/>
    <w:autoRedefine/>
    <w:unhideWhenUsed/>
    <w:qFormat/>
    <w:uiPriority w:val="99"/>
    <w:pPr>
      <w:ind w:firstLine="420"/>
    </w:pPr>
    <w:rPr>
      <w:szCs w:val="24"/>
    </w:rPr>
  </w:style>
  <w:style w:type="paragraph" w:customStyle="1" w:styleId="145">
    <w:name w:val="正文文本111"/>
    <w:basedOn w:val="1"/>
    <w:next w:val="1"/>
    <w:autoRedefine/>
    <w:qFormat/>
    <w:uiPriority w:val="0"/>
    <w:rPr>
      <w:rFonts w:eastAsia="楷体_GB2312"/>
      <w:b/>
      <w:bCs/>
      <w:color w:val="FF0000"/>
      <w:sz w:val="32"/>
      <w:szCs w:val="32"/>
      <w:lang w:val="zh-CN"/>
    </w:rPr>
  </w:style>
  <w:style w:type="paragraph" w:customStyle="1" w:styleId="146">
    <w:name w:val="页脚1"/>
    <w:basedOn w:val="1"/>
    <w:qFormat/>
    <w:uiPriority w:val="0"/>
    <w:pPr>
      <w:tabs>
        <w:tab w:val="center" w:pos="4153"/>
        <w:tab w:val="right" w:pos="8306"/>
      </w:tabs>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http://www.deepbbs.org</Company>
  <Pages>49</Pages>
  <Words>955</Words>
  <Characters>1033</Characters>
  <Lines>217</Lines>
  <Paragraphs>61</Paragraphs>
  <TotalTime>3</TotalTime>
  <ScaleCrop>false</ScaleCrop>
  <LinksUpToDate>false</LinksUpToDate>
  <CharactersWithSpaces>1074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2023-04-23T06:54:00Z</dcterms:created>
  <dc:creator>cgzx</dc:creator>
  <cp:lastModifiedBy>其实都一样</cp:lastModifiedBy>
  <cp:lastPrinted>2020-09-04T10:31:00Z</cp:lastPrinted>
  <dcterms:modified xsi:type="dcterms:W3CDTF">2026-04-14T03:19:10Z</dcterms:modified>
  <dc:title>总  目  录</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SaveFontToCloudKey">
    <vt:lpwstr>462357053_btnclosed</vt:lpwstr>
  </property>
  <property fmtid="{D5CDD505-2E9C-101B-9397-08002B2CF9AE}" pid="4" name="ICV">
    <vt:lpwstr>4B8FBD17D29A4F338925F0B5480954EB</vt:lpwstr>
  </property>
  <property fmtid="{D5CDD505-2E9C-101B-9397-08002B2CF9AE}" pid="5" name="KSOTemplateDocerSaveRecord">
    <vt:lpwstr>eyJoZGlkIjoiYjE1YThlY2IxMWE4NDMzMzAwYzUwMDgzNTUyZDBmODIiLCJ1c2VySWQiOiI0NDQwNTE1ODkifQ==</vt:lpwstr>
  </property>
</Properties>
</file>