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0"/>
        <w:jc w:val="center"/>
        <w:rPr>
          <w:rFonts w:ascii="Times New Roman" w:eastAsia="宋体" w:cs="Times New Roman"/>
          <w:b/>
          <w:bCs/>
          <w:color w:val="000000"/>
          <w:sz w:val="84"/>
          <w:szCs w:val="84"/>
        </w:rPr>
      </w:pPr>
      <w:r/>
      <w:bookmarkStart w:id="0" w:name="_Toc390246905"/>
      <w:r/>
      <w:bookmarkStart w:id="1" w:name="_Toc390099018"/>
      <w:r/>
      <w:bookmarkStart w:id="2" w:name="_Toc383625993"/>
      <w:r/>
      <w:bookmarkStart w:id="3" w:name="_Toc383623944"/>
      <w:r/>
      <w:bookmarkStart w:id="4" w:name="_Toc390098840"/>
      <w:r/>
      <w:bookmarkStart w:id="5" w:name="_Toc426469868"/>
      <w:r/>
      <w:bookmarkStart w:id="6" w:name="_Toc383698647"/>
      <w:r/>
      <w:bookmarkStart w:id="7" w:name="_Toc383587456"/>
      <w:r/>
      <w:bookmarkStart w:id="8" w:name="_Toc383623672"/>
      <w:r/>
      <w:bookmarkStart w:id="9" w:name="_Toc383679746"/>
      <w:r>
        <w:rPr>
          <w:rFonts w:hint="eastAsia" w:ascii="Times New Roman" w:eastAsia="宋体" w:cs="Times New Roman"/>
          <w:b/>
          <w:bCs/>
          <w:color w:val="000000"/>
          <w:sz w:val="84"/>
          <w:szCs w:val="84"/>
        </w:rPr>
        <w:t xml:space="preserve"> </w:t>
      </w:r>
      <w:r>
        <w:rPr>
          <w:rFonts w:ascii="Times New Roman" w:eastAsia="宋体" w:cs="Times New Roman"/>
          <w:b/>
          <w:bCs/>
          <w:color w:val="000000"/>
          <w:sz w:val="84"/>
          <w:szCs w:val="84"/>
        </w:rPr>
      </w:r>
      <w:r/>
    </w:p>
    <w:p>
      <w:pPr>
        <w:pStyle w:val="1010"/>
        <w:jc w:val="center"/>
        <w:rPr>
          <w:rFonts w:ascii="Times New Roman" w:eastAsia="宋体" w:cs="Times New Roman"/>
          <w:b/>
          <w:bCs/>
          <w:color w:val="000000"/>
          <w:sz w:val="84"/>
          <w:szCs w:val="84"/>
        </w:rPr>
      </w:pPr>
      <w:r>
        <w:rPr>
          <w:rFonts w:hint="eastAsia" w:ascii="Times New Roman" w:eastAsia="宋体" w:cs="Times New Roman"/>
          <w:b/>
          <w:bCs/>
          <w:color w:val="000000"/>
          <w:sz w:val="84"/>
          <w:szCs w:val="84"/>
        </w:rPr>
        <w:t xml:space="preserve">竞争性磋商文件</w:t>
      </w:r>
      <w:r>
        <w:rPr>
          <w:rFonts w:ascii="Times New Roman" w:eastAsia="宋体" w:cs="Times New Roman"/>
          <w:b/>
          <w:bCs/>
          <w:color w:val="000000"/>
          <w:sz w:val="84"/>
          <w:szCs w:val="84"/>
        </w:rPr>
      </w:r>
      <w:r/>
    </w:p>
    <w:p>
      <w:pPr>
        <w:pStyle w:val="1010"/>
        <w:spacing w:line="540" w:lineRule="exact"/>
        <w:rPr>
          <w:rFonts w:ascii="Times New Roman" w:eastAsia="宋体" w:cs="Times New Roman"/>
          <w:b/>
          <w:bCs/>
          <w:color w:val="000000"/>
          <w:sz w:val="32"/>
          <w:szCs w:val="32"/>
        </w:rPr>
      </w:pPr>
      <w:r>
        <w:rPr>
          <w:rFonts w:ascii="Times New Roman" w:eastAsia="宋体" w:cs="Times New Roman"/>
          <w:b/>
          <w:bCs/>
          <w:color w:val="000000"/>
          <w:sz w:val="32"/>
          <w:szCs w:val="32"/>
        </w:rPr>
      </w:r>
      <w:r/>
    </w:p>
    <w:p>
      <w:pPr>
        <w:pStyle w:val="1010"/>
        <w:spacing w:line="540" w:lineRule="exact"/>
        <w:rPr>
          <w:rFonts w:ascii="Times New Roman" w:eastAsia="宋体" w:cs="Times New Roman"/>
          <w:b/>
          <w:bCs/>
          <w:color w:val="000000"/>
          <w:sz w:val="32"/>
          <w:szCs w:val="32"/>
        </w:rPr>
      </w:pPr>
      <w:r>
        <w:rPr>
          <w:rFonts w:ascii="Times New Roman" w:eastAsia="宋体" w:cs="Times New Roman"/>
          <w:b/>
          <w:bCs/>
          <w:color w:val="000000"/>
          <w:sz w:val="32"/>
          <w:szCs w:val="32"/>
        </w:rPr>
      </w:r>
      <w:r/>
    </w:p>
    <w:p>
      <w:pPr>
        <w:pStyle w:val="1010"/>
        <w:spacing w:line="540" w:lineRule="exact"/>
        <w:rPr>
          <w:rFonts w:ascii="Times New Roman" w:eastAsia="宋体" w:cs="Times New Roman"/>
          <w:b/>
          <w:bCs/>
          <w:color w:val="000000"/>
          <w:sz w:val="32"/>
          <w:szCs w:val="32"/>
        </w:rPr>
      </w:pPr>
      <w:r>
        <w:rPr>
          <w:rFonts w:ascii="Times New Roman" w:eastAsia="宋体" w:cs="Times New Roman"/>
          <w:b/>
          <w:bCs/>
          <w:color w:val="000000"/>
          <w:sz w:val="32"/>
          <w:szCs w:val="32"/>
        </w:rPr>
        <w:t xml:space="preserve">                         </w:t>
      </w:r>
      <w:r>
        <w:rPr>
          <w:rFonts w:ascii="Times New Roman" w:eastAsia="宋体" w:cs="Times New Roman"/>
          <w:b/>
          <w:bCs/>
          <w:color w:val="000000"/>
          <w:sz w:val="32"/>
          <w:szCs w:val="32"/>
        </w:rPr>
        <w:t xml:space="preserve">                                                                                                                                                                                                                                                                </w:t>
      </w:r>
      <w:r>
        <w:rPr>
          <w:rFonts w:ascii="Times New Roman" w:eastAsia="宋体" w:cs="Times New Roman"/>
          <w:b/>
          <w:bCs/>
          <w:color w:val="000000"/>
          <w:sz w:val="32"/>
          <w:szCs w:val="32"/>
        </w:rPr>
        <w:t xml:space="preserve">                                                                                                                                                                                                                                                                </w:t>
      </w:r>
      <w:r>
        <w:rPr>
          <w:rFonts w:ascii="Times New Roman" w:eastAsia="宋体" w:cs="Times New Roman"/>
          <w:b/>
          <w:bCs/>
          <w:color w:val="000000"/>
          <w:sz w:val="32"/>
          <w:szCs w:val="32"/>
        </w:rPr>
        <w:t xml:space="preserve">                                                                                                                                                                                                                                                                </w:t>
      </w:r>
      <w:r>
        <w:rPr>
          <w:rFonts w:ascii="Times New Roman" w:eastAsia="宋体" w:cs="Times New Roman"/>
          <w:b/>
          <w:bCs/>
          <w:color w:val="000000"/>
          <w:sz w:val="32"/>
          <w:szCs w:val="32"/>
        </w:rPr>
        <w:t xml:space="preserve">                                                                                                                                                                                                                                                                </w:t>
      </w:r>
      <w:r>
        <w:rPr>
          <w:rFonts w:ascii="Times New Roman" w:eastAsia="宋体" w:cs="Times New Roman"/>
          <w:b/>
          <w:bCs/>
          <w:color w:val="000000"/>
          <w:sz w:val="32"/>
          <w:szCs w:val="32"/>
        </w:rPr>
        <w:t xml:space="preserve">                                                                                                                                                                                                                                                                </w:t>
      </w:r>
      <w:r>
        <w:rPr>
          <w:rFonts w:ascii="Times New Roman" w:eastAsia="宋体" w:cs="Times New Roman"/>
          <w:b/>
          <w:bCs/>
          <w:color w:val="000000"/>
          <w:sz w:val="32"/>
          <w:szCs w:val="32"/>
        </w:rPr>
        <w:t xml:space="preserve">                                                                                                                                                                                                                                                                </w:t>
      </w:r>
      <w:r/>
    </w:p>
    <w:p>
      <w:pPr>
        <w:pStyle w:val="961"/>
        <w:ind w:left="1648" w:hanging="1648"/>
        <w:jc w:val="left"/>
        <w:spacing w:before="156" w:line="360" w:lineRule="auto"/>
        <w:widowControl/>
        <w:rPr>
          <w:rFonts w:hint="eastAsia"/>
          <w:b/>
          <w:bCs/>
          <w:sz w:val="32"/>
          <w:szCs w:val="32"/>
        </w:rPr>
      </w:pPr>
      <w:r>
        <w:rPr>
          <w:rFonts w:hint="eastAsia"/>
          <w:b/>
          <w:bCs/>
          <w:sz w:val="32"/>
          <w:szCs w:val="32"/>
        </w:rPr>
        <w:t xml:space="preserve">项目名称：</w:t>
      </w:r>
      <w:bookmarkStart w:id="13" w:name="OLE_LINK149"/>
      <w:r/>
      <w:bookmarkStart w:id="14" w:name="OLE_LINK152"/>
      <w:r/>
      <w:bookmarkStart w:id="15" w:name="OLE_LINK151"/>
      <w:r/>
      <w:bookmarkStart w:id="16" w:name="OLE_LINK150"/>
      <w:r/>
      <w:bookmarkStart w:id="17" w:name="OLE_LINK17"/>
      <w:r/>
      <w:bookmarkStart w:id="18" w:name="OLE_LINK192"/>
      <w:r>
        <w:rPr>
          <w:rFonts w:hint="eastAsia"/>
          <w:b/>
          <w:bCs/>
          <w:sz w:val="32"/>
          <w:szCs w:val="32"/>
        </w:rPr>
        <w:t xml:space="preserve">泰兴市急救中心</w:t>
      </w:r>
      <w:bookmarkEnd w:id="13"/>
      <w:r/>
      <w:bookmarkEnd w:id="16"/>
      <w:r>
        <w:rPr>
          <w:rFonts w:hint="eastAsia"/>
          <w:b/>
          <w:bCs/>
          <w:sz w:val="32"/>
          <w:szCs w:val="32"/>
        </w:rPr>
        <w:t xml:space="preserve">劳务外包服务项目</w:t>
      </w:r>
      <w:bookmarkEnd w:id="14"/>
      <w:r/>
      <w:bookmarkEnd w:id="15"/>
      <w:r/>
      <w:bookmarkEnd w:id="17"/>
      <w:r/>
      <w:bookmarkEnd w:id="18"/>
      <w:r>
        <w:rPr>
          <w:rFonts w:hint="eastAsia"/>
          <w:b/>
          <w:bCs/>
          <w:sz w:val="32"/>
          <w:szCs w:val="32"/>
        </w:rPr>
      </w:r>
      <w:r/>
    </w:p>
    <w:p>
      <w:pPr>
        <w:pStyle w:val="961"/>
        <w:ind w:left="1648" w:hanging="1648"/>
        <w:jc w:val="left"/>
        <w:spacing w:before="156" w:line="360" w:lineRule="auto"/>
        <w:widowControl/>
        <w:rPr>
          <w:b/>
          <w:bCs/>
          <w:sz w:val="32"/>
          <w:szCs w:val="32"/>
        </w:rPr>
      </w:pPr>
      <w:r>
        <w:rPr>
          <w:rFonts w:hint="eastAsia"/>
          <w:b/>
          <w:bCs/>
          <w:sz w:val="32"/>
          <w:szCs w:val="32"/>
        </w:rPr>
        <w:t xml:space="preserve">项目编号：</w:t>
      </w:r>
      <w:r>
        <w:rPr>
          <w:b/>
          <w:bCs/>
          <w:sz w:val="32"/>
          <w:szCs w:val="32"/>
        </w:rPr>
        <w:t xml:space="preserve">JSZC-321283-RTZX-C2026-00</w:t>
      </w:r>
      <w:r>
        <w:rPr>
          <w:rFonts w:hint="eastAsia"/>
          <w:b/>
          <w:bCs/>
          <w:sz w:val="32"/>
          <w:szCs w:val="32"/>
        </w:rPr>
        <w:t xml:space="preserve">10</w:t>
      </w:r>
      <w:r>
        <w:rPr>
          <w:b/>
          <w:bCs/>
          <w:sz w:val="32"/>
          <w:szCs w:val="32"/>
        </w:rPr>
      </w:r>
      <w:r/>
    </w:p>
    <w:p>
      <w:pPr>
        <w:pStyle w:val="961"/>
        <w:jc w:val="left"/>
        <w:spacing w:before="156" w:line="360" w:lineRule="auto"/>
        <w:widowControl/>
        <w:rPr>
          <w:b/>
          <w:bCs/>
          <w:sz w:val="32"/>
          <w:szCs w:val="32"/>
        </w:rPr>
      </w:pPr>
      <w:r>
        <w:rPr>
          <w:b/>
          <w:bCs/>
          <w:sz w:val="32"/>
          <w:szCs w:val="32"/>
        </w:rPr>
        <w:t xml:space="preserve"> </w:t>
      </w:r>
      <w:r/>
    </w:p>
    <w:p>
      <w:pPr>
        <w:pStyle w:val="961"/>
        <w:jc w:val="left"/>
        <w:spacing w:before="156" w:line="360" w:lineRule="auto"/>
        <w:widowControl/>
        <w:rPr>
          <w:rFonts w:ascii="宋体" w:hAnsi="宋体"/>
          <w:b/>
          <w:bCs/>
          <w:sz w:val="36"/>
          <w:szCs w:val="36"/>
        </w:rPr>
      </w:pPr>
      <w:r>
        <w:rPr>
          <w:rFonts w:ascii="宋体" w:hAnsi="宋体"/>
          <w:b/>
          <w:bCs/>
          <w:sz w:val="36"/>
          <w:szCs w:val="36"/>
        </w:rPr>
        <w:t xml:space="preserve"> </w:t>
      </w:r>
      <w:r/>
    </w:p>
    <w:p>
      <w:pPr>
        <w:pStyle w:val="961"/>
        <w:jc w:val="left"/>
        <w:spacing w:before="156" w:line="360" w:lineRule="auto"/>
        <w:widowControl/>
        <w:rPr>
          <w:b/>
          <w:sz w:val="32"/>
          <w:szCs w:val="32"/>
        </w:rPr>
      </w:pPr>
      <w:r>
        <w:rPr>
          <w:rFonts w:ascii="宋体" w:hAnsi="宋体"/>
          <w:b/>
          <w:bCs/>
          <w:sz w:val="36"/>
          <w:szCs w:val="36"/>
        </w:rPr>
        <w:t xml:space="preserve"> </w:t>
      </w:r>
      <w:r>
        <w:rPr>
          <w:b/>
          <w:sz w:val="32"/>
          <w:szCs w:val="32"/>
        </w:rPr>
      </w:r>
      <w:r/>
    </w:p>
    <w:p>
      <w:pPr>
        <w:pStyle w:val="1010"/>
        <w:ind w:firstLine="643"/>
        <w:jc w:val="center"/>
        <w:spacing w:line="540" w:lineRule="exact"/>
        <w:rPr>
          <w:rFonts w:ascii="Times New Roman" w:eastAsia="宋体" w:cs="Times New Roman"/>
          <w:b/>
          <w:color w:val="000000"/>
          <w:sz w:val="32"/>
          <w:szCs w:val="32"/>
        </w:rPr>
      </w:pPr>
      <w:r>
        <w:rPr>
          <w:rFonts w:ascii="Times New Roman" w:eastAsia="宋体" w:cs="Times New Roman"/>
          <w:b/>
          <w:color w:val="000000"/>
          <w:sz w:val="32"/>
          <w:szCs w:val="32"/>
        </w:rPr>
      </w:r>
      <w:r/>
    </w:p>
    <w:p>
      <w:pPr>
        <w:pStyle w:val="1010"/>
        <w:ind w:firstLine="643"/>
        <w:jc w:val="center"/>
        <w:spacing w:line="540" w:lineRule="exact"/>
        <w:rPr>
          <w:rFonts w:ascii="Times New Roman" w:eastAsia="宋体" w:cs="Times New Roman"/>
          <w:b/>
          <w:color w:val="000000"/>
          <w:sz w:val="32"/>
          <w:szCs w:val="32"/>
        </w:rPr>
      </w:pPr>
      <w:r>
        <w:rPr>
          <w:rFonts w:ascii="Times New Roman" w:eastAsia="宋体" w:cs="Times New Roman"/>
          <w:b/>
          <w:color w:val="000000"/>
          <w:sz w:val="32"/>
          <w:szCs w:val="32"/>
        </w:rPr>
      </w:r>
      <w:r/>
    </w:p>
    <w:p>
      <w:pPr>
        <w:pStyle w:val="1010"/>
        <w:ind w:firstLine="643"/>
        <w:jc w:val="center"/>
        <w:spacing w:line="540" w:lineRule="exact"/>
        <w:rPr>
          <w:rFonts w:ascii="Times New Roman" w:eastAsia="宋体" w:cs="Times New Roman"/>
          <w:b/>
          <w:color w:val="000000"/>
          <w:sz w:val="32"/>
          <w:szCs w:val="32"/>
        </w:rPr>
      </w:pPr>
      <w:r>
        <w:rPr>
          <w:rFonts w:ascii="Times New Roman" w:eastAsia="宋体" w:cs="Times New Roman"/>
          <w:b/>
          <w:color w:val="000000"/>
          <w:sz w:val="32"/>
          <w:szCs w:val="32"/>
        </w:rPr>
      </w:r>
      <w:r/>
    </w:p>
    <w:p>
      <w:pPr>
        <w:pStyle w:val="1010"/>
        <w:ind w:firstLine="643"/>
        <w:jc w:val="center"/>
        <w:spacing w:line="540" w:lineRule="exact"/>
        <w:rPr>
          <w:rFonts w:ascii="Times New Roman" w:eastAsia="宋体" w:cs="Times New Roman"/>
          <w:b/>
          <w:color w:val="000000"/>
          <w:sz w:val="32"/>
          <w:szCs w:val="32"/>
        </w:rPr>
      </w:pPr>
      <w:r>
        <w:rPr>
          <w:rFonts w:ascii="Times New Roman" w:eastAsia="宋体" w:cs="Times New Roman"/>
          <w:b/>
          <w:color w:val="000000"/>
          <w:sz w:val="32"/>
          <w:szCs w:val="32"/>
        </w:rPr>
      </w:r>
      <w:r/>
    </w:p>
    <w:p>
      <w:pPr>
        <w:pStyle w:val="961"/>
        <w:jc w:val="left"/>
        <w:spacing w:before="120" w:after="120" w:line="360" w:lineRule="auto"/>
        <w:rPr>
          <w:rFonts w:hint="eastAsia" w:ascii="宋体" w:hAnsi="宋体" w:cs="宋体"/>
          <w:b/>
          <w:bCs/>
          <w:sz w:val="32"/>
          <w:szCs w:val="32"/>
        </w:rPr>
        <w:outlineLvl w:val="0"/>
      </w:pPr>
      <w:r/>
      <w:bookmarkStart w:id="19" w:name="_Toc11357"/>
      <w:r>
        <w:rPr>
          <w:rFonts w:hint="eastAsia" w:ascii="宋体" w:hAnsi="宋体" w:cs="宋体"/>
          <w:b/>
          <w:bCs/>
          <w:sz w:val="32"/>
          <w:szCs w:val="32"/>
        </w:rPr>
        <w:t xml:space="preserve">    </w:t>
      </w:r>
      <w:r>
        <w:rPr>
          <w:rFonts w:hint="eastAsia" w:ascii="宋体" w:hAnsi="宋体" w:cs="宋体"/>
          <w:b/>
          <w:bCs/>
          <w:sz w:val="32"/>
          <w:szCs w:val="32"/>
        </w:rPr>
        <w:t xml:space="preserve"> </w:t>
      </w:r>
      <w:r>
        <w:rPr>
          <w:rFonts w:hint="eastAsia" w:ascii="宋体" w:hAnsi="宋体" w:cs="宋体"/>
          <w:b/>
          <w:bCs/>
          <w:sz w:val="32"/>
          <w:szCs w:val="32"/>
        </w:rPr>
        <w:t xml:space="preserve">采购人：</w:t>
      </w:r>
      <w:bookmarkEnd w:id="19"/>
      <w:r/>
      <w:bookmarkStart w:id="20" w:name="OLE_LINK200"/>
      <w:r/>
      <w:bookmarkStart w:id="21" w:name="OLE_LINK203"/>
      <w:r/>
      <w:bookmarkStart w:id="22" w:name="OLE_LINK211"/>
      <w:r/>
      <w:bookmarkStart w:id="23" w:name="OLE_LINK212"/>
      <w:r>
        <w:rPr>
          <w:rFonts w:hint="eastAsia"/>
          <w:b/>
          <w:bCs/>
          <w:sz w:val="32"/>
          <w:szCs w:val="32"/>
        </w:rPr>
        <w:t xml:space="preserve">泰兴市急救中心</w:t>
      </w:r>
      <w:bookmarkEnd w:id="22"/>
      <w:r/>
      <w:bookmarkEnd w:id="23"/>
      <w:r>
        <w:rPr>
          <w:rFonts w:hint="eastAsia" w:ascii="宋体" w:hAnsi="宋体" w:cs="宋体"/>
          <w:b/>
          <w:bCs/>
          <w:sz w:val="32"/>
          <w:szCs w:val="32"/>
        </w:rPr>
      </w:r>
      <w:r/>
    </w:p>
    <w:p>
      <w:pPr>
        <w:pStyle w:val="961"/>
        <w:jc w:val="center"/>
        <w:spacing w:before="120" w:after="120" w:line="360" w:lineRule="auto"/>
        <w:rPr>
          <w:rFonts w:hint="eastAsia" w:ascii="宋体" w:hAnsi="宋体" w:cs="宋体"/>
          <w:sz w:val="32"/>
          <w:szCs w:val="32"/>
        </w:rPr>
        <w:outlineLvl w:val="0"/>
      </w:pPr>
      <w:r/>
      <w:bookmarkEnd w:id="20"/>
      <w:r/>
      <w:bookmarkEnd w:id="21"/>
      <w:r>
        <w:rPr>
          <w:rFonts w:hint="eastAsia" w:ascii="宋体" w:hAnsi="宋体" w:cs="宋体"/>
          <w:b/>
          <w:bCs/>
          <w:sz w:val="32"/>
          <w:szCs w:val="32"/>
        </w:rPr>
        <w:t xml:space="preserve">采购代理机构：江苏润泰工程项目管理咨询有限公司</w:t>
      </w:r>
      <w:r>
        <w:rPr>
          <w:rFonts w:hint="eastAsia" w:ascii="宋体" w:hAnsi="宋体" w:cs="宋体"/>
          <w:sz w:val="32"/>
          <w:szCs w:val="32"/>
        </w:rPr>
      </w:r>
      <w:r/>
    </w:p>
    <w:p>
      <w:pPr>
        <w:pStyle w:val="961"/>
        <w:jc w:val="center"/>
        <w:widowControl/>
        <w:rPr>
          <w:rFonts w:hint="eastAsia" w:ascii="宋体" w:hAnsi="宋体" w:cs="宋体"/>
        </w:rPr>
      </w:pPr>
      <w:r>
        <w:rPr>
          <w:rFonts w:hint="eastAsia" w:ascii="宋体" w:hAnsi="宋体" w:cs="宋体"/>
          <w:b/>
          <w:bCs/>
          <w:sz w:val="32"/>
          <w:szCs w:val="32"/>
        </w:rPr>
        <w:t xml:space="preserve">2026年4月</w:t>
      </w:r>
      <w:r>
        <w:rPr>
          <w:rFonts w:hint="eastAsia" w:ascii="宋体" w:hAnsi="宋体" w:cs="宋体"/>
        </w:rPr>
      </w:r>
      <w:r/>
    </w:p>
    <w:p>
      <w:pPr>
        <w:pStyle w:val="961"/>
        <w:jc w:val="center"/>
        <w:widowControl/>
        <w:rPr>
          <w:rFonts w:hint="eastAsia" w:ascii="宋体" w:hAnsi="宋体"/>
          <w:b/>
          <w:sz w:val="32"/>
          <w:szCs w:val="32"/>
        </w:rPr>
      </w:pPr>
      <w:r>
        <w:rPr>
          <w:rFonts w:ascii="黑体" w:hAnsi="黑体" w:eastAsia="黑体"/>
          <w:b/>
        </w:rPr>
        <w:br w:type="page" w:clear="all"/>
      </w:r>
      <w:bookmarkEnd w:id="0"/>
      <w:r/>
      <w:bookmarkEnd w:id="1"/>
      <w:r/>
      <w:bookmarkEnd w:id="2"/>
      <w:r/>
      <w:bookmarkEnd w:id="3"/>
      <w:r/>
      <w:bookmarkEnd w:id="4"/>
      <w:r/>
      <w:bookmarkEnd w:id="5"/>
      <w:r/>
      <w:bookmarkEnd w:id="6"/>
      <w:r/>
      <w:bookmarkEnd w:id="7"/>
      <w:r/>
      <w:bookmarkEnd w:id="8"/>
      <w:r/>
      <w:bookmarkEnd w:id="9"/>
      <w:r/>
      <w:bookmarkStart w:id="24" w:name="_Toc382813966"/>
      <w:r/>
      <w:bookmarkStart w:id="25" w:name="_Toc20823272"/>
      <w:r/>
      <w:bookmarkStart w:id="26" w:name="_Toc382812472"/>
      <w:r/>
      <w:bookmarkStart w:id="27" w:name="_Toc523127445"/>
      <w:r/>
      <w:bookmarkStart w:id="28" w:name="_Toc16938516"/>
      <w:r/>
      <w:bookmarkStart w:id="29" w:name="_Toc513029200"/>
      <w:r/>
      <w:bookmarkStart w:id="30" w:name="_Toc426469869"/>
      <w:r/>
      <w:bookmarkStart w:id="31" w:name="_Toc479757206"/>
      <w:r/>
      <w:bookmarkStart w:id="32" w:name="_Toc382813885"/>
      <w:r>
        <w:rPr>
          <w:rFonts w:hint="eastAsia" w:ascii="宋体" w:hAnsi="宋体"/>
          <w:b/>
          <w:sz w:val="32"/>
          <w:szCs w:val="32"/>
        </w:rPr>
        <w:t xml:space="preserve">第一章 竞争性磋商公告</w:t>
      </w:r>
      <w:r/>
    </w:p>
    <w:p>
      <w:pPr>
        <w:pStyle w:val="961"/>
        <w:spacing w:line="500" w:lineRule="exact"/>
        <w:rPr>
          <w:rFonts w:ascii="仿宋_GB2312" w:hAnsi="宋体" w:eastAsia="仿宋_GB2312"/>
          <w:sz w:val="28"/>
          <w:szCs w:val="28"/>
        </w:rPr>
        <w:pBdr>
          <w:top w:val="single" w:color="000000" w:sz="4" w:space="1"/>
          <w:left w:val="single" w:color="000000" w:sz="4" w:space="4"/>
          <w:bottom w:val="single" w:color="000000" w:sz="4" w:space="1"/>
          <w:right w:val="single" w:color="000000" w:sz="4" w:space="4"/>
        </w:pBdr>
      </w:pPr>
      <w:r>
        <w:rPr>
          <w:rFonts w:hint="eastAsia" w:ascii="仿宋_GB2312" w:hAnsi="宋体" w:eastAsia="仿宋_GB2312"/>
          <w:sz w:val="28"/>
          <w:szCs w:val="28"/>
        </w:rPr>
        <w:t xml:space="preserve">项目概况</w:t>
      </w:r>
      <w:r>
        <w:rPr>
          <w:rFonts w:ascii="仿宋_GB2312" w:hAnsi="宋体" w:eastAsia="仿宋_GB2312"/>
          <w:sz w:val="28"/>
          <w:szCs w:val="28"/>
        </w:rPr>
      </w:r>
      <w:r/>
    </w:p>
    <w:p>
      <w:pPr>
        <w:pStyle w:val="961"/>
        <w:ind w:firstLine="560"/>
        <w:spacing w:line="500" w:lineRule="exact"/>
        <w:rPr>
          <w:rFonts w:ascii="仿宋_GB2312" w:hAnsi="宋体" w:eastAsia="仿宋_GB2312"/>
          <w:sz w:val="28"/>
          <w:szCs w:val="28"/>
          <w:u w:val="single"/>
        </w:rPr>
        <w:pBdr>
          <w:top w:val="single" w:color="000000" w:sz="4" w:space="1"/>
          <w:left w:val="single" w:color="000000" w:sz="4" w:space="4"/>
          <w:bottom w:val="single" w:color="000000" w:sz="4" w:space="1"/>
          <w:right w:val="single" w:color="000000" w:sz="4" w:space="4"/>
        </w:pBdr>
      </w:pPr>
      <w:r>
        <w:rPr>
          <w:rFonts w:hint="eastAsia" w:ascii="仿宋_GB2312" w:hAnsi="宋体" w:eastAsia="仿宋_GB2312"/>
          <w:sz w:val="28"/>
          <w:szCs w:val="28"/>
          <w:u w:val="single"/>
        </w:rPr>
        <w:t xml:space="preserve">项目</w:t>
      </w:r>
      <w:r>
        <w:rPr>
          <w:rFonts w:ascii="仿宋_GB2312" w:hAnsi="宋体" w:eastAsia="仿宋_GB2312"/>
          <w:sz w:val="28"/>
          <w:szCs w:val="28"/>
          <w:u w:val="single"/>
        </w:rPr>
        <w:t xml:space="preserve">JSZC-321283-RTZX-C2026-00</w:t>
      </w:r>
      <w:r>
        <w:rPr>
          <w:rFonts w:hint="eastAsia" w:ascii="仿宋_GB2312" w:hAnsi="宋体" w:eastAsia="仿宋_GB2312"/>
          <w:sz w:val="28"/>
          <w:szCs w:val="28"/>
          <w:u w:val="single"/>
        </w:rPr>
        <w:t xml:space="preserve">10</w:t>
      </w:r>
      <w:r>
        <w:rPr>
          <w:rFonts w:hint="eastAsia" w:ascii="仿宋_GB2312" w:hAnsi="宋体" w:eastAsia="仿宋_GB2312"/>
          <w:sz w:val="28"/>
          <w:szCs w:val="28"/>
          <w:u w:val="single"/>
        </w:rPr>
        <w:t xml:space="preserve">的潜在供应商应在“苏采云”政府采购一体化平台获取采购文件，并于</w:t>
      </w:r>
      <w:r>
        <w:rPr>
          <w:rFonts w:hint="eastAsia" w:ascii="仿宋_GB2312" w:hAnsi="宋体" w:eastAsia="仿宋_GB2312"/>
          <w:sz w:val="28"/>
          <w:szCs w:val="28"/>
          <w:u w:val="single"/>
        </w:rPr>
        <w:t xml:space="preserve">2026-5-9</w:t>
      </w:r>
      <w:r>
        <w:rPr>
          <w:rFonts w:hint="eastAsia" w:ascii="仿宋_GB2312" w:hAnsi="宋体" w:eastAsia="仿宋_GB2312"/>
          <w:sz w:val="28"/>
          <w:szCs w:val="28"/>
          <w:u w:val="single"/>
        </w:rPr>
        <w:t xml:space="preserve">  </w:t>
      </w:r>
      <w:r>
        <w:rPr>
          <w:rFonts w:hint="eastAsia" w:ascii="仿宋_GB2312" w:hAnsi="宋体" w:eastAsia="仿宋_GB2312"/>
          <w:sz w:val="28"/>
          <w:szCs w:val="28"/>
          <w:u w:val="single"/>
        </w:rPr>
        <w:t xml:space="preserve">9:00</w:t>
      </w:r>
      <w:r>
        <w:rPr>
          <w:rFonts w:hint="eastAsia" w:ascii="仿宋_GB2312" w:hAnsi="宋体" w:eastAsia="仿宋_GB2312"/>
          <w:sz w:val="28"/>
          <w:szCs w:val="28"/>
          <w:u w:val="single"/>
        </w:rPr>
        <w:t xml:space="preserve">分（北京时间）前提交响应文件。</w:t>
      </w:r>
      <w:r>
        <w:rPr>
          <w:rFonts w:ascii="仿宋_GB2312" w:hAnsi="宋体" w:eastAsia="仿宋_GB2312"/>
          <w:sz w:val="28"/>
          <w:szCs w:val="28"/>
          <w:u w:val="single"/>
        </w:rPr>
      </w:r>
      <w:r/>
    </w:p>
    <w:p>
      <w:pPr>
        <w:pStyle w:val="961"/>
        <w:ind w:firstLine="560"/>
        <w:spacing w:line="560" w:lineRule="exact"/>
        <w:rPr>
          <w:rFonts w:ascii="黑体" w:hAnsi="黑体" w:eastAsia="黑体"/>
          <w:sz w:val="28"/>
          <w:szCs w:val="28"/>
        </w:rPr>
      </w:pPr>
      <w:r>
        <w:rPr>
          <w:rFonts w:hint="eastAsia" w:ascii="黑体" w:hAnsi="黑体" w:eastAsia="黑体"/>
          <w:sz w:val="28"/>
          <w:szCs w:val="28"/>
        </w:rPr>
        <w:t xml:space="preserve">一、项目基本情况</w:t>
      </w:r>
      <w:r>
        <w:rPr>
          <w:rFonts w:ascii="黑体" w:hAnsi="黑体" w:eastAsia="黑体"/>
          <w:sz w:val="28"/>
          <w:szCs w:val="28"/>
        </w:rPr>
      </w:r>
      <w:r/>
    </w:p>
    <w:p>
      <w:pPr>
        <w:pStyle w:val="961"/>
        <w:ind w:firstLine="560"/>
        <w:spacing w:line="540" w:lineRule="exact"/>
        <w:rPr>
          <w:rFonts w:ascii="仿宋_GB2312" w:hAnsi="宋体" w:eastAsia="仿宋_GB2312"/>
          <w:sz w:val="28"/>
          <w:szCs w:val="28"/>
        </w:rPr>
      </w:pPr>
      <w:r>
        <w:rPr>
          <w:rFonts w:hint="eastAsia" w:ascii="仿宋_GB2312" w:hAnsi="宋体" w:eastAsia="仿宋_GB2312"/>
          <w:sz w:val="28"/>
          <w:szCs w:val="28"/>
        </w:rPr>
        <w:t xml:space="preserve">1.项目编号：</w:t>
      </w:r>
      <w:r>
        <w:rPr>
          <w:rFonts w:ascii="仿宋_GB2312" w:hAnsi="宋体" w:eastAsia="仿宋_GB2312"/>
          <w:sz w:val="28"/>
          <w:szCs w:val="28"/>
        </w:rPr>
        <w:t xml:space="preserve">JSZC-321283-RTZX-C</w:t>
      </w:r>
      <w:r>
        <w:rPr>
          <w:rFonts w:ascii="仿宋_GB2312" w:hAnsi="宋体" w:eastAsia="仿宋_GB2312"/>
          <w:sz w:val="28"/>
          <w:szCs w:val="28"/>
        </w:rPr>
        <w:t xml:space="preserve">20</w:t>
      </w:r>
      <w:r>
        <w:rPr>
          <w:rFonts w:ascii="仿宋_GB2312" w:hAnsi="宋体" w:eastAsia="仿宋_GB2312"/>
          <w:sz w:val="28"/>
          <w:szCs w:val="28"/>
        </w:rPr>
        <w:t xml:space="preserve">26-00</w:t>
      </w:r>
      <w:r>
        <w:rPr>
          <w:rFonts w:hint="eastAsia" w:ascii="仿宋_GB2312" w:hAnsi="宋体" w:eastAsia="仿宋_GB2312"/>
          <w:sz w:val="28"/>
          <w:szCs w:val="28"/>
        </w:rPr>
        <w:t xml:space="preserve">10</w:t>
      </w:r>
      <w:r>
        <w:rPr>
          <w:rFonts w:ascii="仿宋_GB2312" w:hAnsi="宋体" w:eastAsia="仿宋_GB2312"/>
          <w:sz w:val="28"/>
          <w:szCs w:val="28"/>
        </w:rPr>
      </w:r>
      <w:r/>
    </w:p>
    <w:p>
      <w:pPr>
        <w:pStyle w:val="961"/>
        <w:ind w:firstLine="560"/>
        <w:spacing w:line="540" w:lineRule="exact"/>
        <w:rPr>
          <w:rFonts w:hint="eastAsia" w:ascii="仿宋_GB2312" w:hAnsi="宋体" w:eastAsia="仿宋_GB2312"/>
          <w:sz w:val="28"/>
          <w:szCs w:val="28"/>
        </w:rPr>
      </w:pPr>
      <w:r>
        <w:rPr>
          <w:rFonts w:hint="eastAsia" w:ascii="仿宋_GB2312" w:hAnsi="宋体" w:eastAsia="仿宋_GB2312"/>
          <w:sz w:val="28"/>
          <w:szCs w:val="28"/>
        </w:rPr>
        <w:t xml:space="preserve">2.项目名称：</w:t>
      </w:r>
      <w:bookmarkStart w:id="33" w:name="OLE_LINK160"/>
      <w:r/>
      <w:bookmarkStart w:id="34" w:name="OLE_LINK158"/>
      <w:r>
        <w:rPr>
          <w:rFonts w:hint="eastAsia" w:ascii="仿宋_GB2312" w:hAnsi="宋体" w:eastAsia="仿宋_GB2312"/>
          <w:sz w:val="28"/>
          <w:szCs w:val="28"/>
        </w:rPr>
        <w:t xml:space="preserve">泰兴市急救中心劳务外包服务项目</w:t>
      </w:r>
      <w:bookmarkEnd w:id="33"/>
      <w:r/>
      <w:bookmarkEnd w:id="34"/>
      <w:r>
        <w:rPr>
          <w:rFonts w:hint="eastAsia" w:ascii="仿宋_GB2312" w:hAnsi="宋体" w:eastAsia="仿宋_GB2312"/>
          <w:sz w:val="28"/>
          <w:szCs w:val="28"/>
        </w:rPr>
      </w:r>
      <w:r/>
    </w:p>
    <w:p>
      <w:pPr>
        <w:pStyle w:val="961"/>
        <w:ind w:firstLine="560"/>
        <w:spacing w:line="540" w:lineRule="exact"/>
        <w:rPr>
          <w:rFonts w:ascii="仿宋_GB2312" w:hAnsi="宋体" w:eastAsia="仿宋_GB2312"/>
          <w:sz w:val="28"/>
          <w:szCs w:val="28"/>
        </w:rPr>
      </w:pPr>
      <w:r>
        <w:rPr>
          <w:rFonts w:hint="eastAsia" w:ascii="仿宋_GB2312" w:hAnsi="宋体" w:eastAsia="仿宋_GB2312"/>
          <w:sz w:val="28"/>
          <w:szCs w:val="28"/>
        </w:rPr>
        <w:t xml:space="preserve">3.采购方式：竞争性磋商</w:t>
      </w:r>
      <w:r>
        <w:rPr>
          <w:rFonts w:ascii="仿宋_GB2312" w:hAnsi="宋体" w:eastAsia="仿宋_GB2312"/>
          <w:sz w:val="28"/>
          <w:szCs w:val="28"/>
        </w:rPr>
      </w:r>
      <w:r/>
    </w:p>
    <w:p>
      <w:pPr>
        <w:pStyle w:val="961"/>
        <w:ind w:firstLine="560"/>
        <w:spacing w:line="540" w:lineRule="exact"/>
        <w:rPr>
          <w:rFonts w:hint="eastAsia" w:ascii="仿宋_GB2312" w:hAnsi="宋体" w:eastAsia="仿宋_GB2312"/>
          <w:sz w:val="28"/>
          <w:szCs w:val="28"/>
        </w:rPr>
      </w:pPr>
      <w:r/>
      <w:bookmarkStart w:id="35" w:name="OLE_LINK16"/>
      <w:r/>
      <w:bookmarkStart w:id="36" w:name="OLE_LINK15"/>
      <w:r/>
      <w:bookmarkStart w:id="37" w:name="OLE_LINK29"/>
      <w:r/>
      <w:bookmarkStart w:id="38" w:name="OLE_LINK18"/>
      <w:r/>
      <w:bookmarkStart w:id="39" w:name="OLE_LINK19"/>
      <w:r>
        <w:rPr>
          <w:rFonts w:hint="eastAsia" w:ascii="仿宋_GB2312" w:hAnsi="宋体" w:eastAsia="仿宋_GB2312"/>
          <w:sz w:val="28"/>
          <w:szCs w:val="28"/>
        </w:rPr>
        <w:t xml:space="preserve">4</w:t>
      </w:r>
      <w:bookmarkStart w:id="40" w:name="OLE_LINK199"/>
      <w:r/>
      <w:bookmarkStart w:id="41" w:name="OLE_LINK216"/>
      <w:r>
        <w:rPr>
          <w:rFonts w:hint="eastAsia" w:ascii="仿宋_GB2312" w:hAnsi="宋体" w:eastAsia="仿宋_GB2312"/>
          <w:sz w:val="28"/>
          <w:szCs w:val="28"/>
        </w:rPr>
        <w:t xml:space="preserve">.预算金额：</w:t>
      </w:r>
      <w:bookmarkStart w:id="42" w:name="OLE_LINK156"/>
      <w:r/>
      <w:bookmarkStart w:id="43" w:name="OLE_LINK157"/>
      <w:r>
        <w:rPr>
          <w:rFonts w:hint="eastAsia" w:ascii="仿宋_GB2312" w:hAnsi="宋体" w:eastAsia="仿宋_GB2312"/>
          <w:sz w:val="28"/>
          <w:szCs w:val="28"/>
        </w:rPr>
        <w:t xml:space="preserve">293万元/年</w:t>
      </w:r>
      <w:bookmarkEnd w:id="42"/>
      <w:r/>
      <w:bookmarkEnd w:id="43"/>
      <w:r>
        <w:rPr>
          <w:rFonts w:hint="eastAsia" w:ascii="仿宋_GB2312" w:hAnsi="宋体" w:eastAsia="仿宋_GB2312"/>
          <w:sz w:val="28"/>
          <w:szCs w:val="28"/>
        </w:rPr>
      </w:r>
      <w:r/>
    </w:p>
    <w:p>
      <w:pPr>
        <w:pStyle w:val="961"/>
        <w:ind w:firstLine="560"/>
        <w:spacing w:line="540" w:lineRule="exact"/>
        <w:rPr>
          <w:rFonts w:hint="eastAsia" w:ascii="仿宋_GB2312" w:hAnsi="宋体" w:eastAsia="仿宋_GB2312"/>
          <w:sz w:val="28"/>
          <w:szCs w:val="28"/>
        </w:rPr>
      </w:pPr>
      <w:r>
        <w:rPr>
          <w:rFonts w:hint="eastAsia" w:ascii="仿宋_GB2312" w:hAnsi="宋体" w:eastAsia="仿宋_GB2312"/>
          <w:sz w:val="28"/>
          <w:szCs w:val="28"/>
        </w:rPr>
        <w:t xml:space="preserve">5.最高限价：</w:t>
      </w:r>
      <w:bookmarkEnd w:id="35"/>
      <w:r/>
      <w:bookmarkEnd w:id="36"/>
      <w:r/>
      <w:bookmarkStart w:id="44" w:name="OLE_LINK213"/>
      <w:r/>
      <w:bookmarkStart w:id="45" w:name="OLE_LINK214"/>
      <w:r>
        <w:rPr>
          <w:rFonts w:hint="eastAsia" w:ascii="仿宋_GB2312" w:hAnsi="宋体" w:eastAsia="仿宋_GB2312"/>
          <w:sz w:val="28"/>
          <w:szCs w:val="28"/>
        </w:rPr>
        <w:t xml:space="preserve">293万元/年</w:t>
      </w:r>
      <w:bookmarkEnd w:id="44"/>
      <w:r/>
      <w:bookmarkEnd w:id="45"/>
      <w:r>
        <w:rPr>
          <w:rFonts w:hint="eastAsia" w:ascii="仿宋_GB2312" w:hAnsi="宋体" w:eastAsia="仿宋_GB2312"/>
          <w:sz w:val="28"/>
          <w:szCs w:val="28"/>
        </w:rPr>
      </w:r>
      <w:r/>
    </w:p>
    <w:p>
      <w:pPr>
        <w:pStyle w:val="961"/>
        <w:ind w:firstLine="560"/>
        <w:spacing w:line="540" w:lineRule="exact"/>
        <w:rPr>
          <w:rFonts w:hint="eastAsia" w:ascii="仿宋_GB2312" w:hAnsi="宋体" w:eastAsia="仿宋_GB2312"/>
          <w:sz w:val="28"/>
          <w:szCs w:val="28"/>
        </w:rPr>
      </w:pPr>
      <w:r/>
      <w:bookmarkEnd w:id="37"/>
      <w:r/>
      <w:bookmarkEnd w:id="38"/>
      <w:r/>
      <w:bookmarkEnd w:id="39"/>
      <w:r/>
      <w:bookmarkEnd w:id="40"/>
      <w:r/>
      <w:bookmarkEnd w:id="41"/>
      <w:r/>
      <w:bookmarkStart w:id="46" w:name="OLE_LINK8"/>
      <w:r/>
      <w:bookmarkStart w:id="47" w:name="OLE_LINK7"/>
      <w:r>
        <w:rPr>
          <w:rFonts w:hint="eastAsia" w:ascii="仿宋_GB2312" w:hAnsi="宋体" w:eastAsia="仿宋_GB2312"/>
          <w:sz w:val="28"/>
          <w:szCs w:val="28"/>
        </w:rPr>
        <w:t xml:space="preserve">6.采购需求：</w:t>
      </w:r>
      <w:bookmarkStart w:id="48" w:name="OLE_LINK146"/>
      <w:r/>
      <w:bookmarkStart w:id="49" w:name="OLE_LINK32"/>
      <w:r/>
      <w:bookmarkStart w:id="50" w:name="OLE_LINK121"/>
      <w:r/>
      <w:bookmarkStart w:id="51" w:name="OLE_LINK33"/>
      <w:r/>
      <w:bookmarkStart w:id="52" w:name="OLE_LINK172"/>
      <w:r/>
      <w:bookmarkStart w:id="53" w:name="OLE_LINK52"/>
      <w:r/>
      <w:bookmarkStart w:id="54" w:name="OLE_LINK21"/>
      <w:r/>
      <w:bookmarkStart w:id="55" w:name="OLE_LINK215"/>
      <w:r>
        <w:rPr>
          <w:rFonts w:hint="eastAsia" w:ascii="仿宋_GB2312" w:hAnsi="宋体" w:eastAsia="仿宋_GB2312"/>
          <w:sz w:val="28"/>
          <w:szCs w:val="28"/>
        </w:rPr>
        <w:t xml:space="preserve">泰兴市急救中心劳务外包服务项目，主要包括满足泰兴市每天同时段13个急救转运班次运行，需接管现有的人员及提供对驾驶员，调度员、担架工等人员的管理，具体内容详见采购需求。</w:t>
      </w:r>
      <w:bookmarkEnd w:id="48"/>
      <w:r/>
      <w:bookmarkEnd w:id="54"/>
      <w:r/>
      <w:bookmarkEnd w:id="55"/>
      <w:r>
        <w:rPr>
          <w:rFonts w:hint="eastAsia" w:ascii="仿宋_GB2312" w:hAnsi="宋体" w:eastAsia="仿宋_GB2312"/>
          <w:sz w:val="28"/>
          <w:szCs w:val="28"/>
        </w:rPr>
      </w:r>
      <w:r/>
    </w:p>
    <w:p>
      <w:pPr>
        <w:pStyle w:val="961"/>
        <w:ind w:firstLine="560"/>
        <w:spacing w:line="540" w:lineRule="exact"/>
        <w:rPr>
          <w:rFonts w:hint="eastAsia" w:ascii="仿宋_GB2312" w:hAnsi="宋体" w:eastAsia="仿宋_GB2312"/>
          <w:sz w:val="28"/>
          <w:szCs w:val="28"/>
        </w:rPr>
      </w:pPr>
      <w:r/>
      <w:bookmarkEnd w:id="49"/>
      <w:r/>
      <w:bookmarkEnd w:id="50"/>
      <w:r/>
      <w:bookmarkEnd w:id="51"/>
      <w:r/>
      <w:bookmarkEnd w:id="52"/>
      <w:r/>
      <w:bookmarkEnd w:id="53"/>
      <w:r>
        <w:rPr>
          <w:rFonts w:hint="eastAsia" w:ascii="仿宋_GB2312" w:hAnsi="宋体" w:eastAsia="仿宋_GB2312"/>
          <w:sz w:val="28"/>
          <w:szCs w:val="28"/>
        </w:rPr>
        <w:t xml:space="preserve">7.</w:t>
      </w:r>
      <w:bookmarkStart w:id="56" w:name="OLE_LINK202"/>
      <w:r/>
      <w:bookmarkStart w:id="57" w:name="OLE_LINK201"/>
      <w:r>
        <w:rPr>
          <w:rFonts w:hint="eastAsia" w:ascii="仿宋_GB2312" w:hAnsi="宋体" w:eastAsia="仿宋_GB2312"/>
          <w:sz w:val="28"/>
          <w:szCs w:val="28"/>
        </w:rPr>
        <w:t xml:space="preserve">合同履行期限：</w:t>
      </w:r>
      <w:bookmarkEnd w:id="56"/>
      <w:r/>
      <w:bookmarkEnd w:id="57"/>
      <w:r>
        <w:rPr>
          <w:rFonts w:hint="eastAsia" w:ascii="仿宋_GB2312" w:hAnsi="宋体" w:eastAsia="仿宋_GB2312"/>
          <w:sz w:val="28"/>
          <w:szCs w:val="28"/>
        </w:rPr>
        <w:t xml:space="preserve">本项目服务期为三年，采取一次招标三年沿用，实行一年一考核一签合同的办法。如果成交单位年度考核不合格，采购人有权终止合同，不再续签下一年合同。</w:t>
      </w:r>
      <w:r>
        <w:rPr>
          <w:rFonts w:hint="eastAsia" w:ascii="仿宋_GB2312" w:hAnsi="宋体" w:eastAsia="仿宋_GB2312"/>
          <w:sz w:val="28"/>
          <w:szCs w:val="28"/>
        </w:rPr>
      </w:r>
      <w:r/>
    </w:p>
    <w:p>
      <w:pPr>
        <w:pStyle w:val="961"/>
        <w:ind w:firstLine="560"/>
        <w:spacing w:line="540" w:lineRule="exact"/>
        <w:rPr>
          <w:rFonts w:ascii="仿宋_GB2312" w:hAnsi="宋体" w:eastAsia="仿宋_GB2312"/>
          <w:sz w:val="28"/>
          <w:szCs w:val="28"/>
        </w:rPr>
      </w:pPr>
      <w:r/>
      <w:bookmarkEnd w:id="46"/>
      <w:r/>
      <w:bookmarkEnd w:id="47"/>
      <w:r>
        <w:rPr>
          <w:rFonts w:hint="eastAsia" w:ascii="仿宋_GB2312" w:hAnsi="宋体" w:eastAsia="仿宋_GB2312"/>
          <w:sz w:val="28"/>
          <w:szCs w:val="28"/>
        </w:rPr>
        <w:t xml:space="preserve">8.本项目不接受联合体。</w:t>
      </w:r>
      <w:r>
        <w:rPr>
          <w:rFonts w:ascii="仿宋_GB2312" w:hAnsi="宋体" w:eastAsia="仿宋_GB2312"/>
          <w:sz w:val="28"/>
          <w:szCs w:val="28"/>
        </w:rPr>
      </w:r>
      <w:r/>
    </w:p>
    <w:p>
      <w:pPr>
        <w:pStyle w:val="961"/>
        <w:ind w:firstLine="560"/>
        <w:spacing w:line="560" w:lineRule="exact"/>
        <w:rPr>
          <w:rFonts w:ascii="黑体" w:hAnsi="黑体" w:eastAsia="黑体"/>
          <w:sz w:val="28"/>
          <w:szCs w:val="28"/>
        </w:rPr>
      </w:pPr>
      <w:r>
        <w:rPr>
          <w:rFonts w:hint="eastAsia" w:ascii="黑体" w:hAnsi="黑体" w:eastAsia="黑体"/>
          <w:sz w:val="28"/>
          <w:szCs w:val="28"/>
        </w:rPr>
        <w:t xml:space="preserve">二、申请人的资格要求</w:t>
      </w:r>
      <w:r>
        <w:rPr>
          <w:rFonts w:ascii="黑体" w:hAnsi="黑体" w:eastAsia="黑体"/>
          <w:sz w:val="28"/>
          <w:szCs w:val="28"/>
        </w:rPr>
      </w:r>
      <w:r/>
    </w:p>
    <w:p>
      <w:pPr>
        <w:pStyle w:val="961"/>
        <w:ind w:firstLine="560"/>
        <w:spacing w:line="560" w:lineRule="exact"/>
        <w:rPr>
          <w:rFonts w:ascii="仿宋_GB2312" w:hAnsi="宋体" w:eastAsia="仿宋_GB2312"/>
          <w:sz w:val="28"/>
          <w:szCs w:val="28"/>
        </w:rPr>
      </w:pPr>
      <w:r>
        <w:rPr>
          <w:rFonts w:hint="eastAsia" w:ascii="仿宋_GB2312" w:hAnsi="宋体" w:eastAsia="仿宋_GB2312"/>
          <w:sz w:val="28"/>
          <w:szCs w:val="28"/>
        </w:rPr>
        <w:t xml:space="preserve">1.满足《中华人民共和国政府采购法》第二十二条规定；</w:t>
      </w:r>
      <w:r>
        <w:rPr>
          <w:rFonts w:ascii="仿宋_GB2312" w:hAnsi="宋体" w:eastAsia="仿宋_GB2312"/>
          <w:sz w:val="28"/>
          <w:szCs w:val="28"/>
        </w:rPr>
      </w:r>
      <w:r/>
    </w:p>
    <w:p>
      <w:pPr>
        <w:pStyle w:val="961"/>
        <w:ind w:firstLine="560"/>
        <w:spacing w:line="560" w:lineRule="exact"/>
        <w:rPr>
          <w:rFonts w:hint="eastAsia" w:ascii="仿宋_GB2312" w:hAnsi="宋体" w:eastAsia="仿宋_GB2312"/>
          <w:sz w:val="28"/>
          <w:szCs w:val="28"/>
        </w:rPr>
      </w:pPr>
      <w:r>
        <w:rPr>
          <w:rFonts w:hint="eastAsia" w:ascii="仿宋_GB2312" w:hAnsi="宋体" w:eastAsia="仿宋_GB2312"/>
          <w:sz w:val="28"/>
          <w:szCs w:val="28"/>
        </w:rPr>
        <w:t xml:space="preserve">2.落实政府采购政策需满足的资格要求：</w:t>
      </w:r>
      <w:bookmarkStart w:id="58" w:name="OLE_LINK120"/>
      <w:r/>
      <w:bookmarkStart w:id="59" w:name="OLE_LINK31"/>
      <w:r/>
      <w:bookmarkStart w:id="60" w:name="OLE_LINK175"/>
      <w:r/>
      <w:bookmarkStart w:id="61" w:name="OLE_LINK30"/>
      <w:r/>
      <w:bookmarkStart w:id="62" w:name="OLE_LINK47"/>
      <w:r/>
      <w:bookmarkStart w:id="63" w:name="OLE_LINK48"/>
      <w:r/>
      <w:bookmarkStart w:id="64" w:name="OLE_LINK20"/>
      <w:r/>
      <w:bookmarkStart w:id="65" w:name="OLE_LINK23"/>
      <w:r/>
      <w:bookmarkStart w:id="66" w:name="OLE_LINK24"/>
      <w:r/>
      <w:bookmarkStart w:id="67" w:name="OLE_LINK217"/>
      <w:r>
        <w:rPr>
          <w:rFonts w:hint="eastAsia" w:ascii="仿宋_GB2312" w:hAnsi="宋体" w:eastAsia="仿宋_GB2312"/>
          <w:sz w:val="28"/>
          <w:szCs w:val="28"/>
        </w:rPr>
        <w:t xml:space="preserve">本项目为非专门面向中小企业的项目</w:t>
      </w:r>
      <w:bookmarkEnd w:id="65"/>
      <w:r/>
      <w:bookmarkEnd w:id="66"/>
      <w:r>
        <w:rPr>
          <w:rFonts w:hint="eastAsia" w:ascii="仿宋_GB2312" w:hAnsi="宋体" w:eastAsia="仿宋_GB2312"/>
          <w:sz w:val="28"/>
          <w:szCs w:val="28"/>
        </w:rPr>
        <w:t xml:space="preserve">；</w:t>
      </w:r>
      <w:bookmarkEnd w:id="58"/>
      <w:r/>
      <w:bookmarkEnd w:id="59"/>
      <w:r/>
      <w:bookmarkEnd w:id="60"/>
      <w:r/>
      <w:bookmarkEnd w:id="61"/>
      <w:r/>
      <w:bookmarkEnd w:id="64"/>
      <w:r/>
      <w:bookmarkEnd w:id="67"/>
      <w:r>
        <w:rPr>
          <w:rFonts w:hint="eastAsia" w:ascii="仿宋_GB2312" w:hAnsi="宋体" w:eastAsia="仿宋_GB2312"/>
          <w:sz w:val="28"/>
          <w:szCs w:val="28"/>
        </w:rPr>
      </w:r>
      <w:r/>
    </w:p>
    <w:p>
      <w:pPr>
        <w:pStyle w:val="961"/>
        <w:ind w:firstLine="560"/>
        <w:spacing w:line="480" w:lineRule="exact"/>
        <w:rPr>
          <w:rFonts w:hint="eastAsia" w:ascii="仿宋_GB2312" w:hAnsi="宋体" w:eastAsia="仿宋_GB2312"/>
          <w:sz w:val="28"/>
          <w:szCs w:val="28"/>
        </w:rPr>
      </w:pPr>
      <w:r/>
      <w:bookmarkEnd w:id="62"/>
      <w:r/>
      <w:bookmarkEnd w:id="63"/>
      <w:r>
        <w:rPr>
          <w:rFonts w:hint="eastAsia" w:ascii="仿宋_GB2312" w:hAnsi="宋体" w:eastAsia="仿宋_GB2312"/>
          <w:sz w:val="28"/>
          <w:szCs w:val="28"/>
        </w:rPr>
        <w:t xml:space="preserve">3.本项目的特定资格要求：</w:t>
      </w:r>
      <w:bookmarkStart w:id="68" w:name="OLE_LINK55"/>
      <w:r/>
      <w:bookmarkStart w:id="69" w:name="OLE_LINK1"/>
      <w:r/>
      <w:bookmarkStart w:id="70" w:name="OLE_LINK187"/>
      <w:r/>
      <w:bookmarkStart w:id="71" w:name="OLE_LINK205"/>
      <w:r/>
      <w:bookmarkStart w:id="72" w:name="OLE_LINK206"/>
      <w:r/>
      <w:bookmarkStart w:id="73" w:name="OLE_LINK54"/>
      <w:r>
        <w:rPr>
          <w:rFonts w:hint="eastAsia" w:ascii="仿宋_GB2312" w:hAnsi="宋体" w:eastAsia="仿宋_GB2312"/>
          <w:sz w:val="28"/>
          <w:szCs w:val="28"/>
        </w:rPr>
        <w:t xml:space="preserve">投标人须具有有效的人力资源服务许可证。</w:t>
      </w:r>
      <w:bookmarkEnd w:id="71"/>
      <w:r/>
      <w:bookmarkEnd w:id="72"/>
      <w:r>
        <w:rPr>
          <w:rFonts w:hint="eastAsia" w:ascii="仿宋_GB2312" w:hAnsi="宋体" w:eastAsia="仿宋_GB2312"/>
          <w:sz w:val="28"/>
          <w:szCs w:val="28"/>
        </w:rPr>
        <w:t xml:space="preserve">（投标时提供证书原件扫描件）</w:t>
      </w:r>
      <w:bookmarkEnd w:id="68"/>
      <w:r/>
      <w:bookmarkEnd w:id="69"/>
      <w:r/>
      <w:bookmarkEnd w:id="70"/>
      <w:r/>
      <w:bookmarkEnd w:id="73"/>
      <w:r>
        <w:rPr>
          <w:rFonts w:hint="eastAsia" w:ascii="仿宋_GB2312" w:hAnsi="宋体" w:eastAsia="仿宋_GB2312"/>
          <w:sz w:val="28"/>
          <w:szCs w:val="28"/>
        </w:rPr>
      </w:r>
      <w:r/>
    </w:p>
    <w:p>
      <w:pPr>
        <w:pStyle w:val="961"/>
        <w:ind w:firstLine="560"/>
        <w:spacing w:line="560" w:lineRule="exact"/>
        <w:rPr>
          <w:rFonts w:ascii="黑体" w:hAnsi="黑体" w:eastAsia="黑体"/>
          <w:sz w:val="28"/>
          <w:szCs w:val="28"/>
        </w:rPr>
      </w:pPr>
      <w:r>
        <w:rPr>
          <w:rFonts w:hint="eastAsia" w:ascii="黑体" w:hAnsi="黑体" w:eastAsia="黑体"/>
          <w:sz w:val="28"/>
          <w:szCs w:val="28"/>
        </w:rPr>
        <w:t xml:space="preserve">三、获取采购文件</w:t>
      </w:r>
      <w:r>
        <w:rPr>
          <w:rFonts w:ascii="黑体" w:hAnsi="黑体" w:eastAsia="黑体"/>
          <w:sz w:val="28"/>
          <w:szCs w:val="28"/>
        </w:rPr>
      </w:r>
      <w:r/>
    </w:p>
    <w:p>
      <w:pPr>
        <w:pStyle w:val="961"/>
        <w:ind w:firstLine="560"/>
        <w:spacing w:line="560" w:lineRule="exact"/>
        <w:rPr>
          <w:rFonts w:ascii="仿宋_GB2312" w:hAnsi="宋体" w:eastAsia="仿宋_GB2312"/>
          <w:sz w:val="28"/>
          <w:szCs w:val="28"/>
        </w:rPr>
      </w:pPr>
      <w:r>
        <w:rPr>
          <w:rFonts w:hint="eastAsia" w:ascii="仿宋_GB2312" w:hAnsi="宋体" w:eastAsia="仿宋_GB2312"/>
          <w:sz w:val="28"/>
          <w:szCs w:val="28"/>
        </w:rPr>
        <w:t xml:space="preserve">获取时间：2026年4月 </w:t>
      </w:r>
      <w:r>
        <w:rPr>
          <w:rFonts w:hint="eastAsia" w:ascii="仿宋_GB2312" w:hAnsi="宋体" w:eastAsia="仿宋_GB2312"/>
          <w:sz w:val="28"/>
          <w:szCs w:val="28"/>
        </w:rPr>
        <w:t xml:space="preserve">28</w:t>
      </w:r>
      <w:r>
        <w:rPr>
          <w:rFonts w:hint="eastAsia" w:ascii="仿宋_GB2312" w:hAnsi="宋体" w:eastAsia="仿宋_GB2312"/>
          <w:sz w:val="28"/>
          <w:szCs w:val="28"/>
        </w:rPr>
        <w:t xml:space="preserve"> </w:t>
      </w:r>
      <w:r>
        <w:rPr>
          <w:rFonts w:hint="eastAsia" w:ascii="仿宋_GB2312" w:hAnsi="宋体" w:eastAsia="仿宋_GB2312"/>
          <w:sz w:val="28"/>
          <w:szCs w:val="28"/>
        </w:rPr>
        <w:t xml:space="preserve">日，至2026年</w:t>
      </w:r>
      <w:r>
        <w:rPr>
          <w:rFonts w:hint="eastAsia" w:ascii="仿宋_GB2312" w:hAnsi="宋体" w:eastAsia="仿宋_GB2312"/>
          <w:sz w:val="28"/>
          <w:szCs w:val="28"/>
        </w:rPr>
        <w:t xml:space="preserve">5</w:t>
      </w:r>
      <w:r>
        <w:rPr>
          <w:rFonts w:hint="eastAsia" w:ascii="仿宋_GB2312" w:hAnsi="宋体" w:eastAsia="仿宋_GB2312"/>
          <w:sz w:val="28"/>
          <w:szCs w:val="28"/>
        </w:rPr>
        <w:t xml:space="preserve">月 </w:t>
      </w:r>
      <w:r>
        <w:rPr>
          <w:rFonts w:hint="eastAsia" w:ascii="仿宋_GB2312" w:hAnsi="宋体" w:eastAsia="仿宋_GB2312"/>
          <w:sz w:val="28"/>
          <w:szCs w:val="28"/>
        </w:rPr>
        <w:t xml:space="preserve">7</w:t>
      </w:r>
      <w:r>
        <w:rPr>
          <w:rFonts w:hint="eastAsia" w:ascii="仿宋_GB2312" w:hAnsi="宋体" w:eastAsia="仿宋_GB2312"/>
          <w:sz w:val="28"/>
          <w:szCs w:val="28"/>
        </w:rPr>
        <w:t xml:space="preserve"> 日，每天上午0:00-12:00，下午12:00-23:59（北京时间，法定节假日除外）。</w:t>
      </w:r>
      <w:r>
        <w:rPr>
          <w:rFonts w:ascii="仿宋_GB2312" w:hAnsi="宋体" w:eastAsia="仿宋_GB2312"/>
          <w:sz w:val="28"/>
          <w:szCs w:val="28"/>
        </w:rPr>
      </w:r>
      <w:r/>
    </w:p>
    <w:p>
      <w:pPr>
        <w:pStyle w:val="961"/>
        <w:ind w:firstLine="560"/>
        <w:spacing w:line="560" w:lineRule="exact"/>
        <w:rPr>
          <w:rFonts w:hint="eastAsia" w:ascii="仿宋_GB2312" w:hAnsi="宋体" w:eastAsia="仿宋_GB2312"/>
          <w:sz w:val="28"/>
          <w:szCs w:val="28"/>
        </w:rPr>
      </w:pPr>
      <w:r>
        <w:rPr>
          <w:rFonts w:hint="eastAsia" w:ascii="仿宋_GB2312" w:hAnsi="宋体" w:eastAsia="仿宋_GB2312"/>
          <w:sz w:val="28"/>
          <w:szCs w:val="28"/>
        </w:rPr>
        <w:t xml:space="preserve">地点：“苏采云”政府采购一体化平台</w:t>
      </w:r>
      <w:r/>
    </w:p>
    <w:p>
      <w:pPr>
        <w:pStyle w:val="961"/>
        <w:ind w:firstLine="560"/>
        <w:spacing w:line="560" w:lineRule="exact"/>
        <w:rPr>
          <w:rFonts w:ascii="仿宋_GB2312" w:hAnsi="宋体" w:eastAsia="仿宋_GB2312"/>
          <w:sz w:val="28"/>
          <w:szCs w:val="28"/>
        </w:rPr>
      </w:pPr>
      <w:r>
        <w:rPr>
          <w:rFonts w:hint="eastAsia" w:ascii="仿宋_GB2312" w:hAnsi="宋体" w:eastAsia="仿宋_GB2312"/>
          <w:sz w:val="28"/>
          <w:szCs w:val="28"/>
        </w:rPr>
        <w:t xml:space="preserve">获取方式：线上获取</w:t>
      </w:r>
      <w:r>
        <w:rPr>
          <w:rFonts w:ascii="仿宋_GB2312" w:hAnsi="宋体" w:eastAsia="仿宋_GB2312"/>
          <w:sz w:val="28"/>
          <w:szCs w:val="28"/>
        </w:rPr>
      </w:r>
      <w:r/>
    </w:p>
    <w:p>
      <w:pPr>
        <w:pStyle w:val="961"/>
        <w:ind w:firstLine="560"/>
        <w:spacing w:line="560" w:lineRule="exact"/>
        <w:rPr>
          <w:rFonts w:ascii="仿宋_GB2312" w:hAnsi="宋体" w:eastAsia="仿宋_GB2312"/>
          <w:sz w:val="28"/>
          <w:szCs w:val="28"/>
        </w:rPr>
      </w:pPr>
      <w:r>
        <w:rPr>
          <w:rFonts w:hint="eastAsia" w:ascii="仿宋_GB2312" w:hAnsi="宋体" w:eastAsia="仿宋_GB2312"/>
          <w:sz w:val="28"/>
          <w:szCs w:val="28"/>
        </w:rPr>
        <w:t xml:space="preserve">售价：免费</w:t>
      </w:r>
      <w:r>
        <w:rPr>
          <w:rFonts w:ascii="仿宋_GB2312" w:hAnsi="宋体" w:eastAsia="仿宋_GB2312"/>
          <w:sz w:val="28"/>
          <w:szCs w:val="28"/>
        </w:rPr>
      </w:r>
      <w:r/>
    </w:p>
    <w:p>
      <w:pPr>
        <w:pStyle w:val="961"/>
        <w:ind w:firstLine="560"/>
        <w:spacing w:line="560" w:lineRule="exact"/>
        <w:rPr>
          <w:rFonts w:ascii="黑体" w:hAnsi="黑体" w:eastAsia="黑体"/>
          <w:sz w:val="28"/>
          <w:szCs w:val="28"/>
        </w:rPr>
      </w:pPr>
      <w:r>
        <w:rPr>
          <w:rFonts w:hint="eastAsia" w:ascii="黑体" w:hAnsi="黑体" w:eastAsia="黑体"/>
          <w:sz w:val="28"/>
          <w:szCs w:val="28"/>
        </w:rPr>
        <w:t xml:space="preserve">四、提交首次响应文件</w:t>
      </w:r>
      <w:r>
        <w:rPr>
          <w:rFonts w:ascii="黑体" w:hAnsi="黑体" w:eastAsia="黑体"/>
          <w:sz w:val="28"/>
          <w:szCs w:val="28"/>
        </w:rPr>
      </w:r>
      <w:r/>
    </w:p>
    <w:p>
      <w:pPr>
        <w:pStyle w:val="961"/>
        <w:ind w:firstLine="560"/>
        <w:spacing w:line="560" w:lineRule="exact"/>
        <w:rPr>
          <w:rFonts w:ascii="仿宋_GB2312" w:hAnsi="宋体" w:eastAsia="仿宋_GB2312"/>
          <w:sz w:val="28"/>
          <w:szCs w:val="28"/>
        </w:rPr>
      </w:pPr>
      <w:r>
        <w:rPr>
          <w:rFonts w:hint="eastAsia" w:ascii="仿宋_GB2312" w:hAnsi="宋体" w:eastAsia="仿宋_GB2312"/>
          <w:sz w:val="28"/>
          <w:szCs w:val="28"/>
        </w:rPr>
        <w:t xml:space="preserve">提交首次响应文件截止时间：202</w:t>
      </w:r>
      <w:r>
        <w:rPr>
          <w:rFonts w:hint="eastAsia" w:ascii="仿宋_GB2312" w:hAnsi="宋体" w:eastAsia="仿宋_GB2312"/>
          <w:sz w:val="28"/>
          <w:szCs w:val="28"/>
        </w:rPr>
        <w:t xml:space="preserve">6-</w:t>
      </w:r>
      <w:r>
        <w:rPr>
          <w:rFonts w:hint="eastAsia" w:ascii="仿宋_GB2312" w:hAnsi="宋体" w:eastAsia="仿宋_GB2312"/>
          <w:sz w:val="28"/>
          <w:szCs w:val="28"/>
        </w:rPr>
        <w:t xml:space="preserve">5-9</w:t>
      </w:r>
      <w:r>
        <w:rPr>
          <w:rFonts w:hint="eastAsia" w:ascii="仿宋_GB2312" w:hAnsi="宋体" w:eastAsia="仿宋_GB2312"/>
          <w:sz w:val="28"/>
          <w:szCs w:val="28"/>
        </w:rPr>
        <w:t xml:space="preserve"> </w:t>
      </w:r>
      <w:r>
        <w:rPr>
          <w:rFonts w:ascii="仿宋_GB2312" w:hAnsi="宋体" w:eastAsia="仿宋_GB2312"/>
          <w:sz w:val="28"/>
          <w:szCs w:val="28"/>
        </w:rPr>
        <w:t xml:space="preserve"> </w:t>
      </w:r>
      <w:r>
        <w:rPr>
          <w:rFonts w:hint="eastAsia" w:ascii="仿宋_GB2312" w:hAnsi="宋体" w:eastAsia="仿宋_GB2312"/>
          <w:sz w:val="28"/>
          <w:szCs w:val="28"/>
        </w:rPr>
        <w:t xml:space="preserve">9:00</w:t>
      </w:r>
      <w:r>
        <w:rPr>
          <w:rFonts w:hint="eastAsia" w:ascii="仿宋_GB2312" w:hAnsi="宋体" w:eastAsia="仿宋_GB2312"/>
          <w:sz w:val="28"/>
          <w:szCs w:val="28"/>
        </w:rPr>
        <w:t xml:space="preserve">（北京时间）；</w:t>
      </w:r>
      <w:r>
        <w:rPr>
          <w:rFonts w:ascii="仿宋_GB2312" w:hAnsi="宋体" w:eastAsia="仿宋_GB2312"/>
          <w:sz w:val="28"/>
          <w:szCs w:val="28"/>
        </w:rPr>
      </w:r>
      <w:r/>
    </w:p>
    <w:p>
      <w:pPr>
        <w:pStyle w:val="961"/>
        <w:ind w:firstLine="560"/>
        <w:spacing w:line="560" w:lineRule="exact"/>
        <w:rPr>
          <w:rFonts w:ascii="仿宋_GB2312" w:hAnsi="宋体" w:eastAsia="仿宋_GB2312"/>
          <w:sz w:val="28"/>
          <w:szCs w:val="28"/>
        </w:rPr>
      </w:pPr>
      <w:r>
        <w:rPr>
          <w:rFonts w:hint="eastAsia" w:ascii="仿宋_GB2312" w:hAnsi="宋体" w:eastAsia="仿宋_GB2312"/>
          <w:sz w:val="28"/>
          <w:szCs w:val="28"/>
        </w:rPr>
        <w:t xml:space="preserve">地点：“苏采云”政府采购一体化平台</w:t>
      </w:r>
      <w:r>
        <w:rPr>
          <w:rFonts w:ascii="仿宋_GB2312" w:hAnsi="宋体" w:eastAsia="仿宋_GB2312"/>
          <w:sz w:val="28"/>
          <w:szCs w:val="28"/>
        </w:rPr>
      </w:r>
      <w:r/>
    </w:p>
    <w:p>
      <w:pPr>
        <w:pStyle w:val="961"/>
        <w:ind w:firstLine="560"/>
        <w:spacing w:line="560" w:lineRule="exact"/>
        <w:rPr>
          <w:rFonts w:ascii="黑体" w:hAnsi="黑体" w:eastAsia="黑体"/>
          <w:sz w:val="28"/>
          <w:szCs w:val="28"/>
        </w:rPr>
      </w:pPr>
      <w:r>
        <w:rPr>
          <w:rFonts w:hint="eastAsia" w:ascii="黑体" w:hAnsi="黑体" w:eastAsia="黑体"/>
          <w:sz w:val="28"/>
          <w:szCs w:val="28"/>
        </w:rPr>
        <w:t xml:space="preserve">五、开启</w:t>
      </w:r>
      <w:r>
        <w:rPr>
          <w:rFonts w:ascii="黑体" w:hAnsi="黑体" w:eastAsia="黑体"/>
          <w:sz w:val="28"/>
          <w:szCs w:val="28"/>
        </w:rPr>
      </w:r>
      <w:r/>
    </w:p>
    <w:p>
      <w:pPr>
        <w:pStyle w:val="961"/>
        <w:ind w:firstLine="560"/>
        <w:spacing w:line="560" w:lineRule="exact"/>
        <w:rPr>
          <w:rFonts w:ascii="仿宋_GB2312" w:hAnsi="宋体" w:eastAsia="仿宋_GB2312"/>
          <w:sz w:val="28"/>
          <w:szCs w:val="28"/>
        </w:rPr>
      </w:pPr>
      <w:r>
        <w:rPr>
          <w:rFonts w:hint="eastAsia" w:ascii="仿宋_GB2312" w:hAnsi="宋体" w:eastAsia="仿宋_GB2312"/>
          <w:sz w:val="28"/>
          <w:szCs w:val="28"/>
        </w:rPr>
        <w:t xml:space="preserve">时间：2026-</w:t>
      </w:r>
      <w:r>
        <w:rPr>
          <w:rFonts w:hint="eastAsia" w:ascii="仿宋_GB2312" w:hAnsi="宋体" w:eastAsia="仿宋_GB2312"/>
          <w:sz w:val="28"/>
          <w:szCs w:val="28"/>
        </w:rPr>
        <w:t xml:space="preserve">5-9</w:t>
      </w:r>
      <w:r>
        <w:rPr>
          <w:rFonts w:hint="eastAsia" w:ascii="仿宋_GB2312" w:hAnsi="宋体" w:eastAsia="仿宋_GB2312"/>
          <w:sz w:val="28"/>
          <w:szCs w:val="28"/>
        </w:rPr>
        <w:t xml:space="preserve">  9:00</w:t>
      </w:r>
      <w:r>
        <w:rPr>
          <w:rFonts w:hint="eastAsia" w:ascii="仿宋_GB2312" w:hAnsi="宋体" w:eastAsia="仿宋_GB2312"/>
          <w:sz w:val="28"/>
          <w:szCs w:val="28"/>
        </w:rPr>
        <w:t xml:space="preserve">（北京时间）；</w:t>
      </w:r>
      <w:r>
        <w:rPr>
          <w:rFonts w:ascii="仿宋_GB2312" w:hAnsi="宋体" w:eastAsia="仿宋_GB2312"/>
          <w:sz w:val="28"/>
          <w:szCs w:val="28"/>
        </w:rPr>
      </w:r>
      <w:r/>
    </w:p>
    <w:p>
      <w:pPr>
        <w:pStyle w:val="961"/>
        <w:ind w:firstLine="560"/>
        <w:spacing w:line="560" w:lineRule="exact"/>
        <w:rPr>
          <w:rFonts w:hint="eastAsia" w:ascii="仿宋_GB2312" w:hAnsi="宋体" w:eastAsia="仿宋_GB2312"/>
          <w:sz w:val="28"/>
          <w:szCs w:val="28"/>
        </w:rPr>
      </w:pPr>
      <w:r>
        <w:rPr>
          <w:rFonts w:hint="eastAsia" w:ascii="仿宋_GB2312" w:hAnsi="宋体" w:eastAsia="仿宋_GB2312"/>
          <w:sz w:val="28"/>
          <w:szCs w:val="28"/>
        </w:rPr>
        <w:t xml:space="preserve">地点：“苏采云”政府采购一体化平台</w:t>
      </w:r>
      <w:r/>
    </w:p>
    <w:p>
      <w:pPr>
        <w:pStyle w:val="961"/>
        <w:ind w:firstLine="560"/>
        <w:spacing w:line="560" w:lineRule="exact"/>
        <w:rPr>
          <w:rFonts w:ascii="黑体" w:hAnsi="黑体" w:eastAsia="黑体"/>
          <w:sz w:val="28"/>
          <w:szCs w:val="28"/>
        </w:rPr>
      </w:pPr>
      <w:r>
        <w:rPr>
          <w:rFonts w:hint="eastAsia" w:ascii="黑体" w:hAnsi="黑体" w:eastAsia="黑体"/>
          <w:sz w:val="28"/>
          <w:szCs w:val="28"/>
        </w:rPr>
        <w:t xml:space="preserve">六、公告期限</w:t>
      </w:r>
      <w:r>
        <w:rPr>
          <w:rFonts w:ascii="黑体" w:hAnsi="黑体" w:eastAsia="黑体"/>
          <w:sz w:val="28"/>
          <w:szCs w:val="28"/>
        </w:rPr>
      </w:r>
      <w:r/>
    </w:p>
    <w:p>
      <w:pPr>
        <w:pStyle w:val="961"/>
        <w:ind w:firstLine="560"/>
        <w:spacing w:line="560" w:lineRule="exact"/>
        <w:rPr>
          <w:rFonts w:ascii="仿宋_GB2312" w:hAnsi="宋体" w:eastAsia="仿宋_GB2312"/>
          <w:sz w:val="28"/>
          <w:szCs w:val="28"/>
        </w:rPr>
      </w:pPr>
      <w:r>
        <w:rPr>
          <w:rFonts w:hint="eastAsia" w:ascii="仿宋_GB2312" w:hAnsi="宋体" w:eastAsia="仿宋_GB2312"/>
          <w:sz w:val="28"/>
          <w:szCs w:val="28"/>
        </w:rPr>
        <w:t xml:space="preserve">自本公告发布之日起5个工作日。</w:t>
      </w:r>
      <w:r>
        <w:rPr>
          <w:rFonts w:ascii="仿宋_GB2312" w:hAnsi="宋体" w:eastAsia="仿宋_GB2312"/>
          <w:sz w:val="28"/>
          <w:szCs w:val="28"/>
        </w:rPr>
      </w:r>
      <w:r/>
    </w:p>
    <w:p>
      <w:pPr>
        <w:pStyle w:val="961"/>
        <w:ind w:firstLine="560"/>
        <w:spacing w:line="560" w:lineRule="exact"/>
        <w:rPr>
          <w:rFonts w:hint="eastAsia" w:ascii="黑体" w:hAnsi="黑体" w:eastAsia="黑体"/>
          <w:sz w:val="28"/>
          <w:szCs w:val="28"/>
        </w:rPr>
      </w:pPr>
      <w:r>
        <w:rPr>
          <w:rFonts w:hint="eastAsia" w:ascii="黑体" w:hAnsi="黑体" w:eastAsia="黑体"/>
          <w:sz w:val="28"/>
          <w:szCs w:val="28"/>
        </w:rPr>
        <w:t xml:space="preserve">七、其他补充事宜</w:t>
      </w:r>
      <w:r/>
    </w:p>
    <w:p>
      <w:pPr>
        <w:pStyle w:val="961"/>
        <w:ind w:firstLine="560"/>
        <w:spacing w:line="560" w:lineRule="exact"/>
        <w:rPr>
          <w:rFonts w:hint="eastAsia" w:ascii="仿宋_GB2312" w:hAnsi="宋体" w:eastAsia="仿宋_GB2312"/>
          <w:sz w:val="28"/>
          <w:szCs w:val="28"/>
        </w:rPr>
      </w:pPr>
      <w:r>
        <w:rPr>
          <w:rFonts w:hint="eastAsia" w:ascii="仿宋_GB2312" w:hAnsi="宋体" w:eastAsia="仿宋_GB2312"/>
          <w:sz w:val="28"/>
          <w:szCs w:val="28"/>
        </w:rPr>
        <w:t xml:space="preserve">1.磋商保证金：无。</w:t>
      </w:r>
      <w:r/>
    </w:p>
    <w:p>
      <w:pPr>
        <w:pStyle w:val="961"/>
        <w:ind w:firstLine="560"/>
        <w:spacing w:line="560" w:lineRule="exact"/>
        <w:rPr>
          <w:rFonts w:hint="eastAsia" w:ascii="仿宋_GB2312" w:hAnsi="宋体" w:eastAsia="仿宋_GB2312"/>
          <w:sz w:val="28"/>
          <w:szCs w:val="28"/>
        </w:rPr>
      </w:pPr>
      <w:r>
        <w:rPr>
          <w:rFonts w:hint="eastAsia" w:ascii="仿宋_GB2312" w:hAnsi="宋体" w:eastAsia="仿宋_GB2312"/>
          <w:sz w:val="28"/>
          <w:szCs w:val="28"/>
        </w:rPr>
        <w:t xml:space="preserve">2.采购信息发布媒介：江苏政府采购网（www.ccgp-jiangsu.gov.cn）</w:t>
      </w:r>
      <w:r/>
    </w:p>
    <w:p>
      <w:pPr>
        <w:pStyle w:val="961"/>
        <w:ind w:firstLine="562"/>
        <w:spacing w:line="460" w:lineRule="exact"/>
        <w:rPr>
          <w:rFonts w:ascii="仿宋_GB2312" w:hAnsi="宋体" w:eastAsia="仿宋_GB2312"/>
          <w:b/>
          <w:sz w:val="28"/>
          <w:szCs w:val="28"/>
        </w:rPr>
      </w:pPr>
      <w:r>
        <w:rPr>
          <w:rFonts w:hint="eastAsia" w:ascii="仿宋_GB2312" w:hAnsi="宋体" w:eastAsia="仿宋_GB2312"/>
          <w:b/>
          <w:sz w:val="28"/>
          <w:szCs w:val="28"/>
        </w:rPr>
        <w:t xml:space="preserve">3.注意事项：</w:t>
      </w:r>
      <w:r>
        <w:rPr>
          <w:rFonts w:ascii="仿宋_GB2312" w:hAnsi="宋体" w:eastAsia="仿宋_GB2312"/>
          <w:b/>
          <w:sz w:val="28"/>
          <w:szCs w:val="28"/>
        </w:rPr>
      </w:r>
      <w:r/>
    </w:p>
    <w:p>
      <w:pPr>
        <w:pStyle w:val="961"/>
        <w:ind w:firstLine="562"/>
        <w:spacing w:line="460" w:lineRule="exact"/>
        <w:rPr>
          <w:rFonts w:ascii="仿宋_GB2312" w:hAnsi="宋体" w:eastAsia="仿宋_GB2312"/>
          <w:b/>
          <w:sz w:val="28"/>
          <w:szCs w:val="28"/>
        </w:rPr>
      </w:pPr>
      <w:r>
        <w:rPr>
          <w:rFonts w:hint="eastAsia" w:ascii="仿宋_GB2312" w:hAnsi="宋体" w:eastAsia="仿宋_GB2312"/>
          <w:b/>
          <w:sz w:val="28"/>
          <w:szCs w:val="28"/>
        </w:rPr>
        <w:t xml:space="preserve">（1）潜在供应商登录“</w:t>
      </w:r>
      <w:bookmarkStart w:id="74" w:name="OLE_LINK176"/>
      <w:r>
        <w:rPr>
          <w:rFonts w:hint="eastAsia" w:ascii="仿宋_GB2312" w:hAnsi="宋体" w:eastAsia="仿宋_GB2312"/>
          <w:b/>
          <w:sz w:val="28"/>
          <w:szCs w:val="28"/>
        </w:rPr>
        <w:t xml:space="preserve">江苏省政府采购管理交易系统（苏采云）</w:t>
      </w:r>
      <w:bookmarkEnd w:id="74"/>
      <w:r>
        <w:rPr>
          <w:rFonts w:hint="eastAsia" w:ascii="仿宋_GB2312" w:hAnsi="宋体" w:eastAsia="仿宋_GB2312"/>
          <w:b/>
          <w:sz w:val="28"/>
          <w:szCs w:val="28"/>
        </w:rPr>
        <w:t xml:space="preserve">”须持经注册的CA证书。未注册、领取CA和办理电子签章的潜在供应商，请至泰州市高港区泰州大道188号(中国医药城会展交易中心W3馆西南角)公共资源交易大厅政务CA窗口办理，电话：0523-81568158。</w:t>
      </w:r>
      <w:r>
        <w:rPr>
          <w:rFonts w:ascii="仿宋_GB2312" w:hAnsi="宋体" w:eastAsia="仿宋_GB2312"/>
          <w:b/>
          <w:sz w:val="28"/>
          <w:szCs w:val="28"/>
        </w:rPr>
      </w:r>
      <w:r/>
    </w:p>
    <w:p>
      <w:pPr>
        <w:pStyle w:val="961"/>
        <w:ind w:firstLine="562"/>
        <w:spacing w:line="460" w:lineRule="exact"/>
        <w:rPr>
          <w:rFonts w:ascii="仿宋_GB2312" w:hAnsi="宋体" w:eastAsia="仿宋_GB2312"/>
          <w:b/>
          <w:sz w:val="28"/>
          <w:szCs w:val="28"/>
        </w:rPr>
      </w:pPr>
      <w:r>
        <w:rPr>
          <w:rFonts w:hint="eastAsia" w:ascii="仿宋_GB2312" w:hAnsi="宋体" w:eastAsia="仿宋_GB2312"/>
          <w:b/>
          <w:sz w:val="28"/>
          <w:szCs w:val="28"/>
        </w:rPr>
        <w:t xml:space="preserve">（2）本项目采用电子化投标，供应商应根据《江苏省政府采购管理交易系统（苏采云）供应商操作手册》（“泰州市政府采购网—下载中心”下载）规定，制作、上传电子投标文件（技术支持电话：0523-87633965、0523-86897512；客服QQ709339244、QQ：1810179072）。</w:t>
      </w:r>
      <w:r>
        <w:rPr>
          <w:rFonts w:ascii="仿宋_GB2312" w:hAnsi="宋体" w:eastAsia="仿宋_GB2312"/>
          <w:b/>
          <w:sz w:val="28"/>
          <w:szCs w:val="28"/>
        </w:rPr>
      </w:r>
      <w:r/>
    </w:p>
    <w:p>
      <w:pPr>
        <w:pStyle w:val="961"/>
        <w:ind w:firstLine="562"/>
        <w:spacing w:line="460" w:lineRule="exact"/>
        <w:rPr>
          <w:rFonts w:ascii="仿宋_GB2312" w:hAnsi="宋体" w:eastAsia="仿宋_GB2312"/>
          <w:b/>
          <w:sz w:val="28"/>
          <w:szCs w:val="28"/>
        </w:rPr>
      </w:pPr>
      <w:r>
        <w:rPr>
          <w:rFonts w:hint="eastAsia" w:ascii="仿宋_GB2312" w:hAnsi="宋体" w:eastAsia="仿宋_GB2312"/>
          <w:b/>
          <w:sz w:val="28"/>
          <w:szCs w:val="28"/>
        </w:rPr>
        <w:t xml:space="preserve">（3）有关本次招标的事项若存在变动或修改，敬请及时关注“江苏政府采购网”发布的更正公告。</w:t>
      </w:r>
      <w:r>
        <w:rPr>
          <w:rFonts w:ascii="仿宋_GB2312" w:hAnsi="宋体" w:eastAsia="仿宋_GB2312"/>
          <w:b/>
          <w:sz w:val="28"/>
          <w:szCs w:val="28"/>
        </w:rPr>
      </w:r>
      <w:r/>
    </w:p>
    <w:p>
      <w:pPr>
        <w:pStyle w:val="961"/>
        <w:ind w:firstLine="562"/>
        <w:spacing w:line="560" w:lineRule="exact"/>
        <w:rPr>
          <w:rFonts w:hint="eastAsia" w:ascii="仿宋_GB2312" w:hAnsi="宋体" w:eastAsia="仿宋_GB2312"/>
          <w:b/>
          <w:sz w:val="28"/>
          <w:szCs w:val="28"/>
        </w:rPr>
      </w:pPr>
      <w:r>
        <w:rPr>
          <w:rFonts w:hint="eastAsia" w:ascii="仿宋_GB2312" w:hAnsi="宋体" w:eastAsia="仿宋_GB2312"/>
          <w:b/>
          <w:sz w:val="28"/>
          <w:szCs w:val="28"/>
        </w:rPr>
        <w:t xml:space="preserve">如潜在供应商未按上述要求操作，将自行承担所产生的风险。</w:t>
      </w:r>
      <w:r/>
    </w:p>
    <w:p>
      <w:pPr>
        <w:pStyle w:val="961"/>
        <w:ind w:firstLine="560"/>
        <w:spacing w:line="560" w:lineRule="exact"/>
        <w:rPr>
          <w:rFonts w:ascii="黑体" w:hAnsi="黑体" w:eastAsia="黑体"/>
          <w:sz w:val="28"/>
          <w:szCs w:val="28"/>
        </w:rPr>
      </w:pPr>
      <w:r>
        <w:rPr>
          <w:rFonts w:hint="eastAsia" w:ascii="黑体" w:hAnsi="黑体" w:eastAsia="黑体"/>
          <w:sz w:val="28"/>
          <w:szCs w:val="28"/>
        </w:rPr>
        <w:t xml:space="preserve">八、凡对本次采购提出询问，请按以下方式联系</w:t>
      </w:r>
      <w:r>
        <w:rPr>
          <w:rFonts w:ascii="黑体" w:hAnsi="黑体" w:eastAsia="黑体"/>
          <w:sz w:val="28"/>
          <w:szCs w:val="28"/>
        </w:rPr>
      </w:r>
      <w:r/>
    </w:p>
    <w:p>
      <w:pPr>
        <w:pStyle w:val="996"/>
        <w:ind w:firstLine="561"/>
        <w:spacing w:before="0" w:beforeAutospacing="0" w:after="0" w:afterAutospacing="0" w:line="520" w:lineRule="exact"/>
        <w:rPr>
          <w:rFonts w:ascii="仿宋_GB2312" w:eastAsia="仿宋_GB2312" w:cs="Times New Roman"/>
          <w:sz w:val="28"/>
          <w:szCs w:val="28"/>
        </w:rPr>
      </w:pPr>
      <w:r>
        <w:rPr>
          <w:rFonts w:hint="eastAsia" w:ascii="仿宋_GB2312" w:eastAsia="仿宋_GB2312" w:cs="Times New Roman"/>
          <w:sz w:val="28"/>
          <w:szCs w:val="28"/>
        </w:rPr>
        <w:t xml:space="preserve">1.采购人信息</w:t>
      </w:r>
      <w:r>
        <w:rPr>
          <w:rFonts w:ascii="仿宋_GB2312" w:eastAsia="仿宋_GB2312" w:cs="Times New Roman"/>
          <w:sz w:val="28"/>
          <w:szCs w:val="28"/>
        </w:rPr>
      </w:r>
      <w:r/>
    </w:p>
    <w:p>
      <w:pPr>
        <w:pStyle w:val="996"/>
        <w:ind w:firstLine="561"/>
        <w:spacing w:before="0" w:beforeAutospacing="0" w:after="0" w:afterAutospacing="0" w:line="520" w:lineRule="exact"/>
        <w:rPr>
          <w:rFonts w:hint="eastAsia" w:ascii="仿宋_GB2312" w:eastAsia="仿宋_GB2312"/>
          <w:sz w:val="28"/>
          <w:szCs w:val="28"/>
        </w:rPr>
      </w:pPr>
      <w:r>
        <w:rPr>
          <w:rFonts w:hint="eastAsia" w:ascii="仿宋_GB2312" w:eastAsia="仿宋_GB2312" w:cs="Times New Roman"/>
          <w:sz w:val="28"/>
          <w:szCs w:val="28"/>
        </w:rPr>
        <w:t xml:space="preserve">名称：</w:t>
      </w:r>
      <w:bookmarkStart w:id="75" w:name="OLE_LINK183"/>
      <w:r/>
      <w:bookmarkStart w:id="76" w:name="OLE_LINK174"/>
      <w:r/>
      <w:bookmarkStart w:id="77" w:name="OLE_LINK161"/>
      <w:r/>
      <w:bookmarkStart w:id="78" w:name="OLE_LINK162"/>
      <w:r/>
      <w:bookmarkStart w:id="79" w:name="OLE_LINK204"/>
      <w:r/>
      <w:bookmarkStart w:id="80" w:name="OLE_LINK14"/>
      <w:r>
        <w:rPr>
          <w:rFonts w:hint="eastAsia" w:ascii="仿宋_GB2312" w:eastAsia="仿宋_GB2312"/>
          <w:sz w:val="28"/>
          <w:szCs w:val="28"/>
        </w:rPr>
        <w:t xml:space="preserve">泰兴市</w:t>
      </w:r>
      <w:bookmarkEnd w:id="75"/>
      <w:r/>
      <w:bookmarkEnd w:id="76"/>
      <w:r/>
      <w:bookmarkEnd w:id="79"/>
      <w:r/>
      <w:bookmarkEnd w:id="80"/>
      <w:r>
        <w:rPr>
          <w:rFonts w:hint="eastAsia" w:ascii="仿宋_GB2312" w:eastAsia="仿宋_GB2312"/>
          <w:sz w:val="28"/>
          <w:szCs w:val="28"/>
        </w:rPr>
        <w:t xml:space="preserve">急救中心</w:t>
      </w:r>
      <w:bookmarkEnd w:id="77"/>
      <w:r/>
      <w:bookmarkEnd w:id="78"/>
      <w:r>
        <w:rPr>
          <w:rFonts w:hint="eastAsia" w:ascii="仿宋_GB2312" w:eastAsia="仿宋_GB2312"/>
          <w:sz w:val="28"/>
          <w:szCs w:val="28"/>
        </w:rPr>
      </w:r>
      <w:r/>
    </w:p>
    <w:p>
      <w:pPr>
        <w:pStyle w:val="996"/>
        <w:ind w:firstLine="561"/>
        <w:spacing w:before="0" w:beforeAutospacing="0" w:after="0" w:afterAutospacing="0" w:line="520" w:lineRule="exact"/>
        <w:rPr>
          <w:rFonts w:hint="eastAsia" w:ascii="仿宋_GB2312" w:eastAsia="仿宋_GB2312" w:cs="Times New Roman"/>
          <w:sz w:val="28"/>
          <w:szCs w:val="28"/>
        </w:rPr>
      </w:pPr>
      <w:r>
        <w:rPr>
          <w:rFonts w:hint="eastAsia" w:ascii="仿宋_GB2312" w:eastAsia="仿宋_GB2312" w:cs="Times New Roman"/>
          <w:sz w:val="28"/>
          <w:szCs w:val="28"/>
        </w:rPr>
        <w:t xml:space="preserve">地址：</w:t>
      </w:r>
      <w:r>
        <w:rPr>
          <w:rFonts w:hint="eastAsia" w:ascii="仿宋_GB2312" w:eastAsia="仿宋_GB2312"/>
          <w:sz w:val="28"/>
          <w:szCs w:val="28"/>
        </w:rPr>
        <w:t xml:space="preserve">泰兴市云璟台花苑4幢101室。</w:t>
      </w:r>
      <w:r>
        <w:rPr>
          <w:rFonts w:hint="eastAsia" w:ascii="仿宋_GB2312" w:eastAsia="仿宋_GB2312" w:cs="Times New Roman"/>
          <w:sz w:val="28"/>
          <w:szCs w:val="28"/>
        </w:rPr>
      </w:r>
      <w:r/>
    </w:p>
    <w:p>
      <w:pPr>
        <w:pStyle w:val="996"/>
        <w:ind w:firstLine="561"/>
        <w:spacing w:before="0" w:beforeAutospacing="0" w:after="0" w:afterAutospacing="0" w:line="520" w:lineRule="exact"/>
        <w:rPr>
          <w:rFonts w:hint="eastAsia" w:ascii="仿宋_GB2312" w:eastAsia="仿宋_GB2312" w:cs="Times New Roman"/>
          <w:sz w:val="28"/>
          <w:szCs w:val="28"/>
        </w:rPr>
      </w:pPr>
      <w:r>
        <w:rPr>
          <w:rFonts w:hint="eastAsia" w:ascii="仿宋_GB2312" w:eastAsia="仿宋_GB2312" w:cs="Times New Roman"/>
          <w:sz w:val="28"/>
          <w:szCs w:val="28"/>
        </w:rPr>
        <w:t xml:space="preserve">联系方式：</w:t>
      </w:r>
      <w:bookmarkStart w:id="81" w:name="OLE_LINK163"/>
      <w:r/>
      <w:bookmarkStart w:id="82" w:name="OLE_LINK180"/>
      <w:r>
        <w:rPr>
          <w:rFonts w:hint="eastAsia" w:ascii="仿宋_GB2312" w:eastAsia="仿宋_GB2312"/>
          <w:sz w:val="28"/>
          <w:szCs w:val="28"/>
        </w:rPr>
        <w:t xml:space="preserve">13655268188</w:t>
      </w:r>
      <w:bookmarkEnd w:id="81"/>
      <w:r/>
      <w:bookmarkEnd w:id="82"/>
      <w:r>
        <w:rPr>
          <w:rFonts w:hint="eastAsia" w:ascii="仿宋_GB2312" w:eastAsia="仿宋_GB2312" w:cs="Times New Roman"/>
          <w:sz w:val="28"/>
          <w:szCs w:val="28"/>
        </w:rPr>
      </w:r>
      <w:r/>
    </w:p>
    <w:p>
      <w:pPr>
        <w:pStyle w:val="996"/>
        <w:ind w:firstLine="561"/>
        <w:spacing w:before="0" w:beforeAutospacing="0" w:after="0" w:afterAutospacing="0" w:line="520" w:lineRule="exact"/>
        <w:rPr>
          <w:rFonts w:hint="eastAsia" w:ascii="仿宋_GB2312" w:eastAsia="仿宋_GB2312" w:cs="Times New Roman"/>
          <w:sz w:val="28"/>
          <w:szCs w:val="28"/>
        </w:rPr>
      </w:pPr>
      <w:r>
        <w:rPr>
          <w:rFonts w:hint="eastAsia" w:ascii="仿宋_GB2312" w:eastAsia="仿宋_GB2312" w:cs="Times New Roman"/>
          <w:sz w:val="28"/>
          <w:szCs w:val="28"/>
        </w:rPr>
        <w:t xml:space="preserve">2.采购代理机构信息</w:t>
      </w:r>
      <w:r/>
    </w:p>
    <w:p>
      <w:pPr>
        <w:pStyle w:val="996"/>
        <w:ind w:firstLine="561"/>
        <w:jc w:val="both"/>
        <w:spacing w:before="0" w:beforeAutospacing="0" w:after="0" w:afterAutospacing="0" w:line="520" w:lineRule="exact"/>
        <w:rPr>
          <w:rFonts w:hint="eastAsia" w:ascii="仿宋_GB2312" w:eastAsia="仿宋_GB2312" w:cs="Times New Roman"/>
          <w:sz w:val="28"/>
          <w:szCs w:val="28"/>
        </w:rPr>
      </w:pPr>
      <w:r>
        <w:rPr>
          <w:rFonts w:hint="eastAsia" w:ascii="仿宋_GB2312" w:eastAsia="仿宋_GB2312" w:cs="Times New Roman"/>
          <w:sz w:val="28"/>
          <w:szCs w:val="28"/>
        </w:rPr>
        <w:t xml:space="preserve">名称：江苏润泰工程项目管理咨询有限公司</w:t>
      </w:r>
      <w:r/>
    </w:p>
    <w:p>
      <w:pPr>
        <w:pStyle w:val="996"/>
        <w:ind w:firstLine="561"/>
        <w:jc w:val="both"/>
        <w:spacing w:before="0" w:beforeAutospacing="0" w:after="0" w:afterAutospacing="0" w:line="520" w:lineRule="exact"/>
        <w:rPr>
          <w:rFonts w:hint="eastAsia" w:ascii="仿宋_GB2312" w:eastAsia="仿宋_GB2312" w:cs="Times New Roman"/>
          <w:sz w:val="28"/>
          <w:szCs w:val="28"/>
        </w:rPr>
      </w:pPr>
      <w:r>
        <w:rPr>
          <w:rFonts w:hint="eastAsia" w:ascii="仿宋_GB2312" w:eastAsia="仿宋_GB2312" w:cs="Times New Roman"/>
          <w:sz w:val="28"/>
          <w:szCs w:val="28"/>
        </w:rPr>
        <w:t xml:space="preserve">地址：泰兴市科政路39号润泰大厦16楼</w:t>
      </w:r>
      <w:r/>
    </w:p>
    <w:p>
      <w:pPr>
        <w:pStyle w:val="996"/>
        <w:ind w:firstLine="561"/>
        <w:jc w:val="both"/>
        <w:spacing w:before="0" w:beforeAutospacing="0" w:after="0" w:afterAutospacing="0" w:line="520" w:lineRule="exact"/>
        <w:rPr>
          <w:rFonts w:hint="eastAsia" w:ascii="仿宋_GB2312" w:eastAsia="仿宋_GB2312" w:cs="Times New Roman"/>
          <w:sz w:val="28"/>
          <w:szCs w:val="28"/>
        </w:rPr>
      </w:pPr>
      <w:r/>
      <w:bookmarkStart w:id="83" w:name="OLE_LINK130"/>
      <w:r/>
      <w:bookmarkStart w:id="84" w:name="OLE_LINK173"/>
      <w:r>
        <w:rPr>
          <w:rFonts w:hint="eastAsia" w:ascii="仿宋_GB2312" w:eastAsia="仿宋_GB2312" w:cs="Times New Roman"/>
          <w:sz w:val="28"/>
          <w:szCs w:val="28"/>
        </w:rPr>
        <w:t xml:space="preserve">联系方式</w:t>
      </w:r>
      <w:bookmarkEnd w:id="83"/>
      <w:r/>
      <w:bookmarkEnd w:id="84"/>
      <w:r>
        <w:rPr>
          <w:rFonts w:hint="eastAsia" w:ascii="仿宋_GB2312" w:eastAsia="仿宋_GB2312" w:cs="Times New Roman"/>
          <w:sz w:val="28"/>
          <w:szCs w:val="28"/>
        </w:rPr>
        <w:t xml:space="preserve">：0523-87723388</w:t>
      </w:r>
      <w:r/>
    </w:p>
    <w:p>
      <w:pPr>
        <w:pStyle w:val="996"/>
        <w:ind w:firstLine="561"/>
        <w:jc w:val="both"/>
        <w:spacing w:before="0" w:beforeAutospacing="0" w:after="0" w:afterAutospacing="0" w:line="520" w:lineRule="exact"/>
        <w:rPr>
          <w:rFonts w:hint="eastAsia" w:ascii="仿宋_GB2312" w:eastAsia="仿宋_GB2312" w:cs="Times New Roman"/>
          <w:sz w:val="28"/>
          <w:szCs w:val="28"/>
        </w:rPr>
      </w:pPr>
      <w:r>
        <w:rPr>
          <w:rFonts w:hint="eastAsia" w:ascii="仿宋_GB2312" w:eastAsia="仿宋_GB2312" w:cs="Times New Roman"/>
          <w:sz w:val="28"/>
          <w:szCs w:val="28"/>
        </w:rPr>
        <w:t xml:space="preserve">3.项目联系方式</w:t>
      </w:r>
      <w:r/>
    </w:p>
    <w:p>
      <w:pPr>
        <w:pStyle w:val="996"/>
        <w:ind w:firstLine="561"/>
        <w:jc w:val="both"/>
        <w:spacing w:before="0" w:beforeAutospacing="0" w:after="0" w:afterAutospacing="0" w:line="520" w:lineRule="exact"/>
        <w:rPr>
          <w:rFonts w:hint="eastAsia" w:ascii="仿宋_GB2312" w:eastAsia="仿宋_GB2312" w:cs="Times New Roman"/>
          <w:sz w:val="28"/>
          <w:szCs w:val="28"/>
        </w:rPr>
      </w:pPr>
      <w:r>
        <w:rPr>
          <w:rFonts w:hint="eastAsia" w:ascii="仿宋_GB2312" w:eastAsia="仿宋_GB2312" w:cs="Times New Roman"/>
          <w:sz w:val="28"/>
          <w:szCs w:val="28"/>
        </w:rPr>
        <w:t xml:space="preserve">项目联系人：</w:t>
      </w:r>
      <w:r>
        <w:rPr>
          <w:rFonts w:hint="eastAsia" w:ascii="仿宋_GB2312" w:eastAsia="仿宋_GB2312"/>
          <w:sz w:val="28"/>
          <w:szCs w:val="28"/>
        </w:rPr>
        <w:t xml:space="preserve">泰兴市急救中心</w:t>
      </w:r>
      <w:r>
        <w:rPr>
          <w:rFonts w:hint="eastAsia" w:ascii="仿宋_GB2312" w:eastAsia="仿宋_GB2312" w:cs="Times New Roman"/>
          <w:sz w:val="28"/>
          <w:szCs w:val="28"/>
        </w:rPr>
        <w:t xml:space="preserve">  章先生</w:t>
      </w:r>
      <w:r/>
    </w:p>
    <w:p>
      <w:pPr>
        <w:pStyle w:val="996"/>
        <w:ind w:firstLine="561"/>
        <w:jc w:val="both"/>
        <w:spacing w:before="0" w:beforeAutospacing="0" w:after="0" w:afterAutospacing="0" w:line="520" w:lineRule="exact"/>
        <w:rPr>
          <w:rFonts w:hint="eastAsia" w:ascii="仿宋_GB2312" w:eastAsia="仿宋_GB2312" w:cs="Times New Roman"/>
          <w:sz w:val="28"/>
          <w:szCs w:val="28"/>
        </w:rPr>
      </w:pPr>
      <w:r>
        <w:rPr>
          <w:rFonts w:hint="eastAsia" w:ascii="仿宋_GB2312" w:eastAsia="仿宋_GB2312"/>
          <w:sz w:val="28"/>
          <w:szCs w:val="28"/>
        </w:rPr>
        <w:t xml:space="preserve">联系方式</w:t>
      </w:r>
      <w:r>
        <w:rPr>
          <w:rFonts w:hint="eastAsia" w:ascii="仿宋_GB2312" w:eastAsia="仿宋_GB2312" w:cs="Times New Roman"/>
          <w:sz w:val="28"/>
          <w:szCs w:val="28"/>
        </w:rPr>
        <w:t xml:space="preserve">：</w:t>
      </w:r>
      <w:r>
        <w:rPr>
          <w:rFonts w:hint="eastAsia" w:ascii="仿宋_GB2312" w:eastAsia="仿宋_GB2312"/>
          <w:sz w:val="28"/>
          <w:szCs w:val="28"/>
        </w:rPr>
        <w:t xml:space="preserve">13655268188</w:t>
      </w:r>
      <w:r>
        <w:rPr>
          <w:rFonts w:hint="eastAsia" w:ascii="仿宋_GB2312" w:eastAsia="仿宋_GB2312" w:cs="Times New Roman"/>
          <w:sz w:val="28"/>
          <w:szCs w:val="28"/>
        </w:rPr>
      </w:r>
      <w:r/>
    </w:p>
    <w:p>
      <w:pPr>
        <w:pStyle w:val="996"/>
        <w:ind w:firstLine="561"/>
        <w:jc w:val="both"/>
        <w:spacing w:before="0" w:beforeAutospacing="0" w:after="0" w:afterAutospacing="0" w:line="520" w:lineRule="exact"/>
        <w:rPr>
          <w:rFonts w:hint="eastAsia" w:ascii="仿宋_GB2312" w:eastAsia="仿宋_GB2312" w:cs="Times New Roman"/>
          <w:sz w:val="28"/>
          <w:szCs w:val="28"/>
        </w:rPr>
      </w:pPr>
      <w:r>
        <w:rPr>
          <w:rFonts w:hint="eastAsia" w:ascii="仿宋_GB2312" w:eastAsia="仿宋_GB2312" w:cs="Times New Roman"/>
          <w:sz w:val="28"/>
          <w:szCs w:val="28"/>
        </w:rPr>
        <w:t xml:space="preserve">项目联系人：江苏润泰工程项目管理咨询有限公司 </w:t>
      </w:r>
      <w:r>
        <w:rPr>
          <w:rFonts w:hint="eastAsia" w:ascii="仿宋_GB2312" w:eastAsia="仿宋_GB2312" w:cs="Times New Roman"/>
          <w:sz w:val="28"/>
          <w:szCs w:val="28"/>
        </w:rPr>
        <w:t xml:space="preserve"> </w:t>
      </w:r>
      <w:r>
        <w:rPr>
          <w:rFonts w:hint="eastAsia" w:ascii="仿宋_GB2312" w:eastAsia="仿宋_GB2312" w:cs="Times New Roman"/>
          <w:sz w:val="28"/>
          <w:szCs w:val="28"/>
        </w:rPr>
        <w:t xml:space="preserve">陈琳</w:t>
      </w:r>
      <w:r/>
    </w:p>
    <w:p>
      <w:pPr>
        <w:pStyle w:val="961"/>
        <w:ind w:firstLine="560"/>
        <w:spacing w:line="520" w:lineRule="exact"/>
        <w:rPr>
          <w:rFonts w:hint="eastAsia" w:ascii="仿宋_GB2312" w:hAnsi="宋体" w:eastAsia="仿宋_GB2312"/>
          <w:sz w:val="28"/>
          <w:szCs w:val="28"/>
        </w:rPr>
      </w:pPr>
      <w:r>
        <w:rPr>
          <w:rFonts w:hint="eastAsia" w:ascii="仿宋_GB2312" w:eastAsia="仿宋_GB2312"/>
          <w:sz w:val="28"/>
          <w:szCs w:val="28"/>
        </w:rPr>
        <w:t xml:space="preserve">联系方式</w:t>
      </w:r>
      <w:r>
        <w:rPr>
          <w:rFonts w:hint="eastAsia" w:ascii="仿宋_GB2312" w:hAnsi="宋体" w:eastAsia="仿宋_GB2312"/>
          <w:sz w:val="28"/>
          <w:szCs w:val="28"/>
        </w:rPr>
        <w:t xml:space="preserve">：</w:t>
      </w:r>
      <w:r>
        <w:rPr>
          <w:rFonts w:ascii="仿宋_GB2312" w:hAnsi="宋体" w:eastAsia="仿宋_GB2312"/>
          <w:sz w:val="28"/>
          <w:szCs w:val="28"/>
        </w:rPr>
        <w:t xml:space="preserve">0523-87723388</w:t>
      </w:r>
      <w:r>
        <w:rPr>
          <w:rFonts w:hint="eastAsia" w:ascii="仿宋_GB2312" w:hAnsi="宋体" w:eastAsia="仿宋_GB2312"/>
          <w:sz w:val="28"/>
          <w:szCs w:val="28"/>
        </w:rPr>
      </w:r>
      <w:r/>
    </w:p>
    <w:p>
      <w:pPr>
        <w:pStyle w:val="961"/>
        <w:jc w:val="center"/>
        <w:widowControl/>
        <w:rPr>
          <w:rFonts w:hint="eastAsia" w:ascii="方正小标宋_GBK" w:hAnsi="宋体" w:eastAsia="方正小标宋_GBK"/>
          <w:b/>
          <w:sz w:val="32"/>
          <w:szCs w:val="32"/>
        </w:rPr>
      </w:pPr>
      <w:r>
        <w:rPr>
          <w:rFonts w:ascii="宋体" w:hAnsi="宋体"/>
          <w:b/>
          <w:sz w:val="32"/>
          <w:szCs w:val="32"/>
        </w:rPr>
        <w:br w:type="page" w:clear="all"/>
      </w:r>
      <w:r>
        <w:rPr>
          <w:rFonts w:hint="eastAsia" w:ascii="方正小标宋_GBK" w:hAnsi="宋体" w:eastAsia="方正小标宋_GBK"/>
          <w:b/>
          <w:sz w:val="32"/>
          <w:szCs w:val="32"/>
        </w:rPr>
        <w:t xml:space="preserve">第二章 供应商须知</w:t>
      </w:r>
      <w:bookmarkEnd w:id="30"/>
      <w:r>
        <w:rPr>
          <w:rFonts w:hint="eastAsia" w:ascii="方正小标宋_GBK" w:hAnsi="宋体" w:eastAsia="方正小标宋_GBK"/>
          <w:b/>
          <w:sz w:val="32"/>
          <w:szCs w:val="32"/>
        </w:rPr>
      </w:r>
      <w:r/>
    </w:p>
    <w:p>
      <w:pPr>
        <w:pStyle w:val="961"/>
        <w:rPr>
          <w:rFonts w:ascii="仿宋_GB2312" w:hAnsi="宋体" w:eastAsia="仿宋_GB2312"/>
          <w:sz w:val="28"/>
          <w:szCs w:val="28"/>
        </w:rPr>
      </w:pPr>
      <w:r>
        <w:rPr>
          <w:rFonts w:hint="eastAsia" w:ascii="仿宋_GB2312" w:hAnsi="宋体" w:eastAsia="仿宋_GB2312"/>
          <w:sz w:val="28"/>
          <w:szCs w:val="28"/>
        </w:rPr>
        <w:t xml:space="preserve">供应商须知前附表</w:t>
      </w:r>
      <w:r>
        <w:rPr>
          <w:rFonts w:ascii="仿宋_GB2312" w:hAnsi="宋体" w:eastAsia="仿宋_GB2312"/>
          <w:sz w:val="28"/>
          <w:szCs w:val="28"/>
        </w:rPr>
      </w:r>
      <w:r/>
    </w:p>
    <w:tbl>
      <w:tblPr>
        <w:tblW w:w="9532"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5"/>
        <w:gridCol w:w="2551"/>
        <w:gridCol w:w="6"/>
        <w:gridCol w:w="5840"/>
      </w:tblGrid>
      <w:tr>
        <w:trPr>
          <w:trHeight w:val="392"/>
        </w:trPr>
        <w:tc>
          <w:tcPr>
            <w:tcW w:w="1135" w:type="dxa"/>
            <w:vAlign w:val="center"/>
            <w:textDirection w:val="lrTb"/>
            <w:noWrap w:val="false"/>
          </w:tcPr>
          <w:p>
            <w:pPr>
              <w:pStyle w:val="961"/>
              <w:jc w:val="center"/>
              <w:spacing w:line="360" w:lineRule="exact"/>
              <w:rPr>
                <w:rFonts w:hint="eastAsia" w:ascii="方正小标宋_GBK" w:hAnsi="宋体" w:eastAsia="方正小标宋_GBK"/>
                <w:sz w:val="28"/>
                <w:szCs w:val="28"/>
              </w:rPr>
            </w:pPr>
            <w:r>
              <w:rPr>
                <w:rFonts w:hint="eastAsia" w:ascii="方正小标宋_GBK" w:hAnsi="宋体" w:eastAsia="方正小标宋_GBK"/>
                <w:sz w:val="28"/>
                <w:szCs w:val="28"/>
              </w:rPr>
              <w:t xml:space="preserve">条款号</w:t>
            </w:r>
            <w:r/>
          </w:p>
        </w:tc>
        <w:tc>
          <w:tcPr>
            <w:tcW w:w="2551" w:type="dxa"/>
            <w:vAlign w:val="center"/>
            <w:textDirection w:val="lrTb"/>
            <w:noWrap w:val="false"/>
          </w:tcPr>
          <w:p>
            <w:pPr>
              <w:pStyle w:val="961"/>
              <w:jc w:val="center"/>
              <w:spacing w:line="360" w:lineRule="exact"/>
              <w:rPr>
                <w:rFonts w:hint="eastAsia" w:ascii="方正小标宋_GBK" w:hAnsi="宋体" w:eastAsia="方正小标宋_GBK"/>
                <w:sz w:val="28"/>
                <w:szCs w:val="28"/>
              </w:rPr>
            </w:pPr>
            <w:r>
              <w:rPr>
                <w:rFonts w:hint="eastAsia" w:ascii="方正小标宋_GBK" w:hAnsi="宋体" w:eastAsia="方正小标宋_GBK"/>
                <w:sz w:val="28"/>
                <w:szCs w:val="28"/>
              </w:rPr>
              <w:t xml:space="preserve">条 款 名 称</w:t>
            </w:r>
            <w:r/>
          </w:p>
        </w:tc>
        <w:tc>
          <w:tcPr>
            <w:gridSpan w:val="2"/>
            <w:tcW w:w="5846" w:type="dxa"/>
            <w:vAlign w:val="center"/>
            <w:textDirection w:val="lrTb"/>
            <w:noWrap w:val="false"/>
          </w:tcPr>
          <w:p>
            <w:pPr>
              <w:pStyle w:val="961"/>
              <w:jc w:val="center"/>
              <w:spacing w:line="360" w:lineRule="exact"/>
              <w:rPr>
                <w:rFonts w:hint="eastAsia" w:ascii="方正小标宋_GBK" w:hAnsi="宋体" w:eastAsia="方正小标宋_GBK"/>
                <w:sz w:val="28"/>
                <w:szCs w:val="28"/>
              </w:rPr>
            </w:pPr>
            <w:r>
              <w:rPr>
                <w:rFonts w:hint="eastAsia" w:ascii="方正小标宋_GBK" w:hAnsi="宋体" w:eastAsia="方正小标宋_GBK"/>
                <w:sz w:val="28"/>
                <w:szCs w:val="28"/>
              </w:rPr>
              <w:t xml:space="preserve">编  列  内  容</w:t>
            </w:r>
            <w:r/>
          </w:p>
        </w:tc>
      </w:tr>
      <w:tr>
        <w:trPr>
          <w:trHeight w:val="555"/>
        </w:trPr>
        <w:tc>
          <w:tcPr>
            <w:tcW w:w="1135" w:type="dxa"/>
            <w:vAlign w:val="center"/>
            <w:textDirection w:val="lrTb"/>
            <w:noWrap w:val="false"/>
          </w:tcPr>
          <w:p>
            <w:pPr>
              <w:pStyle w:val="961"/>
              <w:jc w:val="center"/>
              <w:spacing w:line="360" w:lineRule="exact"/>
              <w:rPr>
                <w:rFonts w:ascii="仿宋_GB2312" w:hAnsi="宋体" w:eastAsia="仿宋_GB2312" w:cs="宋体"/>
              </w:rPr>
            </w:pPr>
            <w:r>
              <w:rPr>
                <w:rFonts w:hint="eastAsia" w:ascii="仿宋_GB2312" w:hAnsi="宋体" w:eastAsia="仿宋_GB2312" w:cs="宋体"/>
              </w:rPr>
              <w:t xml:space="preserve">1.1.2</w:t>
            </w:r>
            <w:r>
              <w:rPr>
                <w:rFonts w:ascii="仿宋_GB2312" w:hAnsi="宋体" w:eastAsia="仿宋_GB2312" w:cs="宋体"/>
              </w:rPr>
            </w:r>
            <w:r/>
          </w:p>
        </w:tc>
        <w:tc>
          <w:tcPr>
            <w:tcW w:w="2551" w:type="dxa"/>
            <w:vAlign w:val="center"/>
            <w:textDirection w:val="lrTb"/>
            <w:noWrap w:val="false"/>
          </w:tcPr>
          <w:p>
            <w:pPr>
              <w:pStyle w:val="961"/>
              <w:jc w:val="center"/>
              <w:spacing w:line="360" w:lineRule="exact"/>
              <w:rPr>
                <w:rFonts w:ascii="仿宋_GB2312" w:hAnsi="宋体" w:eastAsia="仿宋_GB2312" w:cs="宋体"/>
              </w:rPr>
            </w:pPr>
            <w:r>
              <w:rPr>
                <w:rFonts w:hint="eastAsia" w:ascii="仿宋_GB2312" w:hAnsi="宋体" w:eastAsia="仿宋_GB2312" w:cs="宋体"/>
              </w:rPr>
              <w:t xml:space="preserve">采购人</w:t>
            </w:r>
            <w:r>
              <w:rPr>
                <w:rFonts w:ascii="仿宋_GB2312" w:hAnsi="宋体" w:eastAsia="仿宋_GB2312" w:cs="宋体"/>
              </w:rPr>
            </w:r>
            <w:r/>
          </w:p>
        </w:tc>
        <w:tc>
          <w:tcPr>
            <w:gridSpan w:val="2"/>
            <w:tcW w:w="5846" w:type="dxa"/>
            <w:vAlign w:val="center"/>
            <w:textDirection w:val="lrTb"/>
            <w:noWrap w:val="false"/>
          </w:tcPr>
          <w:p>
            <w:pPr>
              <w:pStyle w:val="961"/>
              <w:jc w:val="left"/>
              <w:spacing w:line="360" w:lineRule="exact"/>
              <w:rPr>
                <w:rFonts w:hint="eastAsia" w:ascii="仿宋_GB2312" w:hAnsi="宋体" w:eastAsia="仿宋_GB2312" w:cs="宋体"/>
              </w:rPr>
            </w:pPr>
            <w:r>
              <w:rPr>
                <w:rFonts w:hint="eastAsia" w:ascii="仿宋_GB2312" w:hAnsi="宋体" w:eastAsia="仿宋_GB2312" w:cs="宋体"/>
              </w:rPr>
              <w:t xml:space="preserve">见竞争性磋商公告</w:t>
            </w:r>
            <w:r/>
          </w:p>
        </w:tc>
      </w:tr>
      <w:tr>
        <w:trPr>
          <w:trHeight w:val="575"/>
        </w:trPr>
        <w:tc>
          <w:tcPr>
            <w:tcW w:w="1135" w:type="dxa"/>
            <w:vAlign w:val="center"/>
            <w:textDirection w:val="lrTb"/>
            <w:noWrap w:val="false"/>
          </w:tcPr>
          <w:p>
            <w:pPr>
              <w:pStyle w:val="961"/>
              <w:jc w:val="center"/>
              <w:spacing w:line="360" w:lineRule="exact"/>
              <w:rPr>
                <w:rFonts w:ascii="仿宋_GB2312" w:hAnsi="宋体" w:eastAsia="仿宋_GB2312" w:cs="宋体"/>
              </w:rPr>
            </w:pPr>
            <w:r>
              <w:rPr>
                <w:rFonts w:hint="eastAsia" w:ascii="仿宋_GB2312" w:hAnsi="宋体" w:eastAsia="仿宋_GB2312" w:cs="宋体"/>
              </w:rPr>
              <w:t xml:space="preserve">1.1.3</w:t>
            </w:r>
            <w:r>
              <w:rPr>
                <w:rFonts w:ascii="仿宋_GB2312" w:hAnsi="宋体" w:eastAsia="仿宋_GB2312" w:cs="宋体"/>
              </w:rPr>
            </w:r>
            <w:r/>
          </w:p>
        </w:tc>
        <w:tc>
          <w:tcPr>
            <w:tcW w:w="2551" w:type="dxa"/>
            <w:vAlign w:val="center"/>
            <w:textDirection w:val="lrTb"/>
            <w:noWrap w:val="false"/>
          </w:tcPr>
          <w:p>
            <w:pPr>
              <w:pStyle w:val="961"/>
              <w:jc w:val="center"/>
              <w:spacing w:line="360" w:lineRule="exact"/>
              <w:rPr>
                <w:rFonts w:ascii="仿宋_GB2312" w:hAnsi="宋体" w:eastAsia="仿宋_GB2312" w:cs="宋体"/>
              </w:rPr>
            </w:pPr>
            <w:r>
              <w:rPr>
                <w:rFonts w:hint="eastAsia" w:ascii="仿宋_GB2312" w:hAnsi="宋体" w:eastAsia="仿宋_GB2312" w:cs="宋体"/>
              </w:rPr>
              <w:t xml:space="preserve">采购代理机构</w:t>
            </w:r>
            <w:r>
              <w:rPr>
                <w:rFonts w:ascii="仿宋_GB2312" w:hAnsi="宋体" w:eastAsia="仿宋_GB2312" w:cs="宋体"/>
              </w:rPr>
            </w:r>
            <w:r/>
          </w:p>
        </w:tc>
        <w:tc>
          <w:tcPr>
            <w:gridSpan w:val="2"/>
            <w:tcW w:w="5846" w:type="dxa"/>
            <w:vAlign w:val="center"/>
            <w:textDirection w:val="lrTb"/>
            <w:noWrap w:val="false"/>
          </w:tcPr>
          <w:p>
            <w:pPr>
              <w:pStyle w:val="961"/>
              <w:jc w:val="left"/>
              <w:spacing w:line="360" w:lineRule="exact"/>
              <w:rPr>
                <w:rFonts w:ascii="仿宋_GB2312" w:hAnsi="宋体" w:eastAsia="仿宋_GB2312" w:cs="宋体"/>
              </w:rPr>
            </w:pPr>
            <w:r>
              <w:rPr>
                <w:rFonts w:hint="eastAsia" w:ascii="仿宋_GB2312" w:hAnsi="宋体" w:eastAsia="仿宋_GB2312" w:cs="宋体"/>
              </w:rPr>
              <w:t xml:space="preserve">见竞争性磋商公告</w:t>
            </w:r>
            <w:r>
              <w:rPr>
                <w:rFonts w:ascii="仿宋_GB2312" w:hAnsi="宋体" w:eastAsia="仿宋_GB2312" w:cs="宋体"/>
              </w:rPr>
            </w:r>
            <w:r/>
          </w:p>
        </w:tc>
      </w:tr>
      <w:tr>
        <w:trPr>
          <w:trHeight w:val="559"/>
        </w:trPr>
        <w:tc>
          <w:tcPr>
            <w:tcW w:w="1135" w:type="dxa"/>
            <w:vAlign w:val="center"/>
            <w:textDirection w:val="lrTb"/>
            <w:noWrap w:val="false"/>
          </w:tcPr>
          <w:p>
            <w:pPr>
              <w:pStyle w:val="961"/>
              <w:jc w:val="center"/>
              <w:spacing w:line="360" w:lineRule="exact"/>
              <w:rPr>
                <w:rFonts w:ascii="仿宋_GB2312" w:hAnsi="宋体" w:eastAsia="仿宋_GB2312" w:cs="宋体"/>
              </w:rPr>
            </w:pPr>
            <w:r>
              <w:rPr>
                <w:rFonts w:hint="eastAsia" w:ascii="仿宋_GB2312" w:hAnsi="宋体" w:eastAsia="仿宋_GB2312" w:cs="宋体"/>
              </w:rPr>
              <w:t xml:space="preserve">1.1.4</w:t>
            </w:r>
            <w:r>
              <w:rPr>
                <w:rFonts w:ascii="仿宋_GB2312" w:hAnsi="宋体" w:eastAsia="仿宋_GB2312" w:cs="宋体"/>
              </w:rPr>
            </w:r>
            <w:r/>
          </w:p>
        </w:tc>
        <w:tc>
          <w:tcPr>
            <w:tcW w:w="2551" w:type="dxa"/>
            <w:vAlign w:val="center"/>
            <w:textDirection w:val="lrTb"/>
            <w:noWrap w:val="false"/>
          </w:tcPr>
          <w:p>
            <w:pPr>
              <w:pStyle w:val="961"/>
              <w:jc w:val="center"/>
              <w:spacing w:line="360" w:lineRule="exact"/>
              <w:rPr>
                <w:rFonts w:ascii="仿宋_GB2312" w:hAnsi="宋体" w:eastAsia="仿宋_GB2312" w:cs="宋体"/>
              </w:rPr>
            </w:pPr>
            <w:r>
              <w:rPr>
                <w:rFonts w:hint="eastAsia" w:ascii="仿宋_GB2312" w:hAnsi="宋体" w:eastAsia="仿宋_GB2312" w:cs="宋体"/>
              </w:rPr>
              <w:t xml:space="preserve">项目名称及项目编号</w:t>
            </w:r>
            <w:r>
              <w:rPr>
                <w:rFonts w:ascii="仿宋_GB2312" w:hAnsi="宋体" w:eastAsia="仿宋_GB2312" w:cs="宋体"/>
              </w:rPr>
            </w:r>
            <w:r/>
          </w:p>
        </w:tc>
        <w:tc>
          <w:tcPr>
            <w:gridSpan w:val="2"/>
            <w:tcW w:w="5846" w:type="dxa"/>
            <w:vAlign w:val="center"/>
            <w:textDirection w:val="lrTb"/>
            <w:noWrap w:val="false"/>
          </w:tcPr>
          <w:p>
            <w:pPr>
              <w:pStyle w:val="961"/>
              <w:jc w:val="left"/>
              <w:spacing w:line="360" w:lineRule="exact"/>
              <w:rPr>
                <w:rFonts w:ascii="仿宋_GB2312" w:hAnsi="宋体" w:eastAsia="仿宋_GB2312" w:cs="宋体"/>
              </w:rPr>
            </w:pPr>
            <w:r>
              <w:rPr>
                <w:rFonts w:hint="eastAsia" w:ascii="仿宋_GB2312" w:hAnsi="宋体" w:eastAsia="仿宋_GB2312" w:cs="宋体"/>
              </w:rPr>
              <w:t xml:space="preserve">见竞争性磋商公告</w:t>
            </w:r>
            <w:r>
              <w:rPr>
                <w:rFonts w:ascii="仿宋_GB2312" w:hAnsi="宋体" w:eastAsia="仿宋_GB2312" w:cs="宋体"/>
              </w:rPr>
            </w:r>
            <w:r/>
          </w:p>
        </w:tc>
      </w:tr>
      <w:tr>
        <w:trPr>
          <w:trHeight w:val="518"/>
        </w:trPr>
        <w:tc>
          <w:tcPr>
            <w:tcW w:w="1135" w:type="dxa"/>
            <w:vAlign w:val="center"/>
            <w:textDirection w:val="lrTb"/>
            <w:noWrap w:val="false"/>
          </w:tcPr>
          <w:p>
            <w:pPr>
              <w:pStyle w:val="961"/>
              <w:jc w:val="center"/>
              <w:spacing w:line="380" w:lineRule="exact"/>
              <w:rPr>
                <w:rFonts w:ascii="仿宋_GB2312" w:hAnsi="宋体" w:eastAsia="仿宋_GB2312" w:cs="宋体"/>
              </w:rPr>
            </w:pPr>
            <w:r>
              <w:rPr>
                <w:rFonts w:hint="eastAsia" w:ascii="仿宋_GB2312" w:hAnsi="宋体" w:eastAsia="仿宋_GB2312" w:cs="宋体"/>
              </w:rPr>
              <w:t xml:space="preserve">1.2.1</w:t>
            </w:r>
            <w:r>
              <w:rPr>
                <w:rFonts w:ascii="仿宋_GB2312" w:hAnsi="宋体" w:eastAsia="仿宋_GB2312" w:cs="宋体"/>
              </w:rPr>
            </w:r>
            <w:r/>
          </w:p>
        </w:tc>
        <w:tc>
          <w:tcPr>
            <w:tcW w:w="2551" w:type="dxa"/>
            <w:vAlign w:val="center"/>
            <w:textDirection w:val="lrTb"/>
            <w:noWrap w:val="false"/>
          </w:tcPr>
          <w:p>
            <w:pPr>
              <w:pStyle w:val="961"/>
              <w:jc w:val="center"/>
              <w:spacing w:line="380" w:lineRule="exact"/>
              <w:rPr>
                <w:rFonts w:ascii="仿宋_GB2312" w:hAnsi="宋体" w:eastAsia="仿宋_GB2312" w:cs="宋体"/>
              </w:rPr>
            </w:pPr>
            <w:r>
              <w:rPr>
                <w:rFonts w:hint="eastAsia" w:ascii="仿宋_GB2312" w:hAnsi="宋体" w:eastAsia="仿宋_GB2312" w:cs="宋体"/>
              </w:rPr>
              <w:t xml:space="preserve">付款方式</w:t>
            </w:r>
            <w:r>
              <w:rPr>
                <w:rFonts w:ascii="仿宋_GB2312" w:hAnsi="宋体" w:eastAsia="仿宋_GB2312" w:cs="宋体"/>
              </w:rPr>
            </w:r>
            <w:r/>
          </w:p>
        </w:tc>
        <w:tc>
          <w:tcPr>
            <w:gridSpan w:val="2"/>
            <w:tcW w:w="5846" w:type="dxa"/>
            <w:vAlign w:val="center"/>
            <w:textDirection w:val="lrTb"/>
            <w:noWrap w:val="false"/>
          </w:tcPr>
          <w:p>
            <w:pPr>
              <w:pStyle w:val="975"/>
              <w:spacing w:after="0" w:line="360" w:lineRule="exact"/>
              <w:rPr>
                <w:rFonts w:ascii="仿宋_GB2312" w:hAnsi="宋体" w:eastAsia="仿宋_GB2312" w:cs="宋体"/>
                <w:lang w:val="en-US" w:eastAsia="zh-CN"/>
              </w:rPr>
            </w:pPr>
            <w:r>
              <w:rPr>
                <w:rFonts w:hint="eastAsia" w:ascii="仿宋_GB2312" w:hAnsi="宋体" w:eastAsia="仿宋_GB2312" w:cs="宋体"/>
                <w:lang w:val="en-US" w:eastAsia="zh-CN"/>
              </w:rPr>
              <w:t xml:space="preserve">按月支付，服务费的结算要凭正式发票和采购人综合考核评分汇总单，按月度按实支付，于收到发票后10个工作日付清。</w:t>
            </w:r>
            <w:r>
              <w:rPr>
                <w:rFonts w:ascii="仿宋_GB2312" w:hAnsi="宋体" w:eastAsia="仿宋_GB2312" w:cs="宋体"/>
                <w:lang w:val="en-US" w:eastAsia="zh-CN"/>
              </w:rPr>
            </w:r>
            <w:r/>
          </w:p>
        </w:tc>
      </w:tr>
      <w:tr>
        <w:trPr>
          <w:trHeight w:val="590"/>
        </w:trPr>
        <w:tc>
          <w:tcPr>
            <w:tcW w:w="1135" w:type="dxa"/>
            <w:vAlign w:val="center"/>
            <w:textDirection w:val="lrTb"/>
            <w:noWrap w:val="false"/>
          </w:tcPr>
          <w:p>
            <w:pPr>
              <w:pStyle w:val="961"/>
              <w:jc w:val="center"/>
              <w:spacing w:line="360" w:lineRule="exact"/>
              <w:rPr>
                <w:rFonts w:ascii="仿宋_GB2312" w:hAnsi="宋体" w:eastAsia="仿宋_GB2312" w:cs="宋体"/>
              </w:rPr>
            </w:pPr>
            <w:r>
              <w:rPr>
                <w:rFonts w:hint="eastAsia" w:ascii="仿宋_GB2312" w:hAnsi="宋体" w:eastAsia="仿宋_GB2312" w:cs="宋体"/>
              </w:rPr>
              <w:t xml:space="preserve">1.3.1</w:t>
            </w:r>
            <w:r>
              <w:rPr>
                <w:rFonts w:ascii="仿宋_GB2312" w:hAnsi="宋体" w:eastAsia="仿宋_GB2312" w:cs="宋体"/>
              </w:rPr>
            </w:r>
            <w:r/>
          </w:p>
        </w:tc>
        <w:tc>
          <w:tcPr>
            <w:tcW w:w="2551" w:type="dxa"/>
            <w:vAlign w:val="center"/>
            <w:textDirection w:val="lrTb"/>
            <w:noWrap w:val="false"/>
          </w:tcPr>
          <w:p>
            <w:pPr>
              <w:pStyle w:val="961"/>
              <w:jc w:val="center"/>
              <w:spacing w:line="360" w:lineRule="exact"/>
              <w:rPr>
                <w:rFonts w:ascii="仿宋_GB2312" w:hAnsi="宋体" w:eastAsia="仿宋_GB2312" w:cs="宋体"/>
              </w:rPr>
            </w:pPr>
            <w:r>
              <w:rPr>
                <w:rFonts w:hint="eastAsia" w:ascii="仿宋_GB2312" w:hAnsi="宋体" w:eastAsia="仿宋_GB2312" w:cs="宋体"/>
              </w:rPr>
              <w:t xml:space="preserve">采购范围</w:t>
            </w:r>
            <w:r>
              <w:rPr>
                <w:rFonts w:ascii="仿宋_GB2312" w:hAnsi="宋体" w:eastAsia="仿宋_GB2312" w:cs="宋体"/>
              </w:rPr>
            </w:r>
            <w:r/>
          </w:p>
        </w:tc>
        <w:tc>
          <w:tcPr>
            <w:gridSpan w:val="2"/>
            <w:tcW w:w="5846" w:type="dxa"/>
            <w:vAlign w:val="center"/>
            <w:textDirection w:val="lrTb"/>
            <w:noWrap w:val="false"/>
          </w:tcPr>
          <w:p>
            <w:pPr>
              <w:pStyle w:val="961"/>
              <w:jc w:val="left"/>
              <w:spacing w:line="420" w:lineRule="exact"/>
              <w:rPr>
                <w:rFonts w:ascii="仿宋_GB2312" w:hAnsi="宋体" w:eastAsia="仿宋_GB2312" w:cs="宋体"/>
              </w:rPr>
            </w:pPr>
            <w:r>
              <w:rPr>
                <w:rFonts w:hint="eastAsia" w:ascii="仿宋_GB2312" w:hAnsi="宋体" w:eastAsia="仿宋_GB2312" w:cs="宋体"/>
              </w:rPr>
              <w:t xml:space="preserve">见第五章采购需求</w:t>
            </w:r>
            <w:r>
              <w:rPr>
                <w:rFonts w:ascii="仿宋_GB2312" w:hAnsi="宋体" w:eastAsia="仿宋_GB2312" w:cs="宋体"/>
              </w:rPr>
            </w:r>
            <w:r/>
          </w:p>
        </w:tc>
      </w:tr>
      <w:tr>
        <w:trPr>
          <w:trHeight w:val="578"/>
        </w:trPr>
        <w:tc>
          <w:tcPr>
            <w:tcW w:w="1135" w:type="dxa"/>
            <w:vAlign w:val="center"/>
            <w:textDirection w:val="lrTb"/>
            <w:noWrap w:val="false"/>
          </w:tcPr>
          <w:p>
            <w:pPr>
              <w:pStyle w:val="961"/>
              <w:jc w:val="center"/>
              <w:spacing w:line="360" w:lineRule="exact"/>
              <w:rPr>
                <w:rFonts w:ascii="仿宋_GB2312" w:hAnsi="宋体" w:eastAsia="仿宋_GB2312" w:cs="宋体"/>
              </w:rPr>
            </w:pPr>
            <w:r>
              <w:rPr>
                <w:rFonts w:hint="eastAsia" w:ascii="仿宋_GB2312" w:hAnsi="宋体" w:eastAsia="仿宋_GB2312" w:cs="宋体"/>
              </w:rPr>
              <w:t xml:space="preserve">1.3.2</w:t>
            </w:r>
            <w:r>
              <w:rPr>
                <w:rFonts w:ascii="仿宋_GB2312" w:hAnsi="宋体" w:eastAsia="仿宋_GB2312" w:cs="宋体"/>
              </w:rPr>
            </w:r>
            <w:r/>
          </w:p>
        </w:tc>
        <w:tc>
          <w:tcPr>
            <w:tcW w:w="2551" w:type="dxa"/>
            <w:vAlign w:val="center"/>
            <w:textDirection w:val="lrTb"/>
            <w:noWrap w:val="false"/>
          </w:tcPr>
          <w:p>
            <w:pPr>
              <w:pStyle w:val="961"/>
              <w:jc w:val="center"/>
              <w:spacing w:line="360" w:lineRule="exact"/>
              <w:rPr>
                <w:rFonts w:ascii="仿宋_GB2312" w:hAnsi="宋体" w:eastAsia="仿宋_GB2312" w:cs="宋体"/>
              </w:rPr>
            </w:pPr>
            <w:r>
              <w:rPr>
                <w:rFonts w:hint="eastAsia" w:ascii="仿宋_GB2312" w:hAnsi="宋体" w:eastAsia="仿宋_GB2312" w:cs="宋体"/>
              </w:rPr>
              <w:t xml:space="preserve">合同履行期限</w:t>
            </w:r>
            <w:r>
              <w:rPr>
                <w:rFonts w:ascii="仿宋_GB2312" w:hAnsi="宋体" w:eastAsia="仿宋_GB2312" w:cs="宋体"/>
              </w:rPr>
            </w:r>
            <w:r/>
          </w:p>
        </w:tc>
        <w:tc>
          <w:tcPr>
            <w:gridSpan w:val="2"/>
            <w:tcW w:w="5846" w:type="dxa"/>
            <w:vAlign w:val="center"/>
            <w:textDirection w:val="lrTb"/>
            <w:noWrap w:val="false"/>
          </w:tcPr>
          <w:p>
            <w:pPr>
              <w:pStyle w:val="975"/>
              <w:rPr>
                <w:rFonts w:ascii="仿宋_GB2312" w:hAnsi="宋体" w:eastAsia="仿宋_GB2312" w:cs="宋体"/>
                <w:lang w:val="en-US" w:eastAsia="zh-CN"/>
              </w:rPr>
            </w:pPr>
            <w:r>
              <w:rPr>
                <w:rFonts w:hint="eastAsia" w:ascii="仿宋_GB2312" w:hAnsi="宋体" w:eastAsia="仿宋_GB2312" w:cs="宋体"/>
                <w:lang w:val="en-US" w:eastAsia="zh-CN"/>
              </w:rPr>
              <w:t xml:space="preserve">见竞争性磋商公告</w:t>
            </w:r>
            <w:r>
              <w:rPr>
                <w:rFonts w:ascii="仿宋_GB2312" w:hAnsi="宋体" w:eastAsia="仿宋_GB2312" w:cs="宋体"/>
                <w:lang w:val="en-US" w:eastAsia="zh-CN"/>
              </w:rPr>
            </w:r>
            <w:r/>
          </w:p>
        </w:tc>
      </w:tr>
      <w:tr>
        <w:trPr>
          <w:trHeight w:val="778"/>
        </w:trPr>
        <w:tc>
          <w:tcPr>
            <w:tcW w:w="1135" w:type="dxa"/>
            <w:vAlign w:val="center"/>
            <w:textDirection w:val="lrTb"/>
            <w:noWrap w:val="false"/>
          </w:tcPr>
          <w:p>
            <w:pPr>
              <w:pStyle w:val="961"/>
              <w:jc w:val="center"/>
              <w:spacing w:line="360" w:lineRule="exact"/>
              <w:rPr>
                <w:rFonts w:ascii="仿宋_GB2312" w:hAnsi="宋体" w:eastAsia="仿宋_GB2312" w:cs="宋体"/>
              </w:rPr>
            </w:pPr>
            <w:r>
              <w:rPr>
                <w:rFonts w:hint="eastAsia" w:ascii="仿宋_GB2312" w:hAnsi="宋体" w:eastAsia="仿宋_GB2312" w:cs="宋体"/>
              </w:rPr>
              <w:t xml:space="preserve">1.4.2</w:t>
            </w:r>
            <w:r>
              <w:rPr>
                <w:rFonts w:ascii="仿宋_GB2312" w:hAnsi="宋体" w:eastAsia="仿宋_GB2312" w:cs="宋体"/>
              </w:rPr>
            </w:r>
            <w:r/>
          </w:p>
        </w:tc>
        <w:tc>
          <w:tcPr>
            <w:tcW w:w="2551" w:type="dxa"/>
            <w:vAlign w:val="center"/>
            <w:textDirection w:val="lrTb"/>
            <w:noWrap w:val="false"/>
          </w:tcPr>
          <w:p>
            <w:pPr>
              <w:pStyle w:val="961"/>
              <w:jc w:val="center"/>
              <w:spacing w:line="360" w:lineRule="exact"/>
              <w:rPr>
                <w:rFonts w:hint="eastAsia" w:ascii="仿宋_GB2312" w:hAnsi="宋体" w:eastAsia="仿宋_GB2312" w:cs="宋体"/>
              </w:rPr>
            </w:pPr>
            <w:r>
              <w:rPr>
                <w:rFonts w:hint="eastAsia" w:ascii="仿宋_GB2312" w:hAnsi="宋体" w:eastAsia="仿宋_GB2312" w:cs="宋体"/>
              </w:rPr>
              <w:t xml:space="preserve">要求供应商具备的特定资格要求</w:t>
            </w:r>
            <w:r/>
          </w:p>
        </w:tc>
        <w:tc>
          <w:tcPr>
            <w:gridSpan w:val="2"/>
            <w:tcW w:w="5846" w:type="dxa"/>
            <w:vAlign w:val="center"/>
            <w:textDirection w:val="lrTb"/>
            <w:noWrap w:val="false"/>
          </w:tcPr>
          <w:p>
            <w:pPr>
              <w:pStyle w:val="961"/>
              <w:jc w:val="left"/>
              <w:spacing w:line="420" w:lineRule="exact"/>
              <w:rPr>
                <w:rFonts w:hint="eastAsia" w:ascii="仿宋_GB2312" w:hAnsi="宋体" w:eastAsia="仿宋_GB2312" w:cs="宋体"/>
              </w:rPr>
            </w:pPr>
            <w:r>
              <w:rPr>
                <w:rFonts w:hint="eastAsia" w:ascii="仿宋_GB2312" w:hAnsi="宋体" w:eastAsia="仿宋_GB2312" w:cs="宋体"/>
              </w:rPr>
              <w:t xml:space="preserve">见竞争性磋商公告</w:t>
            </w:r>
            <w:r/>
          </w:p>
        </w:tc>
      </w:tr>
      <w:tr>
        <w:trPr/>
        <w:tc>
          <w:tcPr>
            <w:tcW w:w="1135" w:type="dxa"/>
            <w:vAlign w:val="center"/>
            <w:textDirection w:val="lrTb"/>
            <w:noWrap w:val="false"/>
          </w:tcPr>
          <w:p>
            <w:pPr>
              <w:pStyle w:val="961"/>
              <w:jc w:val="center"/>
              <w:spacing w:line="360" w:lineRule="exact"/>
              <w:rPr>
                <w:rFonts w:ascii="仿宋_GB2312" w:hAnsi="宋体" w:eastAsia="仿宋_GB2312" w:cs="宋体"/>
              </w:rPr>
            </w:pPr>
            <w:r>
              <w:rPr>
                <w:rFonts w:hint="eastAsia" w:ascii="仿宋_GB2312" w:hAnsi="宋体" w:eastAsia="仿宋_GB2312" w:cs="宋体"/>
              </w:rPr>
              <w:t xml:space="preserve">2.1</w:t>
            </w:r>
            <w:r>
              <w:rPr>
                <w:rFonts w:ascii="仿宋_GB2312" w:hAnsi="宋体" w:eastAsia="仿宋_GB2312" w:cs="宋体"/>
              </w:rPr>
            </w:r>
            <w:r/>
          </w:p>
        </w:tc>
        <w:tc>
          <w:tcPr>
            <w:tcW w:w="2551" w:type="dxa"/>
            <w:vAlign w:val="center"/>
            <w:textDirection w:val="lrTb"/>
            <w:noWrap w:val="false"/>
          </w:tcPr>
          <w:p>
            <w:pPr>
              <w:pStyle w:val="961"/>
              <w:jc w:val="center"/>
              <w:spacing w:line="360" w:lineRule="exact"/>
              <w:rPr>
                <w:rFonts w:ascii="仿宋_GB2312" w:hAnsi="宋体" w:eastAsia="仿宋_GB2312" w:cs="宋体"/>
              </w:rPr>
            </w:pPr>
            <w:r>
              <w:rPr>
                <w:rFonts w:hint="eastAsia" w:ascii="仿宋_GB2312" w:hAnsi="宋体" w:eastAsia="仿宋_GB2312" w:cs="宋体"/>
              </w:rPr>
              <w:t xml:space="preserve">构成竞争性磋商文件的其他材料</w:t>
            </w:r>
            <w:r>
              <w:rPr>
                <w:rFonts w:ascii="仿宋_GB2312" w:hAnsi="宋体" w:eastAsia="仿宋_GB2312" w:cs="宋体"/>
              </w:rPr>
            </w:r>
            <w:r/>
          </w:p>
        </w:tc>
        <w:tc>
          <w:tcPr>
            <w:gridSpan w:val="2"/>
            <w:tcW w:w="5846" w:type="dxa"/>
            <w:vAlign w:val="center"/>
            <w:textDirection w:val="lrTb"/>
            <w:noWrap w:val="false"/>
          </w:tcPr>
          <w:p>
            <w:pPr>
              <w:pStyle w:val="961"/>
              <w:jc w:val="left"/>
              <w:spacing w:line="360" w:lineRule="exact"/>
              <w:rPr>
                <w:rFonts w:ascii="仿宋_GB2312" w:hAnsi="宋体" w:eastAsia="仿宋_GB2312" w:cs="宋体"/>
              </w:rPr>
            </w:pPr>
            <w:r>
              <w:rPr>
                <w:rFonts w:hint="eastAsia" w:ascii="仿宋_GB2312" w:hAnsi="宋体" w:eastAsia="仿宋_GB2312" w:cs="宋体"/>
              </w:rPr>
              <w:t xml:space="preserve">无</w:t>
            </w:r>
            <w:r>
              <w:rPr>
                <w:rFonts w:ascii="仿宋_GB2312" w:hAnsi="宋体" w:eastAsia="仿宋_GB2312" w:cs="宋体"/>
              </w:rPr>
            </w:r>
            <w:r/>
          </w:p>
        </w:tc>
      </w:tr>
      <w:tr>
        <w:trPr>
          <w:trHeight w:val="810"/>
        </w:trPr>
        <w:tc>
          <w:tcPr>
            <w:tcW w:w="1135" w:type="dxa"/>
            <w:vAlign w:val="center"/>
            <w:textDirection w:val="lrTb"/>
            <w:noWrap w:val="false"/>
          </w:tcPr>
          <w:p>
            <w:pPr>
              <w:pStyle w:val="961"/>
              <w:jc w:val="center"/>
              <w:spacing w:line="360" w:lineRule="exact"/>
              <w:rPr>
                <w:rFonts w:ascii="仿宋_GB2312" w:hAnsi="宋体" w:eastAsia="仿宋_GB2312" w:cs="宋体"/>
              </w:rPr>
            </w:pPr>
            <w:r>
              <w:rPr>
                <w:rFonts w:hint="eastAsia" w:ascii="仿宋_GB2312" w:hAnsi="宋体" w:eastAsia="仿宋_GB2312" w:cs="宋体"/>
              </w:rPr>
              <w:t xml:space="preserve">2.2</w:t>
            </w:r>
            <w:r>
              <w:rPr>
                <w:rFonts w:ascii="仿宋_GB2312" w:hAnsi="宋体" w:eastAsia="仿宋_GB2312" w:cs="宋体"/>
              </w:rPr>
            </w:r>
            <w:r/>
          </w:p>
        </w:tc>
        <w:tc>
          <w:tcPr>
            <w:tcW w:w="2551" w:type="dxa"/>
            <w:vAlign w:val="center"/>
            <w:textDirection w:val="lrTb"/>
            <w:noWrap w:val="false"/>
          </w:tcPr>
          <w:p>
            <w:pPr>
              <w:pStyle w:val="961"/>
              <w:jc w:val="center"/>
              <w:spacing w:line="360" w:lineRule="exact"/>
              <w:rPr>
                <w:rFonts w:ascii="仿宋_GB2312" w:hAnsi="宋体" w:eastAsia="仿宋_GB2312" w:cs="宋体"/>
                <w:spacing w:val="-10"/>
              </w:rPr>
            </w:pPr>
            <w:r>
              <w:rPr>
                <w:rFonts w:hint="eastAsia" w:ascii="仿宋_GB2312" w:hAnsi="宋体" w:eastAsia="仿宋_GB2312" w:cs="宋体"/>
                <w:spacing w:val="-10"/>
              </w:rPr>
              <w:t xml:space="preserve">供应商要求澄清竞争性磋商文件的截止时间</w:t>
            </w:r>
            <w:r>
              <w:rPr>
                <w:rFonts w:ascii="仿宋_GB2312" w:hAnsi="宋体" w:eastAsia="仿宋_GB2312" w:cs="宋体"/>
                <w:spacing w:val="-10"/>
              </w:rPr>
            </w:r>
            <w:r/>
          </w:p>
        </w:tc>
        <w:tc>
          <w:tcPr>
            <w:gridSpan w:val="2"/>
            <w:tcW w:w="5846" w:type="dxa"/>
            <w:vAlign w:val="center"/>
            <w:textDirection w:val="lrTb"/>
            <w:noWrap w:val="false"/>
          </w:tcPr>
          <w:p>
            <w:pPr>
              <w:pStyle w:val="961"/>
              <w:spacing w:line="440" w:lineRule="exact"/>
              <w:rPr>
                <w:rFonts w:ascii="仿宋_GB2312" w:hAnsi="宋体" w:eastAsia="仿宋_GB2312" w:cs="宋体"/>
                <w:spacing w:val="-10"/>
              </w:rPr>
            </w:pPr>
            <w:r>
              <w:rPr>
                <w:rFonts w:hint="eastAsia" w:ascii="仿宋_GB2312" w:hAnsi="宋体" w:eastAsia="仿宋_GB2312" w:cs="宋体"/>
                <w:spacing w:val="-10"/>
              </w:rPr>
              <w:t xml:space="preserve">2026年</w:t>
            </w:r>
            <w:r>
              <w:rPr>
                <w:rFonts w:hint="eastAsia" w:ascii="仿宋_GB2312" w:hAnsi="宋体" w:eastAsia="仿宋_GB2312" w:cs="宋体"/>
                <w:spacing w:val="-10"/>
              </w:rPr>
              <w:t xml:space="preserve">5</w:t>
            </w:r>
            <w:r>
              <w:rPr>
                <w:rFonts w:hint="eastAsia" w:ascii="仿宋_GB2312" w:hAnsi="宋体" w:eastAsia="仿宋_GB2312" w:cs="宋体"/>
                <w:spacing w:val="-10"/>
              </w:rPr>
              <w:t xml:space="preserve">月</w:t>
            </w:r>
            <w:r>
              <w:rPr>
                <w:rFonts w:hint="eastAsia" w:ascii="仿宋_GB2312" w:hAnsi="宋体" w:eastAsia="仿宋_GB2312" w:cs="宋体"/>
                <w:spacing w:val="-10"/>
              </w:rPr>
              <w:t xml:space="preserve">8</w:t>
            </w:r>
            <w:r>
              <w:rPr>
                <w:rFonts w:hint="eastAsia" w:ascii="仿宋_GB2312" w:hAnsi="宋体" w:eastAsia="仿宋_GB2312" w:cs="宋体"/>
                <w:spacing w:val="-10"/>
              </w:rPr>
              <w:t xml:space="preserve">日17时30分</w:t>
            </w:r>
            <w:r>
              <w:rPr>
                <w:rFonts w:ascii="仿宋_GB2312" w:hAnsi="宋体" w:eastAsia="仿宋_GB2312" w:cs="宋体"/>
                <w:spacing w:val="-10"/>
              </w:rPr>
            </w:r>
            <w:r/>
          </w:p>
        </w:tc>
      </w:tr>
      <w:tr>
        <w:trPr>
          <w:trHeight w:val="688"/>
        </w:trPr>
        <w:tc>
          <w:tcPr>
            <w:tcW w:w="1135" w:type="dxa"/>
            <w:vAlign w:val="center"/>
            <w:textDirection w:val="lrTb"/>
            <w:noWrap w:val="false"/>
          </w:tcPr>
          <w:p>
            <w:pPr>
              <w:pStyle w:val="961"/>
              <w:jc w:val="center"/>
              <w:spacing w:line="380" w:lineRule="exact"/>
              <w:rPr>
                <w:rFonts w:ascii="仿宋_GB2312" w:hAnsi="宋体" w:eastAsia="仿宋_GB2312" w:cs="宋体"/>
              </w:rPr>
            </w:pPr>
            <w:r>
              <w:rPr>
                <w:rFonts w:hint="eastAsia" w:ascii="仿宋_GB2312" w:hAnsi="宋体" w:eastAsia="仿宋_GB2312" w:cs="宋体"/>
              </w:rPr>
              <w:t xml:space="preserve">3.1</w:t>
            </w:r>
            <w:r>
              <w:rPr>
                <w:rFonts w:ascii="仿宋_GB2312" w:hAnsi="宋体" w:eastAsia="仿宋_GB2312" w:cs="宋体"/>
              </w:rPr>
            </w:r>
            <w:r/>
          </w:p>
        </w:tc>
        <w:tc>
          <w:tcPr>
            <w:tcW w:w="2551" w:type="dxa"/>
            <w:vAlign w:val="center"/>
            <w:textDirection w:val="lrTb"/>
            <w:noWrap w:val="false"/>
          </w:tcPr>
          <w:p>
            <w:pPr>
              <w:pStyle w:val="961"/>
              <w:jc w:val="center"/>
              <w:spacing w:line="380" w:lineRule="exact"/>
              <w:rPr>
                <w:rFonts w:ascii="仿宋_GB2312" w:hAnsi="宋体" w:eastAsia="仿宋_GB2312" w:cs="宋体"/>
              </w:rPr>
            </w:pPr>
            <w:r>
              <w:rPr>
                <w:rFonts w:hint="eastAsia" w:ascii="仿宋_GB2312" w:hAnsi="宋体" w:eastAsia="仿宋_GB2312" w:cs="宋体"/>
              </w:rPr>
              <w:t xml:space="preserve">响应文件的组成</w:t>
            </w:r>
            <w:r>
              <w:rPr>
                <w:rFonts w:ascii="仿宋_GB2312" w:hAnsi="宋体" w:eastAsia="仿宋_GB2312" w:cs="宋体"/>
              </w:rPr>
            </w:r>
            <w:r/>
          </w:p>
        </w:tc>
        <w:tc>
          <w:tcPr>
            <w:gridSpan w:val="2"/>
            <w:tcW w:w="5846" w:type="dxa"/>
            <w:vAlign w:val="center"/>
            <w:textDirection w:val="lrTb"/>
            <w:noWrap w:val="false"/>
          </w:tcPr>
          <w:p>
            <w:pPr>
              <w:pStyle w:val="961"/>
              <w:spacing w:line="360" w:lineRule="exact"/>
              <w:rPr>
                <w:rFonts w:ascii="仿宋_GB2312" w:hAnsi="宋体" w:eastAsia="仿宋_GB2312" w:cs="宋体"/>
              </w:rPr>
            </w:pPr>
            <w:r>
              <w:rPr>
                <w:rFonts w:hint="eastAsia" w:ascii="仿宋_GB2312" w:hAnsi="宋体" w:eastAsia="仿宋_GB2312" w:cs="宋体"/>
              </w:rPr>
              <w:t xml:space="preserve">（1）响应函；</w:t>
            </w:r>
            <w:r>
              <w:rPr>
                <w:rFonts w:ascii="仿宋_GB2312" w:hAnsi="宋体" w:eastAsia="仿宋_GB2312" w:cs="宋体"/>
              </w:rPr>
            </w:r>
            <w:r/>
          </w:p>
          <w:p>
            <w:pPr>
              <w:pStyle w:val="961"/>
              <w:spacing w:line="360" w:lineRule="exact"/>
              <w:rPr>
                <w:rFonts w:hint="eastAsia" w:ascii="仿宋_GB2312" w:hAnsi="宋体" w:eastAsia="仿宋_GB2312" w:cs="宋体"/>
              </w:rPr>
            </w:pPr>
            <w:r>
              <w:rPr>
                <w:rFonts w:hint="eastAsia" w:ascii="仿宋_GB2312" w:hAnsi="宋体" w:eastAsia="仿宋_GB2312" w:cs="宋体"/>
              </w:rPr>
              <w:t xml:space="preserve">（2）供应商基本资格条件承诺函；</w:t>
            </w:r>
            <w:r/>
          </w:p>
          <w:p>
            <w:pPr>
              <w:pStyle w:val="961"/>
              <w:spacing w:line="360" w:lineRule="exact"/>
              <w:rPr>
                <w:rFonts w:ascii="仿宋_GB2312" w:hAnsi="宋体" w:eastAsia="仿宋_GB2312" w:cs="宋体"/>
              </w:rPr>
            </w:pPr>
            <w:r>
              <w:rPr>
                <w:rFonts w:hint="eastAsia" w:ascii="仿宋_GB2312" w:hAnsi="宋体" w:eastAsia="仿宋_GB2312" w:cs="宋体"/>
              </w:rPr>
              <w:t xml:space="preserve">（3）中小企业声明函（如有）；</w:t>
            </w:r>
            <w:r>
              <w:rPr>
                <w:rFonts w:ascii="仿宋_GB2312" w:hAnsi="宋体" w:eastAsia="仿宋_GB2312" w:cs="宋体"/>
              </w:rPr>
            </w:r>
            <w:r/>
          </w:p>
          <w:p>
            <w:pPr>
              <w:pStyle w:val="961"/>
              <w:spacing w:line="360" w:lineRule="exact"/>
              <w:rPr>
                <w:rFonts w:ascii="仿宋_GB2312" w:hAnsi="宋体" w:eastAsia="仿宋_GB2312" w:cs="宋体"/>
              </w:rPr>
            </w:pPr>
            <w:r>
              <w:rPr>
                <w:rFonts w:hint="eastAsia" w:ascii="仿宋_GB2312" w:hAnsi="宋体" w:eastAsia="仿宋_GB2312" w:cs="宋体"/>
              </w:rPr>
              <w:t xml:space="preserve">（</w:t>
            </w:r>
            <w:r>
              <w:rPr>
                <w:rFonts w:ascii="仿宋_GB2312" w:hAnsi="宋体" w:eastAsia="仿宋_GB2312" w:cs="宋体"/>
              </w:rPr>
              <w:t xml:space="preserve">4</w:t>
            </w:r>
            <w:r>
              <w:rPr>
                <w:rFonts w:hint="eastAsia" w:ascii="仿宋_GB2312" w:hAnsi="宋体" w:eastAsia="仿宋_GB2312" w:cs="宋体"/>
              </w:rPr>
              <w:t xml:space="preserve">）报价明细表及分析说明；</w:t>
            </w:r>
            <w:r>
              <w:rPr>
                <w:rFonts w:ascii="仿宋_GB2312" w:hAnsi="宋体" w:eastAsia="仿宋_GB2312" w:cs="宋体"/>
              </w:rPr>
            </w:r>
            <w:r/>
          </w:p>
          <w:p>
            <w:pPr>
              <w:pStyle w:val="961"/>
              <w:spacing w:line="360" w:lineRule="exact"/>
              <w:rPr>
                <w:rFonts w:ascii="仿宋_GB2312" w:hAnsi="宋体" w:eastAsia="仿宋_GB2312" w:cs="宋体"/>
              </w:rPr>
            </w:pPr>
            <w:r>
              <w:rPr>
                <w:rFonts w:hint="eastAsia" w:ascii="仿宋_GB2312" w:hAnsi="宋体" w:eastAsia="仿宋_GB2312" w:cs="宋体"/>
              </w:rPr>
              <w:t xml:space="preserve">（</w:t>
            </w:r>
            <w:r>
              <w:rPr>
                <w:rFonts w:ascii="仿宋_GB2312" w:hAnsi="宋体" w:eastAsia="仿宋_GB2312" w:cs="宋体"/>
              </w:rPr>
              <w:t xml:space="preserve">5</w:t>
            </w:r>
            <w:r>
              <w:rPr>
                <w:rFonts w:hint="eastAsia" w:ascii="仿宋_GB2312" w:hAnsi="宋体" w:eastAsia="仿宋_GB2312" w:cs="宋体"/>
              </w:rPr>
              <w:t xml:space="preserve">）采购需求响应表；</w:t>
            </w:r>
            <w:r>
              <w:rPr>
                <w:rFonts w:ascii="仿宋_GB2312" w:hAnsi="宋体" w:eastAsia="仿宋_GB2312" w:cs="宋体"/>
              </w:rPr>
            </w:r>
            <w:r/>
          </w:p>
          <w:p>
            <w:pPr>
              <w:pStyle w:val="961"/>
              <w:spacing w:line="360" w:lineRule="exact"/>
              <w:rPr>
                <w:rFonts w:ascii="仿宋_GB2312" w:hAnsi="宋体" w:eastAsia="仿宋_GB2312" w:cs="宋体"/>
              </w:rPr>
            </w:pPr>
            <w:r>
              <w:rPr>
                <w:rFonts w:hint="eastAsia" w:ascii="仿宋_GB2312" w:hAnsi="宋体" w:eastAsia="仿宋_GB2312" w:cs="宋体"/>
              </w:rPr>
              <w:t xml:space="preserve">（</w:t>
            </w:r>
            <w:r>
              <w:rPr>
                <w:rFonts w:ascii="仿宋_GB2312" w:hAnsi="宋体" w:eastAsia="仿宋_GB2312" w:cs="宋体"/>
              </w:rPr>
              <w:t xml:space="preserve">6</w:t>
            </w:r>
            <w:r>
              <w:rPr>
                <w:rFonts w:hint="eastAsia" w:ascii="仿宋_GB2312" w:hAnsi="宋体" w:eastAsia="仿宋_GB2312" w:cs="宋体"/>
              </w:rPr>
              <w:t xml:space="preserve">）供应商认为需要列入响应文件的其他材料。</w:t>
            </w:r>
            <w:r>
              <w:rPr>
                <w:rFonts w:ascii="仿宋_GB2312" w:hAnsi="宋体" w:eastAsia="仿宋_GB2312" w:cs="宋体"/>
              </w:rPr>
            </w:r>
            <w:r/>
          </w:p>
        </w:tc>
      </w:tr>
      <w:tr>
        <w:trPr>
          <w:trHeight w:val="442"/>
        </w:trPr>
        <w:tc>
          <w:tcPr>
            <w:tcW w:w="1135" w:type="dxa"/>
            <w:vAlign w:val="center"/>
            <w:textDirection w:val="lrTb"/>
            <w:noWrap w:val="false"/>
          </w:tcPr>
          <w:p>
            <w:pPr>
              <w:pStyle w:val="961"/>
              <w:jc w:val="center"/>
              <w:spacing w:line="360" w:lineRule="exact"/>
              <w:rPr>
                <w:rFonts w:hint="eastAsia" w:ascii="仿宋_GB2312" w:hAnsi="宋体" w:eastAsia="仿宋_GB2312" w:cs="宋体"/>
              </w:rPr>
            </w:pPr>
            <w:r>
              <w:rPr>
                <w:rFonts w:hint="eastAsia" w:ascii="仿宋_GB2312" w:hAnsi="宋体" w:eastAsia="仿宋_GB2312" w:cs="宋体"/>
              </w:rPr>
              <w:t xml:space="preserve">3.2.3</w:t>
            </w:r>
            <w:r/>
          </w:p>
        </w:tc>
        <w:tc>
          <w:tcPr>
            <w:tcW w:w="2551" w:type="dxa"/>
            <w:vAlign w:val="center"/>
            <w:textDirection w:val="lrTb"/>
            <w:noWrap w:val="false"/>
          </w:tcPr>
          <w:p>
            <w:pPr>
              <w:pStyle w:val="961"/>
              <w:jc w:val="center"/>
              <w:rPr>
                <w:rFonts w:hint="eastAsia" w:ascii="仿宋_GB2312" w:hAnsi="宋体" w:eastAsia="仿宋_GB2312" w:cs="宋体"/>
              </w:rPr>
            </w:pPr>
            <w:r>
              <w:rPr>
                <w:rFonts w:hint="eastAsia" w:ascii="仿宋_GB2312" w:hAnsi="宋体" w:eastAsia="仿宋_GB2312" w:cs="宋体"/>
              </w:rPr>
              <w:t xml:space="preserve">报价的其他要求</w:t>
            </w:r>
            <w:r/>
          </w:p>
        </w:tc>
        <w:tc>
          <w:tcPr>
            <w:gridSpan w:val="2"/>
            <w:tcW w:w="5846" w:type="dxa"/>
            <w:vAlign w:val="center"/>
            <w:textDirection w:val="lrTb"/>
            <w:noWrap w:val="false"/>
          </w:tcPr>
          <w:p>
            <w:pPr>
              <w:pStyle w:val="961"/>
              <w:spacing w:line="360" w:lineRule="exact"/>
              <w:rPr>
                <w:rFonts w:hint="eastAsia" w:ascii="仿宋_GB2312" w:hAnsi="宋体" w:eastAsia="仿宋_GB2312" w:cs="宋体"/>
              </w:rPr>
            </w:pPr>
            <w:r>
              <w:rPr>
                <w:rFonts w:hint="eastAsia" w:ascii="仿宋_GB2312" w:hAnsi="宋体" w:eastAsia="仿宋_GB2312" w:cs="宋体"/>
              </w:rPr>
              <w:t xml:space="preserve">1.按照磋商小组的要求，在规定的时间内通过“苏采云”系统提交最后报价。</w:t>
            </w:r>
            <w:r/>
          </w:p>
          <w:p>
            <w:pPr>
              <w:pStyle w:val="961"/>
              <w:spacing w:line="360" w:lineRule="exact"/>
              <w:rPr>
                <w:rFonts w:hint="eastAsia" w:ascii="仿宋_GB2312" w:hAnsi="宋体" w:eastAsia="仿宋_GB2312" w:cs="宋体"/>
                <w:b/>
              </w:rPr>
            </w:pPr>
            <w:r>
              <w:rPr>
                <w:rFonts w:hint="eastAsia" w:ascii="仿宋_GB2312" w:hAnsi="宋体" w:eastAsia="仿宋_GB2312" w:cs="宋体"/>
                <w:b/>
              </w:rPr>
              <w:t xml:space="preserve">2.报价不得高于最高限价，否则作无效标处理。</w:t>
            </w:r>
            <w:r/>
          </w:p>
        </w:tc>
      </w:tr>
      <w:tr>
        <w:trPr>
          <w:trHeight w:val="460"/>
        </w:trPr>
        <w:tc>
          <w:tcPr>
            <w:tcW w:w="1135" w:type="dxa"/>
            <w:vAlign w:val="center"/>
            <w:textDirection w:val="lrTb"/>
            <w:noWrap w:val="false"/>
          </w:tcPr>
          <w:p>
            <w:pPr>
              <w:pStyle w:val="961"/>
              <w:jc w:val="center"/>
              <w:spacing w:line="360" w:lineRule="exact"/>
              <w:rPr>
                <w:rFonts w:ascii="仿宋_GB2312" w:hAnsi="宋体" w:eastAsia="仿宋_GB2312" w:cs="宋体"/>
              </w:rPr>
            </w:pPr>
            <w:r>
              <w:rPr>
                <w:rFonts w:hint="eastAsia" w:ascii="仿宋_GB2312" w:hAnsi="宋体" w:eastAsia="仿宋_GB2312" w:cs="宋体"/>
              </w:rPr>
              <w:t xml:space="preserve">3.3.3</w:t>
            </w:r>
            <w:r>
              <w:rPr>
                <w:rFonts w:ascii="仿宋_GB2312" w:hAnsi="宋体" w:eastAsia="仿宋_GB2312" w:cs="宋体"/>
              </w:rPr>
            </w:r>
            <w:r/>
          </w:p>
        </w:tc>
        <w:tc>
          <w:tcPr>
            <w:tcW w:w="2551" w:type="dxa"/>
            <w:vAlign w:val="center"/>
            <w:textDirection w:val="lrTb"/>
            <w:noWrap w:val="false"/>
          </w:tcPr>
          <w:p>
            <w:pPr>
              <w:pStyle w:val="961"/>
              <w:jc w:val="center"/>
              <w:rPr>
                <w:rFonts w:ascii="仿宋_GB2312" w:hAnsi="宋体" w:eastAsia="仿宋_GB2312" w:cs="宋体"/>
              </w:rPr>
            </w:pPr>
            <w:r>
              <w:rPr>
                <w:rFonts w:hint="eastAsia" w:ascii="仿宋_GB2312" w:hAnsi="宋体" w:eastAsia="仿宋_GB2312" w:cs="宋体"/>
              </w:rPr>
              <w:t xml:space="preserve">响应文件的份数</w:t>
            </w:r>
            <w:r>
              <w:rPr>
                <w:rFonts w:ascii="仿宋_GB2312" w:hAnsi="宋体" w:eastAsia="仿宋_GB2312" w:cs="宋体"/>
              </w:rPr>
            </w:r>
            <w:r/>
          </w:p>
        </w:tc>
        <w:tc>
          <w:tcPr>
            <w:gridSpan w:val="2"/>
            <w:tcW w:w="5846" w:type="dxa"/>
            <w:vAlign w:val="center"/>
            <w:textDirection w:val="lrTb"/>
            <w:noWrap w:val="false"/>
          </w:tcPr>
          <w:p>
            <w:pPr>
              <w:pStyle w:val="961"/>
              <w:spacing w:line="440" w:lineRule="exact"/>
              <w:rPr>
                <w:rFonts w:ascii="仿宋_GB2312" w:hAnsi="宋体" w:eastAsia="仿宋_GB2312" w:cs="宋体"/>
              </w:rPr>
            </w:pPr>
            <w:r>
              <w:rPr>
                <w:rFonts w:hint="eastAsia" w:ascii="仿宋_GB2312" w:hAnsi="宋体" w:eastAsia="仿宋_GB2312" w:cs="宋体"/>
              </w:rPr>
              <w:t xml:space="preserve">电子响应文件壹份；</w:t>
            </w:r>
            <w:r>
              <w:rPr>
                <w:rFonts w:ascii="仿宋_GB2312" w:hAnsi="宋体" w:eastAsia="仿宋_GB2312" w:cs="宋体"/>
              </w:rPr>
            </w:r>
            <w:r/>
          </w:p>
        </w:tc>
      </w:tr>
      <w:tr>
        <w:trPr>
          <w:trHeight w:val="416"/>
        </w:trPr>
        <w:tc>
          <w:tcPr>
            <w:tcW w:w="1135" w:type="dxa"/>
            <w:vAlign w:val="center"/>
            <w:textDirection w:val="lrTb"/>
            <w:noWrap w:val="false"/>
          </w:tcPr>
          <w:p>
            <w:pPr>
              <w:pStyle w:val="961"/>
              <w:jc w:val="center"/>
              <w:spacing w:line="360" w:lineRule="exact"/>
              <w:rPr>
                <w:rFonts w:ascii="仿宋_GB2312" w:hAnsi="宋体" w:eastAsia="仿宋_GB2312" w:cs="宋体"/>
              </w:rPr>
            </w:pPr>
            <w:r>
              <w:rPr>
                <w:rFonts w:hint="eastAsia" w:ascii="仿宋_GB2312" w:hAnsi="宋体" w:eastAsia="仿宋_GB2312" w:cs="宋体"/>
              </w:rPr>
              <w:t xml:space="preserve">3.3.4</w:t>
            </w:r>
            <w:r>
              <w:rPr>
                <w:rFonts w:ascii="仿宋_GB2312" w:hAnsi="宋体" w:eastAsia="仿宋_GB2312" w:cs="宋体"/>
              </w:rPr>
            </w:r>
            <w:r/>
          </w:p>
        </w:tc>
        <w:tc>
          <w:tcPr>
            <w:tcW w:w="2551" w:type="dxa"/>
            <w:vAlign w:val="center"/>
            <w:textDirection w:val="lrTb"/>
            <w:noWrap w:val="false"/>
          </w:tcPr>
          <w:p>
            <w:pPr>
              <w:pStyle w:val="961"/>
              <w:jc w:val="center"/>
              <w:rPr>
                <w:rFonts w:ascii="仿宋_GB2312" w:hAnsi="宋体" w:eastAsia="仿宋_GB2312" w:cs="宋体"/>
              </w:rPr>
            </w:pPr>
            <w:r>
              <w:rPr>
                <w:rFonts w:hint="eastAsia" w:ascii="仿宋_GB2312" w:hAnsi="宋体" w:eastAsia="仿宋_GB2312" w:cs="宋体"/>
              </w:rPr>
              <w:t xml:space="preserve">响应文件的签署</w:t>
            </w:r>
            <w:r>
              <w:rPr>
                <w:rFonts w:ascii="仿宋_GB2312" w:hAnsi="宋体" w:eastAsia="仿宋_GB2312" w:cs="宋体"/>
              </w:rPr>
            </w:r>
            <w:r/>
          </w:p>
        </w:tc>
        <w:tc>
          <w:tcPr>
            <w:gridSpan w:val="2"/>
            <w:tcW w:w="5846" w:type="dxa"/>
            <w:vAlign w:val="center"/>
            <w:textDirection w:val="lrTb"/>
            <w:noWrap w:val="false"/>
          </w:tcPr>
          <w:p>
            <w:pPr>
              <w:pStyle w:val="961"/>
              <w:spacing w:line="360" w:lineRule="exact"/>
              <w:rPr>
                <w:rFonts w:ascii="仿宋_GB2312" w:hAnsi="宋体" w:eastAsia="仿宋_GB2312" w:cs="宋体"/>
              </w:rPr>
            </w:pPr>
            <w:r>
              <w:rPr>
                <w:rFonts w:hint="eastAsia" w:ascii="仿宋_GB2312" w:hAnsi="宋体" w:eastAsia="仿宋_GB2312" w:cs="宋体"/>
              </w:rPr>
              <w:t xml:space="preserve">响应函、供应商基本资格条件承诺函、中小企业声明函（若需）须加盖供应商法人章并经法定代表人或经其授权的代表签字或签章。授权代表签字或签章时，须将《法定代表人授权书》及其附件编制在响应文件中。</w:t>
            </w:r>
            <w:r>
              <w:rPr>
                <w:rFonts w:ascii="仿宋_GB2312" w:hAnsi="宋体" w:eastAsia="仿宋_GB2312" w:cs="宋体"/>
              </w:rPr>
            </w:r>
            <w:r/>
          </w:p>
        </w:tc>
      </w:tr>
      <w:tr>
        <w:trPr>
          <w:trHeight w:val="732"/>
        </w:trPr>
        <w:tc>
          <w:tcPr>
            <w:tcW w:w="1135" w:type="dxa"/>
            <w:vAlign w:val="center"/>
            <w:textDirection w:val="lrTb"/>
            <w:noWrap w:val="false"/>
          </w:tcPr>
          <w:p>
            <w:pPr>
              <w:pStyle w:val="961"/>
              <w:jc w:val="center"/>
              <w:spacing w:line="360" w:lineRule="exact"/>
              <w:rPr>
                <w:rFonts w:ascii="仿宋_GB2312" w:hAnsi="宋体" w:eastAsia="仿宋_GB2312" w:cs="宋体"/>
              </w:rPr>
            </w:pPr>
            <w:r>
              <w:rPr>
                <w:rFonts w:hint="eastAsia" w:ascii="仿宋_GB2312" w:hAnsi="宋体" w:eastAsia="仿宋_GB2312" w:cs="宋体"/>
              </w:rPr>
              <w:t xml:space="preserve">4.1.1</w:t>
            </w:r>
            <w:r>
              <w:rPr>
                <w:rFonts w:ascii="仿宋_GB2312" w:hAnsi="宋体" w:eastAsia="仿宋_GB2312" w:cs="宋体"/>
              </w:rPr>
            </w:r>
            <w:r/>
          </w:p>
        </w:tc>
        <w:tc>
          <w:tcPr>
            <w:tcW w:w="2551" w:type="dxa"/>
            <w:vAlign w:val="center"/>
            <w:textDirection w:val="lrTb"/>
            <w:noWrap w:val="false"/>
          </w:tcPr>
          <w:p>
            <w:pPr>
              <w:pStyle w:val="961"/>
              <w:jc w:val="center"/>
              <w:rPr>
                <w:rFonts w:ascii="仿宋_GB2312" w:hAnsi="宋体" w:eastAsia="仿宋_GB2312" w:cs="宋体"/>
              </w:rPr>
            </w:pPr>
            <w:r>
              <w:rPr>
                <w:rFonts w:hint="eastAsia" w:ascii="仿宋_GB2312" w:hAnsi="宋体" w:eastAsia="仿宋_GB2312" w:cs="宋体"/>
              </w:rPr>
              <w:t xml:space="preserve">响应文件开启时间和地点</w:t>
            </w:r>
            <w:r>
              <w:rPr>
                <w:rFonts w:ascii="仿宋_GB2312" w:hAnsi="宋体" w:eastAsia="仿宋_GB2312" w:cs="宋体"/>
              </w:rPr>
            </w:r>
            <w:r/>
          </w:p>
        </w:tc>
        <w:tc>
          <w:tcPr>
            <w:gridSpan w:val="2"/>
            <w:tcW w:w="5846" w:type="dxa"/>
            <w:vAlign w:val="center"/>
            <w:textDirection w:val="lrTb"/>
            <w:noWrap w:val="false"/>
          </w:tcPr>
          <w:p>
            <w:pPr>
              <w:pStyle w:val="961"/>
              <w:jc w:val="left"/>
              <w:spacing w:line="360" w:lineRule="exact"/>
              <w:rPr>
                <w:rFonts w:ascii="仿宋_GB2312" w:hAnsi="宋体" w:eastAsia="仿宋_GB2312" w:cs="宋体"/>
              </w:rPr>
            </w:pPr>
            <w:r>
              <w:rPr>
                <w:rFonts w:hint="eastAsia" w:ascii="仿宋_GB2312" w:hAnsi="宋体" w:eastAsia="仿宋_GB2312" w:cs="宋体"/>
              </w:rPr>
              <w:t xml:space="preserve">开启时间：同提交首次响应文件截止时间</w:t>
            </w:r>
            <w:r>
              <w:rPr>
                <w:rFonts w:ascii="仿宋_GB2312" w:hAnsi="宋体" w:eastAsia="仿宋_GB2312" w:cs="宋体"/>
              </w:rPr>
            </w:r>
            <w:r/>
          </w:p>
          <w:p>
            <w:pPr>
              <w:pStyle w:val="961"/>
              <w:jc w:val="left"/>
              <w:spacing w:line="360" w:lineRule="exact"/>
              <w:rPr>
                <w:rFonts w:ascii="仿宋_GB2312" w:hAnsi="宋体" w:eastAsia="仿宋_GB2312" w:cs="宋体"/>
              </w:rPr>
            </w:pPr>
            <w:r>
              <w:rPr>
                <w:rFonts w:hint="eastAsia" w:ascii="仿宋_GB2312" w:hAnsi="宋体" w:eastAsia="仿宋_GB2312" w:cs="宋体"/>
              </w:rPr>
              <w:t xml:space="preserve">地点：“苏采云”系统“开标大厅”</w:t>
            </w:r>
            <w:r>
              <w:rPr>
                <w:rFonts w:ascii="仿宋_GB2312" w:hAnsi="宋体" w:eastAsia="仿宋_GB2312" w:cs="宋体"/>
              </w:rPr>
            </w:r>
            <w:r/>
          </w:p>
        </w:tc>
      </w:tr>
      <w:tr>
        <w:trPr>
          <w:trHeight w:val="485"/>
        </w:trPr>
        <w:tc>
          <w:tcPr>
            <w:tcW w:w="1135" w:type="dxa"/>
            <w:vAlign w:val="center"/>
            <w:textDirection w:val="lrTb"/>
            <w:noWrap w:val="false"/>
          </w:tcPr>
          <w:p>
            <w:pPr>
              <w:pStyle w:val="961"/>
              <w:jc w:val="center"/>
              <w:spacing w:line="360" w:lineRule="exact"/>
              <w:rPr>
                <w:rFonts w:ascii="仿宋_GB2312" w:hAnsi="宋体" w:eastAsia="仿宋_GB2312" w:cs="宋体"/>
              </w:rPr>
            </w:pPr>
            <w:r>
              <w:rPr>
                <w:rFonts w:hint="eastAsia" w:ascii="仿宋_GB2312" w:hAnsi="宋体" w:eastAsia="仿宋_GB2312" w:cs="宋体"/>
              </w:rPr>
              <w:t xml:space="preserve">5.1.1</w:t>
            </w:r>
            <w:r>
              <w:rPr>
                <w:rFonts w:ascii="仿宋_GB2312" w:hAnsi="宋体" w:eastAsia="仿宋_GB2312" w:cs="宋体"/>
              </w:rPr>
            </w:r>
            <w:r/>
          </w:p>
        </w:tc>
        <w:tc>
          <w:tcPr>
            <w:tcW w:w="2551" w:type="dxa"/>
            <w:vAlign w:val="center"/>
            <w:textDirection w:val="lrTb"/>
            <w:noWrap w:val="false"/>
          </w:tcPr>
          <w:p>
            <w:pPr>
              <w:pStyle w:val="961"/>
              <w:jc w:val="center"/>
              <w:spacing w:line="360" w:lineRule="exact"/>
              <w:rPr>
                <w:rFonts w:ascii="仿宋_GB2312" w:hAnsi="宋体" w:eastAsia="仿宋_GB2312" w:cs="宋体"/>
              </w:rPr>
            </w:pPr>
            <w:r>
              <w:rPr>
                <w:rFonts w:hint="eastAsia" w:ascii="仿宋_GB2312" w:hAnsi="宋体" w:eastAsia="仿宋_GB2312" w:cs="宋体"/>
              </w:rPr>
              <w:t xml:space="preserve">竞争性磋商小组</w:t>
            </w:r>
            <w:r>
              <w:rPr>
                <w:rFonts w:ascii="仿宋_GB2312" w:hAnsi="宋体" w:eastAsia="仿宋_GB2312" w:cs="宋体"/>
              </w:rPr>
            </w:r>
            <w:r/>
          </w:p>
        </w:tc>
        <w:tc>
          <w:tcPr>
            <w:gridSpan w:val="2"/>
            <w:tcW w:w="5846" w:type="dxa"/>
            <w:vAlign w:val="center"/>
            <w:textDirection w:val="lrTb"/>
            <w:noWrap w:val="false"/>
          </w:tcPr>
          <w:p>
            <w:pPr>
              <w:pStyle w:val="961"/>
              <w:jc w:val="left"/>
              <w:spacing w:line="360" w:lineRule="exact"/>
              <w:rPr>
                <w:rFonts w:ascii="仿宋_GB2312" w:hAnsi="宋体" w:eastAsia="仿宋_GB2312" w:cs="宋体"/>
              </w:rPr>
            </w:pPr>
            <w:r>
              <w:rPr>
                <w:rFonts w:hint="eastAsia" w:ascii="仿宋_GB2312" w:hAnsi="宋体" w:eastAsia="仿宋_GB2312" w:cs="宋体"/>
              </w:rPr>
              <w:t xml:space="preserve">小组人数：3 人及以上单数。</w:t>
            </w:r>
            <w:r>
              <w:rPr>
                <w:rFonts w:ascii="仿宋_GB2312" w:hAnsi="宋体" w:eastAsia="仿宋_GB2312" w:cs="宋体"/>
              </w:rPr>
            </w:r>
            <w:r/>
          </w:p>
        </w:tc>
      </w:tr>
      <w:tr>
        <w:trPr/>
        <w:tc>
          <w:tcPr>
            <w:tcW w:w="1135" w:type="dxa"/>
            <w:vAlign w:val="center"/>
            <w:textDirection w:val="lrTb"/>
            <w:noWrap w:val="false"/>
          </w:tcPr>
          <w:p>
            <w:pPr>
              <w:pStyle w:val="961"/>
              <w:jc w:val="center"/>
              <w:spacing w:line="360" w:lineRule="exact"/>
              <w:rPr>
                <w:rFonts w:ascii="仿宋_GB2312" w:hAnsi="宋体" w:eastAsia="仿宋_GB2312" w:cs="宋体"/>
              </w:rPr>
            </w:pPr>
            <w:r>
              <w:rPr>
                <w:rFonts w:hint="eastAsia" w:ascii="仿宋_GB2312" w:hAnsi="宋体" w:eastAsia="仿宋_GB2312" w:cs="宋体"/>
              </w:rPr>
              <w:t xml:space="preserve">7.1</w:t>
            </w:r>
            <w:r>
              <w:rPr>
                <w:rFonts w:ascii="仿宋_GB2312" w:hAnsi="宋体" w:eastAsia="仿宋_GB2312" w:cs="宋体"/>
              </w:rPr>
            </w:r>
            <w:r/>
          </w:p>
        </w:tc>
        <w:tc>
          <w:tcPr>
            <w:tcW w:w="2551" w:type="dxa"/>
            <w:vAlign w:val="center"/>
            <w:textDirection w:val="lrTb"/>
            <w:noWrap w:val="false"/>
          </w:tcPr>
          <w:p>
            <w:pPr>
              <w:pStyle w:val="961"/>
              <w:jc w:val="center"/>
              <w:spacing w:line="340" w:lineRule="exact"/>
              <w:rPr>
                <w:rFonts w:ascii="仿宋_GB2312" w:hAnsi="宋体" w:eastAsia="仿宋_GB2312" w:cs="宋体"/>
              </w:rPr>
            </w:pPr>
            <w:r>
              <w:rPr>
                <w:rFonts w:hint="eastAsia" w:ascii="仿宋_GB2312" w:hAnsi="宋体" w:eastAsia="仿宋_GB2312" w:cs="宋体"/>
              </w:rPr>
              <w:t xml:space="preserve">签订合同的</w:t>
            </w:r>
            <w:r>
              <w:rPr>
                <w:rFonts w:ascii="仿宋_GB2312" w:hAnsi="宋体" w:eastAsia="仿宋_GB2312" w:cs="宋体"/>
              </w:rPr>
            </w:r>
            <w:r/>
          </w:p>
          <w:p>
            <w:pPr>
              <w:pStyle w:val="961"/>
              <w:jc w:val="center"/>
              <w:spacing w:line="340" w:lineRule="exact"/>
              <w:rPr>
                <w:rFonts w:ascii="仿宋_GB2312" w:hAnsi="宋体" w:eastAsia="仿宋_GB2312" w:cs="宋体"/>
              </w:rPr>
            </w:pPr>
            <w:r>
              <w:rPr>
                <w:rFonts w:hint="eastAsia" w:ascii="仿宋_GB2312" w:hAnsi="宋体" w:eastAsia="仿宋_GB2312" w:cs="宋体"/>
              </w:rPr>
              <w:t xml:space="preserve">时间要求</w:t>
            </w:r>
            <w:r>
              <w:rPr>
                <w:rFonts w:ascii="仿宋_GB2312" w:hAnsi="宋体" w:eastAsia="仿宋_GB2312" w:cs="宋体"/>
              </w:rPr>
            </w:r>
            <w:r/>
          </w:p>
        </w:tc>
        <w:tc>
          <w:tcPr>
            <w:gridSpan w:val="2"/>
            <w:tcW w:w="5846" w:type="dxa"/>
            <w:vAlign w:val="center"/>
            <w:textDirection w:val="lrTb"/>
            <w:noWrap w:val="false"/>
          </w:tcPr>
          <w:p>
            <w:pPr>
              <w:pStyle w:val="961"/>
              <w:jc w:val="left"/>
              <w:spacing w:line="360" w:lineRule="exact"/>
              <w:rPr>
                <w:rFonts w:ascii="仿宋_GB2312" w:hAnsi="宋体" w:eastAsia="仿宋_GB2312" w:cs="宋体"/>
              </w:rPr>
            </w:pPr>
            <w:r>
              <w:rPr>
                <w:rFonts w:hint="eastAsia" w:ascii="仿宋_GB2312" w:hAnsi="宋体" w:eastAsia="仿宋_GB2312" w:cs="宋体"/>
              </w:rPr>
              <w:t xml:space="preserve">自中标通知书发出之日起 15 日内</w:t>
            </w:r>
            <w:r>
              <w:rPr>
                <w:rFonts w:ascii="仿宋_GB2312" w:hAnsi="宋体" w:eastAsia="仿宋_GB2312" w:cs="宋体"/>
              </w:rPr>
            </w:r>
            <w:r/>
          </w:p>
        </w:tc>
      </w:tr>
      <w:tr>
        <w:trPr>
          <w:trHeight w:val="552"/>
        </w:trPr>
        <w:tc>
          <w:tcPr>
            <w:tcW w:w="1135" w:type="dxa"/>
            <w:vAlign w:val="center"/>
            <w:textDirection w:val="lrTb"/>
            <w:noWrap w:val="false"/>
          </w:tcPr>
          <w:p>
            <w:pPr>
              <w:pStyle w:val="961"/>
              <w:jc w:val="center"/>
              <w:spacing w:line="360" w:lineRule="exact"/>
              <w:rPr>
                <w:rFonts w:hint="eastAsia"/>
              </w:rPr>
            </w:pPr>
            <w:r>
              <w:t xml:space="preserve">8.1</w:t>
            </w:r>
            <w:r>
              <w:rPr>
                <w:rFonts w:hint="eastAsia"/>
              </w:rPr>
            </w:r>
            <w:r/>
          </w:p>
        </w:tc>
        <w:tc>
          <w:tcPr>
            <w:tcW w:w="2551" w:type="dxa"/>
            <w:vAlign w:val="center"/>
            <w:textDirection w:val="lrTb"/>
            <w:noWrap w:val="false"/>
          </w:tcPr>
          <w:p>
            <w:pPr>
              <w:pStyle w:val="961"/>
              <w:jc w:val="center"/>
              <w:rPr>
                <w:rFonts w:hint="eastAsia" w:ascii="仿宋_GB2312" w:hAnsi="宋体" w:eastAsia="仿宋_GB2312" w:cs="宋体"/>
              </w:rPr>
            </w:pPr>
            <w:r>
              <w:rPr>
                <w:rFonts w:hint="eastAsia" w:ascii="仿宋_GB2312" w:hAnsi="宋体" w:eastAsia="仿宋_GB2312" w:cs="宋体"/>
              </w:rPr>
              <w:t xml:space="preserve">履约保证金</w:t>
            </w:r>
            <w:r/>
          </w:p>
        </w:tc>
        <w:tc>
          <w:tcPr>
            <w:gridSpan w:val="2"/>
            <w:tcW w:w="5846" w:type="dxa"/>
            <w:vAlign w:val="center"/>
            <w:textDirection w:val="lrTb"/>
            <w:noWrap w:val="false"/>
          </w:tcPr>
          <w:p>
            <w:pPr>
              <w:pStyle w:val="1017"/>
              <w:ind w:left="0"/>
              <w:spacing w:line="360" w:lineRule="exact"/>
              <w:rPr>
                <w:rFonts w:ascii="仿宋_GB2312" w:hAnsi="宋体" w:eastAsia="仿宋_GB2312" w:cs="宋体"/>
                <w:szCs w:val="24"/>
              </w:rPr>
            </w:pPr>
            <w:r>
              <w:rPr>
                <w:rFonts w:hint="eastAsia" w:ascii="仿宋_GB2312" w:hAnsi="宋体" w:eastAsia="仿宋_GB2312" w:cs="宋体"/>
                <w:szCs w:val="24"/>
              </w:rPr>
              <w:t xml:space="preserve">（1）履约保证金形式:支票、汇票、本票或者金融机构、担保机构出具的保函等非现金形式。</w:t>
            </w:r>
            <w:r>
              <w:rPr>
                <w:rFonts w:ascii="仿宋_GB2312" w:hAnsi="宋体" w:eastAsia="仿宋_GB2312" w:cs="宋体"/>
                <w:szCs w:val="24"/>
              </w:rPr>
            </w:r>
            <w:r/>
          </w:p>
          <w:p>
            <w:pPr>
              <w:pStyle w:val="1017"/>
              <w:ind w:left="0"/>
              <w:jc w:val="left"/>
              <w:spacing w:line="360" w:lineRule="exact"/>
              <w:rPr>
                <w:rFonts w:hint="eastAsia" w:ascii="仿宋_GB2312" w:hAnsi="宋体" w:eastAsia="仿宋_GB2312" w:cs="宋体"/>
                <w:szCs w:val="24"/>
              </w:rPr>
            </w:pPr>
            <w:r>
              <w:rPr>
                <w:rFonts w:hint="eastAsia" w:ascii="仿宋_GB2312" w:hAnsi="宋体" w:eastAsia="仿宋_GB2312" w:cs="宋体"/>
                <w:szCs w:val="24"/>
              </w:rPr>
              <w:t xml:space="preserve">（2）金额：合同价的10%</w:t>
            </w:r>
            <w:r/>
          </w:p>
          <w:p>
            <w:pPr>
              <w:pStyle w:val="961"/>
              <w:jc w:val="left"/>
              <w:spacing w:line="360" w:lineRule="exact"/>
              <w:rPr>
                <w:rFonts w:hint="eastAsia" w:ascii="仿宋_GB2312" w:hAnsi="宋体" w:eastAsia="仿宋_GB2312" w:cs="宋体"/>
              </w:rPr>
            </w:pPr>
            <w:r>
              <w:rPr>
                <w:rFonts w:hint="eastAsia" w:ascii="仿宋_GB2312" w:hAnsi="宋体" w:eastAsia="仿宋_GB2312" w:cs="宋体"/>
              </w:rPr>
              <w:t xml:space="preserve">（3）缴纳时间：在确定成交供应商之后，签订采购合同前。</w:t>
            </w:r>
            <w:r/>
          </w:p>
          <w:p>
            <w:pPr>
              <w:pStyle w:val="963"/>
              <w:numPr>
                <w:ilvl w:val="0"/>
                <w:numId w:val="0"/>
              </w:numPr>
              <w:ind w:left="709" w:hanging="709"/>
              <w:rPr>
                <w:rFonts w:hint="eastAsia"/>
              </w:rPr>
            </w:pPr>
            <w:r>
              <w:rPr>
                <w:rFonts w:hint="eastAsia" w:ascii="仿宋_GB2312" w:hAnsi="宋体" w:eastAsia="仿宋_GB2312" w:cs="宋体"/>
                <w:b w:val="0"/>
                <w:color w:val="000000"/>
                <w:sz w:val="24"/>
              </w:rPr>
              <w:t xml:space="preserve">（4）退还时间：服务期满后退还（无息）。</w:t>
            </w:r>
            <w:r>
              <w:rPr>
                <w:rFonts w:hint="eastAsia"/>
              </w:rPr>
            </w:r>
            <w:r/>
          </w:p>
        </w:tc>
      </w:tr>
      <w:tr>
        <w:trPr>
          <w:trHeight w:val="651"/>
        </w:trPr>
        <w:tc>
          <w:tcPr>
            <w:tcW w:w="1135" w:type="dxa"/>
            <w:vAlign w:val="center"/>
            <w:textDirection w:val="lrTb"/>
            <w:noWrap w:val="false"/>
          </w:tcPr>
          <w:p>
            <w:pPr>
              <w:pStyle w:val="961"/>
              <w:jc w:val="center"/>
              <w:spacing w:line="360" w:lineRule="exact"/>
              <w:rPr>
                <w:rFonts w:hint="eastAsia" w:ascii="仿宋_GB2312" w:hAnsi="宋体" w:eastAsia="仿宋_GB2312" w:cs="宋体"/>
              </w:rPr>
            </w:pPr>
            <w:r>
              <w:rPr>
                <w:rFonts w:hint="eastAsia" w:ascii="仿宋_GB2312" w:hAnsi="宋体" w:eastAsia="仿宋_GB2312" w:cs="宋体"/>
              </w:rPr>
              <w:t xml:space="preserve">9</w:t>
            </w:r>
            <w:r/>
          </w:p>
        </w:tc>
        <w:tc>
          <w:tcPr>
            <w:gridSpan w:val="3"/>
            <w:tcW w:w="8397" w:type="dxa"/>
            <w:vAlign w:val="center"/>
            <w:textDirection w:val="lrTb"/>
            <w:noWrap w:val="false"/>
          </w:tcPr>
          <w:p>
            <w:pPr>
              <w:pStyle w:val="961"/>
              <w:jc w:val="center"/>
              <w:spacing w:line="360" w:lineRule="exact"/>
              <w:rPr>
                <w:rFonts w:ascii="仿宋_GB2312" w:hAnsi="宋体" w:eastAsia="仿宋_GB2312" w:cs="宋体"/>
              </w:rPr>
            </w:pPr>
            <w:r>
              <w:rPr>
                <w:rFonts w:hint="eastAsia" w:ascii="仿宋_GB2312" w:hAnsi="宋体" w:eastAsia="仿宋_GB2312" w:cs="宋体"/>
              </w:rPr>
              <w:t xml:space="preserve">需要补充的其他内容</w:t>
            </w:r>
            <w:r>
              <w:rPr>
                <w:rFonts w:ascii="仿宋_GB2312" w:hAnsi="宋体" w:eastAsia="仿宋_GB2312" w:cs="宋体"/>
              </w:rPr>
            </w:r>
            <w:r/>
          </w:p>
        </w:tc>
      </w:tr>
      <w:tr>
        <w:trPr>
          <w:trHeight w:val="688"/>
        </w:trPr>
        <w:tc>
          <w:tcPr>
            <w:tcW w:w="1135" w:type="dxa"/>
            <w:vAlign w:val="center"/>
            <w:textDirection w:val="lrTb"/>
            <w:noWrap w:val="false"/>
          </w:tcPr>
          <w:p>
            <w:pPr>
              <w:pStyle w:val="961"/>
              <w:jc w:val="center"/>
              <w:spacing w:line="360" w:lineRule="exact"/>
              <w:rPr>
                <w:rFonts w:ascii="仿宋_GB2312" w:hAnsi="宋体" w:eastAsia="仿宋_GB2312" w:cs="宋体"/>
              </w:rPr>
            </w:pPr>
            <w:r>
              <w:rPr>
                <w:rFonts w:hint="eastAsia" w:ascii="仿宋_GB2312" w:hAnsi="宋体" w:eastAsia="仿宋_GB2312" w:cs="宋体"/>
              </w:rPr>
              <w:t xml:space="preserve">9.1</w:t>
            </w:r>
            <w:r>
              <w:rPr>
                <w:rFonts w:ascii="仿宋_GB2312" w:hAnsi="宋体" w:eastAsia="仿宋_GB2312" w:cs="宋体"/>
              </w:rPr>
            </w:r>
            <w:r/>
          </w:p>
        </w:tc>
        <w:tc>
          <w:tcPr>
            <w:gridSpan w:val="2"/>
            <w:tcW w:w="2557" w:type="dxa"/>
            <w:vAlign w:val="center"/>
            <w:textDirection w:val="lrTb"/>
            <w:noWrap w:val="false"/>
          </w:tcPr>
          <w:p>
            <w:pPr>
              <w:pStyle w:val="961"/>
              <w:jc w:val="center"/>
              <w:spacing w:line="360" w:lineRule="exact"/>
              <w:rPr>
                <w:rFonts w:ascii="仿宋_GB2312" w:hAnsi="宋体" w:eastAsia="仿宋_GB2312" w:cs="宋体"/>
              </w:rPr>
            </w:pPr>
            <w:r>
              <w:rPr>
                <w:rFonts w:hint="eastAsia" w:ascii="仿宋_GB2312" w:hAnsi="宋体" w:eastAsia="仿宋_GB2312" w:cs="宋体"/>
              </w:rPr>
              <w:t xml:space="preserve">质疑和投诉</w:t>
            </w:r>
            <w:r>
              <w:rPr>
                <w:rFonts w:ascii="仿宋_GB2312" w:hAnsi="宋体" w:eastAsia="仿宋_GB2312" w:cs="宋体"/>
              </w:rPr>
            </w:r>
            <w:r/>
          </w:p>
        </w:tc>
        <w:tc>
          <w:tcPr>
            <w:tcW w:w="5840" w:type="dxa"/>
            <w:vAlign w:val="center"/>
            <w:textDirection w:val="lrTb"/>
            <w:noWrap w:val="false"/>
          </w:tcPr>
          <w:p>
            <w:pPr>
              <w:pStyle w:val="961"/>
              <w:jc w:val="left"/>
              <w:spacing w:line="360" w:lineRule="exact"/>
              <w:rPr>
                <w:rFonts w:ascii="仿宋_GB2312" w:hAnsi="宋体" w:eastAsia="仿宋_GB2312" w:cs="宋体"/>
              </w:rPr>
            </w:pPr>
            <w:r>
              <w:rPr>
                <w:rFonts w:hint="eastAsia" w:ascii="仿宋_GB2312" w:hAnsi="宋体" w:eastAsia="仿宋_GB2312" w:cs="宋体"/>
              </w:rPr>
              <w:t xml:space="preserve">按照《政府采购质疑和投诉办法》（财政部第94号令）处理</w:t>
            </w:r>
            <w:r>
              <w:rPr>
                <w:rFonts w:ascii="仿宋_GB2312" w:hAnsi="宋体" w:eastAsia="仿宋_GB2312" w:cs="宋体"/>
              </w:rPr>
            </w:r>
            <w:r/>
          </w:p>
        </w:tc>
      </w:tr>
      <w:tr>
        <w:trPr>
          <w:trHeight w:val="472"/>
        </w:trPr>
        <w:tc>
          <w:tcPr>
            <w:tcW w:w="1135" w:type="dxa"/>
            <w:vAlign w:val="center"/>
            <w:textDirection w:val="lrTb"/>
            <w:noWrap w:val="false"/>
          </w:tcPr>
          <w:p>
            <w:pPr>
              <w:pStyle w:val="961"/>
              <w:jc w:val="center"/>
              <w:spacing w:line="360" w:lineRule="exact"/>
              <w:rPr>
                <w:rFonts w:ascii="仿宋_GB2312" w:hAnsi="宋体" w:eastAsia="仿宋_GB2312" w:cs="宋体"/>
              </w:rPr>
            </w:pPr>
            <w:r>
              <w:rPr>
                <w:rFonts w:hint="eastAsia" w:ascii="仿宋_GB2312" w:hAnsi="宋体" w:eastAsia="仿宋_GB2312" w:cs="宋体"/>
              </w:rPr>
              <w:t xml:space="preserve">9.2</w:t>
            </w:r>
            <w:r>
              <w:rPr>
                <w:rFonts w:ascii="仿宋_GB2312" w:hAnsi="宋体" w:eastAsia="仿宋_GB2312" w:cs="宋体"/>
              </w:rPr>
            </w:r>
            <w:r/>
          </w:p>
        </w:tc>
        <w:tc>
          <w:tcPr>
            <w:gridSpan w:val="2"/>
            <w:tcW w:w="2557" w:type="dxa"/>
            <w:vAlign w:val="center"/>
            <w:textDirection w:val="lrTb"/>
            <w:noWrap w:val="false"/>
          </w:tcPr>
          <w:p>
            <w:pPr>
              <w:pStyle w:val="961"/>
              <w:jc w:val="center"/>
              <w:spacing w:line="360" w:lineRule="exact"/>
              <w:rPr>
                <w:rFonts w:ascii="仿宋_GB2312" w:hAnsi="宋体" w:eastAsia="仿宋_GB2312" w:cs="宋体"/>
              </w:rPr>
            </w:pPr>
            <w:r>
              <w:rPr>
                <w:rFonts w:hint="eastAsia" w:ascii="仿宋_GB2312" w:hAnsi="宋体" w:eastAsia="仿宋_GB2312" w:cs="宋体"/>
              </w:rPr>
              <w:t xml:space="preserve">文件的解释</w:t>
            </w:r>
            <w:r>
              <w:rPr>
                <w:rFonts w:ascii="仿宋_GB2312" w:hAnsi="宋体" w:eastAsia="仿宋_GB2312" w:cs="宋体"/>
              </w:rPr>
            </w:r>
            <w:r/>
          </w:p>
        </w:tc>
        <w:tc>
          <w:tcPr>
            <w:tcW w:w="5840" w:type="dxa"/>
            <w:vAlign w:val="center"/>
            <w:textDirection w:val="lrTb"/>
            <w:noWrap w:val="false"/>
          </w:tcPr>
          <w:p>
            <w:pPr>
              <w:pStyle w:val="961"/>
              <w:spacing w:line="360" w:lineRule="exact"/>
              <w:rPr>
                <w:rFonts w:ascii="仿宋_GB2312" w:hAnsi="宋体" w:eastAsia="仿宋_GB2312" w:cs="宋体"/>
              </w:rPr>
            </w:pPr>
            <w:r>
              <w:rPr>
                <w:rFonts w:hint="eastAsia" w:ascii="仿宋_GB2312" w:hAnsi="宋体" w:eastAsia="仿宋_GB2312" w:cs="宋体"/>
              </w:rPr>
              <w:t xml:space="preserve">由采购人负责</w:t>
            </w:r>
            <w:r>
              <w:rPr>
                <w:rFonts w:ascii="仿宋_GB2312" w:hAnsi="宋体" w:eastAsia="仿宋_GB2312" w:cs="宋体"/>
              </w:rPr>
            </w:r>
            <w:r/>
          </w:p>
        </w:tc>
      </w:tr>
      <w:tr>
        <w:trPr>
          <w:trHeight w:val="699"/>
        </w:trPr>
        <w:tc>
          <w:tcPr>
            <w:tcW w:w="1135" w:type="dxa"/>
            <w:vAlign w:val="center"/>
            <w:textDirection w:val="lrTb"/>
            <w:noWrap w:val="false"/>
          </w:tcPr>
          <w:p>
            <w:pPr>
              <w:pStyle w:val="961"/>
              <w:jc w:val="center"/>
              <w:spacing w:line="360" w:lineRule="exact"/>
              <w:rPr>
                <w:rFonts w:ascii="仿宋_GB2312" w:hAnsi="宋体" w:eastAsia="仿宋_GB2312" w:cs="宋体"/>
              </w:rPr>
            </w:pPr>
            <w:r>
              <w:rPr>
                <w:rFonts w:hint="eastAsia" w:ascii="仿宋_GB2312" w:hAnsi="宋体" w:eastAsia="仿宋_GB2312" w:cs="宋体"/>
              </w:rPr>
              <w:t xml:space="preserve">9.3</w:t>
            </w:r>
            <w:r>
              <w:rPr>
                <w:rFonts w:ascii="仿宋_GB2312" w:hAnsi="宋体" w:eastAsia="仿宋_GB2312" w:cs="宋体"/>
              </w:rPr>
            </w:r>
            <w:r/>
          </w:p>
        </w:tc>
        <w:tc>
          <w:tcPr>
            <w:gridSpan w:val="2"/>
            <w:tcW w:w="2557" w:type="dxa"/>
            <w:vAlign w:val="center"/>
            <w:textDirection w:val="lrTb"/>
            <w:noWrap w:val="false"/>
          </w:tcPr>
          <w:p>
            <w:pPr>
              <w:pStyle w:val="961"/>
              <w:jc w:val="center"/>
              <w:spacing w:line="360" w:lineRule="exact"/>
              <w:rPr>
                <w:rFonts w:ascii="仿宋_GB2312" w:hAnsi="宋体" w:eastAsia="仿宋_GB2312" w:cs="宋体"/>
              </w:rPr>
            </w:pPr>
            <w:r>
              <w:rPr>
                <w:rFonts w:hint="eastAsia" w:ascii="仿宋_GB2312" w:hAnsi="宋体" w:eastAsia="仿宋_GB2312" w:cs="宋体"/>
              </w:rPr>
              <w:t xml:space="preserve">落实政府采购政策</w:t>
            </w:r>
            <w:r>
              <w:rPr>
                <w:rFonts w:ascii="仿宋_GB2312" w:hAnsi="宋体" w:eastAsia="仿宋_GB2312" w:cs="宋体"/>
              </w:rPr>
            </w:r>
            <w:r/>
          </w:p>
        </w:tc>
        <w:tc>
          <w:tcPr>
            <w:tcW w:w="5840" w:type="dxa"/>
            <w:vAlign w:val="center"/>
            <w:textDirection w:val="lrTb"/>
            <w:noWrap w:val="false"/>
          </w:tcPr>
          <w:p>
            <w:pPr>
              <w:pStyle w:val="1012"/>
              <w:spacing w:line="380" w:lineRule="exact"/>
              <w:rPr>
                <w:rFonts w:ascii="仿宋_GB2312" w:hAnsi="宋体" w:eastAsia="仿宋_GB2312" w:cs="宋体"/>
                <w:sz w:val="24"/>
                <w:szCs w:val="24"/>
              </w:rPr>
            </w:pPr>
            <w:r>
              <w:rPr>
                <w:rFonts w:hint="eastAsia" w:ascii="仿宋_GB2312" w:hAnsi="宋体" w:eastAsia="仿宋_GB2312" w:cs="宋体"/>
                <w:sz w:val="24"/>
                <w:szCs w:val="24"/>
              </w:rPr>
              <w:t xml:space="preserve">根据《政府采购促进中小企业发展管理办法》（财库【</w:t>
            </w:r>
            <w:r>
              <w:rPr>
                <w:rFonts w:ascii="仿宋_GB2312" w:hAnsi="宋体" w:eastAsia="仿宋_GB2312" w:cs="宋体"/>
                <w:sz w:val="24"/>
                <w:szCs w:val="24"/>
              </w:rPr>
              <w:t xml:space="preserve">2020</w:t>
            </w:r>
            <w:r>
              <w:rPr>
                <w:rFonts w:hint="eastAsia" w:ascii="仿宋_GB2312" w:hAnsi="宋体" w:eastAsia="仿宋_GB2312" w:cs="宋体"/>
                <w:sz w:val="24"/>
                <w:szCs w:val="24"/>
              </w:rPr>
              <w:t xml:space="preserve">】</w:t>
            </w:r>
            <w:r>
              <w:rPr>
                <w:rFonts w:ascii="仿宋_GB2312" w:hAnsi="宋体" w:eastAsia="仿宋_GB2312" w:cs="宋体"/>
                <w:sz w:val="24"/>
                <w:szCs w:val="24"/>
              </w:rPr>
              <w:t xml:space="preserve">46</w:t>
            </w:r>
            <w:r>
              <w:rPr>
                <w:rFonts w:hint="eastAsia" w:ascii="仿宋_GB2312" w:hAnsi="宋体" w:eastAsia="仿宋_GB2312" w:cs="宋体"/>
                <w:sz w:val="24"/>
                <w:szCs w:val="24"/>
              </w:rPr>
              <w:t xml:space="preserve">号）规定，对小型和微型生产企业生产的产品或承接的服务价格给予</w:t>
            </w:r>
            <w:r>
              <w:rPr>
                <w:rFonts w:ascii="仿宋_GB2312" w:hAnsi="宋体" w:eastAsia="仿宋_GB2312" w:cs="宋体"/>
                <w:sz w:val="24"/>
                <w:szCs w:val="24"/>
              </w:rPr>
              <w:t xml:space="preserve">10%</w:t>
            </w:r>
            <w:r>
              <w:rPr>
                <w:rFonts w:hint="eastAsia" w:ascii="仿宋_GB2312" w:hAnsi="宋体" w:eastAsia="仿宋_GB2312" w:cs="宋体"/>
                <w:sz w:val="24"/>
                <w:szCs w:val="24"/>
              </w:rPr>
              <w:t xml:space="preserve">的扣除，扣除后的价格参与评审。投标人应当提供《中小企业声明函》（格式见附件）</w:t>
            </w:r>
            <w:r>
              <w:rPr>
                <w:rFonts w:ascii="仿宋_GB2312" w:hAnsi="宋体" w:eastAsia="仿宋_GB2312" w:cs="宋体"/>
                <w:sz w:val="24"/>
                <w:szCs w:val="24"/>
              </w:rPr>
            </w:r>
            <w:r/>
          </w:p>
        </w:tc>
      </w:tr>
      <w:tr>
        <w:trPr>
          <w:trHeight w:val="699"/>
        </w:trPr>
        <w:tc>
          <w:tcPr>
            <w:tcW w:w="1135" w:type="dxa"/>
            <w:vAlign w:val="center"/>
            <w:textDirection w:val="lrTb"/>
            <w:noWrap w:val="false"/>
          </w:tcPr>
          <w:p>
            <w:pPr>
              <w:pStyle w:val="961"/>
              <w:jc w:val="center"/>
              <w:spacing w:line="360" w:lineRule="exact"/>
              <w:rPr>
                <w:rFonts w:hint="eastAsia" w:ascii="仿宋_GB2312" w:hAnsi="宋体" w:eastAsia="仿宋_GB2312" w:cs="宋体"/>
              </w:rPr>
            </w:pPr>
            <w:r>
              <w:rPr>
                <w:rFonts w:hint="eastAsia" w:ascii="仿宋_GB2312" w:hAnsi="宋体" w:eastAsia="仿宋_GB2312" w:cs="宋体"/>
              </w:rPr>
              <w:t xml:space="preserve">9.4</w:t>
            </w:r>
            <w:r/>
          </w:p>
        </w:tc>
        <w:tc>
          <w:tcPr>
            <w:gridSpan w:val="2"/>
            <w:tcW w:w="2557" w:type="dxa"/>
            <w:vAlign w:val="center"/>
            <w:textDirection w:val="lrTb"/>
            <w:noWrap w:val="false"/>
          </w:tcPr>
          <w:p>
            <w:pPr>
              <w:pStyle w:val="961"/>
              <w:jc w:val="center"/>
              <w:spacing w:line="360" w:lineRule="exact"/>
              <w:rPr>
                <w:rFonts w:hint="eastAsia" w:ascii="仿宋_GB2312" w:hAnsi="宋体" w:eastAsia="仿宋_GB2312" w:cs="宋体"/>
              </w:rPr>
            </w:pPr>
            <w:r>
              <w:rPr>
                <w:rFonts w:hint="eastAsia" w:ascii="仿宋_GB2312" w:hAnsi="宋体" w:eastAsia="仿宋_GB2312" w:cs="宋体"/>
              </w:rPr>
              <w:t xml:space="preserve">参加磋商的要求</w:t>
            </w:r>
            <w:r/>
          </w:p>
        </w:tc>
        <w:tc>
          <w:tcPr>
            <w:tcW w:w="5840" w:type="dxa"/>
            <w:vAlign w:val="top"/>
            <w:textDirection w:val="lrTb"/>
            <w:noWrap w:val="false"/>
          </w:tcPr>
          <w:p>
            <w:pPr>
              <w:pStyle w:val="1012"/>
              <w:spacing w:line="380" w:lineRule="exact"/>
              <w:rPr>
                <w:rFonts w:hint="eastAsia" w:ascii="仿宋_GB2312" w:hAnsi="宋体" w:eastAsia="仿宋_GB2312" w:cs="宋体"/>
                <w:sz w:val="24"/>
                <w:szCs w:val="24"/>
              </w:rPr>
            </w:pPr>
            <w:r>
              <w:rPr>
                <w:rFonts w:hint="eastAsia" w:ascii="仿宋_GB2312" w:hAnsi="宋体" w:eastAsia="仿宋_GB2312" w:cs="宋体"/>
                <w:sz w:val="24"/>
                <w:szCs w:val="24"/>
              </w:rPr>
              <w:t xml:space="preserve">首次响应文件开启之后，请各供应商关注苏采云开标大厅并在规定的时间内提交磋商函。未按照磋商小组的要求参加磋商导致的后果由供应商自行承担。</w:t>
            </w:r>
            <w:r/>
          </w:p>
        </w:tc>
      </w:tr>
      <w:tr>
        <w:trPr>
          <w:trHeight w:val="699"/>
        </w:trPr>
        <w:tc>
          <w:tcPr>
            <w:tcW w:w="1135" w:type="dxa"/>
            <w:vAlign w:val="center"/>
            <w:textDirection w:val="lrTb"/>
            <w:noWrap w:val="false"/>
          </w:tcPr>
          <w:p>
            <w:pPr>
              <w:pStyle w:val="961"/>
              <w:jc w:val="center"/>
              <w:spacing w:line="360" w:lineRule="exact"/>
              <w:rPr>
                <w:rFonts w:hint="eastAsia" w:ascii="仿宋_GB2312" w:hAnsi="宋体" w:eastAsia="仿宋_GB2312" w:cs="宋体"/>
              </w:rPr>
            </w:pPr>
            <w:r>
              <w:rPr>
                <w:rFonts w:hint="eastAsia" w:ascii="仿宋_GB2312" w:hAnsi="宋体" w:eastAsia="仿宋_GB2312" w:cs="宋体"/>
              </w:rPr>
              <w:t xml:space="preserve">9.5</w:t>
            </w:r>
            <w:r/>
          </w:p>
        </w:tc>
        <w:tc>
          <w:tcPr>
            <w:gridSpan w:val="2"/>
            <w:tcW w:w="2557" w:type="dxa"/>
            <w:vAlign w:val="center"/>
            <w:textDirection w:val="lrTb"/>
            <w:noWrap w:val="false"/>
          </w:tcPr>
          <w:p>
            <w:pPr>
              <w:pStyle w:val="961"/>
              <w:jc w:val="center"/>
              <w:spacing w:line="360" w:lineRule="exact"/>
              <w:rPr>
                <w:rFonts w:hint="eastAsia" w:ascii="仿宋_GB2312" w:hAnsi="宋体" w:eastAsia="仿宋_GB2312" w:cs="宋体"/>
              </w:rPr>
            </w:pPr>
            <w:r>
              <w:rPr>
                <w:rFonts w:hint="eastAsia" w:ascii="仿宋_GB2312" w:hAnsi="宋体" w:eastAsia="仿宋_GB2312" w:cs="宋体"/>
              </w:rPr>
              <w:t xml:space="preserve">招标代理服务费</w:t>
            </w:r>
            <w:r/>
          </w:p>
        </w:tc>
        <w:tc>
          <w:tcPr>
            <w:tcW w:w="5840" w:type="dxa"/>
            <w:vAlign w:val="top"/>
            <w:textDirection w:val="lrTb"/>
            <w:noWrap w:val="false"/>
          </w:tcPr>
          <w:p>
            <w:pPr>
              <w:pStyle w:val="961"/>
              <w:jc w:val="left"/>
              <w:spacing w:line="360" w:lineRule="exact"/>
              <w:rPr>
                <w:rFonts w:ascii="仿宋_GB2312" w:hAnsi="宋体" w:eastAsia="仿宋_GB2312" w:cs="宋体"/>
              </w:rPr>
            </w:pPr>
            <w:r>
              <w:rPr>
                <w:rFonts w:hint="eastAsia" w:ascii="仿宋_GB2312" w:hAnsi="宋体" w:eastAsia="仿宋_GB2312" w:cs="宋体"/>
              </w:rPr>
              <w:t xml:space="preserve">本项目招标代理服务费由成交人在领取中标通知书前支付。</w:t>
            </w:r>
            <w:bookmarkStart w:id="85" w:name="OLE_LINK197"/>
            <w:r/>
            <w:bookmarkStart w:id="86" w:name="OLE_LINK198"/>
            <w:r>
              <w:rPr>
                <w:rFonts w:hint="eastAsia" w:ascii="仿宋_GB2312" w:hAnsi="宋体" w:eastAsia="仿宋_GB2312" w:cs="宋体"/>
              </w:rPr>
              <w:t xml:space="preserve">招标代理服务费按照计价格【2002】1980号文件及发改价格【2011】534号文件规定的70%计取</w:t>
            </w:r>
            <w:bookmarkEnd w:id="85"/>
            <w:r/>
            <w:bookmarkEnd w:id="86"/>
            <w:r>
              <w:rPr>
                <w:rFonts w:hint="eastAsia" w:ascii="仿宋_GB2312" w:hAnsi="宋体" w:eastAsia="仿宋_GB2312" w:cs="宋体"/>
              </w:rPr>
              <w:t xml:space="preserve">，最终计费额按成交价按实计取。采购人不另外支付。</w:t>
            </w:r>
            <w:r>
              <w:rPr>
                <w:rFonts w:ascii="仿宋_GB2312" w:hAnsi="宋体" w:eastAsia="仿宋_GB2312" w:cs="宋体"/>
              </w:rPr>
            </w:r>
            <w:r/>
          </w:p>
        </w:tc>
      </w:tr>
      <w:tr>
        <w:trPr>
          <w:trHeight w:val="699"/>
        </w:trPr>
        <w:tc>
          <w:tcPr>
            <w:tcW w:w="1135" w:type="dxa"/>
            <w:vAlign w:val="center"/>
            <w:textDirection w:val="lrTb"/>
            <w:noWrap w:val="false"/>
          </w:tcPr>
          <w:p>
            <w:pPr>
              <w:pStyle w:val="961"/>
              <w:jc w:val="center"/>
              <w:spacing w:line="360" w:lineRule="exact"/>
              <w:rPr>
                <w:rFonts w:hint="eastAsia" w:ascii="仿宋_GB2312" w:hAnsi="宋体" w:eastAsia="仿宋_GB2312" w:cs="宋体"/>
              </w:rPr>
            </w:pPr>
            <w:r>
              <w:rPr>
                <w:rFonts w:hint="eastAsia" w:ascii="仿宋_GB2312" w:hAnsi="宋体" w:eastAsia="仿宋_GB2312" w:cs="宋体"/>
              </w:rPr>
              <w:t xml:space="preserve">9.6</w:t>
            </w:r>
            <w:r/>
          </w:p>
        </w:tc>
        <w:tc>
          <w:tcPr>
            <w:gridSpan w:val="2"/>
            <w:tcW w:w="2557" w:type="dxa"/>
            <w:vAlign w:val="center"/>
            <w:textDirection w:val="lrTb"/>
            <w:noWrap w:val="false"/>
          </w:tcPr>
          <w:p>
            <w:pPr>
              <w:pStyle w:val="961"/>
              <w:jc w:val="center"/>
              <w:spacing w:line="360" w:lineRule="exact"/>
              <w:rPr>
                <w:rFonts w:hint="eastAsia" w:ascii="仿宋_GB2312" w:hAnsi="宋体" w:eastAsia="仿宋_GB2312" w:cs="宋体"/>
              </w:rPr>
            </w:pPr>
            <w:r>
              <w:rPr>
                <w:rFonts w:hint="eastAsia" w:ascii="仿宋_GB2312" w:hAnsi="宋体" w:eastAsia="仿宋_GB2312" w:cs="宋体"/>
              </w:rPr>
              <w:t xml:space="preserve">标的所属行业</w:t>
            </w:r>
            <w:r/>
          </w:p>
        </w:tc>
        <w:tc>
          <w:tcPr>
            <w:tcW w:w="5840" w:type="dxa"/>
            <w:vAlign w:val="center"/>
            <w:textDirection w:val="lrTb"/>
            <w:noWrap w:val="false"/>
          </w:tcPr>
          <w:p>
            <w:pPr>
              <w:pStyle w:val="961"/>
              <w:spacing w:line="360" w:lineRule="exact"/>
              <w:rPr>
                <w:rFonts w:hint="eastAsia" w:ascii="仿宋_GB2312" w:hAnsi="宋体" w:eastAsia="仿宋_GB2312" w:cs="宋体"/>
              </w:rPr>
            </w:pPr>
            <w:r/>
            <w:bookmarkStart w:id="87" w:name="OLE_LINK193"/>
            <w:r/>
            <w:bookmarkStart w:id="88" w:name="OLE_LINK194"/>
            <w:r>
              <w:rPr>
                <w:rFonts w:hint="eastAsia" w:ascii="仿宋_GB2312" w:hAnsi="宋体" w:eastAsia="仿宋_GB2312" w:cs="宋体"/>
              </w:rPr>
              <w:t xml:space="preserve">商务服务业</w:t>
            </w:r>
            <w:bookmarkEnd w:id="87"/>
            <w:r/>
            <w:bookmarkEnd w:id="88"/>
            <w:r>
              <w:rPr>
                <w:rFonts w:hint="eastAsia" w:ascii="仿宋_GB2312" w:hAnsi="宋体" w:eastAsia="仿宋_GB2312" w:cs="宋体"/>
              </w:rPr>
            </w:r>
            <w:r/>
          </w:p>
        </w:tc>
      </w:tr>
      <w:tr>
        <w:trPr>
          <w:trHeight w:val="699"/>
        </w:trPr>
        <w:tc>
          <w:tcPr>
            <w:tcW w:w="1135" w:type="dxa"/>
            <w:vAlign w:val="center"/>
            <w:textDirection w:val="lrTb"/>
            <w:noWrap w:val="false"/>
          </w:tcPr>
          <w:p>
            <w:pPr>
              <w:pStyle w:val="961"/>
              <w:jc w:val="center"/>
              <w:spacing w:line="360" w:lineRule="exact"/>
              <w:rPr>
                <w:rFonts w:hint="eastAsia" w:ascii="仿宋_GB2312" w:hAnsi="宋体" w:eastAsia="仿宋_GB2312" w:cs="宋体"/>
              </w:rPr>
            </w:pPr>
            <w:r>
              <w:rPr>
                <w:rFonts w:hint="eastAsia" w:ascii="仿宋_GB2312" w:hAnsi="宋体" w:eastAsia="仿宋_GB2312" w:cs="宋体"/>
              </w:rPr>
              <w:t xml:space="preserve">9.7</w:t>
            </w:r>
            <w:r/>
          </w:p>
        </w:tc>
        <w:tc>
          <w:tcPr>
            <w:gridSpan w:val="2"/>
            <w:tcW w:w="2557" w:type="dxa"/>
            <w:vAlign w:val="center"/>
            <w:textDirection w:val="lrTb"/>
            <w:noWrap w:val="false"/>
          </w:tcPr>
          <w:p>
            <w:pPr>
              <w:pStyle w:val="961"/>
              <w:jc w:val="center"/>
              <w:spacing w:line="360" w:lineRule="exact"/>
              <w:rPr>
                <w:rFonts w:hint="eastAsia" w:ascii="仿宋_GB2312" w:hAnsi="宋体" w:eastAsia="仿宋_GB2312" w:cs="宋体"/>
                <w:b/>
              </w:rPr>
            </w:pPr>
            <w:r>
              <w:rPr>
                <w:rFonts w:hint="eastAsia" w:ascii="仿宋_GB2312" w:hAnsi="宋体" w:eastAsia="仿宋_GB2312" w:cs="宋体"/>
                <w:b/>
              </w:rPr>
              <w:t xml:space="preserve">其他</w:t>
            </w:r>
            <w:r/>
          </w:p>
        </w:tc>
        <w:tc>
          <w:tcPr>
            <w:tcW w:w="5840" w:type="dxa"/>
            <w:vAlign w:val="center"/>
            <w:textDirection w:val="lrTb"/>
            <w:noWrap w:val="false"/>
          </w:tcPr>
          <w:p>
            <w:pPr>
              <w:pStyle w:val="961"/>
              <w:spacing w:line="360" w:lineRule="exact"/>
              <w:rPr>
                <w:rFonts w:hint="eastAsia" w:ascii="仿宋_GB2312" w:hAnsi="宋体" w:eastAsia="仿宋_GB2312" w:cs="宋体"/>
                <w:b/>
              </w:rPr>
            </w:pPr>
            <w:r>
              <w:rPr>
                <w:rFonts w:hint="eastAsia" w:ascii="仿宋_GB2312" w:hAnsi="宋体" w:eastAsia="仿宋_GB2312" w:cs="宋体"/>
                <w:b/>
              </w:rPr>
              <w:t xml:space="preserve">中标人须确保在合同签订之日起15天（日历天）内进场接管现有人员35人，各岗位人员到位。</w:t>
            </w:r>
            <w:r/>
          </w:p>
        </w:tc>
      </w:tr>
    </w:tbl>
    <w:p>
      <w:pPr>
        <w:pStyle w:val="961"/>
        <w:spacing w:line="560" w:lineRule="exact"/>
        <w:rPr>
          <w:rFonts w:ascii="黑体" w:hAnsi="黑体" w:eastAsia="黑体"/>
          <w:b/>
          <w:sz w:val="32"/>
          <w:szCs w:val="32"/>
        </w:rPr>
      </w:pPr>
      <w:r/>
      <w:bookmarkStart w:id="89" w:name="_Toc426469871"/>
      <w:r/>
      <w:bookmarkStart w:id="90" w:name="_Toc367784995"/>
      <w:r>
        <w:rPr>
          <w:rFonts w:ascii="黑体" w:hAnsi="黑体" w:eastAsia="黑体"/>
          <w:b/>
          <w:sz w:val="32"/>
          <w:szCs w:val="32"/>
        </w:rPr>
        <w:t xml:space="preserve">1.</w:t>
      </w:r>
      <w:r>
        <w:rPr>
          <w:rFonts w:hint="eastAsia" w:ascii="黑体" w:hAnsi="黑体" w:eastAsia="黑体"/>
          <w:b/>
          <w:sz w:val="32"/>
          <w:szCs w:val="32"/>
        </w:rPr>
        <w:t xml:space="preserve">总则</w:t>
      </w:r>
      <w:bookmarkEnd w:id="89"/>
      <w:r/>
      <w:bookmarkEnd w:id="90"/>
      <w:r>
        <w:rPr>
          <w:rFonts w:ascii="黑体" w:hAnsi="黑体" w:eastAsia="黑体"/>
          <w:b/>
          <w:sz w:val="32"/>
          <w:szCs w:val="32"/>
        </w:rPr>
      </w:r>
      <w:r/>
    </w:p>
    <w:p>
      <w:pPr>
        <w:pStyle w:val="961"/>
        <w:spacing w:line="560" w:lineRule="exact"/>
        <w:rPr>
          <w:rFonts w:ascii="楷体_GB2312" w:hAnsi="楷体" w:eastAsia="楷体_GB2312"/>
          <w:b/>
          <w:sz w:val="28"/>
          <w:szCs w:val="28"/>
        </w:rPr>
      </w:pPr>
      <w:r>
        <w:rPr>
          <w:rFonts w:hint="eastAsia" w:ascii="宋体" w:hAnsi="宋体" w:cs="宋体"/>
          <w:b/>
          <w:sz w:val="28"/>
          <w:szCs w:val="28"/>
        </w:rPr>
        <w:t xml:space="preserve">1.1</w:t>
      </w:r>
      <w:r>
        <w:rPr>
          <w:rFonts w:hint="eastAsia" w:ascii="楷体_GB2312" w:hAnsi="楷体" w:eastAsia="楷体_GB2312"/>
          <w:b/>
          <w:sz w:val="28"/>
          <w:szCs w:val="28"/>
        </w:rPr>
        <w:t xml:space="preserve">项目概况</w:t>
      </w:r>
      <w:r>
        <w:rPr>
          <w:rFonts w:ascii="楷体_GB2312" w:hAnsi="楷体" w:eastAsia="楷体_GB2312"/>
          <w:b/>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1.1.1根据《中华人民共和国政府采购法》《中华人民共和国政府采购法实施条例》等有关法律、法规和规章的规定，本项目已具备采购条件，现对本项目进行竞争性磋商采购。</w:t>
      </w:r>
      <w:r>
        <w:rPr>
          <w:rFonts w:ascii="仿宋_GB2312" w:hAnsi="宋体" w:eastAsia="仿宋_GB2312" w:cs="宋体"/>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1.1.2 采购人：见供应商须知前附表。</w:t>
      </w:r>
      <w:r>
        <w:rPr>
          <w:rFonts w:ascii="仿宋_GB2312" w:hAnsi="宋体" w:eastAsia="仿宋_GB2312" w:cs="宋体"/>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1.1.3 采购代理机构：见供应商须知前附表。</w:t>
      </w:r>
      <w:r>
        <w:rPr>
          <w:rFonts w:ascii="仿宋_GB2312" w:hAnsi="宋体" w:eastAsia="仿宋_GB2312" w:cs="宋体"/>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1.1.4 项目名称及项目编号：见供应商须知前附表。</w:t>
      </w:r>
      <w:r>
        <w:rPr>
          <w:rFonts w:ascii="仿宋_GB2312" w:hAnsi="宋体" w:eastAsia="仿宋_GB2312" w:cs="宋体"/>
          <w:sz w:val="28"/>
          <w:szCs w:val="28"/>
        </w:rPr>
      </w:r>
      <w:r/>
    </w:p>
    <w:p>
      <w:pPr>
        <w:pStyle w:val="961"/>
        <w:spacing w:line="560" w:lineRule="exact"/>
        <w:rPr>
          <w:rFonts w:ascii="楷体_GB2312" w:hAnsi="楷体" w:eastAsia="楷体_GB2312"/>
          <w:b/>
          <w:sz w:val="28"/>
          <w:szCs w:val="28"/>
        </w:rPr>
      </w:pPr>
      <w:r>
        <w:rPr>
          <w:rFonts w:hint="eastAsia" w:ascii="宋体" w:hAnsi="宋体" w:cs="宋体"/>
          <w:b/>
          <w:sz w:val="28"/>
          <w:szCs w:val="28"/>
        </w:rPr>
        <w:t xml:space="preserve">1.2</w:t>
      </w:r>
      <w:r>
        <w:rPr>
          <w:rFonts w:hint="eastAsia" w:ascii="楷体_GB2312" w:hAnsi="楷体" w:eastAsia="楷体_GB2312"/>
          <w:b/>
          <w:sz w:val="28"/>
          <w:szCs w:val="28"/>
        </w:rPr>
        <w:t xml:space="preserve">付款方式</w:t>
      </w:r>
      <w:r>
        <w:rPr>
          <w:rFonts w:ascii="楷体_GB2312" w:hAnsi="楷体" w:eastAsia="楷体_GB2312"/>
          <w:b/>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1.2.1付款方式：见供应商须知前附表。</w:t>
      </w:r>
      <w:r>
        <w:rPr>
          <w:rFonts w:ascii="仿宋_GB2312" w:hAnsi="宋体" w:eastAsia="仿宋_GB2312" w:cs="宋体"/>
          <w:sz w:val="28"/>
          <w:szCs w:val="28"/>
        </w:rPr>
      </w:r>
      <w:r/>
    </w:p>
    <w:p>
      <w:pPr>
        <w:pStyle w:val="961"/>
        <w:spacing w:line="560" w:lineRule="exact"/>
        <w:rPr>
          <w:rFonts w:ascii="楷体_GB2312" w:hAnsi="楷体" w:eastAsia="楷体_GB2312"/>
          <w:b/>
          <w:sz w:val="28"/>
          <w:szCs w:val="28"/>
        </w:rPr>
      </w:pPr>
      <w:r>
        <w:rPr>
          <w:rFonts w:hint="eastAsia" w:ascii="宋体" w:hAnsi="宋体" w:cs="宋体"/>
          <w:b/>
          <w:sz w:val="28"/>
          <w:szCs w:val="28"/>
        </w:rPr>
        <w:t xml:space="preserve">1.3</w:t>
      </w:r>
      <w:r>
        <w:rPr>
          <w:rFonts w:hint="eastAsia" w:ascii="楷体_GB2312" w:hAnsi="楷体" w:eastAsia="楷体_GB2312"/>
          <w:b/>
          <w:sz w:val="28"/>
          <w:szCs w:val="28"/>
        </w:rPr>
        <w:t xml:space="preserve">采购范围与合同履行期限</w:t>
      </w:r>
      <w:r>
        <w:rPr>
          <w:rFonts w:ascii="楷体_GB2312" w:hAnsi="楷体" w:eastAsia="楷体_GB2312"/>
          <w:b/>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1.3.1 采购范围：见供应商须知前附表。</w:t>
      </w:r>
      <w:r>
        <w:rPr>
          <w:rFonts w:ascii="仿宋_GB2312" w:hAnsi="宋体" w:eastAsia="仿宋_GB2312" w:cs="宋体"/>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1.3.2 合同履行期限：见供应商须知前附表。</w:t>
      </w:r>
      <w:r>
        <w:rPr>
          <w:rFonts w:ascii="仿宋_GB2312" w:hAnsi="宋体" w:eastAsia="仿宋_GB2312" w:cs="宋体"/>
          <w:sz w:val="28"/>
          <w:szCs w:val="28"/>
        </w:rPr>
      </w:r>
      <w:r/>
    </w:p>
    <w:p>
      <w:pPr>
        <w:pStyle w:val="961"/>
        <w:spacing w:line="560" w:lineRule="exact"/>
        <w:rPr>
          <w:rFonts w:ascii="楷体_GB2312" w:hAnsi="楷体" w:eastAsia="楷体_GB2312"/>
          <w:b/>
          <w:sz w:val="28"/>
          <w:szCs w:val="28"/>
        </w:rPr>
      </w:pPr>
      <w:r>
        <w:rPr>
          <w:rFonts w:hint="eastAsia" w:ascii="宋体" w:hAnsi="宋体" w:cs="宋体"/>
          <w:b/>
          <w:sz w:val="28"/>
          <w:szCs w:val="28"/>
        </w:rPr>
        <w:t xml:space="preserve">1.4</w:t>
      </w:r>
      <w:r>
        <w:rPr>
          <w:rFonts w:hint="eastAsia" w:ascii="楷体_GB2312" w:hAnsi="楷体" w:eastAsia="楷体_GB2312"/>
          <w:b/>
          <w:sz w:val="28"/>
          <w:szCs w:val="28"/>
        </w:rPr>
        <w:t xml:space="preserve">供应商资格要求</w:t>
      </w:r>
      <w:r>
        <w:rPr>
          <w:rFonts w:ascii="楷体_GB2312" w:hAnsi="楷体" w:eastAsia="楷体_GB2312"/>
          <w:b/>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1.4.1 供应商参加政府采购活动应当具备下列条件：</w:t>
      </w:r>
      <w:r>
        <w:rPr>
          <w:rFonts w:ascii="仿宋_GB2312" w:hAnsi="宋体" w:eastAsia="仿宋_GB2312" w:cs="宋体"/>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（1）具有独立承担民事责任的能力；</w:t>
      </w:r>
      <w:r>
        <w:rPr>
          <w:rFonts w:ascii="仿宋_GB2312" w:hAnsi="宋体" w:eastAsia="仿宋_GB2312" w:cs="宋体"/>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（2）具有良好的商业信誉和健全的财务会计制度；</w:t>
      </w:r>
      <w:r>
        <w:rPr>
          <w:rFonts w:ascii="仿宋_GB2312" w:hAnsi="宋体" w:eastAsia="仿宋_GB2312" w:cs="宋体"/>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（3）具有履行合同所必需的设备和专业技术能力；</w:t>
      </w:r>
      <w:r>
        <w:rPr>
          <w:rFonts w:ascii="仿宋_GB2312" w:hAnsi="宋体" w:eastAsia="仿宋_GB2312" w:cs="宋体"/>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（4）有依法缴纳税收和社会保障资金的良好记录；</w:t>
      </w:r>
      <w:r>
        <w:rPr>
          <w:rFonts w:ascii="仿宋_GB2312" w:hAnsi="宋体" w:eastAsia="仿宋_GB2312" w:cs="宋体"/>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（5）参加政府采购活动前三年内，在经营活动中没有重大违法记录；</w:t>
      </w:r>
      <w:r>
        <w:rPr>
          <w:rFonts w:ascii="仿宋_GB2312" w:hAnsi="宋体" w:eastAsia="仿宋_GB2312" w:cs="宋体"/>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（6）法律、行政法规规定的其他条件。</w:t>
      </w:r>
      <w:r>
        <w:rPr>
          <w:rFonts w:ascii="仿宋_GB2312" w:hAnsi="宋体" w:eastAsia="仿宋_GB2312" w:cs="宋体"/>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1.4.2根据采购项目特殊要求，要求供应商具备的特定资格要求：见供应商须知前附表。</w:t>
      </w:r>
      <w:r>
        <w:rPr>
          <w:rFonts w:ascii="仿宋_GB2312" w:hAnsi="宋体" w:eastAsia="仿宋_GB2312" w:cs="宋体"/>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1.4.3供应商不得存在下列情形之一：</w:t>
      </w:r>
      <w:r>
        <w:rPr>
          <w:rFonts w:ascii="仿宋_GB2312" w:hAnsi="宋体" w:eastAsia="仿宋_GB2312" w:cs="宋体"/>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（l）与采购人或采购代理机构存在隶属关系或者其他利害关系；</w:t>
      </w:r>
      <w:r>
        <w:rPr>
          <w:rFonts w:ascii="仿宋_GB2312" w:hAnsi="宋体" w:eastAsia="仿宋_GB2312" w:cs="宋体"/>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（2）为采购项目提供了整体设计、规范编制或者项目管理、监理、检测等服务；</w:t>
      </w:r>
      <w:r>
        <w:rPr>
          <w:rFonts w:ascii="仿宋_GB2312" w:hAnsi="宋体" w:eastAsia="仿宋_GB2312" w:cs="宋体"/>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（3）单位负责人为同一人或者存在直接控股、管理关系的不同供应商，参加同一合同项下的政府采购活动。</w:t>
      </w:r>
      <w:r>
        <w:rPr>
          <w:rFonts w:ascii="仿宋_GB2312" w:hAnsi="宋体" w:eastAsia="仿宋_GB2312" w:cs="宋体"/>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（4）以联合体形式参加政府采购活动的，联合体各方再单独参加或者与其他供应商另外组成联合体参加同一合同项下的政府采购活动。</w:t>
      </w:r>
      <w:r>
        <w:rPr>
          <w:rFonts w:ascii="仿宋_GB2312" w:hAnsi="宋体" w:eastAsia="仿宋_GB2312" w:cs="宋体"/>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（5）法律、行政法规规定的其他条件。</w:t>
      </w:r>
      <w:r>
        <w:rPr>
          <w:rFonts w:ascii="仿宋_GB2312" w:hAnsi="宋体" w:eastAsia="仿宋_GB2312" w:cs="宋体"/>
          <w:sz w:val="28"/>
          <w:szCs w:val="28"/>
        </w:rPr>
      </w:r>
      <w:r/>
    </w:p>
    <w:p>
      <w:pPr>
        <w:pStyle w:val="961"/>
        <w:spacing w:line="560" w:lineRule="exact"/>
        <w:rPr>
          <w:rFonts w:ascii="楷体_GB2312" w:hAnsi="楷体" w:eastAsia="楷体_GB2312"/>
          <w:b/>
          <w:sz w:val="28"/>
          <w:szCs w:val="28"/>
        </w:rPr>
      </w:pPr>
      <w:r>
        <w:rPr>
          <w:rFonts w:hint="eastAsia" w:ascii="宋体" w:hAnsi="宋体" w:cs="宋体"/>
          <w:b/>
          <w:sz w:val="28"/>
          <w:szCs w:val="28"/>
        </w:rPr>
        <w:t xml:space="preserve">1.5</w:t>
      </w:r>
      <w:r>
        <w:rPr>
          <w:rFonts w:hint="eastAsia" w:ascii="楷体_GB2312" w:hAnsi="楷体" w:eastAsia="楷体_GB2312"/>
          <w:b/>
          <w:sz w:val="28"/>
          <w:szCs w:val="28"/>
        </w:rPr>
        <w:t xml:space="preserve">费用承担</w:t>
      </w:r>
      <w:r>
        <w:rPr>
          <w:rFonts w:ascii="楷体_GB2312" w:hAnsi="楷体" w:eastAsia="楷体_GB2312"/>
          <w:b/>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无论采购结果如何，供应商为准备和参加采购活动发生的费用自理。</w:t>
      </w:r>
      <w:r>
        <w:rPr>
          <w:rFonts w:ascii="仿宋_GB2312" w:hAnsi="宋体" w:eastAsia="仿宋_GB2312" w:cs="宋体"/>
          <w:sz w:val="28"/>
          <w:szCs w:val="28"/>
        </w:rPr>
      </w:r>
      <w:r/>
    </w:p>
    <w:p>
      <w:pPr>
        <w:pStyle w:val="961"/>
        <w:spacing w:line="560" w:lineRule="exact"/>
        <w:rPr>
          <w:rFonts w:ascii="楷体_GB2312" w:hAnsi="楷体" w:eastAsia="楷体_GB2312"/>
          <w:b/>
          <w:sz w:val="28"/>
          <w:szCs w:val="28"/>
        </w:rPr>
      </w:pPr>
      <w:r>
        <w:rPr>
          <w:rFonts w:hint="eastAsia" w:ascii="宋体" w:hAnsi="宋体" w:cs="宋体"/>
          <w:b/>
          <w:sz w:val="28"/>
          <w:szCs w:val="28"/>
        </w:rPr>
        <w:t xml:space="preserve">1.6</w:t>
      </w:r>
      <w:r>
        <w:rPr>
          <w:rFonts w:hint="eastAsia" w:ascii="楷体_GB2312" w:hAnsi="楷体" w:eastAsia="楷体_GB2312"/>
          <w:b/>
          <w:sz w:val="28"/>
          <w:szCs w:val="28"/>
        </w:rPr>
        <w:t xml:space="preserve">语言文字</w:t>
      </w:r>
      <w:r>
        <w:rPr>
          <w:rFonts w:ascii="楷体_GB2312" w:hAnsi="楷体" w:eastAsia="楷体_GB2312"/>
          <w:b/>
          <w:sz w:val="28"/>
          <w:szCs w:val="28"/>
        </w:rPr>
      </w:r>
      <w:r/>
    </w:p>
    <w:p>
      <w:pPr>
        <w:pStyle w:val="961"/>
        <w:ind w:firstLine="560"/>
        <w:spacing w:line="560" w:lineRule="exact"/>
        <w:rPr>
          <w:rFonts w:ascii="宋体" w:hAnsi="宋体"/>
          <w:sz w:val="28"/>
          <w:szCs w:val="28"/>
        </w:rPr>
      </w:pPr>
      <w:r>
        <w:rPr>
          <w:rFonts w:hint="eastAsia" w:ascii="仿宋_GB2312" w:hAnsi="宋体" w:eastAsia="仿宋_GB2312" w:cs="宋体"/>
          <w:sz w:val="28"/>
          <w:szCs w:val="28"/>
        </w:rPr>
        <w:t xml:space="preserve">响应文件使用的语言文字为中文。专用术语使用外文的，应附有中文注释</w:t>
      </w:r>
      <w:r>
        <w:rPr>
          <w:rFonts w:hint="eastAsia" w:ascii="宋体" w:hAnsi="宋体" w:cs="宋体"/>
          <w:sz w:val="28"/>
          <w:szCs w:val="28"/>
        </w:rPr>
        <w:t xml:space="preserve">。</w:t>
      </w:r>
      <w:r>
        <w:rPr>
          <w:rFonts w:ascii="宋体" w:hAnsi="宋体"/>
          <w:sz w:val="28"/>
          <w:szCs w:val="28"/>
        </w:rPr>
      </w:r>
      <w:r/>
    </w:p>
    <w:p>
      <w:pPr>
        <w:pStyle w:val="961"/>
        <w:spacing w:line="560" w:lineRule="exact"/>
        <w:rPr>
          <w:rFonts w:ascii="楷体_GB2312" w:hAnsi="楷体" w:eastAsia="楷体_GB2312"/>
          <w:b/>
          <w:sz w:val="28"/>
          <w:szCs w:val="28"/>
        </w:rPr>
      </w:pPr>
      <w:r>
        <w:rPr>
          <w:rFonts w:hint="eastAsia" w:ascii="宋体" w:hAnsi="宋体" w:cs="宋体"/>
          <w:b/>
          <w:sz w:val="28"/>
          <w:szCs w:val="28"/>
        </w:rPr>
        <w:t xml:space="preserve">1.7</w:t>
      </w:r>
      <w:r>
        <w:rPr>
          <w:rFonts w:hint="eastAsia" w:ascii="楷体_GB2312" w:hAnsi="楷体" w:eastAsia="楷体_GB2312"/>
          <w:b/>
          <w:sz w:val="28"/>
          <w:szCs w:val="28"/>
        </w:rPr>
        <w:t xml:space="preserve">计量单位</w:t>
      </w:r>
      <w:r>
        <w:rPr>
          <w:rFonts w:ascii="楷体_GB2312" w:hAnsi="楷体" w:eastAsia="楷体_GB2312"/>
          <w:b/>
          <w:sz w:val="28"/>
          <w:szCs w:val="28"/>
        </w:rPr>
      </w:r>
      <w:r/>
    </w:p>
    <w:p>
      <w:pPr>
        <w:pStyle w:val="961"/>
        <w:ind w:firstLine="560"/>
        <w:spacing w:line="560" w:lineRule="exact"/>
        <w:rPr>
          <w:rFonts w:ascii="宋体" w:hAnsi="宋体"/>
          <w:sz w:val="28"/>
          <w:szCs w:val="28"/>
        </w:rPr>
      </w:pPr>
      <w:r>
        <w:rPr>
          <w:rFonts w:hint="eastAsia" w:ascii="仿宋_GB2312" w:hAnsi="宋体" w:eastAsia="仿宋_GB2312" w:cs="宋体"/>
          <w:sz w:val="28"/>
          <w:szCs w:val="28"/>
        </w:rPr>
        <w:t xml:space="preserve">所有计量均采用中华人民共和国法定计量单位。</w:t>
      </w:r>
      <w:r>
        <w:rPr>
          <w:rFonts w:ascii="宋体" w:hAnsi="宋体"/>
          <w:sz w:val="28"/>
          <w:szCs w:val="28"/>
        </w:rPr>
      </w:r>
      <w:r/>
    </w:p>
    <w:p>
      <w:pPr>
        <w:pStyle w:val="961"/>
        <w:spacing w:line="560" w:lineRule="exact"/>
        <w:rPr>
          <w:rFonts w:ascii="黑体" w:hAnsi="黑体" w:eastAsia="黑体"/>
          <w:b/>
          <w:sz w:val="32"/>
          <w:szCs w:val="32"/>
        </w:rPr>
      </w:pPr>
      <w:r>
        <w:rPr>
          <w:rFonts w:ascii="黑体" w:hAnsi="黑体" w:eastAsia="黑体"/>
          <w:b/>
          <w:sz w:val="32"/>
          <w:szCs w:val="32"/>
        </w:rPr>
        <w:t xml:space="preserve">2. </w:t>
      </w:r>
      <w:r>
        <w:rPr>
          <w:rFonts w:hint="eastAsia" w:ascii="黑体" w:hAnsi="黑体" w:eastAsia="黑体" w:cs="宋体"/>
          <w:b/>
          <w:sz w:val="32"/>
          <w:szCs w:val="32"/>
        </w:rPr>
        <w:t xml:space="preserve">竞争性磋商文件</w:t>
      </w:r>
      <w:r>
        <w:rPr>
          <w:rFonts w:ascii="黑体" w:hAnsi="黑体" w:eastAsia="黑体"/>
          <w:b/>
          <w:sz w:val="32"/>
          <w:szCs w:val="32"/>
        </w:rPr>
      </w:r>
      <w:r/>
    </w:p>
    <w:p>
      <w:pPr>
        <w:pStyle w:val="961"/>
        <w:spacing w:line="560" w:lineRule="exact"/>
        <w:rPr>
          <w:rFonts w:ascii="宋体" w:hAnsi="宋体"/>
          <w:b/>
          <w:sz w:val="28"/>
          <w:szCs w:val="28"/>
        </w:rPr>
      </w:pPr>
      <w:r>
        <w:rPr>
          <w:rFonts w:hint="eastAsia" w:ascii="楷体" w:hAnsi="楷体" w:eastAsia="楷体" w:cs="宋体"/>
          <w:b/>
          <w:sz w:val="28"/>
          <w:szCs w:val="28"/>
        </w:rPr>
        <w:t xml:space="preserve">2.1竞争性</w:t>
      </w:r>
      <w:r>
        <w:rPr>
          <w:rFonts w:hint="eastAsia" w:ascii="楷体_GB2312" w:hAnsi="楷体" w:eastAsia="楷体_GB2312"/>
          <w:b/>
          <w:sz w:val="28"/>
          <w:szCs w:val="28"/>
        </w:rPr>
        <w:t xml:space="preserve">磋商文件的组成</w:t>
      </w:r>
      <w:r>
        <w:rPr>
          <w:rFonts w:ascii="宋体" w:hAnsi="宋体"/>
          <w:b/>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2.1.1 本竞争性磋商文件包括：</w:t>
      </w:r>
      <w:r>
        <w:rPr>
          <w:rFonts w:ascii="仿宋_GB2312" w:hAnsi="宋体" w:eastAsia="仿宋_GB2312" w:cs="宋体"/>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（1）竞争性磋商公告；</w:t>
      </w:r>
      <w:r>
        <w:rPr>
          <w:rFonts w:ascii="仿宋_GB2312" w:hAnsi="宋体" w:eastAsia="仿宋_GB2312" w:cs="宋体"/>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（2）供应商须知；</w:t>
      </w:r>
      <w:r>
        <w:rPr>
          <w:rFonts w:ascii="仿宋_GB2312" w:hAnsi="宋体" w:eastAsia="仿宋_GB2312" w:cs="宋体"/>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（3）竞争性磋商；</w:t>
      </w:r>
      <w:r>
        <w:rPr>
          <w:rFonts w:ascii="仿宋_GB2312" w:hAnsi="宋体" w:eastAsia="仿宋_GB2312" w:cs="宋体"/>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（4）合同条款及格式（仅供参考）；</w:t>
      </w:r>
      <w:r>
        <w:rPr>
          <w:rFonts w:ascii="仿宋_GB2312" w:hAnsi="宋体" w:eastAsia="仿宋_GB2312" w:cs="宋体"/>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（5）采购需求； </w:t>
      </w:r>
      <w:r>
        <w:rPr>
          <w:rFonts w:ascii="仿宋_GB2312" w:hAnsi="宋体" w:eastAsia="仿宋_GB2312" w:cs="宋体"/>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（6）响应文件的编制要求及参考格式；</w:t>
      </w:r>
      <w:r>
        <w:rPr>
          <w:rFonts w:ascii="仿宋_GB2312" w:hAnsi="宋体" w:eastAsia="仿宋_GB2312" w:cs="宋体"/>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（7）供应商须知前附表规定的构成竞争性磋商文件的其他材料。</w:t>
      </w:r>
      <w:r>
        <w:rPr>
          <w:rFonts w:ascii="仿宋_GB2312" w:hAnsi="宋体" w:eastAsia="仿宋_GB2312" w:cs="宋体"/>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2.1.2根据本章第2.2款和第2.3款对竞争性磋商文件所作的澄清、修改，构成竞争性磋商文件的组成部分。</w:t>
      </w:r>
      <w:r>
        <w:rPr>
          <w:rFonts w:ascii="仿宋_GB2312" w:hAnsi="宋体" w:eastAsia="仿宋_GB2312" w:cs="宋体"/>
          <w:sz w:val="28"/>
          <w:szCs w:val="28"/>
        </w:rPr>
      </w:r>
      <w:r/>
    </w:p>
    <w:p>
      <w:pPr>
        <w:pStyle w:val="961"/>
        <w:spacing w:line="560" w:lineRule="exact"/>
        <w:rPr>
          <w:rFonts w:ascii="楷体_GB2312" w:hAnsi="楷体" w:eastAsia="楷体_GB2312"/>
          <w:b/>
          <w:sz w:val="28"/>
          <w:szCs w:val="28"/>
        </w:rPr>
      </w:pPr>
      <w:r>
        <w:rPr>
          <w:rFonts w:hint="eastAsia" w:ascii="楷体" w:hAnsi="楷体" w:eastAsia="楷体" w:cs="宋体"/>
          <w:b/>
          <w:sz w:val="28"/>
          <w:szCs w:val="28"/>
        </w:rPr>
        <w:t xml:space="preserve">2.2竞争性</w:t>
      </w:r>
      <w:r>
        <w:rPr>
          <w:rFonts w:hint="eastAsia" w:ascii="楷体_GB2312" w:hAnsi="楷体" w:eastAsia="楷体_GB2312"/>
          <w:b/>
          <w:sz w:val="28"/>
          <w:szCs w:val="28"/>
        </w:rPr>
        <w:t xml:space="preserve">磋商文件的</w:t>
      </w:r>
      <w:r>
        <w:rPr>
          <w:rFonts w:hint="eastAsia" w:ascii="楷体" w:hAnsi="楷体" w:eastAsia="楷体" w:cs="宋体"/>
          <w:b/>
          <w:sz w:val="28"/>
          <w:szCs w:val="28"/>
        </w:rPr>
        <w:t xml:space="preserve">澄</w:t>
      </w:r>
      <w:r>
        <w:rPr>
          <w:rFonts w:hint="eastAsia" w:ascii="楷体_GB2312" w:hAnsi="楷体" w:eastAsia="楷体_GB2312"/>
          <w:b/>
          <w:sz w:val="28"/>
          <w:szCs w:val="28"/>
        </w:rPr>
        <w:t xml:space="preserve">清 </w:t>
      </w:r>
      <w:r>
        <w:rPr>
          <w:rFonts w:ascii="楷体_GB2312" w:hAnsi="楷体" w:eastAsia="楷体_GB2312"/>
          <w:b/>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供应商应仔细阅读和检查竞争性磋商文件的全部内容。如发现缺页或附件不全，应及时向采购人或采购代理机构提出，以便补齐。如有疑问，应在供应商须知前附表规定的时间前，要求采购人或采购代理机构对竞争性磋商文件予以澄清。</w:t>
      </w:r>
      <w:r>
        <w:rPr>
          <w:rFonts w:ascii="仿宋_GB2312" w:hAnsi="宋体" w:eastAsia="仿宋_GB2312" w:cs="宋体"/>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竞争性磋商文件的澄清将在提交首次响应文件截止时间5日前在原公告信息发布媒体公开发布,但不指明问题的来源。如果澄清发布的时间距提交首次响应文件截止时间不足5日，并且澄清内容影响响应文件编制的，将相应延长提交首次响应文件截止时间。</w:t>
      </w:r>
      <w:r>
        <w:rPr>
          <w:rFonts w:ascii="仿宋_GB2312" w:hAnsi="宋体" w:eastAsia="仿宋_GB2312" w:cs="宋体"/>
          <w:sz w:val="28"/>
          <w:szCs w:val="28"/>
        </w:rPr>
      </w:r>
      <w:r/>
    </w:p>
    <w:p>
      <w:pPr>
        <w:pStyle w:val="961"/>
        <w:spacing w:line="560" w:lineRule="exact"/>
        <w:rPr>
          <w:rFonts w:ascii="楷体_GB2312" w:hAnsi="楷体" w:eastAsia="楷体_GB2312"/>
          <w:b/>
          <w:sz w:val="28"/>
          <w:szCs w:val="28"/>
        </w:rPr>
      </w:pPr>
      <w:r>
        <w:rPr>
          <w:rFonts w:hint="eastAsia" w:ascii="楷体" w:hAnsi="楷体" w:eastAsia="楷体" w:cs="宋体"/>
          <w:b/>
          <w:sz w:val="28"/>
          <w:szCs w:val="28"/>
        </w:rPr>
        <w:t xml:space="preserve">2.3</w:t>
      </w:r>
      <w:r>
        <w:rPr>
          <w:rFonts w:hint="eastAsia" w:ascii="楷体" w:hAnsi="楷体" w:eastAsia="楷体"/>
          <w:b/>
          <w:sz w:val="28"/>
          <w:szCs w:val="28"/>
        </w:rPr>
        <w:t xml:space="preserve">竞争</w:t>
      </w:r>
      <w:r>
        <w:rPr>
          <w:rFonts w:hint="eastAsia" w:ascii="楷体" w:hAnsi="楷体" w:eastAsia="楷体" w:cs="宋体"/>
          <w:b/>
          <w:sz w:val="28"/>
          <w:szCs w:val="28"/>
        </w:rPr>
        <w:t xml:space="preserve">性</w:t>
      </w:r>
      <w:r>
        <w:rPr>
          <w:rFonts w:hint="eastAsia" w:ascii="楷体_GB2312" w:hAnsi="楷体" w:eastAsia="楷体_GB2312"/>
          <w:b/>
          <w:sz w:val="28"/>
          <w:szCs w:val="28"/>
        </w:rPr>
        <w:t xml:space="preserve">磋商文件的修改</w:t>
      </w:r>
      <w:r>
        <w:rPr>
          <w:rFonts w:ascii="楷体_GB2312" w:hAnsi="楷体" w:eastAsia="楷体_GB2312"/>
          <w:b/>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采购人可以对已发出的竞争性磋商文件进行必要的修改，修改后的内容是竞争性磋商文件的组成部分，并将在原公告信息发布媒体公开发布。如果修改竞争性磋商文件的时间距提交首次响应文件截止时间不足5日，并且修改内容影响响应文件编制的，将相应延长提交首次响应文件截止时间。</w:t>
      </w:r>
      <w:r>
        <w:rPr>
          <w:rFonts w:ascii="仿宋_GB2312" w:hAnsi="宋体" w:eastAsia="仿宋_GB2312" w:cs="宋体"/>
          <w:sz w:val="28"/>
          <w:szCs w:val="28"/>
        </w:rPr>
      </w:r>
      <w:r/>
    </w:p>
    <w:p>
      <w:pPr>
        <w:pStyle w:val="961"/>
        <w:spacing w:line="560" w:lineRule="exact"/>
        <w:rPr>
          <w:rFonts w:ascii="楷体_GB2312" w:hAnsi="楷体" w:eastAsia="楷体_GB2312"/>
          <w:b/>
          <w:sz w:val="28"/>
          <w:szCs w:val="28"/>
        </w:rPr>
      </w:pPr>
      <w:r>
        <w:rPr>
          <w:rFonts w:hint="eastAsia" w:ascii="楷体" w:hAnsi="楷体" w:eastAsia="楷体" w:cs="宋体"/>
          <w:b/>
          <w:sz w:val="28"/>
          <w:szCs w:val="28"/>
        </w:rPr>
        <w:t xml:space="preserve">2.4竞争性</w:t>
      </w:r>
      <w:r>
        <w:rPr>
          <w:rFonts w:hint="eastAsia" w:ascii="楷体_GB2312" w:hAnsi="楷体" w:eastAsia="楷体_GB2312"/>
          <w:b/>
          <w:sz w:val="28"/>
          <w:szCs w:val="28"/>
        </w:rPr>
        <w:t xml:space="preserve">磋商文件的重新发布</w:t>
      </w:r>
      <w:r>
        <w:rPr>
          <w:rFonts w:ascii="楷体_GB2312" w:hAnsi="楷体" w:eastAsia="楷体_GB2312"/>
          <w:b/>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竞争性磋商文件的澄清或修改涉及到申请人的资格条件、采购标的等实质性内容时，将重新发布竞争性磋商公告。</w:t>
      </w:r>
      <w:r>
        <w:rPr>
          <w:rFonts w:ascii="仿宋_GB2312" w:hAnsi="宋体" w:eastAsia="仿宋_GB2312" w:cs="宋体"/>
          <w:sz w:val="28"/>
          <w:szCs w:val="28"/>
        </w:rPr>
      </w:r>
      <w:r/>
    </w:p>
    <w:p>
      <w:pPr>
        <w:pStyle w:val="961"/>
        <w:spacing w:line="560" w:lineRule="exact"/>
        <w:rPr>
          <w:rFonts w:ascii="黑体" w:hAnsi="黑体" w:eastAsia="黑体"/>
          <w:b/>
          <w:sz w:val="28"/>
          <w:szCs w:val="28"/>
        </w:rPr>
      </w:pPr>
      <w:r>
        <w:rPr>
          <w:rFonts w:ascii="黑体" w:hAnsi="黑体" w:eastAsia="黑体"/>
          <w:b/>
          <w:sz w:val="28"/>
          <w:szCs w:val="28"/>
        </w:rPr>
        <w:t xml:space="preserve">3. </w:t>
      </w:r>
      <w:r>
        <w:rPr>
          <w:rFonts w:hint="eastAsia" w:ascii="黑体" w:hAnsi="黑体" w:eastAsia="黑体"/>
          <w:b/>
          <w:sz w:val="28"/>
          <w:szCs w:val="28"/>
        </w:rPr>
        <w:t xml:space="preserve">响应文件</w:t>
      </w:r>
      <w:r>
        <w:rPr>
          <w:rFonts w:ascii="黑体" w:hAnsi="黑体" w:eastAsia="黑体"/>
          <w:b/>
          <w:sz w:val="28"/>
          <w:szCs w:val="28"/>
        </w:rPr>
      </w:r>
      <w:r/>
    </w:p>
    <w:p>
      <w:pPr>
        <w:pStyle w:val="961"/>
        <w:spacing w:line="560" w:lineRule="exact"/>
        <w:rPr>
          <w:rFonts w:ascii="楷体_GB2312" w:hAnsi="楷体" w:eastAsia="楷体_GB2312"/>
          <w:b/>
          <w:sz w:val="28"/>
          <w:szCs w:val="28"/>
        </w:rPr>
      </w:pPr>
      <w:r>
        <w:rPr>
          <w:rFonts w:hint="eastAsia" w:ascii="宋体" w:hAnsi="宋体" w:cs="宋体"/>
          <w:b/>
          <w:sz w:val="28"/>
          <w:szCs w:val="28"/>
        </w:rPr>
        <w:t xml:space="preserve">3.1</w:t>
      </w:r>
      <w:r>
        <w:rPr>
          <w:rFonts w:hint="eastAsia" w:ascii="楷体_GB2312" w:hAnsi="楷体" w:eastAsia="楷体_GB2312"/>
          <w:b/>
          <w:sz w:val="28"/>
          <w:szCs w:val="28"/>
        </w:rPr>
        <w:t xml:space="preserve">响应文件的组成</w:t>
      </w:r>
      <w:r>
        <w:rPr>
          <w:rFonts w:ascii="楷体_GB2312" w:hAnsi="楷体" w:eastAsia="楷体_GB2312"/>
          <w:b/>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响应文件的组成：见供应商须知前附表。</w:t>
      </w:r>
      <w:r>
        <w:rPr>
          <w:rFonts w:ascii="仿宋_GB2312" w:hAnsi="宋体" w:eastAsia="仿宋_GB2312" w:cs="宋体"/>
          <w:sz w:val="28"/>
          <w:szCs w:val="28"/>
        </w:rPr>
      </w:r>
      <w:r/>
    </w:p>
    <w:p>
      <w:pPr>
        <w:pStyle w:val="961"/>
        <w:spacing w:line="560" w:lineRule="exact"/>
        <w:rPr>
          <w:rFonts w:ascii="楷体_GB2312" w:hAnsi="楷体" w:eastAsia="楷体_GB2312"/>
          <w:b/>
          <w:sz w:val="28"/>
          <w:szCs w:val="28"/>
        </w:rPr>
      </w:pPr>
      <w:r>
        <w:rPr>
          <w:rFonts w:hint="eastAsia" w:ascii="宋体" w:hAnsi="宋体" w:cs="宋体"/>
          <w:b/>
          <w:sz w:val="28"/>
          <w:szCs w:val="28"/>
        </w:rPr>
        <w:t xml:space="preserve">3.2</w:t>
      </w:r>
      <w:r>
        <w:rPr>
          <w:rFonts w:hint="eastAsia" w:ascii="楷体_GB2312" w:hAnsi="楷体" w:eastAsia="楷体_GB2312"/>
          <w:b/>
          <w:sz w:val="28"/>
          <w:szCs w:val="28"/>
        </w:rPr>
        <w:t xml:space="preserve">报价</w:t>
      </w:r>
      <w:r>
        <w:rPr>
          <w:rFonts w:ascii="楷体_GB2312" w:hAnsi="楷体" w:eastAsia="楷体_GB2312"/>
          <w:b/>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3.2.1供应商应按竞争性磋商小组经过谈判后提供的竞争性磋商文件中规定的供货及服务要求、责任范围和合同条件，以人民币进行报价。</w:t>
      </w:r>
      <w:r>
        <w:rPr>
          <w:rFonts w:ascii="仿宋_GB2312" w:hAnsi="宋体" w:eastAsia="仿宋_GB2312" w:cs="宋体"/>
          <w:sz w:val="28"/>
          <w:szCs w:val="28"/>
        </w:rPr>
      </w:r>
      <w:r/>
    </w:p>
    <w:p>
      <w:pPr>
        <w:pStyle w:val="961"/>
        <w:ind w:firstLine="560"/>
        <w:spacing w:line="560" w:lineRule="exact"/>
        <w:rPr>
          <w:rFonts w:hint="eastAsia" w:ascii="仿宋_GB2312" w:hAnsi="宋体" w:eastAsia="仿宋_GB2312" w:cs="宋体"/>
          <w:sz w:val="28"/>
          <w:szCs w:val="28"/>
        </w:rPr>
      </w:pPr>
      <w:r>
        <w:rPr>
          <w:rFonts w:hint="eastAsia" w:ascii="仿宋_GB2312" w:hAnsi="宋体" w:eastAsia="仿宋_GB2312" w:cs="宋体"/>
          <w:sz w:val="28"/>
          <w:szCs w:val="28"/>
        </w:rPr>
        <w:t xml:space="preserve">3.2.2供应商须按竞争性磋商小组的要求在规定的时间内提交最后报价。</w:t>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3.2.3报价的其他要求：见供应商须知前附表。</w:t>
      </w:r>
      <w:r>
        <w:rPr>
          <w:rFonts w:ascii="仿宋_GB2312" w:hAnsi="宋体" w:eastAsia="仿宋_GB2312" w:cs="宋体"/>
          <w:sz w:val="28"/>
          <w:szCs w:val="28"/>
        </w:rPr>
      </w:r>
      <w:r/>
    </w:p>
    <w:p>
      <w:pPr>
        <w:pStyle w:val="961"/>
        <w:spacing w:line="560" w:lineRule="exact"/>
        <w:rPr>
          <w:rFonts w:ascii="楷体_GB2312" w:hAnsi="楷体" w:eastAsia="楷体_GB2312"/>
          <w:b/>
          <w:sz w:val="28"/>
          <w:szCs w:val="28"/>
        </w:rPr>
      </w:pPr>
      <w:r>
        <w:rPr>
          <w:rFonts w:hint="eastAsia" w:ascii="宋体" w:hAnsi="宋体" w:cs="宋体"/>
          <w:b/>
          <w:sz w:val="28"/>
          <w:szCs w:val="28"/>
        </w:rPr>
        <w:t xml:space="preserve">3.3</w:t>
      </w:r>
      <w:r>
        <w:rPr>
          <w:rFonts w:hint="eastAsia" w:ascii="楷体_GB2312" w:hAnsi="楷体" w:eastAsia="楷体_GB2312"/>
          <w:b/>
          <w:sz w:val="28"/>
          <w:szCs w:val="28"/>
        </w:rPr>
        <w:t xml:space="preserve">响应文件的编制</w:t>
      </w:r>
      <w:r>
        <w:rPr>
          <w:rFonts w:ascii="楷体_GB2312" w:hAnsi="楷体" w:eastAsia="楷体_GB2312"/>
          <w:b/>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3.3.1供应商可以按照第六章“响应文件的编制要求及参考格式”要求编制响应文件。需另行增加的相关内容和材料应编入响应文件相应章节，作为响应文件的组成部分。</w:t>
      </w:r>
      <w:r>
        <w:rPr>
          <w:rFonts w:ascii="仿宋_GB2312" w:hAnsi="宋体" w:eastAsia="仿宋_GB2312" w:cs="宋体"/>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3.3.2供应商应对竞争性磋商文件中的资格要求、合同履行期限、 技术、服务标准和要求等内容作出响应，并根据评审因素提供相应的证明材料。</w:t>
      </w:r>
      <w:r>
        <w:rPr>
          <w:rFonts w:ascii="仿宋_GB2312" w:hAnsi="宋体" w:eastAsia="仿宋_GB2312" w:cs="宋体"/>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3.3.3响应文件的数量：见供应商须知前附表。</w:t>
      </w:r>
      <w:r>
        <w:rPr>
          <w:rFonts w:ascii="仿宋_GB2312" w:hAnsi="宋体" w:eastAsia="仿宋_GB2312" w:cs="宋体"/>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3.3.4响应文件的签署：见供应商须知前附表。</w:t>
      </w:r>
      <w:r>
        <w:rPr>
          <w:rFonts w:ascii="仿宋_GB2312" w:hAnsi="宋体" w:eastAsia="仿宋_GB2312" w:cs="宋体"/>
          <w:sz w:val="28"/>
          <w:szCs w:val="28"/>
        </w:rPr>
      </w:r>
      <w:r/>
    </w:p>
    <w:p>
      <w:pPr>
        <w:pStyle w:val="961"/>
        <w:spacing w:line="560" w:lineRule="exact"/>
        <w:rPr>
          <w:rFonts w:ascii="楷体_GB2312" w:hAnsi="楷体" w:eastAsia="楷体_GB2312"/>
          <w:b/>
          <w:sz w:val="28"/>
          <w:szCs w:val="28"/>
        </w:rPr>
      </w:pPr>
      <w:r>
        <w:rPr>
          <w:rFonts w:hint="eastAsia" w:ascii="宋体" w:hAnsi="宋体" w:cs="宋体"/>
          <w:b/>
          <w:sz w:val="28"/>
          <w:szCs w:val="28"/>
        </w:rPr>
        <w:t xml:space="preserve">3.4</w:t>
      </w:r>
      <w:r>
        <w:rPr>
          <w:rFonts w:hint="eastAsia" w:ascii="楷体_GB2312" w:hAnsi="楷体" w:eastAsia="楷体_GB2312"/>
          <w:b/>
          <w:sz w:val="28"/>
          <w:szCs w:val="28"/>
        </w:rPr>
        <w:t xml:space="preserve">响应文件的递交</w:t>
      </w:r>
      <w:r>
        <w:rPr>
          <w:rFonts w:ascii="楷体_GB2312" w:hAnsi="楷体" w:eastAsia="楷体_GB2312"/>
          <w:b/>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供应商应充分考虑网络及系统平台可能存在的非正常情况等各种风险因素，在规定的提交首次响应文件截止时间前，通过江苏省政府采购管理交易系统（苏采云），完成响应文件的上传。</w:t>
      </w:r>
      <w:r>
        <w:rPr>
          <w:rFonts w:ascii="仿宋_GB2312" w:hAnsi="宋体" w:eastAsia="仿宋_GB2312" w:cs="宋体"/>
          <w:sz w:val="28"/>
          <w:szCs w:val="28"/>
        </w:rPr>
      </w:r>
      <w:r/>
    </w:p>
    <w:p>
      <w:pPr>
        <w:pStyle w:val="961"/>
        <w:spacing w:line="560" w:lineRule="exact"/>
        <w:rPr>
          <w:rFonts w:ascii="楷体_GB2312" w:hAnsi="楷体" w:eastAsia="楷体_GB2312"/>
          <w:b/>
          <w:sz w:val="28"/>
          <w:szCs w:val="28"/>
        </w:rPr>
      </w:pPr>
      <w:r>
        <w:rPr>
          <w:rFonts w:hint="eastAsia" w:ascii="宋体" w:hAnsi="宋体" w:cs="宋体"/>
          <w:b/>
          <w:sz w:val="28"/>
          <w:szCs w:val="28"/>
        </w:rPr>
        <w:t xml:space="preserve">3.5</w:t>
      </w:r>
      <w:r>
        <w:rPr>
          <w:rFonts w:hint="eastAsia" w:ascii="楷体_GB2312" w:hAnsi="楷体" w:eastAsia="楷体_GB2312"/>
          <w:b/>
          <w:sz w:val="28"/>
          <w:szCs w:val="28"/>
        </w:rPr>
        <w:t xml:space="preserve">响应文件的修改与撤回</w:t>
      </w:r>
      <w:r>
        <w:rPr>
          <w:rFonts w:ascii="楷体_GB2312" w:hAnsi="楷体" w:eastAsia="楷体_GB2312"/>
          <w:b/>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在提交首次响应文件截止时间前，供应商可以修改或撤回已递交的响应文件。修改的响应文件应按照本竞争性磋商文件规定进行编制和重新提交。</w:t>
      </w:r>
      <w:r>
        <w:rPr>
          <w:rFonts w:ascii="仿宋_GB2312" w:hAnsi="宋体" w:eastAsia="仿宋_GB2312" w:cs="宋体"/>
          <w:sz w:val="28"/>
          <w:szCs w:val="28"/>
        </w:rPr>
      </w:r>
      <w:r/>
    </w:p>
    <w:p>
      <w:pPr>
        <w:pStyle w:val="961"/>
        <w:spacing w:line="560" w:lineRule="exact"/>
        <w:rPr>
          <w:rFonts w:ascii="楷体_GB2312" w:hAnsi="楷体" w:eastAsia="楷体_GB2312"/>
          <w:b/>
          <w:sz w:val="28"/>
          <w:szCs w:val="28"/>
        </w:rPr>
      </w:pPr>
      <w:r>
        <w:rPr>
          <w:rFonts w:hint="eastAsia" w:ascii="宋体" w:hAnsi="宋体" w:cs="宋体"/>
          <w:b/>
          <w:sz w:val="28"/>
          <w:szCs w:val="28"/>
        </w:rPr>
        <w:t xml:space="preserve">3.6</w:t>
      </w:r>
      <w:r>
        <w:rPr>
          <w:rFonts w:hint="eastAsia" w:ascii="楷体_GB2312" w:hAnsi="楷体" w:eastAsia="楷体_GB2312"/>
          <w:b/>
          <w:sz w:val="28"/>
          <w:szCs w:val="28"/>
        </w:rPr>
        <w:t xml:space="preserve">响应文件的确认</w:t>
      </w:r>
      <w:r>
        <w:rPr>
          <w:rFonts w:ascii="楷体_GB2312" w:hAnsi="楷体" w:eastAsia="楷体_GB2312"/>
          <w:b/>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供应商可以通过江苏省政府采购管理交易系统（苏采云）多次上传响应文件，以规定的提交首次响应文件截止时间前，江苏省政府采购管理交易系统（苏采云）接受到的最后一份响应文件为准。</w:t>
      </w:r>
      <w:r>
        <w:rPr>
          <w:rFonts w:ascii="仿宋_GB2312" w:hAnsi="宋体" w:eastAsia="仿宋_GB2312" w:cs="宋体"/>
          <w:sz w:val="28"/>
          <w:szCs w:val="28"/>
        </w:rPr>
      </w:r>
      <w:r/>
    </w:p>
    <w:p>
      <w:pPr>
        <w:pStyle w:val="961"/>
        <w:spacing w:line="560" w:lineRule="exact"/>
        <w:rPr>
          <w:rFonts w:ascii="楷体_GB2312" w:hAnsi="楷体" w:eastAsia="楷体_GB2312"/>
          <w:b/>
          <w:sz w:val="28"/>
          <w:szCs w:val="28"/>
        </w:rPr>
      </w:pPr>
      <w:r>
        <w:rPr>
          <w:rFonts w:hint="eastAsia" w:ascii="宋体" w:hAnsi="宋体" w:cs="宋体"/>
          <w:b/>
          <w:sz w:val="28"/>
          <w:szCs w:val="28"/>
        </w:rPr>
        <w:t xml:space="preserve">3.7</w:t>
      </w:r>
      <w:r>
        <w:rPr>
          <w:rFonts w:hint="eastAsia" w:ascii="楷体_GB2312" w:hAnsi="楷体" w:eastAsia="楷体_GB2312"/>
          <w:b/>
          <w:sz w:val="28"/>
          <w:szCs w:val="28"/>
        </w:rPr>
        <w:t xml:space="preserve">响应文件的拒收</w:t>
      </w:r>
      <w:r>
        <w:rPr>
          <w:rFonts w:ascii="楷体_GB2312" w:hAnsi="楷体" w:eastAsia="楷体_GB2312"/>
          <w:b/>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在规定的提交首次响应文件截止时间后，江苏省政府采购管理交易系统（苏采云）将不再接受响应文件的上传。</w:t>
      </w:r>
      <w:r>
        <w:rPr>
          <w:rFonts w:ascii="仿宋_GB2312" w:hAnsi="宋体" w:eastAsia="仿宋_GB2312" w:cs="宋体"/>
          <w:sz w:val="28"/>
          <w:szCs w:val="28"/>
        </w:rPr>
      </w:r>
      <w:r/>
    </w:p>
    <w:p>
      <w:pPr>
        <w:pStyle w:val="961"/>
        <w:spacing w:line="560" w:lineRule="exact"/>
        <w:rPr>
          <w:rFonts w:ascii="黑体" w:hAnsi="黑体" w:eastAsia="黑体"/>
          <w:b/>
          <w:sz w:val="32"/>
          <w:szCs w:val="32"/>
        </w:rPr>
      </w:pPr>
      <w:r>
        <w:rPr>
          <w:rFonts w:hint="eastAsia" w:ascii="黑体" w:hAnsi="黑体" w:eastAsia="黑体"/>
          <w:b/>
          <w:sz w:val="32"/>
          <w:szCs w:val="32"/>
        </w:rPr>
        <w:t xml:space="preserve">4</w:t>
      </w:r>
      <w:r>
        <w:rPr>
          <w:rFonts w:ascii="黑体" w:hAnsi="黑体" w:eastAsia="黑体"/>
          <w:b/>
          <w:sz w:val="32"/>
          <w:szCs w:val="32"/>
        </w:rPr>
        <w:t xml:space="preserve">.</w:t>
      </w:r>
      <w:r>
        <w:rPr>
          <w:rFonts w:hint="eastAsia" w:ascii="黑体" w:hAnsi="黑体" w:eastAsia="黑体"/>
          <w:b/>
          <w:sz w:val="32"/>
          <w:szCs w:val="32"/>
        </w:rPr>
        <w:t xml:space="preserve">响应文件的开启</w:t>
      </w:r>
      <w:r>
        <w:rPr>
          <w:rFonts w:ascii="黑体" w:hAnsi="黑体" w:eastAsia="黑体"/>
          <w:b/>
          <w:sz w:val="32"/>
          <w:szCs w:val="32"/>
        </w:rPr>
      </w:r>
      <w:r/>
    </w:p>
    <w:p>
      <w:pPr>
        <w:pStyle w:val="961"/>
        <w:spacing w:line="560" w:lineRule="exact"/>
        <w:rPr>
          <w:rFonts w:ascii="楷体_GB2312" w:hAnsi="楷体" w:eastAsia="楷体_GB2312"/>
          <w:b/>
          <w:sz w:val="28"/>
          <w:szCs w:val="28"/>
        </w:rPr>
      </w:pPr>
      <w:r>
        <w:rPr>
          <w:rFonts w:hint="eastAsia" w:ascii="宋体" w:hAnsi="宋体" w:cs="宋体"/>
          <w:b/>
          <w:sz w:val="28"/>
          <w:szCs w:val="28"/>
        </w:rPr>
        <w:t xml:space="preserve">4.1</w:t>
      </w:r>
      <w:r>
        <w:rPr>
          <w:rFonts w:hint="eastAsia" w:ascii="楷体_GB2312" w:hAnsi="楷体" w:eastAsia="楷体_GB2312"/>
          <w:b/>
          <w:sz w:val="28"/>
          <w:szCs w:val="28"/>
        </w:rPr>
        <w:t xml:space="preserve">响应文件的开启</w:t>
      </w:r>
      <w:r>
        <w:rPr>
          <w:rFonts w:ascii="楷体_GB2312" w:hAnsi="楷体" w:eastAsia="楷体_GB2312"/>
          <w:b/>
          <w:sz w:val="28"/>
          <w:szCs w:val="28"/>
        </w:rPr>
      </w:r>
      <w:r/>
    </w:p>
    <w:p>
      <w:pPr>
        <w:pStyle w:val="961"/>
        <w:ind w:firstLine="560"/>
        <w:spacing w:line="560" w:lineRule="exact"/>
        <w:rPr>
          <w:rFonts w:ascii="宋体" w:hAnsi="宋体"/>
          <w:bCs/>
          <w:sz w:val="28"/>
        </w:rPr>
      </w:pPr>
      <w:r>
        <w:rPr>
          <w:rFonts w:hint="eastAsia" w:ascii="仿宋_GB2312" w:hAnsi="宋体" w:eastAsia="仿宋_GB2312" w:cs="宋体"/>
          <w:sz w:val="28"/>
          <w:szCs w:val="28"/>
        </w:rPr>
        <w:t xml:space="preserve">响应文件的开启将在“苏采云”系统“开标大厅”内公开进行，供应商应当按照《江苏省政府采购管理交易系统（苏采云）供应商操作手册》规定参加，并在规定的时间内解密响应文件。</w:t>
      </w:r>
      <w:r>
        <w:rPr>
          <w:rFonts w:ascii="宋体" w:hAnsi="宋体"/>
          <w:bCs/>
          <w:sz w:val="28"/>
        </w:rPr>
      </w:r>
      <w:r/>
    </w:p>
    <w:p>
      <w:pPr>
        <w:pStyle w:val="961"/>
        <w:spacing w:line="560" w:lineRule="exact"/>
        <w:rPr>
          <w:rFonts w:ascii="楷体_GB2312" w:hAnsi="楷体" w:eastAsia="楷体_GB2312"/>
          <w:b/>
          <w:sz w:val="28"/>
          <w:szCs w:val="28"/>
        </w:rPr>
      </w:pPr>
      <w:r>
        <w:rPr>
          <w:rFonts w:hint="eastAsia" w:ascii="宋体" w:hAnsi="宋体" w:cs="宋体"/>
          <w:b/>
          <w:sz w:val="28"/>
          <w:szCs w:val="28"/>
        </w:rPr>
        <w:t xml:space="preserve">4.2</w:t>
      </w:r>
      <w:r>
        <w:rPr>
          <w:rFonts w:hint="eastAsia" w:ascii="楷体" w:hAnsi="楷体" w:eastAsia="楷体"/>
          <w:b/>
          <w:sz w:val="28"/>
          <w:szCs w:val="28"/>
        </w:rPr>
        <w:t xml:space="preserve">特殊情况的处置</w:t>
      </w:r>
      <w:r>
        <w:rPr>
          <w:rFonts w:ascii="楷体_GB2312" w:hAnsi="楷体" w:eastAsia="楷体_GB2312"/>
          <w:b/>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4.2.1在提交响应文件截止时间后，不见面开标系统出现下列情况之一时，响应文件未开启的，暂停开启活动；正在开启的，立即暂停，待系统恢复正常后再组织。</w:t>
      </w:r>
      <w:r>
        <w:rPr>
          <w:rFonts w:ascii="仿宋_GB2312" w:hAnsi="宋体" w:eastAsia="仿宋_GB2312" w:cs="宋体"/>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（1）系统服务器发生故障，无法访问或无法使用系统； </w:t>
      </w:r>
      <w:r>
        <w:rPr>
          <w:rFonts w:ascii="仿宋_GB2312" w:hAnsi="宋体" w:eastAsia="仿宋_GB2312" w:cs="宋体"/>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（2）系统的软件或数据库出现错误，不能进行正常操作； </w:t>
      </w:r>
      <w:r>
        <w:rPr>
          <w:rFonts w:ascii="仿宋_GB2312" w:hAnsi="宋体" w:eastAsia="仿宋_GB2312" w:cs="宋体"/>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（3）系统发现有安全漏洞，有潜在的泄密危险； </w:t>
      </w:r>
      <w:r>
        <w:rPr>
          <w:rFonts w:ascii="仿宋_GB2312" w:hAnsi="宋体" w:eastAsia="仿宋_GB2312" w:cs="宋体"/>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（4）其他无法保证信息安全的情形。</w:t>
      </w:r>
      <w:r>
        <w:rPr>
          <w:rFonts w:ascii="仿宋_GB2312" w:hAnsi="宋体" w:eastAsia="仿宋_GB2312" w:cs="宋体"/>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4.2.2因供应商自身原因造成响应文件无法解密的，视为撤销响应文件。</w:t>
      </w:r>
      <w:r>
        <w:rPr>
          <w:rFonts w:ascii="仿宋_GB2312" w:hAnsi="宋体" w:eastAsia="仿宋_GB2312" w:cs="宋体"/>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4.2.3供应商对响应文件开启活动或开启结果等有疑义的，可向采购人提出。</w:t>
      </w:r>
      <w:r>
        <w:rPr>
          <w:rFonts w:ascii="仿宋_GB2312" w:hAnsi="宋体" w:eastAsia="仿宋_GB2312" w:cs="宋体"/>
          <w:sz w:val="28"/>
          <w:szCs w:val="28"/>
        </w:rPr>
      </w:r>
      <w:r/>
    </w:p>
    <w:p>
      <w:pPr>
        <w:pStyle w:val="961"/>
        <w:ind w:firstLine="560"/>
        <w:spacing w:line="560" w:lineRule="exact"/>
        <w:rPr>
          <w:rFonts w:ascii="宋体" w:hAnsi="宋体"/>
          <w:bCs/>
          <w:sz w:val="28"/>
        </w:rPr>
      </w:pPr>
      <w:r>
        <w:rPr>
          <w:rFonts w:hint="eastAsia" w:ascii="仿宋_GB2312" w:hAnsi="宋体" w:eastAsia="仿宋_GB2312" w:cs="宋体"/>
          <w:sz w:val="28"/>
          <w:szCs w:val="28"/>
        </w:rPr>
        <w:t xml:space="preserve">4.2.4供应商未在系统中确认开启结果的，视同认可开启结果。</w:t>
      </w:r>
      <w:r>
        <w:rPr>
          <w:rFonts w:ascii="宋体" w:hAnsi="宋体"/>
          <w:bCs/>
          <w:sz w:val="28"/>
        </w:rPr>
      </w:r>
      <w:r/>
    </w:p>
    <w:p>
      <w:pPr>
        <w:pStyle w:val="975"/>
        <w:spacing w:after="0" w:line="560" w:lineRule="exact"/>
        <w:rPr>
          <w:rFonts w:ascii="黑体" w:hAnsi="黑体" w:eastAsia="黑体"/>
          <w:b/>
          <w:bCs/>
          <w:sz w:val="28"/>
          <w:szCs w:val="28"/>
        </w:rPr>
      </w:pPr>
      <w:r>
        <w:rPr>
          <w:rFonts w:hint="eastAsia" w:ascii="黑体" w:hAnsi="黑体" w:eastAsia="黑体"/>
          <w:b/>
          <w:bCs/>
          <w:sz w:val="28"/>
          <w:szCs w:val="28"/>
        </w:rPr>
        <w:t xml:space="preserve">5.响应文件的评审</w:t>
      </w:r>
      <w:r>
        <w:rPr>
          <w:rFonts w:ascii="黑体" w:hAnsi="黑体" w:eastAsia="黑体"/>
          <w:b/>
          <w:bCs/>
          <w:sz w:val="28"/>
          <w:szCs w:val="28"/>
        </w:rPr>
      </w:r>
      <w:r/>
    </w:p>
    <w:p>
      <w:pPr>
        <w:pStyle w:val="961"/>
        <w:spacing w:line="560" w:lineRule="exact"/>
        <w:rPr>
          <w:rFonts w:ascii="楷体" w:hAnsi="楷体" w:eastAsia="楷体"/>
          <w:b/>
          <w:sz w:val="28"/>
          <w:szCs w:val="28"/>
        </w:rPr>
      </w:pPr>
      <w:r>
        <w:rPr>
          <w:rFonts w:hint="eastAsia" w:ascii="宋体" w:hAnsi="宋体" w:cs="宋体"/>
          <w:b/>
          <w:sz w:val="28"/>
          <w:szCs w:val="28"/>
        </w:rPr>
        <w:t xml:space="preserve">5.1</w:t>
      </w:r>
      <w:r>
        <w:rPr>
          <w:rFonts w:hint="eastAsia" w:ascii="楷体" w:hAnsi="楷体" w:eastAsia="楷体"/>
          <w:b/>
          <w:sz w:val="28"/>
          <w:szCs w:val="28"/>
        </w:rPr>
        <w:t xml:space="preserve">竞争性磋商小组</w:t>
      </w:r>
      <w:r>
        <w:rPr>
          <w:rFonts w:ascii="楷体" w:hAnsi="楷体" w:eastAsia="楷体"/>
          <w:b/>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5.1.1响应文件的评审工作由采购人依法组建的竞争性磋商小组负责。磋商小组由采购人代表，以及有关技术、经济等方面的专家组成，且符合现行的政府采购相关规定。</w:t>
      </w:r>
      <w:r>
        <w:rPr>
          <w:rFonts w:ascii="仿宋_GB2312" w:hAnsi="宋体" w:eastAsia="仿宋_GB2312" w:cs="宋体"/>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5.1.2磋商小组成员有下列情形之一的，应当回避：</w:t>
      </w:r>
      <w:r>
        <w:rPr>
          <w:rFonts w:ascii="仿宋_GB2312" w:hAnsi="宋体" w:eastAsia="仿宋_GB2312" w:cs="宋体"/>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（1）参加采购活动前三年内,与供应商存在劳动关系,或者担任过供应商的董事、监事,或者是供应商的控股股东或实际控制人；</w:t>
      </w:r>
      <w:r>
        <w:rPr>
          <w:rFonts w:ascii="仿宋_GB2312" w:hAnsi="宋体" w:eastAsia="仿宋_GB2312" w:cs="宋体"/>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（2）与供应商的法定代表人或者负责人有夫妻、直系血亲、三代以内旁系血亲或者近姻亲关系；</w:t>
      </w:r>
      <w:r>
        <w:rPr>
          <w:rFonts w:ascii="仿宋_GB2312" w:hAnsi="宋体" w:eastAsia="仿宋_GB2312" w:cs="宋体"/>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（3）与供应商有其他可能影响政府采购活动公平、公正进行的关系；</w:t>
      </w:r>
      <w:r>
        <w:rPr>
          <w:rFonts w:ascii="仿宋_GB2312" w:hAnsi="宋体" w:eastAsia="仿宋_GB2312" w:cs="宋体"/>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（4）法律、行政法规规定的其他条件。</w:t>
      </w:r>
      <w:r>
        <w:rPr>
          <w:rFonts w:ascii="仿宋_GB2312" w:hAnsi="宋体" w:eastAsia="仿宋_GB2312" w:cs="宋体"/>
          <w:sz w:val="28"/>
          <w:szCs w:val="28"/>
        </w:rPr>
      </w:r>
      <w:r/>
    </w:p>
    <w:p>
      <w:pPr>
        <w:pStyle w:val="961"/>
        <w:spacing w:line="560" w:lineRule="exact"/>
        <w:rPr>
          <w:rFonts w:ascii="楷体_GB2312" w:hAnsi="楷体" w:eastAsia="楷体_GB2312"/>
          <w:b/>
          <w:sz w:val="28"/>
          <w:szCs w:val="28"/>
        </w:rPr>
      </w:pPr>
      <w:r>
        <w:rPr>
          <w:rFonts w:hint="eastAsia" w:ascii="宋体" w:hAnsi="宋体" w:cs="宋体"/>
          <w:b/>
          <w:sz w:val="28"/>
          <w:szCs w:val="28"/>
        </w:rPr>
        <w:t xml:space="preserve">5.2</w:t>
      </w:r>
      <w:r>
        <w:rPr>
          <w:rFonts w:hint="eastAsia" w:ascii="楷体_GB2312" w:hAnsi="楷体" w:eastAsia="楷体_GB2312"/>
          <w:b/>
          <w:sz w:val="28"/>
          <w:szCs w:val="28"/>
        </w:rPr>
        <w:t xml:space="preserve">评审</w:t>
      </w:r>
      <w:r>
        <w:rPr>
          <w:rFonts w:ascii="楷体_GB2312" w:hAnsi="楷体" w:eastAsia="楷体_GB2312"/>
          <w:b/>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评审活动遵循公正、客观、审慎的原则。磋商小组严格按照本竞争性磋商文件第三章规定的评审程序和标准进行独立评审。本文件中没有规定的评审标准，不得作为评审依据。</w:t>
      </w:r>
      <w:r>
        <w:rPr>
          <w:rFonts w:ascii="仿宋_GB2312" w:hAnsi="宋体" w:eastAsia="仿宋_GB2312" w:cs="宋体"/>
          <w:sz w:val="28"/>
          <w:szCs w:val="28"/>
        </w:rPr>
      </w:r>
      <w:r/>
    </w:p>
    <w:p>
      <w:pPr>
        <w:pStyle w:val="961"/>
        <w:spacing w:line="560" w:lineRule="exact"/>
        <w:rPr>
          <w:rFonts w:hint="eastAsia" w:ascii="黑体" w:hAnsi="黑体" w:eastAsia="黑体"/>
          <w:b/>
          <w:sz w:val="32"/>
          <w:szCs w:val="32"/>
        </w:rPr>
      </w:pPr>
      <w:r>
        <w:rPr>
          <w:rFonts w:hint="eastAsia" w:ascii="黑体" w:hAnsi="黑体" w:eastAsia="黑体"/>
          <w:b/>
          <w:sz w:val="32"/>
          <w:szCs w:val="32"/>
        </w:rPr>
        <w:t xml:space="preserve">6</w:t>
      </w:r>
      <w:r>
        <w:rPr>
          <w:rFonts w:ascii="黑体" w:hAnsi="黑体" w:eastAsia="黑体"/>
          <w:b/>
          <w:sz w:val="32"/>
          <w:szCs w:val="32"/>
        </w:rPr>
        <w:t xml:space="preserve">.</w:t>
      </w:r>
      <w:r>
        <w:rPr>
          <w:rFonts w:hint="eastAsia" w:ascii="黑体" w:hAnsi="黑体" w:eastAsia="黑体"/>
          <w:b/>
          <w:sz w:val="32"/>
          <w:szCs w:val="32"/>
        </w:rPr>
        <w:t xml:space="preserve">成交</w:t>
      </w:r>
      <w:r/>
    </w:p>
    <w:p>
      <w:pPr>
        <w:pStyle w:val="961"/>
        <w:spacing w:line="560" w:lineRule="exact"/>
        <w:rPr>
          <w:rFonts w:ascii="楷体" w:hAnsi="楷体" w:eastAsia="楷体"/>
          <w:b/>
          <w:sz w:val="28"/>
          <w:szCs w:val="28"/>
        </w:rPr>
      </w:pPr>
      <w:r>
        <w:rPr>
          <w:rFonts w:hint="eastAsia" w:ascii="楷体" w:hAnsi="楷体" w:eastAsia="楷体"/>
          <w:b/>
          <w:sz w:val="28"/>
          <w:szCs w:val="28"/>
        </w:rPr>
        <w:t xml:space="preserve">6.1确定成交人</w:t>
      </w:r>
      <w:r>
        <w:rPr>
          <w:rFonts w:ascii="楷体" w:hAnsi="楷体" w:eastAsia="楷体"/>
          <w:b/>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采购人从磋商小组提出的成交候选人中根据符合采购需求且评审得分最高的原则确定成交供应商，并将结果通知所有参加磋商的未成交的供应商。</w:t>
      </w:r>
      <w:r>
        <w:rPr>
          <w:rFonts w:ascii="仿宋_GB2312" w:hAnsi="宋体" w:eastAsia="仿宋_GB2312" w:cs="宋体"/>
          <w:sz w:val="28"/>
          <w:szCs w:val="28"/>
        </w:rPr>
      </w:r>
      <w:r/>
    </w:p>
    <w:p>
      <w:pPr>
        <w:pStyle w:val="961"/>
        <w:spacing w:line="560" w:lineRule="exact"/>
        <w:rPr>
          <w:rFonts w:ascii="楷体" w:hAnsi="楷体" w:eastAsia="楷体"/>
          <w:b/>
          <w:sz w:val="28"/>
          <w:szCs w:val="28"/>
        </w:rPr>
      </w:pPr>
      <w:r>
        <w:rPr>
          <w:rFonts w:hint="eastAsia" w:ascii="宋体" w:hAnsi="宋体" w:cs="宋体"/>
          <w:b/>
          <w:sz w:val="28"/>
          <w:szCs w:val="28"/>
        </w:rPr>
        <w:t xml:space="preserve">6.2</w:t>
      </w:r>
      <w:r>
        <w:rPr>
          <w:rFonts w:hint="eastAsia" w:ascii="楷体" w:hAnsi="楷体" w:eastAsia="楷体"/>
          <w:b/>
          <w:sz w:val="28"/>
          <w:szCs w:val="28"/>
        </w:rPr>
        <w:t xml:space="preserve">成交公告及成交通知书</w:t>
      </w:r>
      <w:r>
        <w:rPr>
          <w:rFonts w:ascii="楷体" w:hAnsi="楷体" w:eastAsia="楷体"/>
          <w:b/>
          <w:sz w:val="28"/>
          <w:szCs w:val="28"/>
        </w:rPr>
      </w:r>
      <w:r/>
    </w:p>
    <w:p>
      <w:pPr>
        <w:pStyle w:val="961"/>
        <w:ind w:firstLine="560"/>
        <w:spacing w:line="560" w:lineRule="exact"/>
        <w:rPr>
          <w:rFonts w:ascii="宋体" w:hAnsi="宋体" w:cs="宋体"/>
          <w:sz w:val="28"/>
          <w:szCs w:val="28"/>
        </w:rPr>
      </w:pPr>
      <w:r>
        <w:rPr>
          <w:rFonts w:hint="eastAsia" w:ascii="仿宋_GB2312" w:hAnsi="宋体" w:eastAsia="仿宋_GB2312" w:cs="宋体"/>
          <w:sz w:val="28"/>
          <w:szCs w:val="28"/>
        </w:rPr>
        <w:t xml:space="preserve">自成交人确定之日起2个工作日内，在发布竞争性磋商公告的媒介上公告成交结果。同时，向成交人发出成交通知书。成交通知书对采购人和成交人具有同等法律效力。 </w:t>
      </w:r>
      <w:r>
        <w:rPr>
          <w:rFonts w:hint="eastAsia" w:ascii="宋体" w:hAnsi="宋体"/>
          <w:sz w:val="28"/>
          <w:szCs w:val="28"/>
        </w:rPr>
        <w:t xml:space="preserve"> </w:t>
      </w:r>
      <w:r>
        <w:rPr>
          <w:rFonts w:ascii="宋体" w:hAnsi="宋体" w:cs="宋体"/>
          <w:sz w:val="28"/>
          <w:szCs w:val="28"/>
        </w:rPr>
      </w:r>
      <w:r/>
    </w:p>
    <w:p>
      <w:pPr>
        <w:pStyle w:val="961"/>
        <w:spacing w:line="560" w:lineRule="exact"/>
        <w:rPr>
          <w:rFonts w:ascii="宋体" w:hAnsi="宋体"/>
          <w:b/>
          <w:sz w:val="28"/>
          <w:szCs w:val="32"/>
        </w:rPr>
      </w:pPr>
      <w:r>
        <w:rPr>
          <w:rFonts w:hint="eastAsia" w:ascii="黑体" w:hAnsi="黑体" w:eastAsia="黑体"/>
          <w:b/>
          <w:sz w:val="32"/>
          <w:szCs w:val="32"/>
        </w:rPr>
        <w:t xml:space="preserve">7</w:t>
      </w:r>
      <w:r>
        <w:rPr>
          <w:rFonts w:ascii="黑体" w:hAnsi="黑体" w:eastAsia="黑体"/>
          <w:b/>
          <w:sz w:val="32"/>
          <w:szCs w:val="32"/>
        </w:rPr>
        <w:t xml:space="preserve">.</w:t>
      </w:r>
      <w:r>
        <w:rPr>
          <w:rFonts w:hint="eastAsia" w:ascii="黑体" w:hAnsi="黑体" w:eastAsia="黑体"/>
          <w:b/>
          <w:sz w:val="32"/>
          <w:szCs w:val="32"/>
        </w:rPr>
        <w:t xml:space="preserve">合同</w:t>
      </w:r>
      <w:r>
        <w:rPr>
          <w:rFonts w:ascii="宋体" w:hAnsi="宋体"/>
          <w:b/>
          <w:sz w:val="28"/>
          <w:szCs w:val="32"/>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7.1采购人和成交人在供应商须知前附表规定的时间内，根据竞争性磋商文件和成交人的响应文件订立书面合同。成交人无正当理由拒签合同的，采购人取消其成交资格；给采购人造成损失的，成交人还应当对予以赔偿。</w:t>
      </w:r>
      <w:r>
        <w:rPr>
          <w:rFonts w:ascii="仿宋_GB2312" w:hAnsi="宋体" w:eastAsia="仿宋_GB2312" w:cs="宋体"/>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7.2成交人拒绝签订政府采购合同的，采购人可以按照本章6.1条规定的原则确定其他供应商作为成交人并签订政府采购合同，也可以重新开展采购活动。</w:t>
      </w:r>
      <w:r>
        <w:rPr>
          <w:rFonts w:ascii="仿宋_GB2312" w:hAnsi="宋体" w:eastAsia="仿宋_GB2312" w:cs="宋体"/>
          <w:sz w:val="28"/>
          <w:szCs w:val="28"/>
        </w:rPr>
      </w:r>
      <w:r/>
    </w:p>
    <w:p>
      <w:pPr>
        <w:pStyle w:val="961"/>
        <w:spacing w:line="560" w:lineRule="exact"/>
        <w:rPr>
          <w:rFonts w:hint="eastAsia" w:ascii="黑体" w:hAnsi="黑体" w:eastAsia="黑体"/>
          <w:b/>
          <w:sz w:val="32"/>
          <w:szCs w:val="32"/>
        </w:rPr>
      </w:pPr>
      <w:r/>
      <w:bookmarkEnd w:id="24"/>
      <w:r/>
      <w:bookmarkEnd w:id="25"/>
      <w:r/>
      <w:bookmarkEnd w:id="26"/>
      <w:r/>
      <w:bookmarkEnd w:id="27"/>
      <w:r/>
      <w:bookmarkEnd w:id="28"/>
      <w:r/>
      <w:bookmarkEnd w:id="29"/>
      <w:r/>
      <w:bookmarkEnd w:id="31"/>
      <w:r/>
      <w:bookmarkEnd w:id="32"/>
      <w:r>
        <w:rPr>
          <w:rFonts w:hint="eastAsia" w:ascii="黑体" w:hAnsi="黑体" w:eastAsia="黑体"/>
          <w:b/>
          <w:sz w:val="32"/>
          <w:szCs w:val="32"/>
        </w:rPr>
        <w:t xml:space="preserve">8.履约保证金</w:t>
      </w:r>
      <w:r/>
    </w:p>
    <w:p>
      <w:pPr>
        <w:pStyle w:val="961"/>
        <w:ind w:firstLine="560"/>
        <w:spacing w:line="500" w:lineRule="exact"/>
        <w:rPr>
          <w:rFonts w:eastAsia="仿宋_GB2312"/>
          <w:sz w:val="28"/>
          <w:szCs w:val="28"/>
        </w:rPr>
      </w:pPr>
      <w:r>
        <w:rPr>
          <w:rFonts w:hint="eastAsia" w:eastAsia="仿宋_GB2312"/>
          <w:sz w:val="28"/>
          <w:szCs w:val="28"/>
        </w:rPr>
        <w:t xml:space="preserve">8.1</w:t>
      </w:r>
      <w:r>
        <w:rPr>
          <w:rFonts w:hint="eastAsia" w:eastAsia="仿宋_GB2312" w:cs="宋体"/>
          <w:sz w:val="28"/>
          <w:szCs w:val="28"/>
        </w:rPr>
        <w:t xml:space="preserve">成交供应商应按采购人须知前附表规定的履约保证金的形式、金额和提交时间向采购人提交履约保证金。</w:t>
      </w:r>
      <w:r>
        <w:rPr>
          <w:rFonts w:eastAsia="仿宋_GB2312"/>
          <w:sz w:val="28"/>
          <w:szCs w:val="28"/>
        </w:rPr>
      </w:r>
      <w:r/>
    </w:p>
    <w:p>
      <w:pPr>
        <w:pStyle w:val="961"/>
        <w:ind w:firstLine="560"/>
        <w:spacing w:line="500" w:lineRule="exact"/>
        <w:rPr>
          <w:rFonts w:eastAsia="仿宋_GB2312"/>
          <w:b/>
          <w:sz w:val="28"/>
          <w:szCs w:val="28"/>
        </w:rPr>
      </w:pPr>
      <w:r>
        <w:rPr>
          <w:rFonts w:hint="eastAsia" w:eastAsia="仿宋_GB2312"/>
          <w:sz w:val="28"/>
          <w:szCs w:val="28"/>
        </w:rPr>
        <w:t xml:space="preserve">8.2</w:t>
      </w:r>
      <w:r>
        <w:rPr>
          <w:rFonts w:hint="eastAsia" w:eastAsia="仿宋_GB2312" w:cs="宋体"/>
          <w:sz w:val="28"/>
          <w:szCs w:val="28"/>
        </w:rPr>
        <w:t xml:space="preserve">成交供应商不能按本采购文件要求提交履约保证金的，视为放弃成交，给采购人造成损失的，成交供应商还应当予以赔偿。</w:t>
      </w:r>
      <w:r>
        <w:rPr>
          <w:rFonts w:eastAsia="仿宋_GB2312"/>
          <w:b/>
          <w:sz w:val="28"/>
          <w:szCs w:val="28"/>
        </w:rPr>
      </w:r>
      <w:r/>
    </w:p>
    <w:p>
      <w:pPr>
        <w:pStyle w:val="961"/>
        <w:spacing w:line="560" w:lineRule="exact"/>
        <w:rPr>
          <w:rFonts w:hint="eastAsia" w:ascii="黑体" w:hAnsi="黑体" w:eastAsia="黑体"/>
          <w:b/>
          <w:sz w:val="32"/>
          <w:szCs w:val="32"/>
        </w:rPr>
      </w:pPr>
      <w:r>
        <w:rPr>
          <w:rFonts w:hint="eastAsia" w:ascii="黑体" w:hAnsi="黑体" w:eastAsia="黑体"/>
          <w:b/>
          <w:sz w:val="32"/>
          <w:szCs w:val="32"/>
        </w:rPr>
        <w:t xml:space="preserve">9.需要补充的其他内容</w:t>
      </w:r>
      <w:r/>
    </w:p>
    <w:p>
      <w:pPr>
        <w:pStyle w:val="961"/>
        <w:rPr>
          <w:rFonts w:eastAsia="仿宋_GB2312" w:cs="宋体"/>
          <w:sz w:val="28"/>
        </w:rPr>
      </w:pPr>
      <w:r>
        <w:rPr>
          <w:rFonts w:hint="eastAsia" w:eastAsia="仿宋_GB2312" w:cs="宋体"/>
          <w:sz w:val="28"/>
        </w:rPr>
        <w:t xml:space="preserve">需要补充的其他内容：见供应商须知前附表。</w:t>
      </w:r>
      <w:r>
        <w:rPr>
          <w:rFonts w:eastAsia="仿宋_GB2312" w:cs="宋体"/>
          <w:sz w:val="28"/>
        </w:rPr>
      </w:r>
      <w:r/>
    </w:p>
    <w:p>
      <w:pPr>
        <w:pStyle w:val="1010"/>
        <w:ind w:left="-2" w:firstLine="643"/>
        <w:jc w:val="center"/>
        <w:spacing w:before="156" w:after="156" w:line="360" w:lineRule="auto"/>
        <w:rPr>
          <w:rFonts w:hint="eastAsia" w:ascii="方正小标宋_GBK" w:hAnsi="宋体" w:eastAsia="方正小标宋_GBK"/>
          <w:b/>
          <w:color w:val="000000"/>
          <w:sz w:val="44"/>
          <w:szCs w:val="44"/>
        </w:rPr>
        <w:outlineLvl w:val="0"/>
      </w:pPr>
      <w:r>
        <w:rPr>
          <w:rFonts w:ascii="宋体" w:hAnsi="宋体" w:eastAsia="宋体"/>
          <w:b/>
          <w:color w:val="000000"/>
          <w:sz w:val="32"/>
          <w:szCs w:val="32"/>
        </w:rPr>
        <w:br w:type="page" w:clear="all"/>
      </w:r>
      <w:bookmarkStart w:id="91" w:name="_Toc383624013"/>
      <w:r/>
      <w:bookmarkStart w:id="92" w:name="_Toc383626062"/>
      <w:r/>
      <w:bookmarkStart w:id="93" w:name="_Toc390098908"/>
      <w:r/>
      <w:bookmarkStart w:id="94" w:name="_Toc383698715"/>
      <w:r/>
      <w:bookmarkStart w:id="95" w:name="_Toc425871381"/>
      <w:r/>
      <w:bookmarkStart w:id="96" w:name="_Toc383623741"/>
      <w:r/>
      <w:bookmarkStart w:id="97" w:name="_Toc390246973"/>
      <w:r/>
      <w:bookmarkStart w:id="98" w:name="_Toc383679815"/>
      <w:r/>
      <w:bookmarkStart w:id="99" w:name="_Toc390099086"/>
      <w:r>
        <w:rPr>
          <w:rFonts w:hint="eastAsia" w:ascii="方正小标宋_GBK" w:hAnsi="宋体" w:eastAsia="方正小标宋_GBK"/>
          <w:b/>
          <w:color w:val="000000"/>
          <w:sz w:val="32"/>
          <w:szCs w:val="44"/>
        </w:rPr>
        <w:t xml:space="preserve">第三章 竞争性磋商</w:t>
      </w:r>
      <w:r>
        <w:rPr>
          <w:rFonts w:hint="eastAsia" w:ascii="方正小标宋_GBK" w:hAnsi="宋体" w:eastAsia="方正小标宋_GBK"/>
          <w:b/>
          <w:color w:val="000000"/>
          <w:sz w:val="44"/>
          <w:szCs w:val="44"/>
        </w:rPr>
      </w:r>
      <w:r/>
    </w:p>
    <w:p>
      <w:pPr>
        <w:pStyle w:val="961"/>
        <w:spacing w:line="560" w:lineRule="exact"/>
        <w:rPr>
          <w:rFonts w:hint="eastAsia" w:ascii="黑体" w:hAnsi="黑体" w:eastAsia="黑体" w:cs="宋体"/>
          <w:b/>
          <w:sz w:val="28"/>
          <w:szCs w:val="28"/>
        </w:rPr>
      </w:pPr>
      <w:r>
        <w:rPr>
          <w:rFonts w:hint="eastAsia" w:ascii="黑体" w:hAnsi="黑体" w:eastAsia="黑体" w:cs="宋体"/>
          <w:b/>
          <w:sz w:val="28"/>
          <w:szCs w:val="28"/>
        </w:rPr>
        <w:t xml:space="preserve">竞争性磋商前附表</w:t>
      </w:r>
      <w:r/>
    </w:p>
    <w:tbl>
      <w:tblPr>
        <w:tblW w:w="929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8"/>
        <w:gridCol w:w="104"/>
        <w:gridCol w:w="1171"/>
        <w:gridCol w:w="257"/>
        <w:gridCol w:w="1228"/>
        <w:gridCol w:w="5282"/>
      </w:tblGrid>
      <w:tr>
        <w:trPr>
          <w:trHeight w:val="479"/>
        </w:trPr>
        <w:tc>
          <w:tcPr>
            <w:gridSpan w:val="6"/>
            <w:tcW w:w="9291" w:type="dxa"/>
            <w:vAlign w:val="center"/>
            <w:textDirection w:val="lrTb"/>
            <w:noWrap w:val="false"/>
          </w:tcPr>
          <w:p>
            <w:pPr>
              <w:pStyle w:val="961"/>
              <w:jc w:val="center"/>
              <w:spacing w:line="400" w:lineRule="exact"/>
              <w:rPr>
                <w:rFonts w:hint="eastAsia" w:ascii="仿宋_GB2312" w:hAnsi="仿宋" w:eastAsia="仿宋_GB2312"/>
                <w:b/>
              </w:rPr>
            </w:pPr>
            <w:r>
              <w:rPr>
                <w:rFonts w:hint="eastAsia" w:ascii="仿宋_GB2312" w:hAnsi="仿宋" w:eastAsia="仿宋_GB2312"/>
                <w:b/>
              </w:rPr>
              <w:t xml:space="preserve">1.1资格审查</w:t>
            </w:r>
            <w:r/>
          </w:p>
        </w:tc>
      </w:tr>
      <w:tr>
        <w:trPr>
          <w:trHeight w:val="414"/>
        </w:trPr>
        <w:tc>
          <w:tcPr>
            <w:tcW w:w="1248" w:type="dxa"/>
            <w:vAlign w:val="center"/>
            <w:textDirection w:val="lrTb"/>
            <w:noWrap w:val="false"/>
          </w:tcPr>
          <w:p>
            <w:pPr>
              <w:pStyle w:val="961"/>
              <w:jc w:val="center"/>
              <w:spacing w:line="400" w:lineRule="exact"/>
              <w:rPr>
                <w:rFonts w:hint="eastAsia" w:ascii="仿宋_GB2312" w:hAnsi="仿宋" w:eastAsia="仿宋_GB2312"/>
              </w:rPr>
            </w:pPr>
            <w:r>
              <w:rPr>
                <w:rFonts w:hint="eastAsia" w:ascii="仿宋_GB2312" w:hAnsi="仿宋" w:eastAsia="仿宋_GB2312"/>
              </w:rPr>
              <w:t xml:space="preserve">评审事项</w:t>
            </w:r>
            <w:r/>
          </w:p>
        </w:tc>
        <w:tc>
          <w:tcPr>
            <w:gridSpan w:val="4"/>
            <w:tcW w:w="2760" w:type="dxa"/>
            <w:vAlign w:val="center"/>
            <w:textDirection w:val="lrTb"/>
            <w:noWrap w:val="false"/>
          </w:tcPr>
          <w:p>
            <w:pPr>
              <w:pStyle w:val="961"/>
              <w:jc w:val="center"/>
              <w:spacing w:line="400" w:lineRule="exact"/>
              <w:rPr>
                <w:rFonts w:hint="eastAsia" w:ascii="仿宋_GB2312" w:hAnsi="仿宋" w:eastAsia="仿宋_GB2312"/>
              </w:rPr>
            </w:pPr>
            <w:r>
              <w:rPr>
                <w:rFonts w:hint="eastAsia" w:ascii="仿宋_GB2312" w:hAnsi="仿宋" w:eastAsia="仿宋_GB2312"/>
              </w:rPr>
              <w:t xml:space="preserve">评审因素</w:t>
            </w:r>
            <w:r/>
          </w:p>
        </w:tc>
        <w:tc>
          <w:tcPr>
            <w:tcW w:w="5283" w:type="dxa"/>
            <w:vAlign w:val="center"/>
            <w:textDirection w:val="lrTb"/>
            <w:noWrap w:val="false"/>
          </w:tcPr>
          <w:p>
            <w:pPr>
              <w:pStyle w:val="961"/>
              <w:jc w:val="center"/>
              <w:spacing w:line="400" w:lineRule="exact"/>
              <w:rPr>
                <w:rFonts w:hint="eastAsia" w:ascii="仿宋_GB2312" w:hAnsi="仿宋" w:eastAsia="仿宋_GB2312"/>
              </w:rPr>
            </w:pPr>
            <w:r>
              <w:rPr>
                <w:rFonts w:hint="eastAsia" w:ascii="仿宋_GB2312" w:hAnsi="仿宋" w:eastAsia="仿宋_GB2312"/>
              </w:rPr>
              <w:t xml:space="preserve">评审标准</w:t>
            </w:r>
            <w:r/>
          </w:p>
        </w:tc>
      </w:tr>
      <w:tr>
        <w:trPr>
          <w:cantSplit/>
          <w:trHeight w:val="1115"/>
        </w:trPr>
        <w:tc>
          <w:tcPr>
            <w:tcW w:w="1248" w:type="dxa"/>
            <w:vAlign w:val="center"/>
            <w:vMerge w:val="restart"/>
            <w:textDirection w:val="lrTb"/>
            <w:noWrap w:val="false"/>
          </w:tcPr>
          <w:p>
            <w:pPr>
              <w:pStyle w:val="961"/>
              <w:jc w:val="center"/>
              <w:spacing w:line="400" w:lineRule="exact"/>
              <w:rPr>
                <w:rFonts w:hint="eastAsia" w:ascii="仿宋_GB2312" w:hAnsi="仿宋" w:eastAsia="仿宋_GB2312"/>
              </w:rPr>
            </w:pPr>
            <w:r/>
            <w:bookmarkStart w:id="100" w:name="OLE_LINK207"/>
            <w:r/>
            <w:bookmarkStart w:id="101" w:name="OLE_LINK208"/>
            <w:r/>
            <w:bookmarkStart w:id="102" w:name="_Hlk217121357"/>
            <w:r>
              <w:rPr>
                <w:rFonts w:hint="eastAsia" w:ascii="仿宋_GB2312" w:hAnsi="仿宋" w:eastAsia="仿宋_GB2312"/>
              </w:rPr>
              <w:t xml:space="preserve">资格审查</w:t>
            </w:r>
            <w:r/>
          </w:p>
        </w:tc>
        <w:tc>
          <w:tcPr>
            <w:gridSpan w:val="4"/>
            <w:tcW w:w="2760" w:type="dxa"/>
            <w:vAlign w:val="center"/>
            <w:textDirection w:val="lrTb"/>
            <w:noWrap w:val="false"/>
          </w:tcPr>
          <w:p>
            <w:pPr>
              <w:pStyle w:val="961"/>
              <w:jc w:val="center"/>
              <w:spacing w:line="360" w:lineRule="exact"/>
              <w:rPr>
                <w:rFonts w:hint="eastAsia" w:ascii="仿宋_GB2312" w:hAnsi="仿宋" w:eastAsia="仿宋_GB2312"/>
              </w:rPr>
            </w:pPr>
            <w:r>
              <w:rPr>
                <w:rFonts w:hint="eastAsia" w:ascii="仿宋_GB2312" w:hAnsi="仿宋" w:eastAsia="仿宋_GB2312"/>
              </w:rPr>
              <w:t xml:space="preserve">基本资格条件的承诺</w:t>
            </w:r>
            <w:r/>
          </w:p>
        </w:tc>
        <w:tc>
          <w:tcPr>
            <w:tcW w:w="5283" w:type="dxa"/>
            <w:vAlign w:val="center"/>
            <w:textDirection w:val="lrTb"/>
            <w:noWrap w:val="false"/>
          </w:tcPr>
          <w:p>
            <w:pPr>
              <w:pStyle w:val="961"/>
              <w:jc w:val="left"/>
              <w:spacing w:line="360" w:lineRule="exact"/>
              <w:rPr>
                <w:rFonts w:hint="eastAsia" w:ascii="仿宋_GB2312" w:hAnsi="仿宋" w:eastAsia="仿宋_GB2312"/>
              </w:rPr>
            </w:pPr>
            <w:r/>
            <w:bookmarkStart w:id="103" w:name="OLE_LINK127"/>
            <w:r/>
            <w:bookmarkStart w:id="104" w:name="OLE_LINK53"/>
            <w:r/>
            <w:bookmarkStart w:id="105" w:name="OLE_LINK122"/>
            <w:r/>
            <w:bookmarkStart w:id="106" w:name="OLE_LINK22"/>
            <w:r>
              <w:rPr>
                <w:rFonts w:hint="eastAsia" w:ascii="仿宋_GB2312" w:hAnsi="仿宋" w:eastAsia="仿宋_GB2312"/>
              </w:rPr>
              <w:t xml:space="preserve">根据供应商提供的承诺书，内容完整且具有法人及法定代表人的印章。（内容及格式参照第六章《供应商基本资格条件承诺书》）</w:t>
            </w:r>
            <w:bookmarkEnd w:id="103"/>
            <w:r/>
            <w:bookmarkEnd w:id="104"/>
            <w:r/>
            <w:bookmarkEnd w:id="105"/>
            <w:r/>
            <w:bookmarkEnd w:id="106"/>
            <w:r>
              <w:rPr>
                <w:rFonts w:hint="eastAsia" w:ascii="仿宋_GB2312" w:hAnsi="仿宋" w:eastAsia="仿宋_GB2312"/>
              </w:rPr>
            </w:r>
            <w:r/>
          </w:p>
        </w:tc>
      </w:tr>
      <w:tr>
        <w:trPr>
          <w:cantSplit/>
          <w:trHeight w:val="1115"/>
        </w:trPr>
        <w:tc>
          <w:tcPr>
            <w:tcW w:w="1248" w:type="dxa"/>
            <w:vAlign w:val="center"/>
            <w:vMerge w:val="continue"/>
            <w:textDirection w:val="lrTb"/>
            <w:noWrap w:val="false"/>
          </w:tcPr>
          <w:p>
            <w:pPr>
              <w:pStyle w:val="961"/>
              <w:jc w:val="center"/>
              <w:spacing w:line="400" w:lineRule="exact"/>
              <w:rPr>
                <w:rFonts w:hint="eastAsia" w:ascii="仿宋_GB2312" w:hAnsi="仿宋" w:eastAsia="仿宋_GB2312"/>
              </w:rPr>
            </w:pPr>
            <w:r/>
            <w:bookmarkEnd w:id="100"/>
            <w:r/>
            <w:bookmarkEnd w:id="101"/>
            <w:r/>
            <w:bookmarkEnd w:id="102"/>
            <w:r>
              <w:rPr>
                <w:rFonts w:hint="eastAsia" w:ascii="仿宋_GB2312" w:hAnsi="仿宋" w:eastAsia="仿宋_GB2312"/>
              </w:rPr>
            </w:r>
            <w:r/>
          </w:p>
        </w:tc>
        <w:tc>
          <w:tcPr>
            <w:gridSpan w:val="4"/>
            <w:tcW w:w="2760" w:type="dxa"/>
            <w:vAlign w:val="center"/>
            <w:textDirection w:val="lrTb"/>
            <w:noWrap w:val="false"/>
          </w:tcPr>
          <w:p>
            <w:pPr>
              <w:pStyle w:val="961"/>
              <w:jc w:val="center"/>
              <w:spacing w:line="360" w:lineRule="exact"/>
              <w:rPr>
                <w:rFonts w:hint="eastAsia" w:ascii="仿宋_GB2312" w:hAnsi="仿宋" w:eastAsia="仿宋_GB2312"/>
              </w:rPr>
            </w:pPr>
            <w:r>
              <w:rPr>
                <w:rFonts w:hint="eastAsia" w:ascii="仿宋_GB2312" w:hAnsi="仿宋" w:eastAsia="仿宋_GB2312"/>
              </w:rPr>
              <w:t xml:space="preserve">根据采购项目特殊要求，要求供应商具备的特定资格要求</w:t>
            </w:r>
            <w:r/>
          </w:p>
        </w:tc>
        <w:tc>
          <w:tcPr>
            <w:tcW w:w="5283" w:type="dxa"/>
            <w:vAlign w:val="center"/>
            <w:textDirection w:val="lrTb"/>
            <w:noWrap w:val="false"/>
          </w:tcPr>
          <w:p>
            <w:pPr>
              <w:pStyle w:val="961"/>
              <w:jc w:val="left"/>
              <w:spacing w:line="360" w:lineRule="exact"/>
              <w:rPr>
                <w:rFonts w:hint="eastAsia" w:ascii="仿宋_GB2312" w:hAnsi="仿宋" w:eastAsia="仿宋_GB2312"/>
              </w:rPr>
            </w:pPr>
            <w:r>
              <w:rPr>
                <w:rFonts w:hint="eastAsia" w:ascii="仿宋_GB2312" w:hAnsi="仿宋" w:eastAsia="仿宋_GB2312"/>
              </w:rPr>
              <w:t xml:space="preserve">见竞争性磋商公告。</w:t>
            </w:r>
            <w:r/>
          </w:p>
        </w:tc>
      </w:tr>
      <w:tr>
        <w:trPr>
          <w:trHeight w:val="281"/>
        </w:trPr>
        <w:tc>
          <w:tcPr>
            <w:gridSpan w:val="6"/>
            <w:tcW w:w="9291" w:type="dxa"/>
            <w:vAlign w:val="center"/>
            <w:textDirection w:val="lrTb"/>
            <w:noWrap w:val="false"/>
          </w:tcPr>
          <w:p>
            <w:pPr>
              <w:pStyle w:val="961"/>
              <w:jc w:val="center"/>
              <w:spacing w:line="400" w:lineRule="exact"/>
              <w:rPr>
                <w:rFonts w:hint="eastAsia" w:ascii="仿宋_GB2312" w:hAnsi="仿宋" w:eastAsia="仿宋_GB2312"/>
                <w:b/>
              </w:rPr>
            </w:pPr>
            <w:r>
              <w:rPr>
                <w:rFonts w:hint="eastAsia" w:ascii="仿宋_GB2312" w:hAnsi="仿宋" w:eastAsia="仿宋_GB2312"/>
                <w:b/>
              </w:rPr>
              <w:t xml:space="preserve">响应文件不符合评审标准之一的，评审结论为不合格。</w:t>
            </w:r>
            <w:r/>
          </w:p>
        </w:tc>
      </w:tr>
      <w:tr>
        <w:trPr>
          <w:trHeight w:val="321"/>
        </w:trPr>
        <w:tc>
          <w:tcPr>
            <w:gridSpan w:val="6"/>
            <w:tcW w:w="9291" w:type="dxa"/>
            <w:vAlign w:val="center"/>
            <w:textDirection w:val="lrTb"/>
            <w:noWrap w:val="false"/>
          </w:tcPr>
          <w:p>
            <w:pPr>
              <w:pStyle w:val="961"/>
              <w:jc w:val="center"/>
              <w:spacing w:line="400" w:lineRule="exact"/>
              <w:rPr>
                <w:rFonts w:hint="eastAsia" w:ascii="仿宋_GB2312" w:hAnsi="仿宋" w:eastAsia="仿宋_GB2312"/>
                <w:b/>
              </w:rPr>
            </w:pPr>
            <w:r>
              <w:rPr>
                <w:rFonts w:hint="eastAsia" w:ascii="仿宋_GB2312" w:hAnsi="仿宋" w:eastAsia="仿宋_GB2312"/>
                <w:b/>
              </w:rPr>
              <w:t xml:space="preserve">1.2响应性评审</w:t>
            </w:r>
            <w:r/>
          </w:p>
        </w:tc>
      </w:tr>
      <w:tr>
        <w:trPr>
          <w:trHeight w:val="341"/>
        </w:trPr>
        <w:tc>
          <w:tcPr>
            <w:tcW w:w="1248" w:type="dxa"/>
            <w:vAlign w:val="center"/>
            <w:textDirection w:val="lrTb"/>
            <w:noWrap w:val="false"/>
          </w:tcPr>
          <w:p>
            <w:pPr>
              <w:pStyle w:val="961"/>
              <w:jc w:val="center"/>
              <w:spacing w:line="400" w:lineRule="exact"/>
              <w:rPr>
                <w:rFonts w:hint="eastAsia" w:ascii="仿宋_GB2312" w:hAnsi="仿宋" w:eastAsia="仿宋_GB2312"/>
                <w:spacing w:val="-20"/>
              </w:rPr>
            </w:pPr>
            <w:r>
              <w:rPr>
                <w:rFonts w:hint="eastAsia" w:ascii="仿宋_GB2312" w:hAnsi="仿宋" w:eastAsia="仿宋_GB2312"/>
                <w:spacing w:val="-20"/>
              </w:rPr>
              <w:t xml:space="preserve">评审事项</w:t>
            </w:r>
            <w:r/>
          </w:p>
        </w:tc>
        <w:tc>
          <w:tcPr>
            <w:gridSpan w:val="2"/>
            <w:tcW w:w="1275" w:type="dxa"/>
            <w:vAlign w:val="center"/>
            <w:textDirection w:val="lrTb"/>
            <w:noWrap w:val="false"/>
          </w:tcPr>
          <w:p>
            <w:pPr>
              <w:pStyle w:val="961"/>
              <w:jc w:val="center"/>
              <w:spacing w:line="400" w:lineRule="exact"/>
              <w:rPr>
                <w:rFonts w:hint="eastAsia" w:ascii="仿宋_GB2312" w:hAnsi="仿宋" w:eastAsia="仿宋_GB2312"/>
                <w:spacing w:val="-20"/>
              </w:rPr>
            </w:pPr>
            <w:r>
              <w:rPr>
                <w:rFonts w:hint="eastAsia" w:ascii="仿宋_GB2312" w:hAnsi="仿宋" w:eastAsia="仿宋_GB2312"/>
                <w:spacing w:val="-20"/>
              </w:rPr>
              <w:t xml:space="preserve">评审因素</w:t>
            </w:r>
            <w:r/>
          </w:p>
        </w:tc>
        <w:tc>
          <w:tcPr>
            <w:gridSpan w:val="3"/>
            <w:tcW w:w="6768" w:type="dxa"/>
            <w:vAlign w:val="center"/>
            <w:textDirection w:val="lrTb"/>
            <w:noWrap w:val="false"/>
          </w:tcPr>
          <w:p>
            <w:pPr>
              <w:pStyle w:val="961"/>
              <w:jc w:val="center"/>
              <w:spacing w:line="400" w:lineRule="exact"/>
              <w:rPr>
                <w:rFonts w:hint="eastAsia" w:ascii="仿宋_GB2312" w:hAnsi="仿宋" w:eastAsia="仿宋_GB2312"/>
              </w:rPr>
            </w:pPr>
            <w:r>
              <w:rPr>
                <w:rFonts w:hint="eastAsia" w:ascii="仿宋_GB2312" w:hAnsi="仿宋" w:eastAsia="仿宋_GB2312"/>
              </w:rPr>
              <w:t xml:space="preserve">评审标准</w:t>
            </w:r>
            <w:r/>
          </w:p>
        </w:tc>
      </w:tr>
      <w:tr>
        <w:trPr>
          <w:cantSplit/>
          <w:trHeight w:val="375"/>
        </w:trPr>
        <w:tc>
          <w:tcPr>
            <w:tcW w:w="1248" w:type="dxa"/>
            <w:vAlign w:val="center"/>
            <w:vMerge w:val="restart"/>
            <w:textDirection w:val="lrTb"/>
            <w:noWrap w:val="false"/>
          </w:tcPr>
          <w:p>
            <w:pPr>
              <w:pStyle w:val="961"/>
              <w:jc w:val="center"/>
              <w:spacing w:line="400" w:lineRule="exact"/>
              <w:rPr>
                <w:rFonts w:hint="eastAsia" w:ascii="仿宋_GB2312" w:hAnsi="仿宋" w:eastAsia="仿宋_GB2312"/>
              </w:rPr>
            </w:pPr>
            <w:r/>
            <w:bookmarkStart w:id="107" w:name="OLE_LINK40"/>
            <w:r/>
            <w:bookmarkStart w:id="108" w:name="OLE_LINK41"/>
            <w:r/>
            <w:bookmarkStart w:id="109" w:name="_Hlk207700800"/>
            <w:r>
              <w:rPr>
                <w:rFonts w:hint="eastAsia" w:ascii="仿宋_GB2312" w:hAnsi="仿宋" w:eastAsia="仿宋_GB2312"/>
              </w:rPr>
              <w:t xml:space="preserve">响应性评审</w:t>
            </w:r>
            <w:r/>
          </w:p>
        </w:tc>
        <w:tc>
          <w:tcPr>
            <w:gridSpan w:val="2"/>
            <w:tcW w:w="1275" w:type="dxa"/>
            <w:vAlign w:val="center"/>
            <w:textDirection w:val="lrTb"/>
            <w:noWrap w:val="false"/>
          </w:tcPr>
          <w:p>
            <w:pPr>
              <w:pStyle w:val="961"/>
              <w:jc w:val="center"/>
              <w:spacing w:line="400" w:lineRule="exact"/>
              <w:rPr>
                <w:rFonts w:hint="eastAsia" w:ascii="仿宋_GB2312" w:hAnsi="仿宋" w:eastAsia="仿宋_GB2312"/>
              </w:rPr>
            </w:pPr>
            <w:r/>
            <w:bookmarkStart w:id="110" w:name="OLE_LINK57"/>
            <w:r/>
            <w:bookmarkStart w:id="111" w:name="OLE_LINK56"/>
            <w:r>
              <w:rPr>
                <w:rFonts w:hint="eastAsia" w:ascii="仿宋_GB2312" w:hAnsi="仿宋" w:eastAsia="仿宋_GB2312"/>
              </w:rPr>
              <w:t xml:space="preserve">报价</w:t>
            </w:r>
            <w:bookmarkEnd w:id="110"/>
            <w:r/>
            <w:bookmarkEnd w:id="111"/>
            <w:r>
              <w:rPr>
                <w:rFonts w:hint="eastAsia" w:ascii="仿宋_GB2312" w:hAnsi="仿宋" w:eastAsia="仿宋_GB2312"/>
              </w:rPr>
            </w:r>
            <w:r/>
          </w:p>
        </w:tc>
        <w:tc>
          <w:tcPr>
            <w:gridSpan w:val="3"/>
            <w:tcW w:w="6768" w:type="dxa"/>
            <w:vAlign w:val="center"/>
            <w:textDirection w:val="lrTb"/>
            <w:noWrap w:val="false"/>
          </w:tcPr>
          <w:p>
            <w:pPr>
              <w:pStyle w:val="961"/>
              <w:jc w:val="left"/>
              <w:spacing w:line="400" w:lineRule="exact"/>
              <w:rPr>
                <w:rFonts w:hint="eastAsia" w:ascii="仿宋_GB2312" w:hAnsi="仿宋" w:eastAsia="仿宋_GB2312"/>
              </w:rPr>
            </w:pPr>
            <w:r/>
            <w:bookmarkStart w:id="112" w:name="OLE_LINK131"/>
            <w:r/>
            <w:bookmarkStart w:id="113" w:name="OLE_LINK132"/>
            <w:r/>
            <w:bookmarkStart w:id="114" w:name="OLE_LINK58"/>
            <w:r>
              <w:rPr>
                <w:rFonts w:hint="eastAsia" w:ascii="仿宋_GB2312" w:hAnsi="仿宋" w:eastAsia="仿宋_GB2312"/>
              </w:rPr>
              <w:t xml:space="preserve">有且只有一个有效报价，未超过最高限价</w:t>
            </w:r>
            <w:bookmarkEnd w:id="112"/>
            <w:r/>
            <w:bookmarkEnd w:id="113"/>
            <w:r/>
            <w:bookmarkEnd w:id="114"/>
            <w:r>
              <w:rPr>
                <w:rFonts w:hint="eastAsia" w:ascii="仿宋_GB2312" w:hAnsi="仿宋" w:eastAsia="仿宋_GB2312"/>
              </w:rPr>
            </w:r>
            <w:r/>
          </w:p>
        </w:tc>
      </w:tr>
      <w:tr>
        <w:trPr>
          <w:cantSplit/>
          <w:trHeight w:val="737"/>
        </w:trPr>
        <w:tc>
          <w:tcPr>
            <w:tcW w:w="1248" w:type="dxa"/>
            <w:vAlign w:val="center"/>
            <w:vMerge w:val="continue"/>
            <w:textDirection w:val="lrTb"/>
            <w:noWrap w:val="false"/>
          </w:tcPr>
          <w:p>
            <w:pPr>
              <w:pStyle w:val="961"/>
              <w:jc w:val="center"/>
              <w:spacing w:line="400" w:lineRule="exact"/>
              <w:rPr>
                <w:rFonts w:hint="eastAsia" w:ascii="仿宋_GB2312" w:hAnsi="仿宋" w:eastAsia="仿宋_GB2312"/>
              </w:rPr>
            </w:pPr>
            <w:r/>
            <w:bookmarkEnd w:id="107"/>
            <w:r/>
            <w:bookmarkEnd w:id="108"/>
            <w:r/>
            <w:bookmarkEnd w:id="109"/>
            <w:r>
              <w:rPr>
                <w:rFonts w:hint="eastAsia" w:ascii="仿宋_GB2312" w:hAnsi="仿宋" w:eastAsia="仿宋_GB2312"/>
              </w:rPr>
            </w:r>
            <w:r/>
          </w:p>
        </w:tc>
        <w:tc>
          <w:tcPr>
            <w:gridSpan w:val="2"/>
            <w:tcW w:w="1275" w:type="dxa"/>
            <w:vAlign w:val="center"/>
            <w:textDirection w:val="lrTb"/>
            <w:noWrap w:val="false"/>
          </w:tcPr>
          <w:p>
            <w:pPr>
              <w:pStyle w:val="961"/>
              <w:jc w:val="center"/>
              <w:spacing w:line="340" w:lineRule="exact"/>
              <w:rPr>
                <w:rFonts w:hint="eastAsia" w:ascii="仿宋_GB2312" w:hAnsi="仿宋" w:eastAsia="仿宋_GB2312"/>
              </w:rPr>
            </w:pPr>
            <w:r/>
            <w:bookmarkStart w:id="115" w:name="OLE_LINK68"/>
            <w:r/>
            <w:bookmarkStart w:id="116" w:name="OLE_LINK67"/>
            <w:r>
              <w:rPr>
                <w:rFonts w:hint="eastAsia" w:ascii="仿宋_GB2312" w:hAnsi="仿宋" w:eastAsia="仿宋_GB2312"/>
              </w:rPr>
              <w:t xml:space="preserve">技术要求</w:t>
            </w:r>
            <w:r/>
          </w:p>
          <w:p>
            <w:pPr>
              <w:pStyle w:val="961"/>
              <w:jc w:val="center"/>
              <w:spacing w:line="340" w:lineRule="exact"/>
              <w:rPr>
                <w:rFonts w:hint="eastAsia" w:ascii="仿宋_GB2312" w:hAnsi="仿宋" w:eastAsia="仿宋_GB2312"/>
              </w:rPr>
            </w:pPr>
            <w:r>
              <w:rPr>
                <w:rFonts w:hint="eastAsia" w:ascii="仿宋_GB2312" w:hAnsi="仿宋" w:eastAsia="仿宋_GB2312"/>
              </w:rPr>
              <w:t xml:space="preserve">响应</w:t>
            </w:r>
            <w:bookmarkEnd w:id="115"/>
            <w:r/>
            <w:bookmarkEnd w:id="116"/>
            <w:r>
              <w:rPr>
                <w:rFonts w:hint="eastAsia" w:ascii="仿宋_GB2312" w:hAnsi="仿宋" w:eastAsia="仿宋_GB2312"/>
              </w:rPr>
            </w:r>
            <w:r/>
          </w:p>
        </w:tc>
        <w:tc>
          <w:tcPr>
            <w:gridSpan w:val="3"/>
            <w:tcW w:w="6768" w:type="dxa"/>
            <w:vAlign w:val="center"/>
            <w:textDirection w:val="lrTb"/>
            <w:noWrap w:val="false"/>
          </w:tcPr>
          <w:p>
            <w:pPr>
              <w:pStyle w:val="961"/>
              <w:jc w:val="left"/>
              <w:spacing w:line="340" w:lineRule="exact"/>
              <w:rPr>
                <w:rFonts w:hint="eastAsia" w:ascii="仿宋_GB2312" w:hAnsi="仿宋" w:eastAsia="仿宋_GB2312"/>
              </w:rPr>
            </w:pPr>
            <w:r/>
            <w:bookmarkStart w:id="117" w:name="OLE_LINK46"/>
            <w:r/>
            <w:bookmarkStart w:id="118" w:name="OLE_LINK49"/>
            <w:r>
              <w:rPr>
                <w:rFonts w:hint="eastAsia" w:ascii="仿宋_GB2312" w:hAnsi="仿宋" w:eastAsia="仿宋_GB2312"/>
              </w:rPr>
              <w:t xml:space="preserve">如磋商后技术要求有变动的，按磋商后确定的商务要求提供相应材料</w:t>
            </w:r>
            <w:bookmarkEnd w:id="117"/>
            <w:r/>
            <w:bookmarkEnd w:id="118"/>
            <w:r>
              <w:rPr>
                <w:rFonts w:hint="eastAsia" w:ascii="仿宋_GB2312" w:hAnsi="仿宋" w:eastAsia="仿宋_GB2312"/>
              </w:rPr>
            </w:r>
            <w:r/>
          </w:p>
        </w:tc>
      </w:tr>
      <w:tr>
        <w:trPr>
          <w:cantSplit/>
          <w:trHeight w:val="794"/>
        </w:trPr>
        <w:tc>
          <w:tcPr>
            <w:tcW w:w="1248" w:type="dxa"/>
            <w:vAlign w:val="center"/>
            <w:vMerge w:val="continue"/>
            <w:textDirection w:val="lrTb"/>
            <w:noWrap w:val="false"/>
          </w:tcPr>
          <w:p>
            <w:pPr>
              <w:pStyle w:val="961"/>
              <w:jc w:val="center"/>
              <w:spacing w:line="400" w:lineRule="exact"/>
              <w:rPr>
                <w:rFonts w:hint="eastAsia" w:ascii="仿宋_GB2312" w:hAnsi="仿宋" w:eastAsia="仿宋_GB2312"/>
              </w:rPr>
            </w:pPr>
            <w:r/>
            <w:bookmarkStart w:id="119" w:name="OLE_LINK34"/>
            <w:r/>
            <w:bookmarkStart w:id="120" w:name="OLE_LINK35"/>
            <w:r/>
            <w:bookmarkStart w:id="121" w:name="_Hlk226985803"/>
            <w:r>
              <w:rPr>
                <w:rFonts w:hint="eastAsia" w:ascii="仿宋_GB2312" w:hAnsi="仿宋" w:eastAsia="仿宋_GB2312"/>
              </w:rPr>
            </w:r>
            <w:r/>
          </w:p>
        </w:tc>
        <w:tc>
          <w:tcPr>
            <w:gridSpan w:val="2"/>
            <w:tcW w:w="1275" w:type="dxa"/>
            <w:vAlign w:val="center"/>
            <w:textDirection w:val="lrTb"/>
            <w:noWrap w:val="false"/>
          </w:tcPr>
          <w:p>
            <w:pPr>
              <w:pStyle w:val="961"/>
              <w:jc w:val="center"/>
              <w:spacing w:line="340" w:lineRule="exact"/>
              <w:rPr>
                <w:rFonts w:hint="eastAsia" w:ascii="仿宋_GB2312" w:hAnsi="仿宋" w:eastAsia="仿宋_GB2312"/>
              </w:rPr>
            </w:pPr>
            <w:r/>
            <w:bookmarkStart w:id="122" w:name="OLE_LINK60"/>
            <w:r/>
            <w:bookmarkStart w:id="123" w:name="OLE_LINK59"/>
            <w:r>
              <w:rPr>
                <w:rFonts w:hint="eastAsia" w:ascii="仿宋_GB2312" w:hAnsi="仿宋" w:eastAsia="仿宋_GB2312"/>
              </w:rPr>
              <w:t xml:space="preserve">商务要求</w:t>
            </w:r>
            <w:r/>
          </w:p>
          <w:p>
            <w:pPr>
              <w:pStyle w:val="961"/>
              <w:jc w:val="center"/>
              <w:spacing w:line="340" w:lineRule="exact"/>
              <w:rPr>
                <w:rFonts w:hint="eastAsia" w:ascii="仿宋_GB2312" w:hAnsi="仿宋" w:eastAsia="仿宋_GB2312"/>
              </w:rPr>
            </w:pPr>
            <w:r>
              <w:rPr>
                <w:rFonts w:hint="eastAsia" w:ascii="仿宋_GB2312" w:hAnsi="仿宋" w:eastAsia="仿宋_GB2312"/>
              </w:rPr>
              <w:t xml:space="preserve">响应</w:t>
            </w:r>
            <w:bookmarkEnd w:id="122"/>
            <w:r/>
            <w:bookmarkEnd w:id="123"/>
            <w:r>
              <w:rPr>
                <w:rFonts w:hint="eastAsia" w:ascii="仿宋_GB2312" w:hAnsi="仿宋" w:eastAsia="仿宋_GB2312"/>
              </w:rPr>
            </w:r>
            <w:r/>
          </w:p>
        </w:tc>
        <w:tc>
          <w:tcPr>
            <w:gridSpan w:val="3"/>
            <w:tcW w:w="6768" w:type="dxa"/>
            <w:vAlign w:val="center"/>
            <w:textDirection w:val="lrTb"/>
            <w:noWrap w:val="false"/>
          </w:tcPr>
          <w:p>
            <w:pPr>
              <w:pStyle w:val="961"/>
              <w:jc w:val="left"/>
              <w:spacing w:line="340" w:lineRule="exact"/>
              <w:rPr>
                <w:rFonts w:hint="eastAsia" w:ascii="仿宋_GB2312" w:hAnsi="仿宋" w:eastAsia="仿宋_GB2312"/>
              </w:rPr>
            </w:pPr>
            <w:r/>
            <w:bookmarkStart w:id="124" w:name="OLE_LINK42"/>
            <w:r/>
            <w:bookmarkStart w:id="125" w:name="OLE_LINK43"/>
            <w:r/>
            <w:bookmarkStart w:id="126" w:name="OLE_LINK133"/>
            <w:r/>
            <w:bookmarkStart w:id="127" w:name="OLE_LINK61"/>
            <w:r>
              <w:rPr>
                <w:rFonts w:hint="eastAsia" w:ascii="仿宋_GB2312" w:hAnsi="仿宋" w:eastAsia="仿宋_GB2312"/>
              </w:rPr>
              <w:t xml:space="preserve">如磋商后商务要求有变动的，按磋商后确定的商务要求提供相应材料</w:t>
            </w:r>
            <w:bookmarkEnd w:id="124"/>
            <w:r/>
            <w:bookmarkEnd w:id="125"/>
            <w:r/>
            <w:bookmarkEnd w:id="126"/>
            <w:r/>
            <w:bookmarkEnd w:id="127"/>
            <w:r>
              <w:rPr>
                <w:rFonts w:hint="eastAsia" w:ascii="仿宋_GB2312" w:hAnsi="仿宋" w:eastAsia="仿宋_GB2312"/>
              </w:rPr>
            </w:r>
            <w:r/>
          </w:p>
        </w:tc>
      </w:tr>
      <w:tr>
        <w:trPr>
          <w:cantSplit/>
          <w:trHeight w:val="692"/>
        </w:trPr>
        <w:tc>
          <w:tcPr>
            <w:tcW w:w="1248" w:type="dxa"/>
            <w:vAlign w:val="center"/>
            <w:vMerge w:val="continue"/>
            <w:textDirection w:val="lrTb"/>
            <w:noWrap w:val="false"/>
          </w:tcPr>
          <w:p>
            <w:pPr>
              <w:pStyle w:val="961"/>
              <w:jc w:val="center"/>
              <w:spacing w:line="400" w:lineRule="exact"/>
              <w:rPr>
                <w:rFonts w:hint="eastAsia" w:ascii="仿宋_GB2312" w:hAnsi="仿宋" w:eastAsia="仿宋_GB2312"/>
              </w:rPr>
            </w:pPr>
            <w:r/>
            <w:bookmarkEnd w:id="119"/>
            <w:r/>
            <w:bookmarkEnd w:id="120"/>
            <w:r/>
            <w:bookmarkEnd w:id="121"/>
            <w:r>
              <w:rPr>
                <w:rFonts w:hint="eastAsia" w:ascii="仿宋_GB2312" w:hAnsi="仿宋" w:eastAsia="仿宋_GB2312"/>
              </w:rPr>
            </w:r>
            <w:r/>
          </w:p>
        </w:tc>
        <w:tc>
          <w:tcPr>
            <w:gridSpan w:val="2"/>
            <w:tcW w:w="1275" w:type="dxa"/>
            <w:vAlign w:val="center"/>
            <w:textDirection w:val="lrTb"/>
            <w:noWrap w:val="false"/>
          </w:tcPr>
          <w:p>
            <w:pPr>
              <w:pStyle w:val="961"/>
              <w:jc w:val="center"/>
              <w:spacing w:line="340" w:lineRule="exact"/>
              <w:rPr>
                <w:rFonts w:hint="eastAsia" w:ascii="仿宋_GB2312" w:hAnsi="仿宋" w:eastAsia="仿宋_GB2312"/>
              </w:rPr>
            </w:pPr>
            <w:r/>
            <w:bookmarkStart w:id="128" w:name="OLE_LINK64"/>
            <w:r/>
            <w:bookmarkStart w:id="129" w:name="OLE_LINK65"/>
            <w:r>
              <w:rPr>
                <w:rFonts w:hint="eastAsia" w:ascii="仿宋_GB2312" w:hAnsi="仿宋" w:eastAsia="仿宋_GB2312"/>
              </w:rPr>
              <w:t xml:space="preserve">合同草案条款响应</w:t>
            </w:r>
            <w:bookmarkEnd w:id="128"/>
            <w:r/>
            <w:bookmarkEnd w:id="129"/>
            <w:r>
              <w:rPr>
                <w:rFonts w:hint="eastAsia" w:ascii="仿宋_GB2312" w:hAnsi="仿宋" w:eastAsia="仿宋_GB2312"/>
              </w:rPr>
            </w:r>
            <w:r/>
          </w:p>
        </w:tc>
        <w:tc>
          <w:tcPr>
            <w:gridSpan w:val="3"/>
            <w:tcW w:w="6768" w:type="dxa"/>
            <w:vAlign w:val="center"/>
            <w:textDirection w:val="lrTb"/>
            <w:noWrap w:val="false"/>
          </w:tcPr>
          <w:p>
            <w:pPr>
              <w:pStyle w:val="961"/>
              <w:jc w:val="left"/>
              <w:spacing w:line="340" w:lineRule="exact"/>
              <w:rPr>
                <w:rFonts w:hint="eastAsia" w:ascii="仿宋_GB2312" w:hAnsi="仿宋" w:eastAsia="仿宋_GB2312"/>
              </w:rPr>
            </w:pPr>
            <w:r/>
            <w:bookmarkStart w:id="130" w:name="OLE_LINK44"/>
            <w:r/>
            <w:bookmarkStart w:id="131" w:name="OLE_LINK45"/>
            <w:r/>
            <w:bookmarkStart w:id="132" w:name="OLE_LINK66"/>
            <w:r/>
            <w:bookmarkStart w:id="133" w:name="OLE_LINK134"/>
            <w:r/>
            <w:bookmarkStart w:id="134" w:name="OLE_LINK37"/>
            <w:r>
              <w:rPr>
                <w:rFonts w:hint="eastAsia" w:ascii="仿宋_GB2312" w:hAnsi="仿宋" w:eastAsia="仿宋_GB2312"/>
              </w:rPr>
              <w:t xml:space="preserve">如磋商后合同草案条款有变动的，按磋商后确定的合同草案条款响应</w:t>
            </w:r>
            <w:bookmarkEnd w:id="130"/>
            <w:r/>
            <w:bookmarkEnd w:id="131"/>
            <w:r/>
            <w:bookmarkEnd w:id="132"/>
            <w:r/>
            <w:bookmarkEnd w:id="133"/>
            <w:r/>
            <w:bookmarkEnd w:id="134"/>
            <w:r>
              <w:rPr>
                <w:rFonts w:hint="eastAsia" w:ascii="仿宋_GB2312" w:hAnsi="仿宋" w:eastAsia="仿宋_GB2312"/>
              </w:rPr>
            </w:r>
            <w:r/>
          </w:p>
        </w:tc>
      </w:tr>
      <w:tr>
        <w:trPr>
          <w:trHeight w:val="307"/>
        </w:trPr>
        <w:tc>
          <w:tcPr>
            <w:gridSpan w:val="6"/>
            <w:tcW w:w="9291" w:type="dxa"/>
            <w:vAlign w:val="center"/>
            <w:textDirection w:val="lrTb"/>
            <w:noWrap w:val="false"/>
          </w:tcPr>
          <w:p>
            <w:pPr>
              <w:pStyle w:val="961"/>
              <w:jc w:val="center"/>
              <w:spacing w:line="400" w:lineRule="exact"/>
              <w:rPr>
                <w:rFonts w:hint="eastAsia" w:ascii="仿宋_GB2312" w:hAnsi="仿宋" w:eastAsia="仿宋_GB2312"/>
                <w:b/>
              </w:rPr>
            </w:pPr>
            <w:r>
              <w:rPr>
                <w:rFonts w:hint="eastAsia" w:ascii="仿宋_GB2312" w:hAnsi="仿宋" w:eastAsia="仿宋_GB2312"/>
                <w:b/>
              </w:rPr>
              <w:t xml:space="preserve">响应文件不符合评审标准之一的，评审结论为不合格。</w:t>
            </w:r>
            <w:r/>
          </w:p>
        </w:tc>
      </w:tr>
      <w:tr>
        <w:trPr>
          <w:trHeight w:val="410"/>
        </w:trPr>
        <w:tc>
          <w:tcPr>
            <w:gridSpan w:val="6"/>
            <w:tcBorders>
              <w:top w:val="single" w:color="000000" w:sz="4" w:space="0"/>
              <w:left w:val="single" w:color="000000" w:sz="4" w:space="0"/>
              <w:bottom w:val="single" w:color="000000" w:sz="4" w:space="0"/>
              <w:right w:val="single" w:color="000000" w:sz="4" w:space="0"/>
            </w:tcBorders>
            <w:tcW w:w="9290" w:type="dxa"/>
            <w:vAlign w:val="center"/>
            <w:textDirection w:val="lrTb"/>
            <w:noWrap w:val="false"/>
          </w:tcPr>
          <w:p>
            <w:pPr>
              <w:pStyle w:val="961"/>
              <w:jc w:val="center"/>
              <w:spacing w:line="400" w:lineRule="exact"/>
              <w:rPr>
                <w:rFonts w:hint="eastAsia" w:ascii="仿宋" w:hAnsi="仿宋" w:eastAsia="仿宋" w:cs="方正仿宋_GB2312"/>
                <w:b/>
                <w:bCs/>
                <w:szCs w:val="21"/>
              </w:rPr>
              <w:framePr w:hSpace="180" w:wrap="around" w:vAnchor="text" w:hAnchor="margin" w:xAlign="center" w:y="70"/>
            </w:pPr>
            <w:r>
              <w:rPr>
                <w:rFonts w:hint="eastAsia" w:ascii="仿宋" w:hAnsi="仿宋" w:eastAsia="仿宋"/>
                <w:b/>
              </w:rPr>
              <w:t xml:space="preserve">1.3详细评审</w:t>
            </w:r>
            <w:r>
              <w:rPr>
                <w:rFonts w:hint="eastAsia" w:ascii="仿宋" w:hAnsi="仿宋" w:eastAsia="仿宋" w:cs="方正仿宋_GB2312"/>
                <w:b/>
                <w:bCs/>
                <w:szCs w:val="21"/>
              </w:rPr>
            </w:r>
            <w:r/>
          </w:p>
        </w:tc>
      </w:tr>
      <w:tr>
        <w:trPr>
          <w:trHeight w:val="416"/>
        </w:trPr>
        <w:tc>
          <w:tcPr>
            <w:gridSpan w:val="2"/>
            <w:tcBorders>
              <w:top w:val="single" w:color="000000" w:sz="4" w:space="0"/>
              <w:left w:val="single" w:color="000000" w:sz="4" w:space="0"/>
              <w:bottom w:val="single" w:color="000000" w:sz="4" w:space="0"/>
              <w:right w:val="single" w:color="000000" w:sz="4" w:space="0"/>
            </w:tcBorders>
            <w:tcW w:w="1352" w:type="dxa"/>
            <w:vAlign w:val="center"/>
            <w:textDirection w:val="lrTb"/>
            <w:noWrap w:val="false"/>
          </w:tcPr>
          <w:p>
            <w:pPr>
              <w:pStyle w:val="961"/>
              <w:jc w:val="center"/>
              <w:spacing w:line="240" w:lineRule="exact"/>
              <w:widowControl/>
              <w:rPr>
                <w:rFonts w:ascii="仿宋" w:hAnsi="仿宋" w:eastAsia="仿宋" w:cs="方正仿宋_GB2312"/>
                <w:szCs w:val="21"/>
              </w:rPr>
              <w:framePr w:hSpace="180" w:wrap="around" w:vAnchor="text" w:hAnchor="margin" w:xAlign="center" w:y="70"/>
            </w:pPr>
            <w:r>
              <w:rPr>
                <w:rFonts w:hint="eastAsia" w:ascii="仿宋" w:hAnsi="仿宋" w:eastAsia="仿宋" w:cs="方正仿宋_GB2312"/>
                <w:szCs w:val="21"/>
              </w:rPr>
              <w:t xml:space="preserve">评审项目</w:t>
            </w:r>
            <w:r>
              <w:rPr>
                <w:rFonts w:ascii="仿宋" w:hAnsi="仿宋" w:eastAsia="仿宋" w:cs="方正仿宋_GB2312"/>
                <w:szCs w:val="21"/>
              </w:rPr>
            </w:r>
            <w:r/>
          </w:p>
        </w:tc>
        <w:tc>
          <w:tcPr>
            <w:gridSpan w:val="2"/>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961"/>
              <w:jc w:val="center"/>
              <w:spacing w:line="240" w:lineRule="exact"/>
              <w:widowControl/>
              <w:rPr>
                <w:rFonts w:hint="eastAsia" w:ascii="仿宋" w:hAnsi="仿宋" w:eastAsia="仿宋" w:cs="方正仿宋_GB2312"/>
                <w:sz w:val="21"/>
                <w:szCs w:val="21"/>
              </w:rPr>
              <w:framePr w:hSpace="180" w:wrap="around" w:vAnchor="text" w:hAnchor="margin" w:xAlign="center" w:y="70"/>
            </w:pPr>
            <w:r>
              <w:rPr>
                <w:rFonts w:hint="eastAsia" w:ascii="仿宋" w:hAnsi="仿宋" w:eastAsia="仿宋" w:cs="方正仿宋_GB2312"/>
                <w:szCs w:val="21"/>
              </w:rPr>
              <w:t xml:space="preserve">评审因素</w:t>
            </w:r>
            <w:r>
              <w:rPr>
                <w:rFonts w:hint="eastAsia" w:ascii="仿宋" w:hAnsi="仿宋" w:eastAsia="仿宋" w:cs="方正仿宋_GB2312"/>
                <w:sz w:val="21"/>
                <w:szCs w:val="21"/>
              </w:rPr>
            </w:r>
            <w:r/>
          </w:p>
        </w:tc>
        <w:tc>
          <w:tcPr>
            <w:gridSpan w:val="2"/>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pStyle w:val="961"/>
              <w:jc w:val="center"/>
              <w:spacing w:line="240" w:lineRule="exact"/>
              <w:widowControl/>
              <w:rPr>
                <w:rFonts w:hint="eastAsia" w:ascii="仿宋" w:hAnsi="仿宋" w:eastAsia="仿宋" w:cs="方正仿宋_GB2312"/>
                <w:sz w:val="21"/>
                <w:szCs w:val="21"/>
              </w:rPr>
              <w:framePr w:hSpace="180" w:wrap="around" w:vAnchor="text" w:hAnchor="margin" w:xAlign="center" w:y="70"/>
            </w:pPr>
            <w:r>
              <w:rPr>
                <w:rFonts w:hint="eastAsia" w:ascii="仿宋" w:hAnsi="仿宋" w:eastAsia="仿宋" w:cs="方正仿宋_GB2312"/>
                <w:szCs w:val="21"/>
              </w:rPr>
              <w:t xml:space="preserve">评审内容及标准</w:t>
            </w:r>
            <w:r>
              <w:rPr>
                <w:rFonts w:hint="eastAsia" w:ascii="仿宋" w:hAnsi="仿宋" w:eastAsia="仿宋" w:cs="方正仿宋_GB2312"/>
                <w:sz w:val="21"/>
                <w:szCs w:val="21"/>
              </w:rPr>
            </w:r>
            <w:r/>
          </w:p>
        </w:tc>
      </w:tr>
      <w:tr>
        <w:trPr>
          <w:trHeight w:val="983"/>
        </w:trPr>
        <w:tc>
          <w:tcPr>
            <w:gridSpan w:val="2"/>
            <w:tcBorders>
              <w:top w:val="single" w:color="000000" w:sz="4" w:space="0"/>
              <w:left w:val="single" w:color="000000" w:sz="4" w:space="0"/>
              <w:bottom w:val="single" w:color="000000" w:sz="4" w:space="0"/>
              <w:right w:val="single" w:color="000000" w:sz="4" w:space="0"/>
            </w:tcBorders>
            <w:tcW w:w="1352" w:type="dxa"/>
            <w:vAlign w:val="center"/>
            <w:textDirection w:val="lrTb"/>
            <w:noWrap w:val="false"/>
          </w:tcPr>
          <w:p>
            <w:pPr>
              <w:pStyle w:val="961"/>
              <w:jc w:val="center"/>
              <w:spacing w:line="350" w:lineRule="exact"/>
              <w:widowControl/>
              <w:rPr>
                <w:rFonts w:hint="eastAsia" w:ascii="仿宋" w:hAnsi="仿宋" w:eastAsia="仿宋" w:cs="仿宋"/>
                <w:szCs w:val="21"/>
              </w:rPr>
              <w:framePr w:hSpace="180" w:wrap="around" w:vAnchor="text" w:hAnchor="margin" w:xAlign="center" w:y="70"/>
            </w:pPr>
            <w:r/>
            <w:bookmarkStart w:id="135" w:name="OLE_LINK51"/>
            <w:r/>
            <w:bookmarkStart w:id="136" w:name="OLE_LINK135"/>
            <w:r/>
            <w:bookmarkStart w:id="137" w:name="OLE_LINK136"/>
            <w:r/>
            <w:bookmarkStart w:id="138" w:name="_Hlk207700849"/>
            <w:r/>
            <w:bookmarkStart w:id="139" w:name="OLE_LINK50"/>
            <w:r/>
            <w:bookmarkStart w:id="140" w:name="OLE_LINK38"/>
            <w:r/>
            <w:bookmarkStart w:id="141" w:name="OLE_LINK62"/>
            <w:r/>
            <w:bookmarkStart w:id="142" w:name="_Hlk226985842"/>
            <w:r>
              <w:rPr>
                <w:rFonts w:hint="eastAsia" w:ascii="仿宋" w:hAnsi="仿宋" w:eastAsia="仿宋" w:cs="仿宋"/>
                <w:szCs w:val="21"/>
              </w:rPr>
              <w:t xml:space="preserve">价格部分</w:t>
            </w:r>
            <w:r/>
          </w:p>
          <w:p>
            <w:pPr>
              <w:pStyle w:val="961"/>
              <w:jc w:val="center"/>
              <w:spacing w:line="350" w:lineRule="exact"/>
              <w:widowControl/>
              <w:rPr>
                <w:rFonts w:ascii="仿宋" w:hAnsi="仿宋" w:eastAsia="仿宋" w:cs="仿宋"/>
                <w:szCs w:val="21"/>
              </w:rPr>
              <w:framePr w:hSpace="180" w:wrap="around" w:vAnchor="text" w:hAnchor="margin" w:xAlign="center" w:y="70"/>
            </w:pPr>
            <w:r>
              <w:rPr>
                <w:rFonts w:hint="eastAsia" w:ascii="仿宋" w:hAnsi="仿宋" w:eastAsia="仿宋" w:cs="仿宋"/>
                <w:szCs w:val="21"/>
              </w:rPr>
              <w:t xml:space="preserve">（10分）</w:t>
            </w:r>
            <w:r>
              <w:rPr>
                <w:rFonts w:ascii="仿宋" w:hAnsi="仿宋" w:eastAsia="仿宋" w:cs="仿宋"/>
                <w:szCs w:val="21"/>
              </w:rPr>
            </w:r>
            <w:r/>
          </w:p>
        </w:tc>
        <w:tc>
          <w:tcPr>
            <w:gridSpan w:val="2"/>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961"/>
              <w:jc w:val="center"/>
              <w:spacing w:line="350" w:lineRule="exact"/>
              <w:widowControl/>
              <w:rPr>
                <w:rFonts w:hint="eastAsia" w:ascii="仿宋" w:hAnsi="仿宋" w:eastAsia="仿宋" w:cs="仿宋"/>
                <w:szCs w:val="21"/>
              </w:rPr>
              <w:framePr w:hSpace="180" w:wrap="around" w:vAnchor="text" w:hAnchor="margin" w:xAlign="center" w:y="70"/>
            </w:pPr>
            <w:r>
              <w:rPr>
                <w:rFonts w:hint="eastAsia" w:ascii="仿宋" w:hAnsi="仿宋" w:eastAsia="仿宋" w:cs="仿宋"/>
                <w:szCs w:val="21"/>
              </w:rPr>
              <w:t xml:space="preserve">报价评审           （10分）</w:t>
            </w:r>
            <w:r/>
          </w:p>
        </w:tc>
        <w:tc>
          <w:tcPr>
            <w:gridSpan w:val="2"/>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pStyle w:val="961"/>
              <w:spacing w:line="360" w:lineRule="exact"/>
              <w:rPr>
                <w:rFonts w:ascii="仿宋" w:hAnsi="仿宋" w:eastAsia="仿宋" w:cs="仿宋"/>
                <w:szCs w:val="21"/>
              </w:rPr>
              <w:framePr w:hSpace="180" w:wrap="around" w:vAnchor="text" w:hAnchor="margin" w:xAlign="center" w:y="70"/>
            </w:pPr>
            <w:r/>
            <w:bookmarkStart w:id="143" w:name="OLE_LINK72"/>
            <w:r/>
            <w:bookmarkStart w:id="144" w:name="OLE_LINK73"/>
            <w:r>
              <w:rPr>
                <w:rFonts w:hint="eastAsia" w:ascii="仿宋" w:hAnsi="仿宋" w:eastAsia="仿宋" w:cs="仿宋"/>
                <w:szCs w:val="21"/>
              </w:rPr>
              <w:t xml:space="preserve">价格分统一采用低价优先法计算，即满足招标文件要求且投标价格最低的投标报价为评标基准价，其价格分为满分，其他招标人的价格分统一按照下列公式计算：</w:t>
            </w:r>
            <w:r>
              <w:rPr>
                <w:rFonts w:ascii="仿宋" w:hAnsi="仿宋" w:eastAsia="仿宋" w:cs="仿宋"/>
                <w:szCs w:val="21"/>
              </w:rPr>
            </w:r>
            <w:r/>
          </w:p>
          <w:p>
            <w:pPr>
              <w:pStyle w:val="961"/>
              <w:rPr>
                <w:rFonts w:hint="eastAsia" w:ascii="仿宋" w:hAnsi="仿宋" w:eastAsia="仿宋" w:cs="仿宋"/>
                <w:szCs w:val="21"/>
              </w:rPr>
              <w:framePr w:hSpace="180" w:wrap="around" w:vAnchor="text" w:hAnchor="margin" w:xAlign="center" w:y="70"/>
            </w:pPr>
            <w:r>
              <w:rPr>
                <w:rFonts w:hint="eastAsia" w:ascii="仿宋" w:hAnsi="仿宋" w:eastAsia="仿宋" w:cs="仿宋"/>
                <w:szCs w:val="21"/>
              </w:rPr>
              <w:t xml:space="preserve">投标报价得分＝（评标基准价/投标报价）×10分。</w:t>
            </w:r>
            <w:bookmarkStart w:id="145" w:name="OLE_LINK25"/>
            <w:r/>
            <w:bookmarkStart w:id="146" w:name="OLE_LINK28"/>
            <w:r>
              <w:rPr>
                <w:rFonts w:hint="eastAsia" w:ascii="仿宋" w:hAnsi="仿宋" w:eastAsia="仿宋" w:cs="仿宋"/>
                <w:szCs w:val="21"/>
              </w:rPr>
            </w:r>
            <w:r/>
          </w:p>
          <w:p>
            <w:pPr>
              <w:pStyle w:val="961"/>
              <w:rPr>
                <w:rFonts w:ascii="仿宋" w:hAnsi="仿宋" w:eastAsia="仿宋" w:cs="仿宋"/>
                <w:szCs w:val="21"/>
              </w:rPr>
              <w:framePr w:hSpace="180" w:wrap="around" w:vAnchor="text" w:hAnchor="margin" w:xAlign="center" w:y="70"/>
            </w:pPr>
            <w:r>
              <w:rPr>
                <w:rFonts w:ascii="仿宋" w:hAnsi="仿宋" w:eastAsia="仿宋" w:cs="仿宋"/>
                <w:szCs w:val="21"/>
              </w:rPr>
              <w:t xml:space="preserve">价格扣除：</w:t>
            </w:r>
            <w:r/>
          </w:p>
          <w:p>
            <w:pPr>
              <w:pStyle w:val="961"/>
              <w:rPr>
                <w:rFonts w:hint="eastAsia" w:ascii="仿宋" w:hAnsi="仿宋" w:eastAsia="仿宋" w:cs="仿宋"/>
                <w:szCs w:val="21"/>
              </w:rPr>
              <w:framePr w:hSpace="180" w:wrap="around" w:vAnchor="text" w:hAnchor="margin" w:xAlign="center" w:y="70"/>
            </w:pPr>
            <w:r>
              <w:rPr>
                <w:rFonts w:ascii="仿宋" w:hAnsi="仿宋" w:eastAsia="仿宋" w:cs="仿宋"/>
                <w:szCs w:val="21"/>
              </w:rPr>
              <w:t xml:space="preserve">对小型和微型企业产品的价格给予10%的扣除。参加报价的中小企业，应当按照《政府采购促进中小企业发展管理办法》（财库〔2020〕46号）的规定提供《中小企业声明函》（中小企业划型标准详见《关于印发中小企业划型标准规定的通知》工信部联企业〔2011〕300号）。如投标人填写是小、微型企业的，必须提供投标人《中小企业声明函》（格式见附件），如未按要求填写和提供有效证明或相关内容表述不清的，不得享受价格扣除。投标人对所报相关数据的真实性负责。</w:t>
            </w:r>
            <w:r>
              <w:rPr>
                <w:rFonts w:hint="eastAsia" w:ascii="仿宋" w:hAnsi="仿宋" w:eastAsia="仿宋" w:cs="仿宋"/>
                <w:szCs w:val="21"/>
              </w:rPr>
            </w:r>
            <w:r/>
          </w:p>
          <w:p>
            <w:pPr>
              <w:pStyle w:val="961"/>
              <w:rPr>
                <w:rFonts w:hint="eastAsia" w:ascii="仿宋" w:hAnsi="仿宋" w:eastAsia="仿宋" w:cs="仿宋"/>
                <w:szCs w:val="21"/>
              </w:rPr>
              <w:framePr w:hSpace="180" w:wrap="around" w:vAnchor="text" w:hAnchor="margin" w:xAlign="center" w:y="70"/>
            </w:pPr>
            <w:r>
              <w:rPr>
                <w:rFonts w:ascii="仿宋" w:hAnsi="仿宋" w:eastAsia="仿宋" w:cs="仿宋"/>
                <w:szCs w:val="21"/>
              </w:rPr>
              <w:t xml:space="preserve">各供应商应慎重报价，不得恶意降价，评审委员会在评审过程中认为供应商报价过低，有可能影响产品质量或者不能诚信履约的，评审委员会将启动异常低价投标审查程序。具体异常低价的情形及相关内容按照</w:t>
            </w:r>
            <w:bookmarkStart w:id="147" w:name="OLE_LINK39"/>
            <w:r/>
            <w:bookmarkStart w:id="148" w:name="OLE_LINK36"/>
            <w:r>
              <w:rPr>
                <w:rFonts w:hint="eastAsia" w:ascii="仿宋" w:hAnsi="仿宋" w:eastAsia="仿宋" w:cs="仿宋"/>
                <w:szCs w:val="21"/>
              </w:rPr>
              <w:t xml:space="preserve">财库</w:t>
            </w:r>
            <w:r>
              <w:rPr>
                <w:rFonts w:ascii="仿宋" w:hAnsi="仿宋" w:eastAsia="仿宋" w:cs="仿宋"/>
                <w:szCs w:val="21"/>
              </w:rPr>
              <w:t xml:space="preserve">[202</w:t>
            </w:r>
            <w:r>
              <w:rPr>
                <w:rFonts w:hint="eastAsia" w:ascii="仿宋" w:hAnsi="仿宋" w:eastAsia="仿宋" w:cs="仿宋"/>
                <w:szCs w:val="21"/>
              </w:rPr>
              <w:t xml:space="preserve">6</w:t>
            </w:r>
            <w:r>
              <w:rPr>
                <w:rFonts w:ascii="仿宋" w:hAnsi="仿宋" w:eastAsia="仿宋" w:cs="仿宋"/>
                <w:szCs w:val="21"/>
              </w:rPr>
              <w:t xml:space="preserve">]</w:t>
            </w:r>
            <w:r>
              <w:rPr>
                <w:rFonts w:hint="eastAsia" w:ascii="仿宋" w:hAnsi="仿宋" w:eastAsia="仿宋" w:cs="仿宋"/>
                <w:szCs w:val="21"/>
              </w:rPr>
              <w:t xml:space="preserve">2</w:t>
            </w:r>
            <w:bookmarkEnd w:id="147"/>
            <w:r/>
            <w:bookmarkEnd w:id="148"/>
            <w:r>
              <w:rPr>
                <w:rFonts w:ascii="仿宋" w:hAnsi="仿宋" w:eastAsia="仿宋" w:cs="仿宋"/>
                <w:szCs w:val="21"/>
              </w:rPr>
              <w:t xml:space="preserve">号文件规定执行。若投标报价出现</w:t>
            </w:r>
            <w:r>
              <w:rPr>
                <w:rFonts w:hint="eastAsia" w:ascii="仿宋" w:hAnsi="仿宋" w:eastAsia="仿宋" w:cs="仿宋"/>
                <w:szCs w:val="21"/>
              </w:rPr>
              <w:t xml:space="preserve">财库[2026]2号</w:t>
            </w:r>
            <w:r>
              <w:rPr>
                <w:rFonts w:ascii="仿宋" w:hAnsi="仿宋" w:eastAsia="仿宋" w:cs="仿宋"/>
                <w:szCs w:val="21"/>
              </w:rPr>
              <w:t xml:space="preserve">文件第二条（一）第1条投标（响应）报价低于全部通过符合性审查供应商投标（响应）报价平均值50%的，即投标（响应）报价&lt;全部通过符合性审查供应商投标（响应）报价平均值×50%；</w:t>
            </w:r>
            <w:bookmarkStart w:id="149" w:name="OLE_LINK26"/>
            <w:r/>
            <w:bookmarkStart w:id="150" w:name="OLE_LINK27"/>
            <w:r>
              <w:rPr>
                <w:rFonts w:ascii="仿宋" w:hAnsi="仿宋" w:eastAsia="仿宋" w:cs="仿宋"/>
                <w:szCs w:val="21"/>
              </w:rPr>
              <w:t xml:space="preserve">第2条</w:t>
            </w:r>
            <w:bookmarkEnd w:id="149"/>
            <w:r/>
            <w:bookmarkEnd w:id="150"/>
            <w:r>
              <w:rPr>
                <w:rFonts w:ascii="仿宋" w:hAnsi="仿宋" w:eastAsia="仿宋" w:cs="仿宋"/>
                <w:szCs w:val="21"/>
              </w:rPr>
              <w:t xml:space="preserve">投标（响应）报价低于通过符合性审查的次低报价供应商投标（响应）报价50%的，即投标（响应）报价&lt;通过符合性审查的次低报价供应商投标（响应）报价×50%；第</w:t>
            </w:r>
            <w:r>
              <w:rPr>
                <w:rFonts w:hint="eastAsia" w:ascii="仿宋" w:hAnsi="仿宋" w:eastAsia="仿宋" w:cs="仿宋"/>
                <w:szCs w:val="21"/>
              </w:rPr>
              <w:t xml:space="preserve">3</w:t>
            </w:r>
            <w:r>
              <w:rPr>
                <w:rFonts w:ascii="仿宋" w:hAnsi="仿宋" w:eastAsia="仿宋" w:cs="仿宋"/>
                <w:szCs w:val="21"/>
              </w:rPr>
              <w:t xml:space="preserve">条投标（响应）报价低于采购项目最高限价45%的，即投标（响应）报价&lt;采购项目最高限价×45%情形</w:t>
            </w:r>
            <w:r>
              <w:rPr>
                <w:rFonts w:hint="eastAsia" w:ascii="仿宋" w:hAnsi="仿宋" w:eastAsia="仿宋" w:cs="仿宋"/>
                <w:szCs w:val="21"/>
              </w:rPr>
              <w:t xml:space="preserve">及第四条</w:t>
            </w:r>
            <w:r>
              <w:rPr>
                <w:rFonts w:ascii="仿宋" w:hAnsi="仿宋" w:eastAsia="仿宋" w:cs="仿宋"/>
                <w:szCs w:val="21"/>
              </w:rPr>
              <w:t xml:space="preserve">评审委员会基于专业判断，认为供应商报价过低，有可能影响产品质量或者不能诚信履约的其他情形。</w:t>
            </w:r>
            <w:r>
              <w:rPr>
                <w:rFonts w:hint="eastAsia" w:ascii="仿宋" w:hAnsi="仿宋" w:eastAsia="仿宋" w:cs="仿宋"/>
                <w:szCs w:val="21"/>
              </w:rPr>
            </w:r>
            <w:r/>
          </w:p>
          <w:p>
            <w:pPr>
              <w:pStyle w:val="961"/>
              <w:rPr>
                <w:rFonts w:hint="eastAsia" w:ascii="仿宋" w:hAnsi="仿宋" w:eastAsia="仿宋" w:cs="仿宋"/>
                <w:szCs w:val="21"/>
              </w:rPr>
              <w:framePr w:hSpace="180" w:wrap="around" w:vAnchor="text" w:hAnchor="margin" w:xAlign="center" w:y="70"/>
            </w:pPr>
            <w:r>
              <w:rPr>
                <w:rFonts w:ascii="仿宋" w:hAnsi="仿宋" w:eastAsia="仿宋" w:cs="仿宋"/>
                <w:szCs w:val="21"/>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仿宋" w:hAnsi="仿宋" w:eastAsia="仿宋" w:cs="仿宋"/>
                <w:szCs w:val="21"/>
              </w:rPr>
            </w:r>
            <w:r/>
          </w:p>
          <w:p>
            <w:pPr>
              <w:pStyle w:val="961"/>
              <w:spacing w:line="350" w:lineRule="exact"/>
              <w:widowControl/>
              <w:rPr>
                <w:rFonts w:hint="eastAsia" w:ascii="仿宋" w:hAnsi="仿宋" w:eastAsia="仿宋" w:cs="仿宋"/>
                <w:szCs w:val="21"/>
              </w:rPr>
              <w:framePr w:hSpace="180" w:wrap="around" w:vAnchor="text" w:hAnchor="margin" w:xAlign="center" w:y="70"/>
            </w:pPr>
            <w:r>
              <w:rPr>
                <w:rFonts w:ascii="仿宋" w:hAnsi="仿宋" w:eastAsia="仿宋" w:cs="仿宋"/>
                <w:szCs w:val="21"/>
              </w:rPr>
              <w:t xml:space="preserve">如果投标供应商未提供书面说明、证明材料，或者提供的书面说明、证明材料不能证明其报价合理性的，评标委员会应对其作为无效投标处理。</w:t>
            </w:r>
            <w:bookmarkEnd w:id="143"/>
            <w:r/>
            <w:bookmarkEnd w:id="144"/>
            <w:r/>
            <w:bookmarkEnd w:id="145"/>
            <w:r/>
            <w:bookmarkEnd w:id="146"/>
            <w:r>
              <w:rPr>
                <w:rFonts w:hint="eastAsia" w:ascii="仿宋" w:hAnsi="仿宋" w:eastAsia="仿宋" w:cs="仿宋"/>
                <w:szCs w:val="21"/>
              </w:rPr>
            </w:r>
            <w:r/>
          </w:p>
        </w:tc>
      </w:tr>
      <w:tr>
        <w:trPr>
          <w:cantSplit/>
          <w:trHeight w:val="983"/>
        </w:trPr>
        <w:tc>
          <w:tcPr>
            <w:gridSpan w:val="2"/>
            <w:tcBorders>
              <w:top w:val="single" w:color="000000" w:sz="4" w:space="0"/>
              <w:left w:val="single" w:color="000000" w:sz="4" w:space="0"/>
              <w:right w:val="single" w:color="000000" w:sz="4" w:space="0"/>
            </w:tcBorders>
            <w:tcW w:w="1352" w:type="dxa"/>
            <w:vAlign w:val="center"/>
            <w:vMerge w:val="restart"/>
            <w:textDirection w:val="lrTb"/>
            <w:noWrap w:val="false"/>
          </w:tcPr>
          <w:p>
            <w:pPr>
              <w:pStyle w:val="961"/>
              <w:jc w:val="center"/>
              <w:rPr>
                <w:rFonts w:ascii="仿宋" w:hAnsi="仿宋" w:eastAsia="仿宋" w:cs="仿宋"/>
                <w:szCs w:val="21"/>
              </w:rPr>
              <w:framePr w:hSpace="180" w:wrap="around" w:vAnchor="text" w:hAnchor="margin" w:xAlign="center" w:y="70"/>
            </w:pPr>
            <w:r/>
            <w:bookmarkEnd w:id="140"/>
            <w:r/>
            <w:bookmarkEnd w:id="141"/>
            <w:r/>
            <w:bookmarkEnd w:id="142"/>
            <w:r/>
            <w:bookmarkStart w:id="151" w:name="OLE_LINK195"/>
            <w:r/>
            <w:bookmarkStart w:id="152" w:name="OLE_LINK196"/>
            <w:r/>
            <w:bookmarkStart w:id="153" w:name="_Hlk227855408"/>
            <w:r>
              <w:rPr>
                <w:rFonts w:hint="eastAsia" w:ascii="仿宋" w:hAnsi="仿宋" w:eastAsia="仿宋" w:cs="仿宋"/>
                <w:szCs w:val="21"/>
              </w:rPr>
              <w:t xml:space="preserve">商务</w:t>
            </w:r>
            <w:r>
              <w:rPr>
                <w:rFonts w:ascii="仿宋" w:hAnsi="仿宋" w:eastAsia="仿宋" w:cs="仿宋"/>
                <w:szCs w:val="21"/>
              </w:rPr>
            </w:r>
            <w:r/>
          </w:p>
          <w:p>
            <w:pPr>
              <w:pStyle w:val="961"/>
              <w:jc w:val="center"/>
              <w:rPr>
                <w:rFonts w:ascii="仿宋" w:hAnsi="仿宋" w:eastAsia="仿宋" w:cs="仿宋"/>
                <w:szCs w:val="21"/>
              </w:rPr>
              <w:framePr w:hSpace="180" w:wrap="around" w:vAnchor="text" w:hAnchor="margin" w:xAlign="center" w:y="70"/>
            </w:pPr>
            <w:r>
              <w:rPr>
                <w:rFonts w:hint="eastAsia" w:ascii="仿宋" w:hAnsi="仿宋" w:eastAsia="仿宋" w:cs="仿宋"/>
                <w:szCs w:val="21"/>
              </w:rPr>
              <w:t xml:space="preserve">部分</w:t>
            </w:r>
            <w:r>
              <w:rPr>
                <w:rFonts w:ascii="仿宋" w:hAnsi="仿宋" w:eastAsia="仿宋" w:cs="仿宋"/>
                <w:szCs w:val="21"/>
              </w:rPr>
            </w:r>
            <w:r/>
          </w:p>
          <w:p>
            <w:pPr>
              <w:pStyle w:val="961"/>
              <w:jc w:val="center"/>
              <w:rPr>
                <w:rFonts w:ascii="仿宋" w:hAnsi="仿宋" w:eastAsia="仿宋" w:cs="仿宋"/>
                <w:szCs w:val="21"/>
              </w:rPr>
              <w:framePr w:hSpace="180" w:wrap="around" w:vAnchor="text" w:hAnchor="margin" w:xAlign="center" w:y="70"/>
            </w:pPr>
            <w:r>
              <w:rPr>
                <w:rFonts w:hint="eastAsia" w:ascii="仿宋" w:hAnsi="仿宋" w:eastAsia="仿宋" w:cs="仿宋"/>
                <w:szCs w:val="21"/>
              </w:rPr>
              <w:t xml:space="preserve">（40分）</w:t>
            </w:r>
            <w:r>
              <w:rPr>
                <w:rFonts w:ascii="仿宋" w:hAnsi="仿宋" w:eastAsia="仿宋" w:cs="仿宋"/>
                <w:szCs w:val="21"/>
              </w:rPr>
            </w:r>
            <w:r/>
          </w:p>
        </w:tc>
        <w:tc>
          <w:tcPr>
            <w:gridSpan w:val="2"/>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1010"/>
              <w:jc w:val="center"/>
              <w:rPr>
                <w:rFonts w:hint="eastAsia" w:hAnsi="仿宋"/>
                <w:color w:val="000000"/>
                <w:szCs w:val="21"/>
              </w:rPr>
              <w:framePr w:hSpace="180" w:wrap="around" w:vAnchor="text" w:hAnchor="margin" w:xAlign="center" w:y="70"/>
            </w:pPr>
            <w:r/>
            <w:bookmarkStart w:id="154" w:name="OLE_LINK107"/>
            <w:r/>
            <w:bookmarkStart w:id="155" w:name="OLE_LINK110"/>
            <w:r>
              <w:rPr>
                <w:rFonts w:hint="eastAsia" w:hAnsi="仿宋"/>
                <w:color w:val="000000"/>
                <w:szCs w:val="21"/>
              </w:rPr>
              <w:t xml:space="preserve">类似业绩</w:t>
            </w:r>
            <w:r/>
          </w:p>
          <w:p>
            <w:pPr>
              <w:pStyle w:val="1010"/>
              <w:jc w:val="center"/>
              <w:rPr>
                <w:rFonts w:hAnsi="仿宋"/>
                <w:color w:val="000000"/>
                <w:szCs w:val="21"/>
              </w:rPr>
              <w:framePr w:hSpace="180" w:wrap="around" w:vAnchor="text" w:hAnchor="margin" w:xAlign="center" w:y="70"/>
            </w:pPr>
            <w:r>
              <w:rPr>
                <w:rFonts w:hint="eastAsia" w:hAnsi="仿宋"/>
                <w:color w:val="000000"/>
                <w:szCs w:val="21"/>
              </w:rPr>
              <w:t xml:space="preserve">（8分）</w:t>
            </w:r>
            <w:bookmarkEnd w:id="154"/>
            <w:r/>
            <w:bookmarkEnd w:id="155"/>
            <w:r>
              <w:rPr>
                <w:rFonts w:hAnsi="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pStyle w:val="961"/>
              <w:rPr>
                <w:rFonts w:hint="eastAsia" w:ascii="仿宋" w:hAnsi="仿宋" w:eastAsia="仿宋" w:cs="仿宋"/>
                <w:szCs w:val="21"/>
              </w:rPr>
              <w:framePr w:hSpace="180" w:wrap="around" w:vAnchor="text" w:hAnchor="margin" w:xAlign="center" w:y="70"/>
            </w:pPr>
            <w:r/>
            <w:bookmarkStart w:id="156" w:name="OLE_LINK10"/>
            <w:r/>
            <w:bookmarkStart w:id="157" w:name="OLE_LINK13"/>
            <w:r/>
            <w:bookmarkStart w:id="158" w:name="OLE_LINK111"/>
            <w:r/>
            <w:bookmarkStart w:id="159" w:name="OLE_LINK112"/>
            <w:r>
              <w:rPr>
                <w:rFonts w:hint="eastAsia" w:ascii="仿宋" w:hAnsi="仿宋" w:eastAsia="仿宋" w:cs="仿宋"/>
                <w:szCs w:val="21"/>
              </w:rPr>
              <w:t xml:space="preserve">1、投标人提供2021年1月1日以来，承担过类似</w:t>
            </w:r>
            <w:bookmarkEnd w:id="156"/>
            <w:r/>
            <w:bookmarkEnd w:id="157"/>
            <w:r>
              <w:rPr>
                <w:rFonts w:hint="eastAsia" w:ascii="仿宋" w:hAnsi="仿宋" w:eastAsia="仿宋" w:cs="仿宋"/>
                <w:szCs w:val="21"/>
              </w:rPr>
              <w:t xml:space="preserve">劳务外包服务业绩的，有一个得2分，本项最高得6分。</w:t>
            </w:r>
            <w:r/>
          </w:p>
          <w:p>
            <w:pPr>
              <w:pStyle w:val="961"/>
              <w:rPr>
                <w:rFonts w:ascii="仿宋" w:hAnsi="仿宋" w:eastAsia="仿宋" w:cs="仿宋"/>
                <w:szCs w:val="21"/>
              </w:rPr>
              <w:framePr w:hSpace="180" w:wrap="around" w:vAnchor="text" w:hAnchor="margin" w:xAlign="center" w:y="70"/>
            </w:pPr>
            <w:r/>
            <w:bookmarkEnd w:id="158"/>
            <w:r/>
            <w:bookmarkEnd w:id="159"/>
            <w:r>
              <w:rPr>
                <w:rFonts w:hint="eastAsia" w:ascii="仿宋" w:hAnsi="仿宋" w:eastAsia="仿宋" w:cs="仿宋"/>
                <w:szCs w:val="21"/>
              </w:rPr>
              <w:t xml:space="preserve">2、</w:t>
            </w:r>
            <w:bookmarkStart w:id="160" w:name="OLE_LINK116"/>
            <w:r/>
            <w:bookmarkStart w:id="161" w:name="OLE_LINK117"/>
            <w:r>
              <w:rPr>
                <w:rFonts w:hint="eastAsia" w:ascii="仿宋" w:hAnsi="仿宋" w:eastAsia="仿宋" w:cs="仿宋"/>
                <w:szCs w:val="21"/>
              </w:rPr>
              <w:t xml:space="preserve">投标人提供2021年1月1日以来，承担过类似急救转运劳务外包业绩的，有一个得2分，本项最高得2分。</w:t>
            </w:r>
            <w:r>
              <w:rPr>
                <w:rFonts w:ascii="仿宋" w:hAnsi="仿宋" w:eastAsia="仿宋" w:cs="仿宋"/>
                <w:szCs w:val="21"/>
              </w:rPr>
            </w:r>
            <w:r/>
          </w:p>
          <w:p>
            <w:pPr>
              <w:pStyle w:val="961"/>
              <w:rPr>
                <w:rFonts w:ascii="仿宋" w:hAnsi="仿宋" w:eastAsia="仿宋" w:cs="仿宋"/>
                <w:szCs w:val="21"/>
              </w:rPr>
              <w:framePr w:hSpace="180" w:wrap="around" w:vAnchor="text" w:hAnchor="margin" w:xAlign="center" w:y="70"/>
            </w:pPr>
            <w:r>
              <w:rPr>
                <w:rFonts w:hint="eastAsia" w:ascii="仿宋" w:hAnsi="仿宋" w:eastAsia="仿宋" w:cs="仿宋"/>
                <w:szCs w:val="21"/>
              </w:rPr>
              <w:t xml:space="preserve">注：投标人需提供相关业绩证明材料（提供合同或协议扫描件，以及对应项目的服务费结算发票扫描件，缺一不可），未提供的不得分。</w:t>
            </w:r>
            <w:bookmarkEnd w:id="160"/>
            <w:r/>
            <w:bookmarkEnd w:id="161"/>
            <w:r>
              <w:rPr>
                <w:rFonts w:ascii="仿宋" w:hAnsi="仿宋" w:eastAsia="仿宋" w:cs="仿宋"/>
                <w:szCs w:val="21"/>
              </w:rPr>
            </w:r>
            <w:r/>
          </w:p>
        </w:tc>
      </w:tr>
      <w:tr>
        <w:trPr>
          <w:cantSplit/>
          <w:trHeight w:val="983"/>
        </w:trPr>
        <w:tc>
          <w:tcPr>
            <w:gridSpan w:val="2"/>
            <w:tcBorders>
              <w:left w:val="single" w:color="000000" w:sz="4" w:space="0"/>
              <w:right w:val="single" w:color="000000" w:sz="4" w:space="0"/>
            </w:tcBorders>
            <w:tcW w:w="1352" w:type="dxa"/>
            <w:vAlign w:val="top"/>
            <w:vMerge w:val="continue"/>
            <w:textDirection w:val="lrTb"/>
            <w:noWrap w:val="false"/>
          </w:tcPr>
          <w:p>
            <w:pPr>
              <w:pStyle w:val="961"/>
              <w:jc w:val="center"/>
              <w:spacing w:line="350" w:lineRule="exact"/>
              <w:widowControl/>
              <w:rPr>
                <w:rFonts w:hint="eastAsia" w:ascii="仿宋" w:hAnsi="仿宋" w:eastAsia="仿宋" w:cs="仿宋"/>
                <w:szCs w:val="21"/>
              </w:rPr>
              <w:framePr w:hSpace="180" w:wrap="around" w:vAnchor="text" w:hAnchor="margin" w:xAlign="center" w:y="70"/>
            </w:pPr>
            <w:r>
              <w:rPr>
                <w:rFonts w:hint="eastAsia" w:ascii="仿宋" w:hAnsi="仿宋" w:eastAsia="仿宋" w:cs="仿宋"/>
                <w:szCs w:val="21"/>
              </w:rPr>
            </w:r>
            <w:r/>
          </w:p>
        </w:tc>
        <w:tc>
          <w:tcPr>
            <w:gridSpan w:val="2"/>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961"/>
              <w:jc w:val="center"/>
              <w:spacing w:line="350" w:lineRule="exact"/>
              <w:widowControl/>
              <w:rPr>
                <w:rFonts w:hint="eastAsia" w:ascii="仿宋" w:hAnsi="仿宋" w:eastAsia="仿宋" w:cs="仿宋"/>
                <w:b/>
                <w:szCs w:val="21"/>
              </w:rPr>
              <w:framePr w:hSpace="180" w:wrap="around" w:vAnchor="text" w:hAnchor="margin" w:xAlign="center" w:y="70"/>
            </w:pPr>
            <w:r/>
            <w:bookmarkStart w:id="162" w:name="OLE_LINK118"/>
            <w:r/>
            <w:bookmarkStart w:id="163" w:name="OLE_LINK119"/>
            <w:r>
              <w:rPr>
                <w:rFonts w:hint="eastAsia" w:ascii="仿宋" w:hAnsi="仿宋" w:eastAsia="仿宋" w:cs="仿宋"/>
                <w:b/>
                <w:szCs w:val="21"/>
              </w:rPr>
              <w:t xml:space="preserve">响应能力（2分）</w:t>
            </w:r>
            <w:bookmarkEnd w:id="162"/>
            <w:r/>
            <w:bookmarkEnd w:id="163"/>
            <w:r>
              <w:rPr>
                <w:rFonts w:hint="eastAsia" w:ascii="仿宋" w:hAnsi="仿宋" w:eastAsia="仿宋" w:cs="仿宋"/>
                <w:b/>
                <w:szCs w:val="21"/>
              </w:rPr>
            </w:r>
            <w:r/>
          </w:p>
        </w:tc>
        <w:tc>
          <w:tcPr>
            <w:gridSpan w:val="2"/>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pStyle w:val="961"/>
              <w:rPr>
                <w:rFonts w:ascii="仿宋" w:hAnsi="仿宋" w:eastAsia="仿宋" w:cs="仿宋"/>
                <w:b/>
                <w:szCs w:val="21"/>
              </w:rPr>
              <w:framePr w:hSpace="180" w:wrap="around" w:vAnchor="text" w:hAnchor="margin" w:xAlign="center" w:y="70"/>
            </w:pPr>
            <w:r/>
            <w:bookmarkStart w:id="164" w:name="OLE_LINK3"/>
            <w:r/>
            <w:bookmarkStart w:id="165" w:name="OLE_LINK2"/>
            <w:r/>
            <w:bookmarkStart w:id="166" w:name="OLE_LINK123"/>
            <w:r/>
            <w:bookmarkStart w:id="167" w:name="OLE_LINK124"/>
            <w:r>
              <w:rPr>
                <w:rFonts w:hint="eastAsia" w:ascii="仿宋" w:hAnsi="仿宋" w:eastAsia="仿宋" w:cs="仿宋"/>
                <w:b/>
                <w:szCs w:val="21"/>
              </w:rPr>
              <w:t xml:space="preserve">投标人具备较强的服务响应能力，承诺中标后在项目所在地设立服务机构的得2分。</w:t>
            </w:r>
            <w:r>
              <w:rPr>
                <w:rFonts w:ascii="仿宋" w:hAnsi="仿宋" w:eastAsia="仿宋" w:cs="仿宋"/>
                <w:b/>
                <w:szCs w:val="21"/>
              </w:rPr>
            </w:r>
            <w:r/>
          </w:p>
          <w:p>
            <w:pPr>
              <w:pStyle w:val="961"/>
              <w:spacing w:line="360" w:lineRule="exact"/>
              <w:rPr>
                <w:rFonts w:hint="eastAsia" w:ascii="仿宋" w:hAnsi="仿宋" w:eastAsia="仿宋" w:cs="仿宋"/>
                <w:b/>
                <w:szCs w:val="21"/>
              </w:rPr>
              <w:framePr w:hSpace="180" w:wrap="around" w:vAnchor="text" w:hAnchor="margin" w:xAlign="center" w:y="70"/>
            </w:pPr>
            <w:r/>
            <w:bookmarkEnd w:id="164"/>
            <w:r/>
            <w:bookmarkEnd w:id="165"/>
            <w:r>
              <w:rPr>
                <w:rFonts w:hint="eastAsia" w:ascii="仿宋" w:hAnsi="仿宋" w:eastAsia="仿宋" w:cs="仿宋"/>
                <w:b/>
                <w:szCs w:val="21"/>
              </w:rPr>
              <w:t xml:space="preserve">注：提供加盖投标人公章的承诺书原件扫描件，否则不得分。</w:t>
            </w:r>
            <w:bookmarkEnd w:id="166"/>
            <w:r/>
            <w:bookmarkEnd w:id="167"/>
            <w:r>
              <w:rPr>
                <w:rFonts w:hint="eastAsia" w:ascii="仿宋" w:hAnsi="仿宋" w:eastAsia="仿宋" w:cs="仿宋"/>
                <w:b/>
                <w:szCs w:val="21"/>
              </w:rPr>
            </w:r>
            <w:r/>
          </w:p>
        </w:tc>
      </w:tr>
      <w:tr>
        <w:trPr>
          <w:cantSplit/>
          <w:trHeight w:val="983"/>
        </w:trPr>
        <w:tc>
          <w:tcPr>
            <w:gridSpan w:val="2"/>
            <w:tcBorders>
              <w:left w:val="single" w:color="000000" w:sz="4" w:space="0"/>
              <w:bottom w:val="single" w:color="000000" w:sz="4" w:space="0"/>
              <w:right w:val="single" w:color="000000" w:sz="4" w:space="0"/>
            </w:tcBorders>
            <w:tcW w:w="1352" w:type="dxa"/>
            <w:vAlign w:val="top"/>
            <w:vMerge w:val="continue"/>
            <w:textDirection w:val="lrTb"/>
            <w:noWrap w:val="false"/>
          </w:tcPr>
          <w:p>
            <w:pPr>
              <w:pStyle w:val="961"/>
              <w:jc w:val="center"/>
              <w:spacing w:line="350" w:lineRule="exact"/>
              <w:widowControl/>
              <w:rPr>
                <w:rFonts w:hint="eastAsia" w:ascii="仿宋" w:hAnsi="仿宋" w:eastAsia="仿宋" w:cs="仿宋"/>
                <w:szCs w:val="21"/>
              </w:rPr>
              <w:framePr w:hSpace="180" w:wrap="around" w:vAnchor="text" w:hAnchor="margin" w:xAlign="center" w:y="70"/>
            </w:pPr>
            <w:r/>
            <w:bookmarkStart w:id="168" w:name="OLE_LINK128"/>
            <w:r/>
            <w:bookmarkStart w:id="169" w:name="OLE_LINK129"/>
            <w:r/>
            <w:bookmarkStart w:id="170" w:name="_Hlk226986182"/>
            <w:r>
              <w:rPr>
                <w:rFonts w:hint="eastAsia" w:ascii="仿宋" w:hAnsi="仿宋" w:eastAsia="仿宋" w:cs="仿宋"/>
                <w:szCs w:val="21"/>
              </w:rPr>
            </w:r>
            <w:r/>
          </w:p>
        </w:tc>
        <w:tc>
          <w:tcPr>
            <w:gridSpan w:val="2"/>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961"/>
              <w:jc w:val="center"/>
              <w:spacing w:line="350" w:lineRule="exact"/>
              <w:widowControl/>
              <w:rPr>
                <w:rFonts w:hint="eastAsia" w:ascii="仿宋" w:hAnsi="仿宋" w:eastAsia="仿宋" w:cs="仿宋"/>
                <w:szCs w:val="21"/>
              </w:rPr>
              <w:framePr w:hSpace="180" w:wrap="around" w:vAnchor="text" w:hAnchor="margin" w:xAlign="center" w:y="70"/>
            </w:pPr>
            <w:r>
              <w:rPr>
                <w:rFonts w:hint="eastAsia" w:ascii="仿宋" w:hAnsi="仿宋" w:eastAsia="仿宋" w:cs="仿宋"/>
                <w:szCs w:val="21"/>
              </w:rPr>
              <w:t xml:space="preserve">拟派人员资格（30分）</w:t>
            </w:r>
            <w:r/>
          </w:p>
        </w:tc>
        <w:tc>
          <w:tcPr>
            <w:gridSpan w:val="2"/>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pStyle w:val="961"/>
              <w:rPr>
                <w:rFonts w:ascii="仿宋" w:hAnsi="仿宋" w:eastAsia="仿宋" w:cs="仿宋"/>
                <w:szCs w:val="21"/>
              </w:rPr>
              <w:framePr w:hSpace="180" w:wrap="around" w:vAnchor="text" w:hAnchor="margin" w:xAlign="center" w:y="70"/>
            </w:pPr>
            <w:r>
              <w:rPr>
                <w:rFonts w:hint="eastAsia" w:ascii="仿宋" w:hAnsi="仿宋" w:eastAsia="仿宋" w:cs="仿宋"/>
                <w:szCs w:val="21"/>
              </w:rPr>
              <w:t xml:space="preserve">1、驾驶员持有A2及以上驾照，驾龄满15年及以上且持无安全事故证明的，有一个得2分； </w:t>
            </w:r>
            <w:r>
              <w:rPr>
                <w:rFonts w:ascii="仿宋" w:hAnsi="仿宋" w:eastAsia="仿宋" w:cs="仿宋"/>
                <w:szCs w:val="21"/>
              </w:rPr>
            </w:r>
            <w:r/>
          </w:p>
          <w:p>
            <w:pPr>
              <w:pStyle w:val="961"/>
              <w:rPr>
                <w:rFonts w:hint="eastAsia" w:ascii="仿宋" w:hAnsi="仿宋" w:eastAsia="仿宋" w:cs="仿宋"/>
                <w:szCs w:val="21"/>
              </w:rPr>
              <w:framePr w:hSpace="180" w:wrap="around" w:vAnchor="text" w:hAnchor="margin" w:xAlign="center" w:y="70"/>
            </w:pPr>
            <w:r>
              <w:rPr>
                <w:rFonts w:hint="eastAsia" w:ascii="仿宋" w:hAnsi="仿宋" w:eastAsia="仿宋" w:cs="仿宋"/>
                <w:szCs w:val="21"/>
              </w:rPr>
              <w:t xml:space="preserve">2、驾驶员持有A2及以上驾照，驾龄满10年不足15年且持无安全事故证明的，有一个得1分；</w:t>
            </w:r>
            <w:r/>
          </w:p>
          <w:p>
            <w:pPr>
              <w:pStyle w:val="963"/>
              <w:numPr>
                <w:ilvl w:val="0"/>
                <w:numId w:val="0"/>
              </w:numPr>
              <w:ind w:left="709" w:hanging="709"/>
              <w:rPr>
                <w:rFonts w:ascii="仿宋" w:hAnsi="仿宋" w:eastAsia="仿宋" w:cs="仿宋"/>
                <w:b w:val="0"/>
                <w:color w:val="000000"/>
                <w:sz w:val="24"/>
                <w:szCs w:val="21"/>
              </w:rPr>
              <w:framePr w:hSpace="180" w:wrap="around" w:vAnchor="text" w:hAnchor="margin" w:xAlign="center" w:y="70"/>
            </w:pPr>
            <w:r>
              <w:rPr>
                <w:rFonts w:hint="eastAsia" w:ascii="仿宋" w:hAnsi="仿宋" w:eastAsia="仿宋" w:cs="仿宋"/>
                <w:b w:val="0"/>
                <w:color w:val="000000"/>
                <w:sz w:val="24"/>
                <w:szCs w:val="21"/>
              </w:rPr>
              <w:t xml:space="preserve">3、</w:t>
            </w:r>
            <w:bookmarkStart w:id="171" w:name="OLE_LINK5"/>
            <w:r/>
            <w:bookmarkStart w:id="172" w:name="OLE_LINK4"/>
            <w:r>
              <w:rPr>
                <w:rFonts w:hint="eastAsia" w:ascii="仿宋" w:hAnsi="仿宋" w:eastAsia="仿宋" w:cs="仿宋"/>
                <w:b w:val="0"/>
                <w:color w:val="000000"/>
                <w:sz w:val="24"/>
                <w:szCs w:val="21"/>
              </w:rPr>
              <w:t xml:space="preserve">调度员、护理员有护士执业资格证</w:t>
            </w:r>
            <w:bookmarkEnd w:id="171"/>
            <w:r/>
            <w:bookmarkEnd w:id="172"/>
            <w:r>
              <w:rPr>
                <w:rFonts w:hint="eastAsia" w:ascii="仿宋" w:hAnsi="仿宋" w:eastAsia="仿宋" w:cs="仿宋"/>
                <w:b w:val="0"/>
                <w:color w:val="000000"/>
                <w:sz w:val="24"/>
                <w:szCs w:val="21"/>
              </w:rPr>
              <w:t xml:space="preserve">的，有一个得1分。</w:t>
            </w:r>
            <w:r>
              <w:rPr>
                <w:rFonts w:ascii="仿宋" w:hAnsi="仿宋" w:eastAsia="仿宋" w:cs="仿宋"/>
                <w:b w:val="0"/>
                <w:color w:val="000000"/>
                <w:sz w:val="24"/>
                <w:szCs w:val="21"/>
              </w:rPr>
            </w:r>
            <w:r/>
          </w:p>
          <w:p>
            <w:pPr>
              <w:pStyle w:val="961"/>
              <w:rPr>
                <w:rFonts w:ascii="仿宋" w:hAnsi="仿宋" w:eastAsia="仿宋" w:cs="仿宋"/>
                <w:szCs w:val="21"/>
              </w:rPr>
              <w:framePr w:hSpace="180" w:wrap="around" w:vAnchor="text" w:hAnchor="margin" w:xAlign="center" w:y="70"/>
            </w:pPr>
            <w:r>
              <w:rPr>
                <w:rFonts w:hint="eastAsia" w:ascii="仿宋" w:hAnsi="仿宋" w:eastAsia="仿宋" w:cs="仿宋"/>
                <w:szCs w:val="21"/>
              </w:rPr>
              <w:t xml:space="preserve">本项最高得分30分。</w:t>
            </w:r>
            <w:r>
              <w:rPr>
                <w:rFonts w:ascii="仿宋" w:hAnsi="仿宋" w:eastAsia="仿宋" w:cs="仿宋"/>
                <w:szCs w:val="21"/>
              </w:rPr>
            </w:r>
            <w:r/>
          </w:p>
          <w:p>
            <w:pPr>
              <w:pStyle w:val="961"/>
              <w:spacing w:line="360" w:lineRule="exact"/>
              <w:rPr>
                <w:rFonts w:hint="eastAsia" w:ascii="仿宋" w:hAnsi="仿宋" w:eastAsia="仿宋" w:cs="仿宋"/>
                <w:szCs w:val="21"/>
              </w:rPr>
              <w:framePr w:hSpace="180" w:wrap="around" w:vAnchor="text" w:hAnchor="margin" w:xAlign="center" w:y="70"/>
            </w:pPr>
            <w:r>
              <w:rPr>
                <w:rFonts w:hint="eastAsia" w:ascii="仿宋" w:hAnsi="仿宋" w:eastAsia="仿宋" w:cs="仿宋"/>
                <w:szCs w:val="21"/>
              </w:rPr>
              <w:t xml:space="preserve">注：提供驾驶员驾驶证、</w:t>
            </w:r>
            <w:bookmarkStart w:id="173" w:name="OLE_LINK9"/>
            <w:r/>
            <w:bookmarkStart w:id="174" w:name="OLE_LINK6"/>
            <w:r>
              <w:rPr>
                <w:rFonts w:hint="eastAsia" w:ascii="仿宋" w:hAnsi="仿宋" w:eastAsia="仿宋" w:cs="仿宋"/>
                <w:szCs w:val="21"/>
              </w:rPr>
              <w:t xml:space="preserve">社保缴纳证明</w:t>
            </w:r>
            <w:bookmarkEnd w:id="173"/>
            <w:r/>
            <w:bookmarkEnd w:id="174"/>
            <w:r>
              <w:rPr>
                <w:rFonts w:hint="eastAsia" w:ascii="仿宋" w:hAnsi="仿宋" w:eastAsia="仿宋" w:cs="仿宋"/>
                <w:szCs w:val="21"/>
              </w:rPr>
              <w:t xml:space="preserve">及公安交警部门出具的无安全事故证明材料扫描件，调度员、护理员提供护士执业资格证、社保缴纳证明扫描件，否则不得分。</w:t>
            </w:r>
            <w:r>
              <w:rPr>
                <w:rFonts w:ascii="仿宋" w:hAnsi="仿宋" w:eastAsia="仿宋" w:cs="仿宋"/>
                <w:szCs w:val="21"/>
              </w:rPr>
              <w:fldChar w:fldCharType="begin"/>
            </w:r>
            <w:r>
              <w:rPr>
                <w:rFonts w:ascii="仿宋" w:hAnsi="仿宋" w:eastAsia="仿宋" w:cs="仿宋"/>
                <w:szCs w:val="21"/>
              </w:rPr>
              <w:instrText xml:space="preserve">HYPERLINK "http://zscx.osta.org.cn/），否则不得分。项目组成人员不得兼任"</w:instrText>
            </w:r>
            <w:r>
              <w:rPr>
                <w:rFonts w:ascii="仿宋" w:hAnsi="仿宋" w:eastAsia="仿宋" w:cs="仿宋"/>
                <w:szCs w:val="21"/>
              </w:rPr>
              <w:fldChar w:fldCharType="separate"/>
            </w:r>
            <w:r>
              <w:rPr>
                <w:rFonts w:hint="eastAsia" w:ascii="仿宋" w:hAnsi="仿宋" w:eastAsia="仿宋" w:cs="仿宋"/>
                <w:szCs w:val="21"/>
              </w:rPr>
              <w:t xml:space="preserve">人员不得兼任</w:t>
            </w:r>
            <w:r>
              <w:rPr>
                <w:rFonts w:ascii="仿宋" w:hAnsi="仿宋" w:eastAsia="仿宋" w:cs="仿宋"/>
                <w:szCs w:val="21"/>
              </w:rPr>
              <w:fldChar w:fldCharType="end"/>
            </w:r>
            <w:r>
              <w:rPr>
                <w:rFonts w:hint="eastAsia" w:ascii="仿宋" w:hAnsi="仿宋" w:eastAsia="仿宋" w:cs="仿宋"/>
                <w:szCs w:val="21"/>
              </w:rPr>
              <w:t xml:space="preserve">，同一人员有多本证书的，不累计计分。</w:t>
            </w:r>
            <w:r/>
          </w:p>
        </w:tc>
      </w:tr>
      <w:tr>
        <w:trPr>
          <w:cantSplit/>
          <w:trHeight w:val="983"/>
        </w:trPr>
        <w:tc>
          <w:tcPr>
            <w:gridSpan w:val="2"/>
            <w:tcBorders>
              <w:top w:val="single" w:color="000000" w:sz="4" w:space="0"/>
              <w:left w:val="single" w:color="000000" w:sz="4" w:space="0"/>
              <w:right w:val="single" w:color="000000" w:sz="4" w:space="0"/>
            </w:tcBorders>
            <w:tcW w:w="1352" w:type="dxa"/>
            <w:vAlign w:val="center"/>
            <w:vMerge w:val="restart"/>
            <w:textDirection w:val="lrTb"/>
            <w:noWrap w:val="false"/>
          </w:tcPr>
          <w:p>
            <w:pPr>
              <w:pStyle w:val="961"/>
              <w:jc w:val="center"/>
              <w:spacing w:line="360" w:lineRule="auto"/>
              <w:rPr>
                <w:rFonts w:ascii="仿宋" w:hAnsi="仿宋" w:eastAsia="仿宋" w:cs="仿宋"/>
                <w:szCs w:val="21"/>
              </w:rPr>
              <w:framePr w:hSpace="180" w:wrap="around" w:vAnchor="text" w:hAnchor="margin" w:xAlign="center" w:y="70"/>
            </w:pPr>
            <w:r/>
            <w:bookmarkEnd w:id="151"/>
            <w:r/>
            <w:bookmarkEnd w:id="152"/>
            <w:r/>
            <w:bookmarkEnd w:id="153"/>
            <w:r/>
            <w:bookmarkEnd w:id="168"/>
            <w:r/>
            <w:bookmarkEnd w:id="169"/>
            <w:r/>
            <w:bookmarkEnd w:id="170"/>
            <w:r/>
            <w:bookmarkStart w:id="175" w:name="OLE_LINK63"/>
            <w:r/>
            <w:bookmarkStart w:id="176" w:name="OLE_LINK69"/>
            <w:r/>
            <w:bookmarkStart w:id="177" w:name="_Hlk226985879"/>
            <w:r>
              <w:rPr>
                <w:rFonts w:hint="eastAsia" w:ascii="仿宋" w:hAnsi="仿宋" w:eastAsia="仿宋" w:cs="仿宋"/>
                <w:szCs w:val="21"/>
              </w:rPr>
              <w:t xml:space="preserve">技术部分（50分）</w:t>
            </w:r>
            <w:r>
              <w:rPr>
                <w:rFonts w:ascii="仿宋" w:hAnsi="仿宋" w:eastAsia="仿宋" w:cs="仿宋"/>
                <w:szCs w:val="21"/>
              </w:rPr>
            </w:r>
            <w:r/>
          </w:p>
        </w:tc>
        <w:tc>
          <w:tcPr>
            <w:gridSpan w:val="2"/>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961"/>
              <w:jc w:val="center"/>
              <w:rPr>
                <w:rFonts w:ascii="仿宋" w:hAnsi="仿宋" w:eastAsia="仿宋" w:cs="仿宋"/>
                <w:szCs w:val="21"/>
              </w:rPr>
              <w:framePr w:hSpace="180" w:wrap="around" w:vAnchor="text" w:hAnchor="margin" w:xAlign="center" w:y="70"/>
            </w:pPr>
            <w:r>
              <w:rPr>
                <w:rFonts w:hint="eastAsia" w:ascii="仿宋" w:hAnsi="仿宋" w:eastAsia="仿宋" w:cs="仿宋"/>
                <w:szCs w:val="21"/>
              </w:rPr>
              <w:t xml:space="preserve">整体服务设想、总体目标和重难点分析（8分）</w:t>
            </w:r>
            <w:r>
              <w:rPr>
                <w:rFonts w:ascii="仿宋" w:hAnsi="仿宋" w:eastAsia="仿宋" w:cs="仿宋"/>
                <w:szCs w:val="21"/>
              </w:rPr>
            </w:r>
            <w:r/>
          </w:p>
        </w:tc>
        <w:tc>
          <w:tcPr>
            <w:gridSpan w:val="2"/>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pStyle w:val="961"/>
              <w:rPr>
                <w:rFonts w:ascii="仿宋" w:hAnsi="仿宋" w:eastAsia="仿宋" w:cs="仿宋"/>
                <w:szCs w:val="21"/>
              </w:rPr>
              <w:framePr w:hSpace="180" w:wrap="around" w:vAnchor="text" w:hAnchor="margin" w:xAlign="center" w:y="70"/>
            </w:pPr>
            <w:r>
              <w:rPr>
                <w:rFonts w:hint="eastAsia" w:ascii="仿宋" w:hAnsi="仿宋" w:eastAsia="仿宋" w:cs="仿宋"/>
                <w:szCs w:val="21"/>
              </w:rPr>
              <w:t xml:space="preserve">投标人对项目基本情况熟悉，重点难点分析正确，针对重点难点的措施切实可行得8分；对投标项目基本情况熟悉度较好，重点难点分析基本正确，针对重点难点的措施基本可操作得6分；对投标项目基本情况熟悉度一般，重点难点分析一般，针对重点难点的措施可操作性一般得4分，对投标项目基本情况熟悉度差，重点难点分析不符合实际，针对重点难点的措施可操作性差得2分，无相关内容不得分。</w:t>
            </w:r>
            <w:r>
              <w:rPr>
                <w:rFonts w:ascii="仿宋" w:hAnsi="仿宋" w:eastAsia="仿宋" w:cs="仿宋"/>
                <w:szCs w:val="21"/>
              </w:rPr>
            </w:r>
            <w:r/>
          </w:p>
        </w:tc>
      </w:tr>
      <w:tr>
        <w:trPr>
          <w:cantSplit/>
          <w:trHeight w:val="983"/>
        </w:trPr>
        <w:tc>
          <w:tcPr>
            <w:gridSpan w:val="2"/>
            <w:tcBorders>
              <w:left w:val="single" w:color="000000" w:sz="4" w:space="0"/>
              <w:right w:val="single" w:color="000000" w:sz="4" w:space="0"/>
            </w:tcBorders>
            <w:tcW w:w="1352" w:type="dxa"/>
            <w:vAlign w:val="center"/>
            <w:vMerge w:val="continue"/>
            <w:textDirection w:val="lrTb"/>
            <w:noWrap w:val="false"/>
          </w:tcPr>
          <w:p>
            <w:pPr>
              <w:pStyle w:val="961"/>
              <w:jc w:val="center"/>
              <w:spacing w:line="350" w:lineRule="exact"/>
              <w:widowControl/>
              <w:rPr>
                <w:rFonts w:hint="eastAsia" w:ascii="仿宋" w:hAnsi="仿宋" w:eastAsia="仿宋" w:cs="仿宋"/>
                <w:szCs w:val="21"/>
              </w:rPr>
              <w:framePr w:hSpace="180" w:wrap="around" w:vAnchor="text" w:hAnchor="margin" w:xAlign="center" w:y="70"/>
            </w:pPr>
            <w:r/>
            <w:bookmarkEnd w:id="175"/>
            <w:r/>
            <w:bookmarkEnd w:id="176"/>
            <w:r/>
            <w:bookmarkEnd w:id="177"/>
            <w:r/>
            <w:bookmarkStart w:id="178" w:name="OLE_LINK70"/>
            <w:r/>
            <w:bookmarkStart w:id="179" w:name="OLE_LINK71"/>
            <w:r/>
            <w:bookmarkStart w:id="180" w:name="_Hlk226985898"/>
            <w:r>
              <w:rPr>
                <w:rFonts w:hint="eastAsia" w:ascii="仿宋" w:hAnsi="仿宋" w:eastAsia="仿宋" w:cs="仿宋"/>
                <w:szCs w:val="21"/>
              </w:rPr>
            </w:r>
            <w:r/>
          </w:p>
        </w:tc>
        <w:tc>
          <w:tcPr>
            <w:gridSpan w:val="2"/>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961"/>
              <w:jc w:val="center"/>
              <w:spacing w:line="350" w:lineRule="exact"/>
              <w:widowControl/>
              <w:rPr>
                <w:rFonts w:hint="eastAsia" w:ascii="仿宋" w:hAnsi="仿宋" w:eastAsia="仿宋" w:cs="仿宋"/>
                <w:szCs w:val="21"/>
              </w:rPr>
              <w:framePr w:hSpace="180" w:wrap="around" w:vAnchor="text" w:hAnchor="margin" w:xAlign="center" w:y="70"/>
            </w:pPr>
            <w:r>
              <w:rPr>
                <w:rFonts w:hint="eastAsia" w:ascii="仿宋" w:hAnsi="仿宋" w:eastAsia="仿宋" w:cs="仿宋"/>
                <w:szCs w:val="21"/>
              </w:rPr>
              <w:t xml:space="preserve">急救转运服务方案</w:t>
            </w:r>
            <w:r/>
          </w:p>
          <w:p>
            <w:pPr>
              <w:pStyle w:val="961"/>
              <w:jc w:val="center"/>
              <w:spacing w:line="350" w:lineRule="exact"/>
              <w:widowControl/>
              <w:rPr>
                <w:rFonts w:hint="eastAsia" w:ascii="仿宋" w:hAnsi="仿宋" w:eastAsia="仿宋" w:cs="仿宋"/>
                <w:szCs w:val="21"/>
              </w:rPr>
              <w:framePr w:hSpace="180" w:wrap="around" w:vAnchor="text" w:hAnchor="margin" w:xAlign="center" w:y="70"/>
            </w:pPr>
            <w:r>
              <w:rPr>
                <w:rFonts w:hint="eastAsia" w:ascii="仿宋" w:hAnsi="仿宋" w:eastAsia="仿宋" w:cs="仿宋"/>
                <w:szCs w:val="21"/>
              </w:rPr>
              <w:t xml:space="preserve">（8分）</w:t>
            </w:r>
            <w:r/>
          </w:p>
        </w:tc>
        <w:tc>
          <w:tcPr>
            <w:gridSpan w:val="2"/>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pStyle w:val="961"/>
              <w:spacing w:line="360" w:lineRule="exact"/>
              <w:rPr>
                <w:rFonts w:hint="eastAsia" w:ascii="仿宋" w:hAnsi="仿宋" w:eastAsia="仿宋" w:cs="仿宋"/>
                <w:szCs w:val="21"/>
              </w:rPr>
              <w:framePr w:hSpace="180" w:wrap="around" w:vAnchor="text" w:hAnchor="margin" w:xAlign="center" w:y="70"/>
            </w:pPr>
            <w:r>
              <w:rPr>
                <w:rFonts w:hint="eastAsia" w:ascii="仿宋" w:hAnsi="仿宋" w:eastAsia="仿宋" w:cs="仿宋"/>
                <w:szCs w:val="21"/>
              </w:rPr>
              <w:t xml:space="preserve">方案完整、细致，符合项目需求，操作性强得8分；方案较为完整、细致，基本符合项目需求，操作性较强得6分；方案一般，与项目需求响应度一般，操作性一般得4分，方案不完整、不细致，与项目需求响应度低，操作性差得2分，无相关内容不得分。</w:t>
            </w:r>
            <w:r/>
          </w:p>
        </w:tc>
      </w:tr>
      <w:tr>
        <w:trPr>
          <w:cantSplit/>
          <w:trHeight w:val="983"/>
        </w:trPr>
        <w:tc>
          <w:tcPr>
            <w:gridSpan w:val="2"/>
            <w:tcBorders>
              <w:left w:val="single" w:color="000000" w:sz="4" w:space="0"/>
              <w:right w:val="single" w:color="000000" w:sz="4" w:space="0"/>
            </w:tcBorders>
            <w:tcW w:w="1352" w:type="dxa"/>
            <w:vAlign w:val="center"/>
            <w:vMerge w:val="continue"/>
            <w:textDirection w:val="lrTb"/>
            <w:noWrap w:val="false"/>
          </w:tcPr>
          <w:p>
            <w:pPr>
              <w:pStyle w:val="961"/>
              <w:jc w:val="center"/>
              <w:spacing w:line="350" w:lineRule="exact"/>
              <w:widowControl/>
              <w:rPr>
                <w:rFonts w:hint="eastAsia" w:ascii="仿宋" w:hAnsi="仿宋" w:eastAsia="仿宋" w:cs="仿宋"/>
                <w:szCs w:val="21"/>
              </w:rPr>
              <w:framePr w:hSpace="180" w:wrap="around" w:vAnchor="text" w:hAnchor="margin" w:xAlign="center" w:y="70"/>
            </w:pPr>
            <w:r/>
            <w:bookmarkEnd w:id="178"/>
            <w:r/>
            <w:bookmarkEnd w:id="179"/>
            <w:r/>
            <w:bookmarkEnd w:id="180"/>
            <w:r/>
            <w:bookmarkStart w:id="181" w:name="OLE_LINK74"/>
            <w:r/>
            <w:bookmarkStart w:id="182" w:name="OLE_LINK75"/>
            <w:r/>
            <w:bookmarkStart w:id="183" w:name="_Hlk226985923"/>
            <w:r>
              <w:rPr>
                <w:rFonts w:hint="eastAsia" w:ascii="仿宋" w:hAnsi="仿宋" w:eastAsia="仿宋" w:cs="仿宋"/>
                <w:szCs w:val="21"/>
              </w:rPr>
            </w:r>
            <w:r/>
          </w:p>
        </w:tc>
        <w:tc>
          <w:tcPr>
            <w:gridSpan w:val="2"/>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961"/>
              <w:jc w:val="center"/>
              <w:spacing w:line="350" w:lineRule="exact"/>
              <w:widowControl/>
              <w:rPr>
                <w:rFonts w:hint="eastAsia" w:ascii="仿宋" w:hAnsi="仿宋" w:eastAsia="仿宋" w:cs="仿宋"/>
                <w:szCs w:val="21"/>
              </w:rPr>
              <w:framePr w:hSpace="180" w:wrap="around" w:vAnchor="text" w:hAnchor="margin" w:xAlign="center" w:y="70"/>
            </w:pPr>
            <w:r>
              <w:rPr>
                <w:rFonts w:hint="eastAsia" w:ascii="仿宋" w:hAnsi="仿宋" w:eastAsia="仿宋" w:cs="仿宋"/>
                <w:szCs w:val="21"/>
              </w:rPr>
              <w:t xml:space="preserve">培训方案</w:t>
            </w:r>
            <w:r/>
          </w:p>
          <w:p>
            <w:pPr>
              <w:pStyle w:val="961"/>
              <w:jc w:val="center"/>
              <w:spacing w:line="350" w:lineRule="exact"/>
              <w:widowControl/>
              <w:rPr>
                <w:rFonts w:hint="eastAsia" w:ascii="仿宋" w:hAnsi="仿宋" w:eastAsia="仿宋" w:cs="仿宋"/>
                <w:szCs w:val="21"/>
              </w:rPr>
              <w:framePr w:hSpace="180" w:wrap="around" w:vAnchor="text" w:hAnchor="margin" w:xAlign="center" w:y="70"/>
            </w:pPr>
            <w:r>
              <w:rPr>
                <w:rFonts w:hint="eastAsia" w:ascii="仿宋" w:hAnsi="仿宋" w:eastAsia="仿宋" w:cs="仿宋"/>
                <w:szCs w:val="21"/>
              </w:rPr>
              <w:t xml:space="preserve">（7分）</w:t>
            </w:r>
            <w:r/>
          </w:p>
        </w:tc>
        <w:tc>
          <w:tcPr>
            <w:gridSpan w:val="2"/>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pStyle w:val="961"/>
              <w:spacing w:line="360" w:lineRule="exact"/>
              <w:rPr>
                <w:rFonts w:hint="eastAsia" w:ascii="仿宋" w:hAnsi="仿宋" w:eastAsia="仿宋" w:cs="仿宋"/>
                <w:szCs w:val="21"/>
              </w:rPr>
              <w:framePr w:hSpace="180" w:wrap="around" w:vAnchor="text" w:hAnchor="margin" w:xAlign="center" w:y="70"/>
            </w:pPr>
            <w:r>
              <w:rPr>
                <w:rFonts w:hint="eastAsia" w:ascii="仿宋" w:hAnsi="仿宋" w:eastAsia="仿宋" w:cs="仿宋"/>
                <w:szCs w:val="21"/>
              </w:rPr>
              <w:t xml:space="preserve">投标人的人员培训方案计划、内容详细，科学可行的得7分；内容较为详细，基本可行的得5分；内容一般，可行性一般得3分，内容不详细，可行性差得1分，无相关内容不得分。</w:t>
            </w:r>
            <w:r/>
          </w:p>
        </w:tc>
      </w:tr>
      <w:tr>
        <w:trPr>
          <w:cantSplit/>
          <w:trHeight w:val="983"/>
        </w:trPr>
        <w:tc>
          <w:tcPr>
            <w:gridSpan w:val="2"/>
            <w:tcBorders>
              <w:left w:val="single" w:color="000000" w:sz="4" w:space="0"/>
              <w:right w:val="single" w:color="000000" w:sz="4" w:space="0"/>
            </w:tcBorders>
            <w:tcW w:w="1352" w:type="dxa"/>
            <w:vAlign w:val="center"/>
            <w:vMerge w:val="continue"/>
            <w:textDirection w:val="lrTb"/>
            <w:noWrap w:val="false"/>
          </w:tcPr>
          <w:p>
            <w:pPr>
              <w:pStyle w:val="961"/>
              <w:jc w:val="center"/>
              <w:spacing w:line="350" w:lineRule="exact"/>
              <w:widowControl/>
              <w:rPr>
                <w:rFonts w:hint="eastAsia" w:ascii="仿宋" w:hAnsi="仿宋" w:eastAsia="仿宋" w:cs="仿宋"/>
                <w:szCs w:val="21"/>
              </w:rPr>
              <w:framePr w:hSpace="180" w:wrap="around" w:vAnchor="text" w:hAnchor="margin" w:xAlign="center" w:y="70"/>
            </w:pPr>
            <w:r/>
            <w:bookmarkEnd w:id="181"/>
            <w:r/>
            <w:bookmarkEnd w:id="182"/>
            <w:r/>
            <w:bookmarkEnd w:id="183"/>
            <w:r>
              <w:rPr>
                <w:rFonts w:hint="eastAsia" w:ascii="仿宋" w:hAnsi="仿宋" w:eastAsia="仿宋" w:cs="仿宋"/>
                <w:szCs w:val="21"/>
              </w:rPr>
            </w:r>
            <w:r/>
          </w:p>
        </w:tc>
        <w:tc>
          <w:tcPr>
            <w:gridSpan w:val="2"/>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961"/>
              <w:jc w:val="center"/>
              <w:widowControl/>
              <w:rPr>
                <w:rFonts w:hint="eastAsia" w:ascii="仿宋" w:hAnsi="仿宋" w:eastAsia="仿宋" w:cs="仿宋"/>
                <w:szCs w:val="21"/>
              </w:rPr>
              <w:framePr w:hSpace="180" w:wrap="around" w:vAnchor="text" w:hAnchor="margin" w:xAlign="center" w:y="70"/>
            </w:pPr>
            <w:r/>
            <w:bookmarkStart w:id="184" w:name="OLE_LINK76"/>
            <w:r/>
            <w:bookmarkStart w:id="185" w:name="OLE_LINK77"/>
            <w:r>
              <w:rPr>
                <w:rFonts w:hint="eastAsia" w:ascii="仿宋" w:hAnsi="仿宋" w:eastAsia="仿宋" w:cs="仿宋"/>
                <w:szCs w:val="21"/>
              </w:rPr>
              <w:t xml:space="preserve">管理规章制度（7分）</w:t>
            </w:r>
            <w:bookmarkEnd w:id="184"/>
            <w:r/>
            <w:bookmarkEnd w:id="185"/>
            <w:r>
              <w:rPr>
                <w:rFonts w:hint="eastAsia" w:ascii="仿宋" w:hAnsi="仿宋" w:eastAsia="仿宋" w:cs="仿宋"/>
                <w:szCs w:val="21"/>
              </w:rPr>
            </w:r>
            <w:r/>
          </w:p>
        </w:tc>
        <w:tc>
          <w:tcPr>
            <w:gridSpan w:val="2"/>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pStyle w:val="961"/>
              <w:spacing w:line="360" w:lineRule="exact"/>
              <w:rPr>
                <w:rFonts w:hint="eastAsia" w:ascii="仿宋" w:hAnsi="仿宋" w:eastAsia="仿宋" w:cs="仿宋"/>
                <w:szCs w:val="21"/>
              </w:rPr>
              <w:framePr w:hSpace="180" w:wrap="around" w:vAnchor="text" w:hAnchor="margin" w:xAlign="center" w:y="70"/>
            </w:pPr>
            <w:r/>
            <w:bookmarkStart w:id="186" w:name="OLE_LINK78"/>
            <w:r/>
            <w:bookmarkStart w:id="187" w:name="OLE_LINK79"/>
            <w:r>
              <w:rPr>
                <w:rFonts w:hint="eastAsia" w:ascii="仿宋" w:hAnsi="仿宋" w:eastAsia="仿宋" w:cs="仿宋"/>
                <w:szCs w:val="21"/>
              </w:rPr>
              <w:t xml:space="preserve">投标人规章制度健全，可操作的得7分；规章制度基本健全，基本可操作的得5分；规章制度一般，可操作性一般得3分，规章制度不健全，可操作性差得1分，无相关内容不得分。</w:t>
            </w:r>
            <w:bookmarkEnd w:id="186"/>
            <w:r/>
            <w:bookmarkEnd w:id="187"/>
            <w:r>
              <w:rPr>
                <w:rFonts w:hint="eastAsia" w:ascii="仿宋" w:hAnsi="仿宋" w:eastAsia="仿宋" w:cs="仿宋"/>
                <w:szCs w:val="21"/>
              </w:rPr>
            </w:r>
            <w:r/>
          </w:p>
        </w:tc>
      </w:tr>
      <w:tr>
        <w:trPr>
          <w:cantSplit/>
          <w:trHeight w:val="557"/>
        </w:trPr>
        <w:tc>
          <w:tcPr>
            <w:gridSpan w:val="2"/>
            <w:tcBorders>
              <w:left w:val="single" w:color="000000" w:sz="4" w:space="0"/>
              <w:right w:val="single" w:color="000000" w:sz="4" w:space="0"/>
            </w:tcBorders>
            <w:tcW w:w="1352" w:type="dxa"/>
            <w:vAlign w:val="center"/>
            <w:vMerge w:val="continue"/>
            <w:textDirection w:val="lrTb"/>
            <w:noWrap w:val="false"/>
          </w:tcPr>
          <w:p>
            <w:pPr>
              <w:pStyle w:val="961"/>
              <w:jc w:val="center"/>
              <w:spacing w:line="350" w:lineRule="exact"/>
              <w:widowControl/>
              <w:rPr>
                <w:rFonts w:hint="eastAsia" w:ascii="仿宋" w:hAnsi="仿宋" w:eastAsia="仿宋" w:cs="仿宋"/>
                <w:szCs w:val="21"/>
              </w:rPr>
              <w:framePr w:hSpace="180" w:wrap="around" w:vAnchor="text" w:hAnchor="margin" w:xAlign="center" w:y="70"/>
            </w:pPr>
            <w:r>
              <w:rPr>
                <w:rFonts w:hint="eastAsia" w:ascii="仿宋" w:hAnsi="仿宋" w:eastAsia="仿宋" w:cs="仿宋"/>
                <w:szCs w:val="21"/>
              </w:rPr>
            </w:r>
            <w:r/>
          </w:p>
        </w:tc>
        <w:tc>
          <w:tcPr>
            <w:gridSpan w:val="2"/>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961"/>
              <w:jc w:val="center"/>
              <w:spacing w:line="350" w:lineRule="exact"/>
              <w:widowControl/>
              <w:rPr>
                <w:rFonts w:hint="eastAsia" w:ascii="仿宋" w:hAnsi="仿宋" w:eastAsia="仿宋" w:cs="仿宋"/>
                <w:szCs w:val="21"/>
              </w:rPr>
              <w:framePr w:hSpace="180" w:wrap="around" w:vAnchor="text" w:hAnchor="margin" w:xAlign="center" w:y="70"/>
            </w:pPr>
            <w:r/>
            <w:bookmarkStart w:id="188" w:name="OLE_LINK80"/>
            <w:r/>
            <w:bookmarkStart w:id="189" w:name="OLE_LINK81"/>
            <w:r>
              <w:rPr>
                <w:rFonts w:hint="eastAsia" w:ascii="仿宋" w:hAnsi="仿宋" w:eastAsia="仿宋" w:cs="仿宋"/>
                <w:szCs w:val="21"/>
              </w:rPr>
              <w:t xml:space="preserve">突发事件应急预案（7分）</w:t>
            </w:r>
            <w:bookmarkEnd w:id="188"/>
            <w:r/>
            <w:bookmarkEnd w:id="189"/>
            <w:r>
              <w:rPr>
                <w:rFonts w:hint="eastAsia" w:ascii="仿宋" w:hAnsi="仿宋" w:eastAsia="仿宋" w:cs="仿宋"/>
                <w:szCs w:val="21"/>
              </w:rPr>
            </w:r>
            <w:r/>
          </w:p>
        </w:tc>
        <w:tc>
          <w:tcPr>
            <w:gridSpan w:val="2"/>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pStyle w:val="961"/>
              <w:spacing w:line="360" w:lineRule="exact"/>
              <w:rPr>
                <w:rFonts w:hint="eastAsia" w:ascii="仿宋" w:hAnsi="仿宋" w:eastAsia="仿宋" w:cs="仿宋"/>
                <w:szCs w:val="21"/>
              </w:rPr>
              <w:framePr w:hSpace="180" w:wrap="around" w:vAnchor="text" w:hAnchor="margin" w:xAlign="center" w:y="70"/>
            </w:pPr>
            <w:r/>
            <w:bookmarkStart w:id="190" w:name="OLE_LINK82"/>
            <w:r/>
            <w:bookmarkStart w:id="191" w:name="OLE_LINK83"/>
            <w:r>
              <w:rPr>
                <w:rFonts w:hint="eastAsia" w:ascii="仿宋" w:hAnsi="仿宋" w:eastAsia="仿宋" w:cs="仿宋"/>
                <w:szCs w:val="21"/>
              </w:rPr>
              <w:t xml:space="preserve">投标人突发事件应急响应预案是否全面、切合投标项目实际情况。各类应急预案健全且符合项目需求得7分；各类应急预案基本健全且基本符合项目需求得5分；各类应急预案不健全得3分，无相关内容不得分。</w:t>
            </w:r>
            <w:bookmarkEnd w:id="190"/>
            <w:r/>
            <w:bookmarkEnd w:id="191"/>
            <w:r>
              <w:rPr>
                <w:rFonts w:hint="eastAsia" w:ascii="仿宋" w:hAnsi="仿宋" w:eastAsia="仿宋" w:cs="仿宋"/>
                <w:szCs w:val="21"/>
              </w:rPr>
            </w:r>
            <w:r/>
          </w:p>
        </w:tc>
      </w:tr>
      <w:tr>
        <w:trPr>
          <w:cantSplit/>
          <w:trHeight w:val="983"/>
        </w:trPr>
        <w:tc>
          <w:tcPr>
            <w:gridSpan w:val="2"/>
            <w:tcBorders>
              <w:left w:val="single" w:color="000000" w:sz="4" w:space="0"/>
              <w:right w:val="single" w:color="000000" w:sz="4" w:space="0"/>
            </w:tcBorders>
            <w:tcW w:w="1352" w:type="dxa"/>
            <w:vAlign w:val="center"/>
            <w:vMerge w:val="continue"/>
            <w:textDirection w:val="lrTb"/>
            <w:noWrap w:val="false"/>
          </w:tcPr>
          <w:p>
            <w:pPr>
              <w:pStyle w:val="961"/>
              <w:jc w:val="center"/>
              <w:spacing w:line="350" w:lineRule="exact"/>
              <w:widowControl/>
              <w:rPr>
                <w:rFonts w:hint="eastAsia" w:ascii="仿宋" w:hAnsi="仿宋" w:eastAsia="仿宋" w:cs="仿宋"/>
                <w:szCs w:val="21"/>
              </w:rPr>
              <w:framePr w:hSpace="180" w:wrap="around" w:vAnchor="text" w:hAnchor="margin" w:xAlign="center" w:y="70"/>
            </w:pPr>
            <w:r>
              <w:rPr>
                <w:rFonts w:hint="eastAsia" w:ascii="仿宋" w:hAnsi="仿宋" w:eastAsia="仿宋" w:cs="仿宋"/>
                <w:szCs w:val="21"/>
              </w:rPr>
            </w:r>
            <w:r/>
          </w:p>
        </w:tc>
        <w:tc>
          <w:tcPr>
            <w:gridSpan w:val="2"/>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961"/>
              <w:jc w:val="center"/>
              <w:spacing w:line="350" w:lineRule="exact"/>
              <w:widowControl/>
              <w:rPr>
                <w:rFonts w:hint="eastAsia" w:ascii="仿宋" w:hAnsi="仿宋" w:eastAsia="仿宋" w:cs="仿宋"/>
                <w:szCs w:val="21"/>
              </w:rPr>
              <w:framePr w:hSpace="180" w:wrap="around" w:vAnchor="text" w:hAnchor="margin" w:xAlign="center" w:y="70"/>
            </w:pPr>
            <w:r/>
            <w:bookmarkStart w:id="192" w:name="OLE_LINK84"/>
            <w:r>
              <w:rPr>
                <w:rFonts w:hint="eastAsia" w:ascii="仿宋" w:hAnsi="仿宋" w:eastAsia="仿宋" w:cs="仿宋"/>
                <w:szCs w:val="21"/>
              </w:rPr>
              <w:t xml:space="preserve">安全事故处理方案（7分）</w:t>
            </w:r>
            <w:bookmarkEnd w:id="192"/>
            <w:r>
              <w:rPr>
                <w:rFonts w:hint="eastAsia" w:ascii="仿宋" w:hAnsi="仿宋" w:eastAsia="仿宋" w:cs="仿宋"/>
                <w:szCs w:val="21"/>
              </w:rPr>
            </w:r>
            <w:r/>
          </w:p>
        </w:tc>
        <w:tc>
          <w:tcPr>
            <w:gridSpan w:val="2"/>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pStyle w:val="961"/>
              <w:spacing w:line="360" w:lineRule="exact"/>
              <w:rPr>
                <w:rFonts w:hint="eastAsia" w:ascii="仿宋" w:hAnsi="仿宋" w:eastAsia="仿宋" w:cs="仿宋"/>
                <w:szCs w:val="21"/>
              </w:rPr>
              <w:framePr w:hSpace="180" w:wrap="around" w:vAnchor="text" w:hAnchor="margin" w:xAlign="center" w:y="70"/>
            </w:pPr>
            <w:r/>
            <w:bookmarkStart w:id="193" w:name="OLE_LINK85"/>
            <w:r/>
            <w:bookmarkStart w:id="194" w:name="OLE_LINK86"/>
            <w:r>
              <w:rPr>
                <w:rFonts w:hint="eastAsia" w:ascii="仿宋" w:hAnsi="仿宋" w:eastAsia="仿宋" w:cs="仿宋"/>
                <w:szCs w:val="21"/>
              </w:rPr>
              <w:t xml:space="preserve">根据本项目的具体服务要求，制定合理、完善的安全事故处理措施，包括意外伤害赔偿措施、工伤赔偿措施、风险规避措施。方案完整、细致，符合项目需求，操作性强得7分；方案较为完整、细致，基本符合项目需求，操作性较强得5分；方案不完整、不细致，与项目需求响应度低，操作性差得3分，无相关内容不得分。</w:t>
            </w:r>
            <w:bookmarkEnd w:id="193"/>
            <w:r/>
            <w:bookmarkEnd w:id="194"/>
            <w:r>
              <w:rPr>
                <w:rFonts w:hint="eastAsia" w:ascii="仿宋" w:hAnsi="仿宋" w:eastAsia="仿宋" w:cs="仿宋"/>
                <w:szCs w:val="21"/>
              </w:rPr>
            </w:r>
            <w:r/>
          </w:p>
        </w:tc>
      </w:tr>
      <w:tr>
        <w:trPr>
          <w:cantSplit/>
          <w:trHeight w:val="983"/>
        </w:trPr>
        <w:tc>
          <w:tcPr>
            <w:gridSpan w:val="2"/>
            <w:tcBorders>
              <w:left w:val="single" w:color="000000" w:sz="4" w:space="0"/>
              <w:bottom w:val="single" w:color="000000" w:sz="4" w:space="0"/>
              <w:right w:val="single" w:color="000000" w:sz="4" w:space="0"/>
            </w:tcBorders>
            <w:tcW w:w="1352" w:type="dxa"/>
            <w:vAlign w:val="center"/>
            <w:vMerge w:val="continue"/>
            <w:textDirection w:val="lrTb"/>
            <w:noWrap w:val="false"/>
          </w:tcPr>
          <w:p>
            <w:pPr>
              <w:pStyle w:val="961"/>
              <w:jc w:val="center"/>
              <w:spacing w:line="350" w:lineRule="exact"/>
              <w:widowControl/>
              <w:rPr>
                <w:rFonts w:hint="eastAsia" w:ascii="仿宋" w:hAnsi="仿宋" w:eastAsia="仿宋" w:cs="仿宋"/>
                <w:szCs w:val="21"/>
              </w:rPr>
              <w:framePr w:hSpace="180" w:wrap="around" w:vAnchor="text" w:hAnchor="margin" w:xAlign="center" w:y="70"/>
            </w:pPr>
            <w:r>
              <w:rPr>
                <w:rFonts w:hint="eastAsia" w:ascii="仿宋" w:hAnsi="仿宋" w:eastAsia="仿宋" w:cs="仿宋"/>
                <w:szCs w:val="21"/>
              </w:rPr>
            </w:r>
            <w:r/>
          </w:p>
        </w:tc>
        <w:tc>
          <w:tcPr>
            <w:gridSpan w:val="2"/>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961"/>
              <w:jc w:val="center"/>
              <w:spacing w:line="350" w:lineRule="exact"/>
              <w:widowControl/>
              <w:rPr>
                <w:rFonts w:hint="eastAsia" w:ascii="仿宋" w:hAnsi="仿宋" w:eastAsia="仿宋" w:cs="仿宋"/>
                <w:szCs w:val="21"/>
              </w:rPr>
              <w:framePr w:hSpace="180" w:wrap="around" w:vAnchor="text" w:hAnchor="margin" w:xAlign="center" w:y="70"/>
            </w:pPr>
            <w:r/>
            <w:bookmarkStart w:id="195" w:name="OLE_LINK87"/>
            <w:r/>
            <w:bookmarkStart w:id="196" w:name="OLE_LINK88"/>
            <w:r>
              <w:rPr>
                <w:rFonts w:hint="eastAsia" w:ascii="仿宋" w:hAnsi="仿宋" w:eastAsia="仿宋" w:cs="仿宋"/>
                <w:szCs w:val="21"/>
              </w:rPr>
              <w:t xml:space="preserve">档案管理</w:t>
            </w:r>
            <w:r/>
          </w:p>
          <w:p>
            <w:pPr>
              <w:pStyle w:val="961"/>
              <w:jc w:val="center"/>
              <w:spacing w:line="350" w:lineRule="exact"/>
              <w:widowControl/>
              <w:rPr>
                <w:rFonts w:hint="eastAsia" w:ascii="仿宋" w:hAnsi="仿宋" w:eastAsia="仿宋" w:cs="仿宋"/>
                <w:szCs w:val="21"/>
              </w:rPr>
              <w:framePr w:hSpace="180" w:wrap="around" w:vAnchor="text" w:hAnchor="margin" w:xAlign="center" w:y="70"/>
            </w:pPr>
            <w:r>
              <w:rPr>
                <w:rFonts w:hint="eastAsia" w:ascii="仿宋" w:hAnsi="仿宋" w:eastAsia="仿宋" w:cs="仿宋"/>
                <w:szCs w:val="21"/>
              </w:rPr>
              <w:t xml:space="preserve">（6分）</w:t>
            </w:r>
            <w:bookmarkEnd w:id="195"/>
            <w:r/>
            <w:bookmarkEnd w:id="196"/>
            <w:r>
              <w:rPr>
                <w:rFonts w:hint="eastAsia" w:ascii="仿宋" w:hAnsi="仿宋" w:eastAsia="仿宋" w:cs="仿宋"/>
                <w:szCs w:val="21"/>
              </w:rPr>
            </w:r>
            <w:r/>
          </w:p>
        </w:tc>
        <w:tc>
          <w:tcPr>
            <w:gridSpan w:val="2"/>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pStyle w:val="961"/>
              <w:spacing w:line="360" w:lineRule="exact"/>
              <w:rPr>
                <w:rFonts w:hint="eastAsia" w:ascii="仿宋" w:hAnsi="仿宋" w:eastAsia="仿宋" w:cs="仿宋"/>
                <w:szCs w:val="21"/>
              </w:rPr>
              <w:framePr w:hSpace="180" w:wrap="around" w:vAnchor="text" w:hAnchor="margin" w:xAlign="center" w:y="70"/>
            </w:pPr>
            <w:r/>
            <w:bookmarkStart w:id="197" w:name="OLE_LINK89"/>
            <w:r/>
            <w:bookmarkStart w:id="198" w:name="OLE_LINK106"/>
            <w:r>
              <w:rPr>
                <w:rFonts w:hint="eastAsia" w:ascii="仿宋" w:hAnsi="仿宋" w:eastAsia="仿宋" w:cs="仿宋"/>
                <w:szCs w:val="21"/>
              </w:rPr>
              <w:t xml:space="preserve">档案资料收集、保存规范全面的得6分；较为规范，基本全面的得4分；规范性较差，不全面得2分，无相关内容不得分。</w:t>
            </w:r>
            <w:bookmarkEnd w:id="197"/>
            <w:r/>
            <w:bookmarkEnd w:id="198"/>
            <w:r>
              <w:rPr>
                <w:rFonts w:hint="eastAsia" w:ascii="仿宋" w:hAnsi="仿宋" w:eastAsia="仿宋" w:cs="仿宋"/>
                <w:szCs w:val="21"/>
              </w:rPr>
            </w:r>
            <w:r/>
          </w:p>
        </w:tc>
      </w:tr>
    </w:tbl>
    <w:p>
      <w:pPr>
        <w:pStyle w:val="961"/>
        <w:ind w:firstLine="560"/>
        <w:spacing w:line="500" w:lineRule="exact"/>
        <w:rPr>
          <w:rFonts w:hint="eastAsia" w:ascii="仿宋_GB2312" w:eastAsia="仿宋_GB2312"/>
          <w:sz w:val="28"/>
          <w:szCs w:val="32"/>
        </w:rPr>
      </w:pPr>
      <w:r/>
      <w:bookmarkEnd w:id="135"/>
      <w:r/>
      <w:bookmarkEnd w:id="136"/>
      <w:r/>
      <w:bookmarkEnd w:id="137"/>
      <w:r/>
      <w:bookmarkEnd w:id="138"/>
      <w:r/>
      <w:bookmarkEnd w:id="139"/>
      <w:r>
        <w:rPr>
          <w:rFonts w:hint="eastAsia" w:ascii="仿宋_GB2312" w:eastAsia="仿宋_GB2312"/>
          <w:sz w:val="28"/>
          <w:szCs w:val="32"/>
        </w:rPr>
        <w:t xml:space="preserve">评审采用综合评分法，磋商小组对满足招标文件实质要求的投标文件，按照本章规定的评分标准进行打分，并按得分由高到低顺序推荐中标候选人。采购人将对第一成交候选供应商提交的所有资料以及相关原件进行考察、核实，若发现弄虚作假的，取消中标资格，并进行公示等相关处罚。</w:t>
      </w:r>
      <w:r/>
    </w:p>
    <w:p>
      <w:pPr>
        <w:pStyle w:val="961"/>
        <w:spacing w:line="500" w:lineRule="exact"/>
        <w:rPr>
          <w:rFonts w:ascii="黑体" w:hAnsi="黑体" w:eastAsia="黑体"/>
          <w:b/>
          <w:sz w:val="28"/>
          <w:szCs w:val="32"/>
        </w:rPr>
      </w:pPr>
      <w:r>
        <w:rPr>
          <w:rFonts w:hint="eastAsia" w:ascii="黑体" w:hAnsi="黑体" w:eastAsia="黑体"/>
          <w:b/>
          <w:sz w:val="28"/>
          <w:szCs w:val="32"/>
        </w:rPr>
        <w:t xml:space="preserve">1.资格审查</w:t>
      </w:r>
      <w:r>
        <w:rPr>
          <w:rFonts w:ascii="黑体" w:hAnsi="黑体" w:eastAsia="黑体"/>
          <w:b/>
          <w:sz w:val="28"/>
          <w:szCs w:val="32"/>
        </w:rPr>
      </w:r>
      <w:r/>
    </w:p>
    <w:p>
      <w:pPr>
        <w:pStyle w:val="961"/>
        <w:spacing w:line="560" w:lineRule="exact"/>
        <w:rPr>
          <w:rFonts w:ascii="楷体_GB2312" w:eastAsia="楷体_GB2312"/>
          <w:b/>
          <w:sz w:val="28"/>
          <w:szCs w:val="32"/>
        </w:rPr>
      </w:pPr>
      <w:r>
        <w:rPr>
          <w:rFonts w:hint="eastAsia" w:ascii="楷体_GB2312" w:eastAsia="楷体_GB2312"/>
          <w:b/>
          <w:sz w:val="28"/>
          <w:szCs w:val="32"/>
        </w:rPr>
        <w:t xml:space="preserve">1.1资格审查</w:t>
      </w:r>
      <w:r>
        <w:rPr>
          <w:rFonts w:ascii="楷体_GB2312" w:eastAsia="楷体_GB2312"/>
          <w:b/>
          <w:sz w:val="28"/>
          <w:szCs w:val="32"/>
        </w:rPr>
      </w:r>
      <w:r/>
    </w:p>
    <w:p>
      <w:pPr>
        <w:pStyle w:val="961"/>
        <w:ind w:firstLine="560"/>
        <w:spacing w:line="500" w:lineRule="exact"/>
        <w:rPr>
          <w:rFonts w:ascii="仿宋_GB2312" w:eastAsia="仿宋_GB2312"/>
          <w:sz w:val="28"/>
          <w:szCs w:val="32"/>
        </w:rPr>
      </w:pPr>
      <w:r>
        <w:rPr>
          <w:rFonts w:hint="eastAsia" w:ascii="仿宋_GB2312" w:eastAsia="仿宋_GB2312"/>
          <w:sz w:val="28"/>
          <w:szCs w:val="32"/>
        </w:rPr>
        <w:t xml:space="preserve">1.1.1资格审查由竞争性磋商小组负责。</w:t>
      </w:r>
      <w:r>
        <w:rPr>
          <w:rFonts w:ascii="仿宋_GB2312" w:eastAsia="仿宋_GB2312"/>
          <w:sz w:val="28"/>
          <w:szCs w:val="32"/>
        </w:rPr>
      </w:r>
      <w:r/>
    </w:p>
    <w:p>
      <w:pPr>
        <w:pStyle w:val="961"/>
        <w:ind w:firstLine="560"/>
        <w:spacing w:line="500" w:lineRule="exact"/>
        <w:rPr>
          <w:rFonts w:hint="eastAsia" w:ascii="仿宋_GB2312" w:eastAsia="仿宋_GB2312"/>
          <w:sz w:val="28"/>
          <w:szCs w:val="32"/>
        </w:rPr>
      </w:pPr>
      <w:r>
        <w:rPr>
          <w:rFonts w:hint="eastAsia" w:ascii="仿宋_GB2312" w:eastAsia="仿宋_GB2312"/>
          <w:sz w:val="28"/>
          <w:szCs w:val="32"/>
        </w:rPr>
        <w:t xml:space="preserve">1.1.2资格审查因素和标准：见竞争性磋商前附表</w:t>
      </w:r>
      <w:r/>
    </w:p>
    <w:p>
      <w:pPr>
        <w:pStyle w:val="961"/>
        <w:spacing w:line="500" w:lineRule="exact"/>
        <w:rPr>
          <w:rFonts w:ascii="黑体" w:hAnsi="黑体" w:eastAsia="黑体"/>
          <w:b/>
          <w:sz w:val="28"/>
          <w:szCs w:val="32"/>
        </w:rPr>
      </w:pPr>
      <w:r>
        <w:rPr>
          <w:rFonts w:hint="eastAsia" w:ascii="黑体" w:hAnsi="黑体" w:eastAsia="黑体"/>
          <w:b/>
          <w:sz w:val="28"/>
          <w:szCs w:val="32"/>
        </w:rPr>
        <w:t xml:space="preserve">2.磋商</w:t>
      </w:r>
      <w:r>
        <w:rPr>
          <w:rFonts w:ascii="黑体" w:hAnsi="黑体" w:eastAsia="黑体"/>
          <w:b/>
          <w:sz w:val="28"/>
          <w:szCs w:val="32"/>
        </w:rPr>
      </w:r>
      <w:r/>
    </w:p>
    <w:p>
      <w:pPr>
        <w:pStyle w:val="961"/>
        <w:spacing w:line="560" w:lineRule="exact"/>
        <w:rPr>
          <w:rFonts w:ascii="楷体_GB2312" w:eastAsia="楷体_GB2312"/>
          <w:b/>
          <w:sz w:val="28"/>
          <w:szCs w:val="32"/>
        </w:rPr>
      </w:pPr>
      <w:r>
        <w:rPr>
          <w:rFonts w:hint="eastAsia" w:ascii="宋体" w:hAnsi="宋体" w:cs="宋体"/>
          <w:b/>
          <w:sz w:val="28"/>
          <w:szCs w:val="32"/>
        </w:rPr>
        <w:t xml:space="preserve">2.1</w:t>
      </w:r>
      <w:r>
        <w:rPr>
          <w:rFonts w:hint="eastAsia" w:ascii="楷体_GB2312" w:eastAsia="楷体_GB2312"/>
          <w:b/>
          <w:sz w:val="28"/>
          <w:szCs w:val="32"/>
        </w:rPr>
        <w:t xml:space="preserve">确定磋商对象</w:t>
      </w:r>
      <w:r>
        <w:rPr>
          <w:rFonts w:ascii="楷体_GB2312" w:eastAsia="楷体_GB2312"/>
          <w:b/>
          <w:sz w:val="28"/>
          <w:szCs w:val="32"/>
        </w:rPr>
      </w:r>
      <w:r/>
    </w:p>
    <w:p>
      <w:pPr>
        <w:pStyle w:val="961"/>
        <w:ind w:firstLine="560"/>
        <w:spacing w:line="500" w:lineRule="exact"/>
        <w:rPr>
          <w:rFonts w:ascii="仿宋_GB2312" w:eastAsia="仿宋_GB2312"/>
          <w:sz w:val="28"/>
          <w:szCs w:val="32"/>
        </w:rPr>
      </w:pPr>
      <w:r>
        <w:rPr>
          <w:rFonts w:hint="eastAsia" w:ascii="仿宋_GB2312" w:eastAsia="仿宋_GB2312"/>
          <w:sz w:val="28"/>
          <w:szCs w:val="32"/>
        </w:rPr>
        <w:t xml:space="preserve">磋商小组邀请资格审查合格的供应商参加磋商。</w:t>
      </w:r>
      <w:r>
        <w:rPr>
          <w:rFonts w:ascii="仿宋_GB2312" w:eastAsia="仿宋_GB2312"/>
          <w:sz w:val="28"/>
          <w:szCs w:val="32"/>
        </w:rPr>
      </w:r>
      <w:r/>
    </w:p>
    <w:p>
      <w:pPr>
        <w:pStyle w:val="961"/>
        <w:spacing w:line="560" w:lineRule="exact"/>
        <w:rPr>
          <w:rFonts w:ascii="楷体_GB2312" w:eastAsia="楷体_GB2312"/>
          <w:b/>
          <w:sz w:val="28"/>
          <w:szCs w:val="32"/>
        </w:rPr>
      </w:pPr>
      <w:r>
        <w:rPr>
          <w:rFonts w:hint="eastAsia" w:ascii="宋体" w:hAnsi="宋体" w:cs="宋体"/>
          <w:b/>
          <w:sz w:val="28"/>
          <w:szCs w:val="32"/>
        </w:rPr>
        <w:t xml:space="preserve">2.2</w:t>
      </w:r>
      <w:r>
        <w:rPr>
          <w:rFonts w:hint="eastAsia" w:ascii="楷体_GB2312" w:eastAsia="楷体_GB2312"/>
          <w:b/>
          <w:sz w:val="28"/>
          <w:szCs w:val="32"/>
        </w:rPr>
        <w:t xml:space="preserve">磋商</w:t>
      </w:r>
      <w:r>
        <w:rPr>
          <w:rFonts w:ascii="楷体_GB2312" w:eastAsia="楷体_GB2312"/>
          <w:b/>
          <w:sz w:val="28"/>
          <w:szCs w:val="32"/>
        </w:rPr>
      </w:r>
      <w:r/>
    </w:p>
    <w:p>
      <w:pPr>
        <w:pStyle w:val="961"/>
        <w:ind w:firstLine="560"/>
        <w:spacing w:line="500" w:lineRule="exact"/>
        <w:rPr>
          <w:rFonts w:hint="eastAsia" w:ascii="仿宋_GB2312" w:eastAsia="仿宋_GB2312"/>
          <w:sz w:val="28"/>
          <w:szCs w:val="32"/>
        </w:rPr>
      </w:pPr>
      <w:r>
        <w:rPr>
          <w:rFonts w:hint="eastAsia" w:ascii="仿宋_GB2312" w:eastAsia="仿宋_GB2312"/>
          <w:sz w:val="28"/>
          <w:szCs w:val="32"/>
        </w:rPr>
        <w:t xml:space="preserve">2.2.1磋商小组所有成员集中与单一供应商分别进行磋商。</w:t>
      </w:r>
      <w:r/>
    </w:p>
    <w:p>
      <w:pPr>
        <w:pStyle w:val="961"/>
        <w:ind w:firstLine="560"/>
        <w:spacing w:line="500" w:lineRule="exact"/>
        <w:rPr>
          <w:rFonts w:hint="eastAsia" w:ascii="仿宋_GB2312" w:eastAsia="仿宋_GB2312"/>
          <w:sz w:val="28"/>
          <w:szCs w:val="32"/>
        </w:rPr>
      </w:pPr>
      <w:r>
        <w:rPr>
          <w:rFonts w:hint="eastAsia" w:ascii="仿宋_GB2312" w:eastAsia="仿宋_GB2312"/>
          <w:sz w:val="28"/>
          <w:szCs w:val="32"/>
        </w:rPr>
        <w:t xml:space="preserve">2.2.2磋商小组与供应商就采购需求中的技术、服务要求以及合同草案条款进行磋商。</w:t>
      </w:r>
      <w:r/>
    </w:p>
    <w:p>
      <w:pPr>
        <w:pStyle w:val="961"/>
        <w:ind w:firstLine="560"/>
        <w:spacing w:line="500" w:lineRule="exact"/>
        <w:rPr>
          <w:rFonts w:hint="eastAsia" w:ascii="仿宋_GB2312" w:eastAsia="仿宋_GB2312"/>
          <w:sz w:val="28"/>
          <w:szCs w:val="32"/>
        </w:rPr>
      </w:pPr>
      <w:r>
        <w:rPr>
          <w:rFonts w:hint="eastAsia" w:ascii="仿宋_GB2312" w:eastAsia="仿宋_GB2312"/>
          <w:sz w:val="28"/>
          <w:szCs w:val="32"/>
        </w:rPr>
        <w:t xml:space="preserve">2.2.3磋商结束后，磋商小组依据磋商的情况，形成经磋商确定的磋商文件。</w:t>
      </w:r>
      <w:r/>
    </w:p>
    <w:p>
      <w:pPr>
        <w:pStyle w:val="961"/>
        <w:ind w:firstLine="560"/>
        <w:spacing w:line="500" w:lineRule="exact"/>
        <w:rPr>
          <w:rFonts w:hint="eastAsia" w:ascii="仿宋_GB2312" w:eastAsia="仿宋_GB2312"/>
          <w:sz w:val="28"/>
          <w:szCs w:val="32"/>
        </w:rPr>
      </w:pPr>
      <w:r>
        <w:rPr>
          <w:rFonts w:hint="eastAsia" w:ascii="仿宋_GB2312" w:eastAsia="仿宋_GB2312"/>
          <w:sz w:val="28"/>
          <w:szCs w:val="32"/>
        </w:rPr>
        <w:t xml:space="preserve">2.2.4对磋商文件作出的实质性变动是磋商文件的有效组成部分，磋商小组将以书面形式同时通知所有参加磋商的供应商。</w:t>
      </w:r>
      <w:r/>
    </w:p>
    <w:p>
      <w:pPr>
        <w:pStyle w:val="961"/>
        <w:ind w:firstLine="560"/>
        <w:spacing w:line="500" w:lineRule="exact"/>
        <w:rPr>
          <w:rFonts w:ascii="仿宋_GB2312" w:eastAsia="仿宋_GB2312"/>
          <w:sz w:val="28"/>
          <w:szCs w:val="32"/>
        </w:rPr>
      </w:pPr>
      <w:r>
        <w:rPr>
          <w:rFonts w:hint="eastAsia" w:ascii="仿宋_GB2312" w:eastAsia="仿宋_GB2312"/>
          <w:sz w:val="28"/>
          <w:szCs w:val="32"/>
        </w:rPr>
        <w:t xml:space="preserve">2.2.5在提交最后报价之前，供应商可以根据磋商情况退出磋商。</w:t>
      </w:r>
      <w:r>
        <w:rPr>
          <w:rFonts w:ascii="仿宋_GB2312" w:eastAsia="仿宋_GB2312"/>
          <w:sz w:val="28"/>
          <w:szCs w:val="32"/>
        </w:rPr>
      </w:r>
      <w:r/>
    </w:p>
    <w:p>
      <w:pPr>
        <w:pStyle w:val="961"/>
        <w:spacing w:line="500" w:lineRule="exact"/>
        <w:rPr>
          <w:rFonts w:hint="eastAsia" w:ascii="黑体" w:hAnsi="黑体" w:eastAsia="黑体"/>
          <w:b/>
          <w:sz w:val="28"/>
          <w:szCs w:val="32"/>
        </w:rPr>
      </w:pPr>
      <w:r>
        <w:rPr>
          <w:rFonts w:hint="eastAsia" w:ascii="黑体" w:hAnsi="黑体" w:eastAsia="黑体"/>
          <w:b/>
          <w:sz w:val="28"/>
          <w:szCs w:val="32"/>
        </w:rPr>
        <w:t xml:space="preserve">3.再次提交响应文件</w:t>
      </w:r>
      <w:r/>
    </w:p>
    <w:p>
      <w:pPr>
        <w:pStyle w:val="961"/>
        <w:spacing w:line="560" w:lineRule="exact"/>
        <w:rPr>
          <w:rFonts w:hint="eastAsia" w:ascii="楷体_GB2312" w:eastAsia="楷体_GB2312"/>
          <w:b/>
          <w:sz w:val="28"/>
          <w:szCs w:val="32"/>
        </w:rPr>
      </w:pPr>
      <w:r>
        <w:rPr>
          <w:rFonts w:hint="eastAsia" w:ascii="宋体" w:hAnsi="宋体" w:cs="宋体"/>
          <w:b/>
          <w:sz w:val="28"/>
          <w:szCs w:val="32"/>
        </w:rPr>
        <w:t xml:space="preserve">3.1</w:t>
      </w:r>
      <w:r>
        <w:rPr>
          <w:rFonts w:hint="eastAsia" w:ascii="楷体_GB2312" w:eastAsia="楷体_GB2312"/>
          <w:b/>
          <w:sz w:val="28"/>
          <w:szCs w:val="32"/>
        </w:rPr>
        <w:t xml:space="preserve">技术、服务要求和合同草案条款响应</w:t>
      </w:r>
      <w:r/>
    </w:p>
    <w:p>
      <w:pPr>
        <w:pStyle w:val="961"/>
        <w:ind w:firstLine="560"/>
        <w:spacing w:line="500" w:lineRule="exact"/>
        <w:rPr>
          <w:rFonts w:hint="eastAsia" w:ascii="仿宋_GB2312" w:eastAsia="仿宋_GB2312"/>
          <w:sz w:val="28"/>
          <w:szCs w:val="32"/>
        </w:rPr>
      </w:pPr>
      <w:r>
        <w:rPr>
          <w:rFonts w:hint="eastAsia" w:ascii="仿宋_GB2312" w:eastAsia="仿宋_GB2312"/>
          <w:sz w:val="28"/>
          <w:szCs w:val="32"/>
        </w:rPr>
        <w:t xml:space="preserve">供应商按照磋商文件的变动情况和磋商小组的要求，对采购需求中的技术、服务要求以及合同草案条款作出响应。</w:t>
      </w:r>
      <w:r/>
    </w:p>
    <w:p>
      <w:pPr>
        <w:pStyle w:val="961"/>
        <w:spacing w:line="560" w:lineRule="exact"/>
        <w:rPr>
          <w:rFonts w:hint="eastAsia" w:ascii="楷体_GB2312" w:eastAsia="楷体_GB2312"/>
          <w:b/>
          <w:sz w:val="28"/>
          <w:szCs w:val="32"/>
        </w:rPr>
      </w:pPr>
      <w:r>
        <w:rPr>
          <w:rFonts w:hint="eastAsia" w:ascii="宋体" w:hAnsi="宋体" w:cs="宋体"/>
          <w:b/>
          <w:sz w:val="28"/>
          <w:szCs w:val="32"/>
        </w:rPr>
        <w:t xml:space="preserve">3.2</w:t>
      </w:r>
      <w:r>
        <w:rPr>
          <w:rFonts w:hint="eastAsia" w:ascii="楷体_GB2312" w:eastAsia="楷体_GB2312"/>
          <w:b/>
          <w:sz w:val="28"/>
          <w:szCs w:val="32"/>
        </w:rPr>
        <w:t xml:space="preserve">最后报价</w:t>
      </w:r>
      <w:r/>
    </w:p>
    <w:p>
      <w:pPr>
        <w:pStyle w:val="961"/>
        <w:ind w:firstLine="560"/>
        <w:spacing w:line="500" w:lineRule="exact"/>
        <w:rPr>
          <w:rFonts w:hint="eastAsia" w:ascii="仿宋_GB2312" w:eastAsia="仿宋_GB2312"/>
          <w:sz w:val="28"/>
          <w:szCs w:val="32"/>
        </w:rPr>
      </w:pPr>
      <w:r>
        <w:rPr>
          <w:rFonts w:hint="eastAsia" w:ascii="仿宋_GB2312" w:eastAsia="仿宋_GB2312"/>
          <w:sz w:val="28"/>
          <w:szCs w:val="32"/>
        </w:rPr>
        <w:t xml:space="preserve">供应商按照磋商小组的要求，在规定的时间内，通过</w:t>
      </w:r>
      <w:r>
        <w:rPr>
          <w:rFonts w:hint="eastAsia" w:eastAsia="仿宋_GB2312"/>
          <w:sz w:val="28"/>
          <w:szCs w:val="32"/>
        </w:rPr>
        <w:t xml:space="preserve">“苏采云”系统</w:t>
      </w:r>
      <w:r>
        <w:rPr>
          <w:rFonts w:hint="eastAsia" w:ascii="仿宋_GB2312" w:eastAsia="仿宋_GB2312"/>
          <w:sz w:val="28"/>
          <w:szCs w:val="32"/>
        </w:rPr>
        <w:t xml:space="preserve">提交最后报价。</w:t>
      </w:r>
      <w:r/>
    </w:p>
    <w:p>
      <w:pPr>
        <w:pStyle w:val="961"/>
        <w:spacing w:line="500" w:lineRule="exact"/>
        <w:rPr>
          <w:rFonts w:ascii="黑体" w:hAnsi="黑体" w:eastAsia="黑体"/>
          <w:b/>
          <w:sz w:val="28"/>
          <w:szCs w:val="32"/>
        </w:rPr>
      </w:pPr>
      <w:r>
        <w:rPr>
          <w:rFonts w:hint="eastAsia" w:ascii="黑体" w:hAnsi="黑体" w:eastAsia="黑体"/>
          <w:b/>
          <w:sz w:val="28"/>
          <w:szCs w:val="32"/>
        </w:rPr>
        <w:t xml:space="preserve">4.响应性评审</w:t>
      </w:r>
      <w:r>
        <w:rPr>
          <w:rFonts w:ascii="黑体" w:hAnsi="黑体" w:eastAsia="黑体"/>
          <w:b/>
          <w:sz w:val="28"/>
          <w:szCs w:val="32"/>
        </w:rPr>
      </w:r>
      <w:r/>
    </w:p>
    <w:p>
      <w:pPr>
        <w:pStyle w:val="961"/>
        <w:ind w:firstLine="560"/>
        <w:spacing w:line="500" w:lineRule="exact"/>
        <w:rPr>
          <w:rFonts w:ascii="仿宋_GB2312" w:eastAsia="仿宋_GB2312"/>
          <w:sz w:val="28"/>
          <w:szCs w:val="32"/>
        </w:rPr>
      </w:pPr>
      <w:r>
        <w:rPr>
          <w:rFonts w:hint="eastAsia" w:ascii="仿宋_GB2312" w:eastAsia="仿宋_GB2312"/>
          <w:sz w:val="28"/>
          <w:szCs w:val="32"/>
        </w:rPr>
        <w:t xml:space="preserve">4.1响应性评审由竞争性磋商小组负责。</w:t>
      </w:r>
      <w:r>
        <w:rPr>
          <w:rFonts w:ascii="仿宋_GB2312" w:eastAsia="仿宋_GB2312"/>
          <w:sz w:val="28"/>
          <w:szCs w:val="32"/>
        </w:rPr>
      </w:r>
      <w:r/>
    </w:p>
    <w:p>
      <w:pPr>
        <w:pStyle w:val="961"/>
        <w:ind w:firstLine="560"/>
        <w:spacing w:line="500" w:lineRule="exact"/>
        <w:rPr>
          <w:rFonts w:hint="eastAsia" w:ascii="仿宋_GB2312" w:eastAsia="仿宋_GB2312"/>
          <w:sz w:val="28"/>
          <w:szCs w:val="32"/>
        </w:rPr>
      </w:pPr>
      <w:r>
        <w:rPr>
          <w:rFonts w:hint="eastAsia" w:ascii="仿宋_GB2312" w:eastAsia="仿宋_GB2312"/>
          <w:sz w:val="28"/>
          <w:szCs w:val="32"/>
        </w:rPr>
        <w:t xml:space="preserve">4.2响应性评审因素和标准：见竞争性磋商前附表。</w:t>
      </w:r>
      <w:r/>
    </w:p>
    <w:p>
      <w:pPr>
        <w:pStyle w:val="961"/>
        <w:spacing w:line="500" w:lineRule="exact"/>
        <w:rPr>
          <w:rFonts w:ascii="黑体" w:hAnsi="黑体" w:eastAsia="黑体"/>
          <w:b/>
          <w:sz w:val="28"/>
          <w:szCs w:val="32"/>
        </w:rPr>
      </w:pPr>
      <w:r>
        <w:rPr>
          <w:rFonts w:hint="eastAsia" w:ascii="黑体" w:hAnsi="黑体" w:eastAsia="黑体"/>
          <w:b/>
          <w:sz w:val="28"/>
          <w:szCs w:val="32"/>
        </w:rPr>
        <w:t xml:space="preserve">5.详细评审</w:t>
      </w:r>
      <w:r>
        <w:rPr>
          <w:rFonts w:ascii="黑体" w:hAnsi="黑体" w:eastAsia="黑体"/>
          <w:b/>
          <w:sz w:val="28"/>
          <w:szCs w:val="32"/>
        </w:rPr>
      </w:r>
      <w:r/>
    </w:p>
    <w:p>
      <w:pPr>
        <w:pStyle w:val="961"/>
        <w:ind w:firstLine="560"/>
        <w:spacing w:line="500" w:lineRule="exact"/>
        <w:rPr>
          <w:rFonts w:ascii="仿宋_GB2312" w:eastAsia="仿宋_GB2312"/>
          <w:sz w:val="28"/>
          <w:szCs w:val="32"/>
        </w:rPr>
      </w:pPr>
      <w:r>
        <w:rPr>
          <w:rFonts w:hint="eastAsia" w:ascii="仿宋_GB2312" w:eastAsia="仿宋_GB2312"/>
          <w:sz w:val="28"/>
          <w:szCs w:val="32"/>
        </w:rPr>
        <w:t xml:space="preserve">5.1详细评审由竞争性磋商小组负责。</w:t>
      </w:r>
      <w:r>
        <w:rPr>
          <w:rFonts w:ascii="仿宋_GB2312" w:eastAsia="仿宋_GB2312"/>
          <w:sz w:val="28"/>
          <w:szCs w:val="32"/>
        </w:rPr>
      </w:r>
      <w:r/>
    </w:p>
    <w:p>
      <w:pPr>
        <w:pStyle w:val="961"/>
        <w:ind w:firstLine="560"/>
        <w:spacing w:line="500" w:lineRule="exact"/>
        <w:rPr>
          <w:rFonts w:hint="eastAsia" w:ascii="仿宋_GB2312" w:eastAsia="仿宋_GB2312"/>
          <w:sz w:val="28"/>
          <w:szCs w:val="32"/>
        </w:rPr>
      </w:pPr>
      <w:r>
        <w:rPr>
          <w:rFonts w:hint="eastAsia" w:ascii="仿宋_GB2312" w:eastAsia="仿宋_GB2312"/>
          <w:sz w:val="28"/>
          <w:szCs w:val="32"/>
        </w:rPr>
        <w:t xml:space="preserve">5.2详细评审因素和标准：见竞争性磋商前附表。</w:t>
      </w:r>
      <w:r/>
    </w:p>
    <w:p>
      <w:pPr>
        <w:pStyle w:val="961"/>
        <w:spacing w:line="500" w:lineRule="exact"/>
        <w:rPr>
          <w:rFonts w:ascii="黑体" w:hAnsi="黑体" w:eastAsia="黑体"/>
          <w:b/>
          <w:sz w:val="28"/>
          <w:szCs w:val="32"/>
        </w:rPr>
      </w:pPr>
      <w:r>
        <w:rPr>
          <w:rFonts w:hint="eastAsia" w:ascii="黑体" w:hAnsi="黑体" w:eastAsia="黑体"/>
          <w:b/>
          <w:sz w:val="28"/>
          <w:szCs w:val="32"/>
        </w:rPr>
        <w:t xml:space="preserve">6.推荐成交候选人</w:t>
      </w:r>
      <w:r>
        <w:rPr>
          <w:rFonts w:ascii="黑体" w:hAnsi="黑体" w:eastAsia="黑体"/>
          <w:b/>
          <w:sz w:val="28"/>
          <w:szCs w:val="32"/>
        </w:rPr>
      </w:r>
      <w:r/>
    </w:p>
    <w:p>
      <w:pPr>
        <w:pStyle w:val="961"/>
        <w:ind w:firstLine="560"/>
        <w:spacing w:line="500" w:lineRule="exact"/>
        <w:rPr>
          <w:rFonts w:hint="eastAsia" w:ascii="仿宋_GB2312" w:eastAsia="仿宋_GB2312"/>
          <w:sz w:val="28"/>
          <w:szCs w:val="32"/>
        </w:rPr>
      </w:pPr>
      <w:r>
        <w:rPr>
          <w:rFonts w:hint="eastAsia" w:ascii="仿宋_GB2312" w:eastAsia="仿宋_GB2312"/>
          <w:sz w:val="28"/>
          <w:szCs w:val="32"/>
        </w:rPr>
        <w:t xml:space="preserve">磋商小组采用综合评分法对供应商的响应文件和最后报价进行综合评分。磋商小组根据综合评分情况，按照评审得分由高到低顺序推荐3名及以上成交候选供应商，并编写评审报告。</w:t>
      </w:r>
      <w:r/>
    </w:p>
    <w:p>
      <w:pPr>
        <w:pStyle w:val="961"/>
        <w:spacing w:line="500" w:lineRule="exact"/>
        <w:rPr>
          <w:rFonts w:ascii="黑体" w:hAnsi="黑体" w:eastAsia="黑体"/>
          <w:b/>
          <w:sz w:val="28"/>
          <w:szCs w:val="32"/>
        </w:rPr>
      </w:pPr>
      <w:r>
        <w:rPr>
          <w:rFonts w:hint="eastAsia" w:ascii="黑体" w:hAnsi="黑体" w:eastAsia="黑体"/>
          <w:b/>
          <w:sz w:val="28"/>
          <w:szCs w:val="32"/>
        </w:rPr>
        <w:t xml:space="preserve">7.确定成交供应商</w:t>
      </w:r>
      <w:r>
        <w:rPr>
          <w:rFonts w:ascii="黑体" w:hAnsi="黑体" w:eastAsia="黑体"/>
          <w:b/>
          <w:sz w:val="28"/>
          <w:szCs w:val="32"/>
        </w:rPr>
      </w:r>
      <w:r/>
    </w:p>
    <w:p>
      <w:pPr>
        <w:pStyle w:val="961"/>
        <w:ind w:firstLine="560"/>
        <w:spacing w:line="500" w:lineRule="exact"/>
        <w:rPr>
          <w:rFonts w:ascii="仿宋_GB2312" w:eastAsia="仿宋_GB2312"/>
          <w:sz w:val="28"/>
          <w:szCs w:val="32"/>
        </w:rPr>
      </w:pPr>
      <w:r>
        <w:rPr>
          <w:rFonts w:hint="eastAsia" w:ascii="仿宋_GB2312" w:eastAsia="仿宋_GB2312"/>
          <w:sz w:val="28"/>
          <w:szCs w:val="32"/>
        </w:rPr>
        <w:t xml:space="preserve">采购人从磋商小组提出的成交候选人中根据符合采购需求且评审得分最高的原则确定成交供应商，并将结果通知所有参加磋商的未成交的供应商。</w:t>
      </w:r>
      <w:r>
        <w:rPr>
          <w:rFonts w:ascii="仿宋_GB2312" w:eastAsia="仿宋_GB2312"/>
          <w:sz w:val="28"/>
          <w:szCs w:val="32"/>
        </w:rPr>
      </w:r>
      <w:r/>
    </w:p>
    <w:p>
      <w:pPr>
        <w:pStyle w:val="961"/>
        <w:spacing w:line="500" w:lineRule="exact"/>
        <w:rPr>
          <w:rFonts w:ascii="黑体" w:hAnsi="黑体" w:eastAsia="黑体"/>
          <w:b/>
          <w:sz w:val="28"/>
          <w:szCs w:val="32"/>
        </w:rPr>
      </w:pPr>
      <w:r>
        <w:rPr>
          <w:rFonts w:hint="eastAsia" w:ascii="黑体" w:hAnsi="黑体" w:eastAsia="黑体"/>
          <w:b/>
          <w:sz w:val="28"/>
          <w:szCs w:val="32"/>
        </w:rPr>
        <w:t xml:space="preserve">8.澄清、说明或补正</w:t>
      </w:r>
      <w:r>
        <w:rPr>
          <w:rFonts w:ascii="黑体" w:hAnsi="黑体" w:eastAsia="黑体"/>
          <w:b/>
          <w:sz w:val="28"/>
          <w:szCs w:val="32"/>
        </w:rPr>
      </w:r>
      <w:r/>
    </w:p>
    <w:p>
      <w:pPr>
        <w:pStyle w:val="961"/>
        <w:ind w:firstLine="560"/>
        <w:spacing w:line="500" w:lineRule="exact"/>
        <w:rPr>
          <w:rFonts w:ascii="仿宋_GB2312" w:eastAsia="仿宋_GB2312"/>
          <w:sz w:val="28"/>
          <w:szCs w:val="32"/>
        </w:rPr>
      </w:pPr>
      <w:r>
        <w:rPr>
          <w:rFonts w:hint="eastAsia" w:ascii="仿宋_GB2312" w:eastAsia="仿宋_GB2312"/>
          <w:sz w:val="28"/>
          <w:szCs w:val="32"/>
        </w:rPr>
        <w:t xml:space="preserve">8.1磋商小组在评审过程中，可以要求供应商对响应文件中含义不明确、同类问题表述不一致或者有明显文字和计算错误的内容等作出必要的澄清、说明或者更正。</w:t>
      </w:r>
      <w:r>
        <w:rPr>
          <w:rFonts w:ascii="仿宋_GB2312" w:eastAsia="仿宋_GB2312"/>
          <w:sz w:val="28"/>
          <w:szCs w:val="32"/>
        </w:rPr>
      </w:r>
      <w:r/>
    </w:p>
    <w:p>
      <w:pPr>
        <w:pStyle w:val="961"/>
        <w:ind w:firstLine="560"/>
        <w:spacing w:line="500" w:lineRule="exact"/>
        <w:rPr>
          <w:rFonts w:ascii="仿宋_GB2312" w:eastAsia="仿宋_GB2312"/>
          <w:sz w:val="28"/>
          <w:szCs w:val="32"/>
        </w:rPr>
      </w:pPr>
      <w:r>
        <w:rPr>
          <w:rFonts w:hint="eastAsia" w:ascii="仿宋_GB2312" w:eastAsia="仿宋_GB2312"/>
          <w:sz w:val="28"/>
          <w:szCs w:val="32"/>
        </w:rPr>
        <w:t xml:space="preserve">8.2磋商小组要求供应商澄清、说明或者更正响应文件应当以书面形式作出。</w:t>
      </w:r>
      <w:r>
        <w:rPr>
          <w:rFonts w:ascii="仿宋_GB2312" w:eastAsia="仿宋_GB2312"/>
          <w:sz w:val="28"/>
          <w:szCs w:val="32"/>
        </w:rPr>
      </w:r>
      <w:r/>
    </w:p>
    <w:p>
      <w:pPr>
        <w:pStyle w:val="961"/>
        <w:ind w:firstLine="560"/>
        <w:spacing w:line="500" w:lineRule="exact"/>
        <w:rPr>
          <w:rFonts w:ascii="仿宋_GB2312" w:eastAsia="仿宋_GB2312"/>
          <w:sz w:val="28"/>
          <w:szCs w:val="32"/>
        </w:rPr>
      </w:pPr>
      <w:r>
        <w:rPr>
          <w:rFonts w:hint="eastAsia" w:ascii="仿宋_GB2312" w:eastAsia="仿宋_GB2312"/>
          <w:sz w:val="28"/>
          <w:szCs w:val="32"/>
        </w:rPr>
        <w:t xml:space="preserve">8.3供应商的澄清、说明或者更正应当由法定代表人或其授权代表签字或者加盖公章。由授权代表签字的，应当附法定代表人授权书。供应商的书面澄清材料作为响应文件的补充。</w:t>
      </w:r>
      <w:r>
        <w:rPr>
          <w:rFonts w:ascii="仿宋_GB2312" w:eastAsia="仿宋_GB2312"/>
          <w:sz w:val="28"/>
          <w:szCs w:val="32"/>
        </w:rPr>
      </w:r>
      <w:r/>
    </w:p>
    <w:p>
      <w:pPr>
        <w:pStyle w:val="961"/>
        <w:ind w:firstLine="560"/>
        <w:spacing w:line="500" w:lineRule="exact"/>
        <w:rPr>
          <w:rFonts w:ascii="仿宋_GB2312" w:eastAsia="仿宋_GB2312"/>
          <w:sz w:val="28"/>
          <w:szCs w:val="32"/>
        </w:rPr>
      </w:pPr>
      <w:r>
        <w:rPr>
          <w:rFonts w:hint="eastAsia" w:ascii="仿宋_GB2312" w:eastAsia="仿宋_GB2312"/>
          <w:sz w:val="28"/>
          <w:szCs w:val="32"/>
        </w:rPr>
        <w:t xml:space="preserve">8.4供应商的澄清、说明或者更正不得超出响应文件的范围或者改变响应文件的实质性内容。</w:t>
      </w:r>
      <w:r>
        <w:rPr>
          <w:rFonts w:ascii="仿宋_GB2312" w:eastAsia="仿宋_GB2312"/>
          <w:sz w:val="28"/>
          <w:szCs w:val="32"/>
        </w:rPr>
      </w:r>
      <w:r/>
    </w:p>
    <w:p>
      <w:pPr>
        <w:pStyle w:val="961"/>
        <w:ind w:firstLine="560"/>
        <w:spacing w:line="500" w:lineRule="exact"/>
        <w:rPr>
          <w:rFonts w:ascii="仿宋_GB2312" w:eastAsia="仿宋_GB2312"/>
          <w:sz w:val="28"/>
          <w:szCs w:val="32"/>
        </w:rPr>
      </w:pPr>
      <w:r>
        <w:rPr>
          <w:rFonts w:hint="eastAsia" w:ascii="仿宋_GB2312" w:eastAsia="仿宋_GB2312"/>
          <w:sz w:val="28"/>
          <w:szCs w:val="32"/>
        </w:rPr>
        <w:t xml:space="preserve">8.5磋商小组不得接受供应商主动提出的澄清、说明或补正。</w:t>
      </w:r>
      <w:r>
        <w:rPr>
          <w:rFonts w:ascii="仿宋_GB2312" w:eastAsia="仿宋_GB2312"/>
          <w:sz w:val="28"/>
          <w:szCs w:val="32"/>
        </w:rPr>
      </w:r>
      <w:r/>
    </w:p>
    <w:p>
      <w:pPr>
        <w:pStyle w:val="961"/>
        <w:spacing w:line="500" w:lineRule="exact"/>
        <w:rPr>
          <w:rFonts w:ascii="黑体" w:hAnsi="黑体" w:eastAsia="黑体"/>
          <w:b/>
          <w:sz w:val="28"/>
          <w:szCs w:val="32"/>
        </w:rPr>
      </w:pPr>
      <w:r>
        <w:rPr>
          <w:rFonts w:hint="eastAsia" w:ascii="黑体" w:hAnsi="黑体" w:eastAsia="黑体"/>
          <w:b/>
          <w:sz w:val="28"/>
          <w:szCs w:val="32"/>
        </w:rPr>
        <w:t xml:space="preserve">9.评审过程中特殊情况的处理规定</w:t>
      </w:r>
      <w:r>
        <w:rPr>
          <w:rFonts w:ascii="黑体" w:hAnsi="黑体" w:eastAsia="黑体"/>
          <w:b/>
          <w:sz w:val="28"/>
          <w:szCs w:val="32"/>
        </w:rPr>
      </w:r>
      <w:r/>
    </w:p>
    <w:p>
      <w:pPr>
        <w:pStyle w:val="961"/>
        <w:spacing w:line="560" w:lineRule="exact"/>
        <w:rPr>
          <w:rFonts w:ascii="楷体_GB2312" w:eastAsia="楷体_GB2312"/>
          <w:b/>
          <w:sz w:val="28"/>
          <w:szCs w:val="32"/>
        </w:rPr>
      </w:pPr>
      <w:r>
        <w:rPr>
          <w:rFonts w:hint="eastAsia" w:ascii="宋体" w:hAnsi="宋体" w:cs="宋体"/>
          <w:b/>
          <w:sz w:val="28"/>
          <w:szCs w:val="32"/>
        </w:rPr>
        <w:t xml:space="preserve">9.1</w:t>
      </w:r>
      <w:r>
        <w:rPr>
          <w:rFonts w:hint="eastAsia" w:ascii="楷体_GB2312" w:eastAsia="楷体_GB2312"/>
          <w:b/>
          <w:sz w:val="28"/>
          <w:szCs w:val="32"/>
        </w:rPr>
        <w:t xml:space="preserve">磋商小组成员的更换</w:t>
      </w:r>
      <w:r>
        <w:rPr>
          <w:rFonts w:ascii="楷体_GB2312" w:eastAsia="楷体_GB2312"/>
          <w:b/>
          <w:sz w:val="28"/>
          <w:szCs w:val="32"/>
        </w:rPr>
      </w:r>
      <w:r/>
    </w:p>
    <w:p>
      <w:pPr>
        <w:pStyle w:val="961"/>
        <w:ind w:firstLine="560"/>
        <w:spacing w:line="500" w:lineRule="exact"/>
        <w:rPr>
          <w:rFonts w:ascii="仿宋_GB2312" w:eastAsia="仿宋_GB2312"/>
          <w:sz w:val="28"/>
          <w:szCs w:val="32"/>
        </w:rPr>
      </w:pPr>
      <w:r>
        <w:rPr>
          <w:rFonts w:hint="eastAsia" w:ascii="仿宋_GB2312" w:eastAsia="仿宋_GB2312"/>
          <w:sz w:val="28"/>
          <w:szCs w:val="32"/>
        </w:rPr>
        <w:t xml:space="preserve">（1）评审过程中，因磋商小组成员缺席、回避或者健康等特殊原因导致磋商小组组成不符合规定的，采购人将依法补足后继续评审。被更换的磋商小组成员所作出的评审意见无效。 </w:t>
      </w:r>
      <w:r>
        <w:rPr>
          <w:rFonts w:ascii="仿宋_GB2312" w:eastAsia="仿宋_GB2312"/>
          <w:sz w:val="28"/>
          <w:szCs w:val="32"/>
        </w:rPr>
      </w:r>
      <w:r/>
    </w:p>
    <w:p>
      <w:pPr>
        <w:pStyle w:val="961"/>
        <w:ind w:firstLine="560"/>
        <w:spacing w:line="500" w:lineRule="exact"/>
        <w:rPr>
          <w:rFonts w:ascii="仿宋_GB2312" w:eastAsia="仿宋_GB2312"/>
          <w:sz w:val="28"/>
          <w:szCs w:val="32"/>
        </w:rPr>
      </w:pPr>
      <w:r>
        <w:rPr>
          <w:rFonts w:hint="eastAsia" w:ascii="仿宋_GB2312" w:eastAsia="仿宋_GB2312"/>
          <w:sz w:val="28"/>
          <w:szCs w:val="32"/>
        </w:rPr>
        <w:t xml:space="preserve">（2）无法及时补足磋商小组成员的，采购人将停止评审活动，封存所有资料，依法重新组建磋商小组进行评审。原磋商小组所作出的评审意见无效。</w:t>
      </w:r>
      <w:r>
        <w:rPr>
          <w:rFonts w:ascii="仿宋_GB2312" w:eastAsia="仿宋_GB2312"/>
          <w:sz w:val="28"/>
          <w:szCs w:val="32"/>
        </w:rPr>
      </w:r>
      <w:r/>
    </w:p>
    <w:p>
      <w:pPr>
        <w:pStyle w:val="961"/>
        <w:spacing w:line="560" w:lineRule="exact"/>
        <w:rPr>
          <w:rFonts w:ascii="楷体_GB2312" w:eastAsia="楷体_GB2312"/>
          <w:b/>
          <w:sz w:val="28"/>
          <w:szCs w:val="32"/>
        </w:rPr>
      </w:pPr>
      <w:r>
        <w:rPr>
          <w:rFonts w:hint="eastAsia" w:ascii="宋体" w:hAnsi="宋体" w:cs="宋体"/>
          <w:b/>
          <w:sz w:val="28"/>
          <w:szCs w:val="32"/>
        </w:rPr>
        <w:t xml:space="preserve">9.2</w:t>
      </w:r>
      <w:r>
        <w:rPr>
          <w:rFonts w:hint="eastAsia" w:ascii="楷体_GB2312" w:eastAsia="楷体_GB2312"/>
          <w:b/>
          <w:sz w:val="28"/>
          <w:szCs w:val="32"/>
        </w:rPr>
        <w:t xml:space="preserve">异常低价的处理</w:t>
      </w:r>
      <w:r>
        <w:rPr>
          <w:rFonts w:ascii="楷体_GB2312" w:eastAsia="楷体_GB2312"/>
          <w:b/>
          <w:sz w:val="28"/>
          <w:szCs w:val="32"/>
        </w:rPr>
      </w:r>
      <w:r/>
    </w:p>
    <w:p>
      <w:pPr>
        <w:pStyle w:val="961"/>
        <w:ind w:firstLine="560"/>
        <w:spacing w:line="500" w:lineRule="exact"/>
        <w:rPr>
          <w:rFonts w:ascii="仿宋_GB2312" w:eastAsia="仿宋_GB2312"/>
          <w:sz w:val="28"/>
          <w:szCs w:val="32"/>
        </w:rPr>
      </w:pPr>
      <w:r>
        <w:rPr>
          <w:rFonts w:hint="eastAsia" w:ascii="仿宋_GB2312" w:eastAsia="仿宋_GB2312"/>
          <w:sz w:val="28"/>
          <w:szCs w:val="32"/>
        </w:rPr>
        <w:t xml:space="preserve">磋商小组认为供应商的报价明显低于其他供应商的报价，有可能影响服务质量或者不能诚信履约的，应当要求其在评审现场合理的时间内提供书面说明，必要时提交相关证明材料；供应商不能证明其报价合理性的，磋商小组应当将其作为无效报价处理。</w:t>
      </w:r>
      <w:r>
        <w:rPr>
          <w:rFonts w:ascii="仿宋_GB2312" w:eastAsia="仿宋_GB2312"/>
          <w:sz w:val="28"/>
          <w:szCs w:val="32"/>
        </w:rPr>
      </w:r>
      <w:r/>
    </w:p>
    <w:p>
      <w:pPr>
        <w:pStyle w:val="961"/>
        <w:spacing w:line="560" w:lineRule="exact"/>
        <w:rPr>
          <w:rFonts w:ascii="楷体_GB2312" w:eastAsia="楷体_GB2312"/>
          <w:b/>
          <w:sz w:val="28"/>
          <w:szCs w:val="32"/>
        </w:rPr>
      </w:pPr>
      <w:r>
        <w:rPr>
          <w:rFonts w:hint="eastAsia" w:ascii="宋体" w:hAnsi="宋体" w:cs="宋体"/>
          <w:b/>
          <w:sz w:val="28"/>
          <w:szCs w:val="32"/>
        </w:rPr>
        <w:t xml:space="preserve">9.3</w:t>
      </w:r>
      <w:r>
        <w:rPr>
          <w:rFonts w:hint="eastAsia" w:ascii="楷体_GB2312" w:eastAsia="楷体_GB2312"/>
          <w:b/>
          <w:sz w:val="28"/>
          <w:szCs w:val="32"/>
        </w:rPr>
        <w:t xml:space="preserve">争议解决</w:t>
      </w:r>
      <w:r>
        <w:rPr>
          <w:rFonts w:ascii="楷体_GB2312" w:eastAsia="楷体_GB2312"/>
          <w:b/>
          <w:sz w:val="28"/>
          <w:szCs w:val="32"/>
        </w:rPr>
      </w:r>
      <w:r/>
    </w:p>
    <w:p>
      <w:pPr>
        <w:pStyle w:val="961"/>
        <w:ind w:firstLine="560"/>
        <w:spacing w:line="500" w:lineRule="exact"/>
        <w:rPr>
          <w:rFonts w:ascii="仿宋_GB2312" w:eastAsia="仿宋_GB2312"/>
          <w:sz w:val="28"/>
          <w:szCs w:val="32"/>
        </w:rPr>
      </w:pPr>
      <w:r>
        <w:rPr>
          <w:rFonts w:hint="eastAsia" w:ascii="仿宋_GB2312" w:eastAsia="仿宋_GB2312"/>
          <w:sz w:val="28"/>
          <w:szCs w:val="32"/>
        </w:rPr>
        <w:t xml:space="preserve">磋商小组成员对需要共同认定的事项存在争议的，按照少数服从多数的原则作出结论。持不同意见的成员须在评审报告上签署不同意见及理由。</w:t>
      </w:r>
      <w:r>
        <w:rPr>
          <w:rFonts w:ascii="仿宋_GB2312" w:eastAsia="仿宋_GB2312"/>
          <w:sz w:val="28"/>
          <w:szCs w:val="32"/>
        </w:rPr>
      </w:r>
      <w:r/>
    </w:p>
    <w:p>
      <w:pPr>
        <w:pStyle w:val="961"/>
        <w:spacing w:line="560" w:lineRule="exact"/>
        <w:rPr>
          <w:rFonts w:ascii="楷体_GB2312" w:eastAsia="楷体_GB2312"/>
          <w:b/>
          <w:sz w:val="28"/>
          <w:szCs w:val="32"/>
        </w:rPr>
      </w:pPr>
      <w:r>
        <w:rPr>
          <w:rFonts w:hint="eastAsia" w:ascii="宋体" w:hAnsi="宋体" w:cs="宋体"/>
          <w:b/>
          <w:sz w:val="28"/>
          <w:szCs w:val="32"/>
        </w:rPr>
        <w:t xml:space="preserve">9.4</w:t>
      </w:r>
      <w:r>
        <w:rPr>
          <w:rFonts w:hint="eastAsia" w:ascii="楷体_GB2312" w:eastAsia="楷体_GB2312"/>
          <w:b/>
          <w:sz w:val="28"/>
          <w:szCs w:val="32"/>
        </w:rPr>
        <w:t xml:space="preserve">评审终止</w:t>
      </w:r>
      <w:r>
        <w:rPr>
          <w:rFonts w:ascii="楷体_GB2312" w:eastAsia="楷体_GB2312"/>
          <w:b/>
          <w:sz w:val="28"/>
          <w:szCs w:val="32"/>
        </w:rPr>
      </w:r>
      <w:r/>
    </w:p>
    <w:p>
      <w:pPr>
        <w:pStyle w:val="961"/>
        <w:ind w:firstLine="560"/>
        <w:spacing w:line="500" w:lineRule="exact"/>
        <w:rPr>
          <w:rFonts w:ascii="仿宋_GB2312" w:eastAsia="仿宋_GB2312"/>
          <w:sz w:val="28"/>
          <w:szCs w:val="32"/>
        </w:rPr>
      </w:pPr>
      <w:r>
        <w:rPr>
          <w:rFonts w:hint="eastAsia" w:ascii="仿宋_GB2312" w:eastAsia="仿宋_GB2312"/>
          <w:sz w:val="28"/>
          <w:szCs w:val="32"/>
        </w:rPr>
        <w:t xml:space="preserve">磋商小组发现采购文件存在歧义、重大缺陷导致评审工作无法进行，或者采购文件内容违反国家有关强制性规定的，应当停止评审工作，与采购人沟通并作书面记录。采购人确认后，终止评审活动。</w:t>
      </w:r>
      <w:r>
        <w:rPr>
          <w:rFonts w:ascii="仿宋_GB2312" w:eastAsia="仿宋_GB2312"/>
          <w:sz w:val="28"/>
          <w:szCs w:val="32"/>
        </w:rPr>
      </w:r>
      <w:r/>
    </w:p>
    <w:p>
      <w:pPr>
        <w:pStyle w:val="961"/>
        <w:spacing w:line="560" w:lineRule="exact"/>
        <w:rPr>
          <w:rFonts w:ascii="楷体_GB2312" w:eastAsia="楷体_GB2312"/>
          <w:b/>
          <w:sz w:val="28"/>
          <w:szCs w:val="32"/>
        </w:rPr>
      </w:pPr>
      <w:r>
        <w:rPr>
          <w:rFonts w:hint="eastAsia" w:ascii="宋体" w:hAnsi="宋体" w:cs="宋体"/>
          <w:b/>
          <w:sz w:val="28"/>
          <w:szCs w:val="32"/>
        </w:rPr>
        <w:t xml:space="preserve">9.5</w:t>
      </w:r>
      <w:r>
        <w:rPr>
          <w:rFonts w:hint="eastAsia" w:ascii="楷体_GB2312" w:eastAsia="楷体_GB2312"/>
          <w:b/>
          <w:sz w:val="28"/>
          <w:szCs w:val="32"/>
        </w:rPr>
        <w:t xml:space="preserve">得分相同</w:t>
      </w:r>
      <w:r>
        <w:rPr>
          <w:rFonts w:ascii="楷体_GB2312" w:eastAsia="楷体_GB2312"/>
          <w:b/>
          <w:sz w:val="28"/>
          <w:szCs w:val="32"/>
        </w:rPr>
      </w:r>
      <w:r/>
    </w:p>
    <w:p>
      <w:pPr>
        <w:pStyle w:val="961"/>
        <w:ind w:firstLine="560"/>
        <w:spacing w:line="500" w:lineRule="exact"/>
        <w:rPr>
          <w:rFonts w:ascii="仿宋_GB2312" w:eastAsia="仿宋_GB2312"/>
          <w:sz w:val="28"/>
          <w:szCs w:val="32"/>
        </w:rPr>
      </w:pPr>
      <w:r>
        <w:rPr>
          <w:rFonts w:hint="eastAsia" w:ascii="仿宋_GB2312" w:eastAsia="仿宋_GB2312"/>
          <w:sz w:val="28"/>
          <w:szCs w:val="32"/>
        </w:rPr>
        <w:t xml:space="preserve">评审得分相同的，最后报价低的优先；评审得分且最后报价相同的，技术方案得分高的优先；评审得分、最后报价和技术方案得分均相同的，采购人随机抽取方式确定。</w:t>
      </w:r>
      <w:r>
        <w:rPr>
          <w:rFonts w:ascii="仿宋_GB2312" w:eastAsia="仿宋_GB2312"/>
          <w:sz w:val="28"/>
          <w:szCs w:val="32"/>
        </w:rPr>
      </w:r>
      <w:r/>
    </w:p>
    <w:p>
      <w:pPr>
        <w:pStyle w:val="961"/>
        <w:spacing w:line="560" w:lineRule="exact"/>
        <w:rPr>
          <w:rFonts w:ascii="楷体_GB2312" w:eastAsia="楷体_GB2312"/>
          <w:b/>
          <w:sz w:val="28"/>
          <w:szCs w:val="32"/>
        </w:rPr>
      </w:pPr>
      <w:r>
        <w:rPr>
          <w:rFonts w:hint="eastAsia" w:ascii="宋体" w:hAnsi="宋体" w:cs="宋体"/>
          <w:b/>
          <w:sz w:val="28"/>
          <w:szCs w:val="32"/>
        </w:rPr>
        <w:t xml:space="preserve">9.6</w:t>
      </w:r>
      <w:r>
        <w:rPr>
          <w:rFonts w:hint="eastAsia" w:ascii="楷体_GB2312" w:eastAsia="楷体_GB2312"/>
          <w:b/>
          <w:sz w:val="28"/>
          <w:szCs w:val="32"/>
        </w:rPr>
        <w:t xml:space="preserve">评审报告签署</w:t>
      </w:r>
      <w:r>
        <w:rPr>
          <w:rFonts w:ascii="楷体_GB2312" w:eastAsia="楷体_GB2312"/>
          <w:b/>
          <w:sz w:val="28"/>
          <w:szCs w:val="32"/>
        </w:rPr>
      </w:r>
      <w:r/>
    </w:p>
    <w:p>
      <w:pPr>
        <w:pStyle w:val="961"/>
        <w:ind w:firstLine="560"/>
        <w:spacing w:line="500" w:lineRule="exact"/>
        <w:rPr>
          <w:rFonts w:ascii="仿宋_GB2312" w:eastAsia="仿宋_GB2312"/>
          <w:sz w:val="28"/>
          <w:szCs w:val="32"/>
        </w:rPr>
      </w:pPr>
      <w:r>
        <w:rPr>
          <w:rFonts w:hint="eastAsia" w:ascii="仿宋_GB2312" w:eastAsia="仿宋_GB2312"/>
          <w:sz w:val="28"/>
          <w:szCs w:val="32"/>
        </w:rPr>
        <w:t xml:space="preserve">评审报告应当由磋商小组全体人员签字认可。磋商小组成员对评审报告有异议的，应当在报告上签署不同意见并说明理由，由磋商小组书面记录相关情况。磋商小组成员拒绝在报告上签字又不书面说明其不同意见和理由的，视为同意评审报告。</w:t>
      </w:r>
      <w:r>
        <w:rPr>
          <w:rFonts w:ascii="仿宋_GB2312" w:eastAsia="仿宋_GB2312"/>
          <w:sz w:val="28"/>
          <w:szCs w:val="32"/>
        </w:rPr>
      </w:r>
      <w:r/>
    </w:p>
    <w:p>
      <w:pPr>
        <w:pStyle w:val="961"/>
        <w:spacing w:line="560" w:lineRule="exact"/>
        <w:rPr>
          <w:rFonts w:ascii="黑体" w:hAnsi="黑体" w:eastAsia="黑体"/>
          <w:b/>
          <w:sz w:val="28"/>
          <w:szCs w:val="32"/>
        </w:rPr>
      </w:pPr>
      <w:r>
        <w:rPr>
          <w:rFonts w:hint="eastAsia" w:ascii="黑体" w:hAnsi="黑体" w:eastAsia="黑体"/>
          <w:b/>
          <w:sz w:val="28"/>
          <w:szCs w:val="32"/>
        </w:rPr>
        <w:t xml:space="preserve">10.判定无效响应的规定</w:t>
      </w:r>
      <w:r>
        <w:rPr>
          <w:rFonts w:ascii="黑体" w:hAnsi="黑体" w:eastAsia="黑体"/>
          <w:b/>
          <w:sz w:val="28"/>
          <w:szCs w:val="32"/>
        </w:rPr>
      </w:r>
      <w:r/>
    </w:p>
    <w:p>
      <w:pPr>
        <w:pStyle w:val="961"/>
        <w:spacing w:line="560" w:lineRule="exact"/>
        <w:rPr>
          <w:rFonts w:ascii="楷体_GB2312" w:eastAsia="楷体_GB2312"/>
          <w:b/>
          <w:sz w:val="28"/>
          <w:szCs w:val="32"/>
        </w:rPr>
      </w:pPr>
      <w:r>
        <w:rPr>
          <w:rFonts w:hint="eastAsia" w:ascii="宋体" w:hAnsi="宋体" w:cs="宋体"/>
          <w:b/>
          <w:sz w:val="28"/>
          <w:szCs w:val="32"/>
        </w:rPr>
        <w:t xml:space="preserve">10.1</w:t>
      </w:r>
      <w:r>
        <w:rPr>
          <w:rFonts w:hint="eastAsia" w:ascii="楷体_GB2312" w:eastAsia="楷体_GB2312"/>
          <w:b/>
          <w:sz w:val="28"/>
          <w:szCs w:val="32"/>
        </w:rPr>
        <w:t xml:space="preserve">响应文件开启过程中，有下列情形之一的，作无效响应处理。</w:t>
      </w:r>
      <w:r>
        <w:rPr>
          <w:rFonts w:ascii="楷体_GB2312" w:eastAsia="楷体_GB2312"/>
          <w:b/>
          <w:sz w:val="28"/>
          <w:szCs w:val="32"/>
        </w:rPr>
      </w:r>
      <w:r/>
    </w:p>
    <w:p>
      <w:pPr>
        <w:pStyle w:val="961"/>
        <w:ind w:firstLine="560"/>
        <w:spacing w:line="500" w:lineRule="exact"/>
        <w:rPr>
          <w:rFonts w:ascii="仿宋_GB2312" w:eastAsia="仿宋_GB2312"/>
          <w:sz w:val="28"/>
          <w:szCs w:val="32"/>
        </w:rPr>
      </w:pPr>
      <w:r>
        <w:rPr>
          <w:rFonts w:hint="eastAsia" w:ascii="仿宋_GB2312" w:eastAsia="仿宋_GB2312"/>
          <w:sz w:val="28"/>
          <w:szCs w:val="32"/>
        </w:rPr>
        <w:t xml:space="preserve">（1）响应文件无法解密；</w:t>
      </w:r>
      <w:r>
        <w:rPr>
          <w:rFonts w:ascii="仿宋_GB2312" w:eastAsia="仿宋_GB2312"/>
          <w:sz w:val="28"/>
          <w:szCs w:val="32"/>
        </w:rPr>
      </w:r>
      <w:r/>
    </w:p>
    <w:p>
      <w:pPr>
        <w:pStyle w:val="961"/>
        <w:ind w:firstLine="560"/>
        <w:spacing w:line="500" w:lineRule="exact"/>
        <w:rPr>
          <w:rFonts w:ascii="仿宋_GB2312" w:eastAsia="仿宋_GB2312"/>
          <w:sz w:val="28"/>
          <w:szCs w:val="32"/>
        </w:rPr>
      </w:pPr>
      <w:r>
        <w:rPr>
          <w:rFonts w:hint="eastAsia" w:ascii="仿宋_GB2312" w:eastAsia="仿宋_GB2312"/>
          <w:sz w:val="28"/>
          <w:szCs w:val="32"/>
        </w:rPr>
        <w:t xml:space="preserve">（2）响应文件未在规定的时间内解密成功。</w:t>
      </w:r>
      <w:r>
        <w:rPr>
          <w:rFonts w:ascii="仿宋_GB2312" w:eastAsia="仿宋_GB2312"/>
          <w:sz w:val="28"/>
          <w:szCs w:val="32"/>
        </w:rPr>
      </w:r>
      <w:r/>
    </w:p>
    <w:p>
      <w:pPr>
        <w:pStyle w:val="961"/>
        <w:spacing w:line="560" w:lineRule="exact"/>
        <w:rPr>
          <w:rFonts w:ascii="楷体_GB2312" w:eastAsia="楷体_GB2312"/>
          <w:b/>
          <w:sz w:val="28"/>
          <w:szCs w:val="32"/>
        </w:rPr>
      </w:pPr>
      <w:r>
        <w:rPr>
          <w:rFonts w:hint="eastAsia" w:ascii="宋体" w:hAnsi="宋体" w:cs="宋体"/>
          <w:b/>
          <w:sz w:val="28"/>
          <w:szCs w:val="32"/>
        </w:rPr>
        <w:t xml:space="preserve">10.2</w:t>
      </w:r>
      <w:r>
        <w:rPr>
          <w:rFonts w:hint="eastAsia" w:ascii="楷体_GB2312" w:eastAsia="楷体_GB2312"/>
          <w:b/>
          <w:sz w:val="28"/>
          <w:szCs w:val="32"/>
        </w:rPr>
        <w:t xml:space="preserve">资格审查结果为不合格的，作无效响应处理。</w:t>
      </w:r>
      <w:r>
        <w:rPr>
          <w:rFonts w:ascii="楷体_GB2312" w:eastAsia="楷体_GB2312"/>
          <w:b/>
          <w:sz w:val="28"/>
          <w:szCs w:val="32"/>
        </w:rPr>
      </w:r>
      <w:r/>
    </w:p>
    <w:p>
      <w:pPr>
        <w:pStyle w:val="961"/>
        <w:spacing w:line="560" w:lineRule="exact"/>
        <w:rPr>
          <w:rFonts w:ascii="楷体_GB2312" w:eastAsia="楷体_GB2312"/>
          <w:b/>
          <w:sz w:val="28"/>
          <w:szCs w:val="32"/>
        </w:rPr>
      </w:pPr>
      <w:r>
        <w:rPr>
          <w:rFonts w:hint="eastAsia" w:ascii="宋体" w:hAnsi="宋体" w:cs="宋体"/>
          <w:b/>
          <w:sz w:val="28"/>
          <w:szCs w:val="32"/>
        </w:rPr>
        <w:t xml:space="preserve">10.3</w:t>
      </w:r>
      <w:r>
        <w:rPr>
          <w:rFonts w:hint="eastAsia" w:ascii="楷体_GB2312" w:eastAsia="楷体_GB2312"/>
          <w:b/>
          <w:sz w:val="28"/>
          <w:szCs w:val="32"/>
        </w:rPr>
        <w:t xml:space="preserve">评审过程中，有下列情形之一的，作无效响应处理。</w:t>
      </w:r>
      <w:r>
        <w:rPr>
          <w:rFonts w:ascii="楷体_GB2312" w:eastAsia="楷体_GB2312"/>
          <w:b/>
          <w:sz w:val="28"/>
          <w:szCs w:val="32"/>
        </w:rPr>
      </w:r>
      <w:r/>
    </w:p>
    <w:p>
      <w:pPr>
        <w:pStyle w:val="961"/>
        <w:ind w:firstLine="560"/>
        <w:spacing w:line="500" w:lineRule="exact"/>
        <w:rPr>
          <w:rFonts w:ascii="仿宋_GB2312" w:eastAsia="仿宋_GB2312"/>
          <w:sz w:val="28"/>
          <w:szCs w:val="32"/>
        </w:rPr>
      </w:pPr>
      <w:r>
        <w:rPr>
          <w:rFonts w:hint="eastAsia" w:ascii="仿宋_GB2312" w:eastAsia="仿宋_GB2312"/>
          <w:sz w:val="28"/>
          <w:szCs w:val="32"/>
        </w:rPr>
        <w:t xml:space="preserve">（1）未按照磋商小组要求提供书面说明及相关证明材料证明其报价合理性的；</w:t>
      </w:r>
      <w:r>
        <w:rPr>
          <w:rFonts w:ascii="仿宋_GB2312" w:eastAsia="仿宋_GB2312"/>
          <w:sz w:val="28"/>
          <w:szCs w:val="32"/>
        </w:rPr>
      </w:r>
      <w:r/>
    </w:p>
    <w:p>
      <w:pPr>
        <w:pStyle w:val="961"/>
        <w:ind w:firstLine="560"/>
        <w:spacing w:line="500" w:lineRule="exact"/>
        <w:rPr>
          <w:rFonts w:ascii="仿宋_GB2312" w:eastAsia="仿宋_GB2312"/>
          <w:sz w:val="28"/>
          <w:szCs w:val="32"/>
        </w:rPr>
      </w:pPr>
      <w:r>
        <w:rPr>
          <w:rFonts w:hint="eastAsia" w:ascii="仿宋_GB2312" w:eastAsia="仿宋_GB2312"/>
          <w:sz w:val="28"/>
          <w:szCs w:val="32"/>
        </w:rPr>
        <w:t xml:space="preserve">（2）响应文件含有采购人不能接受的附加条件的。</w:t>
      </w:r>
      <w:r>
        <w:rPr>
          <w:rFonts w:ascii="仿宋_GB2312" w:eastAsia="仿宋_GB2312"/>
          <w:sz w:val="28"/>
          <w:szCs w:val="32"/>
        </w:rPr>
      </w:r>
      <w:r/>
    </w:p>
    <w:p>
      <w:pPr>
        <w:pStyle w:val="961"/>
        <w:spacing w:line="560" w:lineRule="exact"/>
        <w:rPr>
          <w:rFonts w:ascii="楷体_GB2312" w:eastAsia="楷体_GB2312"/>
          <w:b/>
          <w:sz w:val="28"/>
          <w:szCs w:val="32"/>
        </w:rPr>
      </w:pPr>
      <w:r>
        <w:rPr>
          <w:rFonts w:hint="eastAsia" w:ascii="宋体" w:hAnsi="宋体" w:cs="宋体"/>
          <w:b/>
          <w:sz w:val="28"/>
          <w:szCs w:val="32"/>
        </w:rPr>
        <w:t xml:space="preserve">10.4</w:t>
      </w:r>
      <w:r>
        <w:rPr>
          <w:rFonts w:hint="eastAsia" w:ascii="楷体_GB2312" w:eastAsia="楷体_GB2312"/>
          <w:b/>
          <w:sz w:val="28"/>
          <w:szCs w:val="32"/>
        </w:rPr>
        <w:t xml:space="preserve">法律、法规规定的其他无效响应情形。</w:t>
      </w:r>
      <w:r>
        <w:rPr>
          <w:rFonts w:ascii="楷体_GB2312" w:eastAsia="楷体_GB2312"/>
          <w:b/>
          <w:sz w:val="28"/>
          <w:szCs w:val="32"/>
        </w:rPr>
      </w:r>
      <w:r/>
    </w:p>
    <w:p>
      <w:pPr>
        <w:pStyle w:val="961"/>
        <w:jc w:val="center"/>
        <w:rPr>
          <w:rFonts w:hint="eastAsia" w:ascii="方正小标宋_GBK" w:hAnsi="黑体" w:eastAsia="方正小标宋_GBK"/>
          <w:sz w:val="36"/>
          <w:szCs w:val="36"/>
        </w:rPr>
      </w:pPr>
      <w:r>
        <w:rPr>
          <w:rFonts w:hint="eastAsia" w:ascii="宋体" w:hAnsi="宋体"/>
          <w:sz w:val="44"/>
          <w:szCs w:val="44"/>
        </w:rPr>
        <w:br w:type="page" w:clear="all"/>
      </w:r>
      <w:r>
        <w:rPr>
          <w:rFonts w:hint="eastAsia" w:ascii="方正小标宋_GBK" w:hAnsi="黑体" w:eastAsia="方正小标宋_GBK"/>
          <w:sz w:val="36"/>
          <w:szCs w:val="36"/>
        </w:rPr>
        <w:t xml:space="preserve">第四章 合同条款</w:t>
      </w:r>
      <w:bookmarkStart w:id="199" w:name="_Toc390246952"/>
      <w:r/>
      <w:bookmarkStart w:id="200" w:name="_Toc513029243"/>
      <w:r/>
      <w:bookmarkStart w:id="201" w:name="_Toc382811181"/>
      <w:r/>
      <w:bookmarkStart w:id="202" w:name="_Toc382812484"/>
      <w:r/>
      <w:bookmarkStart w:id="203" w:name="_Toc382814014"/>
      <w:r/>
      <w:bookmarkStart w:id="204" w:name="_Toc120614222"/>
      <w:r/>
      <w:bookmarkStart w:id="205" w:name="_Toc382811586"/>
      <w:r/>
      <w:bookmarkStart w:id="206" w:name="_Toc383698694"/>
      <w:r/>
      <w:bookmarkStart w:id="207" w:name="_Toc383679794"/>
      <w:r/>
      <w:bookmarkStart w:id="208" w:name="_Toc383587505"/>
      <w:r/>
      <w:bookmarkStart w:id="209" w:name="_Toc383626041"/>
      <w:r/>
      <w:bookmarkStart w:id="210" w:name="_Toc383623992"/>
      <w:r/>
      <w:bookmarkStart w:id="211" w:name="_Toc382812295"/>
      <w:r/>
      <w:bookmarkStart w:id="212" w:name="_Toc282446296"/>
      <w:r/>
      <w:bookmarkStart w:id="213" w:name="_Toc20823315"/>
      <w:r/>
      <w:bookmarkStart w:id="214" w:name="_Toc390098887"/>
      <w:r/>
      <w:bookmarkStart w:id="215" w:name="_Toc16938559"/>
      <w:r/>
      <w:bookmarkStart w:id="216" w:name="_Toc288030332"/>
      <w:r/>
      <w:bookmarkStart w:id="217" w:name="_Toc425871366"/>
      <w:r/>
      <w:bookmarkStart w:id="218" w:name="_Toc382813933"/>
      <w:r/>
      <w:bookmarkStart w:id="219" w:name="_Toc383623720"/>
      <w:r/>
      <w:bookmarkStart w:id="220" w:name="_Toc390099065"/>
      <w:r>
        <w:rPr>
          <w:rFonts w:hint="eastAsia" w:ascii="方正小标宋_GBK" w:hAnsi="黑体" w:eastAsia="方正小标宋_GBK"/>
          <w:sz w:val="36"/>
          <w:szCs w:val="36"/>
        </w:rPr>
        <w:t xml:space="preserve">（仅供参考）</w:t>
      </w:r>
      <w:r/>
    </w:p>
    <w:p>
      <w:pPr>
        <w:pStyle w:val="961"/>
        <w:ind w:firstLine="560"/>
        <w:spacing w:line="520" w:lineRule="exact"/>
        <w:rPr>
          <w:rFonts w:ascii="仿宋_GB2312" w:eastAsia="仿宋_GB2312"/>
          <w:sz w:val="28"/>
          <w:szCs w:val="32"/>
        </w:rPr>
      </w:pPr>
      <w:r/>
      <w:bookmarkEnd w:id="91"/>
      <w:r/>
      <w:bookmarkEnd w:id="92"/>
      <w:r/>
      <w:bookmarkEnd w:id="93"/>
      <w:r/>
      <w:bookmarkEnd w:id="94"/>
      <w:r/>
      <w:bookmarkEnd w:id="95"/>
      <w:r/>
      <w:bookmarkEnd w:id="96"/>
      <w:r/>
      <w:bookmarkEnd w:id="97"/>
      <w:r/>
      <w:bookmarkEnd w:id="98"/>
      <w:r/>
      <w:bookmarkEnd w:id="99"/>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rPr>
          <w:rFonts w:hint="eastAsia" w:ascii="仿宋_GB2312" w:eastAsia="仿宋_GB2312"/>
          <w:sz w:val="28"/>
          <w:szCs w:val="32"/>
        </w:rPr>
        <w:t xml:space="preserve">以下为采购人与中标人签定本项目合同的通用条款，中标人不得提出实质性的修改，关于专用条款将由采购人与中标人结合本项目具体情况协商后签订。</w:t>
      </w:r>
      <w:r>
        <w:rPr>
          <w:rFonts w:ascii="仿宋_GB2312" w:eastAsia="仿宋_GB2312"/>
          <w:sz w:val="28"/>
          <w:szCs w:val="32"/>
        </w:rPr>
      </w:r>
      <w:r/>
    </w:p>
    <w:p>
      <w:pPr>
        <w:pStyle w:val="961"/>
        <w:spacing w:line="360" w:lineRule="auto"/>
        <w:widowControl/>
        <w:rPr>
          <w:rFonts w:ascii="仿宋_GB2312" w:eastAsia="仿宋_GB2312"/>
          <w:sz w:val="28"/>
          <w:szCs w:val="32"/>
        </w:rPr>
      </w:pPr>
      <w:r>
        <w:rPr>
          <w:rFonts w:ascii="仿宋_GB2312" w:eastAsia="仿宋_GB2312"/>
          <w:sz w:val="28"/>
          <w:szCs w:val="32"/>
        </w:rPr>
      </w:r>
      <w:r/>
    </w:p>
    <w:p>
      <w:pPr>
        <w:pStyle w:val="961"/>
        <w:spacing w:line="360" w:lineRule="auto"/>
        <w:widowControl/>
        <w:rPr>
          <w:rFonts w:ascii="仿宋_GB2312" w:eastAsia="仿宋_GB2312"/>
          <w:sz w:val="28"/>
          <w:szCs w:val="32"/>
        </w:rPr>
      </w:pPr>
      <w:r>
        <w:rPr>
          <w:rFonts w:hint="eastAsia" w:ascii="仿宋_GB2312" w:eastAsia="仿宋_GB2312"/>
          <w:sz w:val="28"/>
          <w:szCs w:val="32"/>
        </w:rPr>
        <w:t xml:space="preserve">甲方:</w:t>
      </w:r>
      <w:bookmarkStart w:id="221" w:name="purchase_end"/>
      <w:r/>
      <w:bookmarkEnd w:id="221"/>
      <w:r/>
      <w:bookmarkStart w:id="222" w:name="purchase_start"/>
      <w:r/>
      <w:bookmarkEnd w:id="222"/>
      <w:r/>
      <w:bookmarkStart w:id="223" w:name="purchase_name"/>
      <w:r/>
      <w:bookmarkEnd w:id="223"/>
      <w:r>
        <w:rPr>
          <w:rFonts w:ascii="仿宋_GB2312" w:eastAsia="仿宋_GB2312"/>
          <w:sz w:val="28"/>
          <w:szCs w:val="32"/>
        </w:rPr>
      </w:r>
      <w:r/>
    </w:p>
    <w:p>
      <w:pPr>
        <w:pStyle w:val="961"/>
        <w:spacing w:line="360" w:lineRule="auto"/>
        <w:widowControl/>
        <w:rPr>
          <w:rFonts w:ascii="仿宋_GB2312" w:eastAsia="仿宋_GB2312"/>
          <w:sz w:val="28"/>
          <w:szCs w:val="32"/>
        </w:rPr>
      </w:pPr>
      <w:r>
        <w:rPr>
          <w:rFonts w:hint="eastAsia" w:ascii="仿宋_GB2312" w:eastAsia="仿宋_GB2312"/>
          <w:sz w:val="28"/>
          <w:szCs w:val="32"/>
        </w:rPr>
        <w:t xml:space="preserve">乙方:</w:t>
      </w:r>
      <w:bookmarkStart w:id="224" w:name="suppliers_name"/>
      <w:r/>
      <w:bookmarkEnd w:id="224"/>
      <w:r>
        <w:rPr>
          <w:rFonts w:ascii="仿宋_GB2312" w:eastAsia="仿宋_GB2312"/>
          <w:sz w:val="28"/>
          <w:szCs w:val="32"/>
        </w:rPr>
      </w:r>
      <w:r/>
    </w:p>
    <w:p>
      <w:pPr>
        <w:pStyle w:val="961"/>
        <w:ind w:firstLine="560"/>
        <w:spacing w:line="520" w:lineRule="exact"/>
        <w:rPr>
          <w:rFonts w:ascii="仿宋_GB2312" w:eastAsia="仿宋_GB2312"/>
          <w:sz w:val="28"/>
          <w:szCs w:val="32"/>
        </w:rPr>
      </w:pPr>
      <w:r>
        <w:rPr>
          <w:rFonts w:hint="eastAsia" w:ascii="仿宋_GB2312" w:eastAsia="仿宋_GB2312"/>
          <w:sz w:val="28"/>
          <w:szCs w:val="32"/>
        </w:rPr>
        <w:t xml:space="preserve">甲乙双方根据政府采购项目编号</w:t>
      </w:r>
      <w:r>
        <w:rPr>
          <w:rFonts w:hint="eastAsia" w:ascii="仿宋_GB2312" w:eastAsia="仿宋_GB2312"/>
          <w:sz w:val="28"/>
          <w:szCs w:val="32"/>
          <w:u w:val="single"/>
        </w:rPr>
        <w:t xml:space="preserve">      </w:t>
      </w:r>
      <w:r>
        <w:rPr>
          <w:rFonts w:hint="eastAsia" w:ascii="仿宋_GB2312" w:eastAsia="仿宋_GB2312"/>
          <w:sz w:val="28"/>
          <w:szCs w:val="32"/>
        </w:rPr>
        <w:t xml:space="preserve">的</w:t>
      </w:r>
      <w:r>
        <w:rPr>
          <w:rFonts w:hint="eastAsia" w:ascii="仿宋_GB2312" w:eastAsia="仿宋_GB2312"/>
          <w:sz w:val="28"/>
          <w:szCs w:val="32"/>
          <w:u w:val="single"/>
        </w:rPr>
        <w:t xml:space="preserve">       </w:t>
      </w:r>
      <w:r>
        <w:rPr>
          <w:rFonts w:hint="eastAsia" w:ascii="仿宋_GB2312" w:eastAsia="仿宋_GB2312"/>
          <w:sz w:val="28"/>
          <w:szCs w:val="32"/>
        </w:rPr>
        <w:t xml:space="preserve">项目招标采购结果及招标文件的要求，经协商一致，达成如下采购服务合同:</w:t>
      </w:r>
      <w:r>
        <w:rPr>
          <w:rFonts w:ascii="仿宋_GB2312" w:eastAsia="仿宋_GB2312"/>
          <w:sz w:val="28"/>
          <w:szCs w:val="32"/>
        </w:rPr>
      </w:r>
      <w:r/>
    </w:p>
    <w:p>
      <w:pPr>
        <w:pStyle w:val="961"/>
        <w:ind w:firstLine="480"/>
        <w:spacing w:line="520" w:lineRule="exact"/>
        <w:widowControl/>
        <w:rPr>
          <w:rFonts w:ascii="宋体" w:hAnsi="宋体" w:cs="宋体"/>
          <w:u w:val="single"/>
        </w:rPr>
      </w:pPr>
      <w:r>
        <w:rPr>
          <w:rFonts w:hint="eastAsia" w:ascii="宋体" w:hAnsi="宋体" w:cs="宋体"/>
        </w:rPr>
        <w:t xml:space="preserve">一、</w:t>
      </w:r>
      <w:r>
        <w:rPr>
          <w:rFonts w:hint="eastAsia" w:ascii="宋体" w:hAnsi="宋体" w:cs="宋体"/>
          <w:b/>
          <w:bCs/>
        </w:rPr>
        <w:t xml:space="preserve">采购标的</w:t>
      </w:r>
      <w:r>
        <w:rPr>
          <w:rFonts w:ascii="宋体" w:hAnsi="宋体" w:cs="宋体"/>
          <w:u w:val="single"/>
        </w:rPr>
      </w:r>
      <w:r/>
    </w:p>
    <w:p>
      <w:pPr>
        <w:pStyle w:val="961"/>
        <w:ind w:firstLine="560"/>
        <w:spacing w:line="520" w:lineRule="exact"/>
        <w:rPr>
          <w:rFonts w:ascii="仿宋_GB2312" w:eastAsia="仿宋_GB2312"/>
          <w:sz w:val="28"/>
          <w:szCs w:val="32"/>
        </w:rPr>
      </w:pPr>
      <w:r>
        <w:rPr>
          <w:rFonts w:hint="eastAsia" w:ascii="仿宋_GB2312" w:eastAsia="仿宋_GB2312"/>
          <w:sz w:val="28"/>
          <w:szCs w:val="32"/>
        </w:rPr>
        <w:t xml:space="preserve">1、服务名称：</w:t>
      </w:r>
      <w:r>
        <w:rPr>
          <w:rFonts w:ascii="仿宋_GB2312" w:eastAsia="仿宋_GB2312"/>
          <w:sz w:val="28"/>
          <w:szCs w:val="32"/>
        </w:rPr>
      </w:r>
      <w:r/>
    </w:p>
    <w:p>
      <w:pPr>
        <w:pStyle w:val="961"/>
        <w:ind w:firstLine="560"/>
        <w:spacing w:line="520" w:lineRule="exact"/>
        <w:rPr>
          <w:rFonts w:ascii="仿宋_GB2312" w:eastAsia="仿宋_GB2312"/>
          <w:sz w:val="28"/>
          <w:szCs w:val="32"/>
        </w:rPr>
      </w:pPr>
      <w:r>
        <w:rPr>
          <w:rFonts w:hint="eastAsia" w:ascii="仿宋_GB2312" w:eastAsia="仿宋_GB2312"/>
          <w:sz w:val="28"/>
          <w:szCs w:val="32"/>
        </w:rPr>
        <w:t xml:space="preserve">2、服务内容：参照招标文件的具体要求。</w:t>
      </w:r>
      <w:r>
        <w:rPr>
          <w:rFonts w:ascii="仿宋_GB2312" w:eastAsia="仿宋_GB2312"/>
          <w:sz w:val="28"/>
          <w:szCs w:val="32"/>
        </w:rPr>
      </w:r>
      <w:r/>
    </w:p>
    <w:p>
      <w:pPr>
        <w:pStyle w:val="961"/>
        <w:ind w:firstLine="560"/>
        <w:spacing w:line="520" w:lineRule="exact"/>
        <w:widowControl/>
        <w:rPr>
          <w:rFonts w:ascii="仿宋_GB2312" w:eastAsia="仿宋_GB2312"/>
          <w:sz w:val="28"/>
          <w:szCs w:val="32"/>
        </w:rPr>
      </w:pPr>
      <w:r>
        <w:rPr>
          <w:rFonts w:hint="eastAsia" w:ascii="仿宋_GB2312" w:eastAsia="仿宋_GB2312"/>
          <w:sz w:val="28"/>
          <w:szCs w:val="32"/>
        </w:rPr>
        <w:t xml:space="preserve">3、服务期限：参照招标文件的具体要求。</w:t>
      </w:r>
      <w:r>
        <w:rPr>
          <w:rFonts w:ascii="仿宋_GB2312" w:eastAsia="仿宋_GB2312"/>
          <w:sz w:val="28"/>
          <w:szCs w:val="32"/>
        </w:rPr>
      </w:r>
      <w:r/>
    </w:p>
    <w:p>
      <w:pPr>
        <w:pStyle w:val="961"/>
        <w:ind w:firstLine="560"/>
        <w:spacing w:line="520" w:lineRule="exact"/>
        <w:widowControl/>
        <w:rPr>
          <w:rFonts w:ascii="仿宋_GB2312" w:eastAsia="仿宋_GB2312"/>
          <w:sz w:val="28"/>
          <w:szCs w:val="32"/>
        </w:rPr>
      </w:pPr>
      <w:r>
        <w:rPr>
          <w:rFonts w:hint="eastAsia" w:ascii="仿宋_GB2312" w:eastAsia="仿宋_GB2312"/>
          <w:sz w:val="28"/>
          <w:szCs w:val="32"/>
        </w:rPr>
        <w:t xml:space="preserve">4、补充条款：                     。</w:t>
      </w:r>
      <w:r>
        <w:rPr>
          <w:rFonts w:ascii="仿宋_GB2312" w:eastAsia="仿宋_GB2312"/>
          <w:sz w:val="28"/>
          <w:szCs w:val="32"/>
        </w:rPr>
      </w:r>
      <w:r/>
    </w:p>
    <w:p>
      <w:pPr>
        <w:pStyle w:val="961"/>
        <w:ind w:firstLine="560"/>
        <w:spacing w:line="520" w:lineRule="exact"/>
        <w:widowControl/>
        <w:rPr>
          <w:rFonts w:ascii="仿宋_GB2312" w:eastAsia="仿宋_GB2312"/>
          <w:sz w:val="28"/>
          <w:szCs w:val="32"/>
        </w:rPr>
      </w:pPr>
      <w:r>
        <w:rPr>
          <w:rFonts w:hint="eastAsia" w:ascii="仿宋_GB2312" w:eastAsia="仿宋_GB2312"/>
          <w:sz w:val="28"/>
          <w:szCs w:val="32"/>
        </w:rPr>
        <w:t xml:space="preserve">二、合同价款：</w:t>
      </w:r>
      <w:r>
        <w:rPr>
          <w:rFonts w:hint="eastAsia" w:ascii="仿宋_GB2312" w:eastAsia="仿宋_GB2312"/>
          <w:sz w:val="28"/>
          <w:szCs w:val="32"/>
          <w:u w:val="single"/>
        </w:rPr>
        <w:t xml:space="preserve">                    </w:t>
      </w:r>
      <w:r>
        <w:rPr>
          <w:rFonts w:hint="eastAsia" w:ascii="仿宋_GB2312" w:eastAsia="仿宋_GB2312"/>
          <w:sz w:val="28"/>
          <w:szCs w:val="32"/>
        </w:rPr>
        <w:t xml:space="preserve">人民币。</w:t>
      </w:r>
      <w:r>
        <w:rPr>
          <w:rFonts w:ascii="仿宋_GB2312" w:eastAsia="仿宋_GB2312"/>
          <w:sz w:val="28"/>
          <w:szCs w:val="32"/>
        </w:rPr>
      </w:r>
      <w:r/>
    </w:p>
    <w:p>
      <w:pPr>
        <w:pStyle w:val="961"/>
        <w:ind w:firstLine="560"/>
        <w:spacing w:line="520" w:lineRule="exact"/>
        <w:widowControl/>
        <w:rPr>
          <w:rFonts w:ascii="仿宋_GB2312" w:eastAsia="仿宋_GB2312"/>
          <w:sz w:val="28"/>
          <w:szCs w:val="32"/>
        </w:rPr>
      </w:pPr>
      <w:r>
        <w:rPr>
          <w:rFonts w:hint="eastAsia" w:ascii="仿宋_GB2312" w:eastAsia="仿宋_GB2312"/>
          <w:sz w:val="28"/>
          <w:szCs w:val="32"/>
        </w:rPr>
        <w:t xml:space="preserve">本合同价款包含所有乙方提供合同约定的服务内容的报酬及乙方提供该项服务所支出的必要费用，采购人在上述合同价款之外不再向乙方支付其他任何费用。</w:t>
      </w:r>
      <w:r>
        <w:rPr>
          <w:rFonts w:ascii="仿宋_GB2312" w:eastAsia="仿宋_GB2312"/>
          <w:sz w:val="28"/>
          <w:szCs w:val="32"/>
        </w:rPr>
      </w:r>
      <w:r/>
    </w:p>
    <w:p>
      <w:pPr>
        <w:pStyle w:val="961"/>
        <w:ind w:firstLine="560"/>
        <w:spacing w:line="520" w:lineRule="exact"/>
        <w:widowControl/>
        <w:rPr>
          <w:rFonts w:ascii="仿宋_GB2312" w:eastAsia="仿宋_GB2312"/>
          <w:sz w:val="28"/>
          <w:szCs w:val="32"/>
        </w:rPr>
      </w:pPr>
      <w:r>
        <w:rPr>
          <w:rFonts w:hint="eastAsia" w:ascii="仿宋_GB2312" w:eastAsia="仿宋_GB2312"/>
          <w:sz w:val="28"/>
          <w:szCs w:val="32"/>
        </w:rPr>
        <w:t xml:space="preserve">三、合同履行：本合同项下服务的提供参照招标文件的具体要求履行，甲乙双方通过补充条款进行特殊约定的从其约定。</w:t>
      </w:r>
      <w:r>
        <w:rPr>
          <w:rFonts w:ascii="仿宋_GB2312" w:eastAsia="仿宋_GB2312"/>
          <w:sz w:val="28"/>
          <w:szCs w:val="32"/>
        </w:rPr>
      </w:r>
      <w:r/>
    </w:p>
    <w:p>
      <w:pPr>
        <w:pStyle w:val="961"/>
        <w:ind w:firstLine="560"/>
        <w:spacing w:line="520" w:lineRule="exact"/>
        <w:widowControl/>
        <w:rPr>
          <w:rFonts w:ascii="仿宋_GB2312" w:eastAsia="仿宋_GB2312"/>
          <w:sz w:val="28"/>
          <w:szCs w:val="32"/>
        </w:rPr>
      </w:pPr>
      <w:r>
        <w:rPr>
          <w:rFonts w:hint="eastAsia" w:ascii="仿宋_GB2312" w:eastAsia="仿宋_GB2312"/>
          <w:sz w:val="28"/>
          <w:szCs w:val="32"/>
        </w:rPr>
        <w:t xml:space="preserve">补充条款： 。</w:t>
      </w:r>
      <w:r>
        <w:rPr>
          <w:rFonts w:ascii="仿宋_GB2312" w:eastAsia="仿宋_GB2312"/>
          <w:sz w:val="28"/>
          <w:szCs w:val="32"/>
        </w:rPr>
      </w:r>
      <w:r/>
    </w:p>
    <w:p>
      <w:pPr>
        <w:pStyle w:val="961"/>
        <w:ind w:firstLine="560"/>
        <w:spacing w:line="520" w:lineRule="exact"/>
        <w:widowControl/>
        <w:tabs>
          <w:tab w:val="left" w:pos="1980" w:leader="none"/>
        </w:tabs>
        <w:rPr>
          <w:rFonts w:ascii="仿宋_GB2312" w:eastAsia="仿宋_GB2312"/>
          <w:sz w:val="28"/>
          <w:szCs w:val="32"/>
        </w:rPr>
      </w:pPr>
      <w:r>
        <w:rPr>
          <w:rFonts w:hint="eastAsia" w:ascii="仿宋_GB2312" w:eastAsia="仿宋_GB2312"/>
          <w:sz w:val="28"/>
          <w:szCs w:val="32"/>
        </w:rPr>
        <w:t xml:space="preserve">五、合同责任：</w:t>
      </w:r>
      <w:r>
        <w:rPr>
          <w:rFonts w:ascii="仿宋_GB2312" w:eastAsia="仿宋_GB2312"/>
          <w:sz w:val="28"/>
          <w:szCs w:val="32"/>
        </w:rPr>
      </w:r>
      <w:r/>
    </w:p>
    <w:p>
      <w:pPr>
        <w:pStyle w:val="961"/>
        <w:ind w:firstLine="560"/>
        <w:spacing w:line="520" w:lineRule="exact"/>
        <w:widowControl/>
        <w:tabs>
          <w:tab w:val="left" w:pos="1980" w:leader="none"/>
        </w:tabs>
        <w:rPr>
          <w:rFonts w:ascii="仿宋_GB2312" w:eastAsia="仿宋_GB2312"/>
          <w:sz w:val="28"/>
          <w:szCs w:val="32"/>
        </w:rPr>
      </w:pPr>
      <w:r>
        <w:rPr>
          <w:rFonts w:hint="eastAsia" w:ascii="仿宋_GB2312" w:eastAsia="仿宋_GB2312"/>
          <w:sz w:val="28"/>
          <w:szCs w:val="32"/>
        </w:rPr>
        <w:t xml:space="preserve">1、采购人应当为乙方履行合同提供必要的支持。</w:t>
      </w:r>
      <w:r>
        <w:rPr>
          <w:rFonts w:ascii="仿宋_GB2312" w:eastAsia="仿宋_GB2312"/>
          <w:sz w:val="28"/>
          <w:szCs w:val="32"/>
        </w:rPr>
      </w:r>
      <w:r/>
    </w:p>
    <w:p>
      <w:pPr>
        <w:pStyle w:val="961"/>
        <w:ind w:firstLine="560"/>
        <w:spacing w:line="520" w:lineRule="exact"/>
        <w:widowControl/>
        <w:tabs>
          <w:tab w:val="left" w:pos="1980" w:leader="none"/>
        </w:tabs>
        <w:rPr>
          <w:rFonts w:ascii="仿宋_GB2312" w:eastAsia="仿宋_GB2312"/>
          <w:sz w:val="28"/>
          <w:szCs w:val="32"/>
        </w:rPr>
      </w:pPr>
      <w:r>
        <w:rPr>
          <w:rFonts w:hint="eastAsia" w:ascii="仿宋_GB2312" w:eastAsia="仿宋_GB2312"/>
          <w:sz w:val="28"/>
          <w:szCs w:val="32"/>
        </w:rPr>
        <w:t xml:space="preserve">2、乙方保证其对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rPr>
          <w:rFonts w:ascii="仿宋_GB2312" w:eastAsia="仿宋_GB2312"/>
          <w:sz w:val="28"/>
          <w:szCs w:val="32"/>
        </w:rPr>
      </w:r>
      <w:r/>
    </w:p>
    <w:p>
      <w:pPr>
        <w:pStyle w:val="961"/>
        <w:ind w:firstLine="560"/>
        <w:spacing w:line="520" w:lineRule="exact"/>
        <w:widowControl/>
        <w:tabs>
          <w:tab w:val="left" w:pos="1980" w:leader="none"/>
        </w:tabs>
        <w:rPr>
          <w:rFonts w:ascii="仿宋_GB2312" w:eastAsia="仿宋_GB2312"/>
          <w:sz w:val="28"/>
          <w:szCs w:val="32"/>
        </w:rPr>
      </w:pPr>
      <w:r>
        <w:rPr>
          <w:rFonts w:hint="eastAsia" w:ascii="仿宋_GB2312" w:eastAsia="仿宋_GB2312"/>
          <w:sz w:val="28"/>
          <w:szCs w:val="32"/>
        </w:rPr>
        <w:t xml:space="preserve">3、乙方在履行合同中产生的一切非因采购人过错导致的损失，均由乙方自行承担责任。</w:t>
      </w:r>
      <w:r>
        <w:rPr>
          <w:rFonts w:ascii="仿宋_GB2312" w:eastAsia="仿宋_GB2312"/>
          <w:sz w:val="28"/>
          <w:szCs w:val="32"/>
        </w:rPr>
      </w:r>
      <w:r/>
    </w:p>
    <w:p>
      <w:pPr>
        <w:pStyle w:val="961"/>
        <w:ind w:firstLine="560"/>
        <w:spacing w:line="520" w:lineRule="exact"/>
        <w:widowControl/>
        <w:tabs>
          <w:tab w:val="left" w:pos="1980" w:leader="none"/>
        </w:tabs>
        <w:rPr>
          <w:rFonts w:ascii="仿宋_GB2312" w:eastAsia="仿宋_GB2312"/>
          <w:sz w:val="28"/>
          <w:szCs w:val="32"/>
        </w:rPr>
      </w:pPr>
      <w:r>
        <w:rPr>
          <w:rFonts w:hint="eastAsia" w:ascii="仿宋_GB2312" w:eastAsia="仿宋_GB2312"/>
          <w:sz w:val="28"/>
          <w:szCs w:val="32"/>
        </w:rPr>
        <w:t xml:space="preserve">4、甲乙双方均应指定专人作为本合同履行期间双方之间的联络人，所有一方向相对方正式知会事项的通知到达相对方指定联络人即视为到达对方。</w:t>
      </w:r>
      <w:r>
        <w:rPr>
          <w:rFonts w:ascii="仿宋_GB2312" w:eastAsia="仿宋_GB2312"/>
          <w:sz w:val="28"/>
          <w:szCs w:val="32"/>
        </w:rPr>
      </w:r>
      <w:r/>
    </w:p>
    <w:p>
      <w:pPr>
        <w:pStyle w:val="961"/>
        <w:ind w:firstLine="560"/>
        <w:spacing w:line="520" w:lineRule="exact"/>
        <w:widowControl/>
        <w:tabs>
          <w:tab w:val="left" w:pos="1980" w:leader="none"/>
        </w:tabs>
        <w:rPr>
          <w:rFonts w:ascii="仿宋_GB2312" w:eastAsia="仿宋_GB2312"/>
          <w:sz w:val="28"/>
          <w:szCs w:val="32"/>
        </w:rPr>
      </w:pPr>
      <w:r>
        <w:rPr>
          <w:rFonts w:hint="eastAsia" w:ascii="仿宋_GB2312" w:eastAsia="仿宋_GB2312"/>
          <w:sz w:val="28"/>
          <w:szCs w:val="32"/>
        </w:rPr>
        <w:t xml:space="preserve">采购人指定联络人：</w:t>
      </w:r>
      <w:r>
        <w:rPr>
          <w:rFonts w:ascii="仿宋_GB2312" w:eastAsia="仿宋_GB2312"/>
          <w:sz w:val="28"/>
          <w:szCs w:val="32"/>
        </w:rPr>
      </w:r>
      <w:r/>
    </w:p>
    <w:p>
      <w:pPr>
        <w:pStyle w:val="961"/>
        <w:ind w:firstLine="560"/>
        <w:spacing w:line="520" w:lineRule="exact"/>
        <w:widowControl/>
        <w:tabs>
          <w:tab w:val="left" w:pos="1980" w:leader="none"/>
        </w:tabs>
        <w:rPr>
          <w:rFonts w:ascii="仿宋_GB2312" w:eastAsia="仿宋_GB2312"/>
          <w:sz w:val="28"/>
          <w:szCs w:val="32"/>
        </w:rPr>
      </w:pPr>
      <w:r>
        <w:rPr>
          <w:rFonts w:hint="eastAsia" w:ascii="仿宋_GB2312" w:eastAsia="仿宋_GB2312"/>
          <w:sz w:val="28"/>
          <w:szCs w:val="32"/>
        </w:rPr>
        <w:t xml:space="preserve">姓    名：</w:t>
      </w:r>
      <w:bookmarkStart w:id="225" w:name="purchase_relation_name"/>
      <w:r/>
      <w:bookmarkEnd w:id="225"/>
      <w:r>
        <w:rPr>
          <w:rFonts w:ascii="仿宋_GB2312" w:eastAsia="仿宋_GB2312"/>
          <w:sz w:val="28"/>
          <w:szCs w:val="32"/>
        </w:rPr>
      </w:r>
      <w:r/>
    </w:p>
    <w:p>
      <w:pPr>
        <w:pStyle w:val="961"/>
        <w:ind w:firstLine="560"/>
        <w:spacing w:line="520" w:lineRule="exact"/>
        <w:widowControl/>
        <w:tabs>
          <w:tab w:val="left" w:pos="1980" w:leader="none"/>
        </w:tabs>
        <w:rPr>
          <w:rFonts w:ascii="仿宋_GB2312" w:eastAsia="仿宋_GB2312"/>
          <w:sz w:val="28"/>
          <w:szCs w:val="32"/>
        </w:rPr>
      </w:pPr>
      <w:r>
        <w:rPr>
          <w:rFonts w:hint="eastAsia" w:ascii="仿宋_GB2312" w:eastAsia="仿宋_GB2312"/>
          <w:sz w:val="28"/>
          <w:szCs w:val="32"/>
        </w:rPr>
        <w:t xml:space="preserve">联系方式：</w:t>
      </w:r>
      <w:bookmarkStart w:id="226" w:name="purchase_relation_tel"/>
      <w:r/>
      <w:bookmarkEnd w:id="226"/>
      <w:r>
        <w:rPr>
          <w:rFonts w:ascii="仿宋_GB2312" w:eastAsia="仿宋_GB2312"/>
          <w:sz w:val="28"/>
          <w:szCs w:val="32"/>
        </w:rPr>
      </w:r>
      <w:r/>
    </w:p>
    <w:p>
      <w:pPr>
        <w:pStyle w:val="961"/>
        <w:ind w:firstLine="560"/>
        <w:spacing w:line="520" w:lineRule="exact"/>
        <w:widowControl/>
        <w:tabs>
          <w:tab w:val="left" w:pos="1980" w:leader="none"/>
        </w:tabs>
        <w:rPr>
          <w:rFonts w:ascii="仿宋_GB2312" w:eastAsia="仿宋_GB2312"/>
          <w:sz w:val="28"/>
          <w:szCs w:val="32"/>
        </w:rPr>
      </w:pPr>
      <w:r>
        <w:rPr>
          <w:rFonts w:hint="eastAsia" w:ascii="仿宋_GB2312" w:eastAsia="仿宋_GB2312"/>
          <w:sz w:val="28"/>
          <w:szCs w:val="32"/>
        </w:rPr>
        <w:t xml:space="preserve">乙方指定联络人：</w:t>
      </w:r>
      <w:r>
        <w:rPr>
          <w:rFonts w:ascii="仿宋_GB2312" w:eastAsia="仿宋_GB2312"/>
          <w:sz w:val="28"/>
          <w:szCs w:val="32"/>
        </w:rPr>
      </w:r>
      <w:r/>
    </w:p>
    <w:p>
      <w:pPr>
        <w:pStyle w:val="961"/>
        <w:ind w:firstLine="560"/>
        <w:spacing w:line="520" w:lineRule="exact"/>
        <w:widowControl/>
        <w:tabs>
          <w:tab w:val="left" w:pos="1980" w:leader="none"/>
        </w:tabs>
        <w:rPr>
          <w:rFonts w:ascii="仿宋_GB2312" w:eastAsia="仿宋_GB2312"/>
          <w:sz w:val="28"/>
          <w:szCs w:val="32"/>
        </w:rPr>
      </w:pPr>
      <w:r>
        <w:rPr>
          <w:rFonts w:hint="eastAsia" w:ascii="仿宋_GB2312" w:eastAsia="仿宋_GB2312"/>
          <w:sz w:val="28"/>
          <w:szCs w:val="32"/>
        </w:rPr>
        <w:t xml:space="preserve">姓    名：</w:t>
      </w:r>
      <w:bookmarkStart w:id="227" w:name="supplier_relation_name"/>
      <w:r/>
      <w:bookmarkEnd w:id="227"/>
      <w:r>
        <w:rPr>
          <w:rFonts w:ascii="仿宋_GB2312" w:eastAsia="仿宋_GB2312"/>
          <w:sz w:val="28"/>
          <w:szCs w:val="32"/>
        </w:rPr>
      </w:r>
      <w:r/>
    </w:p>
    <w:p>
      <w:pPr>
        <w:pStyle w:val="961"/>
        <w:ind w:firstLine="560"/>
        <w:spacing w:line="520" w:lineRule="exact"/>
        <w:widowControl/>
        <w:tabs>
          <w:tab w:val="left" w:pos="1980" w:leader="none"/>
        </w:tabs>
        <w:rPr>
          <w:rFonts w:ascii="仿宋_GB2312" w:eastAsia="仿宋_GB2312"/>
          <w:sz w:val="28"/>
          <w:szCs w:val="32"/>
        </w:rPr>
      </w:pPr>
      <w:r>
        <w:rPr>
          <w:rFonts w:hint="eastAsia" w:ascii="仿宋_GB2312" w:eastAsia="仿宋_GB2312"/>
          <w:sz w:val="28"/>
          <w:szCs w:val="32"/>
        </w:rPr>
        <w:t xml:space="preserve">联系方式：</w:t>
      </w:r>
      <w:bookmarkStart w:id="228" w:name="supplier_relation_tel"/>
      <w:r/>
      <w:bookmarkEnd w:id="228"/>
      <w:r>
        <w:rPr>
          <w:rFonts w:ascii="仿宋_GB2312" w:eastAsia="仿宋_GB2312"/>
          <w:sz w:val="28"/>
          <w:szCs w:val="32"/>
        </w:rPr>
      </w:r>
      <w:r/>
    </w:p>
    <w:p>
      <w:pPr>
        <w:pStyle w:val="961"/>
        <w:ind w:firstLine="560"/>
        <w:spacing w:line="520" w:lineRule="exact"/>
        <w:widowControl/>
        <w:tabs>
          <w:tab w:val="left" w:pos="1980" w:leader="none"/>
        </w:tabs>
        <w:rPr>
          <w:rFonts w:ascii="仿宋_GB2312" w:eastAsia="仿宋_GB2312"/>
          <w:sz w:val="28"/>
          <w:szCs w:val="32"/>
        </w:rPr>
      </w:pPr>
      <w:r>
        <w:rPr>
          <w:rFonts w:hint="eastAsia" w:ascii="仿宋_GB2312" w:eastAsia="仿宋_GB2312"/>
          <w:sz w:val="28"/>
          <w:szCs w:val="32"/>
        </w:rPr>
        <w:t xml:space="preserve">六、履约保证金：</w:t>
      </w:r>
      <w:r>
        <w:rPr>
          <w:rFonts w:ascii="仿宋_GB2312" w:eastAsia="仿宋_GB2312"/>
          <w:sz w:val="28"/>
          <w:szCs w:val="32"/>
        </w:rPr>
      </w:r>
      <w:r/>
    </w:p>
    <w:p>
      <w:pPr>
        <w:pStyle w:val="961"/>
        <w:ind w:firstLine="560"/>
        <w:spacing w:line="520" w:lineRule="exact"/>
        <w:widowControl/>
        <w:tabs>
          <w:tab w:val="left" w:pos="1980" w:leader="none"/>
        </w:tabs>
        <w:rPr>
          <w:rFonts w:ascii="仿宋_GB2312" w:eastAsia="仿宋_GB2312"/>
          <w:sz w:val="28"/>
          <w:szCs w:val="32"/>
        </w:rPr>
      </w:pPr>
      <w:r>
        <w:rPr>
          <w:rFonts w:hint="eastAsia" w:ascii="仿宋_GB2312" w:eastAsia="仿宋_GB2312"/>
          <w:sz w:val="28"/>
          <w:szCs w:val="32"/>
        </w:rPr>
        <w:t xml:space="preserve">本项目履约保证金额度为单年成交价的10%。在合同签订前缴纳，项目服务期满后，供应商至采购人处办理退还履约保证金手续（无息）。</w:t>
      </w:r>
      <w:r>
        <w:rPr>
          <w:rFonts w:ascii="仿宋_GB2312" w:eastAsia="仿宋_GB2312"/>
          <w:sz w:val="28"/>
          <w:szCs w:val="32"/>
        </w:rPr>
      </w:r>
      <w:r/>
    </w:p>
    <w:p>
      <w:pPr>
        <w:pStyle w:val="961"/>
        <w:ind w:firstLine="560"/>
        <w:spacing w:line="520" w:lineRule="exact"/>
        <w:rPr>
          <w:rFonts w:ascii="仿宋_GB2312" w:eastAsia="仿宋_GB2312"/>
          <w:sz w:val="28"/>
          <w:szCs w:val="32"/>
        </w:rPr>
      </w:pPr>
      <w:r>
        <w:rPr>
          <w:rFonts w:hint="eastAsia" w:ascii="仿宋_GB2312" w:eastAsia="仿宋_GB2312"/>
          <w:sz w:val="28"/>
          <w:szCs w:val="32"/>
        </w:rPr>
        <w:t xml:space="preserve">七、付款：服务费按月支付，服务费的结算要凭正式发票和采购人综合考核评分汇总单，按月度按实支付，于收到发票后10个工作日付清。</w:t>
      </w:r>
      <w:r>
        <w:rPr>
          <w:rFonts w:ascii="仿宋_GB2312" w:eastAsia="仿宋_GB2312"/>
          <w:sz w:val="28"/>
          <w:szCs w:val="32"/>
        </w:rPr>
      </w:r>
      <w:r/>
    </w:p>
    <w:p>
      <w:pPr>
        <w:pStyle w:val="961"/>
        <w:ind w:firstLine="560"/>
        <w:spacing w:line="520" w:lineRule="exact"/>
        <w:widowControl/>
        <w:rPr>
          <w:rFonts w:ascii="仿宋_GB2312" w:eastAsia="仿宋_GB2312"/>
          <w:sz w:val="28"/>
          <w:szCs w:val="32"/>
        </w:rPr>
      </w:pPr>
      <w:r>
        <w:rPr>
          <w:rFonts w:hint="eastAsia" w:ascii="仿宋_GB2312" w:eastAsia="仿宋_GB2312"/>
          <w:sz w:val="28"/>
          <w:szCs w:val="32"/>
        </w:rPr>
        <w:t xml:space="preserve">八、保密条款：乙方不得将在履行本合同中知悉的采购人任何信息随意泄露、擅自使用。</w:t>
      </w:r>
      <w:r>
        <w:rPr>
          <w:rFonts w:ascii="仿宋_GB2312" w:eastAsia="仿宋_GB2312"/>
          <w:sz w:val="28"/>
          <w:szCs w:val="32"/>
        </w:rPr>
      </w:r>
      <w:r/>
    </w:p>
    <w:p>
      <w:pPr>
        <w:pStyle w:val="961"/>
        <w:ind w:firstLine="560"/>
        <w:spacing w:line="520" w:lineRule="exact"/>
        <w:widowControl/>
        <w:rPr>
          <w:rFonts w:ascii="仿宋_GB2312" w:eastAsia="仿宋_GB2312"/>
          <w:sz w:val="28"/>
          <w:szCs w:val="32"/>
          <w:u w:val="single"/>
        </w:rPr>
      </w:pPr>
      <w:r>
        <w:rPr>
          <w:rFonts w:hint="eastAsia" w:ascii="仿宋_GB2312" w:eastAsia="仿宋_GB2312"/>
          <w:sz w:val="28"/>
          <w:szCs w:val="32"/>
        </w:rPr>
        <w:t xml:space="preserve">如违反本条款规定，乙方应当承担如下责任:</w:t>
      </w:r>
      <w:r>
        <w:rPr>
          <w:rFonts w:hint="eastAsia" w:ascii="仿宋_GB2312" w:eastAsia="仿宋_GB2312"/>
          <w:sz w:val="28"/>
          <w:szCs w:val="32"/>
          <w:u w:val="single"/>
        </w:rPr>
        <w:t xml:space="preserve">乙方需承担因此给采购人造成的所有直接和间接损失。</w:t>
      </w:r>
      <w:r>
        <w:rPr>
          <w:rFonts w:ascii="仿宋_GB2312" w:eastAsia="仿宋_GB2312"/>
          <w:sz w:val="28"/>
          <w:szCs w:val="32"/>
          <w:u w:val="single"/>
        </w:rPr>
      </w:r>
      <w:r/>
    </w:p>
    <w:p>
      <w:pPr>
        <w:pStyle w:val="961"/>
        <w:ind w:firstLine="560"/>
        <w:spacing w:line="520" w:lineRule="exact"/>
        <w:widowControl/>
        <w:tabs>
          <w:tab w:val="left" w:pos="1980" w:leader="none"/>
        </w:tabs>
        <w:rPr>
          <w:rFonts w:ascii="仿宋_GB2312" w:eastAsia="仿宋_GB2312"/>
          <w:sz w:val="28"/>
          <w:szCs w:val="32"/>
        </w:rPr>
      </w:pPr>
      <w:r>
        <w:rPr>
          <w:rFonts w:hint="eastAsia" w:ascii="仿宋_GB2312" w:eastAsia="仿宋_GB2312"/>
          <w:sz w:val="28"/>
          <w:szCs w:val="32"/>
        </w:rPr>
        <w:t xml:space="preserve">九、合同纠纷处理：本合同执行过程中发生纠纷，由甲乙双方协商处理，若协商不成，双方一致同意作如下1处理：</w:t>
      </w:r>
      <w:r>
        <w:rPr>
          <w:rFonts w:ascii="仿宋_GB2312" w:eastAsia="仿宋_GB2312"/>
          <w:sz w:val="28"/>
          <w:szCs w:val="32"/>
        </w:rPr>
      </w:r>
      <w:r/>
    </w:p>
    <w:p>
      <w:pPr>
        <w:pStyle w:val="961"/>
        <w:ind w:firstLine="560"/>
        <w:spacing w:line="520" w:lineRule="exact"/>
        <w:widowControl/>
        <w:tabs>
          <w:tab w:val="left" w:pos="1980" w:leader="none"/>
        </w:tabs>
        <w:rPr>
          <w:rFonts w:ascii="仿宋_GB2312" w:eastAsia="仿宋_GB2312"/>
          <w:sz w:val="28"/>
          <w:szCs w:val="32"/>
        </w:rPr>
      </w:pPr>
      <w:r>
        <w:rPr>
          <w:rFonts w:hint="eastAsia" w:ascii="仿宋_GB2312" w:eastAsia="仿宋_GB2312"/>
          <w:sz w:val="28"/>
          <w:szCs w:val="32"/>
        </w:rPr>
        <w:t xml:space="preserve">1、申请仲裁。选定仲裁机构为泰兴仲裁委员会。</w:t>
      </w:r>
      <w:r>
        <w:rPr>
          <w:rFonts w:ascii="仿宋_GB2312" w:eastAsia="仿宋_GB2312"/>
          <w:sz w:val="28"/>
          <w:szCs w:val="32"/>
        </w:rPr>
      </w:r>
      <w:r/>
    </w:p>
    <w:p>
      <w:pPr>
        <w:pStyle w:val="961"/>
        <w:ind w:firstLine="560"/>
        <w:spacing w:line="520" w:lineRule="exact"/>
        <w:widowControl/>
        <w:tabs>
          <w:tab w:val="left" w:pos="1980" w:leader="none"/>
        </w:tabs>
        <w:rPr>
          <w:rFonts w:ascii="仿宋_GB2312" w:eastAsia="仿宋_GB2312"/>
          <w:sz w:val="28"/>
          <w:szCs w:val="32"/>
        </w:rPr>
      </w:pPr>
      <w:r>
        <w:rPr>
          <w:rFonts w:hint="eastAsia" w:ascii="仿宋_GB2312" w:eastAsia="仿宋_GB2312"/>
          <w:sz w:val="28"/>
          <w:szCs w:val="32"/>
        </w:rPr>
        <w:t xml:space="preserve">2、提起诉讼。约定由采购人所在地法院管辖。</w:t>
      </w:r>
      <w:r>
        <w:rPr>
          <w:rFonts w:ascii="仿宋_GB2312" w:eastAsia="仿宋_GB2312"/>
          <w:sz w:val="28"/>
          <w:szCs w:val="32"/>
        </w:rPr>
      </w:r>
      <w:r/>
    </w:p>
    <w:p>
      <w:pPr>
        <w:pStyle w:val="961"/>
        <w:ind w:firstLine="560"/>
        <w:spacing w:line="520" w:lineRule="exact"/>
        <w:widowControl/>
        <w:tabs>
          <w:tab w:val="left" w:pos="1980" w:leader="none"/>
        </w:tabs>
        <w:rPr>
          <w:rFonts w:ascii="仿宋_GB2312" w:eastAsia="仿宋_GB2312"/>
          <w:sz w:val="28"/>
          <w:szCs w:val="32"/>
        </w:rPr>
      </w:pPr>
      <w:r>
        <w:rPr>
          <w:rFonts w:hint="eastAsia" w:ascii="仿宋_GB2312" w:eastAsia="仿宋_GB2312"/>
          <w:sz w:val="28"/>
          <w:szCs w:val="32"/>
        </w:rPr>
        <w:t xml:space="preserve">十、合同生效：本合同由甲乙双方签字盖章后生效。</w:t>
      </w:r>
      <w:r>
        <w:rPr>
          <w:rFonts w:ascii="仿宋_GB2312" w:eastAsia="仿宋_GB2312"/>
          <w:sz w:val="28"/>
          <w:szCs w:val="32"/>
        </w:rPr>
      </w:r>
      <w:r/>
    </w:p>
    <w:p>
      <w:pPr>
        <w:pStyle w:val="961"/>
        <w:ind w:firstLine="560"/>
        <w:spacing w:line="520" w:lineRule="exact"/>
        <w:widowControl/>
        <w:rPr>
          <w:rFonts w:ascii="仿宋_GB2312" w:eastAsia="仿宋_GB2312"/>
          <w:sz w:val="28"/>
          <w:szCs w:val="32"/>
        </w:rPr>
      </w:pPr>
      <w:r>
        <w:rPr>
          <w:rFonts w:hint="eastAsia" w:ascii="仿宋_GB2312" w:eastAsia="仿宋_GB2312"/>
          <w:sz w:val="28"/>
          <w:szCs w:val="32"/>
        </w:rPr>
        <w:t xml:space="preserve">十一、组成本合同的文件包括：</w:t>
      </w:r>
      <w:r>
        <w:rPr>
          <w:rFonts w:ascii="仿宋_GB2312" w:eastAsia="仿宋_GB2312"/>
          <w:sz w:val="28"/>
          <w:szCs w:val="32"/>
        </w:rPr>
      </w:r>
      <w:r/>
    </w:p>
    <w:p>
      <w:pPr>
        <w:pStyle w:val="961"/>
        <w:ind w:firstLine="560"/>
        <w:spacing w:line="520" w:lineRule="exact"/>
        <w:widowControl/>
        <w:rPr>
          <w:rFonts w:ascii="仿宋_GB2312" w:eastAsia="仿宋_GB2312"/>
          <w:sz w:val="28"/>
          <w:szCs w:val="32"/>
        </w:rPr>
      </w:pPr>
      <w:r>
        <w:rPr>
          <w:rFonts w:hint="eastAsia" w:ascii="仿宋_GB2312" w:eastAsia="仿宋_GB2312"/>
          <w:sz w:val="28"/>
          <w:szCs w:val="32"/>
        </w:rPr>
        <w:t xml:space="preserve">1、合同通用条款和专用条款；</w:t>
      </w:r>
      <w:r>
        <w:rPr>
          <w:rFonts w:ascii="仿宋_GB2312" w:eastAsia="仿宋_GB2312"/>
          <w:sz w:val="28"/>
          <w:szCs w:val="32"/>
        </w:rPr>
      </w:r>
      <w:r/>
    </w:p>
    <w:p>
      <w:pPr>
        <w:pStyle w:val="961"/>
        <w:ind w:firstLine="560"/>
        <w:spacing w:line="520" w:lineRule="exact"/>
        <w:widowControl/>
        <w:rPr>
          <w:rFonts w:ascii="仿宋_GB2312" w:eastAsia="仿宋_GB2312"/>
          <w:sz w:val="28"/>
          <w:szCs w:val="32"/>
        </w:rPr>
      </w:pPr>
      <w:r>
        <w:rPr>
          <w:rFonts w:hint="eastAsia" w:ascii="仿宋_GB2312" w:eastAsia="仿宋_GB2312"/>
          <w:sz w:val="28"/>
          <w:szCs w:val="32"/>
        </w:rPr>
        <w:t xml:space="preserve">2、采购文件和乙方的响应文件；</w:t>
      </w:r>
      <w:r>
        <w:rPr>
          <w:rFonts w:ascii="仿宋_GB2312" w:eastAsia="仿宋_GB2312"/>
          <w:sz w:val="28"/>
          <w:szCs w:val="32"/>
        </w:rPr>
      </w:r>
      <w:r/>
    </w:p>
    <w:p>
      <w:pPr>
        <w:pStyle w:val="961"/>
        <w:ind w:firstLine="560"/>
        <w:spacing w:line="520" w:lineRule="exact"/>
        <w:widowControl/>
        <w:rPr>
          <w:rFonts w:ascii="仿宋_GB2312" w:eastAsia="仿宋_GB2312"/>
          <w:sz w:val="28"/>
          <w:szCs w:val="32"/>
        </w:rPr>
      </w:pPr>
      <w:r>
        <w:rPr>
          <w:rFonts w:hint="eastAsia" w:ascii="仿宋_GB2312" w:eastAsia="仿宋_GB2312"/>
          <w:sz w:val="28"/>
          <w:szCs w:val="32"/>
        </w:rPr>
        <w:t xml:space="preserve">3、中标通知书；</w:t>
      </w:r>
      <w:r>
        <w:rPr>
          <w:rFonts w:ascii="仿宋_GB2312" w:eastAsia="仿宋_GB2312"/>
          <w:sz w:val="28"/>
          <w:szCs w:val="32"/>
        </w:rPr>
      </w:r>
      <w:r/>
    </w:p>
    <w:p>
      <w:pPr>
        <w:pStyle w:val="961"/>
        <w:ind w:firstLine="560"/>
        <w:spacing w:line="520" w:lineRule="exact"/>
        <w:widowControl/>
        <w:rPr>
          <w:rFonts w:ascii="仿宋_GB2312" w:eastAsia="仿宋_GB2312"/>
          <w:sz w:val="28"/>
          <w:szCs w:val="32"/>
        </w:rPr>
      </w:pPr>
      <w:r>
        <w:rPr>
          <w:rFonts w:hint="eastAsia" w:ascii="仿宋_GB2312" w:eastAsia="仿宋_GB2312"/>
          <w:sz w:val="28"/>
          <w:szCs w:val="32"/>
        </w:rPr>
        <w:t xml:space="preserve">4、甲乙双方商定的其他必要文件。</w:t>
      </w:r>
      <w:r>
        <w:rPr>
          <w:rFonts w:ascii="仿宋_GB2312" w:eastAsia="仿宋_GB2312"/>
          <w:sz w:val="28"/>
          <w:szCs w:val="32"/>
        </w:rPr>
      </w:r>
      <w:r/>
    </w:p>
    <w:p>
      <w:pPr>
        <w:pStyle w:val="961"/>
        <w:ind w:firstLine="560"/>
        <w:spacing w:line="520" w:lineRule="exact"/>
        <w:widowControl/>
        <w:rPr>
          <w:rFonts w:ascii="仿宋_GB2312" w:eastAsia="仿宋_GB2312"/>
          <w:sz w:val="28"/>
          <w:szCs w:val="32"/>
        </w:rPr>
      </w:pPr>
      <w:r>
        <w:rPr>
          <w:rFonts w:hint="eastAsia" w:ascii="仿宋_GB2312" w:eastAsia="仿宋_GB2312"/>
          <w:sz w:val="28"/>
          <w:szCs w:val="32"/>
        </w:rPr>
        <w:t xml:space="preserve">上述合同文件内容互为补充，如有不明确，由采购人负责解释。</w:t>
      </w:r>
      <w:r>
        <w:rPr>
          <w:rFonts w:ascii="仿宋_GB2312" w:eastAsia="仿宋_GB2312"/>
          <w:sz w:val="28"/>
          <w:szCs w:val="32"/>
        </w:rPr>
      </w:r>
      <w:r/>
    </w:p>
    <w:p>
      <w:pPr>
        <w:pStyle w:val="961"/>
        <w:ind w:firstLine="560"/>
        <w:spacing w:line="520" w:lineRule="exact"/>
        <w:widowControl/>
        <w:rPr>
          <w:rFonts w:ascii="仿宋_GB2312" w:eastAsia="仿宋_GB2312"/>
          <w:sz w:val="28"/>
          <w:szCs w:val="32"/>
        </w:rPr>
      </w:pPr>
      <w:r>
        <w:rPr>
          <w:rFonts w:hint="eastAsia" w:ascii="仿宋_GB2312" w:eastAsia="仿宋_GB2312"/>
          <w:sz w:val="28"/>
          <w:szCs w:val="32"/>
        </w:rPr>
        <w:t xml:space="preserve">十二、合同备案</w:t>
      </w:r>
      <w:r>
        <w:rPr>
          <w:rFonts w:ascii="仿宋_GB2312" w:eastAsia="仿宋_GB2312"/>
          <w:sz w:val="28"/>
          <w:szCs w:val="32"/>
        </w:rPr>
      </w:r>
      <w:r/>
    </w:p>
    <w:p>
      <w:pPr>
        <w:pStyle w:val="961"/>
        <w:ind w:firstLine="560"/>
        <w:spacing w:line="520" w:lineRule="atLeast"/>
        <w:rPr>
          <w:rFonts w:ascii="仿宋_GB2312" w:eastAsia="仿宋_GB2312"/>
          <w:sz w:val="28"/>
          <w:szCs w:val="32"/>
        </w:rPr>
      </w:pPr>
      <w:r>
        <w:rPr>
          <w:rFonts w:hint="eastAsia" w:ascii="仿宋_GB2312" w:eastAsia="仿宋_GB2312"/>
          <w:sz w:val="28"/>
          <w:szCs w:val="32"/>
        </w:rPr>
        <w:t xml:space="preserve">本合同一式四份，中文书写。甲乙双方各执贰份。</w:t>
      </w:r>
      <w:r>
        <w:rPr>
          <w:rFonts w:ascii="仿宋_GB2312" w:eastAsia="仿宋_GB2312"/>
          <w:sz w:val="28"/>
          <w:szCs w:val="32"/>
        </w:rPr>
      </w:r>
      <w:r/>
    </w:p>
    <w:p>
      <w:pPr>
        <w:pStyle w:val="961"/>
        <w:ind w:firstLine="560"/>
        <w:spacing w:line="520" w:lineRule="atLeast"/>
        <w:rPr>
          <w:rFonts w:ascii="仿宋_GB2312" w:eastAsia="仿宋_GB2312"/>
          <w:sz w:val="28"/>
          <w:szCs w:val="32"/>
        </w:rPr>
      </w:pPr>
      <w:r>
        <w:rPr>
          <w:rFonts w:hint="eastAsia" w:ascii="仿宋_GB2312" w:eastAsia="仿宋_GB2312"/>
          <w:sz w:val="28"/>
          <w:szCs w:val="32"/>
        </w:rPr>
        <w:t xml:space="preserve">甲方：（盖章）                       </w:t>
      </w:r>
      <w:r>
        <w:rPr>
          <w:rFonts w:ascii="仿宋_GB2312" w:eastAsia="仿宋_GB2312"/>
          <w:sz w:val="28"/>
          <w:szCs w:val="32"/>
        </w:rPr>
      </w:r>
      <w:r/>
    </w:p>
    <w:p>
      <w:pPr>
        <w:pStyle w:val="961"/>
        <w:ind w:firstLine="560"/>
        <w:spacing w:line="520" w:lineRule="atLeast"/>
        <w:rPr>
          <w:rFonts w:ascii="仿宋_GB2312" w:eastAsia="仿宋_GB2312"/>
          <w:sz w:val="28"/>
          <w:szCs w:val="32"/>
        </w:rPr>
      </w:pPr>
      <w:r>
        <w:rPr>
          <w:rFonts w:hint="eastAsia" w:ascii="仿宋_GB2312" w:eastAsia="仿宋_GB2312"/>
          <w:sz w:val="28"/>
          <w:szCs w:val="32"/>
        </w:rPr>
        <w:t xml:space="preserve">法定代表人：                                     </w:t>
      </w:r>
      <w:r>
        <w:rPr>
          <w:rFonts w:ascii="仿宋_GB2312" w:eastAsia="仿宋_GB2312"/>
          <w:sz w:val="28"/>
          <w:szCs w:val="32"/>
        </w:rPr>
      </w:r>
      <w:r/>
    </w:p>
    <w:p>
      <w:pPr>
        <w:pStyle w:val="961"/>
        <w:ind w:firstLine="560"/>
        <w:spacing w:line="520" w:lineRule="atLeast"/>
        <w:rPr>
          <w:rFonts w:ascii="仿宋_GB2312" w:eastAsia="仿宋_GB2312"/>
          <w:sz w:val="28"/>
          <w:szCs w:val="32"/>
        </w:rPr>
      </w:pPr>
      <w:r>
        <w:rPr>
          <w:rFonts w:hint="eastAsia" w:ascii="仿宋_GB2312" w:eastAsia="仿宋_GB2312"/>
          <w:sz w:val="28"/>
          <w:szCs w:val="32"/>
        </w:rPr>
        <w:t xml:space="preserve">委托代理人：                                     </w:t>
      </w:r>
      <w:r>
        <w:rPr>
          <w:rFonts w:ascii="仿宋_GB2312" w:eastAsia="仿宋_GB2312"/>
          <w:sz w:val="28"/>
          <w:szCs w:val="32"/>
        </w:rPr>
      </w:r>
      <w:r/>
    </w:p>
    <w:p>
      <w:pPr>
        <w:pStyle w:val="961"/>
        <w:ind w:firstLine="560"/>
        <w:spacing w:line="520" w:lineRule="atLeast"/>
        <w:rPr>
          <w:rFonts w:ascii="仿宋_GB2312" w:eastAsia="仿宋_GB2312"/>
          <w:sz w:val="28"/>
          <w:szCs w:val="32"/>
        </w:rPr>
      </w:pPr>
      <w:r>
        <w:rPr>
          <w:rFonts w:hint="eastAsia" w:ascii="仿宋_GB2312" w:eastAsia="仿宋_GB2312"/>
          <w:sz w:val="28"/>
          <w:szCs w:val="32"/>
        </w:rPr>
        <w:t xml:space="preserve">电话：                                            </w:t>
      </w:r>
      <w:r>
        <w:rPr>
          <w:rFonts w:ascii="仿宋_GB2312" w:eastAsia="仿宋_GB2312"/>
          <w:sz w:val="28"/>
          <w:szCs w:val="32"/>
        </w:rPr>
      </w:r>
      <w:r/>
    </w:p>
    <w:p>
      <w:pPr>
        <w:pStyle w:val="961"/>
        <w:ind w:firstLine="560"/>
        <w:spacing w:line="520" w:lineRule="atLeast"/>
        <w:rPr>
          <w:rFonts w:ascii="仿宋_GB2312" w:eastAsia="仿宋_GB2312"/>
          <w:sz w:val="28"/>
          <w:szCs w:val="32"/>
        </w:rPr>
      </w:pPr>
      <w:r>
        <w:rPr>
          <w:rFonts w:hint="eastAsia" w:ascii="仿宋_GB2312" w:eastAsia="仿宋_GB2312"/>
          <w:sz w:val="28"/>
          <w:szCs w:val="32"/>
        </w:rPr>
        <w:t xml:space="preserve">日期：    年   月   日                         </w:t>
      </w:r>
      <w:r>
        <w:rPr>
          <w:rFonts w:ascii="仿宋_GB2312" w:eastAsia="仿宋_GB2312"/>
          <w:sz w:val="28"/>
          <w:szCs w:val="32"/>
        </w:rPr>
      </w:r>
      <w:r/>
    </w:p>
    <w:p>
      <w:pPr>
        <w:pStyle w:val="961"/>
        <w:ind w:firstLine="560"/>
        <w:spacing w:line="520" w:lineRule="atLeast"/>
        <w:rPr>
          <w:rFonts w:ascii="仿宋_GB2312" w:eastAsia="仿宋_GB2312"/>
          <w:sz w:val="28"/>
          <w:szCs w:val="32"/>
        </w:rPr>
      </w:pPr>
      <w:r>
        <w:rPr>
          <w:rFonts w:ascii="仿宋_GB2312" w:eastAsia="仿宋_GB2312"/>
          <w:sz w:val="28"/>
          <w:szCs w:val="32"/>
        </w:rPr>
      </w:r>
      <w:r/>
    </w:p>
    <w:p>
      <w:pPr>
        <w:pStyle w:val="961"/>
        <w:ind w:firstLine="560"/>
        <w:spacing w:line="520" w:lineRule="atLeast"/>
        <w:rPr>
          <w:rFonts w:ascii="仿宋_GB2312" w:eastAsia="仿宋_GB2312"/>
          <w:sz w:val="28"/>
          <w:szCs w:val="32"/>
        </w:rPr>
      </w:pPr>
      <w:r>
        <w:rPr>
          <w:rFonts w:hint="eastAsia" w:ascii="仿宋_GB2312" w:eastAsia="仿宋_GB2312"/>
          <w:sz w:val="28"/>
          <w:szCs w:val="32"/>
        </w:rPr>
        <w:t xml:space="preserve">乙方：（盖章）                           </w:t>
      </w:r>
      <w:r>
        <w:rPr>
          <w:rFonts w:ascii="仿宋_GB2312" w:eastAsia="仿宋_GB2312"/>
          <w:sz w:val="28"/>
          <w:szCs w:val="32"/>
        </w:rPr>
      </w:r>
      <w:r/>
    </w:p>
    <w:p>
      <w:pPr>
        <w:pStyle w:val="961"/>
        <w:ind w:firstLine="560"/>
        <w:spacing w:line="520" w:lineRule="atLeast"/>
        <w:rPr>
          <w:rFonts w:ascii="仿宋_GB2312" w:eastAsia="仿宋_GB2312"/>
          <w:sz w:val="28"/>
          <w:szCs w:val="32"/>
        </w:rPr>
      </w:pPr>
      <w:r>
        <w:rPr>
          <w:rFonts w:hint="eastAsia" w:ascii="仿宋_GB2312" w:eastAsia="仿宋_GB2312"/>
          <w:sz w:val="28"/>
          <w:szCs w:val="32"/>
        </w:rPr>
        <w:t xml:space="preserve">法定代表人：                                     </w:t>
      </w:r>
      <w:r>
        <w:rPr>
          <w:rFonts w:ascii="仿宋_GB2312" w:eastAsia="仿宋_GB2312"/>
          <w:sz w:val="28"/>
          <w:szCs w:val="32"/>
        </w:rPr>
      </w:r>
      <w:r/>
    </w:p>
    <w:p>
      <w:pPr>
        <w:pStyle w:val="961"/>
        <w:ind w:firstLine="560"/>
        <w:spacing w:line="520" w:lineRule="atLeast"/>
        <w:rPr>
          <w:rFonts w:ascii="仿宋_GB2312" w:eastAsia="仿宋_GB2312"/>
          <w:sz w:val="28"/>
          <w:szCs w:val="32"/>
        </w:rPr>
      </w:pPr>
      <w:r>
        <w:rPr>
          <w:rFonts w:hint="eastAsia" w:ascii="仿宋_GB2312" w:eastAsia="仿宋_GB2312"/>
          <w:sz w:val="28"/>
          <w:szCs w:val="32"/>
        </w:rPr>
        <w:t xml:space="preserve">委托代理人：                                     </w:t>
      </w:r>
      <w:r>
        <w:rPr>
          <w:rFonts w:ascii="仿宋_GB2312" w:eastAsia="仿宋_GB2312"/>
          <w:sz w:val="28"/>
          <w:szCs w:val="32"/>
        </w:rPr>
      </w:r>
      <w:r/>
    </w:p>
    <w:p>
      <w:pPr>
        <w:pStyle w:val="961"/>
        <w:ind w:firstLine="560"/>
        <w:spacing w:line="520" w:lineRule="atLeast"/>
        <w:rPr>
          <w:rFonts w:ascii="仿宋_GB2312" w:eastAsia="仿宋_GB2312"/>
          <w:sz w:val="28"/>
          <w:szCs w:val="32"/>
        </w:rPr>
      </w:pPr>
      <w:r>
        <w:rPr>
          <w:rFonts w:hint="eastAsia" w:ascii="仿宋_GB2312" w:eastAsia="仿宋_GB2312"/>
          <w:sz w:val="28"/>
          <w:szCs w:val="32"/>
        </w:rPr>
        <w:t xml:space="preserve">电话：                                           </w:t>
      </w:r>
      <w:r>
        <w:rPr>
          <w:rFonts w:ascii="仿宋_GB2312" w:eastAsia="仿宋_GB2312"/>
          <w:sz w:val="28"/>
          <w:szCs w:val="32"/>
        </w:rPr>
      </w:r>
      <w:r/>
    </w:p>
    <w:p>
      <w:pPr>
        <w:pStyle w:val="961"/>
        <w:ind w:firstLine="560"/>
        <w:spacing w:line="520" w:lineRule="atLeast"/>
        <w:rPr>
          <w:rFonts w:ascii="仿宋_GB2312" w:eastAsia="仿宋_GB2312"/>
          <w:sz w:val="28"/>
          <w:szCs w:val="32"/>
        </w:rPr>
      </w:pPr>
      <w:r>
        <w:rPr>
          <w:rFonts w:hint="eastAsia" w:ascii="仿宋_GB2312" w:eastAsia="仿宋_GB2312"/>
          <w:sz w:val="28"/>
          <w:szCs w:val="32"/>
        </w:rPr>
        <w:t xml:space="preserve">开户银行：                                       </w:t>
      </w:r>
      <w:r>
        <w:rPr>
          <w:rFonts w:ascii="仿宋_GB2312" w:eastAsia="仿宋_GB2312"/>
          <w:sz w:val="28"/>
          <w:szCs w:val="32"/>
        </w:rPr>
      </w:r>
      <w:r/>
    </w:p>
    <w:p>
      <w:pPr>
        <w:pStyle w:val="961"/>
        <w:ind w:firstLine="560"/>
        <w:spacing w:line="520" w:lineRule="atLeast"/>
        <w:rPr>
          <w:rFonts w:ascii="仿宋_GB2312" w:eastAsia="仿宋_GB2312"/>
          <w:sz w:val="28"/>
          <w:szCs w:val="32"/>
        </w:rPr>
      </w:pPr>
      <w:r>
        <w:rPr>
          <w:rFonts w:hint="eastAsia" w:ascii="仿宋_GB2312" w:eastAsia="仿宋_GB2312"/>
          <w:sz w:val="28"/>
          <w:szCs w:val="32"/>
        </w:rPr>
        <w:t xml:space="preserve">账号：                                           </w:t>
      </w:r>
      <w:r>
        <w:rPr>
          <w:rFonts w:ascii="仿宋_GB2312" w:eastAsia="仿宋_GB2312"/>
          <w:sz w:val="28"/>
          <w:szCs w:val="32"/>
        </w:rPr>
      </w:r>
      <w:r/>
    </w:p>
    <w:p>
      <w:pPr>
        <w:pStyle w:val="961"/>
        <w:ind w:firstLine="560"/>
        <w:spacing w:line="520" w:lineRule="atLeast"/>
        <w:rPr>
          <w:rFonts w:ascii="仿宋_GB2312" w:eastAsia="仿宋_GB2312"/>
          <w:sz w:val="28"/>
          <w:szCs w:val="32"/>
        </w:rPr>
      </w:pPr>
      <w:r>
        <w:rPr>
          <w:rFonts w:hint="eastAsia" w:ascii="仿宋_GB2312" w:eastAsia="仿宋_GB2312"/>
          <w:sz w:val="28"/>
          <w:szCs w:val="32"/>
        </w:rPr>
        <w:t xml:space="preserve">单位地址：                                       </w:t>
      </w:r>
      <w:r>
        <w:rPr>
          <w:rFonts w:ascii="仿宋_GB2312" w:eastAsia="仿宋_GB2312"/>
          <w:sz w:val="28"/>
          <w:szCs w:val="32"/>
        </w:rPr>
      </w:r>
      <w:r/>
    </w:p>
    <w:p>
      <w:pPr>
        <w:pStyle w:val="961"/>
        <w:ind w:firstLine="560"/>
        <w:spacing w:line="520" w:lineRule="atLeast"/>
        <w:rPr>
          <w:rFonts w:ascii="仿宋_GB2312" w:eastAsia="仿宋_GB2312"/>
          <w:sz w:val="28"/>
          <w:szCs w:val="32"/>
        </w:rPr>
      </w:pPr>
      <w:r>
        <w:rPr>
          <w:rFonts w:hint="eastAsia" w:ascii="仿宋_GB2312" w:eastAsia="仿宋_GB2312"/>
          <w:sz w:val="28"/>
          <w:szCs w:val="32"/>
        </w:rPr>
        <w:t xml:space="preserve">日期：    年   月   日</w:t>
      </w:r>
      <w:r>
        <w:rPr>
          <w:rFonts w:ascii="仿宋_GB2312" w:eastAsia="仿宋_GB2312"/>
          <w:sz w:val="28"/>
          <w:szCs w:val="32"/>
        </w:rPr>
      </w:r>
      <w:r/>
    </w:p>
    <w:p>
      <w:pPr>
        <w:pStyle w:val="961"/>
        <w:jc w:val="center"/>
        <w:widowControl/>
        <w:rPr>
          <w:rFonts w:hint="eastAsia" w:ascii="方正仿宋_GB2312" w:hAnsi="方正仿宋_GB2312" w:eastAsia="方正仿宋_GB2312" w:cs="方正仿宋_GB2312"/>
          <w:b/>
          <w:sz w:val="44"/>
          <w:szCs w:val="44"/>
        </w:rPr>
      </w:pPr>
      <w:r>
        <w:rPr>
          <w:rFonts w:hint="eastAsia" w:ascii="仿宋_GB2312" w:eastAsia="仿宋_GB2312"/>
          <w:sz w:val="28"/>
          <w:szCs w:val="32"/>
        </w:rPr>
        <w:t xml:space="preserve">                                          签订日期：   年 月 </w:t>
      </w:r>
      <w:bookmarkStart w:id="229" w:name="_Hlt16619369"/>
      <w:r/>
      <w:bookmarkEnd w:id="229"/>
      <w:r>
        <w:rPr>
          <w:rFonts w:hint="eastAsia" w:ascii="仿宋_GB2312" w:eastAsia="仿宋_GB2312"/>
          <w:sz w:val="28"/>
          <w:szCs w:val="32"/>
        </w:rPr>
        <w:t xml:space="preserve">日</w:t>
      </w:r>
      <w:r>
        <w:rPr>
          <w:rFonts w:hint="eastAsia" w:ascii="方正仿宋_GB2312" w:hAnsi="方正仿宋_GB2312" w:eastAsia="方正仿宋_GB2312" w:cs="方正仿宋_GB2312"/>
          <w:sz w:val="44"/>
          <w:szCs w:val="44"/>
        </w:rPr>
        <w:br w:type="page" w:clear="all"/>
      </w:r>
      <w:r>
        <w:rPr>
          <w:rFonts w:hint="eastAsia" w:ascii="方正仿宋_GB2312" w:hAnsi="方正仿宋_GB2312" w:eastAsia="方正仿宋_GB2312" w:cs="方正仿宋_GB2312"/>
          <w:b/>
          <w:sz w:val="44"/>
          <w:szCs w:val="44"/>
        </w:rPr>
        <w:t xml:space="preserve">第五章  采购需求</w:t>
      </w:r>
      <w:r/>
    </w:p>
    <w:p>
      <w:pPr>
        <w:pStyle w:val="961"/>
        <w:ind w:firstLine="480"/>
        <w:spacing w:line="520" w:lineRule="exact"/>
        <w:rPr>
          <w:rFonts w:ascii="宋体" w:hAnsi="宋体" w:cs="宋体"/>
          <w:b/>
          <w:bCs/>
        </w:rPr>
      </w:pPr>
      <w:r>
        <w:rPr>
          <w:rFonts w:hint="eastAsia" w:ascii="宋体" w:hAnsi="宋体" w:cs="宋体"/>
        </w:rPr>
        <w:t xml:space="preserve">满足泰兴市县域内每天同时段13个急救转运班次运行需要，并提供驾驶员、调度员、护理人员、担架员及相关业务管理，其中急救驾驶员不少于23名、调度员不少于8名、护理人员2名、担架员不少于2名，劳务外包服务人员总计不少于35名。另外驻场管理人员不少于1名。</w:t>
      </w:r>
      <w:r>
        <w:rPr>
          <w:rFonts w:ascii="宋体" w:hAnsi="宋体" w:cs="宋体"/>
          <w:b/>
          <w:bCs/>
        </w:rPr>
      </w:r>
      <w:r/>
    </w:p>
    <w:p>
      <w:pPr>
        <w:pStyle w:val="961"/>
        <w:ind w:firstLine="482"/>
        <w:spacing w:line="520" w:lineRule="exact"/>
        <w:rPr>
          <w:rFonts w:hint="eastAsia" w:ascii="宋体" w:hAnsi="宋体" w:cs="宋体"/>
          <w:bCs/>
        </w:rPr>
      </w:pPr>
      <w:r>
        <w:rPr>
          <w:rFonts w:hint="eastAsia" w:ascii="宋体" w:hAnsi="宋体" w:cs="宋体"/>
          <w:b/>
          <w:bCs/>
        </w:rPr>
        <w:t xml:space="preserve">一、劳务外包服务驻场管理人员不少于1名，要求如下：</w:t>
      </w:r>
      <w:r>
        <w:rPr>
          <w:rFonts w:hint="eastAsia" w:ascii="宋体" w:hAnsi="宋体" w:cs="宋体"/>
          <w:bCs/>
        </w:rPr>
      </w:r>
      <w:r/>
    </w:p>
    <w:p>
      <w:pPr>
        <w:pStyle w:val="1022"/>
        <w:numPr>
          <w:ilvl w:val="0"/>
          <w:numId w:val="0"/>
        </w:numPr>
        <w:ind w:firstLine="482"/>
        <w:spacing w:line="520" w:lineRule="exact"/>
        <w:tabs>
          <w:tab w:val="left" w:pos="1055" w:leader="none"/>
        </w:tabs>
        <w:rPr>
          <w:rFonts w:hint="eastAsia" w:ascii="宋体" w:hAnsi="宋体" w:eastAsia="宋体" w:cs="宋体"/>
        </w:rPr>
        <w:outlineLvl w:val="9"/>
      </w:pPr>
      <w:r>
        <w:rPr>
          <w:rFonts w:hint="eastAsia" w:ascii="宋体" w:hAnsi="宋体" w:eastAsia="宋体" w:cs="宋体"/>
        </w:rPr>
        <w:t xml:space="preserve">（一）岗位职责：</w:t>
      </w:r>
      <w:r/>
    </w:p>
    <w:p>
      <w:pPr>
        <w:pStyle w:val="1022"/>
        <w:numPr>
          <w:ilvl w:val="0"/>
          <w:numId w:val="0"/>
        </w:numPr>
        <w:ind w:firstLine="482"/>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rPr>
        <w:t xml:space="preserve">1. 项目落地与履约管理。</w:t>
      </w:r>
      <w:r>
        <w:rPr>
          <w:rFonts w:hint="eastAsia" w:ascii="宋体" w:hAnsi="宋体" w:eastAsia="宋体" w:cs="宋体"/>
          <w:b w:val="0"/>
          <w:bCs/>
        </w:rPr>
        <w:t xml:space="preserve">对接急救中心需求，制定外包团队服务方案，细化排班计划、人员配置和考核指标，确保驾驶员、调度员、护理人员、担架员等岗位24小时响应急救任务。严格按照合同约定管控服务质量，定期提交履约报告，配合急救中心完成月度或季度绩效考核评估。</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  </w:t>
      </w:r>
      <w:r>
        <w:rPr>
          <w:rFonts w:hint="eastAsia" w:ascii="宋体" w:hAnsi="宋体" w:eastAsia="宋体" w:cs="宋体"/>
        </w:rPr>
        <w:t xml:space="preserve">2. 外包人员全周期管理。</w:t>
      </w:r>
      <w:r>
        <w:rPr>
          <w:rFonts w:hint="eastAsia" w:ascii="宋体" w:hAnsi="宋体" w:eastAsia="宋体" w:cs="宋体"/>
          <w:b w:val="0"/>
          <w:bCs/>
        </w:rPr>
        <w:t xml:space="preserve">根据采购人相关业务科室(组）要求，落实日常人员管理及车辆、医疗、通信调度等急救设备维护管理工作，如协助中心做好维修车辆的验收、车辆年审、建立健全车辆管理档案</w:t>
      </w:r>
      <w:r>
        <w:rPr>
          <w:rFonts w:hint="eastAsia" w:ascii="宋体" w:hAnsi="宋体" w:eastAsia="宋体" w:cs="宋体"/>
          <w:b w:val="0"/>
          <w:bCs/>
        </w:rPr>
        <w:t xml:space="preserve">等工作。经常深入一线，掌握外包服务人员动态及车辆、医疗、通信调度等急救设备运行情况。负责外包服务人员日常行政管理方面考核工作，定期做好各种总结及相关统计工作。负责外包人员的招聘、资质审核并协调中心组织岗前培训，如驾驶员补录人员需核查B2及以上驾驶证，调度员需确认护士执业资格等。日常协调中心组织开展急救流程、院感防控、安全生产等方面专项培训，同步跟踪人员考勤、绩效及离职异动，协调急救中心与外包团队的沟通。督促检查各项规章制度的执行情况，对违反急救中心管理规定及违法违纪人员负责查处，并提出处理意见上报中心领导。</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 </w:t>
      </w:r>
      <w:r>
        <w:rPr>
          <w:rFonts w:hint="eastAsia" w:ascii="宋体" w:hAnsi="宋体" w:eastAsia="宋体" w:cs="宋体"/>
        </w:rPr>
        <w:t xml:space="preserve"> 3. 风险防控与合规管理。</w:t>
      </w:r>
      <w:r>
        <w:rPr>
          <w:rFonts w:hint="eastAsia" w:ascii="宋体" w:hAnsi="宋体" w:eastAsia="宋体" w:cs="宋体"/>
          <w:b w:val="0"/>
          <w:bCs/>
        </w:rPr>
        <w:t xml:space="preserve">严格遵守劳动法相关规定，完善外包人员劳动合同、社保缴纳等手续，避免用工纠纷。针对急救场景的特殊性，制定应急处置预案，如遇人员临时缺岗或服务投诉，需2小时内协调替补或反馈解决方案。</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 </w:t>
      </w:r>
      <w:r>
        <w:rPr>
          <w:rFonts w:hint="eastAsia" w:ascii="宋体" w:hAnsi="宋体" w:eastAsia="宋体" w:cs="宋体"/>
        </w:rPr>
        <w:t xml:space="preserve"> 4. 成本与档案管理。</w:t>
      </w:r>
      <w:r>
        <w:rPr>
          <w:rFonts w:hint="eastAsia" w:ascii="宋体" w:hAnsi="宋体" w:eastAsia="宋体" w:cs="宋体"/>
          <w:b w:val="0"/>
          <w:bCs/>
        </w:rPr>
        <w:t xml:space="preserve">统筹外包项目预算，管控人员薪酬、培训等支出，定期向急救中心提供成本分析报告。建立外包服务档案，留存合同、资质文件、培训记录和整改通知，配合审计或合规检查。</w:t>
      </w:r>
      <w:r/>
    </w:p>
    <w:p>
      <w:pPr>
        <w:pStyle w:val="1022"/>
        <w:numPr>
          <w:ilvl w:val="0"/>
          <w:numId w:val="0"/>
        </w:numPr>
        <w:ind w:firstLine="482"/>
        <w:spacing w:line="520" w:lineRule="exact"/>
        <w:tabs>
          <w:tab w:val="left" w:pos="1055" w:leader="none"/>
        </w:tabs>
        <w:rPr>
          <w:rFonts w:hint="eastAsia" w:ascii="宋体" w:hAnsi="宋体" w:eastAsia="宋体" w:cs="宋体"/>
        </w:rPr>
        <w:outlineLvl w:val="9"/>
      </w:pPr>
      <w:r>
        <w:rPr>
          <w:rFonts w:hint="eastAsia" w:ascii="宋体" w:hAnsi="宋体" w:eastAsia="宋体" w:cs="宋体"/>
        </w:rPr>
        <w:t xml:space="preserve">5.完成采购人交办的其他事宜。</w:t>
      </w:r>
      <w:r/>
    </w:p>
    <w:p>
      <w:pPr>
        <w:pStyle w:val="1022"/>
        <w:numPr>
          <w:ilvl w:val="0"/>
          <w:numId w:val="0"/>
        </w:numPr>
        <w:ind w:firstLine="482"/>
        <w:spacing w:line="520" w:lineRule="exact"/>
        <w:tabs>
          <w:tab w:val="left" w:pos="1055" w:leader="none"/>
        </w:tabs>
        <w:rPr>
          <w:rFonts w:hint="eastAsia" w:ascii="宋体" w:hAnsi="宋体" w:eastAsia="宋体" w:cs="宋体"/>
        </w:rPr>
        <w:outlineLvl w:val="9"/>
      </w:pPr>
      <w:r>
        <w:rPr>
          <w:rFonts w:hint="eastAsia" w:ascii="宋体" w:hAnsi="宋体" w:eastAsia="宋体" w:cs="宋体"/>
        </w:rPr>
        <w:t xml:space="preserve">（二）基本素质：</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  </w:t>
      </w:r>
      <w:r>
        <w:rPr>
          <w:rFonts w:hint="eastAsia" w:ascii="宋体" w:hAnsi="宋体" w:eastAsia="宋体" w:cs="宋体"/>
        </w:rPr>
        <w:t xml:space="preserve">1. 严谨的责任心。</w:t>
      </w:r>
      <w:r>
        <w:rPr>
          <w:rFonts w:hint="eastAsia" w:ascii="宋体" w:hAnsi="宋体" w:eastAsia="宋体" w:cs="宋体"/>
          <w:b w:val="0"/>
          <w:bCs/>
        </w:rPr>
        <w:t xml:space="preserve">以急救患者安全为核心底线，对人员资质审核、服务流程监管等环节零容忍疏漏，避免因外包管理失误影响急救时效。</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  </w:t>
      </w:r>
      <w:r>
        <w:rPr>
          <w:rFonts w:hint="eastAsia" w:ascii="宋体" w:hAnsi="宋体" w:eastAsia="宋体" w:cs="宋体"/>
        </w:rPr>
        <w:t xml:space="preserve">2. 跨场景沟通能力。</w:t>
      </w:r>
      <w:r>
        <w:rPr>
          <w:rFonts w:hint="eastAsia" w:ascii="宋体" w:hAnsi="宋体" w:eastAsia="宋体" w:cs="宋体"/>
          <w:b w:val="0"/>
          <w:bCs/>
        </w:rPr>
        <w:t xml:space="preserve">需对接急救中心行政、医疗、后勤等多部门，同时管理一线外包人员，既能准确传递急救中心要求，也能及时反馈一线诉求，推动协作共识。</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 </w:t>
      </w:r>
      <w:r>
        <w:rPr>
          <w:rFonts w:hint="eastAsia" w:ascii="宋体" w:hAnsi="宋体" w:eastAsia="宋体" w:cs="宋体"/>
        </w:rPr>
        <w:t xml:space="preserve"> 3. 应急应变能力。</w:t>
      </w:r>
      <w:r>
        <w:rPr>
          <w:rFonts w:hint="eastAsia" w:ascii="宋体" w:hAnsi="宋体" w:eastAsia="宋体" w:cs="宋体"/>
          <w:b w:val="0"/>
          <w:bCs/>
        </w:rPr>
        <w:t xml:space="preserve">面对人员突发离职、急救任务激增等情况，能快速协调替补资源或调整排班，保障急救服务连续性。</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  </w:t>
      </w:r>
      <w:r>
        <w:rPr>
          <w:rFonts w:hint="eastAsia" w:ascii="宋体" w:hAnsi="宋体" w:eastAsia="宋体" w:cs="宋体"/>
        </w:rPr>
        <w:t xml:space="preserve">4. 合规意识。</w:t>
      </w:r>
      <w:r>
        <w:rPr>
          <w:rFonts w:hint="eastAsia" w:ascii="宋体" w:hAnsi="宋体" w:eastAsia="宋体" w:cs="宋体"/>
          <w:b w:val="0"/>
          <w:bCs/>
        </w:rPr>
        <w:t xml:space="preserve">熟悉泰兴本地劳务派遣政策及急救行业规范，坚守用工合规底线，杜绝虚假资质、违规转包等行为。</w:t>
      </w:r>
      <w:r/>
    </w:p>
    <w:p>
      <w:pPr>
        <w:pStyle w:val="1022"/>
        <w:numPr>
          <w:ilvl w:val="0"/>
          <w:numId w:val="0"/>
        </w:numPr>
        <w:ind w:firstLine="482"/>
        <w:spacing w:line="520" w:lineRule="exact"/>
        <w:tabs>
          <w:tab w:val="left" w:pos="1055" w:leader="none"/>
        </w:tabs>
        <w:rPr>
          <w:rFonts w:hint="eastAsia" w:ascii="宋体" w:hAnsi="宋体" w:eastAsia="宋体" w:cs="宋体"/>
        </w:rPr>
        <w:outlineLvl w:val="9"/>
      </w:pPr>
      <w:r>
        <w:rPr>
          <w:rFonts w:hint="eastAsia" w:ascii="宋体" w:hAnsi="宋体" w:eastAsia="宋体" w:cs="宋体"/>
        </w:rPr>
        <w:t xml:space="preserve">（三）技能要求：</w:t>
      </w:r>
      <w:r/>
    </w:p>
    <w:p>
      <w:pPr>
        <w:pStyle w:val="1022"/>
        <w:numPr>
          <w:ilvl w:val="0"/>
          <w:numId w:val="0"/>
        </w:numPr>
        <w:ind w:firstLine="482"/>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rPr>
        <w:t xml:space="preserve">  1. 行业适配能力。</w:t>
      </w:r>
      <w:r>
        <w:rPr>
          <w:rFonts w:hint="eastAsia" w:ascii="宋体" w:hAnsi="宋体" w:eastAsia="宋体" w:cs="宋体"/>
          <w:b w:val="0"/>
          <w:bCs/>
        </w:rPr>
        <w:t xml:space="preserve">了解院前急救基本流程、常用设备操作规范及院感防控要求，能有效监督外包人员服务质量，例如核验担架员搬运动作是否符合患者安全标准。了解院前医疗急救五大技术（通气、止血、包扎、固定、搬运）。熟悉辖区地形、地图和主要道路。熟悉车辆维修保养和档案管理,掌握车辆技术状况。</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  </w:t>
      </w:r>
      <w:r>
        <w:rPr>
          <w:rFonts w:hint="eastAsia" w:ascii="宋体" w:hAnsi="宋体" w:eastAsia="宋体" w:cs="宋体"/>
        </w:rPr>
        <w:t xml:space="preserve">2. 精益管理能力。</w:t>
      </w:r>
      <w:r>
        <w:rPr>
          <w:rFonts w:hint="eastAsia" w:ascii="宋体" w:hAnsi="宋体" w:eastAsia="宋体" w:cs="宋体"/>
          <w:b w:val="0"/>
          <w:bCs/>
        </w:rPr>
        <w:t xml:space="preserve">掌握排班优化、成本管控等实用工具，能根据急救中心高峰时期任务量及时调整人员配置，提升资源利用率。具有组织本外包服务人员学习院前急救有关法律法规及规章制度，检查制度落实情况,及时发现安全隐患,纠正存在问题的能力。</w:t>
      </w:r>
      <w:r/>
    </w:p>
    <w:p>
      <w:pPr>
        <w:pStyle w:val="1022"/>
        <w:numPr>
          <w:ilvl w:val="0"/>
          <w:numId w:val="0"/>
        </w:numPr>
        <w:ind w:firstLine="482"/>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rPr>
        <w:t xml:space="preserve">  3. 法律合规技能。</w:t>
      </w:r>
      <w:r>
        <w:rPr>
          <w:rFonts w:hint="eastAsia" w:ascii="宋体" w:hAnsi="宋体" w:eastAsia="宋体" w:cs="宋体"/>
          <w:b w:val="0"/>
          <w:bCs/>
        </w:rPr>
        <w:t xml:space="preserve">熟悉劳动法相关法律法规，能独立审核合同条款，处理劳动纠纷，确保外包项目全程合规。</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  </w:t>
      </w:r>
      <w:r>
        <w:rPr>
          <w:rFonts w:hint="eastAsia" w:ascii="宋体" w:hAnsi="宋体" w:eastAsia="宋体" w:cs="宋体"/>
        </w:rPr>
        <w:t xml:space="preserve">4. 数据化管理能力。</w:t>
      </w:r>
      <w:r>
        <w:rPr>
          <w:rFonts w:hint="eastAsia" w:ascii="宋体" w:hAnsi="宋体" w:eastAsia="宋体" w:cs="宋体"/>
          <w:b w:val="0"/>
          <w:bCs/>
        </w:rPr>
        <w:t xml:space="preserve">可通过急救任务响应时长、投诉率、人员出勤率等数据及急救出车视频等记录，分析服务短板，发现问题及时纠正并制定整改方案，配合急救中心实现精细化管理。</w:t>
      </w:r>
      <w:r/>
    </w:p>
    <w:p>
      <w:pPr>
        <w:pStyle w:val="1022"/>
        <w:numPr>
          <w:ilvl w:val="0"/>
          <w:numId w:val="0"/>
        </w:numPr>
        <w:ind w:firstLine="482"/>
        <w:spacing w:line="520" w:lineRule="exact"/>
        <w:tabs>
          <w:tab w:val="left" w:pos="1055" w:leader="none"/>
        </w:tabs>
        <w:rPr>
          <w:rFonts w:hint="eastAsia" w:ascii="宋体" w:hAnsi="宋体" w:eastAsia="宋体" w:cs="宋体"/>
        </w:rPr>
        <w:outlineLvl w:val="9"/>
      </w:pPr>
      <w:r>
        <w:rPr>
          <w:rFonts w:hint="eastAsia" w:ascii="宋体" w:hAnsi="宋体" w:eastAsia="宋体" w:cs="宋体"/>
        </w:rPr>
        <w:t xml:space="preserve">二、急救驾驶员要求：</w:t>
      </w:r>
      <w:r/>
    </w:p>
    <w:p>
      <w:pPr>
        <w:pStyle w:val="1022"/>
        <w:numPr>
          <w:ilvl w:val="0"/>
          <w:numId w:val="0"/>
        </w:numPr>
        <w:ind w:firstLine="482"/>
        <w:spacing w:line="520" w:lineRule="exact"/>
        <w:tabs>
          <w:tab w:val="left" w:pos="1055" w:leader="none"/>
        </w:tabs>
        <w:rPr>
          <w:rFonts w:hint="eastAsia" w:ascii="宋体" w:hAnsi="宋体" w:eastAsia="宋体" w:cs="宋体"/>
        </w:rPr>
        <w:outlineLvl w:val="9"/>
      </w:pPr>
      <w:r>
        <w:rPr>
          <w:rFonts w:hint="eastAsia" w:ascii="宋体" w:hAnsi="宋体" w:eastAsia="宋体" w:cs="宋体"/>
        </w:rPr>
        <w:t xml:space="preserve">（一）岗位职责：</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1、在外包服务管理人员的领导下做好本职工作。服从值班调度的指挥，迅速出车，在保证安全的同时快速完成急救任务。</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2、负责处理各种出车信息，执行任务过程中保持通信畅通。</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3、交接班前做好车辆的检修、保养和清洗消毒工作，保持车况良好，节约油料，安全行驶，详细记录车辆运行情况。</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4、严格遵守交通规则和警灯、警报器的使用规定，认真执行操作规程，确保行车安全。任务完成后立即返回，不私自出车，按照公务用车的使用规定不得随意改变车辆行驶轨迹，未经许可不得捎带非急救医护人员。</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5、遵守各项规章制度，严格执行交接班制度，接班人员未到，当班人员不得离岗。接班人员必须提前10分钟到岗，做好出车前的准备。下班后要将车辆加足油、尿素、水等，及时排除故障，发现问题及时向驻场管理人员报告。</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6、与医务人员密切配合，共同完成急救医疗任务。执行任务时要服从医务人员指挥，并协助抬送病员上、下车。</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7、积极参加政治、业务、安全及急救知识和技能和晨会学习，不断提高道德修养和自身素质。全心全意为伤病员服务。</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8、爱护公物，保管好车上的器材和工具，并做好防火工作。</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9、完成采购人交办的其他事宜。</w:t>
      </w:r>
      <w:r/>
    </w:p>
    <w:p>
      <w:pPr>
        <w:pStyle w:val="1022"/>
        <w:numPr>
          <w:ilvl w:val="0"/>
          <w:numId w:val="0"/>
        </w:numPr>
        <w:ind w:firstLine="482"/>
        <w:spacing w:line="520" w:lineRule="exact"/>
        <w:tabs>
          <w:tab w:val="left" w:pos="1055" w:leader="none"/>
        </w:tabs>
        <w:rPr>
          <w:rFonts w:hint="eastAsia" w:ascii="宋体" w:hAnsi="宋体" w:eastAsia="宋体" w:cs="宋体"/>
        </w:rPr>
        <w:outlineLvl w:val="9"/>
      </w:pPr>
      <w:r>
        <w:rPr>
          <w:rFonts w:hint="eastAsia" w:ascii="宋体" w:hAnsi="宋体" w:eastAsia="宋体" w:cs="宋体"/>
        </w:rPr>
        <w:t xml:space="preserve">（二）人员条件：</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（1）拥护中国共产党领导,遵纪守法,思想素质好，政治立场坚定,没有违法违纪行为,热爱卫生健康事业。</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（2）初中及以上学历,需搬抬患者,男性,身高1.7m及以上。退役军人优先,党员优先。</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3）具有五年以上驾龄,A2照及以上,拥有国家交通运输部颁发的“中华人民共和国道路运输从业人员从业资格证”,拥有5年以上运输从业车辆的驾驶经验,无酗酒、吸毒史,近三年内无承担同等责任以上的重大交通事故记录。</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（4）年龄52周岁以下,身体健康，能适应24小时轮班制。</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（5）熟知本市（道路、小区、商场）及周边区域地理位置,熟悉本地方言。熟悉当地医疗机构分布状况。了解院前医疗急救五大技术。</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（6）工作认真负责,责任心强,具有吃苦耐劳和团队协作精神能适应“24小时”工作。</w:t>
      </w:r>
      <w:r/>
    </w:p>
    <w:p>
      <w:pPr>
        <w:pStyle w:val="1022"/>
        <w:numPr>
          <w:ilvl w:val="0"/>
          <w:numId w:val="0"/>
        </w:numPr>
        <w:ind w:firstLine="482"/>
        <w:spacing w:line="520" w:lineRule="exact"/>
        <w:tabs>
          <w:tab w:val="left" w:pos="1055" w:leader="none"/>
        </w:tabs>
        <w:rPr>
          <w:rFonts w:hint="eastAsia" w:ascii="宋体" w:hAnsi="宋体" w:eastAsia="宋体" w:cs="宋体"/>
        </w:rPr>
        <w:outlineLvl w:val="9"/>
      </w:pPr>
      <w:r>
        <w:rPr>
          <w:rFonts w:hint="eastAsia" w:ascii="宋体" w:hAnsi="宋体" w:eastAsia="宋体" w:cs="宋体"/>
        </w:rPr>
        <w:t xml:space="preserve">三、调度员要求：</w:t>
      </w:r>
      <w:r/>
    </w:p>
    <w:p>
      <w:pPr>
        <w:pStyle w:val="1022"/>
        <w:numPr>
          <w:ilvl w:val="0"/>
          <w:numId w:val="0"/>
        </w:numPr>
        <w:ind w:firstLine="482"/>
        <w:spacing w:line="520" w:lineRule="exact"/>
        <w:tabs>
          <w:tab w:val="left" w:pos="1055" w:leader="none"/>
        </w:tabs>
        <w:rPr>
          <w:rFonts w:hint="eastAsia" w:ascii="宋体" w:hAnsi="宋体" w:eastAsia="宋体" w:cs="宋体"/>
        </w:rPr>
        <w:outlineLvl w:val="9"/>
      </w:pPr>
      <w:r>
        <w:rPr>
          <w:rFonts w:hint="eastAsia" w:ascii="宋体" w:hAnsi="宋体" w:eastAsia="宋体" w:cs="宋体"/>
        </w:rPr>
        <w:t xml:space="preserve">（一）岗位职责：</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1、在调度科长领导下工作。负责接听、记录、录音急救电话，调度车辆和急救人员。</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2、具有高度责任心和急救意识，忠于职守，坚守岗位，严格执行调度室24小时值班制；认真执行交接班制度；保证24小时“120”急救通信设备及电话的畅通。</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3、接听呼救电话时，要做到态度和蔼、热情，使用礼貌、文明用语。接听呼救电话必须动作迅速、准确，简要询问病情、地址、接车地点、联系电话，并做好记录。同时督促及时出车并进行全程跟踪。</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4、遇有突发性灾害事故或重大伤亡事件，必须果断调度指挥，快速调度首批车辆，及时报告领导，迅速组织后备急救力量。</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5、随时与急救人员保持联系，了解各急救站点值班车的位置和急救情况，以便正确及时调度，确保急救任务的完成。</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6、负责呼救信息受理、储存、记录，并及时做好信息传递、请示、报告、咨询、统计等相应处理。认真、准确填写各项表格。</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7、负责通信器材的管理、使用、保养，确保120急救指挥系统运行正常，通信畅通，发现问题及时报告科室负责人并联系技术人员及时修复。</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8、无车出救必须向呼救方解释清楚原因，并留有详细记录及录音，以免引起纠纷。</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9、严格执行中心各项规章制度和通信技术操作规程。认真学习通信调度方面的新知识、新技术，不断提高院前急救调度服务质量。</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10、负责调度室和值班室、更衣室清洁卫生工作。</w:t>
      </w:r>
      <w:r/>
    </w:p>
    <w:p>
      <w:pPr>
        <w:pStyle w:val="1022"/>
        <w:numPr>
          <w:ilvl w:val="0"/>
          <w:numId w:val="0"/>
        </w:numPr>
        <w:ind w:firstLine="480"/>
        <w:spacing w:line="520" w:lineRule="exact"/>
        <w:tabs>
          <w:tab w:val="left" w:pos="1055" w:leader="none"/>
        </w:tabs>
        <w:rPr>
          <w:rFonts w:ascii="宋体" w:hAnsi="宋体" w:eastAsia="宋体" w:cs="宋体"/>
          <w:b w:val="0"/>
          <w:bCs/>
        </w:rPr>
        <w:outlineLvl w:val="9"/>
      </w:pPr>
      <w:r>
        <w:rPr>
          <w:rFonts w:hint="eastAsia" w:ascii="宋体" w:hAnsi="宋体" w:eastAsia="宋体" w:cs="宋体"/>
          <w:b w:val="0"/>
          <w:bCs/>
        </w:rPr>
        <w:t xml:space="preserve">11、完成采购人交办的其他事宜。</w:t>
      </w:r>
      <w:r>
        <w:rPr>
          <w:rFonts w:ascii="宋体" w:hAnsi="宋体" w:eastAsia="宋体" w:cs="宋体"/>
          <w:b w:val="0"/>
          <w:bCs/>
        </w:rPr>
      </w:r>
      <w:r/>
    </w:p>
    <w:p>
      <w:pPr>
        <w:pStyle w:val="1022"/>
        <w:numPr>
          <w:ilvl w:val="0"/>
          <w:numId w:val="0"/>
        </w:numPr>
        <w:ind w:firstLine="482"/>
        <w:spacing w:line="520" w:lineRule="exact"/>
        <w:tabs>
          <w:tab w:val="left" w:pos="1055" w:leader="none"/>
        </w:tabs>
        <w:rPr>
          <w:rFonts w:hint="eastAsia" w:ascii="宋体" w:hAnsi="宋体" w:eastAsia="宋体" w:cs="宋体"/>
        </w:rPr>
        <w:outlineLvl w:val="9"/>
      </w:pPr>
      <w:r>
        <w:rPr>
          <w:rFonts w:hint="eastAsia" w:ascii="宋体" w:hAnsi="宋体" w:eastAsia="宋体" w:cs="宋体"/>
        </w:rPr>
        <w:t xml:space="preserve">（二）人员条件：</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（1）拥护中国共产党领导,遵纪守法,思想素质好，政治立场坚定,没有违法违纪行为,热爱卫生健康事业。</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（2）大专及以上学历,拥有“护士执业资格证”，入职一年内取得“泰州市急救调度员合格证”,工作认真负责,责任心强,具有吃苦耐劳、团队协作精神和良好沟通协调能力。</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（3）年龄35周岁以下,身体健康，无酗酒、吸毒史,情绪稳定，能适应24小时轮班制。</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（4）熟知本市（道路、小区、商场）及周边区域地理位置,熟悉本地方言。熟悉当地医疗机构分布状况。</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（5）能熟练使用word、excel等办公软件，了解院前医疗急救五大技术。</w:t>
      </w:r>
      <w:r/>
    </w:p>
    <w:p>
      <w:pPr>
        <w:pStyle w:val="1022"/>
        <w:numPr>
          <w:ilvl w:val="0"/>
          <w:numId w:val="0"/>
        </w:numPr>
        <w:ind w:firstLine="482"/>
        <w:spacing w:line="520" w:lineRule="exact"/>
        <w:tabs>
          <w:tab w:val="left" w:pos="1055" w:leader="none"/>
        </w:tabs>
        <w:rPr>
          <w:rFonts w:hint="eastAsia" w:ascii="宋体" w:hAnsi="宋体" w:eastAsia="宋体" w:cs="宋体"/>
        </w:rPr>
        <w:outlineLvl w:val="9"/>
      </w:pPr>
      <w:r>
        <w:rPr>
          <w:rFonts w:hint="eastAsia" w:ascii="宋体" w:hAnsi="宋体" w:eastAsia="宋体" w:cs="宋体"/>
        </w:rPr>
        <w:t xml:space="preserve">四、</w:t>
      </w:r>
      <w:bookmarkStart w:id="230" w:name="_Toc27398"/>
      <w:r/>
      <w:bookmarkStart w:id="231" w:name="_Toc31321"/>
      <w:r/>
      <w:bookmarkStart w:id="232" w:name="_Toc11277"/>
      <w:r/>
      <w:bookmarkStart w:id="233" w:name="_Toc7083"/>
      <w:r/>
      <w:bookmarkStart w:id="234" w:name="_Toc15437"/>
      <w:r/>
      <w:bookmarkStart w:id="235" w:name="_Toc23761"/>
      <w:r>
        <w:rPr>
          <w:rFonts w:hint="eastAsia" w:ascii="宋体" w:hAnsi="宋体" w:eastAsia="宋体" w:cs="宋体"/>
        </w:rPr>
        <w:t xml:space="preserve">护理人员</w:t>
      </w:r>
      <w:r/>
    </w:p>
    <w:p>
      <w:pPr>
        <w:pStyle w:val="1022"/>
        <w:numPr>
          <w:ilvl w:val="0"/>
          <w:numId w:val="0"/>
        </w:numPr>
        <w:ind w:firstLine="482"/>
        <w:spacing w:line="520" w:lineRule="exact"/>
        <w:tabs>
          <w:tab w:val="left" w:pos="1055" w:leader="none"/>
        </w:tabs>
        <w:rPr>
          <w:rFonts w:hint="eastAsia" w:ascii="宋体" w:hAnsi="宋体" w:eastAsia="宋体" w:cs="宋体"/>
        </w:rPr>
        <w:outlineLvl w:val="9"/>
      </w:pPr>
      <w:r>
        <w:rPr>
          <w:rFonts w:hint="eastAsia" w:ascii="宋体" w:hAnsi="宋体" w:eastAsia="宋体" w:cs="宋体"/>
        </w:rPr>
        <w:t xml:space="preserve">（一）岗位职责</w:t>
      </w:r>
      <w:bookmarkEnd w:id="230"/>
      <w:r/>
      <w:bookmarkEnd w:id="231"/>
      <w:r/>
      <w:bookmarkEnd w:id="232"/>
      <w:r/>
      <w:bookmarkEnd w:id="233"/>
      <w:r/>
      <w:bookmarkEnd w:id="234"/>
      <w:r/>
      <w:bookmarkEnd w:id="235"/>
      <w:r>
        <w:rPr>
          <w:rFonts w:hint="eastAsia" w:ascii="宋体" w:hAnsi="宋体" w:eastAsia="宋体" w:cs="宋体"/>
        </w:rPr>
        <w:t xml:space="preserve">：</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1、熟练掌握并能独立完成各项基础及高级急救护理操作，如：</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   · 心肺复苏（CPR）、电除颤、心电监护；</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   · 建立静脉通道（留置针）</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   · 氧气吸入、吸痰、气道管理（配合气管插管）；</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   · 创伤包扎、止血、固定、搬运等。</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2、严格执行各项规章制度和护理操作规范，严防医疗差错、事故的发生。</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3、提前10分钟到岗，穿着制式工作服，做好上班前准备工作。检查药品、耗材种类及数量是否齐全，是否在有效期内，检查心电图机（核对时间，有足量打印纸）、除颤监护一体机（常规检测每天交接班1次、大能量检测每周一检测、按键检测按需或每月月初1次）AED、心肺复苏机、吸引器、血糖仪、血压计等医疗仪器是否按规定放置，能否正常使用和有无损坏。与上一班人员做好交接登记。接班人员未到，当班人员不得离岗，私自离岗和早退人员发现一次取消年终评优。</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4、服从指挥调度，按时随车出诊，救护车内有患者时严禁坐在驾驶室内。</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5、抢救和转运病人时，严格执行医嘱，认真查对，密切观察病人病情变化，并及时报告医生。急救时协助搬运患者。患者送达医院后，向医院医护人员交代病情、治疗、用药等情况。</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6、做好救护车内卫生和消毒工作，防止交叉感染。诊疗完毕后，清点物品，清理用过的注射器具、纱布等，并带离现场。注射器、针头等按规定毁形，严格按照规定做好医疗废弃物处理工作。维持急救车干净整洁。</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7、认真执行收费制度和财务制度，规范收费，及时交账。</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8、救护车接送传染病患者后，在医师的指导下负责车厢内消毒，消毒按《院前医疗急救消毒管理规定》执行，并如实填写消毒记录。</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9、积极参加各种学术活动和科室各项会议，不断提高专业水平和职业素养。</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10、参与质控：参与科室护理质量改进活动，对工作中发现的问题提出合理化建议。</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11、完成其他临时性急救任务。</w:t>
      </w:r>
      <w:r/>
    </w:p>
    <w:p>
      <w:pPr>
        <w:pStyle w:val="1022"/>
        <w:numPr>
          <w:ilvl w:val="0"/>
          <w:numId w:val="0"/>
        </w:numPr>
        <w:ind w:firstLine="482"/>
        <w:spacing w:line="520" w:lineRule="exact"/>
        <w:tabs>
          <w:tab w:val="left" w:pos="1055" w:leader="none"/>
        </w:tabs>
        <w:rPr>
          <w:rFonts w:hint="eastAsia" w:ascii="宋体" w:hAnsi="宋体" w:eastAsia="宋体" w:cs="宋体"/>
        </w:rPr>
        <w:outlineLvl w:val="9"/>
      </w:pPr>
      <w:r>
        <w:rPr>
          <w:rFonts w:hint="eastAsia" w:ascii="宋体" w:hAnsi="宋体" w:eastAsia="宋体" w:cs="宋体"/>
        </w:rPr>
        <w:t xml:space="preserve">（二）人员条件：</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（1）</w:t>
      </w:r>
      <w:r>
        <w:rPr>
          <w:rFonts w:ascii="宋体" w:hAnsi="宋体" w:eastAsia="宋体" w:cs="宋体"/>
          <w:b w:val="0"/>
          <w:bCs/>
        </w:rPr>
        <w:t xml:space="preserve">具有中华人民共和国国籍，享有公民的政治权利；</w:t>
      </w:r>
      <w:r>
        <w:rPr>
          <w:rFonts w:hint="eastAsia" w:ascii="宋体" w:hAnsi="宋体" w:eastAsia="宋体" w:cs="宋体"/>
          <w:b w:val="0"/>
          <w:bCs/>
        </w:rPr>
      </w:r>
      <w:r/>
    </w:p>
    <w:p>
      <w:pPr>
        <w:pStyle w:val="1022"/>
        <w:numPr>
          <w:ilvl w:val="0"/>
          <w:numId w:val="0"/>
        </w:numPr>
        <w:ind w:firstLine="480"/>
        <w:spacing w:line="520" w:lineRule="exact"/>
        <w:tabs>
          <w:tab w:val="left" w:pos="1055" w:leader="none"/>
        </w:tabs>
        <w:rPr>
          <w:rFonts w:ascii="宋体" w:hAnsi="宋体" w:eastAsia="宋体" w:cs="宋体"/>
          <w:b w:val="0"/>
          <w:bCs/>
        </w:rPr>
        <w:outlineLvl w:val="9"/>
      </w:pPr>
      <w:r>
        <w:rPr>
          <w:rFonts w:hint="eastAsia" w:ascii="宋体" w:hAnsi="宋体" w:eastAsia="宋体" w:cs="宋体"/>
          <w:b w:val="0"/>
          <w:bCs/>
        </w:rPr>
        <w:t xml:space="preserve">（2）</w:t>
      </w:r>
      <w:r>
        <w:rPr>
          <w:rFonts w:ascii="宋体" w:hAnsi="宋体" w:eastAsia="宋体" w:cs="宋体"/>
          <w:b w:val="0"/>
          <w:bCs/>
        </w:rPr>
        <w:t xml:space="preserve">遵守中华人民共和国宪法和法律，拥护中国共产党领导和社会主义制度；</w:t>
      </w:r>
      <w:r/>
    </w:p>
    <w:p>
      <w:pPr>
        <w:pStyle w:val="1022"/>
        <w:numPr>
          <w:ilvl w:val="0"/>
          <w:numId w:val="0"/>
        </w:numPr>
        <w:ind w:firstLine="480"/>
        <w:spacing w:line="520" w:lineRule="exact"/>
        <w:tabs>
          <w:tab w:val="left" w:pos="1055" w:leader="none"/>
        </w:tabs>
        <w:rPr>
          <w:rFonts w:ascii="宋体" w:hAnsi="宋体" w:eastAsia="宋体" w:cs="宋体"/>
          <w:b w:val="0"/>
          <w:bCs/>
        </w:rPr>
        <w:outlineLvl w:val="9"/>
      </w:pPr>
      <w:r>
        <w:rPr>
          <w:rFonts w:hint="eastAsia" w:ascii="宋体" w:hAnsi="宋体" w:eastAsia="宋体" w:cs="宋体"/>
          <w:b w:val="0"/>
          <w:bCs/>
        </w:rPr>
        <w:t xml:space="preserve">（3）</w:t>
      </w:r>
      <w:r>
        <w:rPr>
          <w:rFonts w:ascii="宋体" w:hAnsi="宋体" w:eastAsia="宋体" w:cs="宋体"/>
          <w:b w:val="0"/>
          <w:bCs/>
        </w:rPr>
        <w:t xml:space="preserve">品行端正，团结同志，廉洁奉公；</w:t>
      </w:r>
      <w:r/>
    </w:p>
    <w:p>
      <w:pPr>
        <w:pStyle w:val="1022"/>
        <w:numPr>
          <w:ilvl w:val="0"/>
          <w:numId w:val="0"/>
        </w:numPr>
        <w:ind w:firstLine="480"/>
        <w:spacing w:line="520" w:lineRule="exact"/>
        <w:tabs>
          <w:tab w:val="left" w:pos="1055" w:leader="none"/>
        </w:tabs>
        <w:rPr>
          <w:rFonts w:ascii="宋体" w:hAnsi="宋体" w:eastAsia="宋体" w:cs="宋体"/>
          <w:b w:val="0"/>
          <w:bCs/>
        </w:rPr>
        <w:outlineLvl w:val="9"/>
      </w:pPr>
      <w:r>
        <w:rPr>
          <w:rFonts w:hint="eastAsia" w:ascii="宋体" w:hAnsi="宋体" w:eastAsia="宋体" w:cs="宋体"/>
          <w:b w:val="0"/>
          <w:bCs/>
        </w:rPr>
        <w:t xml:space="preserve">（4）</w:t>
      </w:r>
      <w:r>
        <w:rPr>
          <w:rFonts w:ascii="宋体" w:hAnsi="宋体" w:eastAsia="宋体" w:cs="宋体"/>
          <w:b w:val="0"/>
          <w:bCs/>
        </w:rPr>
        <w:t xml:space="preserve">身体健康，具备正常履行岗位职责的身体条件；</w:t>
      </w:r>
      <w:r/>
    </w:p>
    <w:p>
      <w:pPr>
        <w:pStyle w:val="1022"/>
        <w:numPr>
          <w:ilvl w:val="0"/>
          <w:numId w:val="0"/>
        </w:numPr>
        <w:ind w:firstLine="480"/>
        <w:spacing w:line="520" w:lineRule="exact"/>
        <w:tabs>
          <w:tab w:val="left" w:pos="1055" w:leader="none"/>
        </w:tabs>
        <w:rPr>
          <w:rFonts w:ascii="宋体" w:hAnsi="宋体" w:eastAsia="宋体" w:cs="宋体"/>
          <w:b w:val="0"/>
          <w:bCs/>
        </w:rPr>
        <w:outlineLvl w:val="9"/>
      </w:pPr>
      <w:r>
        <w:rPr>
          <w:rFonts w:hint="eastAsia" w:ascii="宋体" w:hAnsi="宋体" w:eastAsia="宋体" w:cs="宋体"/>
          <w:b w:val="0"/>
          <w:bCs/>
        </w:rPr>
        <w:t xml:space="preserve">（5）</w:t>
      </w:r>
      <w:r>
        <w:rPr>
          <w:rFonts w:ascii="宋体" w:hAnsi="宋体" w:eastAsia="宋体" w:cs="宋体"/>
          <w:b w:val="0"/>
          <w:bCs/>
        </w:rPr>
        <w:t xml:space="preserve">年龄在35周岁及以下；</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（6）</w:t>
      </w:r>
      <w:r>
        <w:rPr>
          <w:rFonts w:ascii="宋体" w:hAnsi="宋体" w:eastAsia="宋体" w:cs="宋体"/>
          <w:b w:val="0"/>
          <w:bCs/>
        </w:rPr>
        <w:t xml:space="preserve">要求具有大专及以上学历，且具有护理专业从业资质（护士执业资格证书）。</w:t>
      </w:r>
      <w:r>
        <w:rPr>
          <w:rFonts w:hint="eastAsia" w:ascii="宋体" w:hAnsi="宋体" w:eastAsia="宋体" w:cs="宋体"/>
          <w:b w:val="0"/>
          <w:bCs/>
        </w:rPr>
      </w:r>
      <w:r/>
    </w:p>
    <w:p>
      <w:pPr>
        <w:pStyle w:val="1022"/>
        <w:numPr>
          <w:ilvl w:val="0"/>
          <w:numId w:val="0"/>
        </w:numPr>
        <w:ind w:firstLine="482"/>
        <w:spacing w:line="520" w:lineRule="exact"/>
        <w:tabs>
          <w:tab w:val="left" w:pos="1055" w:leader="none"/>
        </w:tabs>
        <w:rPr>
          <w:rFonts w:hint="eastAsia" w:ascii="宋体" w:hAnsi="宋体" w:eastAsia="宋体" w:cs="宋体"/>
        </w:rPr>
        <w:outlineLvl w:val="9"/>
      </w:pPr>
      <w:r>
        <w:rPr>
          <w:rFonts w:hint="eastAsia" w:ascii="宋体" w:hAnsi="宋体" w:eastAsia="宋体" w:cs="宋体"/>
        </w:rPr>
        <w:t xml:space="preserve">五、担架员要求：</w:t>
      </w:r>
      <w:r/>
    </w:p>
    <w:p>
      <w:pPr>
        <w:pStyle w:val="1022"/>
        <w:numPr>
          <w:ilvl w:val="0"/>
          <w:numId w:val="0"/>
        </w:numPr>
        <w:ind w:firstLine="482"/>
        <w:spacing w:line="520" w:lineRule="exact"/>
        <w:tabs>
          <w:tab w:val="left" w:pos="1055" w:leader="none"/>
        </w:tabs>
        <w:rPr>
          <w:rFonts w:hint="eastAsia" w:ascii="宋体" w:hAnsi="宋体" w:eastAsia="宋体" w:cs="宋体"/>
        </w:rPr>
        <w:outlineLvl w:val="9"/>
      </w:pPr>
      <w:r>
        <w:rPr>
          <w:rFonts w:hint="eastAsia" w:ascii="宋体" w:hAnsi="宋体" w:eastAsia="宋体" w:cs="宋体"/>
        </w:rPr>
        <w:t xml:space="preserve">（一）岗位职责：</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1、在随车医生领导下工作，负责伤病人员的搬运工作。</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2、上班前应认真检查担架完好状况，发现问题及时报修或更换。</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3、服从随车医生指挥，确保伤病员搬运过程中的安全,辅助现场急救。</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4、必须树立全心全意为人民服务的思想，在工作中要做到不怕脏、不怕累，视病人如亲人。</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5、严格执行中心(站)各项规章制度，积极参加中心(站)组织的各项政治活动。</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6、完成采购人交办的其他事宜。</w:t>
      </w:r>
      <w:r/>
    </w:p>
    <w:p>
      <w:pPr>
        <w:pStyle w:val="1022"/>
        <w:numPr>
          <w:ilvl w:val="0"/>
          <w:numId w:val="0"/>
        </w:numPr>
        <w:ind w:firstLine="482"/>
        <w:spacing w:line="520" w:lineRule="exact"/>
        <w:tabs>
          <w:tab w:val="left" w:pos="1055" w:leader="none"/>
        </w:tabs>
        <w:rPr>
          <w:rFonts w:hint="eastAsia" w:ascii="宋体" w:hAnsi="宋体" w:eastAsia="宋体" w:cs="宋体"/>
        </w:rPr>
        <w:outlineLvl w:val="9"/>
      </w:pPr>
      <w:r>
        <w:rPr>
          <w:rFonts w:hint="eastAsia" w:ascii="宋体" w:hAnsi="宋体" w:eastAsia="宋体" w:cs="宋体"/>
        </w:rPr>
        <w:t xml:space="preserve">（二）人员条件：</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1、拥护中国共产党领导,遵纪守法,思想素质好，政治立场坚定,没有违法违纪行为,热爱卫生健康事业。</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2、初中及以上学历,需搬抬患者,男性,身高1.7m及以上。</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3、年龄55周岁及以下（1971年3月10日以后出生），身体健康。</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4、工作认真仔细,责任心强,具有吃苦耐劳和团队协作精神，能适应“24小时”工作制。</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5、体能需满足担架员岗位要求。</w:t>
      </w:r>
      <w:r/>
    </w:p>
    <w:p>
      <w:pPr>
        <w:pStyle w:val="1022"/>
        <w:numPr>
          <w:ilvl w:val="0"/>
          <w:numId w:val="0"/>
        </w:numPr>
        <w:ind w:firstLine="482"/>
        <w:spacing w:line="520" w:lineRule="exact"/>
        <w:tabs>
          <w:tab w:val="left" w:pos="1055" w:leader="none"/>
        </w:tabs>
        <w:rPr>
          <w:rFonts w:hint="eastAsia" w:ascii="宋体" w:hAnsi="宋体" w:eastAsia="宋体" w:cs="宋体"/>
        </w:rPr>
        <w:outlineLvl w:val="9"/>
      </w:pPr>
      <w:r>
        <w:rPr>
          <w:rFonts w:hint="eastAsia" w:ascii="宋体" w:hAnsi="宋体" w:eastAsia="宋体" w:cs="宋体"/>
        </w:rPr>
        <w:t xml:space="preserve">四、工作时间</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根据24小时值班制原则进行排班，并服从采购人根据工作需要安排班次。</w:t>
      </w:r>
      <w:r/>
    </w:p>
    <w:p>
      <w:pPr>
        <w:pStyle w:val="1022"/>
        <w:numPr>
          <w:ilvl w:val="0"/>
          <w:numId w:val="0"/>
        </w:numPr>
        <w:ind w:firstLine="482"/>
        <w:spacing w:line="520" w:lineRule="exact"/>
        <w:tabs>
          <w:tab w:val="left" w:pos="1055" w:leader="none"/>
        </w:tabs>
        <w:rPr>
          <w:rFonts w:hint="eastAsia" w:ascii="宋体" w:hAnsi="宋体" w:eastAsia="宋体" w:cs="宋体"/>
        </w:rPr>
        <w:outlineLvl w:val="9"/>
      </w:pPr>
      <w:r>
        <w:rPr>
          <w:rFonts w:hint="eastAsia" w:ascii="宋体" w:hAnsi="宋体" w:eastAsia="宋体" w:cs="宋体"/>
        </w:rPr>
        <w:t xml:space="preserve">五、工作人员待遇</w:t>
      </w:r>
      <w:r/>
    </w:p>
    <w:p>
      <w:pPr>
        <w:pStyle w:val="961"/>
        <w:ind w:firstLine="480"/>
        <w:spacing w:line="520" w:lineRule="exact"/>
        <w:rPr>
          <w:rFonts w:ascii="宋体" w:hAnsi="宋体" w:cs="宋体"/>
          <w:bCs/>
        </w:rPr>
      </w:pPr>
      <w:r>
        <w:rPr>
          <w:rFonts w:hint="eastAsia" w:ascii="宋体" w:hAnsi="宋体" w:cs="宋体"/>
          <w:bCs/>
        </w:rPr>
        <w:t xml:space="preserve">工资待遇：中标人需确保按5万元/人/年（总计175万元）的经费额定用于外包服务人员日常基本工资、保险、公积金等发放，绩效经费标准由中标人自行分配。</w:t>
      </w:r>
      <w:r>
        <w:rPr>
          <w:rFonts w:ascii="宋体" w:hAnsi="宋体" w:cs="宋体"/>
          <w:bCs/>
        </w:rPr>
      </w:r>
      <w:r/>
    </w:p>
    <w:p>
      <w:pPr>
        <w:pStyle w:val="961"/>
        <w:ind w:firstLine="480"/>
        <w:spacing w:line="520" w:lineRule="exact"/>
        <w:rPr>
          <w:rFonts w:hint="eastAsia" w:ascii="宋体" w:hAnsi="宋体" w:cs="宋体"/>
          <w:bCs/>
        </w:rPr>
      </w:pPr>
      <w:r>
        <w:rPr>
          <w:rFonts w:hint="eastAsia" w:ascii="宋体" w:hAnsi="宋体" w:cs="宋体"/>
          <w:bCs/>
        </w:rPr>
        <w:t xml:space="preserve">工作人员待遇含个人缴纳社保及公积金部分、加班费、考核等。</w:t>
      </w:r>
      <w:r/>
    </w:p>
    <w:p>
      <w:pPr>
        <w:pStyle w:val="961"/>
        <w:ind w:firstLine="480"/>
        <w:spacing w:line="520" w:lineRule="exact"/>
        <w:rPr>
          <w:rFonts w:hint="eastAsia" w:ascii="宋体" w:hAnsi="宋体" w:cs="宋体"/>
          <w:bCs/>
        </w:rPr>
      </w:pPr>
      <w:r>
        <w:rPr>
          <w:rFonts w:hint="eastAsia" w:ascii="宋体" w:hAnsi="宋体" w:cs="宋体"/>
          <w:bCs/>
        </w:rPr>
        <w:t xml:space="preserve">中标单位统一缴纳各类人员的社会保险及公积金单位部分。</w:t>
      </w:r>
      <w:r/>
    </w:p>
    <w:p>
      <w:pPr>
        <w:pStyle w:val="1022"/>
        <w:numPr>
          <w:ilvl w:val="0"/>
          <w:numId w:val="0"/>
        </w:numPr>
        <w:ind w:firstLine="482"/>
        <w:spacing w:line="520" w:lineRule="exact"/>
        <w:tabs>
          <w:tab w:val="left" w:pos="1055" w:leader="none"/>
        </w:tabs>
        <w:rPr>
          <w:rFonts w:hint="eastAsia" w:ascii="宋体" w:hAnsi="宋体" w:eastAsia="宋体" w:cs="宋体"/>
        </w:rPr>
        <w:outlineLvl w:val="9"/>
      </w:pPr>
      <w:r>
        <w:rPr>
          <w:rFonts w:hint="eastAsia" w:ascii="宋体" w:hAnsi="宋体" w:eastAsia="宋体" w:cs="宋体"/>
        </w:rPr>
        <w:t xml:space="preserve">六、驾驶员、调度员、护理人员及担架员考核细则</w:t>
      </w:r>
      <w:r/>
    </w:p>
    <w:p>
      <w:pPr>
        <w:pStyle w:val="961"/>
        <w:ind w:firstLine="480"/>
        <w:spacing w:line="520" w:lineRule="exact"/>
        <w:rPr>
          <w:rFonts w:hint="eastAsia" w:ascii="宋体" w:hAnsi="宋体" w:cs="宋体"/>
          <w:bCs/>
        </w:rPr>
      </w:pPr>
      <w:r>
        <w:rPr>
          <w:rFonts w:hint="eastAsia" w:ascii="宋体" w:hAnsi="宋体" w:cs="宋体"/>
          <w:bCs/>
        </w:rPr>
        <w:t xml:space="preserve">采购人及中标人</w:t>
      </w:r>
      <w:r>
        <w:rPr>
          <w:rFonts w:hint="eastAsia" w:ascii="宋体" w:hAnsi="宋体" w:cs="宋体"/>
        </w:rPr>
        <w:t xml:space="preserve">在服务合同履行期间依据考核细则，开展日常绩效考核工作，除业务相关的考核内容由采购人负责考核外，其余考核内容，由中标人负责考核。具体情况由中标人与采购人对接确定。</w:t>
      </w:r>
      <w:r>
        <w:rPr>
          <w:rFonts w:hint="eastAsia" w:ascii="宋体" w:hAnsi="宋体" w:cs="宋体"/>
          <w:bCs/>
        </w:rPr>
      </w:r>
      <w:r/>
    </w:p>
    <w:p>
      <w:pPr>
        <w:pStyle w:val="961"/>
        <w:ind w:firstLine="480"/>
        <w:spacing w:line="520" w:lineRule="exact"/>
        <w:rPr>
          <w:rFonts w:hint="eastAsia" w:ascii="宋体" w:hAnsi="宋体" w:cs="宋体"/>
          <w:bCs/>
        </w:rPr>
      </w:pPr>
      <w:r>
        <w:rPr>
          <w:rFonts w:hint="eastAsia" w:ascii="宋体" w:hAnsi="宋体" w:cs="宋体"/>
          <w:bCs/>
        </w:rPr>
        <w:t xml:space="preserve">详见附件1。</w:t>
      </w:r>
      <w:r/>
    </w:p>
    <w:p>
      <w:pPr>
        <w:pStyle w:val="1022"/>
        <w:numPr>
          <w:ilvl w:val="0"/>
          <w:numId w:val="0"/>
        </w:numPr>
        <w:ind w:firstLine="482"/>
        <w:spacing w:line="520" w:lineRule="exact"/>
        <w:tabs>
          <w:tab w:val="left" w:pos="1055" w:leader="none"/>
        </w:tabs>
        <w:rPr>
          <w:rFonts w:hint="eastAsia" w:ascii="宋体" w:hAnsi="宋体" w:eastAsia="宋体" w:cs="宋体"/>
        </w:rPr>
        <w:outlineLvl w:val="9"/>
      </w:pPr>
      <w:r>
        <w:rPr>
          <w:rFonts w:hint="eastAsia" w:ascii="宋体" w:hAnsi="宋体" w:eastAsia="宋体" w:cs="宋体"/>
        </w:rPr>
        <w:t xml:space="preserve">七、中标人考核细则</w:t>
      </w:r>
      <w:r/>
    </w:p>
    <w:p>
      <w:pPr>
        <w:pStyle w:val="961"/>
        <w:ind w:firstLine="480"/>
        <w:spacing w:line="520" w:lineRule="exact"/>
        <w:rPr>
          <w:rFonts w:hint="eastAsia" w:ascii="宋体" w:hAnsi="宋体" w:cs="宋体"/>
        </w:rPr>
      </w:pPr>
      <w:r>
        <w:rPr>
          <w:rFonts w:hint="eastAsia" w:ascii="宋体" w:hAnsi="宋体" w:cs="宋体"/>
        </w:rPr>
        <w:t xml:space="preserve">采购人在服务合同履行期间，依据磋商规定的管理服务内容及标准要求进行检查，对中标人的服务质量、人员管理等进行定期考核，每月至少考核一次。考核方式由采购人自行组织，可采取定期检查、随机抽查、问卷调查等方式，但不仅限于以上方式。考核实行打分制，满分为100分。采购人依据规定的管理服务内容及标准，制定实施劳务外包服务项目服务百分制考核制度。</w:t>
      </w:r>
      <w:r/>
    </w:p>
    <w:p>
      <w:pPr>
        <w:pStyle w:val="961"/>
        <w:ind w:firstLine="480"/>
        <w:spacing w:line="520" w:lineRule="exact"/>
        <w:rPr>
          <w:rFonts w:hint="eastAsia" w:ascii="宋体" w:hAnsi="宋体" w:cs="宋体"/>
        </w:rPr>
      </w:pPr>
      <w:r>
        <w:rPr>
          <w:rFonts w:hint="eastAsia" w:ascii="宋体" w:hAnsi="宋体" w:cs="宋体"/>
        </w:rPr>
        <w:t xml:space="preserve">中标人考核细则详见附件2。</w:t>
      </w:r>
      <w:r/>
    </w:p>
    <w:p>
      <w:pPr>
        <w:pStyle w:val="1022"/>
        <w:numPr>
          <w:ilvl w:val="0"/>
          <w:numId w:val="0"/>
        </w:numPr>
        <w:ind w:firstLine="482"/>
        <w:spacing w:line="520" w:lineRule="exact"/>
        <w:tabs>
          <w:tab w:val="left" w:pos="1055" w:leader="none"/>
        </w:tabs>
        <w:rPr>
          <w:rFonts w:hint="eastAsia" w:ascii="宋体" w:hAnsi="宋体" w:eastAsia="宋体" w:cs="宋体"/>
        </w:rPr>
        <w:outlineLvl w:val="9"/>
      </w:pPr>
      <w:r>
        <w:rPr>
          <w:rFonts w:hint="eastAsia" w:ascii="宋体" w:hAnsi="宋体" w:eastAsia="宋体" w:cs="宋体"/>
        </w:rPr>
        <w:t xml:space="preserve">八、其他说明</w:t>
      </w:r>
      <w:r/>
    </w:p>
    <w:p>
      <w:pPr>
        <w:pStyle w:val="961"/>
        <w:ind w:firstLine="480"/>
        <w:spacing w:line="520" w:lineRule="exact"/>
        <w:widowControl/>
        <w:rPr>
          <w:rFonts w:hint="eastAsia" w:ascii="宋体" w:hAnsi="宋体" w:cs="宋体"/>
          <w:bCs/>
        </w:rPr>
      </w:pPr>
      <w:r>
        <w:rPr>
          <w:rFonts w:hint="eastAsia" w:ascii="宋体" w:hAnsi="宋体" w:cs="宋体"/>
          <w:bCs/>
        </w:rPr>
        <w:t xml:space="preserve">1、</w:t>
      </w:r>
      <w:r>
        <w:rPr>
          <w:rFonts w:hint="eastAsia" w:ascii="宋体" w:hAnsi="宋体" w:cs="宋体"/>
          <w:b/>
        </w:rPr>
        <w:t xml:space="preserve">投标人在投标文件中须有“如中标，所有人员按法律法规规定规范用工，若因投标人的非规范用工产生的劳务纠纷，进而影响服务质量，产生的一切后果由投标人自行承担，与采购人无关”的承诺，且中标后配备到现场的人员均须持健康证上岗。</w:t>
      </w:r>
      <w:r>
        <w:rPr>
          <w:rFonts w:hint="eastAsia" w:ascii="宋体" w:hAnsi="宋体" w:cs="宋体"/>
          <w:bCs/>
        </w:rPr>
      </w:r>
      <w:r/>
    </w:p>
    <w:p>
      <w:pPr>
        <w:pStyle w:val="961"/>
        <w:ind w:firstLine="480"/>
        <w:spacing w:line="520" w:lineRule="exact"/>
        <w:widowControl/>
        <w:rPr>
          <w:rFonts w:hint="eastAsia" w:ascii="宋体" w:hAnsi="宋体" w:cs="宋体"/>
          <w:bCs/>
        </w:rPr>
      </w:pPr>
      <w:r>
        <w:rPr>
          <w:rFonts w:hint="eastAsia" w:ascii="宋体" w:hAnsi="宋体" w:cs="宋体"/>
          <w:bCs/>
        </w:rPr>
        <w:t xml:space="preserve">2、采购人不接受投标人任何因遗漏报价而发生的费用追加，因投标人违反《</w:t>
      </w:r>
      <w:r>
        <w:rPr>
          <w:rFonts w:hint="eastAsia" w:ascii="宋体" w:hAnsi="宋体" w:cs="宋体"/>
        </w:rPr>
        <w:t xml:space="preserve">中华人民共和国劳动法</w:t>
      </w:r>
      <w:r>
        <w:rPr>
          <w:rFonts w:hint="eastAsia" w:ascii="宋体" w:hAnsi="宋体" w:cs="宋体"/>
          <w:bCs/>
        </w:rPr>
        <w:t xml:space="preserve">》等法律法规而造成采购人的连带责任和损失全部由中标人承担。</w:t>
      </w:r>
      <w:r/>
    </w:p>
    <w:p>
      <w:pPr>
        <w:pStyle w:val="961"/>
        <w:ind w:firstLine="480"/>
        <w:spacing w:line="520" w:lineRule="exact"/>
        <w:rPr>
          <w:rFonts w:hint="eastAsia" w:ascii="宋体" w:hAnsi="宋体" w:cs="宋体"/>
          <w:u w:val="single"/>
        </w:rPr>
      </w:pPr>
      <w:r>
        <w:rPr>
          <w:rFonts w:hint="eastAsia" w:ascii="宋体" w:hAnsi="宋体" w:cs="宋体"/>
          <w:bCs/>
        </w:rPr>
        <w:t xml:space="preserve">3、服务期间</w:t>
      </w:r>
      <w:r>
        <w:rPr>
          <w:rFonts w:hint="eastAsia" w:ascii="宋体" w:hAnsi="宋体" w:cs="宋体"/>
        </w:rPr>
        <w:t xml:space="preserve">采购人将对中标人进行定期监管、考核打分，经双方确认后形成付款依据。</w:t>
      </w:r>
      <w:r>
        <w:rPr>
          <w:rFonts w:hint="eastAsia" w:ascii="宋体" w:hAnsi="宋体" w:cs="宋体"/>
          <w:bCs/>
        </w:rPr>
        <w:t xml:space="preserve">所有应发款项应按实发放至工作人员，采购人负责监督核查，如发现未按实发放的，将核减相应费用。</w:t>
      </w:r>
      <w:r>
        <w:rPr>
          <w:rFonts w:hint="eastAsia" w:ascii="宋体" w:hAnsi="宋体" w:cs="宋体"/>
          <w:u w:val="single"/>
        </w:rPr>
      </w:r>
      <w:r/>
    </w:p>
    <w:p>
      <w:pPr>
        <w:pStyle w:val="961"/>
        <w:ind w:firstLine="480"/>
        <w:spacing w:line="520" w:lineRule="exact"/>
        <w:widowControl/>
        <w:rPr>
          <w:rFonts w:hint="eastAsia" w:ascii="宋体" w:hAnsi="宋体" w:cs="宋体"/>
          <w:bCs/>
        </w:rPr>
      </w:pPr>
      <w:r>
        <w:rPr>
          <w:rFonts w:hint="eastAsia" w:ascii="宋体" w:hAnsi="宋体" w:cs="宋体"/>
          <w:bCs/>
        </w:rPr>
        <w:t xml:space="preserve">4、人员培训、考核、劳务纠纷、安全教育等由中标人统一负责，培训须达到采购人要求后方可上岗，如达不到要求，须无条件更换同等人员；</w:t>
      </w:r>
      <w:r/>
    </w:p>
    <w:p>
      <w:pPr>
        <w:pStyle w:val="961"/>
        <w:ind w:firstLine="482"/>
        <w:spacing w:line="520" w:lineRule="exact"/>
        <w:widowControl/>
        <w:rPr>
          <w:rFonts w:hint="eastAsia" w:ascii="宋体" w:hAnsi="宋体" w:cs="宋体"/>
          <w:b/>
          <w:bCs/>
        </w:rPr>
      </w:pPr>
      <w:r>
        <w:rPr>
          <w:rFonts w:hint="eastAsia" w:ascii="宋体" w:hAnsi="宋体" w:cs="宋体"/>
          <w:b/>
          <w:bCs/>
        </w:rPr>
        <w:t xml:space="preserve">5、投标时需承诺中标后无条件接管现有人员35人，并提供加盖公章的承诺函原件扫描件。对现有人员考虑优先使用，做到无缝衔接；</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6.上述管理人员、驾驶员、调度员、护理人员及担架员人员条件仅作为中标人在后续提供外包服务过程中如有人员离职等情况下补录人员需要达到的条件，对现有人员不以此条件作为要求。现有人员中管理人员的选择，由中标人与采购人综合考虑确定。</w:t>
      </w:r>
      <w:r/>
    </w:p>
    <w:p>
      <w:pPr>
        <w:pStyle w:val="961"/>
        <w:ind w:firstLine="480"/>
        <w:spacing w:line="520" w:lineRule="exact"/>
        <w:widowControl/>
        <w:rPr>
          <w:rFonts w:hint="eastAsia" w:ascii="宋体" w:hAnsi="宋体" w:cs="宋体"/>
          <w:bCs/>
        </w:rPr>
      </w:pPr>
      <w:r>
        <w:rPr>
          <w:rFonts w:hint="eastAsia" w:ascii="宋体" w:hAnsi="宋体" w:cs="宋体"/>
          <w:bCs/>
        </w:rPr>
        <w:t xml:space="preserve">7、遇到公共突发事件、重大任务等需无条件配合采购人工作安排。</w:t>
      </w:r>
      <w:r/>
    </w:p>
    <w:p>
      <w:pPr>
        <w:pStyle w:val="961"/>
        <w:ind w:firstLine="482"/>
        <w:spacing w:line="520" w:lineRule="exact"/>
        <w:rPr>
          <w:rFonts w:hint="eastAsia" w:ascii="宋体" w:hAnsi="宋体" w:cs="宋体"/>
          <w:b/>
          <w:bCs/>
        </w:rPr>
      </w:pPr>
      <w:r>
        <w:rPr>
          <w:rFonts w:hint="eastAsia" w:ascii="宋体" w:hAnsi="宋体" w:cs="宋体"/>
          <w:b/>
          <w:bCs/>
        </w:rPr>
        <w:t xml:space="preserve">九、商务要求：</w:t>
      </w:r>
      <w:r/>
    </w:p>
    <w:p>
      <w:pPr>
        <w:pStyle w:val="961"/>
        <w:ind w:firstLine="480"/>
        <w:spacing w:line="520" w:lineRule="exact"/>
        <w:tabs>
          <w:tab w:val="left" w:pos="0" w:leader="none"/>
        </w:tabs>
        <w:rPr>
          <w:rFonts w:hint="eastAsia" w:ascii="宋体" w:hAnsi="宋体" w:cs="宋体"/>
        </w:rPr>
      </w:pPr>
      <w:r>
        <w:rPr>
          <w:rFonts w:hint="eastAsia" w:ascii="宋体" w:hAnsi="宋体" w:cs="宋体"/>
        </w:rPr>
        <w:t xml:space="preserve">1、合同履行期限：</w:t>
      </w:r>
      <w:r>
        <w:rPr>
          <w:rFonts w:hint="eastAsia" w:ascii="宋体" w:hAnsi="宋体" w:cs="宋体"/>
        </w:rPr>
        <w:t xml:space="preserve">本项目服务期为三年，采取一次招标三年沿用，实行一年一考核一签合同的办法。如果成交单位年度考核不合格，采购人有权终止合同，不再续签下一年合同。</w:t>
      </w:r>
      <w:r>
        <w:rPr>
          <w:rFonts w:hint="eastAsia" w:ascii="宋体" w:hAnsi="宋体" w:cs="宋体"/>
        </w:rPr>
        <w:t xml:space="preserve">如出现下列情况的，合同将自行终止，各投标人须充分考虑各项因素，后期不得提出任何补偿：</w:t>
      </w:r>
      <w:r/>
    </w:p>
    <w:p>
      <w:pPr>
        <w:pStyle w:val="961"/>
        <w:ind w:firstLine="360"/>
        <w:spacing w:line="520" w:lineRule="exact"/>
        <w:tabs>
          <w:tab w:val="left" w:pos="0" w:leader="none"/>
        </w:tabs>
        <w:rPr>
          <w:rFonts w:hint="eastAsia" w:ascii="宋体" w:hAnsi="宋体" w:cs="宋体"/>
        </w:rPr>
      </w:pPr>
      <w:r>
        <w:rPr>
          <w:rFonts w:hint="eastAsia" w:ascii="宋体" w:hAnsi="宋体" w:cs="宋体"/>
        </w:rPr>
        <w:t xml:space="preserve">（1）中标人如不按招标文件和合同约定进行履约或履约情况不好的，采购人有权要求中标人整改，如在一个月内整改不到位，采购人将有权没收履约保证金，终止并解除合同；</w:t>
      </w:r>
      <w:r/>
    </w:p>
    <w:p>
      <w:pPr>
        <w:pStyle w:val="961"/>
        <w:ind w:firstLine="360"/>
        <w:spacing w:line="520" w:lineRule="exact"/>
        <w:tabs>
          <w:tab w:val="left" w:pos="0" w:leader="none"/>
        </w:tabs>
        <w:rPr>
          <w:rFonts w:hint="eastAsia" w:ascii="宋体" w:hAnsi="宋体" w:cs="宋体"/>
        </w:rPr>
      </w:pPr>
      <w:r>
        <w:rPr>
          <w:rFonts w:hint="eastAsia" w:ascii="宋体" w:hAnsi="宋体" w:cs="宋体"/>
        </w:rPr>
        <w:t xml:space="preserve">（2）</w:t>
      </w:r>
      <w:r>
        <w:rPr>
          <w:rFonts w:hint="eastAsia" w:ascii="宋体" w:hAnsi="宋体" w:cs="宋体"/>
        </w:rPr>
        <w:t xml:space="preserve">三年</w:t>
      </w:r>
      <w:r>
        <w:rPr>
          <w:rFonts w:hint="eastAsia" w:ascii="宋体" w:hAnsi="宋体" w:cs="宋体"/>
        </w:rPr>
        <w:t xml:space="preserve">服务期</w:t>
      </w:r>
      <w:r>
        <w:rPr>
          <w:rFonts w:hint="eastAsia" w:ascii="宋体" w:hAnsi="宋体" w:cs="宋体"/>
        </w:rPr>
        <w:t xml:space="preserve">届满将自行终止，根据采购人的需求，重新组织招投标确定服务单位；</w:t>
      </w:r>
      <w:r/>
    </w:p>
    <w:p>
      <w:pPr>
        <w:pStyle w:val="961"/>
        <w:ind w:firstLine="360"/>
        <w:spacing w:line="520" w:lineRule="exact"/>
        <w:tabs>
          <w:tab w:val="left" w:pos="0" w:leader="none"/>
        </w:tabs>
        <w:rPr>
          <w:rFonts w:hint="eastAsia" w:ascii="宋体" w:hAnsi="宋体" w:cs="宋体"/>
        </w:rPr>
      </w:pPr>
      <w:r>
        <w:rPr>
          <w:rFonts w:hint="eastAsia" w:ascii="宋体" w:hAnsi="宋体" w:cs="宋体"/>
        </w:rPr>
        <w:t xml:space="preserve">（3）如因不可抗力或自身原因不能继续履行合同的，合同将自行终止。</w:t>
      </w:r>
      <w:r/>
    </w:p>
    <w:p>
      <w:pPr>
        <w:pStyle w:val="961"/>
        <w:ind w:firstLine="480"/>
        <w:spacing w:line="520" w:lineRule="exact"/>
      </w:pPr>
      <w:r>
        <w:rPr>
          <w:rFonts w:hint="eastAsia" w:ascii="宋体" w:hAnsi="宋体" w:cs="宋体"/>
        </w:rPr>
        <w:t xml:space="preserve">2、本次投标所报价格应包含但不限于基本工资、加班费用（日常超工时及法定节假日）、社会保险、公积金、服装（须满足采购人要求）、福利；人工培训费；不可预见费；税金等一切费用，请各投标单位自行认真踏勘现场，慎重报价，少报漏报视为让利，采购人不再支付除中标价以外的其它任何费用。</w:t>
      </w:r>
      <w:r/>
    </w:p>
    <w:p>
      <w:pPr>
        <w:pStyle w:val="961"/>
        <w:ind w:firstLine="480"/>
        <w:spacing w:line="520" w:lineRule="exact"/>
        <w:rPr>
          <w:rFonts w:hint="eastAsia" w:ascii="宋体" w:hAnsi="宋体" w:cs="宋体"/>
        </w:rPr>
      </w:pPr>
      <w:r>
        <w:rPr>
          <w:rFonts w:hint="eastAsia" w:ascii="宋体" w:hAnsi="宋体" w:cs="宋体"/>
        </w:rPr>
        <w:t xml:space="preserve">3、本次投标设最高限价为：293万元/年。各投标人的投标报价不得高于此限价，否则作为无效投标文件处理，请各投标人慎重报价。</w:t>
      </w:r>
      <w:r/>
    </w:p>
    <w:p>
      <w:pPr>
        <w:pStyle w:val="961"/>
        <w:ind w:firstLine="480"/>
        <w:spacing w:line="520" w:lineRule="exact"/>
        <w:rPr>
          <w:rFonts w:hint="eastAsia" w:ascii="宋体" w:hAnsi="宋体" w:cs="宋体"/>
        </w:rPr>
      </w:pPr>
      <w:r>
        <w:rPr>
          <w:rFonts w:hint="eastAsia" w:ascii="宋体" w:hAnsi="宋体" w:cs="宋体"/>
        </w:rPr>
        <w:t xml:space="preserve">4、合同形式：固定总价合同。</w:t>
      </w:r>
      <w:r/>
    </w:p>
    <w:p>
      <w:pPr>
        <w:pStyle w:val="961"/>
        <w:ind w:firstLine="480"/>
        <w:spacing w:line="520" w:lineRule="exact"/>
        <w:rPr>
          <w:rFonts w:hint="eastAsia" w:ascii="宋体" w:hAnsi="宋体" w:cs="宋体"/>
        </w:rPr>
      </w:pPr>
      <w:r>
        <w:rPr>
          <w:rFonts w:hint="eastAsia" w:ascii="宋体" w:hAnsi="宋体" w:cs="宋体"/>
        </w:rPr>
        <w:t xml:space="preserve">5、付款方式：服务费按月支付，服务费的结算要凭正式发票和采购人综合考核评分汇总单，按月度按实支付，于收到发票后10个工作日付清。</w:t>
      </w:r>
      <w:r/>
    </w:p>
    <w:p>
      <w:pPr>
        <w:pStyle w:val="961"/>
        <w:ind w:firstLine="480"/>
        <w:spacing w:line="520" w:lineRule="exact"/>
        <w:rPr>
          <w:rFonts w:hint="eastAsia" w:ascii="宋体" w:hAnsi="宋体" w:cs="宋体"/>
        </w:rPr>
      </w:pPr>
      <w:r>
        <w:rPr>
          <w:rFonts w:hint="eastAsia" w:ascii="宋体" w:hAnsi="宋体" w:cs="宋体"/>
        </w:rPr>
        <w:t xml:space="preserve">6、采购人只限于提供必要的办公场所、日常使用的办公用品、办公设备等各工种现场工作需要的各类工具，投标人须提供满足采购人要求的人员服装。另采购人只提供日常值班时必须的工作休息场所，不提供员工宿舍。</w:t>
      </w:r>
      <w:r/>
    </w:p>
    <w:p>
      <w:pPr>
        <w:pStyle w:val="961"/>
        <w:ind w:firstLine="480"/>
        <w:spacing w:line="520" w:lineRule="exact"/>
        <w:rPr>
          <w:rFonts w:hint="eastAsia" w:ascii="宋体" w:hAnsi="宋体" w:cs="宋体"/>
        </w:rPr>
      </w:pPr>
      <w:r>
        <w:rPr>
          <w:rFonts w:hint="eastAsia" w:ascii="宋体" w:hAnsi="宋体" w:cs="宋体"/>
        </w:rPr>
        <w:t xml:space="preserve">7、中标人应按《中华人民共和国劳动法》要求进行用工并签订合同，如因中标人用工及待遇造成的法律诉讼和经济纠纷由中标人自行承担。</w:t>
      </w:r>
      <w:r/>
    </w:p>
    <w:p>
      <w:pPr>
        <w:pStyle w:val="961"/>
        <w:ind w:firstLine="480"/>
        <w:spacing w:line="520" w:lineRule="exact"/>
        <w:rPr>
          <w:rFonts w:hint="eastAsia" w:ascii="宋体" w:hAnsi="宋体" w:cs="宋体"/>
        </w:rPr>
      </w:pPr>
      <w:r>
        <w:rPr>
          <w:rFonts w:hint="eastAsia" w:ascii="宋体" w:hAnsi="宋体" w:cs="宋体"/>
        </w:rPr>
        <w:t xml:space="preserve">8、安全责任：</w:t>
      </w:r>
      <w:r/>
    </w:p>
    <w:p>
      <w:pPr>
        <w:pStyle w:val="961"/>
        <w:ind w:firstLine="480"/>
        <w:spacing w:line="520" w:lineRule="exact"/>
        <w:rPr>
          <w:rFonts w:hint="eastAsia" w:ascii="宋体" w:hAnsi="宋体" w:cs="宋体"/>
        </w:rPr>
      </w:pPr>
      <w:r>
        <w:rPr>
          <w:rFonts w:hint="eastAsia" w:ascii="宋体" w:hAnsi="宋体" w:cs="宋体"/>
        </w:rPr>
        <w:t xml:space="preserve">（1）中标人要加强对从事服务人员的安全知识教育和培训，严格遵守安全操作规程，作业时做好防护措施。在服务期内中标人承担派出工作人员的所有责任，中标人员工在工作期间内发生工伤等事故、因自身过失而造成他人伤亡及财产损失等由中标人承担相应责任，与采购人无关。</w:t>
      </w:r>
      <w:r/>
    </w:p>
    <w:p>
      <w:pPr>
        <w:pStyle w:val="961"/>
        <w:ind w:firstLine="480"/>
        <w:spacing w:line="520" w:lineRule="exact"/>
        <w:tabs>
          <w:tab w:val="left" w:pos="0" w:leader="none"/>
          <w:tab w:val="left" w:pos="993" w:leader="none"/>
          <w:tab w:val="left" w:pos="1134" w:leader="none"/>
        </w:tabs>
        <w:rPr>
          <w:rFonts w:hint="eastAsia" w:ascii="宋体" w:hAnsi="宋体" w:cs="宋体"/>
        </w:rPr>
      </w:pPr>
      <w:r>
        <w:rPr>
          <w:rFonts w:hint="eastAsia" w:ascii="宋体" w:hAnsi="宋体" w:cs="宋体"/>
        </w:rPr>
        <w:t xml:space="preserve">（2）中标人不得有违反采购人的环境、秩序的任何经营活动。</w:t>
      </w:r>
      <w:r/>
    </w:p>
    <w:p>
      <w:pPr>
        <w:pStyle w:val="961"/>
        <w:ind w:firstLine="480"/>
        <w:spacing w:line="520" w:lineRule="exact"/>
        <w:tabs>
          <w:tab w:val="left" w:pos="0" w:leader="none"/>
          <w:tab w:val="left" w:pos="993" w:leader="none"/>
          <w:tab w:val="left" w:pos="1134" w:leader="none"/>
        </w:tabs>
        <w:rPr>
          <w:rFonts w:hint="eastAsia" w:ascii="宋体" w:hAnsi="宋体" w:cs="宋体"/>
        </w:rPr>
      </w:pPr>
      <w:r>
        <w:rPr>
          <w:rFonts w:hint="eastAsia" w:ascii="宋体" w:hAnsi="宋体" w:cs="宋体"/>
        </w:rPr>
        <w:t xml:space="preserve">9、签订合同后，中标人不得进行转包。未经采购人同意，中标人不得采用分包的形式履行合同。否则采购人有权终止合同。转包或分包造成采购人损失的，中标人还应承担相应赔偿责任。</w:t>
      </w:r>
      <w:r/>
    </w:p>
    <w:p>
      <w:pPr>
        <w:pStyle w:val="969"/>
        <w:ind w:firstLine="480"/>
        <w:rPr>
          <w:rFonts w:hint="eastAsia" w:ascii="宋体" w:hAnsi="宋体" w:cs="宋体"/>
          <w:sz w:val="24"/>
          <w:szCs w:val="24"/>
        </w:rPr>
        <w:sectPr>
          <w:headerReference w:type="default" r:id="rId9"/>
          <w:footerReference w:type="default" r:id="rId10"/>
          <w:footerReference w:type="even" r:id="rId11"/>
          <w:footerReference w:type="first" r:id="rId12"/>
          <w:footnotePr/>
          <w:endnotePr/>
          <w:type w:val="nextPage"/>
          <w:pgSz w:w="11906" w:h="16838" w:orient="portrait"/>
          <w:pgMar w:top="1418" w:right="1361" w:bottom="1247" w:left="1361" w:header="851" w:footer="992" w:gutter="0"/>
          <w:cols w:num="1" w:sep="0" w:space="720" w:equalWidth="1"/>
          <w:docGrid w:linePitch="360"/>
          <w:titlePg/>
        </w:sectPr>
      </w:pPr>
      <w:r>
        <w:rPr>
          <w:rFonts w:hint="eastAsia" w:ascii="宋体" w:hAnsi="宋体" w:cs="宋体"/>
          <w:sz w:val="24"/>
          <w:szCs w:val="24"/>
        </w:rPr>
        <w:t xml:space="preserve">10、未尽事宜，由中标人与采购人协商处理。</w:t>
      </w:r>
      <w:r/>
    </w:p>
    <w:p>
      <w:pPr>
        <w:pStyle w:val="1010"/>
        <w:jc w:val="both"/>
        <w:rPr>
          <w:rFonts w:hint="eastAsia" w:ascii="宋体" w:hAnsi="宋体" w:eastAsia="宋体" w:cs="宋体"/>
          <w:b/>
          <w:bCs/>
          <w:color w:val="000000"/>
        </w:rPr>
      </w:pPr>
      <w:r>
        <w:rPr>
          <w:rFonts w:hint="eastAsia" w:ascii="宋体" w:hAnsi="宋体" w:eastAsia="宋体" w:cs="宋体"/>
          <w:b/>
          <w:bCs/>
          <w:color w:val="000000"/>
        </w:rPr>
        <w:t xml:space="preserve">附件一</w:t>
      </w:r>
      <w:r/>
    </w:p>
    <w:p>
      <w:pPr>
        <w:pStyle w:val="1010"/>
        <w:jc w:val="center"/>
        <w:rPr>
          <w:rFonts w:hint="eastAsia" w:ascii="宋体" w:hAnsi="宋体" w:eastAsia="宋体" w:cs="宋体"/>
          <w:b/>
          <w:bCs/>
          <w:color w:val="000000"/>
        </w:rPr>
      </w:pPr>
      <w:r>
        <w:rPr>
          <w:rFonts w:hint="eastAsia" w:ascii="宋体" w:hAnsi="宋体" w:eastAsia="宋体" w:cs="宋体"/>
          <w:color w:val="000000"/>
          <w:sz w:val="32"/>
          <w:szCs w:val="32"/>
        </w:rPr>
        <w:t xml:space="preserve">一、市区院前医疗急救站点驾驶员绩效考核内容及评分标准</w:t>
      </w:r>
      <w:r>
        <w:rPr>
          <w:rFonts w:hint="eastAsia" w:ascii="宋体" w:hAnsi="宋体" w:eastAsia="宋体" w:cs="宋体"/>
          <w:b/>
          <w:bCs/>
          <w:color w:val="000000"/>
        </w:rPr>
      </w:r>
      <w:r/>
    </w:p>
    <w:tbl>
      <w:tblPr>
        <w:tblpPr w:horzAnchor="page" w:tblpX="1372" w:vertAnchor="text" w:tblpY="148" w:leftFromText="180" w:topFromText="0" w:rightFromText="180" w:bottomFromText="0"/>
        <w:tblW w:w="140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1"/>
        <w:gridCol w:w="1324"/>
        <w:gridCol w:w="3869"/>
        <w:gridCol w:w="1510"/>
        <w:gridCol w:w="6233"/>
      </w:tblGrid>
      <w:tr>
        <w:trPr>
          <w:trHeight w:val="465"/>
        </w:trPr>
        <w:tc>
          <w:tcPr>
            <w:tcW w:w="1111" w:type="dxa"/>
            <w:vAlign w:val="center"/>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一级指标</w:t>
            </w:r>
            <w:r/>
          </w:p>
        </w:tc>
        <w:tc>
          <w:tcPr>
            <w:tcW w:w="1324" w:type="dxa"/>
            <w:vAlign w:val="center"/>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二级指标</w:t>
            </w:r>
            <w:r/>
          </w:p>
        </w:tc>
        <w:tc>
          <w:tcPr>
            <w:tcW w:w="3869" w:type="dxa"/>
            <w:vAlign w:val="center"/>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三级指标</w:t>
            </w:r>
            <w:r/>
          </w:p>
        </w:tc>
        <w:tc>
          <w:tcPr>
            <w:tcW w:w="1510" w:type="dxa"/>
            <w:vAlign w:val="center"/>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考核方式</w:t>
            </w:r>
            <w:r/>
          </w:p>
        </w:tc>
        <w:tc>
          <w:tcPr>
            <w:tcW w:w="6233" w:type="dxa"/>
            <w:vAlign w:val="center"/>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评分标准</w:t>
            </w:r>
            <w:r/>
          </w:p>
        </w:tc>
      </w:tr>
      <w:tr>
        <w:trPr>
          <w:cantSplit/>
          <w:trHeight w:val="90"/>
        </w:trPr>
        <w:tc>
          <w:tcPr>
            <w:tcW w:w="1111" w:type="dxa"/>
            <w:vAlign w:val="center"/>
            <w:vMerge w:val="restart"/>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出勤考核</w:t>
            </w:r>
            <w:r/>
          </w:p>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1324" w:type="dxa"/>
            <w:vAlign w:val="center"/>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交接</w:t>
            </w:r>
            <w:r/>
          </w:p>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3869" w:type="dxa"/>
            <w:vAlign w:val="center"/>
            <w:textDirection w:val="lrTb"/>
            <w:noWrap/>
          </w:tcPr>
          <w:p>
            <w:pPr>
              <w:pStyle w:val="961"/>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提前10分钟到岗进行交接班，交班人员在接班人员未到岗接班时不得退工号及离岗；所有人不得代其他人员登工号或退工号；上一班班组出车未归，接班班组须在规定时间前登录备用车待命，无车可登录时应电话汇报调度；上班期间保持外勤通处于登录状态；严格执行交接班制度，交接有记录并签字，每趟任务需要及时填写。</w:t>
            </w:r>
            <w:r/>
          </w:p>
        </w:tc>
        <w:tc>
          <w:tcPr>
            <w:tcW w:w="1510" w:type="dxa"/>
            <w:vAlign w:val="center"/>
            <w:vMerge w:val="restart"/>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常规抽查</w:t>
            </w:r>
            <w:r/>
          </w:p>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系统数据分析</w:t>
            </w:r>
            <w:r/>
          </w:p>
        </w:tc>
        <w:tc>
          <w:tcPr>
            <w:tcW w:w="6233" w:type="dxa"/>
            <w:vAlign w:val="center"/>
            <w:textDirection w:val="lrTb"/>
            <w:noWrap/>
          </w:tcPr>
          <w:p>
            <w:pPr>
              <w:pStyle w:val="961"/>
              <w:jc w:val="left"/>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接班人员未提前10分钟到岗接班、未按规定登录车载均视为迟到；代其他人员登工号或退工号的，发现一次扣10分，造成出车延迟等问题的，按出车延迟等规定追加扣分；交班人员在接班人员未到岗接班时退工号或离岗视同早退；迟到早退5分钟内扣2分、10分钟内扣4分、15分钟内扣6分，以此类推；同一个月有3次及以上迟到早退行为的再加扣10分；未按规定登录外勤通的一次扣2分；交接记录书写不规范或无交接记录的，一次扣2分；旷工一天扣50分并立即停职。</w:t>
            </w:r>
            <w:r/>
          </w:p>
        </w:tc>
      </w:tr>
      <w:tr>
        <w:trPr>
          <w:cantSplit/>
          <w:trHeight w:val="616"/>
        </w:trPr>
        <w:tc>
          <w:tcPr>
            <w:tcW w:w="1111" w:type="dxa"/>
            <w:vAlign w:val="center"/>
            <w:vMerge w:val="continue"/>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1324" w:type="dxa"/>
            <w:vAlign w:val="center"/>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换班</w:t>
            </w:r>
            <w:r/>
          </w:p>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3869" w:type="dxa"/>
            <w:vAlign w:val="center"/>
            <w:textDirection w:val="lrTb"/>
            <w:noWrap/>
          </w:tcPr>
          <w:p>
            <w:pPr>
              <w:pStyle w:val="961"/>
              <w:spacing w:line="280" w:lineRule="exact"/>
              <w:widowControl/>
              <w:rPr>
                <w:rFonts w:ascii="宋体" w:hAnsi="宋体" w:cs="宋体"/>
                <w:sz w:val="18"/>
                <w:szCs w:val="18"/>
              </w:rPr>
              <w:framePr w:hSpace="180" w:wrap="around" w:vAnchor="text" w:hAnchor="page" w:x="1372" w:y="148"/>
            </w:pPr>
            <w:r>
              <w:rPr>
                <w:rFonts w:hint="eastAsia" w:ascii="宋体" w:hAnsi="宋体" w:cs="宋体"/>
                <w:sz w:val="18"/>
                <w:szCs w:val="18"/>
              </w:rPr>
              <w:t xml:space="preserve">不得私自代班、换班，如代班、换班必须上报给驻场管理人员同意并由驻场管理人员提前2小时报调度中心，有特殊情况的及时向驻场管理人员及调度中心电话报备。调班请假均需填写申请单并经批准。</w:t>
            </w:r>
            <w:r>
              <w:rPr>
                <w:rFonts w:ascii="宋体" w:hAnsi="宋体" w:cs="宋体"/>
                <w:sz w:val="18"/>
                <w:szCs w:val="18"/>
              </w:rPr>
            </w:r>
            <w:r/>
          </w:p>
        </w:tc>
        <w:tc>
          <w:tcPr>
            <w:tcW w:w="1510" w:type="dxa"/>
            <w:vAlign w:val="center"/>
            <w:vMerge w:val="continue"/>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6233" w:type="dxa"/>
            <w:vAlign w:val="center"/>
            <w:textDirection w:val="lrTb"/>
            <w:noWrap/>
          </w:tcPr>
          <w:p>
            <w:pPr>
              <w:pStyle w:val="961"/>
              <w:jc w:val="left"/>
              <w:spacing w:line="280" w:lineRule="exact"/>
              <w:widowControl/>
              <w:rPr>
                <w:rFonts w:ascii="宋体" w:hAnsi="宋体" w:cs="宋体"/>
                <w:sz w:val="18"/>
                <w:szCs w:val="18"/>
              </w:rPr>
              <w:framePr w:hSpace="180" w:wrap="around" w:vAnchor="text" w:hAnchor="page" w:x="1372" w:y="148"/>
            </w:pPr>
            <w:r>
              <w:rPr>
                <w:rFonts w:hint="eastAsia" w:ascii="宋体" w:hAnsi="宋体" w:cs="宋体"/>
                <w:sz w:val="18"/>
                <w:szCs w:val="18"/>
              </w:rPr>
              <w:t xml:space="preserve">私自代班、换班或未及时报备的，发现一次当事双方各扣5分；造成出车延迟等问题的，双方均按出车延迟等规定追加扣分；调班3次以上每次扣2分。未经批准视为旷工。</w:t>
            </w:r>
            <w:r>
              <w:rPr>
                <w:rFonts w:ascii="宋体" w:hAnsi="宋体" w:cs="宋体"/>
                <w:sz w:val="18"/>
                <w:szCs w:val="18"/>
              </w:rPr>
            </w:r>
            <w:r/>
          </w:p>
        </w:tc>
      </w:tr>
      <w:tr>
        <w:trPr>
          <w:cantSplit/>
          <w:trHeight w:val="621"/>
        </w:trPr>
        <w:tc>
          <w:tcPr>
            <w:tcW w:w="1111" w:type="dxa"/>
            <w:vAlign w:val="center"/>
            <w:vMerge w:val="continue"/>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1324" w:type="dxa"/>
            <w:vAlign w:val="center"/>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服装 </w:t>
            </w:r>
            <w:r/>
          </w:p>
        </w:tc>
        <w:tc>
          <w:tcPr>
            <w:tcW w:w="3869" w:type="dxa"/>
            <w:vAlign w:val="center"/>
            <w:textDirection w:val="lrTb"/>
            <w:noWrap/>
          </w:tcPr>
          <w:p>
            <w:pPr>
              <w:pStyle w:val="961"/>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按要求统一着装，装束规范，佩戴工号牌。</w:t>
            </w:r>
            <w:r/>
          </w:p>
        </w:tc>
        <w:tc>
          <w:tcPr>
            <w:tcW w:w="1510" w:type="dxa"/>
            <w:vAlign w:val="center"/>
            <w:vMerge w:val="continue"/>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6233" w:type="dxa"/>
            <w:vAlign w:val="center"/>
            <w:textDirection w:val="lrTb"/>
            <w:noWrap/>
          </w:tcPr>
          <w:p>
            <w:pPr>
              <w:pStyle w:val="961"/>
              <w:jc w:val="left"/>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穿拖鞋、短裤等不规范着装或未佩戴工号牌的，发现一次扣2分。</w:t>
            </w:r>
            <w:r/>
          </w:p>
        </w:tc>
      </w:tr>
      <w:tr>
        <w:trPr>
          <w:cantSplit/>
          <w:trHeight w:val="90"/>
        </w:trPr>
        <w:tc>
          <w:tcPr>
            <w:tcW w:w="1111" w:type="dxa"/>
            <w:vAlign w:val="center"/>
            <w:vMerge w:val="continue"/>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1324" w:type="dxa"/>
            <w:vAlign w:val="center"/>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岗位</w:t>
            </w:r>
            <w:r/>
          </w:p>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3869" w:type="dxa"/>
            <w:vAlign w:val="center"/>
            <w:textDirection w:val="lrTb"/>
            <w:noWrap/>
          </w:tcPr>
          <w:p>
            <w:pPr>
              <w:pStyle w:val="1023"/>
              <w:rPr>
                <w:rFonts w:hint="eastAsia"/>
                <w:sz w:val="18"/>
                <w:szCs w:val="18"/>
                <w:lang w:val="en-US" w:eastAsia="zh-CN" w:bidi="ar-SA"/>
              </w:rPr>
              <w:framePr w:hSpace="180" w:wrap="around" w:vAnchor="text" w:hAnchor="page" w:x="1372" w:y="148"/>
            </w:pPr>
            <w:r>
              <w:rPr>
                <w:rFonts w:hint="eastAsia"/>
                <w:sz w:val="18"/>
                <w:szCs w:val="18"/>
                <w:lang w:val="en-US" w:eastAsia="zh-CN" w:bidi="ar-SA"/>
              </w:rPr>
              <w:t xml:space="preserve">上班期间待命室待命，不得在值班室休息（12:00-14:00，21:00-次日7:00除外）；未经允许，不得擅离工作岗位；班前24小时及值班期间不得饮酒，任务或工作环境中不得吸烟。</w:t>
            </w:r>
            <w:r/>
          </w:p>
        </w:tc>
        <w:tc>
          <w:tcPr>
            <w:tcW w:w="1510" w:type="dxa"/>
            <w:vAlign w:val="center"/>
            <w:vMerge w:val="continue"/>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6233" w:type="dxa"/>
            <w:vAlign w:val="center"/>
            <w:textDirection w:val="lrTb"/>
            <w:noWrap/>
          </w:tcPr>
          <w:p>
            <w:pPr>
              <w:pStyle w:val="961"/>
              <w:jc w:val="left"/>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发现一次脱岗的扣10分（未按规定在待命室待命的视同脱岗），造成出车延迟等问题的，按出车延迟等规定追加扣分；发现一次违反饮酒规定的予以辞退；发现一次违反吸烟规定的扣10分。</w:t>
            </w:r>
            <w:r/>
          </w:p>
        </w:tc>
      </w:tr>
      <w:tr>
        <w:trPr>
          <w:cantSplit/>
          <w:trHeight w:val="626"/>
        </w:trPr>
        <w:tc>
          <w:tcPr>
            <w:tcW w:w="1111" w:type="dxa"/>
            <w:vAlign w:val="center"/>
            <w:vMerge w:val="continue"/>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1324" w:type="dxa"/>
            <w:vAlign w:val="center"/>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通讯</w:t>
            </w:r>
            <w:r/>
          </w:p>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3869" w:type="dxa"/>
            <w:vAlign w:val="center"/>
            <w:textDirection w:val="lrTb"/>
            <w:noWrap/>
          </w:tcPr>
          <w:p>
            <w:pPr>
              <w:pStyle w:val="961"/>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手机保持24小时畅通，随叫随到，离开泰州须向驻场管理人员报备并得到允许。</w:t>
            </w:r>
            <w:r/>
          </w:p>
        </w:tc>
        <w:tc>
          <w:tcPr>
            <w:tcW w:w="1510" w:type="dxa"/>
            <w:vAlign w:val="center"/>
            <w:vMerge w:val="continue"/>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6233" w:type="dxa"/>
            <w:vAlign w:val="center"/>
            <w:textDirection w:val="lrTb"/>
            <w:noWrap/>
          </w:tcPr>
          <w:p>
            <w:pPr>
              <w:pStyle w:val="961"/>
              <w:jc w:val="left"/>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一次手机未接通的扣2分；接到中心指令后半小时未能到岗，一次扣10分。</w:t>
            </w:r>
            <w:r/>
          </w:p>
        </w:tc>
      </w:tr>
      <w:tr>
        <w:trPr>
          <w:cantSplit/>
          <w:trHeight w:val="631"/>
        </w:trPr>
        <w:tc>
          <w:tcPr>
            <w:tcW w:w="1111" w:type="dxa"/>
            <w:vAlign w:val="center"/>
            <w:vMerge w:val="continue"/>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1324" w:type="dxa"/>
            <w:vAlign w:val="center"/>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学习 </w:t>
            </w:r>
            <w:r/>
          </w:p>
        </w:tc>
        <w:tc>
          <w:tcPr>
            <w:tcW w:w="3869" w:type="dxa"/>
            <w:vAlign w:val="center"/>
            <w:textDirection w:val="lrTb"/>
            <w:noWrap/>
          </w:tcPr>
          <w:p>
            <w:pPr>
              <w:pStyle w:val="961"/>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按要求定期参加安全会议学习及其它培训学习、每周的晨会学习。</w:t>
            </w:r>
            <w:r/>
          </w:p>
        </w:tc>
        <w:tc>
          <w:tcPr>
            <w:tcW w:w="1510" w:type="dxa"/>
            <w:vAlign w:val="center"/>
            <w:vMerge w:val="continue"/>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6233" w:type="dxa"/>
            <w:vAlign w:val="center"/>
            <w:textDirection w:val="lrTb"/>
            <w:noWrap/>
          </w:tcPr>
          <w:p>
            <w:pPr>
              <w:pStyle w:val="961"/>
              <w:jc w:val="left"/>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一次未参加的扣10分；迟到早退的，一次扣5分。</w:t>
            </w:r>
            <w:r/>
          </w:p>
        </w:tc>
      </w:tr>
      <w:tr>
        <w:trPr>
          <w:cantSplit/>
          <w:trHeight w:val="320"/>
        </w:trPr>
        <w:tc>
          <w:tcPr>
            <w:tcW w:w="1111" w:type="dxa"/>
            <w:vAlign w:val="center"/>
            <w:vMerge w:val="restart"/>
            <w:textDirection w:val="lrTb"/>
            <w:noWrap/>
          </w:tcPr>
          <w:p>
            <w:pPr>
              <w:pStyle w:val="961"/>
              <w:jc w:val="center"/>
              <w:spacing w:line="280" w:lineRule="exact"/>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业务考核</w:t>
            </w:r>
            <w:r/>
          </w:p>
        </w:tc>
        <w:tc>
          <w:tcPr>
            <w:tcW w:w="1324" w:type="dxa"/>
            <w:vAlign w:val="center"/>
            <w:vMerge w:val="restart"/>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工作质量 </w:t>
            </w:r>
            <w:r/>
          </w:p>
        </w:tc>
        <w:tc>
          <w:tcPr>
            <w:tcW w:w="3869" w:type="dxa"/>
            <w:vAlign w:val="center"/>
            <w:textDirection w:val="lrTb"/>
            <w:noWrap/>
          </w:tcPr>
          <w:p>
            <w:pPr>
              <w:pStyle w:val="961"/>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接到出车指令，班组所有人员上车后，点击车载“出车”，不得提前点击。</w:t>
            </w:r>
            <w:r/>
          </w:p>
        </w:tc>
        <w:tc>
          <w:tcPr>
            <w:tcW w:w="1510" w:type="dxa"/>
            <w:vAlign w:val="center"/>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系统数据分析查看有关视频</w:t>
            </w:r>
            <w:r/>
          </w:p>
        </w:tc>
        <w:tc>
          <w:tcPr>
            <w:tcW w:w="6233" w:type="dxa"/>
            <w:vAlign w:val="center"/>
            <w:textDirection w:val="lrTb"/>
            <w:noWrap/>
          </w:tcPr>
          <w:p>
            <w:pPr>
              <w:pStyle w:val="961"/>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发现班组人员未全部上车即提前点击“出车”的，一次扣10分。</w:t>
            </w:r>
            <w:r/>
          </w:p>
        </w:tc>
      </w:tr>
      <w:tr>
        <w:trPr>
          <w:cantSplit/>
          <w:trHeight w:val="320"/>
        </w:trPr>
        <w:tc>
          <w:tcPr>
            <w:tcW w:w="1111" w:type="dxa"/>
            <w:vAlign w:val="center"/>
            <w:vMerge w:val="continue"/>
            <w:textDirection w:val="lrTb"/>
            <w:noWrap/>
          </w:tcPr>
          <w:p>
            <w:pPr>
              <w:pStyle w:val="961"/>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1324" w:type="dxa"/>
            <w:vAlign w:val="center"/>
            <w:vMerge w:val="continue"/>
            <w:textDirection w:val="lrTb"/>
            <w:noWrap/>
          </w:tcPr>
          <w:p>
            <w:pPr>
              <w:pStyle w:val="961"/>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3869" w:type="dxa"/>
            <w:vAlign w:val="center"/>
            <w:textDirection w:val="lrTb"/>
            <w:noWrap/>
          </w:tcPr>
          <w:p>
            <w:pPr>
              <w:pStyle w:val="961"/>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接到出车指令后，2分30秒内出车，无条件服从调度指挥，有特殊情况的需及时沟通；未接到调度出车指令不得私自岀车。</w:t>
            </w:r>
            <w:r/>
          </w:p>
        </w:tc>
        <w:tc>
          <w:tcPr>
            <w:tcW w:w="1510" w:type="dxa"/>
            <w:vAlign w:val="center"/>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系统数据分析</w:t>
            </w:r>
            <w:r/>
          </w:p>
        </w:tc>
        <w:tc>
          <w:tcPr>
            <w:tcW w:w="6233" w:type="dxa"/>
            <w:vAlign w:val="center"/>
            <w:textDirection w:val="lrTb"/>
            <w:noWrap/>
          </w:tcPr>
          <w:p>
            <w:pPr>
              <w:pStyle w:val="961"/>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延迟≥30秒扣2分、≥1分钟扣4分、≥1分30秒扣6分，以此类推；出车用时超5分钟的，每例加扣20分；点“出车”后未及时驶向现场的，按上述“延迟”规定加倍扣分；不服从调度指挥的每次扣5分，造成急救反应时间延长的按上述延迟规定追加扣分；出车途中患者不去等特殊情况未得到调度确认取消任务指令擅自停车或回程的，每次扣5分；未收到指令私自出车扣20分；以各种理由拒绝调度下发的出车任务，一次扣20分并停岗学习，情节严重的予以辞退。</w:t>
            </w:r>
            <w:r/>
          </w:p>
        </w:tc>
      </w:tr>
      <w:tr>
        <w:trPr>
          <w:cantSplit/>
          <w:trHeight w:val="1010"/>
        </w:trPr>
        <w:tc>
          <w:tcPr>
            <w:tcW w:w="1111" w:type="dxa"/>
            <w:vAlign w:val="center"/>
            <w:vMerge w:val="continue"/>
            <w:textDirection w:val="lrTb"/>
            <w:noWrap/>
          </w:tcPr>
          <w:p>
            <w:pPr>
              <w:pStyle w:val="961"/>
              <w:jc w:val="center"/>
              <w:spacing w:line="280" w:lineRule="exact"/>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1324" w:type="dxa"/>
            <w:vAlign w:val="center"/>
            <w:vMerge w:val="continue"/>
            <w:textDirection w:val="lrTb"/>
            <w:noWrap/>
          </w:tcPr>
          <w:p>
            <w:pPr>
              <w:pStyle w:val="961"/>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3869" w:type="dxa"/>
            <w:vAlign w:val="center"/>
            <w:textDirection w:val="lrTb"/>
            <w:noWrap/>
          </w:tcPr>
          <w:p>
            <w:pPr>
              <w:pStyle w:val="1023"/>
              <w:spacing w:line="240" w:lineRule="auto"/>
              <w:rPr>
                <w:rFonts w:hint="eastAsia"/>
                <w:sz w:val="18"/>
                <w:szCs w:val="18"/>
                <w:lang w:val="en-US" w:eastAsia="zh-CN" w:bidi="ar-SA"/>
              </w:rPr>
              <w:framePr w:hSpace="180" w:wrap="around" w:vAnchor="text" w:hAnchor="page" w:x="1372" w:y="148"/>
            </w:pPr>
            <w:r>
              <w:rPr>
                <w:rFonts w:hint="eastAsia"/>
                <w:sz w:val="18"/>
                <w:szCs w:val="18"/>
                <w:lang w:val="en-US" w:eastAsia="zh-CN" w:bidi="ar-SA"/>
              </w:rPr>
              <w:t xml:space="preserve">接到出车指令上车后发现同班组人员未到，须在1分钟内通知未到人员出诊；有特殊情况需汇报调度中心。</w:t>
            </w:r>
            <w:r/>
          </w:p>
        </w:tc>
        <w:tc>
          <w:tcPr>
            <w:tcW w:w="1510" w:type="dxa"/>
            <w:vAlign w:val="center"/>
            <w:textDirection w:val="lrTb"/>
            <w:noWrap/>
          </w:tcPr>
          <w:p>
            <w:pPr>
              <w:pStyle w:val="1023"/>
              <w:jc w:val="center"/>
              <w:spacing w:line="240" w:lineRule="auto"/>
              <w:rPr>
                <w:rFonts w:hint="eastAsia"/>
                <w:sz w:val="18"/>
                <w:szCs w:val="18"/>
                <w:lang w:val="en-US" w:eastAsia="zh-CN" w:bidi="ar-SA"/>
              </w:rPr>
              <w:framePr w:hSpace="180" w:wrap="around" w:vAnchor="text" w:hAnchor="page" w:x="1372" w:y="148"/>
            </w:pPr>
            <w:r>
              <w:rPr>
                <w:rFonts w:hint="eastAsia"/>
                <w:sz w:val="18"/>
                <w:szCs w:val="18"/>
                <w:lang w:val="en-US" w:eastAsia="zh-CN" w:bidi="ar-SA"/>
              </w:rPr>
              <w:t xml:space="preserve">依据调查结果</w:t>
            </w:r>
            <w:r/>
          </w:p>
        </w:tc>
        <w:tc>
          <w:tcPr>
            <w:tcW w:w="6233" w:type="dxa"/>
            <w:vAlign w:val="center"/>
            <w:textDirection w:val="lrTb"/>
            <w:noWrap/>
          </w:tcPr>
          <w:p>
            <w:pPr>
              <w:pStyle w:val="1023"/>
              <w:jc w:val="left"/>
              <w:spacing w:line="240" w:lineRule="auto"/>
              <w:rPr>
                <w:rFonts w:hint="eastAsia"/>
                <w:sz w:val="18"/>
                <w:szCs w:val="18"/>
                <w:lang w:val="en-US" w:eastAsia="zh-CN" w:bidi="ar-SA"/>
              </w:rPr>
              <w:framePr w:hSpace="180" w:wrap="around" w:vAnchor="text" w:hAnchor="page" w:x="1372" w:y="148"/>
            </w:pPr>
            <w:r>
              <w:rPr>
                <w:rFonts w:hint="eastAsia"/>
                <w:sz w:val="18"/>
                <w:szCs w:val="18"/>
                <w:lang w:val="en-US" w:eastAsia="zh-CN" w:bidi="ar-SA"/>
              </w:rPr>
              <w:t xml:space="preserve">未通知或通知不及时造成延迟出车的按延迟者责任的50%扣分。</w:t>
            </w:r>
            <w:r/>
          </w:p>
        </w:tc>
      </w:tr>
      <w:tr>
        <w:trPr>
          <w:cantSplit/>
          <w:trHeight w:val="1259"/>
        </w:trPr>
        <w:tc>
          <w:tcPr>
            <w:tcW w:w="1111" w:type="dxa"/>
            <w:vAlign w:val="center"/>
            <w:vMerge w:val="continue"/>
            <w:textDirection w:val="lrTb"/>
            <w:noWrap/>
          </w:tcPr>
          <w:p>
            <w:pPr>
              <w:pStyle w:val="961"/>
              <w:jc w:val="center"/>
              <w:spacing w:line="280" w:lineRule="exact"/>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1324" w:type="dxa"/>
            <w:vAlign w:val="center"/>
            <w:vMerge w:val="continue"/>
            <w:textDirection w:val="lrTb"/>
            <w:noWrap/>
          </w:tcPr>
          <w:p>
            <w:pPr>
              <w:pStyle w:val="961"/>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3869" w:type="dxa"/>
            <w:vAlign w:val="center"/>
            <w:textDirection w:val="lrTb"/>
            <w:noWrap/>
          </w:tcPr>
          <w:p>
            <w:pPr>
              <w:pStyle w:val="1023"/>
              <w:spacing w:line="240" w:lineRule="auto"/>
              <w:rPr>
                <w:rFonts w:hint="eastAsia"/>
                <w:sz w:val="18"/>
                <w:szCs w:val="18"/>
                <w:lang w:val="en-US" w:eastAsia="zh-CN" w:bidi="ar-SA"/>
              </w:rPr>
              <w:framePr w:hSpace="180" w:wrap="around" w:vAnchor="text" w:hAnchor="page" w:x="1372" w:y="148"/>
            </w:pPr>
            <w:r>
              <w:rPr>
                <w:rFonts w:hint="eastAsia"/>
                <w:sz w:val="18"/>
                <w:szCs w:val="18"/>
                <w:lang w:val="en-US" w:eastAsia="zh-CN" w:bidi="ar-SA"/>
              </w:rPr>
              <w:t xml:space="preserve">接到任务后仔细甄别核实任务地点，选择合适的路线尽快到达急救现场及将患者送院。</w:t>
            </w:r>
            <w:r/>
          </w:p>
        </w:tc>
        <w:tc>
          <w:tcPr>
            <w:tcW w:w="1510" w:type="dxa"/>
            <w:vAlign w:val="center"/>
            <w:textDirection w:val="lrTb"/>
            <w:noWrap/>
          </w:tcPr>
          <w:p>
            <w:pPr>
              <w:pStyle w:val="1023"/>
              <w:jc w:val="center"/>
              <w:spacing w:line="240" w:lineRule="auto"/>
              <w:rPr>
                <w:rFonts w:hint="eastAsia"/>
                <w:sz w:val="18"/>
                <w:szCs w:val="18"/>
                <w:lang w:val="en-US" w:eastAsia="zh-CN" w:bidi="ar-SA"/>
              </w:rPr>
              <w:framePr w:hSpace="180" w:wrap="around" w:vAnchor="text" w:hAnchor="page" w:x="1372" w:y="148"/>
            </w:pPr>
            <w:r>
              <w:rPr>
                <w:rFonts w:hint="eastAsia"/>
                <w:sz w:val="18"/>
                <w:szCs w:val="18"/>
                <w:lang w:val="en-US" w:eastAsia="zh-CN" w:bidi="ar-SA"/>
              </w:rPr>
              <w:t xml:space="preserve">依据调查结果</w:t>
            </w:r>
            <w:r/>
          </w:p>
        </w:tc>
        <w:tc>
          <w:tcPr>
            <w:tcW w:w="6233" w:type="dxa"/>
            <w:vAlign w:val="top"/>
            <w:textDirection w:val="lrTb"/>
            <w:noWrap/>
          </w:tcPr>
          <w:p>
            <w:pPr>
              <w:pStyle w:val="1023"/>
              <w:jc w:val="left"/>
              <w:spacing w:line="306" w:lineRule="exact"/>
              <w:rPr>
                <w:rFonts w:hint="eastAsia"/>
                <w:sz w:val="18"/>
                <w:szCs w:val="18"/>
                <w:lang w:val="en-US" w:eastAsia="zh-CN" w:bidi="ar-SA"/>
              </w:rPr>
              <w:framePr w:hSpace="180" w:wrap="around" w:vAnchor="text" w:hAnchor="page" w:x="1372" w:y="148"/>
            </w:pPr>
            <w:r>
              <w:rPr>
                <w:rFonts w:hint="eastAsia"/>
                <w:sz w:val="18"/>
                <w:szCs w:val="18"/>
                <w:lang w:val="en-US" w:eastAsia="zh-CN" w:bidi="ar-SA"/>
              </w:rPr>
              <w:t xml:space="preserve">接车地点错误的，一次扣10分；路线选择不合理致急救反应时间延长的，延长≥1分钟扣2分、≥2分钟扣4分、≥3分钟扣6分，以此类推；造成不良后果或每月3次以上的加扣20分并停岗学习，情节严重的予以辞退。</w:t>
            </w:r>
            <w:r/>
          </w:p>
        </w:tc>
      </w:tr>
      <w:tr>
        <w:trPr>
          <w:cantSplit/>
          <w:trHeight w:val="627"/>
        </w:trPr>
        <w:tc>
          <w:tcPr>
            <w:tcW w:w="1111" w:type="dxa"/>
            <w:vAlign w:val="center"/>
            <w:vMerge w:val="continue"/>
            <w:textDirection w:val="lrTb"/>
            <w:noWrap/>
          </w:tcPr>
          <w:p>
            <w:pPr>
              <w:pStyle w:val="961"/>
              <w:jc w:val="center"/>
              <w:spacing w:line="280" w:lineRule="exact"/>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1324" w:type="dxa"/>
            <w:vAlign w:val="center"/>
            <w:vMerge w:val="continue"/>
            <w:textDirection w:val="lrTb"/>
            <w:noWrap/>
          </w:tcPr>
          <w:p>
            <w:pPr>
              <w:pStyle w:val="961"/>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3869" w:type="dxa"/>
            <w:vAlign w:val="center"/>
            <w:textDirection w:val="lrTb"/>
            <w:noWrap/>
          </w:tcPr>
          <w:p>
            <w:pPr>
              <w:pStyle w:val="961"/>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急救任务中不得接打与工作无关的电话，不得谈论或做其它与工作无关的事。</w:t>
            </w:r>
            <w:r/>
          </w:p>
        </w:tc>
        <w:tc>
          <w:tcPr>
            <w:tcW w:w="1510" w:type="dxa"/>
            <w:vAlign w:val="center"/>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抽查有关视频</w:t>
            </w:r>
            <w:r/>
          </w:p>
        </w:tc>
        <w:tc>
          <w:tcPr>
            <w:tcW w:w="6233" w:type="dxa"/>
            <w:vAlign w:val="center"/>
            <w:textDirection w:val="lrTb"/>
            <w:noWrap/>
          </w:tcPr>
          <w:p>
            <w:pPr>
              <w:pStyle w:val="961"/>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发现一次违反规定的扣5分（含辅助接打电话的人员），引起不良后果的每次扣20分，情节严重的予以辞退。</w:t>
            </w:r>
            <w:r/>
          </w:p>
        </w:tc>
      </w:tr>
      <w:tr>
        <w:trPr>
          <w:cantSplit/>
          <w:trHeight w:val="90"/>
        </w:trPr>
        <w:tc>
          <w:tcPr>
            <w:tcW w:w="1111" w:type="dxa"/>
            <w:vAlign w:val="center"/>
            <w:vMerge w:val="continue"/>
            <w:textDirection w:val="lrTb"/>
            <w:noWrap/>
          </w:tcPr>
          <w:p>
            <w:pPr>
              <w:pStyle w:val="961"/>
              <w:jc w:val="center"/>
              <w:spacing w:line="280" w:lineRule="exact"/>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1324" w:type="dxa"/>
            <w:vAlign w:val="center"/>
            <w:vMerge w:val="continue"/>
            <w:textDirection w:val="lrTb"/>
            <w:noWrap/>
          </w:tcPr>
          <w:p>
            <w:pPr>
              <w:pStyle w:val="961"/>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3869" w:type="dxa"/>
            <w:vAlign w:val="center"/>
            <w:textDirection w:val="lrTb"/>
            <w:noWrap/>
          </w:tcPr>
          <w:p>
            <w:pPr>
              <w:pStyle w:val="961"/>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到达现场，协助急救护士携带急救包等必要的急救药品器械迅速到达患者身边，在医护指导下积极救治患者，严禁擅自操作或评论。</w:t>
            </w:r>
            <w:r/>
          </w:p>
        </w:tc>
        <w:tc>
          <w:tcPr>
            <w:tcW w:w="1510" w:type="dxa"/>
            <w:vAlign w:val="center"/>
            <w:vMerge w:val="restart"/>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抽查有关视频</w:t>
            </w:r>
            <w:r/>
          </w:p>
        </w:tc>
        <w:tc>
          <w:tcPr>
            <w:tcW w:w="6233" w:type="dxa"/>
            <w:vAlign w:val="center"/>
            <w:textDirection w:val="lrTb"/>
            <w:noWrap/>
          </w:tcPr>
          <w:p>
            <w:pPr>
              <w:pStyle w:val="961"/>
              <w:jc w:val="left"/>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未到患者身边的一次扣2分；拒绝协助或不服从医护指导积极救治患者的，一次扣10分；未按医护指导规范操作或随意评论的一次扣5分。</w:t>
            </w:r>
            <w:r/>
          </w:p>
        </w:tc>
      </w:tr>
      <w:tr>
        <w:trPr>
          <w:cantSplit/>
          <w:trHeight w:val="1210"/>
        </w:trPr>
        <w:tc>
          <w:tcPr>
            <w:tcW w:w="1111" w:type="dxa"/>
            <w:vAlign w:val="center"/>
            <w:vMerge w:val="continue"/>
            <w:textDirection w:val="lrTb"/>
            <w:noWrap/>
          </w:tcPr>
          <w:p>
            <w:pPr>
              <w:pStyle w:val="961"/>
              <w:jc w:val="center"/>
              <w:spacing w:line="280" w:lineRule="exact"/>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1324" w:type="dxa"/>
            <w:vAlign w:val="center"/>
            <w:vMerge w:val="continue"/>
            <w:textDirection w:val="lrTb"/>
            <w:noWrap/>
          </w:tcPr>
          <w:p>
            <w:pPr>
              <w:pStyle w:val="961"/>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3869" w:type="dxa"/>
            <w:vAlign w:val="center"/>
            <w:textDirection w:val="lrTb"/>
            <w:noWrap/>
          </w:tcPr>
          <w:p>
            <w:pPr>
              <w:pStyle w:val="961"/>
              <w:spacing w:line="280" w:lineRule="exact"/>
              <w:widowControl/>
              <w:rPr>
                <w:rFonts w:ascii="宋体" w:hAnsi="宋体" w:cs="宋体"/>
                <w:sz w:val="18"/>
                <w:szCs w:val="18"/>
              </w:rPr>
              <w:framePr w:hSpace="180" w:wrap="around" w:vAnchor="text" w:hAnchor="page" w:x="1372" w:y="148"/>
            </w:pPr>
            <w:r>
              <w:rPr>
                <w:rFonts w:hint="eastAsia" w:ascii="宋体" w:hAnsi="宋体" w:cs="宋体"/>
                <w:sz w:val="18"/>
                <w:szCs w:val="18"/>
              </w:rPr>
              <w:t xml:space="preserve">出车按规范系扣安全带，途中注意行车安全，不带情绪驾驶，非急救任务期间遵守交通规则；急救任务按规定使用警灯警报器。</w:t>
            </w:r>
            <w:r>
              <w:rPr>
                <w:rFonts w:ascii="宋体" w:hAnsi="宋体" w:cs="宋体"/>
                <w:sz w:val="18"/>
                <w:szCs w:val="18"/>
              </w:rPr>
            </w:r>
            <w:r/>
          </w:p>
        </w:tc>
        <w:tc>
          <w:tcPr>
            <w:tcW w:w="1510" w:type="dxa"/>
            <w:vAlign w:val="center"/>
            <w:vMerge w:val="continue"/>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6233" w:type="dxa"/>
            <w:vAlign w:val="center"/>
            <w:textDirection w:val="lrTb"/>
            <w:noWrap/>
          </w:tcPr>
          <w:p>
            <w:pPr>
              <w:pStyle w:val="961"/>
              <w:jc w:val="left"/>
              <w:spacing w:line="280" w:lineRule="exact"/>
              <w:widowControl/>
              <w:rPr>
                <w:rFonts w:ascii="宋体" w:hAnsi="宋体" w:cs="宋体"/>
                <w:sz w:val="18"/>
                <w:szCs w:val="18"/>
              </w:rPr>
              <w:framePr w:hSpace="180" w:wrap="around" w:vAnchor="text" w:hAnchor="page" w:x="1372" w:y="148"/>
            </w:pPr>
            <w:r>
              <w:rPr>
                <w:rFonts w:hint="eastAsia" w:ascii="宋体" w:hAnsi="宋体" w:cs="宋体"/>
                <w:sz w:val="18"/>
                <w:szCs w:val="18"/>
              </w:rPr>
              <w:t xml:space="preserve">未按规范系扣安全带的，一次扣2分；非急救任务期间不遵守交通规则的，一次扣5分，造成的违章由责任人自行处理；行车途中不注意道路安全和医疗安全，危险驾驶（如带情绪驾驶）的一次扣20分，并停岗学习，情节严重的予以辞退；任务中未按规定使用警灯警报器的一次扣2分。</w:t>
            </w:r>
            <w:r>
              <w:rPr>
                <w:rFonts w:ascii="宋体" w:hAnsi="宋体" w:cs="宋体"/>
                <w:sz w:val="18"/>
                <w:szCs w:val="18"/>
              </w:rPr>
            </w:r>
            <w:r/>
          </w:p>
        </w:tc>
      </w:tr>
      <w:tr>
        <w:trPr>
          <w:cantSplit/>
          <w:trHeight w:val="1200"/>
        </w:trPr>
        <w:tc>
          <w:tcPr>
            <w:tcW w:w="1111" w:type="dxa"/>
            <w:vAlign w:val="center"/>
            <w:vMerge w:val="continue"/>
            <w:textDirection w:val="lrTb"/>
            <w:noWrap/>
          </w:tcPr>
          <w:p>
            <w:pPr>
              <w:pStyle w:val="961"/>
              <w:jc w:val="center"/>
              <w:spacing w:line="280" w:lineRule="exact"/>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1324" w:type="dxa"/>
            <w:vAlign w:val="center"/>
            <w:vMerge w:val="continue"/>
            <w:textDirection w:val="lrTb"/>
            <w:noWrap/>
          </w:tcPr>
          <w:p>
            <w:pPr>
              <w:pStyle w:val="961"/>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3869" w:type="dxa"/>
            <w:vAlign w:val="center"/>
            <w:textDirection w:val="lrTb"/>
            <w:noWrap/>
          </w:tcPr>
          <w:p>
            <w:pPr>
              <w:pStyle w:val="961"/>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节点时间及情况汇报符合率100%。严格执行“六汇报”制度，如实汇报出车、到达现场、患者上车、送达医院、任务完成和返回站点6个时间节点及情况。</w:t>
            </w:r>
            <w:r/>
          </w:p>
        </w:tc>
        <w:tc>
          <w:tcPr>
            <w:tcW w:w="1510" w:type="dxa"/>
            <w:vAlign w:val="center"/>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系统数据分析</w:t>
            </w:r>
            <w:r/>
          </w:p>
        </w:tc>
        <w:tc>
          <w:tcPr>
            <w:tcW w:w="6233" w:type="dxa"/>
            <w:vAlign w:val="center"/>
            <w:textDirection w:val="lrTb"/>
            <w:noWrap/>
          </w:tcPr>
          <w:p>
            <w:pPr>
              <w:pStyle w:val="961"/>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未如实汇报的，每单扣2分；系统原因无法实施，未及时告知调度台并协助处理的，每单扣1分；交接结束后未及时点任务完成的，延迟5分钟内加扣2分、10分钟内加扣3分、15分钟内加扣4分，以此类推。</w:t>
            </w:r>
            <w:r/>
          </w:p>
        </w:tc>
      </w:tr>
      <w:tr>
        <w:trPr>
          <w:cantSplit/>
          <w:trHeight w:val="283"/>
        </w:trPr>
        <w:tc>
          <w:tcPr>
            <w:tcW w:w="1111" w:type="dxa"/>
            <w:vAlign w:val="center"/>
            <w:vMerge w:val="continue"/>
            <w:textDirection w:val="lrTb"/>
            <w:noWrap/>
          </w:tcPr>
          <w:p>
            <w:pPr>
              <w:pStyle w:val="961"/>
              <w:jc w:val="center"/>
              <w:spacing w:line="280" w:lineRule="exact"/>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1324" w:type="dxa"/>
            <w:vAlign w:val="center"/>
            <w:vMerge w:val="continue"/>
            <w:textDirection w:val="lrTb"/>
            <w:noWrap/>
          </w:tcPr>
          <w:p>
            <w:pPr>
              <w:pStyle w:val="961"/>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3869" w:type="dxa"/>
            <w:vAlign w:val="center"/>
            <w:textDirection w:val="lrTb"/>
            <w:noWrap/>
          </w:tcPr>
          <w:p>
            <w:pPr>
              <w:pStyle w:val="1023"/>
              <w:spacing w:line="240" w:lineRule="auto"/>
              <w:rPr>
                <w:rFonts w:hint="eastAsia"/>
                <w:sz w:val="18"/>
                <w:szCs w:val="18"/>
                <w:lang w:val="en-US" w:eastAsia="zh-CN" w:bidi="ar-SA"/>
              </w:rPr>
              <w:framePr w:hSpace="180" w:wrap="around" w:vAnchor="text" w:hAnchor="page" w:x="1372" w:y="148"/>
            </w:pPr>
            <w:r>
              <w:rPr>
                <w:rFonts w:hint="eastAsia"/>
                <w:sz w:val="18"/>
                <w:szCs w:val="18"/>
                <w:lang w:val="en-US" w:eastAsia="zh-CN" w:bidi="ar-SA"/>
              </w:rPr>
              <w:t xml:space="preserve">规范替担架上患者系扣安全带及提醒其他随车人员系扣安全带。</w:t>
            </w:r>
            <w:r/>
          </w:p>
        </w:tc>
        <w:tc>
          <w:tcPr>
            <w:tcW w:w="1510" w:type="dxa"/>
            <w:vAlign w:val="center"/>
            <w:textDirection w:val="lrTb"/>
            <w:noWrap/>
          </w:tcPr>
          <w:p>
            <w:pPr>
              <w:pStyle w:val="1023"/>
              <w:ind w:left="180" w:hanging="180"/>
              <w:jc w:val="left"/>
              <w:spacing w:line="281" w:lineRule="exact"/>
              <w:rPr>
                <w:rFonts w:hint="eastAsia"/>
                <w:sz w:val="18"/>
                <w:szCs w:val="18"/>
                <w:lang w:val="en-US" w:eastAsia="zh-CN" w:bidi="ar-SA"/>
              </w:rPr>
              <w:framePr w:hSpace="180" w:wrap="around" w:vAnchor="text" w:hAnchor="page" w:x="1372" w:y="148"/>
            </w:pPr>
            <w:r>
              <w:rPr>
                <w:rFonts w:hint="eastAsia"/>
                <w:sz w:val="18"/>
                <w:szCs w:val="18"/>
                <w:lang w:val="en-US" w:eastAsia="zh-CN" w:bidi="ar-SA"/>
              </w:rPr>
              <w:t xml:space="preserve">抽查有关视频</w:t>
            </w:r>
            <w:r/>
          </w:p>
        </w:tc>
        <w:tc>
          <w:tcPr>
            <w:tcW w:w="6233" w:type="dxa"/>
            <w:vAlign w:val="center"/>
            <w:textDirection w:val="lrTb"/>
            <w:noWrap/>
          </w:tcPr>
          <w:p>
            <w:pPr>
              <w:pStyle w:val="1023"/>
              <w:jc w:val="left"/>
              <w:spacing w:line="240" w:lineRule="auto"/>
              <w:rPr>
                <w:rFonts w:hint="eastAsia"/>
                <w:sz w:val="18"/>
                <w:szCs w:val="18"/>
                <w:lang w:val="en-US" w:eastAsia="zh-CN" w:bidi="ar-SA"/>
              </w:rPr>
              <w:framePr w:hSpace="180" w:wrap="around" w:vAnchor="text" w:hAnchor="page" w:x="1372" w:y="148"/>
            </w:pPr>
            <w:r>
              <w:rPr>
                <w:rFonts w:hint="eastAsia"/>
                <w:sz w:val="18"/>
                <w:szCs w:val="18"/>
                <w:lang w:val="en-US" w:eastAsia="zh-CN" w:bidi="ar-SA"/>
              </w:rPr>
              <w:t xml:space="preserve">未替担架上患者系扣安全带的，一次扣5分；系扣不规范的，一次扣2分；未提醒其他随车人员系扣安全带，一次扣2分。</w:t>
            </w:r>
            <w:r/>
          </w:p>
        </w:tc>
      </w:tr>
      <w:tr>
        <w:trPr>
          <w:cantSplit/>
          <w:trHeight w:val="90"/>
        </w:trPr>
        <w:tc>
          <w:tcPr>
            <w:tcW w:w="1111" w:type="dxa"/>
            <w:vAlign w:val="center"/>
            <w:vMerge w:val="continue"/>
            <w:textDirection w:val="lrTb"/>
            <w:noWrap/>
          </w:tcPr>
          <w:p>
            <w:pPr>
              <w:pStyle w:val="961"/>
              <w:jc w:val="center"/>
              <w:spacing w:line="280" w:lineRule="exact"/>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1324" w:type="dxa"/>
            <w:vAlign w:val="center"/>
            <w:vMerge w:val="continue"/>
            <w:textDirection w:val="lrTb"/>
            <w:noWrap/>
          </w:tcPr>
          <w:p>
            <w:pPr>
              <w:pStyle w:val="961"/>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3869" w:type="dxa"/>
            <w:vAlign w:val="top"/>
            <w:textDirection w:val="lrTb"/>
            <w:noWrap/>
          </w:tcPr>
          <w:p>
            <w:pPr>
              <w:pStyle w:val="1023"/>
              <w:jc w:val="left"/>
              <w:spacing w:line="317" w:lineRule="exact"/>
              <w:rPr>
                <w:rFonts w:hint="eastAsia"/>
                <w:sz w:val="18"/>
                <w:szCs w:val="18"/>
                <w:lang w:val="en-US" w:eastAsia="zh-CN" w:bidi="ar-SA"/>
              </w:rPr>
              <w:framePr w:hSpace="180" w:wrap="around" w:vAnchor="text" w:hAnchor="page" w:x="1372" w:y="148"/>
            </w:pPr>
            <w:r>
              <w:rPr>
                <w:rFonts w:hint="eastAsia"/>
                <w:sz w:val="18"/>
                <w:szCs w:val="18"/>
                <w:lang w:val="en-US" w:eastAsia="zh-CN" w:bidi="ar-SA"/>
              </w:rPr>
              <w:t xml:space="preserve">出诊过程中须协助搬运患者，须负责驾驶舱和车外的清扫。</w:t>
            </w:r>
            <w:r/>
          </w:p>
        </w:tc>
        <w:tc>
          <w:tcPr>
            <w:tcW w:w="1510" w:type="dxa"/>
            <w:vAlign w:val="center"/>
            <w:textDirection w:val="lrTb"/>
            <w:noWrap/>
          </w:tcPr>
          <w:p>
            <w:pPr>
              <w:pStyle w:val="1023"/>
              <w:jc w:val="center"/>
              <w:spacing w:line="281" w:lineRule="exact"/>
              <w:rPr>
                <w:rFonts w:hint="eastAsia"/>
                <w:sz w:val="18"/>
                <w:szCs w:val="18"/>
                <w:lang w:val="en-US" w:eastAsia="zh-CN" w:bidi="ar-SA"/>
              </w:rPr>
              <w:framePr w:hSpace="180" w:wrap="around" w:vAnchor="text" w:hAnchor="page" w:x="1372" w:y="148"/>
            </w:pPr>
            <w:r>
              <w:rPr>
                <w:rFonts w:hint="eastAsia"/>
                <w:sz w:val="18"/>
                <w:szCs w:val="18"/>
                <w:lang w:val="en-US" w:eastAsia="zh-CN" w:bidi="ar-SA"/>
              </w:rPr>
              <w:t xml:space="preserve">查看有关视频</w:t>
            </w:r>
            <w:r/>
          </w:p>
        </w:tc>
        <w:tc>
          <w:tcPr>
            <w:tcW w:w="6233" w:type="dxa"/>
            <w:vAlign w:val="center"/>
            <w:textDirection w:val="lrTb"/>
            <w:noWrap/>
          </w:tcPr>
          <w:p>
            <w:pPr>
              <w:pStyle w:val="1023"/>
              <w:jc w:val="left"/>
              <w:spacing w:line="240" w:lineRule="auto"/>
              <w:rPr>
                <w:rFonts w:hint="eastAsia"/>
                <w:sz w:val="18"/>
                <w:szCs w:val="18"/>
                <w:lang w:val="en-US" w:eastAsia="zh-CN" w:bidi="ar-SA"/>
              </w:rPr>
              <w:framePr w:hSpace="180" w:wrap="around" w:vAnchor="text" w:hAnchor="page" w:x="1372" w:y="148"/>
            </w:pPr>
            <w:r>
              <w:rPr>
                <w:rFonts w:hint="eastAsia"/>
                <w:sz w:val="18"/>
                <w:szCs w:val="18"/>
                <w:lang w:val="en-US" w:eastAsia="zh-CN" w:bidi="ar-SA"/>
              </w:rPr>
              <w:t xml:space="preserve">未协助搬运或未清洗汽车的，一次扣2分。</w:t>
            </w:r>
            <w:r/>
          </w:p>
        </w:tc>
      </w:tr>
      <w:tr>
        <w:trPr>
          <w:cantSplit/>
          <w:trHeight w:val="1090"/>
        </w:trPr>
        <w:tc>
          <w:tcPr>
            <w:tcW w:w="1111" w:type="dxa"/>
            <w:vAlign w:val="center"/>
            <w:vMerge w:val="continue"/>
            <w:textDirection w:val="lrTb"/>
            <w:noWrap/>
          </w:tcPr>
          <w:p>
            <w:pPr>
              <w:pStyle w:val="961"/>
              <w:jc w:val="center"/>
              <w:spacing w:line="280" w:lineRule="exact"/>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1324" w:type="dxa"/>
            <w:vAlign w:val="center"/>
            <w:vMerge w:val="continue"/>
            <w:textDirection w:val="lrTb"/>
            <w:noWrap/>
          </w:tcPr>
          <w:p>
            <w:pPr>
              <w:pStyle w:val="961"/>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3869" w:type="dxa"/>
            <w:vAlign w:val="center"/>
            <w:textDirection w:val="lrTb"/>
            <w:noWrap/>
          </w:tcPr>
          <w:p>
            <w:pPr>
              <w:pStyle w:val="961"/>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语言行为文明规范，不与他人争吵斗殴；注意保护患者隐私，不得泄露患者信息。</w:t>
            </w:r>
            <w:r/>
          </w:p>
        </w:tc>
        <w:tc>
          <w:tcPr>
            <w:tcW w:w="1510" w:type="dxa"/>
            <w:vAlign w:val="center"/>
            <w:textDirection w:val="lrTb"/>
            <w:noWrap/>
          </w:tcPr>
          <w:p>
            <w:pPr>
              <w:pStyle w:val="961"/>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依据调查结果</w:t>
            </w:r>
            <w:r/>
          </w:p>
        </w:tc>
        <w:tc>
          <w:tcPr>
            <w:tcW w:w="6233" w:type="dxa"/>
            <w:vAlign w:val="center"/>
            <w:textDirection w:val="lrTb"/>
            <w:noWrap/>
          </w:tcPr>
          <w:p>
            <w:pPr>
              <w:pStyle w:val="961"/>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语言行为不文明的，一次扣10分，工作期间与他人争吵斗殴的，一次扣20分并停岗学习，情节严重的予以辞退；未注意保护患者隐私或泄露患者信息的，一次扣5分，造成不良后果的，一次扣20分并停岗学习，情节严重的予以辞退。</w:t>
            </w:r>
            <w:r/>
          </w:p>
        </w:tc>
      </w:tr>
      <w:tr>
        <w:trPr>
          <w:cantSplit/>
          <w:trHeight w:val="1040"/>
        </w:trPr>
        <w:tc>
          <w:tcPr>
            <w:tcW w:w="1111" w:type="dxa"/>
            <w:vAlign w:val="center"/>
            <w:vMerge w:val="continue"/>
            <w:textDirection w:val="lrTb"/>
            <w:noWrap/>
          </w:tcPr>
          <w:p>
            <w:pPr>
              <w:pStyle w:val="961"/>
              <w:jc w:val="center"/>
              <w:spacing w:line="280" w:lineRule="exact"/>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1324" w:type="dxa"/>
            <w:vAlign w:val="center"/>
            <w:vMerge w:val="continue"/>
            <w:textDirection w:val="lrTb"/>
            <w:noWrap/>
          </w:tcPr>
          <w:p>
            <w:pPr>
              <w:pStyle w:val="961"/>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3869" w:type="dxa"/>
            <w:vAlign w:val="center"/>
            <w:textDirection w:val="lrTb"/>
            <w:noWrap/>
          </w:tcPr>
          <w:p>
            <w:pPr>
              <w:pStyle w:val="961"/>
              <w:spacing w:line="280" w:lineRule="atLeas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不良事件（如路线错误、延迟或拒绝出诊等导致患者未及时得到救治而病情加重等情况）。</w:t>
            </w:r>
            <w:r/>
          </w:p>
        </w:tc>
        <w:tc>
          <w:tcPr>
            <w:tcW w:w="1510" w:type="dxa"/>
            <w:vAlign w:val="center"/>
            <w:textDirection w:val="lrTb"/>
            <w:noWrap/>
          </w:tcPr>
          <w:p>
            <w:pPr>
              <w:pStyle w:val="961"/>
              <w:jc w:val="center"/>
              <w:spacing w:line="280" w:lineRule="atLeas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依据调查结果</w:t>
            </w:r>
            <w:r/>
          </w:p>
        </w:tc>
        <w:tc>
          <w:tcPr>
            <w:tcW w:w="6233" w:type="dxa"/>
            <w:vAlign w:val="center"/>
            <w:textDirection w:val="lrTb"/>
            <w:noWrap/>
          </w:tcPr>
          <w:p>
            <w:pPr>
              <w:pStyle w:val="1023"/>
              <w:jc w:val="left"/>
              <w:spacing w:line="278" w:lineRule="exact"/>
              <w:rPr>
                <w:rFonts w:hint="eastAsia"/>
                <w:sz w:val="18"/>
                <w:szCs w:val="18"/>
                <w:lang w:val="en-US" w:eastAsia="zh-CN" w:bidi="ar-SA"/>
              </w:rPr>
              <w:framePr w:hSpace="180" w:wrap="around" w:vAnchor="text" w:hAnchor="page" w:x="1372" w:y="148"/>
            </w:pPr>
            <w:r>
              <w:rPr>
                <w:rFonts w:hint="eastAsia"/>
                <w:sz w:val="18"/>
                <w:szCs w:val="18"/>
                <w:lang w:val="en-US" w:eastAsia="zh-CN" w:bidi="ar-SA"/>
              </w:rPr>
              <w:t xml:space="preserve">发生不良事件造成损失或赔偿的，一次扣20分并追责赔偿（1.损失500—1000元按15%处罚；2.损失1000元一7000按10%处罚；3.损失7000—10000元按7%处罚；4.损失在一万元以上的，按5%处罚）。</w:t>
            </w:r>
            <w:r/>
          </w:p>
        </w:tc>
      </w:tr>
      <w:tr>
        <w:trPr>
          <w:cantSplit/>
          <w:trHeight w:val="935"/>
        </w:trPr>
        <w:tc>
          <w:tcPr>
            <w:tcW w:w="1111" w:type="dxa"/>
            <w:vAlign w:val="center"/>
            <w:vMerge w:val="restart"/>
            <w:textDirection w:val="lrTb"/>
            <w:noWrap/>
          </w:tcPr>
          <w:p>
            <w:pPr>
              <w:pStyle w:val="961"/>
              <w:jc w:val="center"/>
              <w:spacing w:line="280" w:lineRule="exact"/>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车辆器械管理考核</w:t>
            </w:r>
            <w:r/>
          </w:p>
        </w:tc>
        <w:tc>
          <w:tcPr>
            <w:tcW w:w="1324" w:type="dxa"/>
            <w:vAlign w:val="center"/>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卫生 </w:t>
            </w:r>
            <w:r/>
          </w:p>
        </w:tc>
        <w:tc>
          <w:tcPr>
            <w:tcW w:w="3869" w:type="dxa"/>
            <w:vAlign w:val="center"/>
            <w:textDirection w:val="lrTb"/>
            <w:noWrap/>
          </w:tcPr>
          <w:p>
            <w:pPr>
              <w:pStyle w:val="961"/>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保持车身及驾驶舱内的清洁，车内无烟味、烟头；如无担架工，同时确保医疗舱内的清洁，车内无烟味、烟头。</w:t>
            </w:r>
            <w:r/>
          </w:p>
        </w:tc>
        <w:tc>
          <w:tcPr>
            <w:tcW w:w="1510" w:type="dxa"/>
            <w:vAlign w:val="center"/>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常规检查</w:t>
            </w:r>
            <w:r/>
          </w:p>
        </w:tc>
        <w:tc>
          <w:tcPr>
            <w:tcW w:w="6233" w:type="dxa"/>
            <w:vAlign w:val="center"/>
            <w:textDirection w:val="lrTb"/>
            <w:noWrap/>
          </w:tcPr>
          <w:p>
            <w:pPr>
              <w:pStyle w:val="961"/>
              <w:jc w:val="left"/>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车身、车内不清洁或发现车内有烟味、烟头的，一次扣2分。</w:t>
            </w:r>
            <w:r/>
          </w:p>
        </w:tc>
      </w:tr>
      <w:tr>
        <w:trPr>
          <w:cantSplit/>
          <w:trHeight w:val="539"/>
        </w:trPr>
        <w:tc>
          <w:tcPr>
            <w:tcW w:w="1111" w:type="dxa"/>
            <w:vAlign w:val="center"/>
            <w:vMerge w:val="continue"/>
            <w:textDirection w:val="lrTb"/>
            <w:noWrap/>
          </w:tcPr>
          <w:p>
            <w:pPr>
              <w:pStyle w:val="961"/>
              <w:jc w:val="center"/>
              <w:spacing w:line="280" w:lineRule="exact"/>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1324" w:type="dxa"/>
            <w:vAlign w:val="center"/>
            <w:vMerge w:val="restart"/>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器械 </w:t>
            </w:r>
            <w:r/>
          </w:p>
        </w:tc>
        <w:tc>
          <w:tcPr>
            <w:tcW w:w="3869" w:type="dxa"/>
            <w:vAlign w:val="center"/>
            <w:textDirection w:val="lrTb"/>
            <w:noWrap/>
          </w:tcPr>
          <w:p>
            <w:pPr>
              <w:pStyle w:val="961"/>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检查车内车载监控视频器材，确保正常运行。</w:t>
            </w:r>
            <w:r/>
          </w:p>
        </w:tc>
        <w:tc>
          <w:tcPr>
            <w:tcW w:w="1510" w:type="dxa"/>
            <w:vAlign w:val="center"/>
            <w:vMerge w:val="restart"/>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常规检查</w:t>
            </w:r>
            <w:r/>
          </w:p>
        </w:tc>
        <w:tc>
          <w:tcPr>
            <w:tcW w:w="6233" w:type="dxa"/>
            <w:vAlign w:val="center"/>
            <w:textDirection w:val="lrTb"/>
            <w:noWrap/>
          </w:tcPr>
          <w:p>
            <w:pPr>
              <w:pStyle w:val="961"/>
              <w:jc w:val="left"/>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不能调取车载视频的，发现一次扣2分，遮挡镜头的，发现一次扣2分，路由器未正常工作的一次扣2分。</w:t>
            </w:r>
            <w:r/>
          </w:p>
        </w:tc>
      </w:tr>
      <w:tr>
        <w:trPr>
          <w:cantSplit/>
          <w:trHeight w:val="685"/>
        </w:trPr>
        <w:tc>
          <w:tcPr>
            <w:tcW w:w="1111" w:type="dxa"/>
            <w:vAlign w:val="center"/>
            <w:vMerge w:val="continue"/>
            <w:textDirection w:val="lrTb"/>
            <w:noWrap/>
          </w:tcPr>
          <w:p>
            <w:pPr>
              <w:pStyle w:val="961"/>
              <w:jc w:val="center"/>
              <w:spacing w:line="280" w:lineRule="exact"/>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1324" w:type="dxa"/>
            <w:vAlign w:val="center"/>
            <w:vMerge w:val="continue"/>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3869" w:type="dxa"/>
            <w:vAlign w:val="center"/>
            <w:textDirection w:val="lrTb"/>
            <w:noWrap/>
          </w:tcPr>
          <w:p>
            <w:pPr>
              <w:pStyle w:val="961"/>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氧气瓶容量充足，均&gt;3升。</w:t>
            </w:r>
            <w:r/>
          </w:p>
        </w:tc>
        <w:tc>
          <w:tcPr>
            <w:tcW w:w="1510" w:type="dxa"/>
            <w:vAlign w:val="center"/>
            <w:vMerge w:val="continue"/>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6233" w:type="dxa"/>
            <w:vAlign w:val="center"/>
            <w:textDirection w:val="lrTb"/>
            <w:noWrap/>
          </w:tcPr>
          <w:p>
            <w:pPr>
              <w:pStyle w:val="961"/>
              <w:jc w:val="left"/>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发现氧气瓶容量&lt;3升且医护已通知更换而未及时更换的，一次扣2分。</w:t>
            </w:r>
            <w:r/>
          </w:p>
        </w:tc>
      </w:tr>
      <w:tr>
        <w:trPr>
          <w:cantSplit/>
          <w:trHeight w:val="509"/>
        </w:trPr>
        <w:tc>
          <w:tcPr>
            <w:tcW w:w="1111" w:type="dxa"/>
            <w:vAlign w:val="center"/>
            <w:vMerge w:val="continue"/>
            <w:textDirection w:val="lrTb"/>
            <w:noWrap/>
          </w:tcPr>
          <w:p>
            <w:pPr>
              <w:pStyle w:val="961"/>
              <w:jc w:val="center"/>
              <w:spacing w:line="280" w:lineRule="exact"/>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1324" w:type="dxa"/>
            <w:vAlign w:val="center"/>
            <w:vMerge w:val="continue"/>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3869" w:type="dxa"/>
            <w:vAlign w:val="center"/>
            <w:textDirection w:val="lrTb"/>
            <w:noWrap/>
          </w:tcPr>
          <w:p>
            <w:pPr>
              <w:pStyle w:val="961"/>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车座、担架床清洁、完好无损。</w:t>
            </w:r>
            <w:r/>
          </w:p>
        </w:tc>
        <w:tc>
          <w:tcPr>
            <w:tcW w:w="1510" w:type="dxa"/>
            <w:vAlign w:val="center"/>
            <w:vMerge w:val="continue"/>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6233" w:type="dxa"/>
            <w:vAlign w:val="center"/>
            <w:textDirection w:val="lrTb"/>
            <w:noWrap/>
          </w:tcPr>
          <w:p>
            <w:pPr>
              <w:pStyle w:val="961"/>
              <w:jc w:val="left"/>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一台设备不清洁扣2分，不整齐扣2分；发现一种器械影响使用的一次扣2分。</w:t>
            </w:r>
            <w:r/>
          </w:p>
        </w:tc>
      </w:tr>
      <w:tr>
        <w:trPr>
          <w:cantSplit/>
          <w:trHeight w:val="388"/>
        </w:trPr>
        <w:tc>
          <w:tcPr>
            <w:tcW w:w="1111" w:type="dxa"/>
            <w:vAlign w:val="center"/>
            <w:vMerge w:val="continue"/>
            <w:textDirection w:val="lrTb"/>
            <w:noWrap/>
          </w:tcPr>
          <w:p>
            <w:pPr>
              <w:pStyle w:val="961"/>
              <w:jc w:val="center"/>
              <w:spacing w:line="280" w:lineRule="exact"/>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1324" w:type="dxa"/>
            <w:vAlign w:val="center"/>
            <w:vMerge w:val="restart"/>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车辆维护</w:t>
            </w:r>
            <w:r/>
          </w:p>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3869" w:type="dxa"/>
            <w:vAlign w:val="center"/>
            <w:textDirection w:val="lrTb"/>
            <w:noWrap/>
          </w:tcPr>
          <w:p>
            <w:pPr>
              <w:pStyle w:val="961"/>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轮胎、备胎满足运行要求。</w:t>
            </w:r>
            <w:r/>
          </w:p>
        </w:tc>
        <w:tc>
          <w:tcPr>
            <w:tcW w:w="1510" w:type="dxa"/>
            <w:vAlign w:val="center"/>
            <w:vMerge w:val="continue"/>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6233" w:type="dxa"/>
            <w:vAlign w:val="center"/>
            <w:textDirection w:val="lrTb"/>
            <w:noWrap/>
          </w:tcPr>
          <w:p>
            <w:pPr>
              <w:pStyle w:val="961"/>
              <w:jc w:val="left"/>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轮胎胎压不足、备胎不能使用的，发现一处扣2分。</w:t>
            </w:r>
            <w:r/>
          </w:p>
        </w:tc>
      </w:tr>
      <w:tr>
        <w:trPr>
          <w:cantSplit/>
          <w:trHeight w:val="393"/>
        </w:trPr>
        <w:tc>
          <w:tcPr>
            <w:tcW w:w="1111" w:type="dxa"/>
            <w:vAlign w:val="center"/>
            <w:vMerge w:val="continue"/>
            <w:textDirection w:val="lrTb"/>
            <w:noWrap/>
          </w:tcPr>
          <w:p>
            <w:pPr>
              <w:pStyle w:val="961"/>
              <w:jc w:val="center"/>
              <w:spacing w:line="280" w:lineRule="exact"/>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1324" w:type="dxa"/>
            <w:vAlign w:val="center"/>
            <w:vMerge w:val="continue"/>
            <w:textDirection w:val="lrTb"/>
            <w:noWrap/>
          </w:tcPr>
          <w:p>
            <w:pPr>
              <w:pStyle w:val="961"/>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3869" w:type="dxa"/>
            <w:vAlign w:val="center"/>
            <w:textDirection w:val="lrTb"/>
            <w:noWrap/>
          </w:tcPr>
          <w:p>
            <w:pPr>
              <w:pStyle w:val="961"/>
              <w:spacing w:line="280" w:lineRule="exact"/>
              <w:widowControl/>
              <w:rPr>
                <w:rFonts w:ascii="宋体" w:hAnsi="宋体" w:cs="宋体"/>
                <w:sz w:val="18"/>
                <w:szCs w:val="18"/>
              </w:rPr>
              <w:framePr w:hSpace="180" w:wrap="around" w:vAnchor="text" w:hAnchor="page" w:x="1372" w:y="148"/>
            </w:pPr>
            <w:r>
              <w:rPr>
                <w:rFonts w:hint="eastAsia" w:ascii="宋体" w:hAnsi="宋体" w:cs="宋体"/>
                <w:sz w:val="18"/>
                <w:szCs w:val="18"/>
              </w:rPr>
              <w:t xml:space="preserve">油箱储备油充足，油量&gt;1/3。尿素不得低于30%，防冻液在规定刻度内。加油时四张照片 及时上传。</w:t>
            </w:r>
            <w:r>
              <w:rPr>
                <w:rFonts w:ascii="宋体" w:hAnsi="宋体" w:cs="宋体"/>
                <w:sz w:val="18"/>
                <w:szCs w:val="18"/>
              </w:rPr>
            </w:r>
            <w:r/>
          </w:p>
        </w:tc>
        <w:tc>
          <w:tcPr>
            <w:tcW w:w="1510" w:type="dxa"/>
            <w:vAlign w:val="center"/>
            <w:vMerge w:val="continue"/>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6233" w:type="dxa"/>
            <w:vAlign w:val="center"/>
            <w:textDirection w:val="lrTb"/>
            <w:noWrap/>
          </w:tcPr>
          <w:p>
            <w:pPr>
              <w:pStyle w:val="961"/>
              <w:jc w:val="left"/>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任一项不符合规定一次扣5分。</w:t>
            </w:r>
            <w:r/>
          </w:p>
        </w:tc>
      </w:tr>
      <w:tr>
        <w:trPr>
          <w:cantSplit/>
          <w:trHeight w:val="1710"/>
        </w:trPr>
        <w:tc>
          <w:tcPr>
            <w:tcW w:w="1111" w:type="dxa"/>
            <w:vAlign w:val="center"/>
            <w:vMerge w:val="continue"/>
            <w:textDirection w:val="lrTb"/>
            <w:noWrap/>
          </w:tcPr>
          <w:p>
            <w:pPr>
              <w:pStyle w:val="961"/>
              <w:jc w:val="center"/>
              <w:spacing w:line="280" w:lineRule="exact"/>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1324" w:type="dxa"/>
            <w:vAlign w:val="center"/>
            <w:vMerge w:val="continue"/>
            <w:textDirection w:val="lrTb"/>
            <w:noWrap/>
          </w:tcPr>
          <w:p>
            <w:pPr>
              <w:pStyle w:val="961"/>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3869" w:type="dxa"/>
            <w:vAlign w:val="center"/>
            <w:textDirection w:val="lrTb"/>
            <w:noWrap/>
          </w:tcPr>
          <w:p>
            <w:pPr>
              <w:pStyle w:val="961"/>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机油、冷却水、燃油、制动液无泄漏，油箱油位、 机油油位、冷却水水位正常，发动机、底盘无异响； 发动机运转时，发电机指示灯和油压指示灯熄灭、 驻车制动器的功能正常；车轮螺母无松动、仪表盘 无报警，胎压、车载平板、车辆外观正常。</w:t>
            </w:r>
            <w:r/>
          </w:p>
        </w:tc>
        <w:tc>
          <w:tcPr>
            <w:tcW w:w="1510" w:type="dxa"/>
            <w:vAlign w:val="center"/>
            <w:vMerge w:val="continue"/>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6233" w:type="dxa"/>
            <w:vAlign w:val="center"/>
            <w:textDirection w:val="lrTb"/>
            <w:noWrap/>
          </w:tcPr>
          <w:p>
            <w:pPr>
              <w:pStyle w:val="961"/>
              <w:jc w:val="left"/>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未检查或不合格的每项扣2分，造成出车延迟或者无法出车的一 次10分；车辆发生故障后，未及时更换备用车辆或无备用车辆未及时上报的，发现一次扣5分；车辆发生故障，下班后未及时将车辆送至定点维修厂维修，发现一次扣10分。</w:t>
            </w:r>
            <w:r/>
          </w:p>
        </w:tc>
      </w:tr>
      <w:tr>
        <w:trPr>
          <w:cantSplit/>
          <w:trHeight w:val="2522"/>
        </w:trPr>
        <w:tc>
          <w:tcPr>
            <w:tcW w:w="1111" w:type="dxa"/>
            <w:vAlign w:val="center"/>
            <w:vMerge w:val="continue"/>
            <w:textDirection w:val="lrTb"/>
            <w:noWrap/>
          </w:tcPr>
          <w:p>
            <w:pPr>
              <w:pStyle w:val="961"/>
              <w:jc w:val="center"/>
              <w:spacing w:line="280" w:lineRule="exact"/>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1324" w:type="dxa"/>
            <w:vAlign w:val="center"/>
            <w:textDirection w:val="lrTb"/>
            <w:noWrap/>
          </w:tcPr>
          <w:p>
            <w:pPr>
              <w:pStyle w:val="1023"/>
              <w:jc w:val="center"/>
              <w:spacing w:line="240" w:lineRule="auto"/>
              <w:rPr>
                <w:rFonts w:hint="eastAsia"/>
                <w:sz w:val="18"/>
                <w:szCs w:val="18"/>
                <w:lang w:val="en-US" w:eastAsia="zh-CN" w:bidi="ar-SA"/>
              </w:rPr>
              <w:framePr w:hSpace="180" w:wrap="around" w:vAnchor="text" w:hAnchor="page" w:x="1372" w:y="148"/>
            </w:pPr>
            <w:r>
              <w:rPr>
                <w:rFonts w:hint="eastAsia"/>
                <w:sz w:val="18"/>
                <w:szCs w:val="18"/>
                <w:lang w:val="en-US" w:eastAsia="zh-CN" w:bidi="ar-SA"/>
              </w:rPr>
              <w:t xml:space="preserve">有责事故</w:t>
            </w:r>
            <w:r/>
          </w:p>
        </w:tc>
        <w:tc>
          <w:tcPr>
            <w:tcW w:w="3869" w:type="dxa"/>
            <w:vAlign w:val="center"/>
            <w:textDirection w:val="lrTb"/>
            <w:noWrap/>
          </w:tcPr>
          <w:p>
            <w:pPr>
              <w:pStyle w:val="1023"/>
              <w:spacing w:line="278" w:lineRule="exact"/>
              <w:rPr>
                <w:rFonts w:hint="eastAsia"/>
                <w:sz w:val="18"/>
                <w:szCs w:val="18"/>
                <w:lang w:val="en-US" w:eastAsia="zh-CN" w:bidi="ar-SA"/>
              </w:rPr>
              <w:framePr w:hSpace="180" w:wrap="around" w:vAnchor="text" w:hAnchor="page" w:x="1372" w:y="148"/>
            </w:pPr>
            <w:r>
              <w:rPr>
                <w:rFonts w:hint="eastAsia"/>
                <w:sz w:val="18"/>
                <w:szCs w:val="18"/>
                <w:lang w:val="en-US" w:eastAsia="zh-CN" w:bidi="ar-SA"/>
              </w:rPr>
              <w:t xml:space="preserve">根据事故责任认定及事故损失金额，给予驾驶员相应的处罚。非急救期间的交通违章，中心配合处理，如处理不了，由驾驶员自行处理。</w:t>
            </w:r>
            <w:r/>
          </w:p>
        </w:tc>
        <w:tc>
          <w:tcPr>
            <w:tcW w:w="1510" w:type="dxa"/>
            <w:vAlign w:val="center"/>
            <w:textDirection w:val="lrTb"/>
            <w:noWrap/>
          </w:tcPr>
          <w:p>
            <w:pPr>
              <w:pStyle w:val="961"/>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6233" w:type="dxa"/>
            <w:vAlign w:val="center"/>
            <w:textDirection w:val="lrTb"/>
            <w:noWrap/>
          </w:tcPr>
          <w:p>
            <w:pPr>
              <w:pStyle w:val="1023"/>
              <w:jc w:val="left"/>
              <w:spacing w:line="278" w:lineRule="exact"/>
              <w:rPr>
                <w:rFonts w:hint="eastAsia"/>
                <w:sz w:val="18"/>
                <w:szCs w:val="18"/>
                <w:lang w:val="en-US" w:eastAsia="zh-CN" w:bidi="ar-SA"/>
              </w:rPr>
              <w:framePr w:hSpace="180" w:wrap="around" w:vAnchor="text" w:hAnchor="page" w:x="1372" w:y="148"/>
            </w:pPr>
            <w:r>
              <w:rPr>
                <w:rFonts w:hint="eastAsia"/>
                <w:sz w:val="18"/>
                <w:szCs w:val="18"/>
                <w:lang w:val="en-US" w:eastAsia="zh-CN" w:bidi="ar-SA"/>
              </w:rPr>
              <w:t xml:space="preserve">全责一次扣20分，主责扣15分，对半责扣10分，次要责任扣5分；发生车辆事故的驾驶员按事故责任停岗学习，全责和主责停岗学习7天，对半责和次要责任停岗学习3天，全年停岗达3次予以辞退。</w:t>
            </w:r>
            <w:r/>
          </w:p>
          <w:p>
            <w:pPr>
              <w:pStyle w:val="1023"/>
              <w:jc w:val="left"/>
              <w:spacing w:line="278" w:lineRule="exact"/>
              <w:rPr>
                <w:rFonts w:hint="eastAsia"/>
                <w:sz w:val="18"/>
                <w:szCs w:val="18"/>
                <w:lang w:val="en-US" w:eastAsia="zh-CN" w:bidi="ar-SA"/>
              </w:rPr>
              <w:framePr w:hSpace="180" w:wrap="around" w:vAnchor="text" w:hAnchor="page" w:x="1372" w:y="148"/>
            </w:pPr>
            <w:r>
              <w:rPr>
                <w:rFonts w:hint="eastAsia"/>
                <w:sz w:val="18"/>
                <w:szCs w:val="18"/>
                <w:lang w:val="en-US" w:eastAsia="zh-CN" w:bidi="ar-SA"/>
              </w:rPr>
              <w:t xml:space="preserve">事故损失金额追加处罚：</w:t>
            </w:r>
            <w:r/>
          </w:p>
          <w:p>
            <w:pPr>
              <w:pStyle w:val="1023"/>
              <w:jc w:val="left"/>
              <w:spacing w:line="278" w:lineRule="exact"/>
              <w:rPr>
                <w:rFonts w:hint="eastAsia"/>
                <w:sz w:val="18"/>
                <w:szCs w:val="18"/>
                <w:lang w:val="en-US" w:eastAsia="zh-CN" w:bidi="ar-SA"/>
              </w:rPr>
              <w:framePr w:hSpace="180" w:wrap="around" w:vAnchor="text" w:hAnchor="page" w:x="1372" w:y="148"/>
            </w:pPr>
            <w:r>
              <w:rPr>
                <w:rFonts w:hint="eastAsia"/>
                <w:sz w:val="18"/>
                <w:szCs w:val="18"/>
                <w:lang w:val="en-US" w:eastAsia="zh-CN" w:bidi="ar-SA"/>
              </w:rPr>
              <w:t xml:space="preserve">1.损失500元—1000元按15%处罚。</w:t>
            </w:r>
            <w:r/>
          </w:p>
          <w:p>
            <w:pPr>
              <w:pStyle w:val="1023"/>
              <w:jc w:val="left"/>
              <w:spacing w:line="278" w:lineRule="exact"/>
              <w:rPr>
                <w:rFonts w:hint="eastAsia"/>
                <w:sz w:val="18"/>
                <w:szCs w:val="18"/>
                <w:lang w:val="en-US" w:eastAsia="zh-CN" w:bidi="ar-SA"/>
              </w:rPr>
              <w:framePr w:hSpace="180" w:wrap="around" w:vAnchor="text" w:hAnchor="page" w:x="1372" w:y="148"/>
            </w:pPr>
            <w:r>
              <w:rPr>
                <w:rFonts w:hint="eastAsia"/>
                <w:sz w:val="18"/>
                <w:szCs w:val="18"/>
                <w:lang w:val="en-US" w:eastAsia="zh-CN" w:bidi="ar-SA"/>
              </w:rPr>
              <w:t xml:space="preserve">2.损失1000元一7000元按10%处罚。</w:t>
            </w:r>
            <w:r/>
          </w:p>
          <w:p>
            <w:pPr>
              <w:pStyle w:val="1023"/>
              <w:jc w:val="left"/>
              <w:spacing w:line="278" w:lineRule="exact"/>
              <w:rPr>
                <w:rFonts w:hint="eastAsia"/>
                <w:sz w:val="18"/>
                <w:szCs w:val="18"/>
                <w:lang w:val="en-US" w:eastAsia="zh-CN" w:bidi="ar-SA"/>
              </w:rPr>
              <w:framePr w:hSpace="180" w:wrap="around" w:vAnchor="text" w:hAnchor="page" w:x="1372" w:y="148"/>
            </w:pPr>
            <w:r>
              <w:rPr>
                <w:rFonts w:hint="eastAsia"/>
                <w:sz w:val="18"/>
                <w:szCs w:val="18"/>
                <w:lang w:val="en-US" w:eastAsia="zh-CN" w:bidi="ar-SA"/>
              </w:rPr>
              <w:t xml:space="preserve">3.损失7000元—10000元按7%处罚。</w:t>
            </w:r>
            <w:r/>
          </w:p>
          <w:p>
            <w:pPr>
              <w:pStyle w:val="1023"/>
              <w:jc w:val="left"/>
              <w:spacing w:line="278" w:lineRule="exact"/>
              <w:rPr>
                <w:rFonts w:hint="eastAsia"/>
                <w:sz w:val="18"/>
                <w:szCs w:val="18"/>
                <w:lang w:val="en-US" w:eastAsia="zh-CN" w:bidi="ar-SA"/>
              </w:rPr>
              <w:framePr w:hSpace="180" w:wrap="around" w:vAnchor="text" w:hAnchor="page" w:x="1372" w:y="148"/>
            </w:pPr>
            <w:r>
              <w:rPr>
                <w:rFonts w:hint="eastAsia"/>
                <w:sz w:val="18"/>
                <w:szCs w:val="18"/>
                <w:lang w:val="en-US" w:eastAsia="zh-CN" w:bidi="ar-SA"/>
              </w:rPr>
              <w:t xml:space="preserve">4.事故损失在一万元以上的为大事故，按5%处罚。</w:t>
            </w:r>
            <w:r/>
          </w:p>
        </w:tc>
      </w:tr>
      <w:tr>
        <w:trPr>
          <w:cantSplit/>
          <w:trHeight w:val="535"/>
        </w:trPr>
        <w:tc>
          <w:tcPr>
            <w:tcW w:w="1111" w:type="dxa"/>
            <w:vAlign w:val="center"/>
            <w:vMerge w:val="restart"/>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评价考核</w:t>
            </w:r>
            <w:r/>
          </w:p>
        </w:tc>
        <w:tc>
          <w:tcPr>
            <w:tcW w:w="1324" w:type="dxa"/>
            <w:vAlign w:val="center"/>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上级部门检查考核</w:t>
            </w:r>
            <w:r/>
          </w:p>
        </w:tc>
        <w:tc>
          <w:tcPr>
            <w:tcW w:w="3869" w:type="dxa"/>
            <w:vAlign w:val="center"/>
            <w:textDirection w:val="lrTb"/>
            <w:noWrap/>
          </w:tcPr>
          <w:p>
            <w:pPr>
              <w:pStyle w:val="961"/>
              <w:spacing w:line="280" w:lineRule="exact"/>
              <w:widowControl/>
              <w:rPr>
                <w:rFonts w:ascii="宋体" w:hAnsi="宋体" w:cs="宋体"/>
                <w:sz w:val="18"/>
                <w:szCs w:val="18"/>
              </w:rPr>
              <w:framePr w:hSpace="180" w:wrap="around" w:vAnchor="text" w:hAnchor="page" w:x="1372" w:y="148"/>
            </w:pPr>
            <w:r>
              <w:rPr>
                <w:rFonts w:hint="eastAsia" w:ascii="宋体" w:hAnsi="宋体" w:cs="宋体"/>
                <w:sz w:val="18"/>
                <w:szCs w:val="18"/>
              </w:rPr>
              <w:t xml:space="preserve">上级有关部门的检查考核达优秀。</w:t>
            </w:r>
            <w:r>
              <w:rPr>
                <w:rFonts w:ascii="宋体" w:hAnsi="宋体" w:cs="宋体"/>
                <w:sz w:val="18"/>
                <w:szCs w:val="18"/>
              </w:rPr>
            </w:r>
            <w:r/>
          </w:p>
        </w:tc>
        <w:tc>
          <w:tcPr>
            <w:tcW w:w="1510" w:type="dxa"/>
            <w:vAlign w:val="center"/>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资料核查</w:t>
            </w:r>
            <w:r/>
          </w:p>
        </w:tc>
        <w:tc>
          <w:tcPr>
            <w:tcW w:w="6233" w:type="dxa"/>
            <w:vAlign w:val="center"/>
            <w:textDirection w:val="lrTb"/>
            <w:noWrap/>
          </w:tcPr>
          <w:p>
            <w:pPr>
              <w:pStyle w:val="961"/>
              <w:jc w:val="left"/>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考核结果为优秀的得10分、为不合格（差）的扣10分。</w:t>
            </w:r>
            <w:r/>
          </w:p>
        </w:tc>
      </w:tr>
      <w:tr>
        <w:trPr>
          <w:cantSplit/>
          <w:trHeight w:val="570"/>
        </w:trPr>
        <w:tc>
          <w:tcPr>
            <w:tcW w:w="1111" w:type="dxa"/>
            <w:vAlign w:val="center"/>
            <w:vMerge w:val="continue"/>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1324" w:type="dxa"/>
            <w:vAlign w:val="center"/>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满意度调查反馈 </w:t>
            </w:r>
            <w:r/>
          </w:p>
        </w:tc>
        <w:tc>
          <w:tcPr>
            <w:tcW w:w="3869" w:type="dxa"/>
            <w:vAlign w:val="center"/>
            <w:textDirection w:val="lrTb"/>
            <w:noWrap/>
          </w:tcPr>
          <w:p>
            <w:pPr>
              <w:pStyle w:val="961"/>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满意度调查、调度系统回访、第三方调查等满意率100%。</w:t>
            </w:r>
            <w:r/>
          </w:p>
        </w:tc>
        <w:tc>
          <w:tcPr>
            <w:tcW w:w="1510" w:type="dxa"/>
            <w:vAlign w:val="center"/>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依据调查结果及媒体报道</w:t>
            </w:r>
            <w:r/>
          </w:p>
        </w:tc>
        <w:tc>
          <w:tcPr>
            <w:tcW w:w="6233" w:type="dxa"/>
            <w:vAlign w:val="center"/>
            <w:textDirection w:val="lrTb"/>
            <w:noWrap/>
          </w:tcPr>
          <w:p>
            <w:pPr>
              <w:pStyle w:val="961"/>
              <w:jc w:val="left"/>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一例群众不满意或投诉的扣2分，经查实有责的加扣10分，每月3次以上投诉的加扣20分并停岗学习；被媒体、效能办等公开曝光的，一次扣20分并停岗学习，情节严重的予以辞退。</w:t>
            </w:r>
            <w:r/>
          </w:p>
        </w:tc>
      </w:tr>
      <w:tr>
        <w:trPr>
          <w:trHeight w:val="690"/>
        </w:trPr>
        <w:tc>
          <w:tcPr>
            <w:gridSpan w:val="2"/>
            <w:tcW w:w="2435" w:type="dxa"/>
            <w:vAlign w:val="center"/>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其它</w:t>
            </w:r>
            <w:r/>
          </w:p>
        </w:tc>
        <w:tc>
          <w:tcPr>
            <w:tcW w:w="3869" w:type="dxa"/>
            <w:vAlign w:val="center"/>
            <w:textDirection w:val="lrTb"/>
            <w:noWrap/>
          </w:tcPr>
          <w:p>
            <w:pPr>
              <w:pStyle w:val="961"/>
              <w:spacing w:line="280" w:lineRule="exact"/>
              <w:widowControl/>
              <w:rPr>
                <w:rFonts w:ascii="宋体" w:hAnsi="宋体" w:cs="宋体"/>
                <w:sz w:val="18"/>
                <w:szCs w:val="18"/>
              </w:rPr>
              <w:framePr w:hSpace="180" w:wrap="around" w:vAnchor="text" w:hAnchor="page" w:x="1372" w:y="148"/>
            </w:pPr>
            <w:r>
              <w:rPr>
                <w:rFonts w:hint="eastAsia" w:ascii="宋体" w:hAnsi="宋体" w:cs="宋体"/>
                <w:sz w:val="18"/>
                <w:szCs w:val="18"/>
              </w:rPr>
              <w:t xml:space="preserve">遵守相关法律法规，严格按规范执行市急救中心其它相关通知或文件要求。每日车内消毒并上传。</w:t>
            </w:r>
            <w:r>
              <w:rPr>
                <w:rFonts w:ascii="宋体" w:hAnsi="宋体" w:cs="宋体"/>
                <w:sz w:val="18"/>
                <w:szCs w:val="18"/>
              </w:rPr>
            </w:r>
            <w:r/>
          </w:p>
        </w:tc>
        <w:tc>
          <w:tcPr>
            <w:tcW w:w="1510" w:type="dxa"/>
            <w:vAlign w:val="center"/>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依据调查结果</w:t>
            </w:r>
            <w:r/>
          </w:p>
        </w:tc>
        <w:tc>
          <w:tcPr>
            <w:tcW w:w="6233" w:type="dxa"/>
            <w:vAlign w:val="center"/>
            <w:textDirection w:val="lrTb"/>
            <w:noWrap/>
          </w:tcPr>
          <w:p>
            <w:pPr>
              <w:pStyle w:val="961"/>
              <w:jc w:val="left"/>
              <w:spacing w:line="280" w:lineRule="exact"/>
              <w:widowControl/>
              <w:rPr>
                <w:rFonts w:ascii="宋体" w:hAnsi="宋体" w:cs="宋体"/>
                <w:sz w:val="18"/>
                <w:szCs w:val="18"/>
              </w:rPr>
              <w:framePr w:hSpace="180" w:wrap="around" w:vAnchor="text" w:hAnchor="page" w:x="1372" w:y="148"/>
            </w:pPr>
            <w:r>
              <w:rPr>
                <w:rFonts w:hint="eastAsia" w:ascii="宋体" w:hAnsi="宋体" w:cs="宋体"/>
                <w:sz w:val="18"/>
                <w:szCs w:val="18"/>
              </w:rPr>
              <w:t xml:space="preserve">相关通知或文件有明确奖惩规定的，按相关规定执行；无明确奖惩规定的，一次未按规范执行扣2分，造成不良后果的，据情节轻重给予处罚；违反相关法律法规的，一次扣20分，造成不良后果的，据情节轻重给予相应处罚。未上传消毒照片的扣2分。</w:t>
            </w:r>
            <w:r>
              <w:rPr>
                <w:rFonts w:ascii="宋体" w:hAnsi="宋体" w:cs="宋体"/>
                <w:sz w:val="18"/>
                <w:szCs w:val="18"/>
              </w:rPr>
            </w:r>
            <w:r/>
          </w:p>
        </w:tc>
      </w:tr>
      <w:tr>
        <w:trPr>
          <w:trHeight w:val="510"/>
        </w:trPr>
        <w:tc>
          <w:tcPr>
            <w:gridSpan w:val="2"/>
            <w:tcW w:w="2435" w:type="dxa"/>
            <w:vAlign w:val="center"/>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激励项目</w:t>
            </w:r>
            <w:r/>
          </w:p>
        </w:tc>
        <w:tc>
          <w:tcPr>
            <w:tcW w:w="3869" w:type="dxa"/>
            <w:vAlign w:val="center"/>
            <w:textDirection w:val="lrTb"/>
            <w:noWrap/>
          </w:tcPr>
          <w:p>
            <w:pPr>
              <w:pStyle w:val="961"/>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急救人员应熟练掌握必备技能，在医护指导下积极参与救治患者。</w:t>
            </w:r>
            <w:r/>
          </w:p>
        </w:tc>
        <w:tc>
          <w:tcPr>
            <w:tcW w:w="1510" w:type="dxa"/>
            <w:vAlign w:val="center"/>
            <w:textDirection w:val="lrTb"/>
            <w:noWrap/>
          </w:tcPr>
          <w:p>
            <w:pPr>
              <w:pStyle w:val="961"/>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个人主动申报</w:t>
            </w:r>
            <w:r/>
          </w:p>
        </w:tc>
        <w:tc>
          <w:tcPr>
            <w:tcW w:w="6233" w:type="dxa"/>
            <w:vAlign w:val="center"/>
            <w:textDirection w:val="lrTb"/>
            <w:noWrap/>
          </w:tcPr>
          <w:p>
            <w:pPr>
              <w:pStyle w:val="961"/>
              <w:jc w:val="left"/>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参与院前心搏骤停患者现场充分复苏，每例加5分，复苏成功每例加10分，脑复苏成功每例加20分。</w:t>
            </w:r>
            <w:r/>
          </w:p>
        </w:tc>
      </w:tr>
      <w:tr>
        <w:trPr>
          <w:cantSplit/>
          <w:trHeight w:val="379"/>
        </w:trPr>
        <w:tc>
          <w:tcPr>
            <w:gridSpan w:val="2"/>
            <w:tcW w:w="2435" w:type="dxa"/>
            <w:vAlign w:val="center"/>
            <w:vMerge w:val="restart"/>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加分项目</w:t>
            </w:r>
            <w:r/>
          </w:p>
        </w:tc>
        <w:tc>
          <w:tcPr>
            <w:tcW w:w="3869" w:type="dxa"/>
            <w:vAlign w:val="center"/>
            <w:textDirection w:val="lrTb"/>
            <w:noWrap/>
          </w:tcPr>
          <w:p>
            <w:pPr>
              <w:pStyle w:val="961"/>
              <w:jc w:val="left"/>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优质的服务得到群众认可。</w:t>
            </w:r>
            <w:r/>
          </w:p>
        </w:tc>
        <w:tc>
          <w:tcPr>
            <w:tcW w:w="1510" w:type="dxa"/>
            <w:vAlign w:val="center"/>
            <w:textDirection w:val="lrTb"/>
            <w:noWrap/>
          </w:tcPr>
          <w:p>
            <w:pPr>
              <w:pStyle w:val="961"/>
              <w:jc w:val="left"/>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个人主动申报</w:t>
            </w:r>
            <w:r/>
          </w:p>
        </w:tc>
        <w:tc>
          <w:tcPr>
            <w:tcW w:w="6233" w:type="dxa"/>
            <w:vAlign w:val="center"/>
            <w:textDirection w:val="lrTb"/>
            <w:noWrap/>
          </w:tcPr>
          <w:p>
            <w:pPr>
              <w:pStyle w:val="961"/>
              <w:jc w:val="left"/>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受到群众来电感谢、收到群众感谢信或赠送锦旗等，一次加10分。</w:t>
            </w:r>
            <w:r/>
          </w:p>
        </w:tc>
      </w:tr>
      <w:tr>
        <w:trPr>
          <w:cantSplit/>
          <w:trHeight w:val="90"/>
        </w:trPr>
        <w:tc>
          <w:tcPr>
            <w:gridSpan w:val="2"/>
            <w:tcW w:w="2435" w:type="dxa"/>
            <w:vAlign w:val="center"/>
            <w:vMerge w:val="continue"/>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3869" w:type="dxa"/>
            <w:vAlign w:val="center"/>
            <w:textDirection w:val="lrTb"/>
            <w:noWrap/>
          </w:tcPr>
          <w:p>
            <w:pPr>
              <w:pStyle w:val="961"/>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参与重大事件抢救或重大活动保障、县级以上人民政府的表彰和奖励等。</w:t>
            </w:r>
            <w:r/>
          </w:p>
        </w:tc>
        <w:tc>
          <w:tcPr>
            <w:tcW w:w="1510" w:type="dxa"/>
            <w:vAlign w:val="center"/>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资料核查</w:t>
            </w:r>
            <w:r/>
          </w:p>
        </w:tc>
        <w:tc>
          <w:tcPr>
            <w:tcW w:w="6233" w:type="dxa"/>
            <w:vAlign w:val="center"/>
            <w:textDirection w:val="lrTb"/>
            <w:noWrap/>
          </w:tcPr>
          <w:p>
            <w:pPr>
              <w:pStyle w:val="961"/>
              <w:jc w:val="left"/>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受到区、市、省、国家表彰的分别加5、10、15、20分，同一表彰按最高级别加分，不重复加分。</w:t>
            </w:r>
            <w:r/>
          </w:p>
        </w:tc>
      </w:tr>
    </w:tbl>
    <w:p>
      <w:pPr>
        <w:pStyle w:val="1010"/>
        <w:jc w:val="both"/>
        <w:rPr>
          <w:rFonts w:hint="eastAsia" w:ascii="宋体" w:hAnsi="宋体" w:eastAsia="宋体" w:cs="宋体"/>
          <w:b/>
          <w:bCs/>
          <w:color w:val="000000"/>
        </w:rPr>
      </w:pPr>
      <w:r>
        <w:rPr>
          <w:rFonts w:hint="eastAsia" w:ascii="宋体" w:hAnsi="宋体" w:eastAsia="宋体" w:cs="宋体"/>
          <w:b/>
          <w:bCs/>
          <w:color w:val="000000"/>
        </w:rPr>
      </w:r>
      <w:r/>
    </w:p>
    <w:p>
      <w:pPr>
        <w:pStyle w:val="1010"/>
        <w:jc w:val="center"/>
        <w:rPr>
          <w:rFonts w:hint="eastAsia" w:ascii="宋体" w:hAnsi="宋体" w:eastAsia="宋体" w:cs="宋体"/>
          <w:color w:val="000000"/>
          <w:sz w:val="32"/>
          <w:szCs w:val="32"/>
        </w:rPr>
      </w:pPr>
      <w:r>
        <w:rPr>
          <w:rFonts w:hint="eastAsia" w:ascii="宋体" w:hAnsi="宋体" w:cs="宋体"/>
          <w:color w:val="000000"/>
          <w:sz w:val="32"/>
          <w:szCs w:val="32"/>
        </w:rPr>
        <w:t xml:space="preserve">二</w:t>
      </w:r>
      <w:r>
        <w:rPr>
          <w:rFonts w:hint="eastAsia" w:ascii="宋体" w:hAnsi="宋体" w:eastAsia="宋体" w:cs="宋体"/>
          <w:color w:val="000000"/>
          <w:sz w:val="32"/>
          <w:szCs w:val="32"/>
        </w:rPr>
        <w:t xml:space="preserve">、市区院前医疗急救</w:t>
      </w:r>
      <w:r>
        <w:rPr>
          <w:rFonts w:hint="eastAsia" w:ascii="宋体" w:hAnsi="宋体" w:cs="宋体"/>
          <w:color w:val="000000"/>
          <w:sz w:val="32"/>
          <w:szCs w:val="32"/>
        </w:rPr>
        <w:t xml:space="preserve">调度</w:t>
      </w:r>
      <w:r>
        <w:rPr>
          <w:rFonts w:hint="eastAsia" w:ascii="宋体" w:hAnsi="宋体" w:eastAsia="宋体" w:cs="宋体"/>
          <w:color w:val="000000"/>
          <w:sz w:val="32"/>
          <w:szCs w:val="32"/>
        </w:rPr>
        <w:t xml:space="preserve">员</w:t>
      </w:r>
      <w:r>
        <w:rPr>
          <w:rFonts w:hint="eastAsia" w:ascii="宋体" w:hAnsi="宋体" w:cs="宋体"/>
          <w:color w:val="000000"/>
          <w:sz w:val="32"/>
          <w:szCs w:val="32"/>
        </w:rPr>
        <w:t xml:space="preserve">每日</w:t>
      </w:r>
      <w:r>
        <w:rPr>
          <w:rFonts w:hint="eastAsia" w:ascii="宋体" w:hAnsi="宋体" w:eastAsia="宋体" w:cs="宋体"/>
          <w:color w:val="000000"/>
          <w:sz w:val="32"/>
          <w:szCs w:val="32"/>
        </w:rPr>
        <w:t xml:space="preserve">绩效考核内容及评分标准</w:t>
      </w:r>
      <w:r/>
    </w:p>
    <w:tbl>
      <w:tblPr>
        <w:tblW w:w="13907" w:type="dxa"/>
        <w:tblInd w:w="93" w:type="dxa"/>
        <w:tblLayout w:type="fixed"/>
        <w:tblCellMar>
          <w:left w:w="108" w:type="dxa"/>
          <w:top w:w="0" w:type="dxa"/>
          <w:right w:w="108" w:type="dxa"/>
          <w:bottom w:w="0" w:type="dxa"/>
        </w:tblCellMar>
        <w:tblLook w:val="04A0" w:firstRow="1" w:lastRow="0" w:firstColumn="1" w:lastColumn="0" w:noHBand="0" w:noVBand="1"/>
      </w:tblPr>
      <w:tblGrid>
        <w:gridCol w:w="739"/>
        <w:gridCol w:w="1238"/>
        <w:gridCol w:w="4330"/>
        <w:gridCol w:w="737"/>
        <w:gridCol w:w="6863"/>
      </w:tblGrid>
      <w:tr>
        <w:trPr>
          <w:trHeight w:val="285"/>
        </w:trPr>
        <w:tc>
          <w:tcPr>
            <w:tcBorders>
              <w:top w:val="single" w:color="000000" w:sz="4" w:space="0"/>
              <w:left w:val="single" w:color="000000" w:sz="4" w:space="0"/>
              <w:bottom w:val="single" w:color="000000" w:sz="4" w:space="0"/>
              <w:right w:val="single" w:color="000000" w:sz="4" w:space="0"/>
            </w:tcBorders>
            <w:tcW w:w="739" w:type="dxa"/>
            <w:vAlign w:val="center"/>
            <w:textDirection w:val="lrTb"/>
            <w:noWrap/>
          </w:tcPr>
          <w:p>
            <w:pPr>
              <w:pStyle w:val="961"/>
              <w:widowControl/>
              <w:rPr>
                <w:rFonts w:hint="eastAsia" w:ascii="宋体" w:hAnsi="宋体" w:cs="宋体"/>
                <w:sz w:val="18"/>
                <w:szCs w:val="18"/>
              </w:rPr>
            </w:pPr>
            <w:r>
              <w:rPr>
                <w:rFonts w:hint="eastAsia" w:ascii="宋体" w:hAnsi="宋体" w:cs="宋体"/>
                <w:sz w:val="18"/>
                <w:szCs w:val="18"/>
              </w:rPr>
              <w:t xml:space="preserve">一级指标</w:t>
            </w:r>
            <w:r/>
          </w:p>
        </w:tc>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pStyle w:val="961"/>
              <w:jc w:val="left"/>
              <w:widowControl/>
              <w:rPr>
                <w:rFonts w:hint="eastAsia" w:ascii="宋体" w:hAnsi="宋体" w:cs="宋体"/>
                <w:sz w:val="18"/>
                <w:szCs w:val="18"/>
              </w:rPr>
            </w:pPr>
            <w:r>
              <w:rPr>
                <w:rFonts w:hint="eastAsia" w:ascii="宋体" w:hAnsi="宋体" w:cs="宋体"/>
                <w:sz w:val="18"/>
                <w:szCs w:val="18"/>
              </w:rPr>
              <w:t xml:space="preserve">二级指标</w:t>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tcPr>
          <w:p>
            <w:pPr>
              <w:pStyle w:val="961"/>
              <w:jc w:val="left"/>
              <w:widowControl/>
              <w:rPr>
                <w:rFonts w:hint="eastAsia" w:ascii="宋体" w:hAnsi="宋体" w:cs="宋体"/>
                <w:sz w:val="18"/>
                <w:szCs w:val="18"/>
              </w:rPr>
            </w:pPr>
            <w:r>
              <w:rPr>
                <w:rFonts w:hint="eastAsia" w:ascii="宋体" w:hAnsi="宋体" w:cs="宋体"/>
                <w:sz w:val="18"/>
                <w:szCs w:val="18"/>
              </w:rPr>
              <w:t xml:space="preserve">三级指标</w:t>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pStyle w:val="961"/>
              <w:jc w:val="left"/>
              <w:widowControl/>
              <w:rPr>
                <w:rFonts w:hint="eastAsia" w:ascii="宋体" w:hAnsi="宋体" w:cs="宋体"/>
                <w:sz w:val="18"/>
                <w:szCs w:val="18"/>
              </w:rPr>
            </w:pPr>
            <w:r>
              <w:rPr>
                <w:rFonts w:hint="eastAsia" w:ascii="宋体" w:hAnsi="宋体" w:cs="宋体"/>
                <w:sz w:val="18"/>
                <w:szCs w:val="18"/>
              </w:rPr>
              <w:t xml:space="preserve">考核办法</w:t>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tcPr>
          <w:p>
            <w:pPr>
              <w:pStyle w:val="961"/>
              <w:jc w:val="left"/>
              <w:widowControl/>
              <w:rPr>
                <w:rFonts w:hint="eastAsia" w:ascii="宋体" w:hAnsi="宋体" w:cs="宋体"/>
                <w:sz w:val="18"/>
                <w:szCs w:val="18"/>
              </w:rPr>
            </w:pPr>
            <w:r>
              <w:rPr>
                <w:rFonts w:hint="eastAsia" w:ascii="宋体" w:hAnsi="宋体" w:cs="宋体"/>
                <w:sz w:val="18"/>
                <w:szCs w:val="18"/>
              </w:rPr>
              <w:t xml:space="preserve">评分标准</w:t>
            </w:r>
            <w:r/>
          </w:p>
        </w:tc>
      </w:tr>
      <w:tr>
        <w:trPr>
          <w:cantSplit/>
          <w:trHeight w:val="285"/>
        </w:trPr>
        <w:tc>
          <w:tcPr>
            <w:tcBorders>
              <w:top w:val="single" w:color="000000" w:sz="4" w:space="0"/>
              <w:left w:val="single" w:color="000000" w:sz="4" w:space="0"/>
              <w:bottom w:val="single" w:color="000000" w:sz="4" w:space="0"/>
              <w:right w:val="single" w:color="000000" w:sz="4" w:space="0"/>
            </w:tcBorders>
            <w:tcW w:w="739" w:type="dxa"/>
            <w:vAlign w:val="center"/>
            <w:vMerge w:val="restart"/>
            <w:textDirection w:val="lrTb"/>
            <w:noWrap w:val="false"/>
          </w:tcPr>
          <w:p>
            <w:pPr>
              <w:pStyle w:val="961"/>
              <w:jc w:val="center"/>
              <w:widowControl/>
              <w:rPr>
                <w:rFonts w:hint="eastAsia" w:ascii="宋体" w:hAnsi="宋体" w:cs="宋体"/>
                <w:sz w:val="18"/>
                <w:szCs w:val="18"/>
              </w:rPr>
            </w:pPr>
            <w:r>
              <w:rPr>
                <w:rFonts w:hint="eastAsia" w:ascii="宋体" w:hAnsi="宋体" w:cs="宋体"/>
                <w:sz w:val="18"/>
                <w:szCs w:val="18"/>
              </w:rPr>
              <w:t xml:space="preserve">工作要求（15分）</w:t>
            </w:r>
            <w:r/>
          </w:p>
        </w:tc>
        <w:tc>
          <w:tcPr>
            <w:tcBorders>
              <w:top w:val="single" w:color="000000" w:sz="4" w:space="0"/>
              <w:left w:val="single" w:color="000000" w:sz="4" w:space="0"/>
              <w:bottom w:val="single" w:color="000000" w:sz="4" w:space="0"/>
              <w:right w:val="single" w:color="000000" w:sz="4" w:space="0"/>
            </w:tcBorders>
            <w:tcW w:w="1238" w:type="dxa"/>
            <w:vAlign w:val="center"/>
            <w:vMerge w:val="restart"/>
            <w:textDirection w:val="lrTb"/>
            <w:noWrap w:val="false"/>
          </w:tcPr>
          <w:p>
            <w:pPr>
              <w:pStyle w:val="961"/>
              <w:jc w:val="center"/>
              <w:widowControl/>
              <w:rPr>
                <w:rFonts w:hint="eastAsia" w:ascii="宋体" w:hAnsi="宋体" w:cs="宋体"/>
                <w:sz w:val="18"/>
                <w:szCs w:val="18"/>
              </w:rPr>
            </w:pPr>
            <w:r>
              <w:rPr>
                <w:rFonts w:hint="eastAsia" w:ascii="宋体" w:hAnsi="宋体" w:cs="宋体"/>
                <w:sz w:val="18"/>
                <w:szCs w:val="18"/>
              </w:rPr>
              <w:t xml:space="preserve">仪表仪容</w:t>
            </w:r>
            <w:r/>
          </w:p>
          <w:p>
            <w:pPr>
              <w:pStyle w:val="961"/>
              <w:jc w:val="center"/>
              <w:widowControl/>
              <w:rPr>
                <w:rFonts w:hint="eastAsia" w:ascii="宋体" w:hAnsi="宋体" w:cs="宋体"/>
                <w:sz w:val="18"/>
                <w:szCs w:val="18"/>
              </w:rPr>
            </w:pPr>
            <w:r>
              <w:rPr>
                <w:rFonts w:hint="eastAsia" w:ascii="宋体" w:hAnsi="宋体" w:cs="宋体"/>
                <w:sz w:val="18"/>
                <w:szCs w:val="18"/>
              </w:rPr>
              <w:t xml:space="preserve">（4分）</w:t>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tcPr>
          <w:p>
            <w:pPr>
              <w:pStyle w:val="961"/>
              <w:widowControl/>
              <w:rPr>
                <w:rFonts w:hint="eastAsia" w:ascii="宋体" w:hAnsi="宋体" w:cs="宋体"/>
                <w:sz w:val="18"/>
                <w:szCs w:val="18"/>
              </w:rPr>
            </w:pPr>
            <w:r>
              <w:rPr>
                <w:rFonts w:hint="eastAsia" w:ascii="宋体" w:hAnsi="宋体" w:cs="宋体"/>
                <w:sz w:val="18"/>
                <w:szCs w:val="18"/>
              </w:rPr>
              <w:t xml:space="preserve">仪表端庄，着工作服，衣帽整齐，佩戴胸牌</w:t>
            </w:r>
            <w:r/>
          </w:p>
        </w:tc>
        <w:tc>
          <w:tcPr>
            <w:tcBorders>
              <w:top w:val="single" w:color="000000" w:sz="4" w:space="0"/>
              <w:left w:val="single" w:color="000000" w:sz="4" w:space="0"/>
              <w:bottom w:val="single" w:color="000000" w:sz="4" w:space="0"/>
              <w:right w:val="single" w:color="000000" w:sz="4" w:space="0"/>
            </w:tcBorders>
            <w:tcW w:w="737" w:type="dxa"/>
            <w:vAlign w:val="center"/>
            <w:vMerge w:val="restart"/>
            <w:textDirection w:val="lrTb"/>
            <w:noWrap/>
          </w:tcPr>
          <w:p>
            <w:pPr>
              <w:pStyle w:val="961"/>
              <w:jc w:val="center"/>
              <w:widowControl/>
              <w:rPr>
                <w:rFonts w:hint="eastAsia" w:ascii="宋体" w:hAnsi="宋体" w:cs="宋体"/>
                <w:sz w:val="18"/>
                <w:szCs w:val="18"/>
              </w:rPr>
            </w:pPr>
            <w:r>
              <w:rPr>
                <w:rFonts w:hint="eastAsia" w:ascii="宋体" w:hAnsi="宋体" w:cs="宋体"/>
                <w:sz w:val="18"/>
                <w:szCs w:val="18"/>
              </w:rPr>
              <w:t xml:space="preserve">常规检查</w:t>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tcPr>
          <w:p>
            <w:pPr>
              <w:pStyle w:val="961"/>
              <w:jc w:val="left"/>
              <w:widowControl/>
              <w:rPr>
                <w:rFonts w:hint="eastAsia" w:ascii="宋体" w:hAnsi="宋体" w:cs="宋体"/>
                <w:sz w:val="18"/>
                <w:szCs w:val="18"/>
              </w:rPr>
            </w:pPr>
            <w:r>
              <w:rPr>
                <w:rFonts w:hint="eastAsia" w:ascii="宋体" w:hAnsi="宋体" w:cs="宋体"/>
                <w:sz w:val="18"/>
                <w:szCs w:val="18"/>
              </w:rPr>
              <w:t xml:space="preserve">不符合规范的每次扣2分。</w:t>
            </w:r>
            <w:r/>
          </w:p>
        </w:tc>
      </w:tr>
      <w:tr>
        <w:trPr>
          <w:cantSplit/>
          <w:trHeight w:val="285"/>
        </w:trPr>
        <w:tc>
          <w:tcPr>
            <w:tcBorders>
              <w:top w:val="single" w:color="000000" w:sz="4" w:space="0"/>
              <w:left w:val="single" w:color="000000" w:sz="4" w:space="0"/>
              <w:bottom w:val="single" w:color="000000" w:sz="4" w:space="0"/>
              <w:right w:val="single" w:color="000000" w:sz="4" w:space="0"/>
            </w:tcBorders>
            <w:tcW w:w="739"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238"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tcPr>
          <w:p>
            <w:pPr>
              <w:pStyle w:val="961"/>
              <w:jc w:val="left"/>
              <w:widowControl/>
              <w:rPr>
                <w:rFonts w:hint="eastAsia" w:ascii="宋体" w:hAnsi="宋体" w:cs="宋体"/>
                <w:sz w:val="18"/>
                <w:szCs w:val="18"/>
              </w:rPr>
            </w:pPr>
            <w:r>
              <w:rPr>
                <w:rFonts w:hint="eastAsia" w:ascii="宋体" w:hAnsi="宋体" w:cs="宋体"/>
                <w:sz w:val="18"/>
                <w:szCs w:val="18"/>
              </w:rPr>
              <w:t xml:space="preserve">按规定佩戴耳机</w:t>
            </w:r>
            <w:r/>
          </w:p>
        </w:tc>
        <w:tc>
          <w:tcPr>
            <w:tcBorders>
              <w:top w:val="single" w:color="000000" w:sz="4" w:space="0"/>
              <w:left w:val="single" w:color="000000" w:sz="4" w:space="0"/>
              <w:bottom w:val="single" w:color="000000" w:sz="4" w:space="0"/>
              <w:right w:val="single" w:color="000000" w:sz="4" w:space="0"/>
            </w:tcBorders>
            <w:tcW w:w="737" w:type="dxa"/>
            <w:vAlign w:val="center"/>
            <w:vMerge w:val="continue"/>
            <w:textDirection w:val="lrTb"/>
            <w:noWrap/>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tcPr>
          <w:p>
            <w:pPr>
              <w:pStyle w:val="961"/>
              <w:jc w:val="left"/>
              <w:widowControl/>
              <w:rPr>
                <w:rFonts w:hint="eastAsia" w:ascii="宋体" w:hAnsi="宋体" w:cs="宋体"/>
                <w:sz w:val="18"/>
                <w:szCs w:val="18"/>
              </w:rPr>
            </w:pPr>
            <w:r>
              <w:rPr>
                <w:rFonts w:hint="eastAsia" w:ascii="宋体" w:hAnsi="宋体" w:cs="宋体"/>
                <w:sz w:val="18"/>
                <w:szCs w:val="18"/>
              </w:rPr>
              <w:t xml:space="preserve">不符合规范的每次扣2分。</w:t>
            </w:r>
            <w:r/>
          </w:p>
        </w:tc>
      </w:tr>
      <w:tr>
        <w:trPr>
          <w:cantSplit/>
          <w:trHeight w:val="570"/>
        </w:trPr>
        <w:tc>
          <w:tcPr>
            <w:tcBorders>
              <w:top w:val="single" w:color="000000" w:sz="4" w:space="0"/>
              <w:left w:val="single" w:color="000000" w:sz="4" w:space="0"/>
              <w:bottom w:val="single" w:color="000000" w:sz="4" w:space="0"/>
              <w:right w:val="single" w:color="000000" w:sz="4" w:space="0"/>
            </w:tcBorders>
            <w:tcW w:w="739"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pStyle w:val="961"/>
              <w:jc w:val="center"/>
              <w:widowControl/>
              <w:rPr>
                <w:rFonts w:hint="eastAsia" w:ascii="宋体" w:hAnsi="宋体" w:cs="宋体"/>
                <w:sz w:val="18"/>
                <w:szCs w:val="18"/>
              </w:rPr>
            </w:pPr>
            <w:r>
              <w:rPr>
                <w:rFonts w:hint="eastAsia" w:ascii="宋体" w:hAnsi="宋体" w:cs="宋体"/>
                <w:sz w:val="18"/>
                <w:szCs w:val="18"/>
              </w:rPr>
              <w:t xml:space="preserve">环境卫生</w:t>
            </w:r>
            <w:r/>
          </w:p>
          <w:p>
            <w:pPr>
              <w:pStyle w:val="961"/>
              <w:jc w:val="center"/>
              <w:widowControl/>
              <w:rPr>
                <w:rFonts w:hint="eastAsia" w:ascii="宋体" w:hAnsi="宋体" w:cs="宋体"/>
                <w:sz w:val="18"/>
                <w:szCs w:val="18"/>
              </w:rPr>
            </w:pPr>
            <w:r>
              <w:rPr>
                <w:rFonts w:hint="eastAsia" w:ascii="宋体" w:hAnsi="宋体" w:cs="宋体"/>
                <w:sz w:val="18"/>
                <w:szCs w:val="18"/>
              </w:rPr>
              <w:t xml:space="preserve">（1分）</w:t>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tcPr>
          <w:p>
            <w:pPr>
              <w:pStyle w:val="961"/>
              <w:jc w:val="left"/>
              <w:widowControl/>
              <w:rPr>
                <w:rFonts w:hint="eastAsia" w:ascii="宋体" w:hAnsi="宋体" w:cs="宋体"/>
                <w:sz w:val="18"/>
                <w:szCs w:val="18"/>
              </w:rPr>
            </w:pPr>
            <w:r>
              <w:rPr>
                <w:rFonts w:hint="eastAsia" w:ascii="宋体" w:hAnsi="宋体" w:cs="宋体"/>
                <w:sz w:val="18"/>
                <w:szCs w:val="18"/>
              </w:rPr>
              <w:t xml:space="preserve">调度室卫生、无烟，工作台整洁，垃圾及时清理</w:t>
            </w:r>
            <w:r/>
          </w:p>
        </w:tc>
        <w:tc>
          <w:tcPr>
            <w:tcBorders>
              <w:top w:val="single" w:color="000000" w:sz="4" w:space="0"/>
              <w:left w:val="single" w:color="000000" w:sz="4" w:space="0"/>
              <w:bottom w:val="single" w:color="000000" w:sz="4" w:space="0"/>
              <w:right w:val="single" w:color="000000" w:sz="4" w:space="0"/>
            </w:tcBorders>
            <w:tcW w:w="737" w:type="dxa"/>
            <w:vAlign w:val="center"/>
            <w:vMerge w:val="continue"/>
            <w:textDirection w:val="lrTb"/>
            <w:noWrap/>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调度室不清洁卫生，调度台杂乱或有污迹、垃圾，垃圾未及时清理，每次扣1分。</w:t>
            </w:r>
            <w:r/>
          </w:p>
        </w:tc>
      </w:tr>
      <w:tr>
        <w:trPr>
          <w:cantSplit/>
          <w:trHeight w:val="569"/>
        </w:trPr>
        <w:tc>
          <w:tcPr>
            <w:tcBorders>
              <w:top w:val="single" w:color="000000" w:sz="4" w:space="0"/>
              <w:left w:val="single" w:color="000000" w:sz="4" w:space="0"/>
              <w:bottom w:val="single" w:color="000000" w:sz="4" w:space="0"/>
              <w:right w:val="single" w:color="000000" w:sz="4" w:space="0"/>
            </w:tcBorders>
            <w:tcW w:w="739"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238" w:type="dxa"/>
            <w:vAlign w:val="center"/>
            <w:vMerge w:val="restart"/>
            <w:textDirection w:val="lrTb"/>
            <w:noWrap w:val="false"/>
          </w:tcPr>
          <w:p>
            <w:pPr>
              <w:pStyle w:val="961"/>
              <w:jc w:val="center"/>
              <w:widowControl/>
              <w:rPr>
                <w:rFonts w:hint="eastAsia" w:ascii="宋体" w:hAnsi="宋体" w:cs="宋体"/>
                <w:sz w:val="18"/>
                <w:szCs w:val="18"/>
              </w:rPr>
            </w:pPr>
            <w:r>
              <w:rPr>
                <w:rFonts w:hint="eastAsia" w:ascii="宋体" w:hAnsi="宋体" w:cs="宋体"/>
                <w:sz w:val="18"/>
                <w:szCs w:val="18"/>
              </w:rPr>
              <w:t xml:space="preserve">劳动纪律</w:t>
            </w:r>
            <w:r/>
          </w:p>
          <w:p>
            <w:pPr>
              <w:pStyle w:val="961"/>
              <w:jc w:val="center"/>
              <w:widowControl/>
              <w:rPr>
                <w:rFonts w:hint="eastAsia" w:ascii="宋体" w:hAnsi="宋体" w:cs="宋体"/>
                <w:sz w:val="18"/>
                <w:szCs w:val="18"/>
              </w:rPr>
            </w:pPr>
            <w:r>
              <w:rPr>
                <w:rFonts w:hint="eastAsia" w:ascii="宋体" w:hAnsi="宋体" w:cs="宋体"/>
                <w:sz w:val="18"/>
                <w:szCs w:val="18"/>
              </w:rPr>
              <w:t xml:space="preserve">（10分）</w:t>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tcPr>
          <w:p>
            <w:pPr>
              <w:pStyle w:val="961"/>
              <w:jc w:val="left"/>
              <w:widowControl/>
              <w:rPr>
                <w:rFonts w:hint="eastAsia" w:ascii="宋体" w:hAnsi="宋体" w:cs="宋体"/>
                <w:sz w:val="18"/>
                <w:szCs w:val="18"/>
              </w:rPr>
            </w:pPr>
            <w:r>
              <w:rPr>
                <w:rFonts w:hint="eastAsia" w:ascii="宋体" w:hAnsi="宋体" w:cs="宋体"/>
                <w:sz w:val="18"/>
                <w:szCs w:val="18"/>
              </w:rPr>
              <w:t xml:space="preserve">提前10分钟到岗并登录调度席，无迟到、早退，及时入席、退席</w:t>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pStyle w:val="961"/>
              <w:jc w:val="left"/>
              <w:widowControl/>
              <w:rPr>
                <w:rFonts w:hint="eastAsia" w:ascii="宋体" w:hAnsi="宋体" w:cs="宋体"/>
                <w:sz w:val="18"/>
                <w:szCs w:val="18"/>
              </w:rPr>
            </w:pPr>
            <w:r>
              <w:rPr>
                <w:rFonts w:hint="eastAsia" w:ascii="宋体" w:hAnsi="宋体" w:cs="宋体"/>
                <w:sz w:val="18"/>
                <w:szCs w:val="18"/>
              </w:rPr>
              <w:t xml:space="preserve">常规检查</w:t>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tcPr>
          <w:p>
            <w:pPr>
              <w:pStyle w:val="961"/>
              <w:jc w:val="left"/>
              <w:widowControl/>
              <w:rPr>
                <w:rFonts w:hint="eastAsia" w:ascii="宋体" w:hAnsi="宋体" w:cs="宋体"/>
                <w:sz w:val="18"/>
                <w:szCs w:val="18"/>
              </w:rPr>
            </w:pPr>
            <w:r>
              <w:rPr>
                <w:rFonts w:hint="eastAsia" w:ascii="宋体" w:hAnsi="宋体" w:cs="宋体"/>
                <w:sz w:val="18"/>
                <w:szCs w:val="18"/>
              </w:rPr>
              <w:t xml:space="preserve">未及时入席、退席均视为迟到，上班迟到、早退5分钟内每次扣2分，10分钟内每次扣4分、15分钟内扣6分，以此类推。</w:t>
            </w:r>
            <w:r/>
          </w:p>
        </w:tc>
      </w:tr>
      <w:tr>
        <w:trPr>
          <w:cantSplit/>
          <w:trHeight w:val="570"/>
        </w:trPr>
        <w:tc>
          <w:tcPr>
            <w:tcBorders>
              <w:top w:val="single" w:color="000000" w:sz="4" w:space="0"/>
              <w:left w:val="single" w:color="000000" w:sz="4" w:space="0"/>
              <w:bottom w:val="single" w:color="000000" w:sz="4" w:space="0"/>
              <w:right w:val="single" w:color="000000" w:sz="4" w:space="0"/>
            </w:tcBorders>
            <w:tcW w:w="739"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238"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不无故缺勤，调班，请假须书面申请</w:t>
            </w:r>
            <w:r/>
          </w:p>
        </w:tc>
        <w:tc>
          <w:tcPr>
            <w:tcBorders>
              <w:top w:val="single" w:color="000000" w:sz="4" w:space="0"/>
              <w:left w:val="single" w:color="000000" w:sz="4" w:space="0"/>
              <w:bottom w:val="single" w:color="000000" w:sz="4" w:space="0"/>
              <w:right w:val="single" w:color="000000" w:sz="4" w:space="0"/>
            </w:tcBorders>
            <w:tcW w:w="737" w:type="dxa"/>
            <w:vAlign w:val="center"/>
            <w:vMerge w:val="restart"/>
            <w:textDirection w:val="lrTb"/>
            <w:noWrap/>
          </w:tcPr>
          <w:p>
            <w:pPr>
              <w:pStyle w:val="961"/>
              <w:jc w:val="center"/>
              <w:widowControl/>
              <w:rPr>
                <w:rFonts w:hint="eastAsia" w:ascii="宋体" w:hAnsi="宋体" w:cs="宋体"/>
                <w:sz w:val="18"/>
                <w:szCs w:val="18"/>
              </w:rPr>
            </w:pPr>
            <w:r>
              <w:rPr>
                <w:rFonts w:hint="eastAsia" w:ascii="宋体" w:hAnsi="宋体" w:cs="宋体"/>
                <w:sz w:val="18"/>
                <w:szCs w:val="18"/>
              </w:rPr>
              <w:t xml:space="preserve">常规检查</w:t>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私自调班每次当事双方各扣3分，无故缺勤每次扣15分，无故缺勤且当日未上班质控分为0分。</w:t>
            </w:r>
            <w:r/>
          </w:p>
        </w:tc>
      </w:tr>
      <w:tr>
        <w:trPr>
          <w:cantSplit/>
          <w:trHeight w:val="510"/>
        </w:trPr>
        <w:tc>
          <w:tcPr>
            <w:tcBorders>
              <w:top w:val="single" w:color="000000" w:sz="4" w:space="0"/>
              <w:left w:val="single" w:color="000000" w:sz="4" w:space="0"/>
              <w:bottom w:val="single" w:color="000000" w:sz="4" w:space="0"/>
              <w:right w:val="single" w:color="000000" w:sz="4" w:space="0"/>
            </w:tcBorders>
            <w:tcW w:w="739"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238"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tcPr>
          <w:p>
            <w:pPr>
              <w:pStyle w:val="961"/>
              <w:widowControl/>
              <w:rPr>
                <w:rFonts w:hint="eastAsia" w:ascii="宋体" w:hAnsi="宋体" w:cs="宋体"/>
                <w:sz w:val="18"/>
                <w:szCs w:val="18"/>
              </w:rPr>
            </w:pPr>
            <w:r>
              <w:rPr>
                <w:rFonts w:hint="eastAsia" w:ascii="宋体" w:hAnsi="宋体" w:cs="宋体"/>
                <w:sz w:val="18"/>
                <w:szCs w:val="18"/>
              </w:rPr>
              <w:t xml:space="preserve">上班期间不打手机、电脑游戏，不扎堆聊天，不看与专业无关的书籍、杂志</w:t>
            </w:r>
            <w:r/>
          </w:p>
        </w:tc>
        <w:tc>
          <w:tcPr>
            <w:tcBorders>
              <w:top w:val="single" w:color="000000" w:sz="4" w:space="0"/>
              <w:left w:val="single" w:color="000000" w:sz="4" w:space="0"/>
              <w:bottom w:val="single" w:color="000000" w:sz="4" w:space="0"/>
              <w:right w:val="single" w:color="000000" w:sz="4" w:space="0"/>
            </w:tcBorders>
            <w:tcW w:w="737" w:type="dxa"/>
            <w:vAlign w:val="center"/>
            <w:vMerge w:val="continue"/>
            <w:textDirection w:val="lrTb"/>
            <w:noWrap/>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tcPr>
          <w:p>
            <w:pPr>
              <w:pStyle w:val="961"/>
              <w:jc w:val="left"/>
              <w:widowControl/>
              <w:rPr>
                <w:rFonts w:hint="eastAsia" w:ascii="宋体" w:hAnsi="宋体" w:cs="宋体"/>
                <w:sz w:val="18"/>
                <w:szCs w:val="18"/>
              </w:rPr>
            </w:pPr>
            <w:r>
              <w:rPr>
                <w:rFonts w:hint="eastAsia" w:ascii="宋体" w:hAnsi="宋体" w:cs="宋体"/>
                <w:sz w:val="18"/>
                <w:szCs w:val="18"/>
              </w:rPr>
              <w:t xml:space="preserve">不遵守规定的每次扣2分。</w:t>
            </w:r>
            <w:r/>
          </w:p>
        </w:tc>
      </w:tr>
      <w:tr>
        <w:trPr>
          <w:cantSplit/>
          <w:trHeight w:val="285"/>
        </w:trPr>
        <w:tc>
          <w:tcPr>
            <w:tcBorders>
              <w:top w:val="single" w:color="000000" w:sz="4" w:space="0"/>
              <w:left w:val="single" w:color="000000" w:sz="4" w:space="0"/>
              <w:bottom w:val="single" w:color="000000" w:sz="4" w:space="0"/>
              <w:right w:val="single" w:color="000000" w:sz="4" w:space="0"/>
            </w:tcBorders>
            <w:tcW w:w="739"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238"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tcPr>
          <w:p>
            <w:pPr>
              <w:pStyle w:val="961"/>
              <w:jc w:val="left"/>
              <w:widowControl/>
              <w:rPr>
                <w:rFonts w:hint="eastAsia" w:ascii="宋体" w:hAnsi="宋体" w:cs="宋体"/>
                <w:sz w:val="18"/>
                <w:szCs w:val="18"/>
              </w:rPr>
            </w:pPr>
            <w:r>
              <w:rPr>
                <w:rFonts w:hint="eastAsia" w:ascii="宋体" w:hAnsi="宋体" w:cs="宋体"/>
                <w:sz w:val="18"/>
                <w:szCs w:val="18"/>
              </w:rPr>
              <w:t xml:space="preserve">当班期间不得让外部人员进入调度室</w:t>
            </w:r>
            <w:r/>
          </w:p>
        </w:tc>
        <w:tc>
          <w:tcPr>
            <w:tcBorders>
              <w:top w:val="single" w:color="000000" w:sz="4" w:space="0"/>
              <w:left w:val="single" w:color="000000" w:sz="4" w:space="0"/>
              <w:bottom w:val="single" w:color="000000" w:sz="4" w:space="0"/>
              <w:right w:val="single" w:color="000000" w:sz="4" w:space="0"/>
            </w:tcBorders>
            <w:tcW w:w="737" w:type="dxa"/>
            <w:vAlign w:val="center"/>
            <w:vMerge w:val="continue"/>
            <w:textDirection w:val="lrTb"/>
            <w:noWrap/>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tcPr>
          <w:p>
            <w:pPr>
              <w:pStyle w:val="961"/>
              <w:jc w:val="left"/>
              <w:widowControl/>
              <w:rPr>
                <w:rFonts w:hint="eastAsia" w:ascii="宋体" w:hAnsi="宋体" w:cs="宋体"/>
                <w:sz w:val="18"/>
                <w:szCs w:val="18"/>
              </w:rPr>
            </w:pPr>
            <w:r>
              <w:rPr>
                <w:rFonts w:hint="eastAsia" w:ascii="宋体" w:hAnsi="宋体" w:cs="宋体"/>
                <w:sz w:val="18"/>
                <w:szCs w:val="18"/>
              </w:rPr>
              <w:t xml:space="preserve">不遵守规定的每次扣2分。</w:t>
            </w:r>
            <w:r/>
          </w:p>
        </w:tc>
      </w:tr>
      <w:tr>
        <w:trPr>
          <w:cantSplit/>
          <w:trHeight w:val="285"/>
        </w:trPr>
        <w:tc>
          <w:tcPr>
            <w:tcBorders>
              <w:top w:val="single" w:color="000000" w:sz="4" w:space="0"/>
              <w:left w:val="single" w:color="000000" w:sz="4" w:space="0"/>
              <w:bottom w:val="single" w:color="000000" w:sz="4" w:space="0"/>
              <w:right w:val="single" w:color="000000" w:sz="4" w:space="0"/>
            </w:tcBorders>
            <w:tcW w:w="739"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238"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tcPr>
          <w:p>
            <w:pPr>
              <w:pStyle w:val="961"/>
              <w:jc w:val="left"/>
              <w:widowControl/>
              <w:rPr>
                <w:rFonts w:hint="eastAsia" w:ascii="宋体" w:hAnsi="宋体" w:cs="宋体"/>
                <w:sz w:val="18"/>
                <w:szCs w:val="18"/>
              </w:rPr>
            </w:pPr>
            <w:r>
              <w:rPr>
                <w:rFonts w:hint="eastAsia" w:ascii="宋体" w:hAnsi="宋体" w:cs="宋体"/>
                <w:sz w:val="18"/>
                <w:szCs w:val="18"/>
              </w:rPr>
              <w:t xml:space="preserve">在岗，不串岗、脱岗，无故离席，不干私活</w:t>
            </w:r>
            <w:r/>
          </w:p>
        </w:tc>
        <w:tc>
          <w:tcPr>
            <w:tcBorders>
              <w:top w:val="single" w:color="000000" w:sz="4" w:space="0"/>
              <w:left w:val="single" w:color="000000" w:sz="4" w:space="0"/>
              <w:bottom w:val="single" w:color="000000" w:sz="4" w:space="0"/>
              <w:right w:val="single" w:color="000000" w:sz="4" w:space="0"/>
            </w:tcBorders>
            <w:tcW w:w="737" w:type="dxa"/>
            <w:vAlign w:val="center"/>
            <w:vMerge w:val="continue"/>
            <w:textDirection w:val="lrTb"/>
            <w:noWrap/>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tcPr>
          <w:p>
            <w:pPr>
              <w:pStyle w:val="961"/>
              <w:jc w:val="left"/>
              <w:widowControl/>
              <w:rPr>
                <w:rFonts w:hint="eastAsia" w:ascii="宋体" w:hAnsi="宋体" w:cs="宋体"/>
                <w:sz w:val="18"/>
                <w:szCs w:val="18"/>
              </w:rPr>
            </w:pPr>
            <w:r>
              <w:rPr>
                <w:rFonts w:hint="eastAsia" w:ascii="宋体" w:hAnsi="宋体" w:cs="宋体"/>
                <w:sz w:val="18"/>
                <w:szCs w:val="18"/>
              </w:rPr>
              <w:t xml:space="preserve">每日白班无故离席时间大于1小时每次扣5分，无故离席时间大于2小时每次扣15分。</w:t>
            </w:r>
            <w:r/>
          </w:p>
        </w:tc>
      </w:tr>
      <w:tr>
        <w:trPr>
          <w:cantSplit/>
          <w:trHeight w:val="285"/>
        </w:trPr>
        <w:tc>
          <w:tcPr>
            <w:tcBorders>
              <w:top w:val="single" w:color="000000" w:sz="4" w:space="0"/>
              <w:left w:val="single" w:color="000000" w:sz="4" w:space="0"/>
              <w:bottom w:val="single" w:color="000000" w:sz="4" w:space="0"/>
              <w:right w:val="single" w:color="000000" w:sz="4" w:space="0"/>
            </w:tcBorders>
            <w:tcW w:w="739"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238"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tcPr>
          <w:p>
            <w:pPr>
              <w:pStyle w:val="961"/>
              <w:jc w:val="left"/>
              <w:widowControl/>
              <w:rPr>
                <w:rFonts w:hint="eastAsia" w:ascii="宋体" w:hAnsi="宋体" w:cs="宋体"/>
                <w:sz w:val="18"/>
                <w:szCs w:val="18"/>
              </w:rPr>
            </w:pPr>
            <w:r>
              <w:rPr>
                <w:rFonts w:hint="eastAsia" w:ascii="宋体" w:hAnsi="宋体" w:cs="宋体"/>
                <w:sz w:val="18"/>
                <w:szCs w:val="18"/>
              </w:rPr>
              <w:t xml:space="preserve">不在工作台吃零食、喝饮料</w:t>
            </w:r>
            <w:r/>
          </w:p>
        </w:tc>
        <w:tc>
          <w:tcPr>
            <w:tcBorders>
              <w:top w:val="single" w:color="000000" w:sz="4" w:space="0"/>
              <w:left w:val="single" w:color="000000" w:sz="4" w:space="0"/>
              <w:bottom w:val="single" w:color="000000" w:sz="4" w:space="0"/>
              <w:right w:val="single" w:color="000000" w:sz="4" w:space="0"/>
            </w:tcBorders>
            <w:tcW w:w="737" w:type="dxa"/>
            <w:vAlign w:val="center"/>
            <w:vMerge w:val="continue"/>
            <w:textDirection w:val="lrTb"/>
            <w:noWrap/>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tcPr>
          <w:p>
            <w:pPr>
              <w:pStyle w:val="961"/>
              <w:jc w:val="left"/>
              <w:widowControl/>
              <w:rPr>
                <w:rFonts w:hint="eastAsia" w:ascii="宋体" w:hAnsi="宋体" w:cs="宋体"/>
                <w:sz w:val="18"/>
                <w:szCs w:val="18"/>
              </w:rPr>
            </w:pPr>
            <w:r>
              <w:rPr>
                <w:rFonts w:hint="eastAsia" w:ascii="宋体" w:hAnsi="宋体" w:cs="宋体"/>
                <w:sz w:val="18"/>
                <w:szCs w:val="18"/>
              </w:rPr>
              <w:t xml:space="preserve">不遵守规定的每次扣2分。</w:t>
            </w:r>
            <w:r/>
          </w:p>
        </w:tc>
      </w:tr>
      <w:tr>
        <w:trPr>
          <w:cantSplit/>
          <w:trHeight w:val="570"/>
        </w:trPr>
        <w:tc>
          <w:tcPr>
            <w:tcBorders>
              <w:top w:val="single" w:color="000000" w:sz="4" w:space="0"/>
              <w:left w:val="single" w:color="000000" w:sz="4" w:space="0"/>
              <w:bottom w:val="single" w:color="000000" w:sz="4" w:space="0"/>
              <w:right w:val="single" w:color="000000" w:sz="4" w:space="0"/>
            </w:tcBorders>
            <w:tcW w:w="739"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238"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调度室个人手机设置为静音或震动模式，上岗后不得使用手机做任何与工作无关的事情</w:t>
            </w:r>
            <w:r/>
          </w:p>
        </w:tc>
        <w:tc>
          <w:tcPr>
            <w:tcBorders>
              <w:top w:val="single" w:color="000000" w:sz="4" w:space="0"/>
              <w:left w:val="single" w:color="000000" w:sz="4" w:space="0"/>
              <w:bottom w:val="single" w:color="000000" w:sz="4" w:space="0"/>
              <w:right w:val="single" w:color="000000" w:sz="4" w:space="0"/>
            </w:tcBorders>
            <w:tcW w:w="737" w:type="dxa"/>
            <w:vAlign w:val="center"/>
            <w:vMerge w:val="continue"/>
            <w:textDirection w:val="lrTb"/>
            <w:noWrap/>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tcPr>
          <w:p>
            <w:pPr>
              <w:pStyle w:val="961"/>
              <w:jc w:val="left"/>
              <w:widowControl/>
              <w:rPr>
                <w:rFonts w:hint="eastAsia" w:ascii="宋体" w:hAnsi="宋体" w:cs="宋体"/>
                <w:sz w:val="18"/>
                <w:szCs w:val="18"/>
              </w:rPr>
            </w:pPr>
            <w:r>
              <w:rPr>
                <w:rFonts w:hint="eastAsia" w:ascii="宋体" w:hAnsi="宋体" w:cs="宋体"/>
                <w:sz w:val="18"/>
                <w:szCs w:val="18"/>
              </w:rPr>
              <w:t xml:space="preserve">工作时间个人手机未设置静音或震动模式的每次扣1分；在上岗时打游戏的，一经发现罚款300元。</w:t>
            </w:r>
            <w:r/>
          </w:p>
        </w:tc>
      </w:tr>
      <w:tr>
        <w:trPr>
          <w:cantSplit/>
          <w:trHeight w:val="479"/>
        </w:trPr>
        <w:tc>
          <w:tcPr>
            <w:tcBorders>
              <w:top w:val="single" w:color="000000" w:sz="4" w:space="0"/>
              <w:left w:val="single" w:color="000000" w:sz="4" w:space="0"/>
              <w:right w:val="single" w:color="000000" w:sz="4" w:space="0"/>
            </w:tcBorders>
            <w:tcW w:w="739" w:type="dxa"/>
            <w:vAlign w:val="center"/>
            <w:vMerge w:val="restart"/>
            <w:textDirection w:val="lrTb"/>
            <w:noWrap w:val="false"/>
          </w:tcPr>
          <w:p>
            <w:pPr>
              <w:pStyle w:val="961"/>
              <w:jc w:val="center"/>
              <w:widowControl/>
              <w:rPr>
                <w:rFonts w:hint="eastAsia" w:ascii="宋体" w:hAnsi="宋体" w:cs="宋体"/>
                <w:sz w:val="18"/>
                <w:szCs w:val="18"/>
              </w:rPr>
            </w:pPr>
            <w:r>
              <w:rPr>
                <w:rFonts w:hint="eastAsia" w:ascii="宋体" w:hAnsi="宋体" w:cs="宋体"/>
                <w:sz w:val="18"/>
                <w:szCs w:val="18"/>
              </w:rPr>
            </w:r>
            <w:r/>
          </w:p>
          <w:p>
            <w:pPr>
              <w:pStyle w:val="961"/>
              <w:jc w:val="center"/>
              <w:widowControl/>
              <w:rPr>
                <w:rFonts w:hint="eastAsia" w:ascii="宋体" w:hAnsi="宋体" w:cs="宋体"/>
                <w:sz w:val="18"/>
                <w:szCs w:val="18"/>
              </w:rPr>
            </w:pPr>
            <w:r>
              <w:rPr>
                <w:rFonts w:hint="eastAsia" w:ascii="宋体" w:hAnsi="宋体" w:cs="宋体"/>
                <w:sz w:val="18"/>
                <w:szCs w:val="18"/>
              </w:rPr>
            </w:r>
            <w:r/>
          </w:p>
          <w:p>
            <w:pPr>
              <w:pStyle w:val="961"/>
              <w:jc w:val="center"/>
              <w:widowControl/>
              <w:rPr>
                <w:rFonts w:hint="eastAsia" w:ascii="宋体" w:hAnsi="宋体" w:cs="宋体"/>
                <w:sz w:val="18"/>
                <w:szCs w:val="18"/>
              </w:rPr>
            </w:pPr>
            <w:r>
              <w:rPr>
                <w:rFonts w:hint="eastAsia" w:ascii="宋体" w:hAnsi="宋体" w:cs="宋体"/>
                <w:sz w:val="18"/>
                <w:szCs w:val="18"/>
              </w:rPr>
            </w:r>
            <w:r/>
          </w:p>
          <w:p>
            <w:pPr>
              <w:pStyle w:val="961"/>
              <w:jc w:val="center"/>
              <w:widowControl/>
              <w:rPr>
                <w:rFonts w:hint="eastAsia" w:ascii="宋体" w:hAnsi="宋体" w:cs="宋体"/>
                <w:sz w:val="18"/>
                <w:szCs w:val="18"/>
              </w:rPr>
            </w:pPr>
            <w:r>
              <w:rPr>
                <w:rFonts w:hint="eastAsia" w:ascii="宋体" w:hAnsi="宋体" w:cs="宋体"/>
                <w:sz w:val="18"/>
                <w:szCs w:val="18"/>
              </w:rPr>
            </w:r>
            <w:r/>
          </w:p>
          <w:p>
            <w:pPr>
              <w:pStyle w:val="961"/>
              <w:jc w:val="center"/>
              <w:widowControl/>
              <w:rPr>
                <w:rFonts w:hint="eastAsia" w:ascii="宋体" w:hAnsi="宋体" w:cs="宋体"/>
                <w:sz w:val="18"/>
                <w:szCs w:val="18"/>
              </w:rPr>
            </w:pPr>
            <w:r>
              <w:rPr>
                <w:rFonts w:hint="eastAsia" w:ascii="宋体" w:hAnsi="宋体" w:cs="宋体"/>
                <w:sz w:val="18"/>
                <w:szCs w:val="18"/>
              </w:rPr>
            </w:r>
            <w:r/>
          </w:p>
          <w:p>
            <w:pPr>
              <w:pStyle w:val="961"/>
              <w:jc w:val="center"/>
              <w:widowControl/>
              <w:rPr>
                <w:rFonts w:hint="eastAsia" w:ascii="宋体" w:hAnsi="宋体" w:cs="宋体"/>
                <w:sz w:val="18"/>
                <w:szCs w:val="18"/>
              </w:rPr>
            </w:pPr>
            <w:r>
              <w:rPr>
                <w:rFonts w:hint="eastAsia" w:ascii="宋体" w:hAnsi="宋体" w:cs="宋体"/>
                <w:sz w:val="18"/>
                <w:szCs w:val="18"/>
              </w:rPr>
            </w:r>
            <w:r/>
          </w:p>
          <w:p>
            <w:pPr>
              <w:pStyle w:val="961"/>
              <w:jc w:val="center"/>
              <w:widowControl/>
              <w:rPr>
                <w:rFonts w:hint="eastAsia" w:ascii="宋体" w:hAnsi="宋体" w:cs="宋体"/>
                <w:sz w:val="18"/>
                <w:szCs w:val="18"/>
              </w:rPr>
            </w:pPr>
            <w:r>
              <w:rPr>
                <w:rFonts w:hint="eastAsia" w:ascii="宋体" w:hAnsi="宋体" w:cs="宋体"/>
                <w:sz w:val="18"/>
                <w:szCs w:val="18"/>
              </w:rPr>
            </w:r>
            <w:r/>
          </w:p>
          <w:p>
            <w:pPr>
              <w:pStyle w:val="961"/>
              <w:jc w:val="center"/>
              <w:widowControl/>
              <w:rPr>
                <w:rFonts w:hint="eastAsia" w:ascii="宋体" w:hAnsi="宋体" w:cs="宋体"/>
                <w:sz w:val="18"/>
                <w:szCs w:val="18"/>
              </w:rPr>
            </w:pPr>
            <w:r>
              <w:rPr>
                <w:rFonts w:hint="eastAsia" w:ascii="宋体" w:hAnsi="宋体" w:cs="宋体"/>
                <w:sz w:val="18"/>
                <w:szCs w:val="18"/>
              </w:rPr>
            </w:r>
            <w:r/>
          </w:p>
          <w:p>
            <w:pPr>
              <w:pStyle w:val="961"/>
              <w:jc w:val="center"/>
              <w:widowControl/>
              <w:rPr>
                <w:rFonts w:hint="eastAsia" w:ascii="宋体" w:hAnsi="宋体" w:cs="宋体"/>
                <w:sz w:val="18"/>
                <w:szCs w:val="18"/>
              </w:rPr>
            </w:pPr>
            <w:r>
              <w:rPr>
                <w:rFonts w:hint="eastAsia" w:ascii="宋体" w:hAnsi="宋体" w:cs="宋体"/>
                <w:sz w:val="18"/>
                <w:szCs w:val="18"/>
              </w:rPr>
            </w:r>
            <w:r/>
          </w:p>
          <w:p>
            <w:pPr>
              <w:pStyle w:val="961"/>
              <w:jc w:val="center"/>
              <w:widowControl/>
              <w:rPr>
                <w:rFonts w:hint="eastAsia" w:ascii="宋体" w:hAnsi="宋体" w:cs="宋体"/>
                <w:sz w:val="18"/>
                <w:szCs w:val="18"/>
              </w:rPr>
            </w:pPr>
            <w:r>
              <w:rPr>
                <w:rFonts w:hint="eastAsia" w:ascii="宋体" w:hAnsi="宋体" w:cs="宋体"/>
                <w:sz w:val="18"/>
                <w:szCs w:val="18"/>
              </w:rPr>
            </w:r>
            <w:r/>
          </w:p>
          <w:p>
            <w:pPr>
              <w:pStyle w:val="961"/>
              <w:jc w:val="center"/>
              <w:widowControl/>
              <w:rPr>
                <w:rFonts w:hint="eastAsia" w:ascii="宋体" w:hAnsi="宋体" w:cs="宋体"/>
                <w:sz w:val="18"/>
                <w:szCs w:val="18"/>
              </w:rPr>
            </w:pPr>
            <w:r>
              <w:rPr>
                <w:rFonts w:hint="eastAsia" w:ascii="宋体" w:hAnsi="宋体" w:cs="宋体"/>
                <w:sz w:val="18"/>
                <w:szCs w:val="18"/>
              </w:rPr>
            </w:r>
            <w:r/>
          </w:p>
          <w:p>
            <w:pPr>
              <w:pStyle w:val="961"/>
              <w:jc w:val="center"/>
              <w:widowControl/>
              <w:rPr>
                <w:rFonts w:hint="eastAsia" w:ascii="宋体" w:hAnsi="宋体" w:cs="宋体"/>
                <w:sz w:val="18"/>
                <w:szCs w:val="18"/>
              </w:rPr>
            </w:pPr>
            <w:r>
              <w:rPr>
                <w:rFonts w:hint="eastAsia" w:ascii="宋体" w:hAnsi="宋体" w:cs="宋体"/>
                <w:sz w:val="18"/>
                <w:szCs w:val="18"/>
              </w:rPr>
            </w:r>
            <w:r/>
          </w:p>
          <w:p>
            <w:pPr>
              <w:pStyle w:val="961"/>
              <w:jc w:val="center"/>
              <w:widowControl/>
              <w:rPr>
                <w:rFonts w:hint="eastAsia" w:ascii="宋体" w:hAnsi="宋体" w:cs="宋体"/>
                <w:sz w:val="18"/>
                <w:szCs w:val="18"/>
              </w:rPr>
            </w:pPr>
            <w:r>
              <w:rPr>
                <w:rFonts w:hint="eastAsia" w:ascii="宋体" w:hAnsi="宋体" w:cs="宋体"/>
                <w:sz w:val="18"/>
                <w:szCs w:val="18"/>
              </w:rPr>
            </w:r>
            <w:r/>
          </w:p>
          <w:p>
            <w:pPr>
              <w:pStyle w:val="961"/>
              <w:jc w:val="center"/>
              <w:widowControl/>
              <w:rPr>
                <w:rFonts w:hint="eastAsia" w:ascii="宋体" w:hAnsi="宋体" w:cs="宋体"/>
                <w:sz w:val="18"/>
                <w:szCs w:val="18"/>
              </w:rPr>
            </w:pPr>
            <w:r>
              <w:rPr>
                <w:rFonts w:hint="eastAsia" w:ascii="宋体" w:hAnsi="宋体" w:cs="宋体"/>
                <w:sz w:val="18"/>
                <w:szCs w:val="18"/>
              </w:rPr>
              <w:t xml:space="preserve">工作量和工作质量（85分）</w:t>
            </w:r>
            <w:r/>
          </w:p>
        </w:tc>
        <w:tc>
          <w:tcPr>
            <w:tcBorders>
              <w:top w:val="single" w:color="000000" w:sz="4" w:space="0"/>
              <w:left w:val="single" w:color="000000" w:sz="4" w:space="0"/>
              <w:right w:val="single" w:color="000000" w:sz="4" w:space="0"/>
            </w:tcBorders>
            <w:tcW w:w="1238" w:type="dxa"/>
            <w:vAlign w:val="center"/>
            <w:vMerge w:val="restart"/>
            <w:textDirection w:val="lrTb"/>
            <w:noWrap w:val="false"/>
          </w:tcPr>
          <w:p>
            <w:pPr>
              <w:pStyle w:val="961"/>
              <w:jc w:val="center"/>
              <w:widowControl/>
              <w:rPr>
                <w:rFonts w:hint="eastAsia" w:ascii="宋体" w:hAnsi="宋体" w:cs="宋体"/>
                <w:sz w:val="18"/>
                <w:szCs w:val="18"/>
              </w:rPr>
            </w:pPr>
            <w:r>
              <w:rPr>
                <w:rFonts w:hint="eastAsia" w:ascii="宋体" w:hAnsi="宋体" w:cs="宋体"/>
                <w:sz w:val="18"/>
                <w:szCs w:val="18"/>
              </w:rPr>
            </w:r>
            <w:r/>
          </w:p>
          <w:p>
            <w:pPr>
              <w:pStyle w:val="961"/>
              <w:jc w:val="center"/>
              <w:widowControl/>
              <w:rPr>
                <w:rFonts w:hint="eastAsia" w:ascii="宋体" w:hAnsi="宋体" w:cs="宋体"/>
                <w:sz w:val="18"/>
                <w:szCs w:val="18"/>
              </w:rPr>
            </w:pPr>
            <w:r>
              <w:rPr>
                <w:rFonts w:hint="eastAsia" w:ascii="宋体" w:hAnsi="宋体" w:cs="宋体"/>
                <w:sz w:val="18"/>
                <w:szCs w:val="18"/>
              </w:rPr>
            </w:r>
            <w:r/>
          </w:p>
          <w:p>
            <w:pPr>
              <w:pStyle w:val="961"/>
              <w:jc w:val="center"/>
              <w:widowControl/>
              <w:rPr>
                <w:rFonts w:hint="eastAsia" w:ascii="宋体" w:hAnsi="宋体" w:cs="宋体"/>
                <w:sz w:val="18"/>
                <w:szCs w:val="18"/>
              </w:rPr>
            </w:pPr>
            <w:r>
              <w:rPr>
                <w:rFonts w:hint="eastAsia" w:ascii="宋体" w:hAnsi="宋体" w:cs="宋体"/>
                <w:sz w:val="18"/>
                <w:szCs w:val="18"/>
              </w:rPr>
            </w:r>
            <w:r/>
          </w:p>
          <w:p>
            <w:pPr>
              <w:pStyle w:val="961"/>
              <w:jc w:val="center"/>
              <w:widowControl/>
              <w:rPr>
                <w:rFonts w:hint="eastAsia" w:ascii="宋体" w:hAnsi="宋体" w:cs="宋体"/>
                <w:sz w:val="18"/>
                <w:szCs w:val="18"/>
              </w:rPr>
            </w:pPr>
            <w:r>
              <w:rPr>
                <w:rFonts w:hint="eastAsia" w:ascii="宋体" w:hAnsi="宋体" w:cs="宋体"/>
                <w:sz w:val="18"/>
                <w:szCs w:val="18"/>
              </w:rPr>
            </w:r>
            <w:r/>
          </w:p>
          <w:p>
            <w:pPr>
              <w:pStyle w:val="961"/>
              <w:jc w:val="center"/>
              <w:widowControl/>
              <w:rPr>
                <w:rFonts w:hint="eastAsia" w:ascii="宋体" w:hAnsi="宋体" w:cs="宋体"/>
                <w:sz w:val="18"/>
                <w:szCs w:val="18"/>
              </w:rPr>
            </w:pPr>
            <w:r>
              <w:rPr>
                <w:rFonts w:hint="eastAsia" w:ascii="宋体" w:hAnsi="宋体" w:cs="宋体"/>
                <w:sz w:val="18"/>
                <w:szCs w:val="18"/>
              </w:rPr>
            </w:r>
            <w:r/>
          </w:p>
          <w:p>
            <w:pPr>
              <w:pStyle w:val="961"/>
              <w:jc w:val="center"/>
              <w:widowControl/>
              <w:rPr>
                <w:rFonts w:hint="eastAsia" w:ascii="宋体" w:hAnsi="宋体" w:cs="宋体"/>
                <w:sz w:val="18"/>
                <w:szCs w:val="18"/>
              </w:rPr>
            </w:pPr>
            <w:r>
              <w:rPr>
                <w:rFonts w:hint="eastAsia" w:ascii="宋体" w:hAnsi="宋体" w:cs="宋体"/>
                <w:sz w:val="18"/>
                <w:szCs w:val="18"/>
              </w:rPr>
            </w:r>
            <w:r/>
          </w:p>
          <w:p>
            <w:pPr>
              <w:pStyle w:val="961"/>
              <w:jc w:val="center"/>
              <w:widowControl/>
              <w:rPr>
                <w:rFonts w:hint="eastAsia" w:ascii="宋体" w:hAnsi="宋体" w:cs="宋体"/>
                <w:sz w:val="18"/>
                <w:szCs w:val="18"/>
              </w:rPr>
            </w:pPr>
            <w:r>
              <w:rPr>
                <w:rFonts w:hint="eastAsia" w:ascii="宋体" w:hAnsi="宋体" w:cs="宋体"/>
                <w:sz w:val="18"/>
                <w:szCs w:val="18"/>
              </w:rPr>
            </w:r>
            <w:r/>
          </w:p>
          <w:p>
            <w:pPr>
              <w:pStyle w:val="961"/>
              <w:jc w:val="center"/>
              <w:widowControl/>
              <w:rPr>
                <w:rFonts w:hint="eastAsia" w:ascii="宋体" w:hAnsi="宋体" w:cs="宋体"/>
                <w:sz w:val="18"/>
                <w:szCs w:val="18"/>
              </w:rPr>
            </w:pPr>
            <w:r>
              <w:rPr>
                <w:rFonts w:hint="eastAsia" w:ascii="宋体" w:hAnsi="宋体" w:cs="宋体"/>
                <w:sz w:val="18"/>
                <w:szCs w:val="18"/>
              </w:rPr>
            </w:r>
            <w:r/>
          </w:p>
          <w:p>
            <w:pPr>
              <w:pStyle w:val="961"/>
              <w:jc w:val="center"/>
              <w:widowControl/>
              <w:rPr>
                <w:rFonts w:hint="eastAsia" w:ascii="宋体" w:hAnsi="宋体" w:cs="宋体"/>
                <w:sz w:val="18"/>
                <w:szCs w:val="18"/>
              </w:rPr>
            </w:pPr>
            <w:r>
              <w:rPr>
                <w:rFonts w:hint="eastAsia" w:ascii="宋体" w:hAnsi="宋体" w:cs="宋体"/>
                <w:sz w:val="18"/>
                <w:szCs w:val="18"/>
              </w:rPr>
              <w:t xml:space="preserve">业务受理（70分）</w:t>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摘机时间≤3秒</w:t>
            </w:r>
            <w:r/>
          </w:p>
        </w:tc>
        <w:tc>
          <w:tcPr>
            <w:tcBorders>
              <w:top w:val="single" w:color="000000" w:sz="4" w:space="0"/>
              <w:left w:val="single" w:color="000000" w:sz="4" w:space="0"/>
              <w:right w:val="single" w:color="000000" w:sz="4" w:space="0"/>
            </w:tcBorders>
            <w:tcW w:w="737" w:type="dxa"/>
            <w:vAlign w:val="center"/>
            <w:vMerge w:val="restart"/>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系统数据分析</w:t>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&gt;3秒扣1分。</w:t>
            </w:r>
            <w:r/>
          </w:p>
        </w:tc>
      </w:tr>
      <w:tr>
        <w:trPr>
          <w:cantSplit/>
          <w:trHeight w:val="285"/>
        </w:trPr>
        <w:tc>
          <w:tcPr>
            <w:tcBorders>
              <w:left w:val="single" w:color="000000" w:sz="4" w:space="0"/>
              <w:right w:val="single" w:color="000000" w:sz="4" w:space="0"/>
            </w:tcBorders>
            <w:tcW w:w="739"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left w:val="single" w:color="000000" w:sz="4" w:space="0"/>
              <w:right w:val="single" w:color="000000" w:sz="4" w:space="0"/>
            </w:tcBorders>
            <w:tcW w:w="1238"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接打电话服务态度良好</w:t>
            </w:r>
            <w:r/>
          </w:p>
        </w:tc>
        <w:tc>
          <w:tcPr>
            <w:tcBorders>
              <w:left w:val="single" w:color="000000" w:sz="4" w:space="0"/>
              <w:right w:val="single" w:color="000000" w:sz="4" w:space="0"/>
            </w:tcBorders>
            <w:tcW w:w="737"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语气生硬，态度恶劣扣2分。</w:t>
            </w:r>
            <w:r/>
          </w:p>
        </w:tc>
      </w:tr>
      <w:tr>
        <w:trPr>
          <w:cantSplit/>
          <w:trHeight w:val="239"/>
        </w:trPr>
        <w:tc>
          <w:tcPr>
            <w:tcBorders>
              <w:left w:val="single" w:color="000000" w:sz="4" w:space="0"/>
              <w:right w:val="single" w:color="000000" w:sz="4" w:space="0"/>
            </w:tcBorders>
            <w:tcW w:w="739"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left w:val="single" w:color="000000" w:sz="4" w:space="0"/>
              <w:right w:val="single" w:color="000000" w:sz="4" w:space="0"/>
            </w:tcBorders>
            <w:tcW w:w="1238"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接到完整信息后派车用时≦60秒</w:t>
            </w:r>
            <w:r/>
          </w:p>
        </w:tc>
        <w:tc>
          <w:tcPr>
            <w:tcBorders>
              <w:left w:val="single" w:color="000000" w:sz="4" w:space="0"/>
              <w:right w:val="single" w:color="000000" w:sz="4" w:space="0"/>
            </w:tcBorders>
            <w:tcW w:w="737" w:type="dxa"/>
            <w:vAlign w:val="center"/>
            <w:vMerge w:val="continue"/>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高于60秒扣2分</w:t>
            </w:r>
            <w:r/>
          </w:p>
        </w:tc>
      </w:tr>
      <w:tr>
        <w:trPr>
          <w:cantSplit/>
          <w:trHeight w:val="284"/>
        </w:trPr>
        <w:tc>
          <w:tcPr>
            <w:tcBorders>
              <w:left w:val="single" w:color="000000" w:sz="4" w:space="0"/>
              <w:right w:val="single" w:color="000000" w:sz="4" w:space="0"/>
            </w:tcBorders>
            <w:tcW w:w="739"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left w:val="single" w:color="000000" w:sz="4" w:space="0"/>
              <w:right w:val="single" w:color="000000" w:sz="4" w:space="0"/>
            </w:tcBorders>
            <w:tcW w:w="1238"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受理调度时间≤90秒</w:t>
            </w:r>
            <w:r/>
          </w:p>
        </w:tc>
        <w:tc>
          <w:tcPr>
            <w:tcBorders>
              <w:left w:val="single" w:color="000000" w:sz="4" w:space="0"/>
              <w:right w:val="single" w:color="000000" w:sz="4" w:space="0"/>
            </w:tcBorders>
            <w:tcW w:w="737" w:type="dxa"/>
            <w:vAlign w:val="center"/>
            <w:vMerge w:val="continue"/>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无特殊情况受理调度用时超过90秒扣10分</w:t>
            </w:r>
            <w:r/>
          </w:p>
        </w:tc>
      </w:tr>
      <w:tr>
        <w:trPr>
          <w:cantSplit/>
          <w:trHeight w:val="284"/>
        </w:trPr>
        <w:tc>
          <w:tcPr>
            <w:tcBorders>
              <w:left w:val="single" w:color="000000" w:sz="4" w:space="0"/>
              <w:right w:val="single" w:color="000000" w:sz="4" w:space="0"/>
            </w:tcBorders>
            <w:tcW w:w="739"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left w:val="single" w:color="000000" w:sz="4" w:space="0"/>
              <w:right w:val="single" w:color="000000" w:sz="4" w:space="0"/>
            </w:tcBorders>
            <w:tcW w:w="1238"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无特殊原因不手工派单</w:t>
            </w:r>
            <w:r/>
          </w:p>
        </w:tc>
        <w:tc>
          <w:tcPr>
            <w:tcBorders>
              <w:left w:val="single" w:color="000000" w:sz="4" w:space="0"/>
              <w:right w:val="single" w:color="000000" w:sz="4" w:space="0"/>
            </w:tcBorders>
            <w:tcW w:w="737" w:type="dxa"/>
            <w:vAlign w:val="center"/>
            <w:vMerge w:val="continue"/>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无特殊原因手工派单每例扣5分</w:t>
            </w:r>
            <w:r/>
          </w:p>
        </w:tc>
      </w:tr>
      <w:tr>
        <w:trPr>
          <w:cantSplit/>
          <w:trHeight w:val="284"/>
        </w:trPr>
        <w:tc>
          <w:tcPr>
            <w:tcBorders>
              <w:left w:val="single" w:color="000000" w:sz="4" w:space="0"/>
              <w:right w:val="single" w:color="000000" w:sz="4" w:space="0"/>
            </w:tcBorders>
            <w:tcW w:w="739"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left w:val="single" w:color="000000" w:sz="4" w:space="0"/>
              <w:right w:val="single" w:color="000000" w:sz="4" w:space="0"/>
            </w:tcBorders>
            <w:tcW w:w="1238"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调度系统派车单内容完整、规范</w:t>
            </w:r>
            <w:r/>
          </w:p>
        </w:tc>
        <w:tc>
          <w:tcPr>
            <w:tcBorders>
              <w:left w:val="single" w:color="000000" w:sz="4" w:space="0"/>
              <w:bottom w:val="single" w:color="000000" w:sz="4" w:space="0"/>
              <w:right w:val="single" w:color="000000" w:sz="4" w:space="0"/>
            </w:tcBorders>
            <w:tcW w:w="737" w:type="dxa"/>
            <w:vAlign w:val="center"/>
            <w:vMerge w:val="continue"/>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内容不完整或因个人原因造成事件地址错误、病情错误、电话错误等每次扣4分。</w:t>
            </w:r>
            <w:r/>
          </w:p>
        </w:tc>
      </w:tr>
      <w:tr>
        <w:trPr>
          <w:cantSplit/>
          <w:trHeight w:val="570"/>
        </w:trPr>
        <w:tc>
          <w:tcPr>
            <w:tcBorders>
              <w:left w:val="single" w:color="000000" w:sz="4" w:space="0"/>
              <w:right w:val="single" w:color="000000" w:sz="4" w:space="0"/>
            </w:tcBorders>
            <w:tcW w:w="739"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left w:val="single" w:color="000000" w:sz="4" w:space="0"/>
              <w:right w:val="single" w:color="000000" w:sz="4" w:space="0"/>
            </w:tcBorders>
            <w:tcW w:w="1238"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合理派车</w:t>
            </w:r>
            <w:r/>
          </w:p>
        </w:tc>
        <w:tc>
          <w:tcPr>
            <w:tcBorders>
              <w:top w:val="single" w:color="000000" w:sz="4" w:space="0"/>
              <w:left w:val="single" w:color="000000" w:sz="4" w:space="0"/>
              <w:bottom w:val="single" w:color="000000" w:sz="4" w:space="0"/>
              <w:right w:val="single" w:color="000000" w:sz="4" w:space="0"/>
            </w:tcBorders>
            <w:tcW w:w="737" w:type="dxa"/>
            <w:vAlign w:val="center"/>
            <w:vMerge w:val="restart"/>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电话录音巡查及资料核查</w:t>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点错单、不合理派车后重新生单、随意改派、发现问题不及时改派、不及时增派、不合理改派、不合理增派、重复派的，每单扣5分。</w:t>
            </w:r>
            <w:r/>
          </w:p>
        </w:tc>
      </w:tr>
      <w:tr>
        <w:trPr>
          <w:cantSplit/>
          <w:trHeight w:val="570"/>
        </w:trPr>
        <w:tc>
          <w:tcPr>
            <w:tcBorders>
              <w:left w:val="single" w:color="000000" w:sz="4" w:space="0"/>
              <w:right w:val="single" w:color="000000" w:sz="4" w:space="0"/>
            </w:tcBorders>
            <w:tcW w:w="739"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left w:val="single" w:color="000000" w:sz="4" w:space="0"/>
              <w:right w:val="single" w:color="000000" w:sz="4" w:space="0"/>
            </w:tcBorders>
            <w:tcW w:w="1238"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掌握基本信息及时派车</w:t>
            </w:r>
            <w:r/>
          </w:p>
        </w:tc>
        <w:tc>
          <w:tcPr>
            <w:tcBorders>
              <w:top w:val="single" w:color="000000" w:sz="4" w:space="0"/>
              <w:left w:val="single" w:color="000000" w:sz="4" w:space="0"/>
              <w:bottom w:val="single" w:color="000000" w:sz="4" w:space="0"/>
              <w:right w:val="single" w:color="000000" w:sz="4" w:space="0"/>
            </w:tcBorders>
            <w:tcW w:w="737" w:type="dxa"/>
            <w:vAlign w:val="center"/>
            <w:vMerge w:val="continue"/>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未及时派车每单扣15分。</w:t>
            </w:r>
            <w:r/>
          </w:p>
        </w:tc>
      </w:tr>
      <w:tr>
        <w:trPr>
          <w:cantSplit/>
          <w:trHeight w:val="570"/>
        </w:trPr>
        <w:tc>
          <w:tcPr>
            <w:tcBorders>
              <w:left w:val="single" w:color="000000" w:sz="4" w:space="0"/>
              <w:right w:val="single" w:color="000000" w:sz="4" w:space="0"/>
            </w:tcBorders>
            <w:tcW w:w="739"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left w:val="single" w:color="000000" w:sz="4" w:space="0"/>
              <w:right w:val="single" w:color="000000" w:sz="4" w:space="0"/>
            </w:tcBorders>
            <w:tcW w:w="1238"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正确及时派车</w:t>
            </w:r>
            <w:r/>
          </w:p>
        </w:tc>
        <w:tc>
          <w:tcPr>
            <w:tcBorders>
              <w:top w:val="single" w:color="000000" w:sz="4" w:space="0"/>
              <w:left w:val="single" w:color="000000" w:sz="4" w:space="0"/>
              <w:bottom w:val="single" w:color="000000" w:sz="4" w:space="0"/>
              <w:right w:val="single" w:color="000000" w:sz="4" w:space="0"/>
            </w:tcBorders>
            <w:tcW w:w="737" w:type="dxa"/>
            <w:vAlign w:val="center"/>
            <w:vMerge w:val="continue"/>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错派、漏派每单扣23分</w:t>
            </w:r>
            <w:r/>
          </w:p>
        </w:tc>
      </w:tr>
      <w:tr>
        <w:trPr>
          <w:cantSplit/>
          <w:trHeight w:val="400"/>
        </w:trPr>
        <w:tc>
          <w:tcPr>
            <w:tcBorders>
              <w:left w:val="single" w:color="000000" w:sz="4" w:space="0"/>
              <w:right w:val="single" w:color="000000" w:sz="4" w:space="0"/>
            </w:tcBorders>
            <w:tcW w:w="739"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left w:val="single" w:color="000000" w:sz="4" w:space="0"/>
              <w:right w:val="single" w:color="000000" w:sz="4" w:space="0"/>
            </w:tcBorders>
            <w:tcW w:w="1238"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规范启语和结语</w:t>
            </w:r>
            <w:r/>
          </w:p>
        </w:tc>
        <w:tc>
          <w:tcPr>
            <w:tcBorders>
              <w:top w:val="single" w:color="000000" w:sz="4" w:space="0"/>
              <w:left w:val="single" w:color="000000" w:sz="4" w:space="0"/>
              <w:bottom w:val="single" w:color="000000" w:sz="4" w:space="0"/>
              <w:right w:val="single" w:color="000000" w:sz="4" w:space="0"/>
            </w:tcBorders>
            <w:tcW w:w="737" w:type="dxa"/>
            <w:vAlign w:val="center"/>
            <w:vMerge w:val="continue"/>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未规范使用启语或结语的每例扣1分</w:t>
            </w:r>
            <w:r/>
          </w:p>
        </w:tc>
      </w:tr>
      <w:tr>
        <w:trPr>
          <w:cantSplit/>
          <w:trHeight w:val="1140"/>
        </w:trPr>
        <w:tc>
          <w:tcPr>
            <w:tcBorders>
              <w:left w:val="single" w:color="000000" w:sz="4" w:space="0"/>
              <w:right w:val="single" w:color="000000" w:sz="4" w:space="0"/>
            </w:tcBorders>
            <w:tcW w:w="739"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left w:val="single" w:color="000000" w:sz="4" w:space="0"/>
              <w:right w:val="single" w:color="000000" w:sz="4" w:space="0"/>
            </w:tcBorders>
            <w:tcW w:w="1238"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跟踪急救全过程，派车后调度席无电话呼入时要立即告知出诊人员，出诊后追踪车辆状态，直至急救任务完成</w:t>
            </w:r>
            <w:r/>
          </w:p>
        </w:tc>
        <w:tc>
          <w:tcPr>
            <w:tcBorders>
              <w:top w:val="single" w:color="000000" w:sz="4" w:space="0"/>
              <w:left w:val="single" w:color="000000" w:sz="4" w:space="0"/>
              <w:bottom w:val="single" w:color="000000" w:sz="4" w:space="0"/>
              <w:right w:val="single" w:color="000000" w:sz="4" w:space="0"/>
            </w:tcBorders>
            <w:tcW w:w="737"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调度席无电话呼入，未立即告知出诊人员；出诊后未追踪车辆状态的每次扣2</w:t>
            </w:r>
            <w:r>
              <w:rPr>
                <w:rFonts w:hint="eastAsia" w:ascii="宋体"/>
                <w:sz w:val="18"/>
                <w:szCs w:val="18"/>
              </w:rPr>
              <w:t xml:space="preserve">分。</w:t>
            </w:r>
            <w:r>
              <w:rPr>
                <w:rFonts w:hint="eastAsia" w:ascii="宋体" w:hAnsi="宋体" w:cs="宋体"/>
                <w:sz w:val="18"/>
                <w:szCs w:val="18"/>
              </w:rPr>
            </w:r>
            <w:r/>
          </w:p>
        </w:tc>
      </w:tr>
      <w:tr>
        <w:trPr>
          <w:cantSplit/>
          <w:trHeight w:val="706"/>
        </w:trPr>
        <w:tc>
          <w:tcPr>
            <w:tcBorders>
              <w:left w:val="single" w:color="000000" w:sz="4" w:space="0"/>
              <w:right w:val="single" w:color="000000" w:sz="4" w:space="0"/>
            </w:tcBorders>
            <w:tcW w:w="739"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left w:val="single" w:color="000000" w:sz="4" w:space="0"/>
              <w:right w:val="single" w:color="000000" w:sz="4" w:space="0"/>
            </w:tcBorders>
            <w:tcW w:w="1238"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与报警人沟通到位、规范用语、准确抓取地址、事件、电话等要素</w:t>
            </w:r>
            <w:r/>
          </w:p>
        </w:tc>
        <w:tc>
          <w:tcPr>
            <w:tcBorders>
              <w:top w:val="single" w:color="000000" w:sz="4" w:space="0"/>
              <w:left w:val="single" w:color="000000" w:sz="4" w:space="0"/>
              <w:bottom w:val="single" w:color="000000" w:sz="4" w:space="0"/>
              <w:right w:val="single" w:color="000000" w:sz="4" w:space="0"/>
            </w:tcBorders>
            <w:tcW w:w="737"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与报警人沟通不到位、未规范使用话术准确简洁抓取三要素每例扣25分；因调度差错引起纠纷，导致严重后果，根据情节严重程度扣除当月绩效</w:t>
            </w:r>
            <w:r>
              <w:rPr>
                <w:rFonts w:hint="eastAsia" w:ascii="宋体"/>
                <w:sz w:val="18"/>
                <w:szCs w:val="18"/>
              </w:rPr>
              <w:t xml:space="preserve">。</w:t>
            </w:r>
            <w:r>
              <w:rPr>
                <w:rFonts w:hint="eastAsia" w:ascii="宋体" w:hAnsi="宋体" w:cs="宋体"/>
                <w:sz w:val="18"/>
                <w:szCs w:val="18"/>
              </w:rPr>
            </w:r>
            <w:r/>
          </w:p>
        </w:tc>
      </w:tr>
      <w:tr>
        <w:trPr>
          <w:cantSplit/>
          <w:trHeight w:val="468"/>
        </w:trPr>
        <w:tc>
          <w:tcPr>
            <w:tcBorders>
              <w:left w:val="single" w:color="000000" w:sz="4" w:space="0"/>
              <w:right w:val="single" w:color="000000" w:sz="4" w:space="0"/>
            </w:tcBorders>
            <w:tcW w:w="739" w:type="dxa"/>
            <w:vAlign w:val="center"/>
            <w:vMerge w:val="continue"/>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r>
            <w:r/>
          </w:p>
        </w:tc>
        <w:tc>
          <w:tcPr>
            <w:tcBorders>
              <w:left w:val="single" w:color="000000" w:sz="4" w:space="0"/>
              <w:right w:val="single" w:color="000000" w:sz="4" w:space="0"/>
            </w:tcBorders>
            <w:tcW w:w="1238" w:type="dxa"/>
            <w:vAlign w:val="center"/>
            <w:vMerge w:val="continue"/>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按要求回拨急救电话</w:t>
            </w:r>
            <w:r/>
          </w:p>
        </w:tc>
        <w:tc>
          <w:tcPr>
            <w:tcBorders>
              <w:left w:val="single" w:color="000000" w:sz="4" w:space="0"/>
              <w:bottom w:val="single" w:color="000000" w:sz="4" w:space="0"/>
              <w:right w:val="single" w:color="000000" w:sz="4" w:space="0"/>
            </w:tcBorders>
            <w:tcW w:w="737" w:type="dxa"/>
            <w:vAlign w:val="center"/>
            <w:vMerge w:val="continue"/>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无回拨每例扣4分，回拨质量差每例扣2分；每月回拨督查≥95%，低于95%，每例扣10元绩效。</w:t>
            </w:r>
            <w:r/>
          </w:p>
        </w:tc>
      </w:tr>
      <w:tr>
        <w:trPr>
          <w:cantSplit/>
          <w:trHeight w:val="468"/>
        </w:trPr>
        <w:tc>
          <w:tcPr>
            <w:tcBorders>
              <w:left w:val="single" w:color="000000" w:sz="4" w:space="0"/>
              <w:right w:val="single" w:color="000000" w:sz="4" w:space="0"/>
            </w:tcBorders>
            <w:tcW w:w="739" w:type="dxa"/>
            <w:vAlign w:val="center"/>
            <w:vMerge w:val="continue"/>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r>
            <w:r/>
          </w:p>
        </w:tc>
        <w:tc>
          <w:tcPr>
            <w:tcBorders>
              <w:left w:val="single" w:color="000000" w:sz="4" w:space="0"/>
              <w:right w:val="single" w:color="000000" w:sz="4" w:space="0"/>
            </w:tcBorders>
            <w:tcW w:w="1238" w:type="dxa"/>
            <w:vAlign w:val="center"/>
            <w:vMerge w:val="continue"/>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进行必要的远程电话指导</w:t>
            </w:r>
            <w:r/>
          </w:p>
        </w:tc>
        <w:tc>
          <w:tcPr>
            <w:tcBorders>
              <w:left w:val="single" w:color="000000" w:sz="4" w:space="0"/>
              <w:bottom w:val="single" w:color="000000" w:sz="4" w:space="0"/>
              <w:right w:val="single" w:color="000000" w:sz="4" w:space="0"/>
            </w:tcBorders>
            <w:tcW w:w="737" w:type="dxa"/>
            <w:vAlign w:val="center"/>
            <w:vMerge w:val="continue"/>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未指导的每次扣4分；特殊病种未指导月督查分每例扣2分。</w:t>
            </w:r>
            <w:r/>
          </w:p>
        </w:tc>
      </w:tr>
      <w:tr>
        <w:trPr>
          <w:cantSplit/>
          <w:trHeight w:val="570"/>
        </w:trPr>
        <w:tc>
          <w:tcPr>
            <w:tcBorders>
              <w:left w:val="single" w:color="000000" w:sz="4" w:space="0"/>
              <w:right w:val="single" w:color="000000" w:sz="4" w:space="0"/>
            </w:tcBorders>
            <w:tcW w:w="739"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工作量对比（1分）</w:t>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同班调度员摘机数相差≤10个，总话务数相差≤20个</w:t>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资料核查</w:t>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相差超过规定数每次扣1分。</w:t>
            </w:r>
            <w:r/>
          </w:p>
        </w:tc>
      </w:tr>
      <w:tr>
        <w:trPr>
          <w:cantSplit/>
          <w:trHeight w:val="570"/>
        </w:trPr>
        <w:tc>
          <w:tcPr>
            <w:tcBorders>
              <w:left w:val="single" w:color="000000" w:sz="4" w:space="0"/>
              <w:right w:val="single" w:color="000000" w:sz="4" w:space="0"/>
            </w:tcBorders>
            <w:tcW w:w="739"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238" w:type="dxa"/>
            <w:vAlign w:val="center"/>
            <w:vMerge w:val="restart"/>
            <w:textDirection w:val="lrTb"/>
            <w:noWrap w:val="false"/>
          </w:tcPr>
          <w:p>
            <w:pPr>
              <w:pStyle w:val="961"/>
              <w:jc w:val="center"/>
              <w:widowControl/>
              <w:rPr>
                <w:rFonts w:hint="eastAsia" w:ascii="宋体" w:hAnsi="宋体" w:cs="宋体"/>
                <w:sz w:val="18"/>
                <w:szCs w:val="18"/>
              </w:rPr>
            </w:pPr>
            <w:r>
              <w:rPr>
                <w:rFonts w:hint="eastAsia" w:ascii="宋体" w:hAnsi="宋体" w:cs="宋体"/>
                <w:sz w:val="18"/>
                <w:szCs w:val="18"/>
              </w:rPr>
              <w:t xml:space="preserve">突发/特殊事件（5分）</w:t>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当班中出现的调度和急救中的特殊情况须有详细记录，交班时必须说明</w:t>
            </w:r>
            <w:r/>
          </w:p>
        </w:tc>
        <w:tc>
          <w:tcPr>
            <w:tcBorders>
              <w:top w:val="single" w:color="000000" w:sz="4" w:space="0"/>
              <w:left w:val="single" w:color="000000" w:sz="4" w:space="0"/>
              <w:bottom w:val="single" w:color="000000" w:sz="4" w:space="0"/>
              <w:right w:val="single" w:color="000000" w:sz="4" w:space="0"/>
            </w:tcBorders>
            <w:tcW w:w="737" w:type="dxa"/>
            <w:vAlign w:val="center"/>
            <w:vMerge w:val="restart"/>
            <w:textDirection w:val="lrTb"/>
            <w:noWrap w:val="false"/>
          </w:tcPr>
          <w:p>
            <w:pPr>
              <w:pStyle w:val="961"/>
              <w:jc w:val="center"/>
              <w:widowControl/>
              <w:rPr>
                <w:rFonts w:hint="eastAsia" w:ascii="宋体" w:hAnsi="宋体" w:cs="宋体"/>
                <w:sz w:val="18"/>
                <w:szCs w:val="18"/>
              </w:rPr>
            </w:pPr>
            <w:r>
              <w:rPr>
                <w:rFonts w:hint="eastAsia" w:ascii="宋体" w:hAnsi="宋体" w:cs="宋体"/>
                <w:sz w:val="18"/>
                <w:szCs w:val="18"/>
              </w:rPr>
              <w:t xml:space="preserve">巡查及核查</w:t>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特殊情况未记录、交班时未做说明的每例扣2分。</w:t>
            </w:r>
            <w:r/>
          </w:p>
        </w:tc>
      </w:tr>
      <w:tr>
        <w:trPr>
          <w:cantSplit/>
          <w:trHeight w:val="723"/>
        </w:trPr>
        <w:tc>
          <w:tcPr>
            <w:tcBorders>
              <w:left w:val="single" w:color="000000" w:sz="4" w:space="0"/>
              <w:right w:val="single" w:color="000000" w:sz="4" w:space="0"/>
            </w:tcBorders>
            <w:tcW w:w="739"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238"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急救、非急救接报规范、突发事件应急处理规范、重大事件上报流程规范</w:t>
            </w:r>
            <w:r/>
          </w:p>
        </w:tc>
        <w:tc>
          <w:tcPr>
            <w:tcBorders>
              <w:top w:val="single" w:color="000000" w:sz="4" w:space="0"/>
              <w:left w:val="single" w:color="000000" w:sz="4" w:space="0"/>
              <w:bottom w:val="single" w:color="000000" w:sz="4" w:space="0"/>
              <w:right w:val="single" w:color="000000" w:sz="4" w:space="0"/>
            </w:tcBorders>
            <w:tcW w:w="737"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接报、突发事件应急处理、上报流程不规范的每例扣3分</w:t>
            </w:r>
            <w:r/>
          </w:p>
        </w:tc>
      </w:tr>
      <w:tr>
        <w:trPr>
          <w:cantSplit/>
          <w:trHeight w:val="570"/>
        </w:trPr>
        <w:tc>
          <w:tcPr>
            <w:tcBorders>
              <w:left w:val="single" w:color="000000" w:sz="4" w:space="0"/>
              <w:right w:val="single" w:color="000000" w:sz="4" w:space="0"/>
            </w:tcBorders>
            <w:tcW w:w="739"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1238" w:type="dxa"/>
            <w:vAlign w:val="center"/>
            <w:vMerge w:val="restart"/>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文件书写</w:t>
            </w:r>
            <w:r/>
          </w:p>
          <w:p>
            <w:pPr>
              <w:pStyle w:val="961"/>
              <w:jc w:val="left"/>
              <w:widowControl/>
              <w:rPr>
                <w:rFonts w:hint="eastAsia" w:ascii="宋体" w:hAnsi="宋体" w:cs="宋体"/>
                <w:sz w:val="18"/>
                <w:szCs w:val="18"/>
              </w:rPr>
            </w:pPr>
            <w:r>
              <w:rPr>
                <w:rFonts w:hint="eastAsia" w:ascii="宋体" w:hAnsi="宋体" w:cs="宋体"/>
                <w:sz w:val="18"/>
                <w:szCs w:val="18"/>
              </w:rPr>
              <w:t xml:space="preserve">（5分）</w:t>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交班记录登记完整、准确、工整，做到书面、口头双交接</w:t>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资料核查</w:t>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不规范、错误、字迹潦草无法识别、无签名的每次扣1分；未进行书面、口头双交接扣3分。</w:t>
            </w:r>
            <w:r/>
          </w:p>
        </w:tc>
      </w:tr>
      <w:tr>
        <w:trPr>
          <w:cantSplit/>
          <w:trHeight w:val="570"/>
        </w:trPr>
        <w:tc>
          <w:tcPr>
            <w:tcBorders>
              <w:left w:val="single" w:color="000000" w:sz="4" w:space="0"/>
              <w:right w:val="single" w:color="000000" w:sz="4" w:space="0"/>
            </w:tcBorders>
            <w:tcW w:w="739"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left w:val="single" w:color="000000" w:sz="4" w:space="0"/>
              <w:bottom w:val="single" w:color="000000" w:sz="4" w:space="0"/>
              <w:right w:val="single" w:color="000000" w:sz="4" w:space="0"/>
            </w:tcBorders>
            <w:tcW w:w="1238" w:type="dxa"/>
            <w:vAlign w:val="center"/>
            <w:vMerge w:val="continue"/>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交班统计正确、完整</w:t>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数据、人员统计错误、遗漏每次扣2分。</w:t>
            </w:r>
            <w:r/>
          </w:p>
        </w:tc>
      </w:tr>
      <w:tr>
        <w:trPr>
          <w:cantSplit/>
          <w:trHeight w:val="570"/>
        </w:trPr>
        <w:tc>
          <w:tcPr>
            <w:tcBorders>
              <w:left w:val="single" w:color="000000" w:sz="4" w:space="0"/>
              <w:right w:val="single" w:color="000000" w:sz="4" w:space="0"/>
            </w:tcBorders>
            <w:tcW w:w="739"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拨测（3份）</w:t>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无来电时每半小时拨测一次</w:t>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资料核查</w:t>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半小时无来电无拨测每次扣3分</w:t>
            </w:r>
            <w:r/>
          </w:p>
        </w:tc>
      </w:tr>
      <w:tr>
        <w:trPr>
          <w:cantSplit/>
          <w:trHeight w:val="570"/>
        </w:trPr>
        <w:tc>
          <w:tcPr>
            <w:tcBorders>
              <w:left w:val="single" w:color="000000" w:sz="4" w:space="0"/>
              <w:bottom w:val="single" w:color="000000" w:sz="4" w:space="0"/>
              <w:right w:val="single" w:color="000000" w:sz="4" w:space="0"/>
            </w:tcBorders>
            <w:tcW w:w="739"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车辆站点一致（1分））</w:t>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车辆登记站点与实际执勤站点一致</w:t>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资料核查</w:t>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车辆登记站点与实际执勤不一致每班次扣1分。</w:t>
            </w:r>
            <w:r/>
          </w:p>
        </w:tc>
      </w:tr>
    </w:tbl>
    <w:p>
      <w:pPr>
        <w:pStyle w:val="961"/>
        <w:ind w:firstLine="640"/>
        <w:spacing w:line="276" w:lineRule="auto"/>
        <w:widowControl/>
        <w:rPr>
          <w:rFonts w:hint="eastAsia" w:ascii="宋体" w:hAnsi="宋体" w:cs="宋体"/>
          <w:sz w:val="32"/>
          <w:szCs w:val="32"/>
        </w:rPr>
      </w:pPr>
      <w:r>
        <w:rPr>
          <w:rFonts w:hint="eastAsia" w:ascii="宋体" w:hAnsi="宋体" w:cs="宋体"/>
          <w:sz w:val="32"/>
          <w:szCs w:val="32"/>
        </w:rPr>
        <w:t xml:space="preserve">                </w:t>
      </w:r>
      <w:r/>
    </w:p>
    <w:p>
      <w:pPr>
        <w:pStyle w:val="961"/>
        <w:ind w:firstLine="640"/>
        <w:jc w:val="center"/>
        <w:spacing w:line="276" w:lineRule="auto"/>
        <w:widowControl/>
        <w:rPr>
          <w:rFonts w:hint="eastAsia" w:ascii="宋体" w:hAnsi="宋体" w:cs="宋体"/>
          <w:sz w:val="32"/>
          <w:szCs w:val="32"/>
        </w:rPr>
      </w:pPr>
      <w:r>
        <w:rPr>
          <w:rFonts w:hint="eastAsia" w:ascii="宋体" w:hAnsi="宋体" w:cs="宋体"/>
          <w:sz w:val="32"/>
          <w:szCs w:val="32"/>
        </w:rPr>
      </w:r>
      <w:r/>
    </w:p>
    <w:p>
      <w:pPr>
        <w:pStyle w:val="961"/>
        <w:ind w:firstLine="640"/>
        <w:jc w:val="center"/>
        <w:spacing w:line="276" w:lineRule="auto"/>
        <w:widowControl/>
        <w:rPr>
          <w:rFonts w:hint="eastAsia" w:ascii="宋体" w:hAnsi="宋体" w:cs="宋体"/>
          <w:sz w:val="32"/>
          <w:szCs w:val="32"/>
        </w:rPr>
      </w:pPr>
      <w:r>
        <w:rPr>
          <w:rFonts w:hint="eastAsia" w:ascii="宋体" w:hAnsi="宋体" w:cs="宋体"/>
          <w:sz w:val="32"/>
          <w:szCs w:val="32"/>
        </w:rPr>
      </w:r>
      <w:r/>
    </w:p>
    <w:p>
      <w:pPr>
        <w:pStyle w:val="961"/>
        <w:ind w:firstLine="640"/>
        <w:jc w:val="center"/>
        <w:spacing w:line="276" w:lineRule="auto"/>
        <w:widowControl/>
        <w:rPr>
          <w:rFonts w:hint="eastAsia" w:ascii="宋体" w:hAnsi="宋体" w:cs="宋体"/>
          <w:sz w:val="32"/>
          <w:szCs w:val="32"/>
        </w:rPr>
      </w:pPr>
      <w:r>
        <w:rPr>
          <w:rFonts w:hint="eastAsia" w:ascii="宋体" w:hAnsi="宋体" w:cs="宋体"/>
          <w:sz w:val="32"/>
          <w:szCs w:val="32"/>
        </w:rPr>
      </w:r>
      <w:r/>
    </w:p>
    <w:p>
      <w:pPr>
        <w:pStyle w:val="961"/>
        <w:ind w:firstLine="640"/>
        <w:jc w:val="center"/>
        <w:spacing w:line="276" w:lineRule="auto"/>
        <w:widowControl/>
        <w:rPr>
          <w:rFonts w:hint="eastAsia" w:ascii="宋体" w:hAnsi="宋体" w:cs="宋体"/>
          <w:sz w:val="32"/>
          <w:szCs w:val="32"/>
        </w:rPr>
      </w:pPr>
      <w:r>
        <w:rPr>
          <w:rFonts w:hint="eastAsia" w:ascii="宋体" w:hAnsi="宋体" w:cs="宋体"/>
          <w:sz w:val="32"/>
          <w:szCs w:val="32"/>
        </w:rPr>
      </w:r>
      <w:r/>
    </w:p>
    <w:p>
      <w:pPr>
        <w:pStyle w:val="961"/>
        <w:ind w:firstLine="640"/>
        <w:jc w:val="center"/>
        <w:spacing w:line="276" w:lineRule="auto"/>
        <w:widowControl/>
        <w:rPr>
          <w:rFonts w:hint="eastAsia" w:ascii="宋体" w:hAnsi="宋体" w:cs="宋体"/>
          <w:sz w:val="32"/>
          <w:szCs w:val="32"/>
        </w:rPr>
      </w:pPr>
      <w:r>
        <w:rPr>
          <w:rFonts w:hint="eastAsia" w:ascii="宋体" w:hAnsi="宋体" w:cs="宋体"/>
          <w:sz w:val="32"/>
          <w:szCs w:val="32"/>
        </w:rPr>
      </w:r>
      <w:r/>
    </w:p>
    <w:p>
      <w:pPr>
        <w:pStyle w:val="961"/>
        <w:ind w:firstLine="640"/>
        <w:jc w:val="center"/>
        <w:spacing w:line="276" w:lineRule="auto"/>
        <w:widowControl/>
        <w:rPr>
          <w:rFonts w:hint="eastAsia" w:ascii="宋体" w:hAnsi="宋体" w:cs="宋体"/>
          <w:sz w:val="32"/>
          <w:szCs w:val="32"/>
        </w:rPr>
      </w:pPr>
      <w:r>
        <w:rPr>
          <w:rFonts w:hint="eastAsia" w:ascii="宋体" w:hAnsi="宋体" w:cs="宋体"/>
          <w:sz w:val="32"/>
          <w:szCs w:val="32"/>
        </w:rPr>
      </w:r>
      <w:r/>
    </w:p>
    <w:p>
      <w:pPr>
        <w:pStyle w:val="961"/>
        <w:ind w:firstLine="640"/>
        <w:jc w:val="center"/>
        <w:spacing w:line="276" w:lineRule="auto"/>
        <w:widowControl/>
        <w:rPr>
          <w:rFonts w:hint="eastAsia" w:ascii="宋体" w:hAnsi="宋体" w:cs="宋体"/>
          <w:sz w:val="32"/>
          <w:szCs w:val="32"/>
        </w:rPr>
      </w:pPr>
      <w:r>
        <w:rPr>
          <w:rFonts w:hint="eastAsia" w:ascii="宋体" w:hAnsi="宋体" w:cs="宋体"/>
          <w:sz w:val="32"/>
          <w:szCs w:val="32"/>
        </w:rPr>
      </w:r>
      <w:r/>
    </w:p>
    <w:p>
      <w:pPr>
        <w:pStyle w:val="961"/>
        <w:ind w:firstLine="640"/>
        <w:jc w:val="center"/>
        <w:spacing w:line="276" w:lineRule="auto"/>
        <w:widowControl/>
        <w:rPr>
          <w:rFonts w:hint="eastAsia" w:ascii="宋体" w:hAnsi="宋体" w:cs="宋体"/>
          <w:sz w:val="32"/>
          <w:szCs w:val="32"/>
        </w:rPr>
      </w:pPr>
      <w:r>
        <w:rPr>
          <w:rFonts w:hint="eastAsia" w:ascii="宋体" w:hAnsi="宋体" w:cs="宋体"/>
          <w:sz w:val="32"/>
          <w:szCs w:val="32"/>
        </w:rPr>
      </w:r>
      <w:r/>
    </w:p>
    <w:p>
      <w:pPr>
        <w:pStyle w:val="961"/>
        <w:ind w:firstLine="640"/>
        <w:jc w:val="center"/>
        <w:spacing w:line="276" w:lineRule="auto"/>
        <w:widowControl/>
        <w:rPr>
          <w:rFonts w:hint="eastAsia" w:ascii="宋体" w:hAnsi="宋体" w:cs="宋体"/>
          <w:sz w:val="32"/>
          <w:szCs w:val="32"/>
        </w:rPr>
      </w:pPr>
      <w:r>
        <w:rPr>
          <w:rFonts w:hint="eastAsia" w:ascii="宋体" w:hAnsi="宋体" w:cs="宋体"/>
          <w:sz w:val="32"/>
          <w:szCs w:val="32"/>
        </w:rPr>
      </w:r>
      <w:r/>
    </w:p>
    <w:p>
      <w:pPr>
        <w:pStyle w:val="961"/>
        <w:ind w:firstLine="640"/>
        <w:jc w:val="center"/>
        <w:spacing w:line="276" w:lineRule="auto"/>
        <w:widowControl/>
        <w:rPr>
          <w:rFonts w:hint="eastAsia" w:ascii="宋体" w:hAnsi="宋体" w:cs="宋体"/>
          <w:sz w:val="32"/>
          <w:szCs w:val="32"/>
        </w:rPr>
      </w:pPr>
      <w:r>
        <w:rPr>
          <w:rFonts w:hint="eastAsia" w:ascii="宋体" w:hAnsi="宋体" w:cs="宋体"/>
          <w:sz w:val="32"/>
          <w:szCs w:val="32"/>
        </w:rPr>
      </w:r>
      <w:r/>
    </w:p>
    <w:p>
      <w:pPr>
        <w:pStyle w:val="961"/>
        <w:ind w:firstLine="640"/>
        <w:jc w:val="center"/>
        <w:spacing w:line="276" w:lineRule="auto"/>
        <w:widowControl/>
        <w:rPr>
          <w:rFonts w:hint="eastAsia" w:ascii="宋体" w:hAnsi="宋体" w:cs="宋体"/>
          <w:sz w:val="32"/>
          <w:szCs w:val="32"/>
        </w:rPr>
      </w:pPr>
      <w:r>
        <w:rPr>
          <w:rFonts w:hint="eastAsia" w:ascii="宋体" w:hAnsi="宋体" w:cs="宋体"/>
          <w:sz w:val="32"/>
          <w:szCs w:val="32"/>
        </w:rPr>
      </w:r>
      <w:r/>
    </w:p>
    <w:p>
      <w:pPr>
        <w:pStyle w:val="961"/>
        <w:ind w:firstLine="640"/>
        <w:jc w:val="center"/>
        <w:spacing w:line="276" w:lineRule="auto"/>
        <w:widowControl/>
        <w:rPr>
          <w:rFonts w:hint="eastAsia" w:ascii="宋体" w:hAnsi="宋体" w:cs="宋体"/>
          <w:sz w:val="32"/>
          <w:szCs w:val="32"/>
        </w:rPr>
      </w:pPr>
      <w:r>
        <w:rPr>
          <w:rFonts w:hint="eastAsia" w:ascii="宋体" w:hAnsi="宋体" w:cs="宋体"/>
          <w:sz w:val="32"/>
          <w:szCs w:val="32"/>
        </w:rPr>
        <w:t xml:space="preserve">二、市区院前医疗急救调度员月度绩效考核指标及评分标准（30分）</w:t>
      </w:r>
      <w:r/>
    </w:p>
    <w:tbl>
      <w:tblPr>
        <w:tblW w:w="13907" w:type="dxa"/>
        <w:tblInd w:w="93" w:type="dxa"/>
        <w:tblLayout w:type="fixed"/>
        <w:tblCellMar>
          <w:left w:w="108" w:type="dxa"/>
          <w:top w:w="0" w:type="dxa"/>
          <w:right w:w="108" w:type="dxa"/>
          <w:bottom w:w="0" w:type="dxa"/>
        </w:tblCellMar>
        <w:tblLook w:val="04A0" w:firstRow="1" w:lastRow="0" w:firstColumn="1" w:lastColumn="0" w:noHBand="0" w:noVBand="1"/>
      </w:tblPr>
      <w:tblGrid>
        <w:gridCol w:w="739"/>
        <w:gridCol w:w="1238"/>
        <w:gridCol w:w="4330"/>
        <w:gridCol w:w="737"/>
        <w:gridCol w:w="6863"/>
      </w:tblGrid>
      <w:tr>
        <w:trPr>
          <w:trHeight w:val="285"/>
        </w:trPr>
        <w:tc>
          <w:tcPr>
            <w:tcBorders>
              <w:top w:val="single" w:color="000000" w:sz="4" w:space="0"/>
              <w:left w:val="single" w:color="000000" w:sz="4" w:space="0"/>
              <w:bottom w:val="single" w:color="000000" w:sz="4" w:space="0"/>
              <w:right w:val="single" w:color="000000" w:sz="4" w:space="0"/>
            </w:tcBorders>
            <w:tcW w:w="739" w:type="dxa"/>
            <w:vAlign w:val="center"/>
            <w:textDirection w:val="lrTb"/>
            <w:noWrap/>
          </w:tcPr>
          <w:p>
            <w:pPr>
              <w:pStyle w:val="961"/>
              <w:widowControl/>
              <w:rPr>
                <w:rFonts w:hint="eastAsia" w:ascii="宋体" w:hAnsi="宋体" w:cs="宋体"/>
                <w:sz w:val="18"/>
                <w:szCs w:val="18"/>
              </w:rPr>
            </w:pPr>
            <w:r>
              <w:rPr>
                <w:rFonts w:hint="eastAsia" w:ascii="宋体" w:hAnsi="宋体" w:cs="宋体"/>
                <w:sz w:val="18"/>
                <w:szCs w:val="18"/>
              </w:rPr>
              <w:t xml:space="preserve">一级指标</w:t>
            </w:r>
            <w:r/>
          </w:p>
        </w:tc>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pStyle w:val="961"/>
              <w:jc w:val="left"/>
              <w:widowControl/>
              <w:rPr>
                <w:rFonts w:hint="eastAsia" w:ascii="宋体" w:hAnsi="宋体" w:cs="宋体"/>
                <w:sz w:val="18"/>
                <w:szCs w:val="18"/>
              </w:rPr>
            </w:pPr>
            <w:r>
              <w:rPr>
                <w:rFonts w:hint="eastAsia" w:ascii="宋体" w:hAnsi="宋体" w:cs="宋体"/>
                <w:sz w:val="18"/>
                <w:szCs w:val="18"/>
              </w:rPr>
              <w:t xml:space="preserve">二级指标</w:t>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tcPr>
          <w:p>
            <w:pPr>
              <w:pStyle w:val="961"/>
              <w:jc w:val="left"/>
              <w:widowControl/>
              <w:rPr>
                <w:rFonts w:hint="eastAsia" w:ascii="宋体" w:hAnsi="宋体" w:cs="宋体"/>
                <w:sz w:val="18"/>
                <w:szCs w:val="18"/>
              </w:rPr>
            </w:pPr>
            <w:r>
              <w:rPr>
                <w:rFonts w:hint="eastAsia" w:ascii="宋体" w:hAnsi="宋体" w:cs="宋体"/>
                <w:sz w:val="18"/>
                <w:szCs w:val="18"/>
              </w:rPr>
              <w:t xml:space="preserve">三级指标</w:t>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pStyle w:val="961"/>
              <w:jc w:val="left"/>
              <w:widowControl/>
              <w:rPr>
                <w:rFonts w:hint="eastAsia" w:ascii="宋体" w:hAnsi="宋体" w:cs="宋体"/>
                <w:sz w:val="18"/>
                <w:szCs w:val="18"/>
              </w:rPr>
            </w:pPr>
            <w:r>
              <w:rPr>
                <w:rFonts w:hint="eastAsia" w:ascii="宋体" w:hAnsi="宋体" w:cs="宋体"/>
                <w:sz w:val="18"/>
                <w:szCs w:val="18"/>
              </w:rPr>
              <w:t xml:space="preserve">考核办法</w:t>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tcPr>
          <w:p>
            <w:pPr>
              <w:pStyle w:val="961"/>
              <w:jc w:val="left"/>
              <w:widowControl/>
              <w:rPr>
                <w:rFonts w:hint="eastAsia" w:ascii="宋体" w:hAnsi="宋体" w:cs="宋体"/>
                <w:sz w:val="18"/>
                <w:szCs w:val="18"/>
              </w:rPr>
            </w:pPr>
            <w:r>
              <w:rPr>
                <w:rFonts w:hint="eastAsia" w:ascii="宋体" w:hAnsi="宋体" w:cs="宋体"/>
                <w:sz w:val="18"/>
                <w:szCs w:val="18"/>
              </w:rPr>
              <w:t xml:space="preserve">评分标准</w:t>
            </w:r>
            <w:r/>
          </w:p>
        </w:tc>
      </w:tr>
      <w:tr>
        <w:trPr>
          <w:cantSplit/>
          <w:trHeight w:val="479"/>
        </w:trPr>
        <w:tc>
          <w:tcPr>
            <w:tcBorders>
              <w:top w:val="single" w:color="000000" w:sz="4" w:space="0"/>
              <w:left w:val="single" w:color="000000" w:sz="4" w:space="0"/>
              <w:right w:val="single" w:color="000000" w:sz="4" w:space="0"/>
            </w:tcBorders>
            <w:tcW w:w="739" w:type="dxa"/>
            <w:vAlign w:val="center"/>
            <w:vMerge w:val="restart"/>
            <w:textDirection w:val="lrTb"/>
            <w:noWrap w:val="false"/>
          </w:tcPr>
          <w:p>
            <w:pPr>
              <w:pStyle w:val="961"/>
              <w:jc w:val="center"/>
              <w:widowControl/>
              <w:rPr>
                <w:rFonts w:hint="eastAsia" w:ascii="宋体" w:hAnsi="宋体" w:cs="宋体"/>
                <w:sz w:val="18"/>
                <w:szCs w:val="18"/>
              </w:rPr>
            </w:pPr>
            <w:r>
              <w:rPr>
                <w:rFonts w:hint="eastAsia" w:ascii="宋体" w:hAnsi="宋体" w:cs="宋体"/>
                <w:sz w:val="18"/>
                <w:szCs w:val="18"/>
              </w:rPr>
              <w:t xml:space="preserve">工作量和工作质量</w:t>
            </w:r>
            <w:r/>
          </w:p>
        </w:tc>
        <w:tc>
          <w:tcPr>
            <w:tcBorders>
              <w:top w:val="single" w:color="000000" w:sz="4" w:space="0"/>
              <w:left w:val="single" w:color="000000" w:sz="4" w:space="0"/>
              <w:right w:val="single" w:color="000000" w:sz="4" w:space="0"/>
            </w:tcBorders>
            <w:tcW w:w="1238" w:type="dxa"/>
            <w:vAlign w:val="center"/>
            <w:vMerge w:val="restart"/>
            <w:textDirection w:val="lrTb"/>
            <w:noWrap w:val="false"/>
          </w:tcPr>
          <w:p>
            <w:pPr>
              <w:pStyle w:val="961"/>
              <w:jc w:val="center"/>
              <w:widowControl/>
              <w:rPr>
                <w:rFonts w:hint="eastAsia" w:ascii="宋体" w:hAnsi="宋体" w:cs="宋体"/>
                <w:sz w:val="18"/>
                <w:szCs w:val="18"/>
              </w:rPr>
            </w:pPr>
            <w:r>
              <w:rPr>
                <w:rFonts w:hint="eastAsia" w:ascii="宋体" w:hAnsi="宋体" w:cs="宋体"/>
                <w:sz w:val="18"/>
                <w:szCs w:val="18"/>
              </w:rPr>
              <w:t xml:space="preserve">业务受理</w:t>
            </w:r>
            <w:r/>
          </w:p>
          <w:p>
            <w:pPr>
              <w:pStyle w:val="961"/>
              <w:jc w:val="center"/>
              <w:widowControl/>
              <w:rPr>
                <w:rFonts w:hint="eastAsia" w:ascii="宋体" w:hAnsi="宋体" w:cs="宋体"/>
                <w:sz w:val="18"/>
                <w:szCs w:val="18"/>
              </w:rPr>
            </w:pPr>
            <w:r>
              <w:rPr>
                <w:rFonts w:hint="eastAsia" w:ascii="宋体" w:hAnsi="宋体" w:cs="宋体"/>
                <w:sz w:val="18"/>
                <w:szCs w:val="18"/>
              </w:rPr>
              <w:t xml:space="preserve">（16分）</w:t>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月平均摘机时间≤3秒</w:t>
            </w:r>
            <w:r/>
          </w:p>
        </w:tc>
        <w:tc>
          <w:tcPr>
            <w:tcBorders>
              <w:top w:val="single" w:color="000000" w:sz="4" w:space="0"/>
              <w:left w:val="single" w:color="000000" w:sz="4" w:space="0"/>
              <w:bottom w:val="single" w:color="000000" w:sz="4" w:space="0"/>
              <w:right w:val="single" w:color="000000" w:sz="4" w:space="0"/>
            </w:tcBorders>
            <w:tcW w:w="737" w:type="dxa"/>
            <w:vAlign w:val="center"/>
            <w:vMerge w:val="restart"/>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系统数据分析</w:t>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超出扣3分</w:t>
            </w:r>
            <w:r/>
          </w:p>
        </w:tc>
      </w:tr>
      <w:tr>
        <w:trPr>
          <w:cantSplit/>
          <w:trHeight w:val="285"/>
        </w:trPr>
        <w:tc>
          <w:tcPr>
            <w:tcBorders>
              <w:left w:val="single" w:color="000000" w:sz="4" w:space="0"/>
              <w:right w:val="single" w:color="000000" w:sz="4" w:space="0"/>
            </w:tcBorders>
            <w:tcW w:w="739"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left w:val="single" w:color="000000" w:sz="4" w:space="0"/>
              <w:right w:val="single" w:color="000000" w:sz="4" w:space="0"/>
            </w:tcBorders>
            <w:tcW w:w="1238"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月平均5秒内摘机率</w:t>
            </w:r>
            <w:r>
              <w:rPr>
                <w:rFonts w:hint="eastAsia"/>
                <w:sz w:val="18"/>
                <w:szCs w:val="18"/>
              </w:rPr>
              <w:t xml:space="preserve">≥98%</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37"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低于98%的扣3分</w:t>
            </w:r>
            <w:r/>
          </w:p>
        </w:tc>
      </w:tr>
      <w:tr>
        <w:trPr>
          <w:cantSplit/>
          <w:trHeight w:val="239"/>
        </w:trPr>
        <w:tc>
          <w:tcPr>
            <w:tcBorders>
              <w:left w:val="single" w:color="000000" w:sz="4" w:space="0"/>
              <w:right w:val="single" w:color="000000" w:sz="4" w:space="0"/>
            </w:tcBorders>
            <w:tcW w:w="739"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left w:val="single" w:color="000000" w:sz="4" w:space="0"/>
              <w:right w:val="single" w:color="000000" w:sz="4" w:space="0"/>
            </w:tcBorders>
            <w:tcW w:w="1238"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月平均接听时间≤60秒</w:t>
            </w:r>
            <w:r/>
          </w:p>
        </w:tc>
        <w:tc>
          <w:tcPr>
            <w:tcBorders>
              <w:top w:val="single" w:color="000000" w:sz="4" w:space="0"/>
              <w:left w:val="single" w:color="000000" w:sz="4" w:space="0"/>
              <w:bottom w:val="single" w:color="000000" w:sz="4" w:space="0"/>
              <w:right w:val="single" w:color="000000" w:sz="4" w:space="0"/>
            </w:tcBorders>
            <w:tcW w:w="737" w:type="dxa"/>
            <w:vAlign w:val="center"/>
            <w:vMerge w:val="continue"/>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每高于5秒扣1分，扣完3分为止</w:t>
            </w:r>
            <w:r/>
          </w:p>
        </w:tc>
      </w:tr>
      <w:tr>
        <w:trPr>
          <w:cantSplit/>
          <w:trHeight w:val="284"/>
        </w:trPr>
        <w:tc>
          <w:tcPr>
            <w:tcBorders>
              <w:left w:val="single" w:color="000000" w:sz="4" w:space="0"/>
              <w:right w:val="single" w:color="000000" w:sz="4" w:space="0"/>
            </w:tcBorders>
            <w:tcW w:w="739"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left w:val="single" w:color="000000" w:sz="4" w:space="0"/>
              <w:right w:val="single" w:color="000000" w:sz="4" w:space="0"/>
            </w:tcBorders>
            <w:tcW w:w="1238"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月平均受理调度时间≤60秒</w:t>
            </w:r>
            <w:r/>
          </w:p>
        </w:tc>
        <w:tc>
          <w:tcPr>
            <w:tcBorders>
              <w:top w:val="single" w:color="000000" w:sz="4" w:space="0"/>
              <w:left w:val="single" w:color="000000" w:sz="4" w:space="0"/>
              <w:bottom w:val="single" w:color="000000" w:sz="4" w:space="0"/>
              <w:right w:val="single" w:color="000000" w:sz="4" w:space="0"/>
            </w:tcBorders>
            <w:tcW w:w="737" w:type="dxa"/>
            <w:vAlign w:val="center"/>
            <w:vMerge w:val="continue"/>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每超出2秒扣1分，扣完16分为止</w:t>
            </w:r>
            <w:r/>
          </w:p>
        </w:tc>
      </w:tr>
      <w:tr>
        <w:trPr>
          <w:cantSplit/>
          <w:trHeight w:val="161"/>
        </w:trPr>
        <w:tc>
          <w:tcPr>
            <w:tcBorders>
              <w:left w:val="single" w:color="000000" w:sz="4" w:space="0"/>
              <w:bottom w:val="single" w:color="000000" w:sz="4" w:space="0"/>
              <w:right w:val="single" w:color="000000" w:sz="4" w:space="0"/>
            </w:tcBorders>
            <w:tcW w:w="739"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left w:val="single" w:color="000000" w:sz="4" w:space="0"/>
              <w:right w:val="single" w:color="000000" w:sz="4" w:space="0"/>
            </w:tcBorders>
            <w:tcW w:w="1238"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月平均1分钟派车率100%（系统统计）</w:t>
            </w:r>
            <w:r/>
          </w:p>
        </w:tc>
        <w:tc>
          <w:tcPr>
            <w:tcBorders>
              <w:top w:val="single" w:color="000000" w:sz="4" w:space="0"/>
              <w:left w:val="single" w:color="000000" w:sz="4" w:space="0"/>
              <w:bottom w:val="single" w:color="000000" w:sz="4" w:space="0"/>
              <w:right w:val="single" w:color="000000" w:sz="4" w:space="0"/>
            </w:tcBorders>
            <w:tcW w:w="737" w:type="dxa"/>
            <w:vAlign w:val="center"/>
            <w:vMerge w:val="continue"/>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低于100%扣3分</w:t>
            </w:r>
            <w:r/>
          </w:p>
        </w:tc>
      </w:tr>
      <w:tr>
        <w:trPr>
          <w:cantSplit/>
          <w:trHeight w:val="161"/>
        </w:trPr>
        <w:tc>
          <w:tcPr>
            <w:tcBorders>
              <w:left w:val="single" w:color="000000" w:sz="4" w:space="0"/>
              <w:bottom w:val="single" w:color="000000" w:sz="4" w:space="0"/>
              <w:right w:val="single" w:color="000000" w:sz="4" w:space="0"/>
            </w:tcBorders>
            <w:tcW w:w="739"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left w:val="single" w:color="000000" w:sz="4" w:space="0"/>
              <w:bottom w:val="single" w:color="000000" w:sz="4" w:space="0"/>
              <w:right w:val="single" w:color="000000" w:sz="4" w:space="0"/>
            </w:tcBorders>
            <w:tcW w:w="1238"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业务受理抽查合格和基本合格率≥90%</w:t>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不合格数≦10%，每超出1例扣2分，扣完16分为止</w:t>
            </w:r>
            <w:r/>
          </w:p>
        </w:tc>
      </w:tr>
      <w:tr>
        <w:trPr>
          <w:cantSplit/>
          <w:trHeight w:val="161"/>
        </w:trPr>
        <w:tc>
          <w:tcPr>
            <w:tcBorders>
              <w:left w:val="single" w:color="000000" w:sz="4" w:space="0"/>
              <w:bottom w:val="single" w:color="000000" w:sz="4" w:space="0"/>
              <w:right w:val="single" w:color="000000" w:sz="4" w:space="0"/>
            </w:tcBorders>
            <w:tcW w:w="739" w:type="dxa"/>
            <w:vAlign w:val="center"/>
            <w:vMerge w:val="continue"/>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r>
            <w:r/>
          </w:p>
        </w:tc>
        <w:tc>
          <w:tcPr>
            <w:tcBorders>
              <w:left w:val="single" w:color="000000" w:sz="4" w:space="0"/>
              <w:bottom w:val="single" w:color="000000" w:sz="4" w:space="0"/>
              <w:right w:val="single" w:color="000000" w:sz="4" w:space="0"/>
            </w:tcBorders>
            <w:tcW w:w="1238"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质控工作</w:t>
            </w:r>
            <w:r/>
          </w:p>
          <w:p>
            <w:pPr>
              <w:pStyle w:val="961"/>
              <w:jc w:val="left"/>
              <w:widowControl/>
              <w:rPr>
                <w:rFonts w:hint="eastAsia" w:ascii="宋体" w:hAnsi="宋体" w:cs="宋体"/>
                <w:sz w:val="18"/>
                <w:szCs w:val="18"/>
              </w:rPr>
            </w:pPr>
            <w:r>
              <w:rPr>
                <w:rFonts w:hint="eastAsia" w:ascii="宋体" w:hAnsi="宋体" w:cs="宋体"/>
                <w:sz w:val="18"/>
                <w:szCs w:val="18"/>
              </w:rPr>
              <w:t xml:space="preserve">（16分）</w:t>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月满意度调查占总出车数至少50%；每月质控数占总出车数至少30%</w:t>
            </w:r>
            <w:r/>
          </w:p>
        </w:tc>
        <w:tc>
          <w:tcPr>
            <w:tcBorders>
              <w:top w:val="single" w:color="000000" w:sz="4" w:space="0"/>
              <w:left w:val="single" w:color="000000" w:sz="4" w:space="0"/>
              <w:bottom w:val="single" w:color="000000" w:sz="4" w:space="0"/>
              <w:right w:val="single" w:color="000000" w:sz="4" w:space="0"/>
            </w:tcBorders>
            <w:tcW w:w="737" w:type="dxa"/>
            <w:vAlign w:val="center"/>
            <w:vMerge w:val="restart"/>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专人考核</w:t>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每低于5个百分点扣4分，扣完为止</w:t>
            </w:r>
            <w:r/>
          </w:p>
        </w:tc>
      </w:tr>
      <w:tr>
        <w:trPr>
          <w:cantSplit/>
          <w:trHeight w:val="284"/>
        </w:trPr>
        <w:tc>
          <w:tcPr>
            <w:tcBorders>
              <w:top w:val="single" w:color="000000" w:sz="4" w:space="0"/>
              <w:left w:val="single" w:color="000000" w:sz="4" w:space="0"/>
              <w:right w:val="single" w:color="000000" w:sz="4" w:space="0"/>
            </w:tcBorders>
            <w:tcW w:w="739" w:type="dxa"/>
            <w:vAlign w:val="center"/>
            <w:vMerge w:val="restart"/>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t xml:space="preserve">工作要求</w:t>
            </w:r>
            <w:r/>
          </w:p>
        </w:tc>
        <w:tc>
          <w:tcPr>
            <w:tcBorders>
              <w:top w:val="single" w:color="000000" w:sz="4" w:space="0"/>
              <w:left w:val="single" w:color="000000" w:sz="4" w:space="0"/>
              <w:right w:val="single" w:color="000000" w:sz="4" w:space="0"/>
            </w:tcBorders>
            <w:tcW w:w="1238" w:type="dxa"/>
            <w:vAlign w:val="center"/>
            <w:vMerge w:val="restart"/>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t xml:space="preserve">培训考核</w:t>
            </w:r>
            <w:r/>
          </w:p>
          <w:p>
            <w:pPr>
              <w:pStyle w:val="961"/>
              <w:jc w:val="center"/>
              <w:rPr>
                <w:rFonts w:hint="eastAsia" w:ascii="宋体" w:hAnsi="宋体" w:cs="宋体"/>
                <w:sz w:val="18"/>
                <w:szCs w:val="18"/>
              </w:rPr>
            </w:pPr>
            <w:r>
              <w:rPr>
                <w:rFonts w:hint="eastAsia" w:ascii="宋体" w:hAnsi="宋体" w:cs="宋体"/>
                <w:sz w:val="18"/>
                <w:szCs w:val="18"/>
              </w:rPr>
              <w:t xml:space="preserve">（10分）</w:t>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1分钟打字≥60字</w:t>
            </w:r>
            <w:r/>
          </w:p>
        </w:tc>
        <w:tc>
          <w:tcPr>
            <w:tcBorders>
              <w:top w:val="single" w:color="000000" w:sz="4" w:space="0"/>
              <w:left w:val="single" w:color="000000" w:sz="4" w:space="0"/>
              <w:bottom w:val="single" w:color="000000" w:sz="4" w:space="0"/>
              <w:right w:val="single" w:color="000000" w:sz="4" w:space="0"/>
            </w:tcBorders>
            <w:tcW w:w="737" w:type="dxa"/>
            <w:vAlign w:val="center"/>
            <w:vMerge w:val="continue"/>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低于60字/分钟扣6分</w:t>
            </w:r>
            <w:r/>
          </w:p>
        </w:tc>
      </w:tr>
      <w:tr>
        <w:trPr>
          <w:cantSplit/>
          <w:trHeight w:val="570"/>
        </w:trPr>
        <w:tc>
          <w:tcPr>
            <w:tcBorders>
              <w:left w:val="single" w:color="000000" w:sz="4" w:space="0"/>
              <w:right w:val="single" w:color="000000" w:sz="4" w:space="0"/>
            </w:tcBorders>
            <w:tcW w:w="739"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left w:val="single" w:color="000000" w:sz="4" w:space="0"/>
              <w:bottom w:val="single" w:color="000000" w:sz="4" w:space="0"/>
              <w:right w:val="single" w:color="000000" w:sz="4" w:space="0"/>
            </w:tcBorders>
            <w:tcW w:w="1238"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周会提问、季度考核</w:t>
            </w:r>
            <w:r/>
          </w:p>
        </w:tc>
        <w:tc>
          <w:tcPr>
            <w:tcBorders>
              <w:top w:val="single" w:color="000000" w:sz="4" w:space="0"/>
              <w:left w:val="single" w:color="000000" w:sz="4" w:space="0"/>
              <w:bottom w:val="single" w:color="000000" w:sz="4" w:space="0"/>
              <w:right w:val="single" w:color="000000" w:sz="4" w:space="0"/>
            </w:tcBorders>
            <w:tcW w:w="737" w:type="dxa"/>
            <w:vAlign w:val="center"/>
            <w:vMerge w:val="continue"/>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周会提问回答不出每次扣4分，季度考核不合格培训考核项不得分</w:t>
            </w:r>
            <w:r/>
          </w:p>
        </w:tc>
      </w:tr>
      <w:tr>
        <w:trPr>
          <w:cantSplit/>
          <w:trHeight w:val="570"/>
        </w:trPr>
        <w:tc>
          <w:tcPr>
            <w:tcBorders>
              <w:left w:val="single" w:color="000000" w:sz="4" w:space="0"/>
              <w:bottom w:val="single" w:color="000000" w:sz="4" w:space="0"/>
              <w:right w:val="single" w:color="000000" w:sz="4" w:space="0"/>
            </w:tcBorders>
            <w:tcW w:w="739"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t xml:space="preserve">工作反思</w:t>
            </w:r>
            <w:r/>
          </w:p>
          <w:p>
            <w:pPr>
              <w:pStyle w:val="961"/>
              <w:jc w:val="center"/>
              <w:rPr>
                <w:rFonts w:hint="eastAsia" w:ascii="宋体" w:hAnsi="宋体" w:cs="宋体"/>
                <w:sz w:val="18"/>
                <w:szCs w:val="18"/>
              </w:rPr>
            </w:pPr>
            <w:r>
              <w:rPr>
                <w:rFonts w:hint="eastAsia" w:ascii="宋体" w:hAnsi="宋体" w:cs="宋体"/>
                <w:sz w:val="18"/>
                <w:szCs w:val="18"/>
              </w:rPr>
              <w:t xml:space="preserve">（4分）</w:t>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每人每次进行周会发言</w:t>
            </w:r>
            <w:r/>
          </w:p>
        </w:tc>
        <w:tc>
          <w:tcPr>
            <w:tcBorders>
              <w:top w:val="single" w:color="000000" w:sz="4" w:space="0"/>
              <w:left w:val="single" w:color="000000" w:sz="4" w:space="0"/>
              <w:bottom w:val="single" w:color="000000" w:sz="4" w:space="0"/>
              <w:right w:val="single" w:color="000000" w:sz="4" w:space="0"/>
            </w:tcBorders>
            <w:tcW w:w="737" w:type="dxa"/>
            <w:vAlign w:val="center"/>
            <w:vMerge w:val="continue"/>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每人每次周会发言至少一次，无发言者每次扣1分</w:t>
            </w:r>
            <w:r/>
          </w:p>
        </w:tc>
      </w:tr>
      <w:tr>
        <w:trPr>
          <w:cantSplit/>
          <w:trHeight w:val="1140"/>
        </w:trPr>
        <w:tc>
          <w:tcPr>
            <w:tcBorders>
              <w:top w:val="single" w:color="000000" w:sz="4" w:space="0"/>
              <w:left w:val="single" w:color="000000" w:sz="4" w:space="0"/>
              <w:bottom w:val="single" w:color="000000" w:sz="4" w:space="0"/>
              <w:right w:val="single" w:color="000000" w:sz="4" w:space="0"/>
            </w:tcBorders>
            <w:tcW w:w="739" w:type="dxa"/>
            <w:vAlign w:val="center"/>
            <w:vMerge w:val="restart"/>
            <w:textDirection w:val="lrTb"/>
            <w:noWrap/>
          </w:tcPr>
          <w:p>
            <w:pPr>
              <w:pStyle w:val="961"/>
              <w:jc w:val="center"/>
              <w:widowControl/>
              <w:rPr>
                <w:rFonts w:hint="eastAsia" w:ascii="宋体" w:hAnsi="宋体" w:cs="宋体"/>
                <w:sz w:val="18"/>
                <w:szCs w:val="18"/>
              </w:rPr>
            </w:pPr>
            <w:r>
              <w:rPr>
                <w:rFonts w:hint="eastAsia" w:ascii="宋体" w:hAnsi="宋体" w:cs="宋体"/>
                <w:sz w:val="18"/>
                <w:szCs w:val="18"/>
              </w:rPr>
              <w:t xml:space="preserve">加分项</w:t>
            </w:r>
            <w:r/>
          </w:p>
        </w:tc>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pStyle w:val="961"/>
              <w:widowControl/>
              <w:rPr>
                <w:rFonts w:hint="eastAsia" w:ascii="宋体" w:hAnsi="宋体" w:cs="宋体"/>
                <w:sz w:val="18"/>
                <w:szCs w:val="18"/>
              </w:rPr>
            </w:pPr>
            <w:r>
              <w:rPr>
                <w:rFonts w:hint="eastAsia" w:ascii="宋体" w:hAnsi="宋体" w:cs="宋体"/>
                <w:sz w:val="18"/>
                <w:szCs w:val="18"/>
              </w:rPr>
              <w:t xml:space="preserve">受到表彰、表扬等</w:t>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受到患者及家属表扬，受到各级政府、卫生行政部门表扬或表彰</w:t>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pStyle w:val="961"/>
              <w:jc w:val="left"/>
              <w:widowControl/>
              <w:rPr>
                <w:rFonts w:hint="eastAsia" w:ascii="宋体" w:hAnsi="宋体" w:cs="宋体"/>
                <w:sz w:val="18"/>
                <w:szCs w:val="18"/>
              </w:rPr>
            </w:pPr>
            <w:r>
              <w:rPr>
                <w:rFonts w:hint="eastAsia" w:ascii="宋体" w:hAnsi="宋体" w:cs="宋体"/>
                <w:sz w:val="18"/>
                <w:szCs w:val="18"/>
              </w:rPr>
              <w:t xml:space="preserve">证件核查</w:t>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获患者或其家属表扬信、锦旗表扬奖励100元；受到市级（含12345平台表彰）、省级、国家级通报表扬或表彰每次分别奖励300元、500元、1000元，同一表彰按最高级别奖励，不重复奖励。</w:t>
            </w:r>
            <w:r/>
          </w:p>
        </w:tc>
      </w:tr>
      <w:tr>
        <w:trPr>
          <w:cantSplit/>
          <w:trHeight w:val="360"/>
        </w:trPr>
        <w:tc>
          <w:tcPr>
            <w:tcBorders>
              <w:top w:val="single" w:color="000000" w:sz="4" w:space="0"/>
              <w:left w:val="single" w:color="000000" w:sz="4" w:space="0"/>
              <w:bottom w:val="single" w:color="000000" w:sz="4" w:space="0"/>
              <w:right w:val="single" w:color="000000" w:sz="4" w:space="0"/>
            </w:tcBorders>
            <w:tcW w:w="739" w:type="dxa"/>
            <w:vAlign w:val="center"/>
            <w:vMerge w:val="continue"/>
            <w:textDirection w:val="lrTb"/>
            <w:noWrap/>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238" w:type="dxa"/>
            <w:vAlign w:val="center"/>
            <w:vMerge w:val="restart"/>
            <w:textDirection w:val="lrTb"/>
            <w:noWrap/>
          </w:tcPr>
          <w:p>
            <w:pPr>
              <w:pStyle w:val="961"/>
              <w:jc w:val="center"/>
              <w:widowControl/>
              <w:rPr>
                <w:rFonts w:hint="eastAsia" w:ascii="宋体" w:hAnsi="宋体" w:cs="宋体"/>
                <w:sz w:val="18"/>
                <w:szCs w:val="18"/>
              </w:rPr>
            </w:pPr>
            <w:r>
              <w:rPr>
                <w:rFonts w:hint="eastAsia" w:ascii="宋体" w:hAnsi="宋体" w:cs="宋体"/>
                <w:sz w:val="18"/>
                <w:szCs w:val="18"/>
              </w:rPr>
              <w:t xml:space="preserve">教育培训</w:t>
            </w:r>
            <w:r/>
          </w:p>
        </w:tc>
        <w:tc>
          <w:tcPr>
            <w:tcBorders>
              <w:top w:val="single" w:color="000000" w:sz="4" w:space="0"/>
              <w:left w:val="single" w:color="000000" w:sz="4" w:space="0"/>
              <w:bottom w:val="single" w:color="000000" w:sz="4" w:space="0"/>
              <w:right w:val="single" w:color="000000" w:sz="4" w:space="0"/>
            </w:tcBorders>
            <w:tcW w:w="4330" w:type="dxa"/>
            <w:vAlign w:val="center"/>
            <w:vMerge w:val="restart"/>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承担科室教育、培训；主持应急预案演练等</w:t>
            </w:r>
            <w:r/>
          </w:p>
        </w:tc>
        <w:tc>
          <w:tcPr>
            <w:tcBorders>
              <w:top w:val="single" w:color="000000" w:sz="4" w:space="0"/>
              <w:left w:val="single" w:color="000000" w:sz="4" w:space="0"/>
              <w:bottom w:val="single" w:color="000000" w:sz="4" w:space="0"/>
              <w:right w:val="single" w:color="000000" w:sz="4" w:space="0"/>
            </w:tcBorders>
            <w:tcW w:w="737" w:type="dxa"/>
            <w:vAlign w:val="center"/>
            <w:vMerge w:val="restart"/>
            <w:textDirection w:val="lrTb"/>
            <w:noWrap/>
          </w:tcPr>
          <w:p>
            <w:pPr>
              <w:pStyle w:val="961"/>
              <w:jc w:val="center"/>
              <w:widowControl/>
              <w:rPr>
                <w:rFonts w:hint="eastAsia" w:ascii="宋体" w:hAnsi="宋体" w:cs="宋体"/>
                <w:sz w:val="18"/>
                <w:szCs w:val="18"/>
              </w:rPr>
            </w:pPr>
            <w:r>
              <w:rPr>
                <w:rFonts w:hint="eastAsia" w:ascii="宋体" w:hAnsi="宋体" w:cs="宋体"/>
                <w:sz w:val="18"/>
                <w:szCs w:val="18"/>
              </w:rPr>
              <w:t xml:space="preserve">资料核查</w:t>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主持业务学习：PPT或图文加5分，word加2分</w:t>
            </w:r>
            <w:r/>
          </w:p>
        </w:tc>
      </w:tr>
      <w:tr>
        <w:trPr>
          <w:cantSplit/>
          <w:trHeight w:val="360"/>
        </w:trPr>
        <w:tc>
          <w:tcPr>
            <w:tcBorders>
              <w:top w:val="single" w:color="000000" w:sz="4" w:space="0"/>
              <w:left w:val="single" w:color="000000" w:sz="4" w:space="0"/>
              <w:bottom w:val="single" w:color="000000" w:sz="4" w:space="0"/>
              <w:right w:val="single" w:color="000000" w:sz="4" w:space="0"/>
            </w:tcBorders>
            <w:tcW w:w="739" w:type="dxa"/>
            <w:vAlign w:val="center"/>
            <w:vMerge w:val="continue"/>
            <w:textDirection w:val="lrTb"/>
            <w:noWrap/>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238" w:type="dxa"/>
            <w:vAlign w:val="center"/>
            <w:vMerge w:val="continue"/>
            <w:textDirection w:val="lrTb"/>
            <w:noWrap/>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330" w:type="dxa"/>
            <w:vAlign w:val="center"/>
            <w:vMerge w:val="continue"/>
            <w:textDirection w:val="lrTb"/>
            <w:noWrap w:val="false"/>
          </w:tcPr>
          <w:p>
            <w:pPr>
              <w:pStyle w:val="961"/>
              <w:jc w:val="left"/>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37" w:type="dxa"/>
            <w:vAlign w:val="center"/>
            <w:vMerge w:val="continue"/>
            <w:textDirection w:val="lrTb"/>
            <w:noWrap/>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主持应急预案演练，每次或每项加5分</w:t>
            </w:r>
            <w:r/>
          </w:p>
        </w:tc>
      </w:tr>
      <w:tr>
        <w:trPr>
          <w:cantSplit/>
          <w:trHeight w:val="570"/>
        </w:trPr>
        <w:tc>
          <w:tcPr>
            <w:tcBorders>
              <w:top w:val="single" w:color="000000" w:sz="4" w:space="0"/>
              <w:left w:val="single" w:color="000000" w:sz="4" w:space="0"/>
              <w:bottom w:val="single" w:color="000000" w:sz="4" w:space="0"/>
              <w:right w:val="single" w:color="000000" w:sz="4" w:space="0"/>
            </w:tcBorders>
            <w:tcW w:w="739" w:type="dxa"/>
            <w:vAlign w:val="center"/>
            <w:vMerge w:val="continue"/>
            <w:textDirection w:val="lrTb"/>
            <w:noWrap/>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承担科室任务</w:t>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tcPr>
          <w:p>
            <w:pPr>
              <w:pStyle w:val="961"/>
              <w:jc w:val="left"/>
              <w:widowControl/>
              <w:rPr>
                <w:rFonts w:hint="eastAsia" w:ascii="宋体" w:hAnsi="宋体" w:cs="宋体"/>
                <w:sz w:val="18"/>
                <w:szCs w:val="18"/>
              </w:rPr>
            </w:pPr>
            <w:r>
              <w:rPr>
                <w:rFonts w:hint="eastAsia" w:ascii="宋体" w:hAnsi="宋体" w:cs="宋体"/>
                <w:sz w:val="18"/>
                <w:szCs w:val="18"/>
              </w:rPr>
              <w:t xml:space="preserve">承担本职工作以外的科室或中心任务</w:t>
            </w:r>
            <w:r/>
          </w:p>
        </w:tc>
        <w:tc>
          <w:tcPr>
            <w:tcBorders>
              <w:top w:val="single" w:color="000000" w:sz="4" w:space="0"/>
              <w:left w:val="single" w:color="000000" w:sz="4" w:space="0"/>
              <w:bottom w:val="single" w:color="000000" w:sz="4" w:space="0"/>
              <w:right w:val="single" w:color="000000" w:sz="4" w:space="0"/>
            </w:tcBorders>
            <w:tcW w:w="737" w:type="dxa"/>
            <w:vAlign w:val="center"/>
            <w:vMerge w:val="continue"/>
            <w:textDirection w:val="lrTb"/>
            <w:noWrap/>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tcPr>
          <w:p>
            <w:pPr>
              <w:pStyle w:val="961"/>
              <w:jc w:val="left"/>
              <w:widowControl/>
              <w:rPr>
                <w:rFonts w:hint="eastAsia" w:ascii="宋体" w:hAnsi="宋体" w:cs="宋体"/>
                <w:sz w:val="18"/>
                <w:szCs w:val="18"/>
              </w:rPr>
            </w:pPr>
            <w:r>
              <w:rPr>
                <w:rFonts w:hint="eastAsia" w:ascii="宋体" w:hAnsi="宋体" w:cs="宋体"/>
                <w:sz w:val="18"/>
                <w:szCs w:val="18"/>
              </w:rPr>
              <w:t xml:space="preserve">积极参加科室及中心各项活动，每次奖励100元</w:t>
            </w:r>
            <w:r/>
          </w:p>
        </w:tc>
      </w:tr>
      <w:tr>
        <w:trPr>
          <w:cantSplit/>
          <w:trHeight w:val="285"/>
        </w:trPr>
        <w:tc>
          <w:tcPr>
            <w:tcBorders>
              <w:top w:val="single" w:color="000000" w:sz="4" w:space="0"/>
              <w:left w:val="single" w:color="000000" w:sz="4" w:space="0"/>
              <w:bottom w:val="single" w:color="000000" w:sz="4" w:space="0"/>
              <w:right w:val="single" w:color="000000" w:sz="4" w:space="0"/>
            </w:tcBorders>
            <w:tcW w:w="739" w:type="dxa"/>
            <w:vAlign w:val="center"/>
            <w:vMerge w:val="continue"/>
            <w:textDirection w:val="lrTb"/>
            <w:noWrap/>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pStyle w:val="961"/>
              <w:jc w:val="left"/>
              <w:widowControl/>
              <w:rPr>
                <w:rFonts w:hint="eastAsia" w:ascii="宋体" w:hAnsi="宋体" w:cs="宋体"/>
                <w:sz w:val="18"/>
                <w:szCs w:val="18"/>
              </w:rPr>
            </w:pPr>
            <w:r>
              <w:rPr>
                <w:rFonts w:hint="eastAsia" w:ascii="宋体" w:hAnsi="宋体" w:cs="宋体"/>
                <w:sz w:val="18"/>
                <w:szCs w:val="18"/>
              </w:rPr>
              <w:t xml:space="preserve">开展科研</w:t>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tcPr>
          <w:p>
            <w:pPr>
              <w:pStyle w:val="961"/>
              <w:jc w:val="left"/>
              <w:widowControl/>
              <w:rPr>
                <w:rFonts w:hint="eastAsia" w:ascii="宋体" w:hAnsi="宋体" w:cs="宋体"/>
                <w:sz w:val="18"/>
                <w:szCs w:val="18"/>
              </w:rPr>
            </w:pPr>
            <w:r>
              <w:rPr>
                <w:rFonts w:hint="eastAsia" w:ascii="宋体" w:hAnsi="宋体" w:cs="宋体"/>
                <w:sz w:val="18"/>
                <w:szCs w:val="18"/>
              </w:rPr>
              <w:t xml:space="preserve">积极开展科研工作、撰写并发表论文</w:t>
            </w:r>
            <w:r/>
          </w:p>
        </w:tc>
        <w:tc>
          <w:tcPr>
            <w:tcBorders>
              <w:top w:val="single" w:color="000000" w:sz="4" w:space="0"/>
              <w:left w:val="single" w:color="000000" w:sz="4" w:space="0"/>
              <w:bottom w:val="single" w:color="000000" w:sz="4" w:space="0"/>
              <w:right w:val="single" w:color="000000" w:sz="4" w:space="0"/>
            </w:tcBorders>
            <w:tcW w:w="737" w:type="dxa"/>
            <w:vAlign w:val="center"/>
            <w:vMerge w:val="continue"/>
            <w:textDirection w:val="lrTb"/>
            <w:noWrap/>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省级年会论文投稿奖励100元，录用奖励200元，评选为优秀论文或发表省级及以上期刊论文奖励500元。</w:t>
            </w:r>
            <w:r/>
          </w:p>
        </w:tc>
      </w:tr>
      <w:tr>
        <w:trPr>
          <w:cantSplit/>
          <w:trHeight w:val="285"/>
        </w:trPr>
        <w:tc>
          <w:tcPr>
            <w:tcBorders>
              <w:top w:val="single" w:color="000000" w:sz="4" w:space="0"/>
              <w:left w:val="single" w:color="000000" w:sz="4" w:space="0"/>
              <w:right w:val="single" w:color="000000" w:sz="4" w:space="0"/>
            </w:tcBorders>
            <w:tcW w:w="739" w:type="dxa"/>
            <w:vAlign w:val="center"/>
            <w:vMerge w:val="restart"/>
            <w:textDirection w:val="lrTb"/>
            <w:noWrap/>
          </w:tcPr>
          <w:p>
            <w:pPr>
              <w:pStyle w:val="961"/>
              <w:jc w:val="center"/>
              <w:rPr>
                <w:rFonts w:hint="eastAsia" w:ascii="宋体" w:hAnsi="宋体" w:cs="宋体"/>
                <w:sz w:val="18"/>
                <w:szCs w:val="18"/>
              </w:rPr>
            </w:pPr>
            <w:r>
              <w:rPr>
                <w:rFonts w:hint="eastAsia" w:ascii="宋体" w:hAnsi="宋体" w:cs="宋体"/>
                <w:sz w:val="18"/>
                <w:szCs w:val="18"/>
              </w:rPr>
              <w:t xml:space="preserve">扣分项</w:t>
            </w:r>
            <w:r/>
          </w:p>
        </w:tc>
        <w:tc>
          <w:tcPr>
            <w:tcBorders>
              <w:top w:val="single" w:color="000000" w:sz="4" w:space="0"/>
              <w:left w:val="single" w:color="000000" w:sz="4" w:space="0"/>
              <w:right w:val="single" w:color="000000" w:sz="4" w:space="0"/>
            </w:tcBorders>
            <w:tcW w:w="1238" w:type="dxa"/>
            <w:vAlign w:val="center"/>
            <w:vMerge w:val="restart"/>
            <w:textDirection w:val="lrTb"/>
            <w:noWrap/>
          </w:tcPr>
          <w:p>
            <w:pPr>
              <w:pStyle w:val="961"/>
              <w:jc w:val="left"/>
              <w:widowControl/>
              <w:rPr>
                <w:rFonts w:hint="eastAsia" w:ascii="宋体" w:hAnsi="宋体" w:cs="宋体"/>
                <w:sz w:val="18"/>
                <w:szCs w:val="18"/>
              </w:rPr>
            </w:pPr>
            <w:r>
              <w:rPr>
                <w:rFonts w:hint="eastAsia" w:ascii="宋体" w:hAnsi="宋体" w:cs="宋体"/>
                <w:sz w:val="18"/>
                <w:szCs w:val="18"/>
              </w:rPr>
              <w:t xml:space="preserve">业务受理</w:t>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tcPr>
          <w:p>
            <w:pPr>
              <w:pStyle w:val="961"/>
              <w:jc w:val="left"/>
              <w:widowControl/>
              <w:rPr>
                <w:rFonts w:hint="eastAsia" w:ascii="宋体" w:hAnsi="宋体" w:cs="宋体"/>
                <w:sz w:val="18"/>
                <w:szCs w:val="18"/>
              </w:rPr>
            </w:pPr>
            <w:r>
              <w:rPr>
                <w:rFonts w:hint="eastAsia" w:ascii="宋体" w:hAnsi="宋体" w:cs="宋体"/>
                <w:sz w:val="18"/>
                <w:szCs w:val="18"/>
              </w:rPr>
              <w:t xml:space="preserve">必要的远程电话指导</w:t>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特殊病种（心肺复苏术、海姆立克急救法）未指导月督查分每例扣2分，导致严重后果，根据情节严重程度扣除部分或全部当月绩效</w:t>
            </w:r>
            <w:r>
              <w:rPr>
                <w:rFonts w:hint="eastAsia" w:ascii="宋体"/>
                <w:sz w:val="18"/>
                <w:szCs w:val="18"/>
              </w:rPr>
              <w:t xml:space="preserve">。</w:t>
            </w:r>
            <w:r>
              <w:rPr>
                <w:rFonts w:hint="eastAsia" w:ascii="宋体" w:hAnsi="宋体" w:cs="宋体"/>
                <w:sz w:val="18"/>
                <w:szCs w:val="18"/>
              </w:rPr>
            </w:r>
            <w:r/>
          </w:p>
        </w:tc>
      </w:tr>
      <w:tr>
        <w:trPr>
          <w:cantSplit/>
          <w:trHeight w:val="285"/>
        </w:trPr>
        <w:tc>
          <w:tcPr>
            <w:tcBorders>
              <w:left w:val="single" w:color="000000" w:sz="4" w:space="0"/>
              <w:right w:val="single" w:color="000000" w:sz="4" w:space="0"/>
            </w:tcBorders>
            <w:tcW w:w="739" w:type="dxa"/>
            <w:vAlign w:val="center"/>
            <w:vMerge w:val="continue"/>
            <w:textDirection w:val="lrTb"/>
            <w:noWrap/>
          </w:tcPr>
          <w:p>
            <w:pPr>
              <w:pStyle w:val="961"/>
              <w:jc w:val="center"/>
              <w:rPr>
                <w:rFonts w:hint="eastAsia" w:ascii="宋体" w:hAnsi="宋体" w:cs="宋体"/>
                <w:sz w:val="18"/>
                <w:szCs w:val="18"/>
              </w:rPr>
            </w:pPr>
            <w:r>
              <w:rPr>
                <w:rFonts w:hint="eastAsia" w:ascii="宋体" w:hAnsi="宋体" w:cs="宋体"/>
                <w:sz w:val="18"/>
                <w:szCs w:val="18"/>
              </w:rPr>
            </w:r>
            <w:r/>
          </w:p>
        </w:tc>
        <w:tc>
          <w:tcPr>
            <w:tcBorders>
              <w:left w:val="single" w:color="000000" w:sz="4" w:space="0"/>
              <w:right w:val="single" w:color="000000" w:sz="4" w:space="0"/>
            </w:tcBorders>
            <w:tcW w:w="1238" w:type="dxa"/>
            <w:vAlign w:val="center"/>
            <w:vMerge w:val="continue"/>
            <w:textDirection w:val="lrTb"/>
            <w:noWrap/>
          </w:tcPr>
          <w:p>
            <w:pPr>
              <w:pStyle w:val="961"/>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tcPr>
          <w:p>
            <w:pPr>
              <w:pStyle w:val="961"/>
              <w:jc w:val="left"/>
              <w:widowControl/>
              <w:rPr>
                <w:rFonts w:hint="eastAsia" w:ascii="宋体" w:hAnsi="宋体" w:cs="宋体"/>
                <w:sz w:val="18"/>
                <w:szCs w:val="18"/>
              </w:rPr>
            </w:pPr>
            <w:r>
              <w:rPr>
                <w:rFonts w:hint="eastAsia" w:ascii="宋体" w:hAnsi="宋体" w:cs="宋体"/>
                <w:sz w:val="18"/>
                <w:szCs w:val="18"/>
              </w:rPr>
              <w:t xml:space="preserve">回拨急救电话</w:t>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每月督查回拨率≥95%，每下降5%扣50元绩效（&lt;90%扣50元，&lt;85%扣100元），以此类推。</w:t>
            </w:r>
            <w:r/>
          </w:p>
        </w:tc>
      </w:tr>
      <w:tr>
        <w:trPr>
          <w:cantSplit/>
          <w:trHeight w:val="285"/>
        </w:trPr>
        <w:tc>
          <w:tcPr>
            <w:tcBorders>
              <w:left w:val="single" w:color="000000" w:sz="4" w:space="0"/>
              <w:right w:val="single" w:color="000000" w:sz="4" w:space="0"/>
            </w:tcBorders>
            <w:tcW w:w="739" w:type="dxa"/>
            <w:vAlign w:val="center"/>
            <w:vMerge w:val="continue"/>
            <w:textDirection w:val="lrTb"/>
            <w:noWrap/>
          </w:tcPr>
          <w:p>
            <w:pPr>
              <w:pStyle w:val="961"/>
              <w:jc w:val="center"/>
              <w:rPr>
                <w:rFonts w:hint="eastAsia" w:ascii="宋体" w:hAnsi="宋体" w:cs="宋体"/>
                <w:sz w:val="18"/>
                <w:szCs w:val="18"/>
              </w:rPr>
            </w:pPr>
            <w:r>
              <w:rPr>
                <w:rFonts w:hint="eastAsia" w:ascii="宋体" w:hAnsi="宋体" w:cs="宋体"/>
                <w:sz w:val="18"/>
                <w:szCs w:val="18"/>
              </w:rPr>
            </w:r>
            <w:r/>
          </w:p>
        </w:tc>
        <w:tc>
          <w:tcPr>
            <w:tcBorders>
              <w:left w:val="single" w:color="000000" w:sz="4" w:space="0"/>
              <w:right w:val="single" w:color="000000" w:sz="4" w:space="0"/>
            </w:tcBorders>
            <w:tcW w:w="1238" w:type="dxa"/>
            <w:vAlign w:val="center"/>
            <w:vMerge w:val="continue"/>
            <w:textDirection w:val="lrTb"/>
            <w:noWrap/>
          </w:tcPr>
          <w:p>
            <w:pPr>
              <w:pStyle w:val="961"/>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tcPr>
          <w:p>
            <w:pPr>
              <w:pStyle w:val="961"/>
              <w:jc w:val="left"/>
              <w:widowControl/>
              <w:rPr>
                <w:rFonts w:hint="eastAsia" w:ascii="宋体" w:hAnsi="宋体" w:cs="宋体"/>
                <w:sz w:val="18"/>
                <w:szCs w:val="18"/>
              </w:rPr>
            </w:pPr>
            <w:r>
              <w:rPr>
                <w:rFonts w:hint="eastAsia" w:ascii="宋体" w:hAnsi="宋体" w:cs="宋体"/>
                <w:sz w:val="18"/>
                <w:szCs w:val="18"/>
              </w:rPr>
              <w:t xml:space="preserve">规范用语、准确抓取地址、事件、电话等要素</w:t>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因调度差错引起纠纷，导致严重后果，根据情节严重程度扣除部分或全部当月绩效</w:t>
            </w:r>
            <w:r>
              <w:rPr>
                <w:rFonts w:hint="eastAsia" w:ascii="宋体"/>
                <w:sz w:val="18"/>
                <w:szCs w:val="18"/>
              </w:rPr>
              <w:t xml:space="preserve">。</w:t>
            </w:r>
            <w:r>
              <w:rPr>
                <w:rFonts w:hint="eastAsia" w:ascii="宋体" w:hAnsi="宋体" w:cs="宋体"/>
                <w:sz w:val="18"/>
                <w:szCs w:val="18"/>
              </w:rPr>
            </w:r>
            <w:r/>
          </w:p>
        </w:tc>
      </w:tr>
      <w:tr>
        <w:trPr>
          <w:cantSplit/>
          <w:trHeight w:val="285"/>
        </w:trPr>
        <w:tc>
          <w:tcPr>
            <w:tcBorders>
              <w:left w:val="single" w:color="000000" w:sz="4" w:space="0"/>
              <w:right w:val="single" w:color="000000" w:sz="4" w:space="0"/>
            </w:tcBorders>
            <w:tcW w:w="739" w:type="dxa"/>
            <w:vAlign w:val="center"/>
            <w:vMerge w:val="continue"/>
            <w:textDirection w:val="lrTb"/>
            <w:noWrap/>
          </w:tcPr>
          <w:p>
            <w:pPr>
              <w:pStyle w:val="961"/>
              <w:jc w:val="center"/>
              <w:rPr>
                <w:rFonts w:hint="eastAsia" w:ascii="宋体" w:hAnsi="宋体" w:cs="宋体"/>
                <w:sz w:val="18"/>
                <w:szCs w:val="18"/>
              </w:rPr>
            </w:pPr>
            <w:r>
              <w:rPr>
                <w:rFonts w:hint="eastAsia" w:ascii="宋体" w:hAnsi="宋体" w:cs="宋体"/>
                <w:sz w:val="18"/>
                <w:szCs w:val="18"/>
              </w:rPr>
            </w:r>
            <w:r/>
          </w:p>
        </w:tc>
        <w:tc>
          <w:tcPr>
            <w:tcBorders>
              <w:left w:val="single" w:color="000000" w:sz="4" w:space="0"/>
              <w:right w:val="single" w:color="000000" w:sz="4" w:space="0"/>
            </w:tcBorders>
            <w:tcW w:w="1238" w:type="dxa"/>
            <w:vAlign w:val="center"/>
            <w:vMerge w:val="continue"/>
            <w:textDirection w:val="lrTb"/>
            <w:noWrap/>
          </w:tcPr>
          <w:p>
            <w:pPr>
              <w:pStyle w:val="961"/>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tcPr>
          <w:p>
            <w:pPr>
              <w:pStyle w:val="961"/>
              <w:jc w:val="left"/>
              <w:widowControl/>
              <w:rPr>
                <w:rFonts w:hint="eastAsia" w:ascii="宋体" w:hAnsi="宋体" w:cs="宋体"/>
                <w:sz w:val="18"/>
                <w:szCs w:val="18"/>
              </w:rPr>
            </w:pPr>
            <w:r>
              <w:rPr>
                <w:rFonts w:hint="eastAsia" w:ascii="宋体" w:hAnsi="宋体" w:cs="宋体"/>
                <w:sz w:val="18"/>
                <w:szCs w:val="18"/>
              </w:rPr>
              <w:t xml:space="preserve">合理派车</w:t>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错派、漏派、点错单、不及时派单、随意改派、发现问题不及时改派、不合理改派、重复派单，导致严重后果，根据情节严重程度扣除部分或全部当月绩效</w:t>
            </w:r>
            <w:r>
              <w:rPr>
                <w:rFonts w:hint="eastAsia" w:ascii="宋体"/>
                <w:sz w:val="18"/>
                <w:szCs w:val="18"/>
              </w:rPr>
              <w:t xml:space="preserve">。</w:t>
            </w:r>
            <w:r>
              <w:rPr>
                <w:rFonts w:hint="eastAsia" w:ascii="宋体" w:hAnsi="宋体" w:cs="宋体"/>
                <w:sz w:val="18"/>
                <w:szCs w:val="18"/>
              </w:rPr>
            </w:r>
            <w:r/>
          </w:p>
        </w:tc>
      </w:tr>
      <w:tr>
        <w:trPr>
          <w:cantSplit/>
          <w:trHeight w:val="517"/>
        </w:trPr>
        <w:tc>
          <w:tcPr>
            <w:tcBorders>
              <w:left w:val="single" w:color="000000" w:sz="4" w:space="0"/>
              <w:right w:val="single" w:color="000000" w:sz="4" w:space="0"/>
            </w:tcBorders>
            <w:tcW w:w="739" w:type="dxa"/>
            <w:vAlign w:val="center"/>
            <w:vMerge w:val="continue"/>
            <w:textDirection w:val="lrTb"/>
            <w:noWrap/>
          </w:tcPr>
          <w:p>
            <w:pPr>
              <w:pStyle w:val="961"/>
              <w:jc w:val="center"/>
              <w:rPr>
                <w:rFonts w:hint="eastAsia" w:ascii="宋体" w:hAnsi="宋体" w:cs="宋体"/>
                <w:sz w:val="18"/>
                <w:szCs w:val="18"/>
              </w:rPr>
            </w:pPr>
            <w:r>
              <w:rPr>
                <w:rFonts w:hint="eastAsia" w:ascii="宋体" w:hAnsi="宋体" w:cs="宋体"/>
                <w:sz w:val="18"/>
                <w:szCs w:val="18"/>
              </w:rPr>
            </w:r>
            <w:r/>
          </w:p>
        </w:tc>
        <w:tc>
          <w:tcPr>
            <w:tcBorders>
              <w:left w:val="single" w:color="000000" w:sz="4" w:space="0"/>
              <w:right w:val="single" w:color="000000" w:sz="4" w:space="0"/>
            </w:tcBorders>
            <w:tcW w:w="1238" w:type="dxa"/>
            <w:vAlign w:val="center"/>
            <w:vMerge w:val="continue"/>
            <w:textDirection w:val="lrTb"/>
            <w:noWrap/>
          </w:tcPr>
          <w:p>
            <w:pPr>
              <w:pStyle w:val="961"/>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tcPr>
          <w:p>
            <w:pPr>
              <w:pStyle w:val="961"/>
              <w:jc w:val="left"/>
              <w:widowControl/>
              <w:rPr>
                <w:rFonts w:hint="eastAsia" w:ascii="宋体" w:hAnsi="宋体" w:cs="宋体"/>
                <w:sz w:val="18"/>
                <w:szCs w:val="18"/>
              </w:rPr>
            </w:pPr>
            <w:r>
              <w:rPr>
                <w:rFonts w:hint="eastAsia" w:ascii="宋体" w:hAnsi="宋体" w:cs="宋体"/>
                <w:sz w:val="18"/>
                <w:szCs w:val="18"/>
              </w:rPr>
              <w:t xml:space="preserve">派车单完整规范</w:t>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每月派车单督查完整率≥85%，每低于5%扣2分，扣完16分为止。</w:t>
            </w:r>
            <w:r/>
          </w:p>
        </w:tc>
      </w:tr>
      <w:tr>
        <w:trPr>
          <w:cantSplit/>
          <w:trHeight w:val="285"/>
        </w:trPr>
        <w:tc>
          <w:tcPr>
            <w:tcBorders>
              <w:left w:val="single" w:color="000000" w:sz="4" w:space="0"/>
              <w:right w:val="single" w:color="000000" w:sz="4" w:space="0"/>
            </w:tcBorders>
            <w:tcW w:w="739" w:type="dxa"/>
            <w:vAlign w:val="center"/>
            <w:vMerge w:val="continue"/>
            <w:textDirection w:val="lrTb"/>
            <w:noWrap/>
          </w:tcPr>
          <w:p>
            <w:pPr>
              <w:pStyle w:val="961"/>
              <w:jc w:val="center"/>
              <w:rPr>
                <w:rFonts w:hint="eastAsia" w:ascii="宋体" w:hAnsi="宋体" w:cs="宋体"/>
                <w:sz w:val="18"/>
                <w:szCs w:val="18"/>
              </w:rPr>
            </w:pPr>
            <w:r>
              <w:rPr>
                <w:rFonts w:hint="eastAsia" w:ascii="宋体" w:hAnsi="宋体" w:cs="宋体"/>
                <w:sz w:val="18"/>
                <w:szCs w:val="18"/>
              </w:rPr>
            </w:r>
            <w:r/>
          </w:p>
        </w:tc>
        <w:tc>
          <w:tcPr>
            <w:tcBorders>
              <w:left w:val="single" w:color="000000" w:sz="4" w:space="0"/>
              <w:right w:val="single" w:color="000000" w:sz="4" w:space="0"/>
            </w:tcBorders>
            <w:tcW w:w="1238" w:type="dxa"/>
            <w:vAlign w:val="center"/>
            <w:vMerge w:val="continue"/>
            <w:textDirection w:val="lrTb"/>
            <w:noWrap/>
          </w:tcPr>
          <w:p>
            <w:pPr>
              <w:pStyle w:val="961"/>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tcPr>
          <w:p>
            <w:pPr>
              <w:pStyle w:val="961"/>
              <w:jc w:val="left"/>
              <w:widowControl/>
              <w:rPr>
                <w:rFonts w:hint="eastAsia" w:ascii="宋体" w:hAnsi="宋体" w:cs="宋体"/>
                <w:sz w:val="18"/>
                <w:szCs w:val="18"/>
              </w:rPr>
            </w:pPr>
            <w:r>
              <w:rPr>
                <w:rFonts w:hint="eastAsia" w:ascii="宋体" w:hAnsi="宋体" w:cs="宋体"/>
                <w:sz w:val="18"/>
                <w:szCs w:val="18"/>
              </w:rPr>
              <w:t xml:space="preserve">急救、非急救接报规范、突发事件应急处理规范、重大事件上报流程规范</w:t>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接报、突发事件应急处理、上报流程不规范的，瞒报，导致严重后果，根据情节严重程度扣除部分或全部当月绩效</w:t>
            </w:r>
            <w:r>
              <w:rPr>
                <w:rFonts w:hint="eastAsia" w:ascii="宋体"/>
                <w:sz w:val="18"/>
                <w:szCs w:val="18"/>
              </w:rPr>
              <w:t xml:space="preserve">。</w:t>
            </w:r>
            <w:r>
              <w:rPr>
                <w:rFonts w:hint="eastAsia" w:ascii="宋体" w:hAnsi="宋体" w:cs="宋体"/>
                <w:sz w:val="18"/>
                <w:szCs w:val="18"/>
              </w:rPr>
            </w:r>
            <w:r/>
          </w:p>
        </w:tc>
      </w:tr>
      <w:tr>
        <w:trPr>
          <w:cantSplit/>
          <w:trHeight w:val="285"/>
        </w:trPr>
        <w:tc>
          <w:tcPr>
            <w:tcBorders>
              <w:left w:val="single" w:color="000000" w:sz="4" w:space="0"/>
              <w:right w:val="single" w:color="000000" w:sz="4" w:space="0"/>
            </w:tcBorders>
            <w:tcW w:w="739" w:type="dxa"/>
            <w:vAlign w:val="center"/>
            <w:vMerge w:val="continue"/>
            <w:textDirection w:val="lrTb"/>
            <w:noWrap/>
          </w:tcPr>
          <w:p>
            <w:pPr>
              <w:pStyle w:val="961"/>
              <w:jc w:val="center"/>
              <w:rPr>
                <w:rFonts w:hint="eastAsia" w:ascii="宋体" w:hAnsi="宋体" w:cs="宋体"/>
                <w:sz w:val="18"/>
                <w:szCs w:val="18"/>
              </w:rPr>
            </w:pPr>
            <w:r>
              <w:rPr>
                <w:rFonts w:hint="eastAsia" w:ascii="宋体" w:hAnsi="宋体" w:cs="宋体"/>
                <w:sz w:val="18"/>
                <w:szCs w:val="18"/>
              </w:rPr>
            </w:r>
            <w:r/>
          </w:p>
        </w:tc>
        <w:tc>
          <w:tcPr>
            <w:tcBorders>
              <w:left w:val="single" w:color="000000" w:sz="4" w:space="0"/>
              <w:bottom w:val="single" w:color="000000" w:sz="4" w:space="0"/>
              <w:right w:val="single" w:color="000000" w:sz="4" w:space="0"/>
            </w:tcBorders>
            <w:tcW w:w="1238" w:type="dxa"/>
            <w:vAlign w:val="center"/>
            <w:vMerge w:val="continue"/>
            <w:textDirection w:val="lrTb"/>
            <w:noWrap/>
          </w:tcPr>
          <w:p>
            <w:pPr>
              <w:pStyle w:val="961"/>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tcPr>
          <w:p>
            <w:pPr>
              <w:pStyle w:val="961"/>
              <w:jc w:val="left"/>
              <w:widowControl/>
              <w:rPr>
                <w:rFonts w:hint="eastAsia" w:ascii="宋体" w:hAnsi="宋体" w:cs="宋体"/>
                <w:sz w:val="18"/>
                <w:szCs w:val="18"/>
              </w:rPr>
            </w:pPr>
            <w:r>
              <w:rPr>
                <w:rFonts w:hint="eastAsia" w:ascii="宋体" w:hAnsi="宋体" w:cs="宋体"/>
                <w:sz w:val="18"/>
                <w:szCs w:val="18"/>
              </w:rPr>
              <w:t xml:space="preserve">接打电话服务态度良好</w:t>
            </w:r>
            <w:r/>
          </w:p>
        </w:tc>
        <w:tc>
          <w:tcPr>
            <w:tcBorders>
              <w:top w:val="single" w:color="000000" w:sz="4" w:space="0"/>
              <w:left w:val="single" w:color="000000" w:sz="4" w:space="0"/>
              <w:right w:val="single" w:color="000000" w:sz="4" w:space="0"/>
            </w:tcBorders>
            <w:tcW w:w="737" w:type="dxa"/>
            <w:vAlign w:val="center"/>
            <w:vMerge w:val="restart"/>
            <w:textDirection w:val="lrTb"/>
            <w:noWrap/>
          </w:tcPr>
          <w:p>
            <w:pPr>
              <w:pStyle w:val="961"/>
              <w:jc w:val="center"/>
              <w:rPr>
                <w:rFonts w:hint="eastAsia" w:ascii="宋体" w:hAnsi="宋体" w:cs="宋体"/>
                <w:sz w:val="18"/>
                <w:szCs w:val="18"/>
              </w:rPr>
            </w:pPr>
            <w:r>
              <w:rPr>
                <w:rFonts w:hint="eastAsia" w:ascii="宋体" w:hAnsi="宋体" w:cs="宋体"/>
                <w:sz w:val="18"/>
                <w:szCs w:val="18"/>
              </w:rPr>
              <w:t xml:space="preserve">专人考核</w:t>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接打电话态度恶劣，造成恶劣影响，经查报警人投诉属实者扣当月绩效。</w:t>
            </w:r>
            <w:r/>
          </w:p>
        </w:tc>
      </w:tr>
      <w:tr>
        <w:trPr>
          <w:cantSplit/>
          <w:trHeight w:val="285"/>
        </w:trPr>
        <w:tc>
          <w:tcPr>
            <w:tcBorders>
              <w:left w:val="single" w:color="000000" w:sz="4" w:space="0"/>
              <w:right w:val="single" w:color="000000" w:sz="4" w:space="0"/>
            </w:tcBorders>
            <w:tcW w:w="739" w:type="dxa"/>
            <w:vAlign w:val="center"/>
            <w:vMerge w:val="continue"/>
            <w:textDirection w:val="lrTb"/>
            <w:noWrap/>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1238" w:type="dxa"/>
            <w:vAlign w:val="center"/>
            <w:vMerge w:val="restart"/>
            <w:textDirection w:val="lrTb"/>
            <w:noWrap/>
          </w:tcPr>
          <w:p>
            <w:pPr>
              <w:pStyle w:val="961"/>
              <w:jc w:val="left"/>
              <w:widowControl/>
              <w:rPr>
                <w:rFonts w:hint="eastAsia" w:ascii="宋体" w:hAnsi="宋体" w:cs="宋体"/>
                <w:sz w:val="18"/>
                <w:szCs w:val="18"/>
              </w:rPr>
            </w:pPr>
            <w:r>
              <w:rPr>
                <w:rFonts w:hint="eastAsia" w:ascii="宋体" w:hAnsi="宋体" w:cs="宋体"/>
                <w:sz w:val="18"/>
                <w:szCs w:val="18"/>
              </w:rPr>
              <w:t xml:space="preserve">劳动纪律</w:t>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tcPr>
          <w:p>
            <w:pPr>
              <w:pStyle w:val="961"/>
              <w:jc w:val="left"/>
              <w:widowControl/>
              <w:rPr>
                <w:rFonts w:hint="eastAsia" w:ascii="宋体" w:hAnsi="宋体" w:cs="宋体"/>
                <w:sz w:val="18"/>
                <w:szCs w:val="18"/>
              </w:rPr>
            </w:pPr>
            <w:r>
              <w:rPr>
                <w:rFonts w:hint="eastAsia" w:ascii="宋体" w:hAnsi="宋体" w:cs="宋体"/>
                <w:sz w:val="18"/>
                <w:szCs w:val="18"/>
              </w:rPr>
              <w:t xml:space="preserve">提前10分钟到岗，无迟到、早退，及时入席、退席；无无故缺勤</w:t>
            </w:r>
            <w:r/>
          </w:p>
        </w:tc>
        <w:tc>
          <w:tcPr>
            <w:tcBorders>
              <w:left w:val="single" w:color="000000" w:sz="4" w:space="0"/>
              <w:right w:val="single" w:color="000000" w:sz="4" w:space="0"/>
            </w:tcBorders>
            <w:tcW w:w="737" w:type="dxa"/>
            <w:vAlign w:val="center"/>
            <w:vMerge w:val="continue"/>
            <w:textDirection w:val="lrTb"/>
            <w:noWrap/>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每月累计无故迟到早退3次及以上扣除当月基础绩效奖；每月累计无故缺席3次及以上扣除当月绩效奖。</w:t>
            </w:r>
            <w:r/>
          </w:p>
        </w:tc>
      </w:tr>
      <w:tr>
        <w:trPr>
          <w:cantSplit/>
          <w:trHeight w:val="285"/>
        </w:trPr>
        <w:tc>
          <w:tcPr>
            <w:tcBorders>
              <w:left w:val="single" w:color="000000" w:sz="4" w:space="0"/>
              <w:right w:val="single" w:color="000000" w:sz="4" w:space="0"/>
            </w:tcBorders>
            <w:tcW w:w="739" w:type="dxa"/>
            <w:vAlign w:val="center"/>
            <w:vMerge w:val="continue"/>
            <w:textDirection w:val="lrTb"/>
            <w:noWrap/>
          </w:tcPr>
          <w:p>
            <w:pPr>
              <w:pStyle w:val="961"/>
              <w:jc w:val="center"/>
              <w:rPr>
                <w:rFonts w:hint="eastAsia" w:ascii="宋体" w:hAnsi="宋体" w:cs="宋体"/>
                <w:sz w:val="18"/>
                <w:szCs w:val="18"/>
              </w:rPr>
            </w:pPr>
            <w:r>
              <w:rPr>
                <w:rFonts w:hint="eastAsia" w:ascii="宋体" w:hAnsi="宋体" w:cs="宋体"/>
                <w:sz w:val="18"/>
                <w:szCs w:val="18"/>
              </w:rPr>
            </w:r>
            <w:r/>
          </w:p>
        </w:tc>
        <w:tc>
          <w:tcPr>
            <w:tcBorders>
              <w:left w:val="single" w:color="000000" w:sz="4" w:space="0"/>
              <w:right w:val="single" w:color="000000" w:sz="4" w:space="0"/>
            </w:tcBorders>
            <w:tcW w:w="1238" w:type="dxa"/>
            <w:vAlign w:val="center"/>
            <w:vMerge w:val="continue"/>
            <w:textDirection w:val="lrTb"/>
            <w:noWrap/>
          </w:tcPr>
          <w:p>
            <w:pPr>
              <w:pStyle w:val="961"/>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tcPr>
          <w:p>
            <w:pPr>
              <w:pStyle w:val="961"/>
              <w:jc w:val="left"/>
              <w:widowControl/>
              <w:rPr>
                <w:rFonts w:hint="eastAsia" w:ascii="宋体" w:hAnsi="宋体" w:cs="宋体"/>
                <w:sz w:val="18"/>
                <w:szCs w:val="18"/>
              </w:rPr>
            </w:pPr>
            <w:r>
              <w:rPr>
                <w:rFonts w:hint="eastAsia" w:ascii="宋体" w:hAnsi="宋体" w:cs="宋体"/>
                <w:sz w:val="18"/>
                <w:szCs w:val="18"/>
              </w:rPr>
              <w:t xml:space="preserve">每月调班不得超过3次（调班2人各计1次），每月周会请假不得超过1次，不得私自代班、换班，如代班、换班必须上报给驻场管理人员并报调度科长，有特殊情况的及时向驻场管理人员和调度科长电话报备。</w:t>
            </w:r>
            <w:r/>
          </w:p>
        </w:tc>
        <w:tc>
          <w:tcPr>
            <w:tcBorders>
              <w:left w:val="single" w:color="000000" w:sz="4" w:space="0"/>
              <w:right w:val="single" w:color="000000" w:sz="4" w:space="0"/>
            </w:tcBorders>
            <w:tcW w:w="737" w:type="dxa"/>
            <w:vAlign w:val="center"/>
            <w:vMerge w:val="continue"/>
            <w:textDirection w:val="lrTb"/>
            <w:noWrap/>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调班3次以上（不含3次）每次扣5分，周会请假1次以上（不含1次）每次扣10分（病假除外）；无故缺席周会1次扣除当月基础绩效，无故缺席超过2次及以上扣除当月全部绩效。扣除绩效作为奖励发放给月度质控排名前三的调度员，奖励比例分别为50%、30%、20%。</w:t>
            </w:r>
            <w:r/>
          </w:p>
        </w:tc>
      </w:tr>
      <w:tr>
        <w:trPr>
          <w:cantSplit/>
          <w:trHeight w:val="285"/>
        </w:trPr>
        <w:tc>
          <w:tcPr>
            <w:tcBorders>
              <w:left w:val="single" w:color="000000" w:sz="4" w:space="0"/>
              <w:right w:val="single" w:color="000000" w:sz="4" w:space="0"/>
            </w:tcBorders>
            <w:tcW w:w="739" w:type="dxa"/>
            <w:vAlign w:val="center"/>
            <w:vMerge w:val="continue"/>
            <w:textDirection w:val="lrTb"/>
            <w:noWrap/>
          </w:tcPr>
          <w:p>
            <w:pPr>
              <w:pStyle w:val="961"/>
              <w:jc w:val="center"/>
              <w:rPr>
                <w:rFonts w:hint="eastAsia" w:ascii="宋体" w:hAnsi="宋体" w:cs="宋体"/>
                <w:sz w:val="18"/>
                <w:szCs w:val="18"/>
              </w:rPr>
            </w:pPr>
            <w:r>
              <w:rPr>
                <w:rFonts w:hint="eastAsia" w:ascii="宋体" w:hAnsi="宋体" w:cs="宋体"/>
                <w:sz w:val="18"/>
                <w:szCs w:val="18"/>
              </w:rPr>
            </w:r>
            <w:r/>
          </w:p>
        </w:tc>
        <w:tc>
          <w:tcPr>
            <w:tcBorders>
              <w:left w:val="single" w:color="000000" w:sz="4" w:space="0"/>
              <w:right w:val="single" w:color="000000" w:sz="4" w:space="0"/>
            </w:tcBorders>
            <w:tcW w:w="1238" w:type="dxa"/>
            <w:vAlign w:val="center"/>
            <w:vMerge w:val="continue"/>
            <w:textDirection w:val="lrTb"/>
            <w:noWrap/>
          </w:tcPr>
          <w:p>
            <w:pPr>
              <w:pStyle w:val="961"/>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tcPr>
          <w:p>
            <w:pPr>
              <w:pStyle w:val="961"/>
              <w:jc w:val="left"/>
              <w:widowControl/>
              <w:rPr>
                <w:rFonts w:hint="eastAsia" w:ascii="宋体" w:hAnsi="宋体" w:cs="宋体"/>
                <w:sz w:val="18"/>
                <w:szCs w:val="18"/>
              </w:rPr>
            </w:pPr>
            <w:r>
              <w:rPr>
                <w:rFonts w:hint="eastAsia" w:ascii="宋体" w:hAnsi="宋体" w:cs="宋体"/>
                <w:sz w:val="18"/>
                <w:szCs w:val="18"/>
              </w:rPr>
              <w:t xml:space="preserve">在岗不串岗、脱岗、无故离席，不干私活</w:t>
            </w:r>
            <w:r/>
          </w:p>
        </w:tc>
        <w:tc>
          <w:tcPr>
            <w:tcBorders>
              <w:left w:val="single" w:color="000000" w:sz="4" w:space="0"/>
              <w:right w:val="single" w:color="000000" w:sz="4" w:space="0"/>
            </w:tcBorders>
            <w:tcW w:w="737" w:type="dxa"/>
            <w:vAlign w:val="center"/>
            <w:vMerge w:val="continue"/>
            <w:textDirection w:val="lrTb"/>
            <w:noWrap/>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每月累计无故离席2小时3次及以上扣除当月基础绩效奖。</w:t>
            </w:r>
            <w:r/>
          </w:p>
        </w:tc>
      </w:tr>
      <w:tr>
        <w:trPr>
          <w:cantSplit/>
          <w:trHeight w:val="285"/>
        </w:trPr>
        <w:tc>
          <w:tcPr>
            <w:tcBorders>
              <w:left w:val="single" w:color="000000" w:sz="4" w:space="0"/>
              <w:right w:val="single" w:color="000000" w:sz="4" w:space="0"/>
            </w:tcBorders>
            <w:tcW w:w="739" w:type="dxa"/>
            <w:vAlign w:val="center"/>
            <w:vMerge w:val="continue"/>
            <w:textDirection w:val="lrTb"/>
            <w:noWrap/>
          </w:tcPr>
          <w:p>
            <w:pPr>
              <w:pStyle w:val="961"/>
              <w:jc w:val="center"/>
              <w:rPr>
                <w:rFonts w:hint="eastAsia" w:ascii="宋体" w:hAnsi="宋体" w:cs="宋体"/>
                <w:sz w:val="18"/>
                <w:szCs w:val="18"/>
              </w:rPr>
            </w:pPr>
            <w:r>
              <w:rPr>
                <w:rFonts w:hint="eastAsia" w:ascii="宋体" w:hAnsi="宋体" w:cs="宋体"/>
                <w:sz w:val="18"/>
                <w:szCs w:val="18"/>
              </w:rPr>
            </w:r>
            <w:r/>
          </w:p>
        </w:tc>
        <w:tc>
          <w:tcPr>
            <w:tcBorders>
              <w:left w:val="single" w:color="000000" w:sz="4" w:space="0"/>
              <w:right w:val="single" w:color="000000" w:sz="4" w:space="0"/>
            </w:tcBorders>
            <w:tcW w:w="1238" w:type="dxa"/>
            <w:vAlign w:val="center"/>
            <w:vMerge w:val="continue"/>
            <w:textDirection w:val="lrTb"/>
            <w:noWrap/>
          </w:tcPr>
          <w:p>
            <w:pPr>
              <w:pStyle w:val="961"/>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tcPr>
          <w:p>
            <w:pPr>
              <w:pStyle w:val="961"/>
              <w:jc w:val="left"/>
              <w:widowControl/>
              <w:rPr>
                <w:rFonts w:hint="eastAsia" w:ascii="宋体" w:hAnsi="宋体" w:cs="宋体"/>
                <w:sz w:val="18"/>
                <w:szCs w:val="18"/>
              </w:rPr>
            </w:pPr>
            <w:r>
              <w:rPr>
                <w:rFonts w:hint="eastAsia" w:ascii="宋体" w:hAnsi="宋体" w:cs="宋体"/>
                <w:sz w:val="18"/>
                <w:szCs w:val="18"/>
              </w:rPr>
              <w:t xml:space="preserve">上岗后不得使用手机做任何与工作无关的事情</w:t>
            </w:r>
            <w:r/>
          </w:p>
        </w:tc>
        <w:tc>
          <w:tcPr>
            <w:tcBorders>
              <w:left w:val="single" w:color="000000" w:sz="4" w:space="0"/>
              <w:right w:val="single" w:color="000000" w:sz="4" w:space="0"/>
            </w:tcBorders>
            <w:tcW w:w="737" w:type="dxa"/>
            <w:vAlign w:val="center"/>
            <w:vMerge w:val="continue"/>
            <w:textDirection w:val="lrTb"/>
            <w:noWrap/>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在上岗时打游戏的，一经发现罚款300元。</w:t>
            </w:r>
            <w:r/>
          </w:p>
        </w:tc>
      </w:tr>
      <w:tr>
        <w:trPr>
          <w:cantSplit/>
          <w:trHeight w:val="285"/>
        </w:trPr>
        <w:tc>
          <w:tcPr>
            <w:tcBorders>
              <w:left w:val="single" w:color="000000" w:sz="4" w:space="0"/>
              <w:right w:val="single" w:color="000000" w:sz="4" w:space="0"/>
            </w:tcBorders>
            <w:tcW w:w="739" w:type="dxa"/>
            <w:vAlign w:val="center"/>
            <w:vMerge w:val="continue"/>
            <w:textDirection w:val="lrTb"/>
            <w:noWrap/>
          </w:tcPr>
          <w:p>
            <w:pPr>
              <w:pStyle w:val="961"/>
              <w:jc w:val="center"/>
              <w:rPr>
                <w:rFonts w:hint="eastAsia" w:ascii="宋体" w:hAnsi="宋体" w:cs="宋体"/>
                <w:sz w:val="18"/>
                <w:szCs w:val="18"/>
              </w:rPr>
            </w:pPr>
            <w:r>
              <w:rPr>
                <w:rFonts w:hint="eastAsia" w:ascii="宋体" w:hAnsi="宋体" w:cs="宋体"/>
                <w:sz w:val="18"/>
                <w:szCs w:val="18"/>
              </w:rPr>
            </w:r>
            <w:r/>
          </w:p>
        </w:tc>
        <w:tc>
          <w:tcPr>
            <w:tcBorders>
              <w:left w:val="single" w:color="000000" w:sz="4" w:space="0"/>
              <w:bottom w:val="single" w:color="000000" w:sz="4" w:space="0"/>
              <w:right w:val="single" w:color="000000" w:sz="4" w:space="0"/>
            </w:tcBorders>
            <w:tcW w:w="1238" w:type="dxa"/>
            <w:vAlign w:val="center"/>
            <w:vMerge w:val="continue"/>
            <w:textDirection w:val="lrTb"/>
            <w:noWrap/>
          </w:tcPr>
          <w:p>
            <w:pPr>
              <w:pStyle w:val="961"/>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tcPr>
          <w:p>
            <w:pPr>
              <w:pStyle w:val="961"/>
              <w:jc w:val="left"/>
              <w:widowControl/>
              <w:rPr>
                <w:rFonts w:hint="eastAsia" w:ascii="宋体" w:hAnsi="宋体" w:cs="宋体"/>
                <w:sz w:val="18"/>
                <w:szCs w:val="18"/>
              </w:rPr>
            </w:pPr>
            <w:r>
              <w:rPr>
                <w:rFonts w:hint="eastAsia" w:ascii="宋体" w:hAnsi="宋体" w:cs="宋体"/>
                <w:sz w:val="18"/>
                <w:szCs w:val="18"/>
              </w:rPr>
              <w:t xml:space="preserve">自觉维护调度室内各种设备设施，保障调度系统正常运行</w:t>
            </w:r>
            <w:r/>
          </w:p>
        </w:tc>
        <w:tc>
          <w:tcPr>
            <w:tcBorders>
              <w:left w:val="single" w:color="000000" w:sz="4" w:space="0"/>
              <w:bottom w:val="single" w:color="000000" w:sz="4" w:space="0"/>
              <w:right w:val="single" w:color="000000" w:sz="4" w:space="0"/>
            </w:tcBorders>
            <w:tcW w:w="737" w:type="dxa"/>
            <w:vAlign w:val="center"/>
            <w:vMerge w:val="continue"/>
            <w:textDirection w:val="lrTb"/>
            <w:noWrap/>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私自安装软件或使用U盘、硬盘等损坏设备设施的每次扣绩效300元。</w:t>
            </w:r>
            <w:r/>
          </w:p>
        </w:tc>
      </w:tr>
      <w:tr>
        <w:trPr>
          <w:cantSplit/>
          <w:trHeight w:val="285"/>
        </w:trPr>
        <w:tc>
          <w:tcPr>
            <w:tcBorders>
              <w:left w:val="single" w:color="000000" w:sz="4" w:space="0"/>
              <w:bottom w:val="single" w:color="000000" w:sz="4" w:space="0"/>
              <w:right w:val="single" w:color="000000" w:sz="4" w:space="0"/>
            </w:tcBorders>
            <w:tcW w:w="739" w:type="dxa"/>
            <w:vAlign w:val="center"/>
            <w:vMerge w:val="continue"/>
            <w:textDirection w:val="lrTb"/>
            <w:noWrap/>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pStyle w:val="961"/>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tcPr>
          <w:p>
            <w:pPr>
              <w:pStyle w:val="961"/>
              <w:jc w:val="left"/>
              <w:widowControl/>
              <w:rPr>
                <w:rFonts w:hint="eastAsia" w:ascii="宋体" w:hAnsi="宋体" w:cs="宋体"/>
                <w:sz w:val="18"/>
                <w:szCs w:val="18"/>
              </w:rPr>
            </w:pPr>
            <w:r>
              <w:rPr>
                <w:rFonts w:hint="eastAsia" w:ascii="宋体" w:hAnsi="宋体" w:cs="宋体"/>
                <w:sz w:val="18"/>
                <w:szCs w:val="18"/>
              </w:rPr>
              <w:t xml:space="preserve">严格遵守保密协议，不得随意泄露如何工作相关信息</w:t>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随意泄密，一经发现罚款300元；造成后果的扣除当月绩效奖；违反急救中心工作人员保密协议造成严重后果的，按保密协议约定承担违约责任。</w:t>
            </w:r>
            <w:r/>
          </w:p>
        </w:tc>
      </w:tr>
    </w:tbl>
    <w:p>
      <w:pPr>
        <w:pStyle w:val="961"/>
        <w:jc w:val="left"/>
        <w:spacing w:line="360" w:lineRule="auto"/>
        <w:widowControl/>
        <w:rPr>
          <w:rFonts w:hint="eastAsia" w:ascii="宋体" w:hAnsi="宋体" w:cs="宋体"/>
          <w:sz w:val="18"/>
          <w:szCs w:val="18"/>
        </w:rPr>
      </w:pPr>
      <w:r>
        <w:rPr>
          <w:rFonts w:hint="eastAsia" w:ascii="宋体" w:hAnsi="宋体" w:cs="宋体"/>
          <w:sz w:val="18"/>
          <w:szCs w:val="18"/>
        </w:rPr>
      </w:r>
      <w:r/>
    </w:p>
    <w:p>
      <w:pPr>
        <w:pStyle w:val="961"/>
        <w:jc w:val="left"/>
        <w:spacing w:line="360" w:lineRule="auto"/>
        <w:widowControl/>
        <w:rPr>
          <w:rFonts w:hint="eastAsia" w:ascii="宋体" w:hAnsi="宋体" w:cs="宋体"/>
          <w:sz w:val="18"/>
          <w:szCs w:val="18"/>
        </w:rPr>
      </w:pPr>
      <w:r>
        <w:rPr>
          <w:rFonts w:hint="eastAsia" w:ascii="宋体" w:hAnsi="宋体" w:cs="宋体"/>
          <w:sz w:val="18"/>
          <w:szCs w:val="18"/>
        </w:rPr>
        <w:t xml:space="preserve">注：</w:t>
      </w:r>
      <w:r/>
    </w:p>
    <w:p>
      <w:pPr>
        <w:pStyle w:val="961"/>
        <w:jc w:val="left"/>
        <w:spacing w:line="360" w:lineRule="auto"/>
        <w:widowControl/>
        <w:rPr>
          <w:rFonts w:ascii="宋体" w:hAnsi="宋体" w:cs="宋体"/>
          <w:sz w:val="18"/>
          <w:szCs w:val="18"/>
        </w:rPr>
      </w:pPr>
      <w:r>
        <w:rPr>
          <w:rFonts w:hint="eastAsia" w:ascii="宋体" w:hAnsi="宋体" w:cs="宋体"/>
          <w:sz w:val="18"/>
          <w:szCs w:val="18"/>
        </w:rPr>
        <w:t xml:space="preserve">1、工作质量考核（100分）=日常质控考核70分+月度业务考核指标16分+提问考核10分+周会分享4分。</w:t>
      </w:r>
      <w:r>
        <w:rPr>
          <w:rFonts w:ascii="宋体" w:hAnsi="宋体" w:cs="宋体"/>
          <w:sz w:val="18"/>
          <w:szCs w:val="18"/>
        </w:rPr>
      </w:r>
      <w:r/>
    </w:p>
    <w:p>
      <w:pPr>
        <w:pStyle w:val="961"/>
        <w:jc w:val="left"/>
        <w:spacing w:line="360" w:lineRule="auto"/>
        <w:widowControl/>
        <w:rPr>
          <w:rFonts w:hint="eastAsia" w:ascii="宋体" w:hAnsi="宋体" w:cs="宋体"/>
          <w:sz w:val="18"/>
          <w:szCs w:val="18"/>
        </w:rPr>
      </w:pPr>
      <w:r>
        <w:rPr>
          <w:rFonts w:hint="eastAsia" w:ascii="宋体" w:hAnsi="宋体" w:cs="宋体"/>
          <w:sz w:val="18"/>
          <w:szCs w:val="18"/>
        </w:rPr>
        <w:t xml:space="preserve">2、每月质控平均分排名前三的分别予奖励300、200、100元，质控员每月发放质控费200元。</w:t>
      </w:r>
      <w:r/>
    </w:p>
    <w:p>
      <w:pPr>
        <w:pStyle w:val="961"/>
        <w:jc w:val="left"/>
        <w:spacing w:line="360" w:lineRule="auto"/>
        <w:widowControl/>
        <w:rPr>
          <w:rFonts w:hint="eastAsia" w:ascii="宋体" w:hAnsi="宋体" w:cs="宋体"/>
          <w:sz w:val="18"/>
          <w:szCs w:val="18"/>
        </w:rPr>
      </w:pPr>
      <w:r>
        <w:rPr>
          <w:rFonts w:hint="eastAsia" w:ascii="宋体" w:hAnsi="宋体" w:cs="宋体"/>
          <w:sz w:val="18"/>
          <w:szCs w:val="18"/>
        </w:rPr>
        <w:t xml:space="preserve">3、及时、正确进行电话急救指导并抢救成功者（心肺复苏术、海姆立克急救法），经科室质控员及质控科核实无误，每例奖励200元，当事人做好急救指导登记。</w:t>
      </w:r>
      <w:r/>
    </w:p>
    <w:p>
      <w:pPr>
        <w:pStyle w:val="1010"/>
        <w:rPr>
          <w:rFonts w:hint="eastAsia"/>
        </w:rPr>
      </w:pPr>
      <w:r>
        <w:rPr>
          <w:rFonts w:hint="eastAsia"/>
        </w:rPr>
      </w:r>
      <w:r/>
    </w:p>
    <w:p>
      <w:pPr>
        <w:pStyle w:val="1010"/>
        <w:jc w:val="center"/>
        <w:rPr>
          <w:rFonts w:hint="eastAsia" w:ascii="宋体" w:hAnsi="宋体" w:cs="宋体"/>
          <w:sz w:val="32"/>
          <w:szCs w:val="32"/>
        </w:rPr>
      </w:pPr>
      <w:r>
        <w:rPr>
          <w:rFonts w:hint="eastAsia" w:ascii="宋体" w:hAnsi="宋体" w:cs="宋体"/>
          <w:sz w:val="32"/>
          <w:szCs w:val="32"/>
        </w:rPr>
      </w:r>
      <w:r/>
    </w:p>
    <w:p>
      <w:pPr>
        <w:pStyle w:val="1010"/>
        <w:jc w:val="center"/>
        <w:rPr>
          <w:rFonts w:hint="eastAsia" w:ascii="宋体" w:hAnsi="宋体" w:cs="宋体"/>
          <w:sz w:val="32"/>
          <w:szCs w:val="32"/>
        </w:rPr>
      </w:pPr>
      <w:r>
        <w:rPr>
          <w:rFonts w:hint="eastAsia" w:ascii="宋体" w:hAnsi="宋体" w:cs="宋体"/>
          <w:sz w:val="32"/>
          <w:szCs w:val="32"/>
        </w:rPr>
      </w:r>
      <w:r/>
    </w:p>
    <w:p>
      <w:pPr>
        <w:pStyle w:val="1010"/>
        <w:jc w:val="center"/>
        <w:rPr>
          <w:rFonts w:hint="eastAsia" w:ascii="宋体" w:hAnsi="宋体" w:cs="宋体"/>
          <w:sz w:val="32"/>
          <w:szCs w:val="32"/>
        </w:rPr>
      </w:pPr>
      <w:r>
        <w:rPr>
          <w:rFonts w:hint="eastAsia" w:ascii="宋体" w:hAnsi="宋体" w:cs="宋体"/>
          <w:sz w:val="32"/>
          <w:szCs w:val="32"/>
        </w:rPr>
      </w:r>
      <w:r/>
    </w:p>
    <w:p>
      <w:pPr>
        <w:pStyle w:val="1010"/>
        <w:jc w:val="center"/>
        <w:rPr>
          <w:rFonts w:hint="eastAsia" w:ascii="宋体" w:hAnsi="宋体" w:cs="宋体"/>
          <w:sz w:val="32"/>
          <w:szCs w:val="32"/>
        </w:rPr>
      </w:pPr>
      <w:r>
        <w:rPr>
          <w:rFonts w:hint="eastAsia" w:ascii="宋体" w:hAnsi="宋体" w:cs="宋体"/>
          <w:sz w:val="32"/>
          <w:szCs w:val="32"/>
        </w:rPr>
      </w:r>
      <w:r/>
    </w:p>
    <w:p>
      <w:pPr>
        <w:pStyle w:val="1010"/>
        <w:jc w:val="center"/>
        <w:rPr>
          <w:rFonts w:hint="eastAsia" w:ascii="宋体" w:hAnsi="宋体" w:cs="宋体"/>
          <w:sz w:val="32"/>
          <w:szCs w:val="32"/>
        </w:rPr>
      </w:pPr>
      <w:r>
        <w:rPr>
          <w:rFonts w:hint="eastAsia" w:ascii="宋体" w:hAnsi="宋体" w:cs="宋体"/>
          <w:sz w:val="32"/>
          <w:szCs w:val="32"/>
        </w:rPr>
      </w:r>
      <w:r/>
    </w:p>
    <w:p>
      <w:pPr>
        <w:pStyle w:val="1010"/>
        <w:jc w:val="center"/>
        <w:rPr>
          <w:rFonts w:hint="eastAsia" w:ascii="宋体" w:hAnsi="宋体" w:cs="宋体"/>
          <w:sz w:val="32"/>
          <w:szCs w:val="32"/>
        </w:rPr>
      </w:pPr>
      <w:r>
        <w:rPr>
          <w:rFonts w:hint="eastAsia" w:ascii="宋体" w:hAnsi="宋体" w:cs="宋体"/>
          <w:sz w:val="32"/>
          <w:szCs w:val="32"/>
        </w:rPr>
      </w:r>
      <w:r/>
    </w:p>
    <w:p>
      <w:pPr>
        <w:pStyle w:val="1010"/>
        <w:jc w:val="center"/>
        <w:rPr>
          <w:rFonts w:hint="eastAsia" w:ascii="宋体" w:hAnsi="宋体" w:cs="宋体"/>
          <w:sz w:val="32"/>
          <w:szCs w:val="32"/>
        </w:rPr>
      </w:pPr>
      <w:r>
        <w:rPr>
          <w:rFonts w:hint="eastAsia" w:ascii="宋体" w:hAnsi="宋体" w:cs="宋体"/>
          <w:sz w:val="32"/>
          <w:szCs w:val="32"/>
        </w:rPr>
      </w:r>
      <w:r/>
    </w:p>
    <w:p>
      <w:pPr>
        <w:pStyle w:val="1010"/>
        <w:jc w:val="center"/>
        <w:rPr>
          <w:rFonts w:hint="eastAsia" w:ascii="宋体" w:hAnsi="宋体" w:cs="宋体"/>
          <w:sz w:val="32"/>
          <w:szCs w:val="32"/>
        </w:rPr>
      </w:pPr>
      <w:r>
        <w:rPr>
          <w:rFonts w:hint="eastAsia" w:ascii="宋体" w:hAnsi="宋体" w:cs="宋体"/>
          <w:sz w:val="32"/>
          <w:szCs w:val="32"/>
        </w:rPr>
      </w:r>
      <w:r/>
    </w:p>
    <w:p>
      <w:pPr>
        <w:pStyle w:val="1010"/>
        <w:jc w:val="center"/>
        <w:rPr>
          <w:rFonts w:hint="eastAsia" w:ascii="宋体" w:hAnsi="宋体" w:cs="宋体"/>
          <w:sz w:val="32"/>
          <w:szCs w:val="32"/>
        </w:rPr>
      </w:pPr>
      <w:r>
        <w:rPr>
          <w:rFonts w:hint="eastAsia" w:ascii="宋体" w:hAnsi="宋体" w:cs="宋体"/>
          <w:sz w:val="32"/>
          <w:szCs w:val="32"/>
        </w:rPr>
      </w:r>
      <w:r/>
    </w:p>
    <w:p>
      <w:pPr>
        <w:pStyle w:val="1010"/>
        <w:jc w:val="center"/>
        <w:rPr>
          <w:rFonts w:hint="eastAsia" w:ascii="宋体" w:hAnsi="宋体" w:cs="宋体"/>
          <w:sz w:val="32"/>
          <w:szCs w:val="32"/>
        </w:rPr>
      </w:pPr>
      <w:r>
        <w:rPr>
          <w:rFonts w:hint="eastAsia" w:ascii="宋体" w:hAnsi="宋体" w:cs="宋体"/>
          <w:sz w:val="32"/>
          <w:szCs w:val="32"/>
        </w:rPr>
      </w:r>
      <w:r/>
    </w:p>
    <w:p>
      <w:pPr>
        <w:pStyle w:val="1010"/>
        <w:jc w:val="center"/>
        <w:rPr>
          <w:color w:val="000000"/>
        </w:rPr>
      </w:pPr>
      <w:r>
        <w:rPr>
          <w:rFonts w:hint="eastAsia" w:ascii="宋体" w:hAnsi="宋体" w:cs="宋体"/>
          <w:sz w:val="32"/>
          <w:szCs w:val="32"/>
        </w:rPr>
        <w:t xml:space="preserve">三、</w:t>
      </w:r>
      <w:r>
        <w:rPr>
          <w:rFonts w:ascii="方正黑体_GBK" w:hAnsi="方正黑体_GBK" w:eastAsia="方正黑体_GBK" w:cs="方正黑体_GBK"/>
          <w:color w:val="000000"/>
          <w:sz w:val="32"/>
          <w:szCs w:val="32"/>
        </w:rPr>
        <w:t xml:space="preserve">院前医疗急救护士绩效考核内容及评分标准</w:t>
      </w:r>
      <w:r>
        <w:rPr>
          <w:color w:val="000000"/>
        </w:rPr>
      </w:r>
      <w:r/>
    </w:p>
    <w:tbl>
      <w:tblPr>
        <w:tblpPr w:horzAnchor="page" w:tblpX="1441" w:vertAnchor="text" w:tblpY="166" w:leftFromText="180" w:topFromText="0" w:rightFromText="180" w:bottomFromText="0"/>
        <w:tblW w:w="1410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5"/>
        <w:gridCol w:w="1350"/>
        <w:gridCol w:w="3881"/>
        <w:gridCol w:w="1885"/>
        <w:gridCol w:w="5859"/>
      </w:tblGrid>
      <w:tr>
        <w:trPr>
          <w:trHeight w:val="465"/>
        </w:trPr>
        <w:tc>
          <w:tcPr>
            <w:tcW w:w="1125" w:type="dxa"/>
            <w:vAlign w:val="center"/>
            <w:textDirection w:val="lrTb"/>
            <w:noWrap w:val="false"/>
          </w:tcPr>
          <w:p>
            <w:pPr>
              <w:pStyle w:val="961"/>
              <w:jc w:val="center"/>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一级指标</w:t>
            </w:r>
            <w:r/>
          </w:p>
        </w:tc>
        <w:tc>
          <w:tcPr>
            <w:tcW w:w="1350" w:type="dxa"/>
            <w:vAlign w:val="center"/>
            <w:textDirection w:val="lrTb"/>
            <w:noWrap w:val="false"/>
          </w:tcPr>
          <w:p>
            <w:pPr>
              <w:pStyle w:val="961"/>
              <w:jc w:val="center"/>
              <w:widowControl/>
              <w:rPr>
                <w:rFonts w:ascii="宋体" w:hAnsi="宋体" w:cs="宋体"/>
                <w:sz w:val="18"/>
                <w:szCs w:val="18"/>
              </w:rPr>
              <w:framePr w:hSpace="180" w:wrap="around" w:vAnchor="text" w:hAnchor="page" w:x="1441" w:y="166"/>
            </w:pPr>
            <w:r>
              <w:rPr>
                <w:rFonts w:hint="eastAsia" w:ascii="宋体" w:hAnsi="宋体" w:cs="宋体"/>
                <w:sz w:val="18"/>
                <w:szCs w:val="18"/>
              </w:rPr>
              <w:t xml:space="preserve">二级指标</w:t>
            </w:r>
            <w:r>
              <w:rPr>
                <w:rFonts w:ascii="宋体" w:hAnsi="宋体" w:cs="宋体"/>
                <w:sz w:val="18"/>
                <w:szCs w:val="18"/>
              </w:rPr>
            </w:r>
            <w:r/>
          </w:p>
        </w:tc>
        <w:tc>
          <w:tcPr>
            <w:tcW w:w="3881" w:type="dxa"/>
            <w:vAlign w:val="center"/>
            <w:textDirection w:val="lrTb"/>
            <w:noWrap w:val="false"/>
          </w:tcPr>
          <w:p>
            <w:pPr>
              <w:pStyle w:val="961"/>
              <w:jc w:val="center"/>
              <w:widowControl/>
              <w:rPr>
                <w:rFonts w:ascii="宋体" w:hAnsi="宋体" w:cs="宋体"/>
                <w:sz w:val="18"/>
                <w:szCs w:val="18"/>
              </w:rPr>
              <w:framePr w:hSpace="180" w:wrap="around" w:vAnchor="text" w:hAnchor="page" w:x="1441" w:y="166"/>
            </w:pPr>
            <w:r>
              <w:rPr>
                <w:rFonts w:hint="eastAsia" w:ascii="宋体" w:hAnsi="宋体" w:cs="宋体"/>
                <w:sz w:val="18"/>
                <w:szCs w:val="18"/>
              </w:rPr>
              <w:t xml:space="preserve">三级指标</w:t>
            </w:r>
            <w:r>
              <w:rPr>
                <w:rFonts w:ascii="宋体" w:hAnsi="宋体" w:cs="宋体"/>
                <w:sz w:val="18"/>
                <w:szCs w:val="18"/>
              </w:rPr>
            </w:r>
            <w:r/>
          </w:p>
        </w:tc>
        <w:tc>
          <w:tcPr>
            <w:tcW w:w="1885" w:type="dxa"/>
            <w:vAlign w:val="center"/>
            <w:textDirection w:val="lrTb"/>
            <w:noWrap w:val="false"/>
          </w:tcPr>
          <w:p>
            <w:pPr>
              <w:pStyle w:val="961"/>
              <w:jc w:val="center"/>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考核方式</w:t>
            </w:r>
            <w:r/>
          </w:p>
        </w:tc>
        <w:tc>
          <w:tcPr>
            <w:tcW w:w="5859" w:type="dxa"/>
            <w:vAlign w:val="center"/>
            <w:textDirection w:val="lrTb"/>
            <w:noWrap w:val="false"/>
          </w:tcPr>
          <w:p>
            <w:pPr>
              <w:pStyle w:val="961"/>
              <w:jc w:val="center"/>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评分标准</w:t>
            </w:r>
            <w:r/>
          </w:p>
        </w:tc>
      </w:tr>
      <w:tr>
        <w:trPr>
          <w:cantSplit/>
          <w:trHeight w:val="887"/>
        </w:trPr>
        <w:tc>
          <w:tcPr>
            <w:tcW w:w="1125" w:type="dxa"/>
            <w:vAlign w:val="center"/>
            <w:vMerge w:val="restart"/>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出勤考核</w:t>
            </w:r>
            <w:r/>
          </w:p>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（25分）</w:t>
            </w:r>
            <w:r/>
          </w:p>
        </w:tc>
        <w:tc>
          <w:tcPr>
            <w:tcW w:w="1350" w:type="dxa"/>
            <w:vAlign w:val="center"/>
            <w:textDirection w:val="lrTb"/>
            <w:noWrap w:val="false"/>
          </w:tcPr>
          <w:p>
            <w:pPr>
              <w:pStyle w:val="961"/>
              <w:jc w:val="center"/>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交接</w:t>
            </w:r>
            <w:r/>
          </w:p>
          <w:p>
            <w:pPr>
              <w:pStyle w:val="961"/>
              <w:jc w:val="center"/>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3881" w:type="dxa"/>
            <w:vAlign w:val="center"/>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提前10分钟到岗进行交接班，交班人员在接班人员未到岗接班时不得退工号及离岗；所有人不得代其他人员登工号或退工号；上一班班组出车未归，接班班组须在规定时间前登录备用车待命，无车可登录时应电话汇报调度；上班期间保持外勤通处于登录状态；严格执行交接班制度，交接有记录并签字。</w:t>
            </w:r>
            <w:r/>
          </w:p>
        </w:tc>
        <w:tc>
          <w:tcPr>
            <w:tcW w:w="1885" w:type="dxa"/>
            <w:vAlign w:val="center"/>
            <w:vMerge w:val="restart"/>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常规抽查</w:t>
            </w:r>
            <w:r/>
          </w:p>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现场检查《药品交接本》《物品器械交接本》《紫外线消毒登记本》《仪器设备检测登记本》《每日交接班记录本》《清洁消毒登记本》</w:t>
            </w:r>
            <w:r/>
          </w:p>
        </w:tc>
        <w:tc>
          <w:tcPr>
            <w:tcW w:w="5859" w:type="dxa"/>
            <w:vAlign w:val="center"/>
            <w:textDirection w:val="lrTb"/>
            <w:noWrap w:val="false"/>
          </w:tcPr>
          <w:p>
            <w:pPr>
              <w:pStyle w:val="961"/>
              <w:spacing w:line="280" w:lineRule="exact"/>
              <w:widowControl/>
              <w:rPr>
                <w:rFonts w:ascii="宋体" w:hAnsi="宋体" w:cs="宋体"/>
                <w:sz w:val="18"/>
                <w:szCs w:val="18"/>
              </w:rPr>
              <w:framePr w:hSpace="180" w:wrap="around" w:vAnchor="text" w:hAnchor="page" w:x="1441" w:y="166"/>
            </w:pPr>
            <w:r>
              <w:rPr>
                <w:rFonts w:hint="eastAsia" w:ascii="宋体" w:hAnsi="宋体" w:cs="宋体"/>
                <w:sz w:val="18"/>
                <w:szCs w:val="18"/>
              </w:rPr>
              <w:t xml:space="preserve">接班人员未提前10分钟到岗接班、未按规定登录车载均视为迟到；代其他人员登工号或退工号的，发现一次扣10分，造成出车延迟等问题的，按出车延迟等规定追加扣分；交班人员在接班人员未到岗接班时退工号或离岗视同早退；迟到早退5分钟内扣2分、10分钟内扣4分、15分钟内扣6分，以此类推；同一个月有3次及以上迟到早退行为的再加扣10分；未按规定登录外勤通的一次扣2分；交接记录书写不规范或无交接记录的，一次扣2分；旷工一天扣25分。</w:t>
            </w:r>
            <w:r>
              <w:rPr>
                <w:rFonts w:ascii="宋体" w:hAnsi="宋体" w:cs="宋体"/>
                <w:sz w:val="18"/>
                <w:szCs w:val="18"/>
              </w:rPr>
            </w:r>
            <w:r/>
          </w:p>
        </w:tc>
      </w:tr>
      <w:tr>
        <w:trPr>
          <w:cantSplit/>
          <w:trHeight w:val="452"/>
        </w:trPr>
        <w:tc>
          <w:tcPr>
            <w:tcW w:w="1125" w:type="dxa"/>
            <w:vAlign w:val="center"/>
            <w:vMerge w:val="continue"/>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1350" w:type="dxa"/>
            <w:vAlign w:val="center"/>
            <w:textDirection w:val="lrTb"/>
            <w:noWrap w:val="false"/>
          </w:tcPr>
          <w:p>
            <w:pPr>
              <w:pStyle w:val="961"/>
              <w:jc w:val="center"/>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调班</w:t>
            </w:r>
            <w:r/>
          </w:p>
          <w:p>
            <w:pPr>
              <w:pStyle w:val="961"/>
              <w:jc w:val="center"/>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3881" w:type="dxa"/>
            <w:vAlign w:val="center"/>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不得私自代班、换班，如代班、换班必须上报给管理人/科室负责人同意并由管理人/科室负责人提前2小时报调度中心，有特殊情况的及时向管理人/科室负责人及调度中心电话报备。</w:t>
            </w:r>
            <w:r/>
          </w:p>
        </w:tc>
        <w:tc>
          <w:tcPr>
            <w:tcW w:w="1885" w:type="dxa"/>
            <w:vAlign w:val="center"/>
            <w:vMerge w:val="continue"/>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5859" w:type="dxa"/>
            <w:vAlign w:val="center"/>
            <w:textDirection w:val="lrTb"/>
            <w:noWrap w:val="false"/>
          </w:tcPr>
          <w:p>
            <w:pPr>
              <w:pStyle w:val="961"/>
              <w:spacing w:line="280" w:lineRule="exact"/>
              <w:widowControl/>
              <w:rPr>
                <w:rFonts w:ascii="宋体" w:hAnsi="宋体" w:cs="宋体"/>
                <w:sz w:val="18"/>
                <w:szCs w:val="18"/>
              </w:rPr>
              <w:framePr w:hSpace="180" w:wrap="around" w:vAnchor="text" w:hAnchor="page" w:x="1441" w:y="166"/>
            </w:pPr>
            <w:r>
              <w:rPr>
                <w:rFonts w:hint="eastAsia" w:ascii="宋体" w:hAnsi="宋体" w:cs="宋体"/>
                <w:sz w:val="18"/>
                <w:szCs w:val="18"/>
              </w:rPr>
              <w:t xml:space="preserve">私自代班、换班或未及时报备的，发现一次当事双方各扣5分；造成出车延迟等问题的，双方均按出车延迟等规定追加扣分；调班3次以上每次扣2分。</w:t>
            </w:r>
            <w:r>
              <w:rPr>
                <w:rFonts w:ascii="宋体" w:hAnsi="宋体" w:cs="宋体"/>
                <w:sz w:val="18"/>
                <w:szCs w:val="18"/>
              </w:rPr>
            </w:r>
            <w:r/>
          </w:p>
        </w:tc>
      </w:tr>
      <w:tr>
        <w:trPr>
          <w:cantSplit/>
          <w:trHeight w:val="452"/>
        </w:trPr>
        <w:tc>
          <w:tcPr>
            <w:tcW w:w="1125" w:type="dxa"/>
            <w:vAlign w:val="center"/>
            <w:vMerge w:val="continue"/>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1350" w:type="dxa"/>
            <w:vAlign w:val="center"/>
            <w:textDirection w:val="lrTb"/>
            <w:noWrap w:val="false"/>
          </w:tcPr>
          <w:p>
            <w:pPr>
              <w:pStyle w:val="961"/>
              <w:jc w:val="center"/>
              <w:spacing w:line="280" w:lineRule="exact"/>
              <w:widowControl/>
              <w:rPr>
                <w:rFonts w:ascii="宋体" w:hAnsi="宋体" w:cs="宋体"/>
                <w:sz w:val="18"/>
                <w:szCs w:val="18"/>
              </w:rPr>
              <w:framePr w:hSpace="180" w:wrap="around" w:vAnchor="text" w:hAnchor="page" w:x="1441" w:y="166"/>
            </w:pPr>
            <w:r>
              <w:rPr>
                <w:rFonts w:hint="eastAsia" w:ascii="宋体" w:hAnsi="宋体" w:cs="宋体"/>
                <w:sz w:val="18"/>
                <w:szCs w:val="18"/>
              </w:rPr>
              <w:t xml:space="preserve">台账</w:t>
            </w:r>
            <w:r>
              <w:rPr>
                <w:rFonts w:ascii="宋体" w:hAnsi="宋体" w:cs="宋体"/>
                <w:sz w:val="18"/>
                <w:szCs w:val="18"/>
              </w:rPr>
            </w:r>
            <w:r/>
          </w:p>
        </w:tc>
        <w:tc>
          <w:tcPr>
            <w:tcW w:w="3881" w:type="dxa"/>
            <w:vAlign w:val="center"/>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《药品交接本》《物品器械交接本》《紫外线消毒登记本》《仪器设备检测登记本》《每日交接班记录本》《清洁消毒登记本》记录完整、及时。</w:t>
            </w:r>
            <w:r/>
          </w:p>
        </w:tc>
        <w:tc>
          <w:tcPr>
            <w:tcW w:w="1885" w:type="dxa"/>
            <w:vAlign w:val="center"/>
            <w:vMerge w:val="continue"/>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5859" w:type="dxa"/>
            <w:vAlign w:val="center"/>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台帐缺失、无记录、记录不全、记录错误或记录不及时，扣1分/类。</w:t>
            </w:r>
            <w:r/>
          </w:p>
        </w:tc>
      </w:tr>
      <w:tr>
        <w:trPr>
          <w:cantSplit/>
          <w:trHeight w:val="585"/>
        </w:trPr>
        <w:tc>
          <w:tcPr>
            <w:tcW w:w="1125" w:type="dxa"/>
            <w:vAlign w:val="center"/>
            <w:vMerge w:val="continue"/>
            <w:textDirection w:val="lrTb"/>
            <w:noWrap w:val="false"/>
          </w:tcPr>
          <w:p>
            <w:pPr>
              <w:pStyle w:val="961"/>
              <w:jc w:val="center"/>
              <w:spacing w:line="280" w:lineRule="exact"/>
              <w:widowControl/>
              <w:rPr>
                <w:rFonts w:ascii="宋体" w:hAnsi="宋体" w:cs="宋体"/>
                <w:sz w:val="18"/>
                <w:szCs w:val="18"/>
              </w:rPr>
              <w:framePr w:hSpace="180" w:wrap="around" w:vAnchor="text" w:hAnchor="page" w:x="1441" w:y="166"/>
            </w:pPr>
            <w:r>
              <w:rPr>
                <w:rFonts w:ascii="宋体" w:hAnsi="宋体" w:cs="宋体"/>
                <w:sz w:val="18"/>
                <w:szCs w:val="18"/>
              </w:rPr>
            </w:r>
            <w:r/>
          </w:p>
        </w:tc>
        <w:tc>
          <w:tcPr>
            <w:tcW w:w="1350" w:type="dxa"/>
            <w:vAlign w:val="center"/>
            <w:textDirection w:val="lrTb"/>
            <w:noWrap w:val="false"/>
          </w:tcPr>
          <w:p>
            <w:pPr>
              <w:pStyle w:val="961"/>
              <w:jc w:val="center"/>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服装</w:t>
            </w:r>
            <w:r/>
          </w:p>
        </w:tc>
        <w:tc>
          <w:tcPr>
            <w:tcW w:w="3881" w:type="dxa"/>
            <w:vAlign w:val="center"/>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按要求统一着装，装束规范，佩戴工号牌。</w:t>
            </w:r>
            <w:r/>
          </w:p>
        </w:tc>
        <w:tc>
          <w:tcPr>
            <w:tcW w:w="1885" w:type="dxa"/>
            <w:vAlign w:val="center"/>
            <w:vMerge w:val="continue"/>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5859" w:type="dxa"/>
            <w:vAlign w:val="center"/>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穿拖鞋、短裤等不规范着装或未佩戴工号牌的，发现一次扣2分。</w:t>
            </w:r>
            <w:r/>
          </w:p>
        </w:tc>
      </w:tr>
      <w:tr>
        <w:trPr>
          <w:cantSplit/>
          <w:trHeight w:val="581"/>
        </w:trPr>
        <w:tc>
          <w:tcPr>
            <w:tcW w:w="1125" w:type="dxa"/>
            <w:vAlign w:val="center"/>
            <w:vMerge w:val="continue"/>
            <w:textDirection w:val="lrTb"/>
            <w:noWrap w:val="false"/>
          </w:tcPr>
          <w:p>
            <w:pPr>
              <w:pStyle w:val="961"/>
              <w:jc w:val="center"/>
              <w:spacing w:line="280" w:lineRule="exact"/>
              <w:widowControl/>
              <w:rPr>
                <w:rFonts w:ascii="宋体" w:hAnsi="宋体" w:cs="宋体"/>
                <w:sz w:val="18"/>
                <w:szCs w:val="18"/>
              </w:rPr>
              <w:framePr w:hSpace="180" w:wrap="around" w:vAnchor="text" w:hAnchor="page" w:x="1441" w:y="166"/>
            </w:pPr>
            <w:r>
              <w:rPr>
                <w:rFonts w:ascii="宋体" w:hAnsi="宋体" w:cs="宋体"/>
                <w:sz w:val="18"/>
                <w:szCs w:val="18"/>
              </w:rPr>
            </w:r>
            <w:r/>
          </w:p>
        </w:tc>
        <w:tc>
          <w:tcPr>
            <w:tcW w:w="1350" w:type="dxa"/>
            <w:vAlign w:val="center"/>
            <w:textDirection w:val="lrTb"/>
            <w:noWrap w:val="false"/>
          </w:tcPr>
          <w:p>
            <w:pPr>
              <w:pStyle w:val="961"/>
              <w:jc w:val="center"/>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岗位</w:t>
            </w:r>
            <w:r/>
          </w:p>
          <w:p>
            <w:pPr>
              <w:pStyle w:val="961"/>
              <w:jc w:val="center"/>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3881" w:type="dxa"/>
            <w:vAlign w:val="center"/>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上班期间待命室待命，不得在值班室休息。未经允许，不得擅离工作岗位。（12:00-14:00，21:00-次日7:00除外）</w:t>
            </w:r>
            <w:r/>
          </w:p>
        </w:tc>
        <w:tc>
          <w:tcPr>
            <w:tcW w:w="1885" w:type="dxa"/>
            <w:vAlign w:val="center"/>
            <w:vMerge w:val="continue"/>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5859" w:type="dxa"/>
            <w:vAlign w:val="center"/>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发现一次脱岗的扣2分（未按规定在待命室待命的视同脱岗），</w:t>
            </w:r>
            <w:r/>
          </w:p>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造成出车延迟等问题的，按出车延迟等规定追加扣分。</w:t>
            </w:r>
            <w:r/>
          </w:p>
        </w:tc>
      </w:tr>
      <w:tr>
        <w:trPr>
          <w:cantSplit/>
          <w:trHeight w:val="90"/>
        </w:trPr>
        <w:tc>
          <w:tcPr>
            <w:tcW w:w="1125" w:type="dxa"/>
            <w:vAlign w:val="center"/>
            <w:vMerge w:val="continue"/>
            <w:textDirection w:val="lrTb"/>
            <w:noWrap w:val="false"/>
          </w:tcPr>
          <w:p>
            <w:pPr>
              <w:pStyle w:val="961"/>
              <w:jc w:val="center"/>
              <w:spacing w:line="280" w:lineRule="exact"/>
              <w:widowControl/>
              <w:rPr>
                <w:rFonts w:ascii="宋体" w:hAnsi="宋体" w:cs="宋体"/>
                <w:sz w:val="18"/>
                <w:szCs w:val="18"/>
              </w:rPr>
              <w:framePr w:hSpace="180" w:wrap="around" w:vAnchor="text" w:hAnchor="page" w:x="1441" w:y="166"/>
            </w:pPr>
            <w:r>
              <w:rPr>
                <w:rFonts w:ascii="宋体" w:hAnsi="宋体" w:cs="宋体"/>
                <w:sz w:val="18"/>
                <w:szCs w:val="18"/>
              </w:rPr>
            </w:r>
            <w:r/>
          </w:p>
        </w:tc>
        <w:tc>
          <w:tcPr>
            <w:tcW w:w="1350" w:type="dxa"/>
            <w:vAlign w:val="center"/>
            <w:textDirection w:val="lrTb"/>
            <w:noWrap w:val="false"/>
          </w:tcPr>
          <w:p>
            <w:pPr>
              <w:pStyle w:val="961"/>
              <w:jc w:val="center"/>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通讯</w:t>
            </w:r>
            <w:r/>
          </w:p>
          <w:p>
            <w:pPr>
              <w:pStyle w:val="961"/>
              <w:jc w:val="center"/>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3881" w:type="dxa"/>
            <w:vAlign w:val="center"/>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手机保持24小时畅通，随叫随到，离开泰州须向驻场管理人/科室负责人报备并得到允许。</w:t>
            </w:r>
            <w:r/>
          </w:p>
        </w:tc>
        <w:tc>
          <w:tcPr>
            <w:tcW w:w="1885" w:type="dxa"/>
            <w:vAlign w:val="center"/>
            <w:vMerge w:val="continue"/>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5859" w:type="dxa"/>
            <w:vAlign w:val="center"/>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一次手机未接通的扣2分；接到中心指令后半小时未能到岗，一次扣5分。</w:t>
            </w:r>
            <w:r/>
          </w:p>
        </w:tc>
      </w:tr>
      <w:tr>
        <w:trPr>
          <w:cantSplit/>
          <w:trHeight w:val="691"/>
        </w:trPr>
        <w:tc>
          <w:tcPr>
            <w:tcW w:w="1125" w:type="dxa"/>
            <w:vAlign w:val="center"/>
            <w:vMerge w:val="restart"/>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业务考核</w:t>
            </w:r>
            <w:r/>
          </w:p>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（40分）</w:t>
            </w:r>
            <w:r/>
          </w:p>
        </w:tc>
        <w:tc>
          <w:tcPr>
            <w:tcW w:w="1350" w:type="dxa"/>
            <w:vAlign w:val="center"/>
            <w:vMerge w:val="restart"/>
            <w:textDirection w:val="lrTb"/>
            <w:noWrap w:val="false"/>
          </w:tcPr>
          <w:p>
            <w:pPr>
              <w:pStyle w:val="961"/>
              <w:jc w:val="center"/>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工作质量</w:t>
            </w:r>
            <w:r/>
          </w:p>
          <w:p>
            <w:pPr>
              <w:pStyle w:val="961"/>
              <w:jc w:val="center"/>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3881" w:type="dxa"/>
            <w:vAlign w:val="center"/>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按要求定期参加安全会议学习及其它培训学习。</w:t>
            </w:r>
            <w:r/>
          </w:p>
        </w:tc>
        <w:tc>
          <w:tcPr>
            <w:tcW w:w="1885" w:type="dxa"/>
            <w:vAlign w:val="center"/>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5859" w:type="dxa"/>
            <w:vAlign w:val="center"/>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一次未参加的扣2分；迟到早退的，一次扣1分。</w:t>
            </w:r>
            <w:r/>
          </w:p>
        </w:tc>
      </w:tr>
      <w:tr>
        <w:trPr>
          <w:cantSplit/>
          <w:trHeight w:val="1501"/>
        </w:trPr>
        <w:tc>
          <w:tcPr>
            <w:tcW w:w="1125" w:type="dxa"/>
            <w:vAlign w:val="center"/>
            <w:vMerge w:val="continue"/>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1350" w:type="dxa"/>
            <w:vAlign w:val="center"/>
            <w:vMerge w:val="continue"/>
            <w:textDirection w:val="lrTb"/>
            <w:noWrap w:val="false"/>
          </w:tcPr>
          <w:p>
            <w:pPr>
              <w:pStyle w:val="961"/>
              <w:jc w:val="center"/>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3881" w:type="dxa"/>
            <w:vAlign w:val="center"/>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接到出车指令后，2分30秒内出车，无条件服从调度指挥，有特殊情况的需及时沟通；未接到调度出车指令不得私自岀车。</w:t>
            </w:r>
            <w:r/>
          </w:p>
        </w:tc>
        <w:tc>
          <w:tcPr>
            <w:tcW w:w="1885" w:type="dxa"/>
            <w:vAlign w:val="center"/>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系统数据分析</w:t>
            </w:r>
            <w:r/>
          </w:p>
        </w:tc>
        <w:tc>
          <w:tcPr>
            <w:tcW w:w="5859" w:type="dxa"/>
            <w:vAlign w:val="center"/>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延迟≥30秒扣2分、≥1分钟扣4分、≥1分30秒扣6分，以此类推；出车用时超5分钟的，每例加扣20分；点“出车”后未及时驶向现场的，按上述“延迟”规定加倍扣分；不服从调度指挥的每次扣5分，造成急救反应时间延长的按上述延迟规定追加扣分；出车途中患者不去等特殊情况未得到调度确认取消任务指令擅自停车或回程的，每次扣5分；未收到指令私自出车扣20分；以各种理由拒绝调度下发的出车任务，一次扣20分并停岗学习，情节严重的予以辞退。</w:t>
            </w:r>
            <w:r/>
          </w:p>
        </w:tc>
      </w:tr>
      <w:tr>
        <w:trPr>
          <w:cantSplit/>
          <w:trHeight w:val="908"/>
        </w:trPr>
        <w:tc>
          <w:tcPr>
            <w:tcW w:w="1125" w:type="dxa"/>
            <w:vAlign w:val="center"/>
            <w:vMerge w:val="continue"/>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1350" w:type="dxa"/>
            <w:vAlign w:val="center"/>
            <w:vMerge w:val="continue"/>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3881" w:type="dxa"/>
            <w:vAlign w:val="center"/>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接到出车指令上车后发现同班组人员未到，须在1分钟内通知未到人员出诊；有特殊情况需汇报调度中心。</w:t>
            </w:r>
            <w:r/>
          </w:p>
        </w:tc>
        <w:tc>
          <w:tcPr>
            <w:tcW w:w="1885" w:type="dxa"/>
            <w:vAlign w:val="center"/>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依据调查结果</w:t>
            </w:r>
            <w:r/>
          </w:p>
        </w:tc>
        <w:tc>
          <w:tcPr>
            <w:tcW w:w="5859" w:type="dxa"/>
            <w:vAlign w:val="center"/>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未通知或通知不及时造成延迟出车的按延迟者责任的50%扣分。</w:t>
            </w:r>
            <w:r/>
          </w:p>
        </w:tc>
      </w:tr>
      <w:tr>
        <w:trPr>
          <w:cantSplit/>
          <w:trHeight w:val="813"/>
        </w:trPr>
        <w:tc>
          <w:tcPr>
            <w:tcW w:w="1125" w:type="dxa"/>
            <w:vAlign w:val="center"/>
            <w:vMerge w:val="continue"/>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1350" w:type="dxa"/>
            <w:vAlign w:val="center"/>
            <w:vMerge w:val="continue"/>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3881" w:type="dxa"/>
            <w:vAlign w:val="center"/>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接到任务后立即进入治疗舱，协助医生准备急救所需物资</w:t>
            </w:r>
            <w:r/>
          </w:p>
        </w:tc>
        <w:tc>
          <w:tcPr>
            <w:tcW w:w="1885" w:type="dxa"/>
            <w:vAlign w:val="center"/>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依据调查结果</w:t>
            </w:r>
            <w:r/>
          </w:p>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查看有关视频</w:t>
            </w:r>
            <w:r/>
          </w:p>
        </w:tc>
        <w:tc>
          <w:tcPr>
            <w:tcW w:w="5859" w:type="dxa"/>
            <w:vAlign w:val="center"/>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在前往急救地点路程中发现未坐在治疗舱内1次扣1分，通过执法记录仪回看发现在急救过程中返回车内取抢救所需物资，发现一次扣2分</w:t>
            </w:r>
            <w:r/>
          </w:p>
        </w:tc>
      </w:tr>
      <w:tr>
        <w:trPr>
          <w:cantSplit/>
          <w:trHeight w:val="800"/>
        </w:trPr>
        <w:tc>
          <w:tcPr>
            <w:tcW w:w="1125" w:type="dxa"/>
            <w:vAlign w:val="center"/>
            <w:vMerge w:val="continue"/>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1350" w:type="dxa"/>
            <w:vAlign w:val="center"/>
            <w:vMerge w:val="continue"/>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3881" w:type="dxa"/>
            <w:vAlign w:val="center"/>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按规定佩戴并使用执法记录仪</w:t>
            </w:r>
            <w:r/>
          </w:p>
        </w:tc>
        <w:tc>
          <w:tcPr>
            <w:tcW w:w="1885" w:type="dxa"/>
            <w:vAlign w:val="center"/>
            <w:vMerge w:val="restart"/>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随机抽查有关视频</w:t>
            </w:r>
            <w:r/>
          </w:p>
        </w:tc>
        <w:tc>
          <w:tcPr>
            <w:tcW w:w="5859" w:type="dxa"/>
            <w:vAlign w:val="center"/>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出车次数与记录次数不符，少1次扣1分；记录不全（上车前、途中、交接），少1次扣1分；基础生命体征测量（Bp、SpO2），少1项扣1分，都未测量扣2分；危重病人处置不当扣5分</w:t>
            </w:r>
            <w:r/>
          </w:p>
        </w:tc>
      </w:tr>
      <w:tr>
        <w:trPr>
          <w:cantSplit/>
          <w:trHeight w:val="565"/>
        </w:trPr>
        <w:tc>
          <w:tcPr>
            <w:tcW w:w="1125" w:type="dxa"/>
            <w:vAlign w:val="center"/>
            <w:vMerge w:val="continue"/>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1350" w:type="dxa"/>
            <w:vAlign w:val="center"/>
            <w:vMerge w:val="continue"/>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3881" w:type="dxa"/>
            <w:vAlign w:val="center"/>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到达现场，携带急救包等必要的急救药品器械迅速到达患者身边，在医生指导下积极救治患者，严禁擅自操作或评论。</w:t>
            </w:r>
            <w:r/>
          </w:p>
        </w:tc>
        <w:tc>
          <w:tcPr>
            <w:tcW w:w="1885" w:type="dxa"/>
            <w:vAlign w:val="center"/>
            <w:vMerge w:val="continue"/>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5859" w:type="dxa"/>
            <w:vAlign w:val="center"/>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未到患者身边的一次扣2分；拒绝协助或不服从医生指导积极救治患者的，一次扣5分；未按医生指导规范操作或随意评论的一次扣2分。</w:t>
            </w:r>
            <w:r/>
          </w:p>
        </w:tc>
      </w:tr>
      <w:tr>
        <w:trPr>
          <w:cantSplit/>
          <w:trHeight w:val="718"/>
        </w:trPr>
        <w:tc>
          <w:tcPr>
            <w:tcW w:w="1125" w:type="dxa"/>
            <w:vAlign w:val="center"/>
            <w:vMerge w:val="continue"/>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1350" w:type="dxa"/>
            <w:vAlign w:val="center"/>
            <w:vMerge w:val="continue"/>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3881" w:type="dxa"/>
            <w:vAlign w:val="center"/>
            <w:textDirection w:val="lrTb"/>
            <w:noWrap w:val="false"/>
          </w:tcPr>
          <w:p>
            <w:pPr>
              <w:pStyle w:val="961"/>
              <w:spacing w:line="280" w:lineRule="exact"/>
              <w:widowControl/>
              <w:rPr>
                <w:rFonts w:ascii="宋体" w:hAnsi="宋体" w:cs="宋体"/>
                <w:sz w:val="18"/>
                <w:szCs w:val="18"/>
              </w:rPr>
              <w:framePr w:hSpace="180" w:wrap="around" w:vAnchor="text" w:hAnchor="page" w:x="1441" w:y="166"/>
            </w:pPr>
            <w:r>
              <w:rPr>
                <w:rFonts w:hint="eastAsia" w:ascii="宋体" w:hAnsi="宋体" w:cs="宋体"/>
                <w:sz w:val="18"/>
                <w:szCs w:val="18"/>
              </w:rPr>
              <w:t xml:space="preserve">途中按医嘱对患者进行心电监护等急救措施，执行查对制度，遵守核心制度，按照护理操作规范给予急救措施。</w:t>
            </w:r>
            <w:r>
              <w:rPr>
                <w:rFonts w:ascii="宋体" w:hAnsi="宋体" w:cs="宋体"/>
                <w:sz w:val="18"/>
                <w:szCs w:val="18"/>
              </w:rPr>
            </w:r>
            <w:r/>
          </w:p>
        </w:tc>
        <w:tc>
          <w:tcPr>
            <w:tcW w:w="1885" w:type="dxa"/>
            <w:vAlign w:val="center"/>
            <w:vMerge w:val="continue"/>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5859" w:type="dxa"/>
            <w:vAlign w:val="center"/>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违反核心制度扣除当月绩效；违反护理常规一次扣1分。</w:t>
            </w:r>
            <w:r/>
          </w:p>
        </w:tc>
      </w:tr>
      <w:tr>
        <w:trPr>
          <w:cantSplit/>
          <w:trHeight w:val="1112"/>
        </w:trPr>
        <w:tc>
          <w:tcPr>
            <w:tcW w:w="1125" w:type="dxa"/>
            <w:vAlign w:val="center"/>
            <w:vMerge w:val="continue"/>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1350" w:type="dxa"/>
            <w:vAlign w:val="center"/>
            <w:vMerge w:val="continue"/>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3881" w:type="dxa"/>
            <w:vAlign w:val="center"/>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静脉开通救治率（静脉开通数/适宜病例数*100%）≥90%。</w:t>
            </w:r>
            <w:r/>
          </w:p>
        </w:tc>
        <w:tc>
          <w:tcPr>
            <w:tcW w:w="1885" w:type="dxa"/>
            <w:vAlign w:val="center"/>
            <w:vMerge w:val="continue"/>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5859" w:type="dxa"/>
            <w:vAlign w:val="center"/>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低于90%扣1分，每降低5%扣1分。</w:t>
            </w:r>
            <w:r/>
          </w:p>
        </w:tc>
      </w:tr>
      <w:tr>
        <w:trPr>
          <w:cantSplit/>
          <w:trHeight w:val="454"/>
        </w:trPr>
        <w:tc>
          <w:tcPr>
            <w:tcW w:w="1125" w:type="dxa"/>
            <w:vAlign w:val="center"/>
            <w:vMerge w:val="continue"/>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1350" w:type="dxa"/>
            <w:vAlign w:val="center"/>
            <w:vMerge w:val="continue"/>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3881" w:type="dxa"/>
            <w:vAlign w:val="center"/>
            <w:textDirection w:val="lrTb"/>
            <w:noWrap w:val="false"/>
          </w:tcPr>
          <w:p>
            <w:pPr>
              <w:pStyle w:val="961"/>
              <w:spacing w:line="280" w:lineRule="exact"/>
              <w:widowControl/>
              <w:rPr>
                <w:rFonts w:ascii="宋体" w:hAnsi="宋体" w:cs="宋体"/>
                <w:sz w:val="18"/>
                <w:szCs w:val="18"/>
              </w:rPr>
              <w:framePr w:hSpace="180" w:wrap="around" w:vAnchor="text" w:hAnchor="page" w:x="1441" w:y="166"/>
            </w:pPr>
            <w:r>
              <w:rPr>
                <w:rFonts w:hint="eastAsia" w:ascii="宋体" w:hAnsi="宋体" w:cs="宋体"/>
                <w:sz w:val="18"/>
                <w:szCs w:val="18"/>
              </w:rPr>
              <w:t xml:space="preserve">按中心规定收费：急救/非急救，如遇特殊情况及时上报并按中心规定记录</w:t>
            </w:r>
            <w:r>
              <w:rPr>
                <w:rFonts w:ascii="宋体" w:hAnsi="宋体" w:cs="宋体"/>
                <w:sz w:val="18"/>
                <w:szCs w:val="18"/>
              </w:rPr>
            </w:r>
            <w:r/>
          </w:p>
        </w:tc>
        <w:tc>
          <w:tcPr>
            <w:tcW w:w="1885" w:type="dxa"/>
            <w:vAlign w:val="center"/>
            <w:vMerge w:val="restart"/>
            <w:textDirection w:val="lrTb"/>
            <w:noWrap w:val="false"/>
          </w:tcPr>
          <w:p>
            <w:pPr>
              <w:pStyle w:val="961"/>
              <w:jc w:val="center"/>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依据调查结果</w:t>
            </w:r>
            <w:r/>
          </w:p>
        </w:tc>
        <w:tc>
          <w:tcPr>
            <w:tcW w:w="5859" w:type="dxa"/>
            <w:vAlign w:val="center"/>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发现违规收费、私收回扣私自减免费用扣10分</w:t>
            </w:r>
            <w:r/>
          </w:p>
        </w:tc>
      </w:tr>
      <w:tr>
        <w:trPr>
          <w:cantSplit/>
          <w:trHeight w:val="275"/>
        </w:trPr>
        <w:tc>
          <w:tcPr>
            <w:tcW w:w="1125" w:type="dxa"/>
            <w:vAlign w:val="center"/>
            <w:vMerge w:val="continue"/>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1350" w:type="dxa"/>
            <w:vAlign w:val="center"/>
            <w:vMerge w:val="continue"/>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3881" w:type="dxa"/>
            <w:vAlign w:val="center"/>
            <w:textDirection w:val="lrTb"/>
            <w:noWrap w:val="false"/>
          </w:tcPr>
          <w:p>
            <w:pPr>
              <w:pStyle w:val="961"/>
              <w:spacing w:line="280" w:lineRule="exact"/>
              <w:widowControl/>
              <w:rPr>
                <w:rFonts w:ascii="宋体" w:hAnsi="宋体" w:cs="宋体"/>
                <w:sz w:val="18"/>
                <w:szCs w:val="18"/>
              </w:rPr>
              <w:framePr w:hSpace="180" w:wrap="around" w:vAnchor="text" w:hAnchor="page" w:x="1441" w:y="166"/>
            </w:pPr>
            <w:r>
              <w:rPr>
                <w:rFonts w:hint="eastAsia" w:ascii="宋体" w:hAnsi="宋体" w:cs="宋体"/>
                <w:sz w:val="18"/>
                <w:szCs w:val="18"/>
              </w:rPr>
              <w:t xml:space="preserve">到达医院后，与所在医院的护士进行交接（生命体征、用药、病情变化等）</w:t>
            </w:r>
            <w:r>
              <w:rPr>
                <w:rFonts w:ascii="宋体" w:hAnsi="宋体" w:cs="宋体"/>
                <w:sz w:val="18"/>
                <w:szCs w:val="18"/>
              </w:rPr>
            </w:r>
            <w:r/>
          </w:p>
        </w:tc>
        <w:tc>
          <w:tcPr>
            <w:tcW w:w="1885" w:type="dxa"/>
            <w:vAlign w:val="center"/>
            <w:vMerge w:val="continue"/>
            <w:textDirection w:val="lrTb"/>
            <w:noWrap w:val="false"/>
          </w:tcPr>
          <w:p>
            <w:pPr>
              <w:pStyle w:val="961"/>
              <w:jc w:val="center"/>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5859" w:type="dxa"/>
            <w:vAlign w:val="center"/>
            <w:textDirection w:val="lrTb"/>
            <w:noWrap w:val="false"/>
          </w:tcPr>
          <w:p>
            <w:pPr>
              <w:pStyle w:val="961"/>
              <w:spacing w:line="280" w:lineRule="exact"/>
              <w:widowControl/>
              <w:rPr>
                <w:rFonts w:ascii="宋体" w:hAnsi="宋体" w:cs="宋体"/>
                <w:sz w:val="18"/>
                <w:szCs w:val="18"/>
              </w:rPr>
              <w:framePr w:hSpace="180" w:wrap="around" w:vAnchor="text" w:hAnchor="page" w:x="1441" w:y="166"/>
            </w:pPr>
            <w:r>
              <w:rPr>
                <w:rFonts w:hint="eastAsia" w:ascii="宋体" w:hAnsi="宋体" w:cs="宋体"/>
                <w:sz w:val="18"/>
                <w:szCs w:val="18"/>
              </w:rPr>
              <w:t xml:space="preserve">到达医院未交接扣1分/次：因未交接造成不良事故，一次扣5分，并个人承担相应责任。</w:t>
            </w:r>
            <w:r>
              <w:rPr>
                <w:rFonts w:ascii="宋体" w:hAnsi="宋体" w:cs="宋体"/>
                <w:sz w:val="18"/>
                <w:szCs w:val="18"/>
              </w:rPr>
            </w:r>
            <w:r/>
          </w:p>
        </w:tc>
      </w:tr>
      <w:tr>
        <w:trPr>
          <w:cantSplit/>
          <w:trHeight w:val="275"/>
        </w:trPr>
        <w:tc>
          <w:tcPr>
            <w:tcW w:w="1125" w:type="dxa"/>
            <w:vAlign w:val="center"/>
            <w:vMerge w:val="continue"/>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1350" w:type="dxa"/>
            <w:vAlign w:val="center"/>
            <w:vMerge w:val="continue"/>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3881" w:type="dxa"/>
            <w:vAlign w:val="center"/>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不良事件（如用药、操作错误、延迟或拒绝出诊等导致患者未及时得到救治而病情加重等情况）。</w:t>
            </w:r>
            <w:r/>
          </w:p>
        </w:tc>
        <w:tc>
          <w:tcPr>
            <w:tcW w:w="1885" w:type="dxa"/>
            <w:vAlign w:val="center"/>
            <w:vMerge w:val="continue"/>
            <w:textDirection w:val="lrTb"/>
            <w:noWrap w:val="false"/>
          </w:tcPr>
          <w:p>
            <w:pPr>
              <w:pStyle w:val="961"/>
              <w:jc w:val="center"/>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5859" w:type="dxa"/>
            <w:vAlign w:val="center"/>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发生不良事件造成损失或赔偿的，一次扣10分并追责赔偿（1.损失500—1000元按15%处罚；2.损失1000元一7000按10%处罚；3.损失7000—10000元按7%处罚；4.损失在一万元以上的，按5%处罚）。</w:t>
            </w:r>
            <w:r/>
          </w:p>
        </w:tc>
      </w:tr>
      <w:tr>
        <w:trPr>
          <w:cantSplit/>
          <w:trHeight w:val="276"/>
        </w:trPr>
        <w:tc>
          <w:tcPr>
            <w:tcW w:w="1125" w:type="dxa"/>
            <w:vAlign w:val="center"/>
            <w:vMerge w:val="restart"/>
            <w:textDirection w:val="lrTb"/>
            <w:noWrap w:val="false"/>
          </w:tcPr>
          <w:p>
            <w:pPr>
              <w:pStyle w:val="961"/>
              <w:jc w:val="center"/>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药品器械管理考核</w:t>
            </w:r>
            <w:r/>
          </w:p>
          <w:p>
            <w:pPr>
              <w:pStyle w:val="961"/>
              <w:jc w:val="center"/>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（20分）</w:t>
            </w:r>
            <w:r/>
          </w:p>
        </w:tc>
        <w:tc>
          <w:tcPr>
            <w:tcW w:w="1350" w:type="dxa"/>
            <w:vAlign w:val="center"/>
            <w:vMerge w:val="restart"/>
            <w:textDirection w:val="lrTb"/>
            <w:noWrap w:val="false"/>
          </w:tcPr>
          <w:p>
            <w:pPr>
              <w:pStyle w:val="961"/>
              <w:jc w:val="center"/>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药品</w:t>
            </w:r>
            <w:r/>
          </w:p>
          <w:p>
            <w:pPr>
              <w:pStyle w:val="961"/>
              <w:jc w:val="center"/>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3881" w:type="dxa"/>
            <w:vAlign w:val="center"/>
            <w:vMerge w:val="restart"/>
            <w:textDirection w:val="lrTb"/>
            <w:noWrap w:val="false"/>
          </w:tcPr>
          <w:p>
            <w:pPr>
              <w:pStyle w:val="961"/>
              <w:spacing w:line="280" w:lineRule="exact"/>
              <w:widowControl/>
              <w:rPr>
                <w:rFonts w:ascii="宋体" w:hAnsi="宋体" w:cs="宋体"/>
                <w:sz w:val="18"/>
                <w:szCs w:val="18"/>
              </w:rPr>
              <w:framePr w:hSpace="180" w:wrap="around" w:vAnchor="text" w:hAnchor="page" w:x="1441" w:y="166"/>
            </w:pPr>
            <w:r>
              <w:rPr>
                <w:rFonts w:hint="eastAsia" w:ascii="宋体" w:hAnsi="宋体" w:cs="宋体"/>
                <w:sz w:val="18"/>
                <w:szCs w:val="18"/>
              </w:rPr>
              <w:t xml:space="preserve">药箱内药品按照“普通型救护车药品配备标准”配备齐全，标识清楚，有高危药品警示标志，药品按照要求进行分区放置。</w:t>
            </w:r>
            <w:r>
              <w:rPr>
                <w:rFonts w:ascii="宋体" w:hAnsi="宋体" w:cs="宋体"/>
                <w:sz w:val="18"/>
                <w:szCs w:val="18"/>
              </w:rPr>
            </w:r>
            <w:r/>
          </w:p>
        </w:tc>
        <w:tc>
          <w:tcPr>
            <w:tcW w:w="1885" w:type="dxa"/>
            <w:vAlign w:val="center"/>
            <w:vMerge w:val="restart"/>
            <w:textDirection w:val="lrTb"/>
            <w:noWrap w:val="false"/>
          </w:tcPr>
          <w:p>
            <w:pPr>
              <w:pStyle w:val="961"/>
              <w:jc w:val="center"/>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常规抽查</w:t>
            </w:r>
            <w:r/>
          </w:p>
          <w:p>
            <w:pPr>
              <w:pStyle w:val="961"/>
              <w:jc w:val="center"/>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或书面测试</w:t>
            </w:r>
            <w:r/>
          </w:p>
          <w:p>
            <w:pPr>
              <w:pStyle w:val="961"/>
              <w:jc w:val="center"/>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5859" w:type="dxa"/>
            <w:vAlign w:val="center"/>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缺少必配药品一种扣0.5分。</w:t>
            </w:r>
            <w:r/>
          </w:p>
        </w:tc>
      </w:tr>
      <w:tr>
        <w:trPr>
          <w:cantSplit/>
          <w:trHeight w:val="276"/>
        </w:trPr>
        <w:tc>
          <w:tcPr>
            <w:tcW w:w="1125" w:type="dxa"/>
            <w:vAlign w:val="center"/>
            <w:vMerge w:val="continue"/>
            <w:textDirection w:val="lrTb"/>
            <w:noWrap w:val="false"/>
          </w:tcPr>
          <w:p>
            <w:pPr>
              <w:pStyle w:val="961"/>
              <w:jc w:val="center"/>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1350" w:type="dxa"/>
            <w:vAlign w:val="center"/>
            <w:vMerge w:val="continue"/>
            <w:textDirection w:val="lrTb"/>
            <w:noWrap w:val="false"/>
          </w:tcPr>
          <w:p>
            <w:pPr>
              <w:pStyle w:val="961"/>
              <w:jc w:val="center"/>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3881" w:type="dxa"/>
            <w:vAlign w:val="center"/>
            <w:vMerge w:val="continue"/>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1885" w:type="dxa"/>
            <w:vAlign w:val="center"/>
            <w:vMerge w:val="continue"/>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5859" w:type="dxa"/>
            <w:vAlign w:val="center"/>
            <w:textDirection w:val="lrTb"/>
            <w:noWrap w:val="false"/>
          </w:tcPr>
          <w:p>
            <w:pPr>
              <w:pStyle w:val="961"/>
              <w:spacing w:line="280" w:lineRule="exact"/>
              <w:widowControl/>
              <w:rPr>
                <w:rFonts w:ascii="宋体" w:hAnsi="宋体" w:cs="宋体"/>
                <w:sz w:val="18"/>
                <w:szCs w:val="18"/>
              </w:rPr>
              <w:framePr w:hSpace="180" w:wrap="around" w:vAnchor="text" w:hAnchor="page" w:x="1441" w:y="166"/>
            </w:pPr>
            <w:r>
              <w:rPr>
                <w:rFonts w:hint="eastAsia" w:ascii="宋体" w:hAnsi="宋体" w:cs="宋体"/>
                <w:sz w:val="18"/>
                <w:szCs w:val="18"/>
              </w:rPr>
              <w:t xml:space="preserve">药品标识不清、无高危药品警示标识扣0.5分。</w:t>
            </w:r>
            <w:r>
              <w:rPr>
                <w:rFonts w:ascii="宋体" w:hAnsi="宋体" w:cs="宋体"/>
                <w:sz w:val="18"/>
                <w:szCs w:val="18"/>
              </w:rPr>
            </w:r>
            <w:r/>
          </w:p>
        </w:tc>
      </w:tr>
      <w:tr>
        <w:trPr>
          <w:cantSplit/>
          <w:trHeight w:val="276"/>
        </w:trPr>
        <w:tc>
          <w:tcPr>
            <w:tcW w:w="1125" w:type="dxa"/>
            <w:vAlign w:val="center"/>
            <w:vMerge w:val="continue"/>
            <w:textDirection w:val="lrTb"/>
            <w:noWrap w:val="false"/>
          </w:tcPr>
          <w:p>
            <w:pPr>
              <w:pStyle w:val="961"/>
              <w:jc w:val="center"/>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1350" w:type="dxa"/>
            <w:vAlign w:val="center"/>
            <w:vMerge w:val="continue"/>
            <w:textDirection w:val="lrTb"/>
            <w:noWrap w:val="false"/>
          </w:tcPr>
          <w:p>
            <w:pPr>
              <w:pStyle w:val="961"/>
              <w:jc w:val="center"/>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3881" w:type="dxa"/>
            <w:vAlign w:val="center"/>
            <w:vMerge w:val="continue"/>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1885" w:type="dxa"/>
            <w:vAlign w:val="center"/>
            <w:vMerge w:val="continue"/>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5859" w:type="dxa"/>
            <w:vAlign w:val="center"/>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交接本记录和实际物品基数不相符，缺少50%扣2分。</w:t>
            </w:r>
            <w:r/>
          </w:p>
        </w:tc>
      </w:tr>
      <w:tr>
        <w:trPr>
          <w:cantSplit/>
          <w:trHeight w:val="317"/>
        </w:trPr>
        <w:tc>
          <w:tcPr>
            <w:tcW w:w="1125" w:type="dxa"/>
            <w:vAlign w:val="center"/>
            <w:vMerge w:val="continue"/>
            <w:textDirection w:val="lrTb"/>
            <w:noWrap w:val="false"/>
          </w:tcPr>
          <w:p>
            <w:pPr>
              <w:pStyle w:val="961"/>
              <w:jc w:val="center"/>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1350" w:type="dxa"/>
            <w:vAlign w:val="center"/>
            <w:vMerge w:val="continue"/>
            <w:textDirection w:val="lrTb"/>
            <w:noWrap w:val="false"/>
          </w:tcPr>
          <w:p>
            <w:pPr>
              <w:pStyle w:val="961"/>
              <w:jc w:val="center"/>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3881" w:type="dxa"/>
            <w:vAlign w:val="center"/>
            <w:vMerge w:val="restart"/>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所有药品、一次性材料无过期现象。</w:t>
            </w:r>
            <w:r/>
          </w:p>
        </w:tc>
        <w:tc>
          <w:tcPr>
            <w:tcW w:w="1885" w:type="dxa"/>
            <w:vAlign w:val="center"/>
            <w:vMerge w:val="continue"/>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5859" w:type="dxa"/>
            <w:vAlign w:val="center"/>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发现一种过期药品扣2分，药品临近有效期未提前三个月更换的一次扣1分。</w:t>
            </w:r>
            <w:r/>
          </w:p>
        </w:tc>
      </w:tr>
      <w:tr>
        <w:trPr>
          <w:cantSplit/>
          <w:trHeight w:val="317"/>
        </w:trPr>
        <w:tc>
          <w:tcPr>
            <w:tcW w:w="1125" w:type="dxa"/>
            <w:vAlign w:val="center"/>
            <w:vMerge w:val="continue"/>
            <w:textDirection w:val="lrTb"/>
            <w:noWrap w:val="false"/>
          </w:tcPr>
          <w:p>
            <w:pPr>
              <w:pStyle w:val="961"/>
              <w:jc w:val="center"/>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1350" w:type="dxa"/>
            <w:vAlign w:val="center"/>
            <w:vMerge w:val="continue"/>
            <w:textDirection w:val="lrTb"/>
            <w:noWrap w:val="false"/>
          </w:tcPr>
          <w:p>
            <w:pPr>
              <w:pStyle w:val="961"/>
              <w:jc w:val="center"/>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3881" w:type="dxa"/>
            <w:vAlign w:val="center"/>
            <w:vMerge w:val="continue"/>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1885" w:type="dxa"/>
            <w:vAlign w:val="center"/>
            <w:vMerge w:val="continue"/>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5859" w:type="dxa"/>
            <w:vAlign w:val="center"/>
            <w:textDirection w:val="lrTb"/>
            <w:noWrap w:val="false"/>
          </w:tcPr>
          <w:p>
            <w:pPr>
              <w:pStyle w:val="961"/>
              <w:spacing w:line="280" w:lineRule="exact"/>
              <w:widowControl/>
              <w:rPr>
                <w:rFonts w:ascii="宋体" w:hAnsi="宋体" w:cs="宋体"/>
                <w:sz w:val="18"/>
                <w:szCs w:val="18"/>
              </w:rPr>
              <w:framePr w:hSpace="180" w:wrap="around" w:vAnchor="text" w:hAnchor="page" w:x="1441" w:y="166"/>
            </w:pPr>
            <w:r>
              <w:rPr>
                <w:rFonts w:hint="eastAsia" w:ascii="宋体" w:hAnsi="宋体" w:cs="宋体"/>
                <w:sz w:val="18"/>
                <w:szCs w:val="18"/>
              </w:rPr>
              <w:t xml:space="preserve">考核3s取药正确率＜95%，扣1分。</w:t>
            </w:r>
            <w:r>
              <w:rPr>
                <w:rFonts w:ascii="宋体" w:hAnsi="宋体" w:cs="宋体"/>
                <w:sz w:val="18"/>
                <w:szCs w:val="18"/>
              </w:rPr>
            </w:r>
            <w:r/>
          </w:p>
        </w:tc>
      </w:tr>
      <w:tr>
        <w:trPr>
          <w:cantSplit/>
          <w:trHeight w:val="307"/>
        </w:trPr>
        <w:tc>
          <w:tcPr>
            <w:tcW w:w="1125" w:type="dxa"/>
            <w:vAlign w:val="center"/>
            <w:vMerge w:val="continue"/>
            <w:textDirection w:val="lrTb"/>
            <w:noWrap w:val="false"/>
          </w:tcPr>
          <w:p>
            <w:pPr>
              <w:pStyle w:val="961"/>
              <w:jc w:val="center"/>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1350" w:type="dxa"/>
            <w:vAlign w:val="center"/>
            <w:vMerge w:val="restart"/>
            <w:textDirection w:val="lrTb"/>
            <w:noWrap w:val="false"/>
          </w:tcPr>
          <w:p>
            <w:pPr>
              <w:pStyle w:val="961"/>
              <w:jc w:val="center"/>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器械</w:t>
            </w:r>
            <w:r/>
          </w:p>
          <w:p>
            <w:pPr>
              <w:pStyle w:val="961"/>
              <w:jc w:val="center"/>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3881" w:type="dxa"/>
            <w:vAlign w:val="center"/>
            <w:textDirection w:val="lrTb"/>
            <w:noWrap w:val="false"/>
          </w:tcPr>
          <w:p>
            <w:pPr>
              <w:pStyle w:val="961"/>
              <w:spacing w:line="280" w:lineRule="exact"/>
              <w:widowControl/>
              <w:rPr>
                <w:rFonts w:ascii="宋体" w:hAnsi="宋体" w:cs="宋体"/>
                <w:sz w:val="18"/>
                <w:szCs w:val="18"/>
              </w:rPr>
              <w:framePr w:hSpace="180" w:wrap="around" w:vAnchor="text" w:hAnchor="page" w:x="1441" w:y="166"/>
            </w:pPr>
            <w:r>
              <w:rPr>
                <w:rFonts w:hint="eastAsia" w:ascii="宋体" w:hAnsi="宋体" w:cs="宋体"/>
                <w:sz w:val="18"/>
                <w:szCs w:val="18"/>
              </w:rPr>
              <w:t xml:space="preserve">医疗设备按照“普通型救护车器械配备标准”配备齐全。按规定检测。</w:t>
            </w:r>
            <w:r>
              <w:rPr>
                <w:rFonts w:ascii="宋体" w:hAnsi="宋体" w:cs="宋体"/>
                <w:sz w:val="18"/>
                <w:szCs w:val="18"/>
              </w:rPr>
            </w:r>
            <w:r/>
          </w:p>
        </w:tc>
        <w:tc>
          <w:tcPr>
            <w:tcW w:w="1885" w:type="dxa"/>
            <w:vAlign w:val="center"/>
            <w:vMerge w:val="continue"/>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5859" w:type="dxa"/>
            <w:vAlign w:val="center"/>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发现缺项的，一件扣1分。未按规定检测每项扣1分。</w:t>
            </w:r>
            <w:r/>
          </w:p>
        </w:tc>
      </w:tr>
      <w:tr>
        <w:trPr>
          <w:cantSplit/>
          <w:trHeight w:val="606"/>
        </w:trPr>
        <w:tc>
          <w:tcPr>
            <w:tcW w:w="1125" w:type="dxa"/>
            <w:vAlign w:val="center"/>
            <w:vMerge w:val="continue"/>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1350" w:type="dxa"/>
            <w:vAlign w:val="center"/>
            <w:vMerge w:val="continue"/>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3881" w:type="dxa"/>
            <w:vAlign w:val="center"/>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医疗器械清洁卫生，待用处于完好状态。</w:t>
            </w:r>
            <w:r/>
          </w:p>
        </w:tc>
        <w:tc>
          <w:tcPr>
            <w:tcW w:w="1885" w:type="dxa"/>
            <w:vAlign w:val="center"/>
            <w:vMerge w:val="continue"/>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5859" w:type="dxa"/>
            <w:vAlign w:val="center"/>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一台设备不清洁扣1分，不整齐、线路杂乱扣1分；发现一种器械影响使用的一次扣2分。</w:t>
            </w:r>
            <w:r/>
          </w:p>
        </w:tc>
      </w:tr>
      <w:tr>
        <w:trPr>
          <w:cantSplit/>
          <w:trHeight w:val="644"/>
        </w:trPr>
        <w:tc>
          <w:tcPr>
            <w:tcW w:w="1125" w:type="dxa"/>
            <w:vAlign w:val="center"/>
            <w:vMerge w:val="continue"/>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1350" w:type="dxa"/>
            <w:vAlign w:val="center"/>
            <w:vMerge w:val="continue"/>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3881" w:type="dxa"/>
            <w:vAlign w:val="center"/>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氧气瓶容量充足，均&gt;3升，氧气流量表清“0”，湿化瓶及时更换并贴有标签。</w:t>
            </w:r>
            <w:r/>
          </w:p>
        </w:tc>
        <w:tc>
          <w:tcPr>
            <w:tcW w:w="1885" w:type="dxa"/>
            <w:vAlign w:val="center"/>
            <w:vMerge w:val="continue"/>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5859" w:type="dxa"/>
            <w:vAlign w:val="center"/>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发现氧气瓶容量&lt;3升且未通知驾驶员更换的，一次扣2分；氧气表使用后未减压归“0”发现一次扣2分；湿化瓶未更换的，发现一次扣2分。</w:t>
            </w:r>
            <w:r/>
          </w:p>
        </w:tc>
      </w:tr>
      <w:tr>
        <w:trPr>
          <w:cantSplit/>
          <w:trHeight w:val="644"/>
        </w:trPr>
        <w:tc>
          <w:tcPr>
            <w:tcW w:w="1125" w:type="dxa"/>
            <w:vAlign w:val="center"/>
            <w:vMerge w:val="restart"/>
            <w:textDirection w:val="lrTb"/>
            <w:noWrap w:val="false"/>
          </w:tcPr>
          <w:p>
            <w:pPr>
              <w:pStyle w:val="961"/>
              <w:jc w:val="center"/>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感染管理</w:t>
            </w:r>
            <w:r/>
          </w:p>
          <w:p>
            <w:pPr>
              <w:pStyle w:val="961"/>
              <w:jc w:val="center"/>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（5分）</w:t>
            </w:r>
            <w:r/>
          </w:p>
        </w:tc>
        <w:tc>
          <w:tcPr>
            <w:tcW w:w="1350" w:type="dxa"/>
            <w:vAlign w:val="center"/>
            <w:textDirection w:val="lrTb"/>
            <w:noWrap w:val="false"/>
          </w:tcPr>
          <w:p>
            <w:pPr>
              <w:pStyle w:val="961"/>
              <w:jc w:val="center"/>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卫生</w:t>
            </w:r>
            <w:r/>
          </w:p>
          <w:p>
            <w:pPr>
              <w:pStyle w:val="961"/>
              <w:jc w:val="center"/>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3881" w:type="dxa"/>
            <w:vAlign w:val="center"/>
            <w:textDirection w:val="lrTb"/>
            <w:noWrap w:val="false"/>
          </w:tcPr>
          <w:p>
            <w:pPr>
              <w:pStyle w:val="961"/>
              <w:spacing w:line="280" w:lineRule="exact"/>
              <w:widowControl/>
              <w:rPr>
                <w:rFonts w:ascii="宋体" w:hAnsi="宋体" w:cs="宋体"/>
                <w:sz w:val="18"/>
                <w:szCs w:val="18"/>
              </w:rPr>
              <w:framePr w:hSpace="180" w:wrap="around" w:vAnchor="text" w:hAnchor="page" w:x="1441" w:y="166"/>
            </w:pPr>
            <w:r>
              <w:rPr>
                <w:rFonts w:hint="eastAsia" w:ascii="宋体" w:hAnsi="宋体" w:cs="宋体"/>
                <w:sz w:val="18"/>
                <w:szCs w:val="18"/>
              </w:rPr>
              <w:t xml:space="preserve">保持治疗舱内的清洁</w:t>
            </w:r>
            <w:r>
              <w:rPr>
                <w:rFonts w:ascii="宋体" w:hAnsi="宋体" w:cs="宋体"/>
                <w:sz w:val="18"/>
                <w:szCs w:val="18"/>
              </w:rPr>
            </w:r>
            <w:r/>
          </w:p>
        </w:tc>
        <w:tc>
          <w:tcPr>
            <w:tcW w:w="1885" w:type="dxa"/>
            <w:vAlign w:val="center"/>
            <w:vMerge w:val="restart"/>
            <w:textDirection w:val="lrTb"/>
            <w:noWrap w:val="false"/>
          </w:tcPr>
          <w:p>
            <w:pPr>
              <w:pStyle w:val="961"/>
              <w:jc w:val="center"/>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常规检查</w:t>
            </w:r>
            <w:r/>
          </w:p>
        </w:tc>
        <w:tc>
          <w:tcPr>
            <w:tcW w:w="5859" w:type="dxa"/>
            <w:vAlign w:val="center"/>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车厢内卫生不合格，每处扣0.5分（地面、操作台、担架、导联线、车厢内物品表面、被子、软担架）。</w:t>
            </w:r>
            <w:r/>
          </w:p>
        </w:tc>
      </w:tr>
      <w:tr>
        <w:trPr>
          <w:cantSplit/>
          <w:trHeight w:val="644"/>
        </w:trPr>
        <w:tc>
          <w:tcPr>
            <w:tcW w:w="1125" w:type="dxa"/>
            <w:vAlign w:val="center"/>
            <w:vMerge w:val="continue"/>
            <w:textDirection w:val="lrTb"/>
            <w:noWrap w:val="false"/>
          </w:tcPr>
          <w:p>
            <w:pPr>
              <w:pStyle w:val="961"/>
              <w:jc w:val="center"/>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1350" w:type="dxa"/>
            <w:vAlign w:val="center"/>
            <w:vMerge w:val="restart"/>
            <w:textDirection w:val="lrTb"/>
            <w:noWrap w:val="false"/>
          </w:tcPr>
          <w:p>
            <w:pPr>
              <w:pStyle w:val="961"/>
              <w:jc w:val="center"/>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消毒</w:t>
            </w:r>
            <w:r/>
          </w:p>
          <w:p>
            <w:pPr>
              <w:pStyle w:val="961"/>
              <w:jc w:val="center"/>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3881" w:type="dxa"/>
            <w:vAlign w:val="center"/>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车载紫外线灯辐照强度应不低于70μW/ cm2，并保持清洁；应每天对车内进行消毒并留有消毒记录。</w:t>
            </w:r>
            <w:r/>
          </w:p>
        </w:tc>
        <w:tc>
          <w:tcPr>
            <w:tcW w:w="1885" w:type="dxa"/>
            <w:vAlign w:val="center"/>
            <w:vMerge w:val="continue"/>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5859" w:type="dxa"/>
            <w:vAlign w:val="center"/>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紫外线灯辐照强度不足或无定期消毒记录的，每项扣1分。</w:t>
            </w:r>
            <w:r/>
          </w:p>
        </w:tc>
      </w:tr>
      <w:tr>
        <w:trPr>
          <w:cantSplit/>
          <w:trHeight w:val="644"/>
        </w:trPr>
        <w:tc>
          <w:tcPr>
            <w:tcW w:w="1125" w:type="dxa"/>
            <w:vAlign w:val="center"/>
            <w:vMerge w:val="continue"/>
            <w:textDirection w:val="lrTb"/>
            <w:noWrap w:val="false"/>
          </w:tcPr>
          <w:p>
            <w:pPr>
              <w:pStyle w:val="961"/>
              <w:jc w:val="center"/>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1350" w:type="dxa"/>
            <w:vAlign w:val="center"/>
            <w:vMerge w:val="continue"/>
            <w:textDirection w:val="lrTb"/>
            <w:noWrap w:val="false"/>
          </w:tcPr>
          <w:p>
            <w:pPr>
              <w:pStyle w:val="961"/>
              <w:jc w:val="center"/>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3881" w:type="dxa"/>
            <w:vAlign w:val="center"/>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应按消毒管理规定配备含氯消毒液（或过氧乙酸）、速干手消毒剂、医疗废弃物专用袋等消毒和防护物品；</w:t>
            </w:r>
            <w:r/>
          </w:p>
        </w:tc>
        <w:tc>
          <w:tcPr>
            <w:tcW w:w="1885" w:type="dxa"/>
            <w:vAlign w:val="center"/>
            <w:vMerge w:val="continue"/>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5859" w:type="dxa"/>
            <w:vAlign w:val="center"/>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消毒防护物品不全、酒精、碘伏、洗手液注开瓶日期，未注明，一项扣1分，不在有效期内的，每次扣2分</w:t>
            </w:r>
            <w:r/>
          </w:p>
        </w:tc>
      </w:tr>
      <w:tr>
        <w:trPr>
          <w:cantSplit/>
          <w:trHeight w:val="644"/>
        </w:trPr>
        <w:tc>
          <w:tcPr>
            <w:tcW w:w="1125" w:type="dxa"/>
            <w:vAlign w:val="center"/>
            <w:vMerge w:val="continue"/>
            <w:textDirection w:val="lrTb"/>
            <w:noWrap w:val="false"/>
          </w:tcPr>
          <w:p>
            <w:pPr>
              <w:pStyle w:val="961"/>
              <w:jc w:val="center"/>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1350" w:type="dxa"/>
            <w:vAlign w:val="center"/>
            <w:textDirection w:val="lrTb"/>
            <w:noWrap w:val="false"/>
          </w:tcPr>
          <w:p>
            <w:pPr>
              <w:pStyle w:val="961"/>
              <w:jc w:val="center"/>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医疗废弃物</w:t>
            </w:r>
            <w:r/>
          </w:p>
          <w:p>
            <w:pPr>
              <w:pStyle w:val="961"/>
              <w:jc w:val="center"/>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3881" w:type="dxa"/>
            <w:vAlign w:val="center"/>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禁止将医疗废物混入其他废物和生活垃圾，不能流失、泄漏、扩散，禁止转让和买卖医疗废物，交于有证单位统一处置。</w:t>
            </w:r>
            <w:r/>
          </w:p>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1885" w:type="dxa"/>
            <w:vAlign w:val="center"/>
            <w:vMerge w:val="continue"/>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5859" w:type="dxa"/>
            <w:vAlign w:val="center"/>
            <w:textDirection w:val="lrTb"/>
            <w:noWrap w:val="false"/>
          </w:tcPr>
          <w:p>
            <w:pPr>
              <w:pStyle w:val="961"/>
              <w:spacing w:line="280" w:lineRule="exact"/>
              <w:widowControl/>
              <w:rPr>
                <w:rFonts w:ascii="宋体" w:hAnsi="宋体" w:cs="宋体"/>
                <w:sz w:val="18"/>
                <w:szCs w:val="18"/>
              </w:rPr>
              <w:framePr w:hSpace="180" w:wrap="around" w:vAnchor="text" w:hAnchor="page" w:x="1441" w:y="166"/>
            </w:pPr>
            <w:r>
              <w:rPr>
                <w:rFonts w:hint="eastAsia" w:ascii="宋体" w:hAnsi="宋体" w:cs="宋体"/>
                <w:sz w:val="18"/>
                <w:szCs w:val="18"/>
              </w:rPr>
              <w:t xml:space="preserve">医疗废物不按规定存放和处理1次扣2分：转让和买卖医疗废物发现一次扣2分，情节严重的予以辞退。</w:t>
            </w:r>
            <w:r>
              <w:rPr>
                <w:rFonts w:ascii="宋体" w:hAnsi="宋体" w:cs="宋体"/>
                <w:sz w:val="18"/>
                <w:szCs w:val="18"/>
              </w:rPr>
            </w:r>
            <w:r/>
          </w:p>
        </w:tc>
      </w:tr>
      <w:tr>
        <w:trPr>
          <w:cantSplit/>
          <w:trHeight w:val="666"/>
        </w:trPr>
        <w:tc>
          <w:tcPr>
            <w:tcW w:w="1125" w:type="dxa"/>
            <w:vAlign w:val="center"/>
            <w:vMerge w:val="restart"/>
            <w:textDirection w:val="lrTb"/>
            <w:noWrap w:val="false"/>
          </w:tcPr>
          <w:p>
            <w:pPr>
              <w:pStyle w:val="961"/>
              <w:jc w:val="center"/>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评价考核（10分）</w:t>
            </w:r>
            <w:r/>
          </w:p>
        </w:tc>
        <w:tc>
          <w:tcPr>
            <w:tcW w:w="1350" w:type="dxa"/>
            <w:vAlign w:val="center"/>
            <w:textDirection w:val="lrTb"/>
            <w:noWrap w:val="false"/>
          </w:tcPr>
          <w:p>
            <w:pPr>
              <w:pStyle w:val="961"/>
              <w:jc w:val="center"/>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上级部门检查考核</w:t>
            </w:r>
            <w:r/>
          </w:p>
          <w:p>
            <w:pPr>
              <w:pStyle w:val="961"/>
              <w:jc w:val="center"/>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3881" w:type="dxa"/>
            <w:vAlign w:val="center"/>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上级有关部门的检查考核达优秀。</w:t>
            </w:r>
            <w:r/>
          </w:p>
        </w:tc>
        <w:tc>
          <w:tcPr>
            <w:tcW w:w="1885" w:type="dxa"/>
            <w:vAlign w:val="center"/>
            <w:textDirection w:val="lrTb"/>
            <w:noWrap w:val="false"/>
          </w:tcPr>
          <w:p>
            <w:pPr>
              <w:pStyle w:val="961"/>
              <w:jc w:val="center"/>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资料核查</w:t>
            </w:r>
            <w:r/>
          </w:p>
        </w:tc>
        <w:tc>
          <w:tcPr>
            <w:tcW w:w="5859" w:type="dxa"/>
            <w:vAlign w:val="center"/>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考核结果为优秀的得5分、为良好的得2分、为不合格（差）的“评价考核”项不得分。</w:t>
            </w:r>
            <w:r/>
          </w:p>
        </w:tc>
      </w:tr>
      <w:tr>
        <w:trPr>
          <w:cantSplit/>
          <w:trHeight w:val="592"/>
        </w:trPr>
        <w:tc>
          <w:tcPr>
            <w:tcW w:w="1125" w:type="dxa"/>
            <w:vAlign w:val="center"/>
            <w:vMerge w:val="continue"/>
            <w:textDirection w:val="lrTb"/>
            <w:noWrap w:val="false"/>
          </w:tcPr>
          <w:p>
            <w:pPr>
              <w:pStyle w:val="961"/>
              <w:jc w:val="center"/>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1350" w:type="dxa"/>
            <w:vAlign w:val="center"/>
            <w:textDirection w:val="lrTb"/>
            <w:noWrap w:val="false"/>
          </w:tcPr>
          <w:p>
            <w:pPr>
              <w:pStyle w:val="961"/>
              <w:jc w:val="center"/>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满意度调查反馈</w:t>
            </w:r>
            <w:r/>
          </w:p>
          <w:p>
            <w:pPr>
              <w:pStyle w:val="961"/>
              <w:jc w:val="center"/>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3881" w:type="dxa"/>
            <w:vAlign w:val="center"/>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满意度调查、调度系统回访、第三方调查，满意率100%。</w:t>
            </w:r>
            <w:r/>
          </w:p>
        </w:tc>
        <w:tc>
          <w:tcPr>
            <w:tcW w:w="1885" w:type="dxa"/>
            <w:vAlign w:val="center"/>
            <w:textDirection w:val="lrTb"/>
            <w:noWrap w:val="false"/>
          </w:tcPr>
          <w:p>
            <w:pPr>
              <w:pStyle w:val="961"/>
              <w:jc w:val="center"/>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依据调查结果及媒体报道</w:t>
            </w:r>
            <w:r/>
          </w:p>
        </w:tc>
        <w:tc>
          <w:tcPr>
            <w:tcW w:w="5859" w:type="dxa"/>
            <w:vAlign w:val="center"/>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见一例查实群众不满意的投诉的扣5分；被媒体、效能办等公开曝光的，扣除当月绩效奖。</w:t>
            </w:r>
            <w:r/>
          </w:p>
        </w:tc>
      </w:tr>
      <w:tr>
        <w:trPr>
          <w:trHeight w:val="462"/>
        </w:trPr>
        <w:tc>
          <w:tcPr>
            <w:gridSpan w:val="2"/>
            <w:tcW w:w="2475" w:type="dxa"/>
            <w:vAlign w:val="center"/>
            <w:textDirection w:val="lrTb"/>
            <w:noWrap w:val="false"/>
          </w:tcPr>
          <w:p>
            <w:pPr>
              <w:pStyle w:val="961"/>
              <w:jc w:val="center"/>
              <w:spacing w:line="280" w:lineRule="exact"/>
              <w:widowControl/>
              <w:rPr>
                <w:rFonts w:ascii="宋体" w:hAnsi="宋体" w:cs="宋体"/>
                <w:sz w:val="18"/>
                <w:szCs w:val="18"/>
              </w:rPr>
              <w:framePr w:hSpace="180" w:wrap="around" w:vAnchor="text" w:hAnchor="page" w:x="1441" w:y="166"/>
            </w:pPr>
            <w:r>
              <w:rPr>
                <w:rFonts w:ascii="宋体" w:hAnsi="宋体" w:cs="宋体"/>
                <w:sz w:val="18"/>
                <w:szCs w:val="18"/>
              </w:rPr>
              <w:t xml:space="preserve">激励项目</w:t>
            </w:r>
            <w:r/>
          </w:p>
        </w:tc>
        <w:tc>
          <w:tcPr>
            <w:tcW w:w="3881" w:type="dxa"/>
            <w:vAlign w:val="center"/>
            <w:textDirection w:val="lrTb"/>
            <w:noWrap w:val="false"/>
          </w:tcPr>
          <w:p>
            <w:pPr>
              <w:pStyle w:val="961"/>
              <w:spacing w:line="280" w:lineRule="exact"/>
              <w:widowControl/>
              <w:rPr>
                <w:rFonts w:ascii="宋体" w:hAnsi="宋体" w:cs="宋体"/>
                <w:sz w:val="18"/>
                <w:szCs w:val="18"/>
              </w:rPr>
              <w:framePr w:hSpace="180" w:wrap="around" w:vAnchor="text" w:hAnchor="page" w:x="1441" w:y="166"/>
            </w:pPr>
            <w:r>
              <w:rPr>
                <w:rFonts w:ascii="宋体" w:hAnsi="宋体" w:cs="宋体"/>
                <w:sz w:val="18"/>
                <w:szCs w:val="18"/>
              </w:rPr>
              <w:t xml:space="preserve">急救人员应不断提高业务能力，</w:t>
            </w:r>
            <w:r>
              <w:rPr>
                <w:rFonts w:hint="eastAsia" w:ascii="宋体" w:hAnsi="宋体" w:cs="宋体"/>
                <w:sz w:val="18"/>
                <w:szCs w:val="18"/>
              </w:rPr>
              <w:t xml:space="preserve">配合医生完成</w:t>
            </w:r>
            <w:r>
              <w:rPr>
                <w:rFonts w:ascii="宋体" w:hAnsi="宋体" w:cs="宋体"/>
                <w:sz w:val="18"/>
                <w:szCs w:val="18"/>
              </w:rPr>
              <w:t xml:space="preserve">有操作难度的医疗技术项目。</w:t>
            </w:r>
            <w:r/>
          </w:p>
        </w:tc>
        <w:tc>
          <w:tcPr>
            <w:tcW w:w="1885" w:type="dxa"/>
            <w:vAlign w:val="center"/>
            <w:textDirection w:val="lrTb"/>
            <w:noWrap w:val="false"/>
          </w:tcPr>
          <w:p>
            <w:pPr>
              <w:pStyle w:val="961"/>
              <w:jc w:val="center"/>
              <w:spacing w:line="280" w:lineRule="exact"/>
              <w:widowControl/>
              <w:rPr>
                <w:rFonts w:ascii="宋体" w:hAnsi="宋体" w:cs="宋体"/>
                <w:sz w:val="18"/>
                <w:szCs w:val="18"/>
              </w:rPr>
              <w:framePr w:hSpace="180" w:wrap="around" w:vAnchor="text" w:hAnchor="page" w:x="1441" w:y="166"/>
            </w:pPr>
            <w:r>
              <w:rPr>
                <w:rFonts w:ascii="宋体" w:hAnsi="宋体" w:cs="宋体"/>
                <w:sz w:val="18"/>
                <w:szCs w:val="18"/>
              </w:rPr>
            </w:r>
            <w:r/>
          </w:p>
          <w:p>
            <w:pPr>
              <w:pStyle w:val="961"/>
              <w:jc w:val="center"/>
              <w:spacing w:line="280" w:lineRule="exact"/>
              <w:widowControl/>
              <w:rPr>
                <w:rFonts w:ascii="宋体" w:hAnsi="宋体" w:cs="宋体"/>
                <w:sz w:val="18"/>
                <w:szCs w:val="18"/>
              </w:rPr>
              <w:framePr w:hSpace="180" w:wrap="around" w:vAnchor="text" w:hAnchor="page" w:x="1441" w:y="166"/>
            </w:pPr>
            <w:r>
              <w:rPr>
                <w:rFonts w:ascii="宋体" w:hAnsi="宋体" w:cs="宋体"/>
                <w:sz w:val="18"/>
                <w:szCs w:val="18"/>
              </w:rPr>
              <w:t xml:space="preserve">个人申报</w:t>
            </w:r>
            <w:r/>
          </w:p>
          <w:p>
            <w:pPr>
              <w:pStyle w:val="961"/>
              <w:jc w:val="center"/>
              <w:spacing w:line="280" w:lineRule="exact"/>
              <w:widowControl/>
              <w:rPr>
                <w:rFonts w:ascii="宋体" w:hAnsi="宋体" w:cs="宋体"/>
                <w:sz w:val="18"/>
                <w:szCs w:val="18"/>
              </w:rPr>
              <w:framePr w:hSpace="180" w:wrap="around" w:vAnchor="text" w:hAnchor="page" w:x="1441" w:y="166"/>
            </w:pPr>
            <w:r>
              <w:rPr>
                <w:rFonts w:ascii="宋体" w:hAnsi="宋体" w:cs="宋体"/>
                <w:sz w:val="18"/>
                <w:szCs w:val="18"/>
              </w:rPr>
              <w:t xml:space="preserve">系统数据分析查看有关视频及病历</w:t>
            </w:r>
            <w:r/>
          </w:p>
          <w:p>
            <w:pPr>
              <w:pStyle w:val="961"/>
              <w:jc w:val="center"/>
              <w:spacing w:line="280" w:lineRule="exact"/>
              <w:widowControl/>
              <w:rPr>
                <w:rFonts w:ascii="宋体" w:hAnsi="宋体" w:cs="宋体"/>
                <w:sz w:val="18"/>
                <w:szCs w:val="18"/>
              </w:rPr>
              <w:framePr w:hSpace="180" w:wrap="around" w:vAnchor="text" w:hAnchor="page" w:x="1441" w:y="166"/>
            </w:pPr>
            <w:r>
              <w:rPr>
                <w:rFonts w:ascii="宋体" w:hAnsi="宋体" w:cs="宋体"/>
                <w:sz w:val="18"/>
                <w:szCs w:val="18"/>
              </w:rPr>
            </w:r>
            <w:r/>
          </w:p>
        </w:tc>
        <w:tc>
          <w:tcPr>
            <w:tcW w:w="5859" w:type="dxa"/>
            <w:vAlign w:val="center"/>
            <w:textDirection w:val="lrTb"/>
            <w:noWrap w:val="false"/>
          </w:tcPr>
          <w:p>
            <w:pPr>
              <w:pStyle w:val="961"/>
              <w:spacing w:line="280" w:lineRule="exact"/>
              <w:widowControl/>
              <w:rPr>
                <w:rFonts w:ascii="宋体" w:hAnsi="宋体" w:cs="宋体"/>
                <w:sz w:val="18"/>
                <w:szCs w:val="18"/>
              </w:rPr>
              <w:framePr w:hSpace="180" w:wrap="around" w:vAnchor="text" w:hAnchor="page" w:x="1441" w:y="166"/>
            </w:pPr>
            <w:r>
              <w:rPr>
                <w:rFonts w:ascii="宋体" w:hAnsi="宋体" w:cs="宋体"/>
                <w:sz w:val="18"/>
                <w:szCs w:val="18"/>
              </w:rPr>
              <w:t xml:space="preserve">依据病情正确规范开展以下项目：</w:t>
            </w:r>
            <w:r>
              <w:rPr>
                <w:rFonts w:hint="eastAsia" w:ascii="宋体" w:hAnsi="宋体" w:cs="宋体"/>
                <w:sz w:val="18"/>
                <w:szCs w:val="18"/>
              </w:rPr>
              <w:t xml:space="preserve">配合医生成功除颤加1分；辅助</w:t>
            </w:r>
            <w:r>
              <w:rPr>
                <w:rFonts w:ascii="宋体" w:hAnsi="宋体" w:cs="宋体"/>
                <w:sz w:val="18"/>
                <w:szCs w:val="18"/>
              </w:rPr>
              <w:t xml:space="preserve">气管插管（成功），每例加</w:t>
            </w:r>
            <w:r>
              <w:rPr>
                <w:rFonts w:hint="eastAsia" w:ascii="宋体" w:hAnsi="宋体" w:cs="宋体"/>
                <w:sz w:val="18"/>
                <w:szCs w:val="18"/>
              </w:rPr>
              <w:t xml:space="preserve">1</w:t>
            </w:r>
            <w:r>
              <w:rPr>
                <w:rFonts w:ascii="宋体" w:hAnsi="宋体" w:cs="宋体"/>
                <w:sz w:val="18"/>
                <w:szCs w:val="18"/>
              </w:rPr>
              <w:t xml:space="preserve">分；呼吸机辅助呼吸，每例加1分；院前心搏骤停患者现场</w:t>
            </w:r>
            <w:r>
              <w:rPr>
                <w:rFonts w:hint="eastAsia" w:ascii="宋体" w:hAnsi="宋体" w:cs="宋体"/>
                <w:sz w:val="18"/>
                <w:szCs w:val="18"/>
              </w:rPr>
              <w:t xml:space="preserve">静脉开放成功加1分；</w:t>
            </w:r>
            <w:r>
              <w:rPr>
                <w:rFonts w:ascii="宋体" w:hAnsi="宋体" w:cs="宋体"/>
                <w:sz w:val="18"/>
                <w:szCs w:val="18"/>
              </w:rPr>
              <w:t xml:space="preserve">院前心搏骤停患者现场充分复苏，每例加2分，复苏成功每例加10分，脑复苏成功每例加20分。</w:t>
            </w:r>
            <w:r/>
          </w:p>
        </w:tc>
      </w:tr>
      <w:tr>
        <w:trPr>
          <w:cantSplit/>
          <w:trHeight w:val="462"/>
        </w:trPr>
        <w:tc>
          <w:tcPr>
            <w:gridSpan w:val="2"/>
            <w:tcW w:w="2475" w:type="dxa"/>
            <w:vAlign w:val="center"/>
            <w:vMerge w:val="restart"/>
            <w:textDirection w:val="lrTb"/>
            <w:noWrap w:val="false"/>
          </w:tcPr>
          <w:p>
            <w:pPr>
              <w:pStyle w:val="961"/>
              <w:jc w:val="center"/>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加分项目</w:t>
            </w:r>
            <w:r/>
          </w:p>
        </w:tc>
        <w:tc>
          <w:tcPr>
            <w:tcW w:w="3881" w:type="dxa"/>
            <w:vAlign w:val="center"/>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参与重大事件抢救或重大活动保障、县级以上人民政府的表彰和奖励等。</w:t>
            </w:r>
            <w:r/>
          </w:p>
        </w:tc>
        <w:tc>
          <w:tcPr>
            <w:tcW w:w="1885" w:type="dxa"/>
            <w:vAlign w:val="center"/>
            <w:vMerge w:val="restart"/>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资料核查</w:t>
            </w:r>
            <w:r/>
          </w:p>
        </w:tc>
        <w:tc>
          <w:tcPr>
            <w:tcW w:w="5859" w:type="dxa"/>
            <w:vAlign w:val="center"/>
            <w:vMerge w:val="restart"/>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受到县、市、省、国家表彰的分别加5、10、15、20分，同一表彰按最高级别加分，不重复加分。</w:t>
            </w:r>
            <w:r/>
          </w:p>
        </w:tc>
      </w:tr>
      <w:tr>
        <w:trPr>
          <w:cantSplit/>
          <w:trHeight w:val="462"/>
        </w:trPr>
        <w:tc>
          <w:tcPr>
            <w:gridSpan w:val="2"/>
            <w:tcW w:w="2475" w:type="dxa"/>
            <w:vAlign w:val="center"/>
            <w:vMerge w:val="continue"/>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3881" w:type="dxa"/>
            <w:vAlign w:val="center"/>
            <w:textDirection w:val="lrTb"/>
            <w:noWrap w:val="false"/>
          </w:tcPr>
          <w:p>
            <w:pPr>
              <w:pStyle w:val="961"/>
              <w:spacing w:line="280" w:lineRule="exact"/>
              <w:widowControl/>
              <w:rPr>
                <w:rFonts w:ascii="宋体" w:hAnsi="宋体" w:cs="宋体"/>
                <w:sz w:val="18"/>
                <w:szCs w:val="18"/>
              </w:rPr>
              <w:framePr w:hSpace="180" w:wrap="around" w:vAnchor="text" w:hAnchor="page" w:x="1441" w:y="166"/>
            </w:pPr>
            <w:r>
              <w:rPr>
                <w:rFonts w:hint="eastAsia" w:ascii="宋体" w:hAnsi="宋体" w:cs="宋体"/>
                <w:sz w:val="18"/>
                <w:szCs w:val="18"/>
              </w:rPr>
              <w:t xml:space="preserve">下乡督查、参与群众培训、PPT课件内容生动精彩</w:t>
            </w:r>
            <w:r>
              <w:rPr>
                <w:rFonts w:ascii="宋体" w:hAnsi="宋体" w:cs="宋体"/>
                <w:sz w:val="18"/>
                <w:szCs w:val="18"/>
              </w:rPr>
            </w:r>
            <w:r/>
          </w:p>
        </w:tc>
        <w:tc>
          <w:tcPr>
            <w:tcW w:w="1885" w:type="dxa"/>
            <w:vAlign w:val="center"/>
            <w:vMerge w:val="continue"/>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5859" w:type="dxa"/>
            <w:vAlign w:val="center"/>
            <w:vMerge w:val="restart"/>
            <w:textDirection w:val="lrTb"/>
            <w:noWrap w:val="false"/>
          </w:tcPr>
          <w:p>
            <w:pPr>
              <w:pStyle w:val="961"/>
              <w:spacing w:line="280" w:lineRule="exact"/>
              <w:widowControl/>
              <w:rPr>
                <w:rFonts w:ascii="宋体" w:hAnsi="宋体" w:cs="宋体"/>
                <w:sz w:val="18"/>
                <w:szCs w:val="18"/>
              </w:rPr>
              <w:framePr w:hSpace="180" w:wrap="around" w:vAnchor="text" w:hAnchor="page" w:x="1441" w:y="166"/>
            </w:pPr>
            <w:r>
              <w:rPr>
                <w:rFonts w:hint="eastAsia" w:ascii="宋体" w:hAnsi="宋体" w:cs="宋体"/>
                <w:sz w:val="18"/>
                <w:szCs w:val="18"/>
              </w:rPr>
              <w:t xml:space="preserve">下乡督一次查加2分、参与群众培训一次加0.5分、PPT课件内容生动精彩（不是借超、AI生成）加1分</w:t>
            </w:r>
            <w:r>
              <w:rPr>
                <w:rFonts w:ascii="宋体" w:hAnsi="宋体" w:cs="宋体"/>
                <w:sz w:val="18"/>
                <w:szCs w:val="18"/>
              </w:rPr>
            </w:r>
            <w:r/>
          </w:p>
        </w:tc>
      </w:tr>
      <w:tr>
        <w:trPr>
          <w:cantSplit/>
          <w:trHeight w:val="325"/>
        </w:trPr>
        <w:tc>
          <w:tcPr>
            <w:gridSpan w:val="2"/>
            <w:tcW w:w="2475" w:type="dxa"/>
            <w:vAlign w:val="center"/>
            <w:vMerge w:val="continue"/>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3881" w:type="dxa"/>
            <w:vAlign w:val="center"/>
            <w:textDirection w:val="lrTb"/>
            <w:noWrap w:val="false"/>
          </w:tcPr>
          <w:p>
            <w:pPr>
              <w:pStyle w:val="961"/>
              <w:spacing w:line="280" w:lineRule="exact"/>
              <w:widowControl/>
              <w:rPr>
                <w:rFonts w:ascii="宋体" w:hAnsi="宋体" w:cs="宋体"/>
                <w:sz w:val="18"/>
                <w:szCs w:val="18"/>
              </w:rPr>
              <w:framePr w:hSpace="180" w:wrap="around" w:vAnchor="text" w:hAnchor="page" w:x="1441" w:y="166"/>
            </w:pPr>
            <w:r>
              <w:rPr>
                <w:rFonts w:hint="eastAsia" w:ascii="宋体" w:hAnsi="宋体" w:cs="宋体"/>
                <w:sz w:val="18"/>
                <w:szCs w:val="18"/>
              </w:rPr>
              <w:t xml:space="preserve">获得表扬信或锦旗</w:t>
            </w:r>
            <w:r>
              <w:rPr>
                <w:rFonts w:ascii="宋体" w:hAnsi="宋体" w:cs="宋体"/>
                <w:sz w:val="18"/>
                <w:szCs w:val="18"/>
              </w:rPr>
            </w:r>
            <w:r/>
          </w:p>
        </w:tc>
        <w:tc>
          <w:tcPr>
            <w:tcW w:w="1885" w:type="dxa"/>
            <w:vAlign w:val="center"/>
            <w:vMerge w:val="continue"/>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5859" w:type="dxa"/>
            <w:vAlign w:val="center"/>
            <w:textDirection w:val="lrTb"/>
            <w:noWrap w:val="false"/>
          </w:tcPr>
          <w:p>
            <w:pPr>
              <w:pStyle w:val="961"/>
              <w:spacing w:line="280" w:lineRule="exact"/>
              <w:widowControl/>
              <w:rPr>
                <w:rFonts w:ascii="宋体" w:hAnsi="宋体" w:cs="宋体"/>
                <w:sz w:val="18"/>
                <w:szCs w:val="18"/>
              </w:rPr>
              <w:framePr w:hSpace="180" w:wrap="around" w:vAnchor="text" w:hAnchor="page" w:x="1441" w:y="166"/>
            </w:pPr>
            <w:r>
              <w:rPr>
                <w:rFonts w:hint="eastAsia" w:ascii="宋体" w:hAnsi="宋体" w:cs="宋体"/>
                <w:sz w:val="18"/>
                <w:szCs w:val="18"/>
              </w:rPr>
              <w:t xml:space="preserve">每份表扬信、锦旗加5分。</w:t>
            </w:r>
            <w:r>
              <w:rPr>
                <w:rFonts w:ascii="宋体" w:hAnsi="宋体" w:cs="宋体"/>
                <w:sz w:val="18"/>
                <w:szCs w:val="18"/>
              </w:rPr>
            </w:r>
            <w:r/>
          </w:p>
        </w:tc>
      </w:tr>
    </w:tbl>
    <w:p>
      <w:pPr>
        <w:pStyle w:val="1010"/>
        <w:ind w:firstLine="420"/>
        <w:jc w:val="both"/>
        <w:rPr>
          <w:rFonts w:ascii="宋体" w:hAnsi="宋体" w:eastAsia="宋体" w:cs="宋体"/>
          <w:color w:val="000000"/>
          <w:sz w:val="21"/>
          <w:szCs w:val="21"/>
        </w:rPr>
      </w:pPr>
      <w:r>
        <w:rPr>
          <w:rFonts w:hint="eastAsia" w:ascii="宋体" w:hAnsi="宋体" w:eastAsia="宋体" w:cs="宋体"/>
          <w:color w:val="000000"/>
          <w:sz w:val="21"/>
          <w:szCs w:val="21"/>
        </w:rPr>
        <w:t xml:space="preserve">注：抢救成功者（心肺复苏、海姆立克急救法），经质量控制科核实无误，每例奖励200元。当事人履行好上报义务。</w:t>
      </w:r>
      <w:r>
        <w:rPr>
          <w:rFonts w:ascii="宋体" w:hAnsi="宋体" w:eastAsia="宋体" w:cs="宋体"/>
          <w:color w:val="000000"/>
          <w:sz w:val="21"/>
          <w:szCs w:val="21"/>
        </w:rPr>
      </w:r>
      <w:r/>
    </w:p>
    <w:p>
      <w:pPr>
        <w:pStyle w:val="1010"/>
        <w:jc w:val="center"/>
        <w:rPr>
          <w:rFonts w:hint="eastAsia" w:ascii="宋体" w:hAnsi="宋体" w:cs="宋体"/>
          <w:color w:val="000000"/>
          <w:sz w:val="32"/>
          <w:szCs w:val="32"/>
        </w:rPr>
      </w:pPr>
      <w:r>
        <w:rPr>
          <w:rFonts w:hint="eastAsia" w:ascii="宋体" w:hAnsi="宋体" w:cs="宋体"/>
          <w:color w:val="000000"/>
          <w:sz w:val="32"/>
          <w:szCs w:val="32"/>
        </w:rPr>
      </w:r>
      <w:r/>
    </w:p>
    <w:p>
      <w:pPr>
        <w:pStyle w:val="1010"/>
        <w:jc w:val="center"/>
        <w:rPr>
          <w:rFonts w:hint="eastAsia" w:ascii="宋体" w:hAnsi="宋体" w:cs="宋体"/>
          <w:color w:val="000000"/>
          <w:sz w:val="32"/>
          <w:szCs w:val="32"/>
        </w:rPr>
      </w:pPr>
      <w:r>
        <w:rPr>
          <w:rFonts w:hint="eastAsia" w:ascii="宋体" w:hAnsi="宋体" w:cs="宋体"/>
          <w:color w:val="000000"/>
          <w:sz w:val="32"/>
          <w:szCs w:val="32"/>
        </w:rPr>
      </w:r>
      <w:r/>
    </w:p>
    <w:p>
      <w:pPr>
        <w:pStyle w:val="1010"/>
        <w:jc w:val="center"/>
        <w:rPr>
          <w:rFonts w:hint="eastAsia" w:ascii="宋体" w:hAnsi="宋体" w:cs="宋体"/>
          <w:color w:val="000000"/>
          <w:sz w:val="32"/>
          <w:szCs w:val="32"/>
        </w:rPr>
      </w:pPr>
      <w:r>
        <w:rPr>
          <w:rFonts w:hint="eastAsia" w:ascii="宋体" w:hAnsi="宋体" w:cs="宋体"/>
          <w:color w:val="000000"/>
          <w:sz w:val="32"/>
          <w:szCs w:val="32"/>
        </w:rPr>
      </w:r>
      <w:r/>
    </w:p>
    <w:p>
      <w:pPr>
        <w:pStyle w:val="1010"/>
        <w:jc w:val="center"/>
        <w:rPr>
          <w:rFonts w:hint="eastAsia" w:ascii="宋体" w:hAnsi="宋体" w:cs="宋体"/>
          <w:color w:val="000000"/>
          <w:sz w:val="32"/>
          <w:szCs w:val="32"/>
        </w:rPr>
      </w:pPr>
      <w:r>
        <w:rPr>
          <w:rFonts w:hint="eastAsia" w:ascii="宋体" w:hAnsi="宋体" w:cs="宋体"/>
          <w:color w:val="000000"/>
          <w:sz w:val="32"/>
          <w:szCs w:val="32"/>
        </w:rPr>
      </w:r>
      <w:r/>
    </w:p>
    <w:p>
      <w:pPr>
        <w:pStyle w:val="1010"/>
        <w:jc w:val="center"/>
        <w:rPr>
          <w:rFonts w:hint="eastAsia" w:ascii="宋体" w:hAnsi="宋体" w:cs="宋体"/>
          <w:color w:val="000000"/>
          <w:sz w:val="32"/>
          <w:szCs w:val="32"/>
        </w:rPr>
      </w:pPr>
      <w:r>
        <w:rPr>
          <w:rFonts w:hint="eastAsia" w:ascii="宋体" w:hAnsi="宋体" w:cs="宋体"/>
          <w:color w:val="000000"/>
          <w:sz w:val="32"/>
          <w:szCs w:val="32"/>
        </w:rPr>
      </w:r>
      <w:r/>
    </w:p>
    <w:p>
      <w:pPr>
        <w:pStyle w:val="1010"/>
        <w:jc w:val="center"/>
        <w:rPr>
          <w:rFonts w:hint="eastAsia" w:ascii="宋体" w:hAnsi="宋体" w:cs="宋体"/>
          <w:color w:val="000000"/>
          <w:sz w:val="32"/>
          <w:szCs w:val="32"/>
        </w:rPr>
      </w:pPr>
      <w:r>
        <w:rPr>
          <w:rFonts w:hint="eastAsia" w:ascii="宋体" w:hAnsi="宋体" w:cs="宋体"/>
          <w:color w:val="000000"/>
          <w:sz w:val="32"/>
          <w:szCs w:val="32"/>
        </w:rPr>
      </w:r>
      <w:r/>
    </w:p>
    <w:p>
      <w:pPr>
        <w:pStyle w:val="1010"/>
        <w:jc w:val="center"/>
        <w:rPr>
          <w:rFonts w:hint="eastAsia" w:ascii="宋体" w:hAnsi="宋体" w:eastAsia="宋体" w:cs="宋体"/>
          <w:color w:val="000000"/>
          <w:sz w:val="32"/>
          <w:szCs w:val="32"/>
        </w:rPr>
      </w:pPr>
      <w:r>
        <w:rPr>
          <w:rFonts w:hint="eastAsia" w:ascii="宋体" w:hAnsi="宋体" w:cs="宋体"/>
          <w:color w:val="000000"/>
          <w:sz w:val="32"/>
          <w:szCs w:val="32"/>
        </w:rPr>
        <w:t xml:space="preserve">四</w:t>
      </w:r>
      <w:r>
        <w:rPr>
          <w:rFonts w:hint="eastAsia" w:ascii="宋体" w:hAnsi="宋体" w:eastAsia="宋体" w:cs="宋体"/>
          <w:color w:val="000000"/>
          <w:sz w:val="32"/>
          <w:szCs w:val="32"/>
        </w:rPr>
        <w:t xml:space="preserve">、市区院前医疗急救站点担架员绩效考核内容及评分标准</w:t>
      </w:r>
      <w:r/>
    </w:p>
    <w:tbl>
      <w:tblPr>
        <w:tblpPr w:horzAnchor="page" w:tblpX="1372" w:vertAnchor="text" w:tblpY="156" w:leftFromText="180" w:topFromText="0" w:rightFromText="180" w:bottomFromText="0"/>
        <w:tblW w:w="140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1"/>
        <w:gridCol w:w="1324"/>
        <w:gridCol w:w="3883"/>
        <w:gridCol w:w="1521"/>
        <w:gridCol w:w="6208"/>
      </w:tblGrid>
      <w:tr>
        <w:trPr>
          <w:trHeight w:val="416"/>
        </w:trPr>
        <w:tc>
          <w:tcPr>
            <w:tcW w:w="1111" w:type="dxa"/>
            <w:vAlign w:val="center"/>
            <w:textDirection w:val="lrTb"/>
            <w:noWrap/>
          </w:tcPr>
          <w:p>
            <w:pPr>
              <w:pStyle w:val="961"/>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一级指标</w:t>
            </w:r>
            <w:r/>
          </w:p>
        </w:tc>
        <w:tc>
          <w:tcPr>
            <w:tcW w:w="1324" w:type="dxa"/>
            <w:vAlign w:val="center"/>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二级指标</w:t>
            </w:r>
            <w:r/>
          </w:p>
        </w:tc>
        <w:tc>
          <w:tcPr>
            <w:tcW w:w="3883" w:type="dxa"/>
            <w:vAlign w:val="center"/>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三级指标</w:t>
            </w:r>
            <w:r/>
          </w:p>
        </w:tc>
        <w:tc>
          <w:tcPr>
            <w:tcW w:w="1521" w:type="dxa"/>
            <w:vAlign w:val="center"/>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考核方式</w:t>
            </w:r>
            <w:r/>
          </w:p>
        </w:tc>
        <w:tc>
          <w:tcPr>
            <w:tcW w:w="6208" w:type="dxa"/>
            <w:vAlign w:val="center"/>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评分标准</w:t>
            </w:r>
            <w:r/>
          </w:p>
        </w:tc>
      </w:tr>
      <w:tr>
        <w:trPr>
          <w:cantSplit/>
          <w:trHeight w:val="1071"/>
        </w:trPr>
        <w:tc>
          <w:tcPr>
            <w:tcW w:w="1111" w:type="dxa"/>
            <w:vAlign w:val="center"/>
            <w:vMerge w:val="restart"/>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出勤考核</w:t>
            </w:r>
            <w:r/>
          </w:p>
          <w:p>
            <w:pPr>
              <w:pStyle w:val="961"/>
              <w:jc w:val="center"/>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r>
            <w:r/>
          </w:p>
        </w:tc>
        <w:tc>
          <w:tcPr>
            <w:tcW w:w="1324" w:type="dxa"/>
            <w:vAlign w:val="center"/>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交接 </w:t>
            </w:r>
            <w:r/>
          </w:p>
        </w:tc>
        <w:tc>
          <w:tcPr>
            <w:tcW w:w="3883" w:type="dxa"/>
            <w:vAlign w:val="center"/>
            <w:textDirection w:val="lrTb"/>
            <w:noWrap/>
          </w:tcPr>
          <w:p>
            <w:pPr>
              <w:pStyle w:val="961"/>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提前10分钟到岗进行交接班，交班人员在接班人员未到岗接班时不得退工号及离岗；所有人不得代其他人员登工号或退工号；上一班班组出车未归，接班班组须在规定时间前登录备用车待命，无车可登录时应电话汇报调度；上班期间保持外勤通处于登录状态；严格执行交接班制度，交接有记录并签字。</w:t>
            </w:r>
            <w:r/>
          </w:p>
        </w:tc>
        <w:tc>
          <w:tcPr>
            <w:tcW w:w="1521" w:type="dxa"/>
            <w:vAlign w:val="center"/>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常规抽查</w:t>
            </w:r>
            <w:r/>
          </w:p>
        </w:tc>
        <w:tc>
          <w:tcPr>
            <w:tcW w:w="6208" w:type="dxa"/>
            <w:vAlign w:val="center"/>
            <w:textDirection w:val="lrTb"/>
            <w:noWrap/>
          </w:tcPr>
          <w:p>
            <w:pPr>
              <w:pStyle w:val="961"/>
              <w:jc w:val="left"/>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接班人员未提前10分钟到岗接班、未按规定登录车载均视为迟到；代其他人员登工号或退工号的，发现一次扣10分，造成出车延迟等问题的，按出车延迟等规定追加扣分；交班人员在接班人员未到岗接班时退工号或离岗视同早退；迟到早退5分钟内扣2分、10分钟内扣4分、15分钟内扣6分，以此类推；同一个月有3次及以上迟到早退行为的再加扣10分；未按规定登录外勤通的一次扣2分；交接记录书写不规范或无交接记录的，一次扣2分；旷工一天扣50分。</w:t>
            </w:r>
            <w:r/>
          </w:p>
        </w:tc>
      </w:tr>
      <w:tr>
        <w:trPr>
          <w:cantSplit/>
          <w:trHeight w:val="979"/>
        </w:trPr>
        <w:tc>
          <w:tcPr>
            <w:tcW w:w="1111" w:type="dxa"/>
            <w:vAlign w:val="center"/>
            <w:vMerge w:val="continue"/>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r>
            <w:r/>
          </w:p>
        </w:tc>
        <w:tc>
          <w:tcPr>
            <w:tcW w:w="1324" w:type="dxa"/>
            <w:vAlign w:val="center"/>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换班 </w:t>
            </w:r>
            <w:r/>
          </w:p>
        </w:tc>
        <w:tc>
          <w:tcPr>
            <w:tcW w:w="3883" w:type="dxa"/>
            <w:vAlign w:val="center"/>
            <w:textDirection w:val="lrTb"/>
            <w:noWrap/>
          </w:tcPr>
          <w:p>
            <w:pPr>
              <w:pStyle w:val="961"/>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每月调班不得超过3次（调班2人各计1次），不得私自代班、换班，如代班、换班必须上报给驻场管理人员同意并提前2小时报调度中心，有特殊情况的及时向调度中心电话报备。</w:t>
            </w:r>
            <w:r/>
          </w:p>
        </w:tc>
        <w:tc>
          <w:tcPr>
            <w:tcW w:w="1521" w:type="dxa"/>
            <w:vAlign w:val="center"/>
            <w:vMerge w:val="restart"/>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r>
            <w:r/>
          </w:p>
        </w:tc>
        <w:tc>
          <w:tcPr>
            <w:tcW w:w="6208" w:type="dxa"/>
            <w:vAlign w:val="center"/>
            <w:textDirection w:val="lrTb"/>
            <w:noWrap/>
          </w:tcPr>
          <w:p>
            <w:pPr>
              <w:pStyle w:val="961"/>
              <w:jc w:val="left"/>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私自代班、换班或未及时报备的，发现一次当事双方各扣5分；造成出车延迟等问题的，双方均按出车延迟等规定追加扣分；调班3次以上每次扣2分。</w:t>
            </w:r>
            <w:r/>
          </w:p>
        </w:tc>
      </w:tr>
      <w:tr>
        <w:trPr>
          <w:cantSplit/>
          <w:trHeight w:val="644"/>
        </w:trPr>
        <w:tc>
          <w:tcPr>
            <w:tcW w:w="1111" w:type="dxa"/>
            <w:vAlign w:val="center"/>
            <w:vMerge w:val="continue"/>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r>
            <w:r/>
          </w:p>
        </w:tc>
        <w:tc>
          <w:tcPr>
            <w:tcW w:w="1324" w:type="dxa"/>
            <w:vAlign w:val="center"/>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服装 </w:t>
            </w:r>
            <w:r/>
          </w:p>
        </w:tc>
        <w:tc>
          <w:tcPr>
            <w:tcW w:w="3883" w:type="dxa"/>
            <w:vAlign w:val="center"/>
            <w:textDirection w:val="lrTb"/>
            <w:noWrap/>
          </w:tcPr>
          <w:p>
            <w:pPr>
              <w:pStyle w:val="961"/>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按要求统一着装，装束规范，佩戴工号牌。</w:t>
            </w:r>
            <w:r/>
          </w:p>
        </w:tc>
        <w:tc>
          <w:tcPr>
            <w:tcW w:w="1521" w:type="dxa"/>
            <w:vAlign w:val="center"/>
            <w:vMerge w:val="continue"/>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r>
            <w:r/>
          </w:p>
        </w:tc>
        <w:tc>
          <w:tcPr>
            <w:tcW w:w="6208" w:type="dxa"/>
            <w:vAlign w:val="center"/>
            <w:textDirection w:val="lrTb"/>
            <w:noWrap/>
          </w:tcPr>
          <w:p>
            <w:pPr>
              <w:pStyle w:val="961"/>
              <w:jc w:val="left"/>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穿拖鞋、短裤等不规范着装或未佩戴工号牌的，发现一次扣2分。</w:t>
            </w:r>
            <w:r/>
          </w:p>
        </w:tc>
      </w:tr>
      <w:tr>
        <w:trPr>
          <w:cantSplit/>
          <w:trHeight w:val="662"/>
        </w:trPr>
        <w:tc>
          <w:tcPr>
            <w:tcW w:w="1111" w:type="dxa"/>
            <w:vAlign w:val="center"/>
            <w:vMerge w:val="continue"/>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r>
            <w:r/>
          </w:p>
        </w:tc>
        <w:tc>
          <w:tcPr>
            <w:tcW w:w="1324" w:type="dxa"/>
            <w:vAlign w:val="center"/>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岗位</w:t>
            </w:r>
            <w:r/>
          </w:p>
          <w:p>
            <w:pPr>
              <w:pStyle w:val="961"/>
              <w:jc w:val="center"/>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r>
            <w:r/>
          </w:p>
        </w:tc>
        <w:tc>
          <w:tcPr>
            <w:tcW w:w="3883" w:type="dxa"/>
            <w:vAlign w:val="center"/>
            <w:textDirection w:val="lrTb"/>
            <w:noWrap/>
          </w:tcPr>
          <w:p>
            <w:pPr>
              <w:pStyle w:val="961"/>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上班期间待命室待命，不得在值班室休息（11:30-14:00，18:00-次日7:30除外）；未经允许，不得擅离工作岗位；班前24小时及值班期间不得饮酒，任务或工作环境中不得吸烟。</w:t>
            </w:r>
            <w:r/>
          </w:p>
        </w:tc>
        <w:tc>
          <w:tcPr>
            <w:tcW w:w="1521" w:type="dxa"/>
            <w:vAlign w:val="center"/>
            <w:vMerge w:val="continue"/>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r>
            <w:r/>
          </w:p>
        </w:tc>
        <w:tc>
          <w:tcPr>
            <w:tcW w:w="6208" w:type="dxa"/>
            <w:vAlign w:val="center"/>
            <w:textDirection w:val="lrTb"/>
            <w:noWrap/>
          </w:tcPr>
          <w:p>
            <w:pPr>
              <w:pStyle w:val="961"/>
              <w:jc w:val="left"/>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发现一次脱岗的扣10分（未按规定在待命室待命的视同脱岗），造成出车延迟等问题的，按出车延迟等规定追加扣分；发现一次违反饮酒规定的予以辞退；发现一次违反吸烟规定的扣10分。</w:t>
            </w:r>
            <w:r/>
          </w:p>
        </w:tc>
      </w:tr>
      <w:tr>
        <w:trPr>
          <w:cantSplit/>
          <w:trHeight w:val="665"/>
        </w:trPr>
        <w:tc>
          <w:tcPr>
            <w:tcW w:w="1111" w:type="dxa"/>
            <w:vAlign w:val="center"/>
            <w:vMerge w:val="continue"/>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r>
            <w:r/>
          </w:p>
        </w:tc>
        <w:tc>
          <w:tcPr>
            <w:tcW w:w="1324" w:type="dxa"/>
            <w:vAlign w:val="center"/>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通讯 </w:t>
            </w:r>
            <w:r/>
          </w:p>
        </w:tc>
        <w:tc>
          <w:tcPr>
            <w:tcW w:w="3883" w:type="dxa"/>
            <w:vAlign w:val="center"/>
            <w:textDirection w:val="lrTb"/>
            <w:noWrap/>
          </w:tcPr>
          <w:p>
            <w:pPr>
              <w:pStyle w:val="961"/>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手机保持24小时畅通，随叫随到，离开泰州须向驻场管理人员报备。</w:t>
            </w:r>
            <w:r/>
          </w:p>
        </w:tc>
        <w:tc>
          <w:tcPr>
            <w:tcW w:w="1521" w:type="dxa"/>
            <w:vAlign w:val="center"/>
            <w:vMerge w:val="continue"/>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r>
            <w:r/>
          </w:p>
        </w:tc>
        <w:tc>
          <w:tcPr>
            <w:tcW w:w="6208" w:type="dxa"/>
            <w:vAlign w:val="center"/>
            <w:textDirection w:val="lrTb"/>
            <w:noWrap/>
          </w:tcPr>
          <w:p>
            <w:pPr>
              <w:pStyle w:val="961"/>
              <w:jc w:val="left"/>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一次手机未接通的扣2分；接到中心指令后半小时未能到岗，一次扣10分。</w:t>
            </w:r>
            <w:r/>
          </w:p>
        </w:tc>
      </w:tr>
      <w:tr>
        <w:trPr>
          <w:trHeight w:val="665"/>
        </w:trPr>
        <w:tc>
          <w:tcPr>
            <w:tcW w:w="1111" w:type="dxa"/>
            <w:vAlign w:val="center"/>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培训学习</w:t>
            </w:r>
            <w:r/>
          </w:p>
        </w:tc>
        <w:tc>
          <w:tcPr>
            <w:tcW w:w="1324" w:type="dxa"/>
            <w:vAlign w:val="center"/>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学习 </w:t>
            </w:r>
            <w:r/>
          </w:p>
        </w:tc>
        <w:tc>
          <w:tcPr>
            <w:tcW w:w="3883" w:type="dxa"/>
            <w:vAlign w:val="center"/>
            <w:textDirection w:val="lrTb"/>
            <w:noWrap/>
          </w:tcPr>
          <w:p>
            <w:pPr>
              <w:pStyle w:val="961"/>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按要求定期参加安全会议学习及其它培训学习。</w:t>
            </w:r>
            <w:r/>
          </w:p>
        </w:tc>
        <w:tc>
          <w:tcPr>
            <w:tcW w:w="1521" w:type="dxa"/>
            <w:vAlign w:val="center"/>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r>
            <w:r/>
          </w:p>
        </w:tc>
        <w:tc>
          <w:tcPr>
            <w:tcW w:w="6208" w:type="dxa"/>
            <w:vAlign w:val="center"/>
            <w:textDirection w:val="lrTb"/>
            <w:noWrap/>
          </w:tcPr>
          <w:p>
            <w:pPr>
              <w:pStyle w:val="961"/>
              <w:jc w:val="left"/>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一次未参加的扣10分；迟到早退的一次扣5分。</w:t>
            </w:r>
            <w:r/>
          </w:p>
        </w:tc>
      </w:tr>
      <w:tr>
        <w:trPr>
          <w:cantSplit/>
          <w:trHeight w:val="676"/>
        </w:trPr>
        <w:tc>
          <w:tcPr>
            <w:tcW w:w="1111" w:type="dxa"/>
            <w:vAlign w:val="center"/>
            <w:vMerge w:val="restart"/>
            <w:textDirection w:val="lrTb"/>
            <w:noWrap/>
          </w:tcPr>
          <w:p>
            <w:pPr>
              <w:pStyle w:val="961"/>
              <w:jc w:val="center"/>
              <w:spacing w:line="280" w:lineRule="atLeast"/>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业务考核</w:t>
            </w:r>
            <w:r/>
          </w:p>
          <w:p>
            <w:pPr>
              <w:pStyle w:val="961"/>
              <w:jc w:val="center"/>
              <w:spacing w:line="280" w:lineRule="atLeast"/>
              <w:rPr>
                <w:rFonts w:hint="eastAsia" w:ascii="宋体" w:hAnsi="宋体" w:cs="宋体"/>
                <w:sz w:val="18"/>
                <w:szCs w:val="18"/>
              </w:rPr>
              <w:framePr w:hSpace="180" w:wrap="around" w:vAnchor="text" w:hAnchor="page" w:x="1372" w:y="156"/>
            </w:pPr>
            <w:r>
              <w:rPr>
                <w:rFonts w:hint="eastAsia" w:ascii="宋体" w:hAnsi="宋体" w:cs="宋体"/>
                <w:sz w:val="18"/>
                <w:szCs w:val="18"/>
              </w:rPr>
            </w:r>
            <w:r/>
          </w:p>
        </w:tc>
        <w:tc>
          <w:tcPr>
            <w:tcW w:w="1324" w:type="dxa"/>
            <w:vAlign w:val="center"/>
            <w:vMerge w:val="restart"/>
            <w:textDirection w:val="lrTb"/>
            <w:noWrap/>
          </w:tcPr>
          <w:p>
            <w:pPr>
              <w:pStyle w:val="961"/>
              <w:jc w:val="center"/>
              <w:spacing w:line="280" w:lineRule="atLeas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工作质量</w:t>
            </w:r>
            <w:r/>
          </w:p>
          <w:p>
            <w:pPr>
              <w:pStyle w:val="961"/>
              <w:jc w:val="center"/>
              <w:spacing w:line="280" w:lineRule="atLeas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r>
            <w:r/>
          </w:p>
        </w:tc>
        <w:tc>
          <w:tcPr>
            <w:tcW w:w="3883" w:type="dxa"/>
            <w:vAlign w:val="center"/>
            <w:textDirection w:val="lrTb"/>
            <w:noWrap/>
          </w:tcPr>
          <w:p>
            <w:pPr>
              <w:pStyle w:val="961"/>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随车出诊率达100%。</w:t>
            </w:r>
            <w:r/>
          </w:p>
        </w:tc>
        <w:tc>
          <w:tcPr>
            <w:tcW w:w="1521" w:type="dxa"/>
            <w:vAlign w:val="center"/>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系统数据分析查看有关视频</w:t>
            </w:r>
            <w:r/>
          </w:p>
        </w:tc>
        <w:tc>
          <w:tcPr>
            <w:tcW w:w="6208" w:type="dxa"/>
            <w:vAlign w:val="center"/>
            <w:textDirection w:val="lrTb"/>
            <w:noWrap/>
          </w:tcPr>
          <w:p>
            <w:pPr>
              <w:pStyle w:val="961"/>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未随车出诊每次扣5分，造成出车延迟等问题的，按出车延迟等规定追加扣分。</w:t>
            </w:r>
            <w:r/>
          </w:p>
        </w:tc>
      </w:tr>
      <w:tr>
        <w:trPr>
          <w:cantSplit/>
          <w:trHeight w:val="676"/>
        </w:trPr>
        <w:tc>
          <w:tcPr>
            <w:tcW w:w="1111" w:type="dxa"/>
            <w:vAlign w:val="center"/>
            <w:vMerge w:val="continue"/>
            <w:textDirection w:val="lrTb"/>
            <w:noWrap/>
          </w:tcPr>
          <w:p>
            <w:pPr>
              <w:pStyle w:val="961"/>
              <w:jc w:val="center"/>
              <w:spacing w:line="280" w:lineRule="atLeast"/>
              <w:rPr>
                <w:rFonts w:hint="eastAsia" w:ascii="宋体" w:hAnsi="宋体" w:cs="宋体"/>
                <w:sz w:val="18"/>
                <w:szCs w:val="18"/>
              </w:rPr>
              <w:framePr w:hSpace="180" w:wrap="around" w:vAnchor="text" w:hAnchor="page" w:x="1372" w:y="156"/>
            </w:pPr>
            <w:r>
              <w:rPr>
                <w:rFonts w:hint="eastAsia" w:ascii="宋体" w:hAnsi="宋体" w:cs="宋体"/>
                <w:sz w:val="18"/>
                <w:szCs w:val="18"/>
              </w:rPr>
            </w:r>
            <w:r/>
          </w:p>
        </w:tc>
        <w:tc>
          <w:tcPr>
            <w:tcW w:w="1324" w:type="dxa"/>
            <w:vAlign w:val="center"/>
            <w:vMerge w:val="continue"/>
            <w:textDirection w:val="lrTb"/>
            <w:noWrap/>
          </w:tcPr>
          <w:p>
            <w:pPr>
              <w:pStyle w:val="961"/>
              <w:jc w:val="center"/>
              <w:spacing w:line="280" w:lineRule="atLeas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r>
            <w:r/>
          </w:p>
        </w:tc>
        <w:tc>
          <w:tcPr>
            <w:tcW w:w="3883" w:type="dxa"/>
            <w:vAlign w:val="center"/>
            <w:textDirection w:val="lrTb"/>
            <w:noWrap/>
          </w:tcPr>
          <w:p>
            <w:pPr>
              <w:pStyle w:val="961"/>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接到出车指令后，2分30秒内出车，无条件服从调度指挥，有特殊情况的需及时沟通。</w:t>
            </w:r>
            <w:r/>
          </w:p>
        </w:tc>
        <w:tc>
          <w:tcPr>
            <w:tcW w:w="1521" w:type="dxa"/>
            <w:vAlign w:val="center"/>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系统数据分析</w:t>
            </w:r>
            <w:r/>
          </w:p>
        </w:tc>
        <w:tc>
          <w:tcPr>
            <w:tcW w:w="6208" w:type="dxa"/>
            <w:vAlign w:val="center"/>
            <w:textDirection w:val="lrTb"/>
            <w:noWrap/>
          </w:tcPr>
          <w:p>
            <w:pPr>
              <w:pStyle w:val="961"/>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延迟≥30秒扣2分、≥1分钟扣4分、≥1分30秒扣6分，以此类推；出车用时超5分钟的，每例加扣20分；不服从调度指挥的每次扣5分，造成急救反应时间延长的按上述延迟规定追加扣分；以各种理由拒绝调度下发的出车任务，一次扣20分并停岗学习，情节严重的予以辞退。</w:t>
            </w:r>
            <w:r/>
          </w:p>
        </w:tc>
      </w:tr>
      <w:tr>
        <w:trPr>
          <w:cantSplit/>
          <w:trHeight w:val="493"/>
        </w:trPr>
        <w:tc>
          <w:tcPr>
            <w:tcW w:w="1111" w:type="dxa"/>
            <w:vAlign w:val="center"/>
            <w:vMerge w:val="continue"/>
            <w:textDirection w:val="lrTb"/>
            <w:noWrap/>
          </w:tcPr>
          <w:p>
            <w:pPr>
              <w:pStyle w:val="961"/>
              <w:jc w:val="center"/>
              <w:spacing w:line="280" w:lineRule="atLeast"/>
              <w:rPr>
                <w:rFonts w:hint="eastAsia" w:ascii="宋体" w:hAnsi="宋体" w:cs="宋体"/>
                <w:sz w:val="18"/>
                <w:szCs w:val="18"/>
              </w:rPr>
              <w:framePr w:hSpace="180" w:wrap="around" w:vAnchor="text" w:hAnchor="page" w:x="1372" w:y="156"/>
            </w:pPr>
            <w:r>
              <w:rPr>
                <w:rFonts w:hint="eastAsia" w:ascii="宋体" w:hAnsi="宋体" w:cs="宋体"/>
                <w:sz w:val="18"/>
                <w:szCs w:val="18"/>
              </w:rPr>
            </w:r>
            <w:r/>
          </w:p>
        </w:tc>
        <w:tc>
          <w:tcPr>
            <w:tcW w:w="1324" w:type="dxa"/>
            <w:vAlign w:val="center"/>
            <w:vMerge w:val="continue"/>
            <w:textDirection w:val="lrTb"/>
            <w:noWrap/>
          </w:tcPr>
          <w:p>
            <w:pPr>
              <w:pStyle w:val="961"/>
              <w:spacing w:line="280" w:lineRule="atLeas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r>
            <w:r/>
          </w:p>
        </w:tc>
        <w:tc>
          <w:tcPr>
            <w:tcW w:w="3883" w:type="dxa"/>
            <w:vAlign w:val="center"/>
            <w:textDirection w:val="lrTb"/>
            <w:noWrap/>
          </w:tcPr>
          <w:p>
            <w:pPr>
              <w:pStyle w:val="1023"/>
              <w:spacing w:line="240" w:lineRule="auto"/>
              <w:rPr>
                <w:rFonts w:hint="eastAsia"/>
                <w:sz w:val="18"/>
                <w:szCs w:val="18"/>
                <w:lang w:val="en-US" w:eastAsia="zh-CN" w:bidi="ar-SA"/>
              </w:rPr>
              <w:framePr w:hSpace="180" w:wrap="around" w:vAnchor="text" w:hAnchor="page" w:x="1372" w:y="156"/>
            </w:pPr>
            <w:r>
              <w:rPr>
                <w:rFonts w:hint="eastAsia"/>
                <w:sz w:val="18"/>
                <w:szCs w:val="18"/>
                <w:lang w:val="en-US" w:eastAsia="zh-CN" w:bidi="ar-SA"/>
              </w:rPr>
              <w:t xml:space="preserve">接到出车指令上车后发现同班组人员未到，须在1分钟内通知未到人员出诊；有特殊情况需汇报调度中心。</w:t>
            </w:r>
            <w:r/>
          </w:p>
        </w:tc>
        <w:tc>
          <w:tcPr>
            <w:tcW w:w="1521" w:type="dxa"/>
            <w:vAlign w:val="center"/>
            <w:textDirection w:val="lrTb"/>
            <w:noWrap/>
          </w:tcPr>
          <w:p>
            <w:pPr>
              <w:pStyle w:val="1023"/>
              <w:jc w:val="center"/>
              <w:spacing w:line="240" w:lineRule="auto"/>
              <w:rPr>
                <w:rFonts w:hint="eastAsia"/>
                <w:sz w:val="18"/>
                <w:szCs w:val="18"/>
                <w:lang w:val="en-US" w:eastAsia="zh-CN" w:bidi="ar-SA"/>
              </w:rPr>
              <w:framePr w:hSpace="180" w:wrap="around" w:vAnchor="text" w:hAnchor="page" w:x="1372" w:y="156"/>
            </w:pPr>
            <w:r>
              <w:rPr>
                <w:rFonts w:hint="eastAsia"/>
                <w:sz w:val="18"/>
                <w:szCs w:val="18"/>
                <w:lang w:val="en-US" w:eastAsia="zh-CN" w:bidi="ar-SA"/>
              </w:rPr>
              <w:t xml:space="preserve">依据调查结果</w:t>
            </w:r>
            <w:r/>
          </w:p>
        </w:tc>
        <w:tc>
          <w:tcPr>
            <w:tcW w:w="6208" w:type="dxa"/>
            <w:vAlign w:val="center"/>
            <w:textDirection w:val="lrTb"/>
            <w:noWrap/>
          </w:tcPr>
          <w:p>
            <w:pPr>
              <w:pStyle w:val="1023"/>
              <w:jc w:val="left"/>
              <w:spacing w:line="240" w:lineRule="auto"/>
              <w:rPr>
                <w:rFonts w:hint="eastAsia"/>
                <w:sz w:val="18"/>
                <w:szCs w:val="18"/>
                <w:lang w:val="en-US" w:eastAsia="zh-CN" w:bidi="ar-SA"/>
              </w:rPr>
              <w:framePr w:hSpace="180" w:wrap="around" w:vAnchor="text" w:hAnchor="page" w:x="1372" w:y="156"/>
            </w:pPr>
            <w:r>
              <w:rPr>
                <w:rFonts w:hint="eastAsia"/>
                <w:sz w:val="18"/>
                <w:szCs w:val="18"/>
                <w:lang w:val="en-US" w:eastAsia="zh-CN" w:bidi="ar-SA"/>
              </w:rPr>
              <w:t xml:space="preserve">未通知或通知不及时造成延迟出车的按延迟者责任的50%扣分。</w:t>
            </w:r>
            <w:r/>
          </w:p>
        </w:tc>
      </w:tr>
      <w:tr>
        <w:trPr>
          <w:cantSplit/>
          <w:trHeight w:val="493"/>
        </w:trPr>
        <w:tc>
          <w:tcPr>
            <w:tcW w:w="1111" w:type="dxa"/>
            <w:vAlign w:val="center"/>
            <w:vMerge w:val="continue"/>
            <w:textDirection w:val="lrTb"/>
            <w:noWrap/>
          </w:tcPr>
          <w:p>
            <w:pPr>
              <w:pStyle w:val="961"/>
              <w:jc w:val="center"/>
              <w:spacing w:line="280" w:lineRule="atLeast"/>
              <w:rPr>
                <w:rFonts w:hint="eastAsia" w:ascii="宋体" w:hAnsi="宋体" w:cs="宋体"/>
                <w:sz w:val="18"/>
                <w:szCs w:val="18"/>
              </w:rPr>
              <w:framePr w:hSpace="180" w:wrap="around" w:vAnchor="text" w:hAnchor="page" w:x="1372" w:y="156"/>
            </w:pPr>
            <w:r>
              <w:rPr>
                <w:rFonts w:hint="eastAsia" w:ascii="宋体" w:hAnsi="宋体" w:cs="宋体"/>
                <w:sz w:val="18"/>
                <w:szCs w:val="18"/>
              </w:rPr>
            </w:r>
            <w:r/>
          </w:p>
        </w:tc>
        <w:tc>
          <w:tcPr>
            <w:tcW w:w="1324" w:type="dxa"/>
            <w:vAlign w:val="center"/>
            <w:vMerge w:val="continue"/>
            <w:textDirection w:val="lrTb"/>
            <w:noWrap/>
          </w:tcPr>
          <w:p>
            <w:pPr>
              <w:pStyle w:val="961"/>
              <w:spacing w:line="280" w:lineRule="atLeas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r>
            <w:r/>
          </w:p>
        </w:tc>
        <w:tc>
          <w:tcPr>
            <w:tcW w:w="3883" w:type="dxa"/>
            <w:vAlign w:val="center"/>
            <w:textDirection w:val="lrTb"/>
            <w:noWrap/>
          </w:tcPr>
          <w:p>
            <w:pPr>
              <w:pStyle w:val="961"/>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急救任务中不得接打与工作无关的电话，不得谈论或做其它与工作无关的事。</w:t>
            </w:r>
            <w:r/>
          </w:p>
        </w:tc>
        <w:tc>
          <w:tcPr>
            <w:tcW w:w="1521" w:type="dxa"/>
            <w:vAlign w:val="center"/>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抽查有关视频</w:t>
            </w:r>
            <w:r/>
          </w:p>
        </w:tc>
        <w:tc>
          <w:tcPr>
            <w:tcW w:w="6208" w:type="dxa"/>
            <w:vAlign w:val="center"/>
            <w:textDirection w:val="lrTb"/>
            <w:noWrap/>
          </w:tcPr>
          <w:p>
            <w:pPr>
              <w:pStyle w:val="961"/>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发现一次违反规定的扣5分（含辅助接打电话的人员），引起不良后果的每次扣20分，情节严重的予以辞退。</w:t>
            </w:r>
            <w:r/>
          </w:p>
        </w:tc>
      </w:tr>
      <w:tr>
        <w:trPr>
          <w:cantSplit/>
          <w:trHeight w:val="493"/>
        </w:trPr>
        <w:tc>
          <w:tcPr>
            <w:tcW w:w="1111" w:type="dxa"/>
            <w:vAlign w:val="center"/>
            <w:vMerge w:val="continue"/>
            <w:textDirection w:val="lrTb"/>
            <w:noWrap/>
          </w:tcPr>
          <w:p>
            <w:pPr>
              <w:pStyle w:val="961"/>
              <w:jc w:val="center"/>
              <w:spacing w:line="280" w:lineRule="atLeast"/>
              <w:rPr>
                <w:rFonts w:hint="eastAsia" w:ascii="宋体" w:hAnsi="宋体" w:cs="宋体"/>
                <w:sz w:val="18"/>
                <w:szCs w:val="18"/>
              </w:rPr>
              <w:framePr w:hSpace="180" w:wrap="around" w:vAnchor="text" w:hAnchor="page" w:x="1372" w:y="156"/>
            </w:pPr>
            <w:r>
              <w:rPr>
                <w:rFonts w:hint="eastAsia" w:ascii="宋体" w:hAnsi="宋体" w:cs="宋体"/>
                <w:sz w:val="18"/>
                <w:szCs w:val="18"/>
              </w:rPr>
            </w:r>
            <w:r/>
          </w:p>
        </w:tc>
        <w:tc>
          <w:tcPr>
            <w:tcW w:w="1324" w:type="dxa"/>
            <w:vAlign w:val="center"/>
            <w:vMerge w:val="continue"/>
            <w:textDirection w:val="lrTb"/>
            <w:noWrap/>
          </w:tcPr>
          <w:p>
            <w:pPr>
              <w:pStyle w:val="961"/>
              <w:spacing w:line="280" w:lineRule="atLeas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r>
            <w:r/>
          </w:p>
        </w:tc>
        <w:tc>
          <w:tcPr>
            <w:tcW w:w="3883" w:type="dxa"/>
            <w:vAlign w:val="center"/>
            <w:textDirection w:val="lrTb"/>
            <w:noWrap/>
          </w:tcPr>
          <w:p>
            <w:pPr>
              <w:pStyle w:val="961"/>
              <w:spacing w:line="280" w:lineRule="atLeas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到达现场迅速携带合适的担架到病人身边，在医护指导下积极救治患者，严禁擅自操作或评论。</w:t>
            </w:r>
            <w:r/>
          </w:p>
        </w:tc>
        <w:tc>
          <w:tcPr>
            <w:tcW w:w="1521" w:type="dxa"/>
            <w:vAlign w:val="center"/>
            <w:vMerge w:val="restart"/>
            <w:textDirection w:val="lrTb"/>
            <w:noWrap/>
          </w:tcPr>
          <w:p>
            <w:pPr>
              <w:pStyle w:val="961"/>
              <w:jc w:val="center"/>
              <w:spacing w:line="280" w:lineRule="atLeas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抽查有关视频</w:t>
            </w:r>
            <w:r/>
          </w:p>
        </w:tc>
        <w:tc>
          <w:tcPr>
            <w:tcW w:w="6208" w:type="dxa"/>
            <w:vAlign w:val="center"/>
            <w:textDirection w:val="lrTb"/>
            <w:noWrap/>
          </w:tcPr>
          <w:p>
            <w:pPr>
              <w:pStyle w:val="961"/>
              <w:jc w:val="left"/>
              <w:spacing w:line="280" w:lineRule="atLeas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未到患者身边或未携带合适担架的，一次扣2分；拒绝协助或不服从医护指导积极救治患者的，一次扣10分；未按医护指导规范操作或随意评论的一次扣5分。</w:t>
            </w:r>
            <w:r/>
          </w:p>
        </w:tc>
      </w:tr>
      <w:tr>
        <w:trPr>
          <w:cantSplit/>
          <w:trHeight w:val="405"/>
        </w:trPr>
        <w:tc>
          <w:tcPr>
            <w:tcW w:w="1111" w:type="dxa"/>
            <w:vAlign w:val="center"/>
            <w:vMerge w:val="continue"/>
            <w:textDirection w:val="lrTb"/>
            <w:noWrap/>
          </w:tcPr>
          <w:p>
            <w:pPr>
              <w:pStyle w:val="961"/>
              <w:jc w:val="center"/>
              <w:spacing w:line="280" w:lineRule="atLeast"/>
              <w:rPr>
                <w:rFonts w:hint="eastAsia" w:ascii="宋体" w:hAnsi="宋体" w:cs="宋体"/>
                <w:sz w:val="18"/>
                <w:szCs w:val="18"/>
              </w:rPr>
              <w:framePr w:hSpace="180" w:wrap="around" w:vAnchor="text" w:hAnchor="page" w:x="1372" w:y="156"/>
            </w:pPr>
            <w:r>
              <w:rPr>
                <w:rFonts w:hint="eastAsia" w:ascii="宋体" w:hAnsi="宋体" w:cs="宋体"/>
                <w:sz w:val="18"/>
                <w:szCs w:val="18"/>
              </w:rPr>
            </w:r>
            <w:r/>
          </w:p>
        </w:tc>
        <w:tc>
          <w:tcPr>
            <w:tcW w:w="1324" w:type="dxa"/>
            <w:vAlign w:val="center"/>
            <w:vMerge w:val="continue"/>
            <w:textDirection w:val="lrTb"/>
            <w:noWrap/>
          </w:tcPr>
          <w:p>
            <w:pPr>
              <w:pStyle w:val="961"/>
              <w:spacing w:line="280" w:lineRule="atLeas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r>
            <w:r/>
          </w:p>
        </w:tc>
        <w:tc>
          <w:tcPr>
            <w:tcW w:w="3883" w:type="dxa"/>
            <w:vAlign w:val="center"/>
            <w:textDirection w:val="lrTb"/>
            <w:noWrap/>
          </w:tcPr>
          <w:p>
            <w:pPr>
              <w:pStyle w:val="961"/>
              <w:spacing w:line="280" w:lineRule="atLeas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正确熟练使用各类担架。</w:t>
            </w:r>
            <w:r/>
          </w:p>
        </w:tc>
        <w:tc>
          <w:tcPr>
            <w:tcW w:w="1521" w:type="dxa"/>
            <w:vAlign w:val="center"/>
            <w:vMerge w:val="continue"/>
            <w:textDirection w:val="lrTb"/>
            <w:noWrap/>
          </w:tcPr>
          <w:p>
            <w:pPr>
              <w:pStyle w:val="961"/>
              <w:jc w:val="center"/>
              <w:spacing w:line="280" w:lineRule="atLeas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r>
            <w:r/>
          </w:p>
        </w:tc>
        <w:tc>
          <w:tcPr>
            <w:tcW w:w="6208" w:type="dxa"/>
            <w:vAlign w:val="center"/>
            <w:textDirection w:val="lrTb"/>
            <w:noWrap/>
          </w:tcPr>
          <w:p>
            <w:pPr>
              <w:pStyle w:val="961"/>
              <w:jc w:val="left"/>
              <w:spacing w:line="280" w:lineRule="atLeas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担架使用不正确或不熟练，发现一次扣5分。</w:t>
            </w:r>
            <w:r/>
          </w:p>
        </w:tc>
      </w:tr>
      <w:tr>
        <w:trPr>
          <w:cantSplit/>
          <w:trHeight w:val="1070"/>
        </w:trPr>
        <w:tc>
          <w:tcPr>
            <w:tcW w:w="1111" w:type="dxa"/>
            <w:vAlign w:val="center"/>
            <w:vMerge w:val="continue"/>
            <w:textDirection w:val="lrTb"/>
            <w:noWrap/>
          </w:tcPr>
          <w:p>
            <w:pPr>
              <w:pStyle w:val="961"/>
              <w:jc w:val="center"/>
              <w:spacing w:line="280" w:lineRule="atLeast"/>
              <w:rPr>
                <w:rFonts w:hint="eastAsia" w:ascii="宋体" w:hAnsi="宋体" w:cs="宋体"/>
                <w:sz w:val="18"/>
                <w:szCs w:val="18"/>
              </w:rPr>
              <w:framePr w:hSpace="180" w:wrap="around" w:vAnchor="text" w:hAnchor="page" w:x="1372" w:y="156"/>
            </w:pPr>
            <w:r>
              <w:rPr>
                <w:rFonts w:hint="eastAsia" w:ascii="宋体" w:hAnsi="宋体" w:cs="宋体"/>
                <w:sz w:val="18"/>
                <w:szCs w:val="18"/>
              </w:rPr>
            </w:r>
            <w:r/>
          </w:p>
        </w:tc>
        <w:tc>
          <w:tcPr>
            <w:tcW w:w="1324" w:type="dxa"/>
            <w:vAlign w:val="center"/>
            <w:vMerge w:val="continue"/>
            <w:textDirection w:val="lrTb"/>
            <w:noWrap/>
          </w:tcPr>
          <w:p>
            <w:pPr>
              <w:pStyle w:val="961"/>
              <w:spacing w:line="280" w:lineRule="atLeas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r>
            <w:r/>
          </w:p>
        </w:tc>
        <w:tc>
          <w:tcPr>
            <w:tcW w:w="3883" w:type="dxa"/>
            <w:vAlign w:val="center"/>
            <w:textDirection w:val="lrTb"/>
            <w:noWrap/>
          </w:tcPr>
          <w:p>
            <w:pPr>
              <w:pStyle w:val="1023"/>
              <w:spacing w:line="240" w:lineRule="auto"/>
              <w:rPr>
                <w:rFonts w:hint="eastAsia"/>
                <w:sz w:val="18"/>
                <w:szCs w:val="18"/>
                <w:lang w:val="en-US" w:eastAsia="zh-CN" w:bidi="ar-SA"/>
              </w:rPr>
              <w:framePr w:hSpace="180" w:wrap="around" w:vAnchor="text" w:hAnchor="page" w:x="1372" w:y="156"/>
            </w:pPr>
            <w:r>
              <w:rPr>
                <w:rFonts w:hint="eastAsia"/>
                <w:sz w:val="18"/>
                <w:szCs w:val="18"/>
                <w:lang w:val="en-US" w:eastAsia="zh-CN" w:bidi="ar-SA"/>
              </w:rPr>
              <w:t xml:space="preserve">规范替担架上患者系扣安全带及提醒其他随车人员系扣安全带。</w:t>
            </w:r>
            <w:r/>
          </w:p>
        </w:tc>
        <w:tc>
          <w:tcPr>
            <w:tcW w:w="1521" w:type="dxa"/>
            <w:vAlign w:val="center"/>
            <w:textDirection w:val="lrTb"/>
            <w:noWrap/>
          </w:tcPr>
          <w:p>
            <w:pPr>
              <w:pStyle w:val="1023"/>
              <w:ind w:left="180" w:hanging="180"/>
              <w:jc w:val="left"/>
              <w:spacing w:line="281" w:lineRule="exact"/>
              <w:rPr>
                <w:rFonts w:hint="eastAsia"/>
                <w:sz w:val="18"/>
                <w:szCs w:val="18"/>
                <w:lang w:val="en-US" w:eastAsia="zh-CN" w:bidi="ar-SA"/>
              </w:rPr>
              <w:framePr w:hSpace="180" w:wrap="around" w:vAnchor="text" w:hAnchor="page" w:x="1372" w:y="156"/>
            </w:pPr>
            <w:r>
              <w:rPr>
                <w:rFonts w:hint="eastAsia"/>
                <w:sz w:val="18"/>
                <w:szCs w:val="18"/>
                <w:lang w:val="en-US" w:eastAsia="zh-CN" w:bidi="ar-SA"/>
              </w:rPr>
              <w:t xml:space="preserve">抽查有关视频</w:t>
            </w:r>
            <w:r/>
          </w:p>
        </w:tc>
        <w:tc>
          <w:tcPr>
            <w:tcW w:w="6208" w:type="dxa"/>
            <w:vAlign w:val="center"/>
            <w:textDirection w:val="lrTb"/>
            <w:noWrap/>
          </w:tcPr>
          <w:p>
            <w:pPr>
              <w:pStyle w:val="1023"/>
              <w:jc w:val="left"/>
              <w:spacing w:line="240" w:lineRule="auto"/>
              <w:rPr>
                <w:rFonts w:hint="eastAsia"/>
                <w:sz w:val="18"/>
                <w:szCs w:val="18"/>
                <w:lang w:val="en-US" w:eastAsia="zh-CN" w:bidi="ar-SA"/>
              </w:rPr>
              <w:framePr w:hSpace="180" w:wrap="around" w:vAnchor="text" w:hAnchor="page" w:x="1372" w:y="156"/>
            </w:pPr>
            <w:r>
              <w:rPr>
                <w:rFonts w:hint="eastAsia"/>
                <w:sz w:val="18"/>
                <w:szCs w:val="18"/>
                <w:lang w:val="en-US" w:eastAsia="zh-CN" w:bidi="ar-SA"/>
              </w:rPr>
              <w:t xml:space="preserve">未替担架上患者系扣安全带的，一次扣5分；系扣不规范的，一次扣2分；未提醒其他随车人员系扣安全带，一次扣2分。</w:t>
            </w:r>
            <w:r/>
          </w:p>
        </w:tc>
      </w:tr>
      <w:tr>
        <w:trPr>
          <w:cantSplit/>
          <w:trHeight w:val="745"/>
        </w:trPr>
        <w:tc>
          <w:tcPr>
            <w:tcW w:w="1111" w:type="dxa"/>
            <w:vAlign w:val="center"/>
            <w:vMerge w:val="continue"/>
            <w:textDirection w:val="lrTb"/>
            <w:noWrap/>
          </w:tcPr>
          <w:p>
            <w:pPr>
              <w:pStyle w:val="961"/>
              <w:jc w:val="center"/>
              <w:spacing w:line="280" w:lineRule="atLeast"/>
              <w:rPr>
                <w:rFonts w:hint="eastAsia" w:ascii="宋体" w:hAnsi="宋体" w:cs="宋体"/>
                <w:sz w:val="18"/>
                <w:szCs w:val="18"/>
              </w:rPr>
              <w:framePr w:hSpace="180" w:wrap="around" w:vAnchor="text" w:hAnchor="page" w:x="1372" w:y="156"/>
            </w:pPr>
            <w:r>
              <w:rPr>
                <w:rFonts w:hint="eastAsia" w:ascii="宋体" w:hAnsi="宋体" w:cs="宋体"/>
                <w:sz w:val="18"/>
                <w:szCs w:val="18"/>
              </w:rPr>
            </w:r>
            <w:r/>
          </w:p>
        </w:tc>
        <w:tc>
          <w:tcPr>
            <w:tcW w:w="1324" w:type="dxa"/>
            <w:vAlign w:val="center"/>
            <w:vMerge w:val="continue"/>
            <w:textDirection w:val="lrTb"/>
            <w:noWrap/>
          </w:tcPr>
          <w:p>
            <w:pPr>
              <w:pStyle w:val="961"/>
              <w:spacing w:line="280" w:lineRule="atLeas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r>
            <w:r/>
          </w:p>
        </w:tc>
        <w:tc>
          <w:tcPr>
            <w:tcW w:w="3883" w:type="dxa"/>
            <w:vAlign w:val="center"/>
            <w:textDirection w:val="lrTb"/>
            <w:noWrap/>
          </w:tcPr>
          <w:p>
            <w:pPr>
              <w:pStyle w:val="961"/>
              <w:spacing w:line="280" w:lineRule="atLeas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事故与纠纷。</w:t>
            </w:r>
            <w:r/>
          </w:p>
        </w:tc>
        <w:tc>
          <w:tcPr>
            <w:tcW w:w="1521" w:type="dxa"/>
            <w:vAlign w:val="center"/>
            <w:textDirection w:val="lrTb"/>
            <w:noWrap/>
          </w:tcPr>
          <w:p>
            <w:pPr>
              <w:pStyle w:val="961"/>
              <w:jc w:val="center"/>
              <w:spacing w:line="280" w:lineRule="atLeas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依据调查结果</w:t>
            </w:r>
            <w:r/>
          </w:p>
        </w:tc>
        <w:tc>
          <w:tcPr>
            <w:tcW w:w="6208" w:type="dxa"/>
            <w:vAlign w:val="center"/>
            <w:textDirection w:val="lrTb"/>
            <w:noWrap/>
          </w:tcPr>
          <w:p>
            <w:pPr>
              <w:pStyle w:val="1023"/>
              <w:jc w:val="left"/>
              <w:spacing w:line="278" w:lineRule="exact"/>
              <w:rPr>
                <w:rFonts w:hint="eastAsia"/>
                <w:sz w:val="18"/>
                <w:szCs w:val="18"/>
                <w:lang w:val="en-US" w:eastAsia="zh-CN" w:bidi="ar-SA"/>
              </w:rPr>
              <w:framePr w:hSpace="180" w:wrap="around" w:vAnchor="text" w:hAnchor="page" w:x="1372" w:y="156"/>
            </w:pPr>
            <w:r>
              <w:rPr>
                <w:rFonts w:hint="eastAsia"/>
                <w:sz w:val="18"/>
                <w:szCs w:val="18"/>
                <w:lang w:val="en-US" w:eastAsia="zh-CN" w:bidi="ar-SA"/>
              </w:rPr>
              <w:t xml:space="preserve">搬运不当未造成不良后果，一次扣5分；发生纠纷或患者二次受伤等事故，一次扣20分并追责赔偿（1.损失500—1000元按15%处罚；2.损失1000元一7000按10%处罚；3.损失7000—10000元按7%处罚；4.损失在一万元以上的，按5%处罚）。</w:t>
            </w:r>
            <w:r/>
          </w:p>
        </w:tc>
      </w:tr>
      <w:tr>
        <w:trPr>
          <w:cantSplit/>
          <w:trHeight w:val="1100"/>
        </w:trPr>
        <w:tc>
          <w:tcPr>
            <w:tcW w:w="1111" w:type="dxa"/>
            <w:vAlign w:val="center"/>
            <w:vMerge w:val="continue"/>
            <w:textDirection w:val="lrTb"/>
            <w:noWrap/>
          </w:tcPr>
          <w:p>
            <w:pPr>
              <w:pStyle w:val="961"/>
              <w:jc w:val="center"/>
              <w:spacing w:line="280" w:lineRule="atLeast"/>
              <w:rPr>
                <w:rFonts w:hint="eastAsia" w:ascii="宋体" w:hAnsi="宋体" w:cs="宋体"/>
                <w:sz w:val="18"/>
                <w:szCs w:val="18"/>
              </w:rPr>
              <w:framePr w:hSpace="180" w:wrap="around" w:vAnchor="text" w:hAnchor="page" w:x="1372" w:y="156"/>
            </w:pPr>
            <w:r>
              <w:rPr>
                <w:rFonts w:hint="eastAsia" w:ascii="宋体" w:hAnsi="宋体" w:cs="宋体"/>
                <w:sz w:val="18"/>
                <w:szCs w:val="18"/>
              </w:rPr>
            </w:r>
            <w:r/>
          </w:p>
        </w:tc>
        <w:tc>
          <w:tcPr>
            <w:tcW w:w="1324" w:type="dxa"/>
            <w:vAlign w:val="center"/>
            <w:vMerge w:val="continue"/>
            <w:textDirection w:val="lrTb"/>
            <w:noWrap/>
          </w:tcPr>
          <w:p>
            <w:pPr>
              <w:pStyle w:val="961"/>
              <w:spacing w:line="280" w:lineRule="atLeas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r>
            <w:r/>
          </w:p>
        </w:tc>
        <w:tc>
          <w:tcPr>
            <w:tcW w:w="3883" w:type="dxa"/>
            <w:vAlign w:val="center"/>
            <w:textDirection w:val="lrTb"/>
            <w:noWrap/>
          </w:tcPr>
          <w:p>
            <w:pPr>
              <w:pStyle w:val="961"/>
              <w:spacing w:line="280" w:lineRule="atLeas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语言行为文明规范，不与他人争吵打架；注意保护患者隐私，不得泄露患者信息。</w:t>
            </w:r>
            <w:r/>
          </w:p>
        </w:tc>
        <w:tc>
          <w:tcPr>
            <w:tcW w:w="1521" w:type="dxa"/>
            <w:vAlign w:val="center"/>
            <w:textDirection w:val="lrTb"/>
            <w:noWrap/>
          </w:tcPr>
          <w:p>
            <w:pPr>
              <w:pStyle w:val="961"/>
              <w:jc w:val="center"/>
              <w:spacing w:line="280" w:lineRule="atLeas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依据调查结果</w:t>
            </w:r>
            <w:r/>
          </w:p>
        </w:tc>
        <w:tc>
          <w:tcPr>
            <w:tcW w:w="6208" w:type="dxa"/>
            <w:vAlign w:val="center"/>
            <w:textDirection w:val="lrTb"/>
            <w:noWrap/>
          </w:tcPr>
          <w:p>
            <w:pPr>
              <w:pStyle w:val="961"/>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语言行为不文明的，一次扣10分，工作期间与他人争吵斗殴的，一次扣20分并停岗学习，情节严重的予以辞退；未注意保护患者隐私或泄露患者信息的，一次扣5分，造成不良后果的，一次扣20分并停岗学习，情节严重的予以辞退。</w:t>
            </w:r>
            <w:r/>
          </w:p>
        </w:tc>
      </w:tr>
      <w:tr>
        <w:trPr>
          <w:trHeight w:val="703"/>
        </w:trPr>
        <w:tc>
          <w:tcPr>
            <w:tcW w:w="1111" w:type="dxa"/>
            <w:vAlign w:val="center"/>
            <w:textDirection w:val="lrTb"/>
            <w:noWrap/>
          </w:tcPr>
          <w:p>
            <w:pPr>
              <w:pStyle w:val="961"/>
              <w:jc w:val="center"/>
              <w:spacing w:line="280" w:lineRule="atLeast"/>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设备管理考核</w:t>
            </w:r>
            <w:r/>
          </w:p>
        </w:tc>
        <w:tc>
          <w:tcPr>
            <w:tcW w:w="1324" w:type="dxa"/>
            <w:vAlign w:val="center"/>
            <w:textDirection w:val="lrTb"/>
            <w:noWrap/>
          </w:tcPr>
          <w:p>
            <w:pPr>
              <w:pStyle w:val="961"/>
              <w:jc w:val="center"/>
              <w:spacing w:line="280" w:lineRule="atLeas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车厢、担架</w:t>
            </w:r>
            <w:r/>
          </w:p>
        </w:tc>
        <w:tc>
          <w:tcPr>
            <w:tcW w:w="3883" w:type="dxa"/>
            <w:vAlign w:val="center"/>
            <w:textDirection w:val="lrTb"/>
            <w:noWrap/>
          </w:tcPr>
          <w:p>
            <w:pPr>
              <w:pStyle w:val="961"/>
              <w:spacing w:line="280" w:lineRule="atLeas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各类担架齐全、完好；车厢地面清洁，担架清洁。</w:t>
            </w:r>
            <w:r/>
          </w:p>
        </w:tc>
        <w:tc>
          <w:tcPr>
            <w:tcW w:w="1521" w:type="dxa"/>
            <w:vAlign w:val="center"/>
            <w:textDirection w:val="lrTb"/>
            <w:noWrap/>
          </w:tcPr>
          <w:p>
            <w:pPr>
              <w:pStyle w:val="961"/>
              <w:jc w:val="center"/>
              <w:spacing w:line="280" w:lineRule="atLeas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现场抽查</w:t>
            </w:r>
            <w:r/>
          </w:p>
        </w:tc>
        <w:tc>
          <w:tcPr>
            <w:tcW w:w="6208" w:type="dxa"/>
            <w:vAlign w:val="center"/>
            <w:textDirection w:val="lrTb"/>
            <w:noWrap/>
          </w:tcPr>
          <w:p>
            <w:pPr>
              <w:pStyle w:val="961"/>
              <w:jc w:val="left"/>
              <w:spacing w:line="280" w:lineRule="atLeas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担架不全的，发现一次扣5分；发现担架有问题未及时报修，一次扣5分；车厢地面或担架不清洁的，发现一次扣2分。</w:t>
            </w:r>
            <w:r/>
          </w:p>
        </w:tc>
      </w:tr>
      <w:tr>
        <w:trPr>
          <w:cantSplit/>
          <w:trHeight w:val="393"/>
        </w:trPr>
        <w:tc>
          <w:tcPr>
            <w:tcW w:w="1111" w:type="dxa"/>
            <w:vAlign w:val="center"/>
            <w:vMerge w:val="restart"/>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评价考核</w:t>
            </w:r>
            <w:r/>
          </w:p>
        </w:tc>
        <w:tc>
          <w:tcPr>
            <w:tcW w:w="1324" w:type="dxa"/>
            <w:vAlign w:val="center"/>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上级部门检查考核 </w:t>
            </w:r>
            <w:r/>
          </w:p>
        </w:tc>
        <w:tc>
          <w:tcPr>
            <w:tcW w:w="3883" w:type="dxa"/>
            <w:vAlign w:val="center"/>
            <w:textDirection w:val="lrTb"/>
            <w:noWrap/>
          </w:tcPr>
          <w:p>
            <w:pPr>
              <w:pStyle w:val="961"/>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上级有关部门的检查考核达优秀。</w:t>
            </w:r>
            <w:r/>
          </w:p>
        </w:tc>
        <w:tc>
          <w:tcPr>
            <w:tcW w:w="1521" w:type="dxa"/>
            <w:vAlign w:val="center"/>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资料核查</w:t>
            </w:r>
            <w:r/>
          </w:p>
        </w:tc>
        <w:tc>
          <w:tcPr>
            <w:tcW w:w="6208" w:type="dxa"/>
            <w:vAlign w:val="center"/>
            <w:textDirection w:val="lrTb"/>
            <w:noWrap/>
          </w:tcPr>
          <w:p>
            <w:pPr>
              <w:pStyle w:val="961"/>
              <w:jc w:val="left"/>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考核结果为优秀的得10分、为不合格（差）的扣10分。</w:t>
            </w:r>
            <w:r/>
          </w:p>
        </w:tc>
      </w:tr>
      <w:tr>
        <w:trPr>
          <w:cantSplit/>
          <w:trHeight w:val="368"/>
        </w:trPr>
        <w:tc>
          <w:tcPr>
            <w:tcW w:w="1111" w:type="dxa"/>
            <w:vAlign w:val="center"/>
            <w:vMerge w:val="continue"/>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r>
            <w:r/>
          </w:p>
        </w:tc>
        <w:tc>
          <w:tcPr>
            <w:tcW w:w="1324" w:type="dxa"/>
            <w:vAlign w:val="center"/>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满意度调查反馈</w:t>
            </w:r>
            <w:r/>
          </w:p>
        </w:tc>
        <w:tc>
          <w:tcPr>
            <w:tcW w:w="3883" w:type="dxa"/>
            <w:vAlign w:val="center"/>
            <w:textDirection w:val="lrTb"/>
            <w:noWrap/>
          </w:tcPr>
          <w:p>
            <w:pPr>
              <w:pStyle w:val="961"/>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满意度调查、调度系统回访、第三方调查等满意率100%。</w:t>
            </w:r>
            <w:r/>
          </w:p>
        </w:tc>
        <w:tc>
          <w:tcPr>
            <w:tcW w:w="1521" w:type="dxa"/>
            <w:vAlign w:val="center"/>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依据调查结果及媒体报道</w:t>
            </w:r>
            <w:r/>
          </w:p>
        </w:tc>
        <w:tc>
          <w:tcPr>
            <w:tcW w:w="6208" w:type="dxa"/>
            <w:vAlign w:val="center"/>
            <w:textDirection w:val="lrTb"/>
            <w:noWrap/>
          </w:tcPr>
          <w:p>
            <w:pPr>
              <w:pStyle w:val="961"/>
              <w:jc w:val="left"/>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一例群众不满意或投诉的扣2分，经查实有责的加扣10分，每月3次以上投诉的加扣20分并停岗学习；被媒体、效能办等公开曝光的，一次扣20分并停岗学习，情节严重的予以辞退。</w:t>
            </w:r>
            <w:r/>
          </w:p>
        </w:tc>
      </w:tr>
      <w:tr>
        <w:trPr>
          <w:trHeight w:val="924"/>
        </w:trPr>
        <w:tc>
          <w:tcPr>
            <w:gridSpan w:val="2"/>
            <w:tcW w:w="2435" w:type="dxa"/>
            <w:vAlign w:val="center"/>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其它</w:t>
            </w:r>
            <w:r/>
          </w:p>
        </w:tc>
        <w:tc>
          <w:tcPr>
            <w:tcW w:w="3883" w:type="dxa"/>
            <w:vAlign w:val="center"/>
            <w:textDirection w:val="lrTb"/>
            <w:noWrap/>
          </w:tcPr>
          <w:p>
            <w:pPr>
              <w:pStyle w:val="961"/>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遵守相关法律法规，严格按规范执行市急救中心其它相关通知或文件要求。</w:t>
            </w:r>
            <w:r/>
          </w:p>
        </w:tc>
        <w:tc>
          <w:tcPr>
            <w:tcW w:w="1521" w:type="dxa"/>
            <w:vAlign w:val="center"/>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依据调查结果</w:t>
            </w:r>
            <w:r/>
          </w:p>
        </w:tc>
        <w:tc>
          <w:tcPr>
            <w:tcW w:w="6208" w:type="dxa"/>
            <w:vAlign w:val="center"/>
            <w:textDirection w:val="lrTb"/>
            <w:noWrap/>
          </w:tcPr>
          <w:p>
            <w:pPr>
              <w:pStyle w:val="961"/>
              <w:jc w:val="left"/>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相关通知或文件有明确奖惩规定的，按相关规定执行；无明确奖惩规定的，一次未按规范执行扣2分，造成不良后果的，据情节轻重给予处罚；违反相关法律法规的，一次扣20分，造成不良后果的，据情节轻重给予相应处罚。</w:t>
            </w:r>
            <w:r/>
          </w:p>
        </w:tc>
      </w:tr>
      <w:tr>
        <w:trPr>
          <w:trHeight w:val="770"/>
        </w:trPr>
        <w:tc>
          <w:tcPr>
            <w:gridSpan w:val="2"/>
            <w:tcW w:w="2435" w:type="dxa"/>
            <w:vAlign w:val="center"/>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激励项目</w:t>
            </w:r>
            <w:r/>
          </w:p>
        </w:tc>
        <w:tc>
          <w:tcPr>
            <w:tcW w:w="3883" w:type="dxa"/>
            <w:vAlign w:val="center"/>
            <w:textDirection w:val="lrTb"/>
            <w:noWrap/>
          </w:tcPr>
          <w:p>
            <w:pPr>
              <w:pStyle w:val="961"/>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急救人员应熟练掌握必备技能，在医护指导下积极参与救治患者。</w:t>
            </w:r>
            <w:r/>
          </w:p>
        </w:tc>
        <w:tc>
          <w:tcPr>
            <w:tcW w:w="1521" w:type="dxa"/>
            <w:vAlign w:val="center"/>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r>
            <w:r/>
          </w:p>
          <w:p>
            <w:pPr>
              <w:pStyle w:val="961"/>
              <w:jc w:val="center"/>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个人主动申报</w:t>
            </w:r>
            <w:r/>
          </w:p>
          <w:p>
            <w:pPr>
              <w:pStyle w:val="961"/>
              <w:jc w:val="center"/>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r>
            <w:r/>
          </w:p>
        </w:tc>
        <w:tc>
          <w:tcPr>
            <w:tcW w:w="6208" w:type="dxa"/>
            <w:vAlign w:val="center"/>
            <w:textDirection w:val="lrTb"/>
            <w:noWrap/>
          </w:tcPr>
          <w:p>
            <w:pPr>
              <w:pStyle w:val="961"/>
              <w:jc w:val="left"/>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参与院前心搏骤停患者现场充分复苏，每例加5分，复苏成功每例加10分，脑复苏成功每例加20分。</w:t>
            </w:r>
            <w:r/>
          </w:p>
        </w:tc>
      </w:tr>
      <w:tr>
        <w:trPr>
          <w:cantSplit/>
          <w:trHeight w:val="624"/>
        </w:trPr>
        <w:tc>
          <w:tcPr>
            <w:gridSpan w:val="2"/>
            <w:tcW w:w="2435" w:type="dxa"/>
            <w:vAlign w:val="center"/>
            <w:vMerge w:val="restart"/>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加分项目</w:t>
            </w:r>
            <w:r/>
          </w:p>
        </w:tc>
        <w:tc>
          <w:tcPr>
            <w:tcW w:w="3883" w:type="dxa"/>
            <w:vAlign w:val="center"/>
            <w:textDirection w:val="lrTb"/>
            <w:noWrap/>
          </w:tcPr>
          <w:p>
            <w:pPr>
              <w:pStyle w:val="961"/>
              <w:jc w:val="left"/>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优质的服务得到群众认可。</w:t>
            </w:r>
            <w:r/>
          </w:p>
        </w:tc>
        <w:tc>
          <w:tcPr>
            <w:tcW w:w="1521" w:type="dxa"/>
            <w:vAlign w:val="center"/>
            <w:textDirection w:val="lrTb"/>
            <w:noWrap/>
          </w:tcPr>
          <w:p>
            <w:pPr>
              <w:pStyle w:val="961"/>
              <w:jc w:val="left"/>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个人主动申报</w:t>
            </w:r>
            <w:r/>
          </w:p>
        </w:tc>
        <w:tc>
          <w:tcPr>
            <w:tcW w:w="6208" w:type="dxa"/>
            <w:vAlign w:val="center"/>
            <w:textDirection w:val="lrTb"/>
            <w:noWrap/>
          </w:tcPr>
          <w:p>
            <w:pPr>
              <w:pStyle w:val="961"/>
              <w:jc w:val="left"/>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受到群众来电感谢、收到群众感谢信或赠送锦旗等，一次加10分。</w:t>
            </w:r>
            <w:r/>
          </w:p>
        </w:tc>
      </w:tr>
      <w:tr>
        <w:trPr>
          <w:cantSplit/>
          <w:trHeight w:val="924"/>
        </w:trPr>
        <w:tc>
          <w:tcPr>
            <w:gridSpan w:val="2"/>
            <w:tcW w:w="2435" w:type="dxa"/>
            <w:vAlign w:val="center"/>
            <w:vMerge w:val="continue"/>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r>
            <w:r/>
          </w:p>
        </w:tc>
        <w:tc>
          <w:tcPr>
            <w:tcW w:w="3883" w:type="dxa"/>
            <w:vAlign w:val="center"/>
            <w:textDirection w:val="lrTb"/>
            <w:noWrap/>
          </w:tcPr>
          <w:p>
            <w:pPr>
              <w:pStyle w:val="961"/>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参与重大事件抢救或重大活动保障、县级以上人民政府的表彰和奖励等。</w:t>
            </w:r>
            <w:r/>
          </w:p>
        </w:tc>
        <w:tc>
          <w:tcPr>
            <w:tcW w:w="1521" w:type="dxa"/>
            <w:vAlign w:val="center"/>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资料核查</w:t>
            </w:r>
            <w:r/>
          </w:p>
        </w:tc>
        <w:tc>
          <w:tcPr>
            <w:tcW w:w="6208" w:type="dxa"/>
            <w:vAlign w:val="center"/>
            <w:textDirection w:val="lrTb"/>
            <w:noWrap/>
          </w:tcPr>
          <w:p>
            <w:pPr>
              <w:pStyle w:val="961"/>
              <w:jc w:val="left"/>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受到区、市、省、国家表彰的分别加5、10、15、20分，同一表彰按最高级别加分，不重复加分。</w:t>
            </w:r>
            <w:r/>
          </w:p>
        </w:tc>
      </w:tr>
    </w:tbl>
    <w:p>
      <w:pPr>
        <w:pStyle w:val="1010"/>
        <w:rPr>
          <w:rFonts w:hint="eastAsia" w:ascii="宋体" w:hAnsi="宋体" w:eastAsia="宋体" w:cs="宋体"/>
          <w:color w:val="000000"/>
          <w:sz w:val="18"/>
          <w:szCs w:val="18"/>
        </w:rPr>
      </w:pPr>
      <w:r>
        <w:rPr>
          <w:rFonts w:hint="eastAsia" w:ascii="宋体" w:hAnsi="宋体" w:eastAsia="宋体" w:cs="宋体"/>
          <w:color w:val="000000"/>
          <w:sz w:val="18"/>
          <w:szCs w:val="18"/>
        </w:rPr>
      </w:r>
      <w:r/>
    </w:p>
    <w:p>
      <w:pPr>
        <w:pStyle w:val="1010"/>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注：1.考核实行月度百分制。2.停岗期间仅发放基本工资。</w:t>
      </w:r>
      <w:r/>
    </w:p>
    <w:p>
      <w:pPr>
        <w:pStyle w:val="1010"/>
        <w:jc w:val="both"/>
        <w:rPr>
          <w:rFonts w:hint="eastAsia" w:ascii="宋体" w:hAnsi="宋体" w:eastAsia="宋体" w:cs="宋体"/>
          <w:b/>
          <w:bCs/>
          <w:color w:val="000000"/>
        </w:rPr>
      </w:pPr>
      <w:r>
        <w:rPr>
          <w:rFonts w:hint="eastAsia" w:ascii="宋体" w:hAnsi="宋体" w:eastAsia="宋体" w:cs="宋体"/>
          <w:b/>
          <w:bCs/>
          <w:color w:val="000000"/>
        </w:rPr>
      </w:r>
      <w:r/>
    </w:p>
    <w:p>
      <w:pPr>
        <w:pStyle w:val="1010"/>
        <w:jc w:val="both"/>
        <w:rPr>
          <w:rFonts w:hint="eastAsia" w:ascii="宋体" w:hAnsi="宋体" w:eastAsia="宋体" w:cs="宋体"/>
          <w:b/>
          <w:bCs/>
          <w:color w:val="000000"/>
        </w:rPr>
      </w:pPr>
      <w:r>
        <w:rPr>
          <w:rFonts w:hint="eastAsia" w:ascii="宋体" w:hAnsi="宋体" w:eastAsia="宋体" w:cs="宋体"/>
          <w:b/>
          <w:bCs/>
          <w:color w:val="000000"/>
        </w:rPr>
      </w:r>
      <w:r/>
    </w:p>
    <w:p>
      <w:pPr>
        <w:pStyle w:val="1010"/>
        <w:jc w:val="both"/>
        <w:rPr>
          <w:rFonts w:hint="eastAsia" w:ascii="宋体" w:hAnsi="宋体" w:eastAsia="宋体" w:cs="宋体"/>
          <w:b/>
          <w:bCs/>
          <w:color w:val="000000"/>
        </w:rPr>
      </w:pPr>
      <w:r>
        <w:rPr>
          <w:rFonts w:hint="eastAsia" w:ascii="宋体" w:hAnsi="宋体" w:eastAsia="宋体" w:cs="宋体"/>
          <w:b/>
          <w:bCs/>
          <w:color w:val="000000"/>
        </w:rPr>
      </w:r>
      <w:r/>
    </w:p>
    <w:p>
      <w:pPr>
        <w:pStyle w:val="1010"/>
        <w:jc w:val="both"/>
        <w:rPr>
          <w:rFonts w:hint="eastAsia" w:ascii="宋体" w:hAnsi="宋体" w:eastAsia="宋体" w:cs="宋体"/>
          <w:b/>
          <w:bCs/>
          <w:color w:val="000000"/>
        </w:rPr>
      </w:pPr>
      <w:r>
        <w:rPr>
          <w:rFonts w:hint="eastAsia" w:ascii="宋体" w:hAnsi="宋体" w:eastAsia="宋体" w:cs="宋体"/>
          <w:b/>
          <w:bCs/>
          <w:color w:val="000000"/>
        </w:rPr>
      </w:r>
      <w:r/>
    </w:p>
    <w:p>
      <w:pPr>
        <w:pStyle w:val="1010"/>
        <w:jc w:val="both"/>
        <w:rPr>
          <w:rFonts w:hint="eastAsia" w:ascii="宋体" w:hAnsi="宋体" w:eastAsia="宋体" w:cs="宋体"/>
          <w:b/>
          <w:bCs/>
          <w:color w:val="000000"/>
        </w:rPr>
      </w:pPr>
      <w:r>
        <w:rPr>
          <w:rFonts w:hint="eastAsia" w:ascii="宋体" w:hAnsi="宋体" w:eastAsia="宋体" w:cs="宋体"/>
          <w:b/>
          <w:bCs/>
          <w:color w:val="000000"/>
        </w:rPr>
      </w:r>
      <w:r/>
    </w:p>
    <w:p>
      <w:pPr>
        <w:pStyle w:val="1010"/>
        <w:jc w:val="both"/>
        <w:rPr>
          <w:rFonts w:hint="eastAsia" w:ascii="宋体" w:hAnsi="宋体" w:eastAsia="宋体" w:cs="宋体"/>
          <w:b/>
          <w:bCs/>
          <w:color w:val="000000"/>
        </w:rPr>
      </w:pPr>
      <w:r>
        <w:rPr>
          <w:rFonts w:hint="eastAsia" w:ascii="宋体" w:hAnsi="宋体" w:eastAsia="宋体" w:cs="宋体"/>
          <w:b/>
          <w:bCs/>
          <w:color w:val="000000"/>
        </w:rPr>
      </w:r>
      <w:r/>
    </w:p>
    <w:p>
      <w:pPr>
        <w:pStyle w:val="1010"/>
        <w:jc w:val="both"/>
        <w:rPr>
          <w:rFonts w:hint="eastAsia" w:ascii="宋体" w:hAnsi="宋体" w:eastAsia="宋体" w:cs="宋体"/>
          <w:b/>
          <w:bCs/>
          <w:color w:val="000000"/>
        </w:rPr>
      </w:pPr>
      <w:r>
        <w:rPr>
          <w:rFonts w:hint="eastAsia" w:ascii="宋体" w:hAnsi="宋体" w:eastAsia="宋体" w:cs="宋体"/>
          <w:b/>
          <w:bCs/>
          <w:color w:val="000000"/>
        </w:rPr>
      </w:r>
      <w:r/>
    </w:p>
    <w:p>
      <w:pPr>
        <w:pStyle w:val="1010"/>
        <w:jc w:val="both"/>
        <w:rPr>
          <w:rFonts w:hint="eastAsia" w:ascii="宋体" w:hAnsi="宋体" w:eastAsia="宋体" w:cs="宋体"/>
          <w:b/>
          <w:bCs/>
          <w:color w:val="000000"/>
        </w:rPr>
      </w:pPr>
      <w:r>
        <w:rPr>
          <w:rFonts w:hint="eastAsia" w:ascii="宋体" w:hAnsi="宋体" w:eastAsia="宋体" w:cs="宋体"/>
          <w:b/>
          <w:bCs/>
          <w:color w:val="000000"/>
        </w:rPr>
      </w:r>
      <w:r/>
    </w:p>
    <w:p>
      <w:pPr>
        <w:pStyle w:val="1010"/>
        <w:jc w:val="both"/>
        <w:rPr>
          <w:rFonts w:hint="eastAsia" w:ascii="宋体" w:hAnsi="宋体" w:eastAsia="宋体" w:cs="宋体"/>
          <w:b/>
          <w:bCs/>
          <w:color w:val="000000"/>
        </w:rPr>
      </w:pPr>
      <w:r>
        <w:rPr>
          <w:rFonts w:hint="eastAsia" w:ascii="宋体" w:hAnsi="宋体" w:eastAsia="宋体" w:cs="宋体"/>
          <w:b/>
          <w:bCs/>
          <w:color w:val="000000"/>
        </w:rPr>
      </w:r>
      <w:r/>
    </w:p>
    <w:p>
      <w:pPr>
        <w:pStyle w:val="1010"/>
        <w:jc w:val="both"/>
        <w:rPr>
          <w:rFonts w:hint="eastAsia" w:ascii="宋体" w:hAnsi="宋体" w:eastAsia="宋体" w:cs="宋体"/>
          <w:b/>
          <w:bCs/>
          <w:color w:val="000000"/>
        </w:rPr>
      </w:pPr>
      <w:r>
        <w:rPr>
          <w:rFonts w:hint="eastAsia" w:ascii="宋体" w:hAnsi="宋体" w:eastAsia="宋体" w:cs="宋体"/>
          <w:b/>
          <w:bCs/>
          <w:color w:val="000000"/>
        </w:rPr>
      </w:r>
      <w:r/>
    </w:p>
    <w:p>
      <w:pPr>
        <w:pStyle w:val="1010"/>
        <w:jc w:val="both"/>
        <w:rPr>
          <w:rFonts w:hint="eastAsia" w:ascii="宋体" w:hAnsi="宋体" w:eastAsia="宋体" w:cs="宋体"/>
          <w:b/>
          <w:bCs/>
          <w:color w:val="000000"/>
        </w:rPr>
      </w:pPr>
      <w:r>
        <w:rPr>
          <w:rFonts w:hint="eastAsia" w:ascii="宋体" w:hAnsi="宋体" w:eastAsia="宋体" w:cs="宋体"/>
          <w:b/>
          <w:bCs/>
          <w:color w:val="000000"/>
        </w:rPr>
      </w:r>
      <w:r/>
    </w:p>
    <w:p>
      <w:pPr>
        <w:pStyle w:val="1010"/>
        <w:jc w:val="both"/>
        <w:rPr>
          <w:rFonts w:hint="eastAsia" w:ascii="宋体" w:hAnsi="宋体" w:eastAsia="宋体" w:cs="宋体"/>
          <w:b/>
          <w:bCs/>
          <w:color w:val="000000"/>
        </w:rPr>
      </w:pPr>
      <w:r>
        <w:rPr>
          <w:rFonts w:hint="eastAsia" w:ascii="宋体" w:hAnsi="宋体" w:eastAsia="宋体" w:cs="宋体"/>
          <w:b/>
          <w:bCs/>
          <w:color w:val="000000"/>
        </w:rPr>
      </w:r>
      <w:r/>
    </w:p>
    <w:p>
      <w:pPr>
        <w:pStyle w:val="1010"/>
        <w:jc w:val="both"/>
        <w:rPr>
          <w:rFonts w:hint="eastAsia" w:ascii="宋体" w:hAnsi="宋体" w:eastAsia="宋体" w:cs="宋体"/>
          <w:b/>
          <w:bCs/>
          <w:color w:val="000000"/>
        </w:rPr>
      </w:pPr>
      <w:r>
        <w:rPr>
          <w:rFonts w:hint="eastAsia" w:ascii="宋体" w:hAnsi="宋体" w:eastAsia="宋体" w:cs="宋体"/>
          <w:b/>
          <w:bCs/>
          <w:color w:val="000000"/>
        </w:rPr>
        <w:t xml:space="preserve">附件二</w:t>
      </w:r>
      <w:r/>
    </w:p>
    <w:p>
      <w:pPr>
        <w:pStyle w:val="961"/>
        <w:jc w:val="center"/>
        <w:rPr>
          <w:rFonts w:hint="eastAsia" w:ascii="宋体" w:hAnsi="宋体" w:cs="宋体"/>
          <w:b/>
          <w:bCs/>
          <w:sz w:val="28"/>
          <w:szCs w:val="28"/>
        </w:rPr>
      </w:pPr>
      <w:r>
        <w:rPr>
          <w:rFonts w:hint="eastAsia" w:ascii="宋体" w:hAnsi="宋体" w:cs="宋体"/>
          <w:b/>
          <w:bCs/>
          <w:sz w:val="28"/>
          <w:szCs w:val="28"/>
        </w:rPr>
        <w:t xml:space="preserve">中标单位考核细则</w:t>
      </w:r>
      <w:r/>
    </w:p>
    <w:tbl>
      <w:tblPr>
        <w:tblW w:w="1415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9"/>
        <w:gridCol w:w="3150"/>
        <w:gridCol w:w="818"/>
        <w:gridCol w:w="6887"/>
        <w:gridCol w:w="991"/>
        <w:gridCol w:w="1118"/>
      </w:tblGrid>
      <w:tr>
        <w:trPr/>
        <w:tc>
          <w:tcPr>
            <w:tcW w:w="1189" w:type="dxa"/>
            <w:vAlign w:val="center"/>
            <w:textDirection w:val="lrTb"/>
            <w:noWrap w:val="false"/>
          </w:tcPr>
          <w:p>
            <w:pPr>
              <w:pStyle w:val="961"/>
              <w:rPr>
                <w:rFonts w:hint="eastAsia" w:ascii="宋体" w:hAnsi="宋体" w:cs="宋体"/>
                <w:b/>
                <w:bCs/>
                <w:szCs w:val="21"/>
              </w:rPr>
            </w:pPr>
            <w:r>
              <w:rPr>
                <w:rFonts w:hint="eastAsia" w:ascii="宋体" w:hAnsi="宋体" w:cs="宋体"/>
                <w:b/>
                <w:bCs/>
                <w:szCs w:val="21"/>
              </w:rPr>
              <w:t xml:space="preserve">考核项目</w:t>
            </w:r>
            <w:r/>
          </w:p>
        </w:tc>
        <w:tc>
          <w:tcPr>
            <w:tcW w:w="3150" w:type="dxa"/>
            <w:vAlign w:val="center"/>
            <w:textDirection w:val="lrTb"/>
            <w:noWrap w:val="false"/>
          </w:tcPr>
          <w:p>
            <w:pPr>
              <w:pStyle w:val="961"/>
              <w:ind w:firstLine="645"/>
              <w:jc w:val="center"/>
              <w:rPr>
                <w:rFonts w:hint="eastAsia" w:ascii="宋体" w:hAnsi="宋体" w:cs="宋体"/>
                <w:b/>
                <w:bCs/>
                <w:szCs w:val="21"/>
              </w:rPr>
            </w:pPr>
            <w:r>
              <w:rPr>
                <w:rFonts w:hint="eastAsia" w:ascii="宋体" w:hAnsi="宋体" w:cs="宋体"/>
                <w:b/>
                <w:bCs/>
                <w:szCs w:val="21"/>
              </w:rPr>
              <w:t xml:space="preserve">考核内容</w:t>
            </w:r>
            <w:r/>
          </w:p>
        </w:tc>
        <w:tc>
          <w:tcPr>
            <w:tcW w:w="818" w:type="dxa"/>
            <w:vAlign w:val="center"/>
            <w:textDirection w:val="lrTb"/>
            <w:noWrap w:val="false"/>
          </w:tcPr>
          <w:p>
            <w:pPr>
              <w:pStyle w:val="961"/>
              <w:rPr>
                <w:rFonts w:hint="eastAsia" w:ascii="宋体" w:hAnsi="宋体" w:cs="宋体"/>
                <w:b/>
                <w:bCs/>
                <w:szCs w:val="21"/>
              </w:rPr>
            </w:pPr>
            <w:r>
              <w:rPr>
                <w:rFonts w:hint="eastAsia" w:ascii="宋体" w:hAnsi="宋体" w:cs="宋体"/>
                <w:b/>
                <w:bCs/>
                <w:szCs w:val="21"/>
              </w:rPr>
              <w:t xml:space="preserve">分值</w:t>
            </w:r>
            <w:r/>
          </w:p>
        </w:tc>
        <w:tc>
          <w:tcPr>
            <w:tcW w:w="6887" w:type="dxa"/>
            <w:vAlign w:val="center"/>
            <w:textDirection w:val="lrTb"/>
            <w:noWrap w:val="false"/>
          </w:tcPr>
          <w:p>
            <w:pPr>
              <w:pStyle w:val="961"/>
              <w:ind w:firstLine="645"/>
              <w:jc w:val="center"/>
              <w:rPr>
                <w:rFonts w:hint="eastAsia" w:ascii="宋体" w:hAnsi="宋体" w:cs="宋体"/>
                <w:b/>
                <w:bCs/>
                <w:szCs w:val="21"/>
              </w:rPr>
            </w:pPr>
            <w:r>
              <w:rPr>
                <w:rFonts w:hint="eastAsia" w:ascii="宋体" w:hAnsi="宋体" w:cs="宋体"/>
                <w:b/>
                <w:bCs/>
                <w:szCs w:val="21"/>
              </w:rPr>
              <w:t xml:space="preserve">考核评分办法</w:t>
            </w:r>
            <w:r/>
          </w:p>
        </w:tc>
        <w:tc>
          <w:tcPr>
            <w:tcW w:w="991" w:type="dxa"/>
            <w:vAlign w:val="center"/>
            <w:textDirection w:val="lrTb"/>
            <w:noWrap w:val="false"/>
          </w:tcPr>
          <w:p>
            <w:pPr>
              <w:pStyle w:val="961"/>
              <w:jc w:val="center"/>
              <w:rPr>
                <w:rFonts w:hint="eastAsia" w:ascii="宋体" w:hAnsi="宋体" w:cs="宋体"/>
                <w:b/>
                <w:bCs/>
                <w:szCs w:val="21"/>
              </w:rPr>
            </w:pPr>
            <w:r>
              <w:rPr>
                <w:rFonts w:hint="eastAsia" w:ascii="宋体" w:hAnsi="宋体" w:cs="宋体"/>
                <w:b/>
                <w:bCs/>
                <w:szCs w:val="21"/>
              </w:rPr>
              <w:t xml:space="preserve">得分</w:t>
            </w:r>
            <w:r/>
          </w:p>
        </w:tc>
        <w:tc>
          <w:tcPr>
            <w:tcW w:w="1118" w:type="dxa"/>
            <w:vAlign w:val="center"/>
            <w:textDirection w:val="lrTb"/>
            <w:noWrap w:val="false"/>
          </w:tcPr>
          <w:p>
            <w:pPr>
              <w:pStyle w:val="961"/>
              <w:jc w:val="center"/>
              <w:rPr>
                <w:rFonts w:hint="eastAsia" w:ascii="宋体" w:hAnsi="宋体" w:cs="宋体"/>
                <w:b/>
                <w:bCs/>
                <w:szCs w:val="21"/>
              </w:rPr>
            </w:pPr>
            <w:r>
              <w:rPr>
                <w:rFonts w:hint="eastAsia" w:ascii="宋体" w:hAnsi="宋体" w:cs="宋体"/>
                <w:b/>
                <w:bCs/>
                <w:szCs w:val="21"/>
              </w:rPr>
              <w:t xml:space="preserve">备注</w:t>
            </w:r>
            <w:r/>
          </w:p>
        </w:tc>
      </w:tr>
      <w:tr>
        <w:trPr/>
        <w:tc>
          <w:tcPr>
            <w:tcW w:w="1189" w:type="dxa"/>
            <w:vAlign w:val="center"/>
            <w:textDirection w:val="lrTb"/>
            <w:noWrap w:val="false"/>
          </w:tcPr>
          <w:p>
            <w:pPr>
              <w:pStyle w:val="961"/>
              <w:rPr>
                <w:rFonts w:hint="eastAsia" w:ascii="宋体" w:hAnsi="宋体" w:cs="宋体"/>
                <w:sz w:val="18"/>
                <w:szCs w:val="18"/>
              </w:rPr>
            </w:pPr>
            <w:r>
              <w:rPr>
                <w:rFonts w:hint="eastAsia" w:ascii="宋体" w:hAnsi="宋体" w:cs="宋体"/>
                <w:sz w:val="18"/>
                <w:szCs w:val="18"/>
              </w:rPr>
              <w:t xml:space="preserve">人员配置及人员替补</w:t>
            </w:r>
            <w:r/>
          </w:p>
        </w:tc>
        <w:tc>
          <w:tcPr>
            <w:tcW w:w="3150" w:type="dxa"/>
            <w:vAlign w:val="center"/>
            <w:textDirection w:val="lrTb"/>
            <w:noWrap w:val="false"/>
          </w:tcPr>
          <w:p>
            <w:pPr>
              <w:pStyle w:val="961"/>
              <w:numPr>
                <w:ilvl w:val="0"/>
                <w:numId w:val="3"/>
              </w:numPr>
              <w:rPr>
                <w:rFonts w:hint="eastAsia" w:ascii="宋体" w:hAnsi="宋体" w:cs="宋体"/>
                <w:sz w:val="18"/>
                <w:szCs w:val="18"/>
              </w:rPr>
            </w:pPr>
            <w:r>
              <w:rPr>
                <w:rFonts w:hint="eastAsia" w:ascii="宋体" w:hAnsi="宋体" w:cs="宋体"/>
                <w:sz w:val="18"/>
                <w:szCs w:val="18"/>
              </w:rPr>
              <w:t xml:space="preserve">相应岗位人员配置到位，院前急救正常运作；</w:t>
            </w:r>
            <w:r/>
          </w:p>
          <w:p>
            <w:pPr>
              <w:pStyle w:val="961"/>
              <w:rPr>
                <w:rFonts w:hint="eastAsia" w:ascii="宋体" w:hAnsi="宋体" w:cs="宋体"/>
                <w:sz w:val="18"/>
                <w:szCs w:val="18"/>
              </w:rPr>
            </w:pPr>
            <w:r>
              <w:rPr>
                <w:rFonts w:hint="eastAsia" w:ascii="宋体" w:hAnsi="宋体" w:cs="宋体"/>
                <w:sz w:val="18"/>
                <w:szCs w:val="18"/>
              </w:rPr>
              <w:t xml:space="preserve">2、人员不符合岗位要求、长期请假等有完善的替补方案及措施，替补及时。</w:t>
            </w:r>
            <w:r/>
          </w:p>
        </w:tc>
        <w:tc>
          <w:tcPr>
            <w:tcW w:w="818" w:type="dxa"/>
            <w:vAlign w:val="center"/>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t xml:space="preserve">20</w:t>
            </w:r>
            <w:r/>
          </w:p>
        </w:tc>
        <w:tc>
          <w:tcPr>
            <w:tcW w:w="6887" w:type="dxa"/>
            <w:vAlign w:val="center"/>
            <w:textDirection w:val="lrTb"/>
            <w:noWrap w:val="false"/>
          </w:tcPr>
          <w:p>
            <w:pPr>
              <w:pStyle w:val="961"/>
              <w:rPr>
                <w:rFonts w:hint="eastAsia" w:ascii="宋体" w:hAnsi="宋体" w:cs="宋体"/>
                <w:sz w:val="18"/>
                <w:szCs w:val="18"/>
                <w:highlight w:val="yellow"/>
              </w:rPr>
            </w:pPr>
            <w:r>
              <w:rPr>
                <w:rFonts w:hint="eastAsia" w:ascii="宋体" w:hAnsi="宋体" w:cs="宋体"/>
                <w:b/>
                <w:bCs/>
                <w:sz w:val="18"/>
                <w:szCs w:val="18"/>
              </w:rPr>
              <w:t xml:space="preserve">岗位人员配置（6分）：</w:t>
            </w:r>
            <w:r>
              <w:rPr>
                <w:rFonts w:hint="eastAsia" w:ascii="宋体" w:hAnsi="宋体" w:cs="宋体"/>
                <w:sz w:val="18"/>
                <w:szCs w:val="18"/>
              </w:rPr>
              <w:t xml:space="preserve">驾驶员配置不少于23名、调度员不少于8名、护理人员不少于2名、担架员不少于2名，总人员不少于35名得6分，每少1人扣1分；</w:t>
            </w:r>
            <w:r>
              <w:rPr>
                <w:rFonts w:hint="eastAsia" w:ascii="宋体" w:hAnsi="宋体" w:cs="宋体"/>
                <w:sz w:val="18"/>
                <w:szCs w:val="18"/>
                <w:highlight w:val="yellow"/>
              </w:rPr>
            </w:r>
            <w:r/>
          </w:p>
          <w:p>
            <w:pPr>
              <w:pStyle w:val="961"/>
              <w:rPr>
                <w:rFonts w:hint="eastAsia" w:ascii="宋体" w:hAnsi="宋体" w:cs="宋体"/>
                <w:sz w:val="18"/>
                <w:szCs w:val="18"/>
              </w:rPr>
            </w:pPr>
            <w:r>
              <w:rPr>
                <w:rFonts w:hint="eastAsia" w:ascii="宋体" w:hAnsi="宋体" w:cs="宋体"/>
                <w:b/>
                <w:bCs/>
                <w:sz w:val="18"/>
                <w:szCs w:val="18"/>
              </w:rPr>
              <w:t xml:space="preserve">因人员配置不到位对</w:t>
            </w:r>
            <w:r>
              <w:rPr>
                <w:rFonts w:hint="eastAsia" w:ascii="宋体" w:hAnsi="宋体" w:eastAsia="楷体_GB2312" w:cs="宋体"/>
                <w:b/>
                <w:bCs/>
                <w:sz w:val="18"/>
                <w:szCs w:val="18"/>
              </w:rPr>
              <w:t xml:space="preserve">院前急救</w:t>
            </w:r>
            <w:r>
              <w:rPr>
                <w:rFonts w:hint="eastAsia" w:ascii="宋体" w:hAnsi="宋体" w:cs="宋体"/>
                <w:b/>
                <w:bCs/>
                <w:sz w:val="18"/>
                <w:szCs w:val="18"/>
              </w:rPr>
              <w:t xml:space="preserve">工作造成不利影响（4分）：</w:t>
            </w:r>
            <w:r>
              <w:rPr>
                <w:rFonts w:hint="eastAsia" w:ascii="宋体" w:hAnsi="宋体" w:cs="宋体"/>
                <w:sz w:val="18"/>
                <w:szCs w:val="18"/>
              </w:rPr>
              <w:t xml:space="preserve">轻度（顶班、加班）得3分，中度（排班困难）得1-2分，重度（不能运作）得0分；</w:t>
            </w:r>
            <w:r/>
          </w:p>
          <w:p>
            <w:pPr>
              <w:pStyle w:val="961"/>
              <w:rPr>
                <w:rFonts w:hint="eastAsia" w:ascii="宋体" w:hAnsi="宋体" w:cs="宋体"/>
                <w:sz w:val="18"/>
                <w:szCs w:val="18"/>
              </w:rPr>
            </w:pPr>
            <w:r>
              <w:rPr>
                <w:rFonts w:hint="eastAsia" w:ascii="宋体" w:hAnsi="宋体" w:cs="宋体"/>
                <w:b/>
                <w:bCs/>
                <w:sz w:val="18"/>
                <w:szCs w:val="18"/>
              </w:rPr>
              <w:t xml:space="preserve">完善的人员替补方案及措施（2分）：</w:t>
            </w:r>
            <w:r>
              <w:rPr>
                <w:rFonts w:hint="eastAsia" w:ascii="宋体" w:hAnsi="宋体" w:cs="宋体"/>
                <w:sz w:val="18"/>
                <w:szCs w:val="18"/>
              </w:rPr>
              <w:t xml:space="preserve">完善得2分，不足得1分，无得0分；</w:t>
            </w:r>
            <w:r/>
          </w:p>
          <w:p>
            <w:pPr>
              <w:pStyle w:val="961"/>
              <w:rPr>
                <w:rFonts w:ascii="宋体" w:hAnsi="宋体" w:cs="宋体"/>
                <w:sz w:val="18"/>
                <w:szCs w:val="18"/>
              </w:rPr>
            </w:pPr>
            <w:r>
              <w:rPr>
                <w:rFonts w:hint="eastAsia" w:ascii="宋体" w:hAnsi="宋体" w:cs="宋体"/>
                <w:b/>
                <w:bCs/>
                <w:sz w:val="18"/>
                <w:szCs w:val="18"/>
              </w:rPr>
              <w:t xml:space="preserve">因人员替补不到位、不及时对</w:t>
            </w:r>
            <w:r>
              <w:rPr>
                <w:rFonts w:hint="eastAsia" w:ascii="宋体" w:hAnsi="宋体" w:eastAsia="楷体_GB2312" w:cs="宋体"/>
                <w:b/>
                <w:bCs/>
                <w:sz w:val="18"/>
                <w:szCs w:val="18"/>
              </w:rPr>
              <w:t xml:space="preserve">院前急救</w:t>
            </w:r>
            <w:r>
              <w:rPr>
                <w:rFonts w:hint="eastAsia" w:ascii="宋体" w:hAnsi="宋体" w:cs="宋体"/>
                <w:b/>
                <w:bCs/>
                <w:sz w:val="18"/>
                <w:szCs w:val="18"/>
              </w:rPr>
              <w:t xml:space="preserve">工作造成不利影响（8分）：</w:t>
            </w:r>
            <w:r>
              <w:rPr>
                <w:rFonts w:hint="eastAsia" w:ascii="宋体" w:hAnsi="宋体" w:cs="宋体"/>
                <w:sz w:val="18"/>
                <w:szCs w:val="18"/>
              </w:rPr>
              <w:t xml:space="preserve">及时到位无不利影响得8分，长期替补人员不及时、不到位造成不利影响，超过1周的每人每天扣0.5分；临时替补人员不及时（2h内补齐不扣分；2h-4h，扣2分；4h-6h，扣4分，6h-8h，扣6分；8h以上，扣8分）。</w:t>
            </w:r>
            <w:r>
              <w:rPr>
                <w:rFonts w:ascii="宋体" w:hAnsi="宋体" w:cs="宋体"/>
                <w:sz w:val="18"/>
                <w:szCs w:val="18"/>
              </w:rPr>
            </w:r>
            <w:r/>
          </w:p>
        </w:tc>
        <w:tc>
          <w:tcPr>
            <w:tcW w:w="991" w:type="dxa"/>
            <w:vAlign w:val="top"/>
            <w:textDirection w:val="lrTb"/>
            <w:noWrap w:val="false"/>
          </w:tcPr>
          <w:p>
            <w:pPr>
              <w:pStyle w:val="961"/>
              <w:ind w:firstLine="645"/>
              <w:rPr>
                <w:rFonts w:hint="eastAsia" w:ascii="宋体" w:hAnsi="宋体" w:cs="宋体"/>
                <w:sz w:val="18"/>
                <w:szCs w:val="18"/>
              </w:rPr>
            </w:pPr>
            <w:r>
              <w:rPr>
                <w:rFonts w:hint="eastAsia" w:ascii="宋体" w:hAnsi="宋体" w:cs="宋体"/>
                <w:sz w:val="18"/>
                <w:szCs w:val="18"/>
              </w:rPr>
            </w:r>
            <w:r/>
          </w:p>
        </w:tc>
        <w:tc>
          <w:tcPr>
            <w:tcW w:w="1118" w:type="dxa"/>
            <w:vAlign w:val="top"/>
            <w:textDirection w:val="lrTb"/>
            <w:noWrap w:val="false"/>
          </w:tcPr>
          <w:p>
            <w:pPr>
              <w:pStyle w:val="961"/>
              <w:ind w:firstLine="645"/>
              <w:rPr>
                <w:rFonts w:hint="eastAsia" w:ascii="宋体" w:hAnsi="宋体" w:cs="宋体"/>
                <w:sz w:val="18"/>
                <w:szCs w:val="18"/>
              </w:rPr>
            </w:pPr>
            <w:r>
              <w:rPr>
                <w:rFonts w:hint="eastAsia" w:ascii="宋体" w:hAnsi="宋体" w:cs="宋体"/>
                <w:sz w:val="18"/>
                <w:szCs w:val="18"/>
              </w:rPr>
            </w:r>
            <w:r/>
          </w:p>
        </w:tc>
      </w:tr>
      <w:tr>
        <w:trPr/>
        <w:tc>
          <w:tcPr>
            <w:tcW w:w="1189" w:type="dxa"/>
            <w:vAlign w:val="center"/>
            <w:textDirection w:val="lrTb"/>
            <w:noWrap w:val="false"/>
          </w:tcPr>
          <w:p>
            <w:pPr>
              <w:pStyle w:val="961"/>
              <w:rPr>
                <w:rFonts w:hint="eastAsia" w:ascii="宋体" w:hAnsi="宋体" w:cs="宋体"/>
                <w:sz w:val="18"/>
                <w:szCs w:val="18"/>
              </w:rPr>
            </w:pPr>
            <w:r>
              <w:rPr>
                <w:rFonts w:hint="eastAsia" w:ascii="宋体" w:hAnsi="宋体" w:cs="宋体"/>
                <w:sz w:val="18"/>
                <w:szCs w:val="18"/>
              </w:rPr>
              <w:t xml:space="preserve">人员培训</w:t>
            </w:r>
            <w:r/>
          </w:p>
        </w:tc>
        <w:tc>
          <w:tcPr>
            <w:tcW w:w="3150" w:type="dxa"/>
            <w:vAlign w:val="center"/>
            <w:textDirection w:val="lrTb"/>
            <w:noWrap w:val="false"/>
          </w:tcPr>
          <w:p>
            <w:pPr>
              <w:pStyle w:val="961"/>
              <w:numPr>
                <w:ilvl w:val="0"/>
                <w:numId w:val="4"/>
              </w:numPr>
              <w:rPr>
                <w:rFonts w:hint="eastAsia" w:ascii="宋体" w:hAnsi="宋体" w:cs="宋体"/>
                <w:sz w:val="18"/>
                <w:szCs w:val="18"/>
              </w:rPr>
            </w:pPr>
            <w:r>
              <w:rPr>
                <w:rFonts w:hint="eastAsia" w:ascii="宋体" w:hAnsi="宋体" w:cs="宋体"/>
                <w:sz w:val="18"/>
                <w:szCs w:val="18"/>
              </w:rPr>
              <w:t xml:space="preserve">各岗位人员有完善的培训目标及培训计划，定期开展安全教育；</w:t>
            </w:r>
            <w:r/>
          </w:p>
          <w:p>
            <w:pPr>
              <w:pStyle w:val="961"/>
              <w:rPr>
                <w:rFonts w:hint="eastAsia" w:ascii="宋体" w:hAnsi="宋体" w:cs="宋体"/>
                <w:sz w:val="18"/>
                <w:szCs w:val="18"/>
              </w:rPr>
            </w:pPr>
            <w:r>
              <w:rPr>
                <w:rFonts w:hint="eastAsia" w:ascii="宋体" w:hAnsi="宋体" w:cs="宋体"/>
                <w:sz w:val="18"/>
                <w:szCs w:val="18"/>
              </w:rPr>
              <w:t xml:space="preserve">2、各岗位人员培训合格后上岗。</w:t>
            </w:r>
            <w:r/>
          </w:p>
        </w:tc>
        <w:tc>
          <w:tcPr>
            <w:tcW w:w="818" w:type="dxa"/>
            <w:vAlign w:val="center"/>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t xml:space="preserve">15</w:t>
            </w:r>
            <w:r/>
          </w:p>
        </w:tc>
        <w:tc>
          <w:tcPr>
            <w:tcW w:w="6887" w:type="dxa"/>
            <w:vAlign w:val="center"/>
            <w:textDirection w:val="lrTb"/>
            <w:noWrap w:val="false"/>
          </w:tcPr>
          <w:p>
            <w:pPr>
              <w:pStyle w:val="961"/>
              <w:rPr>
                <w:rFonts w:hint="eastAsia" w:ascii="宋体" w:hAnsi="宋体" w:cs="宋体"/>
                <w:sz w:val="18"/>
                <w:szCs w:val="18"/>
              </w:rPr>
            </w:pPr>
            <w:r>
              <w:rPr>
                <w:rFonts w:hint="eastAsia" w:ascii="宋体" w:hAnsi="宋体" w:cs="宋体"/>
                <w:b/>
                <w:bCs/>
                <w:sz w:val="18"/>
                <w:szCs w:val="18"/>
              </w:rPr>
              <w:t xml:space="preserve">有完善的培训目标及培训计划（2分）：</w:t>
            </w:r>
            <w:r>
              <w:rPr>
                <w:rFonts w:hint="eastAsia" w:ascii="宋体" w:hAnsi="宋体" w:cs="宋体"/>
                <w:sz w:val="18"/>
                <w:szCs w:val="18"/>
              </w:rPr>
              <w:t xml:space="preserve">完善得2分，不足得1分，无得0分；</w:t>
            </w:r>
            <w:r/>
          </w:p>
          <w:p>
            <w:pPr>
              <w:pStyle w:val="961"/>
              <w:rPr>
                <w:rFonts w:hint="eastAsia" w:ascii="宋体" w:hAnsi="宋体" w:cs="宋体"/>
                <w:sz w:val="18"/>
                <w:szCs w:val="18"/>
              </w:rPr>
            </w:pPr>
            <w:r>
              <w:rPr>
                <w:rFonts w:hint="eastAsia" w:ascii="宋体" w:hAnsi="宋体" w:cs="宋体"/>
                <w:b/>
                <w:bCs/>
                <w:sz w:val="18"/>
                <w:szCs w:val="18"/>
              </w:rPr>
              <w:t xml:space="preserve">每月开展一次安全教育（3分）：</w:t>
            </w:r>
            <w:r>
              <w:rPr>
                <w:rFonts w:hint="eastAsia" w:ascii="宋体" w:hAnsi="宋体" w:cs="宋体"/>
                <w:sz w:val="18"/>
                <w:szCs w:val="18"/>
              </w:rPr>
              <w:t xml:space="preserve">有得2分，无得0分；</w:t>
            </w:r>
            <w:r/>
          </w:p>
          <w:p>
            <w:pPr>
              <w:pStyle w:val="961"/>
              <w:rPr>
                <w:rFonts w:hint="eastAsia" w:ascii="宋体" w:hAnsi="宋体" w:cs="宋体"/>
                <w:sz w:val="18"/>
                <w:szCs w:val="18"/>
              </w:rPr>
            </w:pPr>
            <w:r>
              <w:rPr>
                <w:rFonts w:hint="eastAsia" w:ascii="宋体" w:hAnsi="宋体" w:cs="宋体"/>
                <w:b/>
                <w:bCs/>
                <w:sz w:val="18"/>
                <w:szCs w:val="18"/>
              </w:rPr>
              <w:t xml:space="preserve">上岗人员培训合格（10分）：</w:t>
            </w:r>
            <w:r>
              <w:rPr>
                <w:rFonts w:hint="eastAsia" w:ascii="宋体" w:hAnsi="宋体" w:cs="宋体"/>
                <w:sz w:val="18"/>
                <w:szCs w:val="18"/>
              </w:rPr>
              <w:t xml:space="preserve">每月通过技能抽查及日常考核，每发现一例不合格扣0.5分，扣完为止。</w:t>
            </w:r>
            <w:r/>
          </w:p>
        </w:tc>
        <w:tc>
          <w:tcPr>
            <w:tcW w:w="991" w:type="dxa"/>
            <w:vAlign w:val="top"/>
            <w:textDirection w:val="lrTb"/>
            <w:noWrap w:val="false"/>
          </w:tcPr>
          <w:p>
            <w:pPr>
              <w:pStyle w:val="961"/>
              <w:ind w:firstLine="645"/>
              <w:rPr>
                <w:rFonts w:hint="eastAsia" w:ascii="宋体" w:hAnsi="宋体" w:cs="宋体"/>
                <w:sz w:val="18"/>
                <w:szCs w:val="18"/>
              </w:rPr>
            </w:pPr>
            <w:r>
              <w:rPr>
                <w:rFonts w:hint="eastAsia" w:ascii="宋体" w:hAnsi="宋体" w:cs="宋体"/>
                <w:sz w:val="18"/>
                <w:szCs w:val="18"/>
              </w:rPr>
            </w:r>
            <w:r/>
          </w:p>
        </w:tc>
        <w:tc>
          <w:tcPr>
            <w:tcW w:w="1118" w:type="dxa"/>
            <w:vAlign w:val="top"/>
            <w:textDirection w:val="lrTb"/>
            <w:noWrap w:val="false"/>
          </w:tcPr>
          <w:p>
            <w:pPr>
              <w:pStyle w:val="961"/>
              <w:ind w:firstLine="645"/>
              <w:rPr>
                <w:rFonts w:hint="eastAsia" w:ascii="宋体" w:hAnsi="宋体" w:cs="宋体"/>
                <w:sz w:val="18"/>
                <w:szCs w:val="18"/>
              </w:rPr>
            </w:pPr>
            <w:r>
              <w:rPr>
                <w:rFonts w:hint="eastAsia" w:ascii="宋体" w:hAnsi="宋体" w:cs="宋体"/>
                <w:sz w:val="18"/>
                <w:szCs w:val="18"/>
              </w:rPr>
            </w:r>
            <w:r/>
          </w:p>
        </w:tc>
      </w:tr>
      <w:tr>
        <w:trPr/>
        <w:tc>
          <w:tcPr>
            <w:tcW w:w="1189" w:type="dxa"/>
            <w:vAlign w:val="center"/>
            <w:textDirection w:val="lrTb"/>
            <w:noWrap w:val="false"/>
          </w:tcPr>
          <w:p>
            <w:pPr>
              <w:pStyle w:val="961"/>
              <w:rPr>
                <w:rFonts w:hint="eastAsia" w:ascii="宋体" w:hAnsi="宋体" w:cs="宋体"/>
                <w:sz w:val="18"/>
                <w:szCs w:val="18"/>
              </w:rPr>
            </w:pPr>
            <w:r>
              <w:rPr>
                <w:rFonts w:hint="eastAsia" w:ascii="宋体" w:hAnsi="宋体" w:cs="宋体"/>
                <w:sz w:val="18"/>
                <w:szCs w:val="18"/>
              </w:rPr>
              <w:t xml:space="preserve">服务质量</w:t>
            </w:r>
            <w:r/>
          </w:p>
        </w:tc>
        <w:tc>
          <w:tcPr>
            <w:tcW w:w="3150" w:type="dxa"/>
            <w:vAlign w:val="center"/>
            <w:textDirection w:val="lrTb"/>
            <w:noWrap w:val="false"/>
          </w:tcPr>
          <w:p>
            <w:pPr>
              <w:pStyle w:val="961"/>
              <w:numPr>
                <w:ilvl w:val="0"/>
                <w:numId w:val="5"/>
              </w:numPr>
              <w:rPr>
                <w:rFonts w:hint="eastAsia" w:ascii="宋体" w:hAnsi="宋体" w:cs="宋体"/>
                <w:sz w:val="18"/>
                <w:szCs w:val="18"/>
              </w:rPr>
            </w:pPr>
            <w:r>
              <w:rPr>
                <w:rFonts w:hint="eastAsia" w:ascii="宋体" w:hAnsi="宋体" w:cs="宋体"/>
                <w:sz w:val="18"/>
                <w:szCs w:val="18"/>
              </w:rPr>
              <w:t xml:space="preserve">及时响应并实施采购人关于项目执行方案的合理修改；</w:t>
            </w:r>
            <w:r/>
          </w:p>
          <w:p>
            <w:pPr>
              <w:pStyle w:val="961"/>
              <w:numPr>
                <w:ilvl w:val="0"/>
                <w:numId w:val="5"/>
              </w:numPr>
              <w:rPr>
                <w:rFonts w:hint="eastAsia" w:ascii="宋体" w:hAnsi="宋体" w:cs="宋体"/>
                <w:sz w:val="18"/>
                <w:szCs w:val="18"/>
              </w:rPr>
            </w:pPr>
            <w:r>
              <w:rPr>
                <w:rFonts w:hint="eastAsia" w:ascii="宋体" w:hAnsi="宋体" w:cs="宋体"/>
                <w:sz w:val="18"/>
                <w:szCs w:val="18"/>
              </w:rPr>
              <w:t xml:space="preserve">遇到公共卫生突发事件、重大任务等需无条件配合采购人工作安排。</w:t>
            </w:r>
            <w:r/>
          </w:p>
        </w:tc>
        <w:tc>
          <w:tcPr>
            <w:tcW w:w="818" w:type="dxa"/>
            <w:vAlign w:val="center"/>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t xml:space="preserve">10</w:t>
            </w:r>
            <w:r/>
          </w:p>
        </w:tc>
        <w:tc>
          <w:tcPr>
            <w:tcW w:w="6887" w:type="dxa"/>
            <w:vAlign w:val="center"/>
            <w:textDirection w:val="lrTb"/>
            <w:noWrap w:val="false"/>
          </w:tcPr>
          <w:p>
            <w:pPr>
              <w:pStyle w:val="961"/>
              <w:rPr>
                <w:rFonts w:hint="eastAsia" w:ascii="宋体" w:hAnsi="宋体" w:cs="宋体"/>
                <w:sz w:val="18"/>
                <w:szCs w:val="18"/>
              </w:rPr>
            </w:pPr>
            <w:r>
              <w:rPr>
                <w:rFonts w:hint="eastAsia" w:ascii="宋体" w:hAnsi="宋体" w:cs="宋体"/>
                <w:b/>
                <w:bCs/>
                <w:sz w:val="18"/>
                <w:szCs w:val="18"/>
              </w:rPr>
              <w:t xml:space="preserve">及时响应并实施采购人关于项目执行方案的合理修改（5分）：</w:t>
            </w:r>
            <w:r>
              <w:rPr>
                <w:rFonts w:hint="eastAsia" w:ascii="宋体" w:hAnsi="宋体" w:cs="宋体"/>
                <w:sz w:val="18"/>
                <w:szCs w:val="18"/>
              </w:rPr>
              <w:t xml:space="preserve">积极配合得4-5分，消极配合得1-3分，不配合得0分；</w:t>
            </w:r>
            <w:r/>
          </w:p>
          <w:p>
            <w:pPr>
              <w:pStyle w:val="961"/>
              <w:rPr>
                <w:rFonts w:hint="eastAsia" w:ascii="宋体" w:hAnsi="宋体" w:cs="宋体"/>
                <w:sz w:val="18"/>
                <w:szCs w:val="18"/>
              </w:rPr>
            </w:pPr>
            <w:r>
              <w:rPr>
                <w:rFonts w:hint="eastAsia" w:ascii="宋体" w:hAnsi="宋体" w:cs="宋体"/>
                <w:b/>
                <w:bCs/>
                <w:sz w:val="18"/>
                <w:szCs w:val="18"/>
              </w:rPr>
              <w:t xml:space="preserve">遇到公共卫生突发事件、重大任务等需无条件配合采购人工作安排（5分）：</w:t>
            </w:r>
            <w:r>
              <w:rPr>
                <w:rFonts w:hint="eastAsia" w:ascii="宋体" w:hAnsi="宋体" w:cs="宋体"/>
                <w:sz w:val="18"/>
                <w:szCs w:val="18"/>
              </w:rPr>
              <w:t xml:space="preserve">积极配合得4-5分，消极配合得1-3分，不配合得0分。</w:t>
            </w:r>
            <w:r/>
          </w:p>
        </w:tc>
        <w:tc>
          <w:tcPr>
            <w:tcW w:w="991" w:type="dxa"/>
            <w:vAlign w:val="top"/>
            <w:textDirection w:val="lrTb"/>
            <w:noWrap w:val="false"/>
          </w:tcPr>
          <w:p>
            <w:pPr>
              <w:pStyle w:val="961"/>
              <w:ind w:firstLine="645"/>
              <w:rPr>
                <w:rFonts w:hint="eastAsia" w:ascii="宋体" w:hAnsi="宋体" w:cs="宋体"/>
                <w:sz w:val="18"/>
                <w:szCs w:val="18"/>
              </w:rPr>
            </w:pPr>
            <w:r>
              <w:rPr>
                <w:rFonts w:hint="eastAsia" w:ascii="宋体" w:hAnsi="宋体" w:cs="宋体"/>
                <w:sz w:val="18"/>
                <w:szCs w:val="18"/>
              </w:rPr>
            </w:r>
            <w:r/>
          </w:p>
        </w:tc>
        <w:tc>
          <w:tcPr>
            <w:tcW w:w="1118" w:type="dxa"/>
            <w:vAlign w:val="top"/>
            <w:textDirection w:val="lrTb"/>
            <w:noWrap w:val="false"/>
          </w:tcPr>
          <w:p>
            <w:pPr>
              <w:pStyle w:val="961"/>
              <w:ind w:firstLine="645"/>
              <w:rPr>
                <w:rFonts w:hint="eastAsia" w:ascii="宋体" w:hAnsi="宋体" w:cs="宋体"/>
                <w:sz w:val="18"/>
                <w:szCs w:val="18"/>
              </w:rPr>
            </w:pPr>
            <w:r>
              <w:rPr>
                <w:rFonts w:hint="eastAsia" w:ascii="宋体" w:hAnsi="宋体" w:cs="宋体"/>
                <w:sz w:val="18"/>
                <w:szCs w:val="18"/>
              </w:rPr>
            </w:r>
            <w:r/>
          </w:p>
        </w:tc>
      </w:tr>
      <w:tr>
        <w:trPr>
          <w:trHeight w:val="423"/>
        </w:trPr>
        <w:tc>
          <w:tcPr>
            <w:tcW w:w="1189" w:type="dxa"/>
            <w:vAlign w:val="center"/>
            <w:textDirection w:val="lrTb"/>
            <w:noWrap w:val="false"/>
          </w:tcPr>
          <w:p>
            <w:pPr>
              <w:pStyle w:val="961"/>
              <w:rPr>
                <w:rFonts w:hint="eastAsia" w:ascii="宋体" w:hAnsi="宋体" w:cs="宋体"/>
                <w:sz w:val="18"/>
                <w:szCs w:val="18"/>
              </w:rPr>
            </w:pPr>
            <w:r>
              <w:rPr>
                <w:rFonts w:hint="eastAsia" w:ascii="宋体" w:hAnsi="宋体" w:cs="宋体"/>
                <w:sz w:val="18"/>
                <w:szCs w:val="18"/>
              </w:rPr>
              <w:t xml:space="preserve">人员考核</w:t>
            </w:r>
            <w:r/>
          </w:p>
        </w:tc>
        <w:tc>
          <w:tcPr>
            <w:tcW w:w="3150" w:type="dxa"/>
            <w:vAlign w:val="center"/>
            <w:textDirection w:val="lrTb"/>
            <w:noWrap w:val="false"/>
          </w:tcPr>
          <w:p>
            <w:pPr>
              <w:pStyle w:val="961"/>
              <w:rPr>
                <w:rFonts w:hint="eastAsia" w:ascii="宋体" w:hAnsi="宋体" w:cs="宋体"/>
                <w:sz w:val="18"/>
                <w:szCs w:val="18"/>
              </w:rPr>
            </w:pPr>
            <w:r>
              <w:rPr>
                <w:rFonts w:hint="eastAsia" w:ascii="宋体" w:hAnsi="宋体" w:cs="宋体"/>
                <w:sz w:val="18"/>
                <w:szCs w:val="18"/>
              </w:rPr>
              <w:t xml:space="preserve">根据各岗位考核细则有效执行考核方案，能有效提升工作人员的工作效率及工作质量。</w:t>
            </w:r>
            <w:r/>
          </w:p>
        </w:tc>
        <w:tc>
          <w:tcPr>
            <w:tcW w:w="818" w:type="dxa"/>
            <w:vAlign w:val="center"/>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t xml:space="preserve">15</w:t>
            </w:r>
            <w:r/>
          </w:p>
        </w:tc>
        <w:tc>
          <w:tcPr>
            <w:tcW w:w="6887" w:type="dxa"/>
            <w:vAlign w:val="center"/>
            <w:textDirection w:val="lrTb"/>
            <w:noWrap w:val="false"/>
          </w:tcPr>
          <w:p>
            <w:pPr>
              <w:pStyle w:val="961"/>
              <w:rPr>
                <w:rFonts w:hint="eastAsia" w:ascii="宋体" w:hAnsi="宋体" w:cs="宋体"/>
                <w:sz w:val="18"/>
                <w:szCs w:val="18"/>
              </w:rPr>
            </w:pPr>
            <w:r>
              <w:rPr>
                <w:rFonts w:hint="eastAsia" w:ascii="宋体" w:hAnsi="宋体" w:cs="宋体"/>
                <w:b/>
                <w:bCs/>
                <w:sz w:val="18"/>
                <w:szCs w:val="18"/>
              </w:rPr>
              <w:t xml:space="preserve">根据考核细则制定考核方案，考核设置满勤奖（或出勤率）、安全奖等指标（4分）：</w:t>
            </w:r>
            <w:r>
              <w:rPr>
                <w:rFonts w:hint="eastAsia" w:ascii="宋体" w:hAnsi="宋体" w:cs="宋体"/>
                <w:sz w:val="18"/>
                <w:szCs w:val="18"/>
              </w:rPr>
              <w:t xml:space="preserve">完善得3-4分，不足得1-2分，无得0分；</w:t>
            </w:r>
            <w:r/>
          </w:p>
          <w:p>
            <w:pPr>
              <w:pStyle w:val="961"/>
              <w:rPr>
                <w:rFonts w:hint="eastAsia" w:ascii="宋体" w:hAnsi="宋体" w:cs="宋体"/>
                <w:sz w:val="18"/>
                <w:szCs w:val="18"/>
              </w:rPr>
            </w:pPr>
            <w:r>
              <w:rPr>
                <w:rFonts w:hint="eastAsia" w:ascii="宋体" w:hAnsi="宋体" w:cs="宋体"/>
                <w:b/>
                <w:bCs/>
                <w:sz w:val="18"/>
                <w:szCs w:val="18"/>
              </w:rPr>
              <w:t xml:space="preserve">有效执行考核方案（7分）：</w:t>
            </w:r>
            <w:r>
              <w:rPr>
                <w:rFonts w:hint="eastAsia" w:ascii="宋体" w:hAnsi="宋体" w:cs="宋体"/>
                <w:sz w:val="18"/>
                <w:szCs w:val="18"/>
              </w:rPr>
              <w:t xml:space="preserve">有效执行得7分，每发现一例考核执行违规事件扣1分，扣完为止；</w:t>
            </w:r>
            <w:r/>
          </w:p>
          <w:p>
            <w:pPr>
              <w:pStyle w:val="961"/>
              <w:rPr>
                <w:rFonts w:hint="eastAsia" w:ascii="宋体" w:hAnsi="宋体" w:cs="宋体"/>
                <w:sz w:val="18"/>
                <w:szCs w:val="18"/>
              </w:rPr>
            </w:pPr>
            <w:r>
              <w:rPr>
                <w:rFonts w:hint="eastAsia" w:ascii="宋体" w:hAnsi="宋体" w:cs="宋体"/>
                <w:b/>
                <w:bCs/>
                <w:sz w:val="18"/>
                <w:szCs w:val="18"/>
              </w:rPr>
              <w:t xml:space="preserve">通过考核有效提升人员工作效率及质量（4分）：</w:t>
            </w:r>
            <w:r>
              <w:rPr>
                <w:rFonts w:hint="eastAsia" w:ascii="宋体" w:hAnsi="宋体" w:cs="宋体"/>
                <w:sz w:val="18"/>
                <w:szCs w:val="18"/>
              </w:rPr>
              <w:t xml:space="preserve">明显有效得4分，有效2-3分，低效或无效0-1分。</w:t>
            </w:r>
            <w:r/>
          </w:p>
        </w:tc>
        <w:tc>
          <w:tcPr>
            <w:tcW w:w="991" w:type="dxa"/>
            <w:vAlign w:val="top"/>
            <w:textDirection w:val="lrTb"/>
            <w:noWrap w:val="false"/>
          </w:tcPr>
          <w:p>
            <w:pPr>
              <w:pStyle w:val="961"/>
              <w:ind w:firstLine="645"/>
              <w:rPr>
                <w:rFonts w:hint="eastAsia" w:ascii="宋体" w:hAnsi="宋体" w:cs="宋体"/>
                <w:sz w:val="18"/>
                <w:szCs w:val="18"/>
              </w:rPr>
            </w:pPr>
            <w:r>
              <w:rPr>
                <w:rFonts w:hint="eastAsia" w:ascii="宋体" w:hAnsi="宋体" w:cs="宋体"/>
                <w:sz w:val="18"/>
                <w:szCs w:val="18"/>
              </w:rPr>
            </w:r>
            <w:r/>
          </w:p>
        </w:tc>
        <w:tc>
          <w:tcPr>
            <w:tcW w:w="1118" w:type="dxa"/>
            <w:vAlign w:val="top"/>
            <w:textDirection w:val="lrTb"/>
            <w:noWrap w:val="false"/>
          </w:tcPr>
          <w:p>
            <w:pPr>
              <w:pStyle w:val="961"/>
              <w:ind w:firstLine="645"/>
              <w:rPr>
                <w:rFonts w:hint="eastAsia" w:ascii="宋体" w:hAnsi="宋体" w:cs="宋体"/>
                <w:sz w:val="18"/>
                <w:szCs w:val="18"/>
              </w:rPr>
            </w:pPr>
            <w:r>
              <w:rPr>
                <w:rFonts w:hint="eastAsia" w:ascii="宋体" w:hAnsi="宋体" w:cs="宋体"/>
                <w:sz w:val="18"/>
                <w:szCs w:val="18"/>
              </w:rPr>
            </w:r>
            <w:r/>
          </w:p>
        </w:tc>
      </w:tr>
      <w:tr>
        <w:trPr>
          <w:trHeight w:val="942"/>
        </w:trPr>
        <w:tc>
          <w:tcPr>
            <w:tcW w:w="1189" w:type="dxa"/>
            <w:vAlign w:val="center"/>
            <w:textDirection w:val="lrTb"/>
            <w:noWrap w:val="false"/>
          </w:tcPr>
          <w:p>
            <w:pPr>
              <w:pStyle w:val="961"/>
              <w:rPr>
                <w:rFonts w:hint="eastAsia" w:ascii="宋体" w:hAnsi="宋体" w:cs="宋体"/>
                <w:sz w:val="18"/>
                <w:szCs w:val="18"/>
              </w:rPr>
            </w:pPr>
            <w:r>
              <w:rPr>
                <w:rFonts w:hint="eastAsia" w:ascii="宋体" w:hAnsi="宋体" w:cs="宋体"/>
                <w:sz w:val="18"/>
                <w:szCs w:val="18"/>
              </w:rPr>
              <w:t xml:space="preserve">生产安全</w:t>
            </w:r>
            <w:r/>
          </w:p>
        </w:tc>
        <w:tc>
          <w:tcPr>
            <w:tcW w:w="3150" w:type="dxa"/>
            <w:vAlign w:val="center"/>
            <w:textDirection w:val="lrTb"/>
            <w:noWrap w:val="false"/>
          </w:tcPr>
          <w:p>
            <w:pPr>
              <w:pStyle w:val="961"/>
              <w:numPr>
                <w:ilvl w:val="0"/>
                <w:numId w:val="6"/>
              </w:numPr>
              <w:rPr>
                <w:rFonts w:hint="eastAsia" w:ascii="宋体" w:hAnsi="宋体" w:cs="宋体"/>
                <w:sz w:val="18"/>
                <w:szCs w:val="18"/>
              </w:rPr>
            </w:pPr>
            <w:r>
              <w:rPr>
                <w:rFonts w:hint="eastAsia" w:ascii="宋体" w:hAnsi="宋体" w:cs="宋体"/>
                <w:sz w:val="18"/>
                <w:szCs w:val="18"/>
              </w:rPr>
              <w:t xml:space="preserve">制定完善的安全生产制度；</w:t>
            </w:r>
            <w:r/>
          </w:p>
          <w:p>
            <w:pPr>
              <w:pStyle w:val="961"/>
              <w:numPr>
                <w:ilvl w:val="0"/>
                <w:numId w:val="6"/>
              </w:numPr>
              <w:rPr>
                <w:rFonts w:hint="eastAsia" w:ascii="宋体" w:hAnsi="宋体" w:cs="宋体"/>
                <w:sz w:val="18"/>
                <w:szCs w:val="18"/>
              </w:rPr>
            </w:pPr>
            <w:r>
              <w:rPr>
                <w:rFonts w:hint="eastAsia" w:ascii="宋体" w:hAnsi="宋体" w:cs="宋体"/>
                <w:sz w:val="18"/>
                <w:szCs w:val="18"/>
              </w:rPr>
              <w:t xml:space="preserve">及时妥善处置生产安全事故。</w:t>
            </w:r>
            <w:r/>
          </w:p>
        </w:tc>
        <w:tc>
          <w:tcPr>
            <w:tcW w:w="818" w:type="dxa"/>
            <w:vAlign w:val="center"/>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t xml:space="preserve">10</w:t>
            </w:r>
            <w:r/>
          </w:p>
        </w:tc>
        <w:tc>
          <w:tcPr>
            <w:tcW w:w="6887" w:type="dxa"/>
            <w:vAlign w:val="center"/>
            <w:textDirection w:val="lrTb"/>
            <w:noWrap w:val="false"/>
          </w:tcPr>
          <w:p>
            <w:pPr>
              <w:pStyle w:val="961"/>
              <w:rPr>
                <w:rFonts w:hint="eastAsia" w:ascii="宋体" w:hAnsi="宋体" w:cs="宋体"/>
                <w:b/>
                <w:bCs/>
                <w:sz w:val="18"/>
                <w:szCs w:val="18"/>
              </w:rPr>
            </w:pPr>
            <w:r>
              <w:rPr>
                <w:rFonts w:hint="eastAsia" w:ascii="宋体" w:hAnsi="宋体" w:cs="宋体"/>
                <w:b/>
                <w:bCs/>
                <w:sz w:val="18"/>
                <w:szCs w:val="18"/>
              </w:rPr>
              <w:t xml:space="preserve">制定安全生产制度明确安全事故的个人责任及处理方案（2分）：</w:t>
            </w:r>
            <w:r>
              <w:rPr>
                <w:rFonts w:hint="eastAsia" w:ascii="宋体" w:hAnsi="宋体" w:cs="宋体"/>
                <w:sz w:val="18"/>
                <w:szCs w:val="18"/>
              </w:rPr>
              <w:t xml:space="preserve">有得2分，无得0分；</w:t>
            </w:r>
            <w:r>
              <w:rPr>
                <w:rFonts w:hint="eastAsia" w:ascii="宋体" w:hAnsi="宋体" w:cs="宋体"/>
                <w:b/>
                <w:bCs/>
                <w:sz w:val="18"/>
                <w:szCs w:val="18"/>
              </w:rPr>
            </w:r>
            <w:r/>
          </w:p>
          <w:p>
            <w:pPr>
              <w:pStyle w:val="961"/>
              <w:rPr>
                <w:rFonts w:hint="eastAsia" w:ascii="宋体" w:hAnsi="宋体" w:cs="宋体"/>
                <w:sz w:val="18"/>
                <w:szCs w:val="18"/>
              </w:rPr>
            </w:pPr>
            <w:r>
              <w:rPr>
                <w:rFonts w:hint="eastAsia" w:ascii="宋体" w:hAnsi="宋体" w:cs="宋体"/>
                <w:b/>
                <w:bCs/>
                <w:sz w:val="18"/>
                <w:szCs w:val="18"/>
              </w:rPr>
              <w:t xml:space="preserve">制度明确安全事故的个人责任及处理方案（2分）：</w:t>
            </w:r>
            <w:r>
              <w:rPr>
                <w:rFonts w:hint="eastAsia" w:ascii="宋体" w:hAnsi="宋体" w:cs="宋体"/>
                <w:sz w:val="18"/>
                <w:szCs w:val="18"/>
              </w:rPr>
              <w:t xml:space="preserve">有得2分，无得0分；</w:t>
            </w:r>
            <w:r/>
          </w:p>
          <w:p>
            <w:pPr>
              <w:pStyle w:val="961"/>
              <w:rPr>
                <w:rFonts w:hint="eastAsia" w:ascii="宋体" w:hAnsi="宋体" w:cs="宋体"/>
                <w:szCs w:val="21"/>
              </w:rPr>
            </w:pPr>
            <w:r>
              <w:rPr>
                <w:rFonts w:hint="eastAsia" w:ascii="宋体" w:hAnsi="宋体" w:cs="宋体"/>
                <w:b/>
                <w:bCs/>
                <w:sz w:val="18"/>
                <w:szCs w:val="18"/>
              </w:rPr>
              <w:t xml:space="preserve">及时妥善处置安全事故（6分）：</w:t>
            </w:r>
            <w:r>
              <w:rPr>
                <w:rFonts w:hint="eastAsia" w:ascii="宋体" w:hAnsi="宋体" w:cs="宋体"/>
                <w:sz w:val="18"/>
                <w:szCs w:val="18"/>
              </w:rPr>
              <w:t xml:space="preserve">每发生一例扣1分、处置不及时扣1分，扣完为止。</w:t>
            </w:r>
            <w:r>
              <w:rPr>
                <w:rFonts w:hint="eastAsia" w:ascii="宋体" w:hAnsi="宋体" w:cs="宋体"/>
                <w:szCs w:val="21"/>
              </w:rPr>
            </w:r>
            <w:r/>
          </w:p>
        </w:tc>
        <w:tc>
          <w:tcPr>
            <w:tcW w:w="991" w:type="dxa"/>
            <w:vAlign w:val="top"/>
            <w:textDirection w:val="lrTb"/>
            <w:noWrap w:val="false"/>
          </w:tcPr>
          <w:p>
            <w:pPr>
              <w:pStyle w:val="961"/>
              <w:ind w:firstLine="645"/>
              <w:jc w:val="center"/>
              <w:rPr>
                <w:rFonts w:hint="eastAsia" w:ascii="宋体" w:hAnsi="宋体" w:cs="宋体"/>
                <w:szCs w:val="21"/>
              </w:rPr>
            </w:pPr>
            <w:r>
              <w:rPr>
                <w:rFonts w:hint="eastAsia" w:ascii="宋体" w:hAnsi="宋体" w:cs="宋体"/>
                <w:szCs w:val="21"/>
              </w:rPr>
            </w:r>
            <w:r/>
          </w:p>
        </w:tc>
        <w:tc>
          <w:tcPr>
            <w:tcW w:w="1118" w:type="dxa"/>
            <w:vAlign w:val="top"/>
            <w:textDirection w:val="lrTb"/>
            <w:noWrap w:val="false"/>
          </w:tcPr>
          <w:p>
            <w:pPr>
              <w:pStyle w:val="961"/>
              <w:ind w:firstLine="645"/>
              <w:jc w:val="center"/>
              <w:rPr>
                <w:rFonts w:hint="eastAsia" w:ascii="宋体" w:hAnsi="宋体" w:cs="宋体"/>
                <w:szCs w:val="21"/>
              </w:rPr>
            </w:pPr>
            <w:r>
              <w:rPr>
                <w:rFonts w:hint="eastAsia" w:ascii="宋体" w:hAnsi="宋体" w:cs="宋体"/>
                <w:szCs w:val="21"/>
              </w:rPr>
            </w:r>
            <w:r/>
          </w:p>
        </w:tc>
      </w:tr>
      <w:tr>
        <w:trPr/>
        <w:tc>
          <w:tcPr>
            <w:tcW w:w="1189" w:type="dxa"/>
            <w:vAlign w:val="center"/>
            <w:textDirection w:val="lrTb"/>
            <w:noWrap w:val="false"/>
          </w:tcPr>
          <w:p>
            <w:pPr>
              <w:pStyle w:val="961"/>
              <w:rPr>
                <w:rFonts w:hint="eastAsia" w:ascii="宋体" w:hAnsi="宋体" w:cs="宋体"/>
                <w:sz w:val="18"/>
                <w:szCs w:val="18"/>
              </w:rPr>
            </w:pPr>
            <w:r>
              <w:rPr>
                <w:rFonts w:hint="eastAsia" w:ascii="宋体" w:hAnsi="宋体" w:cs="宋体"/>
                <w:sz w:val="18"/>
                <w:szCs w:val="18"/>
              </w:rPr>
              <w:t xml:space="preserve">人员工作待遇</w:t>
            </w:r>
            <w:r/>
          </w:p>
        </w:tc>
        <w:tc>
          <w:tcPr>
            <w:tcW w:w="3150" w:type="dxa"/>
            <w:vAlign w:val="center"/>
            <w:textDirection w:val="lrTb"/>
            <w:noWrap w:val="false"/>
          </w:tcPr>
          <w:p>
            <w:pPr>
              <w:pStyle w:val="961"/>
              <w:rPr>
                <w:rFonts w:hint="eastAsia" w:ascii="宋体" w:hAnsi="宋体" w:cs="宋体"/>
                <w:sz w:val="18"/>
                <w:szCs w:val="18"/>
              </w:rPr>
            </w:pPr>
            <w:r>
              <w:rPr>
                <w:rFonts w:hint="eastAsia" w:ascii="宋体" w:hAnsi="宋体" w:cs="宋体"/>
                <w:sz w:val="18"/>
                <w:szCs w:val="18"/>
              </w:rPr>
              <w:t xml:space="preserve">按照法律规定明确、细化人员待遇标准及金额，不低于当地同工种人员平均工资。明确基本工资、考核绩效、社会保险、公积金、节日福利、服装等。</w:t>
            </w:r>
            <w:r/>
          </w:p>
        </w:tc>
        <w:tc>
          <w:tcPr>
            <w:tcW w:w="818" w:type="dxa"/>
            <w:vAlign w:val="center"/>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t xml:space="preserve">15</w:t>
            </w:r>
            <w:r/>
          </w:p>
        </w:tc>
        <w:tc>
          <w:tcPr>
            <w:tcW w:w="6887" w:type="dxa"/>
            <w:vAlign w:val="center"/>
            <w:textDirection w:val="lrTb"/>
            <w:noWrap w:val="false"/>
          </w:tcPr>
          <w:p>
            <w:pPr>
              <w:pStyle w:val="961"/>
              <w:rPr>
                <w:rFonts w:hint="eastAsia" w:ascii="宋体" w:hAnsi="宋体" w:cs="宋体"/>
                <w:sz w:val="18"/>
                <w:szCs w:val="18"/>
              </w:rPr>
            </w:pPr>
            <w:r>
              <w:rPr>
                <w:rFonts w:hint="eastAsia" w:ascii="宋体" w:hAnsi="宋体" w:cs="宋体"/>
                <w:b/>
                <w:bCs/>
                <w:sz w:val="18"/>
                <w:szCs w:val="18"/>
              </w:rPr>
              <w:t xml:space="preserve">人员待遇结构合理性（3分）：</w:t>
            </w:r>
            <w:r>
              <w:rPr>
                <w:rFonts w:hint="eastAsia" w:ascii="宋体" w:hAnsi="宋体" w:cs="宋体"/>
                <w:sz w:val="18"/>
                <w:szCs w:val="18"/>
              </w:rPr>
              <w:t xml:space="preserve">合理得3分，不合理0-2分；</w:t>
            </w:r>
            <w:r/>
          </w:p>
          <w:p>
            <w:pPr>
              <w:pStyle w:val="961"/>
              <w:rPr>
                <w:rFonts w:hint="eastAsia" w:ascii="宋体" w:hAnsi="宋体" w:cs="宋体"/>
                <w:sz w:val="18"/>
                <w:szCs w:val="18"/>
              </w:rPr>
            </w:pPr>
            <w:r>
              <w:rPr>
                <w:rFonts w:hint="eastAsia" w:ascii="宋体" w:hAnsi="宋体" w:cs="宋体"/>
                <w:b/>
                <w:bCs/>
                <w:sz w:val="18"/>
                <w:szCs w:val="18"/>
              </w:rPr>
              <w:t xml:space="preserve">每月向采购人提供全部人员工作待遇发放清单（3分）：</w:t>
            </w:r>
            <w:r>
              <w:rPr>
                <w:rFonts w:hint="eastAsia" w:ascii="宋体" w:hAnsi="宋体" w:cs="宋体"/>
                <w:sz w:val="18"/>
                <w:szCs w:val="18"/>
              </w:rPr>
              <w:t xml:space="preserve">完整提供得3分，其他情况得0分；</w:t>
            </w:r>
            <w:r/>
          </w:p>
          <w:p>
            <w:pPr>
              <w:pStyle w:val="961"/>
              <w:rPr>
                <w:rFonts w:hint="eastAsia" w:ascii="宋体" w:hAnsi="宋体" w:cs="宋体"/>
                <w:sz w:val="18"/>
                <w:szCs w:val="18"/>
              </w:rPr>
            </w:pPr>
            <w:r>
              <w:rPr>
                <w:rFonts w:hint="eastAsia" w:ascii="宋体" w:hAnsi="宋体" w:cs="宋体"/>
                <w:b/>
                <w:bCs/>
                <w:sz w:val="18"/>
                <w:szCs w:val="18"/>
              </w:rPr>
              <w:t xml:space="preserve">人员待遇发放是否到位（5）：</w:t>
            </w:r>
            <w:r>
              <w:rPr>
                <w:rFonts w:hint="eastAsia" w:ascii="宋体" w:hAnsi="宋体" w:cs="宋体"/>
                <w:sz w:val="18"/>
                <w:szCs w:val="18"/>
              </w:rPr>
              <w:t xml:space="preserve">发放及时足额得5分，发放不及时、不足额得0-4分（中标人实际未足额发放的，采购人将核减相应费用）。</w:t>
            </w:r>
            <w:r/>
          </w:p>
          <w:p>
            <w:pPr>
              <w:pStyle w:val="961"/>
              <w:rPr>
                <w:rFonts w:hint="eastAsia" w:ascii="宋体" w:hAnsi="宋体" w:cs="宋体"/>
                <w:sz w:val="18"/>
                <w:szCs w:val="18"/>
              </w:rPr>
            </w:pPr>
            <w:r>
              <w:rPr>
                <w:rFonts w:hint="eastAsia" w:ascii="宋体" w:hAnsi="宋体" w:cs="宋体"/>
                <w:b/>
                <w:bCs/>
                <w:sz w:val="18"/>
                <w:szCs w:val="18"/>
              </w:rPr>
              <w:t xml:space="preserve">一次性完成3年工作服装采购（4分）：</w:t>
            </w:r>
            <w:r>
              <w:rPr>
                <w:rFonts w:hint="eastAsia" w:ascii="宋体" w:hAnsi="宋体" w:cs="宋体"/>
                <w:sz w:val="18"/>
                <w:szCs w:val="18"/>
              </w:rPr>
              <w:t xml:space="preserve">签订合同后2个月内一次性按要求采购得4分，其他情况得0-3分（中标人实际未足额配置的，采购人将核减相应费用）。</w:t>
            </w:r>
            <w:r/>
          </w:p>
        </w:tc>
        <w:tc>
          <w:tcPr>
            <w:tcW w:w="991" w:type="dxa"/>
            <w:vAlign w:val="top"/>
            <w:textDirection w:val="lrTb"/>
            <w:noWrap w:val="false"/>
          </w:tcPr>
          <w:p>
            <w:pPr>
              <w:pStyle w:val="961"/>
              <w:ind w:firstLine="645"/>
              <w:rPr>
                <w:rFonts w:hint="eastAsia" w:ascii="宋体" w:hAnsi="宋体" w:cs="宋体"/>
                <w:sz w:val="18"/>
                <w:szCs w:val="18"/>
              </w:rPr>
            </w:pPr>
            <w:r>
              <w:rPr>
                <w:rFonts w:hint="eastAsia" w:ascii="宋体" w:hAnsi="宋体" w:cs="宋体"/>
                <w:sz w:val="18"/>
                <w:szCs w:val="18"/>
              </w:rPr>
            </w:r>
            <w:r/>
          </w:p>
        </w:tc>
        <w:tc>
          <w:tcPr>
            <w:tcW w:w="1118" w:type="dxa"/>
            <w:vAlign w:val="top"/>
            <w:textDirection w:val="lrTb"/>
            <w:noWrap w:val="false"/>
          </w:tcPr>
          <w:p>
            <w:pPr>
              <w:pStyle w:val="961"/>
              <w:ind w:firstLine="645"/>
              <w:rPr>
                <w:rFonts w:hint="eastAsia" w:ascii="宋体" w:hAnsi="宋体" w:cs="宋体"/>
                <w:sz w:val="18"/>
                <w:szCs w:val="18"/>
              </w:rPr>
            </w:pPr>
            <w:r>
              <w:rPr>
                <w:rFonts w:hint="eastAsia" w:ascii="宋体" w:hAnsi="宋体" w:cs="宋体"/>
                <w:sz w:val="18"/>
                <w:szCs w:val="18"/>
              </w:rPr>
            </w:r>
            <w:r/>
          </w:p>
        </w:tc>
      </w:tr>
      <w:tr>
        <w:trPr/>
        <w:tc>
          <w:tcPr>
            <w:tcW w:w="1189" w:type="dxa"/>
            <w:vAlign w:val="center"/>
            <w:textDirection w:val="lrTb"/>
            <w:noWrap w:val="false"/>
          </w:tcPr>
          <w:p>
            <w:pPr>
              <w:pStyle w:val="961"/>
              <w:rPr>
                <w:rFonts w:hint="eastAsia" w:ascii="宋体" w:hAnsi="宋体" w:cs="宋体"/>
                <w:sz w:val="18"/>
                <w:szCs w:val="18"/>
              </w:rPr>
            </w:pPr>
            <w:r>
              <w:rPr>
                <w:rFonts w:hint="eastAsia" w:ascii="宋体" w:hAnsi="宋体" w:cs="宋体"/>
                <w:sz w:val="18"/>
                <w:szCs w:val="18"/>
              </w:rPr>
              <w:t xml:space="preserve">劳务纠纷</w:t>
            </w:r>
            <w:r/>
          </w:p>
          <w:p>
            <w:pPr>
              <w:pStyle w:val="961"/>
              <w:rPr>
                <w:rFonts w:hint="eastAsia" w:ascii="宋体" w:hAnsi="宋体" w:cs="宋体"/>
                <w:sz w:val="18"/>
                <w:szCs w:val="18"/>
              </w:rPr>
            </w:pPr>
            <w:r>
              <w:rPr>
                <w:rFonts w:hint="eastAsia" w:ascii="宋体" w:hAnsi="宋体" w:cs="宋体"/>
                <w:sz w:val="18"/>
                <w:szCs w:val="18"/>
              </w:rPr>
              <w:t xml:space="preserve">管理处置</w:t>
            </w:r>
            <w:r/>
          </w:p>
        </w:tc>
        <w:tc>
          <w:tcPr>
            <w:tcW w:w="3150" w:type="dxa"/>
            <w:vAlign w:val="center"/>
            <w:textDirection w:val="lrTb"/>
            <w:noWrap w:val="false"/>
          </w:tcPr>
          <w:p>
            <w:pPr>
              <w:pStyle w:val="961"/>
              <w:numPr>
                <w:ilvl w:val="0"/>
                <w:numId w:val="7"/>
              </w:numPr>
              <w:rPr>
                <w:rFonts w:hint="eastAsia" w:ascii="宋体" w:hAnsi="宋体" w:cs="宋体"/>
                <w:sz w:val="18"/>
                <w:szCs w:val="18"/>
              </w:rPr>
            </w:pPr>
            <w:r>
              <w:rPr>
                <w:rFonts w:hint="eastAsia" w:ascii="宋体" w:hAnsi="宋体" w:cs="宋体"/>
                <w:sz w:val="18"/>
                <w:szCs w:val="18"/>
              </w:rPr>
              <w:t xml:space="preserve">有完善的劳务纠纷预防及处置方案；</w:t>
            </w:r>
            <w:r/>
          </w:p>
          <w:p>
            <w:pPr>
              <w:pStyle w:val="961"/>
              <w:rPr>
                <w:rFonts w:hint="eastAsia" w:ascii="宋体" w:hAnsi="宋体" w:cs="宋体"/>
                <w:sz w:val="18"/>
                <w:szCs w:val="18"/>
              </w:rPr>
            </w:pPr>
            <w:r>
              <w:rPr>
                <w:rFonts w:hint="eastAsia" w:ascii="宋体" w:hAnsi="宋体" w:cs="宋体"/>
                <w:sz w:val="18"/>
                <w:szCs w:val="18"/>
              </w:rPr>
              <w:t xml:space="preserve">2、及时妥善处置劳务纠纷，不对采购人日常工作造成影响。</w:t>
            </w:r>
            <w:r/>
          </w:p>
        </w:tc>
        <w:tc>
          <w:tcPr>
            <w:tcW w:w="818" w:type="dxa"/>
            <w:vAlign w:val="center"/>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t xml:space="preserve">10</w:t>
            </w:r>
            <w:r/>
          </w:p>
        </w:tc>
        <w:tc>
          <w:tcPr>
            <w:tcW w:w="6887" w:type="dxa"/>
            <w:vAlign w:val="center"/>
            <w:textDirection w:val="lrTb"/>
            <w:noWrap w:val="false"/>
          </w:tcPr>
          <w:p>
            <w:pPr>
              <w:pStyle w:val="961"/>
              <w:rPr>
                <w:rFonts w:hint="eastAsia" w:ascii="宋体" w:hAnsi="宋体" w:cs="宋体"/>
                <w:sz w:val="18"/>
                <w:szCs w:val="18"/>
              </w:rPr>
            </w:pPr>
            <w:r>
              <w:rPr>
                <w:rFonts w:hint="eastAsia" w:ascii="宋体" w:hAnsi="宋体" w:cs="宋体"/>
                <w:b/>
                <w:bCs/>
                <w:sz w:val="18"/>
                <w:szCs w:val="18"/>
              </w:rPr>
              <w:t xml:space="preserve">有完善的劳务纠纷预防及处置方案（2分）：</w:t>
            </w:r>
            <w:r>
              <w:rPr>
                <w:rFonts w:hint="eastAsia" w:ascii="宋体" w:hAnsi="宋体" w:cs="宋体"/>
                <w:sz w:val="18"/>
                <w:szCs w:val="18"/>
              </w:rPr>
              <w:t xml:space="preserve">完善得2分，不足得1分，无得0分；</w:t>
            </w:r>
            <w:r/>
          </w:p>
          <w:p>
            <w:pPr>
              <w:pStyle w:val="961"/>
              <w:rPr>
                <w:rFonts w:hint="eastAsia" w:ascii="宋体" w:hAnsi="宋体" w:cs="宋体"/>
                <w:sz w:val="18"/>
                <w:szCs w:val="18"/>
              </w:rPr>
            </w:pPr>
            <w:r>
              <w:rPr>
                <w:rFonts w:hint="eastAsia" w:ascii="宋体" w:hAnsi="宋体" w:cs="宋体"/>
                <w:b/>
                <w:bCs/>
                <w:sz w:val="18"/>
                <w:szCs w:val="18"/>
              </w:rPr>
              <w:t xml:space="preserve">劳务纠纷事件处置效率（3分）：</w:t>
            </w:r>
            <w:r>
              <w:rPr>
                <w:rFonts w:hint="eastAsia" w:ascii="宋体" w:hAnsi="宋体" w:cs="宋体"/>
                <w:sz w:val="18"/>
                <w:szCs w:val="18"/>
              </w:rPr>
              <w:t xml:space="preserve">积极处置得3分，消极处置得1-2分，不处置得0分；</w:t>
            </w:r>
            <w:r/>
          </w:p>
          <w:p>
            <w:pPr>
              <w:pStyle w:val="961"/>
              <w:rPr>
                <w:rFonts w:hint="eastAsia" w:ascii="宋体" w:hAnsi="宋体" w:cs="宋体"/>
                <w:sz w:val="18"/>
                <w:szCs w:val="18"/>
              </w:rPr>
            </w:pPr>
            <w:r>
              <w:rPr>
                <w:rFonts w:hint="eastAsia" w:ascii="宋体" w:hAnsi="宋体" w:cs="宋体"/>
                <w:b/>
                <w:bCs/>
                <w:sz w:val="18"/>
                <w:szCs w:val="18"/>
              </w:rPr>
              <w:t xml:space="preserve">对采购人日常工作是否造成影响（5分）：</w:t>
            </w:r>
            <w:r>
              <w:rPr>
                <w:rFonts w:hint="eastAsia" w:ascii="宋体" w:hAnsi="宋体" w:cs="宋体"/>
                <w:sz w:val="18"/>
                <w:szCs w:val="18"/>
              </w:rPr>
              <w:t xml:space="preserve">无影响得5分，轻度影响得3-4分，中度影响得1-2分，重度影响得0分。</w:t>
            </w:r>
            <w:r/>
          </w:p>
        </w:tc>
        <w:tc>
          <w:tcPr>
            <w:tcW w:w="991" w:type="dxa"/>
            <w:vAlign w:val="top"/>
            <w:textDirection w:val="lrTb"/>
            <w:noWrap w:val="false"/>
          </w:tcPr>
          <w:p>
            <w:pPr>
              <w:pStyle w:val="961"/>
              <w:ind w:firstLine="645"/>
              <w:rPr>
                <w:rFonts w:hint="eastAsia" w:ascii="宋体" w:hAnsi="宋体" w:cs="宋体"/>
                <w:sz w:val="18"/>
                <w:szCs w:val="18"/>
              </w:rPr>
            </w:pPr>
            <w:r>
              <w:rPr>
                <w:rFonts w:hint="eastAsia" w:ascii="宋体" w:hAnsi="宋体" w:cs="宋体"/>
                <w:sz w:val="18"/>
                <w:szCs w:val="18"/>
              </w:rPr>
            </w:r>
            <w:r/>
          </w:p>
        </w:tc>
        <w:tc>
          <w:tcPr>
            <w:tcW w:w="1118" w:type="dxa"/>
            <w:vAlign w:val="top"/>
            <w:textDirection w:val="lrTb"/>
            <w:noWrap w:val="false"/>
          </w:tcPr>
          <w:p>
            <w:pPr>
              <w:pStyle w:val="961"/>
              <w:ind w:firstLine="645"/>
              <w:rPr>
                <w:rFonts w:hint="eastAsia" w:ascii="宋体" w:hAnsi="宋体" w:cs="宋体"/>
                <w:sz w:val="18"/>
                <w:szCs w:val="18"/>
              </w:rPr>
            </w:pPr>
            <w:r>
              <w:rPr>
                <w:rFonts w:hint="eastAsia" w:ascii="宋体" w:hAnsi="宋体" w:cs="宋体"/>
                <w:sz w:val="18"/>
                <w:szCs w:val="18"/>
              </w:rPr>
            </w:r>
            <w:r/>
          </w:p>
        </w:tc>
      </w:tr>
      <w:tr>
        <w:trPr/>
        <w:tc>
          <w:tcPr>
            <w:tcW w:w="1189" w:type="dxa"/>
            <w:vAlign w:val="center"/>
            <w:textDirection w:val="lrTb"/>
            <w:noWrap w:val="false"/>
          </w:tcPr>
          <w:p>
            <w:pPr>
              <w:pStyle w:val="961"/>
              <w:rPr>
                <w:rFonts w:hint="eastAsia" w:ascii="宋体" w:hAnsi="宋体" w:cs="宋体"/>
                <w:sz w:val="18"/>
                <w:szCs w:val="18"/>
              </w:rPr>
            </w:pPr>
            <w:r>
              <w:rPr>
                <w:rFonts w:hint="eastAsia" w:ascii="宋体" w:hAnsi="宋体" w:cs="宋体"/>
                <w:sz w:val="18"/>
                <w:szCs w:val="18"/>
              </w:rPr>
              <w:t xml:space="preserve">档案管理</w:t>
            </w:r>
            <w:r/>
          </w:p>
        </w:tc>
        <w:tc>
          <w:tcPr>
            <w:tcW w:w="3150" w:type="dxa"/>
            <w:vAlign w:val="center"/>
            <w:textDirection w:val="lrTb"/>
            <w:noWrap w:val="false"/>
          </w:tcPr>
          <w:p>
            <w:pPr>
              <w:pStyle w:val="961"/>
              <w:numPr>
                <w:ilvl w:val="0"/>
                <w:numId w:val="8"/>
              </w:numPr>
              <w:rPr>
                <w:rFonts w:hint="eastAsia" w:ascii="宋体" w:hAnsi="宋体" w:cs="宋体"/>
                <w:sz w:val="18"/>
                <w:szCs w:val="18"/>
              </w:rPr>
            </w:pPr>
            <w:r>
              <w:rPr>
                <w:rFonts w:hint="eastAsia" w:ascii="宋体" w:hAnsi="宋体" w:cs="宋体"/>
                <w:sz w:val="18"/>
                <w:szCs w:val="18"/>
              </w:rPr>
              <w:t xml:space="preserve">有完善的档案管理制度，设立档案管理部门或专员；</w:t>
            </w:r>
            <w:r/>
          </w:p>
          <w:p>
            <w:pPr>
              <w:pStyle w:val="961"/>
              <w:rPr>
                <w:rFonts w:hint="eastAsia" w:ascii="宋体" w:hAnsi="宋体" w:cs="宋体"/>
                <w:sz w:val="18"/>
                <w:szCs w:val="18"/>
              </w:rPr>
            </w:pPr>
            <w:r>
              <w:rPr>
                <w:rFonts w:hint="eastAsia" w:ascii="宋体" w:hAnsi="宋体" w:cs="宋体"/>
                <w:sz w:val="18"/>
                <w:szCs w:val="18"/>
              </w:rPr>
              <w:t xml:space="preserve">2、档案保存完整、管理完善、交接手续完备、查阅方便准确。</w:t>
            </w:r>
            <w:r/>
          </w:p>
        </w:tc>
        <w:tc>
          <w:tcPr>
            <w:tcW w:w="818" w:type="dxa"/>
            <w:vAlign w:val="center"/>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t xml:space="preserve">5</w:t>
            </w:r>
            <w:r/>
          </w:p>
        </w:tc>
        <w:tc>
          <w:tcPr>
            <w:tcW w:w="6887" w:type="dxa"/>
            <w:vAlign w:val="center"/>
            <w:textDirection w:val="lrTb"/>
            <w:noWrap w:val="false"/>
          </w:tcPr>
          <w:p>
            <w:pPr>
              <w:pStyle w:val="961"/>
              <w:rPr>
                <w:rFonts w:hint="eastAsia" w:ascii="宋体" w:hAnsi="宋体" w:cs="宋体"/>
                <w:sz w:val="18"/>
                <w:szCs w:val="18"/>
              </w:rPr>
            </w:pPr>
            <w:r>
              <w:rPr>
                <w:rFonts w:hint="eastAsia" w:ascii="宋体" w:hAnsi="宋体" w:cs="宋体"/>
                <w:b/>
                <w:bCs/>
                <w:sz w:val="18"/>
                <w:szCs w:val="18"/>
              </w:rPr>
              <w:t xml:space="preserve">有档案管理制度，设立档案管理部门或专员（1分）：</w:t>
            </w:r>
            <w:r>
              <w:rPr>
                <w:rFonts w:hint="eastAsia" w:ascii="宋体" w:hAnsi="宋体" w:cs="宋体"/>
                <w:sz w:val="18"/>
                <w:szCs w:val="18"/>
              </w:rPr>
              <w:t xml:space="preserve">有得1分，无得0分；</w:t>
            </w:r>
            <w:r/>
          </w:p>
          <w:p>
            <w:pPr>
              <w:pStyle w:val="961"/>
              <w:rPr>
                <w:rFonts w:hint="eastAsia" w:ascii="宋体" w:hAnsi="宋体" w:cs="宋体"/>
                <w:sz w:val="18"/>
                <w:szCs w:val="18"/>
              </w:rPr>
            </w:pPr>
            <w:r>
              <w:rPr>
                <w:rFonts w:hint="eastAsia" w:ascii="宋体" w:hAnsi="宋体" w:cs="宋体"/>
                <w:b/>
                <w:bCs/>
                <w:sz w:val="18"/>
                <w:szCs w:val="18"/>
              </w:rPr>
              <w:t xml:space="preserve">档案管理（4分）</w:t>
            </w:r>
            <w:r>
              <w:rPr>
                <w:rFonts w:hint="eastAsia" w:ascii="宋体" w:hAnsi="宋体" w:cs="宋体"/>
                <w:sz w:val="18"/>
                <w:szCs w:val="18"/>
              </w:rPr>
              <w:t xml:space="preserve">：档案保存完整1分，管理完善1分，交接手续完备1分，查阅方便准确1分。</w:t>
            </w:r>
            <w:r/>
          </w:p>
        </w:tc>
        <w:tc>
          <w:tcPr>
            <w:tcW w:w="991" w:type="dxa"/>
            <w:vAlign w:val="top"/>
            <w:textDirection w:val="lrTb"/>
            <w:noWrap w:val="false"/>
          </w:tcPr>
          <w:p>
            <w:pPr>
              <w:pStyle w:val="961"/>
              <w:ind w:firstLine="645"/>
              <w:rPr>
                <w:rFonts w:hint="eastAsia" w:ascii="宋体" w:hAnsi="宋体" w:cs="宋体"/>
                <w:sz w:val="18"/>
                <w:szCs w:val="18"/>
              </w:rPr>
            </w:pPr>
            <w:r>
              <w:rPr>
                <w:rFonts w:hint="eastAsia" w:ascii="宋体" w:hAnsi="宋体" w:cs="宋体"/>
                <w:sz w:val="18"/>
                <w:szCs w:val="18"/>
              </w:rPr>
            </w:r>
            <w:r/>
          </w:p>
        </w:tc>
        <w:tc>
          <w:tcPr>
            <w:tcW w:w="1118" w:type="dxa"/>
            <w:vAlign w:val="top"/>
            <w:textDirection w:val="lrTb"/>
            <w:noWrap w:val="false"/>
          </w:tcPr>
          <w:p>
            <w:pPr>
              <w:pStyle w:val="961"/>
              <w:ind w:firstLine="645"/>
              <w:rPr>
                <w:rFonts w:hint="eastAsia" w:ascii="宋体" w:hAnsi="宋体" w:cs="宋体"/>
                <w:sz w:val="18"/>
                <w:szCs w:val="18"/>
              </w:rPr>
            </w:pPr>
            <w:r>
              <w:rPr>
                <w:rFonts w:hint="eastAsia" w:ascii="宋体" w:hAnsi="宋体" w:cs="宋体"/>
                <w:sz w:val="18"/>
                <w:szCs w:val="18"/>
              </w:rPr>
            </w:r>
            <w:r/>
          </w:p>
        </w:tc>
      </w:tr>
    </w:tbl>
    <w:p>
      <w:pPr>
        <w:pStyle w:val="961"/>
        <w:ind w:firstLine="480"/>
        <w:spacing w:line="360" w:lineRule="auto"/>
        <w:rPr>
          <w:rFonts w:hint="eastAsia" w:ascii="宋体" w:hAnsi="宋体" w:cs="宋体"/>
        </w:rPr>
      </w:pPr>
      <w:r>
        <w:rPr>
          <w:rFonts w:hint="eastAsia" w:ascii="宋体" w:hAnsi="宋体" w:cs="宋体"/>
        </w:rPr>
      </w:r>
      <w:r/>
    </w:p>
    <w:p>
      <w:pPr>
        <w:pStyle w:val="963"/>
        <w:numPr>
          <w:ilvl w:val="0"/>
          <w:numId w:val="0"/>
        </w:numPr>
        <w:rPr>
          <w:rFonts w:hint="eastAsia" w:ascii="宋体" w:hAnsi="宋体" w:cs="宋体"/>
          <w:b w:val="0"/>
          <w:color w:val="000000"/>
          <w:sz w:val="24"/>
        </w:rPr>
      </w:pPr>
      <w:r>
        <w:rPr>
          <w:rFonts w:hint="eastAsia" w:ascii="宋体" w:hAnsi="宋体" w:cs="宋体"/>
          <w:b w:val="0"/>
          <w:color w:val="000000"/>
          <w:sz w:val="24"/>
        </w:rPr>
      </w:r>
      <w:r/>
    </w:p>
    <w:p>
      <w:pPr>
        <w:pStyle w:val="961"/>
        <w:rPr>
          <w:rFonts w:hint="eastAsia"/>
        </w:rPr>
      </w:pPr>
      <w:r>
        <w:rPr>
          <w:rFonts w:hint="eastAsia"/>
        </w:rPr>
      </w:r>
      <w:r/>
    </w:p>
    <w:p>
      <w:pPr>
        <w:pStyle w:val="963"/>
        <w:numPr>
          <w:ilvl w:val="0"/>
          <w:numId w:val="0"/>
        </w:numPr>
        <w:ind w:left="709" w:hanging="709"/>
        <w:rPr>
          <w:rFonts w:hint="eastAsia"/>
        </w:rPr>
      </w:pPr>
      <w:r>
        <w:rPr>
          <w:rFonts w:hint="eastAsia"/>
        </w:rPr>
      </w:r>
      <w:r/>
    </w:p>
    <w:p>
      <w:pPr>
        <w:pStyle w:val="961"/>
        <w:rPr>
          <w:rFonts w:hint="eastAsia"/>
        </w:rPr>
      </w:pPr>
      <w:r>
        <w:rPr>
          <w:rFonts w:hint="eastAsia"/>
        </w:rPr>
      </w:r>
      <w:r/>
    </w:p>
    <w:p>
      <w:pPr>
        <w:pStyle w:val="961"/>
        <w:ind w:firstLine="360"/>
        <w:spacing w:line="360" w:lineRule="auto"/>
        <w:rPr>
          <w:rFonts w:hint="eastAsia" w:ascii="宋体" w:hAnsi="宋体" w:cs="宋体"/>
          <w:sz w:val="18"/>
          <w:szCs w:val="18"/>
        </w:rPr>
      </w:pPr>
      <w:r>
        <w:rPr>
          <w:rFonts w:hint="eastAsia" w:ascii="宋体" w:hAnsi="宋体" w:cs="宋体"/>
          <w:sz w:val="18"/>
          <w:szCs w:val="18"/>
        </w:rPr>
        <w:t xml:space="preserve">扣款按每月付款金额的百分比计算（见下表）:</w:t>
      </w:r>
      <w:r/>
    </w:p>
    <w:tbl>
      <w:tblPr>
        <w:tblW w:w="13533" w:type="dxa"/>
        <w:jc w:val="center"/>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29" w:type="dxa"/>
          <w:right w:w="108" w:type="dxa"/>
          <w:bottom w:w="29" w:type="dxa"/>
        </w:tblCellMar>
        <w:tblLook w:val="04A0" w:firstRow="1" w:lastRow="0" w:firstColumn="1" w:lastColumn="0" w:noHBand="0" w:noVBand="1"/>
      </w:tblPr>
      <w:tblGrid>
        <w:gridCol w:w="3863"/>
        <w:gridCol w:w="3499"/>
        <w:gridCol w:w="6171"/>
      </w:tblGrid>
      <w:tr>
        <w:trPr>
          <w:trHeight w:val="344"/>
        </w:trPr>
        <w:tc>
          <w:tcPr>
            <w:tcW w:w="3863" w:type="dxa"/>
            <w:vAlign w:val="center"/>
            <w:textDirection w:val="lrTb"/>
            <w:noWrap/>
          </w:tcPr>
          <w:p>
            <w:pPr>
              <w:pStyle w:val="961"/>
              <w:jc w:val="center"/>
              <w:rPr>
                <w:rFonts w:hint="eastAsia" w:ascii="宋体" w:hAnsi="宋体" w:cs="宋体"/>
                <w:sz w:val="18"/>
                <w:szCs w:val="18"/>
              </w:rPr>
            </w:pPr>
            <w:r>
              <w:rPr>
                <w:rFonts w:hint="eastAsia" w:ascii="宋体" w:hAnsi="宋体" w:cs="宋体"/>
                <w:sz w:val="18"/>
                <w:szCs w:val="18"/>
              </w:rPr>
              <w:t xml:space="preserve">序号</w:t>
            </w:r>
            <w:r/>
          </w:p>
        </w:tc>
        <w:tc>
          <w:tcPr>
            <w:tcW w:w="3499" w:type="dxa"/>
            <w:vAlign w:val="center"/>
            <w:textDirection w:val="lrTb"/>
            <w:noWrap/>
          </w:tcPr>
          <w:p>
            <w:pPr>
              <w:pStyle w:val="961"/>
              <w:jc w:val="center"/>
              <w:rPr>
                <w:rFonts w:hint="eastAsia" w:ascii="宋体" w:hAnsi="宋体" w:cs="宋体"/>
                <w:sz w:val="18"/>
                <w:szCs w:val="18"/>
              </w:rPr>
            </w:pPr>
            <w:r>
              <w:rPr>
                <w:rFonts w:hint="eastAsia" w:ascii="宋体" w:hAnsi="宋体" w:cs="宋体"/>
                <w:sz w:val="18"/>
                <w:szCs w:val="18"/>
              </w:rPr>
              <w:t xml:space="preserve">中标公司考核得分</w:t>
            </w:r>
            <w:r/>
          </w:p>
        </w:tc>
        <w:tc>
          <w:tcPr>
            <w:tcW w:w="6171" w:type="dxa"/>
            <w:vAlign w:val="center"/>
            <w:textDirection w:val="lrTb"/>
            <w:noWrap/>
          </w:tcPr>
          <w:p>
            <w:pPr>
              <w:pStyle w:val="961"/>
              <w:jc w:val="center"/>
              <w:rPr>
                <w:rFonts w:hint="eastAsia" w:ascii="宋体" w:hAnsi="宋体" w:cs="宋体"/>
                <w:sz w:val="18"/>
                <w:szCs w:val="18"/>
              </w:rPr>
            </w:pPr>
            <w:r>
              <w:rPr>
                <w:rFonts w:hint="eastAsia" w:ascii="宋体" w:hAnsi="宋体" w:cs="宋体"/>
                <w:sz w:val="18"/>
                <w:szCs w:val="18"/>
              </w:rPr>
              <w:t xml:space="preserve">月度服务质量系数</w:t>
            </w:r>
            <w:r/>
          </w:p>
        </w:tc>
      </w:tr>
      <w:tr>
        <w:trPr>
          <w:trHeight w:val="254"/>
        </w:trPr>
        <w:tc>
          <w:tcPr>
            <w:tcW w:w="3863" w:type="dxa"/>
            <w:vAlign w:val="center"/>
            <w:textDirection w:val="lrTb"/>
            <w:noWrap/>
          </w:tcPr>
          <w:p>
            <w:pPr>
              <w:pStyle w:val="961"/>
              <w:jc w:val="center"/>
              <w:rPr>
                <w:rFonts w:hint="eastAsia" w:ascii="宋体" w:hAnsi="宋体" w:cs="宋体"/>
                <w:sz w:val="18"/>
                <w:szCs w:val="18"/>
              </w:rPr>
            </w:pPr>
            <w:r>
              <w:rPr>
                <w:rFonts w:hint="eastAsia" w:ascii="宋体" w:hAnsi="宋体" w:cs="宋体"/>
                <w:sz w:val="18"/>
                <w:szCs w:val="18"/>
              </w:rPr>
              <w:t xml:space="preserve">1</w:t>
            </w:r>
            <w:r/>
          </w:p>
        </w:tc>
        <w:tc>
          <w:tcPr>
            <w:tcW w:w="3499" w:type="dxa"/>
            <w:vAlign w:val="center"/>
            <w:textDirection w:val="lrTb"/>
            <w:noWrap/>
          </w:tcPr>
          <w:p>
            <w:pPr>
              <w:pStyle w:val="961"/>
              <w:jc w:val="center"/>
              <w:rPr>
                <w:rFonts w:hint="eastAsia" w:ascii="宋体" w:hAnsi="宋体" w:cs="宋体"/>
                <w:sz w:val="18"/>
                <w:szCs w:val="18"/>
              </w:rPr>
            </w:pPr>
            <w:r>
              <w:rPr>
                <w:rFonts w:hint="eastAsia" w:ascii="宋体" w:hAnsi="宋体" w:cs="宋体"/>
                <w:sz w:val="18"/>
                <w:szCs w:val="18"/>
              </w:rPr>
              <w:t xml:space="preserve">&lt;65分（不含65分）</w:t>
            </w:r>
            <w:r/>
          </w:p>
        </w:tc>
        <w:tc>
          <w:tcPr>
            <w:tcW w:w="6171" w:type="dxa"/>
            <w:vAlign w:val="center"/>
            <w:textDirection w:val="lrTb"/>
            <w:noWrap/>
          </w:tcPr>
          <w:p>
            <w:pPr>
              <w:pStyle w:val="961"/>
              <w:jc w:val="center"/>
              <w:rPr>
                <w:rFonts w:hint="eastAsia" w:ascii="宋体" w:hAnsi="宋体" w:cs="宋体"/>
                <w:sz w:val="18"/>
                <w:szCs w:val="18"/>
              </w:rPr>
            </w:pPr>
            <w:r>
              <w:rPr>
                <w:rFonts w:hint="eastAsia" w:ascii="宋体" w:hAnsi="宋体" w:cs="宋体"/>
                <w:sz w:val="18"/>
                <w:szCs w:val="18"/>
              </w:rPr>
              <w:t xml:space="preserve">-5%，连续三个月整改未达标采购人可要求中标方退场</w:t>
            </w:r>
            <w:r/>
          </w:p>
        </w:tc>
      </w:tr>
      <w:tr>
        <w:trPr>
          <w:trHeight w:val="24"/>
        </w:trPr>
        <w:tc>
          <w:tcPr>
            <w:tcW w:w="3863" w:type="dxa"/>
            <w:vAlign w:val="center"/>
            <w:textDirection w:val="lrTb"/>
            <w:noWrap/>
          </w:tcPr>
          <w:p>
            <w:pPr>
              <w:pStyle w:val="961"/>
              <w:jc w:val="center"/>
              <w:rPr>
                <w:rFonts w:hint="eastAsia" w:ascii="宋体" w:hAnsi="宋体" w:cs="宋体"/>
                <w:sz w:val="18"/>
                <w:szCs w:val="18"/>
              </w:rPr>
            </w:pPr>
            <w:r>
              <w:rPr>
                <w:rFonts w:hint="eastAsia" w:ascii="宋体" w:hAnsi="宋体" w:cs="宋体"/>
                <w:sz w:val="18"/>
                <w:szCs w:val="18"/>
              </w:rPr>
              <w:t xml:space="preserve">2</w:t>
            </w:r>
            <w:r/>
          </w:p>
        </w:tc>
        <w:tc>
          <w:tcPr>
            <w:tcW w:w="3499" w:type="dxa"/>
            <w:vAlign w:val="center"/>
            <w:textDirection w:val="lrTb"/>
            <w:noWrap/>
          </w:tcPr>
          <w:p>
            <w:pPr>
              <w:pStyle w:val="961"/>
              <w:jc w:val="center"/>
              <w:rPr>
                <w:rFonts w:hint="eastAsia" w:ascii="宋体" w:hAnsi="宋体" w:cs="宋体"/>
                <w:sz w:val="18"/>
                <w:szCs w:val="18"/>
              </w:rPr>
            </w:pPr>
            <w:r>
              <w:rPr>
                <w:rFonts w:hint="eastAsia" w:ascii="宋体" w:hAnsi="宋体" w:cs="宋体"/>
                <w:sz w:val="18"/>
                <w:szCs w:val="18"/>
              </w:rPr>
              <w:t xml:space="preserve">65-75分（不含75分）</w:t>
            </w:r>
            <w:r/>
          </w:p>
        </w:tc>
        <w:tc>
          <w:tcPr>
            <w:tcW w:w="6171" w:type="dxa"/>
            <w:vAlign w:val="center"/>
            <w:textDirection w:val="lrTb"/>
            <w:noWrap/>
          </w:tcPr>
          <w:p>
            <w:pPr>
              <w:pStyle w:val="961"/>
              <w:jc w:val="center"/>
              <w:rPr>
                <w:rFonts w:hint="eastAsia" w:ascii="宋体" w:hAnsi="宋体" w:cs="宋体"/>
                <w:sz w:val="18"/>
                <w:szCs w:val="18"/>
              </w:rPr>
            </w:pPr>
            <w:r>
              <w:rPr>
                <w:rFonts w:hint="eastAsia" w:ascii="宋体" w:hAnsi="宋体" w:cs="宋体"/>
                <w:sz w:val="18"/>
                <w:szCs w:val="18"/>
              </w:rPr>
              <w:t xml:space="preserve">-3%</w:t>
            </w:r>
            <w:r/>
          </w:p>
        </w:tc>
      </w:tr>
      <w:tr>
        <w:trPr>
          <w:trHeight w:val="24"/>
        </w:trPr>
        <w:tc>
          <w:tcPr>
            <w:tcW w:w="3863" w:type="dxa"/>
            <w:vAlign w:val="center"/>
            <w:textDirection w:val="lrTb"/>
            <w:noWrap/>
          </w:tcPr>
          <w:p>
            <w:pPr>
              <w:pStyle w:val="961"/>
              <w:jc w:val="center"/>
              <w:rPr>
                <w:rFonts w:hint="eastAsia" w:ascii="宋体" w:hAnsi="宋体" w:cs="宋体"/>
                <w:sz w:val="18"/>
                <w:szCs w:val="18"/>
              </w:rPr>
            </w:pPr>
            <w:r>
              <w:rPr>
                <w:rFonts w:hint="eastAsia" w:ascii="宋体" w:hAnsi="宋体" w:cs="宋体"/>
                <w:sz w:val="18"/>
                <w:szCs w:val="18"/>
              </w:rPr>
              <w:t xml:space="preserve">3</w:t>
            </w:r>
            <w:r/>
          </w:p>
        </w:tc>
        <w:tc>
          <w:tcPr>
            <w:tcW w:w="3499" w:type="dxa"/>
            <w:vAlign w:val="center"/>
            <w:textDirection w:val="lrTb"/>
            <w:noWrap/>
          </w:tcPr>
          <w:p>
            <w:pPr>
              <w:pStyle w:val="961"/>
              <w:jc w:val="center"/>
              <w:rPr>
                <w:rFonts w:hint="eastAsia" w:ascii="宋体" w:hAnsi="宋体" w:cs="宋体"/>
                <w:sz w:val="18"/>
                <w:szCs w:val="18"/>
              </w:rPr>
            </w:pPr>
            <w:r>
              <w:rPr>
                <w:rFonts w:hint="eastAsia" w:ascii="宋体" w:hAnsi="宋体" w:cs="宋体"/>
                <w:sz w:val="18"/>
                <w:szCs w:val="18"/>
              </w:rPr>
              <w:t xml:space="preserve">75-85 分（不含85分）</w:t>
            </w:r>
            <w:r/>
          </w:p>
        </w:tc>
        <w:tc>
          <w:tcPr>
            <w:tcW w:w="6171" w:type="dxa"/>
            <w:vAlign w:val="center"/>
            <w:textDirection w:val="lrTb"/>
            <w:noWrap/>
          </w:tcPr>
          <w:p>
            <w:pPr>
              <w:pStyle w:val="961"/>
              <w:jc w:val="center"/>
              <w:rPr>
                <w:rFonts w:hint="eastAsia" w:ascii="宋体" w:hAnsi="宋体" w:cs="宋体"/>
                <w:sz w:val="18"/>
                <w:szCs w:val="18"/>
              </w:rPr>
            </w:pPr>
            <w:r>
              <w:rPr>
                <w:rFonts w:hint="eastAsia" w:ascii="宋体" w:hAnsi="宋体" w:cs="宋体"/>
                <w:sz w:val="18"/>
                <w:szCs w:val="18"/>
              </w:rPr>
              <w:t xml:space="preserve">-1%</w:t>
            </w:r>
            <w:r/>
          </w:p>
        </w:tc>
      </w:tr>
      <w:tr>
        <w:trPr>
          <w:trHeight w:val="207"/>
        </w:trPr>
        <w:tc>
          <w:tcPr>
            <w:tcW w:w="3863" w:type="dxa"/>
            <w:vAlign w:val="center"/>
            <w:textDirection w:val="lrTb"/>
            <w:noWrap/>
          </w:tcPr>
          <w:p>
            <w:pPr>
              <w:pStyle w:val="961"/>
              <w:jc w:val="center"/>
              <w:rPr>
                <w:rFonts w:hint="eastAsia" w:ascii="宋体" w:hAnsi="宋体" w:cs="宋体"/>
                <w:sz w:val="18"/>
                <w:szCs w:val="18"/>
              </w:rPr>
            </w:pPr>
            <w:r>
              <w:rPr>
                <w:rFonts w:hint="eastAsia" w:ascii="宋体" w:hAnsi="宋体" w:cs="宋体"/>
                <w:sz w:val="18"/>
                <w:szCs w:val="18"/>
              </w:rPr>
              <w:t xml:space="preserve">4</w:t>
            </w:r>
            <w:r/>
          </w:p>
        </w:tc>
        <w:tc>
          <w:tcPr>
            <w:tcW w:w="3499" w:type="dxa"/>
            <w:vAlign w:val="center"/>
            <w:textDirection w:val="lrTb"/>
            <w:noWrap/>
          </w:tcPr>
          <w:p>
            <w:pPr>
              <w:pStyle w:val="961"/>
              <w:jc w:val="center"/>
              <w:rPr>
                <w:rFonts w:hint="eastAsia" w:ascii="宋体" w:hAnsi="宋体" w:cs="宋体"/>
                <w:sz w:val="18"/>
                <w:szCs w:val="18"/>
              </w:rPr>
            </w:pPr>
            <w:r>
              <w:rPr>
                <w:rFonts w:hint="eastAsia" w:ascii="宋体" w:hAnsi="宋体" w:cs="宋体"/>
                <w:sz w:val="18"/>
                <w:szCs w:val="18"/>
              </w:rPr>
              <w:t xml:space="preserve">85-100分</w:t>
            </w:r>
            <w:r/>
          </w:p>
        </w:tc>
        <w:tc>
          <w:tcPr>
            <w:tcW w:w="6171" w:type="dxa"/>
            <w:vAlign w:val="center"/>
            <w:textDirection w:val="lrTb"/>
            <w:noWrap/>
          </w:tcPr>
          <w:p>
            <w:pPr>
              <w:pStyle w:val="961"/>
              <w:jc w:val="center"/>
              <w:rPr>
                <w:rFonts w:hint="eastAsia" w:ascii="宋体" w:hAnsi="宋体" w:cs="宋体"/>
                <w:sz w:val="18"/>
                <w:szCs w:val="18"/>
              </w:rPr>
            </w:pPr>
            <w:r>
              <w:rPr>
                <w:rFonts w:hint="eastAsia" w:ascii="宋体" w:hAnsi="宋体" w:cs="宋体"/>
                <w:sz w:val="18"/>
                <w:szCs w:val="18"/>
              </w:rPr>
              <w:t xml:space="preserve">0%</w:t>
            </w:r>
            <w:r/>
          </w:p>
        </w:tc>
      </w:tr>
    </w:tbl>
    <w:p>
      <w:pPr>
        <w:pStyle w:val="961"/>
        <w:rPr>
          <w:rFonts w:hint="eastAsia" w:ascii="宋体" w:hAnsi="宋体" w:cs="宋体"/>
          <w:sz w:val="18"/>
          <w:szCs w:val="18"/>
        </w:rPr>
      </w:pPr>
      <w:r>
        <w:rPr>
          <w:rFonts w:hint="eastAsia" w:ascii="宋体" w:hAnsi="宋体" w:cs="宋体"/>
          <w:sz w:val="18"/>
          <w:szCs w:val="18"/>
        </w:rPr>
      </w:r>
      <w:r/>
    </w:p>
    <w:p>
      <w:pPr>
        <w:pStyle w:val="961"/>
        <w:rPr>
          <w:rFonts w:hint="eastAsia" w:ascii="宋体" w:hAnsi="宋体" w:cs="宋体"/>
          <w:sz w:val="18"/>
          <w:szCs w:val="18"/>
        </w:rPr>
      </w:pPr>
      <w:r>
        <w:rPr>
          <w:rFonts w:hint="eastAsia" w:ascii="宋体" w:hAnsi="宋体" w:cs="宋体"/>
          <w:sz w:val="18"/>
          <w:szCs w:val="18"/>
        </w:rPr>
      </w:r>
      <w:r/>
    </w:p>
    <w:p>
      <w:pPr>
        <w:pStyle w:val="961"/>
        <w:rPr>
          <w:rFonts w:hint="eastAsia" w:ascii="宋体" w:hAnsi="宋体" w:cs="宋体"/>
          <w:sz w:val="18"/>
          <w:szCs w:val="18"/>
        </w:rPr>
      </w:pPr>
      <w:r>
        <w:rPr>
          <w:rFonts w:hint="eastAsia" w:ascii="宋体" w:hAnsi="宋体" w:cs="宋体"/>
          <w:sz w:val="18"/>
          <w:szCs w:val="18"/>
        </w:rPr>
        <w:t xml:space="preserve">附表1：工作人员工作服装采购要求：符合泰兴市急救中心要求。</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0"/>
        <w:gridCol w:w="1180"/>
        <w:gridCol w:w="1180"/>
        <w:gridCol w:w="1180"/>
        <w:gridCol w:w="1180"/>
        <w:gridCol w:w="1180"/>
        <w:gridCol w:w="1180"/>
        <w:gridCol w:w="1180"/>
        <w:gridCol w:w="2363"/>
      </w:tblGrid>
      <w:tr>
        <w:trPr>
          <w:trHeight w:val="634"/>
        </w:trPr>
        <w:tc>
          <w:tcPr>
            <w:tcW w:w="1180" w:type="dxa"/>
            <w:vAlign w:val="center"/>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t xml:space="preserve">名称</w:t>
            </w:r>
            <w:r/>
          </w:p>
        </w:tc>
        <w:tc>
          <w:tcPr>
            <w:tcW w:w="1180" w:type="dxa"/>
            <w:vAlign w:val="center"/>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t xml:space="preserve">短袖工装</w:t>
            </w:r>
            <w:r/>
          </w:p>
        </w:tc>
        <w:tc>
          <w:tcPr>
            <w:tcW w:w="1180" w:type="dxa"/>
            <w:vAlign w:val="center"/>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t xml:space="preserve">长袖工装</w:t>
            </w:r>
            <w:r/>
          </w:p>
        </w:tc>
        <w:tc>
          <w:tcPr>
            <w:tcW w:w="1180" w:type="dxa"/>
            <w:vAlign w:val="center"/>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t xml:space="preserve">藏青夹克</w:t>
            </w:r>
            <w:r/>
          </w:p>
        </w:tc>
        <w:tc>
          <w:tcPr>
            <w:tcW w:w="1180" w:type="dxa"/>
            <w:vAlign w:val="center"/>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t xml:space="preserve">大衣冬衣</w:t>
            </w:r>
            <w:r/>
          </w:p>
        </w:tc>
        <w:tc>
          <w:tcPr>
            <w:tcW w:w="1180" w:type="dxa"/>
            <w:vAlign w:val="center"/>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t xml:space="preserve">急救马甲反光背心</w:t>
            </w:r>
            <w:r/>
          </w:p>
        </w:tc>
        <w:tc>
          <w:tcPr>
            <w:tcW w:w="1180" w:type="dxa"/>
            <w:vAlign w:val="center"/>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t xml:space="preserve">硬肩章对</w:t>
            </w:r>
            <w:r/>
          </w:p>
        </w:tc>
        <w:tc>
          <w:tcPr>
            <w:tcW w:w="1180" w:type="dxa"/>
            <w:vAlign w:val="center"/>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t xml:space="preserve">软肩章对</w:t>
            </w:r>
            <w:r/>
          </w:p>
        </w:tc>
        <w:tc>
          <w:tcPr>
            <w:tcW w:w="2363" w:type="dxa"/>
            <w:vAlign w:val="center"/>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t xml:space="preserve">袖标+胸标+岗位标</w:t>
            </w:r>
            <w:r/>
          </w:p>
        </w:tc>
      </w:tr>
      <w:tr>
        <w:trPr>
          <w:trHeight w:val="477"/>
        </w:trPr>
        <w:tc>
          <w:tcPr>
            <w:tcW w:w="1180" w:type="dxa"/>
            <w:vAlign w:val="center"/>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t xml:space="preserve">件数</w:t>
            </w:r>
            <w:r/>
          </w:p>
        </w:tc>
        <w:tc>
          <w:tcPr>
            <w:tcW w:w="1180" w:type="dxa"/>
            <w:vAlign w:val="center"/>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t xml:space="preserve">3</w:t>
            </w:r>
            <w:r/>
          </w:p>
        </w:tc>
        <w:tc>
          <w:tcPr>
            <w:tcW w:w="1180" w:type="dxa"/>
            <w:vAlign w:val="center"/>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t xml:space="preserve">2</w:t>
            </w:r>
            <w:r/>
          </w:p>
        </w:tc>
        <w:tc>
          <w:tcPr>
            <w:tcW w:w="1180" w:type="dxa"/>
            <w:vAlign w:val="center"/>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t xml:space="preserve">1</w:t>
            </w:r>
            <w:r/>
          </w:p>
        </w:tc>
        <w:tc>
          <w:tcPr>
            <w:tcW w:w="1180" w:type="dxa"/>
            <w:vAlign w:val="center"/>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t xml:space="preserve">1</w:t>
            </w:r>
            <w:r/>
          </w:p>
        </w:tc>
        <w:tc>
          <w:tcPr>
            <w:tcW w:w="1180" w:type="dxa"/>
            <w:vAlign w:val="center"/>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t xml:space="preserve">2</w:t>
            </w:r>
            <w:r/>
          </w:p>
        </w:tc>
        <w:tc>
          <w:tcPr>
            <w:tcW w:w="1180" w:type="dxa"/>
            <w:vAlign w:val="center"/>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t xml:space="preserve">2</w:t>
            </w:r>
            <w:r/>
          </w:p>
        </w:tc>
        <w:tc>
          <w:tcPr>
            <w:tcW w:w="1180" w:type="dxa"/>
            <w:vAlign w:val="center"/>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t xml:space="preserve">2</w:t>
            </w:r>
            <w:r/>
          </w:p>
        </w:tc>
        <w:tc>
          <w:tcPr>
            <w:tcW w:w="2363" w:type="dxa"/>
            <w:vAlign w:val="center"/>
            <w:textDirection w:val="lrTb"/>
            <w:noWrap w:val="false"/>
          </w:tcPr>
          <w:p>
            <w:pPr>
              <w:pStyle w:val="961"/>
              <w:ind w:firstLine="1080"/>
              <w:rPr>
                <w:rFonts w:hint="eastAsia" w:ascii="宋体" w:hAnsi="宋体" w:cs="宋体"/>
                <w:sz w:val="18"/>
                <w:szCs w:val="18"/>
              </w:rPr>
            </w:pPr>
            <w:r>
              <w:rPr>
                <w:rFonts w:hint="eastAsia" w:ascii="宋体" w:hAnsi="宋体" w:cs="宋体"/>
                <w:sz w:val="18"/>
                <w:szCs w:val="18"/>
              </w:rPr>
              <w:t xml:space="preserve">2</w:t>
            </w:r>
            <w:r/>
          </w:p>
        </w:tc>
      </w:tr>
    </w:tbl>
    <w:p>
      <w:pPr>
        <w:pStyle w:val="1010"/>
        <w:spacing w:line="520" w:lineRule="exact"/>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注：所有工作人员工作服款式必须与泰兴市急救中心当下款式一致。（款式</w:t>
      </w:r>
      <w:r>
        <w:rPr>
          <w:rFonts w:hint="eastAsia" w:ascii="宋体" w:hAnsi="宋体" w:eastAsia="宋体" w:cs="宋体"/>
          <w:color w:val="000000"/>
          <w:sz w:val="18"/>
          <w:szCs w:val="18"/>
        </w:rPr>
        <w:t xml:space="preserve">如下</w:t>
      </w:r>
      <w:r>
        <w:rPr>
          <w:rFonts w:hint="eastAsia" w:ascii="宋体" w:hAnsi="宋体" w:eastAsia="宋体" w:cs="宋体"/>
          <w:color w:val="000000"/>
          <w:sz w:val="18"/>
          <w:szCs w:val="18"/>
        </w:rPr>
        <w:t xml:space="preserve">）</w:t>
      </w:r>
      <w:r/>
    </w:p>
    <w:p>
      <w:pPr>
        <w:pStyle w:val="1010"/>
        <w:spacing w:line="520" w:lineRule="exact"/>
        <w:rPr>
          <w:rFonts w:hint="eastAsia" w:ascii="宋体" w:hAnsi="宋体" w:eastAsia="宋体" w:cs="宋体"/>
          <w:color w:val="000000"/>
          <w:sz w:val="18"/>
          <w:szCs w:val="18"/>
        </w:rPr>
      </w:pPr>
      <w:r>
        <w:rPr>
          <w:rFonts w:hint="eastAsia" w:ascii="宋体" w:hAnsi="宋体" w:eastAsia="宋体" w:cs="宋体"/>
          <w:color w:val="000000"/>
          <w:sz w:val="18"/>
          <w:szCs w:val="18"/>
        </w:rPr>
      </w:r>
      <w:r/>
    </w:p>
    <w:p>
      <w:pPr>
        <w:pStyle w:val="1010"/>
        <w:spacing w:line="520" w:lineRule="exact"/>
        <w:rPr>
          <w:rFonts w:hint="eastAsia" w:ascii="宋体" w:hAnsi="宋体" w:eastAsia="宋体" w:cs="宋体"/>
          <w:color w:val="000000"/>
          <w:sz w:val="18"/>
          <w:szCs w:val="18"/>
        </w:rPr>
      </w:pPr>
      <w:r>
        <w:rPr>
          <w:rFonts w:hint="eastAsia" w:ascii="宋体" w:hAnsi="宋体" w:eastAsia="宋体" w:cs="宋体"/>
          <w:color w:val="000000"/>
          <w:sz w:val="18"/>
          <w:szCs w:val="18"/>
        </w:rPr>
      </w:r>
      <w:r/>
    </w:p>
    <w:p>
      <w:pPr>
        <w:pStyle w:val="1010"/>
        <w:spacing w:line="520" w:lineRule="exact"/>
        <w:rPr>
          <w:rFonts w:hint="eastAsia" w:ascii="宋体" w:hAnsi="宋体" w:eastAsia="宋体" w:cs="宋体"/>
          <w:color w:val="000000"/>
          <w:sz w:val="18"/>
          <w:szCs w:val="18"/>
        </w:rPr>
      </w:pPr>
      <w:r>
        <w:rPr>
          <w:rFonts w:hint="eastAsia" w:ascii="宋体" w:hAnsi="宋体" w:eastAsia="宋体" w:cs="宋体"/>
          <w:color w:val="000000"/>
          <w:sz w:val="18"/>
          <w:szCs w:val="18"/>
        </w:rPr>
      </w:r>
      <w:r/>
    </w:p>
    <w:p>
      <w:pPr>
        <w:pStyle w:val="1010"/>
        <w:spacing w:line="520" w:lineRule="exact"/>
        <w:rPr>
          <w:rFonts w:hint="eastAsia" w:ascii="宋体" w:hAnsi="宋体" w:eastAsia="宋体" w:cs="宋体"/>
          <w:color w:val="000000"/>
          <w:sz w:val="18"/>
          <w:szCs w:val="18"/>
        </w:rPr>
      </w:pPr>
      <w:r>
        <w:rPr>
          <w:rFonts w:hint="eastAsia" w:ascii="宋体" w:hAnsi="宋体" w:eastAsia="宋体" w:cs="宋体"/>
          <w:color w:val="000000"/>
          <w:sz w:val="18"/>
          <w:szCs w:val="18"/>
        </w:rPr>
      </w:r>
      <w:r/>
    </w:p>
    <w:p>
      <w:pPr>
        <w:pStyle w:val="1010"/>
        <w:spacing w:line="520" w:lineRule="exact"/>
        <w:rPr>
          <w:rFonts w:hint="eastAsia" w:ascii="宋体" w:hAnsi="宋体" w:eastAsia="宋体" w:cs="宋体"/>
          <w:color w:val="000000"/>
          <w:sz w:val="18"/>
          <w:szCs w:val="18"/>
        </w:rPr>
      </w:pPr>
      <w:r>
        <w:rPr>
          <w:rFonts w:hint="eastAsia" w:ascii="宋体" w:hAnsi="宋体" w:eastAsia="宋体" w:cs="宋体"/>
          <w:color w:val="000000"/>
          <w:sz w:val="18"/>
          <w:szCs w:val="18"/>
        </w:rPr>
      </w:r>
      <w:r/>
    </w:p>
    <w:p>
      <w:pPr>
        <w:pStyle w:val="1010"/>
        <w:spacing w:line="520" w:lineRule="exact"/>
        <w:rPr>
          <w:rFonts w:hint="eastAsia" w:ascii="宋体" w:hAnsi="宋体" w:eastAsia="宋体" w:cs="宋体"/>
          <w:color w:val="000000"/>
          <w:sz w:val="18"/>
          <w:szCs w:val="18"/>
        </w:rPr>
      </w:pPr>
      <w:r>
        <w:rPr>
          <w:rFonts w:hint="eastAsia" w:ascii="宋体" w:hAnsi="宋体" w:eastAsia="宋体" w:cs="宋体"/>
          <w:color w:val="000000"/>
          <w:sz w:val="18"/>
          <w:szCs w:val="18"/>
        </w:rPr>
      </w:r>
      <w:r/>
    </w:p>
    <w:p>
      <w:pPr>
        <w:pStyle w:val="961"/>
        <w:sectPr>
          <w:footerReference w:type="default" r:id="rId13"/>
          <w:footnotePr/>
          <w:endnotePr/>
          <w:type w:val="nextPage"/>
          <w:pgSz w:w="16838" w:h="11906" w:orient="landscape"/>
          <w:pgMar w:top="1559" w:right="1440" w:bottom="1418" w:left="1440" w:header="851" w:footer="992" w:gutter="0"/>
          <w:cols w:num="1" w:sep="0" w:space="720" w:equalWidth="1"/>
          <w:docGrid w:linePitch="360"/>
        </w:sectPr>
      </w:pPr>
      <w:r/>
      <w:r/>
    </w:p>
    <w:p>
      <w:pPr>
        <w:pStyle w:val="961"/>
        <w:jc w:val="left"/>
      </w:pPr>
      <w:r>
        <w:rPr>
          <w:rFonts w:hint="eastAsia"/>
          <w:sz w:val="32"/>
          <w:szCs w:val="32"/>
        </w:rPr>
        <w:t xml:space="preserve">短袖衬衫</w:t>
      </w:r>
      <w:r>
        <mc:AlternateContent>
          <mc:Choice Requires="wpg">
            <w:drawing>
              <wp:inline xmlns:wp="http://schemas.openxmlformats.org/drawingml/2006/wordprocessingDrawing" distT="0" distB="0" distL="0" distR="0">
                <wp:extent cx="6177534" cy="3749167"/>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6177534" cy="37491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86.4pt;height:295.2pt;mso-wrap-distance-left:0.0pt;mso-wrap-distance-top:0.0pt;mso-wrap-distance-right:0.0pt;mso-wrap-distance-bottom:0.0pt;" stroked="f">
                <v:path textboxrect="0,0,0,0"/>
                <v:imagedata r:id="rId14" o:title=""/>
              </v:shape>
            </w:pict>
          </mc:Fallback>
        </mc:AlternateContent>
      </w:r>
      <w:r/>
    </w:p>
    <w:p>
      <w:pPr>
        <w:pStyle w:val="961"/>
        <w:jc w:val="left"/>
      </w:pPr>
      <w:r>
        <w:rPr>
          <w:rFonts w:hint="eastAsia"/>
          <w:sz w:val="32"/>
          <w:szCs w:val="32"/>
        </w:rPr>
        <w:t xml:space="preserve">长袖衬衫</w:t>
      </w:r>
      <w:r>
        <mc:AlternateContent>
          <mc:Choice Requires="wpg">
            <w:drawing>
              <wp:inline xmlns:wp="http://schemas.openxmlformats.org/drawingml/2006/wordprocessingDrawing" distT="0" distB="0" distL="0" distR="0">
                <wp:extent cx="6185040" cy="3872865"/>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6185040" cy="38728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87.0pt;height:304.9pt;mso-wrap-distance-left:0.0pt;mso-wrap-distance-top:0.0pt;mso-wrap-distance-right:0.0pt;mso-wrap-distance-bottom:0.0pt;" stroked="f">
                <v:path textboxrect="0,0,0,0"/>
                <v:imagedata r:id="rId15" o:title=""/>
              </v:shape>
            </w:pict>
          </mc:Fallback>
        </mc:AlternateContent>
      </w:r>
      <w:r/>
    </w:p>
    <w:p>
      <w:pPr>
        <w:pStyle w:val="961"/>
        <w:jc w:val="left"/>
      </w:pPr>
      <w:r/>
      <w:r/>
    </w:p>
    <w:p>
      <w:pPr>
        <w:pStyle w:val="961"/>
        <w:jc w:val="left"/>
        <w:rPr>
          <w:sz w:val="32"/>
          <w:szCs w:val="32"/>
        </w:rPr>
      </w:pPr>
      <w:r>
        <w:rPr>
          <w:rFonts w:hint="eastAsia"/>
          <w:sz w:val="32"/>
          <w:szCs w:val="32"/>
        </w:rPr>
        <w:t xml:space="preserve">速干作训裤</w:t>
      </w:r>
      <w:r>
        <w:rPr>
          <w:sz w:val="32"/>
          <w:szCs w:val="32"/>
        </w:rPr>
      </w:r>
      <w:r/>
    </w:p>
    <w:p>
      <w:pPr>
        <w:pStyle w:val="961"/>
        <w:jc w:val="left"/>
      </w:pPr>
      <w:r>
        <mc:AlternateContent>
          <mc:Choice Requires="wpg">
            <w:drawing>
              <wp:inline xmlns:wp="http://schemas.openxmlformats.org/drawingml/2006/wordprocessingDrawing" distT="0" distB="0" distL="0" distR="0">
                <wp:extent cx="4050792" cy="3656724"/>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4050792" cy="36567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19.0pt;height:287.9pt;mso-wrap-distance-left:0.0pt;mso-wrap-distance-top:0.0pt;mso-wrap-distance-right:0.0pt;mso-wrap-distance-bottom:0.0pt;" stroked="f">
                <v:path textboxrect="0,0,0,0"/>
                <v:imagedata r:id="rId16" o:title=""/>
              </v:shape>
            </w:pict>
          </mc:Fallback>
        </mc:AlternateContent>
      </w:r>
      <w:r/>
    </w:p>
    <w:p>
      <w:pPr>
        <w:pStyle w:val="961"/>
        <w:jc w:val="left"/>
      </w:pPr>
      <w:r/>
      <w:r/>
    </w:p>
    <w:p>
      <w:pPr>
        <w:pStyle w:val="961"/>
        <w:jc w:val="left"/>
        <w:rPr>
          <w:sz w:val="32"/>
          <w:szCs w:val="32"/>
        </w:rPr>
      </w:pPr>
      <w:r>
        <w:rPr>
          <w:rFonts w:hint="eastAsia"/>
          <w:sz w:val="32"/>
          <w:szCs w:val="32"/>
        </w:rPr>
        <w:t xml:space="preserve">加绒冬裤</w:t>
      </w:r>
      <w:r>
        <w:rPr>
          <w:sz w:val="32"/>
          <w:szCs w:val="32"/>
        </w:rPr>
      </w:r>
      <w:r/>
    </w:p>
    <w:p>
      <w:pPr>
        <w:pStyle w:val="961"/>
        <w:jc w:val="left"/>
        <w:sectPr>
          <w:footnotePr/>
          <w:endnotePr/>
          <w:type w:val="nextPage"/>
          <w:pgSz w:w="11906" w:h="16838" w:orient="portrait"/>
          <w:pgMar w:top="1440" w:right="1080" w:bottom="1440" w:left="1080" w:header="851" w:footer="992" w:gutter="0"/>
          <w:cols w:num="1" w:sep="0" w:space="425" w:equalWidth="1"/>
          <w:docGrid w:linePitch="360"/>
        </w:sectPr>
      </w:pPr>
      <w:r>
        <mc:AlternateContent>
          <mc:Choice Requires="wpg">
            <w:drawing>
              <wp:inline xmlns:wp="http://schemas.openxmlformats.org/drawingml/2006/wordprocessingDrawing" distT="0" distB="0" distL="0" distR="0">
                <wp:extent cx="4034422" cy="3692373"/>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4034422" cy="369237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17.7pt;height:290.7pt;mso-wrap-distance-left:0.0pt;mso-wrap-distance-top:0.0pt;mso-wrap-distance-right:0.0pt;mso-wrap-distance-bottom:0.0pt;" stroked="f">
                <v:path textboxrect="0,0,0,0"/>
                <v:imagedata r:id="rId17" o:title=""/>
              </v:shape>
            </w:pict>
          </mc:Fallback>
        </mc:AlternateContent>
      </w:r>
      <w:r/>
    </w:p>
    <w:p>
      <w:pPr>
        <w:pStyle w:val="961"/>
        <w:jc w:val="left"/>
      </w:pPr>
      <w:r>
        <w:rPr>
          <w:rFonts w:hint="eastAsia"/>
          <w:sz w:val="32"/>
          <w:szCs w:val="32"/>
        </w:rPr>
        <w:t xml:space="preserve">春秋夹克</w:t>
      </w:r>
      <w:r>
        <mc:AlternateContent>
          <mc:Choice Requires="wpg">
            <w:drawing>
              <wp:inline xmlns:wp="http://schemas.openxmlformats.org/drawingml/2006/wordprocessingDrawing" distT="0" distB="0" distL="0" distR="0">
                <wp:extent cx="5667870" cy="2997695"/>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5667870" cy="2997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46.3pt;height:236.0pt;mso-wrap-distance-left:0.0pt;mso-wrap-distance-top:0.0pt;mso-wrap-distance-right:0.0pt;mso-wrap-distance-bottom:0.0pt;" stroked="f">
                <v:path textboxrect="0,0,0,0"/>
                <v:imagedata r:id="rId18" o:title=""/>
              </v:shape>
            </w:pict>
          </mc:Fallback>
        </mc:AlternateContent>
      </w:r>
      <w:r/>
    </w:p>
    <w:p>
      <w:pPr>
        <w:pStyle w:val="961"/>
        <w:jc w:val="left"/>
      </w:pPr>
      <w:r>
        <w:rPr>
          <w:rFonts w:hint="eastAsia"/>
          <w:sz w:val="32"/>
          <w:szCs w:val="32"/>
        </w:rPr>
        <w:t xml:space="preserve">春秋登山裤</w:t>
      </w:r>
      <w:r>
        <mc:AlternateContent>
          <mc:Choice Requires="wpg">
            <w:drawing>
              <wp:inline xmlns:wp="http://schemas.openxmlformats.org/drawingml/2006/wordprocessingDrawing" distT="0" distB="0" distL="0" distR="0">
                <wp:extent cx="5526723" cy="4597502"/>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5526723" cy="459750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35.2pt;height:362.0pt;mso-wrap-distance-left:0.0pt;mso-wrap-distance-top:0.0pt;mso-wrap-distance-right:0.0pt;mso-wrap-distance-bottom:0.0pt;" stroked="f">
                <v:path textboxrect="0,0,0,0"/>
                <v:imagedata r:id="rId19" o:title=""/>
              </v:shape>
            </w:pict>
          </mc:Fallback>
        </mc:AlternateContent>
      </w:r>
      <w:r/>
    </w:p>
    <w:p>
      <w:pPr>
        <w:pStyle w:val="961"/>
        <w:jc w:val="left"/>
        <w:rPr>
          <w:sz w:val="32"/>
          <w:szCs w:val="32"/>
        </w:rPr>
      </w:pPr>
      <w:r>
        <w:rPr>
          <w:rFonts w:hint="eastAsia"/>
          <w:sz w:val="32"/>
          <w:szCs w:val="32"/>
        </w:rPr>
        <w:t xml:space="preserve">冬大衣</w:t>
      </w:r>
      <w:r>
        <w:rPr>
          <w:sz w:val="32"/>
          <w:szCs w:val="32"/>
        </w:rPr>
      </w:r>
      <w:r/>
    </w:p>
    <w:p>
      <w:pPr>
        <w:pStyle w:val="961"/>
        <w:jc w:val="left"/>
        <w:rPr>
          <w:rFonts w:ascii="宋体" w:hAnsi="宋体" w:cs="宋体"/>
        </w:rPr>
      </w:pPr>
      <w:r>
        <w:rPr>
          <w:rFonts w:ascii="宋体" w:hAnsi="宋体" w:cs="宋体"/>
        </w:rPr>
        <mc:AlternateContent>
          <mc:Choice Requires="wpg">
            <w:drawing>
              <wp:inline xmlns:wp="http://schemas.openxmlformats.org/drawingml/2006/wordprocessingDrawing" distT="0" distB="0" distL="0" distR="0">
                <wp:extent cx="5316220" cy="4036771"/>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rcRect l="0" t="676" r="0" b="6924"/>
                        <a:stretch/>
                      </pic:blipFill>
                      <pic:spPr bwMode="auto">
                        <a:xfrm>
                          <a:off x="0" y="0"/>
                          <a:ext cx="5316220" cy="403677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18.6pt;height:317.9pt;mso-wrap-distance-left:0.0pt;mso-wrap-distance-top:0.0pt;mso-wrap-distance-right:0.0pt;mso-wrap-distance-bottom:0.0pt;" stroked="f">
                <v:path textboxrect="0,0,0,0"/>
                <v:imagedata r:id="rId20" o:title=""/>
              </v:shape>
            </w:pict>
          </mc:Fallback>
        </mc:AlternateContent>
      </w:r>
      <w:r>
        <w:rPr>
          <w:rFonts w:ascii="宋体" w:hAnsi="宋体" w:cs="宋体"/>
        </w:rPr>
      </w:r>
      <w:r/>
    </w:p>
    <w:p>
      <w:pPr>
        <w:pStyle w:val="961"/>
        <w:jc w:val="left"/>
        <w:rPr>
          <w:rFonts w:ascii="宋体" w:hAnsi="宋体" w:cs="宋体"/>
          <w:sz w:val="32"/>
          <w:szCs w:val="32"/>
        </w:rPr>
      </w:pPr>
      <w:r>
        <w:rPr>
          <w:rFonts w:hint="eastAsia" w:ascii="宋体" w:hAnsi="宋体" w:cs="宋体"/>
          <w:sz w:val="32"/>
          <w:szCs w:val="32"/>
        </w:rPr>
        <w:t xml:space="preserve">羽绒内胆</w:t>
      </w:r>
      <w:r>
        <mc:AlternateContent>
          <mc:Choice Requires="wpg">
            <w:drawing>
              <wp:inline xmlns:wp="http://schemas.openxmlformats.org/drawingml/2006/wordprocessingDrawing" distT="0" distB="0" distL="0" distR="0">
                <wp:extent cx="5323078" cy="3757638"/>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5323078" cy="375763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19.1pt;height:295.9pt;mso-wrap-distance-left:0.0pt;mso-wrap-distance-top:0.0pt;mso-wrap-distance-right:0.0pt;mso-wrap-distance-bottom:0.0pt;" stroked="f">
                <v:path textboxrect="0,0,0,0"/>
                <v:imagedata r:id="rId21" o:title=""/>
              </v:shape>
            </w:pict>
          </mc:Fallback>
        </mc:AlternateContent>
      </w:r>
      <w:r>
        <w:rPr>
          <w:rFonts w:ascii="宋体" w:hAnsi="宋体" w:cs="宋体"/>
          <w:sz w:val="32"/>
          <w:szCs w:val="32"/>
        </w:rPr>
      </w:r>
      <w:r/>
    </w:p>
    <w:p>
      <w:pPr>
        <w:pStyle w:val="961"/>
        <w:jc w:val="left"/>
      </w:pPr>
      <w:r/>
      <w:r/>
    </w:p>
    <w:p>
      <w:pPr>
        <w:pStyle w:val="961"/>
        <w:jc w:val="left"/>
        <w:rPr>
          <w:sz w:val="32"/>
          <w:szCs w:val="32"/>
        </w:rPr>
      </w:pPr>
      <w:r>
        <w:rPr>
          <w:rFonts w:hint="eastAsia"/>
          <w:sz w:val="32"/>
          <w:szCs w:val="32"/>
        </w:rPr>
        <w:t xml:space="preserve">硬肩章                         软肩章</w:t>
      </w:r>
      <w:r>
        <w:rPr>
          <w:sz w:val="32"/>
          <w:szCs w:val="32"/>
        </w:rPr>
      </w:r>
      <w:r/>
    </w:p>
    <w:p>
      <w:pPr>
        <w:pStyle w:val="961"/>
        <w:jc w:val="left"/>
      </w:pPr>
      <w:r>
        <mc:AlternateContent>
          <mc:Choice Requires="wpg">
            <w:drawing>
              <wp:inline xmlns:wp="http://schemas.openxmlformats.org/drawingml/2006/wordprocessingDrawing" distT="0" distB="0" distL="0" distR="0">
                <wp:extent cx="2665603" cy="1079689"/>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2665603" cy="1079689"/>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209.9pt;height:85.0pt;mso-wrap-distance-left:0.0pt;mso-wrap-distance-top:0.0pt;mso-wrap-distance-right:0.0pt;mso-wrap-distance-bottom:0.0pt;" stroked="f">
                <v:path textboxrect="0,0,0,0"/>
                <v:imagedata r:id="rId22" o:title=""/>
              </v:shape>
            </w:pict>
          </mc:Fallback>
        </mc:AlternateContent>
      </w:r>
      <w:r>
        <mc:AlternateContent>
          <mc:Choice Requires="wpg">
            <w:drawing>
              <wp:inline xmlns:wp="http://schemas.openxmlformats.org/drawingml/2006/wordprocessingDrawing" distT="0" distB="0" distL="0" distR="0">
                <wp:extent cx="1889138" cy="1079689"/>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1889138" cy="10796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48.8pt;height:85.0pt;mso-wrap-distance-left:0.0pt;mso-wrap-distance-top:0.0pt;mso-wrap-distance-right:0.0pt;mso-wrap-distance-bottom:0.0pt;" stroked="f">
                <v:path textboxrect="0,0,0,0"/>
                <v:imagedata r:id="rId23" o:title=""/>
              </v:shape>
            </w:pict>
          </mc:Fallback>
        </mc:AlternateContent>
      </w:r>
      <w:r/>
    </w:p>
    <w:p>
      <w:pPr>
        <w:pStyle w:val="961"/>
        <w:jc w:val="left"/>
        <w:rPr>
          <w:sz w:val="32"/>
          <w:szCs w:val="32"/>
        </w:rPr>
      </w:pPr>
      <w:r>
        <w:rPr>
          <w:rFonts w:hint="eastAsia"/>
          <w:sz w:val="32"/>
          <w:szCs w:val="32"/>
        </w:rPr>
        <w:t xml:space="preserve">胸标                           岗位标</w:t>
      </w:r>
      <w:r>
        <w:rPr>
          <w:sz w:val="32"/>
          <w:szCs w:val="32"/>
        </w:rPr>
      </w:r>
      <w:r/>
    </w:p>
    <w:p>
      <w:pPr>
        <w:pStyle w:val="961"/>
        <w:jc w:val="left"/>
      </w:pPr>
      <w:r>
        <mc:AlternateContent>
          <mc:Choice Requires="wpg">
            <w:drawing>
              <wp:inline xmlns:wp="http://schemas.openxmlformats.org/drawingml/2006/wordprocessingDrawing" distT="0" distB="0" distL="0" distR="0">
                <wp:extent cx="1926869" cy="1072134"/>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1926869" cy="107213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51.7pt;height:84.4pt;mso-wrap-distance-left:0.0pt;mso-wrap-distance-top:0.0pt;mso-wrap-distance-right:0.0pt;mso-wrap-distance-bottom:0.0pt;" stroked="f">
                <v:path textboxrect="0,0,0,0"/>
                <v:imagedata r:id="rId24" o:title=""/>
              </v:shape>
            </w:pict>
          </mc:Fallback>
        </mc:AlternateContent>
      </w:r>
      <w:r>
        <mc:AlternateContent>
          <mc:Choice Requires="wpg">
            <w:drawing>
              <wp:inline xmlns:wp="http://schemas.openxmlformats.org/drawingml/2006/wordprocessingDrawing" distT="0" distB="0" distL="0" distR="0">
                <wp:extent cx="2249170" cy="879672"/>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2249170" cy="87967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77.1pt;height:69.3pt;mso-wrap-distance-left:0.0pt;mso-wrap-distance-top:0.0pt;mso-wrap-distance-right:0.0pt;mso-wrap-distance-bottom:0.0pt;" stroked="f">
                <v:path textboxrect="0,0,0,0"/>
                <v:imagedata r:id="rId25" o:title=""/>
              </v:shape>
            </w:pict>
          </mc:Fallback>
        </mc:AlternateContent>
      </w:r>
      <w:r/>
    </w:p>
    <w:p>
      <w:pPr>
        <w:pStyle w:val="961"/>
        <w:jc w:val="left"/>
      </w:pPr>
      <w:r/>
      <w:r/>
    </w:p>
    <w:p>
      <w:pPr>
        <w:pStyle w:val="961"/>
        <w:jc w:val="left"/>
        <w:rPr>
          <w:sz w:val="32"/>
          <w:szCs w:val="32"/>
        </w:rPr>
      </w:pPr>
      <w:r>
        <w:rPr>
          <w:rFonts w:hint="eastAsia"/>
          <w:sz w:val="32"/>
          <w:szCs w:val="32"/>
        </w:rPr>
        <w:t xml:space="preserve">袖标</w:t>
      </w:r>
      <w:r>
        <w:rPr>
          <w:sz w:val="32"/>
          <w:szCs w:val="32"/>
        </w:rPr>
      </w:r>
      <w:r/>
    </w:p>
    <w:p>
      <w:pPr>
        <w:pStyle w:val="961"/>
        <w:jc w:val="left"/>
        <w:rPr>
          <w:sz w:val="32"/>
          <w:szCs w:val="32"/>
        </w:rPr>
      </w:pPr>
      <w:r>
        <w:rPr>
          <w:sz w:val="32"/>
          <w:szCs w:val="32"/>
        </w:rPr>
        <mc:AlternateContent>
          <mc:Choice Requires="wpg">
            <w:drawing>
              <wp:inline xmlns:wp="http://schemas.openxmlformats.org/drawingml/2006/wordprocessingDrawing" distT="0" distB="0" distL="0" distR="0">
                <wp:extent cx="1691373" cy="1787766"/>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1691373" cy="178776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133.2pt;height:140.8pt;mso-wrap-distance-left:0.0pt;mso-wrap-distance-top:0.0pt;mso-wrap-distance-right:0.0pt;mso-wrap-distance-bottom:0.0pt;" stroked="f">
                <v:path textboxrect="0,0,0,0"/>
                <v:imagedata r:id="rId26" o:title=""/>
              </v:shape>
            </w:pict>
          </mc:Fallback>
        </mc:AlternateContent>
      </w:r>
      <w:bookmarkStart w:id="236" w:name="_GoBack"/>
      <w:r/>
      <w:bookmarkEnd w:id="236"/>
      <w:r>
        <w:rPr>
          <w:sz w:val="32"/>
          <w:szCs w:val="32"/>
        </w:rPr>
      </w:r>
      <w:r/>
    </w:p>
    <w:p>
      <w:pPr>
        <w:pStyle w:val="961"/>
        <w:sectPr>
          <w:footnotePr/>
          <w:endnotePr/>
          <w:type w:val="nextPage"/>
          <w:pgSz w:w="11906" w:h="16838" w:orient="portrait"/>
          <w:pgMar w:top="1440" w:right="1418" w:bottom="1440" w:left="1559" w:header="851" w:footer="992" w:gutter="0"/>
          <w:cols w:num="1" w:sep="0" w:space="720" w:equalWidth="1"/>
          <w:docGrid w:linePitch="360"/>
        </w:sectPr>
      </w:pPr>
      <w:r/>
      <w:r/>
    </w:p>
    <w:p>
      <w:pPr>
        <w:pStyle w:val="961"/>
        <w:jc w:val="center"/>
        <w:widowControl/>
        <w:rPr>
          <w:rFonts w:hint="eastAsia" w:ascii="方正仿宋_GB2312" w:hAnsi="方正仿宋_GB2312" w:eastAsia="方正仿宋_GB2312" w:cs="方正仿宋_GB2312"/>
          <w:b/>
          <w:sz w:val="44"/>
          <w:szCs w:val="44"/>
        </w:rPr>
      </w:pPr>
      <w:r>
        <w:rPr>
          <w:rFonts w:hint="eastAsia" w:ascii="方正仿宋_GB2312" w:hAnsi="方正仿宋_GB2312" w:eastAsia="方正仿宋_GB2312" w:cs="方正仿宋_GB2312"/>
          <w:sz w:val="44"/>
          <w:szCs w:val="44"/>
        </w:rPr>
        <w:t xml:space="preserve">第六章 响应文件的编制要求及参考格式</w:t>
      </w:r>
      <w:r>
        <w:rPr>
          <w:rFonts w:hint="eastAsia" w:ascii="方正仿宋_GB2312" w:hAnsi="方正仿宋_GB2312" w:eastAsia="方正仿宋_GB2312" w:cs="方正仿宋_GB2312"/>
          <w:b/>
          <w:sz w:val="44"/>
          <w:szCs w:val="44"/>
        </w:rPr>
      </w:r>
      <w:r/>
    </w:p>
    <w:p>
      <w:pPr>
        <w:pStyle w:val="961"/>
        <w:spacing w:line="560" w:lineRule="exact"/>
        <w:rPr>
          <w:rFonts w:hint="eastAsia" w:ascii="仿宋" w:hAnsi="仿宋" w:eastAsia="仿宋" w:cs="仿宋"/>
          <w:b/>
          <w:sz w:val="28"/>
          <w:szCs w:val="28"/>
        </w:rPr>
      </w:pPr>
      <w:r>
        <w:rPr>
          <w:rFonts w:hint="eastAsia" w:ascii="仿宋" w:hAnsi="仿宋" w:eastAsia="仿宋" w:cs="仿宋"/>
          <w:b/>
          <w:sz w:val="28"/>
          <w:szCs w:val="28"/>
        </w:rPr>
        <w:t xml:space="preserve">1.响应文件的组成</w:t>
      </w:r>
      <w:r/>
    </w:p>
    <w:p>
      <w:pPr>
        <w:pStyle w:val="961"/>
        <w:ind w:firstLine="560"/>
        <w:spacing w:line="560" w:lineRule="exact"/>
        <w:rPr>
          <w:rFonts w:hint="eastAsia" w:ascii="仿宋" w:hAnsi="仿宋" w:eastAsia="仿宋" w:cs="仿宋"/>
          <w:sz w:val="28"/>
          <w:szCs w:val="28"/>
        </w:rPr>
      </w:pPr>
      <w:r/>
      <w:bookmarkStart w:id="237" w:name="_Toc426469933"/>
      <w:r>
        <w:rPr>
          <w:rFonts w:hint="eastAsia" w:ascii="仿宋" w:hAnsi="仿宋" w:eastAsia="仿宋" w:cs="仿宋"/>
          <w:sz w:val="28"/>
          <w:szCs w:val="28"/>
        </w:rPr>
        <w:t xml:space="preserve">见第二章3.1条。</w:t>
      </w:r>
      <w:r/>
    </w:p>
    <w:p>
      <w:pPr>
        <w:pStyle w:val="961"/>
        <w:spacing w:line="560" w:lineRule="exact"/>
        <w:rPr>
          <w:rFonts w:hint="eastAsia" w:ascii="仿宋" w:hAnsi="仿宋" w:eastAsia="仿宋" w:cs="仿宋"/>
          <w:b/>
          <w:sz w:val="28"/>
          <w:szCs w:val="28"/>
        </w:rPr>
      </w:pPr>
      <w:r>
        <w:rPr>
          <w:rFonts w:hint="eastAsia" w:ascii="仿宋" w:hAnsi="仿宋" w:eastAsia="仿宋" w:cs="仿宋"/>
          <w:b/>
          <w:sz w:val="28"/>
          <w:szCs w:val="28"/>
        </w:rPr>
        <w:t xml:space="preserve">2.响应文件的编制内容及编制要求</w:t>
      </w:r>
      <w:bookmarkEnd w:id="237"/>
      <w:r>
        <w:rPr>
          <w:rFonts w:hint="eastAsia" w:ascii="仿宋" w:hAnsi="仿宋" w:eastAsia="仿宋" w:cs="仿宋"/>
          <w:b/>
          <w:sz w:val="28"/>
          <w:szCs w:val="28"/>
        </w:rPr>
      </w:r>
      <w:r/>
    </w:p>
    <w:p>
      <w:pPr>
        <w:pStyle w:val="961"/>
        <w:spacing w:line="560" w:lineRule="exact"/>
        <w:rPr>
          <w:rFonts w:hint="eastAsia" w:ascii="仿宋" w:hAnsi="仿宋" w:eastAsia="仿宋" w:cs="仿宋"/>
          <w:b/>
          <w:sz w:val="28"/>
          <w:szCs w:val="28"/>
        </w:rPr>
      </w:pPr>
      <w:r>
        <w:rPr>
          <w:rFonts w:hint="eastAsia" w:ascii="仿宋" w:hAnsi="仿宋" w:eastAsia="仿宋" w:cs="仿宋"/>
          <w:b/>
          <w:sz w:val="28"/>
          <w:szCs w:val="28"/>
        </w:rPr>
        <w:t xml:space="preserve">2.1报价一览表</w:t>
      </w:r>
      <w:r/>
    </w:p>
    <w:p>
      <w:pPr>
        <w:pStyle w:val="961"/>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2.1.1 供应商应按表中格式完整、清晰、正确填写；</w:t>
      </w:r>
      <w:r/>
    </w:p>
    <w:p>
      <w:pPr>
        <w:pStyle w:val="961"/>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2.1.2报价一览表中的价格应与响应函中的价格一致；</w:t>
      </w:r>
      <w:r/>
    </w:p>
    <w:p>
      <w:pPr>
        <w:pStyle w:val="961"/>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2.1.3报价一览表格式见附件。</w:t>
      </w:r>
      <w:r/>
    </w:p>
    <w:p>
      <w:pPr>
        <w:pStyle w:val="961"/>
        <w:spacing w:line="560" w:lineRule="exact"/>
        <w:rPr>
          <w:rFonts w:hint="eastAsia" w:ascii="仿宋" w:hAnsi="仿宋" w:eastAsia="仿宋" w:cs="仿宋"/>
          <w:b/>
          <w:sz w:val="28"/>
          <w:szCs w:val="28"/>
        </w:rPr>
      </w:pPr>
      <w:r>
        <w:rPr>
          <w:rFonts w:hint="eastAsia" w:ascii="仿宋" w:hAnsi="仿宋" w:eastAsia="仿宋" w:cs="仿宋"/>
          <w:b/>
          <w:sz w:val="28"/>
          <w:szCs w:val="28"/>
        </w:rPr>
        <w:t xml:space="preserve">2.2 响应函</w:t>
      </w:r>
      <w:r/>
    </w:p>
    <w:p>
      <w:pPr>
        <w:pStyle w:val="961"/>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2.2.1供应商应按表中格式完整、清晰、正确填写；</w:t>
      </w:r>
      <w:r/>
    </w:p>
    <w:p>
      <w:pPr>
        <w:pStyle w:val="961"/>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2.2.2响应函必须加盖供应商法人公章并经法定代表人签字或签章。</w:t>
      </w:r>
      <w:r/>
    </w:p>
    <w:p>
      <w:pPr>
        <w:pStyle w:val="961"/>
        <w:spacing w:line="560" w:lineRule="exact"/>
        <w:rPr>
          <w:rFonts w:hint="eastAsia" w:ascii="仿宋" w:hAnsi="仿宋" w:eastAsia="仿宋" w:cs="仿宋"/>
          <w:b/>
          <w:sz w:val="28"/>
          <w:szCs w:val="28"/>
        </w:rPr>
      </w:pPr>
      <w:r>
        <w:rPr>
          <w:rFonts w:hint="eastAsia" w:ascii="仿宋" w:hAnsi="仿宋" w:eastAsia="仿宋" w:cs="仿宋"/>
          <w:b/>
          <w:sz w:val="28"/>
          <w:szCs w:val="28"/>
        </w:rPr>
        <w:t xml:space="preserve">2.3 资格条件证明文件</w:t>
      </w:r>
      <w:r/>
    </w:p>
    <w:p>
      <w:pPr>
        <w:pStyle w:val="961"/>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（1）供应商基本资格条件承诺书；</w:t>
      </w:r>
      <w:r/>
    </w:p>
    <w:p>
      <w:pPr>
        <w:pStyle w:val="961"/>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（2）磋商文件要求的其他资格条件证明材料。</w:t>
      </w:r>
      <w:r/>
    </w:p>
    <w:p>
      <w:pPr>
        <w:pStyle w:val="961"/>
        <w:spacing w:line="560" w:lineRule="exact"/>
        <w:rPr>
          <w:rFonts w:hint="eastAsia" w:ascii="仿宋" w:hAnsi="仿宋" w:eastAsia="仿宋" w:cs="仿宋"/>
          <w:b/>
          <w:sz w:val="28"/>
          <w:szCs w:val="28"/>
        </w:rPr>
      </w:pPr>
      <w:r>
        <w:rPr>
          <w:rFonts w:hint="eastAsia" w:ascii="仿宋" w:hAnsi="仿宋" w:eastAsia="仿宋" w:cs="仿宋"/>
          <w:b/>
          <w:sz w:val="28"/>
          <w:szCs w:val="28"/>
        </w:rPr>
        <w:t xml:space="preserve">2.4采购需求响应表</w:t>
      </w:r>
      <w:r/>
    </w:p>
    <w:p>
      <w:pPr>
        <w:pStyle w:val="961"/>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供应商应仔细阅读采购需求，结合自身的实际情况，如实编制，格式自拟。采购需求响应表须详细说明实际提供的货物、服务及其他采购需求中相关要求的响应情况。</w:t>
      </w:r>
      <w:r/>
    </w:p>
    <w:p>
      <w:pPr>
        <w:pStyle w:val="961"/>
        <w:spacing w:line="560" w:lineRule="exact"/>
        <w:rPr>
          <w:rFonts w:hint="eastAsia" w:ascii="仿宋" w:hAnsi="仿宋" w:eastAsia="仿宋" w:cs="仿宋"/>
          <w:b/>
          <w:sz w:val="28"/>
          <w:szCs w:val="28"/>
        </w:rPr>
      </w:pPr>
      <w:r>
        <w:rPr>
          <w:rFonts w:hint="eastAsia" w:ascii="仿宋" w:hAnsi="仿宋" w:eastAsia="仿宋" w:cs="仿宋"/>
          <w:b/>
          <w:sz w:val="28"/>
          <w:szCs w:val="28"/>
        </w:rPr>
        <w:t xml:space="preserve">2.5供应商认为应列入响应文件的其他材料</w:t>
      </w:r>
      <w:r/>
    </w:p>
    <w:p>
      <w:pPr>
        <w:pStyle w:val="961"/>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供应商应对照第三章的评审因素，结合自身的实际情况，如实编制，格式自拟。</w:t>
      </w:r>
      <w:r/>
    </w:p>
    <w:p>
      <w:pPr>
        <w:pStyle w:val="961"/>
        <w:spacing w:line="560" w:lineRule="exact"/>
        <w:rPr>
          <w:rFonts w:hint="eastAsia" w:ascii="仿宋" w:hAnsi="仿宋" w:eastAsia="仿宋" w:cs="仿宋"/>
          <w:b/>
          <w:sz w:val="28"/>
          <w:szCs w:val="28"/>
        </w:rPr>
      </w:pPr>
      <w:r>
        <w:rPr>
          <w:rFonts w:hint="eastAsia" w:ascii="仿宋" w:hAnsi="仿宋" w:eastAsia="仿宋" w:cs="仿宋"/>
          <w:b/>
          <w:sz w:val="28"/>
          <w:szCs w:val="28"/>
        </w:rPr>
        <w:t xml:space="preserve">3.响应文件参考格式</w:t>
      </w:r>
      <w:r/>
    </w:p>
    <w:p>
      <w:pPr>
        <w:pStyle w:val="961"/>
        <w:jc w:val="left"/>
        <w:widowControl/>
        <w:rPr>
          <w:rFonts w:hint="eastAsia" w:ascii="仿宋" w:hAnsi="仿宋" w:eastAsia="仿宋" w:cs="仿宋"/>
          <w:b/>
          <w:sz w:val="28"/>
          <w:szCs w:val="28"/>
        </w:rPr>
      </w:pPr>
      <w:r>
        <w:rPr>
          <w:rFonts w:hint="eastAsia" w:ascii="仿宋" w:hAnsi="仿宋" w:eastAsia="仿宋" w:cs="仿宋"/>
          <w:sz w:val="28"/>
          <w:szCs w:val="28"/>
        </w:rPr>
        <w:br w:type="page" w:clear="all"/>
      </w:r>
      <w:r>
        <w:rPr>
          <w:rFonts w:hint="eastAsia" w:ascii="仿宋" w:hAnsi="仿宋" w:eastAsia="仿宋" w:cs="仿宋"/>
          <w:b/>
          <w:sz w:val="28"/>
          <w:szCs w:val="28"/>
        </w:rPr>
        <w:t xml:space="preserve">3.1响应文件封面格式</w:t>
      </w:r>
      <w:r/>
    </w:p>
    <w:p>
      <w:pPr>
        <w:pStyle w:val="961"/>
        <w:ind w:firstLine="480"/>
        <w:jc w:val="center"/>
        <w:spacing w:line="360" w:lineRule="exact"/>
        <w:rPr>
          <w:rFonts w:hint="eastAsia" w:ascii="仿宋" w:hAnsi="仿宋" w:eastAsia="仿宋" w:cs="仿宋"/>
        </w:rPr>
      </w:pPr>
      <w:r>
        <w:rPr>
          <w:rFonts w:hint="eastAsia" w:ascii="仿宋" w:hAnsi="仿宋" w:eastAsia="仿宋" w:cs="仿宋"/>
        </w:rPr>
      </w:r>
      <w:r/>
    </w:p>
    <w:p>
      <w:pPr>
        <w:pStyle w:val="961"/>
        <w:ind w:firstLine="480"/>
        <w:jc w:val="center"/>
        <w:spacing w:line="360" w:lineRule="exact"/>
        <w:rPr>
          <w:rFonts w:hint="eastAsia" w:ascii="仿宋" w:hAnsi="仿宋" w:eastAsia="仿宋" w:cs="仿宋"/>
        </w:rPr>
      </w:pPr>
      <w:r>
        <w:rPr>
          <w:rFonts w:hint="eastAsia" w:ascii="仿宋" w:hAnsi="仿宋" w:eastAsia="仿宋" w:cs="仿宋"/>
        </w:rPr>
      </w:r>
      <w:r/>
    </w:p>
    <w:p>
      <w:pPr>
        <w:pStyle w:val="961"/>
        <w:jc w:val="center"/>
        <w:rPr>
          <w:rFonts w:hint="eastAsia" w:ascii="仿宋" w:hAnsi="仿宋" w:eastAsia="仿宋" w:cs="仿宋"/>
          <w:b/>
          <w:sz w:val="44"/>
          <w:szCs w:val="44"/>
        </w:rPr>
      </w:pPr>
      <w:r/>
      <w:bookmarkStart w:id="238" w:name="OLE_LINK91"/>
      <w:r/>
      <w:bookmarkStart w:id="239" w:name="OLE_LINK92"/>
      <w:r/>
      <w:bookmarkStart w:id="240" w:name="OLE_LINK164"/>
      <w:r/>
      <w:bookmarkStart w:id="241" w:name="OLE_LINK90"/>
      <w:r/>
      <w:bookmarkStart w:id="242" w:name="OLE_LINK137"/>
      <w:r/>
      <w:bookmarkStart w:id="243" w:name="OLE_LINK126"/>
      <w:r/>
      <w:bookmarkStart w:id="244" w:name="OLE_LINK147"/>
      <w:r>
        <w:rPr>
          <w:rFonts w:hint="eastAsia" w:ascii="仿宋" w:hAnsi="仿宋" w:eastAsia="仿宋" w:cs="仿宋"/>
          <w:b/>
          <w:sz w:val="44"/>
          <w:szCs w:val="44"/>
        </w:rPr>
        <w:t xml:space="preserve">响应文件</w:t>
      </w:r>
      <w:r/>
    </w:p>
    <w:p>
      <w:pPr>
        <w:pStyle w:val="961"/>
        <w:jc w:val="center"/>
        <w:rPr>
          <w:rFonts w:hint="eastAsia" w:ascii="仿宋" w:hAnsi="仿宋" w:eastAsia="仿宋" w:cs="仿宋"/>
          <w:sz w:val="28"/>
          <w:szCs w:val="28"/>
        </w:rPr>
      </w:pPr>
      <w:r>
        <w:rPr>
          <w:rFonts w:hint="eastAsia" w:ascii="仿宋" w:hAnsi="仿宋" w:eastAsia="仿宋" w:cs="仿宋"/>
          <w:sz w:val="28"/>
          <w:szCs w:val="28"/>
        </w:rPr>
      </w:r>
      <w:r/>
    </w:p>
    <w:p>
      <w:pPr>
        <w:pStyle w:val="961"/>
        <w:ind w:firstLine="2520"/>
        <w:jc w:val="left"/>
        <w:spacing w:line="440" w:lineRule="exact"/>
        <w:rPr>
          <w:rFonts w:hint="eastAsia" w:ascii="仿宋" w:hAnsi="仿宋" w:eastAsia="仿宋" w:cs="仿宋"/>
          <w:sz w:val="28"/>
          <w:szCs w:val="28"/>
        </w:rPr>
      </w:pPr>
      <w:r>
        <w:rPr>
          <w:rFonts w:hint="eastAsia" w:ascii="仿宋" w:hAnsi="仿宋" w:eastAsia="仿宋" w:cs="仿宋"/>
          <w:sz w:val="28"/>
          <w:szCs w:val="28"/>
        </w:rPr>
        <w:t xml:space="preserve">项目名称：</w:t>
      </w:r>
      <w:r/>
    </w:p>
    <w:p>
      <w:pPr>
        <w:pStyle w:val="961"/>
        <w:ind w:firstLine="2520"/>
        <w:jc w:val="left"/>
        <w:spacing w:line="440" w:lineRule="exact"/>
        <w:rPr>
          <w:rFonts w:hint="eastAsia" w:ascii="仿宋" w:hAnsi="仿宋" w:eastAsia="仿宋" w:cs="仿宋"/>
          <w:sz w:val="28"/>
          <w:szCs w:val="28"/>
        </w:rPr>
      </w:pPr>
      <w:r>
        <w:rPr>
          <w:rFonts w:hint="eastAsia" w:ascii="仿宋" w:hAnsi="仿宋" w:eastAsia="仿宋" w:cs="仿宋"/>
          <w:sz w:val="28"/>
          <w:szCs w:val="28"/>
        </w:rPr>
        <w:t xml:space="preserve">项目编号：</w:t>
      </w:r>
      <w:r/>
    </w:p>
    <w:p>
      <w:pPr>
        <w:pStyle w:val="961"/>
        <w:ind w:firstLine="2520"/>
        <w:spacing w:line="440" w:lineRule="exact"/>
        <w:rPr>
          <w:rFonts w:hint="eastAsia" w:ascii="仿宋" w:hAnsi="仿宋" w:eastAsia="仿宋" w:cs="仿宋"/>
          <w:sz w:val="28"/>
          <w:szCs w:val="28"/>
        </w:rPr>
      </w:pPr>
      <w:r>
        <w:rPr>
          <w:rFonts w:hint="eastAsia" w:ascii="仿宋" w:hAnsi="仿宋" w:eastAsia="仿宋" w:cs="仿宋"/>
          <w:sz w:val="28"/>
          <w:szCs w:val="28"/>
        </w:rPr>
      </w:r>
      <w:r/>
    </w:p>
    <w:p>
      <w:pPr>
        <w:pStyle w:val="961"/>
        <w:ind w:firstLine="2520"/>
        <w:spacing w:line="440" w:lineRule="exact"/>
        <w:rPr>
          <w:rFonts w:hint="eastAsia" w:ascii="仿宋" w:hAnsi="仿宋" w:eastAsia="仿宋" w:cs="仿宋"/>
          <w:sz w:val="28"/>
          <w:szCs w:val="28"/>
        </w:rPr>
      </w:pPr>
      <w:r>
        <w:rPr>
          <w:rFonts w:hint="eastAsia" w:ascii="仿宋" w:hAnsi="仿宋" w:eastAsia="仿宋" w:cs="仿宋"/>
          <w:sz w:val="28"/>
          <w:szCs w:val="28"/>
        </w:rPr>
      </w:r>
      <w:r/>
    </w:p>
    <w:p>
      <w:pPr>
        <w:pStyle w:val="961"/>
        <w:ind w:firstLine="2520"/>
        <w:spacing w:line="440" w:lineRule="exact"/>
        <w:rPr>
          <w:rFonts w:hint="eastAsia" w:ascii="仿宋" w:hAnsi="仿宋" w:eastAsia="仿宋" w:cs="仿宋"/>
          <w:sz w:val="28"/>
          <w:szCs w:val="28"/>
        </w:rPr>
      </w:pPr>
      <w:r>
        <w:rPr>
          <w:rFonts w:hint="eastAsia" w:ascii="仿宋" w:hAnsi="仿宋" w:eastAsia="仿宋" w:cs="仿宋"/>
          <w:sz w:val="28"/>
          <w:szCs w:val="28"/>
        </w:rPr>
      </w:r>
      <w:r/>
    </w:p>
    <w:p>
      <w:pPr>
        <w:pStyle w:val="961"/>
        <w:ind w:firstLine="2520"/>
        <w:spacing w:line="440" w:lineRule="exact"/>
        <w:rPr>
          <w:rFonts w:hint="eastAsia" w:ascii="仿宋" w:hAnsi="仿宋" w:eastAsia="仿宋" w:cs="仿宋"/>
          <w:sz w:val="28"/>
          <w:szCs w:val="28"/>
        </w:rPr>
      </w:pPr>
      <w:r>
        <w:rPr>
          <w:rFonts w:hint="eastAsia" w:ascii="仿宋" w:hAnsi="仿宋" w:eastAsia="仿宋" w:cs="仿宋"/>
          <w:sz w:val="28"/>
          <w:szCs w:val="28"/>
        </w:rPr>
      </w:r>
      <w:r/>
    </w:p>
    <w:p>
      <w:pPr>
        <w:pStyle w:val="961"/>
        <w:ind w:firstLine="2520"/>
        <w:spacing w:line="440" w:lineRule="exact"/>
        <w:rPr>
          <w:rFonts w:hint="eastAsia" w:ascii="仿宋" w:hAnsi="仿宋" w:eastAsia="仿宋" w:cs="仿宋"/>
          <w:sz w:val="28"/>
          <w:szCs w:val="28"/>
        </w:rPr>
      </w:pPr>
      <w:r>
        <w:rPr>
          <w:rFonts w:hint="eastAsia" w:ascii="仿宋" w:hAnsi="仿宋" w:eastAsia="仿宋" w:cs="仿宋"/>
          <w:sz w:val="28"/>
          <w:szCs w:val="28"/>
        </w:rPr>
      </w:r>
      <w:r/>
    </w:p>
    <w:p>
      <w:pPr>
        <w:pStyle w:val="961"/>
        <w:ind w:firstLine="700"/>
        <w:spacing w:line="400" w:lineRule="exact"/>
        <w:tabs>
          <w:tab w:val="left" w:pos="2700" w:leader="none"/>
        </w:tabs>
        <w:rPr>
          <w:rFonts w:hint="eastAsia" w:ascii="仿宋" w:hAnsi="仿宋" w:eastAsia="仿宋" w:cs="仿宋"/>
          <w:sz w:val="28"/>
          <w:szCs w:val="28"/>
          <w:u w:val="single"/>
        </w:rPr>
      </w:pPr>
      <w:r>
        <w:rPr>
          <w:rFonts w:hint="eastAsia" w:ascii="仿宋" w:hAnsi="仿宋" w:eastAsia="仿宋" w:cs="仿宋"/>
          <w:sz w:val="28"/>
          <w:szCs w:val="28"/>
        </w:rPr>
        <w:t xml:space="preserve">供应商名称：</w:t>
      </w:r>
      <w:r>
        <w:rPr>
          <w:rFonts w:hint="eastAsia" w:ascii="仿宋" w:hAnsi="仿宋" w:eastAsia="仿宋" w:cs="仿宋"/>
          <w:sz w:val="28"/>
          <w:szCs w:val="28"/>
          <w:u w:val="single"/>
        </w:rPr>
        <w:t xml:space="preserve">  （盖法人章）     </w:t>
      </w:r>
      <w:r/>
    </w:p>
    <w:p>
      <w:pPr>
        <w:pStyle w:val="961"/>
        <w:ind w:firstLine="700"/>
        <w:spacing w:line="400" w:lineRule="exact"/>
        <w:tabs>
          <w:tab w:val="left" w:pos="2700" w:leader="none"/>
        </w:tabs>
        <w:rPr>
          <w:rFonts w:hint="eastAsia" w:ascii="仿宋" w:hAnsi="仿宋" w:eastAsia="仿宋" w:cs="仿宋"/>
          <w:sz w:val="28"/>
          <w:szCs w:val="28"/>
          <w:u w:val="single"/>
        </w:rPr>
      </w:pPr>
      <w:r>
        <w:rPr>
          <w:rFonts w:hint="eastAsia" w:ascii="仿宋" w:hAnsi="仿宋" w:eastAsia="仿宋" w:cs="仿宋"/>
          <w:sz w:val="28"/>
          <w:szCs w:val="28"/>
        </w:rPr>
        <w:t xml:space="preserve">联系人：</w:t>
      </w:r>
      <w:r>
        <w:rPr>
          <w:rFonts w:hint="eastAsia" w:ascii="仿宋" w:hAnsi="仿宋" w:eastAsia="仿宋" w:cs="仿宋"/>
          <w:sz w:val="28"/>
          <w:szCs w:val="28"/>
          <w:u w:val="single"/>
        </w:rPr>
      </w:r>
      <w:r/>
    </w:p>
    <w:p>
      <w:pPr>
        <w:pStyle w:val="961"/>
        <w:ind w:firstLine="700"/>
        <w:spacing w:line="400" w:lineRule="exact"/>
        <w:tabs>
          <w:tab w:val="left" w:pos="2700" w:leader="none"/>
        </w:tabs>
        <w:rPr>
          <w:rFonts w:hint="eastAsia" w:ascii="仿宋" w:hAnsi="仿宋" w:eastAsia="仿宋" w:cs="仿宋"/>
          <w:sz w:val="28"/>
          <w:szCs w:val="28"/>
          <w:u w:val="single"/>
        </w:rPr>
      </w:pPr>
      <w:r>
        <w:rPr>
          <w:rFonts w:hint="eastAsia" w:ascii="仿宋" w:hAnsi="仿宋" w:eastAsia="仿宋" w:cs="仿宋"/>
          <w:sz w:val="28"/>
          <w:szCs w:val="28"/>
        </w:rPr>
        <w:t xml:space="preserve">联系电话：</w:t>
      </w:r>
      <w:r>
        <w:rPr>
          <w:rFonts w:hint="eastAsia" w:ascii="仿宋" w:hAnsi="仿宋" w:eastAsia="仿宋" w:cs="仿宋"/>
          <w:sz w:val="28"/>
          <w:szCs w:val="28"/>
          <w:u w:val="single"/>
        </w:rPr>
      </w:r>
      <w:r/>
    </w:p>
    <w:p>
      <w:pPr>
        <w:pStyle w:val="961"/>
        <w:ind w:firstLine="708"/>
        <w:spacing w:line="400" w:lineRule="exact"/>
        <w:rPr>
          <w:rFonts w:hint="eastAsia" w:ascii="仿宋" w:hAnsi="仿宋" w:eastAsia="仿宋" w:cs="仿宋"/>
          <w:sz w:val="28"/>
          <w:szCs w:val="28"/>
        </w:rPr>
      </w:pPr>
      <w:r>
        <w:rPr>
          <w:rFonts w:hint="eastAsia" w:ascii="仿宋" w:hAnsi="仿宋" w:eastAsia="仿宋" w:cs="仿宋"/>
          <w:sz w:val="28"/>
          <w:szCs w:val="28"/>
        </w:rPr>
        <w:t xml:space="preserve">日期：______年____月____日</w:t>
      </w:r>
      <w:bookmarkEnd w:id="238"/>
      <w:r/>
      <w:bookmarkEnd w:id="239"/>
      <w:r/>
      <w:bookmarkEnd w:id="240"/>
      <w:r/>
      <w:bookmarkEnd w:id="241"/>
      <w:r>
        <w:rPr>
          <w:rFonts w:hint="eastAsia" w:ascii="仿宋" w:hAnsi="仿宋" w:eastAsia="仿宋" w:cs="仿宋"/>
          <w:sz w:val="28"/>
          <w:szCs w:val="28"/>
        </w:rPr>
      </w:r>
      <w:r/>
    </w:p>
    <w:p>
      <w:pPr>
        <w:pStyle w:val="970"/>
        <w:rPr>
          <w:rFonts w:hint="eastAsia" w:ascii="仿宋" w:hAnsi="仿宋" w:eastAsia="仿宋" w:cs="仿宋"/>
        </w:rPr>
      </w:pPr>
      <w:r/>
      <w:bookmarkEnd w:id="242"/>
      <w:r/>
      <w:bookmarkEnd w:id="243"/>
      <w:r/>
      <w:bookmarkEnd w:id="244"/>
      <w:r>
        <w:rPr>
          <w:rFonts w:hint="eastAsia" w:ascii="仿宋" w:hAnsi="仿宋" w:eastAsia="仿宋" w:cs="仿宋"/>
        </w:rPr>
      </w:r>
      <w:r/>
    </w:p>
    <w:p>
      <w:pPr>
        <w:pStyle w:val="961"/>
        <w:jc w:val="left"/>
        <w:widowControl/>
        <w:rPr>
          <w:rFonts w:hint="eastAsia" w:ascii="仿宋" w:hAnsi="仿宋" w:eastAsia="仿宋" w:cs="仿宋"/>
          <w:sz w:val="28"/>
          <w:szCs w:val="28"/>
        </w:rPr>
      </w:pPr>
      <w:r>
        <w:rPr>
          <w:rFonts w:hint="eastAsia" w:ascii="仿宋" w:hAnsi="仿宋" w:eastAsia="仿宋" w:cs="仿宋"/>
          <w:sz w:val="28"/>
          <w:szCs w:val="28"/>
        </w:rPr>
      </w:r>
      <w:r/>
    </w:p>
    <w:p>
      <w:pPr>
        <w:pStyle w:val="961"/>
        <w:jc w:val="left"/>
        <w:widowControl/>
        <w:rPr>
          <w:rFonts w:hint="eastAsia" w:ascii="仿宋" w:hAnsi="仿宋" w:eastAsia="仿宋" w:cs="仿宋"/>
          <w:sz w:val="28"/>
          <w:szCs w:val="28"/>
        </w:rPr>
      </w:pPr>
      <w:r>
        <w:rPr>
          <w:rFonts w:hint="eastAsia" w:ascii="仿宋" w:hAnsi="仿宋" w:eastAsia="仿宋" w:cs="仿宋"/>
          <w:sz w:val="28"/>
          <w:szCs w:val="28"/>
        </w:rPr>
      </w:r>
      <w:r/>
    </w:p>
    <w:p>
      <w:pPr>
        <w:pStyle w:val="970"/>
        <w:rPr>
          <w:rFonts w:hint="eastAsia" w:ascii="仿宋" w:hAnsi="仿宋" w:eastAsia="仿宋" w:cs="仿宋"/>
        </w:rPr>
      </w:pPr>
      <w:r>
        <w:rPr>
          <w:rFonts w:hint="eastAsia" w:ascii="仿宋" w:hAnsi="仿宋" w:eastAsia="仿宋" w:cs="仿宋"/>
        </w:rPr>
      </w:r>
      <w:r/>
    </w:p>
    <w:p>
      <w:pPr>
        <w:pStyle w:val="970"/>
        <w:rPr>
          <w:rFonts w:hint="eastAsia" w:ascii="仿宋" w:hAnsi="仿宋" w:eastAsia="仿宋" w:cs="仿宋"/>
        </w:rPr>
      </w:pPr>
      <w:r>
        <w:rPr>
          <w:rFonts w:hint="eastAsia" w:ascii="仿宋" w:hAnsi="仿宋" w:eastAsia="仿宋" w:cs="仿宋"/>
        </w:rPr>
      </w:r>
      <w:r/>
    </w:p>
    <w:p>
      <w:pPr>
        <w:pStyle w:val="970"/>
        <w:rPr>
          <w:rFonts w:hint="eastAsia" w:ascii="仿宋" w:hAnsi="仿宋" w:eastAsia="仿宋" w:cs="仿宋"/>
        </w:rPr>
      </w:pPr>
      <w:r>
        <w:rPr>
          <w:rFonts w:hint="eastAsia" w:ascii="仿宋" w:hAnsi="仿宋" w:eastAsia="仿宋" w:cs="仿宋"/>
        </w:rPr>
      </w:r>
      <w:r/>
    </w:p>
    <w:p>
      <w:pPr>
        <w:pStyle w:val="970"/>
        <w:rPr>
          <w:rFonts w:hint="eastAsia" w:ascii="仿宋" w:hAnsi="仿宋" w:eastAsia="仿宋" w:cs="仿宋"/>
        </w:rPr>
      </w:pPr>
      <w:r>
        <w:rPr>
          <w:rFonts w:hint="eastAsia" w:ascii="仿宋" w:hAnsi="仿宋" w:eastAsia="仿宋" w:cs="仿宋"/>
        </w:rPr>
      </w:r>
      <w:r/>
    </w:p>
    <w:p>
      <w:pPr>
        <w:pStyle w:val="970"/>
        <w:rPr>
          <w:rFonts w:hint="eastAsia" w:ascii="仿宋" w:hAnsi="仿宋" w:eastAsia="仿宋" w:cs="仿宋"/>
        </w:rPr>
      </w:pPr>
      <w:r>
        <w:rPr>
          <w:rFonts w:hint="eastAsia" w:ascii="仿宋" w:hAnsi="仿宋" w:eastAsia="仿宋" w:cs="仿宋"/>
        </w:rPr>
      </w:r>
      <w:r/>
    </w:p>
    <w:p>
      <w:pPr>
        <w:pStyle w:val="970"/>
        <w:rPr>
          <w:rFonts w:hint="eastAsia" w:ascii="仿宋" w:hAnsi="仿宋" w:eastAsia="仿宋" w:cs="仿宋"/>
        </w:rPr>
      </w:pPr>
      <w:r>
        <w:rPr>
          <w:rFonts w:hint="eastAsia" w:ascii="仿宋" w:hAnsi="仿宋" w:eastAsia="仿宋" w:cs="仿宋"/>
        </w:rPr>
      </w:r>
      <w:r/>
    </w:p>
    <w:p>
      <w:pPr>
        <w:pStyle w:val="970"/>
        <w:rPr>
          <w:rFonts w:hint="eastAsia" w:ascii="仿宋" w:hAnsi="仿宋" w:eastAsia="仿宋" w:cs="仿宋"/>
        </w:rPr>
      </w:pPr>
      <w:r>
        <w:rPr>
          <w:rFonts w:hint="eastAsia" w:ascii="仿宋" w:hAnsi="仿宋" w:eastAsia="仿宋" w:cs="仿宋"/>
        </w:rPr>
      </w:r>
      <w:r/>
    </w:p>
    <w:p>
      <w:pPr>
        <w:pStyle w:val="970"/>
        <w:rPr>
          <w:rFonts w:hint="eastAsia" w:ascii="仿宋" w:hAnsi="仿宋" w:eastAsia="仿宋" w:cs="仿宋"/>
        </w:rPr>
      </w:pPr>
      <w:r>
        <w:rPr>
          <w:rFonts w:hint="eastAsia" w:ascii="仿宋" w:hAnsi="仿宋" w:eastAsia="仿宋" w:cs="仿宋"/>
        </w:rPr>
      </w:r>
      <w:r/>
    </w:p>
    <w:p>
      <w:pPr>
        <w:pStyle w:val="970"/>
        <w:rPr>
          <w:rFonts w:hint="eastAsia" w:ascii="仿宋" w:hAnsi="仿宋" w:eastAsia="仿宋" w:cs="仿宋"/>
        </w:rPr>
      </w:pPr>
      <w:r>
        <w:rPr>
          <w:rFonts w:hint="eastAsia" w:ascii="仿宋" w:hAnsi="仿宋" w:eastAsia="仿宋" w:cs="仿宋"/>
        </w:rPr>
      </w:r>
      <w:r/>
    </w:p>
    <w:p>
      <w:pPr>
        <w:pStyle w:val="970"/>
        <w:rPr>
          <w:rFonts w:hint="eastAsia" w:ascii="仿宋" w:hAnsi="仿宋" w:eastAsia="仿宋" w:cs="仿宋"/>
        </w:rPr>
      </w:pPr>
      <w:r>
        <w:rPr>
          <w:rFonts w:hint="eastAsia" w:ascii="仿宋" w:hAnsi="仿宋" w:eastAsia="仿宋" w:cs="仿宋"/>
        </w:rPr>
      </w:r>
      <w:r/>
    </w:p>
    <w:p>
      <w:pPr>
        <w:pStyle w:val="970"/>
        <w:rPr>
          <w:rFonts w:hint="eastAsia" w:ascii="仿宋" w:hAnsi="仿宋" w:eastAsia="仿宋" w:cs="仿宋"/>
        </w:rPr>
      </w:pPr>
      <w:r>
        <w:rPr>
          <w:rFonts w:hint="eastAsia" w:ascii="仿宋" w:hAnsi="仿宋" w:eastAsia="仿宋" w:cs="仿宋"/>
        </w:rPr>
      </w:r>
      <w:r/>
    </w:p>
    <w:p>
      <w:pPr>
        <w:pStyle w:val="970"/>
        <w:rPr>
          <w:rFonts w:hint="eastAsia" w:ascii="仿宋" w:hAnsi="仿宋" w:eastAsia="仿宋" w:cs="仿宋"/>
        </w:rPr>
      </w:pPr>
      <w:r>
        <w:rPr>
          <w:rFonts w:hint="eastAsia" w:ascii="仿宋" w:hAnsi="仿宋" w:eastAsia="仿宋" w:cs="仿宋"/>
        </w:rPr>
      </w:r>
      <w:r/>
    </w:p>
    <w:p>
      <w:pPr>
        <w:pStyle w:val="970"/>
        <w:rPr>
          <w:rFonts w:hint="eastAsia" w:ascii="仿宋" w:hAnsi="仿宋" w:eastAsia="仿宋" w:cs="仿宋"/>
        </w:rPr>
      </w:pPr>
      <w:r>
        <w:rPr>
          <w:rFonts w:hint="eastAsia" w:ascii="仿宋" w:hAnsi="仿宋" w:eastAsia="仿宋" w:cs="仿宋"/>
        </w:rPr>
      </w:r>
      <w:r/>
    </w:p>
    <w:p>
      <w:pPr>
        <w:pStyle w:val="970"/>
        <w:rPr>
          <w:rFonts w:hint="eastAsia" w:ascii="仿宋" w:hAnsi="仿宋" w:eastAsia="仿宋" w:cs="仿宋"/>
        </w:rPr>
      </w:pPr>
      <w:r>
        <w:rPr>
          <w:rFonts w:hint="eastAsia" w:ascii="仿宋" w:hAnsi="仿宋" w:eastAsia="仿宋" w:cs="仿宋"/>
        </w:rPr>
      </w:r>
      <w:r/>
    </w:p>
    <w:p>
      <w:pPr>
        <w:pStyle w:val="970"/>
        <w:rPr>
          <w:rFonts w:hint="eastAsia" w:ascii="仿宋" w:hAnsi="仿宋" w:eastAsia="仿宋" w:cs="仿宋"/>
        </w:rPr>
      </w:pPr>
      <w:r>
        <w:rPr>
          <w:rFonts w:hint="eastAsia" w:ascii="仿宋" w:hAnsi="仿宋" w:eastAsia="仿宋" w:cs="仿宋"/>
        </w:rPr>
      </w:r>
      <w:r/>
    </w:p>
    <w:p>
      <w:pPr>
        <w:pStyle w:val="961"/>
        <w:jc w:val="left"/>
        <w:widowControl/>
        <w:rPr>
          <w:rFonts w:hint="eastAsia" w:ascii="仿宋" w:hAnsi="仿宋" w:eastAsia="仿宋" w:cs="仿宋"/>
          <w:b/>
          <w:sz w:val="28"/>
          <w:szCs w:val="28"/>
        </w:rPr>
      </w:pPr>
      <w:r>
        <w:rPr>
          <w:rFonts w:hint="eastAsia" w:ascii="仿宋" w:hAnsi="仿宋" w:eastAsia="仿宋" w:cs="仿宋"/>
          <w:b/>
          <w:sz w:val="28"/>
          <w:szCs w:val="28"/>
        </w:rPr>
        <w:t xml:space="preserve">3.2报价一览表</w:t>
      </w:r>
      <w:r/>
    </w:p>
    <w:p>
      <w:pPr>
        <w:pStyle w:val="961"/>
        <w:jc w:val="center"/>
        <w:rPr>
          <w:rFonts w:hint="eastAsia" w:ascii="仿宋" w:hAnsi="仿宋" w:eastAsia="仿宋" w:cs="仿宋"/>
          <w:b/>
          <w:sz w:val="32"/>
          <w:szCs w:val="32"/>
        </w:rPr>
      </w:pPr>
      <w:r>
        <w:rPr>
          <w:rFonts w:hint="eastAsia" w:ascii="仿宋" w:hAnsi="仿宋" w:eastAsia="仿宋" w:cs="仿宋"/>
          <w:b/>
          <w:sz w:val="32"/>
          <w:szCs w:val="32"/>
        </w:rPr>
      </w:r>
      <w:r/>
    </w:p>
    <w:p>
      <w:pPr>
        <w:pStyle w:val="961"/>
        <w:jc w:val="center"/>
        <w:rPr>
          <w:rFonts w:hint="eastAsia" w:ascii="仿宋" w:hAnsi="仿宋" w:eastAsia="仿宋" w:cs="仿宋"/>
          <w:b/>
          <w:sz w:val="28"/>
          <w:szCs w:val="28"/>
        </w:rPr>
      </w:pPr>
      <w:r>
        <w:rPr>
          <w:rFonts w:hint="eastAsia" w:ascii="仿宋" w:hAnsi="仿宋" w:eastAsia="仿宋" w:cs="仿宋"/>
          <w:b/>
          <w:sz w:val="28"/>
          <w:szCs w:val="28"/>
        </w:rPr>
        <w:t xml:space="preserve">报价一览表</w:t>
      </w:r>
      <w:r/>
    </w:p>
    <w:p>
      <w:pPr>
        <w:pStyle w:val="961"/>
        <w:spacing w:after="120"/>
        <w:rPr>
          <w:rFonts w:hint="eastAsia" w:ascii="仿宋" w:hAnsi="仿宋" w:eastAsia="仿宋" w:cs="仿宋"/>
          <w:sz w:val="28"/>
          <w:szCs w:val="28"/>
        </w:rPr>
      </w:pPr>
      <w:r>
        <w:rPr>
          <w:rFonts w:hint="eastAsia" w:ascii="仿宋" w:hAnsi="仿宋" w:eastAsia="仿宋" w:cs="仿宋"/>
          <w:sz w:val="28"/>
          <w:szCs w:val="28"/>
        </w:rPr>
        <w:t xml:space="preserve">     按“江苏省政府采购管理交易系统（苏采云）”中格式填写。</w:t>
      </w:r>
      <w:r/>
    </w:p>
    <w:p>
      <w:pPr>
        <w:pStyle w:val="961"/>
        <w:jc w:val="left"/>
        <w:widowControl/>
        <w:rPr>
          <w:rFonts w:hint="eastAsia" w:ascii="仿宋" w:hAnsi="仿宋" w:eastAsia="仿宋" w:cs="仿宋"/>
          <w:b/>
          <w:sz w:val="28"/>
          <w:szCs w:val="28"/>
        </w:rPr>
      </w:pPr>
      <w:r>
        <w:rPr>
          <w:rFonts w:hint="eastAsia" w:ascii="仿宋" w:hAnsi="仿宋" w:eastAsia="仿宋" w:cs="仿宋"/>
          <w:sz w:val="28"/>
          <w:szCs w:val="28"/>
        </w:rPr>
        <w:br w:type="page" w:clear="all"/>
      </w:r>
      <w:r>
        <w:rPr>
          <w:rFonts w:hint="eastAsia" w:ascii="仿宋" w:hAnsi="仿宋" w:eastAsia="仿宋" w:cs="仿宋"/>
          <w:b/>
          <w:sz w:val="28"/>
          <w:szCs w:val="28"/>
        </w:rPr>
        <w:t xml:space="preserve">3.3响应函</w:t>
      </w:r>
      <w:r/>
    </w:p>
    <w:p>
      <w:pPr>
        <w:pStyle w:val="961"/>
        <w:jc w:val="center"/>
        <w:spacing w:line="560" w:lineRule="exact"/>
        <w:rPr>
          <w:rFonts w:hint="eastAsia" w:ascii="仿宋" w:hAnsi="仿宋" w:eastAsia="仿宋" w:cs="仿宋"/>
          <w:b/>
          <w:sz w:val="32"/>
          <w:szCs w:val="32"/>
        </w:rPr>
      </w:pPr>
      <w:r/>
      <w:bookmarkStart w:id="245" w:name="OLE_LINK93"/>
      <w:r/>
      <w:bookmarkStart w:id="246" w:name="OLE_LINK94"/>
      <w:r/>
      <w:bookmarkStart w:id="247" w:name="OLE_LINK102"/>
      <w:r/>
      <w:bookmarkStart w:id="248" w:name="OLE_LINK169"/>
      <w:r/>
      <w:bookmarkStart w:id="249" w:name="OLE_LINK143"/>
      <w:r/>
      <w:bookmarkStart w:id="250" w:name="OLE_LINK159"/>
      <w:r/>
      <w:bookmarkStart w:id="251" w:name="_Toc367785041"/>
      <w:r/>
      <w:bookmarkStart w:id="252" w:name="OLE_LINK189"/>
      <w:r/>
      <w:bookmarkStart w:id="253" w:name="OLE_LINK190"/>
      <w:r>
        <w:rPr>
          <w:rFonts w:hint="eastAsia" w:ascii="仿宋" w:hAnsi="仿宋" w:eastAsia="仿宋" w:cs="仿宋"/>
          <w:b/>
          <w:sz w:val="32"/>
          <w:szCs w:val="32"/>
        </w:rPr>
        <w:t xml:space="preserve">响 应 函</w:t>
      </w:r>
      <w:bookmarkEnd w:id="251"/>
      <w:r>
        <w:rPr>
          <w:rFonts w:hint="eastAsia" w:ascii="仿宋" w:hAnsi="仿宋" w:eastAsia="仿宋" w:cs="仿宋"/>
          <w:b/>
          <w:sz w:val="32"/>
          <w:szCs w:val="32"/>
        </w:rPr>
      </w:r>
      <w:r/>
    </w:p>
    <w:p>
      <w:pPr>
        <w:pStyle w:val="961"/>
        <w:spacing w:line="560" w:lineRule="exact"/>
        <w:rPr>
          <w:rFonts w:hint="eastAsia" w:ascii="仿宋" w:hAnsi="仿宋" w:eastAsia="仿宋" w:cs="仿宋"/>
          <w:sz w:val="28"/>
          <w:szCs w:val="28"/>
        </w:rPr>
      </w:pPr>
      <w:r>
        <w:rPr>
          <w:rFonts w:hint="eastAsia" w:ascii="仿宋" w:hAnsi="仿宋" w:eastAsia="仿宋" w:cs="仿宋"/>
          <w:sz w:val="28"/>
          <w:szCs w:val="28"/>
        </w:rPr>
        <w:t xml:space="preserve">致：</w:t>
      </w:r>
      <w:r>
        <w:rPr>
          <w:rFonts w:hint="eastAsia" w:ascii="仿宋" w:hAnsi="仿宋" w:eastAsia="仿宋" w:cs="仿宋"/>
          <w:sz w:val="28"/>
          <w:szCs w:val="28"/>
          <w:u w:val="single"/>
        </w:rPr>
        <w:t xml:space="preserve">（采购人名称）</w:t>
      </w:r>
      <w:r>
        <w:rPr>
          <w:rFonts w:hint="eastAsia" w:ascii="仿宋" w:hAnsi="仿宋" w:eastAsia="仿宋" w:cs="仿宋"/>
          <w:sz w:val="28"/>
          <w:szCs w:val="28"/>
        </w:rPr>
        <w:t xml:space="preserve"> </w:t>
      </w:r>
      <w:r/>
    </w:p>
    <w:p>
      <w:pPr>
        <w:pStyle w:val="961"/>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根据</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项目采购文件的所有条款要求，遵照《中华人民共和国政府采购法》、《中华人民共和国政府采购法实施条例》等有关规定，我方承诺如下：</w:t>
      </w:r>
      <w:r/>
    </w:p>
    <w:p>
      <w:pPr>
        <w:pStyle w:val="961"/>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宋体" w:hAnsi="宋体" w:cs="宋体"/>
          <w:sz w:val="28"/>
          <w:szCs w:val="28"/>
        </w:rPr>
        <w:t xml:space="preserve"> </w:t>
      </w:r>
      <w:r>
        <w:rPr>
          <w:rFonts w:hint="eastAsia" w:ascii="仿宋" w:hAnsi="仿宋" w:eastAsia="仿宋" w:cs="仿宋"/>
          <w:sz w:val="28"/>
          <w:szCs w:val="28"/>
        </w:rPr>
        <w:t xml:space="preserve">投标价格为：（大写）：</w:t>
      </w:r>
      <w:r>
        <w:rPr>
          <w:rFonts w:hint="eastAsia" w:ascii="宋体" w:hAnsi="宋体" w:cs="宋体"/>
          <w:color w:val="000000"/>
          <w:sz w:val="28"/>
          <w:szCs w:val="28"/>
          <w:u w:val="single"/>
        </w:rPr>
        <w:t xml:space="preserve">         </w:t>
      </w:r>
      <w:r>
        <w:rPr>
          <w:rFonts w:hint="eastAsia" w:ascii="宋体" w:hAnsi="宋体" w:cs="宋体"/>
          <w:color w:val="000000"/>
          <w:sz w:val="28"/>
          <w:szCs w:val="28"/>
          <w:u w:val="single"/>
        </w:rPr>
        <w:t xml:space="preserve">元</w:t>
      </w:r>
      <w:r>
        <w:rPr>
          <w:rFonts w:hint="eastAsia" w:ascii="仿宋" w:hAnsi="仿宋" w:eastAsia="仿宋" w:cs="仿宋"/>
          <w:sz w:val="28"/>
          <w:szCs w:val="28"/>
          <w:u w:val="single"/>
        </w:rPr>
        <w:t xml:space="preserve">/年</w:t>
      </w:r>
      <w:r>
        <w:rPr>
          <w:rFonts w:hint="eastAsia" w:ascii="仿宋" w:hAnsi="仿宋" w:eastAsia="仿宋" w:cs="仿宋"/>
          <w:sz w:val="28"/>
          <w:szCs w:val="28"/>
        </w:rPr>
        <w:t xml:space="preserve">（人民币）。一旦我方成为成交人,我方将根据采购文件的规定，严格履行合同的责任和义务。成交价在履行合同约定的责任和义务的过程中不再调整。</w:t>
      </w:r>
      <w:r/>
    </w:p>
    <w:p>
      <w:pPr>
        <w:pStyle w:val="961"/>
        <w:ind w:firstLine="560"/>
        <w:spacing w:line="560" w:lineRule="exact"/>
        <w:rPr>
          <w:rFonts w:hint="eastAsia" w:ascii="仿宋" w:hAnsi="仿宋" w:eastAsia="仿宋" w:cs="仿宋"/>
          <w:sz w:val="28"/>
          <w:szCs w:val="28"/>
          <w:u w:val="single"/>
        </w:rPr>
      </w:pPr>
      <w:r>
        <w:rPr>
          <w:rFonts w:hint="eastAsia" w:ascii="仿宋" w:hAnsi="仿宋" w:eastAsia="仿宋" w:cs="仿宋"/>
          <w:sz w:val="28"/>
          <w:szCs w:val="28"/>
        </w:rPr>
        <w:t xml:space="preserve">2.合同履行期限：</w:t>
      </w:r>
      <w:r>
        <w:rPr>
          <w:rFonts w:hint="eastAsia" w:ascii="仿宋" w:hAnsi="仿宋" w:eastAsia="仿宋" w:cs="仿宋"/>
          <w:sz w:val="28"/>
          <w:szCs w:val="28"/>
          <w:u w:val="single"/>
        </w:rPr>
        <w:t xml:space="preserve">本项目服务期为三年，采取一次招标三年沿用，实行一年一考核一签合同的办法。如果成交单位年度考核不合格，采购人有权终止合同，不再续签下一年合同。</w:t>
      </w:r>
      <w:r>
        <w:rPr>
          <w:rFonts w:hint="eastAsia" w:ascii="仿宋" w:hAnsi="仿宋" w:eastAsia="仿宋" w:cs="仿宋"/>
          <w:sz w:val="28"/>
          <w:szCs w:val="28"/>
          <w:u w:val="single"/>
        </w:rPr>
      </w:r>
      <w:r/>
    </w:p>
    <w:p>
      <w:pPr>
        <w:pStyle w:val="961"/>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3.我方已详细审查全部采购文件。我们完全理解并同意放弃对这方面有不明及误解的权力。</w:t>
      </w:r>
      <w:r/>
    </w:p>
    <w:p>
      <w:pPr>
        <w:pStyle w:val="961"/>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4.我方响应文件中作出的所有承诺，在采购项目评审结束后，随时接受采购人的检查验证，并自觉配合提供相关证明材料。经调查核实为虚假承诺的，同意视为“提供虚假材料谋取中标、成交”的违法行为，依照《政府采购法》等法律法规承担相应责任。</w:t>
      </w:r>
      <w:r/>
    </w:p>
    <w:p>
      <w:pPr>
        <w:pStyle w:val="961"/>
        <w:spacing w:before="156" w:line="560" w:lineRule="exact"/>
        <w:rPr>
          <w:rFonts w:hint="eastAsia" w:ascii="仿宋" w:hAnsi="仿宋" w:eastAsia="仿宋" w:cs="仿宋"/>
          <w:sz w:val="28"/>
          <w:szCs w:val="28"/>
        </w:rPr>
      </w:pPr>
      <w:r>
        <w:rPr>
          <w:rFonts w:hint="eastAsia" w:ascii="仿宋" w:hAnsi="仿宋" w:eastAsia="仿宋" w:cs="仿宋"/>
          <w:sz w:val="28"/>
          <w:szCs w:val="28"/>
        </w:rPr>
      </w:r>
      <w:r/>
    </w:p>
    <w:p>
      <w:pPr>
        <w:pStyle w:val="961"/>
        <w:ind w:firstLine="3920"/>
        <w:spacing w:before="156" w:line="560" w:lineRule="exact"/>
        <w:rPr>
          <w:rFonts w:hint="eastAsia" w:ascii="仿宋" w:hAnsi="仿宋" w:eastAsia="仿宋" w:cs="仿宋"/>
          <w:sz w:val="28"/>
          <w:szCs w:val="28"/>
        </w:rPr>
      </w:pPr>
      <w:r/>
      <w:bookmarkStart w:id="254" w:name="OLE_LINK114"/>
      <w:r/>
      <w:bookmarkStart w:id="255" w:name="OLE_LINK115"/>
      <w:r>
        <w:rPr>
          <w:rFonts w:hint="eastAsia" w:ascii="仿宋" w:hAnsi="仿宋" w:eastAsia="仿宋" w:cs="仿宋"/>
          <w:sz w:val="28"/>
          <w:szCs w:val="28"/>
        </w:rPr>
        <w:t xml:space="preserve">供应商名称(盖法人章)：</w:t>
      </w:r>
      <w:r/>
    </w:p>
    <w:p>
      <w:pPr>
        <w:pStyle w:val="961"/>
        <w:ind w:firstLine="3920"/>
        <w:spacing w:before="156" w:line="560" w:lineRule="exact"/>
        <w:rPr>
          <w:rFonts w:hint="eastAsia" w:ascii="仿宋" w:hAnsi="仿宋" w:eastAsia="仿宋" w:cs="仿宋"/>
          <w:sz w:val="28"/>
          <w:szCs w:val="28"/>
        </w:rPr>
      </w:pPr>
      <w:r>
        <w:rPr>
          <w:rFonts w:hint="eastAsia" w:ascii="仿宋" w:hAnsi="仿宋" w:eastAsia="仿宋" w:cs="仿宋"/>
          <w:sz w:val="28"/>
          <w:szCs w:val="28"/>
        </w:rPr>
        <w:t xml:space="preserve">法定代表人 (签字或签章)：</w:t>
      </w:r>
      <w:r/>
    </w:p>
    <w:p>
      <w:pPr>
        <w:pStyle w:val="961"/>
        <w:ind w:firstLine="3920"/>
        <w:spacing w:before="156" w:line="560" w:lineRule="exact"/>
        <w:rPr>
          <w:rFonts w:hint="eastAsia" w:ascii="仿宋" w:hAnsi="仿宋" w:eastAsia="仿宋" w:cs="仿宋"/>
          <w:sz w:val="28"/>
          <w:szCs w:val="28"/>
        </w:rPr>
      </w:pPr>
      <w:r>
        <w:rPr>
          <w:rFonts w:hint="eastAsia" w:ascii="仿宋" w:hAnsi="仿宋" w:eastAsia="仿宋" w:cs="仿宋"/>
          <w:sz w:val="28"/>
          <w:szCs w:val="28"/>
        </w:rPr>
        <w:t xml:space="preserve">日期：   年  月   日</w:t>
      </w:r>
      <w:bookmarkEnd w:id="245"/>
      <w:r/>
      <w:bookmarkEnd w:id="246"/>
      <w:r/>
      <w:bookmarkEnd w:id="247"/>
      <w:r/>
      <w:bookmarkEnd w:id="248"/>
      <w:r/>
      <w:bookmarkEnd w:id="249"/>
      <w:r/>
      <w:bookmarkEnd w:id="250"/>
      <w:r/>
      <w:bookmarkEnd w:id="254"/>
      <w:r/>
      <w:bookmarkEnd w:id="255"/>
      <w:r/>
      <w:bookmarkStart w:id="256" w:name="_Hlt26955041"/>
      <w:r/>
      <w:bookmarkEnd w:id="256"/>
      <w:r>
        <w:rPr>
          <w:rFonts w:hint="eastAsia" w:ascii="仿宋" w:hAnsi="仿宋" w:eastAsia="仿宋" w:cs="仿宋"/>
          <w:sz w:val="28"/>
          <w:szCs w:val="28"/>
        </w:rPr>
      </w:r>
      <w:r/>
    </w:p>
    <w:p>
      <w:pPr>
        <w:pStyle w:val="961"/>
        <w:jc w:val="left"/>
        <w:widowControl/>
        <w:rPr>
          <w:rFonts w:hint="eastAsia" w:ascii="仿宋" w:hAnsi="仿宋" w:eastAsia="仿宋" w:cs="仿宋"/>
          <w:b/>
          <w:sz w:val="28"/>
          <w:szCs w:val="28"/>
        </w:rPr>
      </w:pPr>
      <w:r/>
      <w:bookmarkEnd w:id="252"/>
      <w:r/>
      <w:bookmarkEnd w:id="253"/>
      <w:r>
        <w:rPr>
          <w:rFonts w:hint="eastAsia" w:ascii="仿宋" w:hAnsi="仿宋" w:eastAsia="仿宋" w:cs="仿宋"/>
          <w:sz w:val="28"/>
          <w:szCs w:val="28"/>
        </w:rPr>
        <w:br w:type="page" w:clear="all"/>
      </w:r>
      <w:r>
        <w:rPr>
          <w:rFonts w:hint="eastAsia" w:ascii="仿宋" w:hAnsi="仿宋" w:eastAsia="仿宋" w:cs="仿宋"/>
          <w:b/>
          <w:sz w:val="28"/>
          <w:szCs w:val="28"/>
        </w:rPr>
        <w:t xml:space="preserve">3.4</w:t>
      </w:r>
      <w:r>
        <w:rPr>
          <w:rFonts w:hint="eastAsia" w:ascii="仿宋" w:hAnsi="仿宋" w:eastAsia="仿宋" w:cs="仿宋"/>
          <w:b/>
          <w:sz w:val="28"/>
          <w:szCs w:val="28"/>
        </w:rPr>
        <w:t xml:space="preserve">供应商资格条件证明文件</w:t>
      </w:r>
      <w:r/>
    </w:p>
    <w:p>
      <w:pPr>
        <w:pStyle w:val="961"/>
        <w:rPr>
          <w:rFonts w:hint="eastAsia" w:ascii="仿宋" w:hAnsi="仿宋" w:eastAsia="仿宋" w:cs="仿宋"/>
          <w:sz w:val="28"/>
          <w:szCs w:val="28"/>
        </w:rPr>
      </w:pPr>
      <w:r>
        <w:rPr>
          <w:rFonts w:hint="eastAsia" w:ascii="仿宋" w:hAnsi="仿宋" w:eastAsia="仿宋" w:cs="仿宋"/>
          <w:sz w:val="28"/>
          <w:szCs w:val="28"/>
        </w:rPr>
        <w:t xml:space="preserve">（1）供应商基本资格条件承诺书</w:t>
      </w:r>
      <w:r/>
    </w:p>
    <w:p>
      <w:pPr>
        <w:pStyle w:val="961"/>
        <w:jc w:val="center"/>
        <w:rPr>
          <w:rFonts w:hint="eastAsia" w:ascii="仿宋" w:hAnsi="仿宋" w:eastAsia="仿宋" w:cs="仿宋"/>
          <w:b/>
          <w:sz w:val="32"/>
          <w:szCs w:val="32"/>
        </w:rPr>
      </w:pPr>
      <w:r/>
      <w:bookmarkStart w:id="257" w:name="OLE_LINK99"/>
      <w:r/>
      <w:bookmarkStart w:id="258" w:name="OLE_LINK100"/>
      <w:r/>
      <w:bookmarkStart w:id="259" w:name="OLE_LINK167"/>
      <w:r/>
      <w:bookmarkStart w:id="260" w:name="OLE_LINK154"/>
      <w:r/>
      <w:bookmarkStart w:id="261" w:name="OLE_LINK209"/>
      <w:r/>
      <w:bookmarkStart w:id="262" w:name="OLE_LINK210"/>
      <w:r/>
      <w:bookmarkStart w:id="263" w:name="OLE_LINK186"/>
      <w:r>
        <w:rPr>
          <w:rFonts w:hint="eastAsia" w:ascii="仿宋" w:hAnsi="仿宋" w:eastAsia="仿宋" w:cs="仿宋"/>
          <w:b/>
          <w:sz w:val="32"/>
          <w:szCs w:val="32"/>
        </w:rPr>
        <w:t xml:space="preserve">供应商基本资格条件承诺书</w:t>
      </w:r>
      <w:r/>
    </w:p>
    <w:p>
      <w:pPr>
        <w:pStyle w:val="961"/>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一、按照《政府采购法》第二十二条规定的供应商基本资格条件，我公司郑重承诺如下：</w:t>
      </w:r>
      <w:r/>
    </w:p>
    <w:p>
      <w:pPr>
        <w:pStyle w:val="961"/>
        <w:ind w:firstLine="560"/>
        <w:spacing w:line="560" w:lineRule="exact"/>
        <w:rPr>
          <w:rFonts w:hint="eastAsia" w:ascii="仿宋" w:hAnsi="仿宋" w:eastAsia="仿宋" w:cs="仿宋"/>
          <w:sz w:val="28"/>
          <w:szCs w:val="28"/>
          <w:shd w:val="clear" w:color="auto" w:fill="ffffff"/>
        </w:rPr>
      </w:pPr>
      <w:r>
        <w:rPr>
          <w:rFonts w:hint="eastAsia" w:ascii="仿宋" w:hAnsi="仿宋" w:eastAsia="仿宋" w:cs="仿宋"/>
          <w:sz w:val="28"/>
          <w:szCs w:val="28"/>
        </w:rPr>
        <w:t xml:space="preserve">1.我公司具有</w:t>
      </w:r>
      <w:r>
        <w:rPr>
          <w:rFonts w:hint="eastAsia" w:ascii="仿宋" w:hAnsi="仿宋" w:eastAsia="仿宋" w:cs="仿宋"/>
          <w:sz w:val="28"/>
          <w:szCs w:val="28"/>
          <w:shd w:val="clear" w:color="auto" w:fill="ffffff"/>
        </w:rPr>
        <w:t xml:space="preserve">良好的商业信誉和健全的财务制度；</w:t>
      </w:r>
      <w:r/>
    </w:p>
    <w:p>
      <w:pPr>
        <w:pStyle w:val="961"/>
        <w:ind w:firstLine="560"/>
        <w:spacing w:line="56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2.我公司具有履行合同所必须的设备和专业技术能力；</w:t>
      </w:r>
      <w:r/>
    </w:p>
    <w:p>
      <w:pPr>
        <w:pStyle w:val="961"/>
        <w:ind w:firstLine="560"/>
        <w:spacing w:line="56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3.我公司具有依法缴纳税收和社会保障资金的良好记录；</w:t>
      </w:r>
      <w:r/>
    </w:p>
    <w:p>
      <w:pPr>
        <w:pStyle w:val="961"/>
        <w:ind w:firstLine="560"/>
        <w:spacing w:line="56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4.我公司参加政府采购活动前三年内，在经营活动中没有重大违法记录；</w:t>
      </w:r>
      <w:r/>
    </w:p>
    <w:p>
      <w:pPr>
        <w:pStyle w:val="961"/>
        <w:ind w:firstLine="560"/>
        <w:spacing w:line="56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5.我公司未列入在信用中国网站（www.creditchina.gov.cn）“失信被执行人”“重大税收违法案件当事人名单”中，也未列入中国政府采购网（www.ccgp.gov.cn）“政府采购严重违法失信行为记录名单”中</w:t>
      </w:r>
      <w:r>
        <w:rPr>
          <w:rFonts w:hint="eastAsia" w:ascii="仿宋" w:hAnsi="仿宋" w:eastAsia="仿宋" w:cs="仿宋"/>
          <w:sz w:val="28"/>
          <w:szCs w:val="28"/>
        </w:rPr>
        <w:t xml:space="preserve">。</w:t>
      </w:r>
      <w:r>
        <w:rPr>
          <w:rFonts w:hint="eastAsia" w:ascii="仿宋" w:hAnsi="仿宋" w:eastAsia="仿宋" w:cs="仿宋"/>
          <w:sz w:val="28"/>
          <w:szCs w:val="28"/>
          <w:shd w:val="clear" w:color="auto" w:fill="ffffff"/>
        </w:rPr>
      </w:r>
      <w:r/>
    </w:p>
    <w:p>
      <w:pPr>
        <w:pStyle w:val="961"/>
        <w:ind w:firstLine="560"/>
        <w:spacing w:line="560" w:lineRule="exact"/>
        <w:rPr>
          <w:rFonts w:hint="eastAsia" w:ascii="仿宋" w:hAnsi="仿宋" w:eastAsia="仿宋" w:cs="仿宋"/>
          <w:sz w:val="28"/>
          <w:szCs w:val="28"/>
        </w:rPr>
      </w:pPr>
      <w:r>
        <w:rPr>
          <w:rFonts w:hint="eastAsia" w:ascii="仿宋" w:hAnsi="仿宋" w:eastAsia="仿宋" w:cs="仿宋"/>
          <w:sz w:val="28"/>
          <w:szCs w:val="28"/>
          <w:shd w:val="clear" w:color="auto" w:fill="ffffff"/>
        </w:rPr>
        <w:t xml:space="preserve">二、</w:t>
      </w:r>
      <w:r>
        <w:rPr>
          <w:rFonts w:hint="eastAsia" w:ascii="仿宋" w:hAnsi="仿宋" w:eastAsia="仿宋" w:cs="仿宋"/>
          <w:sz w:val="28"/>
          <w:szCs w:val="28"/>
        </w:rPr>
        <w:t xml:space="preserve">我公司承诺：在本次投标过程中，我公司不存在本项目采购文件第二章第1.3.3条所列情形之一。</w:t>
      </w:r>
      <w:r>
        <w:rPr>
          <w:rFonts w:hint="eastAsia" w:ascii="仿宋" w:hAnsi="仿宋" w:eastAsia="仿宋" w:cs="仿宋"/>
          <w:sz w:val="28"/>
          <w:szCs w:val="28"/>
        </w:rPr>
      </w:r>
      <w:r/>
    </w:p>
    <w:p>
      <w:pPr>
        <w:pStyle w:val="961"/>
        <w:ind w:firstLine="3920"/>
        <w:spacing w:before="156" w:line="560" w:lineRule="exact"/>
        <w:rPr>
          <w:rFonts w:hint="eastAsia" w:ascii="仿宋" w:hAnsi="仿宋" w:eastAsia="仿宋" w:cs="仿宋"/>
          <w:sz w:val="28"/>
          <w:szCs w:val="28"/>
        </w:rPr>
      </w:pPr>
      <w:r>
        <w:rPr>
          <w:rFonts w:hint="eastAsia" w:ascii="仿宋" w:hAnsi="仿宋" w:eastAsia="仿宋" w:cs="仿宋"/>
          <w:sz w:val="28"/>
          <w:szCs w:val="28"/>
        </w:rPr>
      </w:r>
      <w:r/>
    </w:p>
    <w:p>
      <w:pPr>
        <w:pStyle w:val="961"/>
        <w:ind w:firstLine="3920"/>
        <w:spacing w:before="156" w:line="560" w:lineRule="exact"/>
        <w:rPr>
          <w:rFonts w:hint="eastAsia" w:ascii="仿宋" w:hAnsi="仿宋" w:eastAsia="仿宋" w:cs="仿宋"/>
          <w:sz w:val="28"/>
          <w:szCs w:val="28"/>
        </w:rPr>
      </w:pPr>
      <w:r>
        <w:rPr>
          <w:rFonts w:hint="eastAsia" w:ascii="仿宋" w:hAnsi="仿宋" w:eastAsia="仿宋" w:cs="仿宋"/>
          <w:sz w:val="28"/>
          <w:szCs w:val="28"/>
        </w:rPr>
        <w:t xml:space="preserve">供应商名称(盖法人章)：</w:t>
      </w:r>
      <w:r/>
    </w:p>
    <w:p>
      <w:pPr>
        <w:pStyle w:val="961"/>
        <w:ind w:firstLine="3920"/>
        <w:spacing w:before="156" w:line="560" w:lineRule="exact"/>
        <w:rPr>
          <w:rFonts w:hint="eastAsia" w:ascii="仿宋" w:hAnsi="仿宋" w:eastAsia="仿宋" w:cs="仿宋"/>
          <w:sz w:val="28"/>
          <w:szCs w:val="28"/>
          <w:u w:val="single"/>
        </w:rPr>
      </w:pPr>
      <w:r>
        <w:rPr>
          <w:rFonts w:hint="eastAsia" w:ascii="仿宋" w:hAnsi="仿宋" w:eastAsia="仿宋" w:cs="仿宋"/>
          <w:sz w:val="28"/>
          <w:szCs w:val="28"/>
        </w:rPr>
        <w:t xml:space="preserve">法定代表人 (签字或签章)：</w:t>
      </w:r>
      <w:r>
        <w:rPr>
          <w:rFonts w:hint="eastAsia" w:ascii="仿宋" w:hAnsi="仿宋" w:eastAsia="仿宋" w:cs="仿宋"/>
          <w:sz w:val="28"/>
          <w:szCs w:val="28"/>
          <w:u w:val="single"/>
        </w:rPr>
      </w:r>
      <w:r/>
    </w:p>
    <w:p>
      <w:pPr>
        <w:pStyle w:val="961"/>
        <w:ind w:firstLine="3920"/>
        <w:spacing w:before="156" w:line="560" w:lineRule="exact"/>
        <w:rPr>
          <w:rFonts w:hint="eastAsia" w:ascii="仿宋" w:hAnsi="仿宋" w:eastAsia="仿宋" w:cs="仿宋"/>
          <w:sz w:val="28"/>
          <w:szCs w:val="28"/>
        </w:rPr>
      </w:pPr>
      <w:r>
        <w:rPr>
          <w:rFonts w:hint="eastAsia" w:ascii="仿宋" w:hAnsi="仿宋" w:eastAsia="仿宋" w:cs="仿宋"/>
          <w:sz w:val="28"/>
          <w:szCs w:val="28"/>
        </w:rPr>
        <w:t xml:space="preserve">日期：   年  月   日</w:t>
      </w:r>
      <w:bookmarkEnd w:id="257"/>
      <w:r/>
      <w:bookmarkEnd w:id="258"/>
      <w:r/>
      <w:bookmarkEnd w:id="259"/>
      <w:r/>
      <w:bookmarkEnd w:id="260"/>
      <w:r/>
      <w:bookmarkEnd w:id="263"/>
      <w:r>
        <w:rPr>
          <w:rFonts w:hint="eastAsia" w:ascii="仿宋" w:hAnsi="仿宋" w:eastAsia="仿宋" w:cs="仿宋"/>
          <w:sz w:val="28"/>
          <w:szCs w:val="28"/>
        </w:rPr>
      </w:r>
      <w:r/>
    </w:p>
    <w:p>
      <w:pPr>
        <w:pStyle w:val="961"/>
        <w:jc w:val="left"/>
        <w:widowControl/>
        <w:rPr>
          <w:rFonts w:hint="eastAsia" w:ascii="仿宋" w:hAnsi="仿宋" w:eastAsia="仿宋" w:cs="仿宋"/>
          <w:b/>
          <w:sz w:val="28"/>
          <w:szCs w:val="28"/>
        </w:rPr>
      </w:pPr>
      <w:r/>
      <w:bookmarkEnd w:id="261"/>
      <w:r/>
      <w:bookmarkEnd w:id="262"/>
      <w:r>
        <w:rPr>
          <w:rFonts w:hint="eastAsia" w:ascii="仿宋" w:hAnsi="仿宋" w:eastAsia="仿宋" w:cs="仿宋"/>
          <w:sz w:val="28"/>
          <w:szCs w:val="28"/>
        </w:rPr>
        <w:br w:type="page" w:clear="all"/>
      </w:r>
      <w:r>
        <w:rPr>
          <w:rFonts w:hint="eastAsia" w:ascii="仿宋" w:hAnsi="仿宋" w:eastAsia="仿宋" w:cs="仿宋"/>
          <w:b/>
          <w:sz w:val="28"/>
          <w:szCs w:val="28"/>
        </w:rPr>
        <w:t xml:space="preserve">（2）</w:t>
      </w:r>
      <w:r>
        <w:rPr>
          <w:rFonts w:hint="eastAsia" w:ascii="仿宋" w:hAnsi="仿宋" w:eastAsia="仿宋" w:cs="仿宋"/>
          <w:b/>
          <w:sz w:val="28"/>
          <w:szCs w:val="28"/>
        </w:rPr>
        <w:t xml:space="preserve">中小企业声明函；</w:t>
      </w:r>
      <w:r/>
    </w:p>
    <w:p>
      <w:pPr>
        <w:pStyle w:val="961"/>
        <w:jc w:val="center"/>
        <w:spacing w:line="600" w:lineRule="exact"/>
        <w:rPr>
          <w:rFonts w:hint="eastAsia" w:ascii="仿宋" w:hAnsi="仿宋" w:eastAsia="仿宋" w:cs="仿宋"/>
          <w:b/>
          <w:sz w:val="28"/>
          <w:szCs w:val="28"/>
        </w:rPr>
      </w:pPr>
      <w:r/>
      <w:bookmarkStart w:id="264" w:name="OLE_LINK96"/>
      <w:r/>
      <w:bookmarkStart w:id="265" w:name="OLE_LINK101"/>
      <w:r/>
      <w:bookmarkStart w:id="266" w:name="OLE_LINK105"/>
      <w:r/>
      <w:bookmarkStart w:id="267" w:name="OLE_LINK165"/>
      <w:r/>
      <w:bookmarkStart w:id="268" w:name="OLE_LINK168"/>
      <w:r/>
      <w:bookmarkStart w:id="269" w:name="OLE_LINK171"/>
      <w:r/>
      <w:bookmarkStart w:id="270" w:name="OLE_LINK153"/>
      <w:r/>
      <w:bookmarkStart w:id="271" w:name="OLE_LINK155"/>
      <w:r/>
      <w:bookmarkStart w:id="272" w:name="OLE_LINK178"/>
      <w:r/>
      <w:bookmarkStart w:id="273" w:name="OLE_LINK140"/>
      <w:r/>
      <w:bookmarkStart w:id="274" w:name="OLE_LINK125"/>
      <w:r/>
      <w:bookmarkStart w:id="275" w:name="OLE_LINK95"/>
      <w:r/>
      <w:bookmarkStart w:id="276" w:name="OLE_LINK182"/>
      <w:r/>
      <w:bookmarkStart w:id="277" w:name="OLE_LINK184"/>
      <w:r/>
      <w:bookmarkStart w:id="278" w:name="OLE_LINK185"/>
      <w:r/>
      <w:bookmarkStart w:id="279" w:name="OLE_LINK188"/>
      <w:r>
        <w:rPr>
          <w:rFonts w:hint="eastAsia" w:ascii="仿宋" w:hAnsi="仿宋" w:eastAsia="仿宋" w:cs="仿宋"/>
          <w:b/>
          <w:sz w:val="28"/>
          <w:szCs w:val="28"/>
        </w:rPr>
        <w:t xml:space="preserve">中小企业声明函</w:t>
      </w:r>
      <w:r/>
    </w:p>
    <w:p>
      <w:pPr>
        <w:pStyle w:val="961"/>
        <w:ind w:firstLine="570"/>
        <w:spacing w:line="560" w:lineRule="exact"/>
        <w:rPr>
          <w:rFonts w:hint="eastAsia" w:ascii="仿宋" w:hAnsi="仿宋" w:eastAsia="仿宋" w:cs="仿宋"/>
          <w:sz w:val="28"/>
          <w:szCs w:val="28"/>
        </w:rPr>
      </w:pPr>
      <w:r/>
      <w:bookmarkEnd w:id="276"/>
      <w:r/>
      <w:bookmarkEnd w:id="277"/>
      <w:r>
        <w:rPr>
          <w:rFonts w:hint="eastAsia" w:ascii="仿宋" w:hAnsi="仿宋" w:eastAsia="仿宋" w:cs="仿宋"/>
          <w:sz w:val="28"/>
          <w:szCs w:val="28"/>
        </w:rPr>
        <w:t xml:space="preserve">本企业郑重声明，根据《政府采购促进中小企业发展管理办法》（财库[2020]46号）的规定，本企业参加</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的</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采购活动，提供的服务全部由本企业提供。我方的具体情况如下：</w:t>
      </w:r>
      <w:r/>
    </w:p>
    <w:p>
      <w:pPr>
        <w:pStyle w:val="961"/>
        <w:ind w:firstLine="560"/>
        <w:spacing w:line="560" w:lineRule="exact"/>
        <w:rPr>
          <w:rFonts w:hint="eastAsia" w:ascii="仿宋" w:hAnsi="仿宋" w:eastAsia="仿宋" w:cs="仿宋"/>
          <w:sz w:val="28"/>
          <w:szCs w:val="28"/>
          <w:u w:val="single"/>
        </w:rPr>
      </w:pP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，属于</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；本企业从业人员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人，营业收入</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万元，依据《关于印发中小企业划型标准规定的通知》的中小企业划分标准，本企业属于</w:t>
      </w:r>
      <w:r>
        <w:rPr>
          <w:rFonts w:hint="eastAsia" w:ascii="仿宋" w:hAnsi="仿宋" w:eastAsia="仿宋" w:cs="仿宋"/>
          <w:sz w:val="28"/>
          <w:szCs w:val="28"/>
          <w:u w:val="single"/>
        </w:rPr>
        <w:t xml:space="preserve"> （中型企业、小型企业、微型企业）   </w:t>
      </w:r>
      <w:r>
        <w:rPr>
          <w:rFonts w:hint="eastAsia" w:ascii="仿宋" w:hAnsi="仿宋" w:eastAsia="仿宋" w:cs="仿宋"/>
          <w:sz w:val="28"/>
          <w:szCs w:val="28"/>
        </w:rPr>
        <w:t xml:space="preserve">。</w:t>
      </w:r>
      <w:r>
        <w:rPr>
          <w:rFonts w:hint="eastAsia" w:ascii="仿宋" w:hAnsi="仿宋" w:eastAsia="仿宋" w:cs="仿宋"/>
          <w:sz w:val="28"/>
          <w:szCs w:val="28"/>
          <w:u w:val="single"/>
        </w:rPr>
      </w:r>
      <w:r/>
    </w:p>
    <w:p>
      <w:pPr>
        <w:pStyle w:val="961"/>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本企业不属于大企业的分支机构，不存在控股股东为大企业的情形，也不存在与大企业的负责人为同一人的情形。</w:t>
      </w:r>
      <w:r/>
    </w:p>
    <w:p>
      <w:pPr>
        <w:pStyle w:val="961"/>
        <w:ind w:firstLine="570"/>
        <w:spacing w:line="560" w:lineRule="exact"/>
        <w:rPr>
          <w:rFonts w:hint="eastAsia" w:ascii="仿宋" w:hAnsi="仿宋" w:eastAsia="仿宋" w:cs="仿宋"/>
          <w:sz w:val="28"/>
          <w:szCs w:val="28"/>
        </w:rPr>
      </w:pPr>
      <w:r>
        <w:rPr>
          <w:rFonts w:hint="eastAsia" w:ascii="仿宋" w:hAnsi="仿宋" w:eastAsia="仿宋" w:cs="仿宋"/>
          <w:sz w:val="28"/>
          <w:szCs w:val="28"/>
        </w:rPr>
        <w:t xml:space="preserve">本企业对上述声明内容的真实性负责。如有虚假，将依法承担相应责任。</w:t>
      </w:r>
      <w:r/>
    </w:p>
    <w:p>
      <w:pPr>
        <w:pStyle w:val="961"/>
        <w:ind w:firstLine="4760"/>
        <w:spacing w:line="560" w:lineRule="exact"/>
        <w:rPr>
          <w:rFonts w:hint="eastAsia" w:ascii="仿宋" w:hAnsi="仿宋" w:eastAsia="仿宋" w:cs="仿宋"/>
          <w:sz w:val="28"/>
          <w:szCs w:val="28"/>
        </w:rPr>
      </w:pPr>
      <w:r>
        <w:rPr>
          <w:rFonts w:hint="eastAsia" w:ascii="仿宋" w:hAnsi="仿宋" w:eastAsia="仿宋" w:cs="仿宋"/>
          <w:sz w:val="28"/>
          <w:szCs w:val="28"/>
        </w:rPr>
        <w:t xml:space="preserve">企业名称（盖章）：</w:t>
      </w:r>
      <w:r/>
    </w:p>
    <w:p>
      <w:pPr>
        <w:pStyle w:val="961"/>
        <w:ind w:firstLine="4760"/>
        <w:spacing w:line="560" w:lineRule="exact"/>
        <w:rPr>
          <w:rFonts w:hint="eastAsia" w:ascii="仿宋" w:hAnsi="仿宋" w:eastAsia="仿宋" w:cs="仿宋"/>
          <w:sz w:val="28"/>
          <w:szCs w:val="28"/>
        </w:rPr>
      </w:pPr>
      <w:r>
        <w:rPr>
          <w:rFonts w:hint="eastAsia" w:ascii="仿宋" w:hAnsi="仿宋" w:eastAsia="仿宋" w:cs="仿宋"/>
          <w:sz w:val="28"/>
          <w:szCs w:val="28"/>
        </w:rPr>
        <w:t xml:space="preserve">日  期：</w:t>
      </w:r>
      <w:r/>
    </w:p>
    <w:p>
      <w:pPr>
        <w:pStyle w:val="961"/>
        <w:ind w:left="560" w:hanging="560"/>
        <w:spacing w:line="560" w:lineRule="exact"/>
        <w:widowControl/>
        <w:rPr>
          <w:rFonts w:hint="eastAsia" w:ascii="仿宋" w:hAnsi="仿宋" w:eastAsia="仿宋" w:cs="仿宋"/>
          <w:sz w:val="28"/>
          <w:szCs w:val="28"/>
        </w:rPr>
      </w:pPr>
      <w:r>
        <w:rPr>
          <w:rFonts w:hint="eastAsia" w:ascii="仿宋" w:hAnsi="仿宋" w:eastAsia="仿宋" w:cs="仿宋"/>
          <w:sz w:val="28"/>
          <w:szCs w:val="28"/>
        </w:rPr>
        <w:t xml:space="preserve">备注说明：</w:t>
      </w:r>
      <w:r/>
    </w:p>
    <w:p>
      <w:pPr>
        <w:pStyle w:val="961"/>
        <w:spacing w:line="560" w:lineRule="exact"/>
        <w:rPr>
          <w:rFonts w:hint="eastAsia" w:ascii="仿宋" w:hAnsi="仿宋" w:eastAsia="仿宋" w:cs="仿宋"/>
          <w:sz w:val="28"/>
          <w:szCs w:val="28"/>
        </w:rPr>
      </w:pPr>
      <w:r>
        <w:rPr>
          <w:rFonts w:hint="eastAsia" w:ascii="仿宋" w:hAnsi="仿宋" w:eastAsia="仿宋" w:cs="仿宋"/>
          <w:sz w:val="28"/>
          <w:szCs w:val="28"/>
        </w:rPr>
        <w:t xml:space="preserve">1.从业人员、营业收入填报上一年度数据，无上一年度数据的新成立企业可不填报。</w:t>
      </w:r>
      <w:r/>
    </w:p>
    <w:p>
      <w:pPr>
        <w:pStyle w:val="961"/>
        <w:spacing w:line="560" w:lineRule="exact"/>
        <w:rPr>
          <w:rFonts w:hint="eastAsia" w:ascii="仿宋" w:hAnsi="仿宋" w:eastAsia="仿宋" w:cs="仿宋"/>
          <w:sz w:val="28"/>
          <w:szCs w:val="28"/>
        </w:rPr>
      </w:pPr>
      <w:r>
        <w:rPr>
          <w:rFonts w:hint="eastAsia" w:ascii="仿宋" w:hAnsi="仿宋" w:eastAsia="仿宋" w:cs="仿宋"/>
          <w:sz w:val="28"/>
          <w:szCs w:val="28"/>
        </w:rPr>
        <w:t xml:space="preserve">2.供应商提供的声明函内容不实的，属于提供虚假材料谋取中标，依照《中华人民共和国政府采购法》等国家有关规定追究相应责任。</w:t>
      </w:r>
      <w:r/>
    </w:p>
    <w:p>
      <w:pPr>
        <w:pStyle w:val="961"/>
        <w:spacing w:line="480" w:lineRule="exact"/>
        <w:rPr>
          <w:rFonts w:hint="eastAsia" w:ascii="仿宋" w:hAnsi="仿宋" w:eastAsia="仿宋" w:cs="仿宋"/>
          <w:sz w:val="28"/>
          <w:szCs w:val="28"/>
        </w:rPr>
      </w:pPr>
      <w:r>
        <w:rPr>
          <w:rFonts w:hint="eastAsia" w:ascii="仿宋" w:hAnsi="仿宋" w:eastAsia="仿宋" w:cs="仿宋"/>
          <w:b/>
          <w:bCs/>
          <w:sz w:val="28"/>
          <w:szCs w:val="28"/>
        </w:rPr>
        <w:t xml:space="preserve">3、本项目属于</w:t>
      </w:r>
      <w:bookmarkStart w:id="280" w:name="OLE_LINK109"/>
      <w:r/>
      <w:bookmarkStart w:id="281" w:name="OLE_LINK108"/>
      <w:r>
        <w:rPr>
          <w:rFonts w:hint="eastAsia" w:ascii="仿宋" w:hAnsi="仿宋" w:eastAsia="仿宋" w:cs="仿宋"/>
          <w:b/>
          <w:bCs/>
          <w:sz w:val="28"/>
          <w:szCs w:val="28"/>
        </w:rPr>
        <w:t xml:space="preserve">商务服务业</w:t>
      </w:r>
      <w:bookmarkEnd w:id="280"/>
      <w:r/>
      <w:bookmarkEnd w:id="281"/>
      <w:r>
        <w:rPr>
          <w:rFonts w:hint="eastAsia" w:ascii="仿宋" w:hAnsi="仿宋" w:eastAsia="仿宋" w:cs="仿宋"/>
          <w:b/>
          <w:bCs/>
          <w:sz w:val="28"/>
          <w:szCs w:val="28"/>
        </w:rPr>
        <w:t xml:space="preserve">。</w:t>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8"/>
      <w:r/>
      <w:bookmarkEnd w:id="279"/>
      <w:r>
        <w:rPr>
          <w:rFonts w:hint="eastAsia" w:ascii="仿宋" w:hAnsi="仿宋" w:eastAsia="仿宋" w:cs="仿宋"/>
          <w:sz w:val="28"/>
          <w:szCs w:val="28"/>
        </w:rPr>
        <w:br w:type="page" w:clear="all"/>
      </w:r>
      <w:bookmarkStart w:id="282" w:name="_Toc282446333"/>
      <w:r/>
      <w:bookmarkStart w:id="283" w:name="_Toc26554097"/>
      <w:r/>
      <w:bookmarkStart w:id="284" w:name="_Toc288030361"/>
      <w:r/>
      <w:bookmarkStart w:id="285" w:name="_Toc382812508"/>
      <w:r/>
      <w:bookmarkStart w:id="286" w:name="_Toc49090579"/>
      <w:r/>
      <w:bookmarkStart w:id="287" w:name="_Toc23828480"/>
      <w:r/>
      <w:bookmarkStart w:id="288" w:name="_Toc382811608"/>
      <w:r/>
      <w:bookmarkStart w:id="289" w:name="_Toc382812317"/>
      <w:r/>
      <w:bookmarkStart w:id="290" w:name="_Toc120614286"/>
      <w:r/>
      <w:bookmarkStart w:id="291" w:name="_Toc382811203"/>
      <w:r>
        <w:rPr>
          <w:rFonts w:hint="eastAsia" w:ascii="仿宋" w:hAnsi="仿宋" w:eastAsia="仿宋" w:cs="仿宋"/>
          <w:sz w:val="28"/>
          <w:szCs w:val="28"/>
        </w:rPr>
        <w:t xml:space="preserve">（3）</w:t>
      </w:r>
      <w:r>
        <w:rPr>
          <w:rFonts w:hint="eastAsia" w:ascii="仿宋" w:hAnsi="仿宋" w:eastAsia="仿宋" w:cs="仿宋"/>
          <w:sz w:val="28"/>
          <w:szCs w:val="28"/>
        </w:rPr>
        <w:t xml:space="preserve">本项目的特定资格要求提供的证明材料：</w:t>
      </w:r>
      <w:r>
        <w:rPr>
          <w:rFonts w:hint="eastAsia" w:ascii="仿宋_GB2312" w:hAnsi="宋体" w:eastAsia="仿宋_GB2312"/>
          <w:sz w:val="28"/>
          <w:szCs w:val="28"/>
        </w:rPr>
        <w:t xml:space="preserve">投标人须具有有效的人力资源服务许可证。（投标时提供证书原件扫描件）</w:t>
      </w:r>
      <w:r>
        <w:rPr>
          <w:rFonts w:hint="eastAsia" w:ascii="仿宋" w:hAnsi="仿宋" w:eastAsia="仿宋" w:cs="仿宋"/>
          <w:sz w:val="28"/>
          <w:szCs w:val="28"/>
        </w:rPr>
      </w:r>
      <w:r/>
    </w:p>
    <w:p>
      <w:pPr>
        <w:pStyle w:val="961"/>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961"/>
        <w:jc w:val="left"/>
        <w:widowControl/>
        <w:rPr>
          <w:rFonts w:hint="eastAsia" w:ascii="仿宋" w:hAnsi="仿宋" w:eastAsia="仿宋" w:cs="仿宋"/>
          <w:b/>
          <w:sz w:val="28"/>
          <w:szCs w:val="28"/>
        </w:rPr>
      </w:pPr>
      <w:r>
        <w:rPr>
          <w:rFonts w:hint="eastAsia" w:ascii="仿宋" w:hAnsi="仿宋" w:eastAsia="仿宋" w:cs="仿宋"/>
          <w:b/>
          <w:sz w:val="28"/>
          <w:szCs w:val="28"/>
        </w:rPr>
        <w:t xml:space="preserve">3.5采购需求响应表</w:t>
      </w:r>
      <w:r/>
    </w:p>
    <w:p>
      <w:pPr>
        <w:pStyle w:val="961"/>
        <w:ind w:firstLine="562"/>
        <w:jc w:val="center"/>
        <w:spacing w:line="500" w:lineRule="exact"/>
        <w:rPr>
          <w:rFonts w:hint="eastAsia" w:ascii="仿宋" w:hAnsi="仿宋" w:eastAsia="仿宋" w:cs="仿宋"/>
          <w:b/>
          <w:sz w:val="28"/>
          <w:szCs w:val="28"/>
        </w:rPr>
      </w:pPr>
      <w:r/>
      <w:bookmarkStart w:id="292" w:name="OLE_LINK170"/>
      <w:r/>
      <w:bookmarkStart w:id="293" w:name="OLE_LINK104"/>
      <w:r/>
      <w:bookmarkStart w:id="294" w:name="OLE_LINK103"/>
      <w:r/>
      <w:bookmarkStart w:id="295" w:name="OLE_LINK139"/>
      <w:r/>
      <w:bookmarkStart w:id="296" w:name="OLE_LINK138"/>
      <w:r/>
      <w:bookmarkStart w:id="297" w:name="OLE_LINK177"/>
      <w:r/>
      <w:bookmarkStart w:id="298" w:name="OLE_LINK191"/>
      <w:r>
        <w:rPr>
          <w:rFonts w:hint="eastAsia" w:ascii="仿宋" w:hAnsi="仿宋" w:eastAsia="仿宋" w:cs="仿宋"/>
          <w:b/>
          <w:sz w:val="28"/>
          <w:szCs w:val="28"/>
        </w:rPr>
        <w:t xml:space="preserve">采购需求响应承诺</w:t>
      </w:r>
      <w:r/>
    </w:p>
    <w:p>
      <w:pPr>
        <w:pStyle w:val="961"/>
        <w:ind w:firstLine="560"/>
        <w:rPr>
          <w:rFonts w:hint="eastAsia" w:ascii="仿宋" w:hAnsi="仿宋" w:eastAsia="仿宋" w:cs="仿宋"/>
          <w:sz w:val="28"/>
          <w:szCs w:val="28"/>
        </w:rPr>
      </w:pPr>
      <w:r>
        <w:rPr>
          <w:rFonts w:hint="eastAsia" w:ascii="仿宋" w:hAnsi="仿宋" w:eastAsia="仿宋" w:cs="仿宋"/>
          <w:sz w:val="28"/>
          <w:szCs w:val="28"/>
        </w:rPr>
        <w:t xml:space="preserve">一、我方已经仔细阅读并充分理解本磋商文件第五章《采购需求》的要求，并郑重承诺完全按照《采购需求》要求提供相应的服务。</w:t>
      </w:r>
      <w:r/>
    </w:p>
    <w:p>
      <w:pPr>
        <w:pStyle w:val="961"/>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二、技术要求响应</w:t>
      </w:r>
      <w:r/>
    </w:p>
    <w:p>
      <w:pPr>
        <w:pStyle w:val="961"/>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三、商务要求响应</w:t>
      </w:r>
      <w:r/>
    </w:p>
    <w:p>
      <w:pPr>
        <w:pStyle w:val="961"/>
        <w:ind w:firstLine="3920"/>
        <w:spacing w:before="156" w:line="560" w:lineRule="exact"/>
        <w:rPr>
          <w:rFonts w:hint="eastAsia" w:ascii="仿宋" w:hAnsi="仿宋" w:eastAsia="仿宋" w:cs="仿宋"/>
          <w:sz w:val="28"/>
          <w:szCs w:val="28"/>
        </w:rPr>
      </w:pPr>
      <w:r>
        <w:rPr>
          <w:rFonts w:hint="eastAsia" w:ascii="仿宋" w:hAnsi="仿宋" w:eastAsia="仿宋" w:cs="仿宋"/>
          <w:sz w:val="28"/>
          <w:szCs w:val="28"/>
        </w:rPr>
        <w:t xml:space="preserve">供应商名称(盖法人章)：</w:t>
      </w:r>
      <w:r/>
    </w:p>
    <w:p>
      <w:pPr>
        <w:pStyle w:val="961"/>
        <w:ind w:firstLine="3920"/>
        <w:spacing w:before="156" w:line="560" w:lineRule="exact"/>
        <w:rPr>
          <w:rFonts w:hint="eastAsia" w:ascii="仿宋" w:hAnsi="仿宋" w:eastAsia="仿宋" w:cs="仿宋"/>
          <w:sz w:val="28"/>
          <w:szCs w:val="28"/>
        </w:rPr>
      </w:pPr>
      <w:r>
        <w:rPr>
          <w:rFonts w:hint="eastAsia" w:ascii="仿宋" w:hAnsi="仿宋" w:eastAsia="仿宋" w:cs="仿宋"/>
          <w:sz w:val="28"/>
          <w:szCs w:val="28"/>
        </w:rPr>
        <w:t xml:space="preserve">法定代表人 (签字或签章)：</w:t>
      </w:r>
      <w:r/>
    </w:p>
    <w:p>
      <w:pPr>
        <w:pStyle w:val="961"/>
        <w:ind w:firstLine="3920"/>
        <w:spacing w:before="156" w:line="560" w:lineRule="exact"/>
        <w:rPr>
          <w:rFonts w:hint="eastAsia" w:ascii="仿宋" w:hAnsi="仿宋" w:eastAsia="仿宋" w:cs="仿宋"/>
          <w:sz w:val="28"/>
          <w:szCs w:val="28"/>
        </w:rPr>
      </w:pPr>
      <w:r>
        <w:rPr>
          <w:rFonts w:hint="eastAsia" w:ascii="仿宋" w:hAnsi="仿宋" w:eastAsia="仿宋" w:cs="仿宋"/>
          <w:sz w:val="28"/>
          <w:szCs w:val="28"/>
        </w:rPr>
        <w:t xml:space="preserve">日期：   年  月   日</w:t>
      </w:r>
      <w:bookmarkEnd w:id="292"/>
      <w:r/>
      <w:bookmarkEnd w:id="293"/>
      <w:r/>
      <w:bookmarkEnd w:id="294"/>
      <w:r/>
      <w:bookmarkEnd w:id="297"/>
      <w:r/>
      <w:bookmarkEnd w:id="298"/>
      <w:r>
        <w:rPr>
          <w:rFonts w:hint="eastAsia" w:ascii="仿宋" w:hAnsi="仿宋" w:eastAsia="仿宋" w:cs="仿宋"/>
          <w:sz w:val="28"/>
          <w:szCs w:val="28"/>
        </w:rPr>
      </w:r>
      <w:r/>
    </w:p>
    <w:p>
      <w:pPr>
        <w:pStyle w:val="961"/>
        <w:rPr>
          <w:rFonts w:hint="eastAsia" w:ascii="仿宋" w:hAnsi="仿宋" w:eastAsia="仿宋" w:cs="仿宋"/>
          <w:b/>
          <w:sz w:val="28"/>
          <w:szCs w:val="28"/>
        </w:rPr>
      </w:pPr>
      <w:r/>
      <w:bookmarkEnd w:id="295"/>
      <w:r/>
      <w:bookmarkEnd w:id="296"/>
      <w:r>
        <w:rPr>
          <w:rFonts w:hint="eastAsia" w:ascii="仿宋" w:hAnsi="仿宋" w:eastAsia="仿宋" w:cs="仿宋"/>
          <w:b/>
          <w:sz w:val="28"/>
          <w:szCs w:val="28"/>
        </w:rPr>
      </w:r>
      <w:r/>
    </w:p>
    <w:p>
      <w:pPr>
        <w:pStyle w:val="970"/>
        <w:rPr>
          <w:rFonts w:hint="eastAsia" w:ascii="仿宋" w:hAnsi="仿宋" w:eastAsia="仿宋" w:cs="仿宋"/>
        </w:rPr>
      </w:pPr>
      <w:r>
        <w:rPr>
          <w:rFonts w:hint="eastAsia" w:ascii="仿宋" w:hAnsi="仿宋" w:eastAsia="仿宋" w:cs="仿宋"/>
        </w:rPr>
      </w:r>
      <w:r/>
    </w:p>
    <w:p>
      <w:pPr>
        <w:pStyle w:val="961"/>
        <w:jc w:val="left"/>
        <w:widowControl/>
        <w:rPr>
          <w:rFonts w:hint="eastAsia" w:ascii="仿宋" w:hAnsi="仿宋" w:eastAsia="仿宋" w:cs="仿宋"/>
          <w:b/>
          <w:sz w:val="28"/>
          <w:szCs w:val="28"/>
        </w:rPr>
      </w:pPr>
      <w:r/>
      <w:bookmarkEnd w:id="282"/>
      <w:r/>
      <w:bookmarkEnd w:id="283"/>
      <w:r/>
      <w:bookmarkEnd w:id="284"/>
      <w:r/>
      <w:bookmarkEnd w:id="285"/>
      <w:r/>
      <w:bookmarkEnd w:id="286"/>
      <w:r/>
      <w:bookmarkEnd w:id="287"/>
      <w:r/>
      <w:bookmarkEnd w:id="288"/>
      <w:r/>
      <w:bookmarkEnd w:id="289"/>
      <w:r/>
      <w:bookmarkEnd w:id="290"/>
      <w:r/>
      <w:bookmarkEnd w:id="291"/>
      <w:r>
        <w:rPr>
          <w:rFonts w:hint="eastAsia" w:ascii="仿宋" w:hAnsi="仿宋" w:eastAsia="仿宋" w:cs="仿宋"/>
          <w:b/>
          <w:sz w:val="28"/>
          <w:szCs w:val="28"/>
        </w:rPr>
        <w:br w:type="page" w:clear="all"/>
        <w:t xml:space="preserve">3.6报价明细表</w:t>
      </w:r>
      <w:r/>
    </w:p>
    <w:p>
      <w:pPr>
        <w:pStyle w:val="961"/>
        <w:ind w:firstLine="161"/>
        <w:jc w:val="center"/>
        <w:rPr>
          <w:rFonts w:hint="eastAsia" w:ascii="仿宋" w:hAnsi="仿宋" w:eastAsia="仿宋" w:cs="仿宋"/>
          <w:b/>
          <w:bCs/>
          <w:sz w:val="32"/>
          <w:szCs w:val="32"/>
        </w:rPr>
      </w:pPr>
      <w:r/>
      <w:bookmarkStart w:id="299" w:name="OLE_LINK142"/>
      <w:r/>
      <w:bookmarkStart w:id="300" w:name="OLE_LINK144"/>
      <w:r/>
      <w:bookmarkStart w:id="301" w:name="OLE_LINK98"/>
      <w:r/>
      <w:bookmarkStart w:id="302" w:name="OLE_LINK166"/>
      <w:r/>
      <w:bookmarkStart w:id="303" w:name="OLE_LINK179"/>
      <w:r/>
      <w:bookmarkStart w:id="304" w:name="OLE_LINK141"/>
      <w:r/>
      <w:bookmarkStart w:id="305" w:name="OLE_LINK145"/>
      <w:r/>
      <w:bookmarkStart w:id="306" w:name="OLE_LINK97"/>
      <w:r/>
      <w:bookmarkStart w:id="307" w:name="OLE_LINK148"/>
      <w:r/>
      <w:bookmarkStart w:id="308" w:name="OLE_LINK181"/>
      <w:r>
        <w:rPr>
          <w:rFonts w:hint="eastAsia" w:ascii="仿宋" w:hAnsi="仿宋" w:eastAsia="仿宋" w:cs="仿宋"/>
          <w:b/>
          <w:bCs/>
          <w:sz w:val="32"/>
          <w:szCs w:val="32"/>
        </w:rPr>
        <w:t xml:space="preserve">报价明细表</w:t>
      </w:r>
      <w:bookmarkEnd w:id="299"/>
      <w:r/>
      <w:bookmarkEnd w:id="300"/>
      <w:r>
        <w:rPr>
          <w:rFonts w:hint="eastAsia" w:ascii="仿宋" w:hAnsi="仿宋" w:eastAsia="仿宋" w:cs="仿宋"/>
          <w:b/>
          <w:bCs/>
          <w:sz w:val="32"/>
          <w:szCs w:val="32"/>
        </w:rPr>
        <w:t xml:space="preserve">（含税）</w:t>
      </w:r>
      <w:r/>
    </w:p>
    <w:p>
      <w:pPr>
        <w:pStyle w:val="961"/>
        <w:ind w:left="210"/>
        <w:jc w:val="left"/>
        <w:rPr>
          <w:rFonts w:hint="eastAsia" w:ascii="仿宋" w:hAnsi="仿宋" w:eastAsia="仿宋" w:cs="仿宋"/>
          <w:smallCaps/>
        </w:rPr>
      </w:pPr>
      <w:r>
        <w:rPr>
          <w:rFonts w:hint="eastAsia" w:ascii="仿宋" w:hAnsi="仿宋" w:eastAsia="仿宋" w:cs="仿宋"/>
          <w:smallCaps/>
        </w:rPr>
      </w:r>
      <w:r/>
    </w:p>
    <w:p>
      <w:pPr>
        <w:pStyle w:val="961"/>
        <w:ind w:left="210"/>
        <w:jc w:val="left"/>
        <w:rPr>
          <w:rFonts w:hint="eastAsia" w:ascii="仿宋" w:hAnsi="仿宋" w:eastAsia="仿宋" w:cs="仿宋"/>
          <w:sz w:val="28"/>
          <w:szCs w:val="28"/>
        </w:rPr>
      </w:pPr>
      <w:r>
        <w:rPr>
          <w:rFonts w:hint="eastAsia" w:ascii="仿宋" w:hAnsi="仿宋" w:eastAsia="仿宋" w:cs="仿宋"/>
          <w:sz w:val="28"/>
          <w:szCs w:val="28"/>
        </w:rPr>
      </w:r>
      <w:r/>
    </w:p>
    <w:p>
      <w:pPr>
        <w:pStyle w:val="961"/>
        <w:ind w:left="210"/>
        <w:jc w:val="left"/>
        <w:rPr>
          <w:rFonts w:hint="eastAsia" w:ascii="仿宋" w:hAnsi="仿宋" w:eastAsia="仿宋" w:cs="仿宋"/>
          <w:sz w:val="28"/>
          <w:szCs w:val="28"/>
        </w:rPr>
      </w:pPr>
      <w:r>
        <w:rPr>
          <w:rFonts w:hint="eastAsia" w:ascii="仿宋" w:hAnsi="仿宋" w:eastAsia="仿宋" w:cs="仿宋"/>
          <w:sz w:val="28"/>
          <w:szCs w:val="28"/>
        </w:rPr>
      </w:r>
      <w:r/>
    </w:p>
    <w:p>
      <w:pPr>
        <w:pStyle w:val="961"/>
        <w:ind w:left="210"/>
        <w:jc w:val="left"/>
        <w:rPr>
          <w:rFonts w:hint="eastAsia" w:ascii="仿宋" w:hAnsi="仿宋" w:eastAsia="仿宋" w:cs="仿宋"/>
          <w:sz w:val="28"/>
          <w:szCs w:val="28"/>
        </w:rPr>
      </w:pPr>
      <w:r>
        <w:rPr>
          <w:rFonts w:hint="eastAsia" w:ascii="仿宋" w:hAnsi="仿宋" w:eastAsia="仿宋" w:cs="仿宋"/>
          <w:sz w:val="28"/>
          <w:szCs w:val="28"/>
        </w:rPr>
        <w:t xml:space="preserve">根据第五章《采购需求》自行拟定</w:t>
      </w:r>
      <w:r/>
    </w:p>
    <w:p>
      <w:pPr>
        <w:pStyle w:val="999"/>
        <w:ind w:firstLine="560"/>
        <w:rPr>
          <w:rFonts w:hint="eastAsia" w:ascii="仿宋" w:hAnsi="仿宋" w:eastAsia="仿宋" w:cs="仿宋"/>
          <w:sz w:val="28"/>
          <w:szCs w:val="28"/>
        </w:rPr>
      </w:pPr>
      <w:r>
        <w:rPr>
          <w:rFonts w:hint="eastAsia" w:ascii="仿宋" w:hAnsi="仿宋" w:eastAsia="仿宋" w:cs="仿宋"/>
          <w:sz w:val="28"/>
          <w:szCs w:val="28"/>
        </w:rPr>
      </w:r>
      <w:r/>
    </w:p>
    <w:p>
      <w:pPr>
        <w:pStyle w:val="961"/>
        <w:ind w:firstLine="3920"/>
        <w:spacing w:before="156" w:line="560" w:lineRule="exact"/>
        <w:rPr>
          <w:rFonts w:hint="eastAsia" w:ascii="仿宋" w:hAnsi="仿宋" w:eastAsia="仿宋" w:cs="仿宋"/>
          <w:sz w:val="28"/>
          <w:szCs w:val="28"/>
        </w:rPr>
      </w:pPr>
      <w:r>
        <w:rPr>
          <w:rFonts w:hint="eastAsia" w:ascii="仿宋" w:hAnsi="仿宋" w:eastAsia="仿宋" w:cs="仿宋"/>
          <w:sz w:val="28"/>
          <w:szCs w:val="28"/>
        </w:rPr>
        <w:t xml:space="preserve">供应商名称(盖法人章)：</w:t>
      </w:r>
      <w:r/>
    </w:p>
    <w:p>
      <w:pPr>
        <w:pStyle w:val="961"/>
        <w:ind w:firstLine="3920"/>
        <w:spacing w:before="156" w:line="560" w:lineRule="exact"/>
        <w:rPr>
          <w:rFonts w:hint="eastAsia" w:ascii="仿宋" w:hAnsi="仿宋" w:eastAsia="仿宋" w:cs="仿宋"/>
          <w:sz w:val="28"/>
          <w:szCs w:val="28"/>
        </w:rPr>
      </w:pPr>
      <w:r>
        <w:rPr>
          <w:rFonts w:hint="eastAsia" w:ascii="仿宋" w:hAnsi="仿宋" w:eastAsia="仿宋" w:cs="仿宋"/>
          <w:sz w:val="28"/>
          <w:szCs w:val="28"/>
        </w:rPr>
        <w:t xml:space="preserve">法定代表人 (签字或签章)：</w:t>
      </w:r>
      <w:r/>
    </w:p>
    <w:p>
      <w:pPr>
        <w:pStyle w:val="961"/>
        <w:ind w:firstLine="3920"/>
        <w:spacing w:before="156" w:line="560" w:lineRule="exact"/>
        <w:rPr>
          <w:rFonts w:hint="eastAsia" w:ascii="仿宋" w:hAnsi="仿宋" w:eastAsia="仿宋" w:cs="仿宋"/>
          <w:sz w:val="28"/>
          <w:szCs w:val="28"/>
        </w:rPr>
      </w:pPr>
      <w:r>
        <w:rPr>
          <w:rFonts w:hint="eastAsia" w:ascii="仿宋" w:hAnsi="仿宋" w:eastAsia="仿宋" w:cs="仿宋"/>
          <w:sz w:val="28"/>
          <w:szCs w:val="28"/>
        </w:rPr>
        <w:t xml:space="preserve">日期：   年  月   日</w:t>
      </w:r>
      <w:bookmarkEnd w:id="301"/>
      <w:r/>
      <w:bookmarkEnd w:id="302"/>
      <w:r/>
      <w:bookmarkEnd w:id="303"/>
      <w:r/>
      <w:bookmarkEnd w:id="304"/>
      <w:r/>
      <w:bookmarkEnd w:id="305"/>
      <w:r/>
      <w:bookmarkEnd w:id="306"/>
      <w:r>
        <w:rPr>
          <w:rFonts w:hint="eastAsia" w:ascii="仿宋" w:hAnsi="仿宋" w:eastAsia="仿宋" w:cs="仿宋"/>
          <w:sz w:val="28"/>
          <w:szCs w:val="28"/>
        </w:rPr>
      </w:r>
      <w:r/>
    </w:p>
    <w:p>
      <w:pPr>
        <w:pStyle w:val="961"/>
        <w:spacing w:line="560" w:lineRule="exact"/>
        <w:rPr>
          <w:rFonts w:hint="eastAsia" w:ascii="仿宋" w:hAnsi="仿宋" w:eastAsia="仿宋" w:cs="仿宋"/>
          <w:sz w:val="28"/>
          <w:szCs w:val="28"/>
        </w:rPr>
      </w:pPr>
      <w:r/>
      <w:bookmarkEnd w:id="307"/>
      <w:r/>
      <w:bookmarkEnd w:id="308"/>
      <w:r>
        <w:rPr>
          <w:rFonts w:hint="eastAsia" w:ascii="仿宋" w:hAnsi="仿宋" w:eastAsia="仿宋" w:cs="仿宋"/>
          <w:sz w:val="28"/>
          <w:szCs w:val="28"/>
        </w:rPr>
      </w:r>
      <w:r/>
    </w:p>
    <w:p>
      <w:pPr>
        <w:pStyle w:val="961"/>
        <w:jc w:val="center"/>
        <w:rPr>
          <w:rFonts w:hint="eastAsia" w:ascii="仿宋" w:hAnsi="仿宋" w:eastAsia="仿宋" w:cs="仿宋"/>
        </w:rPr>
      </w:pPr>
      <w:r>
        <w:rPr>
          <w:rFonts w:hint="eastAsia" w:ascii="仿宋" w:hAnsi="仿宋" w:eastAsia="仿宋" w:cs="仿宋"/>
        </w:rPr>
      </w:r>
      <w:r/>
    </w:p>
    <w:p>
      <w:pPr>
        <w:pStyle w:val="961"/>
        <w:jc w:val="left"/>
        <w:widowControl/>
        <w:rPr>
          <w:rFonts w:hint="eastAsia" w:ascii="仿宋" w:hAnsi="仿宋" w:eastAsia="仿宋" w:cs="仿宋"/>
          <w:b/>
          <w:sz w:val="28"/>
          <w:szCs w:val="28"/>
        </w:rPr>
      </w:pPr>
      <w:r>
        <w:rPr>
          <w:rFonts w:hint="eastAsia" w:ascii="仿宋" w:hAnsi="仿宋" w:eastAsia="仿宋" w:cs="仿宋"/>
          <w:b/>
          <w:sz w:val="28"/>
          <w:szCs w:val="28"/>
        </w:rPr>
        <w:t xml:space="preserve">3.7供应商认为应列入响应文件的其他材料</w:t>
      </w:r>
      <w:r/>
    </w:p>
    <w:p>
      <w:pPr>
        <w:pStyle w:val="961"/>
        <w:spacing w:line="560" w:lineRule="exact"/>
        <w:rPr>
          <w:rFonts w:hint="eastAsia" w:ascii="仿宋" w:hAnsi="仿宋" w:eastAsia="仿宋" w:cs="仿宋"/>
          <w:sz w:val="28"/>
          <w:szCs w:val="28"/>
        </w:rPr>
      </w:pPr>
      <w:r>
        <w:rPr>
          <w:rFonts w:hint="eastAsia" w:ascii="仿宋" w:hAnsi="仿宋" w:eastAsia="仿宋" w:cs="仿宋"/>
          <w:sz w:val="28"/>
          <w:szCs w:val="28"/>
        </w:rPr>
      </w:r>
      <w:r/>
    </w:p>
    <w:p>
      <w:pPr>
        <w:pStyle w:val="961"/>
        <w:jc w:val="center"/>
        <w:rPr>
          <w:rFonts w:hint="eastAsia" w:ascii="仿宋" w:hAnsi="仿宋" w:eastAsia="仿宋" w:cs="仿宋"/>
        </w:rPr>
      </w:pPr>
      <w:r>
        <w:rPr>
          <w:rFonts w:hint="eastAsia" w:ascii="仿宋" w:hAnsi="仿宋" w:eastAsia="仿宋" w:cs="仿宋"/>
        </w:rPr>
      </w:r>
      <w:r/>
    </w:p>
    <w:p>
      <w:pPr>
        <w:pStyle w:val="970"/>
        <w:rPr>
          <w:rFonts w:hint="eastAsia" w:ascii="仿宋" w:hAnsi="仿宋" w:eastAsia="仿宋" w:cs="仿宋"/>
        </w:rPr>
      </w:pPr>
      <w:r>
        <w:rPr>
          <w:rFonts w:hint="eastAsia" w:ascii="仿宋" w:hAnsi="仿宋" w:eastAsia="仿宋" w:cs="仿宋"/>
        </w:rPr>
      </w:r>
      <w:r/>
    </w:p>
    <w:sectPr>
      <w:footnotePr/>
      <w:endnotePr/>
      <w:type w:val="nextPage"/>
      <w:pgSz w:w="11906" w:h="16838" w:orient="portrait"/>
      <w:pgMar w:top="1440" w:right="1416" w:bottom="1440" w:left="1560" w:header="851" w:footer="992" w:gutter="0"/>
      <w:rtlGutter/>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楷体">
    <w:panose1 w:val="02010609060101010101"/>
  </w:font>
  <w:font w:name="Symbol">
    <w:panose1 w:val="05050102010706020507"/>
  </w:font>
  <w:font w:name="Wingdings">
    <w:panose1 w:val="05000000000000000000"/>
  </w:font>
  <w:font w:name="方正黑体_GBK">
    <w:panose1 w:val="020B0503020202020204"/>
  </w:font>
  <w:font w:name="方正仿宋_GBK">
    <w:panose1 w:val="020B0503020202020204"/>
  </w:font>
  <w:font w:name="仿宋">
    <w:panose1 w:val="02010609060101010101"/>
  </w:font>
  <w:font w:name="方正细等线_GBK">
    <w:panose1 w:val="020B0503020202020204"/>
  </w:font>
  <w:font w:name="黑体">
    <w:panose1 w:val="02010609060101010101"/>
  </w:font>
  <w:font w:name="仿宋_GB2312">
    <w:panose1 w:val="02010609060101010101"/>
  </w:font>
  <w:font w:name="Courier New">
    <w:panose1 w:val="02070309020205020404"/>
  </w:font>
  <w:font w:name="楷体_GB2312">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87"/>
                            <w:jc w:val="center"/>
                          </w:pPr>
                          <w:r>
                            <w:fldChar w:fldCharType="begin"/>
                          </w:r>
                          <w:r>
                            <w:instrText xml:space="preserve">PAGE   \* MERGEFORMAT</w:instrText>
                          </w:r>
                          <w:r>
                            <w:fldChar w:fldCharType="separate"/>
                          </w:r>
                          <w:r>
                            <w:rPr>
                              <w:lang w:val="zh-CN"/>
                            </w:rPr>
                            <w:t xml:space="preserve">10</w:t>
                          </w:r>
                          <w:r>
                            <w:rPr>
                              <w:lang w:val="zh-CN"/>
                            </w:rPr>
                            <w:fldChar w:fldCharType="end"/>
                          </w:r>
                          <w:r/>
                        </w:p>
                        <w:p>
                          <w:pPr>
                            <w:pStyle w:val="96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87"/>
                      <w:jc w:val="center"/>
                    </w:pPr>
                    <w:r>
                      <w:fldChar w:fldCharType="begin"/>
                    </w:r>
                    <w:r>
                      <w:instrText xml:space="preserve">PAGE   \* MERGEFORMAT</w:instrText>
                    </w:r>
                    <w:r>
                      <w:fldChar w:fldCharType="separate"/>
                    </w:r>
                    <w:r>
                      <w:rPr>
                        <w:lang w:val="zh-CN"/>
                      </w:rPr>
                      <w:t xml:space="preserve">10</w:t>
                    </w:r>
                    <w:r>
                      <w:rPr>
                        <w:lang w:val="zh-CN"/>
                      </w:rPr>
                      <w:fldChar w:fldCharType="end"/>
                    </w:r>
                    <w:r/>
                  </w:p>
                  <w:p>
                    <w:pPr>
                      <w:pStyle w:val="961"/>
                    </w:pPr>
                    <w:r/>
                    <w:r/>
                  </w:p>
                </w:txbxContent>
              </v:textbox>
            </v:shape>
          </w:pict>
        </mc:Fallback>
      </mc:AlternateContent>
    </w:r>
    <w:r/>
  </w:p>
  <w:p>
    <w:pPr>
      <w:pStyle w:val="987"/>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rPr>
        <w:rStyle w:val="1004"/>
      </w:rPr>
      <w:framePr w:wrap="around" w:vAnchor="text" w:hAnchor="margin" w:xAlign="right" w:y="1"/>
    </w:pPr>
    <w:r>
      <w:fldChar w:fldCharType="begin"/>
    </w:r>
    <w:r>
      <w:rPr>
        <w:rStyle w:val="1004"/>
      </w:rPr>
      <w:instrText xml:space="preserve">PAGE  </w:instrText>
    </w:r>
    <w:r>
      <w:fldChar w:fldCharType="end"/>
    </w:r>
    <w:r>
      <w:rPr>
        <w:rStyle w:val="1004"/>
      </w:rPr>
    </w:r>
    <w:r/>
  </w:p>
  <w:p>
    <w:pPr>
      <w:pStyle w:val="987"/>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87"/>
                            <w:jc w:val="right"/>
                          </w:pPr>
                          <w:r>
                            <w:fldChar w:fldCharType="begin"/>
                          </w:r>
                          <w:r>
                            <w:instrText xml:space="preserve">PAGE   \* MERGEFORMAT</w:instrText>
                          </w:r>
                          <w:r>
                            <w:fldChar w:fldCharType="separate"/>
                          </w:r>
                          <w:r>
                            <w:rPr>
                              <w:lang w:val="zh-CN"/>
                            </w:rPr>
                            <w:t xml:space="preserve">1</w:t>
                          </w:r>
                          <w:r>
                            <w:rPr>
                              <w:lang w:val="zh-CN"/>
                            </w:rPr>
                            <w:fldChar w:fldCharType="end"/>
                          </w:r>
                          <w:r/>
                        </w:p>
                        <w:p>
                          <w:pPr>
                            <w:pStyle w:val="96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87"/>
                      <w:jc w:val="right"/>
                    </w:pPr>
                    <w:r>
                      <w:fldChar w:fldCharType="begin"/>
                    </w:r>
                    <w:r>
                      <w:instrText xml:space="preserve">PAGE   \* MERGEFORMAT</w:instrText>
                    </w:r>
                    <w:r>
                      <w:fldChar w:fldCharType="separate"/>
                    </w:r>
                    <w:r>
                      <w:rPr>
                        <w:lang w:val="zh-CN"/>
                      </w:rPr>
                      <w:t xml:space="preserve">1</w:t>
                    </w:r>
                    <w:r>
                      <w:rPr>
                        <w:lang w:val="zh-CN"/>
                      </w:rPr>
                      <w:fldChar w:fldCharType="end"/>
                    </w:r>
                    <w:r/>
                  </w:p>
                  <w:p>
                    <w:pPr>
                      <w:pStyle w:val="961"/>
                    </w:pPr>
                    <w:r/>
                    <w:r/>
                  </w:p>
                </w:txbxContent>
              </v:textbox>
            </v:shape>
          </w:pict>
        </mc:Fallback>
      </mc:AlternateContent>
    </w:r>
    <w:r/>
  </w:p>
  <w:p>
    <w:pPr>
      <w:pStyle w:val="98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jc w:val="center"/>
    </w:pPr>
    <w:r>
      <w:fldChar w:fldCharType="begin"/>
    </w:r>
    <w:r>
      <w:instrText xml:space="preserve">PAGE   \* MERGEFORMAT</w:instrText>
    </w:r>
    <w:r>
      <w:fldChar w:fldCharType="separate"/>
    </w:r>
    <w:r>
      <w:rPr>
        <w:lang w:val="zh-CN"/>
      </w:rPr>
      <w:t xml:space="preserve">60</w:t>
    </w:r>
    <w:r>
      <w:rPr>
        <w:lang w:val="zh-CN"/>
      </w:rPr>
      <w:fldChar w:fldCharType="end"/>
    </w:r>
    <w:r/>
  </w:p>
  <w:p>
    <w:pPr>
      <w:pStyle w:val="987"/>
    </w:pPr>
    <w:r/>
    <w:r/>
  </w:p>
  <w:p>
    <w:pPr>
      <w:pStyle w:val="96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6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6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961"/>
        <w:ind w:left="0" w:firstLine="0"/>
        <w:tabs>
          <w:tab w:val="num" w:pos="360" w:leader="none"/>
        </w:tabs>
      </w:pPr>
      <w:rPr>
        <w:rFonts w:ascii="Arial" w:hAnsi="Arial"/>
        <w:b/>
        <w:i w:val="0"/>
        <w:sz w:val="32"/>
      </w:rPr>
    </w:lvl>
    <w:lvl w:ilvl="1">
      <w:start w:val="1"/>
      <w:numFmt w:val="decimal"/>
      <w:isLgl w:val="false"/>
      <w:suff w:val="tab"/>
      <w:lvlText w:val="%1.%2."/>
      <w:lvlJc w:val="left"/>
      <w:pPr>
        <w:pStyle w:val="961"/>
        <w:ind w:left="567" w:hanging="567"/>
        <w:tabs>
          <w:tab w:val="num" w:pos="720" w:leader="none"/>
        </w:tabs>
      </w:pPr>
      <w:rPr>
        <w:rFonts w:hint="eastAsia"/>
      </w:rPr>
    </w:lvl>
    <w:lvl w:ilvl="2">
      <w:start w:val="1"/>
      <w:numFmt w:val="decimal"/>
      <w:pStyle w:val="963"/>
      <w:isLgl w:val="false"/>
      <w:suff w:val="tab"/>
      <w:lvlText w:val="%1.%2.%3."/>
      <w:lvlJc w:val="left"/>
      <w:pPr>
        <w:pStyle w:val="961"/>
        <w:ind w:left="709" w:hanging="709"/>
        <w:tabs>
          <w:tab w:val="num" w:pos="709" w:leader="none"/>
        </w:tabs>
      </w:pPr>
      <w:rPr>
        <w:rFonts w:hint="eastAsia"/>
      </w:rPr>
    </w:lvl>
    <w:lvl w:ilvl="3">
      <w:start w:val="1"/>
      <w:numFmt w:val="decimal"/>
      <w:isLgl w:val="false"/>
      <w:suff w:val="tab"/>
      <w:lvlText w:val="%1.%2.%3.%4."/>
      <w:lvlJc w:val="left"/>
      <w:pPr>
        <w:pStyle w:val="961"/>
        <w:ind w:left="851" w:hanging="851"/>
        <w:tabs>
          <w:tab w:val="num" w:pos="851" w:leader="none"/>
        </w:tabs>
      </w:pPr>
      <w:rPr>
        <w:rFonts w:hint="eastAsia"/>
      </w:rPr>
    </w:lvl>
    <w:lvl w:ilvl="4">
      <w:start w:val="1"/>
      <w:numFmt w:val="decimal"/>
      <w:isLgl w:val="false"/>
      <w:suff w:val="tab"/>
      <w:lvlText w:val="%1.%2.%3.%4.%5."/>
      <w:lvlJc w:val="left"/>
      <w:pPr>
        <w:pStyle w:val="961"/>
        <w:ind w:left="992" w:hanging="992"/>
        <w:tabs>
          <w:tab w:val="num" w:pos="992" w:leader="none"/>
        </w:tabs>
      </w:pPr>
      <w:rPr>
        <w:rFonts w:hint="eastAsia"/>
      </w:rPr>
    </w:lvl>
    <w:lvl w:ilvl="5">
      <w:start w:val="1"/>
      <w:numFmt w:val="decimal"/>
      <w:isLgl w:val="false"/>
      <w:suff w:val="tab"/>
      <w:lvlText w:val="%1.%2.%3.%4.%5.%6."/>
      <w:lvlJc w:val="left"/>
      <w:pPr>
        <w:pStyle w:val="961"/>
        <w:ind w:left="1134" w:hanging="1134"/>
        <w:tabs>
          <w:tab w:val="num" w:pos="1134" w:leader="none"/>
        </w:tabs>
      </w:pPr>
      <w:rPr>
        <w:rFonts w:hint="eastAsia"/>
      </w:rPr>
    </w:lvl>
    <w:lvl w:ilvl="6">
      <w:start w:val="1"/>
      <w:numFmt w:val="decimal"/>
      <w:isLgl w:val="false"/>
      <w:suff w:val="tab"/>
      <w:lvlText w:val="%1.%2.%3.%4.%5.%6.%7."/>
      <w:lvlJc w:val="left"/>
      <w:pPr>
        <w:pStyle w:val="961"/>
        <w:ind w:left="1276" w:hanging="1276"/>
        <w:tabs>
          <w:tab w:val="num" w:pos="1276" w:leader="none"/>
        </w:tabs>
      </w:pPr>
      <w:rPr>
        <w:rFonts w:hint="eastAsia"/>
      </w:rPr>
    </w:lvl>
    <w:lvl w:ilvl="7">
      <w:start w:val="1"/>
      <w:numFmt w:val="decimal"/>
      <w:isLgl w:val="false"/>
      <w:suff w:val="tab"/>
      <w:lvlText w:val="%1.%2.%3.%4.%5.%6.%7.%8."/>
      <w:lvlJc w:val="left"/>
      <w:pPr>
        <w:pStyle w:val="961"/>
        <w:ind w:left="1418" w:hanging="1418"/>
        <w:tabs>
          <w:tab w:val="num" w:pos="1418" w:leader="none"/>
        </w:tabs>
      </w:pPr>
      <w:rPr>
        <w:rFonts w:hint="eastAsia"/>
      </w:rPr>
    </w:lvl>
    <w:lvl w:ilvl="8">
      <w:start w:val="1"/>
      <w:numFmt w:val="decimal"/>
      <w:isLgl w:val="false"/>
      <w:suff w:val="tab"/>
      <w:lvlText w:val="%1.%2.%3.%4.%5.%6.%7.%8.%9."/>
      <w:lvlJc w:val="left"/>
      <w:pPr>
        <w:pStyle w:val="961"/>
        <w:ind w:left="1559" w:hanging="1559"/>
        <w:tabs>
          <w:tab w:val="num" w:pos="1559" w:leader="none"/>
        </w:tabs>
      </w:pPr>
      <w:rPr>
        <w:rFonts w:hint="eastAsia"/>
      </w:rPr>
    </w:lvl>
  </w:abstractNum>
  <w:abstractNum w:abstractNumId="3">
    <w:multiLevelType w:val="hybridMultilevel"/>
    <w:lvl w:ilvl="0">
      <w:start w:val="1"/>
      <w:numFmt w:val="decimal"/>
      <w:isLgl w:val="false"/>
      <w:suff w:val="nothing"/>
      <w:lvlText w:val="%1、"/>
      <w:lvlJc w:val="left"/>
      <w:pPr>
        <w:pStyle w:val="96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96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96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22"/>
      <w:isLgl w:val="false"/>
      <w:suff w:val="tab"/>
      <w:lvlText w:val="%1."/>
      <w:lvlJc w:val="left"/>
      <w:pPr>
        <w:pStyle w:val="961"/>
        <w:ind w:left="0" w:firstLine="0"/>
        <w:tabs>
          <w:tab w:val="num" w:pos="1055" w:leader="none"/>
        </w:tabs>
      </w:pPr>
      <w:rPr>
        <w:rFonts w:hint="eastAsia"/>
      </w:rPr>
    </w:lvl>
    <w:lvl w:ilvl="1">
      <w:start w:val="1"/>
      <w:numFmt w:val="decimal"/>
      <w:isLgl w:val="false"/>
      <w:suff w:val="tab"/>
      <w:lvlText w:val="%1.%2."/>
      <w:lvlJc w:val="left"/>
      <w:pPr>
        <w:pStyle w:val="961"/>
        <w:ind w:left="0" w:firstLine="0"/>
        <w:tabs>
          <w:tab w:val="num" w:pos="1055" w:leader="none"/>
        </w:tabs>
      </w:pPr>
      <w:rPr>
        <w:rFonts w:hint="eastAsia"/>
      </w:rPr>
    </w:lvl>
    <w:lvl w:ilvl="2">
      <w:start w:val="1"/>
      <w:numFmt w:val="decimal"/>
      <w:isLgl w:val="false"/>
      <w:suff w:val="tab"/>
      <w:lvlText w:val="%1.%2.%3."/>
      <w:lvlJc w:val="left"/>
      <w:pPr>
        <w:pStyle w:val="961"/>
        <w:ind w:left="0" w:firstLine="0"/>
        <w:tabs>
          <w:tab w:val="num" w:pos="1055" w:leader="none"/>
        </w:tabs>
      </w:pPr>
      <w:rPr>
        <w:rFonts w:hint="eastAsia"/>
      </w:rPr>
    </w:lvl>
    <w:lvl w:ilvl="3">
      <w:start w:val="1"/>
      <w:numFmt w:val="decimal"/>
      <w:isLgl w:val="false"/>
      <w:suff w:val="tab"/>
      <w:lvlText w:val="%1.%2.%3.%4."/>
      <w:lvlJc w:val="left"/>
      <w:pPr>
        <w:pStyle w:val="961"/>
        <w:ind w:left="0" w:firstLine="0"/>
        <w:tabs>
          <w:tab w:val="num" w:pos="1055" w:leader="none"/>
        </w:tabs>
      </w:pPr>
      <w:rPr>
        <w:rFonts w:hint="eastAsia"/>
      </w:rPr>
    </w:lvl>
    <w:lvl w:ilvl="4">
      <w:start w:val="1"/>
      <w:numFmt w:val="decimal"/>
      <w:isLgl w:val="false"/>
      <w:suff w:val="tab"/>
      <w:lvlText w:val="%1.%2.%3.%4.%5."/>
      <w:lvlJc w:val="left"/>
      <w:pPr>
        <w:pStyle w:val="961"/>
        <w:ind w:left="992" w:hanging="992"/>
        <w:tabs>
          <w:tab w:val="num" w:pos="992" w:leader="none"/>
        </w:tabs>
      </w:pPr>
      <w:rPr>
        <w:rFonts w:hint="eastAsia"/>
      </w:rPr>
    </w:lvl>
    <w:lvl w:ilvl="5">
      <w:start w:val="1"/>
      <w:numFmt w:val="decimal"/>
      <w:isLgl w:val="false"/>
      <w:suff w:val="tab"/>
      <w:lvlText w:val="%1.%2.%3.%4.%5.%6."/>
      <w:lvlJc w:val="left"/>
      <w:pPr>
        <w:pStyle w:val="961"/>
        <w:ind w:left="1134" w:hanging="1134"/>
        <w:tabs>
          <w:tab w:val="num" w:pos="1134" w:leader="none"/>
        </w:tabs>
      </w:pPr>
      <w:rPr>
        <w:rFonts w:hint="eastAsia"/>
      </w:rPr>
    </w:lvl>
    <w:lvl w:ilvl="6">
      <w:start w:val="1"/>
      <w:numFmt w:val="decimal"/>
      <w:isLgl w:val="false"/>
      <w:suff w:val="tab"/>
      <w:lvlText w:val="%1.%2.%3.%4.%5.%6.%7."/>
      <w:lvlJc w:val="left"/>
      <w:pPr>
        <w:pStyle w:val="961"/>
        <w:ind w:left="1276" w:hanging="1276"/>
        <w:tabs>
          <w:tab w:val="num" w:pos="1276" w:leader="none"/>
        </w:tabs>
      </w:pPr>
      <w:rPr>
        <w:rFonts w:hint="eastAsia"/>
      </w:rPr>
    </w:lvl>
    <w:lvl w:ilvl="7">
      <w:start w:val="1"/>
      <w:numFmt w:val="decimal"/>
      <w:isLgl w:val="false"/>
      <w:suff w:val="tab"/>
      <w:lvlText w:val="%1.%2.%3.%4.%5.%6.%7.%8."/>
      <w:lvlJc w:val="left"/>
      <w:pPr>
        <w:pStyle w:val="961"/>
        <w:ind w:left="1418" w:hanging="1418"/>
        <w:tabs>
          <w:tab w:val="num" w:pos="1418" w:leader="none"/>
        </w:tabs>
      </w:pPr>
      <w:rPr>
        <w:rFonts w:hint="eastAsia"/>
      </w:rPr>
    </w:lvl>
    <w:lvl w:ilvl="8">
      <w:start w:val="1"/>
      <w:numFmt w:val="decimal"/>
      <w:isLgl w:val="false"/>
      <w:suff w:val="tab"/>
      <w:lvlText w:val="%1.%2.%3.%4.%5.%6.%7.%8.%9."/>
      <w:lvlJc w:val="left"/>
      <w:pPr>
        <w:pStyle w:val="961"/>
        <w:ind w:left="1559" w:hanging="1559"/>
        <w:tabs>
          <w:tab w:val="num" w:pos="1559" w:leader="none"/>
        </w:tabs>
      </w:pPr>
      <w:rPr>
        <w:rFonts w:hint="eastAsia"/>
      </w:rPr>
    </w:lvl>
  </w:abstractNum>
  <w:abstractNum w:abstractNumId="7">
    <w:multiLevelType w:val="hybridMultilevel"/>
    <w:lvl w:ilvl="0">
      <w:start w:val="1"/>
      <w:numFmt w:val="decimal"/>
      <w:isLgl w:val="false"/>
      <w:suff w:val="nothing"/>
      <w:lvlText w:val="%1、"/>
      <w:lvlJc w:val="left"/>
      <w:pPr>
        <w:pStyle w:val="96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6"/>
  </w:num>
  <w:num w:numId="3">
    <w:abstractNumId w:val="7"/>
  </w:num>
  <w:num w:numId="4">
    <w:abstractNumId w:val="3"/>
  </w:num>
  <w:num w:numId="5">
    <w:abstractNumId w:val="5"/>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3">
    <w:name w:val="Heading 1"/>
    <w:basedOn w:val="961"/>
    <w:next w:val="961"/>
    <w:link w:val="784"/>
    <w:uiPriority w:val="9"/>
    <w:qFormat/>
    <w:pPr>
      <w:keepLines/>
      <w:keepNext/>
      <w:spacing w:before="480" w:after="200"/>
      <w:outlineLvl w:val="0"/>
    </w:pPr>
    <w:rPr>
      <w:rFonts w:ascii="Arial" w:hAnsi="Arial" w:eastAsia="Arial" w:cs="Arial"/>
      <w:sz w:val="40"/>
      <w:szCs w:val="40"/>
    </w:rPr>
  </w:style>
  <w:style w:type="character" w:styleId="784">
    <w:name w:val="Heading 1 Char"/>
    <w:link w:val="783"/>
    <w:uiPriority w:val="9"/>
    <w:rPr>
      <w:rFonts w:ascii="Arial" w:hAnsi="Arial" w:eastAsia="Arial" w:cs="Arial"/>
      <w:sz w:val="40"/>
      <w:szCs w:val="40"/>
    </w:rPr>
  </w:style>
  <w:style w:type="paragraph" w:styleId="785">
    <w:name w:val="Heading 2"/>
    <w:basedOn w:val="961"/>
    <w:next w:val="961"/>
    <w:link w:val="786"/>
    <w:uiPriority w:val="9"/>
    <w:unhideWhenUsed/>
    <w:qFormat/>
    <w:pPr>
      <w:keepLines/>
      <w:keepNext/>
      <w:spacing w:before="360" w:after="200"/>
      <w:outlineLvl w:val="1"/>
    </w:pPr>
    <w:rPr>
      <w:rFonts w:ascii="Arial" w:hAnsi="Arial" w:eastAsia="Arial" w:cs="Arial"/>
      <w:sz w:val="34"/>
    </w:rPr>
  </w:style>
  <w:style w:type="character" w:styleId="786">
    <w:name w:val="Heading 2 Char"/>
    <w:link w:val="785"/>
    <w:uiPriority w:val="9"/>
    <w:rPr>
      <w:rFonts w:ascii="Arial" w:hAnsi="Arial" w:eastAsia="Arial" w:cs="Arial"/>
      <w:sz w:val="34"/>
    </w:rPr>
  </w:style>
  <w:style w:type="paragraph" w:styleId="787">
    <w:name w:val="Heading 3"/>
    <w:basedOn w:val="961"/>
    <w:next w:val="961"/>
    <w:link w:val="788"/>
    <w:uiPriority w:val="9"/>
    <w:unhideWhenUsed/>
    <w:qFormat/>
    <w:pPr>
      <w:keepLines/>
      <w:keepNext/>
      <w:spacing w:before="320" w:after="200"/>
      <w:outlineLvl w:val="2"/>
    </w:pPr>
    <w:rPr>
      <w:rFonts w:ascii="Arial" w:hAnsi="Arial" w:eastAsia="Arial" w:cs="Arial"/>
      <w:sz w:val="30"/>
      <w:szCs w:val="30"/>
    </w:rPr>
  </w:style>
  <w:style w:type="character" w:styleId="788">
    <w:name w:val="Heading 3 Char"/>
    <w:link w:val="787"/>
    <w:uiPriority w:val="9"/>
    <w:rPr>
      <w:rFonts w:ascii="Arial" w:hAnsi="Arial" w:eastAsia="Arial" w:cs="Arial"/>
      <w:sz w:val="30"/>
      <w:szCs w:val="30"/>
    </w:rPr>
  </w:style>
  <w:style w:type="paragraph" w:styleId="789">
    <w:name w:val="Heading 4"/>
    <w:basedOn w:val="961"/>
    <w:next w:val="961"/>
    <w:link w:val="790"/>
    <w:uiPriority w:val="9"/>
    <w:unhideWhenUsed/>
    <w:qFormat/>
    <w:pPr>
      <w:keepLines/>
      <w:keepNext/>
      <w:spacing w:before="320" w:after="200"/>
      <w:outlineLvl w:val="3"/>
    </w:pPr>
    <w:rPr>
      <w:rFonts w:ascii="Arial" w:hAnsi="Arial" w:eastAsia="Arial" w:cs="Arial"/>
      <w:b/>
      <w:bCs/>
      <w:sz w:val="26"/>
      <w:szCs w:val="26"/>
    </w:rPr>
  </w:style>
  <w:style w:type="character" w:styleId="790">
    <w:name w:val="Heading 4 Char"/>
    <w:link w:val="789"/>
    <w:uiPriority w:val="9"/>
    <w:rPr>
      <w:rFonts w:ascii="Arial" w:hAnsi="Arial" w:eastAsia="Arial" w:cs="Arial"/>
      <w:b/>
      <w:bCs/>
      <w:sz w:val="26"/>
      <w:szCs w:val="26"/>
    </w:rPr>
  </w:style>
  <w:style w:type="paragraph" w:styleId="791">
    <w:name w:val="Heading 5"/>
    <w:basedOn w:val="961"/>
    <w:next w:val="961"/>
    <w:link w:val="792"/>
    <w:uiPriority w:val="9"/>
    <w:unhideWhenUsed/>
    <w:qFormat/>
    <w:pPr>
      <w:keepLines/>
      <w:keepNext/>
      <w:spacing w:before="320" w:after="200"/>
      <w:outlineLvl w:val="4"/>
    </w:pPr>
    <w:rPr>
      <w:rFonts w:ascii="Arial" w:hAnsi="Arial" w:eastAsia="Arial" w:cs="Arial"/>
      <w:b/>
      <w:bCs/>
      <w:sz w:val="24"/>
      <w:szCs w:val="24"/>
    </w:rPr>
  </w:style>
  <w:style w:type="character" w:styleId="792">
    <w:name w:val="Heading 5 Char"/>
    <w:link w:val="791"/>
    <w:uiPriority w:val="9"/>
    <w:rPr>
      <w:rFonts w:ascii="Arial" w:hAnsi="Arial" w:eastAsia="Arial" w:cs="Arial"/>
      <w:b/>
      <w:bCs/>
      <w:sz w:val="24"/>
      <w:szCs w:val="24"/>
    </w:rPr>
  </w:style>
  <w:style w:type="paragraph" w:styleId="793">
    <w:name w:val="Heading 6"/>
    <w:basedOn w:val="961"/>
    <w:next w:val="961"/>
    <w:link w:val="794"/>
    <w:uiPriority w:val="9"/>
    <w:unhideWhenUsed/>
    <w:qFormat/>
    <w:pPr>
      <w:keepLines/>
      <w:keepNext/>
      <w:spacing w:before="320" w:after="200"/>
      <w:outlineLvl w:val="5"/>
    </w:pPr>
    <w:rPr>
      <w:rFonts w:ascii="Arial" w:hAnsi="Arial" w:eastAsia="Arial" w:cs="Arial"/>
      <w:b/>
      <w:bCs/>
      <w:sz w:val="22"/>
      <w:szCs w:val="22"/>
    </w:rPr>
  </w:style>
  <w:style w:type="character" w:styleId="794">
    <w:name w:val="Heading 6 Char"/>
    <w:link w:val="793"/>
    <w:uiPriority w:val="9"/>
    <w:rPr>
      <w:rFonts w:ascii="Arial" w:hAnsi="Arial" w:eastAsia="Arial" w:cs="Arial"/>
      <w:b/>
      <w:bCs/>
      <w:sz w:val="22"/>
      <w:szCs w:val="22"/>
    </w:rPr>
  </w:style>
  <w:style w:type="paragraph" w:styleId="795">
    <w:name w:val="Heading 7"/>
    <w:basedOn w:val="961"/>
    <w:next w:val="961"/>
    <w:link w:val="796"/>
    <w:uiPriority w:val="9"/>
    <w:unhideWhenUsed/>
    <w:qFormat/>
    <w:pPr>
      <w:keepLines/>
      <w:keepNext/>
      <w:spacing w:before="320" w:after="200"/>
      <w:outlineLvl w:val="6"/>
    </w:pPr>
    <w:rPr>
      <w:rFonts w:ascii="Arial" w:hAnsi="Arial" w:eastAsia="Arial" w:cs="Arial"/>
      <w:b/>
      <w:bCs/>
      <w:i/>
      <w:iCs/>
      <w:sz w:val="22"/>
      <w:szCs w:val="22"/>
    </w:rPr>
  </w:style>
  <w:style w:type="character" w:styleId="796">
    <w:name w:val="Heading 7 Char"/>
    <w:link w:val="795"/>
    <w:uiPriority w:val="9"/>
    <w:rPr>
      <w:rFonts w:ascii="Arial" w:hAnsi="Arial" w:eastAsia="Arial" w:cs="Arial"/>
      <w:b/>
      <w:bCs/>
      <w:i/>
      <w:iCs/>
      <w:sz w:val="22"/>
      <w:szCs w:val="22"/>
    </w:rPr>
  </w:style>
  <w:style w:type="paragraph" w:styleId="797">
    <w:name w:val="Heading 8"/>
    <w:basedOn w:val="961"/>
    <w:next w:val="961"/>
    <w:link w:val="798"/>
    <w:uiPriority w:val="9"/>
    <w:unhideWhenUsed/>
    <w:qFormat/>
    <w:pPr>
      <w:keepLines/>
      <w:keepNext/>
      <w:spacing w:before="320" w:after="200"/>
      <w:outlineLvl w:val="7"/>
    </w:pPr>
    <w:rPr>
      <w:rFonts w:ascii="Arial" w:hAnsi="Arial" w:eastAsia="Arial" w:cs="Arial"/>
      <w:i/>
      <w:iCs/>
      <w:sz w:val="22"/>
      <w:szCs w:val="22"/>
    </w:rPr>
  </w:style>
  <w:style w:type="character" w:styleId="798">
    <w:name w:val="Heading 8 Char"/>
    <w:link w:val="797"/>
    <w:uiPriority w:val="9"/>
    <w:rPr>
      <w:rFonts w:ascii="Arial" w:hAnsi="Arial" w:eastAsia="Arial" w:cs="Arial"/>
      <w:i/>
      <w:iCs/>
      <w:sz w:val="22"/>
      <w:szCs w:val="22"/>
    </w:rPr>
  </w:style>
  <w:style w:type="paragraph" w:styleId="799">
    <w:name w:val="Heading 9"/>
    <w:basedOn w:val="961"/>
    <w:next w:val="961"/>
    <w:link w:val="800"/>
    <w:uiPriority w:val="9"/>
    <w:unhideWhenUsed/>
    <w:qFormat/>
    <w:pPr>
      <w:keepLines/>
      <w:keepNext/>
      <w:spacing w:before="320" w:after="200"/>
      <w:outlineLvl w:val="8"/>
    </w:pPr>
    <w:rPr>
      <w:rFonts w:ascii="Arial" w:hAnsi="Arial" w:eastAsia="Arial" w:cs="Arial"/>
      <w:i/>
      <w:iCs/>
      <w:sz w:val="21"/>
      <w:szCs w:val="21"/>
    </w:rPr>
  </w:style>
  <w:style w:type="character" w:styleId="800">
    <w:name w:val="Heading 9 Char"/>
    <w:link w:val="799"/>
    <w:uiPriority w:val="9"/>
    <w:rPr>
      <w:rFonts w:ascii="Arial" w:hAnsi="Arial" w:eastAsia="Arial" w:cs="Arial"/>
      <w:i/>
      <w:iCs/>
      <w:sz w:val="21"/>
      <w:szCs w:val="21"/>
    </w:rPr>
  </w:style>
  <w:style w:type="paragraph" w:styleId="801">
    <w:name w:val="List Paragraph"/>
    <w:basedOn w:val="961"/>
    <w:uiPriority w:val="34"/>
    <w:qFormat/>
    <w:pPr>
      <w:contextualSpacing/>
      <w:ind w:left="720"/>
    </w:pPr>
  </w:style>
  <w:style w:type="paragraph" w:styleId="802">
    <w:name w:val="No Spacing"/>
    <w:uiPriority w:val="1"/>
    <w:qFormat/>
    <w:pPr>
      <w:spacing w:before="0" w:after="0" w:line="240" w:lineRule="auto"/>
    </w:pPr>
  </w:style>
  <w:style w:type="paragraph" w:styleId="803">
    <w:name w:val="Title"/>
    <w:basedOn w:val="961"/>
    <w:next w:val="961"/>
    <w:link w:val="804"/>
    <w:uiPriority w:val="10"/>
    <w:qFormat/>
    <w:pPr>
      <w:contextualSpacing/>
      <w:spacing w:before="300" w:after="200"/>
    </w:pPr>
    <w:rPr>
      <w:sz w:val="48"/>
      <w:szCs w:val="48"/>
    </w:rPr>
  </w:style>
  <w:style w:type="character" w:styleId="804">
    <w:name w:val="Title Char"/>
    <w:link w:val="803"/>
    <w:uiPriority w:val="10"/>
    <w:rPr>
      <w:sz w:val="48"/>
      <w:szCs w:val="48"/>
    </w:rPr>
  </w:style>
  <w:style w:type="paragraph" w:styleId="805">
    <w:name w:val="Subtitle"/>
    <w:basedOn w:val="961"/>
    <w:next w:val="961"/>
    <w:link w:val="806"/>
    <w:uiPriority w:val="11"/>
    <w:qFormat/>
    <w:pPr>
      <w:spacing w:before="200" w:after="200"/>
    </w:pPr>
    <w:rPr>
      <w:sz w:val="24"/>
      <w:szCs w:val="24"/>
    </w:rPr>
  </w:style>
  <w:style w:type="character" w:styleId="806">
    <w:name w:val="Subtitle Char"/>
    <w:link w:val="805"/>
    <w:uiPriority w:val="11"/>
    <w:rPr>
      <w:sz w:val="24"/>
      <w:szCs w:val="24"/>
    </w:rPr>
  </w:style>
  <w:style w:type="paragraph" w:styleId="807">
    <w:name w:val="Quote"/>
    <w:basedOn w:val="961"/>
    <w:next w:val="961"/>
    <w:link w:val="808"/>
    <w:uiPriority w:val="29"/>
    <w:qFormat/>
    <w:pPr>
      <w:ind w:left="720" w:right="720"/>
    </w:pPr>
    <w:rPr>
      <w:i/>
    </w:rPr>
  </w:style>
  <w:style w:type="character" w:styleId="808">
    <w:name w:val="Quote Char"/>
    <w:link w:val="807"/>
    <w:uiPriority w:val="29"/>
    <w:rPr>
      <w:i/>
    </w:rPr>
  </w:style>
  <w:style w:type="paragraph" w:styleId="809">
    <w:name w:val="Intense Quote"/>
    <w:basedOn w:val="961"/>
    <w:next w:val="961"/>
    <w:link w:val="8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0">
    <w:name w:val="Intense Quote Char"/>
    <w:link w:val="809"/>
    <w:uiPriority w:val="30"/>
    <w:rPr>
      <w:i/>
    </w:rPr>
  </w:style>
  <w:style w:type="paragraph" w:styleId="811">
    <w:name w:val="Header"/>
    <w:basedOn w:val="961"/>
    <w:link w:val="812"/>
    <w:uiPriority w:val="99"/>
    <w:unhideWhenUsed/>
    <w:pPr>
      <w:spacing w:after="0" w:line="240" w:lineRule="auto"/>
      <w:tabs>
        <w:tab w:val="center" w:pos="7143" w:leader="none"/>
        <w:tab w:val="right" w:pos="14287" w:leader="none"/>
      </w:tabs>
    </w:pPr>
  </w:style>
  <w:style w:type="character" w:styleId="812">
    <w:name w:val="Header Char"/>
    <w:link w:val="811"/>
    <w:uiPriority w:val="99"/>
  </w:style>
  <w:style w:type="paragraph" w:styleId="813">
    <w:name w:val="Footer"/>
    <w:basedOn w:val="961"/>
    <w:link w:val="816"/>
    <w:uiPriority w:val="99"/>
    <w:unhideWhenUsed/>
    <w:pPr>
      <w:spacing w:after="0" w:line="240" w:lineRule="auto"/>
      <w:tabs>
        <w:tab w:val="center" w:pos="7143" w:leader="none"/>
        <w:tab w:val="right" w:pos="14287" w:leader="none"/>
      </w:tabs>
    </w:pPr>
  </w:style>
  <w:style w:type="character" w:styleId="814">
    <w:name w:val="Footer Char"/>
    <w:link w:val="813"/>
    <w:uiPriority w:val="99"/>
  </w:style>
  <w:style w:type="paragraph" w:styleId="815">
    <w:name w:val="Caption"/>
    <w:basedOn w:val="961"/>
    <w:next w:val="961"/>
    <w:uiPriority w:val="35"/>
    <w:semiHidden/>
    <w:unhideWhenUsed/>
    <w:qFormat/>
    <w:pPr>
      <w:spacing w:line="276" w:lineRule="auto"/>
    </w:pPr>
    <w:rPr>
      <w:b/>
      <w:bCs/>
      <w:color w:val="4f81bd" w:themeColor="accent1"/>
      <w:sz w:val="18"/>
      <w:szCs w:val="18"/>
    </w:rPr>
  </w:style>
  <w:style w:type="character" w:styleId="816">
    <w:name w:val="Caption Char"/>
    <w:basedOn w:val="815"/>
    <w:link w:val="813"/>
    <w:uiPriority w:val="99"/>
  </w:style>
  <w:style w:type="table" w:styleId="81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3">
    <w:name w:val="Hyperlink"/>
    <w:uiPriority w:val="99"/>
    <w:unhideWhenUsed/>
    <w:rPr>
      <w:color w:val="0000ff" w:themeColor="hyperlink"/>
      <w:u w:val="single"/>
    </w:rPr>
  </w:style>
  <w:style w:type="paragraph" w:styleId="944">
    <w:name w:val="footnote text"/>
    <w:basedOn w:val="961"/>
    <w:link w:val="945"/>
    <w:uiPriority w:val="99"/>
    <w:semiHidden/>
    <w:unhideWhenUsed/>
    <w:pPr>
      <w:spacing w:after="40" w:line="240" w:lineRule="auto"/>
    </w:pPr>
    <w:rPr>
      <w:sz w:val="18"/>
    </w:rPr>
  </w:style>
  <w:style w:type="character" w:styleId="945">
    <w:name w:val="Footnote Text Char"/>
    <w:link w:val="944"/>
    <w:uiPriority w:val="99"/>
    <w:rPr>
      <w:sz w:val="18"/>
    </w:rPr>
  </w:style>
  <w:style w:type="character" w:styleId="946">
    <w:name w:val="footnote reference"/>
    <w:uiPriority w:val="99"/>
    <w:unhideWhenUsed/>
    <w:rPr>
      <w:vertAlign w:val="superscript"/>
    </w:rPr>
  </w:style>
  <w:style w:type="paragraph" w:styleId="947">
    <w:name w:val="endnote text"/>
    <w:basedOn w:val="961"/>
    <w:link w:val="948"/>
    <w:uiPriority w:val="99"/>
    <w:semiHidden/>
    <w:unhideWhenUsed/>
    <w:pPr>
      <w:spacing w:after="0" w:line="240" w:lineRule="auto"/>
    </w:pPr>
    <w:rPr>
      <w:sz w:val="20"/>
    </w:rPr>
  </w:style>
  <w:style w:type="character" w:styleId="948">
    <w:name w:val="Endnote Text Char"/>
    <w:link w:val="947"/>
    <w:uiPriority w:val="99"/>
    <w:rPr>
      <w:sz w:val="20"/>
    </w:rPr>
  </w:style>
  <w:style w:type="character" w:styleId="949">
    <w:name w:val="endnote reference"/>
    <w:uiPriority w:val="99"/>
    <w:semiHidden/>
    <w:unhideWhenUsed/>
    <w:rPr>
      <w:vertAlign w:val="superscript"/>
    </w:rPr>
  </w:style>
  <w:style w:type="paragraph" w:styleId="950">
    <w:name w:val="toc 1"/>
    <w:basedOn w:val="961"/>
    <w:next w:val="961"/>
    <w:uiPriority w:val="39"/>
    <w:unhideWhenUsed/>
    <w:pPr>
      <w:ind w:left="0" w:right="0" w:firstLine="0"/>
      <w:spacing w:after="57"/>
    </w:pPr>
  </w:style>
  <w:style w:type="paragraph" w:styleId="951">
    <w:name w:val="toc 2"/>
    <w:basedOn w:val="961"/>
    <w:next w:val="961"/>
    <w:uiPriority w:val="39"/>
    <w:unhideWhenUsed/>
    <w:pPr>
      <w:ind w:left="283" w:right="0" w:firstLine="0"/>
      <w:spacing w:after="57"/>
    </w:pPr>
  </w:style>
  <w:style w:type="paragraph" w:styleId="952">
    <w:name w:val="toc 3"/>
    <w:basedOn w:val="961"/>
    <w:next w:val="961"/>
    <w:uiPriority w:val="39"/>
    <w:unhideWhenUsed/>
    <w:pPr>
      <w:ind w:left="567" w:right="0" w:firstLine="0"/>
      <w:spacing w:after="57"/>
    </w:pPr>
  </w:style>
  <w:style w:type="paragraph" w:styleId="953">
    <w:name w:val="toc 4"/>
    <w:basedOn w:val="961"/>
    <w:next w:val="961"/>
    <w:uiPriority w:val="39"/>
    <w:unhideWhenUsed/>
    <w:pPr>
      <w:ind w:left="850" w:right="0" w:firstLine="0"/>
      <w:spacing w:after="57"/>
    </w:pPr>
  </w:style>
  <w:style w:type="paragraph" w:styleId="954">
    <w:name w:val="toc 5"/>
    <w:basedOn w:val="961"/>
    <w:next w:val="961"/>
    <w:uiPriority w:val="39"/>
    <w:unhideWhenUsed/>
    <w:pPr>
      <w:ind w:left="1134" w:right="0" w:firstLine="0"/>
      <w:spacing w:after="57"/>
    </w:pPr>
  </w:style>
  <w:style w:type="paragraph" w:styleId="955">
    <w:name w:val="toc 6"/>
    <w:basedOn w:val="961"/>
    <w:next w:val="961"/>
    <w:uiPriority w:val="39"/>
    <w:unhideWhenUsed/>
    <w:pPr>
      <w:ind w:left="1417" w:right="0" w:firstLine="0"/>
      <w:spacing w:after="57"/>
    </w:pPr>
  </w:style>
  <w:style w:type="paragraph" w:styleId="956">
    <w:name w:val="toc 7"/>
    <w:basedOn w:val="961"/>
    <w:next w:val="961"/>
    <w:uiPriority w:val="39"/>
    <w:unhideWhenUsed/>
    <w:pPr>
      <w:ind w:left="1701" w:right="0" w:firstLine="0"/>
      <w:spacing w:after="57"/>
    </w:pPr>
  </w:style>
  <w:style w:type="paragraph" w:styleId="957">
    <w:name w:val="toc 8"/>
    <w:basedOn w:val="961"/>
    <w:next w:val="961"/>
    <w:uiPriority w:val="39"/>
    <w:unhideWhenUsed/>
    <w:pPr>
      <w:ind w:left="1984" w:right="0" w:firstLine="0"/>
      <w:spacing w:after="57"/>
    </w:pPr>
  </w:style>
  <w:style w:type="paragraph" w:styleId="958">
    <w:name w:val="toc 9"/>
    <w:basedOn w:val="961"/>
    <w:next w:val="961"/>
    <w:uiPriority w:val="39"/>
    <w:unhideWhenUsed/>
    <w:pPr>
      <w:ind w:left="2268" w:right="0" w:firstLine="0"/>
      <w:spacing w:after="57"/>
    </w:pPr>
  </w:style>
  <w:style w:type="paragraph" w:styleId="959">
    <w:name w:val="TOC Heading"/>
    <w:uiPriority w:val="39"/>
    <w:unhideWhenUsed/>
  </w:style>
  <w:style w:type="paragraph" w:styleId="960">
    <w:name w:val="table of figures"/>
    <w:basedOn w:val="961"/>
    <w:next w:val="961"/>
    <w:uiPriority w:val="99"/>
    <w:unhideWhenUsed/>
    <w:pPr>
      <w:spacing w:after="0" w:afterAutospacing="0"/>
    </w:pPr>
  </w:style>
  <w:style w:type="paragraph" w:styleId="961" w:default="1">
    <w:name w:val="Normal"/>
    <w:next w:val="963"/>
    <w:link w:val="961"/>
    <w:qFormat/>
    <w:pPr>
      <w:jc w:val="both"/>
      <w:widowControl w:val="off"/>
    </w:pPr>
    <w:rPr>
      <w:rFonts w:ascii="Times New Roman" w:hAnsi="Times New Roman"/>
      <w:sz w:val="24"/>
      <w:szCs w:val="24"/>
      <w:lang w:val="en-US" w:eastAsia="zh-CN" w:bidi="ar-SA"/>
    </w:rPr>
  </w:style>
  <w:style w:type="paragraph" w:styleId="962">
    <w:name w:val="标题 1"/>
    <w:basedOn w:val="961"/>
    <w:next w:val="961"/>
    <w:link w:val="968"/>
    <w:qFormat/>
    <w:pPr>
      <w:keepLines/>
      <w:keepNext/>
      <w:spacing w:before="340" w:after="330" w:line="578" w:lineRule="auto"/>
      <w:outlineLvl w:val="0"/>
    </w:pPr>
    <w:rPr>
      <w:b/>
      <w:bCs/>
      <w:sz w:val="44"/>
      <w:szCs w:val="44"/>
    </w:rPr>
  </w:style>
  <w:style w:type="paragraph" w:styleId="963">
    <w:name w:val="标题 3"/>
    <w:basedOn w:val="961"/>
    <w:next w:val="961"/>
    <w:link w:val="967"/>
    <w:qFormat/>
    <w:pPr>
      <w:numPr>
        <w:ilvl w:val="2"/>
        <w:numId w:val="1"/>
      </w:numPr>
      <w:spacing w:line="300" w:lineRule="auto"/>
      <w:tabs>
        <w:tab w:val="left" w:pos="709" w:leader="none"/>
      </w:tabs>
      <w:outlineLvl w:val="2"/>
    </w:pPr>
    <w:rPr>
      <w:b/>
      <w:color w:val="000000"/>
      <w:sz w:val="28"/>
    </w:rPr>
  </w:style>
  <w:style w:type="character" w:styleId="964">
    <w:name w:val="默认段落字体"/>
    <w:next w:val="964"/>
    <w:link w:val="961"/>
    <w:uiPriority w:val="1"/>
    <w:unhideWhenUsed/>
  </w:style>
  <w:style w:type="table" w:styleId="965">
    <w:name w:val="普通表格"/>
    <w:next w:val="965"/>
    <w:link w:val="961"/>
    <w:uiPriority w:val="99"/>
    <w:unhideWhenUsed/>
    <w:qFormat/>
    <w:tblPr/>
  </w:style>
  <w:style w:type="numbering" w:styleId="966">
    <w:name w:val="无列表"/>
    <w:next w:val="966"/>
    <w:link w:val="961"/>
    <w:uiPriority w:val="99"/>
    <w:semiHidden/>
    <w:unhideWhenUsed/>
  </w:style>
  <w:style w:type="character" w:styleId="967">
    <w:name w:val="标题 3 Char"/>
    <w:basedOn w:val="964"/>
    <w:next w:val="967"/>
    <w:link w:val="963"/>
    <w:rPr>
      <w:rFonts w:ascii="Times New Roman" w:hAnsi="Times New Roman" w:eastAsia="宋体" w:cs="Times New Roman"/>
      <w:b/>
      <w:color w:val="000000"/>
      <w:sz w:val="28"/>
      <w:szCs w:val="24"/>
    </w:rPr>
  </w:style>
  <w:style w:type="character" w:styleId="968">
    <w:name w:val="标题 1 Char"/>
    <w:basedOn w:val="964"/>
    <w:next w:val="968"/>
    <w:link w:val="962"/>
    <w:rPr>
      <w:rFonts w:ascii="Times New Roman" w:hAnsi="Times New Roman" w:eastAsia="宋体" w:cs="Times New Roman"/>
      <w:b/>
      <w:bCs/>
      <w:sz w:val="44"/>
      <w:szCs w:val="44"/>
    </w:rPr>
  </w:style>
  <w:style w:type="paragraph" w:styleId="969">
    <w:name w:val="正文缩进"/>
    <w:basedOn w:val="961"/>
    <w:next w:val="961"/>
    <w:link w:val="961"/>
    <w:qFormat/>
    <w:pPr>
      <w:ind w:firstLine="420"/>
    </w:pPr>
    <w:rPr>
      <w:sz w:val="21"/>
      <w:szCs w:val="20"/>
    </w:rPr>
  </w:style>
  <w:style w:type="paragraph" w:styleId="970">
    <w:name w:val="文档结构图"/>
    <w:basedOn w:val="961"/>
    <w:next w:val="970"/>
    <w:link w:val="971"/>
    <w:uiPriority w:val="99"/>
    <w:semiHidden/>
    <w:rPr>
      <w:rFonts w:ascii="宋体"/>
      <w:sz w:val="18"/>
      <w:szCs w:val="18"/>
    </w:rPr>
  </w:style>
  <w:style w:type="character" w:styleId="971">
    <w:name w:val="文档结构图 Char"/>
    <w:basedOn w:val="964"/>
    <w:next w:val="971"/>
    <w:link w:val="970"/>
    <w:uiPriority w:val="99"/>
    <w:semiHidden/>
    <w:qFormat/>
    <w:rPr>
      <w:rFonts w:ascii="宋体" w:hAnsi="Times New Roman" w:eastAsia="宋体" w:cs="Times New Roman"/>
      <w:sz w:val="18"/>
      <w:szCs w:val="18"/>
    </w:rPr>
  </w:style>
  <w:style w:type="paragraph" w:styleId="972">
    <w:name w:val="引文目录标题"/>
    <w:basedOn w:val="961"/>
    <w:next w:val="961"/>
    <w:link w:val="961"/>
    <w:semiHidden/>
    <w:qFormat/>
    <w:pPr>
      <w:spacing w:before="120"/>
    </w:pPr>
    <w:rPr>
      <w:rFonts w:ascii="Arial" w:hAnsi="Arial"/>
      <w:szCs w:val="20"/>
    </w:rPr>
  </w:style>
  <w:style w:type="paragraph" w:styleId="973">
    <w:name w:val="批注文字"/>
    <w:basedOn w:val="961"/>
    <w:next w:val="973"/>
    <w:link w:val="974"/>
    <w:qFormat/>
    <w:pPr>
      <w:jc w:val="left"/>
    </w:pPr>
  </w:style>
  <w:style w:type="character" w:styleId="974">
    <w:name w:val="批注文字 Char"/>
    <w:basedOn w:val="964"/>
    <w:next w:val="974"/>
    <w:link w:val="973"/>
    <w:qFormat/>
    <w:rPr>
      <w:rFonts w:ascii="Times New Roman" w:hAnsi="Times New Roman" w:eastAsia="宋体" w:cs="Times New Roman"/>
      <w:sz w:val="24"/>
      <w:szCs w:val="24"/>
    </w:rPr>
  </w:style>
  <w:style w:type="paragraph" w:styleId="975">
    <w:name w:val="正文文本"/>
    <w:basedOn w:val="961"/>
    <w:next w:val="977"/>
    <w:link w:val="976"/>
    <w:uiPriority w:val="99"/>
    <w:qFormat/>
    <w:pPr>
      <w:spacing w:after="120"/>
    </w:pPr>
    <w:rPr>
      <w:lang w:val="en-US" w:eastAsia="en-US"/>
    </w:rPr>
  </w:style>
  <w:style w:type="character" w:styleId="976">
    <w:name w:val="正文文本 Char"/>
    <w:basedOn w:val="964"/>
    <w:next w:val="976"/>
    <w:link w:val="975"/>
    <w:uiPriority w:val="99"/>
    <w:semiHidden/>
    <w:qFormat/>
    <w:rPr>
      <w:rFonts w:ascii="Times New Roman" w:hAnsi="Times New Roman" w:eastAsia="宋体" w:cs="Times New Roman"/>
      <w:sz w:val="24"/>
      <w:szCs w:val="24"/>
    </w:rPr>
  </w:style>
  <w:style w:type="paragraph" w:styleId="977">
    <w:name w:val="目录 2"/>
    <w:basedOn w:val="961"/>
    <w:next w:val="961"/>
    <w:link w:val="961"/>
    <w:uiPriority w:val="39"/>
    <w:qFormat/>
    <w:pPr>
      <w:ind w:left="210"/>
      <w:jc w:val="left"/>
    </w:pPr>
    <w:rPr>
      <w:smallCaps/>
    </w:rPr>
  </w:style>
  <w:style w:type="paragraph" w:styleId="978">
    <w:name w:val="正文文本缩进"/>
    <w:basedOn w:val="961"/>
    <w:next w:val="978"/>
    <w:link w:val="979"/>
    <w:qFormat/>
    <w:pPr>
      <w:ind w:firstLine="645"/>
    </w:pPr>
    <w:rPr>
      <w:rFonts w:ascii="楷体_GB2312" w:hAnsi="Calibri" w:eastAsia="楷体_GB2312"/>
      <w:sz w:val="32"/>
      <w:szCs w:val="32"/>
    </w:rPr>
  </w:style>
  <w:style w:type="character" w:styleId="979">
    <w:name w:val="正文文本缩进 Char"/>
    <w:basedOn w:val="964"/>
    <w:next w:val="979"/>
    <w:link w:val="978"/>
    <w:rPr>
      <w:rFonts w:ascii="楷体_GB2312" w:hAnsi="Calibri" w:eastAsia="楷体_GB2312" w:cs="Times New Roman"/>
      <w:sz w:val="32"/>
      <w:szCs w:val="32"/>
    </w:rPr>
  </w:style>
  <w:style w:type="paragraph" w:styleId="980">
    <w:name w:val="索引 4"/>
    <w:basedOn w:val="961"/>
    <w:next w:val="961"/>
    <w:link w:val="961"/>
    <w:qFormat/>
    <w:pPr>
      <w:ind w:left="1260"/>
    </w:pPr>
  </w:style>
  <w:style w:type="paragraph" w:styleId="981">
    <w:name w:val="纯文本"/>
    <w:basedOn w:val="961"/>
    <w:next w:val="981"/>
    <w:link w:val="982"/>
    <w:uiPriority w:val="99"/>
    <w:qFormat/>
    <w:rPr>
      <w:rFonts w:ascii="宋体" w:hAnsi="Courier New"/>
      <w:sz w:val="21"/>
      <w:szCs w:val="22"/>
    </w:rPr>
  </w:style>
  <w:style w:type="character" w:styleId="982">
    <w:name w:val="纯文本 Char"/>
    <w:basedOn w:val="964"/>
    <w:next w:val="982"/>
    <w:link w:val="981"/>
    <w:uiPriority w:val="99"/>
    <w:qFormat/>
    <w:rPr>
      <w:rFonts w:ascii="宋体" w:hAnsi="Courier New" w:eastAsia="宋体" w:cs="Times New Roman"/>
    </w:rPr>
  </w:style>
  <w:style w:type="paragraph" w:styleId="983">
    <w:name w:val="日期"/>
    <w:basedOn w:val="961"/>
    <w:next w:val="961"/>
    <w:link w:val="984"/>
    <w:uiPriority w:val="99"/>
    <w:qFormat/>
    <w:pPr>
      <w:ind w:left="100"/>
    </w:pPr>
    <w:rPr>
      <w:rFonts w:ascii="Calibri" w:hAnsi="Calibri" w:eastAsia="宋体" w:cs="Times New Roman"/>
      <w:sz w:val="21"/>
    </w:rPr>
  </w:style>
  <w:style w:type="character" w:styleId="984">
    <w:name w:val="日期 Char"/>
    <w:basedOn w:val="964"/>
    <w:next w:val="984"/>
    <w:link w:val="983"/>
    <w:uiPriority w:val="99"/>
    <w:rPr>
      <w:rFonts w:ascii="Calibri" w:hAnsi="Calibri" w:eastAsia="宋体" w:cs="Times New Roman"/>
      <w:sz w:val="21"/>
      <w:szCs w:val="24"/>
    </w:rPr>
  </w:style>
  <w:style w:type="paragraph" w:styleId="985">
    <w:name w:val="批注框文本"/>
    <w:basedOn w:val="961"/>
    <w:next w:val="985"/>
    <w:link w:val="986"/>
    <w:uiPriority w:val="99"/>
    <w:semiHidden/>
    <w:qFormat/>
    <w:rPr>
      <w:sz w:val="18"/>
      <w:szCs w:val="18"/>
    </w:rPr>
  </w:style>
  <w:style w:type="character" w:styleId="986">
    <w:name w:val="批注框文本 Char"/>
    <w:basedOn w:val="964"/>
    <w:next w:val="986"/>
    <w:link w:val="985"/>
    <w:uiPriority w:val="99"/>
    <w:semiHidden/>
    <w:qFormat/>
    <w:rPr>
      <w:rFonts w:ascii="Times New Roman" w:hAnsi="Times New Roman" w:eastAsia="宋体" w:cs="Times New Roman"/>
      <w:sz w:val="18"/>
      <w:szCs w:val="18"/>
    </w:rPr>
  </w:style>
  <w:style w:type="paragraph" w:styleId="987">
    <w:name w:val="页脚"/>
    <w:basedOn w:val="961"/>
    <w:next w:val="987"/>
    <w:link w:val="988"/>
    <w:uiPriority w:val="99"/>
    <w:qFormat/>
    <w:pPr>
      <w:jc w:val="left"/>
      <w:tabs>
        <w:tab w:val="center" w:pos="4153" w:leader="none"/>
        <w:tab w:val="right" w:pos="8306" w:leader="none"/>
      </w:tabs>
    </w:pPr>
    <w:rPr>
      <w:sz w:val="18"/>
      <w:szCs w:val="18"/>
    </w:rPr>
  </w:style>
  <w:style w:type="character" w:styleId="988">
    <w:name w:val="页脚 Char"/>
    <w:basedOn w:val="964"/>
    <w:next w:val="988"/>
    <w:link w:val="987"/>
    <w:uiPriority w:val="99"/>
    <w:qFormat/>
    <w:rPr>
      <w:rFonts w:ascii="Times New Roman" w:hAnsi="Times New Roman" w:eastAsia="宋体" w:cs="Times New Roman"/>
      <w:sz w:val="18"/>
      <w:szCs w:val="18"/>
    </w:rPr>
  </w:style>
  <w:style w:type="paragraph" w:styleId="989">
    <w:name w:val="寄信人地址"/>
    <w:basedOn w:val="961"/>
    <w:next w:val="989"/>
    <w:link w:val="961"/>
    <w:uiPriority w:val="99"/>
    <w:unhideWhenUsed/>
    <w:qFormat/>
    <w:rPr>
      <w:rFonts w:ascii="Arial" w:hAnsi="Arial" w:cs="Arial"/>
      <w:sz w:val="21"/>
      <w:szCs w:val="20"/>
    </w:rPr>
  </w:style>
  <w:style w:type="paragraph" w:styleId="990">
    <w:name w:val="页眉"/>
    <w:basedOn w:val="961"/>
    <w:next w:val="990"/>
    <w:link w:val="991"/>
    <w:uiPriority w:val="99"/>
    <w:qFormat/>
    <w:pPr>
      <w:jc w:val="center"/>
      <w:tabs>
        <w:tab w:val="center" w:pos="4153" w:leader="none"/>
        <w:tab w:val="right" w:pos="8306" w:leader="none"/>
      </w:tabs>
      <w:pBdr>
        <w:bottom w:val="single" w:color="000000" w:sz="6" w:space="1"/>
      </w:pBdr>
    </w:pPr>
    <w:rPr>
      <w:sz w:val="18"/>
      <w:szCs w:val="18"/>
    </w:rPr>
  </w:style>
  <w:style w:type="character" w:styleId="991">
    <w:name w:val="页眉 Char"/>
    <w:basedOn w:val="964"/>
    <w:next w:val="991"/>
    <w:link w:val="990"/>
    <w:uiPriority w:val="99"/>
    <w:qFormat/>
    <w:rPr>
      <w:rFonts w:ascii="Times New Roman" w:hAnsi="Times New Roman" w:eastAsia="宋体" w:cs="Times New Roman"/>
      <w:sz w:val="18"/>
      <w:szCs w:val="18"/>
    </w:rPr>
  </w:style>
  <w:style w:type="paragraph" w:styleId="992">
    <w:name w:val="正文文本缩进 3"/>
    <w:basedOn w:val="961"/>
    <w:next w:val="992"/>
    <w:link w:val="993"/>
    <w:uiPriority w:val="99"/>
    <w:qFormat/>
    <w:pPr>
      <w:ind w:left="645" w:firstLine="645"/>
    </w:pPr>
    <w:rPr>
      <w:rFonts w:ascii="Arial" w:hAnsi="Arial"/>
      <w:color w:val="ffff00"/>
      <w:sz w:val="32"/>
      <w:szCs w:val="20"/>
      <w:lang w:val="en-US" w:eastAsia="en-US"/>
    </w:rPr>
  </w:style>
  <w:style w:type="character" w:styleId="993">
    <w:name w:val="正文文本缩进 3 Char"/>
    <w:basedOn w:val="964"/>
    <w:next w:val="993"/>
    <w:link w:val="992"/>
    <w:uiPriority w:val="99"/>
    <w:semiHidden/>
    <w:qFormat/>
    <w:rPr>
      <w:rFonts w:ascii="Times New Roman" w:hAnsi="Times New Roman" w:eastAsia="宋体" w:cs="Times New Roman"/>
      <w:sz w:val="16"/>
      <w:szCs w:val="16"/>
    </w:rPr>
  </w:style>
  <w:style w:type="paragraph" w:styleId="994">
    <w:name w:val="正文文本 2"/>
    <w:basedOn w:val="961"/>
    <w:next w:val="994"/>
    <w:link w:val="995"/>
    <w:uiPriority w:val="99"/>
    <w:qFormat/>
    <w:rPr>
      <w:rFonts w:eastAsia="仿宋_GB2312"/>
      <w:color w:val="000000"/>
      <w:sz w:val="21"/>
      <w:szCs w:val="20"/>
    </w:rPr>
  </w:style>
  <w:style w:type="character" w:styleId="995">
    <w:name w:val="正文文本 2 Char"/>
    <w:basedOn w:val="964"/>
    <w:next w:val="995"/>
    <w:link w:val="994"/>
    <w:uiPriority w:val="99"/>
    <w:rPr>
      <w:rFonts w:ascii="Times New Roman" w:hAnsi="Times New Roman" w:eastAsia="仿宋_GB2312"/>
      <w:color w:val="000000"/>
      <w:sz w:val="21"/>
    </w:rPr>
  </w:style>
  <w:style w:type="paragraph" w:styleId="996">
    <w:name w:val="普通(网站)"/>
    <w:basedOn w:val="961"/>
    <w:next w:val="996"/>
    <w:link w:val="961"/>
    <w:uiPriority w:val="99"/>
    <w:unhideWhenUsed/>
    <w:qFormat/>
    <w:pPr>
      <w:jc w:val="left"/>
      <w:spacing w:before="100" w:beforeAutospacing="1" w:after="100" w:afterAutospacing="1"/>
      <w:widowControl/>
    </w:pPr>
    <w:rPr>
      <w:rFonts w:ascii="宋体" w:hAnsi="宋体" w:cs="宋体"/>
    </w:rPr>
  </w:style>
  <w:style w:type="paragraph" w:styleId="997">
    <w:name w:val="批注主题"/>
    <w:basedOn w:val="973"/>
    <w:next w:val="973"/>
    <w:link w:val="998"/>
    <w:uiPriority w:val="99"/>
    <w:semiHidden/>
    <w:qFormat/>
    <w:rPr>
      <w:b/>
      <w:bCs/>
    </w:rPr>
  </w:style>
  <w:style w:type="character" w:styleId="998">
    <w:name w:val="批注主题 Char"/>
    <w:basedOn w:val="974"/>
    <w:next w:val="998"/>
    <w:link w:val="997"/>
    <w:uiPriority w:val="99"/>
    <w:semiHidden/>
    <w:qFormat/>
    <w:rPr>
      <w:b/>
      <w:bCs/>
    </w:rPr>
  </w:style>
  <w:style w:type="paragraph" w:styleId="999">
    <w:name w:val="正文首行缩进"/>
    <w:basedOn w:val="975"/>
    <w:next w:val="999"/>
    <w:link w:val="1000"/>
    <w:qFormat/>
    <w:pPr>
      <w:ind w:firstLine="200"/>
      <w:spacing w:line="360" w:lineRule="auto"/>
    </w:pPr>
    <w:rPr>
      <w:rFonts w:ascii="仿宋_GB2312" w:hAnsi="Arial" w:eastAsia="仿宋_GB2312"/>
      <w:sz w:val="30"/>
      <w:szCs w:val="30"/>
    </w:rPr>
  </w:style>
  <w:style w:type="character" w:styleId="1000">
    <w:name w:val="正文首行缩进 Char"/>
    <w:basedOn w:val="976"/>
    <w:next w:val="1000"/>
    <w:link w:val="999"/>
    <w:qFormat/>
    <w:rPr>
      <w:rFonts w:ascii="仿宋_GB2312" w:hAnsi="Arial" w:eastAsia="仿宋_GB2312"/>
      <w:sz w:val="30"/>
      <w:szCs w:val="30"/>
    </w:rPr>
  </w:style>
  <w:style w:type="paragraph" w:styleId="1001">
    <w:name w:val="正文首行缩进 2"/>
    <w:basedOn w:val="978"/>
    <w:next w:val="999"/>
    <w:link w:val="1002"/>
    <w:qFormat/>
    <w:pPr>
      <w:ind w:firstLine="420"/>
      <w:spacing w:line="360" w:lineRule="auto"/>
    </w:pPr>
    <w:rPr>
      <w:rFonts w:ascii="宋体" w:hAnsi="宋体"/>
      <w:sz w:val="21"/>
    </w:rPr>
  </w:style>
  <w:style w:type="character" w:styleId="1002">
    <w:name w:val="正文首行缩进 2 Char"/>
    <w:basedOn w:val="979"/>
    <w:next w:val="1002"/>
    <w:link w:val="1001"/>
    <w:rPr>
      <w:rFonts w:ascii="宋体" w:hAnsi="宋体"/>
    </w:rPr>
  </w:style>
  <w:style w:type="table" w:styleId="1003">
    <w:name w:val="网格型"/>
    <w:basedOn w:val="965"/>
    <w:next w:val="1003"/>
    <w:link w:val="961"/>
    <w:uiPriority w:val="99"/>
    <w:unhideWhenUsed/>
    <w:qFormat/>
    <w:pPr>
      <w:jc w:val="both"/>
      <w:widowControl w:val="off"/>
    </w:pPr>
    <w:rPr>
      <w:rFonts w:ascii="Times New Roman" w:hAnsi="Times New Roman"/>
    </w:rPr>
    <w:tblPr/>
  </w:style>
  <w:style w:type="character" w:styleId="1004">
    <w:name w:val="页码"/>
    <w:basedOn w:val="964"/>
    <w:next w:val="1004"/>
    <w:link w:val="961"/>
    <w:qFormat/>
  </w:style>
  <w:style w:type="character" w:styleId="1005">
    <w:name w:val="超链接"/>
    <w:next w:val="1005"/>
    <w:link w:val="961"/>
    <w:uiPriority w:val="99"/>
    <w:qFormat/>
    <w:rPr>
      <w:rFonts w:cs="Times New Roman"/>
      <w:color w:val="336699"/>
      <w:sz w:val="18"/>
      <w:u w:val="none"/>
    </w:rPr>
  </w:style>
  <w:style w:type="character" w:styleId="1006">
    <w:name w:val="批注引用"/>
    <w:next w:val="1006"/>
    <w:link w:val="961"/>
    <w:uiPriority w:val="99"/>
    <w:semiHidden/>
    <w:qFormat/>
    <w:rPr>
      <w:rFonts w:cs="Times New Roman"/>
      <w:sz w:val="21"/>
      <w:szCs w:val="21"/>
    </w:rPr>
  </w:style>
  <w:style w:type="character" w:styleId="1007">
    <w:name w:val="正文文本 Char1"/>
    <w:next w:val="1007"/>
    <w:link w:val="961"/>
    <w:uiPriority w:val="99"/>
    <w:qFormat/>
    <w:rPr>
      <w:rFonts w:ascii="Times New Roman" w:hAnsi="Times New Roman" w:eastAsia="宋体" w:cs="Times New Roman"/>
      <w:sz w:val="24"/>
      <w:szCs w:val="24"/>
    </w:rPr>
  </w:style>
  <w:style w:type="character" w:styleId="1008">
    <w:name w:val="正文文本缩进 3 Char1"/>
    <w:next w:val="1008"/>
    <w:link w:val="961"/>
    <w:uiPriority w:val="99"/>
    <w:qFormat/>
    <w:rPr>
      <w:rFonts w:ascii="Arial" w:hAnsi="Arial" w:eastAsia="宋体" w:cs="Times New Roman"/>
      <w:color w:val="ffff00"/>
      <w:sz w:val="32"/>
      <w:szCs w:val="20"/>
    </w:rPr>
  </w:style>
  <w:style w:type="character" w:styleId="1009">
    <w:name w:val="正文文本 Char2"/>
    <w:next w:val="1009"/>
    <w:link w:val="961"/>
    <w:uiPriority w:val="99"/>
    <w:semiHidden/>
    <w:qFormat/>
    <w:rPr>
      <w:rFonts w:ascii="Times New Roman" w:hAnsi="Times New Roman"/>
      <w:sz w:val="24"/>
    </w:rPr>
  </w:style>
  <w:style w:type="paragraph" w:styleId="1010">
    <w:name w:val="Default"/>
    <w:next w:val="1010"/>
    <w:link w:val="961"/>
    <w:qFormat/>
    <w:pPr>
      <w:widowControl w:val="off"/>
    </w:pPr>
    <w:rPr>
      <w:rFonts w:ascii="仿宋" w:hAnsi="Times New Roman" w:eastAsia="仿宋" w:cs="仿宋"/>
      <w:color w:val="000000"/>
      <w:sz w:val="24"/>
      <w:szCs w:val="24"/>
      <w:lang w:val="en-US" w:eastAsia="zh-CN" w:bidi="ar-SA"/>
    </w:rPr>
  </w:style>
  <w:style w:type="paragraph" w:styleId="1011">
    <w:name w:val="f3"/>
    <w:basedOn w:val="961"/>
    <w:next w:val="1011"/>
    <w:link w:val="961"/>
    <w:uiPriority w:val="99"/>
    <w:qFormat/>
    <w:pPr>
      <w:jc w:val="left"/>
      <w:spacing w:before="100" w:beforeAutospacing="1" w:after="100" w:afterAutospacing="1" w:line="280" w:lineRule="atLeast"/>
      <w:widowControl/>
    </w:pPr>
    <w:rPr>
      <w:rFonts w:ascii="宋体" w:hAnsi="宋体"/>
      <w:sz w:val="18"/>
      <w:szCs w:val="18"/>
    </w:rPr>
  </w:style>
  <w:style w:type="paragraph" w:styleId="1012">
    <w:name w:val="WPS Plain"/>
    <w:next w:val="1012"/>
    <w:link w:val="961"/>
    <w:qFormat/>
    <w:rPr>
      <w:rFonts w:ascii="Times New Roman" w:hAnsi="Times New Roman"/>
      <w:lang w:val="en-US" w:eastAsia="zh-CN" w:bidi="ar-SA"/>
    </w:rPr>
  </w:style>
  <w:style w:type="paragraph" w:styleId="1013">
    <w:name w:val="列出段落"/>
    <w:basedOn w:val="961"/>
    <w:next w:val="1013"/>
    <w:link w:val="961"/>
    <w:uiPriority w:val="99"/>
    <w:qFormat/>
    <w:pPr>
      <w:ind w:firstLine="420"/>
    </w:pPr>
  </w:style>
  <w:style w:type="paragraph" w:styleId="1014">
    <w:name w:val="无间隔1"/>
    <w:next w:val="1014"/>
    <w:link w:val="961"/>
    <w:uiPriority w:val="1"/>
    <w:qFormat/>
    <w:pPr>
      <w:jc w:val="both"/>
      <w:widowControl w:val="off"/>
    </w:pPr>
    <w:rPr>
      <w:rFonts w:ascii="Times New Roman" w:hAnsi="Times New Roman"/>
      <w:sz w:val="21"/>
      <w:szCs w:val="22"/>
      <w:lang w:val="en-US" w:eastAsia="zh-CN" w:bidi="ar-SA"/>
    </w:rPr>
  </w:style>
  <w:style w:type="paragraph" w:styleId="1015">
    <w:name w:val="正文首行缩进 21"/>
    <w:basedOn w:val="1016"/>
    <w:next w:val="1015"/>
    <w:link w:val="961"/>
    <w:unhideWhenUsed/>
    <w:qFormat/>
    <w:pPr>
      <w:ind w:left="0" w:firstLine="420"/>
      <w:spacing w:after="0" w:line="360" w:lineRule="auto"/>
    </w:pPr>
    <w:rPr>
      <w:rFonts w:ascii="宋体" w:hAnsi="宋体"/>
      <w:szCs w:val="20"/>
    </w:rPr>
  </w:style>
  <w:style w:type="paragraph" w:styleId="1016">
    <w:name w:val="正文文本缩进11"/>
    <w:basedOn w:val="961"/>
    <w:next w:val="1016"/>
    <w:link w:val="961"/>
    <w:uiPriority w:val="99"/>
    <w:unhideWhenUsed/>
    <w:qFormat/>
    <w:pPr>
      <w:ind w:left="420"/>
      <w:spacing w:after="120"/>
    </w:pPr>
  </w:style>
  <w:style w:type="paragraph" w:styleId="1017">
    <w:name w:val="目录 51"/>
    <w:basedOn w:val="961"/>
    <w:next w:val="961"/>
    <w:link w:val="961"/>
    <w:uiPriority w:val="99"/>
    <w:qFormat/>
    <w:pPr>
      <w:ind w:left="800"/>
    </w:pPr>
    <w:rPr>
      <w:rFonts w:ascii="Calibri" w:hAnsi="Calibri"/>
      <w:szCs w:val="22"/>
    </w:rPr>
  </w:style>
  <w:style w:type="table" w:styleId="1018">
    <w:name w:val="Table Normal"/>
    <w:next w:val="1018"/>
    <w:link w:val="961"/>
    <w:unhideWhenUsed/>
    <w:qFormat/>
    <w:rPr>
      <w:rFonts w:ascii="Times New Roman" w:hAnsi="Times New Roman"/>
      <w:lang w:val="en-US" w:eastAsia="zh-CN" w:bidi="ar-SA"/>
    </w:rPr>
    <w:tblPr/>
  </w:style>
  <w:style w:type="paragraph" w:styleId="1019">
    <w:name w:val="Table Text"/>
    <w:basedOn w:val="961"/>
    <w:next w:val="1019"/>
    <w:link w:val="961"/>
    <w:semiHidden/>
    <w:qFormat/>
    <w:rPr>
      <w:rFonts w:ascii="宋体" w:hAnsi="宋体" w:cs="宋体"/>
      <w:lang w:eastAsia="en-US"/>
    </w:rPr>
  </w:style>
  <w:style w:type="character" w:styleId="1020">
    <w:name w:val="NormalCharacter1"/>
    <w:next w:val="1020"/>
    <w:link w:val="961"/>
    <w:qFormat/>
    <w:rPr>
      <w:rFonts w:ascii="Times New Roman" w:hAnsi="Times New Roman" w:eastAsia="宋体" w:cs="Times New Roman"/>
    </w:rPr>
  </w:style>
  <w:style w:type="character" w:styleId="1021">
    <w:name w:val="wx_text_underline"/>
    <w:basedOn w:val="964"/>
    <w:next w:val="1021"/>
    <w:link w:val="961"/>
  </w:style>
  <w:style w:type="paragraph" w:styleId="1022">
    <w:name w:val="标书一级编号"/>
    <w:basedOn w:val="961"/>
    <w:next w:val="1022"/>
    <w:link w:val="961"/>
    <w:qFormat/>
    <w:pPr>
      <w:numPr>
        <w:ilvl w:val="0"/>
        <w:numId w:val="2"/>
      </w:numPr>
      <w:spacing w:line="480" w:lineRule="exact"/>
      <w:tabs>
        <w:tab w:val="left" w:pos="1055" w:leader="none"/>
      </w:tabs>
      <w:outlineLvl w:val="2"/>
    </w:pPr>
    <w:rPr>
      <w:rFonts w:eastAsia="方正细等线_GBK"/>
      <w:b/>
    </w:rPr>
  </w:style>
  <w:style w:type="paragraph" w:styleId="1023">
    <w:name w:val="Other|1"/>
    <w:basedOn w:val="961"/>
    <w:next w:val="1023"/>
    <w:link w:val="961"/>
    <w:qFormat/>
    <w:pPr>
      <w:spacing w:line="270" w:lineRule="exact"/>
    </w:pPr>
    <w:rPr>
      <w:rFonts w:ascii="宋体" w:hAnsi="宋体" w:cs="宋体"/>
      <w:sz w:val="19"/>
      <w:szCs w:val="19"/>
      <w:lang w:val="zh-TW" w:eastAsia="zh-TW" w:bidi="zh-TW"/>
    </w:rPr>
  </w:style>
  <w:style w:type="character" w:styleId="1024">
    <w:name w:val="font01"/>
    <w:basedOn w:val="964"/>
    <w:next w:val="1024"/>
    <w:link w:val="961"/>
    <w:rPr>
      <w:rFonts w:ascii="方正仿宋_GBK" w:hAnsi="方正仿宋_GBK" w:eastAsia="方正仿宋_GBK" w:cs="方正仿宋_GBK"/>
      <w:color w:val="000000"/>
      <w:sz w:val="21"/>
      <w:szCs w:val="21"/>
      <w:u w:val="none"/>
    </w:rPr>
  </w:style>
  <w:style w:type="character" w:styleId="1025">
    <w:name w:val="font31"/>
    <w:basedOn w:val="964"/>
    <w:next w:val="1025"/>
    <w:link w:val="961"/>
    <w:qFormat/>
    <w:rPr>
      <w:rFonts w:ascii="Times New Roman" w:hAnsi="Times New Roman" w:cs="Times New Roman"/>
      <w:color w:val="000000"/>
      <w:sz w:val="21"/>
      <w:szCs w:val="21"/>
      <w:u w:val="none"/>
    </w:rPr>
  </w:style>
  <w:style w:type="character" w:styleId="1026" w:default="1">
    <w:name w:val="Default Paragraph Font"/>
    <w:uiPriority w:val="1"/>
    <w:semiHidden/>
    <w:unhideWhenUsed/>
  </w:style>
  <w:style w:type="numbering" w:styleId="1027" w:default="1">
    <w:name w:val="No List"/>
    <w:uiPriority w:val="99"/>
    <w:semiHidden/>
    <w:unhideWhenUsed/>
  </w:style>
  <w:style w:type="table" w:styleId="102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image" Target="media/image1.png"/><Relationship Id="rId15" Type="http://schemas.openxmlformats.org/officeDocument/2006/relationships/image" Target="media/image2.png"/><Relationship Id="rId16" Type="http://schemas.openxmlformats.org/officeDocument/2006/relationships/image" Target="media/image3.png"/><Relationship Id="rId17"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郁琴</cp:lastModifiedBy>
  <cp:revision>28</cp:revision>
  <dcterms:created xsi:type="dcterms:W3CDTF">2025-06-17T08:27:00Z</dcterms:created>
  <dcterms:modified xsi:type="dcterms:W3CDTF">2026-04-27T02:37:28Z</dcterms:modified>
  <cp:version>786432</cp:version>
</cp:coreProperties>
</file>