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D5C179">
      <w:pPr>
        <w:rPr>
          <w:rFonts w:hint="eastAsia" w:ascii="仿宋" w:hAnsi="仿宋" w:eastAsia="仿宋" w:cs="仿宋"/>
          <w:b/>
          <w:color w:val="auto"/>
          <w:sz w:val="72"/>
          <w:szCs w:val="72"/>
          <w:highlight w:val="none"/>
        </w:rPr>
      </w:pPr>
    </w:p>
    <w:p w14:paraId="5221FDC5">
      <w:pPr>
        <w:spacing w:line="1040" w:lineRule="exact"/>
        <w:jc w:val="center"/>
        <w:rPr>
          <w:rFonts w:hint="eastAsia" w:ascii="仿宋" w:hAnsi="仿宋" w:eastAsia="仿宋" w:cs="仿宋"/>
          <w:b/>
          <w:color w:val="auto"/>
          <w:sz w:val="72"/>
          <w:szCs w:val="72"/>
          <w:highlight w:val="none"/>
        </w:rPr>
      </w:pPr>
    </w:p>
    <w:p w14:paraId="536676AB">
      <w:pPr>
        <w:spacing w:line="1040" w:lineRule="exact"/>
        <w:jc w:val="center"/>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t>公 开 招 标 文 件</w:t>
      </w:r>
    </w:p>
    <w:p w14:paraId="03EC2A3F">
      <w:pPr>
        <w:tabs>
          <w:tab w:val="center" w:pos="4621"/>
        </w:tabs>
        <w:jc w:val="left"/>
        <w:rPr>
          <w:rFonts w:hint="eastAsia" w:ascii="仿宋" w:hAnsi="仿宋" w:eastAsia="仿宋" w:cs="仿宋"/>
          <w:b/>
          <w:color w:val="auto"/>
          <w:sz w:val="72"/>
          <w:highlight w:val="none"/>
        </w:rPr>
      </w:pPr>
    </w:p>
    <w:p w14:paraId="080F464B">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t xml:space="preserve"> </w:t>
      </w:r>
    </w:p>
    <w:p w14:paraId="73B18AC3">
      <w:pPr>
        <w:rPr>
          <w:rFonts w:hint="eastAsia" w:ascii="仿宋" w:hAnsi="仿宋" w:eastAsia="仿宋" w:cs="仿宋"/>
          <w:b/>
          <w:color w:val="auto"/>
          <w:sz w:val="32"/>
          <w:highlight w:val="none"/>
        </w:rPr>
      </w:pPr>
    </w:p>
    <w:p w14:paraId="78C64028">
      <w:pPr>
        <w:rPr>
          <w:rFonts w:hint="eastAsia" w:ascii="仿宋" w:hAnsi="仿宋" w:eastAsia="仿宋" w:cs="仿宋"/>
          <w:b/>
          <w:color w:val="auto"/>
          <w:sz w:val="32"/>
          <w:highlight w:val="none"/>
        </w:rPr>
      </w:pPr>
    </w:p>
    <w:p w14:paraId="73EC4FF6">
      <w:pPr>
        <w:rPr>
          <w:rFonts w:hint="eastAsia" w:ascii="仿宋" w:hAnsi="仿宋" w:eastAsia="仿宋" w:cs="仿宋"/>
          <w:b/>
          <w:color w:val="auto"/>
          <w:sz w:val="32"/>
          <w:highlight w:val="none"/>
        </w:rPr>
      </w:pPr>
    </w:p>
    <w:p w14:paraId="70FB911F">
      <w:pPr>
        <w:spacing w:line="760" w:lineRule="exact"/>
        <w:jc w:val="center"/>
        <w:rPr>
          <w:rFonts w:hint="default" w:ascii="仿宋" w:hAnsi="仿宋" w:eastAsia="仿宋" w:cs="仿宋"/>
          <w:b/>
          <w:color w:val="auto"/>
          <w:sz w:val="36"/>
          <w:szCs w:val="36"/>
          <w:highlight w:val="none"/>
          <w:lang w:val="en-US"/>
        </w:rPr>
      </w:pPr>
      <w:r>
        <w:rPr>
          <w:rFonts w:hint="eastAsia" w:ascii="仿宋" w:hAnsi="仿宋" w:eastAsia="仿宋" w:cs="仿宋"/>
          <w:b/>
          <w:color w:val="auto"/>
          <w:sz w:val="36"/>
          <w:szCs w:val="36"/>
          <w:highlight w:val="none"/>
          <w:lang w:val="en-US" w:eastAsia="zh-CN"/>
        </w:rPr>
        <w:t xml:space="preserve">     </w:t>
      </w:r>
      <w:r>
        <w:rPr>
          <w:rFonts w:hint="eastAsia" w:ascii="仿宋" w:hAnsi="仿宋" w:eastAsia="仿宋" w:cs="仿宋"/>
          <w:b/>
          <w:color w:val="auto"/>
          <w:sz w:val="36"/>
          <w:szCs w:val="36"/>
          <w:highlight w:val="none"/>
        </w:rPr>
        <w:t xml:space="preserve">项目名称: </w:t>
      </w:r>
      <w:r>
        <w:rPr>
          <w:rFonts w:hint="eastAsia" w:ascii="仿宋" w:hAnsi="仿宋" w:eastAsia="仿宋" w:cs="仿宋"/>
          <w:b/>
          <w:color w:val="auto"/>
          <w:spacing w:val="-6"/>
          <w:sz w:val="36"/>
          <w:szCs w:val="36"/>
          <w:highlight w:val="none"/>
          <w:lang w:val="en-US" w:eastAsia="zh-CN" w:bidi="ar-SA"/>
        </w:rPr>
        <w:t>淮安市清江浦区城南街道社区卫生服务中心 医疗设备采购项目</w:t>
      </w:r>
    </w:p>
    <w:p w14:paraId="768E64F8">
      <w:pPr>
        <w:spacing w:line="760" w:lineRule="exact"/>
        <w:ind w:firstLine="354"/>
        <w:rPr>
          <w:rFonts w:hint="eastAsia" w:ascii="仿宋" w:hAnsi="仿宋" w:eastAsia="仿宋" w:cs="仿宋"/>
          <w:b/>
          <w:color w:val="auto"/>
          <w:sz w:val="36"/>
          <w:szCs w:val="36"/>
          <w:highlight w:val="none"/>
        </w:rPr>
      </w:pPr>
    </w:p>
    <w:p w14:paraId="57327D79">
      <w:pPr>
        <w:spacing w:line="760" w:lineRule="exact"/>
        <w:rPr>
          <w:rFonts w:hint="eastAsia" w:ascii="仿宋" w:hAnsi="仿宋" w:eastAsia="仿宋" w:cs="仿宋"/>
          <w:b/>
          <w:color w:val="auto"/>
          <w:sz w:val="36"/>
          <w:highlight w:val="none"/>
        </w:rPr>
      </w:pPr>
    </w:p>
    <w:p w14:paraId="41090EBB">
      <w:pPr>
        <w:spacing w:line="760" w:lineRule="exact"/>
        <w:ind w:firstLine="1265"/>
        <w:rPr>
          <w:rFonts w:hint="eastAsia" w:ascii="仿宋" w:hAnsi="仿宋" w:eastAsia="仿宋" w:cs="仿宋"/>
          <w:b/>
          <w:color w:val="auto"/>
          <w:sz w:val="36"/>
          <w:highlight w:val="none"/>
          <w:lang w:eastAsia="zh-CN"/>
        </w:rPr>
      </w:pPr>
      <w:r>
        <w:rPr>
          <w:rFonts w:hint="eastAsia" w:ascii="仿宋" w:hAnsi="仿宋" w:eastAsia="仿宋" w:cs="仿宋"/>
          <w:b/>
          <w:color w:val="auto"/>
          <w:sz w:val="36"/>
          <w:highlight w:val="none"/>
          <w:lang w:eastAsia="zh-CN"/>
        </w:rPr>
        <w:t>项目编号:JSZC-320812-HAWS-G2026-0004</w:t>
      </w:r>
    </w:p>
    <w:p w14:paraId="7E69EDC3">
      <w:pPr>
        <w:ind w:left="-359" w:firstLine="360"/>
        <w:rPr>
          <w:rFonts w:hint="eastAsia" w:ascii="仿宋" w:hAnsi="仿宋" w:eastAsia="仿宋" w:cs="仿宋"/>
          <w:b/>
          <w:color w:val="auto"/>
          <w:sz w:val="32"/>
          <w:highlight w:val="none"/>
        </w:rPr>
      </w:pPr>
    </w:p>
    <w:p w14:paraId="69A75E2C">
      <w:pPr>
        <w:rPr>
          <w:rFonts w:hint="eastAsia" w:ascii="仿宋" w:hAnsi="仿宋" w:eastAsia="仿宋" w:cs="仿宋"/>
          <w:b/>
          <w:color w:val="auto"/>
          <w:sz w:val="32"/>
          <w:highlight w:val="none"/>
        </w:rPr>
      </w:pPr>
    </w:p>
    <w:p w14:paraId="5E0C2459">
      <w:pPr>
        <w:rPr>
          <w:rFonts w:hint="eastAsia" w:ascii="仿宋" w:hAnsi="仿宋" w:eastAsia="仿宋" w:cs="仿宋"/>
          <w:b/>
          <w:color w:val="auto"/>
          <w:sz w:val="32"/>
          <w:highlight w:val="none"/>
        </w:rPr>
      </w:pPr>
    </w:p>
    <w:p w14:paraId="5D2A6EEB">
      <w:pPr>
        <w:rPr>
          <w:rFonts w:hint="eastAsia" w:ascii="仿宋" w:hAnsi="仿宋" w:eastAsia="仿宋" w:cs="仿宋"/>
          <w:b/>
          <w:color w:val="auto"/>
          <w:sz w:val="32"/>
          <w:highlight w:val="none"/>
        </w:rPr>
      </w:pPr>
    </w:p>
    <w:p w14:paraId="36258CAB">
      <w:pPr>
        <w:spacing w:line="600" w:lineRule="exact"/>
        <w:jc w:val="center"/>
        <w:rPr>
          <w:rFonts w:hint="eastAsia" w:ascii="仿宋" w:hAnsi="仿宋" w:eastAsia="仿宋" w:cs="仿宋"/>
          <w:b/>
          <w:color w:val="auto"/>
          <w:sz w:val="36"/>
          <w:szCs w:val="36"/>
          <w:highlight w:val="none"/>
          <w:lang w:eastAsia="zh-CN"/>
        </w:rPr>
      </w:pPr>
      <w:r>
        <w:rPr>
          <w:rFonts w:hint="eastAsia" w:ascii="仿宋" w:hAnsi="仿宋" w:eastAsia="仿宋" w:cs="仿宋"/>
          <w:b/>
          <w:color w:val="auto"/>
          <w:sz w:val="36"/>
          <w:szCs w:val="36"/>
          <w:highlight w:val="none"/>
        </w:rPr>
        <w:t xml:space="preserve"> </w:t>
      </w:r>
      <w:r>
        <w:rPr>
          <w:rFonts w:hint="eastAsia" w:ascii="仿宋" w:hAnsi="仿宋" w:eastAsia="仿宋" w:cs="仿宋"/>
          <w:b/>
          <w:color w:val="auto"/>
          <w:sz w:val="36"/>
          <w:szCs w:val="36"/>
          <w:highlight w:val="none"/>
          <w:lang w:eastAsia="zh-CN"/>
        </w:rPr>
        <w:t>淮安万顺工程项目咨询管理有限公司</w:t>
      </w:r>
    </w:p>
    <w:p w14:paraId="11794B21">
      <w:pPr>
        <w:spacing w:line="600" w:lineRule="exact"/>
        <w:jc w:val="center"/>
        <w:rPr>
          <w:rFonts w:hint="eastAsia" w:ascii="仿宋" w:hAnsi="仿宋" w:eastAsia="仿宋" w:cs="仿宋"/>
          <w:b/>
          <w:color w:val="auto"/>
          <w:sz w:val="36"/>
          <w:szCs w:val="36"/>
          <w:highlight w:val="none"/>
        </w:rPr>
      </w:pPr>
    </w:p>
    <w:p w14:paraId="34ABBA61">
      <w:pPr>
        <w:tabs>
          <w:tab w:val="center" w:pos="5215"/>
        </w:tabs>
        <w:spacing w:line="600" w:lineRule="exact"/>
        <w:jc w:val="center"/>
        <w:rPr>
          <w:rFonts w:hint="eastAsia" w:ascii="仿宋" w:hAnsi="仿宋" w:eastAsia="仿宋" w:cs="仿宋"/>
          <w:b/>
          <w:color w:val="auto"/>
          <w:sz w:val="36"/>
          <w:szCs w:val="36"/>
          <w:highlight w:val="none"/>
        </w:rPr>
        <w:sectPr>
          <w:headerReference r:id="rId3" w:type="default"/>
          <w:pgSz w:w="11906" w:h="16838"/>
          <w:pgMar w:top="1440" w:right="1080" w:bottom="1440" w:left="1080" w:header="851" w:footer="992" w:gutter="0"/>
          <w:cols w:space="720" w:num="1"/>
          <w:docGrid w:linePitch="360" w:charSpace="0"/>
        </w:sectPr>
      </w:pPr>
      <w:r>
        <w:rPr>
          <w:rFonts w:hint="eastAsia" w:ascii="仿宋" w:hAnsi="仿宋" w:eastAsia="仿宋" w:cs="仿宋"/>
          <w:b/>
          <w:color w:val="auto"/>
          <w:sz w:val="36"/>
          <w:szCs w:val="36"/>
          <w:highlight w:val="none"/>
        </w:rPr>
        <w:t>二0二</w:t>
      </w:r>
      <w:r>
        <w:rPr>
          <w:rFonts w:hint="eastAsia" w:ascii="仿宋" w:hAnsi="仿宋" w:eastAsia="仿宋" w:cs="仿宋"/>
          <w:b/>
          <w:color w:val="auto"/>
          <w:sz w:val="36"/>
          <w:szCs w:val="36"/>
          <w:highlight w:val="none"/>
          <w:lang w:val="en-US" w:eastAsia="zh-CN"/>
        </w:rPr>
        <w:t>六</w:t>
      </w:r>
      <w:r>
        <w:rPr>
          <w:rFonts w:hint="eastAsia" w:ascii="仿宋" w:hAnsi="仿宋" w:eastAsia="仿宋" w:cs="仿宋"/>
          <w:b/>
          <w:color w:val="auto"/>
          <w:sz w:val="36"/>
          <w:szCs w:val="36"/>
          <w:highlight w:val="none"/>
        </w:rPr>
        <w:t>年</w:t>
      </w:r>
      <w:r>
        <w:rPr>
          <w:rFonts w:hint="eastAsia" w:ascii="仿宋" w:hAnsi="仿宋" w:eastAsia="仿宋" w:cs="仿宋"/>
          <w:b/>
          <w:color w:val="auto"/>
          <w:sz w:val="36"/>
          <w:szCs w:val="36"/>
          <w:highlight w:val="none"/>
          <w:lang w:val="en-US" w:eastAsia="zh-CN"/>
        </w:rPr>
        <w:t>四</w:t>
      </w:r>
      <w:r>
        <w:rPr>
          <w:rFonts w:hint="eastAsia" w:ascii="仿宋" w:hAnsi="仿宋" w:eastAsia="仿宋" w:cs="仿宋"/>
          <w:b/>
          <w:color w:val="auto"/>
          <w:sz w:val="36"/>
          <w:szCs w:val="36"/>
          <w:highlight w:val="none"/>
        </w:rPr>
        <w:t>月</w:t>
      </w:r>
    </w:p>
    <w:p w14:paraId="488A3DF2">
      <w:pPr>
        <w:spacing w:line="520" w:lineRule="exact"/>
        <w:jc w:val="center"/>
        <w:rPr>
          <w:rFonts w:hint="eastAsia" w:ascii="仿宋" w:hAnsi="仿宋" w:eastAsia="仿宋" w:cs="仿宋"/>
          <w:b/>
          <w:bCs/>
          <w:color w:val="auto"/>
          <w:sz w:val="48"/>
          <w:szCs w:val="48"/>
          <w:highlight w:val="none"/>
        </w:rPr>
      </w:pPr>
      <w:r>
        <w:rPr>
          <w:rFonts w:hint="eastAsia" w:ascii="仿宋" w:hAnsi="仿宋" w:eastAsia="仿宋" w:cs="仿宋"/>
          <w:b/>
          <w:bCs/>
          <w:color w:val="auto"/>
          <w:spacing w:val="-6"/>
          <w:sz w:val="48"/>
          <w:szCs w:val="48"/>
          <w:highlight w:val="none"/>
        </w:rPr>
        <w:t xml:space="preserve">总  目  </w:t>
      </w:r>
      <w:r>
        <w:rPr>
          <w:rFonts w:hint="eastAsia" w:ascii="仿宋" w:hAnsi="仿宋" w:eastAsia="仿宋" w:cs="仿宋"/>
          <w:b/>
          <w:bCs/>
          <w:color w:val="auto"/>
          <w:spacing w:val="-3"/>
          <w:sz w:val="48"/>
          <w:szCs w:val="48"/>
          <w:highlight w:val="none"/>
        </w:rPr>
        <w:t>录</w:t>
      </w:r>
    </w:p>
    <w:p w14:paraId="3A594A2F">
      <w:pPr>
        <w:pStyle w:val="13"/>
        <w:ind w:firstLine="0"/>
        <w:rPr>
          <w:rFonts w:hint="eastAsia" w:ascii="仿宋" w:hAnsi="仿宋" w:eastAsia="仿宋" w:cs="仿宋"/>
          <w:color w:val="auto"/>
          <w:highlight w:val="none"/>
        </w:rPr>
      </w:pPr>
    </w:p>
    <w:p w14:paraId="33D80800">
      <w:pPr>
        <w:spacing w:line="249" w:lineRule="auto"/>
        <w:rPr>
          <w:rFonts w:hint="eastAsia" w:ascii="仿宋" w:hAnsi="仿宋" w:eastAsia="仿宋" w:cs="仿宋"/>
          <w:color w:val="auto"/>
          <w:highlight w:val="none"/>
        </w:rPr>
      </w:pPr>
    </w:p>
    <w:p w14:paraId="05F29425">
      <w:pPr>
        <w:jc w:val="center"/>
        <w:rPr>
          <w:rFonts w:hint="eastAsia" w:ascii="仿宋" w:hAnsi="仿宋" w:eastAsia="仿宋" w:cs="仿宋"/>
          <w:color w:val="auto"/>
          <w:highlight w:val="none"/>
        </w:rPr>
      </w:pPr>
    </w:p>
    <w:p w14:paraId="12EFC306">
      <w:pPr>
        <w:pStyle w:val="302"/>
        <w:tabs>
          <w:tab w:val="right" w:leader="dot" w:pos="8442"/>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TOC \o "1-1" \h \u </w:instrText>
      </w:r>
      <w:r>
        <w:rPr>
          <w:rFonts w:hint="eastAsia" w:ascii="仿宋" w:hAnsi="仿宋" w:eastAsia="仿宋" w:cs="仿宋"/>
          <w:color w:val="auto"/>
          <w:highlight w:val="none"/>
        </w:rPr>
        <w:fldChar w:fldCharType="separate"/>
      </w:r>
    </w:p>
    <w:p w14:paraId="3969719E">
      <w:pPr>
        <w:spacing w:line="920" w:lineRule="exact"/>
        <w:ind w:firstLine="1807"/>
        <w:outlineLvl w:val="0"/>
        <w:rPr>
          <w:rFonts w:hint="eastAsia" w:ascii="仿宋" w:hAnsi="仿宋" w:eastAsia="仿宋" w:cs="仿宋"/>
          <w:b/>
          <w:bCs/>
          <w:color w:val="auto"/>
          <w:sz w:val="32"/>
          <w:highlight w:val="none"/>
        </w:rPr>
      </w:pPr>
      <w:r>
        <w:rPr>
          <w:rFonts w:hint="eastAsia" w:ascii="仿宋" w:hAnsi="仿宋" w:eastAsia="仿宋" w:cs="仿宋"/>
          <w:b/>
          <w:bCs/>
          <w:color w:val="auto"/>
          <w:sz w:val="36"/>
          <w:highlight w:val="none"/>
        </w:rPr>
        <w:t xml:space="preserve">第一章  投标邀请 </w:t>
      </w:r>
    </w:p>
    <w:p w14:paraId="685FE041">
      <w:pPr>
        <w:spacing w:line="920" w:lineRule="exact"/>
        <w:ind w:firstLine="1807"/>
        <w:outlineLvl w:val="0"/>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 xml:space="preserve">第二章  </w:t>
      </w:r>
      <w:r>
        <w:rPr>
          <w:rFonts w:hint="eastAsia" w:ascii="仿宋" w:hAnsi="仿宋" w:eastAsia="仿宋" w:cs="仿宋"/>
          <w:b/>
          <w:bCs/>
          <w:color w:val="auto"/>
          <w:sz w:val="36"/>
          <w:szCs w:val="36"/>
          <w:highlight w:val="none"/>
        </w:rPr>
        <w:t>投标人须知</w:t>
      </w:r>
      <w:r>
        <w:rPr>
          <w:rFonts w:hint="eastAsia" w:ascii="仿宋" w:hAnsi="仿宋" w:eastAsia="仿宋" w:cs="仿宋"/>
          <w:b/>
          <w:bCs/>
          <w:color w:val="auto"/>
          <w:sz w:val="36"/>
          <w:highlight w:val="none"/>
        </w:rPr>
        <w:t xml:space="preserve">  </w:t>
      </w:r>
    </w:p>
    <w:p w14:paraId="7E8F2E2B">
      <w:pPr>
        <w:spacing w:line="920" w:lineRule="exact"/>
        <w:ind w:firstLine="1807"/>
        <w:outlineLvl w:val="0"/>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 xml:space="preserve">第三章  </w:t>
      </w:r>
      <w:r>
        <w:rPr>
          <w:rFonts w:hint="eastAsia" w:ascii="仿宋" w:hAnsi="仿宋" w:eastAsia="仿宋" w:cs="仿宋"/>
          <w:b/>
          <w:color w:val="auto"/>
          <w:sz w:val="36"/>
          <w:szCs w:val="36"/>
          <w:highlight w:val="none"/>
        </w:rPr>
        <w:t>评标标准</w:t>
      </w:r>
    </w:p>
    <w:p w14:paraId="37E08C90">
      <w:pPr>
        <w:spacing w:line="920" w:lineRule="exact"/>
        <w:ind w:firstLine="1807"/>
        <w:outlineLvl w:val="0"/>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 xml:space="preserve">第四章  </w:t>
      </w:r>
      <w:r>
        <w:rPr>
          <w:rFonts w:hint="eastAsia" w:ascii="仿宋" w:hAnsi="仿宋" w:eastAsia="仿宋" w:cs="仿宋"/>
          <w:b/>
          <w:color w:val="auto"/>
          <w:sz w:val="36"/>
          <w:szCs w:val="36"/>
          <w:highlight w:val="none"/>
        </w:rPr>
        <w:t>合同格式及条款</w:t>
      </w:r>
    </w:p>
    <w:p w14:paraId="49298D31">
      <w:pPr>
        <w:spacing w:line="920" w:lineRule="exact"/>
        <w:ind w:firstLine="1807"/>
        <w:outlineLvl w:val="0"/>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 xml:space="preserve">第五章  </w:t>
      </w:r>
      <w:r>
        <w:rPr>
          <w:rFonts w:hint="eastAsia" w:ascii="仿宋" w:hAnsi="仿宋" w:eastAsia="仿宋" w:cs="仿宋"/>
          <w:b/>
          <w:bCs/>
          <w:color w:val="auto"/>
          <w:sz w:val="36"/>
          <w:szCs w:val="36"/>
          <w:highlight w:val="none"/>
        </w:rPr>
        <w:t>项目采购需求</w:t>
      </w:r>
    </w:p>
    <w:p w14:paraId="6D217267">
      <w:pPr>
        <w:spacing w:line="920" w:lineRule="exact"/>
        <w:ind w:firstLine="1807"/>
        <w:outlineLvl w:val="0"/>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第六章  投标文件格式</w:t>
      </w:r>
    </w:p>
    <w:p w14:paraId="5C1E3906">
      <w:pPr>
        <w:pStyle w:val="302"/>
        <w:tabs>
          <w:tab w:val="right" w:leader="dot" w:pos="8442"/>
        </w:tabs>
        <w:rPr>
          <w:rFonts w:hint="eastAsia" w:ascii="仿宋" w:hAnsi="仿宋" w:eastAsia="仿宋" w:cs="仿宋"/>
          <w:color w:val="auto"/>
          <w:highlight w:val="none"/>
        </w:rPr>
      </w:pPr>
    </w:p>
    <w:p w14:paraId="7F470E34">
      <w:pPr>
        <w:spacing w:line="520" w:lineRule="exact"/>
        <w:jc w:val="center"/>
        <w:rPr>
          <w:rFonts w:hint="eastAsia" w:ascii="仿宋" w:hAnsi="仿宋" w:eastAsia="仿宋" w:cs="仿宋"/>
          <w:color w:val="auto"/>
          <w:highlight w:val="none"/>
        </w:rPr>
        <w:sectPr>
          <w:pgSz w:w="11906" w:h="16838"/>
          <w:pgMar w:top="1440" w:right="1080" w:bottom="1440" w:left="1080" w:header="851" w:footer="992" w:gutter="0"/>
          <w:cols w:space="720" w:num="1"/>
          <w:docGrid w:linePitch="360" w:charSpace="0"/>
        </w:sectPr>
      </w:pPr>
      <w:r>
        <w:rPr>
          <w:rFonts w:hint="eastAsia" w:ascii="仿宋" w:hAnsi="仿宋" w:eastAsia="仿宋" w:cs="仿宋"/>
          <w:color w:val="auto"/>
          <w:highlight w:val="none"/>
        </w:rPr>
        <w:fldChar w:fldCharType="end"/>
      </w:r>
    </w:p>
    <w:p w14:paraId="55FB549A">
      <w:pPr>
        <w:spacing w:line="520" w:lineRule="exact"/>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第一章  投标邀请</w:t>
      </w:r>
    </w:p>
    <w:p w14:paraId="05C14F69">
      <w:pPr>
        <w:keepNext w:val="0"/>
        <w:keepLines w:val="0"/>
        <w:pageBreakBefore w:val="0"/>
        <w:widowControl w:val="0"/>
        <w:spacing w:line="324" w:lineRule="auto"/>
        <w:ind w:left="0" w:firstLine="560"/>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受</w:t>
      </w:r>
      <w:r>
        <w:rPr>
          <w:rFonts w:hint="eastAsia" w:ascii="仿宋" w:hAnsi="仿宋" w:eastAsia="仿宋" w:cs="仿宋"/>
          <w:b/>
          <w:bCs/>
          <w:color w:val="auto"/>
          <w:sz w:val="28"/>
          <w:highlight w:val="none"/>
          <w:lang w:eastAsia="zh-CN"/>
        </w:rPr>
        <w:t>淮安市清江浦区城南街道社区卫生服务中心</w:t>
      </w:r>
      <w:r>
        <w:rPr>
          <w:rFonts w:hint="eastAsia" w:ascii="仿宋" w:hAnsi="仿宋" w:eastAsia="仿宋" w:cs="仿宋"/>
          <w:color w:val="auto"/>
          <w:sz w:val="28"/>
          <w:highlight w:val="none"/>
        </w:rPr>
        <w:t>的委托，</w:t>
      </w:r>
      <w:r>
        <w:rPr>
          <w:rFonts w:hint="eastAsia" w:ascii="仿宋" w:hAnsi="仿宋" w:eastAsia="仿宋" w:cs="仿宋"/>
          <w:b/>
          <w:bCs/>
          <w:color w:val="auto"/>
          <w:sz w:val="28"/>
          <w:highlight w:val="none"/>
          <w:lang w:eastAsia="zh-CN"/>
        </w:rPr>
        <w:t>淮安万顺工程项目咨询管理有限公司</w:t>
      </w:r>
      <w:r>
        <w:rPr>
          <w:rFonts w:hint="eastAsia" w:ascii="仿宋" w:hAnsi="仿宋" w:eastAsia="仿宋" w:cs="仿宋"/>
          <w:color w:val="auto"/>
          <w:sz w:val="28"/>
          <w:highlight w:val="none"/>
        </w:rPr>
        <w:t>就</w:t>
      </w:r>
      <w:r>
        <w:rPr>
          <w:rFonts w:hint="eastAsia" w:ascii="仿宋" w:hAnsi="仿宋" w:eastAsia="仿宋" w:cs="仿宋"/>
          <w:b/>
          <w:bCs/>
          <w:color w:val="auto"/>
          <w:sz w:val="28"/>
          <w:highlight w:val="none"/>
          <w:lang w:eastAsia="zh-CN"/>
        </w:rPr>
        <w:t>淮安市清江浦区城南街道社区卫生服务中心医疗设备采购项目</w:t>
      </w:r>
      <w:r>
        <w:rPr>
          <w:rFonts w:hint="eastAsia" w:ascii="仿宋" w:hAnsi="仿宋" w:eastAsia="仿宋" w:cs="仿宋"/>
          <w:color w:val="auto"/>
          <w:sz w:val="28"/>
          <w:highlight w:val="none"/>
        </w:rPr>
        <w:t>进行公开招标采购，现邀请</w:t>
      </w:r>
      <w:r>
        <w:rPr>
          <w:rFonts w:hint="eastAsia" w:ascii="仿宋" w:hAnsi="仿宋" w:eastAsia="仿宋" w:cs="仿宋"/>
          <w:color w:val="auto"/>
          <w:sz w:val="28"/>
          <w:szCs w:val="28"/>
          <w:highlight w:val="none"/>
        </w:rPr>
        <w:t>符合条件的投标人参加投标</w:t>
      </w:r>
      <w:r>
        <w:rPr>
          <w:rFonts w:hint="eastAsia" w:ascii="仿宋" w:hAnsi="仿宋" w:eastAsia="仿宋" w:cs="仿宋"/>
          <w:color w:val="auto"/>
          <w:sz w:val="28"/>
          <w:highlight w:val="none"/>
        </w:rPr>
        <w:t>。</w:t>
      </w:r>
    </w:p>
    <w:p w14:paraId="068CDF8F">
      <w:pPr>
        <w:spacing w:line="500" w:lineRule="exact"/>
        <w:ind w:left="1" w:firstLine="53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-33655</wp:posOffset>
                </wp:positionH>
                <wp:positionV relativeFrom="paragraph">
                  <wp:posOffset>38100</wp:posOffset>
                </wp:positionV>
                <wp:extent cx="5831205" cy="1642110"/>
                <wp:effectExtent l="4445" t="4445" r="12700" b="10795"/>
                <wp:wrapNone/>
                <wp:docPr id="2" name="矩形 1"/>
                <wp:cNvGraphicFramePr/>
                <a:graphic xmlns:a="http://schemas.openxmlformats.org/drawingml/2006/main">
                  <a:graphicData uri="http://schemas.microsoft.com/office/word/2010/wordprocessingShape">
                    <wps:wsp>
                      <wps:cNvSpPr/>
                      <wps:spPr bwMode="auto">
                        <a:xfrm>
                          <a:off x="0" y="0"/>
                          <a:ext cx="5831205" cy="1642110"/>
                        </a:xfrm>
                        <a:prstGeom prst="rect">
                          <a:avLst/>
                        </a:prstGeom>
                        <a:solidFill>
                          <a:srgbClr val="FFFFFF"/>
                        </a:solidFill>
                        <a:ln>
                          <a:solidFill>
                            <a:srgbClr val="000000"/>
                          </a:solidFill>
                        </a:ln>
                      </wps:spPr>
                      <wps:txbx>
                        <w:txbxContent>
                          <w:p w14:paraId="07CD2252">
                            <w:pPr>
                              <w:keepNext w:val="0"/>
                              <w:keepLines w:val="0"/>
                              <w:pageBreakBefore w:val="0"/>
                              <w:widowControl w:val="0"/>
                              <w:spacing w:line="500" w:lineRule="exact"/>
                              <w:rPr>
                                <w:rFonts w:hint="eastAsia"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u w:val="single"/>
                                <w:lang w:eastAsia="zh-CN"/>
                              </w:rPr>
                              <w:t>淮安市清江浦区城南街道社区卫生服务中心医疗设备采购项目</w:t>
                            </w:r>
                            <w:r>
                              <w:rPr>
                                <w:rFonts w:hint="eastAsia" w:ascii="仿宋" w:hAnsi="仿宋" w:eastAsia="仿宋"/>
                                <w:sz w:val="28"/>
                                <w:szCs w:val="28"/>
                              </w:rPr>
                              <w:t>的潜在投标人应在淮安市政府采购网（</w:t>
                            </w:r>
                            <w:r>
                              <w:fldChar w:fldCharType="begin"/>
                            </w:r>
                            <w:r>
                              <w:instrText xml:space="preserve"> HYPERLINK "http://czj.huaian.gov.cn/col/13924_326175/index.html）自行免费下载招标文件，并于2025年" </w:instrText>
                            </w:r>
                            <w:r>
                              <w:fldChar w:fldCharType="separate"/>
                            </w:r>
                            <w:r>
                              <w:rPr>
                                <w:rFonts w:ascii="仿宋" w:hAnsi="仿宋" w:eastAsia="仿宋" w:cs="仿宋"/>
                                <w:i w:val="0"/>
                                <w:iCs w:val="0"/>
                                <w:caps w:val="0"/>
                                <w:color w:val="333333"/>
                                <w:spacing w:val="0"/>
                                <w:sz w:val="28"/>
                                <w:szCs w:val="28"/>
                                <w:shd w:val="clear" w:color="auto" w:fill="FFFFFF"/>
                              </w:rPr>
                              <w:t>http://czj.huaian.gov.cn/col/13924_326175/index.html</w:t>
                            </w:r>
                            <w:r>
                              <w:rPr>
                                <w:rFonts w:hint="eastAsia" w:ascii="仿宋" w:hAnsi="仿宋" w:eastAsia="仿宋"/>
                                <w:sz w:val="28"/>
                                <w:szCs w:val="28"/>
                              </w:rPr>
                              <w:t>）</w:t>
                            </w:r>
                            <w:r>
                              <w:rPr>
                                <w:rStyle w:val="56"/>
                                <w:rFonts w:hint="eastAsia" w:ascii="仿宋" w:hAnsi="仿宋" w:eastAsia="仿宋"/>
                                <w:color w:val="auto"/>
                                <w:sz w:val="28"/>
                                <w:szCs w:val="28"/>
                              </w:rPr>
                              <w:t>自行免费下载招标文件，并于202</w:t>
                            </w:r>
                            <w:r>
                              <w:rPr>
                                <w:rStyle w:val="56"/>
                                <w:rFonts w:hint="eastAsia" w:ascii="仿宋" w:hAnsi="仿宋" w:eastAsia="仿宋"/>
                                <w:color w:val="auto"/>
                                <w:sz w:val="28"/>
                                <w:szCs w:val="28"/>
                                <w:lang w:val="en-US" w:eastAsia="zh-CN"/>
                              </w:rPr>
                              <w:t>6</w:t>
                            </w:r>
                            <w:r>
                              <w:rPr>
                                <w:rStyle w:val="56"/>
                                <w:rFonts w:hint="eastAsia" w:ascii="仿宋" w:hAnsi="仿宋" w:eastAsia="仿宋"/>
                                <w:color w:val="auto"/>
                                <w:sz w:val="28"/>
                                <w:szCs w:val="28"/>
                              </w:rPr>
                              <w:t>年</w:t>
                            </w:r>
                            <w:r>
                              <w:rPr>
                                <w:rStyle w:val="56"/>
                                <w:rFonts w:hint="eastAsia" w:ascii="仿宋" w:hAnsi="仿宋" w:eastAsia="仿宋"/>
                                <w:color w:val="auto"/>
                                <w:sz w:val="28"/>
                                <w:szCs w:val="28"/>
                              </w:rPr>
                              <w:fldChar w:fldCharType="end"/>
                            </w:r>
                            <w:r>
                              <w:rPr>
                                <w:rFonts w:hint="eastAsia" w:ascii="仿宋" w:hAnsi="仿宋" w:eastAsia="仿宋"/>
                                <w:sz w:val="28"/>
                                <w:szCs w:val="28"/>
                                <w:lang w:val="en-US" w:eastAsia="zh-CN"/>
                              </w:rPr>
                              <w:t>5</w:t>
                            </w:r>
                            <w:r>
                              <w:rPr>
                                <w:rFonts w:hint="eastAsia" w:ascii="仿宋" w:hAnsi="仿宋" w:eastAsia="仿宋"/>
                                <w:sz w:val="28"/>
                                <w:szCs w:val="28"/>
                              </w:rPr>
                              <w:t>月</w:t>
                            </w:r>
                            <w:r>
                              <w:rPr>
                                <w:rFonts w:hint="eastAsia" w:ascii="仿宋" w:hAnsi="仿宋" w:eastAsia="仿宋"/>
                                <w:sz w:val="28"/>
                                <w:szCs w:val="28"/>
                                <w:lang w:val="en-US" w:eastAsia="zh-CN"/>
                              </w:rPr>
                              <w:t>18</w:t>
                            </w:r>
                            <w:r>
                              <w:rPr>
                                <w:rFonts w:hint="eastAsia" w:ascii="仿宋" w:hAnsi="仿宋" w:eastAsia="仿宋"/>
                                <w:sz w:val="28"/>
                                <w:szCs w:val="28"/>
                              </w:rPr>
                              <w:t>日</w:t>
                            </w:r>
                            <w:r>
                              <w:rPr>
                                <w:rFonts w:hint="eastAsia" w:ascii="仿宋" w:hAnsi="仿宋" w:eastAsia="仿宋"/>
                                <w:sz w:val="28"/>
                                <w:szCs w:val="28"/>
                                <w:lang w:val="en-US" w:eastAsia="zh-CN"/>
                              </w:rPr>
                              <w:t>上午9</w:t>
                            </w:r>
                            <w:r>
                              <w:rPr>
                                <w:rFonts w:hint="eastAsia" w:ascii="仿宋" w:hAnsi="仿宋" w:eastAsia="仿宋"/>
                                <w:sz w:val="28"/>
                                <w:szCs w:val="28"/>
                              </w:rPr>
                              <w:t>点</w:t>
                            </w:r>
                            <w:r>
                              <w:rPr>
                                <w:rFonts w:hint="eastAsia" w:ascii="仿宋" w:hAnsi="仿宋" w:eastAsia="仿宋"/>
                                <w:sz w:val="28"/>
                                <w:szCs w:val="28"/>
                                <w:lang w:val="en-US" w:eastAsia="zh-CN"/>
                              </w:rPr>
                              <w:t>30</w:t>
                            </w:r>
                            <w:r>
                              <w:rPr>
                                <w:rFonts w:hint="eastAsia" w:ascii="仿宋" w:hAnsi="仿宋" w:eastAsia="仿宋"/>
                                <w:sz w:val="28"/>
                                <w:szCs w:val="28"/>
                              </w:rPr>
                              <w:t>分（北京时间）前提交投标文件。</w:t>
                            </w:r>
                          </w:p>
                          <w:p w14:paraId="0C3A5EDB"/>
                        </w:txbxContent>
                      </wps:txbx>
                      <wps:bodyPr wrap="square" lIns="0" tIns="0" rIns="0" bIns="0" upright="1"/>
                    </wps:wsp>
                  </a:graphicData>
                </a:graphic>
              </wp:anchor>
            </w:drawing>
          </mc:Choice>
          <mc:Fallback>
            <w:pict>
              <v:rect id="矩形 1" o:spid="_x0000_s1026" o:spt="1" style="position:absolute;left:0pt;margin-left:-2.65pt;margin-top:3pt;height:129.3pt;width:459.15pt;z-index:251659264;mso-width-relative:page;mso-height-relative:page;" fillcolor="#FFFFFF" filled="t" stroked="t" coordsize="21600,21600" o:gfxdata="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6j5jt9oAAAAIAQAA&#10;DwAAAAAAAAABACAAAAAiAAAAZHJzL2Rvd25yZXYueG1sUEsBAhQAFAAAAAgAh07iQFR5QV3eAQAA&#10;1AMAAA4AAAAAAAAAAQAgAAAAKQEAAGRycy9lMm9Eb2MueG1sUEsFBgAAAAAGAAYAWQEAAHkFAAAA&#10;AA==&#10;">
                <v:fill on="t" focussize="0,0"/>
                <v:stroke color="#000000" joinstyle="round"/>
                <v:imagedata o:title=""/>
                <o:lock v:ext="edit" aspectratio="f"/>
                <v:textbox inset="0mm,0mm,0mm,0mm">
                  <w:txbxContent>
                    <w:p w14:paraId="07CD2252">
                      <w:pPr>
                        <w:keepNext w:val="0"/>
                        <w:keepLines w:val="0"/>
                        <w:pageBreakBefore w:val="0"/>
                        <w:widowControl w:val="0"/>
                        <w:spacing w:line="500" w:lineRule="exact"/>
                        <w:rPr>
                          <w:rFonts w:hint="eastAsia"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u w:val="single"/>
                          <w:lang w:eastAsia="zh-CN"/>
                        </w:rPr>
                        <w:t>淮安市清江浦区城南街道社区卫生服务中心医疗设备采购项目</w:t>
                      </w:r>
                      <w:r>
                        <w:rPr>
                          <w:rFonts w:hint="eastAsia" w:ascii="仿宋" w:hAnsi="仿宋" w:eastAsia="仿宋"/>
                          <w:sz w:val="28"/>
                          <w:szCs w:val="28"/>
                        </w:rPr>
                        <w:t>的潜在投标人应在淮安市政府采购网（</w:t>
                      </w:r>
                      <w:r>
                        <w:fldChar w:fldCharType="begin"/>
                      </w:r>
                      <w:r>
                        <w:instrText xml:space="preserve"> HYPERLINK "http://czj.huaian.gov.cn/col/13924_326175/index.html）自行免费下载招标文件，并于2025年" </w:instrText>
                      </w:r>
                      <w:r>
                        <w:fldChar w:fldCharType="separate"/>
                      </w:r>
                      <w:r>
                        <w:rPr>
                          <w:rFonts w:ascii="仿宋" w:hAnsi="仿宋" w:eastAsia="仿宋" w:cs="仿宋"/>
                          <w:i w:val="0"/>
                          <w:iCs w:val="0"/>
                          <w:caps w:val="0"/>
                          <w:color w:val="333333"/>
                          <w:spacing w:val="0"/>
                          <w:sz w:val="28"/>
                          <w:szCs w:val="28"/>
                          <w:shd w:val="clear" w:color="auto" w:fill="FFFFFF"/>
                        </w:rPr>
                        <w:t>http://czj.huaian.gov.cn/col/13924_326175/index.html</w:t>
                      </w:r>
                      <w:r>
                        <w:rPr>
                          <w:rFonts w:hint="eastAsia" w:ascii="仿宋" w:hAnsi="仿宋" w:eastAsia="仿宋"/>
                          <w:sz w:val="28"/>
                          <w:szCs w:val="28"/>
                        </w:rPr>
                        <w:t>）</w:t>
                      </w:r>
                      <w:r>
                        <w:rPr>
                          <w:rStyle w:val="56"/>
                          <w:rFonts w:hint="eastAsia" w:ascii="仿宋" w:hAnsi="仿宋" w:eastAsia="仿宋"/>
                          <w:color w:val="auto"/>
                          <w:sz w:val="28"/>
                          <w:szCs w:val="28"/>
                        </w:rPr>
                        <w:t>自行免费下载招标文件，并于202</w:t>
                      </w:r>
                      <w:r>
                        <w:rPr>
                          <w:rStyle w:val="56"/>
                          <w:rFonts w:hint="eastAsia" w:ascii="仿宋" w:hAnsi="仿宋" w:eastAsia="仿宋"/>
                          <w:color w:val="auto"/>
                          <w:sz w:val="28"/>
                          <w:szCs w:val="28"/>
                          <w:lang w:val="en-US" w:eastAsia="zh-CN"/>
                        </w:rPr>
                        <w:t>6</w:t>
                      </w:r>
                      <w:r>
                        <w:rPr>
                          <w:rStyle w:val="56"/>
                          <w:rFonts w:hint="eastAsia" w:ascii="仿宋" w:hAnsi="仿宋" w:eastAsia="仿宋"/>
                          <w:color w:val="auto"/>
                          <w:sz w:val="28"/>
                          <w:szCs w:val="28"/>
                        </w:rPr>
                        <w:t>年</w:t>
                      </w:r>
                      <w:r>
                        <w:rPr>
                          <w:rStyle w:val="56"/>
                          <w:rFonts w:hint="eastAsia" w:ascii="仿宋" w:hAnsi="仿宋" w:eastAsia="仿宋"/>
                          <w:color w:val="auto"/>
                          <w:sz w:val="28"/>
                          <w:szCs w:val="28"/>
                        </w:rPr>
                        <w:fldChar w:fldCharType="end"/>
                      </w:r>
                      <w:r>
                        <w:rPr>
                          <w:rFonts w:hint="eastAsia" w:ascii="仿宋" w:hAnsi="仿宋" w:eastAsia="仿宋"/>
                          <w:sz w:val="28"/>
                          <w:szCs w:val="28"/>
                          <w:lang w:val="en-US" w:eastAsia="zh-CN"/>
                        </w:rPr>
                        <w:t>5</w:t>
                      </w:r>
                      <w:r>
                        <w:rPr>
                          <w:rFonts w:hint="eastAsia" w:ascii="仿宋" w:hAnsi="仿宋" w:eastAsia="仿宋"/>
                          <w:sz w:val="28"/>
                          <w:szCs w:val="28"/>
                        </w:rPr>
                        <w:t>月</w:t>
                      </w:r>
                      <w:r>
                        <w:rPr>
                          <w:rFonts w:hint="eastAsia" w:ascii="仿宋" w:hAnsi="仿宋" w:eastAsia="仿宋"/>
                          <w:sz w:val="28"/>
                          <w:szCs w:val="28"/>
                          <w:lang w:val="en-US" w:eastAsia="zh-CN"/>
                        </w:rPr>
                        <w:t>18</w:t>
                      </w:r>
                      <w:r>
                        <w:rPr>
                          <w:rFonts w:hint="eastAsia" w:ascii="仿宋" w:hAnsi="仿宋" w:eastAsia="仿宋"/>
                          <w:sz w:val="28"/>
                          <w:szCs w:val="28"/>
                        </w:rPr>
                        <w:t>日</w:t>
                      </w:r>
                      <w:r>
                        <w:rPr>
                          <w:rFonts w:hint="eastAsia" w:ascii="仿宋" w:hAnsi="仿宋" w:eastAsia="仿宋"/>
                          <w:sz w:val="28"/>
                          <w:szCs w:val="28"/>
                          <w:lang w:val="en-US" w:eastAsia="zh-CN"/>
                        </w:rPr>
                        <w:t>上午9</w:t>
                      </w:r>
                      <w:r>
                        <w:rPr>
                          <w:rFonts w:hint="eastAsia" w:ascii="仿宋" w:hAnsi="仿宋" w:eastAsia="仿宋"/>
                          <w:sz w:val="28"/>
                          <w:szCs w:val="28"/>
                        </w:rPr>
                        <w:t>点</w:t>
                      </w:r>
                      <w:r>
                        <w:rPr>
                          <w:rFonts w:hint="eastAsia" w:ascii="仿宋" w:hAnsi="仿宋" w:eastAsia="仿宋"/>
                          <w:sz w:val="28"/>
                          <w:szCs w:val="28"/>
                          <w:lang w:val="en-US" w:eastAsia="zh-CN"/>
                        </w:rPr>
                        <w:t>30</w:t>
                      </w:r>
                      <w:r>
                        <w:rPr>
                          <w:rFonts w:hint="eastAsia" w:ascii="仿宋" w:hAnsi="仿宋" w:eastAsia="仿宋"/>
                          <w:sz w:val="28"/>
                          <w:szCs w:val="28"/>
                        </w:rPr>
                        <w:t>分（北京时间）前提交投标文件。</w:t>
                      </w:r>
                    </w:p>
                    <w:p w14:paraId="0C3A5EDB"/>
                  </w:txbxContent>
                </v:textbox>
              </v:rect>
            </w:pict>
          </mc:Fallback>
        </mc:AlternateContent>
      </w:r>
    </w:p>
    <w:p w14:paraId="2D2B1C83">
      <w:pPr>
        <w:spacing w:line="500" w:lineRule="exact"/>
        <w:ind w:left="1" w:firstLine="537"/>
        <w:rPr>
          <w:rFonts w:hint="eastAsia" w:ascii="仿宋" w:hAnsi="仿宋" w:eastAsia="仿宋" w:cs="仿宋"/>
          <w:color w:val="auto"/>
          <w:sz w:val="28"/>
          <w:szCs w:val="28"/>
          <w:highlight w:val="none"/>
        </w:rPr>
      </w:pPr>
    </w:p>
    <w:p w14:paraId="4E10B526">
      <w:pPr>
        <w:spacing w:line="500" w:lineRule="exact"/>
        <w:ind w:left="1" w:firstLine="537"/>
        <w:rPr>
          <w:rFonts w:hint="eastAsia" w:ascii="仿宋" w:hAnsi="仿宋" w:eastAsia="仿宋" w:cs="仿宋"/>
          <w:color w:val="auto"/>
          <w:sz w:val="28"/>
          <w:szCs w:val="28"/>
          <w:highlight w:val="none"/>
        </w:rPr>
      </w:pPr>
    </w:p>
    <w:p w14:paraId="16F679B7">
      <w:pPr>
        <w:spacing w:line="500" w:lineRule="exact"/>
        <w:ind w:left="1" w:firstLine="537"/>
        <w:rPr>
          <w:rFonts w:hint="eastAsia" w:ascii="仿宋" w:hAnsi="仿宋" w:eastAsia="仿宋" w:cs="仿宋"/>
          <w:color w:val="auto"/>
          <w:sz w:val="28"/>
          <w:szCs w:val="28"/>
          <w:highlight w:val="none"/>
        </w:rPr>
      </w:pPr>
    </w:p>
    <w:p w14:paraId="37449F00">
      <w:pPr>
        <w:spacing w:line="500" w:lineRule="exact"/>
        <w:ind w:firstLine="0"/>
        <w:outlineLvl w:val="0"/>
        <w:rPr>
          <w:rFonts w:hint="eastAsia" w:ascii="仿宋" w:hAnsi="仿宋" w:eastAsia="仿宋" w:cs="仿宋"/>
          <w:color w:val="auto"/>
          <w:sz w:val="28"/>
          <w:szCs w:val="28"/>
          <w:highlight w:val="none"/>
        </w:rPr>
      </w:pPr>
    </w:p>
    <w:p w14:paraId="1483F452">
      <w:pPr>
        <w:spacing w:line="500" w:lineRule="exact"/>
        <w:ind w:firstLine="560"/>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一、项目基本情况</w:t>
      </w:r>
    </w:p>
    <w:p w14:paraId="549BCD10">
      <w:pPr>
        <w:spacing w:line="500" w:lineRule="exact"/>
        <w:ind w:firstLine="565"/>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（一）</w:t>
      </w:r>
      <w:r>
        <w:rPr>
          <w:rFonts w:hint="eastAsia" w:ascii="仿宋" w:hAnsi="仿宋" w:eastAsia="仿宋" w:cs="仿宋"/>
          <w:color w:val="auto"/>
          <w:sz w:val="28"/>
          <w:szCs w:val="28"/>
          <w:highlight w:val="none"/>
          <w:lang w:eastAsia="zh-CN"/>
        </w:rPr>
        <w:t>项目编号:JSZC-320812-HAWS-G2026-0004</w:t>
      </w:r>
    </w:p>
    <w:p w14:paraId="73EAE6A4">
      <w:pPr>
        <w:spacing w:line="500" w:lineRule="exact"/>
        <w:ind w:firstLine="565"/>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（二）项目名称:</w:t>
      </w:r>
      <w:r>
        <w:rPr>
          <w:rFonts w:hint="eastAsia" w:ascii="仿宋" w:hAnsi="仿宋" w:eastAsia="仿宋" w:cs="仿宋"/>
          <w:color w:val="auto"/>
          <w:sz w:val="28"/>
          <w:szCs w:val="28"/>
          <w:highlight w:val="none"/>
          <w:lang w:eastAsia="zh-CN"/>
        </w:rPr>
        <w:t>淮安市清江浦区城南街道社区卫生服务中心医疗设备采购项目</w:t>
      </w:r>
    </w:p>
    <w:p w14:paraId="1544BAF2">
      <w:pPr>
        <w:spacing w:line="50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（三）预算金额</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271.8万元（其中包一：慢病筛防中心设备采购 76万元；包二：眼科设备采购80.9；包三：口腔颌面锥形束计算机体层摄影设备(口腔CT)采购35万元；包四：乳腺钼靶(DR)采购79.9万元）。</w:t>
      </w:r>
    </w:p>
    <w:p w14:paraId="6E350F38">
      <w:pPr>
        <w:spacing w:line="500" w:lineRule="exact"/>
        <w:ind w:firstLine="565"/>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（四）最高限价:</w:t>
      </w:r>
      <w:r>
        <w:rPr>
          <w:rFonts w:hint="eastAsia" w:ascii="仿宋" w:hAnsi="仿宋" w:eastAsia="仿宋" w:cs="仿宋"/>
          <w:color w:val="auto"/>
          <w:sz w:val="28"/>
          <w:szCs w:val="28"/>
          <w:highlight w:val="none"/>
          <w:lang w:val="en-US" w:eastAsia="zh-CN"/>
        </w:rPr>
        <w:t>271.8万元（其中包一：慢病筛防中心设备采购 76万元；包二：眼科设备采购80.9；包三：口腔颌面锥形束计算机体层摄影设备(口腔CT)采购35万元；包四：乳腺钼靶(DR)采购79.9万元）。</w:t>
      </w:r>
    </w:p>
    <w:p w14:paraId="2B51E397">
      <w:pPr>
        <w:spacing w:line="500" w:lineRule="exact"/>
        <w:ind w:firstLine="565"/>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lang w:eastAsia="zh-CN"/>
        </w:rPr>
        <w:t>（五）采购需求:</w:t>
      </w:r>
      <w:r>
        <w:rPr>
          <w:rFonts w:hint="eastAsia" w:ascii="仿宋" w:hAnsi="仿宋" w:eastAsia="仿宋" w:cs="仿宋"/>
          <w:color w:val="auto"/>
          <w:sz w:val="28"/>
          <w:szCs w:val="28"/>
          <w:highlight w:val="none"/>
          <w:lang w:val="en-US" w:eastAsia="zh-CN"/>
        </w:rPr>
        <w:t>淮安市清江浦区城南街道社区卫生服务中心医疗设备采购项目。</w:t>
      </w:r>
      <w:r>
        <w:rPr>
          <w:rFonts w:hint="default" w:ascii="仿宋" w:hAnsi="仿宋" w:eastAsia="仿宋" w:cs="仿宋"/>
          <w:b/>
          <w:bCs/>
          <w:color w:val="auto"/>
          <w:sz w:val="28"/>
          <w:szCs w:val="28"/>
          <w:highlight w:val="none"/>
          <w:lang w:val="en-US" w:eastAsia="zh-CN"/>
        </w:rPr>
        <w:t>投标人</w:t>
      </w:r>
      <w:r>
        <w:rPr>
          <w:rFonts w:hint="eastAsia" w:ascii="仿宋" w:hAnsi="仿宋" w:eastAsia="仿宋" w:cs="仿宋"/>
          <w:b/>
          <w:bCs/>
          <w:color w:val="auto"/>
          <w:sz w:val="28"/>
          <w:szCs w:val="28"/>
          <w:highlight w:val="none"/>
          <w:lang w:val="en-US" w:eastAsia="zh-CN"/>
        </w:rPr>
        <w:t>可以</w:t>
      </w:r>
      <w:r>
        <w:rPr>
          <w:rFonts w:hint="default" w:ascii="仿宋" w:hAnsi="仿宋" w:eastAsia="仿宋" w:cs="仿宋"/>
          <w:b/>
          <w:bCs/>
          <w:color w:val="auto"/>
          <w:sz w:val="28"/>
          <w:szCs w:val="28"/>
          <w:highlight w:val="none"/>
          <w:lang w:val="en-US" w:eastAsia="zh-CN"/>
        </w:rPr>
        <w:t>兼投多个包，</w:t>
      </w:r>
      <w:r>
        <w:rPr>
          <w:rFonts w:hint="eastAsia" w:ascii="仿宋" w:hAnsi="仿宋" w:eastAsia="仿宋" w:cs="仿宋"/>
          <w:b/>
          <w:bCs/>
          <w:color w:val="auto"/>
          <w:sz w:val="28"/>
          <w:szCs w:val="28"/>
          <w:highlight w:val="none"/>
          <w:lang w:val="en-US" w:eastAsia="zh-CN"/>
        </w:rPr>
        <w:t>但每个</w:t>
      </w:r>
      <w:r>
        <w:rPr>
          <w:rFonts w:hint="default" w:ascii="仿宋" w:hAnsi="仿宋" w:eastAsia="仿宋" w:cs="仿宋"/>
          <w:b/>
          <w:bCs/>
          <w:color w:val="auto"/>
          <w:sz w:val="28"/>
          <w:szCs w:val="28"/>
          <w:highlight w:val="none"/>
          <w:lang w:val="en-US" w:eastAsia="zh-CN"/>
        </w:rPr>
        <w:t>投标人</w:t>
      </w:r>
      <w:r>
        <w:rPr>
          <w:rFonts w:hint="eastAsia" w:ascii="仿宋" w:hAnsi="仿宋" w:eastAsia="仿宋" w:cs="仿宋"/>
          <w:b/>
          <w:bCs/>
          <w:color w:val="auto"/>
          <w:sz w:val="28"/>
          <w:szCs w:val="28"/>
          <w:highlight w:val="none"/>
          <w:lang w:val="en-US" w:eastAsia="zh-CN"/>
        </w:rPr>
        <w:t>只能中标一个采购包。</w:t>
      </w:r>
      <w:r>
        <w:rPr>
          <w:rFonts w:hint="default" w:ascii="仿宋" w:hAnsi="仿宋" w:eastAsia="仿宋" w:cs="仿宋"/>
          <w:b/>
          <w:bCs/>
          <w:color w:val="auto"/>
          <w:sz w:val="28"/>
          <w:szCs w:val="28"/>
          <w:highlight w:val="none"/>
          <w:lang w:val="en-US" w:eastAsia="zh-CN"/>
        </w:rPr>
        <w:t>投标人兼投多个包</w:t>
      </w:r>
      <w:r>
        <w:rPr>
          <w:rFonts w:hint="eastAsia" w:ascii="仿宋" w:hAnsi="仿宋" w:eastAsia="仿宋" w:cs="仿宋"/>
          <w:b/>
          <w:bCs/>
          <w:color w:val="auto"/>
          <w:sz w:val="28"/>
          <w:szCs w:val="28"/>
          <w:highlight w:val="none"/>
          <w:lang w:val="en-US" w:eastAsia="zh-CN"/>
        </w:rPr>
        <w:t>，</w:t>
      </w:r>
      <w:r>
        <w:rPr>
          <w:rFonts w:hint="default" w:ascii="仿宋" w:hAnsi="仿宋" w:eastAsia="仿宋" w:cs="仿宋"/>
          <w:b/>
          <w:bCs/>
          <w:color w:val="auto"/>
          <w:sz w:val="28"/>
          <w:szCs w:val="28"/>
          <w:highlight w:val="none"/>
          <w:lang w:val="en-US" w:eastAsia="zh-CN"/>
        </w:rPr>
        <w:t>投标人</w:t>
      </w:r>
      <w:r>
        <w:rPr>
          <w:rFonts w:hint="eastAsia" w:ascii="仿宋" w:hAnsi="仿宋" w:eastAsia="仿宋" w:cs="仿宋"/>
          <w:b/>
          <w:bCs/>
          <w:color w:val="auto"/>
          <w:sz w:val="28"/>
          <w:szCs w:val="28"/>
          <w:highlight w:val="none"/>
          <w:lang w:val="en-US" w:eastAsia="zh-CN"/>
        </w:rPr>
        <w:t>应按包上传电子投标文件，</w:t>
      </w:r>
      <w:r>
        <w:rPr>
          <w:rFonts w:hint="default" w:ascii="仿宋" w:hAnsi="仿宋" w:eastAsia="仿宋" w:cs="仿宋"/>
          <w:b/>
          <w:bCs/>
          <w:color w:val="auto"/>
          <w:sz w:val="28"/>
          <w:szCs w:val="28"/>
          <w:highlight w:val="none"/>
          <w:lang w:val="en-US" w:eastAsia="zh-CN"/>
        </w:rPr>
        <w:t>不得将两个</w:t>
      </w:r>
      <w:r>
        <w:rPr>
          <w:rFonts w:hint="eastAsia" w:ascii="仿宋" w:hAnsi="仿宋" w:eastAsia="仿宋" w:cs="仿宋"/>
          <w:b/>
          <w:bCs/>
          <w:color w:val="auto"/>
          <w:sz w:val="28"/>
          <w:szCs w:val="28"/>
          <w:highlight w:val="none"/>
          <w:lang w:val="en-US" w:eastAsia="zh-CN"/>
        </w:rPr>
        <w:t>或多个</w:t>
      </w:r>
      <w:r>
        <w:rPr>
          <w:rFonts w:hint="default" w:ascii="仿宋" w:hAnsi="仿宋" w:eastAsia="仿宋" w:cs="仿宋"/>
          <w:b/>
          <w:bCs/>
          <w:color w:val="auto"/>
          <w:sz w:val="28"/>
          <w:szCs w:val="28"/>
          <w:highlight w:val="none"/>
          <w:lang w:val="en-US" w:eastAsia="zh-CN"/>
        </w:rPr>
        <w:t>包的投标文件上传在同一个电子投标文件中</w:t>
      </w:r>
      <w:r>
        <w:rPr>
          <w:rFonts w:hint="eastAsia" w:ascii="仿宋" w:hAnsi="仿宋" w:eastAsia="仿宋" w:cs="仿宋"/>
          <w:b/>
          <w:bCs/>
          <w:color w:val="auto"/>
          <w:sz w:val="28"/>
          <w:szCs w:val="28"/>
          <w:highlight w:val="none"/>
          <w:lang w:val="en-US" w:eastAsia="zh-CN"/>
        </w:rPr>
        <w:t>。</w:t>
      </w:r>
      <w:r>
        <w:rPr>
          <w:rFonts w:hint="eastAsia" w:ascii="仿宋" w:hAnsi="仿宋" w:eastAsia="仿宋" w:cs="仿宋"/>
          <w:color w:val="auto"/>
          <w:sz w:val="28"/>
          <w:szCs w:val="28"/>
          <w:highlight w:val="none"/>
          <w:lang w:eastAsia="zh-CN"/>
        </w:rPr>
        <w:t>具体内容见招标文件第四章“项目采购需求”。</w:t>
      </w:r>
    </w:p>
    <w:p w14:paraId="16405286">
      <w:pPr>
        <w:spacing w:line="500" w:lineRule="exact"/>
        <w:ind w:firstLine="565"/>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（六）合同履行期限: </w:t>
      </w:r>
      <w:r>
        <w:rPr>
          <w:rFonts w:hint="eastAsia" w:ascii="仿宋" w:hAnsi="仿宋" w:eastAsia="仿宋" w:cs="仿宋"/>
          <w:color w:val="auto"/>
          <w:sz w:val="28"/>
          <w:szCs w:val="28"/>
          <w:highlight w:val="none"/>
          <w:lang w:val="en-US" w:eastAsia="zh-CN"/>
        </w:rPr>
        <w:t>合同签订之日起30天内完成供货并安装调试到位。</w:t>
      </w:r>
      <w:r>
        <w:rPr>
          <w:rFonts w:hint="eastAsia" w:ascii="仿宋" w:hAnsi="仿宋" w:eastAsia="仿宋" w:cs="仿宋"/>
          <w:color w:val="auto"/>
          <w:sz w:val="28"/>
          <w:szCs w:val="28"/>
          <w:highlight w:val="none"/>
          <w:lang w:eastAsia="zh-CN"/>
        </w:rPr>
        <w:t xml:space="preserve">  </w:t>
      </w:r>
    </w:p>
    <w:p w14:paraId="100150DB">
      <w:pPr>
        <w:spacing w:line="500" w:lineRule="exact"/>
        <w:ind w:firstLine="565"/>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（七）本项目（□是☑否）接受联合体投标。</w:t>
      </w:r>
    </w:p>
    <w:p w14:paraId="1095B80F">
      <w:pPr>
        <w:spacing w:line="500" w:lineRule="exact"/>
        <w:ind w:firstLine="565"/>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（八）本项目采购标的对应的中小企业划分标准所属行业为</w:t>
      </w:r>
      <w:r>
        <w:rPr>
          <w:rFonts w:hint="eastAsia" w:ascii="仿宋" w:hAnsi="仿宋" w:eastAsia="仿宋" w:cs="仿宋"/>
          <w:color w:val="auto"/>
          <w:sz w:val="28"/>
          <w:szCs w:val="28"/>
          <w:highlight w:val="none"/>
          <w:u w:val="single"/>
          <w:lang w:eastAsia="zh-CN"/>
        </w:rPr>
        <w:t>工业</w:t>
      </w:r>
      <w:r>
        <w:rPr>
          <w:rFonts w:hint="eastAsia" w:ascii="仿宋" w:hAnsi="仿宋" w:eastAsia="仿宋" w:cs="仿宋"/>
          <w:color w:val="auto"/>
          <w:sz w:val="28"/>
          <w:szCs w:val="28"/>
          <w:highlight w:val="none"/>
          <w:lang w:eastAsia="zh-CN"/>
        </w:rPr>
        <w:t>。</w:t>
      </w:r>
    </w:p>
    <w:p w14:paraId="43421680">
      <w:pPr>
        <w:spacing w:line="500" w:lineRule="exact"/>
        <w:ind w:firstLine="560"/>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二、申请人的资格要求:</w:t>
      </w:r>
      <w:r>
        <w:rPr>
          <w:rFonts w:hint="eastAsia" w:ascii="仿宋" w:hAnsi="仿宋" w:eastAsia="仿宋" w:cs="仿宋"/>
          <w:b/>
          <w:bCs/>
          <w:color w:val="auto"/>
          <w:sz w:val="28"/>
          <w:szCs w:val="28"/>
          <w:highlight w:val="none"/>
        </w:rPr>
        <w:t>(各采购包均适用）</w:t>
      </w:r>
    </w:p>
    <w:p w14:paraId="26A1F72F">
      <w:pPr>
        <w:spacing w:line="50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（一）符合《中华人民共和国政府采购法》第二十二条规定；</w:t>
      </w:r>
    </w:p>
    <w:p w14:paraId="129D922F">
      <w:pPr>
        <w:spacing w:line="500" w:lineRule="exact"/>
        <w:ind w:left="55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（二）落实政府采购政策需满足的资格要求:</w:t>
      </w:r>
    </w:p>
    <w:p w14:paraId="457B9F14">
      <w:pPr>
        <w:spacing w:line="500" w:lineRule="exact"/>
        <w:ind w:firstLine="56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本项目</w:t>
      </w:r>
      <w:r>
        <w:rPr>
          <w:rFonts w:hint="eastAsia" w:ascii="仿宋" w:hAnsi="仿宋" w:eastAsia="仿宋" w:cs="仿宋"/>
          <w:color w:val="auto"/>
          <w:sz w:val="28"/>
          <w:szCs w:val="28"/>
          <w:highlight w:val="none"/>
        </w:rPr>
        <w:t>按照</w:t>
      </w:r>
      <w:r>
        <w:rPr>
          <w:rFonts w:hint="eastAsia" w:ascii="仿宋" w:hAnsi="仿宋" w:eastAsia="仿宋" w:cs="仿宋"/>
          <w:color w:val="auto"/>
          <w:sz w:val="28"/>
          <w:szCs w:val="28"/>
          <w:highlight w:val="none"/>
          <w:lang w:val="zh-CN"/>
        </w:rPr>
        <w:t>以下第</w:t>
      </w:r>
      <w:r>
        <w:rPr>
          <w:rFonts w:hint="eastAsia" w:ascii="仿宋" w:hAnsi="仿宋" w:eastAsia="仿宋" w:cs="仿宋"/>
          <w:color w:val="auto"/>
          <w:sz w:val="28"/>
          <w:szCs w:val="28"/>
          <w:highlight w:val="none"/>
          <w:u w:val="single"/>
          <w:lang w:val="en-US" w:eastAsia="zh-CN"/>
        </w:rPr>
        <w:t>3</w:t>
      </w:r>
      <w:r>
        <w:rPr>
          <w:rFonts w:hint="eastAsia" w:ascii="仿宋" w:hAnsi="仿宋" w:eastAsia="仿宋" w:cs="仿宋"/>
          <w:color w:val="auto"/>
          <w:sz w:val="28"/>
          <w:szCs w:val="28"/>
          <w:highlight w:val="none"/>
          <w:lang w:val="zh-CN"/>
        </w:rPr>
        <w:t>种方式落实政府采购促进中小企业发展的要求：</w:t>
      </w:r>
    </w:p>
    <w:p w14:paraId="52FF278A">
      <w:pPr>
        <w:spacing w:line="500" w:lineRule="exact"/>
        <w:ind w:firstLine="56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1、本项目为专门面向中小企业采购的项目。</w:t>
      </w:r>
    </w:p>
    <w:p w14:paraId="1C1627D5">
      <w:pPr>
        <w:spacing w:line="500" w:lineRule="exact"/>
        <w:ind w:firstLine="56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zh-CN"/>
        </w:rPr>
        <w:t>本项目通过以下第（）种方式预留部分采购份额</w:t>
      </w:r>
      <w:r>
        <w:rPr>
          <w:rFonts w:hint="eastAsia" w:ascii="仿宋" w:hAnsi="仿宋" w:eastAsia="仿宋" w:cs="仿宋"/>
          <w:color w:val="auto"/>
          <w:sz w:val="28"/>
          <w:szCs w:val="28"/>
          <w:highlight w:val="none"/>
        </w:rPr>
        <w:t>采购</w:t>
      </w:r>
      <w:r>
        <w:rPr>
          <w:rFonts w:hint="eastAsia" w:ascii="仿宋" w:hAnsi="仿宋" w:eastAsia="仿宋" w:cs="仿宋"/>
          <w:color w:val="auto"/>
          <w:sz w:val="28"/>
          <w:szCs w:val="28"/>
          <w:highlight w:val="none"/>
          <w:lang w:val="zh-CN"/>
        </w:rPr>
        <w:t>中小企业</w:t>
      </w:r>
      <w:r>
        <w:rPr>
          <w:rFonts w:hint="eastAsia" w:ascii="仿宋" w:hAnsi="仿宋" w:eastAsia="仿宋" w:cs="仿宋"/>
          <w:color w:val="auto"/>
          <w:sz w:val="28"/>
          <w:szCs w:val="28"/>
          <w:highlight w:val="none"/>
        </w:rPr>
        <w:t>服务</w:t>
      </w:r>
      <w:r>
        <w:rPr>
          <w:rFonts w:hint="eastAsia" w:ascii="仿宋" w:hAnsi="仿宋" w:eastAsia="仿宋" w:cs="仿宋"/>
          <w:color w:val="auto"/>
          <w:sz w:val="28"/>
          <w:szCs w:val="28"/>
          <w:highlight w:val="none"/>
          <w:lang w:val="zh-CN"/>
        </w:rPr>
        <w:t>：</w:t>
      </w:r>
    </w:p>
    <w:p w14:paraId="0CF9828C">
      <w:pPr>
        <w:spacing w:line="500" w:lineRule="exact"/>
        <w:ind w:firstLine="56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（1）本项目要求供应商以联合体形式参加，中小企业合同金额应当达到的比例为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zh-CN"/>
        </w:rPr>
        <w:t>，其中小微企业所占比例应为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zh-CN"/>
        </w:rPr>
        <w:t>（两项比例均应符合《政府采购促进中小企业发展管理办法》第八条规定）。</w:t>
      </w:r>
    </w:p>
    <w:p w14:paraId="608AB276">
      <w:pPr>
        <w:spacing w:line="500" w:lineRule="exact"/>
        <w:ind w:firstLine="56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（2）本项目要求供应商进行合同分包，中小企业合同金额应当达到的比例为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zh-CN"/>
        </w:rPr>
        <w:t>，其中小微企业所占比例应为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zh-CN"/>
        </w:rPr>
        <w:t>（两项比例均应符合《政府采购促进中小企业发展管理办法》第八条规定）。</w:t>
      </w:r>
    </w:p>
    <w:p w14:paraId="7E9E6AA1">
      <w:pPr>
        <w:spacing w:line="500" w:lineRule="exact"/>
        <w:ind w:firstLine="56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3、本项目为非预留份额的采购项目，</w:t>
      </w:r>
      <w:r>
        <w:rPr>
          <w:rFonts w:hint="eastAsia" w:ascii="仿宋" w:hAnsi="仿宋" w:eastAsia="仿宋" w:cs="仿宋"/>
          <w:color w:val="auto"/>
          <w:sz w:val="28"/>
          <w:szCs w:val="28"/>
          <w:highlight w:val="none"/>
        </w:rPr>
        <w:t>对小微企业报价给予扣除，用扣除后的价格参加评审，具体详见第二章“投标人须知”第33.1项</w:t>
      </w:r>
      <w:r>
        <w:rPr>
          <w:rFonts w:hint="eastAsia" w:ascii="仿宋" w:hAnsi="仿宋" w:eastAsia="仿宋" w:cs="仿宋"/>
          <w:color w:val="auto"/>
          <w:sz w:val="28"/>
          <w:szCs w:val="28"/>
          <w:highlight w:val="none"/>
          <w:lang w:val="zh-CN"/>
        </w:rPr>
        <w:t>。</w:t>
      </w:r>
    </w:p>
    <w:p w14:paraId="39299F71">
      <w:pPr>
        <w:spacing w:line="500" w:lineRule="exact"/>
        <w:ind w:firstLine="56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注:</w:t>
      </w:r>
      <w:r>
        <w:rPr>
          <w:rFonts w:hint="eastAsia" w:ascii="仿宋" w:hAnsi="仿宋" w:eastAsia="仿宋" w:cs="仿宋"/>
          <w:color w:val="auto"/>
          <w:sz w:val="28"/>
          <w:szCs w:val="28"/>
          <w:highlight w:val="none"/>
          <w:lang w:val="zh-CN"/>
        </w:rPr>
        <w:t>监狱企业、残疾人福利性单位视同小微企业；符合中小企业划分标准的个体工商户，在政府采购活动中视同中小企业，享受政府采购支持中小企业发展政策。</w:t>
      </w:r>
    </w:p>
    <w:p w14:paraId="33DA31F8">
      <w:pPr>
        <w:numPr>
          <w:ilvl w:val="0"/>
          <w:numId w:val="0"/>
        </w:numPr>
        <w:spacing w:line="500" w:lineRule="exact"/>
        <w:ind w:firstLine="56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bidi="ar-SA"/>
        </w:rPr>
        <w:t>（三）</w:t>
      </w:r>
      <w:r>
        <w:rPr>
          <w:rFonts w:hint="eastAsia" w:ascii="仿宋" w:hAnsi="仿宋" w:eastAsia="仿宋" w:cs="仿宋"/>
          <w:b/>
          <w:bCs/>
          <w:color w:val="auto"/>
          <w:sz w:val="28"/>
          <w:szCs w:val="28"/>
          <w:highlight w:val="none"/>
        </w:rPr>
        <w:t>本项目的特定资格要求:</w:t>
      </w:r>
    </w:p>
    <w:p w14:paraId="7DDA1FB3">
      <w:pPr>
        <w:keepNext w:val="0"/>
        <w:keepLines w:val="0"/>
        <w:pageBreakBefore w:val="0"/>
        <w:widowControl w:val="0"/>
        <w:spacing w:line="324" w:lineRule="auto"/>
        <w:ind w:left="0" w:firstLine="56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1.投标人</w:t>
      </w:r>
      <w:r>
        <w:rPr>
          <w:rFonts w:hint="eastAsia" w:ascii="仿宋" w:hAnsi="仿宋" w:eastAsia="仿宋" w:cs="仿宋"/>
          <w:color w:val="auto"/>
          <w:sz w:val="28"/>
          <w:szCs w:val="28"/>
          <w:highlight w:val="none"/>
          <w:lang w:val="zh-CN"/>
        </w:rPr>
        <w:t>所投医疗器械产品必须要有有效期内的</w:t>
      </w:r>
      <w:r>
        <w:rPr>
          <w:rFonts w:hint="eastAsia" w:ascii="仿宋" w:hAnsi="仿宋" w:eastAsia="仿宋" w:cs="Times New Roman"/>
          <w:color w:val="auto"/>
          <w:sz w:val="28"/>
          <w:szCs w:val="28"/>
          <w:highlight w:val="none"/>
          <w:lang w:val="zh-CN"/>
        </w:rPr>
        <w:t>《医疗器械产品注册证》</w:t>
      </w:r>
      <w:r>
        <w:rPr>
          <w:rFonts w:hint="eastAsia" w:ascii="仿宋" w:hAnsi="仿宋" w:eastAsia="仿宋" w:cs="仿宋"/>
          <w:color w:val="auto"/>
          <w:sz w:val="28"/>
          <w:szCs w:val="28"/>
          <w:highlight w:val="none"/>
          <w:lang w:val="zh-CN"/>
        </w:rPr>
        <w:t>；</w:t>
      </w:r>
    </w:p>
    <w:p w14:paraId="0FBB44BF">
      <w:pPr>
        <w:keepNext w:val="0"/>
        <w:keepLines w:val="0"/>
        <w:pageBreakBefore w:val="0"/>
        <w:widowControl w:val="0"/>
        <w:spacing w:line="324" w:lineRule="auto"/>
        <w:ind w:left="0" w:firstLine="56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2.投标人若为医疗器械设备制造商须提供有效期内的</w:t>
      </w:r>
      <w:r>
        <w:rPr>
          <w:rFonts w:hint="eastAsia" w:ascii="仿宋" w:hAnsi="仿宋" w:eastAsia="仿宋" w:cs="Times New Roman"/>
          <w:color w:val="auto"/>
          <w:sz w:val="28"/>
          <w:szCs w:val="28"/>
          <w:highlight w:val="none"/>
        </w:rPr>
        <w:t>《医疗器械生产许可证》</w:t>
      </w:r>
      <w:r>
        <w:rPr>
          <w:rFonts w:hint="eastAsia" w:ascii="仿宋" w:hAnsi="仿宋" w:eastAsia="仿宋" w:cs="仿宋"/>
          <w:color w:val="auto"/>
          <w:sz w:val="28"/>
          <w:szCs w:val="28"/>
          <w:highlight w:val="none"/>
          <w:lang w:val="en-US" w:eastAsia="zh-CN"/>
        </w:rPr>
        <w:t>；投标人</w:t>
      </w:r>
      <w:r>
        <w:rPr>
          <w:rFonts w:hint="eastAsia" w:ascii="仿宋" w:hAnsi="仿宋" w:eastAsia="仿宋" w:cs="仿宋"/>
          <w:color w:val="auto"/>
          <w:sz w:val="28"/>
          <w:szCs w:val="28"/>
          <w:highlight w:val="none"/>
          <w:lang w:val="zh-CN"/>
        </w:rPr>
        <w:t>如所投医疗器械产品非自己制造，</w:t>
      </w:r>
      <w:r>
        <w:rPr>
          <w:rFonts w:hint="eastAsia" w:ascii="仿宋" w:hAnsi="仿宋" w:eastAsia="仿宋" w:cs="Times New Roman"/>
          <w:color w:val="auto"/>
          <w:sz w:val="28"/>
          <w:szCs w:val="28"/>
          <w:highlight w:val="none"/>
        </w:rPr>
        <w:t>须提供食品药品监督管理部门核发的</w:t>
      </w:r>
      <w:r>
        <w:rPr>
          <w:rFonts w:hint="eastAsia" w:ascii="仿宋" w:hAnsi="仿宋" w:eastAsia="仿宋" w:cs="仿宋"/>
          <w:color w:val="auto"/>
          <w:sz w:val="28"/>
          <w:szCs w:val="28"/>
          <w:highlight w:val="none"/>
          <w:lang w:val="zh-CN"/>
        </w:rPr>
        <w:t>有效期内的</w:t>
      </w:r>
      <w:r>
        <w:rPr>
          <w:rFonts w:hint="eastAsia" w:ascii="仿宋" w:hAnsi="仿宋" w:eastAsia="仿宋" w:cs="Times New Roman"/>
          <w:color w:val="auto"/>
          <w:sz w:val="28"/>
          <w:szCs w:val="28"/>
          <w:highlight w:val="none"/>
        </w:rPr>
        <w:t>《医疗器械经营许可证》或《医疗器械经营备案凭证》</w:t>
      </w:r>
      <w:r>
        <w:rPr>
          <w:rFonts w:hint="eastAsia" w:ascii="仿宋" w:hAnsi="仿宋" w:eastAsia="仿宋" w:cs="仿宋"/>
          <w:color w:val="auto"/>
          <w:sz w:val="28"/>
          <w:szCs w:val="28"/>
          <w:highlight w:val="none"/>
          <w:lang w:val="en-US" w:eastAsia="zh-CN"/>
        </w:rPr>
        <w:t>；</w:t>
      </w:r>
    </w:p>
    <w:p w14:paraId="64C53406">
      <w:pPr>
        <w:spacing w:line="50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（四）拒绝下述条件的供应商参加本次采购活动:</w:t>
      </w:r>
    </w:p>
    <w:p w14:paraId="77D23971">
      <w:pPr>
        <w:spacing w:line="50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1、供应商单位负责人为同一人或者存在直接控股、管理关系的不同供应商，不得同时参加同一合同项下的政府采购活动。</w:t>
      </w:r>
    </w:p>
    <w:p w14:paraId="7649657E">
      <w:pPr>
        <w:spacing w:line="500" w:lineRule="exact"/>
        <w:ind w:firstLine="560"/>
        <w:rPr>
          <w:rFonts w:hint="eastAsia" w:ascii="仿宋" w:hAnsi="仿宋" w:eastAsia="仿宋" w:cs="仿宋"/>
          <w:b/>
          <w:i/>
          <w:color w:val="auto"/>
          <w:sz w:val="28"/>
          <w:szCs w:val="28"/>
          <w:highlight w:val="none"/>
        </w:rPr>
      </w:pPr>
      <w:r>
        <w:rPr>
          <w:rFonts w:hint="eastAsia" w:ascii="仿宋" w:hAnsi="仿宋" w:eastAsia="仿宋" w:cs="仿宋"/>
          <w:color w:val="auto"/>
          <w:sz w:val="28"/>
          <w:szCs w:val="28"/>
          <w:highlight w:val="none"/>
        </w:rPr>
        <w:t>2、凡为采购项目提供整体设计、规范编制或者项目管理、监理、检测等服务的供应商，不得再参加本项目的采购活动。</w:t>
      </w:r>
    </w:p>
    <w:p w14:paraId="36804153">
      <w:pPr>
        <w:spacing w:line="50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3、投标人被“信用中国”网站、“中国政府采购网”列入失信被执行人、重大税收违法案件当事人名单、政府采购严重违法失信行为记录名单。</w:t>
      </w:r>
    </w:p>
    <w:p w14:paraId="02432579">
      <w:pPr>
        <w:spacing w:line="500" w:lineRule="exact"/>
        <w:ind w:firstLine="560"/>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三、获取招标文件</w:t>
      </w:r>
    </w:p>
    <w:p w14:paraId="39524A0B">
      <w:pPr>
        <w:spacing w:line="50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（一）时间:自本招标公告发布之日起五个工作日。</w:t>
      </w:r>
    </w:p>
    <w:p w14:paraId="6141DABA">
      <w:pPr>
        <w:spacing w:line="50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（二）方式：在“淮安市政府采购网”自行免费下载招标文件。</w:t>
      </w:r>
    </w:p>
    <w:p w14:paraId="620AF1D8">
      <w:pPr>
        <w:spacing w:line="500" w:lineRule="exact"/>
        <w:ind w:firstLine="560"/>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四、提交投标文件截止时间、开标时间和地点</w:t>
      </w:r>
    </w:p>
    <w:p w14:paraId="28E84A2E">
      <w:pPr>
        <w:spacing w:line="500" w:lineRule="exact"/>
        <w:ind w:firstLine="56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（一）投标文件提交截止时间及开标时间:202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18</w:t>
      </w: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lang w:val="en-US" w:eastAsia="zh-CN"/>
        </w:rPr>
        <w:t>上午9</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 xml:space="preserve"> 30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北京时间</w:t>
      </w:r>
      <w:r>
        <w:rPr>
          <w:rFonts w:hint="eastAsia" w:ascii="仿宋" w:hAnsi="仿宋" w:eastAsia="仿宋" w:cs="仿宋"/>
          <w:color w:val="auto"/>
          <w:sz w:val="28"/>
          <w:szCs w:val="28"/>
          <w:highlight w:val="none"/>
          <w:lang w:eastAsia="zh-CN"/>
        </w:rPr>
        <w:t>）</w:t>
      </w:r>
    </w:p>
    <w:p w14:paraId="2CF108CB">
      <w:pPr>
        <w:spacing w:line="50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（二）投标文件上传地址：“苏采云”政府采购交易系统网上开标大厅。</w:t>
      </w:r>
    </w:p>
    <w:p w14:paraId="30FAEBC2">
      <w:pPr>
        <w:spacing w:line="500" w:lineRule="exact"/>
        <w:ind w:firstLine="560"/>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五、公告期限</w:t>
      </w:r>
    </w:p>
    <w:p w14:paraId="2D626EF2">
      <w:pPr>
        <w:spacing w:line="50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自本公告发布之日起五个工作日。</w:t>
      </w:r>
    </w:p>
    <w:p w14:paraId="75D9FB4F">
      <w:pPr>
        <w:spacing w:line="500" w:lineRule="exact"/>
        <w:ind w:firstLine="560"/>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六、其他补充事宜</w:t>
      </w:r>
    </w:p>
    <w:p w14:paraId="4BD7712E">
      <w:pPr>
        <w:spacing w:line="50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本项目仅采购非进口产品（注:本文件所称进口产品是指通过中国海关报关验放进入中国境内且产自关境外的产品）。</w:t>
      </w:r>
    </w:p>
    <w:p w14:paraId="064C77A0">
      <w:pPr>
        <w:spacing w:line="500" w:lineRule="exact"/>
        <w:ind w:firstLine="560"/>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七、对本次采购提出询问，请按以下方式联系。</w:t>
      </w:r>
    </w:p>
    <w:p w14:paraId="09C62BBE">
      <w:pPr>
        <w:spacing w:line="50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1、采购人联系方式</w:t>
      </w:r>
    </w:p>
    <w:p w14:paraId="225B3B74">
      <w:pPr>
        <w:spacing w:line="500" w:lineRule="exact"/>
        <w:ind w:firstLine="560"/>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名称:</w:t>
      </w:r>
      <w:r>
        <w:rPr>
          <w:rFonts w:hint="eastAsia" w:ascii="仿宋" w:hAnsi="仿宋" w:eastAsia="仿宋" w:cs="仿宋"/>
          <w:bCs/>
          <w:color w:val="auto"/>
          <w:sz w:val="28"/>
          <w:szCs w:val="28"/>
          <w:highlight w:val="none"/>
          <w:lang w:eastAsia="zh-CN"/>
        </w:rPr>
        <w:t>淮安市清江浦区城南街道社区卫生服务中心</w:t>
      </w:r>
    </w:p>
    <w:p w14:paraId="4CB050FD">
      <w:pPr>
        <w:spacing w:line="500" w:lineRule="exact"/>
        <w:ind w:firstLine="565"/>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地址：清江浦区城南街道关城社区服务中心北侧（枚乘路）</w:t>
      </w:r>
    </w:p>
    <w:p w14:paraId="419BB0B4">
      <w:pPr>
        <w:spacing w:line="500" w:lineRule="exact"/>
        <w:ind w:firstLine="565"/>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联系人：吕主任       联系电话：0517-89221201 </w:t>
      </w:r>
    </w:p>
    <w:p w14:paraId="34A44C9F">
      <w:pPr>
        <w:spacing w:line="50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2、采购代理机构信息</w:t>
      </w:r>
    </w:p>
    <w:p w14:paraId="4B19BC34">
      <w:pPr>
        <w:spacing w:line="500" w:lineRule="exact"/>
        <w:ind w:firstLine="56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名称:</w:t>
      </w:r>
      <w:r>
        <w:rPr>
          <w:rFonts w:hint="eastAsia" w:ascii="仿宋" w:hAnsi="仿宋" w:eastAsia="仿宋" w:cs="仿宋"/>
          <w:color w:val="auto"/>
          <w:sz w:val="28"/>
          <w:szCs w:val="28"/>
          <w:highlight w:val="none"/>
          <w:lang w:eastAsia="zh-CN"/>
        </w:rPr>
        <w:t>淮安万顺工程项目咨询管理有限公司</w:t>
      </w:r>
    </w:p>
    <w:p w14:paraId="1816F955">
      <w:pPr>
        <w:spacing w:line="500" w:lineRule="exact"/>
        <w:ind w:firstLine="565"/>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地址：淮安市淮阴区淮海北路668号曼度广场B座7楼</w:t>
      </w:r>
    </w:p>
    <w:p w14:paraId="27FA3A54">
      <w:pPr>
        <w:spacing w:line="500" w:lineRule="exact"/>
        <w:ind w:firstLine="565"/>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联系方式：葛工</w:t>
      </w:r>
    </w:p>
    <w:p w14:paraId="1365F016">
      <w:pPr>
        <w:spacing w:line="500" w:lineRule="exact"/>
        <w:ind w:firstLine="565"/>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联系电话：15861726668</w:t>
      </w:r>
    </w:p>
    <w:p w14:paraId="56B24CF3">
      <w:pPr>
        <w:spacing w:line="500" w:lineRule="exact"/>
        <w:ind w:firstLine="565"/>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八、其他</w:t>
      </w:r>
    </w:p>
    <w:p w14:paraId="5E166572">
      <w:pPr>
        <w:spacing w:line="500" w:lineRule="exact"/>
        <w:ind w:firstLine="56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 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p>
    <w:p w14:paraId="3F96204A">
      <w:pPr>
        <w:spacing w:line="50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14:paraId="07514704">
      <w:pPr>
        <w:spacing w:line="50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 有关本次招标的事项若存在变动或修改，敬请及时关注</w:t>
      </w:r>
      <w:r>
        <w:rPr>
          <w:rFonts w:hint="eastAsia" w:ascii="仿宋" w:hAnsi="仿宋" w:eastAsia="仿宋" w:cs="仿宋"/>
          <w:color w:val="auto"/>
          <w:sz w:val="28"/>
          <w:szCs w:val="28"/>
          <w:highlight w:val="none"/>
          <w:lang w:eastAsia="zh-CN"/>
        </w:rPr>
        <w:t>淮安万顺工程项目咨询管理有限公司</w:t>
      </w:r>
      <w:r>
        <w:rPr>
          <w:rFonts w:hint="eastAsia" w:ascii="仿宋" w:hAnsi="仿宋" w:eastAsia="仿宋" w:cs="仿宋"/>
          <w:color w:val="auto"/>
          <w:sz w:val="28"/>
          <w:szCs w:val="28"/>
          <w:highlight w:val="none"/>
        </w:rPr>
        <w:t>在“淮安市政府采购网”发布的更正公告。</w:t>
      </w:r>
    </w:p>
    <w:p w14:paraId="1D45996A">
      <w:pPr>
        <w:spacing w:line="50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 本次招标不收取投标保证金。</w:t>
      </w:r>
    </w:p>
    <w:p w14:paraId="597639C9">
      <w:pPr>
        <w:spacing w:line="520" w:lineRule="exact"/>
        <w:jc w:val="center"/>
        <w:rPr>
          <w:rFonts w:hint="eastAsia" w:ascii="仿宋" w:hAnsi="仿宋" w:eastAsia="仿宋" w:cs="仿宋"/>
          <w:b/>
          <w:color w:val="auto"/>
          <w:sz w:val="36"/>
          <w:szCs w:val="36"/>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b/>
          <w:color w:val="auto"/>
          <w:sz w:val="36"/>
          <w:szCs w:val="36"/>
          <w:highlight w:val="none"/>
        </w:rPr>
        <w:t>第二章  投标人须知</w:t>
      </w:r>
    </w:p>
    <w:p w14:paraId="68D68960">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一、总则</w:t>
      </w:r>
    </w:p>
    <w:p w14:paraId="2E3A2CF3">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1.适用范围</w:t>
      </w:r>
    </w:p>
    <w:p w14:paraId="0A616E3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本招标文件仅适用于本次投标邀请中所述项目的采购。</w:t>
      </w:r>
    </w:p>
    <w:p w14:paraId="571BFC31">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2.合格的投标人</w:t>
      </w:r>
    </w:p>
    <w:p w14:paraId="178A4948">
      <w:pPr>
        <w:spacing w:line="520" w:lineRule="exact"/>
        <w:ind w:firstLine="55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 满足第一章投标邀请中投标人资格要求的规定。 </w:t>
      </w:r>
    </w:p>
    <w:p w14:paraId="3BEEE411">
      <w:pPr>
        <w:spacing w:line="520" w:lineRule="exact"/>
        <w:ind w:firstLine="55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 满足招标文件中实质性条款的规定。</w:t>
      </w:r>
    </w:p>
    <w:p w14:paraId="1767A1E5">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3.适用法律</w:t>
      </w:r>
    </w:p>
    <w:p w14:paraId="5131655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3.1 《中华人民共和国政府采购法》、《中华人民共和国政府采购法实施条例》、《政府采购货物和服务招标投标管理办法》等有关法律、规章和规定等。</w:t>
      </w:r>
    </w:p>
    <w:p w14:paraId="7632E45F">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4.投标费用</w:t>
      </w:r>
    </w:p>
    <w:p w14:paraId="19C683F5">
      <w:pPr>
        <w:spacing w:line="520" w:lineRule="exact"/>
        <w:ind w:firstLine="55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4.1 投标人应自行承担所有与参加投标有关的费用。不论投标的结果如何，</w:t>
      </w:r>
      <w:r>
        <w:rPr>
          <w:rFonts w:hint="eastAsia" w:ascii="仿宋" w:hAnsi="仿宋" w:eastAsia="仿宋" w:cs="仿宋"/>
          <w:color w:val="auto"/>
          <w:sz w:val="28"/>
          <w:szCs w:val="28"/>
          <w:highlight w:val="none"/>
          <w:lang w:eastAsia="zh-CN"/>
        </w:rPr>
        <w:t>淮安万顺工程项目咨询管理有限公司</w:t>
      </w:r>
      <w:r>
        <w:rPr>
          <w:rFonts w:hint="eastAsia" w:ascii="仿宋" w:hAnsi="仿宋" w:eastAsia="仿宋" w:cs="仿宋"/>
          <w:color w:val="auto"/>
          <w:sz w:val="28"/>
          <w:szCs w:val="28"/>
          <w:highlight w:val="none"/>
        </w:rPr>
        <w:t>在任何情况下均无义务和责任承担这些费用。</w:t>
      </w:r>
    </w:p>
    <w:p w14:paraId="2FA0D3E3">
      <w:pPr>
        <w:spacing w:line="520" w:lineRule="exact"/>
        <w:ind w:firstLine="55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4.2 代理费计取标准：按苏招协〔2022〕002号江苏省招标代理服务收费的指导意见计取。因此各供应商在报价时必须将咨询费用包含在磋商报价中，不需单独列项计取。</w:t>
      </w:r>
    </w:p>
    <w:p w14:paraId="773652EE">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二、招标文件</w:t>
      </w:r>
    </w:p>
    <w:p w14:paraId="068144C8">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5.招标文件由以下部分组成:</w:t>
      </w:r>
    </w:p>
    <w:p w14:paraId="54F3509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5.1 投标邀请</w:t>
      </w:r>
    </w:p>
    <w:p w14:paraId="151E426E">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5.2 投标人须知</w:t>
      </w:r>
    </w:p>
    <w:p w14:paraId="0BB21F9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5.3 合同文本</w:t>
      </w:r>
    </w:p>
    <w:p w14:paraId="0A4061B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5.4 项目采购需求</w:t>
      </w:r>
    </w:p>
    <w:p w14:paraId="1589CEA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5.5 评标方法与评标标准</w:t>
      </w:r>
    </w:p>
    <w:p w14:paraId="1F628237">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5.6 投标文件</w:t>
      </w:r>
    </w:p>
    <w:p w14:paraId="6397A265">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6.招标文件的澄清</w:t>
      </w:r>
    </w:p>
    <w:p w14:paraId="22DB34DE">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6.1 任何要求对招标文件进行澄清的投标人，均应在投标截止时间十日前通过以书面形式并加盖公章通知采购人，采购人对投标截止时间前十日收到的任何澄清要求将以书面形式予以答复。</w:t>
      </w:r>
    </w:p>
    <w:p w14:paraId="5BB113A9">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7.招标文件的更正或补充</w:t>
      </w:r>
    </w:p>
    <w:p w14:paraId="44D42AB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7.1 在投标截止时间十五日前，采购人可主动或在解答投标人提出的澄清问题时对招标文件用更正公告的方式进行修正。</w:t>
      </w:r>
    </w:p>
    <w:p w14:paraId="4E033C5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7.2 对招标文件的更正将在淮安市政府采购网、淮安市公共资源交易中心等网站进行公告，更正公告将作为招标文件的组成部分，对所有参加本次投标的投标人都具有约束力。</w:t>
      </w:r>
    </w:p>
    <w:p w14:paraId="431A469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7.3为使投标人有足够的时间按招标文件的更正要求修正投标文件，采购人有权按照相关法定的要求推迟投标截止时间和开标日期。 </w:t>
      </w:r>
    </w:p>
    <w:p w14:paraId="6D2CD6AF">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三、投标文件的编制</w:t>
      </w:r>
    </w:p>
    <w:p w14:paraId="2164B01F">
      <w:pPr>
        <w:spacing w:line="520" w:lineRule="exact"/>
        <w:rPr>
          <w:rFonts w:hint="eastAsia" w:ascii="仿宋" w:hAnsi="仿宋" w:eastAsia="仿宋" w:cs="仿宋"/>
          <w:color w:val="auto"/>
          <w:sz w:val="28"/>
          <w:szCs w:val="28"/>
          <w:highlight w:val="none"/>
        </w:rPr>
      </w:pPr>
      <w:bookmarkStart w:id="0" w:name="_Toc513029214"/>
      <w:bookmarkStart w:id="1" w:name="_Toc20823286"/>
      <w:bookmarkStart w:id="2" w:name="_Toc462564073"/>
      <w:bookmarkStart w:id="3" w:name="_Toc16938530"/>
      <w:r>
        <w:rPr>
          <w:rFonts w:hint="eastAsia" w:ascii="仿宋" w:hAnsi="仿宋" w:eastAsia="仿宋" w:cs="仿宋"/>
          <w:color w:val="auto"/>
          <w:sz w:val="28"/>
          <w:szCs w:val="28"/>
          <w:highlight w:val="none"/>
        </w:rPr>
        <w:t>8.投标文件的语言及度量衡单位</w:t>
      </w:r>
      <w:bookmarkEnd w:id="0"/>
      <w:bookmarkEnd w:id="1"/>
      <w:bookmarkEnd w:id="2"/>
      <w:bookmarkEnd w:id="3"/>
    </w:p>
    <w:p w14:paraId="0F8F9C9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8.1 投标人提交的投标文件以及投标人与采购人或</w:t>
      </w:r>
      <w:r>
        <w:rPr>
          <w:rFonts w:hint="eastAsia" w:ascii="仿宋" w:hAnsi="仿宋" w:eastAsia="仿宋" w:cs="仿宋"/>
          <w:color w:val="auto"/>
          <w:sz w:val="28"/>
          <w:szCs w:val="28"/>
          <w:highlight w:val="none"/>
          <w:lang w:val="en-US" w:eastAsia="zh-CN"/>
        </w:rPr>
        <w:t>采购代理机构</w:t>
      </w:r>
      <w:r>
        <w:rPr>
          <w:rFonts w:hint="eastAsia" w:ascii="仿宋" w:hAnsi="仿宋" w:eastAsia="仿宋" w:cs="仿宋"/>
          <w:color w:val="auto"/>
          <w:sz w:val="28"/>
          <w:szCs w:val="28"/>
          <w:highlight w:val="none"/>
        </w:rPr>
        <w:t>就有关投标的所有来往通知、函件和文件均应使用简体中文。</w:t>
      </w:r>
    </w:p>
    <w:p w14:paraId="5575F0D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8.2 除技术性能另有规定外，投标文件所使用的度量衡单位，均须采用国家法定计量单位。</w:t>
      </w:r>
    </w:p>
    <w:p w14:paraId="7E0B348B">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9.投标文件构成</w:t>
      </w:r>
    </w:p>
    <w:p w14:paraId="229F90D7">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9.1 投标人编写的投标文件应包括资格证明文件、符合性证明文件、投标分项报价表、技术要求响应及偏离表、其他证明文件、投标函、开标一览表等部分。</w:t>
      </w:r>
      <w:r>
        <w:rPr>
          <w:rFonts w:hint="eastAsia" w:ascii="仿宋" w:hAnsi="仿宋" w:eastAsia="仿宋" w:cs="仿宋"/>
          <w:color w:val="auto"/>
          <w:sz w:val="28"/>
          <w:szCs w:val="28"/>
          <w:highlight w:val="none"/>
          <w:lang w:val="zh-CN"/>
        </w:rPr>
        <w:t>请投标人根据本招标文件的要求在指定模块中上传响应的投标材料，未按招标文件要求在指定模块上传响应的投标材料的，</w:t>
      </w:r>
      <w:r>
        <w:rPr>
          <w:rFonts w:hint="eastAsia" w:ascii="仿宋" w:hAnsi="仿宋" w:eastAsia="仿宋" w:cs="仿宋"/>
          <w:color w:val="auto"/>
          <w:sz w:val="28"/>
          <w:szCs w:val="28"/>
          <w:highlight w:val="none"/>
        </w:rPr>
        <w:t>视同未提交该投标材料处理。</w:t>
      </w:r>
    </w:p>
    <w:p w14:paraId="2B5E2C6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9.2 如标书制作工具中格式和内容与“淮安市政府采购网”发布的招标文件不一致，请以“淮安市政府采购网”发布的招标文件为准。</w:t>
      </w:r>
    </w:p>
    <w:p w14:paraId="7ADC2D5F">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10.证明投标人及投标标的符合招标文件规定的文件</w:t>
      </w:r>
    </w:p>
    <w:p w14:paraId="56382B5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10.1 投标人应按照招标文件要求提交证明文件，证明其及投标标的符合招标文件规定。</w:t>
      </w:r>
    </w:p>
    <w:p w14:paraId="18E82BA4">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10.2招标文件对证明文件无明确形式要求的，证明文件可以以文字资料、图纸和数据等形式提交。</w:t>
      </w:r>
    </w:p>
    <w:p w14:paraId="53496C4E">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11.投标分项报价表</w:t>
      </w:r>
    </w:p>
    <w:p w14:paraId="5C3083CD">
      <w:pPr>
        <w:spacing w:line="520" w:lineRule="exact"/>
        <w:ind w:firstLine="560"/>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28"/>
          <w:szCs w:val="28"/>
          <w:highlight w:val="none"/>
        </w:rPr>
        <w:t>11.1</w:t>
      </w:r>
      <w:r>
        <w:rPr>
          <w:rFonts w:hint="eastAsia" w:ascii="仿宋" w:hAnsi="仿宋" w:eastAsia="仿宋" w:cs="仿宋"/>
          <w:b/>
          <w:bCs/>
          <w:color w:val="auto"/>
          <w:sz w:val="28"/>
          <w:szCs w:val="28"/>
          <w:highlight w:val="none"/>
          <w:lang w:val="en-US" w:eastAsia="zh-CN"/>
        </w:rPr>
        <w:t>（包一、二适用）本项目采用总承包方式，投标人的报价应包含货物设计、制造、包装、仓储、运输装卸、保险、安装、调试及其材料及验收合格之前保管及保修期内备品备件、专用工具、伴随服务、技术图纸资料、人员培训发生的所有含税费用、支付给员工的工资和国家强制缴纳的各种社会保障资金等，以及与本项目有关的所有费用。</w:t>
      </w:r>
      <w:r>
        <w:rPr>
          <w:rFonts w:hint="eastAsia" w:ascii="仿宋" w:hAnsi="仿宋" w:eastAsia="仿宋" w:cs="仿宋"/>
          <w:b/>
          <w:bCs/>
          <w:color w:val="auto"/>
          <w:sz w:val="28"/>
          <w:szCs w:val="28"/>
          <w:highlight w:val="none"/>
          <w:lang w:val="zh-CN" w:eastAsia="zh-CN"/>
        </w:rPr>
        <w:t>投标人所报总价</w:t>
      </w:r>
      <w:r>
        <w:rPr>
          <w:rFonts w:hint="eastAsia" w:ascii="仿宋" w:hAnsi="仿宋" w:eastAsia="仿宋" w:cs="仿宋"/>
          <w:b/>
          <w:bCs/>
          <w:color w:val="auto"/>
          <w:sz w:val="28"/>
          <w:szCs w:val="28"/>
          <w:highlight w:val="none"/>
          <w:lang w:val="en-US" w:eastAsia="zh-CN"/>
        </w:rPr>
        <w:t>不得超过本项目的最高限价，超过最高限价的作为无效投标文件处理。</w:t>
      </w:r>
    </w:p>
    <w:p w14:paraId="08063A12">
      <w:pPr>
        <w:spacing w:line="520" w:lineRule="exact"/>
        <w:ind w:firstLine="560"/>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包三适用）本项目采用总承包方式，投标人的报价应包含货物设计、制造、包装、仓储、运输装卸、保险、安装、调试及其材料及验收合格之前保管及保修期内备品备件、专用工具、伴随服务、技术图纸资料、人员培训发生的所有含税费用、支付给员工的工资和国家强制缴纳的各种社会保障资金，机房防护改造、辐射检测等，以及与本项目有关的所有费用。</w:t>
      </w:r>
      <w:r>
        <w:rPr>
          <w:rFonts w:hint="eastAsia" w:ascii="仿宋" w:hAnsi="仿宋" w:eastAsia="仿宋" w:cs="仿宋"/>
          <w:b/>
          <w:bCs/>
          <w:color w:val="auto"/>
          <w:sz w:val="28"/>
          <w:szCs w:val="28"/>
          <w:highlight w:val="none"/>
          <w:lang w:val="zh-CN" w:eastAsia="zh-CN"/>
        </w:rPr>
        <w:t>投标人所报总价</w:t>
      </w:r>
      <w:r>
        <w:rPr>
          <w:rFonts w:hint="eastAsia" w:ascii="仿宋" w:hAnsi="仿宋" w:eastAsia="仿宋" w:cs="仿宋"/>
          <w:b/>
          <w:bCs/>
          <w:color w:val="auto"/>
          <w:sz w:val="28"/>
          <w:szCs w:val="28"/>
          <w:highlight w:val="none"/>
          <w:lang w:val="en-US" w:eastAsia="zh-CN"/>
        </w:rPr>
        <w:t>不得超过本项目的最高限价，超过最高限价的作为无效投标文件处理。</w:t>
      </w:r>
    </w:p>
    <w:p w14:paraId="46787505">
      <w:pPr>
        <w:spacing w:line="520" w:lineRule="exact"/>
        <w:ind w:firstLine="560"/>
        <w:rPr>
          <w:rFonts w:hint="eastAsia" w:ascii="仿宋" w:hAnsi="仿宋" w:eastAsia="仿宋" w:cs="仿宋"/>
          <w:b/>
          <w:bCs/>
          <w:color w:val="auto"/>
          <w:sz w:val="24"/>
          <w:highlight w:val="none"/>
        </w:rPr>
      </w:pPr>
      <w:r>
        <w:rPr>
          <w:rFonts w:hint="eastAsia" w:ascii="仿宋" w:hAnsi="仿宋" w:eastAsia="仿宋" w:cs="仿宋"/>
          <w:b/>
          <w:bCs/>
          <w:color w:val="auto"/>
          <w:sz w:val="28"/>
          <w:szCs w:val="28"/>
          <w:highlight w:val="none"/>
          <w:lang w:val="en-US" w:eastAsia="zh-CN"/>
        </w:rPr>
        <w:t>（包四适用）本项目采用总承包方式，投标人的报价应包含货物设计、制造、包装、仓储、运输装卸、保险、安装、调试及其材料及验收合格之前保管及保修期内备品备件、专用工具、伴随服务、技术图纸资料、人员培训发生的所有含税费用、支付给员工的工资和国家强制缴纳的各种社会保障资金，机房防护改造、PACS接口、辐射检测等，以及与本项目有关的所有费用。投标人所报总价不得超过本项目的最高限价，超过最高限价的作为无效投标文件处理。</w:t>
      </w:r>
    </w:p>
    <w:p w14:paraId="377BBA5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投标人应按照招标文件规定格式填报投标分项报价表。</w:t>
      </w:r>
    </w:p>
    <w:p w14:paraId="49F791A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11.2 投标货币。投标文件中的单价和总价无特殊规定的采用人民币报价，以元为单位标注。招标文件中另有规定的按规定执行。</w:t>
      </w:r>
    </w:p>
    <w:p w14:paraId="6486A195">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12.技术要求响应及偏离表、商务要求响应及偏离表</w:t>
      </w:r>
      <w:r>
        <w:rPr>
          <w:rFonts w:hint="eastAsia" w:ascii="仿宋" w:hAnsi="仿宋" w:eastAsia="仿宋"/>
          <w:color w:val="auto"/>
          <w:sz w:val="28"/>
          <w:szCs w:val="28"/>
          <w:highlight w:val="none"/>
        </w:rPr>
        <w:t>（如有）</w:t>
      </w:r>
    </w:p>
    <w:p w14:paraId="3C9F845E">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12.1 投标人需对招标文件中的技术要求与商务要求逐项作出响应或偏离，并说明原因。</w:t>
      </w:r>
    </w:p>
    <w:p w14:paraId="1E2BDBA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12.2 投标人可在投标文件中提供认为需要的其他技术文件或说明。</w:t>
      </w:r>
    </w:p>
    <w:p w14:paraId="68C783A6">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13.服务承诺、培训计划、人员安排及其他</w:t>
      </w:r>
      <w:r>
        <w:rPr>
          <w:rFonts w:hint="eastAsia" w:ascii="仿宋" w:hAnsi="仿宋" w:eastAsia="仿宋"/>
          <w:color w:val="auto"/>
          <w:sz w:val="28"/>
          <w:szCs w:val="28"/>
          <w:highlight w:val="none"/>
        </w:rPr>
        <w:t>（如有）</w:t>
      </w:r>
    </w:p>
    <w:p w14:paraId="0BFD6B87">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13.1 投标人需根据招标文件要求提供有关售后服务的管理制度，售后服务机构的分布情况，售后服务人员的数量、素质、技术水平及售后服务的反应能力等。</w:t>
      </w:r>
    </w:p>
    <w:p w14:paraId="69D3A93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13.2 投标人需根据招标文件要求提供培训计划。</w:t>
      </w:r>
    </w:p>
    <w:p w14:paraId="4B25C86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13.3 投标人需根据招标文件要求提供所投标的的主要组成部分、功能设计、实现思路及关键技术等。</w:t>
      </w:r>
    </w:p>
    <w:p w14:paraId="7AFBCF17">
      <w:pPr>
        <w:spacing w:line="520" w:lineRule="exact"/>
        <w:rPr>
          <w:rFonts w:hint="eastAsia" w:ascii="仿宋" w:hAnsi="仿宋" w:eastAsia="仿宋" w:cs="仿宋"/>
          <w:color w:val="auto"/>
          <w:sz w:val="28"/>
          <w:szCs w:val="28"/>
          <w:highlight w:val="none"/>
        </w:rPr>
      </w:pPr>
      <w:bookmarkStart w:id="4" w:name="_Toc14577359"/>
      <w:bookmarkStart w:id="5" w:name="_Toc49090510"/>
      <w:r>
        <w:rPr>
          <w:rFonts w:hint="eastAsia" w:ascii="仿宋" w:hAnsi="仿宋" w:eastAsia="仿宋" w:cs="仿宋"/>
          <w:color w:val="auto"/>
          <w:sz w:val="28"/>
          <w:szCs w:val="28"/>
          <w:highlight w:val="none"/>
        </w:rPr>
        <w:t>14.投标函和开标一览表</w:t>
      </w:r>
    </w:p>
    <w:p w14:paraId="046327C7">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14.1 投标人应按照招标文件中提供的格式完整、正确填写投标函、开标一览表。</w:t>
      </w:r>
    </w:p>
    <w:p w14:paraId="71C4BC6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14.2 对于采用货币报价的项目，开标一览表中的投标总报价应与投标分项报价表中的投标总报价一致，如不一致，不作为无效投标处理，但评标时按开标一览表中价格为准。</w:t>
      </w:r>
      <w:bookmarkEnd w:id="4"/>
      <w:bookmarkEnd w:id="5"/>
    </w:p>
    <w:p w14:paraId="51F132A1">
      <w:pPr>
        <w:spacing w:line="520" w:lineRule="exact"/>
        <w:rPr>
          <w:rFonts w:hint="eastAsia" w:ascii="仿宋" w:hAnsi="仿宋" w:eastAsia="仿宋" w:cs="仿宋"/>
          <w:color w:val="auto"/>
          <w:sz w:val="28"/>
          <w:szCs w:val="28"/>
          <w:highlight w:val="none"/>
        </w:rPr>
      </w:pPr>
      <w:bookmarkStart w:id="6" w:name="_Toc14577360"/>
      <w:bookmarkStart w:id="7" w:name="_Toc49090511"/>
      <w:r>
        <w:rPr>
          <w:rFonts w:hint="eastAsia" w:ascii="仿宋" w:hAnsi="仿宋" w:eastAsia="仿宋" w:cs="仿宋"/>
          <w:color w:val="auto"/>
          <w:sz w:val="28"/>
          <w:szCs w:val="28"/>
          <w:highlight w:val="none"/>
        </w:rPr>
        <w:t>15.投标有效期</w:t>
      </w:r>
      <w:bookmarkEnd w:id="6"/>
      <w:bookmarkEnd w:id="7"/>
    </w:p>
    <w:p w14:paraId="1D8161B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15.1 投标有效期为采购人规定的开标之日后九十（90）天。投标有效期比规定短的将被视为未实质性响应招标文件而予以拒绝。</w:t>
      </w:r>
    </w:p>
    <w:p w14:paraId="6A913B5C">
      <w:pPr>
        <w:spacing w:line="520" w:lineRule="exact"/>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16.投标有效期的延长</w:t>
      </w:r>
    </w:p>
    <w:p w14:paraId="78A336F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p>
    <w:p w14:paraId="1C68FBC8">
      <w:pPr>
        <w:spacing w:line="520" w:lineRule="exact"/>
        <w:outlineLvl w:val="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17.方案部分</w:t>
      </w:r>
    </w:p>
    <w:p w14:paraId="680D45FE">
      <w:pPr>
        <w:spacing w:line="52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17.1</w:t>
      </w:r>
      <w:r>
        <w:rPr>
          <w:rFonts w:hint="eastAsia" w:ascii="仿宋" w:hAnsi="仿宋" w:eastAsia="仿宋"/>
          <w:bCs/>
          <w:color w:val="auto"/>
          <w:sz w:val="28"/>
          <w:szCs w:val="28"/>
          <w:highlight w:val="none"/>
        </w:rPr>
        <w:t>本项目评标标准中的方案部分采用</w:t>
      </w:r>
      <w:r>
        <w:rPr>
          <w:rFonts w:hint="eastAsia" w:ascii="仿宋" w:hAnsi="仿宋" w:eastAsia="仿宋"/>
          <w:bCs/>
          <w:color w:val="auto"/>
          <w:sz w:val="28"/>
          <w:szCs w:val="28"/>
          <w:highlight w:val="none"/>
          <w:lang w:eastAsia="zh-CN"/>
        </w:rPr>
        <w:t>明</w:t>
      </w:r>
      <w:r>
        <w:rPr>
          <w:rFonts w:hint="eastAsia" w:ascii="仿宋" w:hAnsi="仿宋" w:eastAsia="仿宋"/>
          <w:bCs/>
          <w:color w:val="auto"/>
          <w:sz w:val="28"/>
          <w:szCs w:val="28"/>
          <w:highlight w:val="none"/>
        </w:rPr>
        <w:t>标方式进行评审。</w:t>
      </w:r>
    </w:p>
    <w:p w14:paraId="7CA000A5">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四、投标文件上传</w:t>
      </w:r>
    </w:p>
    <w:p w14:paraId="4A22834A">
      <w:pPr>
        <w:spacing w:line="520" w:lineRule="exact"/>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18.投标文件的上传</w:t>
      </w:r>
    </w:p>
    <w:p w14:paraId="7ED5B7A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18.1 投标人应当按照《操作手册》规定，在投标截止时间前制作并上传电子投标文件。</w:t>
      </w:r>
    </w:p>
    <w:p w14:paraId="3768E09C">
      <w:pPr>
        <w:spacing w:line="520" w:lineRule="exact"/>
        <w:ind w:firstLine="560"/>
        <w:rPr>
          <w:rFonts w:hint="eastAsia" w:ascii="仿宋" w:hAnsi="仿宋" w:eastAsia="仿宋" w:cs="仿宋"/>
          <w:bCs/>
          <w:color w:val="auto"/>
          <w:sz w:val="28"/>
          <w:szCs w:val="28"/>
          <w:highlight w:val="none"/>
          <w:lang w:val="zh-CN"/>
        </w:rPr>
      </w:pPr>
      <w:r>
        <w:rPr>
          <w:rFonts w:hint="eastAsia" w:ascii="仿宋" w:hAnsi="仿宋" w:eastAsia="仿宋" w:cs="仿宋"/>
          <w:color w:val="auto"/>
          <w:sz w:val="28"/>
          <w:szCs w:val="28"/>
          <w:highlight w:val="none"/>
        </w:rPr>
        <w:t>18.2 投标人上传的电子投标文件内容不清楚或不清晰的（含扫描</w:t>
      </w:r>
      <w:r>
        <w:rPr>
          <w:rFonts w:hint="eastAsia" w:ascii="仿宋" w:hAnsi="仿宋" w:eastAsia="仿宋" w:cs="仿宋"/>
          <w:bCs/>
          <w:color w:val="auto"/>
          <w:sz w:val="28"/>
          <w:szCs w:val="28"/>
          <w:highlight w:val="none"/>
        </w:rPr>
        <w:t>件），造成无法评审或部分影响评审的，</w:t>
      </w:r>
      <w:r>
        <w:rPr>
          <w:rFonts w:hint="eastAsia" w:ascii="仿宋" w:hAnsi="仿宋" w:eastAsia="仿宋" w:cs="仿宋"/>
          <w:bCs/>
          <w:color w:val="auto"/>
          <w:sz w:val="28"/>
          <w:szCs w:val="28"/>
          <w:highlight w:val="none"/>
          <w:lang w:val="zh-CN"/>
        </w:rPr>
        <w:t>责任由</w:t>
      </w:r>
      <w:r>
        <w:rPr>
          <w:rFonts w:hint="eastAsia" w:ascii="仿宋" w:hAnsi="仿宋" w:eastAsia="仿宋" w:cs="仿宋"/>
          <w:bCs/>
          <w:color w:val="auto"/>
          <w:sz w:val="28"/>
          <w:szCs w:val="28"/>
          <w:highlight w:val="none"/>
        </w:rPr>
        <w:t>投标人</w:t>
      </w:r>
      <w:r>
        <w:rPr>
          <w:rFonts w:hint="eastAsia" w:ascii="仿宋" w:hAnsi="仿宋" w:eastAsia="仿宋" w:cs="仿宋"/>
          <w:bCs/>
          <w:color w:val="auto"/>
          <w:sz w:val="28"/>
          <w:szCs w:val="28"/>
          <w:highlight w:val="none"/>
          <w:lang w:val="zh-CN"/>
        </w:rPr>
        <w:t>自负。</w:t>
      </w:r>
    </w:p>
    <w:p w14:paraId="716EA76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18.3 投标人上传电子投标文件的时间不得迟于投标邀请中规定的截止时间。</w:t>
      </w:r>
    </w:p>
    <w:p w14:paraId="4E4815A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18.4 采购人可以按第7条规定，通过修改招标文件有权酌情延长投标文件接收截止时间。在此情况下，投标人的所有权利和义务以及投标人受制约的截止日期均应以延长后新的截止日期为准。</w:t>
      </w:r>
    </w:p>
    <w:p w14:paraId="007433FB">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19.投标文件被拒绝接收的情形</w:t>
      </w:r>
    </w:p>
    <w:p w14:paraId="1DC66134">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19.1 在招标文件规定的提交投标文件截止时间后上传的电子投标文件。</w:t>
      </w:r>
    </w:p>
    <w:p w14:paraId="2B41E0D2">
      <w:pPr>
        <w:spacing w:line="520" w:lineRule="exact"/>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20.投标文件的修改和撤回</w:t>
      </w:r>
    </w:p>
    <w:p w14:paraId="3AA322C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20.1 投标人在上传电子投标文件后可以对其修改或撤回，但这种修改和撤回，必须在规定的开标时间之前，具体操作方法见《操作手册》。</w:t>
      </w:r>
    </w:p>
    <w:p w14:paraId="03FAF63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20.2 投标人不得在开标时间以后修改电子投标文件。</w:t>
      </w:r>
    </w:p>
    <w:p w14:paraId="58A9A8C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20.3 投标人不得在提交电子投标文件截止时间起至投标有效期满前撤回电子投标文件。</w:t>
      </w:r>
    </w:p>
    <w:p w14:paraId="4895CC4C">
      <w:pPr>
        <w:spacing w:line="520" w:lineRule="exact"/>
        <w:rPr>
          <w:rFonts w:hint="eastAsia" w:ascii="仿宋" w:hAnsi="仿宋" w:eastAsia="仿宋" w:cs="仿宋"/>
          <w:b/>
          <w:color w:val="auto"/>
          <w:sz w:val="32"/>
          <w:szCs w:val="32"/>
          <w:highlight w:val="none"/>
        </w:rPr>
      </w:pPr>
      <w:bookmarkStart w:id="8" w:name="_Toc162083530"/>
      <w:r>
        <w:rPr>
          <w:rFonts w:hint="eastAsia" w:ascii="仿宋" w:hAnsi="仿宋" w:eastAsia="仿宋" w:cs="仿宋"/>
          <w:b/>
          <w:color w:val="auto"/>
          <w:sz w:val="32"/>
          <w:szCs w:val="32"/>
          <w:highlight w:val="none"/>
        </w:rPr>
        <w:t>五、开标及评标</w:t>
      </w:r>
      <w:bookmarkEnd w:id="8"/>
    </w:p>
    <w:p w14:paraId="5F055D3C">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21.开标</w:t>
      </w:r>
    </w:p>
    <w:p w14:paraId="7555284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21.1 </w:t>
      </w:r>
      <w:r>
        <w:rPr>
          <w:rFonts w:hint="eastAsia" w:ascii="仿宋" w:hAnsi="仿宋" w:eastAsia="仿宋" w:cs="仿宋"/>
          <w:color w:val="auto"/>
          <w:sz w:val="28"/>
          <w:szCs w:val="28"/>
          <w:highlight w:val="none"/>
          <w:lang w:eastAsia="zh-CN"/>
        </w:rPr>
        <w:t>淮安万顺工程项目咨询管理有限公司</w:t>
      </w:r>
      <w:r>
        <w:rPr>
          <w:rFonts w:hint="eastAsia" w:ascii="仿宋" w:hAnsi="仿宋" w:eastAsia="仿宋" w:cs="仿宋"/>
          <w:color w:val="auto"/>
          <w:sz w:val="28"/>
          <w:szCs w:val="28"/>
          <w:highlight w:val="none"/>
        </w:rPr>
        <w:t>将在招标公告中规定的时间和地点组织开标。投标人应当按照《操作手册》规定，参加开标活动和在苏采云系统规定的时间内对投标文件进行解密。</w:t>
      </w:r>
    </w:p>
    <w:p w14:paraId="2EBCEB97">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21.2 开标仪式由</w:t>
      </w:r>
      <w:r>
        <w:rPr>
          <w:rFonts w:hint="eastAsia" w:ascii="仿宋" w:hAnsi="仿宋" w:eastAsia="仿宋" w:cs="仿宋"/>
          <w:color w:val="auto"/>
          <w:sz w:val="28"/>
          <w:szCs w:val="28"/>
          <w:highlight w:val="none"/>
          <w:lang w:eastAsia="zh-CN"/>
        </w:rPr>
        <w:t>淮安万顺工程项目咨询管理有限公司</w:t>
      </w:r>
      <w:r>
        <w:rPr>
          <w:rFonts w:hint="eastAsia" w:ascii="仿宋" w:hAnsi="仿宋" w:eastAsia="仿宋" w:cs="仿宋"/>
          <w:color w:val="auto"/>
          <w:sz w:val="28"/>
          <w:szCs w:val="28"/>
          <w:highlight w:val="none"/>
        </w:rPr>
        <w:t>组织。苏采云系统将自动对项目进行开标，并宣布各投标人名称和投标价格。</w:t>
      </w:r>
    </w:p>
    <w:p w14:paraId="2762771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21.3 投标人在开标过程中涉及到的投标文件解密、开标结果确认等工作，应按照《操作手册》规定执行。</w:t>
      </w:r>
    </w:p>
    <w:p w14:paraId="2A2EDEB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21.4 投标人如果对开标过程和开标记录有疑义，应当根据《操作手册》规定提出，如苏采云系统中《开标记录表》宣布后5分钟内未提出的，视同认可开标结果。</w:t>
      </w:r>
    </w:p>
    <w:p w14:paraId="2E442761">
      <w:pPr>
        <w:spacing w:line="520" w:lineRule="exact"/>
        <w:rPr>
          <w:rFonts w:hint="eastAsia" w:ascii="仿宋" w:hAnsi="仿宋" w:eastAsia="仿宋" w:cs="仿宋"/>
          <w:color w:val="auto"/>
          <w:sz w:val="28"/>
          <w:szCs w:val="28"/>
          <w:highlight w:val="none"/>
        </w:rPr>
      </w:pPr>
      <w:bookmarkStart w:id="9" w:name="_Toc20823303"/>
      <w:bookmarkStart w:id="10" w:name="_Toc513029231"/>
      <w:bookmarkStart w:id="11" w:name="_Toc16938547"/>
      <w:r>
        <w:rPr>
          <w:rFonts w:hint="eastAsia" w:ascii="仿宋" w:hAnsi="仿宋" w:eastAsia="仿宋" w:cs="仿宋"/>
          <w:color w:val="auto"/>
          <w:sz w:val="28"/>
          <w:szCs w:val="28"/>
          <w:highlight w:val="none"/>
        </w:rPr>
        <w:t>22.评标委员会</w:t>
      </w:r>
    </w:p>
    <w:p w14:paraId="1DBFA95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22.1 开标后，采购人将立即组织评标委员会（以下简称评委会）进行评标。</w:t>
      </w:r>
    </w:p>
    <w:p w14:paraId="0B2FD9A8">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22.2 评委会由采购人代表和有关技术、经济等方面的专家组成，且人员构成符合政府采购有关规定。</w:t>
      </w:r>
    </w:p>
    <w:p w14:paraId="0B46F74A">
      <w:pPr>
        <w:spacing w:line="520" w:lineRule="exact"/>
        <w:ind w:firstLine="2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22.3 评委会独立工作，负责评审所有投标文件并确定中标候选人。</w:t>
      </w:r>
    </w:p>
    <w:p w14:paraId="45B671C4">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23．评标过程的保密与公正</w:t>
      </w:r>
      <w:bookmarkEnd w:id="9"/>
      <w:bookmarkEnd w:id="10"/>
      <w:bookmarkEnd w:id="11"/>
    </w:p>
    <w:p w14:paraId="09AC7F47">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23.1 凡是与审查、澄清、评价和比较投标的有关资料以及授标建议等，采购人、评委</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采购代理</w:t>
      </w:r>
      <w:r>
        <w:rPr>
          <w:rFonts w:hint="eastAsia" w:ascii="仿宋" w:hAnsi="仿宋" w:eastAsia="仿宋" w:cs="仿宋"/>
          <w:color w:val="auto"/>
          <w:sz w:val="28"/>
          <w:szCs w:val="28"/>
          <w:highlight w:val="none"/>
        </w:rPr>
        <w:t>均不得向投标人或与评标无关的其他人员透露。</w:t>
      </w:r>
    </w:p>
    <w:p w14:paraId="3CC8F0B7">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23.2 在评标过程中，投标人不得以任何行为影响评标过程，否则其投标文件将被作为无效投标文件。</w:t>
      </w:r>
    </w:p>
    <w:p w14:paraId="2AF3DF3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23.3 采购人和评标委员会不向未中标的投标人解释未中标原因，也不公布评标过程中的相关细节。</w:t>
      </w:r>
    </w:p>
    <w:p w14:paraId="0B35197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23.4 采用综合评分法的项目，未中标的投标人可于中标结果公告期限届满之日起通过苏采云系统查看自己的评审得分及排序情况。</w:t>
      </w:r>
    </w:p>
    <w:p w14:paraId="3726B53F">
      <w:pPr>
        <w:spacing w:line="520" w:lineRule="exact"/>
        <w:rPr>
          <w:rFonts w:hint="eastAsia" w:ascii="仿宋" w:hAnsi="仿宋" w:eastAsia="仿宋" w:cs="仿宋"/>
          <w:color w:val="auto"/>
          <w:sz w:val="28"/>
          <w:szCs w:val="28"/>
          <w:highlight w:val="none"/>
        </w:rPr>
      </w:pPr>
      <w:bookmarkStart w:id="12" w:name="_Toc16938548"/>
      <w:bookmarkStart w:id="13" w:name="_Toc513029232"/>
      <w:bookmarkStart w:id="14" w:name="_Toc20823304"/>
      <w:r>
        <w:rPr>
          <w:rFonts w:hint="eastAsia" w:ascii="仿宋" w:hAnsi="仿宋" w:eastAsia="仿宋" w:cs="仿宋"/>
          <w:color w:val="auto"/>
          <w:sz w:val="28"/>
          <w:szCs w:val="28"/>
          <w:highlight w:val="none"/>
        </w:rPr>
        <w:t>24．投标文件的澄清</w:t>
      </w:r>
      <w:bookmarkEnd w:id="12"/>
      <w:bookmarkEnd w:id="13"/>
      <w:bookmarkEnd w:id="14"/>
    </w:p>
    <w:p w14:paraId="0ADCF80C">
      <w:pPr>
        <w:spacing w:line="520" w:lineRule="exact"/>
        <w:ind w:firstLine="560"/>
        <w:rPr>
          <w:rFonts w:hint="eastAsia" w:ascii="仿宋" w:hAnsi="仿宋" w:eastAsia="仿宋" w:cs="仿宋"/>
          <w:color w:val="auto"/>
          <w:sz w:val="28"/>
          <w:szCs w:val="28"/>
          <w:highlight w:val="none"/>
        </w:rPr>
      </w:pPr>
      <w:bookmarkStart w:id="15" w:name="_Toc16938549"/>
      <w:bookmarkStart w:id="16" w:name="_Toc20823305"/>
      <w:bookmarkStart w:id="17" w:name="_Toc513029233"/>
      <w:r>
        <w:rPr>
          <w:rFonts w:hint="eastAsia" w:ascii="仿宋" w:hAnsi="仿宋" w:eastAsia="仿宋" w:cs="仿宋"/>
          <w:color w:val="auto"/>
          <w:sz w:val="28"/>
          <w:szCs w:val="28"/>
          <w:highlight w:val="none"/>
        </w:rPr>
        <w:t>24.1 评标期间，评委会对投标文件中含义不明确、同类问题表述不一致或者有明显文字和计算错误的内容，有权要求投标人作出必要的澄清、说明或者补正。</w:t>
      </w:r>
    </w:p>
    <w:p w14:paraId="5C0A652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投标人的澄清、说明或者补正不得超出投标文件的范围或者改变投标文件的实质性内容。</w:t>
      </w:r>
    </w:p>
    <w:p w14:paraId="5443BAA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评委会并非对每个投标人都做澄清要求。</w:t>
      </w:r>
    </w:p>
    <w:p w14:paraId="00C90B4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20E967E">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24.3 接到评委会澄清、说明和补正要求的投标人如未按规定做出澄清、说明和补正，其风险由投标人自行承担。</w:t>
      </w:r>
    </w:p>
    <w:p w14:paraId="3CC04C36">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25.对投标文件的初审</w:t>
      </w:r>
      <w:bookmarkEnd w:id="15"/>
      <w:bookmarkEnd w:id="16"/>
      <w:bookmarkEnd w:id="17"/>
    </w:p>
    <w:p w14:paraId="1D8B55D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25.1 投标文件初审分为资格审查和符合性审查。</w:t>
      </w:r>
    </w:p>
    <w:p w14:paraId="66B0F07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25.1.1 资格审查：依据法律法规和招标文件的规定，由采购人对投标文件中的资格证明文件进行审查。资格审查的结论，采购人向评委会进行反馈。</w:t>
      </w:r>
    </w:p>
    <w:p w14:paraId="1E23394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采购人在进行资格性审查的同时，将在“信用中国”网站（www.creditchina.gov.cn）查询投标人的信用记录，以确定投标人是否具备投标资格,查询结果留存并归档。</w:t>
      </w:r>
    </w:p>
    <w:p w14:paraId="168B76F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接受联合体的项目，两个以上的自然人、法人或者其他组织组成一个联合体，以一个供应商的身份共同参加政府采购活动的,联合体成员中任何一方存在不良信用记录的，视同联合体存在不良信用记录。</w:t>
      </w:r>
    </w:p>
    <w:p w14:paraId="4D2FA55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25.1.2 符合性审查：依据招标文件的规定，由评委会从投标文件的有效性、完整性和对招标文件的响应程度进行审查，以确定是否对招标文件的实质性要求作出响应。</w:t>
      </w:r>
    </w:p>
    <w:p w14:paraId="709EE6B7">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25.1.3 未通过资格审查或符合性审查的投标人，</w:t>
      </w:r>
      <w:r>
        <w:rPr>
          <w:rFonts w:hint="eastAsia" w:ascii="仿宋" w:hAnsi="仿宋" w:eastAsia="仿宋" w:cs="仿宋"/>
          <w:color w:val="auto"/>
          <w:sz w:val="28"/>
          <w:szCs w:val="28"/>
          <w:highlight w:val="none"/>
          <w:lang w:eastAsia="zh-CN"/>
        </w:rPr>
        <w:t>采购代理机构</w:t>
      </w:r>
      <w:r>
        <w:rPr>
          <w:rFonts w:hint="eastAsia" w:ascii="仿宋" w:hAnsi="仿宋" w:eastAsia="仿宋" w:cs="仿宋"/>
          <w:color w:val="auto"/>
          <w:sz w:val="28"/>
          <w:szCs w:val="28"/>
          <w:highlight w:val="none"/>
        </w:rPr>
        <w:t>将在苏采云系统中告知未通过资格审查或符合性审查的原因，评审结束后，</w:t>
      </w:r>
      <w:r>
        <w:rPr>
          <w:rFonts w:hint="eastAsia" w:ascii="仿宋" w:hAnsi="仿宋" w:eastAsia="仿宋" w:cs="仿宋"/>
          <w:color w:val="auto"/>
          <w:sz w:val="28"/>
          <w:szCs w:val="28"/>
          <w:highlight w:val="none"/>
          <w:lang w:eastAsia="zh-CN"/>
        </w:rPr>
        <w:t>采购代理机构</w:t>
      </w:r>
      <w:r>
        <w:rPr>
          <w:rFonts w:hint="eastAsia" w:ascii="仿宋" w:hAnsi="仿宋" w:eastAsia="仿宋" w:cs="仿宋"/>
          <w:color w:val="auto"/>
          <w:sz w:val="28"/>
          <w:szCs w:val="28"/>
          <w:highlight w:val="none"/>
        </w:rPr>
        <w:t>将不再告知未通过资格审查或符合性审查的原因。</w:t>
      </w:r>
    </w:p>
    <w:p w14:paraId="783FA7D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25.2 在详细评标之前，评委会将首先审查每份投标文件是否实质性响应了招标文件的要求。实质性响应的投标应该是与招标文件要求的全部条款、条件和规格相符，没有重大偏离或保留的投标。</w:t>
      </w:r>
    </w:p>
    <w:p w14:paraId="78FC6ECE">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所谓重大偏离或保留是指与招标文件规定的实质性要求存在负偏离，或者在实质上与招标文件不一致，而且限制了合同中买方和</w:t>
      </w:r>
      <w:r>
        <w:rPr>
          <w:rFonts w:hint="eastAsia" w:ascii="仿宋" w:hAnsi="仿宋" w:eastAsia="仿宋" w:cs="仿宋"/>
          <w:color w:val="auto"/>
          <w:sz w:val="28"/>
          <w:szCs w:val="28"/>
          <w:highlight w:val="none"/>
          <w:lang w:eastAsia="zh-CN"/>
        </w:rPr>
        <w:t>采购代理机构</w:t>
      </w:r>
      <w:r>
        <w:rPr>
          <w:rFonts w:hint="eastAsia" w:ascii="仿宋" w:hAnsi="仿宋" w:eastAsia="仿宋" w:cs="仿宋"/>
          <w:color w:val="auto"/>
          <w:sz w:val="28"/>
          <w:szCs w:val="28"/>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7B5F9C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25.3 如果投标文件实质上没有响应招标文件的要求，评委会将予以拒绝，投标人不得通过修改或撤销不合要求的偏离或保留而使其投标成为实质性响应的投标。</w:t>
      </w:r>
    </w:p>
    <w:p w14:paraId="641E9FD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25.4 评委会将对确定为实质性响应的投标进行进一步审核，看其是否有计算上或累加上的算术错误，修正错误的原则如下：</w:t>
      </w:r>
    </w:p>
    <w:p w14:paraId="160E1F1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（1）投标文件中开标一览表内容与投标文件中相应内容不一致的，以开标一览表为准。</w:t>
      </w:r>
    </w:p>
    <w:p w14:paraId="01F3FF1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（2）大写金额和小写金额不一致的，以大写金额为准。</w:t>
      </w:r>
    </w:p>
    <w:p w14:paraId="66A72E6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（3）单价金额小数点或者百分比有明显错位的，以开标一览表的总价为准，并修改单价。</w:t>
      </w:r>
    </w:p>
    <w:p w14:paraId="702D809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（4）总价金额与按单价汇总金额不一致的，以单价金额计算结果为准。</w:t>
      </w:r>
    </w:p>
    <w:p w14:paraId="6315886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同时出现两种以上错误的，按照前款规定的顺序修正。</w:t>
      </w:r>
    </w:p>
    <w:p w14:paraId="4B39DCC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25.5 评委会将按上述修正错误的方法调整投标文件中的投标报价，并通过苏采云系统告知投标人，调整后的价格应对投标人具有约束力。如果投标人不接受修正后的价格，则其投标将被拒绝。</w:t>
      </w:r>
    </w:p>
    <w:p w14:paraId="463B9D61">
      <w:pPr>
        <w:spacing w:line="520" w:lineRule="exact"/>
        <w:ind w:firstLine="560"/>
        <w:rPr>
          <w:rFonts w:hint="eastAsia" w:ascii="仿宋" w:hAnsi="仿宋" w:eastAsia="仿宋" w:cs="仿宋"/>
          <w:color w:val="auto"/>
          <w:sz w:val="28"/>
          <w:szCs w:val="28"/>
          <w:highlight w:val="none"/>
        </w:rPr>
      </w:pPr>
      <w:bookmarkStart w:id="18" w:name="_Toc20823306"/>
      <w:bookmarkStart w:id="19" w:name="_Toc16938550"/>
      <w:bookmarkStart w:id="20" w:name="_Toc513029234"/>
      <w:r>
        <w:rPr>
          <w:rFonts w:hint="eastAsia" w:ascii="仿宋" w:hAnsi="仿宋" w:eastAsia="仿宋" w:cs="仿宋"/>
          <w:color w:val="auto"/>
          <w:sz w:val="28"/>
          <w:szCs w:val="28"/>
          <w:highlight w:val="none"/>
        </w:rPr>
        <w:t>25.6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39AA992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2954212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25.7 投标人在开、评标全过程中应保持通讯畅通，及时登录苏采云系统查阅、答复相关信息，并安排专人与</w:t>
      </w:r>
      <w:r>
        <w:rPr>
          <w:rFonts w:hint="eastAsia" w:ascii="仿宋" w:hAnsi="仿宋" w:eastAsia="仿宋" w:cs="仿宋"/>
          <w:color w:val="auto"/>
          <w:sz w:val="28"/>
          <w:szCs w:val="28"/>
          <w:highlight w:val="none"/>
          <w:lang w:eastAsia="zh-CN"/>
        </w:rPr>
        <w:t>采购代理机构</w:t>
      </w:r>
      <w:r>
        <w:rPr>
          <w:rFonts w:hint="eastAsia" w:ascii="仿宋" w:hAnsi="仿宋" w:eastAsia="仿宋" w:cs="仿宋"/>
          <w:color w:val="auto"/>
          <w:sz w:val="28"/>
          <w:szCs w:val="28"/>
          <w:highlight w:val="none"/>
        </w:rPr>
        <w:t>及评标委员会保持联系（如需）。</w:t>
      </w:r>
    </w:p>
    <w:p w14:paraId="66763254">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bookmarkEnd w:id="18"/>
      <w:bookmarkEnd w:id="19"/>
      <w:bookmarkEnd w:id="20"/>
      <w:r>
        <w:rPr>
          <w:rFonts w:hint="eastAsia" w:ascii="仿宋" w:hAnsi="仿宋" w:eastAsia="仿宋" w:cs="仿宋"/>
          <w:color w:val="auto"/>
          <w:sz w:val="28"/>
          <w:szCs w:val="28"/>
          <w:highlight w:val="none"/>
        </w:rPr>
        <w:t>6.无效投标条款和废标条款</w:t>
      </w:r>
    </w:p>
    <w:p w14:paraId="46A91DA1">
      <w:pPr>
        <w:spacing w:line="520" w:lineRule="exact"/>
        <w:ind w:firstLine="560"/>
        <w:outlineLvl w:val="0"/>
        <w:rPr>
          <w:rFonts w:hint="eastAsia" w:ascii="仿宋" w:hAnsi="仿宋" w:eastAsia="仿宋" w:cs="仿宋"/>
          <w:color w:val="auto"/>
          <w:sz w:val="28"/>
          <w:szCs w:val="28"/>
          <w:highlight w:val="none"/>
        </w:rPr>
      </w:pPr>
      <w:bookmarkStart w:id="21" w:name="_Toc513029235"/>
      <w:bookmarkStart w:id="22" w:name="_Toc20823307"/>
      <w:bookmarkStart w:id="23" w:name="_Toc16938551"/>
      <w:r>
        <w:rPr>
          <w:rFonts w:hint="eastAsia" w:ascii="仿宋" w:hAnsi="仿宋" w:eastAsia="仿宋" w:cs="仿宋"/>
          <w:color w:val="auto"/>
          <w:sz w:val="28"/>
          <w:szCs w:val="28"/>
          <w:highlight w:val="none"/>
        </w:rPr>
        <w:t>26.1无效投标条款</w:t>
      </w:r>
    </w:p>
    <w:p w14:paraId="21181E4A">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26.1.1 投标人在苏采云系统规定的时间内未成功解密电子投标文件的。</w:t>
      </w:r>
    </w:p>
    <w:p w14:paraId="72FDB8B7">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26.1.2 投标人未按照招标文件要求上传电子投标文件的。</w:t>
      </w:r>
    </w:p>
    <w:p w14:paraId="3B90D0E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26.1.3 同一投标人提交两个（含两个）以上不同的投标报价的。</w:t>
      </w:r>
    </w:p>
    <w:p w14:paraId="6C614B77">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26.1.4 投标人不具备招标文件中规定资格要求的。</w:t>
      </w:r>
    </w:p>
    <w:p w14:paraId="099E275A">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26.1.5 投标人的报价超过了采购预算或最高限价的。</w:t>
      </w:r>
    </w:p>
    <w:p w14:paraId="6306D31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26.1.6 未通过符合性审查的。</w:t>
      </w:r>
    </w:p>
    <w:p w14:paraId="0C1768AA">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81896D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 xml:space="preserve"> 投标文件含有采购人不能接受的附加条件的。</w:t>
      </w:r>
    </w:p>
    <w:p w14:paraId="23F6F18E">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 xml:space="preserve"> </w:t>
      </w:r>
      <w:r>
        <w:rPr>
          <w:rFonts w:hint="eastAsia" w:ascii="仿宋" w:hAnsi="仿宋" w:eastAsia="仿宋"/>
          <w:b/>
          <w:bCs/>
          <w:color w:val="auto"/>
          <w:sz w:val="28"/>
          <w:szCs w:val="28"/>
          <w:highlight w:val="none"/>
        </w:rPr>
        <w:t>评标委员会认为投标人的报价</w:t>
      </w:r>
      <w:r>
        <w:rPr>
          <w:rFonts w:hint="eastAsia" w:ascii="仿宋" w:hAnsi="仿宋" w:eastAsia="仿宋"/>
          <w:b/>
          <w:bCs/>
          <w:color w:val="auto"/>
          <w:sz w:val="28"/>
          <w:szCs w:val="28"/>
          <w:highlight w:val="none"/>
          <w:lang w:eastAsia="zh-CN"/>
        </w:rPr>
        <w:t>属于《关于推动解决政府采购异常低价问题的通知》（财库〔2026〕2号）</w:t>
      </w:r>
      <w:r>
        <w:rPr>
          <w:rFonts w:hint="eastAsia" w:ascii="仿宋" w:hAnsi="仿宋" w:eastAsia="仿宋"/>
          <w:b/>
          <w:bCs/>
          <w:color w:val="auto"/>
          <w:sz w:val="28"/>
          <w:szCs w:val="28"/>
          <w:highlight w:val="none"/>
          <w:lang w:val="en-US" w:eastAsia="zh-CN"/>
        </w:rPr>
        <w:t>异常低价情形的，</w:t>
      </w:r>
      <w:r>
        <w:rPr>
          <w:rFonts w:hint="eastAsia" w:ascii="仿宋" w:hAnsi="仿宋" w:eastAsia="仿宋"/>
          <w:b/>
          <w:bCs/>
          <w:color w:val="auto"/>
          <w:sz w:val="28"/>
          <w:szCs w:val="28"/>
          <w:highlight w:val="none"/>
        </w:rPr>
        <w:t>将通过苏采云系统</w:t>
      </w:r>
      <w:r>
        <w:rPr>
          <w:rFonts w:hint="eastAsia" w:ascii="仿宋" w:hAnsi="仿宋" w:eastAsia="仿宋"/>
          <w:b/>
          <w:bCs/>
          <w:color w:val="auto"/>
          <w:sz w:val="28"/>
          <w:szCs w:val="28"/>
          <w:highlight w:val="none"/>
          <w:lang w:eastAsia="zh-CN"/>
        </w:rPr>
        <w:t>，按照财库〔2026〕2号文件要求启动异常低价投标审查程序，</w:t>
      </w:r>
      <w:r>
        <w:rPr>
          <w:rFonts w:hint="eastAsia" w:ascii="仿宋" w:hAnsi="仿宋" w:eastAsia="仿宋"/>
          <w:b/>
          <w:bCs/>
          <w:color w:val="auto"/>
          <w:sz w:val="28"/>
          <w:szCs w:val="28"/>
          <w:highlight w:val="none"/>
        </w:rPr>
        <w:t>要求其在合理的时间内提供说明，必要时提交相关证明材料；投标人不能证明其报价合理性的，评标委员会应当将其作为无效投标处理。</w:t>
      </w:r>
    </w:p>
    <w:p w14:paraId="07E4565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w:t>
      </w: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rPr>
        <w:t xml:space="preserve"> 按照第 33.4的要求本项目中具有“强制采购”产品，但未提供经国家确定的认证机构出具的、处于有效期之内该节能产品认证证书图片的；</w:t>
      </w:r>
    </w:p>
    <w:p w14:paraId="7A4436D6">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26.1.11不符合招标文件中规定的其他实质性要求和条件的【本招标文件中用带星号（“★”）的商务和技术要求】</w:t>
      </w:r>
    </w:p>
    <w:p w14:paraId="7512494C">
      <w:pPr>
        <w:spacing w:line="520" w:lineRule="exact"/>
        <w:ind w:firstLine="560"/>
        <w:rPr>
          <w:rFonts w:hint="default" w:ascii="仿宋" w:hAnsi="仿宋" w:eastAsia="仿宋" w:cs="仿宋"/>
          <w:b/>
          <w:bCs/>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26.1.12</w:t>
      </w:r>
      <w:r>
        <w:rPr>
          <w:rFonts w:hint="eastAsia" w:ascii="仿宋" w:hAnsi="仿宋" w:eastAsia="仿宋" w:cs="仿宋"/>
          <w:b/>
          <w:bCs/>
          <w:color w:val="auto"/>
          <w:sz w:val="28"/>
          <w:szCs w:val="28"/>
          <w:highlight w:val="none"/>
          <w:lang w:val="en-US" w:eastAsia="zh-CN"/>
        </w:rPr>
        <w:t xml:space="preserve"> </w:t>
      </w:r>
      <w:r>
        <w:rPr>
          <w:rFonts w:hint="eastAsia" w:ascii="仿宋" w:hAnsi="仿宋" w:eastAsia="仿宋" w:cs="仿宋"/>
          <w:color w:val="auto"/>
          <w:sz w:val="28"/>
          <w:szCs w:val="28"/>
          <w:highlight w:val="none"/>
        </w:rPr>
        <w:t>投标文件未按照招标文件要求加盖CA电子公章的。</w:t>
      </w:r>
    </w:p>
    <w:p w14:paraId="3EEFB73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26.1.1</w:t>
      </w:r>
      <w:r>
        <w:rPr>
          <w:rFonts w:hint="eastAsia" w:ascii="仿宋" w:hAnsi="仿宋" w:eastAsia="仿宋" w:cs="仿宋"/>
          <w:color w:val="auto"/>
          <w:sz w:val="28"/>
          <w:szCs w:val="28"/>
          <w:highlight w:val="none"/>
          <w:lang w:val="en-US" w:eastAsia="zh-CN"/>
        </w:rPr>
        <w:t xml:space="preserve">3 </w:t>
      </w:r>
      <w:r>
        <w:rPr>
          <w:rFonts w:hint="eastAsia" w:ascii="仿宋" w:hAnsi="仿宋" w:eastAsia="仿宋" w:cs="仿宋"/>
          <w:color w:val="auto"/>
          <w:sz w:val="28"/>
          <w:szCs w:val="28"/>
          <w:highlight w:val="none"/>
        </w:rPr>
        <w:t>其他法律、法规及本招标文件规定的属无效投标的情形。</w:t>
      </w:r>
    </w:p>
    <w:p w14:paraId="134E4E5E">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26.2 废标条款</w:t>
      </w:r>
      <w:r>
        <w:rPr>
          <w:rFonts w:hint="eastAsia" w:ascii="仿宋" w:hAnsi="仿宋" w:eastAsia="仿宋" w:cs="仿宋"/>
          <w:b/>
          <w:bCs/>
          <w:color w:val="auto"/>
          <w:sz w:val="28"/>
          <w:szCs w:val="28"/>
          <w:highlight w:val="none"/>
        </w:rPr>
        <w:t>（适用于各个采购包）</w:t>
      </w:r>
    </w:p>
    <w:p w14:paraId="1FB23E7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26.2.1 符合专业条件的供应商或者对招标文件作实质响应的供应商不足三家的。</w:t>
      </w:r>
    </w:p>
    <w:p w14:paraId="382BD0E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26.2.2 出现影响采购公正的违法、违规行为的。</w:t>
      </w:r>
    </w:p>
    <w:p w14:paraId="701A114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26.2.3 因重大变故，采购任务取消的。</w:t>
      </w:r>
    </w:p>
    <w:p w14:paraId="42F0670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26.2.4 评标委员会认定招标文件存在歧义、重大缺陷导致评审工作无法进行。</w:t>
      </w:r>
    </w:p>
    <w:p w14:paraId="7613CE1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26.2.5 因苏采云系统系统故障原因造成开标不成功的。</w:t>
      </w:r>
    </w:p>
    <w:p w14:paraId="7566388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26.3 投标截止时间结束后参加投标的供应商不足三家的处理：</w:t>
      </w:r>
    </w:p>
    <w:p w14:paraId="3E23442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26.3.1 如出现投标截止时间结束后参加投标的供应商或者在评标期间对招标文件做出实质响应的供应商不足三家情况，按政府采购相关规定执行。</w:t>
      </w:r>
      <w:bookmarkEnd w:id="21"/>
      <w:bookmarkEnd w:id="22"/>
      <w:bookmarkEnd w:id="23"/>
    </w:p>
    <w:p w14:paraId="47189E1C">
      <w:pPr>
        <w:spacing w:line="520" w:lineRule="exact"/>
        <w:rPr>
          <w:rFonts w:hint="eastAsia" w:ascii="仿宋" w:hAnsi="仿宋" w:eastAsia="仿宋" w:cs="仿宋"/>
          <w:b/>
          <w:color w:val="auto"/>
          <w:sz w:val="32"/>
          <w:szCs w:val="32"/>
          <w:highlight w:val="none"/>
        </w:rPr>
      </w:pPr>
      <w:bookmarkStart w:id="24" w:name="_Toc120614219"/>
      <w:r>
        <w:rPr>
          <w:rFonts w:hint="eastAsia" w:ascii="仿宋" w:hAnsi="仿宋" w:eastAsia="仿宋" w:cs="仿宋"/>
          <w:b/>
          <w:color w:val="auto"/>
          <w:sz w:val="32"/>
          <w:szCs w:val="32"/>
          <w:highlight w:val="none"/>
        </w:rPr>
        <w:t>六、定标</w:t>
      </w:r>
      <w:bookmarkEnd w:id="24"/>
    </w:p>
    <w:p w14:paraId="04FF282B">
      <w:pPr>
        <w:spacing w:line="520" w:lineRule="exact"/>
        <w:rPr>
          <w:rFonts w:hint="eastAsia" w:ascii="仿宋" w:hAnsi="仿宋" w:eastAsia="仿宋" w:cs="仿宋"/>
          <w:color w:val="auto"/>
          <w:sz w:val="28"/>
          <w:szCs w:val="28"/>
          <w:highlight w:val="none"/>
        </w:rPr>
      </w:pPr>
      <w:bookmarkStart w:id="25" w:name="_Toc513029238"/>
      <w:bookmarkStart w:id="26" w:name="_Toc16938554"/>
      <w:bookmarkStart w:id="27" w:name="_Toc20823310"/>
      <w:r>
        <w:rPr>
          <w:rFonts w:hint="eastAsia" w:ascii="仿宋" w:hAnsi="仿宋" w:eastAsia="仿宋" w:cs="仿宋"/>
          <w:color w:val="auto"/>
          <w:sz w:val="28"/>
          <w:szCs w:val="28"/>
          <w:highlight w:val="none"/>
        </w:rPr>
        <w:t>2</w:t>
      </w:r>
      <w:bookmarkEnd w:id="25"/>
      <w:r>
        <w:rPr>
          <w:rFonts w:hint="eastAsia" w:ascii="仿宋" w:hAnsi="仿宋" w:eastAsia="仿宋" w:cs="仿宋"/>
          <w:color w:val="auto"/>
          <w:sz w:val="28"/>
          <w:szCs w:val="28"/>
          <w:highlight w:val="none"/>
        </w:rPr>
        <w:t>7.确定</w:t>
      </w:r>
      <w:bookmarkEnd w:id="26"/>
      <w:bookmarkEnd w:id="27"/>
      <w:r>
        <w:rPr>
          <w:rFonts w:hint="eastAsia" w:ascii="仿宋" w:hAnsi="仿宋" w:eastAsia="仿宋" w:cs="仿宋"/>
          <w:color w:val="auto"/>
          <w:sz w:val="28"/>
          <w:szCs w:val="28"/>
          <w:highlight w:val="none"/>
        </w:rPr>
        <w:t>中标单位</w:t>
      </w:r>
    </w:p>
    <w:p w14:paraId="60C2CC59">
      <w:pPr>
        <w:spacing w:line="520" w:lineRule="exact"/>
        <w:ind w:firstLine="560"/>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 中标候选人的选取原则和数量见招标文件第三章规定。 </w:t>
      </w:r>
    </w:p>
    <w:p w14:paraId="5F2D8EB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27.2 采购人应根据评委会推荐的中标候选人确定中标人。</w:t>
      </w:r>
    </w:p>
    <w:p w14:paraId="2A89D923">
      <w:pPr>
        <w:spacing w:line="520" w:lineRule="exact"/>
        <w:ind w:firstLine="560"/>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27.3采购人必须在5个工作日内确定中标或成交供应商。</w:t>
      </w:r>
    </w:p>
    <w:p w14:paraId="75BBEEF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27.4 若有充分证据证明，中标人出现下列情况之一的，一经查实，将被取消中标资格：</w:t>
      </w:r>
    </w:p>
    <w:p w14:paraId="08AA0D9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27.4.1 提供虚假材料谋取中标的。</w:t>
      </w:r>
    </w:p>
    <w:p w14:paraId="622D32F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27.4.2 向采购人、</w:t>
      </w:r>
      <w:r>
        <w:rPr>
          <w:rFonts w:hint="eastAsia" w:ascii="仿宋" w:hAnsi="仿宋" w:eastAsia="仿宋" w:cs="仿宋"/>
          <w:color w:val="auto"/>
          <w:sz w:val="28"/>
          <w:szCs w:val="28"/>
          <w:highlight w:val="none"/>
          <w:lang w:eastAsia="zh-CN"/>
        </w:rPr>
        <w:t>采购代理机构</w:t>
      </w:r>
      <w:r>
        <w:rPr>
          <w:rFonts w:hint="eastAsia" w:ascii="仿宋" w:hAnsi="仿宋" w:eastAsia="仿宋" w:cs="仿宋"/>
          <w:color w:val="auto"/>
          <w:sz w:val="28"/>
          <w:szCs w:val="28"/>
          <w:highlight w:val="none"/>
        </w:rPr>
        <w:t>行贿或者提供其他不正当利益的。</w:t>
      </w:r>
    </w:p>
    <w:p w14:paraId="522F9F7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27.4.3 属于本文件规定的无效条件，但在评标过程中又未被评委会发现的。</w:t>
      </w:r>
    </w:p>
    <w:p w14:paraId="31ABEC0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27.4.4 与采购人或者其他供应商恶意串通的。</w:t>
      </w:r>
    </w:p>
    <w:p w14:paraId="3087561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27.4.5 采取不正当手段诋毁、排挤其他供应商的。</w:t>
      </w:r>
    </w:p>
    <w:p w14:paraId="79167724">
      <w:pPr>
        <w:spacing w:line="520" w:lineRule="exact"/>
        <w:ind w:firstLine="560"/>
        <w:rPr>
          <w:rFonts w:hint="eastAsia" w:ascii="仿宋" w:hAnsi="仿宋" w:eastAsia="仿宋" w:cs="仿宋"/>
          <w:color w:val="auto"/>
          <w:sz w:val="28"/>
          <w:szCs w:val="28"/>
          <w:highlight w:val="none"/>
        </w:rPr>
      </w:pPr>
      <w:bookmarkStart w:id="28" w:name="_Toc200451960"/>
      <w:r>
        <w:rPr>
          <w:rFonts w:hint="eastAsia" w:ascii="仿宋" w:hAnsi="仿宋" w:eastAsia="仿宋" w:cs="仿宋"/>
          <w:color w:val="auto"/>
          <w:sz w:val="28"/>
          <w:szCs w:val="28"/>
          <w:highlight w:val="none"/>
        </w:rPr>
        <w:t>27.5.有下列情形之一的，视为投标人串通投标，投标无效：</w:t>
      </w:r>
    </w:p>
    <w:p w14:paraId="5C2137A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27.5.1不同投标人的投标文件由同一单位或者个人编制；</w:t>
      </w:r>
    </w:p>
    <w:p w14:paraId="2C6BFACA">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27.5.2不同投标人委托同一单位或者个人办理投标事宜；</w:t>
      </w:r>
    </w:p>
    <w:p w14:paraId="578DC48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27.5.3 不同投标人的投标文件载明的项目管理成员或者联系人员为同一人；</w:t>
      </w:r>
    </w:p>
    <w:p w14:paraId="09B2779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27.5.4不同投标人的投标文件异常一致或者投标报价呈规律性差异；</w:t>
      </w:r>
    </w:p>
    <w:p w14:paraId="43B7946C">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28．质疑处理</w:t>
      </w:r>
      <w:bookmarkEnd w:id="28"/>
    </w:p>
    <w:p w14:paraId="062CA5C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28.1投标人认为采购文件、采购过程和中标结果使自己的权益受到损害的，可以在知道或者应知其权益受到损害之日起七个工作日内，以书面形式提出质疑。</w:t>
      </w:r>
    </w:p>
    <w:p w14:paraId="6D6424D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28.2上述应知其权益受到损害之日是指:</w:t>
      </w:r>
    </w:p>
    <w:p w14:paraId="1BD1A307">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（1）对招标文件提出质疑的，为采购文件公告期限届满之日起计算；</w:t>
      </w:r>
    </w:p>
    <w:p w14:paraId="5379AF6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（2）对采购过程提出质疑的，为各采购程序环节结束之日起计算；</w:t>
      </w:r>
    </w:p>
    <w:p w14:paraId="68F1FFD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（3）对中标结果提出质疑的，为中标结果公告期限届满之日起计算。</w:t>
      </w:r>
    </w:p>
    <w:p w14:paraId="28C32B1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28.3质疑投标人是指直接参加本次投标活动的投标人，未参加投标活动的投标人或在投标活动中自身权益未受到损害的投标人所提出的质疑不予受理。</w:t>
      </w:r>
    </w:p>
    <w:p w14:paraId="146EAE4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28.4质疑投标人在法定质疑期内应当一次性针对同一采购环节提出质疑。</w:t>
      </w:r>
    </w:p>
    <w:p w14:paraId="7AB9E23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28.5质疑函应当包括以下主要内容，附上相关证明材料。否则，</w:t>
      </w:r>
      <w:r>
        <w:rPr>
          <w:rFonts w:hint="eastAsia" w:ascii="仿宋" w:hAnsi="仿宋" w:eastAsia="仿宋" w:cs="仿宋"/>
          <w:color w:val="auto"/>
          <w:sz w:val="28"/>
          <w:szCs w:val="28"/>
          <w:highlight w:val="none"/>
          <w:lang w:eastAsia="zh-CN"/>
        </w:rPr>
        <w:t>采购代理机构</w:t>
      </w:r>
      <w:r>
        <w:rPr>
          <w:rFonts w:hint="eastAsia" w:ascii="仿宋" w:hAnsi="仿宋" w:eastAsia="仿宋" w:cs="仿宋"/>
          <w:color w:val="auto"/>
          <w:sz w:val="28"/>
          <w:szCs w:val="28"/>
          <w:highlight w:val="none"/>
        </w:rPr>
        <w:t>不予受理。</w:t>
      </w:r>
    </w:p>
    <w:p w14:paraId="2DC8E07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（1）质疑投标人的名称、地址、邮编、联系人及联系电话；</w:t>
      </w:r>
    </w:p>
    <w:p w14:paraId="5EC7818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（2）质疑项目的名称、编号；</w:t>
      </w:r>
    </w:p>
    <w:p w14:paraId="0D2F29B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（3）具体、明确的质疑事项和与质疑事实相关的请求；</w:t>
      </w:r>
    </w:p>
    <w:p w14:paraId="5DAE539E">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（4）事实依据；</w:t>
      </w:r>
    </w:p>
    <w:p w14:paraId="252E9FB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（5）必要的法律依据；</w:t>
      </w:r>
    </w:p>
    <w:p w14:paraId="6BB65AB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（6）提起质疑的日期；</w:t>
      </w:r>
    </w:p>
    <w:p w14:paraId="11563314">
      <w:pPr>
        <w:spacing w:line="520" w:lineRule="exact"/>
        <w:ind w:firstLine="562"/>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【质疑函必须署名，由法定代表人或者其授权代表签字，并加盖单位电子公章。授权代表签字的，还需提供法定代表人出具的办理质疑事项授权书（授权中必须载明具体权限、期限和事项）。】</w:t>
      </w:r>
    </w:p>
    <w:p w14:paraId="74EB6E0A">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p>
    <w:p w14:paraId="7BCCACC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28.7对于内容、格式符合规定的质疑函，采购人</w:t>
      </w:r>
      <w:r>
        <w:rPr>
          <w:rFonts w:hint="eastAsia" w:ascii="仿宋" w:hAnsi="仿宋" w:eastAsia="仿宋" w:cs="仿宋"/>
          <w:b/>
          <w:bCs/>
          <w:color w:val="auto"/>
          <w:sz w:val="28"/>
          <w:szCs w:val="28"/>
          <w:highlight w:val="none"/>
        </w:rPr>
        <w:t>在五个工作日</w:t>
      </w:r>
      <w:r>
        <w:rPr>
          <w:rFonts w:hint="eastAsia" w:ascii="仿宋" w:hAnsi="仿宋" w:eastAsia="仿宋" w:cs="仿宋"/>
          <w:color w:val="auto"/>
          <w:sz w:val="28"/>
          <w:szCs w:val="28"/>
          <w:highlight w:val="none"/>
        </w:rPr>
        <w:t>以电子文件的形式作出答复，但质疑答复的内容不涉及商业秘密。如果质疑投标人还需要纸质形式回复函的，需主动与采购人联系索取，或者在质疑函中明确提出该要求。</w:t>
      </w:r>
    </w:p>
    <w:p w14:paraId="34FCD9E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28.8投标人提出的质疑必须有理、有据，不得恶意质疑或提交虚假质疑。</w:t>
      </w:r>
    </w:p>
    <w:p w14:paraId="39FF366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否则，一经查实，</w:t>
      </w:r>
      <w:r>
        <w:rPr>
          <w:rFonts w:hint="eastAsia" w:ascii="仿宋" w:hAnsi="仿宋" w:eastAsia="仿宋" w:cs="仿宋"/>
          <w:color w:val="auto"/>
          <w:sz w:val="28"/>
          <w:szCs w:val="28"/>
          <w:highlight w:val="none"/>
          <w:lang w:eastAsia="zh-CN"/>
        </w:rPr>
        <w:t>采购代理机构</w:t>
      </w:r>
      <w:r>
        <w:rPr>
          <w:rFonts w:hint="eastAsia" w:ascii="仿宋" w:hAnsi="仿宋" w:eastAsia="仿宋" w:cs="仿宋"/>
          <w:color w:val="auto"/>
          <w:sz w:val="28"/>
          <w:szCs w:val="28"/>
          <w:highlight w:val="none"/>
        </w:rPr>
        <w:t>有权依据政府采购的有关规定，报请淮安市财政局政府采购管理处对该投标人列入失信行为或不良行为记录名单，进行相应的行政处罚。</w:t>
      </w:r>
    </w:p>
    <w:p w14:paraId="37C1357F">
      <w:pPr>
        <w:spacing w:line="520" w:lineRule="exact"/>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29.中标通知书</w:t>
      </w:r>
    </w:p>
    <w:p w14:paraId="44E1D467">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29.l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D85F21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29.2 中标通知书将是合同的一个组成部分。对采购人和中标</w:t>
      </w:r>
      <w:r>
        <w:rPr>
          <w:rFonts w:hint="eastAsia" w:ascii="仿宋" w:hAnsi="仿宋" w:eastAsia="仿宋" w:cs="仿宋"/>
          <w:color w:val="auto"/>
          <w:sz w:val="28"/>
          <w:szCs w:val="28"/>
          <w:highlight w:val="none"/>
          <w:lang w:val="en-US" w:eastAsia="zh-CN"/>
        </w:rPr>
        <w:t>人</w:t>
      </w:r>
      <w:r>
        <w:rPr>
          <w:rFonts w:hint="eastAsia" w:ascii="仿宋" w:hAnsi="仿宋" w:eastAsia="仿宋" w:cs="仿宋"/>
          <w:color w:val="auto"/>
          <w:sz w:val="28"/>
          <w:szCs w:val="28"/>
          <w:highlight w:val="none"/>
        </w:rPr>
        <w:t>均具有法律效力。中标通知书发出后，采购人改变中标结果的，或者中标供应商放弃中标项目的，应当依法承担法律责任。</w:t>
      </w:r>
    </w:p>
    <w:p w14:paraId="64116A47">
      <w:pPr>
        <w:spacing w:line="520" w:lineRule="exact"/>
        <w:rPr>
          <w:rFonts w:hint="eastAsia" w:ascii="仿宋" w:hAnsi="仿宋" w:eastAsia="仿宋" w:cs="仿宋"/>
          <w:b/>
          <w:color w:val="auto"/>
          <w:sz w:val="32"/>
          <w:szCs w:val="32"/>
          <w:highlight w:val="none"/>
        </w:rPr>
      </w:pPr>
      <w:bookmarkStart w:id="29" w:name="_Toc120614220"/>
      <w:bookmarkStart w:id="30" w:name="_Toc513029236"/>
      <w:bookmarkStart w:id="31" w:name="_Toc16938552"/>
      <w:bookmarkStart w:id="32" w:name="_Toc20823308"/>
      <w:r>
        <w:rPr>
          <w:rFonts w:hint="eastAsia" w:ascii="仿宋" w:hAnsi="仿宋" w:eastAsia="仿宋" w:cs="仿宋"/>
          <w:b/>
          <w:color w:val="auto"/>
          <w:sz w:val="32"/>
          <w:szCs w:val="32"/>
          <w:highlight w:val="none"/>
        </w:rPr>
        <w:t>七、授予合同</w:t>
      </w:r>
      <w:bookmarkEnd w:id="29"/>
      <w:bookmarkEnd w:id="30"/>
      <w:bookmarkEnd w:id="31"/>
      <w:bookmarkEnd w:id="32"/>
    </w:p>
    <w:p w14:paraId="38098AB7">
      <w:pPr>
        <w:spacing w:line="520" w:lineRule="exact"/>
        <w:outlineLvl w:val="0"/>
        <w:rPr>
          <w:rFonts w:hint="eastAsia" w:ascii="仿宋" w:hAnsi="仿宋" w:eastAsia="仿宋" w:cs="仿宋"/>
          <w:color w:val="auto"/>
          <w:sz w:val="28"/>
          <w:szCs w:val="28"/>
          <w:highlight w:val="none"/>
        </w:rPr>
      </w:pPr>
      <w:bookmarkStart w:id="33" w:name="_Toc513029237"/>
      <w:bookmarkStart w:id="34" w:name="_Toc20823309"/>
      <w:bookmarkStart w:id="35" w:name="_Toc16938553"/>
      <w:r>
        <w:rPr>
          <w:rFonts w:hint="eastAsia" w:ascii="仿宋" w:hAnsi="仿宋" w:eastAsia="仿宋" w:cs="仿宋"/>
          <w:color w:val="auto"/>
          <w:sz w:val="28"/>
          <w:szCs w:val="28"/>
          <w:highlight w:val="none"/>
        </w:rPr>
        <w:t>30.签订合同</w:t>
      </w:r>
      <w:r>
        <w:rPr>
          <w:rFonts w:hint="eastAsia" w:ascii="仿宋" w:hAnsi="仿宋" w:eastAsia="仿宋" w:cs="仿宋"/>
          <w:color w:val="auto"/>
          <w:sz w:val="28"/>
          <w:szCs w:val="28"/>
          <w:highlight w:val="none"/>
        </w:rPr>
        <w:tab/>
      </w:r>
    </w:p>
    <w:p w14:paraId="1F92AD92">
      <w:pPr>
        <w:spacing w:line="520" w:lineRule="exact"/>
        <w:ind w:firstLine="56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30.1中标或者成交供应商拒绝与采购人签订合同的，采购人可按评审报告推荐的中标候选人名单排序，确定下一候选人为中标人，也可自主选择重新开展政府采购活动。</w:t>
      </w:r>
    </w:p>
    <w:p w14:paraId="5750A71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30.</w:t>
      </w:r>
      <w:r>
        <w:rPr>
          <w:rFonts w:hint="eastAsia" w:ascii="仿宋" w:hAnsi="仿宋" w:eastAsia="仿宋" w:cs="仿宋"/>
          <w:color w:val="auto"/>
          <w:sz w:val="28"/>
          <w:szCs w:val="28"/>
          <w:highlight w:val="none"/>
          <w:lang w:val="en-US" w:eastAsia="zh-CN"/>
        </w:rPr>
        <w:t>2</w:t>
      </w:r>
      <w:r>
        <w:rPr>
          <w:rFonts w:hint="eastAsia" w:ascii="仿宋" w:hAnsi="仿宋" w:eastAsia="仿宋" w:cs="仿宋"/>
          <w:b/>
          <w:bCs/>
          <w:color w:val="auto"/>
          <w:sz w:val="28"/>
          <w:szCs w:val="28"/>
          <w:highlight w:val="none"/>
        </w:rPr>
        <w:t>中标人应当在中标通知书发出之日起</w:t>
      </w:r>
      <w:r>
        <w:rPr>
          <w:rFonts w:hint="eastAsia" w:ascii="仿宋" w:hAnsi="仿宋" w:eastAsia="仿宋" w:cs="仿宋"/>
          <w:b/>
          <w:bCs/>
          <w:color w:val="auto"/>
          <w:sz w:val="28"/>
          <w:szCs w:val="28"/>
          <w:highlight w:val="none"/>
          <w:lang w:val="en-US" w:eastAsia="zh-CN"/>
        </w:rPr>
        <w:t>30</w:t>
      </w:r>
      <w:r>
        <w:rPr>
          <w:rFonts w:hint="eastAsia" w:ascii="仿宋" w:hAnsi="仿宋" w:eastAsia="仿宋" w:cs="仿宋"/>
          <w:b/>
          <w:bCs/>
          <w:color w:val="auto"/>
          <w:sz w:val="28"/>
          <w:szCs w:val="28"/>
          <w:highlight w:val="none"/>
        </w:rPr>
        <w:t>日内，按照招标文件确定的事项与采购人签订政府采购合同。</w:t>
      </w:r>
    </w:p>
    <w:p w14:paraId="67491D0E">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30.</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 xml:space="preserve"> 招标文件、中标人的投标文件及招标过程中有关澄清、承诺文件均应作为合同附件。</w:t>
      </w:r>
    </w:p>
    <w:p w14:paraId="6D86C15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30.</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 xml:space="preserve"> 签订合同后，中标人不得将合同标的进行转包。未经采购人同意，中标人也不得采用分包的形式履行合同，否则采购人有权终止合同。转包或分包造成采购人损失的，中标人应承担相应赔偿责任。</w:t>
      </w:r>
    </w:p>
    <w:p w14:paraId="5F5AE0D7">
      <w:pPr>
        <w:spacing w:line="520" w:lineRule="exact"/>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31.货物（包含与货物相关的服务）的追加</w:t>
      </w:r>
    </w:p>
    <w:p w14:paraId="1EC8FFF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政府采购合同履行中，采购人需追加与合同标的相同的货物（包含与货物相关的服务）的，在不改变合同其他条款的前提下，可以与中标人协商签订补充合同，但所有补充合同的采购金额不超过原合同金额10%。</w:t>
      </w:r>
    </w:p>
    <w:p w14:paraId="39AAE6D6">
      <w:pPr>
        <w:pStyle w:val="25"/>
        <w:spacing w:line="520" w:lineRule="exact"/>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32.履约保证金</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val="en-US" w:eastAsia="zh-CN"/>
        </w:rPr>
        <w:t>本项目无需履约保证金</w:t>
      </w:r>
      <w:r>
        <w:rPr>
          <w:rFonts w:hint="eastAsia" w:ascii="仿宋" w:hAnsi="仿宋" w:eastAsia="仿宋" w:cs="仿宋"/>
          <w:b/>
          <w:bCs/>
          <w:color w:val="auto"/>
          <w:sz w:val="28"/>
          <w:szCs w:val="28"/>
          <w:highlight w:val="none"/>
        </w:rPr>
        <w:t>）</w:t>
      </w:r>
      <w:bookmarkEnd w:id="33"/>
      <w:bookmarkEnd w:id="34"/>
      <w:bookmarkEnd w:id="35"/>
    </w:p>
    <w:p w14:paraId="15A73186">
      <w:pPr>
        <w:spacing w:line="520" w:lineRule="exact"/>
        <w:rPr>
          <w:rFonts w:hint="eastAsia" w:ascii="仿宋" w:hAnsi="仿宋" w:eastAsia="仿宋" w:cs="仿宋"/>
          <w:b/>
          <w:bCs/>
          <w:color w:val="auto"/>
          <w:sz w:val="32"/>
          <w:szCs w:val="28"/>
          <w:highlight w:val="none"/>
        </w:rPr>
      </w:pPr>
      <w:r>
        <w:rPr>
          <w:rFonts w:hint="eastAsia" w:ascii="仿宋" w:hAnsi="仿宋" w:eastAsia="仿宋" w:cs="仿宋"/>
          <w:b/>
          <w:bCs/>
          <w:color w:val="auto"/>
          <w:sz w:val="32"/>
          <w:szCs w:val="28"/>
          <w:highlight w:val="none"/>
        </w:rPr>
        <w:t>八、政府采购政策功能落实</w:t>
      </w:r>
    </w:p>
    <w:p w14:paraId="5BFCFA3B">
      <w:pPr>
        <w:spacing w:line="520" w:lineRule="exact"/>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w:t>
      </w:r>
      <w:r>
        <w:rPr>
          <w:rFonts w:hint="eastAsia" w:ascii="仿宋" w:hAnsi="仿宋" w:eastAsia="仿宋" w:cs="仿宋"/>
          <w:color w:val="auto"/>
          <w:sz w:val="28"/>
          <w:szCs w:val="28"/>
          <w:highlight w:val="none"/>
          <w:lang w:val="zh-CN"/>
        </w:rPr>
        <w:t>促进中小企业发展</w:t>
      </w:r>
      <w:r>
        <w:rPr>
          <w:rFonts w:hint="eastAsia" w:ascii="仿宋" w:hAnsi="仿宋" w:eastAsia="仿宋" w:cs="仿宋"/>
          <w:color w:val="auto"/>
          <w:sz w:val="28"/>
          <w:szCs w:val="28"/>
          <w:highlight w:val="none"/>
        </w:rPr>
        <w:t>政策</w:t>
      </w:r>
    </w:p>
    <w:p w14:paraId="4152A59D">
      <w:pPr>
        <w:spacing w:line="520" w:lineRule="exact"/>
        <w:ind w:firstLine="56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33.1 小微型企业价格扣除</w:t>
      </w:r>
    </w:p>
    <w:p w14:paraId="36AADDC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33.1.1 </w:t>
      </w:r>
      <w:r>
        <w:rPr>
          <w:rFonts w:hint="eastAsia" w:ascii="仿宋" w:hAnsi="仿宋" w:eastAsia="仿宋" w:cs="仿宋"/>
          <w:color w:val="auto"/>
          <w:sz w:val="28"/>
          <w:szCs w:val="28"/>
          <w:highlight w:val="none"/>
          <w:lang w:val="zh-CN"/>
        </w:rPr>
        <w:t>对于未专门面向中小企业或者未预留份额专门面向中小企业采购的采购项目，供应商提供的货物或者服务</w:t>
      </w:r>
      <w:r>
        <w:rPr>
          <w:rFonts w:hint="eastAsia" w:ascii="仿宋" w:hAnsi="仿宋" w:eastAsia="仿宋" w:cs="仿宋"/>
          <w:color w:val="auto"/>
          <w:sz w:val="28"/>
          <w:szCs w:val="28"/>
          <w:highlight w:val="none"/>
        </w:rPr>
        <w:t>符合下列情形的，享受本办法规定的中小企业扶持政策给予小微企业报价20%的扣除，用扣除后的价格参与评审：</w:t>
      </w:r>
    </w:p>
    <w:p w14:paraId="2652E44E">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（1）在货物采购项目中，货物由中小企业制造，即货物由中小企业生产且使用该中小企业商号或者注册商标；</w:t>
      </w:r>
    </w:p>
    <w:p w14:paraId="69388D9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（2）在服务采购项目中，服务由中小企业承接，即提供服务的人员为中小企业依照《中华人民共和国劳动合同法》订立劳动合同的从业人员。</w:t>
      </w:r>
    </w:p>
    <w:p w14:paraId="39D8D7B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33.1.2 在货物采购项目中，供应商提供的货物既有中小企业制造货物，也有大型企业制造货物的，不享受本办法规定的中小企业扶持政策。</w:t>
      </w:r>
    </w:p>
    <w:p w14:paraId="00FD709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33.2 联合体及分包</w:t>
      </w:r>
    </w:p>
    <w:p w14:paraId="034D823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33.2.1 以联合体形式参加政府采购活动，联合体各方均为中小企业的，联合体视同中小企业。其中，联合体各方均为小微企业的，联合体视同小微企业。</w:t>
      </w:r>
    </w:p>
    <w:p w14:paraId="44E61DA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33.2.2享受扶持政策获得政府采购合同的，小微企业不得将合同分包给大中型企业，中型企业不得将合同分包给大型企业。</w:t>
      </w:r>
    </w:p>
    <w:p w14:paraId="6ACEF93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68CED5F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14867BF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33.3小微型企业</w:t>
      </w:r>
    </w:p>
    <w:p w14:paraId="3F3DE29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（1）投标人须按照招标文件的要求提供相应的《企业声明函》，详见招标文件第六章示范格式。</w:t>
      </w:r>
    </w:p>
    <w:p w14:paraId="696610F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（2）企业标准请参照《政府采购促进中小企业发展管理办法》（财库【2020】46号）文件规定自行填写。</w:t>
      </w:r>
    </w:p>
    <w:p w14:paraId="3ED4849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33.4残疾人福利单位</w:t>
      </w:r>
    </w:p>
    <w:p w14:paraId="6589B4D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（1）残疾人福利单位需按照招标文件的要求提供《残疾人福利性单位声明函》，详见招标文件第六章示范格式。</w:t>
      </w:r>
    </w:p>
    <w:p w14:paraId="66BBEC9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（2）残疾人福利单位标准请参照《关于促进残疾人就业政府采购政策的通知》（财库〔2017〕141号）。</w:t>
      </w:r>
    </w:p>
    <w:p w14:paraId="5C52DAB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33.5监狱和戒毒企业</w:t>
      </w:r>
    </w:p>
    <w:p w14:paraId="73F8A00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（1）监狱企业参加政府采购活动时，需提供由省级以上监狱管理局、戒毒管理局（含新疆生产建设兵团）出具的属于监狱企业的证明文件）（投标文件中上传加盖出具单位公章的电子件）。</w:t>
      </w:r>
    </w:p>
    <w:p w14:paraId="1D9D50B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（2）监狱企业标准请参照《关于政府采购支持监狱企业发展有关问题的通知》（财库[2014]68号）。</w:t>
      </w:r>
    </w:p>
    <w:p w14:paraId="2642DE01">
      <w:pPr>
        <w:spacing w:line="520" w:lineRule="exact"/>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34.节能、环保政策</w:t>
      </w:r>
    </w:p>
    <w:p w14:paraId="3DC4567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118ABD1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34.2 节能产品</w:t>
      </w:r>
    </w:p>
    <w:p w14:paraId="76CAEDDE">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被列入“节能产品品目清单”的，实行</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p w14:paraId="2F1012C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34.3 环保产品</w:t>
      </w:r>
    </w:p>
    <w:p w14:paraId="52BE1A6E">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本项目中</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被列入“环境标志产品品目清单”的，实行优先采购。</w:t>
      </w:r>
    </w:p>
    <w:p w14:paraId="09FAB1B9">
      <w:pPr>
        <w:spacing w:line="520" w:lineRule="exact"/>
        <w:ind w:firstLine="560"/>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rPr>
        <w:t>34.4 本项目中实行“强制采购”的，需</w:t>
      </w:r>
      <w:r>
        <w:rPr>
          <w:rFonts w:hint="eastAsia" w:ascii="仿宋" w:hAnsi="仿宋" w:eastAsia="仿宋" w:cs="仿宋"/>
          <w:color w:val="auto"/>
          <w:sz w:val="28"/>
          <w:highlight w:val="none"/>
        </w:rPr>
        <w:t>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p>
    <w:p w14:paraId="01765EBC">
      <w:pPr>
        <w:spacing w:line="520" w:lineRule="exact"/>
        <w:ind w:firstLine="560"/>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34.5 节能、环保产品的品目清单按照《关于印发环境标志产品政府采购品目清单的通知》（财库〔2019〕18号）、《关于印发节能产品政府采购品目清单的</w:t>
      </w:r>
      <w:r>
        <w:rPr>
          <w:rFonts w:hint="eastAsia" w:ascii="仿宋" w:hAnsi="仿宋" w:eastAsia="仿宋" w:cs="仿宋"/>
          <w:bCs/>
          <w:color w:val="auto"/>
          <w:sz w:val="28"/>
          <w:szCs w:val="28"/>
          <w:highlight w:val="none"/>
        </w:rPr>
        <w:t>通知》（财库〔2019〕19号）执行。国家对品目清单进行调整的，按照最新调整的品目清单执行。</w:t>
      </w:r>
    </w:p>
    <w:p w14:paraId="09F6A1CC">
      <w:pPr>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35</w:t>
      </w:r>
      <w:r>
        <w:rPr>
          <w:rFonts w:hint="eastAsia" w:ascii="仿宋" w:hAnsi="仿宋" w:eastAsia="仿宋" w:cs="仿宋"/>
          <w:color w:val="auto"/>
          <w:sz w:val="28"/>
          <w:szCs w:val="28"/>
          <w:highlight w:val="none"/>
        </w:rPr>
        <w:t>.</w:t>
      </w:r>
      <w:r>
        <w:rPr>
          <w:rFonts w:hint="eastAsia" w:ascii="仿宋" w:hAnsi="仿宋" w:eastAsia="仿宋" w:cs="仿宋"/>
          <w:bCs/>
          <w:color w:val="auto"/>
          <w:sz w:val="28"/>
          <w:szCs w:val="28"/>
          <w:highlight w:val="none"/>
        </w:rPr>
        <w:t>政府绿色采购</w:t>
      </w:r>
    </w:p>
    <w:p w14:paraId="570CD724">
      <w:pPr>
        <w:spacing w:line="520" w:lineRule="exact"/>
        <w:ind w:firstLine="560"/>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根据《江苏省财政厅关于加强政府绿色采购有关事项的通知》（苏财购〔2023〕65号）的要求，落实政府绿色采购相关政策，具体如下：</w:t>
      </w:r>
    </w:p>
    <w:p w14:paraId="0012CB54">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35.1 本项目为货物类采购项目的，所提供的产品需综合考虑节能环保、节水、循环再生、低碳、有机等因素；本项目为物业、合同能源管理等服务类采购项目的，应在服务中加强绿色低碳管理。</w:t>
      </w:r>
    </w:p>
    <w:p w14:paraId="1A9450FA">
      <w:pPr>
        <w:spacing w:line="52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35.2 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p>
    <w:p w14:paraId="621E0C68">
      <w:pPr>
        <w:spacing w:line="52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35.3 本项目中涉及胶黏剂、清洗剂等挥发性有机物产品的，要执行国家和江苏省VOCs含量限制标准，优先使用低挥发性原辅材料，使用低VOCs含量的涂料、胶黏剂等。</w:t>
      </w:r>
    </w:p>
    <w:p w14:paraId="6F3C957B">
      <w:pPr>
        <w:spacing w:line="520" w:lineRule="exact"/>
        <w:outlineLvl w:val="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36.履约资金扶持政策</w:t>
      </w:r>
    </w:p>
    <w:p w14:paraId="09CB3AE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23F8B0B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36.2 有融资贷款需求的中标人，与采购人在苏采云【合同在线签订】模块中进行合同在线签订时，【账户信息完善】的“是否融资”一栏中需选择“是”，同时完善收款账号信息和合同补充协议（融资账号）。</w:t>
      </w:r>
    </w:p>
    <w:p w14:paraId="71ABEFCD">
      <w:pPr>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37.采购本国产品的支持政策</w:t>
      </w:r>
    </w:p>
    <w:p w14:paraId="17BDA04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37.</w:t>
      </w:r>
      <w:r>
        <w:rPr>
          <w:rFonts w:hint="eastAsia" w:ascii="仿宋" w:hAnsi="仿宋" w:eastAsia="仿宋" w:cs="仿宋"/>
          <w:color w:val="auto"/>
          <w:sz w:val="28"/>
          <w:szCs w:val="28"/>
          <w:highlight w:val="none"/>
        </w:rPr>
        <w:t>1本项目政府采购活动中既有本国产品又有非本国产品参与竞争的，依法对本国产品给予价格评审优惠，对本国产品的报价给予20%的价格扣除，用扣除后的价格参与评审。</w:t>
      </w:r>
    </w:p>
    <w:p w14:paraId="49F9468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37.</w:t>
      </w:r>
      <w:r>
        <w:rPr>
          <w:rFonts w:hint="eastAsia" w:ascii="仿宋" w:hAnsi="仿宋" w:eastAsia="仿宋" w:cs="仿宋"/>
          <w:color w:val="auto"/>
          <w:sz w:val="28"/>
          <w:szCs w:val="28"/>
          <w:highlight w:val="none"/>
        </w:rPr>
        <w:t>2当采购项目或者采购包中含有多种产品，</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为该采购项目或者采购包提供的符合本国产品标准的产品成本之和占该</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提供的全部产品成本之和的比例达到80%以上时（</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需在“第六章投标文件格式”的“</w:t>
      </w:r>
      <w:r>
        <w:rPr>
          <w:rFonts w:hint="eastAsia" w:ascii="仿宋" w:hAnsi="仿宋" w:eastAsia="仿宋" w:cs="仿宋"/>
          <w:color w:val="auto"/>
          <w:sz w:val="28"/>
          <w:szCs w:val="28"/>
          <w:highlight w:val="none"/>
          <w:lang w:val="en-US" w:eastAsia="zh-CN"/>
        </w:rPr>
        <w:t>投标报价明细表</w:t>
      </w:r>
      <w:r>
        <w:rPr>
          <w:rFonts w:hint="eastAsia" w:ascii="仿宋" w:hAnsi="仿宋" w:eastAsia="仿宋" w:cs="仿宋"/>
          <w:color w:val="auto"/>
          <w:sz w:val="28"/>
          <w:szCs w:val="28"/>
          <w:highlight w:val="none"/>
        </w:rPr>
        <w:t>”中填写比例数值），依法对该</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提供的全部产品给予价格评审优惠，即对该</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提供的全部产品的总报价给予20%的价格扣除，用扣除后的价格参与评审。</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未填写比例数值，或比例数值未达到80%的，将不享受本国产品价格评审优惠。</w:t>
      </w:r>
    </w:p>
    <w:p w14:paraId="64CA227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37.3</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需按照招标文件的要求提供《关于符合本国产品标准的声明函》（以下简称《声明函》），如不提供将不享受本国产品价格评审优惠。</w:t>
      </w:r>
    </w:p>
    <w:p w14:paraId="00E3DF2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37.</w:t>
      </w:r>
      <w:r>
        <w:rPr>
          <w:rFonts w:hint="eastAsia" w:ascii="仿宋" w:hAnsi="仿宋" w:eastAsia="仿宋" w:cs="仿宋"/>
          <w:color w:val="auto"/>
          <w:sz w:val="28"/>
          <w:szCs w:val="28"/>
          <w:highlight w:val="none"/>
        </w:rPr>
        <w:t>4</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需在《声明函》中逐一、准确填写产品名称、厂名、生产厂址三项信息（《声明函》中用斜线划除的地方无需填写），三项信息中任意一项未填写的视为该项产品不符合本国产品标准，不享受本国产品价格评审优惠。</w:t>
      </w:r>
    </w:p>
    <w:p w14:paraId="5A5752C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37.</w:t>
      </w:r>
      <w:r>
        <w:rPr>
          <w:rFonts w:hint="eastAsia" w:ascii="仿宋" w:hAnsi="仿宋" w:eastAsia="仿宋" w:cs="仿宋"/>
          <w:color w:val="auto"/>
          <w:sz w:val="28"/>
          <w:szCs w:val="28"/>
          <w:highlight w:val="none"/>
        </w:rPr>
        <w:t>5评标过程中，如发现</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在《声明函》内容含义不明确、同类事项与投标（响应）文件表述不一致或者有明显文字错误等情况的，评标委员会应当以书面形式要求</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提供的相关产品视为不符合本国产品标准。</w:t>
      </w:r>
    </w:p>
    <w:p w14:paraId="6A8C09EA">
      <w:pPr>
        <w:spacing w:line="520" w:lineRule="exact"/>
        <w:rPr>
          <w:rFonts w:hint="eastAsia" w:ascii="仿宋" w:hAnsi="仿宋" w:eastAsia="仿宋"/>
          <w:b/>
          <w:bCs/>
          <w:color w:val="auto"/>
          <w:sz w:val="32"/>
          <w:szCs w:val="28"/>
          <w:highlight w:val="none"/>
        </w:rPr>
      </w:pPr>
      <w:r>
        <w:rPr>
          <w:rFonts w:hint="eastAsia" w:ascii="仿宋" w:hAnsi="仿宋" w:eastAsia="仿宋"/>
          <w:b/>
          <w:bCs/>
          <w:color w:val="auto"/>
          <w:sz w:val="32"/>
          <w:szCs w:val="28"/>
          <w:highlight w:val="none"/>
        </w:rPr>
        <w:t>九、异常低价审查</w:t>
      </w:r>
    </w:p>
    <w:p w14:paraId="3A9306B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(一)评审过程中出现下列情形之一的，评审委员会应当启动异常低价投标(响应)审查程序:</w:t>
      </w:r>
    </w:p>
    <w:p w14:paraId="5A29B56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1.投标（响应）报价低于全部通过符合性审查供应商投标（响应）报价平均值</w:t>
      </w:r>
      <w:r>
        <w:rPr>
          <w:rFonts w:hint="eastAsia" w:ascii="仿宋" w:hAnsi="仿宋" w:eastAsia="仿宋" w:cs="仿宋"/>
          <w:color w:val="auto"/>
          <w:sz w:val="28"/>
          <w:szCs w:val="28"/>
          <w:highlight w:val="none"/>
          <w:lang w:val="en-US" w:eastAsia="zh-CN"/>
        </w:rPr>
        <w:t>65</w:t>
      </w:r>
      <w:r>
        <w:rPr>
          <w:rFonts w:hint="eastAsia" w:ascii="仿宋" w:hAnsi="仿宋" w:eastAsia="仿宋" w:cs="仿宋"/>
          <w:color w:val="auto"/>
          <w:sz w:val="28"/>
          <w:szCs w:val="28"/>
          <w:highlight w:val="none"/>
        </w:rPr>
        <w:t>%的，即投标（响应）报价&lt;全部通过符合性审查供应商投标（响应）报价平均值×</w:t>
      </w:r>
      <w:r>
        <w:rPr>
          <w:rFonts w:hint="eastAsia" w:ascii="仿宋" w:hAnsi="仿宋" w:eastAsia="仿宋" w:cs="仿宋"/>
          <w:color w:val="auto"/>
          <w:sz w:val="28"/>
          <w:szCs w:val="28"/>
          <w:highlight w:val="none"/>
          <w:lang w:val="en-US" w:eastAsia="zh-CN"/>
        </w:rPr>
        <w:t>65</w:t>
      </w:r>
      <w:r>
        <w:rPr>
          <w:rFonts w:hint="eastAsia" w:ascii="仿宋" w:hAnsi="仿宋" w:eastAsia="仿宋" w:cs="仿宋"/>
          <w:color w:val="auto"/>
          <w:sz w:val="28"/>
          <w:szCs w:val="28"/>
          <w:highlight w:val="none"/>
        </w:rPr>
        <w:t>%；</w:t>
      </w:r>
    </w:p>
    <w:p w14:paraId="5255C9F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2.投标（响应）报价低于通过符合性审查的次低报价供应商投标（响应）报价</w:t>
      </w:r>
      <w:r>
        <w:rPr>
          <w:rFonts w:hint="eastAsia" w:ascii="仿宋" w:hAnsi="仿宋" w:eastAsia="仿宋" w:cs="仿宋"/>
          <w:color w:val="auto"/>
          <w:sz w:val="28"/>
          <w:szCs w:val="28"/>
          <w:highlight w:val="none"/>
          <w:lang w:val="en-US" w:eastAsia="zh-CN"/>
        </w:rPr>
        <w:t>65</w:t>
      </w:r>
      <w:r>
        <w:rPr>
          <w:rFonts w:hint="eastAsia" w:ascii="仿宋" w:hAnsi="仿宋" w:eastAsia="仿宋" w:cs="仿宋"/>
          <w:color w:val="auto"/>
          <w:sz w:val="28"/>
          <w:szCs w:val="28"/>
          <w:highlight w:val="none"/>
        </w:rPr>
        <w:t>%的，即投标（响应）报价&lt;通过符合性审查的次低报价供应商投标（响应）报价×</w:t>
      </w:r>
      <w:r>
        <w:rPr>
          <w:rFonts w:hint="eastAsia" w:ascii="仿宋" w:hAnsi="仿宋" w:eastAsia="仿宋" w:cs="仿宋"/>
          <w:color w:val="auto"/>
          <w:sz w:val="28"/>
          <w:szCs w:val="28"/>
          <w:highlight w:val="none"/>
          <w:lang w:val="en-US" w:eastAsia="zh-CN"/>
        </w:rPr>
        <w:t>65</w:t>
      </w:r>
      <w:r>
        <w:rPr>
          <w:rFonts w:hint="eastAsia" w:ascii="仿宋" w:hAnsi="仿宋" w:eastAsia="仿宋" w:cs="仿宋"/>
          <w:color w:val="auto"/>
          <w:sz w:val="28"/>
          <w:szCs w:val="28"/>
          <w:highlight w:val="none"/>
        </w:rPr>
        <w:t>%；</w:t>
      </w:r>
    </w:p>
    <w:p w14:paraId="52C5B68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3.投标（响应）报价低于采购项目最高限价</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5%的，即投标（响应）报价&lt;采购项目最高限价×</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5%；</w:t>
      </w:r>
    </w:p>
    <w:p w14:paraId="434372C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4.评审委员会基于专业判断，认为供应商报价过低，有可能影响产品质量或者不能诚信履约的其他情形。</w:t>
      </w:r>
    </w:p>
    <w:p w14:paraId="38500D7A">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6EE50B13">
      <w:pPr>
        <w:spacing w:line="520" w:lineRule="exact"/>
        <w:ind w:firstLine="560"/>
        <w:rPr>
          <w:rFonts w:hint="eastAsia" w:ascii="仿宋" w:hAnsi="仿宋" w:eastAsia="仿宋"/>
          <w:b/>
          <w:bCs/>
          <w:color w:val="auto"/>
          <w:sz w:val="32"/>
          <w:szCs w:val="28"/>
          <w:highlight w:val="none"/>
        </w:rPr>
      </w:pPr>
      <w:r>
        <w:rPr>
          <w:rFonts w:hint="eastAsia" w:ascii="仿宋" w:hAnsi="仿宋" w:eastAsia="仿宋" w:cs="仿宋"/>
          <w:color w:val="auto"/>
          <w:sz w:val="28"/>
          <w:szCs w:val="28"/>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645429C">
      <w:pPr>
        <w:spacing w:line="520" w:lineRule="exact"/>
        <w:ind w:firstLine="560"/>
        <w:rPr>
          <w:rFonts w:hint="eastAsia" w:ascii="仿宋" w:hAnsi="仿宋" w:eastAsia="仿宋"/>
          <w:color w:val="auto"/>
          <w:sz w:val="28"/>
          <w:szCs w:val="28"/>
          <w:highlight w:val="none"/>
        </w:rPr>
      </w:pPr>
    </w:p>
    <w:p w14:paraId="1563E9B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p>
    <w:p w14:paraId="3786F101">
      <w:pPr>
        <w:spacing w:line="520" w:lineRule="exact"/>
        <w:jc w:val="center"/>
        <w:rPr>
          <w:rFonts w:ascii="仿宋" w:hAnsi="仿宋" w:eastAsia="仿宋" w:cs="仿宋"/>
          <w:color w:val="auto"/>
          <w:szCs w:val="28"/>
          <w:highlight w:val="none"/>
        </w:rPr>
      </w:pPr>
      <w:r>
        <w:rPr>
          <w:rFonts w:hint="eastAsia" w:ascii="仿宋" w:hAnsi="仿宋" w:eastAsia="仿宋" w:cs="仿宋"/>
          <w:b/>
          <w:color w:val="auto"/>
          <w:sz w:val="36"/>
          <w:szCs w:val="36"/>
          <w:highlight w:val="none"/>
        </w:rPr>
        <w:t xml:space="preserve">第三章  </w:t>
      </w:r>
      <w:r>
        <w:rPr>
          <w:rFonts w:hint="eastAsia" w:ascii="仿宋" w:hAnsi="仿宋" w:eastAsia="仿宋" w:cs="仿宋"/>
          <w:b/>
          <w:bCs/>
          <w:color w:val="auto"/>
          <w:sz w:val="36"/>
          <w:szCs w:val="36"/>
          <w:highlight w:val="none"/>
        </w:rPr>
        <w:t>评标方法与评标标准</w:t>
      </w:r>
    </w:p>
    <w:p w14:paraId="4C71ADE0">
      <w:pPr>
        <w:numPr>
          <w:ilvl w:val="0"/>
          <w:numId w:val="0"/>
        </w:numPr>
        <w:spacing w:line="520" w:lineRule="exact"/>
        <w:ind w:firstLine="560"/>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一、</w:t>
      </w:r>
      <w:r>
        <w:rPr>
          <w:rFonts w:hint="eastAsia" w:ascii="仿宋" w:hAnsi="仿宋" w:eastAsia="仿宋" w:cs="仿宋"/>
          <w:color w:val="auto"/>
          <w:sz w:val="28"/>
          <w:szCs w:val="28"/>
          <w:highlight w:val="none"/>
        </w:rPr>
        <w:t>评委会根据招标文件中规定的评标标准对投标人进行综合评审，最终按综合评审得分由高到低的顺序推荐出3名中标候选人。</w:t>
      </w:r>
    </w:p>
    <w:p w14:paraId="4AD52EE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二、</w:t>
      </w:r>
      <w:r>
        <w:rPr>
          <w:rFonts w:hint="eastAsia" w:ascii="仿宋" w:hAnsi="仿宋" w:eastAsia="仿宋" w:cs="仿宋"/>
          <w:color w:val="auto"/>
          <w:sz w:val="28"/>
          <w:szCs w:val="28"/>
          <w:highlight w:val="none"/>
        </w:rPr>
        <w:t>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p>
    <w:p w14:paraId="3D192F38">
      <w:pPr>
        <w:keepNext w:val="0"/>
        <w:keepLines w:val="0"/>
        <w:pageBreakBefore w:val="0"/>
        <w:widowControl w:val="0"/>
        <w:spacing w:line="312" w:lineRule="auto"/>
        <w:ind w:firstLine="560"/>
        <w:rPr>
          <w:rFonts w:hint="eastAsia" w:ascii="仿宋" w:hAnsi="仿宋" w:eastAsia="仿宋" w:cs="宋体"/>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三、评委会将依据下列评标标准进行评标，各个采购包的评标标准的总分均为100分。</w:t>
      </w:r>
      <w:r>
        <w:rPr>
          <w:rFonts w:hint="default" w:ascii="仿宋" w:hAnsi="仿宋" w:eastAsia="仿宋" w:cs="仿宋"/>
          <w:color w:val="auto"/>
          <w:sz w:val="28"/>
          <w:szCs w:val="28"/>
          <w:highlight w:val="none"/>
          <w:lang w:val="en-US" w:eastAsia="zh-CN"/>
        </w:rPr>
        <w:t>投标人兼投多个包，投标人</w:t>
      </w:r>
      <w:r>
        <w:rPr>
          <w:rFonts w:hint="eastAsia" w:ascii="仿宋" w:hAnsi="仿宋" w:eastAsia="仿宋" w:cs="仿宋"/>
          <w:color w:val="auto"/>
          <w:sz w:val="28"/>
          <w:szCs w:val="28"/>
          <w:highlight w:val="none"/>
          <w:lang w:val="en-US" w:eastAsia="zh-CN"/>
        </w:rPr>
        <w:t>应按包上传电子投标文件，</w:t>
      </w:r>
      <w:r>
        <w:rPr>
          <w:rFonts w:hint="default" w:ascii="仿宋" w:hAnsi="仿宋" w:eastAsia="仿宋" w:cs="仿宋"/>
          <w:color w:val="auto"/>
          <w:sz w:val="28"/>
          <w:szCs w:val="28"/>
          <w:highlight w:val="none"/>
          <w:lang w:val="en-US" w:eastAsia="zh-CN"/>
        </w:rPr>
        <w:t>不得将两个</w:t>
      </w:r>
      <w:r>
        <w:rPr>
          <w:rFonts w:hint="eastAsia" w:ascii="仿宋" w:hAnsi="仿宋" w:eastAsia="仿宋" w:cs="仿宋"/>
          <w:color w:val="auto"/>
          <w:sz w:val="28"/>
          <w:szCs w:val="28"/>
          <w:highlight w:val="none"/>
          <w:lang w:val="en-US" w:eastAsia="zh-CN"/>
        </w:rPr>
        <w:t>或多个</w:t>
      </w:r>
      <w:r>
        <w:rPr>
          <w:rFonts w:hint="default" w:ascii="仿宋" w:hAnsi="仿宋" w:eastAsia="仿宋" w:cs="仿宋"/>
          <w:color w:val="auto"/>
          <w:sz w:val="28"/>
          <w:szCs w:val="28"/>
          <w:highlight w:val="none"/>
          <w:lang w:val="en-US" w:eastAsia="zh-CN"/>
        </w:rPr>
        <w:t>包的投标文件上传在同一个电子投标文件中</w:t>
      </w:r>
      <w:r>
        <w:rPr>
          <w:rFonts w:hint="eastAsia" w:ascii="仿宋" w:hAnsi="仿宋" w:eastAsia="仿宋" w:cs="仿宋"/>
          <w:color w:val="auto"/>
          <w:sz w:val="28"/>
          <w:szCs w:val="28"/>
          <w:highlight w:val="none"/>
          <w:lang w:val="en-US" w:eastAsia="zh-CN"/>
        </w:rPr>
        <w:t>。按评审后得分由高到低顺序排列（保留两位小数）</w:t>
      </w:r>
      <w:r>
        <w:rPr>
          <w:rFonts w:hint="eastAsia" w:ascii="仿宋" w:hAnsi="仿宋" w:eastAsia="仿宋" w:cs="宋体"/>
          <w:color w:val="auto"/>
          <w:sz w:val="28"/>
          <w:szCs w:val="28"/>
          <w:highlight w:val="none"/>
          <w:lang w:val="en-US" w:eastAsia="zh-CN"/>
        </w:rPr>
        <w:t>，</w:t>
      </w:r>
      <w:r>
        <w:rPr>
          <w:rFonts w:hint="eastAsia" w:ascii="仿宋" w:hAnsi="仿宋" w:eastAsia="仿宋" w:cs="宋体"/>
          <w:color w:val="auto"/>
          <w:sz w:val="28"/>
          <w:szCs w:val="28"/>
          <w:highlight w:val="none"/>
        </w:rPr>
        <w:t>得分相同的，按投标报价由低到高顺序排列。得分且投标报价相同的并列, 由评标委员会通过随机抽取的方式确定中标候选人。</w:t>
      </w:r>
    </w:p>
    <w:p w14:paraId="631D4CB6">
      <w:pPr>
        <w:keepNext w:val="0"/>
        <w:keepLines w:val="0"/>
        <w:pageBreakBefore w:val="0"/>
        <w:widowControl w:val="0"/>
        <w:spacing w:line="288" w:lineRule="auto"/>
        <w:ind w:firstLine="700"/>
        <w:rPr>
          <w:rFonts w:hint="default" w:ascii="仿宋" w:hAnsi="仿宋" w:eastAsia="仿宋" w:cs="宋体"/>
          <w:color w:val="auto"/>
          <w:sz w:val="28"/>
          <w:szCs w:val="28"/>
          <w:highlight w:val="none"/>
          <w:lang w:val="en-US" w:eastAsia="zh-CN"/>
        </w:rPr>
      </w:pPr>
      <w:r>
        <w:rPr>
          <w:rFonts w:hint="eastAsia" w:ascii="仿宋" w:hAnsi="仿宋" w:eastAsia="仿宋" w:cs="宋体"/>
          <w:color w:val="auto"/>
          <w:sz w:val="28"/>
          <w:szCs w:val="28"/>
          <w:highlight w:val="none"/>
          <w:lang w:val="en-US" w:eastAsia="zh-CN"/>
        </w:rPr>
        <w:t>四</w:t>
      </w:r>
      <w:r>
        <w:rPr>
          <w:rFonts w:hint="eastAsia" w:ascii="仿宋" w:hAnsi="仿宋" w:eastAsia="仿宋" w:cs="宋体"/>
          <w:color w:val="auto"/>
          <w:sz w:val="28"/>
          <w:szCs w:val="28"/>
          <w:highlight w:val="none"/>
        </w:rPr>
        <w:t>、评标标准</w:t>
      </w:r>
      <w:r>
        <w:rPr>
          <w:rFonts w:hint="eastAsia" w:ascii="仿宋" w:hAnsi="仿宋" w:eastAsia="仿宋" w:cs="宋体"/>
          <w:b/>
          <w:bCs/>
          <w:color w:val="auto"/>
          <w:sz w:val="28"/>
          <w:szCs w:val="28"/>
          <w:highlight w:val="none"/>
          <w:lang w:val="en-US" w:eastAsia="zh-CN"/>
        </w:rPr>
        <w:t>（包一、包二适用）</w:t>
      </w:r>
    </w:p>
    <w:p w14:paraId="67CACCD2">
      <w:pPr>
        <w:keepNext w:val="0"/>
        <w:keepLines w:val="0"/>
        <w:pageBreakBefore w:val="0"/>
        <w:widowControl w:val="0"/>
        <w:spacing w:line="324" w:lineRule="auto"/>
        <w:jc w:val="center"/>
        <w:rPr>
          <w:rFonts w:hint="default" w:ascii="仿宋" w:hAnsi="仿宋" w:eastAsia="仿宋" w:cs="宋体"/>
          <w:b/>
          <w:bCs/>
          <w:color w:val="auto"/>
          <w:sz w:val="28"/>
          <w:szCs w:val="28"/>
          <w:highlight w:val="none"/>
          <w:lang w:val="en-US" w:eastAsia="zh-CN"/>
        </w:rPr>
      </w:pPr>
      <w:r>
        <w:rPr>
          <w:rFonts w:hint="eastAsia" w:ascii="仿宋" w:hAnsi="仿宋" w:eastAsia="仿宋" w:cs="宋体"/>
          <w:b/>
          <w:bCs/>
          <w:color w:val="auto"/>
          <w:sz w:val="28"/>
          <w:szCs w:val="28"/>
          <w:highlight w:val="none"/>
          <w:lang w:val="en-US" w:eastAsia="zh-CN"/>
        </w:rPr>
        <w:t>评分标准</w:t>
      </w:r>
    </w:p>
    <w:tbl>
      <w:tblPr>
        <w:tblStyle w:val="44"/>
        <w:tblW w:w="90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46"/>
        <w:gridCol w:w="1260"/>
        <w:gridCol w:w="6588"/>
        <w:gridCol w:w="731"/>
      </w:tblGrid>
      <w:tr w14:paraId="2C706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atLeast"/>
          <w:jc w:val="center"/>
        </w:trPr>
        <w:tc>
          <w:tcPr>
            <w:tcW w:w="446" w:type="dxa"/>
            <w:tcBorders>
              <w:bottom w:val="single" w:color="auto" w:sz="4" w:space="0"/>
            </w:tcBorders>
            <w:noWrap w:val="0"/>
            <w:vAlign w:val="center"/>
          </w:tcPr>
          <w:p w14:paraId="681C9339">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260" w:type="dxa"/>
            <w:tcBorders>
              <w:bottom w:val="single" w:color="auto" w:sz="4" w:space="0"/>
            </w:tcBorders>
            <w:noWrap w:val="0"/>
            <w:vAlign w:val="center"/>
          </w:tcPr>
          <w:p w14:paraId="6C0A8F9C">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分项</w:t>
            </w:r>
          </w:p>
        </w:tc>
        <w:tc>
          <w:tcPr>
            <w:tcW w:w="6588" w:type="dxa"/>
            <w:tcBorders>
              <w:bottom w:val="single" w:color="auto" w:sz="4" w:space="0"/>
            </w:tcBorders>
            <w:noWrap w:val="0"/>
            <w:vAlign w:val="center"/>
          </w:tcPr>
          <w:p w14:paraId="60F0D01F">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评分标准</w:t>
            </w:r>
          </w:p>
        </w:tc>
        <w:tc>
          <w:tcPr>
            <w:tcW w:w="731" w:type="dxa"/>
            <w:tcBorders>
              <w:bottom w:val="single" w:color="auto" w:sz="4" w:space="0"/>
            </w:tcBorders>
            <w:noWrap w:val="0"/>
            <w:vAlign w:val="center"/>
          </w:tcPr>
          <w:p w14:paraId="4FB511AE">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得分</w:t>
            </w:r>
          </w:p>
        </w:tc>
      </w:tr>
      <w:tr w14:paraId="2B0745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 w:hRule="atLeast"/>
          <w:jc w:val="center"/>
        </w:trPr>
        <w:tc>
          <w:tcPr>
            <w:tcW w:w="446" w:type="dxa"/>
            <w:tcBorders>
              <w:top w:val="single" w:color="auto" w:sz="4" w:space="0"/>
            </w:tcBorders>
            <w:noWrap w:val="0"/>
            <w:vAlign w:val="center"/>
          </w:tcPr>
          <w:p w14:paraId="3A72A6F6">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260" w:type="dxa"/>
            <w:tcBorders>
              <w:top w:val="single" w:color="auto" w:sz="4" w:space="0"/>
            </w:tcBorders>
            <w:noWrap w:val="0"/>
            <w:vAlign w:val="center"/>
          </w:tcPr>
          <w:p w14:paraId="7AA03CFA">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价格评分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30分）</w:t>
            </w:r>
          </w:p>
        </w:tc>
        <w:tc>
          <w:tcPr>
            <w:tcW w:w="6588" w:type="dxa"/>
            <w:tcBorders>
              <w:top w:val="single" w:color="auto" w:sz="4" w:space="0"/>
            </w:tcBorders>
            <w:noWrap w:val="0"/>
            <w:vAlign w:val="center"/>
          </w:tcPr>
          <w:p w14:paraId="1E5293E3">
            <w:pPr>
              <w:keepNext w:val="0"/>
              <w:keepLines w:val="0"/>
              <w:pageBreakBefore w:val="0"/>
              <w:widowControl w:val="0"/>
              <w:spacing w:line="24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满足招标文件设备性能要求且投标价格最低的投标报价为评标基准价，其价格分为满分。其他投标人的价格分统一按照下列公式计算：</w:t>
            </w:r>
          </w:p>
          <w:p w14:paraId="4369F586">
            <w:pPr>
              <w:keepNext w:val="0"/>
              <w:keepLines w:val="0"/>
              <w:pageBreakBefore w:val="0"/>
              <w:widowControl w:val="0"/>
              <w:spacing w:line="24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投标报价得分=(评标基准价／投标报价)×价格分值，小数点保留2位</w:t>
            </w:r>
          </w:p>
        </w:tc>
        <w:tc>
          <w:tcPr>
            <w:tcW w:w="731" w:type="dxa"/>
            <w:tcBorders>
              <w:top w:val="single" w:color="auto" w:sz="4" w:space="0"/>
            </w:tcBorders>
            <w:noWrap w:val="0"/>
            <w:vAlign w:val="center"/>
          </w:tcPr>
          <w:p w14:paraId="2393E30E">
            <w:pPr>
              <w:keepNext w:val="0"/>
              <w:keepLines w:val="0"/>
              <w:pageBreakBefore w:val="0"/>
              <w:widowControl w:val="0"/>
              <w:spacing w:line="240" w:lineRule="auto"/>
              <w:ind w:firstLine="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w:t>
            </w:r>
          </w:p>
        </w:tc>
      </w:tr>
      <w:tr w14:paraId="0E086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8" w:hRule="atLeast"/>
          <w:jc w:val="center"/>
        </w:trPr>
        <w:tc>
          <w:tcPr>
            <w:tcW w:w="446" w:type="dxa"/>
            <w:noWrap w:val="0"/>
            <w:vAlign w:val="center"/>
          </w:tcPr>
          <w:p w14:paraId="2F5A8C34">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260" w:type="dxa"/>
            <w:noWrap w:val="0"/>
            <w:vAlign w:val="center"/>
          </w:tcPr>
          <w:p w14:paraId="58BEEF2D">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技术参数（2</w:t>
            </w:r>
            <w:r>
              <w:rPr>
                <w:rFonts w:hint="eastAsia" w:ascii="仿宋" w:hAnsi="仿宋" w:eastAsia="仿宋" w:cs="仿宋"/>
                <w:color w:val="auto"/>
                <w:sz w:val="24"/>
                <w:szCs w:val="24"/>
                <w:highlight w:val="none"/>
              </w:rPr>
              <w:t>0分</w:t>
            </w:r>
            <w:r>
              <w:rPr>
                <w:rFonts w:hint="eastAsia" w:ascii="仿宋" w:hAnsi="仿宋" w:eastAsia="仿宋" w:cs="仿宋"/>
                <w:color w:val="auto"/>
                <w:sz w:val="24"/>
                <w:szCs w:val="24"/>
                <w:highlight w:val="none"/>
                <w:lang w:val="en-US" w:eastAsia="zh-CN"/>
              </w:rPr>
              <w:t>）</w:t>
            </w:r>
          </w:p>
        </w:tc>
        <w:tc>
          <w:tcPr>
            <w:tcW w:w="6588" w:type="dxa"/>
            <w:tcBorders>
              <w:top w:val="single" w:color="auto" w:sz="4" w:space="0"/>
            </w:tcBorders>
            <w:noWrap w:val="0"/>
            <w:vAlign w:val="center"/>
          </w:tcPr>
          <w:p w14:paraId="38D89D47">
            <w:pPr>
              <w:keepNext w:val="0"/>
              <w:keepLines w:val="0"/>
              <w:pageBreakBefore w:val="0"/>
              <w:widowControl w:val="0"/>
              <w:spacing w:line="240" w:lineRule="auto"/>
              <w:ind w:firstLine="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投标人所投产品技术参数完全满足招标文件第五章“二、产品清单及技术参数”中标注“★”技术参数要求，未完全满足作无效投标处理。</w:t>
            </w:r>
          </w:p>
          <w:p w14:paraId="3590CB3A">
            <w:pPr>
              <w:keepNext w:val="0"/>
              <w:keepLines w:val="0"/>
              <w:pageBreakBefore w:val="0"/>
              <w:widowControl w:val="0"/>
              <w:spacing w:line="240" w:lineRule="auto"/>
              <w:ind w:firstLine="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投标人所投产品的技术参数与招标文件第五章“二、产品清单及技术参数”中标注“▲”要求相比较，以</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0分为基数，有1项负偏离扣</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分，</w:t>
            </w:r>
            <w:r>
              <w:rPr>
                <w:rFonts w:hint="eastAsia" w:ascii="仿宋" w:hAnsi="仿宋" w:eastAsia="仿宋" w:cs="仿宋"/>
                <w:color w:val="auto"/>
                <w:sz w:val="24"/>
                <w:szCs w:val="24"/>
                <w:highlight w:val="none"/>
                <w:lang w:val="en-US" w:eastAsia="zh-CN"/>
              </w:rPr>
              <w:t>超10项负偏离此项得0分；</w:t>
            </w:r>
          </w:p>
          <w:p w14:paraId="127800FD">
            <w:pPr>
              <w:keepNext w:val="0"/>
              <w:keepLines w:val="0"/>
              <w:pageBreakBefore w:val="0"/>
              <w:widowControl w:val="0"/>
              <w:spacing w:line="240" w:lineRule="auto"/>
              <w:ind w:firstLine="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与</w:t>
            </w:r>
            <w:r>
              <w:rPr>
                <w:rFonts w:hint="eastAsia" w:ascii="仿宋" w:hAnsi="仿宋" w:eastAsia="仿宋" w:cs="仿宋"/>
                <w:color w:val="auto"/>
                <w:sz w:val="24"/>
                <w:szCs w:val="24"/>
                <w:highlight w:val="none"/>
                <w:lang w:eastAsia="zh-CN"/>
              </w:rPr>
              <w:t>未标注“▲”要求相比较，有1项负偏离扣</w:t>
            </w:r>
            <w:r>
              <w:rPr>
                <w:rFonts w:hint="eastAsia" w:ascii="仿宋" w:hAnsi="仿宋" w:eastAsia="仿宋" w:cs="仿宋"/>
                <w:color w:val="auto"/>
                <w:sz w:val="24"/>
                <w:szCs w:val="24"/>
                <w:highlight w:val="none"/>
                <w:lang w:val="en-US" w:eastAsia="zh-CN"/>
              </w:rPr>
              <w:t>0.5</w:t>
            </w:r>
            <w:r>
              <w:rPr>
                <w:rFonts w:hint="eastAsia" w:ascii="仿宋" w:hAnsi="仿宋" w:eastAsia="仿宋" w:cs="仿宋"/>
                <w:color w:val="auto"/>
                <w:sz w:val="24"/>
                <w:szCs w:val="24"/>
                <w:highlight w:val="none"/>
                <w:lang w:eastAsia="zh-CN"/>
              </w:rPr>
              <w:t>分，</w:t>
            </w:r>
            <w:r>
              <w:rPr>
                <w:rFonts w:hint="eastAsia" w:ascii="仿宋" w:hAnsi="仿宋" w:eastAsia="仿宋" w:cs="仿宋"/>
                <w:color w:val="auto"/>
                <w:sz w:val="24"/>
                <w:szCs w:val="24"/>
                <w:highlight w:val="none"/>
                <w:lang w:val="en-US" w:eastAsia="zh-CN"/>
              </w:rPr>
              <w:t>负偏离超过20项得0分</w:t>
            </w:r>
            <w:r>
              <w:rPr>
                <w:rFonts w:hint="eastAsia" w:ascii="仿宋" w:hAnsi="仿宋" w:eastAsia="仿宋" w:cs="仿宋"/>
                <w:color w:val="auto"/>
                <w:sz w:val="24"/>
                <w:szCs w:val="24"/>
                <w:highlight w:val="none"/>
                <w:lang w:eastAsia="zh-CN"/>
              </w:rPr>
              <w:t>。</w:t>
            </w:r>
          </w:p>
        </w:tc>
        <w:tc>
          <w:tcPr>
            <w:tcW w:w="731" w:type="dxa"/>
            <w:tcBorders>
              <w:top w:val="single" w:color="auto" w:sz="4" w:space="0"/>
              <w:bottom w:val="single" w:color="auto" w:sz="4" w:space="0"/>
            </w:tcBorders>
            <w:noWrap w:val="0"/>
            <w:vAlign w:val="center"/>
          </w:tcPr>
          <w:p w14:paraId="3D4F7117">
            <w:pPr>
              <w:keepNext w:val="0"/>
              <w:keepLines w:val="0"/>
              <w:pageBreakBefore w:val="0"/>
              <w:widowControl w:val="0"/>
              <w:spacing w:line="240" w:lineRule="auto"/>
              <w:ind w:firstLine="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r>
      <w:tr w14:paraId="2668E0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446" w:type="dxa"/>
            <w:tcBorders>
              <w:top w:val="single" w:color="auto" w:sz="4" w:space="0"/>
              <w:bottom w:val="single" w:color="auto" w:sz="4" w:space="0"/>
            </w:tcBorders>
            <w:noWrap w:val="0"/>
            <w:vAlign w:val="center"/>
          </w:tcPr>
          <w:p w14:paraId="56D5353D">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260" w:type="dxa"/>
            <w:tcBorders>
              <w:top w:val="single" w:color="auto" w:sz="4" w:space="0"/>
              <w:bottom w:val="single" w:color="auto" w:sz="4" w:space="0"/>
            </w:tcBorders>
            <w:noWrap w:val="0"/>
            <w:vAlign w:val="center"/>
          </w:tcPr>
          <w:p w14:paraId="4EF51D6F">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项目实施方案</w:t>
            </w:r>
          </w:p>
          <w:p w14:paraId="134195CE">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分）</w:t>
            </w:r>
          </w:p>
        </w:tc>
        <w:tc>
          <w:tcPr>
            <w:tcW w:w="6588" w:type="dxa"/>
            <w:tcBorders>
              <w:top w:val="single" w:color="auto" w:sz="4" w:space="0"/>
              <w:bottom w:val="single" w:color="auto" w:sz="4" w:space="0"/>
            </w:tcBorders>
            <w:noWrap w:val="0"/>
            <w:vAlign w:val="center"/>
          </w:tcPr>
          <w:p w14:paraId="2FB4E7D8">
            <w:pPr>
              <w:keepNext w:val="0"/>
              <w:keepLines w:val="0"/>
              <w:pageBreakBefore w:val="0"/>
              <w:widowControl w:val="0"/>
              <w:spacing w:line="240"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提供的项目实施方案内容的完整性及进度计划安排的合理性进行打分，包括但不限于投标人如何在成交后有效地组织技术和人员力量，按时保质地完成供货、安装、验收等。</w:t>
            </w:r>
          </w:p>
          <w:p w14:paraId="044D0F92">
            <w:pPr>
              <w:keepNext w:val="0"/>
              <w:keepLines w:val="0"/>
              <w:pageBreakBefore w:val="0"/>
              <w:widowControl w:val="0"/>
              <w:spacing w:line="240"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实施方案内容完整、进度计划安排合理、优于采购人需求的得</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分；</w:t>
            </w:r>
          </w:p>
          <w:p w14:paraId="0121F646">
            <w:pPr>
              <w:keepNext w:val="0"/>
              <w:keepLines w:val="0"/>
              <w:pageBreakBefore w:val="0"/>
              <w:widowControl w:val="0"/>
              <w:spacing w:line="240"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实施方案内容</w:t>
            </w:r>
            <w:r>
              <w:rPr>
                <w:rFonts w:hint="eastAsia" w:ascii="仿宋" w:hAnsi="仿宋" w:eastAsia="仿宋" w:cs="仿宋"/>
                <w:color w:val="auto"/>
                <w:sz w:val="24"/>
                <w:szCs w:val="24"/>
                <w:highlight w:val="none"/>
                <w:lang w:val="en-US" w:eastAsia="zh-CN"/>
              </w:rPr>
              <w:t>完整</w:t>
            </w:r>
            <w:r>
              <w:rPr>
                <w:rFonts w:hint="eastAsia" w:ascii="仿宋" w:hAnsi="仿宋" w:eastAsia="仿宋" w:cs="仿宋"/>
                <w:color w:val="auto"/>
                <w:sz w:val="24"/>
                <w:szCs w:val="24"/>
                <w:highlight w:val="none"/>
              </w:rPr>
              <w:t>、进度计划安排</w:t>
            </w:r>
            <w:r>
              <w:rPr>
                <w:rFonts w:hint="eastAsia" w:ascii="仿宋" w:hAnsi="仿宋" w:eastAsia="仿宋" w:cs="仿宋"/>
                <w:color w:val="auto"/>
                <w:sz w:val="24"/>
                <w:szCs w:val="24"/>
                <w:highlight w:val="none"/>
                <w:lang w:val="en-US" w:eastAsia="zh-CN"/>
              </w:rPr>
              <w:t>合理、</w:t>
            </w:r>
            <w:r>
              <w:rPr>
                <w:rFonts w:hint="eastAsia" w:ascii="仿宋" w:hAnsi="仿宋" w:eastAsia="仿宋" w:cs="仿宋"/>
                <w:color w:val="auto"/>
                <w:sz w:val="24"/>
                <w:szCs w:val="24"/>
                <w:highlight w:val="none"/>
              </w:rPr>
              <w:t>较好满足采购人需求的得</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分；</w:t>
            </w:r>
          </w:p>
          <w:p w14:paraId="789994A8">
            <w:pPr>
              <w:keepNext w:val="0"/>
              <w:keepLines w:val="0"/>
              <w:pageBreakBefore w:val="0"/>
              <w:widowControl w:val="0"/>
              <w:spacing w:line="240"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实施方案内容较</w:t>
            </w:r>
            <w:r>
              <w:rPr>
                <w:rFonts w:hint="eastAsia" w:ascii="仿宋" w:hAnsi="仿宋" w:eastAsia="仿宋" w:cs="仿宋"/>
                <w:color w:val="auto"/>
                <w:sz w:val="24"/>
                <w:szCs w:val="24"/>
                <w:highlight w:val="none"/>
                <w:lang w:val="en-US" w:eastAsia="zh-CN"/>
              </w:rPr>
              <w:t>完整</w:t>
            </w:r>
            <w:r>
              <w:rPr>
                <w:rFonts w:hint="eastAsia" w:ascii="仿宋" w:hAnsi="仿宋" w:eastAsia="仿宋" w:cs="仿宋"/>
                <w:color w:val="auto"/>
                <w:sz w:val="24"/>
                <w:szCs w:val="24"/>
                <w:highlight w:val="none"/>
              </w:rPr>
              <w:t>、进度计划安排</w:t>
            </w:r>
            <w:r>
              <w:rPr>
                <w:rFonts w:hint="eastAsia" w:ascii="仿宋" w:hAnsi="仿宋" w:eastAsia="仿宋" w:cs="仿宋"/>
                <w:color w:val="auto"/>
                <w:sz w:val="24"/>
                <w:szCs w:val="24"/>
                <w:highlight w:val="none"/>
                <w:lang w:val="en-US" w:eastAsia="zh-CN"/>
              </w:rPr>
              <w:t>较合理</w:t>
            </w:r>
            <w:r>
              <w:rPr>
                <w:rFonts w:hint="eastAsia" w:ascii="仿宋" w:hAnsi="仿宋" w:eastAsia="仿宋" w:cs="仿宋"/>
                <w:color w:val="auto"/>
                <w:sz w:val="24"/>
                <w:szCs w:val="24"/>
                <w:highlight w:val="none"/>
              </w:rPr>
              <w:t>、满足采购人需求的得</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w:t>
            </w:r>
          </w:p>
          <w:p w14:paraId="19CE8FD6">
            <w:pPr>
              <w:keepNext w:val="0"/>
              <w:keepLines w:val="0"/>
              <w:pageBreakBefore w:val="0"/>
              <w:widowControl w:val="0"/>
              <w:spacing w:line="240"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实施方案内容一般、进度计划安排一般</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有所欠缺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基本</w:t>
            </w:r>
            <w:r>
              <w:rPr>
                <w:rFonts w:hint="eastAsia" w:ascii="仿宋" w:hAnsi="仿宋" w:eastAsia="仿宋" w:cs="仿宋"/>
                <w:color w:val="auto"/>
                <w:sz w:val="24"/>
                <w:szCs w:val="24"/>
                <w:highlight w:val="none"/>
              </w:rPr>
              <w:t>满足采购人一般需求的得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分；不提供</w:t>
            </w:r>
            <w:r>
              <w:rPr>
                <w:rFonts w:hint="eastAsia" w:ascii="仿宋" w:hAnsi="仿宋" w:eastAsia="仿宋" w:cs="仿宋"/>
                <w:color w:val="auto"/>
                <w:sz w:val="24"/>
                <w:szCs w:val="24"/>
                <w:highlight w:val="none"/>
                <w:lang w:val="en-US" w:eastAsia="zh-CN"/>
              </w:rPr>
              <w:t>或重大偏差的</w:t>
            </w:r>
            <w:r>
              <w:rPr>
                <w:rFonts w:hint="eastAsia" w:ascii="仿宋" w:hAnsi="仿宋" w:eastAsia="仿宋" w:cs="仿宋"/>
                <w:color w:val="auto"/>
                <w:sz w:val="24"/>
                <w:szCs w:val="24"/>
                <w:highlight w:val="none"/>
              </w:rPr>
              <w:t>不得分。</w:t>
            </w:r>
          </w:p>
        </w:tc>
        <w:tc>
          <w:tcPr>
            <w:tcW w:w="731" w:type="dxa"/>
            <w:tcBorders>
              <w:top w:val="single" w:color="auto" w:sz="4" w:space="0"/>
              <w:bottom w:val="single" w:color="auto" w:sz="4" w:space="0"/>
            </w:tcBorders>
            <w:noWrap w:val="0"/>
            <w:vAlign w:val="center"/>
          </w:tcPr>
          <w:p w14:paraId="5BC336F0">
            <w:pPr>
              <w:keepNext w:val="0"/>
              <w:keepLines w:val="0"/>
              <w:pageBreakBefore w:val="0"/>
              <w:widowControl w:val="0"/>
              <w:spacing w:line="240" w:lineRule="auto"/>
              <w:ind w:firstLine="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r>
      <w:tr w14:paraId="36EDC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4" w:hRule="atLeast"/>
          <w:jc w:val="center"/>
        </w:trPr>
        <w:tc>
          <w:tcPr>
            <w:tcW w:w="446" w:type="dxa"/>
            <w:noWrap w:val="0"/>
            <w:vAlign w:val="center"/>
          </w:tcPr>
          <w:p w14:paraId="3DA04942">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1260" w:type="dxa"/>
            <w:noWrap w:val="0"/>
            <w:vAlign w:val="center"/>
          </w:tcPr>
          <w:p w14:paraId="25107012">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p>
          <w:p w14:paraId="06D95690">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培训方案（</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分）</w:t>
            </w:r>
          </w:p>
        </w:tc>
        <w:tc>
          <w:tcPr>
            <w:tcW w:w="6588" w:type="dxa"/>
            <w:noWrap w:val="0"/>
            <w:vAlign w:val="center"/>
          </w:tcPr>
          <w:p w14:paraId="04E5367F">
            <w:pPr>
              <w:keepNext w:val="0"/>
              <w:keepLines w:val="0"/>
              <w:pageBreakBefore w:val="0"/>
              <w:widowControl w:val="0"/>
              <w:spacing w:line="288"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培训方案情况比较：包括培训步骤、培训计划、培训记录表等。</w:t>
            </w:r>
          </w:p>
          <w:p w14:paraId="0156DBD9">
            <w:pPr>
              <w:keepNext w:val="0"/>
              <w:keepLines w:val="0"/>
              <w:pageBreakBefore w:val="0"/>
              <w:widowControl w:val="0"/>
              <w:spacing w:line="288"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培训方案详细具体，可行性高，优于项目需求的得</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分；</w:t>
            </w:r>
          </w:p>
          <w:p w14:paraId="7A175A27">
            <w:pPr>
              <w:keepNext w:val="0"/>
              <w:keepLines w:val="0"/>
              <w:pageBreakBefore w:val="0"/>
              <w:widowControl w:val="0"/>
              <w:spacing w:line="288"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培训方案详细具体，可行性高，</w:t>
            </w:r>
            <w:r>
              <w:rPr>
                <w:rFonts w:hint="eastAsia" w:ascii="仿宋" w:hAnsi="仿宋" w:eastAsia="仿宋" w:cs="仿宋"/>
                <w:color w:val="auto"/>
                <w:sz w:val="24"/>
                <w:szCs w:val="24"/>
                <w:highlight w:val="none"/>
                <w:lang w:val="en-US" w:eastAsia="zh-CN"/>
              </w:rPr>
              <w:t>较好满足</w:t>
            </w:r>
            <w:r>
              <w:rPr>
                <w:rFonts w:hint="eastAsia" w:ascii="仿宋" w:hAnsi="仿宋" w:eastAsia="仿宋" w:cs="仿宋"/>
                <w:color w:val="auto"/>
                <w:sz w:val="24"/>
                <w:szCs w:val="24"/>
                <w:highlight w:val="none"/>
              </w:rPr>
              <w:t>项目需求的得</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w:t>
            </w:r>
          </w:p>
          <w:p w14:paraId="7F1F545F">
            <w:pPr>
              <w:keepNext w:val="0"/>
              <w:keepLines w:val="0"/>
              <w:pageBreakBefore w:val="0"/>
              <w:widowControl w:val="0"/>
              <w:spacing w:line="288"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培训方案较为详细具体，可行性较高，满足项目需求的得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p>
          <w:p w14:paraId="3E808A26">
            <w:pPr>
              <w:keepNext w:val="0"/>
              <w:keepLines w:val="0"/>
              <w:pageBreakBefore w:val="0"/>
              <w:widowControl w:val="0"/>
              <w:spacing w:line="288" w:lineRule="auto"/>
              <w:ind w:firstLine="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培训方案一般，可行性一般，有所欠缺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基本</w:t>
            </w:r>
            <w:r>
              <w:rPr>
                <w:rFonts w:hint="eastAsia" w:ascii="仿宋" w:hAnsi="仿宋" w:eastAsia="仿宋" w:cs="仿宋"/>
                <w:color w:val="auto"/>
                <w:sz w:val="24"/>
                <w:szCs w:val="24"/>
                <w:highlight w:val="none"/>
              </w:rPr>
              <w:t>满足项目一般需求的得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分；不提供</w:t>
            </w:r>
            <w:r>
              <w:rPr>
                <w:rFonts w:hint="eastAsia" w:ascii="仿宋" w:hAnsi="仿宋" w:eastAsia="仿宋" w:cs="仿宋"/>
                <w:color w:val="auto"/>
                <w:sz w:val="24"/>
                <w:szCs w:val="24"/>
                <w:highlight w:val="none"/>
                <w:lang w:val="en-US" w:eastAsia="zh-CN"/>
              </w:rPr>
              <w:t>或重大偏差的</w:t>
            </w:r>
            <w:r>
              <w:rPr>
                <w:rFonts w:hint="eastAsia" w:ascii="仿宋" w:hAnsi="仿宋" w:eastAsia="仿宋" w:cs="仿宋"/>
                <w:color w:val="auto"/>
                <w:sz w:val="24"/>
                <w:szCs w:val="24"/>
                <w:highlight w:val="none"/>
              </w:rPr>
              <w:t>不得分</w:t>
            </w:r>
            <w:r>
              <w:rPr>
                <w:rFonts w:hint="eastAsia" w:ascii="仿宋" w:hAnsi="仿宋" w:eastAsia="仿宋" w:cs="仿宋"/>
                <w:color w:val="auto"/>
                <w:sz w:val="24"/>
                <w:szCs w:val="24"/>
                <w:highlight w:val="none"/>
                <w:lang w:eastAsia="zh-CN"/>
              </w:rPr>
              <w:t>。</w:t>
            </w:r>
          </w:p>
        </w:tc>
        <w:tc>
          <w:tcPr>
            <w:tcW w:w="731" w:type="dxa"/>
            <w:noWrap w:val="0"/>
            <w:vAlign w:val="center"/>
          </w:tcPr>
          <w:p w14:paraId="42876629">
            <w:pPr>
              <w:keepNext w:val="0"/>
              <w:keepLines w:val="0"/>
              <w:pageBreakBefore w:val="0"/>
              <w:widowControl w:val="0"/>
              <w:spacing w:line="240" w:lineRule="auto"/>
              <w:ind w:firstLine="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9</w:t>
            </w:r>
          </w:p>
        </w:tc>
      </w:tr>
      <w:tr w14:paraId="71108A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5" w:hRule="atLeast"/>
          <w:jc w:val="center"/>
        </w:trPr>
        <w:tc>
          <w:tcPr>
            <w:tcW w:w="446" w:type="dxa"/>
            <w:noWrap w:val="0"/>
            <w:vAlign w:val="center"/>
          </w:tcPr>
          <w:p w14:paraId="0D407496">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1260" w:type="dxa"/>
            <w:noWrap w:val="0"/>
            <w:vAlign w:val="center"/>
          </w:tcPr>
          <w:p w14:paraId="4C4C479F">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售后服务管理体系方案</w:t>
            </w:r>
          </w:p>
          <w:p w14:paraId="7C9A07DC">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分）</w:t>
            </w:r>
          </w:p>
        </w:tc>
        <w:tc>
          <w:tcPr>
            <w:tcW w:w="6588" w:type="dxa"/>
            <w:noWrap w:val="0"/>
            <w:vAlign w:val="center"/>
          </w:tcPr>
          <w:p w14:paraId="6A37084B">
            <w:pPr>
              <w:keepNext w:val="0"/>
              <w:keepLines w:val="0"/>
              <w:pageBreakBefore w:val="0"/>
              <w:widowControl w:val="0"/>
              <w:spacing w:line="288"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针对本项目制定的售后服务管理体系方案，包括售后服务人员、服务机制、响应时间、故障解决等内容的合理性和可行性。</w:t>
            </w:r>
          </w:p>
          <w:p w14:paraId="6ACB3123">
            <w:pPr>
              <w:keepNext w:val="0"/>
              <w:keepLines w:val="0"/>
              <w:pageBreakBefore w:val="0"/>
              <w:widowControl w:val="0"/>
              <w:spacing w:line="288"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售后服务方案完整合理，可行性高，优于项目需求的得</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分；</w:t>
            </w:r>
          </w:p>
          <w:p w14:paraId="777CC09D">
            <w:pPr>
              <w:keepNext w:val="0"/>
              <w:keepLines w:val="0"/>
              <w:pageBreakBefore w:val="0"/>
              <w:widowControl w:val="0"/>
              <w:spacing w:line="288"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售后服务方案完整合理，可行性高，</w:t>
            </w:r>
            <w:r>
              <w:rPr>
                <w:rFonts w:hint="eastAsia" w:ascii="仿宋" w:hAnsi="仿宋" w:eastAsia="仿宋" w:cs="仿宋"/>
                <w:color w:val="auto"/>
                <w:sz w:val="24"/>
                <w:szCs w:val="24"/>
                <w:highlight w:val="none"/>
                <w:lang w:val="en-US" w:eastAsia="zh-CN"/>
              </w:rPr>
              <w:t>较好满足</w:t>
            </w:r>
            <w:r>
              <w:rPr>
                <w:rFonts w:hint="eastAsia" w:ascii="仿宋" w:hAnsi="仿宋" w:eastAsia="仿宋" w:cs="仿宋"/>
                <w:color w:val="auto"/>
                <w:sz w:val="24"/>
                <w:szCs w:val="24"/>
                <w:highlight w:val="none"/>
              </w:rPr>
              <w:t>项目需求的得</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分；</w:t>
            </w:r>
          </w:p>
          <w:p w14:paraId="13B854FA">
            <w:pPr>
              <w:keepNext w:val="0"/>
              <w:keepLines w:val="0"/>
              <w:pageBreakBefore w:val="0"/>
              <w:widowControl w:val="0"/>
              <w:spacing w:line="288"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售后服务方案较为完整合理，可行性较高，满足项目需求的得</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w:t>
            </w:r>
          </w:p>
          <w:p w14:paraId="5F2A5FD8">
            <w:pPr>
              <w:keepNext w:val="0"/>
              <w:keepLines w:val="0"/>
              <w:pageBreakBefore w:val="0"/>
              <w:widowControl w:val="0"/>
              <w:spacing w:line="288" w:lineRule="auto"/>
              <w:ind w:firstLine="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售后服务方案一般，可行性一般，有所欠缺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基本</w:t>
            </w:r>
            <w:r>
              <w:rPr>
                <w:rFonts w:hint="eastAsia" w:ascii="仿宋" w:hAnsi="仿宋" w:eastAsia="仿宋" w:cs="仿宋"/>
                <w:color w:val="auto"/>
                <w:sz w:val="24"/>
                <w:szCs w:val="24"/>
                <w:highlight w:val="none"/>
              </w:rPr>
              <w:t>满足项目一般需求的得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分；不提供</w:t>
            </w:r>
            <w:r>
              <w:rPr>
                <w:rFonts w:hint="eastAsia" w:ascii="仿宋" w:hAnsi="仿宋" w:eastAsia="仿宋" w:cs="仿宋"/>
                <w:color w:val="auto"/>
                <w:sz w:val="24"/>
                <w:szCs w:val="24"/>
                <w:highlight w:val="none"/>
                <w:lang w:val="en-US" w:eastAsia="zh-CN"/>
              </w:rPr>
              <w:t>或重大偏差的</w:t>
            </w:r>
            <w:r>
              <w:rPr>
                <w:rFonts w:hint="eastAsia" w:ascii="仿宋" w:hAnsi="仿宋" w:eastAsia="仿宋" w:cs="仿宋"/>
                <w:color w:val="auto"/>
                <w:sz w:val="24"/>
                <w:szCs w:val="24"/>
                <w:highlight w:val="none"/>
              </w:rPr>
              <w:t>不得分</w:t>
            </w:r>
            <w:r>
              <w:rPr>
                <w:rFonts w:hint="eastAsia" w:ascii="仿宋" w:hAnsi="仿宋" w:eastAsia="仿宋" w:cs="仿宋"/>
                <w:color w:val="auto"/>
                <w:sz w:val="24"/>
                <w:szCs w:val="24"/>
                <w:highlight w:val="none"/>
                <w:lang w:eastAsia="zh-CN"/>
              </w:rPr>
              <w:t>。</w:t>
            </w:r>
          </w:p>
        </w:tc>
        <w:tc>
          <w:tcPr>
            <w:tcW w:w="731" w:type="dxa"/>
            <w:noWrap w:val="0"/>
            <w:vAlign w:val="center"/>
          </w:tcPr>
          <w:p w14:paraId="18097B64">
            <w:pPr>
              <w:keepNext w:val="0"/>
              <w:keepLines w:val="0"/>
              <w:pageBreakBefore w:val="0"/>
              <w:widowControl w:val="0"/>
              <w:spacing w:line="240" w:lineRule="auto"/>
              <w:ind w:firstLine="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r>
      <w:tr w14:paraId="271F24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11" w:hRule="atLeast"/>
          <w:jc w:val="center"/>
        </w:trPr>
        <w:tc>
          <w:tcPr>
            <w:tcW w:w="446" w:type="dxa"/>
            <w:noWrap w:val="0"/>
            <w:vAlign w:val="center"/>
          </w:tcPr>
          <w:p w14:paraId="05D55F74">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1260" w:type="dxa"/>
            <w:noWrap w:val="0"/>
            <w:vAlign w:val="center"/>
          </w:tcPr>
          <w:p w14:paraId="17314F4F">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质保期满后维保</w:t>
            </w:r>
            <w:r>
              <w:rPr>
                <w:rFonts w:hint="eastAsia" w:ascii="仿宋" w:hAnsi="仿宋" w:eastAsia="仿宋" w:cs="仿宋"/>
                <w:color w:val="auto"/>
                <w:sz w:val="24"/>
                <w:szCs w:val="24"/>
                <w:highlight w:val="none"/>
                <w:lang w:eastAsia="zh-CN"/>
              </w:rPr>
              <w:t>方案</w:t>
            </w:r>
          </w:p>
          <w:p w14:paraId="60D084EB">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分）</w:t>
            </w:r>
          </w:p>
        </w:tc>
        <w:tc>
          <w:tcPr>
            <w:tcW w:w="6588" w:type="dxa"/>
            <w:noWrap w:val="0"/>
            <w:vAlign w:val="center"/>
          </w:tcPr>
          <w:p w14:paraId="26856073">
            <w:pPr>
              <w:keepNext w:val="0"/>
              <w:keepLines w:val="0"/>
              <w:pageBreakBefore w:val="0"/>
              <w:widowControl w:val="0"/>
              <w:spacing w:line="288"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质保期满后维保</w:t>
            </w:r>
            <w:r>
              <w:rPr>
                <w:rFonts w:hint="eastAsia" w:ascii="仿宋" w:hAnsi="仿宋" w:eastAsia="仿宋" w:cs="仿宋"/>
                <w:color w:val="auto"/>
                <w:sz w:val="24"/>
                <w:szCs w:val="24"/>
                <w:highlight w:val="none"/>
                <w:lang w:val="en-US" w:eastAsia="zh-CN"/>
              </w:rPr>
              <w:t>方案</w:t>
            </w:r>
            <w:r>
              <w:rPr>
                <w:rFonts w:hint="eastAsia" w:ascii="仿宋" w:hAnsi="仿宋" w:eastAsia="仿宋" w:cs="仿宋"/>
                <w:color w:val="auto"/>
                <w:sz w:val="24"/>
                <w:szCs w:val="24"/>
                <w:highlight w:val="none"/>
              </w:rPr>
              <w:t>：</w:t>
            </w:r>
          </w:p>
          <w:p w14:paraId="482FFE00">
            <w:pPr>
              <w:keepNext w:val="0"/>
              <w:keepLines w:val="0"/>
              <w:pageBreakBefore w:val="0"/>
              <w:widowControl w:val="0"/>
              <w:spacing w:line="288"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提供零配件和维修备品备件的供应保障和维保期满后维保收费及维保方案内容完整清晰，优于项目需求的得</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分；</w:t>
            </w:r>
          </w:p>
          <w:p w14:paraId="7FE5FCF3">
            <w:pPr>
              <w:keepNext w:val="0"/>
              <w:keepLines w:val="0"/>
              <w:pageBreakBefore w:val="0"/>
              <w:widowControl w:val="0"/>
              <w:spacing w:line="288"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提供零配件和维修备品备件的供应保障和维保期满后维保收费及维保方案内容完整清晰，</w:t>
            </w:r>
            <w:r>
              <w:rPr>
                <w:rFonts w:hint="eastAsia" w:ascii="仿宋" w:hAnsi="仿宋" w:eastAsia="仿宋" w:cs="仿宋"/>
                <w:color w:val="auto"/>
                <w:sz w:val="24"/>
                <w:szCs w:val="24"/>
                <w:highlight w:val="none"/>
                <w:lang w:val="en-US" w:eastAsia="zh-CN"/>
              </w:rPr>
              <w:t>较好满足</w:t>
            </w:r>
            <w:r>
              <w:rPr>
                <w:rFonts w:hint="eastAsia" w:ascii="仿宋" w:hAnsi="仿宋" w:eastAsia="仿宋" w:cs="仿宋"/>
                <w:color w:val="auto"/>
                <w:sz w:val="24"/>
                <w:szCs w:val="24"/>
                <w:highlight w:val="none"/>
              </w:rPr>
              <w:t>项目需求的得</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分；</w:t>
            </w:r>
          </w:p>
          <w:p w14:paraId="63E7B998">
            <w:pPr>
              <w:keepNext w:val="0"/>
              <w:keepLines w:val="0"/>
              <w:pageBreakBefore w:val="0"/>
              <w:widowControl w:val="0"/>
              <w:spacing w:line="288"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零配件和维修备品备件的供应保障和维保期满后维保收费及维保方案内容较完整，满足项目需求的得4分；</w:t>
            </w:r>
          </w:p>
          <w:p w14:paraId="59AAD9CE">
            <w:pPr>
              <w:keepNext w:val="0"/>
              <w:keepLines w:val="0"/>
              <w:pageBreakBefore w:val="0"/>
              <w:widowControl w:val="0"/>
              <w:spacing w:line="288" w:lineRule="auto"/>
              <w:ind w:firstLine="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零配件和维修备品备件的供应保障和维保期满后维保收费及维保方案内容介绍</w:t>
            </w:r>
            <w:r>
              <w:rPr>
                <w:rFonts w:hint="eastAsia" w:ascii="仿宋" w:hAnsi="仿宋" w:eastAsia="仿宋" w:cs="仿宋"/>
                <w:color w:val="auto"/>
                <w:sz w:val="24"/>
                <w:szCs w:val="24"/>
                <w:highlight w:val="none"/>
                <w:lang w:val="en-US" w:eastAsia="zh-CN"/>
              </w:rPr>
              <w:t>一般</w:t>
            </w:r>
            <w:r>
              <w:rPr>
                <w:rFonts w:hint="eastAsia" w:ascii="仿宋" w:hAnsi="仿宋" w:eastAsia="仿宋" w:cs="仿宋"/>
                <w:color w:val="auto"/>
                <w:sz w:val="24"/>
                <w:szCs w:val="24"/>
                <w:highlight w:val="none"/>
              </w:rPr>
              <w:t>的得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分；不提供</w:t>
            </w:r>
            <w:r>
              <w:rPr>
                <w:rFonts w:hint="eastAsia" w:ascii="仿宋" w:hAnsi="仿宋" w:eastAsia="仿宋" w:cs="仿宋"/>
                <w:color w:val="auto"/>
                <w:sz w:val="24"/>
                <w:szCs w:val="24"/>
                <w:highlight w:val="none"/>
                <w:lang w:val="en-US" w:eastAsia="zh-CN"/>
              </w:rPr>
              <w:t>或重大偏差的</w:t>
            </w:r>
            <w:r>
              <w:rPr>
                <w:rFonts w:hint="eastAsia" w:ascii="仿宋" w:hAnsi="仿宋" w:eastAsia="仿宋" w:cs="仿宋"/>
                <w:color w:val="auto"/>
                <w:sz w:val="24"/>
                <w:szCs w:val="24"/>
                <w:highlight w:val="none"/>
              </w:rPr>
              <w:t>不得分</w:t>
            </w:r>
            <w:r>
              <w:rPr>
                <w:rFonts w:hint="eastAsia" w:ascii="仿宋" w:hAnsi="仿宋" w:eastAsia="仿宋" w:cs="仿宋"/>
                <w:color w:val="auto"/>
                <w:sz w:val="24"/>
                <w:szCs w:val="24"/>
                <w:highlight w:val="none"/>
                <w:lang w:eastAsia="zh-CN"/>
              </w:rPr>
              <w:t>。</w:t>
            </w:r>
          </w:p>
        </w:tc>
        <w:tc>
          <w:tcPr>
            <w:tcW w:w="731" w:type="dxa"/>
            <w:noWrap w:val="0"/>
            <w:vAlign w:val="center"/>
          </w:tcPr>
          <w:p w14:paraId="0D908181">
            <w:pPr>
              <w:keepNext w:val="0"/>
              <w:keepLines w:val="0"/>
              <w:pageBreakBefore w:val="0"/>
              <w:widowControl w:val="0"/>
              <w:spacing w:line="240" w:lineRule="auto"/>
              <w:ind w:firstLine="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r>
      <w:tr w14:paraId="3BD2D1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446" w:type="dxa"/>
            <w:noWrap w:val="0"/>
            <w:vAlign w:val="center"/>
          </w:tcPr>
          <w:p w14:paraId="43EC2905">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1260" w:type="dxa"/>
            <w:noWrap w:val="0"/>
            <w:vAlign w:val="center"/>
          </w:tcPr>
          <w:p w14:paraId="4169EE83">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业绩</w:t>
            </w:r>
          </w:p>
          <w:p w14:paraId="60288D3B">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分）</w:t>
            </w:r>
          </w:p>
        </w:tc>
        <w:tc>
          <w:tcPr>
            <w:tcW w:w="6588" w:type="dxa"/>
            <w:noWrap w:val="0"/>
            <w:vAlign w:val="center"/>
          </w:tcPr>
          <w:p w14:paraId="5933AA6D">
            <w:pPr>
              <w:keepNext w:val="0"/>
              <w:keepLines w:val="0"/>
              <w:pageBreakBefore w:val="0"/>
              <w:widowControl w:val="0"/>
              <w:spacing w:line="288"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投标人自2023年</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月以来（时间以合同签订时间为准）承接过类似项目成功案例的，每提供一个得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分，本项最多得</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分，没有不得分。</w:t>
            </w:r>
            <w:r>
              <w:rPr>
                <w:rFonts w:hint="eastAsia" w:ascii="仿宋" w:hAnsi="仿宋" w:eastAsia="仿宋" w:cs="仿宋"/>
                <w:b/>
                <w:bCs/>
                <w:color w:val="auto"/>
                <w:sz w:val="24"/>
                <w:szCs w:val="24"/>
                <w:highlight w:val="none"/>
              </w:rPr>
              <w:t>（提供合同扫描件加盖投标人电子签章，合同须能反映采购人单位、项目名称、设备品牌型号、配置清单、签订时间、签章等所有要素清晰可见，提供不全或者不清晰不得分）</w:t>
            </w:r>
          </w:p>
        </w:tc>
        <w:tc>
          <w:tcPr>
            <w:tcW w:w="731" w:type="dxa"/>
            <w:noWrap w:val="0"/>
            <w:vAlign w:val="center"/>
          </w:tcPr>
          <w:p w14:paraId="71A2F5D5">
            <w:pPr>
              <w:keepNext w:val="0"/>
              <w:keepLines w:val="0"/>
              <w:pageBreakBefore w:val="0"/>
              <w:widowControl w:val="0"/>
              <w:spacing w:line="240" w:lineRule="auto"/>
              <w:ind w:firstLine="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9</w:t>
            </w:r>
          </w:p>
        </w:tc>
      </w:tr>
      <w:tr w14:paraId="71E79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446" w:type="dxa"/>
            <w:noWrap w:val="0"/>
            <w:vAlign w:val="center"/>
          </w:tcPr>
          <w:p w14:paraId="7C13BC6D">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1260" w:type="dxa"/>
            <w:noWrap w:val="0"/>
            <w:vAlign w:val="center"/>
          </w:tcPr>
          <w:p w14:paraId="0DEB0C01">
            <w:pPr>
              <w:keepNext w:val="0"/>
              <w:keepLines w:val="0"/>
              <w:pageBreakBefore w:val="0"/>
              <w:widowControl w:val="0"/>
              <w:spacing w:line="240" w:lineRule="auto"/>
              <w:ind w:firstLine="0"/>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售后</w:t>
            </w:r>
            <w:r>
              <w:rPr>
                <w:rFonts w:hint="eastAsia" w:ascii="仿宋" w:hAnsi="仿宋" w:eastAsia="仿宋" w:cs="仿宋"/>
                <w:color w:val="auto"/>
                <w:sz w:val="24"/>
                <w:highlight w:val="none"/>
                <w:lang w:val="en-US" w:eastAsia="zh-CN"/>
              </w:rPr>
              <w:t>响应时间</w:t>
            </w:r>
          </w:p>
          <w:p w14:paraId="6808F578">
            <w:pPr>
              <w:keepNext w:val="0"/>
              <w:keepLines w:val="0"/>
              <w:pageBreakBefore w:val="0"/>
              <w:widowControl w:val="0"/>
              <w:spacing w:line="240" w:lineRule="auto"/>
              <w:ind w:firstLine="0"/>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highlight w:val="none"/>
                <w:lang w:val="en-US" w:eastAsia="zh-CN"/>
              </w:rPr>
              <w:t>（2分）</w:t>
            </w:r>
          </w:p>
        </w:tc>
        <w:tc>
          <w:tcPr>
            <w:tcW w:w="6588" w:type="dxa"/>
            <w:noWrap w:val="0"/>
            <w:vAlign w:val="center"/>
          </w:tcPr>
          <w:p w14:paraId="3433124D">
            <w:pPr>
              <w:keepNext w:val="0"/>
              <w:keepLines w:val="0"/>
              <w:pageBreakBefore w:val="0"/>
              <w:widowControl w:val="0"/>
              <w:spacing w:line="288" w:lineRule="auto"/>
              <w:ind w:firstLine="0"/>
              <w:rPr>
                <w:rFonts w:hint="eastAsia" w:ascii="仿宋" w:hAnsi="仿宋" w:eastAsia="仿宋" w:cs="仿宋"/>
                <w:color w:val="auto"/>
                <w:sz w:val="24"/>
                <w:szCs w:val="24"/>
                <w:highlight w:val="none"/>
              </w:rPr>
            </w:pPr>
            <w:r>
              <w:rPr>
                <w:rFonts w:hint="eastAsia" w:ascii="仿宋" w:hAnsi="仿宋" w:eastAsia="仿宋"/>
                <w:color w:val="auto"/>
                <w:sz w:val="24"/>
                <w:highlight w:val="none"/>
              </w:rPr>
              <w:t>如发生故障，投标方接到故障报修后，2小时内响应，12小时内到位维修得</w:t>
            </w:r>
            <w:r>
              <w:rPr>
                <w:rFonts w:hint="eastAsia" w:ascii="仿宋" w:hAnsi="仿宋" w:eastAsia="仿宋"/>
                <w:color w:val="auto"/>
                <w:sz w:val="24"/>
                <w:highlight w:val="none"/>
                <w:lang w:val="en-US" w:eastAsia="zh-CN"/>
              </w:rPr>
              <w:t>1</w:t>
            </w:r>
            <w:r>
              <w:rPr>
                <w:rFonts w:hint="eastAsia" w:ascii="仿宋" w:hAnsi="仿宋" w:eastAsia="仿宋"/>
                <w:color w:val="auto"/>
                <w:sz w:val="24"/>
                <w:highlight w:val="none"/>
              </w:rPr>
              <w:t>分；1小时内响应，6小时内到位维修得</w:t>
            </w:r>
            <w:r>
              <w:rPr>
                <w:rFonts w:hint="eastAsia" w:ascii="仿宋" w:hAnsi="仿宋" w:eastAsia="仿宋"/>
                <w:color w:val="auto"/>
                <w:sz w:val="24"/>
                <w:highlight w:val="none"/>
                <w:lang w:val="en-US" w:eastAsia="zh-CN"/>
              </w:rPr>
              <w:t>2</w:t>
            </w:r>
            <w:r>
              <w:rPr>
                <w:rFonts w:hint="eastAsia" w:ascii="仿宋" w:hAnsi="仿宋" w:eastAsia="仿宋"/>
                <w:color w:val="auto"/>
                <w:sz w:val="24"/>
                <w:highlight w:val="none"/>
              </w:rPr>
              <w:t>分；最高得</w:t>
            </w:r>
            <w:r>
              <w:rPr>
                <w:rFonts w:hint="eastAsia" w:ascii="仿宋" w:hAnsi="仿宋" w:eastAsia="仿宋"/>
                <w:color w:val="auto"/>
                <w:sz w:val="24"/>
                <w:highlight w:val="none"/>
                <w:lang w:val="en-US" w:eastAsia="zh-CN"/>
              </w:rPr>
              <w:t>2</w:t>
            </w:r>
            <w:r>
              <w:rPr>
                <w:rFonts w:hint="eastAsia" w:ascii="仿宋" w:hAnsi="仿宋" w:eastAsia="仿宋"/>
                <w:color w:val="auto"/>
                <w:sz w:val="24"/>
                <w:highlight w:val="none"/>
              </w:rPr>
              <w:t>分</w:t>
            </w:r>
            <w:r>
              <w:rPr>
                <w:rFonts w:hint="eastAsia" w:ascii="仿宋" w:hAnsi="仿宋" w:eastAsia="仿宋"/>
                <w:color w:val="auto"/>
                <w:sz w:val="24"/>
                <w:highlight w:val="none"/>
                <w:lang w:eastAsia="zh-CN"/>
              </w:rPr>
              <w:t>。</w:t>
            </w:r>
            <w:r>
              <w:rPr>
                <w:rFonts w:hint="eastAsia" w:ascii="仿宋" w:hAnsi="仿宋" w:eastAsia="仿宋"/>
                <w:b/>
                <w:bCs/>
                <w:color w:val="auto"/>
                <w:sz w:val="24"/>
                <w:highlight w:val="none"/>
              </w:rPr>
              <w:t>（提供承诺书原件</w:t>
            </w:r>
            <w:r>
              <w:rPr>
                <w:rFonts w:hint="eastAsia" w:ascii="仿宋" w:hAnsi="仿宋" w:eastAsia="仿宋" w:cs="仿宋"/>
                <w:b/>
                <w:bCs/>
                <w:color w:val="auto"/>
                <w:sz w:val="24"/>
                <w:szCs w:val="24"/>
                <w:highlight w:val="none"/>
              </w:rPr>
              <w:t>加盖投标人电子签章</w:t>
            </w:r>
            <w:r>
              <w:rPr>
                <w:rFonts w:hint="eastAsia" w:ascii="仿宋" w:hAnsi="仿宋" w:eastAsia="仿宋"/>
                <w:b/>
                <w:bCs/>
                <w:color w:val="auto"/>
                <w:sz w:val="24"/>
                <w:highlight w:val="none"/>
              </w:rPr>
              <w:t>，格式自拟）</w:t>
            </w:r>
          </w:p>
        </w:tc>
        <w:tc>
          <w:tcPr>
            <w:tcW w:w="731" w:type="dxa"/>
            <w:noWrap w:val="0"/>
            <w:vAlign w:val="center"/>
          </w:tcPr>
          <w:p w14:paraId="3FCDAAAF">
            <w:pPr>
              <w:keepNext w:val="0"/>
              <w:keepLines w:val="0"/>
              <w:pageBreakBefore w:val="0"/>
              <w:widowControl w:val="0"/>
              <w:spacing w:line="240" w:lineRule="auto"/>
              <w:ind w:firstLine="0"/>
              <w:rPr>
                <w:rFonts w:hint="eastAsia" w:ascii="仿宋" w:hAnsi="仿宋" w:eastAsia="仿宋" w:cs="仿宋"/>
                <w:color w:val="auto"/>
                <w:sz w:val="24"/>
                <w:szCs w:val="24"/>
                <w:highlight w:val="none"/>
              </w:rPr>
            </w:pPr>
          </w:p>
        </w:tc>
      </w:tr>
    </w:tbl>
    <w:p w14:paraId="7730FE80">
      <w:pPr>
        <w:spacing w:line="520" w:lineRule="exact"/>
        <w:jc w:val="center"/>
        <w:rPr>
          <w:rFonts w:hint="eastAsia" w:ascii="仿宋" w:hAnsi="仿宋" w:eastAsia="仿宋" w:cs="仿宋"/>
          <w:b/>
          <w:color w:val="auto"/>
          <w:sz w:val="36"/>
          <w:szCs w:val="36"/>
          <w:highlight w:val="none"/>
        </w:rPr>
      </w:pPr>
    </w:p>
    <w:p w14:paraId="6C292C82">
      <w:pPr>
        <w:keepNext w:val="0"/>
        <w:keepLines w:val="0"/>
        <w:pageBreakBefore w:val="0"/>
        <w:widowControl w:val="0"/>
        <w:spacing w:line="288" w:lineRule="auto"/>
        <w:ind w:firstLine="700"/>
        <w:rPr>
          <w:rFonts w:hint="default" w:ascii="仿宋" w:hAnsi="仿宋" w:eastAsia="仿宋" w:cs="宋体"/>
          <w:color w:val="auto"/>
          <w:sz w:val="28"/>
          <w:szCs w:val="28"/>
          <w:highlight w:val="none"/>
          <w:lang w:val="en-US" w:eastAsia="zh-CN"/>
        </w:rPr>
      </w:pPr>
      <w:r>
        <w:rPr>
          <w:rFonts w:hint="eastAsia" w:ascii="仿宋" w:hAnsi="仿宋" w:eastAsia="仿宋" w:cs="宋体"/>
          <w:color w:val="auto"/>
          <w:sz w:val="28"/>
          <w:szCs w:val="28"/>
          <w:highlight w:val="none"/>
        </w:rPr>
        <w:t>评标标准</w:t>
      </w:r>
      <w:r>
        <w:rPr>
          <w:rFonts w:hint="eastAsia" w:ascii="仿宋" w:hAnsi="仿宋" w:eastAsia="仿宋" w:cs="宋体"/>
          <w:b/>
          <w:bCs/>
          <w:color w:val="auto"/>
          <w:sz w:val="28"/>
          <w:szCs w:val="28"/>
          <w:highlight w:val="none"/>
          <w:lang w:val="en-US" w:eastAsia="zh-CN"/>
        </w:rPr>
        <w:t>（包三、包四适用）</w:t>
      </w:r>
    </w:p>
    <w:p w14:paraId="1465F528">
      <w:pPr>
        <w:keepNext w:val="0"/>
        <w:keepLines w:val="0"/>
        <w:pageBreakBefore w:val="0"/>
        <w:widowControl w:val="0"/>
        <w:spacing w:line="324" w:lineRule="auto"/>
        <w:jc w:val="center"/>
        <w:rPr>
          <w:rFonts w:hint="default" w:ascii="仿宋" w:hAnsi="仿宋" w:eastAsia="仿宋" w:cs="宋体"/>
          <w:b/>
          <w:bCs/>
          <w:color w:val="auto"/>
          <w:sz w:val="28"/>
          <w:szCs w:val="28"/>
          <w:highlight w:val="none"/>
          <w:lang w:val="en-US" w:eastAsia="zh-CN"/>
        </w:rPr>
      </w:pPr>
      <w:r>
        <w:rPr>
          <w:rFonts w:hint="eastAsia" w:ascii="仿宋" w:hAnsi="仿宋" w:eastAsia="仿宋" w:cs="宋体"/>
          <w:b/>
          <w:bCs/>
          <w:color w:val="auto"/>
          <w:sz w:val="28"/>
          <w:szCs w:val="28"/>
          <w:highlight w:val="none"/>
          <w:lang w:val="en-US" w:eastAsia="zh-CN"/>
        </w:rPr>
        <w:t>评分标准</w:t>
      </w:r>
    </w:p>
    <w:tbl>
      <w:tblPr>
        <w:tblStyle w:val="44"/>
        <w:tblW w:w="90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46"/>
        <w:gridCol w:w="1260"/>
        <w:gridCol w:w="6588"/>
        <w:gridCol w:w="731"/>
      </w:tblGrid>
      <w:tr w14:paraId="08BC7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atLeast"/>
          <w:jc w:val="center"/>
        </w:trPr>
        <w:tc>
          <w:tcPr>
            <w:tcW w:w="446" w:type="dxa"/>
            <w:tcBorders>
              <w:bottom w:val="single" w:color="auto" w:sz="4" w:space="0"/>
            </w:tcBorders>
            <w:noWrap w:val="0"/>
            <w:vAlign w:val="center"/>
          </w:tcPr>
          <w:p w14:paraId="1522DFFE">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260" w:type="dxa"/>
            <w:tcBorders>
              <w:bottom w:val="single" w:color="auto" w:sz="4" w:space="0"/>
            </w:tcBorders>
            <w:noWrap w:val="0"/>
            <w:vAlign w:val="center"/>
          </w:tcPr>
          <w:p w14:paraId="621780F7">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分项</w:t>
            </w:r>
          </w:p>
        </w:tc>
        <w:tc>
          <w:tcPr>
            <w:tcW w:w="6588" w:type="dxa"/>
            <w:tcBorders>
              <w:bottom w:val="single" w:color="auto" w:sz="4" w:space="0"/>
            </w:tcBorders>
            <w:noWrap w:val="0"/>
            <w:vAlign w:val="center"/>
          </w:tcPr>
          <w:p w14:paraId="3C219C4A">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评分标准</w:t>
            </w:r>
          </w:p>
        </w:tc>
        <w:tc>
          <w:tcPr>
            <w:tcW w:w="731" w:type="dxa"/>
            <w:tcBorders>
              <w:bottom w:val="single" w:color="auto" w:sz="4" w:space="0"/>
            </w:tcBorders>
            <w:noWrap w:val="0"/>
            <w:vAlign w:val="center"/>
          </w:tcPr>
          <w:p w14:paraId="57CD7EF9">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得分</w:t>
            </w:r>
          </w:p>
        </w:tc>
      </w:tr>
      <w:tr w14:paraId="41472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 w:hRule="atLeast"/>
          <w:jc w:val="center"/>
        </w:trPr>
        <w:tc>
          <w:tcPr>
            <w:tcW w:w="446" w:type="dxa"/>
            <w:tcBorders>
              <w:top w:val="single" w:color="auto" w:sz="4" w:space="0"/>
            </w:tcBorders>
            <w:noWrap w:val="0"/>
            <w:vAlign w:val="center"/>
          </w:tcPr>
          <w:p w14:paraId="47A1BC89">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260" w:type="dxa"/>
            <w:tcBorders>
              <w:top w:val="single" w:color="auto" w:sz="4" w:space="0"/>
            </w:tcBorders>
            <w:noWrap w:val="0"/>
            <w:vAlign w:val="center"/>
          </w:tcPr>
          <w:p w14:paraId="6D3F81D5">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价格评分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30分）</w:t>
            </w:r>
          </w:p>
        </w:tc>
        <w:tc>
          <w:tcPr>
            <w:tcW w:w="6588" w:type="dxa"/>
            <w:tcBorders>
              <w:top w:val="single" w:color="auto" w:sz="4" w:space="0"/>
            </w:tcBorders>
            <w:noWrap w:val="0"/>
            <w:vAlign w:val="center"/>
          </w:tcPr>
          <w:p w14:paraId="4082FFC5">
            <w:pPr>
              <w:keepNext w:val="0"/>
              <w:keepLines w:val="0"/>
              <w:pageBreakBefore w:val="0"/>
              <w:widowControl w:val="0"/>
              <w:spacing w:line="24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满足招标文件设备性能要求且投标价格最低的投标报价为评标基准价，其价格分为满分。其他投标人的价格分统一按照下列公式计算：</w:t>
            </w:r>
          </w:p>
          <w:p w14:paraId="105CDAFE">
            <w:pPr>
              <w:keepNext w:val="0"/>
              <w:keepLines w:val="0"/>
              <w:pageBreakBefore w:val="0"/>
              <w:widowControl w:val="0"/>
              <w:spacing w:line="24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投标报价得分=(评标基准价／投标报价)×价格分值，小数点保留2位</w:t>
            </w:r>
          </w:p>
        </w:tc>
        <w:tc>
          <w:tcPr>
            <w:tcW w:w="731" w:type="dxa"/>
            <w:tcBorders>
              <w:top w:val="single" w:color="auto" w:sz="4" w:space="0"/>
            </w:tcBorders>
            <w:noWrap w:val="0"/>
            <w:vAlign w:val="center"/>
          </w:tcPr>
          <w:p w14:paraId="071B7102">
            <w:pPr>
              <w:keepNext w:val="0"/>
              <w:keepLines w:val="0"/>
              <w:pageBreakBefore w:val="0"/>
              <w:widowControl w:val="0"/>
              <w:spacing w:line="240" w:lineRule="auto"/>
              <w:ind w:firstLine="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w:t>
            </w:r>
          </w:p>
        </w:tc>
      </w:tr>
      <w:tr w14:paraId="1E1F2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8" w:hRule="atLeast"/>
          <w:jc w:val="center"/>
        </w:trPr>
        <w:tc>
          <w:tcPr>
            <w:tcW w:w="446" w:type="dxa"/>
            <w:noWrap w:val="0"/>
            <w:vAlign w:val="center"/>
          </w:tcPr>
          <w:p w14:paraId="59F88C7B">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260" w:type="dxa"/>
            <w:noWrap w:val="0"/>
            <w:vAlign w:val="center"/>
          </w:tcPr>
          <w:p w14:paraId="573DE7F8">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技术参数（2</w:t>
            </w:r>
            <w:r>
              <w:rPr>
                <w:rFonts w:hint="eastAsia" w:ascii="仿宋" w:hAnsi="仿宋" w:eastAsia="仿宋" w:cs="仿宋"/>
                <w:color w:val="auto"/>
                <w:sz w:val="24"/>
                <w:szCs w:val="24"/>
                <w:highlight w:val="none"/>
              </w:rPr>
              <w:t>0分</w:t>
            </w:r>
            <w:r>
              <w:rPr>
                <w:rFonts w:hint="eastAsia" w:ascii="仿宋" w:hAnsi="仿宋" w:eastAsia="仿宋" w:cs="仿宋"/>
                <w:color w:val="auto"/>
                <w:sz w:val="24"/>
                <w:szCs w:val="24"/>
                <w:highlight w:val="none"/>
                <w:lang w:val="en-US" w:eastAsia="zh-CN"/>
              </w:rPr>
              <w:t>）</w:t>
            </w:r>
          </w:p>
        </w:tc>
        <w:tc>
          <w:tcPr>
            <w:tcW w:w="6588" w:type="dxa"/>
            <w:tcBorders>
              <w:top w:val="single" w:color="auto" w:sz="4" w:space="0"/>
            </w:tcBorders>
            <w:noWrap w:val="0"/>
            <w:vAlign w:val="center"/>
          </w:tcPr>
          <w:p w14:paraId="5304E92C">
            <w:pPr>
              <w:keepNext w:val="0"/>
              <w:keepLines w:val="0"/>
              <w:pageBreakBefore w:val="0"/>
              <w:widowControl w:val="0"/>
              <w:spacing w:line="240" w:lineRule="auto"/>
              <w:ind w:firstLine="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投标人所投产品的技术参数与招标文件第五章“二、产品清单及技术参数”中标注“▲”要求相比较，以</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0分为基数，有1项负偏离扣</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分，</w:t>
            </w:r>
            <w:r>
              <w:rPr>
                <w:rFonts w:hint="eastAsia" w:ascii="仿宋" w:hAnsi="仿宋" w:eastAsia="仿宋" w:cs="仿宋"/>
                <w:color w:val="auto"/>
                <w:sz w:val="24"/>
                <w:szCs w:val="24"/>
                <w:highlight w:val="none"/>
                <w:lang w:val="en-US" w:eastAsia="zh-CN"/>
              </w:rPr>
              <w:t>超10项负偏离此项得0分；</w:t>
            </w:r>
          </w:p>
          <w:p w14:paraId="2F945DF9">
            <w:pPr>
              <w:keepNext w:val="0"/>
              <w:keepLines w:val="0"/>
              <w:pageBreakBefore w:val="0"/>
              <w:widowControl w:val="0"/>
              <w:spacing w:line="240" w:lineRule="auto"/>
              <w:ind w:firstLine="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与</w:t>
            </w:r>
            <w:r>
              <w:rPr>
                <w:rFonts w:hint="eastAsia" w:ascii="仿宋" w:hAnsi="仿宋" w:eastAsia="仿宋" w:cs="仿宋"/>
                <w:color w:val="auto"/>
                <w:sz w:val="24"/>
                <w:szCs w:val="24"/>
                <w:highlight w:val="none"/>
                <w:lang w:eastAsia="zh-CN"/>
              </w:rPr>
              <w:t>未标注“▲”要求相比较，有1项负偏离扣</w:t>
            </w:r>
            <w:r>
              <w:rPr>
                <w:rFonts w:hint="eastAsia" w:ascii="仿宋" w:hAnsi="仿宋" w:eastAsia="仿宋" w:cs="仿宋"/>
                <w:color w:val="auto"/>
                <w:sz w:val="24"/>
                <w:szCs w:val="24"/>
                <w:highlight w:val="none"/>
                <w:lang w:val="en-US" w:eastAsia="zh-CN"/>
              </w:rPr>
              <w:t>0.5</w:t>
            </w:r>
            <w:r>
              <w:rPr>
                <w:rFonts w:hint="eastAsia" w:ascii="仿宋" w:hAnsi="仿宋" w:eastAsia="仿宋" w:cs="仿宋"/>
                <w:color w:val="auto"/>
                <w:sz w:val="24"/>
                <w:szCs w:val="24"/>
                <w:highlight w:val="none"/>
                <w:lang w:eastAsia="zh-CN"/>
              </w:rPr>
              <w:t>分，</w:t>
            </w:r>
            <w:r>
              <w:rPr>
                <w:rFonts w:hint="eastAsia" w:ascii="仿宋" w:hAnsi="仿宋" w:eastAsia="仿宋" w:cs="仿宋"/>
                <w:color w:val="auto"/>
                <w:sz w:val="24"/>
                <w:szCs w:val="24"/>
                <w:highlight w:val="none"/>
                <w:lang w:val="en-US" w:eastAsia="zh-CN"/>
              </w:rPr>
              <w:t>负偏离超过20项得0分</w:t>
            </w:r>
            <w:r>
              <w:rPr>
                <w:rFonts w:hint="eastAsia" w:ascii="仿宋" w:hAnsi="仿宋" w:eastAsia="仿宋" w:cs="仿宋"/>
                <w:color w:val="auto"/>
                <w:sz w:val="24"/>
                <w:szCs w:val="24"/>
                <w:highlight w:val="none"/>
                <w:lang w:eastAsia="zh-CN"/>
              </w:rPr>
              <w:t>。</w:t>
            </w:r>
          </w:p>
        </w:tc>
        <w:tc>
          <w:tcPr>
            <w:tcW w:w="731" w:type="dxa"/>
            <w:tcBorders>
              <w:top w:val="single" w:color="auto" w:sz="4" w:space="0"/>
              <w:bottom w:val="single" w:color="auto" w:sz="4" w:space="0"/>
            </w:tcBorders>
            <w:noWrap w:val="0"/>
            <w:vAlign w:val="center"/>
          </w:tcPr>
          <w:p w14:paraId="4699812B">
            <w:pPr>
              <w:keepNext w:val="0"/>
              <w:keepLines w:val="0"/>
              <w:pageBreakBefore w:val="0"/>
              <w:widowControl w:val="0"/>
              <w:spacing w:line="240" w:lineRule="auto"/>
              <w:ind w:firstLine="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r>
      <w:tr w14:paraId="404158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446" w:type="dxa"/>
            <w:tcBorders>
              <w:top w:val="single" w:color="auto" w:sz="4" w:space="0"/>
              <w:bottom w:val="single" w:color="auto" w:sz="4" w:space="0"/>
            </w:tcBorders>
            <w:noWrap w:val="0"/>
            <w:vAlign w:val="center"/>
          </w:tcPr>
          <w:p w14:paraId="2A27FC0F">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260" w:type="dxa"/>
            <w:tcBorders>
              <w:top w:val="single" w:color="auto" w:sz="4" w:space="0"/>
              <w:bottom w:val="single" w:color="auto" w:sz="4" w:space="0"/>
            </w:tcBorders>
            <w:noWrap w:val="0"/>
            <w:vAlign w:val="center"/>
          </w:tcPr>
          <w:p w14:paraId="630AF62A">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项目实施方案</w:t>
            </w:r>
          </w:p>
          <w:p w14:paraId="3A9BC74E">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分）</w:t>
            </w:r>
          </w:p>
        </w:tc>
        <w:tc>
          <w:tcPr>
            <w:tcW w:w="6588" w:type="dxa"/>
            <w:tcBorders>
              <w:top w:val="single" w:color="auto" w:sz="4" w:space="0"/>
              <w:bottom w:val="single" w:color="auto" w:sz="4" w:space="0"/>
            </w:tcBorders>
            <w:noWrap w:val="0"/>
            <w:vAlign w:val="center"/>
          </w:tcPr>
          <w:p w14:paraId="513B2EA2">
            <w:pPr>
              <w:keepNext w:val="0"/>
              <w:keepLines w:val="0"/>
              <w:pageBreakBefore w:val="0"/>
              <w:widowControl w:val="0"/>
              <w:spacing w:line="240"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提供的项目实施方案内容的完整性及进度计划安排的合理性进行打分，包括但不限于投标人如何在成交后有效地组织技术和人员力量，按时保质地完成供货、安装、验收等。</w:t>
            </w:r>
          </w:p>
          <w:p w14:paraId="5B7243B8">
            <w:pPr>
              <w:keepNext w:val="0"/>
              <w:keepLines w:val="0"/>
              <w:pageBreakBefore w:val="0"/>
              <w:widowControl w:val="0"/>
              <w:spacing w:line="240"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实施方案内容完整、进度计划安排合理、优于采购人需求的得</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分；</w:t>
            </w:r>
          </w:p>
          <w:p w14:paraId="5E551D19">
            <w:pPr>
              <w:keepNext w:val="0"/>
              <w:keepLines w:val="0"/>
              <w:pageBreakBefore w:val="0"/>
              <w:widowControl w:val="0"/>
              <w:spacing w:line="240"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实施方案内容</w:t>
            </w:r>
            <w:r>
              <w:rPr>
                <w:rFonts w:hint="eastAsia" w:ascii="仿宋" w:hAnsi="仿宋" w:eastAsia="仿宋" w:cs="仿宋"/>
                <w:color w:val="auto"/>
                <w:sz w:val="24"/>
                <w:szCs w:val="24"/>
                <w:highlight w:val="none"/>
                <w:lang w:val="en-US" w:eastAsia="zh-CN"/>
              </w:rPr>
              <w:t>完整</w:t>
            </w:r>
            <w:r>
              <w:rPr>
                <w:rFonts w:hint="eastAsia" w:ascii="仿宋" w:hAnsi="仿宋" w:eastAsia="仿宋" w:cs="仿宋"/>
                <w:color w:val="auto"/>
                <w:sz w:val="24"/>
                <w:szCs w:val="24"/>
                <w:highlight w:val="none"/>
              </w:rPr>
              <w:t>、进度计划安排</w:t>
            </w:r>
            <w:r>
              <w:rPr>
                <w:rFonts w:hint="eastAsia" w:ascii="仿宋" w:hAnsi="仿宋" w:eastAsia="仿宋" w:cs="仿宋"/>
                <w:color w:val="auto"/>
                <w:sz w:val="24"/>
                <w:szCs w:val="24"/>
                <w:highlight w:val="none"/>
                <w:lang w:val="en-US" w:eastAsia="zh-CN"/>
              </w:rPr>
              <w:t>合理、</w:t>
            </w:r>
            <w:r>
              <w:rPr>
                <w:rFonts w:hint="eastAsia" w:ascii="仿宋" w:hAnsi="仿宋" w:eastAsia="仿宋" w:cs="仿宋"/>
                <w:color w:val="auto"/>
                <w:sz w:val="24"/>
                <w:szCs w:val="24"/>
                <w:highlight w:val="none"/>
              </w:rPr>
              <w:t>较好满足采购人需求的得</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分；</w:t>
            </w:r>
          </w:p>
          <w:p w14:paraId="4B063ED5">
            <w:pPr>
              <w:keepNext w:val="0"/>
              <w:keepLines w:val="0"/>
              <w:pageBreakBefore w:val="0"/>
              <w:widowControl w:val="0"/>
              <w:spacing w:line="240"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实施方案内容较</w:t>
            </w:r>
            <w:r>
              <w:rPr>
                <w:rFonts w:hint="eastAsia" w:ascii="仿宋" w:hAnsi="仿宋" w:eastAsia="仿宋" w:cs="仿宋"/>
                <w:color w:val="auto"/>
                <w:sz w:val="24"/>
                <w:szCs w:val="24"/>
                <w:highlight w:val="none"/>
                <w:lang w:val="en-US" w:eastAsia="zh-CN"/>
              </w:rPr>
              <w:t>完整</w:t>
            </w:r>
            <w:r>
              <w:rPr>
                <w:rFonts w:hint="eastAsia" w:ascii="仿宋" w:hAnsi="仿宋" w:eastAsia="仿宋" w:cs="仿宋"/>
                <w:color w:val="auto"/>
                <w:sz w:val="24"/>
                <w:szCs w:val="24"/>
                <w:highlight w:val="none"/>
              </w:rPr>
              <w:t>、进度计划安排</w:t>
            </w:r>
            <w:r>
              <w:rPr>
                <w:rFonts w:hint="eastAsia" w:ascii="仿宋" w:hAnsi="仿宋" w:eastAsia="仿宋" w:cs="仿宋"/>
                <w:color w:val="auto"/>
                <w:sz w:val="24"/>
                <w:szCs w:val="24"/>
                <w:highlight w:val="none"/>
                <w:lang w:val="en-US" w:eastAsia="zh-CN"/>
              </w:rPr>
              <w:t>较合理</w:t>
            </w:r>
            <w:r>
              <w:rPr>
                <w:rFonts w:hint="eastAsia" w:ascii="仿宋" w:hAnsi="仿宋" w:eastAsia="仿宋" w:cs="仿宋"/>
                <w:color w:val="auto"/>
                <w:sz w:val="24"/>
                <w:szCs w:val="24"/>
                <w:highlight w:val="none"/>
              </w:rPr>
              <w:t>、满足采购人需求的得</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w:t>
            </w:r>
          </w:p>
          <w:p w14:paraId="080E5491">
            <w:pPr>
              <w:keepNext w:val="0"/>
              <w:keepLines w:val="0"/>
              <w:pageBreakBefore w:val="0"/>
              <w:widowControl w:val="0"/>
              <w:spacing w:line="240"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实施方案内容一般、进度计划安排一般</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有所欠缺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基本</w:t>
            </w:r>
            <w:r>
              <w:rPr>
                <w:rFonts w:hint="eastAsia" w:ascii="仿宋" w:hAnsi="仿宋" w:eastAsia="仿宋" w:cs="仿宋"/>
                <w:color w:val="auto"/>
                <w:sz w:val="24"/>
                <w:szCs w:val="24"/>
                <w:highlight w:val="none"/>
              </w:rPr>
              <w:t>满足采购人一般需求的得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分；不提供</w:t>
            </w:r>
            <w:r>
              <w:rPr>
                <w:rFonts w:hint="eastAsia" w:ascii="仿宋" w:hAnsi="仿宋" w:eastAsia="仿宋" w:cs="仿宋"/>
                <w:color w:val="auto"/>
                <w:sz w:val="24"/>
                <w:szCs w:val="24"/>
                <w:highlight w:val="none"/>
                <w:lang w:val="en-US" w:eastAsia="zh-CN"/>
              </w:rPr>
              <w:t>或重大偏差的</w:t>
            </w:r>
            <w:r>
              <w:rPr>
                <w:rFonts w:hint="eastAsia" w:ascii="仿宋" w:hAnsi="仿宋" w:eastAsia="仿宋" w:cs="仿宋"/>
                <w:color w:val="auto"/>
                <w:sz w:val="24"/>
                <w:szCs w:val="24"/>
                <w:highlight w:val="none"/>
              </w:rPr>
              <w:t>不得分。</w:t>
            </w:r>
          </w:p>
        </w:tc>
        <w:tc>
          <w:tcPr>
            <w:tcW w:w="731" w:type="dxa"/>
            <w:tcBorders>
              <w:top w:val="single" w:color="auto" w:sz="4" w:space="0"/>
              <w:bottom w:val="single" w:color="auto" w:sz="4" w:space="0"/>
            </w:tcBorders>
            <w:noWrap w:val="0"/>
            <w:vAlign w:val="center"/>
          </w:tcPr>
          <w:p w14:paraId="2DF9298E">
            <w:pPr>
              <w:keepNext w:val="0"/>
              <w:keepLines w:val="0"/>
              <w:pageBreakBefore w:val="0"/>
              <w:widowControl w:val="0"/>
              <w:spacing w:line="240" w:lineRule="auto"/>
              <w:ind w:firstLine="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r>
      <w:tr w14:paraId="1544D3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4" w:hRule="atLeast"/>
          <w:jc w:val="center"/>
        </w:trPr>
        <w:tc>
          <w:tcPr>
            <w:tcW w:w="446" w:type="dxa"/>
            <w:noWrap w:val="0"/>
            <w:vAlign w:val="center"/>
          </w:tcPr>
          <w:p w14:paraId="01D0834D">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1260" w:type="dxa"/>
            <w:noWrap w:val="0"/>
            <w:vAlign w:val="center"/>
          </w:tcPr>
          <w:p w14:paraId="6D3ADB4A">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p>
          <w:p w14:paraId="5DB3CC58">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培训方案（</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分）</w:t>
            </w:r>
          </w:p>
        </w:tc>
        <w:tc>
          <w:tcPr>
            <w:tcW w:w="6588" w:type="dxa"/>
            <w:noWrap w:val="0"/>
            <w:vAlign w:val="center"/>
          </w:tcPr>
          <w:p w14:paraId="13CE021C">
            <w:pPr>
              <w:keepNext w:val="0"/>
              <w:keepLines w:val="0"/>
              <w:pageBreakBefore w:val="0"/>
              <w:widowControl w:val="0"/>
              <w:spacing w:line="288"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培训方案情况比较：包括培训步骤、培训计划、培训记录表等。</w:t>
            </w:r>
          </w:p>
          <w:p w14:paraId="258B024A">
            <w:pPr>
              <w:keepNext w:val="0"/>
              <w:keepLines w:val="0"/>
              <w:pageBreakBefore w:val="0"/>
              <w:widowControl w:val="0"/>
              <w:spacing w:line="288"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培训方案详细具体，可行性高，优于项目需求的得</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分；</w:t>
            </w:r>
          </w:p>
          <w:p w14:paraId="0A146ED8">
            <w:pPr>
              <w:keepNext w:val="0"/>
              <w:keepLines w:val="0"/>
              <w:pageBreakBefore w:val="0"/>
              <w:widowControl w:val="0"/>
              <w:spacing w:line="288"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培训方案详细具体，可行性高，</w:t>
            </w:r>
            <w:r>
              <w:rPr>
                <w:rFonts w:hint="eastAsia" w:ascii="仿宋" w:hAnsi="仿宋" w:eastAsia="仿宋" w:cs="仿宋"/>
                <w:color w:val="auto"/>
                <w:sz w:val="24"/>
                <w:szCs w:val="24"/>
                <w:highlight w:val="none"/>
                <w:lang w:val="en-US" w:eastAsia="zh-CN"/>
              </w:rPr>
              <w:t>较好满足</w:t>
            </w:r>
            <w:r>
              <w:rPr>
                <w:rFonts w:hint="eastAsia" w:ascii="仿宋" w:hAnsi="仿宋" w:eastAsia="仿宋" w:cs="仿宋"/>
                <w:color w:val="auto"/>
                <w:sz w:val="24"/>
                <w:szCs w:val="24"/>
                <w:highlight w:val="none"/>
              </w:rPr>
              <w:t>项目需求的得</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w:t>
            </w:r>
          </w:p>
          <w:p w14:paraId="77A0DEA8">
            <w:pPr>
              <w:keepNext w:val="0"/>
              <w:keepLines w:val="0"/>
              <w:pageBreakBefore w:val="0"/>
              <w:widowControl w:val="0"/>
              <w:spacing w:line="288"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培训方案较为详细具体，可行性较高，满足项目需求的得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p>
          <w:p w14:paraId="7A76B37B">
            <w:pPr>
              <w:keepNext w:val="0"/>
              <w:keepLines w:val="0"/>
              <w:pageBreakBefore w:val="0"/>
              <w:widowControl w:val="0"/>
              <w:spacing w:line="288" w:lineRule="auto"/>
              <w:ind w:firstLine="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培训方案一般，可行性一般，有所欠缺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基本</w:t>
            </w:r>
            <w:r>
              <w:rPr>
                <w:rFonts w:hint="eastAsia" w:ascii="仿宋" w:hAnsi="仿宋" w:eastAsia="仿宋" w:cs="仿宋"/>
                <w:color w:val="auto"/>
                <w:sz w:val="24"/>
                <w:szCs w:val="24"/>
                <w:highlight w:val="none"/>
              </w:rPr>
              <w:t>满足项目一般需求的得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分；不提供</w:t>
            </w:r>
            <w:r>
              <w:rPr>
                <w:rFonts w:hint="eastAsia" w:ascii="仿宋" w:hAnsi="仿宋" w:eastAsia="仿宋" w:cs="仿宋"/>
                <w:color w:val="auto"/>
                <w:sz w:val="24"/>
                <w:szCs w:val="24"/>
                <w:highlight w:val="none"/>
                <w:lang w:val="en-US" w:eastAsia="zh-CN"/>
              </w:rPr>
              <w:t>或重大偏差的</w:t>
            </w:r>
            <w:r>
              <w:rPr>
                <w:rFonts w:hint="eastAsia" w:ascii="仿宋" w:hAnsi="仿宋" w:eastAsia="仿宋" w:cs="仿宋"/>
                <w:color w:val="auto"/>
                <w:sz w:val="24"/>
                <w:szCs w:val="24"/>
                <w:highlight w:val="none"/>
              </w:rPr>
              <w:t>不得分</w:t>
            </w:r>
            <w:r>
              <w:rPr>
                <w:rFonts w:hint="eastAsia" w:ascii="仿宋" w:hAnsi="仿宋" w:eastAsia="仿宋" w:cs="仿宋"/>
                <w:color w:val="auto"/>
                <w:sz w:val="24"/>
                <w:szCs w:val="24"/>
                <w:highlight w:val="none"/>
                <w:lang w:eastAsia="zh-CN"/>
              </w:rPr>
              <w:t>。</w:t>
            </w:r>
          </w:p>
        </w:tc>
        <w:tc>
          <w:tcPr>
            <w:tcW w:w="731" w:type="dxa"/>
            <w:noWrap w:val="0"/>
            <w:vAlign w:val="center"/>
          </w:tcPr>
          <w:p w14:paraId="3E297B40">
            <w:pPr>
              <w:keepNext w:val="0"/>
              <w:keepLines w:val="0"/>
              <w:pageBreakBefore w:val="0"/>
              <w:widowControl w:val="0"/>
              <w:spacing w:line="240" w:lineRule="auto"/>
              <w:ind w:firstLine="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9</w:t>
            </w:r>
          </w:p>
        </w:tc>
      </w:tr>
      <w:tr w14:paraId="482D6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5" w:hRule="atLeast"/>
          <w:jc w:val="center"/>
        </w:trPr>
        <w:tc>
          <w:tcPr>
            <w:tcW w:w="446" w:type="dxa"/>
            <w:noWrap w:val="0"/>
            <w:vAlign w:val="center"/>
          </w:tcPr>
          <w:p w14:paraId="6080203F">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1260" w:type="dxa"/>
            <w:noWrap w:val="0"/>
            <w:vAlign w:val="center"/>
          </w:tcPr>
          <w:p w14:paraId="1B9DFF35">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售后服务管理体系方案</w:t>
            </w:r>
          </w:p>
          <w:p w14:paraId="6C20641A">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分）</w:t>
            </w:r>
          </w:p>
        </w:tc>
        <w:tc>
          <w:tcPr>
            <w:tcW w:w="6588" w:type="dxa"/>
            <w:noWrap w:val="0"/>
            <w:vAlign w:val="center"/>
          </w:tcPr>
          <w:p w14:paraId="6F7A18E0">
            <w:pPr>
              <w:keepNext w:val="0"/>
              <w:keepLines w:val="0"/>
              <w:pageBreakBefore w:val="0"/>
              <w:widowControl w:val="0"/>
              <w:spacing w:line="288"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针对本项目制定的售后服务管理体系方案，包括售后服务人员、服务机制、响应时间、故障解决等内容的合理性和可行性。</w:t>
            </w:r>
          </w:p>
          <w:p w14:paraId="6EFCF582">
            <w:pPr>
              <w:keepNext w:val="0"/>
              <w:keepLines w:val="0"/>
              <w:pageBreakBefore w:val="0"/>
              <w:widowControl w:val="0"/>
              <w:spacing w:line="288"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售后服务方案完整合理，可行性高，优于项目需求的得</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分；</w:t>
            </w:r>
          </w:p>
          <w:p w14:paraId="0ED8964E">
            <w:pPr>
              <w:keepNext w:val="0"/>
              <w:keepLines w:val="0"/>
              <w:pageBreakBefore w:val="0"/>
              <w:widowControl w:val="0"/>
              <w:spacing w:line="288"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售后服务方案完整合理，可行性高，</w:t>
            </w:r>
            <w:r>
              <w:rPr>
                <w:rFonts w:hint="eastAsia" w:ascii="仿宋" w:hAnsi="仿宋" w:eastAsia="仿宋" w:cs="仿宋"/>
                <w:color w:val="auto"/>
                <w:sz w:val="24"/>
                <w:szCs w:val="24"/>
                <w:highlight w:val="none"/>
                <w:lang w:val="en-US" w:eastAsia="zh-CN"/>
              </w:rPr>
              <w:t>较好满足</w:t>
            </w:r>
            <w:r>
              <w:rPr>
                <w:rFonts w:hint="eastAsia" w:ascii="仿宋" w:hAnsi="仿宋" w:eastAsia="仿宋" w:cs="仿宋"/>
                <w:color w:val="auto"/>
                <w:sz w:val="24"/>
                <w:szCs w:val="24"/>
                <w:highlight w:val="none"/>
              </w:rPr>
              <w:t>项目需求的得</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分；</w:t>
            </w:r>
          </w:p>
          <w:p w14:paraId="3416B647">
            <w:pPr>
              <w:keepNext w:val="0"/>
              <w:keepLines w:val="0"/>
              <w:pageBreakBefore w:val="0"/>
              <w:widowControl w:val="0"/>
              <w:spacing w:line="288"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售后服务方案较为完整合理，可行性较高，满足项目需求的得</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w:t>
            </w:r>
          </w:p>
          <w:p w14:paraId="4A525EB4">
            <w:pPr>
              <w:keepNext w:val="0"/>
              <w:keepLines w:val="0"/>
              <w:pageBreakBefore w:val="0"/>
              <w:widowControl w:val="0"/>
              <w:spacing w:line="288" w:lineRule="auto"/>
              <w:ind w:firstLine="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售后服务方案一般，可行性一般，有所欠缺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基本</w:t>
            </w:r>
            <w:r>
              <w:rPr>
                <w:rFonts w:hint="eastAsia" w:ascii="仿宋" w:hAnsi="仿宋" w:eastAsia="仿宋" w:cs="仿宋"/>
                <w:color w:val="auto"/>
                <w:sz w:val="24"/>
                <w:szCs w:val="24"/>
                <w:highlight w:val="none"/>
              </w:rPr>
              <w:t>满足项目一般需求的得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分；不提供</w:t>
            </w:r>
            <w:r>
              <w:rPr>
                <w:rFonts w:hint="eastAsia" w:ascii="仿宋" w:hAnsi="仿宋" w:eastAsia="仿宋" w:cs="仿宋"/>
                <w:color w:val="auto"/>
                <w:sz w:val="24"/>
                <w:szCs w:val="24"/>
                <w:highlight w:val="none"/>
                <w:lang w:val="en-US" w:eastAsia="zh-CN"/>
              </w:rPr>
              <w:t>或重大偏差的</w:t>
            </w:r>
            <w:r>
              <w:rPr>
                <w:rFonts w:hint="eastAsia" w:ascii="仿宋" w:hAnsi="仿宋" w:eastAsia="仿宋" w:cs="仿宋"/>
                <w:color w:val="auto"/>
                <w:sz w:val="24"/>
                <w:szCs w:val="24"/>
                <w:highlight w:val="none"/>
              </w:rPr>
              <w:t>不得分</w:t>
            </w:r>
            <w:r>
              <w:rPr>
                <w:rFonts w:hint="eastAsia" w:ascii="仿宋" w:hAnsi="仿宋" w:eastAsia="仿宋" w:cs="仿宋"/>
                <w:color w:val="auto"/>
                <w:sz w:val="24"/>
                <w:szCs w:val="24"/>
                <w:highlight w:val="none"/>
                <w:lang w:eastAsia="zh-CN"/>
              </w:rPr>
              <w:t>。</w:t>
            </w:r>
          </w:p>
        </w:tc>
        <w:tc>
          <w:tcPr>
            <w:tcW w:w="731" w:type="dxa"/>
            <w:noWrap w:val="0"/>
            <w:vAlign w:val="center"/>
          </w:tcPr>
          <w:p w14:paraId="5042207F">
            <w:pPr>
              <w:keepNext w:val="0"/>
              <w:keepLines w:val="0"/>
              <w:pageBreakBefore w:val="0"/>
              <w:widowControl w:val="0"/>
              <w:spacing w:line="240" w:lineRule="auto"/>
              <w:ind w:firstLine="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r>
      <w:tr w14:paraId="2B63C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11" w:hRule="atLeast"/>
          <w:jc w:val="center"/>
        </w:trPr>
        <w:tc>
          <w:tcPr>
            <w:tcW w:w="446" w:type="dxa"/>
            <w:noWrap w:val="0"/>
            <w:vAlign w:val="center"/>
          </w:tcPr>
          <w:p w14:paraId="35204A9F">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1260" w:type="dxa"/>
            <w:noWrap w:val="0"/>
            <w:vAlign w:val="center"/>
          </w:tcPr>
          <w:p w14:paraId="679127AA">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质保期满后维保</w:t>
            </w:r>
            <w:r>
              <w:rPr>
                <w:rFonts w:hint="eastAsia" w:ascii="仿宋" w:hAnsi="仿宋" w:eastAsia="仿宋" w:cs="仿宋"/>
                <w:color w:val="auto"/>
                <w:sz w:val="24"/>
                <w:szCs w:val="24"/>
                <w:highlight w:val="none"/>
                <w:lang w:eastAsia="zh-CN"/>
              </w:rPr>
              <w:t>方案</w:t>
            </w:r>
          </w:p>
          <w:p w14:paraId="6D7199CD">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分）</w:t>
            </w:r>
          </w:p>
        </w:tc>
        <w:tc>
          <w:tcPr>
            <w:tcW w:w="6588" w:type="dxa"/>
            <w:noWrap w:val="0"/>
            <w:vAlign w:val="center"/>
          </w:tcPr>
          <w:p w14:paraId="0DE42638">
            <w:pPr>
              <w:keepNext w:val="0"/>
              <w:keepLines w:val="0"/>
              <w:pageBreakBefore w:val="0"/>
              <w:widowControl w:val="0"/>
              <w:spacing w:line="288"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质保期满后维保</w:t>
            </w:r>
            <w:r>
              <w:rPr>
                <w:rFonts w:hint="eastAsia" w:ascii="仿宋" w:hAnsi="仿宋" w:eastAsia="仿宋" w:cs="仿宋"/>
                <w:color w:val="auto"/>
                <w:sz w:val="24"/>
                <w:szCs w:val="24"/>
                <w:highlight w:val="none"/>
                <w:lang w:val="en-US" w:eastAsia="zh-CN"/>
              </w:rPr>
              <w:t>方案</w:t>
            </w:r>
            <w:r>
              <w:rPr>
                <w:rFonts w:hint="eastAsia" w:ascii="仿宋" w:hAnsi="仿宋" w:eastAsia="仿宋" w:cs="仿宋"/>
                <w:color w:val="auto"/>
                <w:sz w:val="24"/>
                <w:szCs w:val="24"/>
                <w:highlight w:val="none"/>
              </w:rPr>
              <w:t>：</w:t>
            </w:r>
          </w:p>
          <w:p w14:paraId="68652A0B">
            <w:pPr>
              <w:keepNext w:val="0"/>
              <w:keepLines w:val="0"/>
              <w:pageBreakBefore w:val="0"/>
              <w:widowControl w:val="0"/>
              <w:spacing w:line="288"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提供零配件和维修备品备件的供应保障和维保期满后维保收费及维保方案内容完整清晰，优于项目需求的得</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分；</w:t>
            </w:r>
          </w:p>
          <w:p w14:paraId="13E80650">
            <w:pPr>
              <w:keepNext w:val="0"/>
              <w:keepLines w:val="0"/>
              <w:pageBreakBefore w:val="0"/>
              <w:widowControl w:val="0"/>
              <w:spacing w:line="288"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提供零配件和维修备品备件的供应保障和维保期满后维保收费及维保方案内容完整清晰，</w:t>
            </w:r>
            <w:r>
              <w:rPr>
                <w:rFonts w:hint="eastAsia" w:ascii="仿宋" w:hAnsi="仿宋" w:eastAsia="仿宋" w:cs="仿宋"/>
                <w:color w:val="auto"/>
                <w:sz w:val="24"/>
                <w:szCs w:val="24"/>
                <w:highlight w:val="none"/>
                <w:lang w:val="en-US" w:eastAsia="zh-CN"/>
              </w:rPr>
              <w:t>较好满足</w:t>
            </w:r>
            <w:r>
              <w:rPr>
                <w:rFonts w:hint="eastAsia" w:ascii="仿宋" w:hAnsi="仿宋" w:eastAsia="仿宋" w:cs="仿宋"/>
                <w:color w:val="auto"/>
                <w:sz w:val="24"/>
                <w:szCs w:val="24"/>
                <w:highlight w:val="none"/>
              </w:rPr>
              <w:t>项目需求的得</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分；</w:t>
            </w:r>
          </w:p>
          <w:p w14:paraId="6BE9BFDF">
            <w:pPr>
              <w:keepNext w:val="0"/>
              <w:keepLines w:val="0"/>
              <w:pageBreakBefore w:val="0"/>
              <w:widowControl w:val="0"/>
              <w:spacing w:line="288"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零配件和维修备品备件的供应保障和维保期满后维保收费及维保方案内容较完整，满足项目需求的得4分；</w:t>
            </w:r>
          </w:p>
          <w:p w14:paraId="688E140B">
            <w:pPr>
              <w:keepNext w:val="0"/>
              <w:keepLines w:val="0"/>
              <w:pageBreakBefore w:val="0"/>
              <w:widowControl w:val="0"/>
              <w:spacing w:line="288" w:lineRule="auto"/>
              <w:ind w:firstLine="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零配件和维修备品备件的供应保障和维保期满后维保收费及维保方案内容介绍</w:t>
            </w:r>
            <w:r>
              <w:rPr>
                <w:rFonts w:hint="eastAsia" w:ascii="仿宋" w:hAnsi="仿宋" w:eastAsia="仿宋" w:cs="仿宋"/>
                <w:color w:val="auto"/>
                <w:sz w:val="24"/>
                <w:szCs w:val="24"/>
                <w:highlight w:val="none"/>
                <w:lang w:val="en-US" w:eastAsia="zh-CN"/>
              </w:rPr>
              <w:t>一般</w:t>
            </w:r>
            <w:r>
              <w:rPr>
                <w:rFonts w:hint="eastAsia" w:ascii="仿宋" w:hAnsi="仿宋" w:eastAsia="仿宋" w:cs="仿宋"/>
                <w:color w:val="auto"/>
                <w:sz w:val="24"/>
                <w:szCs w:val="24"/>
                <w:highlight w:val="none"/>
              </w:rPr>
              <w:t>的得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分；不提供</w:t>
            </w:r>
            <w:r>
              <w:rPr>
                <w:rFonts w:hint="eastAsia" w:ascii="仿宋" w:hAnsi="仿宋" w:eastAsia="仿宋" w:cs="仿宋"/>
                <w:color w:val="auto"/>
                <w:sz w:val="24"/>
                <w:szCs w:val="24"/>
                <w:highlight w:val="none"/>
                <w:lang w:val="en-US" w:eastAsia="zh-CN"/>
              </w:rPr>
              <w:t>或重大偏差的</w:t>
            </w:r>
            <w:r>
              <w:rPr>
                <w:rFonts w:hint="eastAsia" w:ascii="仿宋" w:hAnsi="仿宋" w:eastAsia="仿宋" w:cs="仿宋"/>
                <w:color w:val="auto"/>
                <w:sz w:val="24"/>
                <w:szCs w:val="24"/>
                <w:highlight w:val="none"/>
              </w:rPr>
              <w:t>不得分</w:t>
            </w:r>
            <w:r>
              <w:rPr>
                <w:rFonts w:hint="eastAsia" w:ascii="仿宋" w:hAnsi="仿宋" w:eastAsia="仿宋" w:cs="仿宋"/>
                <w:color w:val="auto"/>
                <w:sz w:val="24"/>
                <w:szCs w:val="24"/>
                <w:highlight w:val="none"/>
                <w:lang w:eastAsia="zh-CN"/>
              </w:rPr>
              <w:t>。</w:t>
            </w:r>
          </w:p>
        </w:tc>
        <w:tc>
          <w:tcPr>
            <w:tcW w:w="731" w:type="dxa"/>
            <w:noWrap w:val="0"/>
            <w:vAlign w:val="center"/>
          </w:tcPr>
          <w:p w14:paraId="6DBC7EF7">
            <w:pPr>
              <w:keepNext w:val="0"/>
              <w:keepLines w:val="0"/>
              <w:pageBreakBefore w:val="0"/>
              <w:widowControl w:val="0"/>
              <w:spacing w:line="240" w:lineRule="auto"/>
              <w:ind w:firstLine="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r>
      <w:tr w14:paraId="069270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446" w:type="dxa"/>
            <w:noWrap w:val="0"/>
            <w:vAlign w:val="center"/>
          </w:tcPr>
          <w:p w14:paraId="67B4D168">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1260" w:type="dxa"/>
            <w:noWrap w:val="0"/>
            <w:vAlign w:val="center"/>
          </w:tcPr>
          <w:p w14:paraId="53F3BA48">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业绩</w:t>
            </w:r>
          </w:p>
          <w:p w14:paraId="32A02BA3">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分）</w:t>
            </w:r>
          </w:p>
        </w:tc>
        <w:tc>
          <w:tcPr>
            <w:tcW w:w="6588" w:type="dxa"/>
            <w:noWrap w:val="0"/>
            <w:vAlign w:val="center"/>
          </w:tcPr>
          <w:p w14:paraId="0E3F4D00">
            <w:pPr>
              <w:keepNext w:val="0"/>
              <w:keepLines w:val="0"/>
              <w:pageBreakBefore w:val="0"/>
              <w:widowControl w:val="0"/>
              <w:spacing w:line="288"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投标人自2023年</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月以来（时间以合同签订时间为准）承接过类似项目成功案例的，每提供一个得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分，本项最多得</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分，没有不得分。</w:t>
            </w:r>
            <w:r>
              <w:rPr>
                <w:rFonts w:hint="eastAsia" w:ascii="仿宋" w:hAnsi="仿宋" w:eastAsia="仿宋" w:cs="仿宋"/>
                <w:b/>
                <w:bCs/>
                <w:color w:val="auto"/>
                <w:sz w:val="24"/>
                <w:szCs w:val="24"/>
                <w:highlight w:val="none"/>
              </w:rPr>
              <w:t>（提供合同扫描件加盖投标人电子签章，合同须能反映采购人单位、项目名称、设备品牌型号、配置清单、签订时间、签章等所有要素清晰可见，提供不全或者不清晰不得分）</w:t>
            </w:r>
          </w:p>
        </w:tc>
        <w:tc>
          <w:tcPr>
            <w:tcW w:w="731" w:type="dxa"/>
            <w:noWrap w:val="0"/>
            <w:vAlign w:val="center"/>
          </w:tcPr>
          <w:p w14:paraId="2F13F102">
            <w:pPr>
              <w:keepNext w:val="0"/>
              <w:keepLines w:val="0"/>
              <w:pageBreakBefore w:val="0"/>
              <w:widowControl w:val="0"/>
              <w:spacing w:line="240" w:lineRule="auto"/>
              <w:ind w:firstLine="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9</w:t>
            </w:r>
          </w:p>
        </w:tc>
      </w:tr>
      <w:tr w14:paraId="6AFFE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446" w:type="dxa"/>
            <w:noWrap w:val="0"/>
            <w:vAlign w:val="center"/>
          </w:tcPr>
          <w:p w14:paraId="4BB96372">
            <w:pPr>
              <w:keepNext w:val="0"/>
              <w:keepLines w:val="0"/>
              <w:pageBreakBefore w:val="0"/>
              <w:widowControl w:val="0"/>
              <w:spacing w:line="240" w:lineRule="auto"/>
              <w:ind w:firstLine="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1260" w:type="dxa"/>
            <w:noWrap w:val="0"/>
            <w:vAlign w:val="center"/>
          </w:tcPr>
          <w:p w14:paraId="2528DFC2">
            <w:pPr>
              <w:keepNext w:val="0"/>
              <w:keepLines w:val="0"/>
              <w:pageBreakBefore w:val="0"/>
              <w:widowControl w:val="0"/>
              <w:spacing w:line="240" w:lineRule="auto"/>
              <w:ind w:firstLine="0"/>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售后</w:t>
            </w:r>
            <w:r>
              <w:rPr>
                <w:rFonts w:hint="eastAsia" w:ascii="仿宋" w:hAnsi="仿宋" w:eastAsia="仿宋" w:cs="仿宋"/>
                <w:color w:val="auto"/>
                <w:sz w:val="24"/>
                <w:highlight w:val="none"/>
                <w:lang w:val="en-US" w:eastAsia="zh-CN"/>
              </w:rPr>
              <w:t>响应时间</w:t>
            </w:r>
          </w:p>
          <w:p w14:paraId="52DA9715">
            <w:pPr>
              <w:keepNext w:val="0"/>
              <w:keepLines w:val="0"/>
              <w:pageBreakBefore w:val="0"/>
              <w:widowControl w:val="0"/>
              <w:spacing w:line="240" w:lineRule="auto"/>
              <w:ind w:firstLine="0"/>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highlight w:val="none"/>
                <w:lang w:val="en-US" w:eastAsia="zh-CN"/>
              </w:rPr>
              <w:t>（2分）</w:t>
            </w:r>
          </w:p>
        </w:tc>
        <w:tc>
          <w:tcPr>
            <w:tcW w:w="6588" w:type="dxa"/>
            <w:noWrap w:val="0"/>
            <w:vAlign w:val="center"/>
          </w:tcPr>
          <w:p w14:paraId="66FF0DB7">
            <w:pPr>
              <w:keepNext w:val="0"/>
              <w:keepLines w:val="0"/>
              <w:pageBreakBefore w:val="0"/>
              <w:widowControl w:val="0"/>
              <w:spacing w:line="288" w:lineRule="auto"/>
              <w:ind w:firstLine="0"/>
              <w:rPr>
                <w:rFonts w:hint="eastAsia" w:ascii="仿宋" w:hAnsi="仿宋" w:eastAsia="仿宋" w:cs="仿宋"/>
                <w:color w:val="auto"/>
                <w:sz w:val="24"/>
                <w:szCs w:val="24"/>
                <w:highlight w:val="none"/>
              </w:rPr>
            </w:pPr>
            <w:r>
              <w:rPr>
                <w:rFonts w:hint="eastAsia" w:ascii="仿宋" w:hAnsi="仿宋" w:eastAsia="仿宋"/>
                <w:color w:val="auto"/>
                <w:sz w:val="24"/>
                <w:highlight w:val="none"/>
              </w:rPr>
              <w:t>如发生故障，投标方接到故障报修后，2小时内响应，12小时内到位维修得</w:t>
            </w:r>
            <w:r>
              <w:rPr>
                <w:rFonts w:hint="eastAsia" w:ascii="仿宋" w:hAnsi="仿宋" w:eastAsia="仿宋"/>
                <w:color w:val="auto"/>
                <w:sz w:val="24"/>
                <w:highlight w:val="none"/>
                <w:lang w:val="en-US" w:eastAsia="zh-CN"/>
              </w:rPr>
              <w:t>1</w:t>
            </w:r>
            <w:r>
              <w:rPr>
                <w:rFonts w:hint="eastAsia" w:ascii="仿宋" w:hAnsi="仿宋" w:eastAsia="仿宋"/>
                <w:color w:val="auto"/>
                <w:sz w:val="24"/>
                <w:highlight w:val="none"/>
              </w:rPr>
              <w:t>分；1小时内响应，6小时内到位维修得</w:t>
            </w:r>
            <w:r>
              <w:rPr>
                <w:rFonts w:hint="eastAsia" w:ascii="仿宋" w:hAnsi="仿宋" w:eastAsia="仿宋"/>
                <w:color w:val="auto"/>
                <w:sz w:val="24"/>
                <w:highlight w:val="none"/>
                <w:lang w:val="en-US" w:eastAsia="zh-CN"/>
              </w:rPr>
              <w:t>2</w:t>
            </w:r>
            <w:r>
              <w:rPr>
                <w:rFonts w:hint="eastAsia" w:ascii="仿宋" w:hAnsi="仿宋" w:eastAsia="仿宋"/>
                <w:color w:val="auto"/>
                <w:sz w:val="24"/>
                <w:highlight w:val="none"/>
              </w:rPr>
              <w:t>分；最高得</w:t>
            </w:r>
            <w:r>
              <w:rPr>
                <w:rFonts w:hint="eastAsia" w:ascii="仿宋" w:hAnsi="仿宋" w:eastAsia="仿宋"/>
                <w:color w:val="auto"/>
                <w:sz w:val="24"/>
                <w:highlight w:val="none"/>
                <w:lang w:val="en-US" w:eastAsia="zh-CN"/>
              </w:rPr>
              <w:t>2</w:t>
            </w:r>
            <w:r>
              <w:rPr>
                <w:rFonts w:hint="eastAsia" w:ascii="仿宋" w:hAnsi="仿宋" w:eastAsia="仿宋"/>
                <w:color w:val="auto"/>
                <w:sz w:val="24"/>
                <w:highlight w:val="none"/>
              </w:rPr>
              <w:t>分</w:t>
            </w:r>
            <w:r>
              <w:rPr>
                <w:rFonts w:hint="eastAsia" w:ascii="仿宋" w:hAnsi="仿宋" w:eastAsia="仿宋"/>
                <w:color w:val="auto"/>
                <w:sz w:val="24"/>
                <w:highlight w:val="none"/>
                <w:lang w:eastAsia="zh-CN"/>
              </w:rPr>
              <w:t>。</w:t>
            </w:r>
            <w:r>
              <w:rPr>
                <w:rFonts w:hint="eastAsia" w:ascii="仿宋" w:hAnsi="仿宋" w:eastAsia="仿宋"/>
                <w:b/>
                <w:bCs/>
                <w:color w:val="auto"/>
                <w:sz w:val="24"/>
                <w:highlight w:val="none"/>
              </w:rPr>
              <w:t>（提供承诺书原件</w:t>
            </w:r>
            <w:r>
              <w:rPr>
                <w:rFonts w:hint="eastAsia" w:ascii="仿宋" w:hAnsi="仿宋" w:eastAsia="仿宋" w:cs="仿宋"/>
                <w:b/>
                <w:bCs/>
                <w:color w:val="auto"/>
                <w:sz w:val="24"/>
                <w:szCs w:val="24"/>
                <w:highlight w:val="none"/>
              </w:rPr>
              <w:t>加盖投标人电子签章</w:t>
            </w:r>
            <w:r>
              <w:rPr>
                <w:rFonts w:hint="eastAsia" w:ascii="仿宋" w:hAnsi="仿宋" w:eastAsia="仿宋"/>
                <w:b/>
                <w:bCs/>
                <w:color w:val="auto"/>
                <w:sz w:val="24"/>
                <w:highlight w:val="none"/>
              </w:rPr>
              <w:t>，格式自拟）</w:t>
            </w:r>
          </w:p>
        </w:tc>
        <w:tc>
          <w:tcPr>
            <w:tcW w:w="731" w:type="dxa"/>
            <w:noWrap w:val="0"/>
            <w:vAlign w:val="center"/>
          </w:tcPr>
          <w:p w14:paraId="1B5C85E9">
            <w:pPr>
              <w:keepNext w:val="0"/>
              <w:keepLines w:val="0"/>
              <w:pageBreakBefore w:val="0"/>
              <w:widowControl w:val="0"/>
              <w:spacing w:line="240" w:lineRule="auto"/>
              <w:ind w:firstLine="0"/>
              <w:rPr>
                <w:rFonts w:hint="eastAsia" w:ascii="仿宋" w:hAnsi="仿宋" w:eastAsia="仿宋" w:cs="仿宋"/>
                <w:color w:val="auto"/>
                <w:sz w:val="24"/>
                <w:szCs w:val="24"/>
                <w:highlight w:val="none"/>
              </w:rPr>
            </w:pPr>
          </w:p>
        </w:tc>
      </w:tr>
    </w:tbl>
    <w:p w14:paraId="7ED6E0D3">
      <w:pPr>
        <w:spacing w:line="520" w:lineRule="exact"/>
        <w:jc w:val="center"/>
        <w:rPr>
          <w:rFonts w:hint="eastAsia" w:ascii="仿宋" w:hAnsi="仿宋" w:eastAsia="仿宋" w:cs="仿宋"/>
          <w:b/>
          <w:color w:val="auto"/>
          <w:sz w:val="36"/>
          <w:szCs w:val="36"/>
          <w:highlight w:val="none"/>
        </w:rPr>
      </w:pPr>
    </w:p>
    <w:p w14:paraId="19D25332">
      <w:pPr>
        <w:spacing w:line="520" w:lineRule="exact"/>
        <w:jc w:val="center"/>
        <w:rPr>
          <w:rFonts w:hint="eastAsia" w:ascii="仿宋" w:hAnsi="仿宋" w:eastAsia="仿宋" w:cs="仿宋"/>
          <w:b/>
          <w:color w:val="auto"/>
          <w:sz w:val="36"/>
          <w:szCs w:val="36"/>
          <w:highlight w:val="none"/>
        </w:rPr>
      </w:pPr>
    </w:p>
    <w:p w14:paraId="051414D7">
      <w:pPr>
        <w:spacing w:line="520" w:lineRule="exact"/>
        <w:jc w:val="center"/>
        <w:rPr>
          <w:rFonts w:hint="eastAsia" w:ascii="仿宋" w:hAnsi="仿宋" w:eastAsia="仿宋" w:cs="仿宋"/>
          <w:b/>
          <w:color w:val="auto"/>
          <w:sz w:val="36"/>
          <w:szCs w:val="36"/>
          <w:highlight w:val="none"/>
        </w:rPr>
      </w:pPr>
    </w:p>
    <w:p w14:paraId="366F5949">
      <w:pPr>
        <w:spacing w:line="520" w:lineRule="exact"/>
        <w:jc w:val="center"/>
        <w:rPr>
          <w:rFonts w:hint="eastAsia" w:ascii="仿宋" w:hAnsi="仿宋" w:eastAsia="仿宋" w:cs="仿宋"/>
          <w:b/>
          <w:color w:val="auto"/>
          <w:sz w:val="36"/>
          <w:szCs w:val="36"/>
          <w:highlight w:val="none"/>
        </w:rPr>
      </w:pPr>
    </w:p>
    <w:p w14:paraId="6B479BA8">
      <w:pPr>
        <w:spacing w:line="520" w:lineRule="exact"/>
        <w:jc w:val="center"/>
        <w:rPr>
          <w:rFonts w:hint="eastAsia" w:ascii="仿宋" w:hAnsi="仿宋" w:eastAsia="仿宋" w:cs="仿宋"/>
          <w:b/>
          <w:color w:val="auto"/>
          <w:sz w:val="36"/>
          <w:szCs w:val="36"/>
          <w:highlight w:val="none"/>
        </w:rPr>
      </w:pPr>
    </w:p>
    <w:p w14:paraId="7E9A0B1C">
      <w:pPr>
        <w:spacing w:line="520" w:lineRule="exact"/>
        <w:jc w:val="center"/>
        <w:rPr>
          <w:rFonts w:hint="eastAsia" w:ascii="仿宋" w:hAnsi="仿宋" w:eastAsia="仿宋" w:cs="仿宋"/>
          <w:b/>
          <w:color w:val="auto"/>
          <w:sz w:val="36"/>
          <w:szCs w:val="36"/>
          <w:highlight w:val="none"/>
        </w:rPr>
      </w:pPr>
    </w:p>
    <w:p w14:paraId="085E460C">
      <w:pPr>
        <w:spacing w:line="520" w:lineRule="exact"/>
        <w:jc w:val="center"/>
        <w:rPr>
          <w:rFonts w:hint="eastAsia" w:ascii="仿宋" w:hAnsi="仿宋" w:eastAsia="仿宋" w:cs="仿宋"/>
          <w:b/>
          <w:color w:val="auto"/>
          <w:sz w:val="36"/>
          <w:szCs w:val="36"/>
          <w:highlight w:val="none"/>
        </w:rPr>
      </w:pPr>
    </w:p>
    <w:p w14:paraId="6D8B3899">
      <w:pPr>
        <w:spacing w:line="520" w:lineRule="exact"/>
        <w:jc w:val="center"/>
        <w:rPr>
          <w:rFonts w:hint="eastAsia" w:ascii="仿宋" w:hAnsi="仿宋" w:eastAsia="仿宋" w:cs="仿宋"/>
          <w:b/>
          <w:color w:val="auto"/>
          <w:sz w:val="36"/>
          <w:szCs w:val="36"/>
          <w:highlight w:val="none"/>
        </w:rPr>
      </w:pPr>
    </w:p>
    <w:p w14:paraId="3C7A49F6">
      <w:pPr>
        <w:spacing w:line="520" w:lineRule="exact"/>
        <w:jc w:val="center"/>
        <w:rPr>
          <w:rFonts w:hint="eastAsia" w:ascii="仿宋" w:hAnsi="仿宋" w:eastAsia="仿宋" w:cs="仿宋"/>
          <w:b/>
          <w:color w:val="auto"/>
          <w:sz w:val="36"/>
          <w:szCs w:val="36"/>
          <w:highlight w:val="none"/>
        </w:rPr>
      </w:pPr>
    </w:p>
    <w:p w14:paraId="15A7B17B">
      <w:pPr>
        <w:spacing w:line="520" w:lineRule="exact"/>
        <w:jc w:val="center"/>
        <w:rPr>
          <w:rFonts w:hint="eastAsia" w:ascii="仿宋" w:hAnsi="仿宋" w:eastAsia="仿宋" w:cs="仿宋"/>
          <w:b/>
          <w:color w:val="auto"/>
          <w:sz w:val="36"/>
          <w:szCs w:val="36"/>
          <w:highlight w:val="none"/>
        </w:rPr>
      </w:pPr>
    </w:p>
    <w:p w14:paraId="19C8E068">
      <w:pPr>
        <w:spacing w:line="520" w:lineRule="exact"/>
        <w:jc w:val="center"/>
        <w:rPr>
          <w:rFonts w:hint="eastAsia" w:ascii="仿宋" w:hAnsi="仿宋" w:eastAsia="仿宋" w:cs="仿宋"/>
          <w:b/>
          <w:color w:val="auto"/>
          <w:sz w:val="36"/>
          <w:szCs w:val="36"/>
          <w:highlight w:val="none"/>
        </w:rPr>
      </w:pPr>
    </w:p>
    <w:p w14:paraId="67F393C9">
      <w:pPr>
        <w:spacing w:line="520" w:lineRule="exact"/>
        <w:jc w:val="center"/>
        <w:rPr>
          <w:rFonts w:hint="eastAsia" w:ascii="仿宋" w:hAnsi="仿宋" w:eastAsia="仿宋" w:cs="仿宋"/>
          <w:b/>
          <w:color w:val="auto"/>
          <w:sz w:val="36"/>
          <w:szCs w:val="36"/>
          <w:highlight w:val="none"/>
        </w:rPr>
      </w:pPr>
    </w:p>
    <w:p w14:paraId="3270C818">
      <w:pPr>
        <w:spacing w:line="520" w:lineRule="exact"/>
        <w:jc w:val="center"/>
        <w:rPr>
          <w:rFonts w:hint="eastAsia" w:ascii="仿宋" w:hAnsi="仿宋" w:eastAsia="仿宋" w:cs="仿宋"/>
          <w:b/>
          <w:color w:val="auto"/>
          <w:sz w:val="36"/>
          <w:szCs w:val="36"/>
          <w:highlight w:val="none"/>
        </w:rPr>
      </w:pPr>
    </w:p>
    <w:p w14:paraId="747EDF78">
      <w:pPr>
        <w:spacing w:line="520" w:lineRule="exact"/>
        <w:jc w:val="center"/>
        <w:rPr>
          <w:rFonts w:hint="eastAsia" w:ascii="仿宋" w:hAnsi="仿宋" w:eastAsia="仿宋" w:cs="仿宋"/>
          <w:b/>
          <w:color w:val="auto"/>
          <w:sz w:val="36"/>
          <w:szCs w:val="36"/>
          <w:highlight w:val="none"/>
        </w:rPr>
      </w:pPr>
    </w:p>
    <w:p w14:paraId="192EE2D9">
      <w:pPr>
        <w:spacing w:line="520" w:lineRule="exact"/>
        <w:jc w:val="center"/>
        <w:rPr>
          <w:rFonts w:hint="eastAsia" w:ascii="仿宋" w:hAnsi="仿宋" w:eastAsia="仿宋" w:cs="仿宋"/>
          <w:b/>
          <w:color w:val="auto"/>
          <w:sz w:val="36"/>
          <w:szCs w:val="36"/>
          <w:highlight w:val="none"/>
        </w:rPr>
      </w:pPr>
    </w:p>
    <w:p w14:paraId="3D315038">
      <w:pPr>
        <w:spacing w:line="520" w:lineRule="exact"/>
        <w:jc w:val="center"/>
        <w:rPr>
          <w:rFonts w:hint="eastAsia" w:ascii="仿宋" w:hAnsi="仿宋" w:eastAsia="仿宋" w:cs="仿宋"/>
          <w:b/>
          <w:color w:val="auto"/>
          <w:sz w:val="36"/>
          <w:szCs w:val="36"/>
          <w:highlight w:val="none"/>
        </w:rPr>
      </w:pPr>
    </w:p>
    <w:p w14:paraId="165BBC63">
      <w:pPr>
        <w:spacing w:line="520" w:lineRule="exact"/>
        <w:jc w:val="center"/>
        <w:rPr>
          <w:rFonts w:hint="eastAsia" w:ascii="仿宋" w:hAnsi="仿宋" w:eastAsia="仿宋" w:cs="仿宋"/>
          <w:b/>
          <w:color w:val="auto"/>
          <w:sz w:val="36"/>
          <w:szCs w:val="36"/>
          <w:highlight w:val="none"/>
        </w:rPr>
      </w:pPr>
    </w:p>
    <w:p w14:paraId="59A95C91">
      <w:pPr>
        <w:spacing w:line="520" w:lineRule="exact"/>
        <w:jc w:val="center"/>
        <w:rPr>
          <w:rFonts w:hint="eastAsia" w:ascii="仿宋" w:hAnsi="仿宋" w:eastAsia="仿宋" w:cs="仿宋"/>
          <w:b/>
          <w:color w:val="auto"/>
          <w:sz w:val="36"/>
          <w:szCs w:val="36"/>
          <w:highlight w:val="none"/>
        </w:rPr>
      </w:pPr>
    </w:p>
    <w:p w14:paraId="5A299AE4">
      <w:pPr>
        <w:spacing w:line="520" w:lineRule="exact"/>
        <w:jc w:val="center"/>
        <w:rPr>
          <w:rFonts w:hint="eastAsia" w:ascii="仿宋" w:hAnsi="仿宋" w:eastAsia="仿宋" w:cs="仿宋"/>
          <w:b/>
          <w:color w:val="auto"/>
          <w:sz w:val="36"/>
          <w:szCs w:val="36"/>
          <w:highlight w:val="none"/>
        </w:rPr>
      </w:pPr>
    </w:p>
    <w:p w14:paraId="2698B3DB">
      <w:pPr>
        <w:spacing w:line="520" w:lineRule="exact"/>
        <w:jc w:val="center"/>
        <w:rPr>
          <w:rFonts w:hint="eastAsia" w:ascii="仿宋" w:hAnsi="仿宋" w:eastAsia="仿宋" w:cs="仿宋"/>
          <w:b/>
          <w:color w:val="auto"/>
          <w:sz w:val="36"/>
          <w:szCs w:val="36"/>
          <w:highlight w:val="none"/>
        </w:rPr>
      </w:pPr>
    </w:p>
    <w:p w14:paraId="095A9550">
      <w:pPr>
        <w:spacing w:line="520" w:lineRule="exact"/>
        <w:jc w:val="center"/>
        <w:rPr>
          <w:rFonts w:hint="eastAsia" w:ascii="仿宋" w:hAnsi="仿宋" w:eastAsia="仿宋" w:cs="仿宋"/>
          <w:b/>
          <w:color w:val="auto"/>
          <w:sz w:val="36"/>
          <w:szCs w:val="36"/>
          <w:highlight w:val="none"/>
        </w:rPr>
      </w:pPr>
    </w:p>
    <w:p w14:paraId="07498108">
      <w:pPr>
        <w:spacing w:line="520" w:lineRule="exact"/>
        <w:jc w:val="center"/>
        <w:rPr>
          <w:rFonts w:hint="eastAsia" w:ascii="仿宋" w:hAnsi="仿宋" w:eastAsia="仿宋" w:cs="仿宋"/>
          <w:b/>
          <w:color w:val="auto"/>
          <w:sz w:val="36"/>
          <w:szCs w:val="36"/>
          <w:highlight w:val="none"/>
        </w:rPr>
      </w:pPr>
    </w:p>
    <w:p w14:paraId="7D907ADF">
      <w:pPr>
        <w:spacing w:line="520" w:lineRule="exact"/>
        <w:jc w:val="center"/>
        <w:rPr>
          <w:rFonts w:hint="eastAsia" w:ascii="仿宋" w:hAnsi="仿宋" w:eastAsia="仿宋" w:cs="仿宋"/>
          <w:b/>
          <w:color w:val="auto"/>
          <w:sz w:val="36"/>
          <w:szCs w:val="36"/>
          <w:highlight w:val="none"/>
        </w:rPr>
      </w:pPr>
    </w:p>
    <w:p w14:paraId="3381A1FF">
      <w:pPr>
        <w:spacing w:line="520" w:lineRule="exact"/>
        <w:ind w:firstLine="2168"/>
        <w:jc w:val="both"/>
        <w:rPr>
          <w:rFonts w:hint="eastAsia" w:ascii="仿宋" w:hAnsi="仿宋" w:eastAsia="仿宋" w:cs="仿宋"/>
          <w:b/>
          <w:color w:val="auto"/>
          <w:sz w:val="36"/>
          <w:szCs w:val="36"/>
          <w:highlight w:val="none"/>
        </w:rPr>
      </w:pPr>
    </w:p>
    <w:p w14:paraId="761E2639">
      <w:pPr>
        <w:spacing w:line="520" w:lineRule="exact"/>
        <w:ind w:firstLine="2168"/>
        <w:jc w:val="both"/>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第四章  合同格式及条款</w:t>
      </w:r>
    </w:p>
    <w:p w14:paraId="0C480F57">
      <w:pPr>
        <w:tabs>
          <w:tab w:val="left" w:pos="180"/>
        </w:tabs>
        <w:spacing w:line="520" w:lineRule="exact"/>
        <w:ind w:firstLine="560"/>
        <w:rPr>
          <w:rFonts w:hint="eastAsia" w:ascii="仿宋" w:hAnsi="仿宋" w:eastAsia="仿宋" w:cs="仿宋"/>
          <w:color w:val="auto"/>
          <w:sz w:val="32"/>
          <w:highlight w:val="none"/>
        </w:rPr>
      </w:pPr>
      <w:r>
        <w:rPr>
          <w:rFonts w:hint="eastAsia" w:ascii="仿宋" w:hAnsi="仿宋" w:eastAsia="仿宋" w:cs="仿宋"/>
          <w:bCs/>
          <w:color w:val="auto"/>
          <w:sz w:val="28"/>
          <w:szCs w:val="28"/>
          <w:highlight w:val="none"/>
        </w:rPr>
        <w:t>注:以下为采购人提出中标后签订本项目合同的条款，投标人必须实质性响应，中标人不得提出实质性的修改，关于专用条款将由采购人与中标投标人结合本项目具体情况协商后签订。</w:t>
      </w:r>
    </w:p>
    <w:p w14:paraId="5EE0739D">
      <w:pPr>
        <w:pStyle w:val="25"/>
        <w:spacing w:line="520" w:lineRule="exact"/>
        <w:jc w:val="center"/>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一、合同格式</w:t>
      </w:r>
    </w:p>
    <w:p w14:paraId="65F7CF19">
      <w:pPr>
        <w:spacing w:line="520" w:lineRule="exact"/>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 </w:t>
      </w:r>
    </w:p>
    <w:p w14:paraId="67610149">
      <w:pPr>
        <w:pStyle w:val="2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乙方:</w:t>
      </w:r>
    </w:p>
    <w:p w14:paraId="3A02101C">
      <w:pPr>
        <w:pStyle w:val="25"/>
        <w:spacing w:line="520" w:lineRule="exact"/>
        <w:ind w:firstLine="63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甲、乙双方根据项目编号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采购项目公开招标采购结果及招标文件的要求,经协商一致,达成如下购销合同:</w:t>
      </w:r>
    </w:p>
    <w:p w14:paraId="30BE7E5A">
      <w:pPr>
        <w:pStyle w:val="25"/>
        <w:spacing w:line="520" w:lineRule="exact"/>
        <w:ind w:left="-359" w:firstLine="963"/>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rPr>
        <w:t>一</w:t>
      </w:r>
      <w:r>
        <w:rPr>
          <w:rFonts w:hint="eastAsia" w:ascii="仿宋" w:hAnsi="仿宋" w:eastAsia="仿宋" w:cs="仿宋"/>
          <w:color w:val="auto"/>
          <w:sz w:val="28"/>
          <w:highlight w:val="none"/>
        </w:rPr>
        <w:t>、货物及数量</w:t>
      </w:r>
    </w:p>
    <w:p w14:paraId="4386C385">
      <w:pPr>
        <w:pStyle w:val="25"/>
        <w:spacing w:line="520" w:lineRule="exact"/>
        <w:ind w:firstLine="560"/>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本合同所提供的货物及数量详见“项目</w:t>
      </w:r>
      <w:r>
        <w:rPr>
          <w:rFonts w:hint="eastAsia" w:ascii="仿宋" w:hAnsi="仿宋" w:eastAsia="仿宋" w:cs="仿宋"/>
          <w:color w:val="auto"/>
          <w:sz w:val="28"/>
          <w:highlight w:val="none"/>
        </w:rPr>
        <w:t>采购需求</w:t>
      </w:r>
      <w:r>
        <w:rPr>
          <w:rFonts w:hint="eastAsia" w:ascii="仿宋" w:hAnsi="仿宋" w:eastAsia="仿宋" w:cs="仿宋"/>
          <w:color w:val="auto"/>
          <w:sz w:val="28"/>
          <w:szCs w:val="24"/>
          <w:highlight w:val="none"/>
        </w:rPr>
        <w:t>”。</w:t>
      </w:r>
    </w:p>
    <w:p w14:paraId="461565DF">
      <w:pPr>
        <w:pStyle w:val="25"/>
        <w:spacing w:line="520" w:lineRule="exact"/>
        <w:ind w:left="-359" w:firstLine="963"/>
        <w:rPr>
          <w:rFonts w:hint="eastAsia" w:ascii="仿宋" w:hAnsi="仿宋" w:eastAsia="仿宋" w:cs="仿宋"/>
          <w:color w:val="auto"/>
          <w:sz w:val="28"/>
          <w:highlight w:val="none"/>
        </w:rPr>
      </w:pPr>
      <w:r>
        <w:rPr>
          <w:rFonts w:hint="eastAsia" w:ascii="仿宋" w:hAnsi="仿宋" w:eastAsia="仿宋" w:cs="仿宋"/>
          <w:color w:val="auto"/>
          <w:sz w:val="28"/>
          <w:highlight w:val="none"/>
        </w:rPr>
        <w:t>二、合同金额</w:t>
      </w:r>
    </w:p>
    <w:p w14:paraId="742B3B2E">
      <w:pPr>
        <w:pStyle w:val="25"/>
        <w:spacing w:line="520" w:lineRule="exact"/>
        <w:ind w:firstLine="495"/>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本合同的总金额(大写)为___________元人民币，分项价格详见乙方提交的投标报价明细表。</w:t>
      </w:r>
    </w:p>
    <w:p w14:paraId="7EA2411D">
      <w:pPr>
        <w:pStyle w:val="25"/>
        <w:spacing w:line="520" w:lineRule="exact"/>
        <w:ind w:left="-359" w:firstLine="963"/>
        <w:rPr>
          <w:rFonts w:hint="eastAsia" w:ascii="仿宋" w:hAnsi="仿宋" w:eastAsia="仿宋" w:cs="仿宋"/>
          <w:bCs/>
          <w:color w:val="auto"/>
          <w:sz w:val="28"/>
          <w:szCs w:val="32"/>
          <w:highlight w:val="none"/>
        </w:rPr>
      </w:pPr>
      <w:r>
        <w:rPr>
          <w:rFonts w:hint="eastAsia" w:ascii="仿宋" w:hAnsi="仿宋" w:eastAsia="仿宋" w:cs="仿宋"/>
          <w:bCs/>
          <w:color w:val="auto"/>
          <w:sz w:val="28"/>
          <w:szCs w:val="32"/>
          <w:highlight w:val="none"/>
        </w:rPr>
        <w:t>三、</w:t>
      </w:r>
      <w:r>
        <w:rPr>
          <w:rFonts w:hint="eastAsia" w:ascii="仿宋" w:hAnsi="仿宋" w:eastAsia="仿宋" w:cs="仿宋"/>
          <w:color w:val="auto"/>
          <w:sz w:val="28"/>
          <w:highlight w:val="none"/>
        </w:rPr>
        <w:t>供货时间和地点</w:t>
      </w:r>
    </w:p>
    <w:p w14:paraId="1064D6F9">
      <w:pPr>
        <w:pStyle w:val="25"/>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本合同供货时间和地点在招标文件中有明确规定。</w:t>
      </w:r>
    </w:p>
    <w:p w14:paraId="25BE74E2">
      <w:pPr>
        <w:pStyle w:val="25"/>
        <w:spacing w:line="520" w:lineRule="exact"/>
        <w:ind w:left="-357" w:firstLine="963"/>
        <w:rPr>
          <w:rFonts w:hint="eastAsia" w:ascii="仿宋" w:hAnsi="仿宋" w:eastAsia="仿宋" w:cs="仿宋"/>
          <w:color w:val="auto"/>
          <w:sz w:val="28"/>
          <w:highlight w:val="none"/>
        </w:rPr>
      </w:pPr>
      <w:r>
        <w:rPr>
          <w:rFonts w:hint="eastAsia" w:ascii="仿宋" w:hAnsi="仿宋" w:eastAsia="仿宋" w:cs="仿宋"/>
          <w:color w:val="auto"/>
          <w:sz w:val="28"/>
          <w:highlight w:val="none"/>
        </w:rPr>
        <w:t>四、付款</w:t>
      </w:r>
    </w:p>
    <w:p w14:paraId="31E7B841">
      <w:pPr>
        <w:pStyle w:val="25"/>
        <w:spacing w:line="520" w:lineRule="exact"/>
        <w:ind w:firstLine="560"/>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本合同的付款条件在</w:t>
      </w:r>
      <w:r>
        <w:rPr>
          <w:rFonts w:hint="eastAsia" w:ascii="仿宋" w:hAnsi="仿宋" w:eastAsia="仿宋" w:cs="仿宋"/>
          <w:color w:val="auto"/>
          <w:sz w:val="28"/>
          <w:szCs w:val="28"/>
          <w:highlight w:val="none"/>
        </w:rPr>
        <w:t>招标文件</w:t>
      </w:r>
      <w:r>
        <w:rPr>
          <w:rFonts w:hint="eastAsia" w:ascii="仿宋" w:hAnsi="仿宋" w:eastAsia="仿宋" w:cs="仿宋"/>
          <w:color w:val="auto"/>
          <w:sz w:val="28"/>
          <w:szCs w:val="24"/>
          <w:highlight w:val="none"/>
        </w:rPr>
        <w:t>中有明确规定。</w:t>
      </w:r>
    </w:p>
    <w:p w14:paraId="67CDDD22">
      <w:pPr>
        <w:pStyle w:val="25"/>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五、验收</w:t>
      </w:r>
    </w:p>
    <w:p w14:paraId="198D1513">
      <w:pPr>
        <w:pStyle w:val="25"/>
        <w:spacing w:line="520" w:lineRule="exact"/>
        <w:ind w:firstLine="56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六、履约保证金</w:t>
      </w:r>
    </w:p>
    <w:p w14:paraId="588F0639">
      <w:pPr>
        <w:pStyle w:val="25"/>
        <w:spacing w:line="520" w:lineRule="exact"/>
        <w:ind w:firstLine="560"/>
        <w:rPr>
          <w:rFonts w:hint="default"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本项目无需履约保证金</w:t>
      </w:r>
    </w:p>
    <w:p w14:paraId="7EC85D7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七、合同纠纷处理</w:t>
      </w:r>
    </w:p>
    <w:p w14:paraId="2BE88BE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本合同执行过程中发生纠纷，由甲乙双方协商解决，若协商不成，作如下</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处理: </w:t>
      </w:r>
    </w:p>
    <w:p w14:paraId="52FE92A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1、申请仲裁。选定仲裁机构为淮安市仲裁委员会。 </w:t>
      </w:r>
    </w:p>
    <w:p w14:paraId="147211C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2、提起诉讼。约定由采购人所在地法院管辖。 </w:t>
      </w:r>
    </w:p>
    <w:p w14:paraId="54B0D2FE">
      <w:pPr>
        <w:spacing w:line="520" w:lineRule="exact"/>
        <w:ind w:firstLine="54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八、合同生效及其它</w:t>
      </w:r>
    </w:p>
    <w:p w14:paraId="2828509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本合同经甲、乙双方加盖电子签章后生效。如有变动，必须经甲方、乙方协商一致后，方可更改。</w:t>
      </w:r>
    </w:p>
    <w:p w14:paraId="4982F4F2">
      <w:pPr>
        <w:spacing w:line="520" w:lineRule="exact"/>
        <w:ind w:firstLine="54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九、组成本合同的文件包括</w:t>
      </w:r>
    </w:p>
    <w:p w14:paraId="687DD202">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1、合同格式及条款；</w:t>
      </w:r>
    </w:p>
    <w:p w14:paraId="3C743F9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2、招标文件和乙方的投标文件； </w:t>
      </w:r>
    </w:p>
    <w:p w14:paraId="2776975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3、中标通知书； </w:t>
      </w:r>
    </w:p>
    <w:p w14:paraId="07516D9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4、甲乙双方商定的其他必要文件。 上述合同文件内容互为补充，如有不明确，由甲方负责解释。</w:t>
      </w:r>
    </w:p>
    <w:p w14:paraId="23A7C071">
      <w:pPr>
        <w:pStyle w:val="25"/>
        <w:spacing w:line="520" w:lineRule="exact"/>
        <w:rPr>
          <w:rFonts w:hint="eastAsia" w:ascii="仿宋" w:hAnsi="仿宋" w:eastAsia="仿宋" w:cs="仿宋"/>
          <w:color w:val="auto"/>
          <w:sz w:val="28"/>
          <w:szCs w:val="28"/>
          <w:highlight w:val="none"/>
        </w:rPr>
      </w:pPr>
    </w:p>
    <w:p w14:paraId="4264DAE9">
      <w:pPr>
        <w:pStyle w:val="25"/>
        <w:spacing w:line="520" w:lineRule="exact"/>
        <w:ind w:firstLine="560"/>
        <w:rPr>
          <w:rFonts w:hint="eastAsia" w:ascii="仿宋" w:hAnsi="仿宋" w:eastAsia="仿宋" w:cs="仿宋"/>
          <w:color w:val="auto"/>
          <w:sz w:val="28"/>
          <w:szCs w:val="24"/>
          <w:highlight w:val="none"/>
        </w:rPr>
      </w:pPr>
      <w:r>
        <w:rPr>
          <w:rFonts w:hint="eastAsia" w:ascii="仿宋" w:hAnsi="仿宋" w:eastAsia="仿宋" w:cs="仿宋"/>
          <w:color w:val="auto"/>
          <w:sz w:val="28"/>
          <w:szCs w:val="28"/>
          <w:highlight w:val="none"/>
        </w:rPr>
        <w:t>甲</w:t>
      </w:r>
      <w:r>
        <w:rPr>
          <w:rFonts w:hint="eastAsia" w:ascii="仿宋" w:hAnsi="仿宋" w:eastAsia="仿宋" w:cs="仿宋"/>
          <w:color w:val="auto"/>
          <w:sz w:val="28"/>
          <w:szCs w:val="24"/>
          <w:highlight w:val="none"/>
        </w:rPr>
        <w:t xml:space="preserve">    方:                          </w:t>
      </w:r>
      <w:r>
        <w:rPr>
          <w:rFonts w:hint="eastAsia" w:ascii="仿宋" w:hAnsi="仿宋" w:eastAsia="仿宋" w:cs="仿宋"/>
          <w:color w:val="auto"/>
          <w:sz w:val="28"/>
          <w:szCs w:val="28"/>
          <w:highlight w:val="none"/>
        </w:rPr>
        <w:t>乙</w:t>
      </w:r>
      <w:r>
        <w:rPr>
          <w:rFonts w:hint="eastAsia" w:ascii="仿宋" w:hAnsi="仿宋" w:eastAsia="仿宋" w:cs="仿宋"/>
          <w:color w:val="auto"/>
          <w:sz w:val="28"/>
          <w:szCs w:val="24"/>
          <w:highlight w:val="none"/>
        </w:rPr>
        <w:t xml:space="preserve">    方:</w:t>
      </w:r>
    </w:p>
    <w:p w14:paraId="54461E4E">
      <w:pPr>
        <w:pStyle w:val="25"/>
        <w:spacing w:line="520" w:lineRule="exact"/>
        <w:ind w:firstLine="560"/>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单位盖章:（电子签章）              单位盖章:（电子签章）</w:t>
      </w:r>
    </w:p>
    <w:p w14:paraId="2CC3E56E">
      <w:pPr>
        <w:pStyle w:val="25"/>
        <w:spacing w:line="520" w:lineRule="exact"/>
        <w:ind w:firstLine="560"/>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代表签字:                          代表签字:</w:t>
      </w:r>
    </w:p>
    <w:p w14:paraId="70785E21">
      <w:pPr>
        <w:pStyle w:val="25"/>
        <w:spacing w:line="520" w:lineRule="exact"/>
        <w:ind w:firstLine="560"/>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签定日期:                          签定日期:</w:t>
      </w:r>
    </w:p>
    <w:p w14:paraId="61815B89">
      <w:pPr>
        <w:tabs>
          <w:tab w:val="left" w:pos="180"/>
        </w:tabs>
        <w:spacing w:line="640" w:lineRule="exact"/>
        <w:ind w:firstLine="2492"/>
        <w:rPr>
          <w:rFonts w:hint="eastAsia" w:ascii="仿宋" w:hAnsi="仿宋" w:eastAsia="仿宋" w:cs="仿宋"/>
          <w:color w:val="auto"/>
          <w:sz w:val="28"/>
          <w:szCs w:val="28"/>
          <w:highlight w:val="none"/>
        </w:rPr>
      </w:pPr>
    </w:p>
    <w:p w14:paraId="306F6487">
      <w:pPr>
        <w:tabs>
          <w:tab w:val="left" w:pos="180"/>
        </w:tabs>
        <w:spacing w:line="640" w:lineRule="exact"/>
        <w:ind w:firstLine="2492"/>
        <w:rPr>
          <w:rFonts w:hint="eastAsia" w:ascii="仿宋" w:hAnsi="仿宋" w:eastAsia="仿宋" w:cs="仿宋"/>
          <w:color w:val="auto"/>
          <w:sz w:val="28"/>
          <w:szCs w:val="28"/>
          <w:highlight w:val="none"/>
        </w:rPr>
      </w:pPr>
    </w:p>
    <w:p w14:paraId="7C9162D7">
      <w:pPr>
        <w:tabs>
          <w:tab w:val="left" w:pos="180"/>
        </w:tabs>
        <w:spacing w:line="640" w:lineRule="exact"/>
        <w:ind w:firstLine="2492"/>
        <w:rPr>
          <w:rFonts w:hint="eastAsia" w:ascii="仿宋" w:hAnsi="仿宋" w:eastAsia="仿宋" w:cs="仿宋"/>
          <w:color w:val="auto"/>
          <w:sz w:val="28"/>
          <w:szCs w:val="28"/>
          <w:highlight w:val="none"/>
        </w:rPr>
      </w:pPr>
    </w:p>
    <w:p w14:paraId="2100AF2D">
      <w:pPr>
        <w:tabs>
          <w:tab w:val="left" w:pos="180"/>
        </w:tabs>
        <w:spacing w:line="640" w:lineRule="exact"/>
        <w:ind w:firstLine="2492"/>
        <w:rPr>
          <w:rFonts w:hint="eastAsia" w:ascii="仿宋" w:hAnsi="仿宋" w:eastAsia="仿宋" w:cs="仿宋"/>
          <w:color w:val="auto"/>
          <w:sz w:val="28"/>
          <w:szCs w:val="28"/>
          <w:highlight w:val="none"/>
        </w:rPr>
      </w:pPr>
    </w:p>
    <w:p w14:paraId="39580241">
      <w:pPr>
        <w:tabs>
          <w:tab w:val="left" w:pos="180"/>
        </w:tabs>
        <w:spacing w:line="640" w:lineRule="exact"/>
        <w:ind w:firstLine="2492"/>
        <w:rPr>
          <w:rFonts w:hint="eastAsia" w:ascii="仿宋" w:hAnsi="仿宋" w:eastAsia="仿宋" w:cs="仿宋"/>
          <w:color w:val="auto"/>
          <w:sz w:val="28"/>
          <w:szCs w:val="28"/>
          <w:highlight w:val="none"/>
        </w:rPr>
      </w:pPr>
    </w:p>
    <w:p w14:paraId="38C9B764">
      <w:pPr>
        <w:tabs>
          <w:tab w:val="left" w:pos="180"/>
        </w:tabs>
        <w:spacing w:line="640" w:lineRule="exact"/>
        <w:ind w:firstLine="2492"/>
        <w:rPr>
          <w:rFonts w:hint="eastAsia" w:ascii="仿宋" w:hAnsi="仿宋" w:eastAsia="仿宋" w:cs="仿宋"/>
          <w:color w:val="auto"/>
          <w:sz w:val="28"/>
          <w:szCs w:val="28"/>
          <w:highlight w:val="none"/>
        </w:rPr>
      </w:pPr>
    </w:p>
    <w:p w14:paraId="6EFA62B2">
      <w:pPr>
        <w:tabs>
          <w:tab w:val="left" w:pos="180"/>
        </w:tabs>
        <w:spacing w:line="640" w:lineRule="exact"/>
        <w:ind w:firstLine="2492"/>
        <w:rPr>
          <w:rFonts w:hint="eastAsia" w:ascii="仿宋" w:hAnsi="仿宋" w:eastAsia="仿宋" w:cs="仿宋"/>
          <w:color w:val="auto"/>
          <w:sz w:val="28"/>
          <w:szCs w:val="28"/>
          <w:highlight w:val="none"/>
        </w:rPr>
      </w:pPr>
    </w:p>
    <w:p w14:paraId="6FF04D2E">
      <w:pPr>
        <w:tabs>
          <w:tab w:val="left" w:pos="180"/>
        </w:tabs>
        <w:spacing w:line="640" w:lineRule="exact"/>
        <w:ind w:firstLine="2492"/>
        <w:rPr>
          <w:rFonts w:hint="eastAsia" w:ascii="仿宋" w:hAnsi="仿宋" w:eastAsia="仿宋" w:cs="仿宋"/>
          <w:color w:val="auto"/>
          <w:sz w:val="28"/>
          <w:szCs w:val="28"/>
          <w:highlight w:val="none"/>
        </w:rPr>
      </w:pPr>
    </w:p>
    <w:p w14:paraId="155E8737">
      <w:pPr>
        <w:tabs>
          <w:tab w:val="left" w:pos="180"/>
        </w:tabs>
        <w:spacing w:line="640" w:lineRule="exact"/>
        <w:ind w:firstLine="2492"/>
        <w:rPr>
          <w:rFonts w:hint="eastAsia" w:ascii="仿宋" w:hAnsi="仿宋" w:eastAsia="仿宋" w:cs="仿宋"/>
          <w:color w:val="auto"/>
          <w:sz w:val="28"/>
          <w:szCs w:val="28"/>
          <w:highlight w:val="none"/>
        </w:rPr>
      </w:pPr>
    </w:p>
    <w:p w14:paraId="363A9A05">
      <w:pPr>
        <w:tabs>
          <w:tab w:val="left" w:pos="180"/>
        </w:tabs>
        <w:spacing w:line="520" w:lineRule="exact"/>
        <w:jc w:val="both"/>
        <w:outlineLvl w:val="0"/>
        <w:rPr>
          <w:rFonts w:hint="eastAsia" w:ascii="仿宋" w:hAnsi="仿宋" w:eastAsia="仿宋" w:cs="仿宋"/>
          <w:color w:val="auto"/>
          <w:sz w:val="28"/>
          <w:szCs w:val="28"/>
          <w:highlight w:val="none"/>
        </w:rPr>
      </w:pPr>
    </w:p>
    <w:p w14:paraId="2098174E">
      <w:pPr>
        <w:pStyle w:val="63"/>
        <w:rPr>
          <w:rFonts w:hint="eastAsia"/>
          <w:color w:val="auto"/>
          <w:highlight w:val="none"/>
        </w:rPr>
      </w:pPr>
    </w:p>
    <w:p w14:paraId="398575C2">
      <w:pPr>
        <w:keepNext w:val="0"/>
        <w:keepLines w:val="0"/>
        <w:pageBreakBefore w:val="0"/>
        <w:widowControl w:val="0"/>
        <w:tabs>
          <w:tab w:val="left" w:pos="180"/>
        </w:tabs>
        <w:spacing w:line="324" w:lineRule="auto"/>
        <w:ind w:left="0"/>
        <w:jc w:val="center"/>
        <w:rPr>
          <w:rFonts w:hint="eastAsia" w:ascii="仿宋" w:hAnsi="仿宋" w:eastAsia="仿宋" w:cs="仿宋"/>
          <w:b/>
          <w:color w:val="auto"/>
          <w:sz w:val="36"/>
          <w:szCs w:val="36"/>
          <w:highlight w:val="none"/>
        </w:rPr>
      </w:pPr>
      <w:r>
        <w:rPr>
          <w:rFonts w:hint="eastAsia" w:ascii="仿宋" w:hAnsi="仿宋" w:eastAsia="仿宋" w:cs="仿宋"/>
          <w:b/>
          <w:bCs/>
          <w:color w:val="auto"/>
          <w:sz w:val="32"/>
          <w:szCs w:val="32"/>
          <w:highlight w:val="none"/>
        </w:rPr>
        <w:t>合同格式及条款</w:t>
      </w:r>
    </w:p>
    <w:p w14:paraId="39096A7C">
      <w:pPr>
        <w:keepNext w:val="0"/>
        <w:keepLines w:val="0"/>
        <w:pageBreakBefore w:val="0"/>
        <w:widowControl w:val="0"/>
        <w:pBdr>
          <w:top w:val="none" w:color="000000" w:sz="0" w:space="0"/>
          <w:left w:val="none" w:color="000000" w:sz="0" w:space="0"/>
          <w:bottom w:val="none" w:color="000000" w:sz="0" w:space="0"/>
          <w:right w:val="none" w:color="000000" w:sz="0" w:space="0"/>
        </w:pBdr>
        <w:spacing w:line="324" w:lineRule="auto"/>
        <w:ind w:left="0"/>
        <w:jc w:val="center"/>
        <w:rPr>
          <w:rFonts w:hint="eastAsia" w:ascii="仿宋" w:hAnsi="仿宋" w:eastAsia="仿宋" w:cs="仿宋"/>
          <w:b/>
          <w:color w:val="auto"/>
          <w:sz w:val="28"/>
          <w:szCs w:val="28"/>
          <w:highlight w:val="none"/>
        </w:rPr>
      </w:pPr>
      <w:bookmarkStart w:id="36" w:name="_Toc20823315"/>
      <w:bookmarkStart w:id="37" w:name="_Toc513029243"/>
      <w:bookmarkStart w:id="38" w:name="_Toc16938559"/>
      <w:r>
        <w:rPr>
          <w:rFonts w:hint="eastAsia" w:ascii="仿宋" w:hAnsi="仿宋" w:eastAsia="仿宋" w:cs="仿宋"/>
          <w:b/>
          <w:color w:val="auto"/>
          <w:sz w:val="28"/>
          <w:szCs w:val="28"/>
          <w:highlight w:val="none"/>
        </w:rPr>
        <w:t>淮安市政府采购合同（</w:t>
      </w:r>
      <w:r>
        <w:rPr>
          <w:rFonts w:hint="eastAsia" w:ascii="仿宋" w:hAnsi="仿宋" w:eastAsia="仿宋" w:cs="仿宋"/>
          <w:b/>
          <w:color w:val="auto"/>
          <w:sz w:val="28"/>
          <w:szCs w:val="28"/>
          <w:highlight w:val="none"/>
          <w:lang w:val="en-US" w:eastAsia="zh-CN"/>
        </w:rPr>
        <w:t>货物</w:t>
      </w:r>
      <w:r>
        <w:rPr>
          <w:rFonts w:hint="eastAsia" w:ascii="仿宋" w:hAnsi="仿宋" w:eastAsia="仿宋" w:cs="仿宋"/>
          <w:b/>
          <w:color w:val="auto"/>
          <w:sz w:val="28"/>
          <w:szCs w:val="28"/>
          <w:highlight w:val="none"/>
        </w:rPr>
        <w:t>）（合同编号：    ）</w:t>
      </w:r>
    </w:p>
    <w:p w14:paraId="521349D7">
      <w:pPr>
        <w:keepNext w:val="0"/>
        <w:keepLines w:val="0"/>
        <w:pageBreakBefore w:val="0"/>
        <w:widowControl w:val="0"/>
        <w:spacing w:line="312" w:lineRule="auto"/>
        <w:ind w:left="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甲方：_________</w:t>
      </w:r>
    </w:p>
    <w:p w14:paraId="239CD513">
      <w:pPr>
        <w:keepNext w:val="0"/>
        <w:keepLines w:val="0"/>
        <w:pageBreakBefore w:val="0"/>
        <w:widowControl w:val="0"/>
        <w:spacing w:line="312" w:lineRule="auto"/>
        <w:ind w:left="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乙方：_________</w:t>
      </w:r>
    </w:p>
    <w:p w14:paraId="3B1FB8EE">
      <w:pPr>
        <w:keepNext w:val="0"/>
        <w:keepLines w:val="0"/>
        <w:pageBreakBefore w:val="0"/>
        <w:widowControl w:val="0"/>
        <w:spacing w:line="312" w:lineRule="auto"/>
        <w:ind w:left="0"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甲、乙双方根据</w:t>
      </w:r>
      <w:r>
        <w:rPr>
          <w:rFonts w:hint="eastAsia" w:ascii="仿宋" w:hAnsi="仿宋" w:eastAsia="仿宋" w:cs="仿宋"/>
          <w:i w:val="0"/>
          <w:iCs w:val="0"/>
          <w:caps w:val="0"/>
          <w:color w:val="auto"/>
          <w:spacing w:val="0"/>
          <w:sz w:val="28"/>
          <w:szCs w:val="28"/>
          <w:highlight w:val="none"/>
          <w:shd w:val="clear" w:color="auto" w:fill="FFFFFF"/>
          <w:lang w:val="en-US" w:eastAsia="zh-CN"/>
        </w:rPr>
        <w:t>淮安市清江浦区城南街道社区卫生服务中心医疗设备采购项目</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项目公开招标的结果，签署本合同。</w:t>
      </w:r>
      <w:bookmarkEnd w:id="36"/>
      <w:bookmarkEnd w:id="37"/>
      <w:bookmarkEnd w:id="38"/>
    </w:p>
    <w:p w14:paraId="261378AD">
      <w:pPr>
        <w:keepNext w:val="0"/>
        <w:keepLines w:val="0"/>
        <w:pageBreakBefore w:val="0"/>
        <w:widowControl w:val="0"/>
        <w:spacing w:line="312" w:lineRule="auto"/>
        <w:ind w:left="0"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项目名称：</w:t>
      </w:r>
    </w:p>
    <w:p w14:paraId="3EA9DCB8">
      <w:pPr>
        <w:keepNext w:val="0"/>
        <w:keepLines w:val="0"/>
        <w:pageBreakBefore w:val="0"/>
        <w:widowControl w:val="0"/>
        <w:spacing w:line="312" w:lineRule="auto"/>
        <w:ind w:left="0"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项目编号：</w:t>
      </w:r>
    </w:p>
    <w:p w14:paraId="56A618C9">
      <w:pPr>
        <w:keepNext w:val="0"/>
        <w:keepLines w:val="0"/>
        <w:pageBreakBefore w:val="0"/>
        <w:widowControl w:val="0"/>
        <w:spacing w:line="312" w:lineRule="auto"/>
        <w:ind w:left="0"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甲方：</w:t>
      </w:r>
      <w:r>
        <w:rPr>
          <w:rFonts w:hint="eastAsia" w:ascii="仿宋" w:hAnsi="仿宋" w:eastAsia="仿宋" w:cs="仿宋"/>
          <w:color w:val="auto"/>
          <w:sz w:val="28"/>
          <w:szCs w:val="28"/>
          <w:highlight w:val="none"/>
          <w:lang w:val="en-US" w:eastAsia="zh-CN"/>
        </w:rPr>
        <w:t>淮安市清江浦区城南街道社区卫生服务中心</w:t>
      </w:r>
    </w:p>
    <w:p w14:paraId="0445CE78">
      <w:pPr>
        <w:keepNext w:val="0"/>
        <w:keepLines w:val="0"/>
        <w:pageBreakBefore w:val="0"/>
        <w:widowControl w:val="0"/>
        <w:spacing w:line="312" w:lineRule="auto"/>
        <w:ind w:left="0"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乙方：</w:t>
      </w:r>
    </w:p>
    <w:p w14:paraId="7A4B2E49">
      <w:pPr>
        <w:keepNext w:val="0"/>
        <w:keepLines w:val="0"/>
        <w:pageBreakBefore w:val="0"/>
        <w:widowControl w:val="0"/>
        <w:spacing w:line="312" w:lineRule="auto"/>
        <w:ind w:left="0" w:firstLine="560"/>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甲、乙双方秉持公平、公正、自愿原则就</w:t>
      </w:r>
      <w:r>
        <w:rPr>
          <w:rFonts w:hint="eastAsia" w:ascii="仿宋" w:hAnsi="仿宋" w:eastAsia="仿宋" w:cs="仿宋"/>
          <w:i w:val="0"/>
          <w:iCs w:val="0"/>
          <w:caps w:val="0"/>
          <w:color w:val="auto"/>
          <w:spacing w:val="0"/>
          <w:sz w:val="28"/>
          <w:szCs w:val="28"/>
          <w:highlight w:val="none"/>
          <w:shd w:val="clear" w:color="auto" w:fill="FFFFFF"/>
          <w:lang w:val="en-US" w:eastAsia="zh-CN"/>
        </w:rPr>
        <w:t>淮安市清江浦区城南街道社区卫生服务中心医疗设备采购项目</w:t>
      </w:r>
      <w:r>
        <w:rPr>
          <w:rFonts w:hint="eastAsia" w:ascii="仿宋" w:hAnsi="仿宋" w:eastAsia="仿宋" w:cs="仿宋"/>
          <w:color w:val="auto"/>
          <w:sz w:val="28"/>
          <w:szCs w:val="28"/>
          <w:highlight w:val="none"/>
        </w:rPr>
        <w:t>的招标采购结果，根据《中华人民共和国民法典》的规定，签订本合同。</w:t>
      </w:r>
    </w:p>
    <w:p w14:paraId="2B741478">
      <w:pPr>
        <w:keepNext w:val="0"/>
        <w:keepLines w:val="0"/>
        <w:pageBreakBefore w:val="0"/>
        <w:widowControl w:val="0"/>
        <w:spacing w:line="312" w:lineRule="auto"/>
        <w:ind w:left="0"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一、设备名称、型号、数量和价格。</w:t>
      </w:r>
    </w:p>
    <w:tbl>
      <w:tblPr>
        <w:tblStyle w:val="310"/>
        <w:tblW w:w="93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3"/>
        <w:gridCol w:w="1396"/>
        <w:gridCol w:w="1200"/>
        <w:gridCol w:w="1220"/>
        <w:gridCol w:w="580"/>
        <w:gridCol w:w="620"/>
        <w:gridCol w:w="1420"/>
        <w:gridCol w:w="1434"/>
        <w:gridCol w:w="1000"/>
      </w:tblGrid>
      <w:tr w14:paraId="53699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exact"/>
          <w:jc w:val="center"/>
        </w:trPr>
        <w:tc>
          <w:tcPr>
            <w:tcW w:w="453" w:type="dxa"/>
            <w:noWrap w:val="0"/>
            <w:vAlign w:val="center"/>
          </w:tcPr>
          <w:p w14:paraId="17E65182">
            <w:pPr>
              <w:keepNext w:val="0"/>
              <w:keepLines w:val="0"/>
              <w:pageBreakBefore w:val="0"/>
              <w:widowControl w:val="0"/>
              <w:spacing w:line="324" w:lineRule="auto"/>
              <w:ind w:left="0" w:firstLine="0"/>
              <w:jc w:val="center"/>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序号</w:t>
            </w:r>
          </w:p>
        </w:tc>
        <w:tc>
          <w:tcPr>
            <w:tcW w:w="1396" w:type="dxa"/>
            <w:noWrap w:val="0"/>
            <w:vAlign w:val="center"/>
          </w:tcPr>
          <w:p w14:paraId="10E27132">
            <w:pPr>
              <w:keepNext w:val="0"/>
              <w:keepLines w:val="0"/>
              <w:pageBreakBefore w:val="0"/>
              <w:widowControl w:val="0"/>
              <w:spacing w:line="324" w:lineRule="auto"/>
              <w:ind w:left="0" w:firstLine="0"/>
              <w:jc w:val="center"/>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设备名称</w:t>
            </w:r>
          </w:p>
        </w:tc>
        <w:tc>
          <w:tcPr>
            <w:tcW w:w="1200" w:type="dxa"/>
            <w:noWrap w:val="0"/>
            <w:vAlign w:val="center"/>
          </w:tcPr>
          <w:p w14:paraId="1F00F5DC">
            <w:pPr>
              <w:keepNext w:val="0"/>
              <w:keepLines w:val="0"/>
              <w:pageBreakBefore w:val="0"/>
              <w:widowControl w:val="0"/>
              <w:spacing w:line="324" w:lineRule="auto"/>
              <w:ind w:left="0" w:firstLine="0"/>
              <w:jc w:val="center"/>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品牌型号</w:t>
            </w:r>
          </w:p>
        </w:tc>
        <w:tc>
          <w:tcPr>
            <w:tcW w:w="1220" w:type="dxa"/>
            <w:noWrap w:val="0"/>
            <w:vAlign w:val="center"/>
          </w:tcPr>
          <w:p w14:paraId="333ABDE1">
            <w:pPr>
              <w:keepNext w:val="0"/>
              <w:keepLines w:val="0"/>
              <w:pageBreakBefore w:val="0"/>
              <w:widowControl w:val="0"/>
              <w:spacing w:line="324" w:lineRule="auto"/>
              <w:ind w:left="0" w:firstLine="0"/>
              <w:jc w:val="center"/>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规格参数</w:t>
            </w:r>
          </w:p>
        </w:tc>
        <w:tc>
          <w:tcPr>
            <w:tcW w:w="580" w:type="dxa"/>
            <w:noWrap w:val="0"/>
            <w:vAlign w:val="center"/>
          </w:tcPr>
          <w:p w14:paraId="29399C9E">
            <w:pPr>
              <w:keepNext w:val="0"/>
              <w:keepLines w:val="0"/>
              <w:pageBreakBefore w:val="0"/>
              <w:widowControl w:val="0"/>
              <w:spacing w:line="324" w:lineRule="auto"/>
              <w:ind w:left="0" w:firstLine="0"/>
              <w:jc w:val="center"/>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单位</w:t>
            </w:r>
          </w:p>
        </w:tc>
        <w:tc>
          <w:tcPr>
            <w:tcW w:w="620" w:type="dxa"/>
            <w:noWrap w:val="0"/>
            <w:vAlign w:val="center"/>
          </w:tcPr>
          <w:p w14:paraId="5ADCF260">
            <w:pPr>
              <w:keepNext w:val="0"/>
              <w:keepLines w:val="0"/>
              <w:pageBreakBefore w:val="0"/>
              <w:widowControl w:val="0"/>
              <w:spacing w:line="324" w:lineRule="auto"/>
              <w:ind w:left="0" w:firstLine="0"/>
              <w:jc w:val="center"/>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数量</w:t>
            </w:r>
          </w:p>
        </w:tc>
        <w:tc>
          <w:tcPr>
            <w:tcW w:w="1420" w:type="dxa"/>
            <w:noWrap w:val="0"/>
            <w:vAlign w:val="center"/>
          </w:tcPr>
          <w:p w14:paraId="7A111616">
            <w:pPr>
              <w:keepNext w:val="0"/>
              <w:keepLines w:val="0"/>
              <w:pageBreakBefore w:val="0"/>
              <w:widowControl w:val="0"/>
              <w:spacing w:line="324" w:lineRule="auto"/>
              <w:ind w:left="0" w:firstLine="0"/>
              <w:jc w:val="center"/>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投标单价(元）</w:t>
            </w:r>
          </w:p>
        </w:tc>
        <w:tc>
          <w:tcPr>
            <w:tcW w:w="1434" w:type="dxa"/>
            <w:noWrap w:val="0"/>
            <w:vAlign w:val="center"/>
          </w:tcPr>
          <w:p w14:paraId="6D7721EF">
            <w:pPr>
              <w:keepNext w:val="0"/>
              <w:keepLines w:val="0"/>
              <w:pageBreakBefore w:val="0"/>
              <w:widowControl w:val="0"/>
              <w:spacing w:line="324" w:lineRule="auto"/>
              <w:ind w:left="0" w:firstLine="0"/>
              <w:jc w:val="center"/>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小计</w:t>
            </w:r>
          </w:p>
          <w:p w14:paraId="70525505">
            <w:pPr>
              <w:keepNext w:val="0"/>
              <w:keepLines w:val="0"/>
              <w:pageBreakBefore w:val="0"/>
              <w:widowControl w:val="0"/>
              <w:spacing w:line="324" w:lineRule="auto"/>
              <w:ind w:left="0" w:firstLine="0"/>
              <w:jc w:val="center"/>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(元)</w:t>
            </w:r>
          </w:p>
        </w:tc>
        <w:tc>
          <w:tcPr>
            <w:tcW w:w="1000" w:type="dxa"/>
            <w:noWrap w:val="0"/>
            <w:vAlign w:val="center"/>
          </w:tcPr>
          <w:p w14:paraId="3EB58760">
            <w:pPr>
              <w:keepNext w:val="0"/>
              <w:keepLines w:val="0"/>
              <w:pageBreakBefore w:val="0"/>
              <w:widowControl w:val="0"/>
              <w:spacing w:line="324" w:lineRule="auto"/>
              <w:ind w:left="0" w:firstLine="0"/>
              <w:jc w:val="center"/>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备注</w:t>
            </w:r>
          </w:p>
        </w:tc>
      </w:tr>
      <w:tr w14:paraId="11650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exact"/>
          <w:jc w:val="center"/>
        </w:trPr>
        <w:tc>
          <w:tcPr>
            <w:tcW w:w="453" w:type="dxa"/>
            <w:noWrap w:val="0"/>
            <w:vAlign w:val="center"/>
          </w:tcPr>
          <w:p w14:paraId="73AFF585">
            <w:pPr>
              <w:keepNext w:val="0"/>
              <w:keepLines w:val="0"/>
              <w:pageBreakBefore w:val="0"/>
              <w:widowControl w:val="0"/>
              <w:spacing w:line="324" w:lineRule="auto"/>
              <w:ind w:left="0"/>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1</w:t>
            </w:r>
          </w:p>
        </w:tc>
        <w:tc>
          <w:tcPr>
            <w:tcW w:w="1396" w:type="dxa"/>
            <w:noWrap w:val="0"/>
            <w:vAlign w:val="center"/>
          </w:tcPr>
          <w:p w14:paraId="3A910CAD">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1200" w:type="dxa"/>
            <w:noWrap w:val="0"/>
            <w:vAlign w:val="center"/>
          </w:tcPr>
          <w:p w14:paraId="42E64AE6">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1220" w:type="dxa"/>
            <w:noWrap w:val="0"/>
          </w:tcPr>
          <w:p w14:paraId="650329EA">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580" w:type="dxa"/>
            <w:noWrap w:val="0"/>
          </w:tcPr>
          <w:p w14:paraId="6D943762">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620" w:type="dxa"/>
            <w:noWrap w:val="0"/>
          </w:tcPr>
          <w:p w14:paraId="619EA507">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1420" w:type="dxa"/>
            <w:noWrap w:val="0"/>
          </w:tcPr>
          <w:p w14:paraId="57CF83FB">
            <w:pPr>
              <w:keepNext w:val="0"/>
              <w:keepLines w:val="0"/>
              <w:pageBreakBefore w:val="0"/>
              <w:widowControl w:val="0"/>
              <w:spacing w:line="324" w:lineRule="auto"/>
              <w:ind w:left="0"/>
              <w:rPr>
                <w:rFonts w:hint="eastAsia" w:ascii="仿宋" w:hAnsi="仿宋" w:eastAsia="仿宋" w:cs="仿宋"/>
                <w:color w:val="auto"/>
                <w:sz w:val="24"/>
                <w:szCs w:val="24"/>
                <w:highlight w:val="none"/>
              </w:rPr>
            </w:pPr>
          </w:p>
        </w:tc>
        <w:tc>
          <w:tcPr>
            <w:tcW w:w="1434" w:type="dxa"/>
            <w:noWrap w:val="0"/>
          </w:tcPr>
          <w:p w14:paraId="070AA3E0">
            <w:pPr>
              <w:keepNext w:val="0"/>
              <w:keepLines w:val="0"/>
              <w:pageBreakBefore w:val="0"/>
              <w:widowControl w:val="0"/>
              <w:spacing w:line="324" w:lineRule="auto"/>
              <w:ind w:left="0"/>
              <w:rPr>
                <w:rFonts w:hint="eastAsia" w:ascii="仿宋" w:hAnsi="仿宋" w:eastAsia="仿宋" w:cs="仿宋"/>
                <w:color w:val="auto"/>
                <w:sz w:val="24"/>
                <w:szCs w:val="24"/>
                <w:highlight w:val="none"/>
              </w:rPr>
            </w:pPr>
          </w:p>
        </w:tc>
        <w:tc>
          <w:tcPr>
            <w:tcW w:w="1000" w:type="dxa"/>
            <w:noWrap w:val="0"/>
          </w:tcPr>
          <w:p w14:paraId="6DF62615">
            <w:pPr>
              <w:keepNext w:val="0"/>
              <w:keepLines w:val="0"/>
              <w:pageBreakBefore w:val="0"/>
              <w:widowControl w:val="0"/>
              <w:spacing w:line="324" w:lineRule="auto"/>
              <w:ind w:left="0"/>
              <w:rPr>
                <w:rFonts w:hint="eastAsia" w:ascii="仿宋" w:hAnsi="仿宋" w:eastAsia="仿宋" w:cs="仿宋"/>
                <w:color w:val="auto"/>
                <w:spacing w:val="-3"/>
                <w:sz w:val="24"/>
                <w:szCs w:val="24"/>
                <w:highlight w:val="none"/>
              </w:rPr>
            </w:pPr>
          </w:p>
        </w:tc>
      </w:tr>
      <w:tr w14:paraId="3A998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exact"/>
          <w:jc w:val="center"/>
        </w:trPr>
        <w:tc>
          <w:tcPr>
            <w:tcW w:w="453" w:type="dxa"/>
            <w:noWrap w:val="0"/>
            <w:vAlign w:val="center"/>
          </w:tcPr>
          <w:p w14:paraId="02228353">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2</w:t>
            </w:r>
          </w:p>
        </w:tc>
        <w:tc>
          <w:tcPr>
            <w:tcW w:w="1396" w:type="dxa"/>
            <w:noWrap w:val="0"/>
            <w:vAlign w:val="center"/>
          </w:tcPr>
          <w:p w14:paraId="3E280BCB">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1200" w:type="dxa"/>
            <w:noWrap w:val="0"/>
            <w:vAlign w:val="center"/>
          </w:tcPr>
          <w:p w14:paraId="20E0E9F8">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1220" w:type="dxa"/>
            <w:noWrap w:val="0"/>
          </w:tcPr>
          <w:p w14:paraId="79288F24">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580" w:type="dxa"/>
            <w:noWrap w:val="0"/>
          </w:tcPr>
          <w:p w14:paraId="28614C2C">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620" w:type="dxa"/>
            <w:noWrap w:val="0"/>
          </w:tcPr>
          <w:p w14:paraId="0F4FB610">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1420" w:type="dxa"/>
            <w:noWrap w:val="0"/>
          </w:tcPr>
          <w:p w14:paraId="03180F35">
            <w:pPr>
              <w:keepNext w:val="0"/>
              <w:keepLines w:val="0"/>
              <w:pageBreakBefore w:val="0"/>
              <w:widowControl w:val="0"/>
              <w:spacing w:line="324" w:lineRule="auto"/>
              <w:ind w:left="0"/>
              <w:rPr>
                <w:rFonts w:hint="eastAsia" w:ascii="仿宋" w:hAnsi="仿宋" w:eastAsia="仿宋" w:cs="仿宋"/>
                <w:color w:val="auto"/>
                <w:sz w:val="24"/>
                <w:szCs w:val="24"/>
                <w:highlight w:val="none"/>
              </w:rPr>
            </w:pPr>
          </w:p>
        </w:tc>
        <w:tc>
          <w:tcPr>
            <w:tcW w:w="1434" w:type="dxa"/>
            <w:noWrap w:val="0"/>
          </w:tcPr>
          <w:p w14:paraId="482C75B5">
            <w:pPr>
              <w:keepNext w:val="0"/>
              <w:keepLines w:val="0"/>
              <w:pageBreakBefore w:val="0"/>
              <w:widowControl w:val="0"/>
              <w:spacing w:line="324" w:lineRule="auto"/>
              <w:ind w:left="0"/>
              <w:rPr>
                <w:rFonts w:hint="eastAsia" w:ascii="仿宋" w:hAnsi="仿宋" w:eastAsia="仿宋" w:cs="仿宋"/>
                <w:color w:val="auto"/>
                <w:sz w:val="24"/>
                <w:szCs w:val="24"/>
                <w:highlight w:val="none"/>
              </w:rPr>
            </w:pPr>
          </w:p>
        </w:tc>
        <w:tc>
          <w:tcPr>
            <w:tcW w:w="1000" w:type="dxa"/>
            <w:noWrap w:val="0"/>
          </w:tcPr>
          <w:p w14:paraId="6F0DCFBD">
            <w:pPr>
              <w:keepNext w:val="0"/>
              <w:keepLines w:val="0"/>
              <w:pageBreakBefore w:val="0"/>
              <w:widowControl w:val="0"/>
              <w:spacing w:line="324" w:lineRule="auto"/>
              <w:ind w:left="0"/>
              <w:rPr>
                <w:rFonts w:hint="eastAsia" w:ascii="仿宋" w:hAnsi="仿宋" w:eastAsia="仿宋" w:cs="仿宋"/>
                <w:color w:val="auto"/>
                <w:spacing w:val="-6"/>
                <w:sz w:val="24"/>
                <w:szCs w:val="24"/>
                <w:highlight w:val="none"/>
              </w:rPr>
            </w:pPr>
          </w:p>
        </w:tc>
      </w:tr>
      <w:tr w14:paraId="135B3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exact"/>
          <w:jc w:val="center"/>
        </w:trPr>
        <w:tc>
          <w:tcPr>
            <w:tcW w:w="453" w:type="dxa"/>
            <w:noWrap w:val="0"/>
            <w:vAlign w:val="center"/>
          </w:tcPr>
          <w:p w14:paraId="6088185F">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3</w:t>
            </w:r>
          </w:p>
        </w:tc>
        <w:tc>
          <w:tcPr>
            <w:tcW w:w="1396" w:type="dxa"/>
            <w:noWrap w:val="0"/>
            <w:vAlign w:val="center"/>
          </w:tcPr>
          <w:p w14:paraId="4D4D3AA9">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1200" w:type="dxa"/>
            <w:noWrap w:val="0"/>
            <w:vAlign w:val="center"/>
          </w:tcPr>
          <w:p w14:paraId="4F950D81">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1220" w:type="dxa"/>
            <w:noWrap w:val="0"/>
          </w:tcPr>
          <w:p w14:paraId="21CA060E">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580" w:type="dxa"/>
            <w:noWrap w:val="0"/>
          </w:tcPr>
          <w:p w14:paraId="218A030E">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620" w:type="dxa"/>
            <w:noWrap w:val="0"/>
          </w:tcPr>
          <w:p w14:paraId="4B09FFC9">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1420" w:type="dxa"/>
            <w:noWrap w:val="0"/>
          </w:tcPr>
          <w:p w14:paraId="00B0F561">
            <w:pPr>
              <w:keepNext w:val="0"/>
              <w:keepLines w:val="0"/>
              <w:pageBreakBefore w:val="0"/>
              <w:widowControl w:val="0"/>
              <w:spacing w:line="324" w:lineRule="auto"/>
              <w:ind w:left="0"/>
              <w:rPr>
                <w:rFonts w:hint="eastAsia" w:ascii="仿宋" w:hAnsi="仿宋" w:eastAsia="仿宋" w:cs="仿宋"/>
                <w:color w:val="auto"/>
                <w:sz w:val="24"/>
                <w:szCs w:val="24"/>
                <w:highlight w:val="none"/>
              </w:rPr>
            </w:pPr>
          </w:p>
        </w:tc>
        <w:tc>
          <w:tcPr>
            <w:tcW w:w="1434" w:type="dxa"/>
            <w:noWrap w:val="0"/>
          </w:tcPr>
          <w:p w14:paraId="0C4F44C3">
            <w:pPr>
              <w:keepNext w:val="0"/>
              <w:keepLines w:val="0"/>
              <w:pageBreakBefore w:val="0"/>
              <w:widowControl w:val="0"/>
              <w:spacing w:line="324" w:lineRule="auto"/>
              <w:ind w:left="0"/>
              <w:rPr>
                <w:rFonts w:hint="eastAsia" w:ascii="仿宋" w:hAnsi="仿宋" w:eastAsia="仿宋" w:cs="仿宋"/>
                <w:color w:val="auto"/>
                <w:sz w:val="24"/>
                <w:szCs w:val="24"/>
                <w:highlight w:val="none"/>
              </w:rPr>
            </w:pPr>
          </w:p>
        </w:tc>
        <w:tc>
          <w:tcPr>
            <w:tcW w:w="1000" w:type="dxa"/>
            <w:noWrap w:val="0"/>
          </w:tcPr>
          <w:p w14:paraId="6095ED69">
            <w:pPr>
              <w:keepNext w:val="0"/>
              <w:keepLines w:val="0"/>
              <w:pageBreakBefore w:val="0"/>
              <w:widowControl w:val="0"/>
              <w:spacing w:line="324" w:lineRule="auto"/>
              <w:ind w:left="0"/>
              <w:rPr>
                <w:rFonts w:hint="eastAsia" w:ascii="仿宋" w:hAnsi="仿宋" w:eastAsia="仿宋" w:cs="仿宋"/>
                <w:color w:val="auto"/>
                <w:spacing w:val="-5"/>
                <w:sz w:val="24"/>
                <w:szCs w:val="24"/>
                <w:highlight w:val="none"/>
              </w:rPr>
            </w:pPr>
          </w:p>
        </w:tc>
      </w:tr>
      <w:tr w14:paraId="74541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exact"/>
          <w:jc w:val="center"/>
        </w:trPr>
        <w:tc>
          <w:tcPr>
            <w:tcW w:w="453" w:type="dxa"/>
            <w:noWrap w:val="0"/>
            <w:vAlign w:val="center"/>
          </w:tcPr>
          <w:p w14:paraId="649BFA9C">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4</w:t>
            </w:r>
          </w:p>
        </w:tc>
        <w:tc>
          <w:tcPr>
            <w:tcW w:w="1396" w:type="dxa"/>
            <w:noWrap w:val="0"/>
            <w:vAlign w:val="center"/>
          </w:tcPr>
          <w:p w14:paraId="75A89034">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1200" w:type="dxa"/>
            <w:noWrap w:val="0"/>
            <w:vAlign w:val="center"/>
          </w:tcPr>
          <w:p w14:paraId="37CAF598">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1220" w:type="dxa"/>
            <w:noWrap w:val="0"/>
          </w:tcPr>
          <w:p w14:paraId="4BA48098">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580" w:type="dxa"/>
            <w:noWrap w:val="0"/>
          </w:tcPr>
          <w:p w14:paraId="087978AA">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620" w:type="dxa"/>
            <w:noWrap w:val="0"/>
          </w:tcPr>
          <w:p w14:paraId="1F04E6B4">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1420" w:type="dxa"/>
            <w:noWrap w:val="0"/>
          </w:tcPr>
          <w:p w14:paraId="51D78FD3">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1434" w:type="dxa"/>
            <w:noWrap w:val="0"/>
          </w:tcPr>
          <w:p w14:paraId="14D74487">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1000" w:type="dxa"/>
            <w:noWrap w:val="0"/>
          </w:tcPr>
          <w:p w14:paraId="39357006">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r>
      <w:tr w14:paraId="5D1EAA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exact"/>
          <w:jc w:val="center"/>
        </w:trPr>
        <w:tc>
          <w:tcPr>
            <w:tcW w:w="453" w:type="dxa"/>
            <w:noWrap w:val="0"/>
            <w:vAlign w:val="center"/>
          </w:tcPr>
          <w:p w14:paraId="75A58D25">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5</w:t>
            </w:r>
          </w:p>
        </w:tc>
        <w:tc>
          <w:tcPr>
            <w:tcW w:w="1396" w:type="dxa"/>
            <w:noWrap w:val="0"/>
            <w:vAlign w:val="center"/>
          </w:tcPr>
          <w:p w14:paraId="5E9C2FFC">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1200" w:type="dxa"/>
            <w:noWrap w:val="0"/>
            <w:vAlign w:val="center"/>
          </w:tcPr>
          <w:p w14:paraId="1338C4DF">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1220" w:type="dxa"/>
            <w:noWrap w:val="0"/>
          </w:tcPr>
          <w:p w14:paraId="513C743C">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580" w:type="dxa"/>
            <w:noWrap w:val="0"/>
          </w:tcPr>
          <w:p w14:paraId="2CF8A2E9">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620" w:type="dxa"/>
            <w:noWrap w:val="0"/>
          </w:tcPr>
          <w:p w14:paraId="4CD7CE2F">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1420" w:type="dxa"/>
            <w:noWrap w:val="0"/>
          </w:tcPr>
          <w:p w14:paraId="78601572">
            <w:pPr>
              <w:keepNext w:val="0"/>
              <w:keepLines w:val="0"/>
              <w:pageBreakBefore w:val="0"/>
              <w:widowControl w:val="0"/>
              <w:spacing w:line="324" w:lineRule="auto"/>
              <w:ind w:left="0"/>
              <w:rPr>
                <w:rFonts w:hint="eastAsia" w:ascii="仿宋" w:hAnsi="仿宋" w:eastAsia="仿宋" w:cs="仿宋"/>
                <w:color w:val="auto"/>
                <w:sz w:val="24"/>
                <w:szCs w:val="24"/>
                <w:highlight w:val="none"/>
              </w:rPr>
            </w:pPr>
          </w:p>
        </w:tc>
        <w:tc>
          <w:tcPr>
            <w:tcW w:w="1434" w:type="dxa"/>
            <w:noWrap w:val="0"/>
          </w:tcPr>
          <w:p w14:paraId="3A55BDD5">
            <w:pPr>
              <w:keepNext w:val="0"/>
              <w:keepLines w:val="0"/>
              <w:pageBreakBefore w:val="0"/>
              <w:widowControl w:val="0"/>
              <w:spacing w:line="324" w:lineRule="auto"/>
              <w:ind w:left="0"/>
              <w:rPr>
                <w:rFonts w:hint="eastAsia" w:ascii="仿宋" w:hAnsi="仿宋" w:eastAsia="仿宋" w:cs="仿宋"/>
                <w:color w:val="auto"/>
                <w:sz w:val="24"/>
                <w:szCs w:val="24"/>
                <w:highlight w:val="none"/>
              </w:rPr>
            </w:pPr>
          </w:p>
        </w:tc>
        <w:tc>
          <w:tcPr>
            <w:tcW w:w="1000" w:type="dxa"/>
            <w:noWrap w:val="0"/>
          </w:tcPr>
          <w:p w14:paraId="6EB28F28">
            <w:pPr>
              <w:keepNext w:val="0"/>
              <w:keepLines w:val="0"/>
              <w:pageBreakBefore w:val="0"/>
              <w:widowControl w:val="0"/>
              <w:spacing w:line="324" w:lineRule="auto"/>
              <w:ind w:left="0"/>
              <w:rPr>
                <w:rFonts w:hint="eastAsia" w:ascii="仿宋" w:hAnsi="仿宋" w:eastAsia="仿宋" w:cs="仿宋"/>
                <w:color w:val="auto"/>
                <w:spacing w:val="-6"/>
                <w:sz w:val="24"/>
                <w:szCs w:val="24"/>
                <w:highlight w:val="none"/>
              </w:rPr>
            </w:pPr>
          </w:p>
        </w:tc>
      </w:tr>
      <w:tr w14:paraId="6C8451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exact"/>
          <w:jc w:val="center"/>
        </w:trPr>
        <w:tc>
          <w:tcPr>
            <w:tcW w:w="453" w:type="dxa"/>
            <w:noWrap w:val="0"/>
            <w:vAlign w:val="center"/>
          </w:tcPr>
          <w:p w14:paraId="632D3A3A">
            <w:pPr>
              <w:keepNext w:val="0"/>
              <w:keepLines w:val="0"/>
              <w:pageBreakBefore w:val="0"/>
              <w:widowControl w:val="0"/>
              <w:spacing w:line="324" w:lineRule="auto"/>
              <w:ind w:left="0"/>
              <w:jc w:val="center"/>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6</w:t>
            </w:r>
          </w:p>
        </w:tc>
        <w:tc>
          <w:tcPr>
            <w:tcW w:w="1396" w:type="dxa"/>
            <w:noWrap w:val="0"/>
            <w:vAlign w:val="center"/>
          </w:tcPr>
          <w:p w14:paraId="03EAA9E2">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1200" w:type="dxa"/>
            <w:noWrap w:val="0"/>
            <w:vAlign w:val="center"/>
          </w:tcPr>
          <w:p w14:paraId="55716674">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1220" w:type="dxa"/>
            <w:noWrap w:val="0"/>
          </w:tcPr>
          <w:p w14:paraId="354441C7">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580" w:type="dxa"/>
            <w:noWrap w:val="0"/>
          </w:tcPr>
          <w:p w14:paraId="55EFECA4">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620" w:type="dxa"/>
            <w:noWrap w:val="0"/>
          </w:tcPr>
          <w:p w14:paraId="32704408">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1420" w:type="dxa"/>
            <w:noWrap w:val="0"/>
          </w:tcPr>
          <w:p w14:paraId="5824E718">
            <w:pPr>
              <w:keepNext w:val="0"/>
              <w:keepLines w:val="0"/>
              <w:pageBreakBefore w:val="0"/>
              <w:widowControl w:val="0"/>
              <w:spacing w:line="324" w:lineRule="auto"/>
              <w:ind w:left="0"/>
              <w:rPr>
                <w:rFonts w:hint="eastAsia" w:ascii="仿宋" w:hAnsi="仿宋" w:eastAsia="仿宋" w:cs="仿宋"/>
                <w:color w:val="auto"/>
                <w:sz w:val="24"/>
                <w:szCs w:val="24"/>
                <w:highlight w:val="none"/>
              </w:rPr>
            </w:pPr>
          </w:p>
        </w:tc>
        <w:tc>
          <w:tcPr>
            <w:tcW w:w="1434" w:type="dxa"/>
            <w:noWrap w:val="0"/>
          </w:tcPr>
          <w:p w14:paraId="5208D83D">
            <w:pPr>
              <w:keepNext w:val="0"/>
              <w:keepLines w:val="0"/>
              <w:pageBreakBefore w:val="0"/>
              <w:widowControl w:val="0"/>
              <w:spacing w:line="324" w:lineRule="auto"/>
              <w:ind w:left="0"/>
              <w:rPr>
                <w:rFonts w:hint="eastAsia" w:ascii="仿宋" w:hAnsi="仿宋" w:eastAsia="仿宋" w:cs="仿宋"/>
                <w:color w:val="auto"/>
                <w:sz w:val="24"/>
                <w:szCs w:val="24"/>
                <w:highlight w:val="none"/>
              </w:rPr>
            </w:pPr>
          </w:p>
        </w:tc>
        <w:tc>
          <w:tcPr>
            <w:tcW w:w="1000" w:type="dxa"/>
            <w:noWrap w:val="0"/>
          </w:tcPr>
          <w:p w14:paraId="7E4A90DE">
            <w:pPr>
              <w:keepNext w:val="0"/>
              <w:keepLines w:val="0"/>
              <w:pageBreakBefore w:val="0"/>
              <w:widowControl w:val="0"/>
              <w:spacing w:line="324" w:lineRule="auto"/>
              <w:ind w:left="0"/>
              <w:rPr>
                <w:rFonts w:hint="eastAsia" w:ascii="仿宋" w:hAnsi="仿宋" w:eastAsia="仿宋" w:cs="仿宋"/>
                <w:color w:val="auto"/>
                <w:spacing w:val="-3"/>
                <w:sz w:val="24"/>
                <w:szCs w:val="24"/>
                <w:highlight w:val="none"/>
              </w:rPr>
            </w:pPr>
          </w:p>
        </w:tc>
      </w:tr>
      <w:tr w14:paraId="4A58EC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exact"/>
          <w:jc w:val="center"/>
        </w:trPr>
        <w:tc>
          <w:tcPr>
            <w:tcW w:w="453" w:type="dxa"/>
            <w:noWrap w:val="0"/>
            <w:vAlign w:val="center"/>
          </w:tcPr>
          <w:p w14:paraId="7C3641F1">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7</w:t>
            </w:r>
          </w:p>
        </w:tc>
        <w:tc>
          <w:tcPr>
            <w:tcW w:w="1396" w:type="dxa"/>
            <w:noWrap w:val="0"/>
            <w:vAlign w:val="center"/>
          </w:tcPr>
          <w:p w14:paraId="0A86DDC4">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1200" w:type="dxa"/>
            <w:noWrap w:val="0"/>
            <w:vAlign w:val="center"/>
          </w:tcPr>
          <w:p w14:paraId="6FEA22C2">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1220" w:type="dxa"/>
            <w:noWrap w:val="0"/>
          </w:tcPr>
          <w:p w14:paraId="246BFC7D">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580" w:type="dxa"/>
            <w:noWrap w:val="0"/>
          </w:tcPr>
          <w:p w14:paraId="15A15632">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620" w:type="dxa"/>
            <w:noWrap w:val="0"/>
          </w:tcPr>
          <w:p w14:paraId="3302DB20">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1420" w:type="dxa"/>
            <w:noWrap w:val="0"/>
          </w:tcPr>
          <w:p w14:paraId="61358AFA">
            <w:pPr>
              <w:keepNext w:val="0"/>
              <w:keepLines w:val="0"/>
              <w:pageBreakBefore w:val="0"/>
              <w:widowControl w:val="0"/>
              <w:spacing w:line="324" w:lineRule="auto"/>
              <w:ind w:left="0"/>
              <w:rPr>
                <w:rFonts w:hint="eastAsia" w:ascii="仿宋" w:hAnsi="仿宋" w:eastAsia="仿宋" w:cs="仿宋"/>
                <w:color w:val="auto"/>
                <w:sz w:val="24"/>
                <w:szCs w:val="24"/>
                <w:highlight w:val="none"/>
              </w:rPr>
            </w:pPr>
          </w:p>
        </w:tc>
        <w:tc>
          <w:tcPr>
            <w:tcW w:w="1434" w:type="dxa"/>
            <w:noWrap w:val="0"/>
          </w:tcPr>
          <w:p w14:paraId="3A9DF994">
            <w:pPr>
              <w:keepNext w:val="0"/>
              <w:keepLines w:val="0"/>
              <w:pageBreakBefore w:val="0"/>
              <w:widowControl w:val="0"/>
              <w:spacing w:line="324" w:lineRule="auto"/>
              <w:ind w:left="0"/>
              <w:rPr>
                <w:rFonts w:hint="eastAsia" w:ascii="仿宋" w:hAnsi="仿宋" w:eastAsia="仿宋" w:cs="仿宋"/>
                <w:color w:val="auto"/>
                <w:sz w:val="24"/>
                <w:szCs w:val="24"/>
                <w:highlight w:val="none"/>
              </w:rPr>
            </w:pPr>
          </w:p>
        </w:tc>
        <w:tc>
          <w:tcPr>
            <w:tcW w:w="1000" w:type="dxa"/>
            <w:noWrap w:val="0"/>
          </w:tcPr>
          <w:p w14:paraId="41273980">
            <w:pPr>
              <w:keepNext w:val="0"/>
              <w:keepLines w:val="0"/>
              <w:pageBreakBefore w:val="0"/>
              <w:widowControl w:val="0"/>
              <w:spacing w:line="324" w:lineRule="auto"/>
              <w:ind w:left="0"/>
              <w:rPr>
                <w:rFonts w:hint="eastAsia" w:ascii="仿宋" w:hAnsi="仿宋" w:eastAsia="仿宋" w:cs="仿宋"/>
                <w:color w:val="auto"/>
                <w:spacing w:val="-4"/>
                <w:sz w:val="24"/>
                <w:szCs w:val="24"/>
                <w:highlight w:val="none"/>
              </w:rPr>
            </w:pPr>
          </w:p>
        </w:tc>
      </w:tr>
      <w:tr w14:paraId="16EFB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exact"/>
          <w:jc w:val="center"/>
        </w:trPr>
        <w:tc>
          <w:tcPr>
            <w:tcW w:w="453" w:type="dxa"/>
            <w:noWrap w:val="0"/>
            <w:vAlign w:val="center"/>
          </w:tcPr>
          <w:p w14:paraId="14A38187">
            <w:pPr>
              <w:keepNext w:val="0"/>
              <w:keepLines w:val="0"/>
              <w:pageBreakBefore w:val="0"/>
              <w:widowControl w:val="0"/>
              <w:spacing w:line="324" w:lineRule="auto"/>
              <w:ind w:left="0"/>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8</w:t>
            </w:r>
          </w:p>
        </w:tc>
        <w:tc>
          <w:tcPr>
            <w:tcW w:w="1396" w:type="dxa"/>
            <w:noWrap w:val="0"/>
            <w:vAlign w:val="center"/>
          </w:tcPr>
          <w:p w14:paraId="2224EB39">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1200" w:type="dxa"/>
            <w:noWrap w:val="0"/>
            <w:vAlign w:val="center"/>
          </w:tcPr>
          <w:p w14:paraId="7E93F644">
            <w:pPr>
              <w:keepNext w:val="0"/>
              <w:keepLines w:val="0"/>
              <w:pageBreakBefore w:val="0"/>
              <w:widowControl w:val="0"/>
              <w:spacing w:line="324" w:lineRule="auto"/>
              <w:ind w:left="0"/>
              <w:jc w:val="center"/>
              <w:rPr>
                <w:rFonts w:hint="eastAsia" w:ascii="仿宋" w:hAnsi="仿宋" w:eastAsia="仿宋" w:cs="仿宋"/>
                <w:color w:val="auto"/>
                <w:sz w:val="24"/>
                <w:szCs w:val="24"/>
                <w:highlight w:val="none"/>
              </w:rPr>
            </w:pPr>
          </w:p>
        </w:tc>
        <w:tc>
          <w:tcPr>
            <w:tcW w:w="1220" w:type="dxa"/>
            <w:noWrap w:val="0"/>
          </w:tcPr>
          <w:p w14:paraId="2F3C71ED">
            <w:pPr>
              <w:keepNext w:val="0"/>
              <w:keepLines w:val="0"/>
              <w:pageBreakBefore w:val="0"/>
              <w:widowControl w:val="0"/>
              <w:spacing w:line="324" w:lineRule="auto"/>
              <w:ind w:left="0"/>
              <w:rPr>
                <w:rFonts w:hint="eastAsia" w:ascii="仿宋" w:hAnsi="仿宋" w:eastAsia="仿宋" w:cs="仿宋"/>
                <w:color w:val="auto"/>
                <w:sz w:val="24"/>
                <w:szCs w:val="24"/>
                <w:highlight w:val="none"/>
              </w:rPr>
            </w:pPr>
          </w:p>
        </w:tc>
        <w:tc>
          <w:tcPr>
            <w:tcW w:w="580" w:type="dxa"/>
            <w:noWrap w:val="0"/>
          </w:tcPr>
          <w:p w14:paraId="33BBB067">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620" w:type="dxa"/>
            <w:noWrap w:val="0"/>
          </w:tcPr>
          <w:p w14:paraId="18C03531">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1420" w:type="dxa"/>
            <w:noWrap w:val="0"/>
          </w:tcPr>
          <w:p w14:paraId="7C5DBD4E">
            <w:pPr>
              <w:keepNext w:val="0"/>
              <w:keepLines w:val="0"/>
              <w:pageBreakBefore w:val="0"/>
              <w:widowControl w:val="0"/>
              <w:spacing w:line="324" w:lineRule="auto"/>
              <w:ind w:left="0"/>
              <w:rPr>
                <w:rFonts w:hint="eastAsia" w:ascii="仿宋" w:hAnsi="仿宋" w:eastAsia="仿宋" w:cs="仿宋"/>
                <w:color w:val="auto"/>
                <w:sz w:val="24"/>
                <w:szCs w:val="24"/>
                <w:highlight w:val="none"/>
              </w:rPr>
            </w:pPr>
          </w:p>
        </w:tc>
        <w:tc>
          <w:tcPr>
            <w:tcW w:w="1434" w:type="dxa"/>
            <w:noWrap w:val="0"/>
          </w:tcPr>
          <w:p w14:paraId="2B95DF0D">
            <w:pPr>
              <w:keepNext w:val="0"/>
              <w:keepLines w:val="0"/>
              <w:pageBreakBefore w:val="0"/>
              <w:widowControl w:val="0"/>
              <w:spacing w:line="324" w:lineRule="auto"/>
              <w:ind w:left="0"/>
              <w:rPr>
                <w:rFonts w:hint="eastAsia" w:ascii="仿宋" w:hAnsi="仿宋" w:eastAsia="仿宋" w:cs="仿宋"/>
                <w:color w:val="auto"/>
                <w:sz w:val="24"/>
                <w:szCs w:val="24"/>
                <w:highlight w:val="none"/>
              </w:rPr>
            </w:pPr>
          </w:p>
        </w:tc>
        <w:tc>
          <w:tcPr>
            <w:tcW w:w="1000" w:type="dxa"/>
            <w:noWrap w:val="0"/>
          </w:tcPr>
          <w:p w14:paraId="31E4537E">
            <w:pPr>
              <w:keepNext w:val="0"/>
              <w:keepLines w:val="0"/>
              <w:pageBreakBefore w:val="0"/>
              <w:widowControl w:val="0"/>
              <w:spacing w:line="324" w:lineRule="auto"/>
              <w:ind w:left="0"/>
              <w:rPr>
                <w:rFonts w:hint="eastAsia" w:ascii="仿宋" w:hAnsi="仿宋" w:eastAsia="仿宋" w:cs="仿宋"/>
                <w:color w:val="auto"/>
                <w:spacing w:val="-4"/>
                <w:sz w:val="24"/>
                <w:szCs w:val="24"/>
                <w:highlight w:val="none"/>
              </w:rPr>
            </w:pPr>
          </w:p>
        </w:tc>
      </w:tr>
      <w:tr w14:paraId="5CD238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exact"/>
          <w:jc w:val="center"/>
        </w:trPr>
        <w:tc>
          <w:tcPr>
            <w:tcW w:w="453" w:type="dxa"/>
            <w:noWrap w:val="0"/>
            <w:vAlign w:val="center"/>
          </w:tcPr>
          <w:p w14:paraId="44D22139">
            <w:pPr>
              <w:keepNext w:val="0"/>
              <w:keepLines w:val="0"/>
              <w:pageBreakBefore w:val="0"/>
              <w:widowControl w:val="0"/>
              <w:spacing w:line="324" w:lineRule="auto"/>
              <w:ind w:left="0"/>
              <w:jc w:val="center"/>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9</w:t>
            </w:r>
          </w:p>
        </w:tc>
        <w:tc>
          <w:tcPr>
            <w:tcW w:w="1396" w:type="dxa"/>
            <w:noWrap w:val="0"/>
            <w:vAlign w:val="center"/>
          </w:tcPr>
          <w:p w14:paraId="3DC21AF4">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1200" w:type="dxa"/>
            <w:noWrap w:val="0"/>
            <w:vAlign w:val="center"/>
          </w:tcPr>
          <w:p w14:paraId="362E88B2">
            <w:pPr>
              <w:keepNext w:val="0"/>
              <w:keepLines w:val="0"/>
              <w:pageBreakBefore w:val="0"/>
              <w:widowControl w:val="0"/>
              <w:spacing w:line="324" w:lineRule="auto"/>
              <w:ind w:left="0"/>
              <w:jc w:val="center"/>
              <w:rPr>
                <w:rFonts w:hint="eastAsia" w:ascii="仿宋" w:hAnsi="仿宋" w:eastAsia="仿宋" w:cs="仿宋"/>
                <w:color w:val="auto"/>
                <w:sz w:val="24"/>
                <w:szCs w:val="24"/>
                <w:highlight w:val="none"/>
              </w:rPr>
            </w:pPr>
          </w:p>
        </w:tc>
        <w:tc>
          <w:tcPr>
            <w:tcW w:w="1220" w:type="dxa"/>
            <w:noWrap w:val="0"/>
          </w:tcPr>
          <w:p w14:paraId="74A591AD">
            <w:pPr>
              <w:keepNext w:val="0"/>
              <w:keepLines w:val="0"/>
              <w:pageBreakBefore w:val="0"/>
              <w:widowControl w:val="0"/>
              <w:spacing w:line="324" w:lineRule="auto"/>
              <w:ind w:left="0"/>
              <w:rPr>
                <w:rFonts w:hint="eastAsia" w:ascii="仿宋" w:hAnsi="仿宋" w:eastAsia="仿宋" w:cs="仿宋"/>
                <w:color w:val="auto"/>
                <w:sz w:val="24"/>
                <w:szCs w:val="24"/>
                <w:highlight w:val="none"/>
              </w:rPr>
            </w:pPr>
          </w:p>
        </w:tc>
        <w:tc>
          <w:tcPr>
            <w:tcW w:w="580" w:type="dxa"/>
            <w:noWrap w:val="0"/>
          </w:tcPr>
          <w:p w14:paraId="5626251B">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620" w:type="dxa"/>
            <w:noWrap w:val="0"/>
          </w:tcPr>
          <w:p w14:paraId="4A1D585C">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1420" w:type="dxa"/>
            <w:noWrap w:val="0"/>
          </w:tcPr>
          <w:p w14:paraId="3B4FADB0">
            <w:pPr>
              <w:keepNext w:val="0"/>
              <w:keepLines w:val="0"/>
              <w:pageBreakBefore w:val="0"/>
              <w:widowControl w:val="0"/>
              <w:spacing w:line="324" w:lineRule="auto"/>
              <w:ind w:left="0"/>
              <w:rPr>
                <w:rFonts w:hint="eastAsia" w:ascii="仿宋" w:hAnsi="仿宋" w:eastAsia="仿宋" w:cs="仿宋"/>
                <w:color w:val="auto"/>
                <w:sz w:val="24"/>
                <w:szCs w:val="24"/>
                <w:highlight w:val="none"/>
              </w:rPr>
            </w:pPr>
          </w:p>
        </w:tc>
        <w:tc>
          <w:tcPr>
            <w:tcW w:w="1434" w:type="dxa"/>
            <w:noWrap w:val="0"/>
          </w:tcPr>
          <w:p w14:paraId="6E1E237E">
            <w:pPr>
              <w:keepNext w:val="0"/>
              <w:keepLines w:val="0"/>
              <w:pageBreakBefore w:val="0"/>
              <w:widowControl w:val="0"/>
              <w:spacing w:line="324" w:lineRule="auto"/>
              <w:ind w:left="0"/>
              <w:rPr>
                <w:rFonts w:hint="eastAsia" w:ascii="仿宋" w:hAnsi="仿宋" w:eastAsia="仿宋" w:cs="仿宋"/>
                <w:color w:val="auto"/>
                <w:sz w:val="24"/>
                <w:szCs w:val="24"/>
                <w:highlight w:val="none"/>
              </w:rPr>
            </w:pPr>
          </w:p>
        </w:tc>
        <w:tc>
          <w:tcPr>
            <w:tcW w:w="1000" w:type="dxa"/>
            <w:noWrap w:val="0"/>
          </w:tcPr>
          <w:p w14:paraId="043EA71F">
            <w:pPr>
              <w:keepNext w:val="0"/>
              <w:keepLines w:val="0"/>
              <w:pageBreakBefore w:val="0"/>
              <w:widowControl w:val="0"/>
              <w:spacing w:line="324" w:lineRule="auto"/>
              <w:ind w:left="0"/>
              <w:rPr>
                <w:rFonts w:hint="eastAsia" w:ascii="仿宋" w:hAnsi="仿宋" w:eastAsia="仿宋" w:cs="仿宋"/>
                <w:color w:val="auto"/>
                <w:spacing w:val="-4"/>
                <w:sz w:val="24"/>
                <w:szCs w:val="24"/>
                <w:highlight w:val="none"/>
              </w:rPr>
            </w:pPr>
          </w:p>
        </w:tc>
      </w:tr>
      <w:tr w14:paraId="0B4A9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exact"/>
          <w:jc w:val="center"/>
        </w:trPr>
        <w:tc>
          <w:tcPr>
            <w:tcW w:w="453" w:type="dxa"/>
            <w:noWrap w:val="0"/>
            <w:vAlign w:val="center"/>
          </w:tcPr>
          <w:p w14:paraId="304E1307">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10</w:t>
            </w:r>
          </w:p>
        </w:tc>
        <w:tc>
          <w:tcPr>
            <w:tcW w:w="1396" w:type="dxa"/>
            <w:noWrap w:val="0"/>
            <w:vAlign w:val="center"/>
          </w:tcPr>
          <w:p w14:paraId="310D888E">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1200" w:type="dxa"/>
            <w:noWrap w:val="0"/>
            <w:vAlign w:val="center"/>
          </w:tcPr>
          <w:p w14:paraId="217CC28A">
            <w:pPr>
              <w:keepNext w:val="0"/>
              <w:keepLines w:val="0"/>
              <w:pageBreakBefore w:val="0"/>
              <w:widowControl w:val="0"/>
              <w:spacing w:line="324" w:lineRule="auto"/>
              <w:ind w:left="0"/>
              <w:jc w:val="center"/>
              <w:rPr>
                <w:rFonts w:hint="eastAsia" w:ascii="仿宋" w:hAnsi="仿宋" w:eastAsia="仿宋" w:cs="仿宋"/>
                <w:color w:val="auto"/>
                <w:sz w:val="24"/>
                <w:szCs w:val="24"/>
                <w:highlight w:val="none"/>
              </w:rPr>
            </w:pPr>
          </w:p>
        </w:tc>
        <w:tc>
          <w:tcPr>
            <w:tcW w:w="1220" w:type="dxa"/>
            <w:noWrap w:val="0"/>
          </w:tcPr>
          <w:p w14:paraId="0D58CD14">
            <w:pPr>
              <w:keepNext w:val="0"/>
              <w:keepLines w:val="0"/>
              <w:pageBreakBefore w:val="0"/>
              <w:widowControl w:val="0"/>
              <w:spacing w:line="324" w:lineRule="auto"/>
              <w:ind w:left="0"/>
              <w:rPr>
                <w:rFonts w:hint="eastAsia" w:ascii="仿宋" w:hAnsi="仿宋" w:eastAsia="仿宋" w:cs="仿宋"/>
                <w:color w:val="auto"/>
                <w:sz w:val="24"/>
                <w:szCs w:val="24"/>
                <w:highlight w:val="none"/>
              </w:rPr>
            </w:pPr>
          </w:p>
        </w:tc>
        <w:tc>
          <w:tcPr>
            <w:tcW w:w="580" w:type="dxa"/>
            <w:noWrap w:val="0"/>
          </w:tcPr>
          <w:p w14:paraId="372DC6C8">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620" w:type="dxa"/>
            <w:noWrap w:val="0"/>
          </w:tcPr>
          <w:p w14:paraId="0D38E9EA">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1420" w:type="dxa"/>
            <w:noWrap w:val="0"/>
          </w:tcPr>
          <w:p w14:paraId="41B6F6BE">
            <w:pPr>
              <w:keepNext w:val="0"/>
              <w:keepLines w:val="0"/>
              <w:pageBreakBefore w:val="0"/>
              <w:widowControl w:val="0"/>
              <w:spacing w:line="324" w:lineRule="auto"/>
              <w:ind w:left="0"/>
              <w:rPr>
                <w:rFonts w:hint="eastAsia" w:ascii="仿宋" w:hAnsi="仿宋" w:eastAsia="仿宋" w:cs="仿宋"/>
                <w:color w:val="auto"/>
                <w:sz w:val="24"/>
                <w:szCs w:val="24"/>
                <w:highlight w:val="none"/>
              </w:rPr>
            </w:pPr>
          </w:p>
        </w:tc>
        <w:tc>
          <w:tcPr>
            <w:tcW w:w="1434" w:type="dxa"/>
            <w:noWrap w:val="0"/>
          </w:tcPr>
          <w:p w14:paraId="1BA18ABD">
            <w:pPr>
              <w:keepNext w:val="0"/>
              <w:keepLines w:val="0"/>
              <w:pageBreakBefore w:val="0"/>
              <w:widowControl w:val="0"/>
              <w:spacing w:line="324" w:lineRule="auto"/>
              <w:ind w:left="0"/>
              <w:rPr>
                <w:rFonts w:hint="eastAsia" w:ascii="仿宋" w:hAnsi="仿宋" w:eastAsia="仿宋" w:cs="仿宋"/>
                <w:color w:val="auto"/>
                <w:sz w:val="24"/>
                <w:szCs w:val="24"/>
                <w:highlight w:val="none"/>
              </w:rPr>
            </w:pPr>
          </w:p>
        </w:tc>
        <w:tc>
          <w:tcPr>
            <w:tcW w:w="1000" w:type="dxa"/>
            <w:noWrap w:val="0"/>
          </w:tcPr>
          <w:p w14:paraId="750964D3">
            <w:pPr>
              <w:keepNext w:val="0"/>
              <w:keepLines w:val="0"/>
              <w:pageBreakBefore w:val="0"/>
              <w:widowControl w:val="0"/>
              <w:spacing w:line="324" w:lineRule="auto"/>
              <w:ind w:left="0"/>
              <w:rPr>
                <w:rFonts w:hint="eastAsia" w:ascii="仿宋" w:hAnsi="仿宋" w:eastAsia="仿宋" w:cs="仿宋"/>
                <w:color w:val="auto"/>
                <w:spacing w:val="-3"/>
                <w:sz w:val="24"/>
                <w:szCs w:val="24"/>
                <w:highlight w:val="none"/>
              </w:rPr>
            </w:pPr>
          </w:p>
        </w:tc>
      </w:tr>
      <w:tr w14:paraId="625C1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exact"/>
          <w:jc w:val="center"/>
        </w:trPr>
        <w:tc>
          <w:tcPr>
            <w:tcW w:w="453" w:type="dxa"/>
            <w:noWrap w:val="0"/>
            <w:vAlign w:val="center"/>
          </w:tcPr>
          <w:p w14:paraId="125AA033">
            <w:pPr>
              <w:keepNext w:val="0"/>
              <w:keepLines w:val="0"/>
              <w:pageBreakBefore w:val="0"/>
              <w:widowControl w:val="0"/>
              <w:spacing w:line="324" w:lineRule="auto"/>
              <w:ind w:left="0"/>
              <w:jc w:val="center"/>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11</w:t>
            </w:r>
          </w:p>
        </w:tc>
        <w:tc>
          <w:tcPr>
            <w:tcW w:w="1396" w:type="dxa"/>
            <w:noWrap w:val="0"/>
            <w:vAlign w:val="center"/>
          </w:tcPr>
          <w:p w14:paraId="151B8B0F">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1200" w:type="dxa"/>
            <w:noWrap w:val="0"/>
            <w:vAlign w:val="center"/>
          </w:tcPr>
          <w:p w14:paraId="3F97DC21">
            <w:pPr>
              <w:keepNext w:val="0"/>
              <w:keepLines w:val="0"/>
              <w:pageBreakBefore w:val="0"/>
              <w:widowControl w:val="0"/>
              <w:spacing w:line="324" w:lineRule="auto"/>
              <w:ind w:left="0"/>
              <w:jc w:val="center"/>
              <w:rPr>
                <w:rFonts w:hint="eastAsia" w:ascii="仿宋" w:hAnsi="仿宋" w:eastAsia="仿宋" w:cs="仿宋"/>
                <w:color w:val="auto"/>
                <w:sz w:val="24"/>
                <w:szCs w:val="24"/>
                <w:highlight w:val="none"/>
              </w:rPr>
            </w:pPr>
          </w:p>
        </w:tc>
        <w:tc>
          <w:tcPr>
            <w:tcW w:w="1220" w:type="dxa"/>
            <w:noWrap w:val="0"/>
          </w:tcPr>
          <w:p w14:paraId="1F48A879">
            <w:pPr>
              <w:keepNext w:val="0"/>
              <w:keepLines w:val="0"/>
              <w:pageBreakBefore w:val="0"/>
              <w:widowControl w:val="0"/>
              <w:spacing w:line="324" w:lineRule="auto"/>
              <w:ind w:left="0"/>
              <w:rPr>
                <w:rFonts w:hint="eastAsia" w:ascii="仿宋" w:hAnsi="仿宋" w:eastAsia="仿宋" w:cs="仿宋"/>
                <w:color w:val="auto"/>
                <w:sz w:val="24"/>
                <w:szCs w:val="24"/>
                <w:highlight w:val="none"/>
              </w:rPr>
            </w:pPr>
          </w:p>
        </w:tc>
        <w:tc>
          <w:tcPr>
            <w:tcW w:w="580" w:type="dxa"/>
            <w:noWrap w:val="0"/>
          </w:tcPr>
          <w:p w14:paraId="70679049">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620" w:type="dxa"/>
            <w:noWrap w:val="0"/>
          </w:tcPr>
          <w:p w14:paraId="2B60B05D">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1420" w:type="dxa"/>
            <w:noWrap w:val="0"/>
          </w:tcPr>
          <w:p w14:paraId="0CACFC04">
            <w:pPr>
              <w:keepNext w:val="0"/>
              <w:keepLines w:val="0"/>
              <w:pageBreakBefore w:val="0"/>
              <w:widowControl w:val="0"/>
              <w:spacing w:line="324" w:lineRule="auto"/>
              <w:ind w:left="0"/>
              <w:rPr>
                <w:rFonts w:hint="eastAsia" w:ascii="仿宋" w:hAnsi="仿宋" w:eastAsia="仿宋" w:cs="仿宋"/>
                <w:color w:val="auto"/>
                <w:sz w:val="24"/>
                <w:szCs w:val="24"/>
                <w:highlight w:val="none"/>
              </w:rPr>
            </w:pPr>
          </w:p>
        </w:tc>
        <w:tc>
          <w:tcPr>
            <w:tcW w:w="1434" w:type="dxa"/>
            <w:noWrap w:val="0"/>
          </w:tcPr>
          <w:p w14:paraId="6136E555">
            <w:pPr>
              <w:keepNext w:val="0"/>
              <w:keepLines w:val="0"/>
              <w:pageBreakBefore w:val="0"/>
              <w:widowControl w:val="0"/>
              <w:spacing w:line="324" w:lineRule="auto"/>
              <w:ind w:left="0"/>
              <w:rPr>
                <w:rFonts w:hint="eastAsia" w:ascii="仿宋" w:hAnsi="仿宋" w:eastAsia="仿宋" w:cs="仿宋"/>
                <w:color w:val="auto"/>
                <w:sz w:val="24"/>
                <w:szCs w:val="24"/>
                <w:highlight w:val="none"/>
              </w:rPr>
            </w:pPr>
          </w:p>
        </w:tc>
        <w:tc>
          <w:tcPr>
            <w:tcW w:w="1000" w:type="dxa"/>
            <w:noWrap w:val="0"/>
          </w:tcPr>
          <w:p w14:paraId="46465931">
            <w:pPr>
              <w:keepNext w:val="0"/>
              <w:keepLines w:val="0"/>
              <w:pageBreakBefore w:val="0"/>
              <w:widowControl w:val="0"/>
              <w:spacing w:line="324" w:lineRule="auto"/>
              <w:ind w:left="0"/>
              <w:rPr>
                <w:rFonts w:hint="eastAsia" w:ascii="仿宋" w:hAnsi="仿宋" w:eastAsia="仿宋" w:cs="仿宋"/>
                <w:color w:val="auto"/>
                <w:spacing w:val="-3"/>
                <w:sz w:val="24"/>
                <w:szCs w:val="24"/>
                <w:highlight w:val="none"/>
              </w:rPr>
            </w:pPr>
          </w:p>
        </w:tc>
      </w:tr>
      <w:tr w14:paraId="321C7B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exact"/>
          <w:jc w:val="center"/>
        </w:trPr>
        <w:tc>
          <w:tcPr>
            <w:tcW w:w="453" w:type="dxa"/>
            <w:noWrap w:val="0"/>
            <w:vAlign w:val="center"/>
          </w:tcPr>
          <w:p w14:paraId="4730EA45">
            <w:pPr>
              <w:keepNext w:val="0"/>
              <w:keepLines w:val="0"/>
              <w:pageBreakBefore w:val="0"/>
              <w:widowControl w:val="0"/>
              <w:spacing w:line="324" w:lineRule="auto"/>
              <w:ind w:left="0"/>
              <w:jc w:val="center"/>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12</w:t>
            </w:r>
          </w:p>
        </w:tc>
        <w:tc>
          <w:tcPr>
            <w:tcW w:w="1396" w:type="dxa"/>
            <w:noWrap w:val="0"/>
            <w:vAlign w:val="center"/>
          </w:tcPr>
          <w:p w14:paraId="7081E4C0">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1200" w:type="dxa"/>
            <w:noWrap w:val="0"/>
            <w:vAlign w:val="center"/>
          </w:tcPr>
          <w:p w14:paraId="09AA9263">
            <w:pPr>
              <w:keepNext w:val="0"/>
              <w:keepLines w:val="0"/>
              <w:pageBreakBefore w:val="0"/>
              <w:widowControl w:val="0"/>
              <w:spacing w:line="324" w:lineRule="auto"/>
              <w:ind w:left="0"/>
              <w:jc w:val="center"/>
              <w:rPr>
                <w:rFonts w:hint="eastAsia" w:ascii="仿宋" w:hAnsi="仿宋" w:eastAsia="仿宋" w:cs="仿宋"/>
                <w:color w:val="auto"/>
                <w:sz w:val="24"/>
                <w:szCs w:val="24"/>
                <w:highlight w:val="none"/>
              </w:rPr>
            </w:pPr>
          </w:p>
        </w:tc>
        <w:tc>
          <w:tcPr>
            <w:tcW w:w="1220" w:type="dxa"/>
            <w:noWrap w:val="0"/>
          </w:tcPr>
          <w:p w14:paraId="35B14C0B">
            <w:pPr>
              <w:keepNext w:val="0"/>
              <w:keepLines w:val="0"/>
              <w:pageBreakBefore w:val="0"/>
              <w:widowControl w:val="0"/>
              <w:spacing w:line="324" w:lineRule="auto"/>
              <w:ind w:left="0"/>
              <w:rPr>
                <w:rFonts w:hint="eastAsia" w:ascii="仿宋" w:hAnsi="仿宋" w:eastAsia="仿宋" w:cs="仿宋"/>
                <w:color w:val="auto"/>
                <w:sz w:val="24"/>
                <w:szCs w:val="24"/>
                <w:highlight w:val="none"/>
              </w:rPr>
            </w:pPr>
          </w:p>
        </w:tc>
        <w:tc>
          <w:tcPr>
            <w:tcW w:w="580" w:type="dxa"/>
            <w:noWrap w:val="0"/>
          </w:tcPr>
          <w:p w14:paraId="2ACE081F">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620" w:type="dxa"/>
            <w:noWrap w:val="0"/>
          </w:tcPr>
          <w:p w14:paraId="35FD90D7">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1420" w:type="dxa"/>
            <w:noWrap w:val="0"/>
          </w:tcPr>
          <w:p w14:paraId="5C03F223">
            <w:pPr>
              <w:keepNext w:val="0"/>
              <w:keepLines w:val="0"/>
              <w:pageBreakBefore w:val="0"/>
              <w:widowControl w:val="0"/>
              <w:spacing w:line="324" w:lineRule="auto"/>
              <w:ind w:left="0"/>
              <w:rPr>
                <w:rFonts w:hint="eastAsia" w:ascii="仿宋" w:hAnsi="仿宋" w:eastAsia="仿宋" w:cs="仿宋"/>
                <w:color w:val="auto"/>
                <w:sz w:val="24"/>
                <w:szCs w:val="24"/>
                <w:highlight w:val="none"/>
              </w:rPr>
            </w:pPr>
          </w:p>
        </w:tc>
        <w:tc>
          <w:tcPr>
            <w:tcW w:w="1434" w:type="dxa"/>
            <w:noWrap w:val="0"/>
          </w:tcPr>
          <w:p w14:paraId="6AD42E82">
            <w:pPr>
              <w:keepNext w:val="0"/>
              <w:keepLines w:val="0"/>
              <w:pageBreakBefore w:val="0"/>
              <w:widowControl w:val="0"/>
              <w:spacing w:line="324" w:lineRule="auto"/>
              <w:ind w:left="0"/>
              <w:rPr>
                <w:rFonts w:hint="eastAsia" w:ascii="仿宋" w:hAnsi="仿宋" w:eastAsia="仿宋" w:cs="仿宋"/>
                <w:color w:val="auto"/>
                <w:sz w:val="24"/>
                <w:szCs w:val="24"/>
                <w:highlight w:val="none"/>
              </w:rPr>
            </w:pPr>
          </w:p>
        </w:tc>
        <w:tc>
          <w:tcPr>
            <w:tcW w:w="1000" w:type="dxa"/>
            <w:noWrap w:val="0"/>
          </w:tcPr>
          <w:p w14:paraId="4CCBE148">
            <w:pPr>
              <w:keepNext w:val="0"/>
              <w:keepLines w:val="0"/>
              <w:pageBreakBefore w:val="0"/>
              <w:widowControl w:val="0"/>
              <w:spacing w:line="324" w:lineRule="auto"/>
              <w:ind w:left="0"/>
              <w:rPr>
                <w:rFonts w:hint="eastAsia" w:ascii="仿宋" w:hAnsi="仿宋" w:eastAsia="仿宋" w:cs="仿宋"/>
                <w:color w:val="auto"/>
                <w:spacing w:val="-5"/>
                <w:sz w:val="24"/>
                <w:szCs w:val="24"/>
                <w:highlight w:val="none"/>
              </w:rPr>
            </w:pPr>
          </w:p>
        </w:tc>
      </w:tr>
      <w:tr w14:paraId="5AB7A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exact"/>
          <w:jc w:val="center"/>
        </w:trPr>
        <w:tc>
          <w:tcPr>
            <w:tcW w:w="453" w:type="dxa"/>
            <w:noWrap w:val="0"/>
            <w:vAlign w:val="center"/>
          </w:tcPr>
          <w:p w14:paraId="3FF6CBA2">
            <w:pPr>
              <w:keepNext w:val="0"/>
              <w:keepLines w:val="0"/>
              <w:pageBreakBefore w:val="0"/>
              <w:widowControl w:val="0"/>
              <w:spacing w:line="324" w:lineRule="auto"/>
              <w:ind w:left="0"/>
              <w:jc w:val="center"/>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13</w:t>
            </w:r>
          </w:p>
        </w:tc>
        <w:tc>
          <w:tcPr>
            <w:tcW w:w="1396" w:type="dxa"/>
            <w:noWrap w:val="0"/>
            <w:vAlign w:val="center"/>
          </w:tcPr>
          <w:p w14:paraId="04531ABE">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1200" w:type="dxa"/>
            <w:noWrap w:val="0"/>
            <w:vAlign w:val="center"/>
          </w:tcPr>
          <w:p w14:paraId="7242AB1F">
            <w:pPr>
              <w:keepNext w:val="0"/>
              <w:keepLines w:val="0"/>
              <w:pageBreakBefore w:val="0"/>
              <w:widowControl w:val="0"/>
              <w:spacing w:line="324" w:lineRule="auto"/>
              <w:ind w:left="0"/>
              <w:jc w:val="center"/>
              <w:rPr>
                <w:rFonts w:hint="eastAsia" w:ascii="仿宋" w:hAnsi="仿宋" w:eastAsia="仿宋" w:cs="仿宋"/>
                <w:color w:val="auto"/>
                <w:sz w:val="24"/>
                <w:szCs w:val="24"/>
                <w:highlight w:val="none"/>
              </w:rPr>
            </w:pPr>
          </w:p>
        </w:tc>
        <w:tc>
          <w:tcPr>
            <w:tcW w:w="1220" w:type="dxa"/>
            <w:noWrap w:val="0"/>
          </w:tcPr>
          <w:p w14:paraId="0EEA7DA5">
            <w:pPr>
              <w:keepNext w:val="0"/>
              <w:keepLines w:val="0"/>
              <w:pageBreakBefore w:val="0"/>
              <w:widowControl w:val="0"/>
              <w:spacing w:line="324" w:lineRule="auto"/>
              <w:ind w:left="0"/>
              <w:rPr>
                <w:rFonts w:hint="eastAsia" w:ascii="仿宋" w:hAnsi="仿宋" w:eastAsia="仿宋" w:cs="仿宋"/>
                <w:color w:val="auto"/>
                <w:sz w:val="24"/>
                <w:szCs w:val="24"/>
                <w:highlight w:val="none"/>
              </w:rPr>
            </w:pPr>
          </w:p>
        </w:tc>
        <w:tc>
          <w:tcPr>
            <w:tcW w:w="580" w:type="dxa"/>
            <w:noWrap w:val="0"/>
          </w:tcPr>
          <w:p w14:paraId="362D2A96">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620" w:type="dxa"/>
            <w:noWrap w:val="0"/>
          </w:tcPr>
          <w:p w14:paraId="543DBE84">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p>
        </w:tc>
        <w:tc>
          <w:tcPr>
            <w:tcW w:w="1420" w:type="dxa"/>
            <w:noWrap w:val="0"/>
          </w:tcPr>
          <w:p w14:paraId="15F9E474">
            <w:pPr>
              <w:keepNext w:val="0"/>
              <w:keepLines w:val="0"/>
              <w:pageBreakBefore w:val="0"/>
              <w:widowControl w:val="0"/>
              <w:spacing w:line="324" w:lineRule="auto"/>
              <w:ind w:left="0"/>
              <w:rPr>
                <w:rFonts w:hint="eastAsia" w:ascii="仿宋" w:hAnsi="仿宋" w:eastAsia="仿宋" w:cs="仿宋"/>
                <w:color w:val="auto"/>
                <w:sz w:val="24"/>
                <w:szCs w:val="24"/>
                <w:highlight w:val="none"/>
              </w:rPr>
            </w:pPr>
          </w:p>
        </w:tc>
        <w:tc>
          <w:tcPr>
            <w:tcW w:w="1434" w:type="dxa"/>
            <w:noWrap w:val="0"/>
          </w:tcPr>
          <w:p w14:paraId="2C005356">
            <w:pPr>
              <w:keepNext w:val="0"/>
              <w:keepLines w:val="0"/>
              <w:pageBreakBefore w:val="0"/>
              <w:widowControl w:val="0"/>
              <w:spacing w:line="324" w:lineRule="auto"/>
              <w:ind w:left="0"/>
              <w:rPr>
                <w:rFonts w:hint="eastAsia" w:ascii="仿宋" w:hAnsi="仿宋" w:eastAsia="仿宋" w:cs="仿宋"/>
                <w:color w:val="auto"/>
                <w:sz w:val="24"/>
                <w:szCs w:val="24"/>
                <w:highlight w:val="none"/>
              </w:rPr>
            </w:pPr>
          </w:p>
        </w:tc>
        <w:tc>
          <w:tcPr>
            <w:tcW w:w="1000" w:type="dxa"/>
            <w:noWrap w:val="0"/>
          </w:tcPr>
          <w:p w14:paraId="61A8B3BC">
            <w:pPr>
              <w:keepNext w:val="0"/>
              <w:keepLines w:val="0"/>
              <w:pageBreakBefore w:val="0"/>
              <w:widowControl w:val="0"/>
              <w:spacing w:line="324" w:lineRule="auto"/>
              <w:ind w:left="0"/>
              <w:rPr>
                <w:rFonts w:hint="eastAsia" w:ascii="仿宋" w:hAnsi="仿宋" w:eastAsia="仿宋" w:cs="仿宋"/>
                <w:color w:val="auto"/>
                <w:spacing w:val="-5"/>
                <w:sz w:val="24"/>
                <w:szCs w:val="24"/>
                <w:highlight w:val="none"/>
              </w:rPr>
            </w:pPr>
          </w:p>
        </w:tc>
      </w:tr>
      <w:tr w14:paraId="7F1BC2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exact"/>
          <w:jc w:val="center"/>
        </w:trPr>
        <w:tc>
          <w:tcPr>
            <w:tcW w:w="9323" w:type="dxa"/>
            <w:gridSpan w:val="9"/>
            <w:noWrap w:val="0"/>
            <w:vAlign w:val="center"/>
          </w:tcPr>
          <w:p w14:paraId="085AC0DC">
            <w:pPr>
              <w:keepNext w:val="0"/>
              <w:keepLines w:val="0"/>
              <w:pageBreakBefore w:val="0"/>
              <w:widowControl w:val="0"/>
              <w:spacing w:line="324" w:lineRule="auto"/>
              <w:ind w:left="0"/>
              <w:jc w:val="center"/>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合计：大写人民币</w:t>
            </w:r>
            <w:r>
              <w:rPr>
                <w:rFonts w:hint="eastAsia" w:ascii="仿宋" w:hAnsi="仿宋" w:eastAsia="仿宋" w:cs="仿宋"/>
                <w:color w:val="auto"/>
                <w:spacing w:val="-2"/>
                <w:sz w:val="24"/>
                <w:szCs w:val="24"/>
                <w:highlight w:val="none"/>
                <w:lang w:val="en-US" w:eastAsia="zh-CN"/>
              </w:rPr>
              <w:t xml:space="preserve">     </w:t>
            </w:r>
            <w:r>
              <w:rPr>
                <w:rFonts w:hint="eastAsia" w:ascii="仿宋" w:hAnsi="仿宋" w:eastAsia="仿宋" w:cs="仿宋"/>
                <w:color w:val="auto"/>
                <w:spacing w:val="-2"/>
                <w:sz w:val="24"/>
                <w:szCs w:val="24"/>
                <w:highlight w:val="none"/>
              </w:rPr>
              <w:t>小写</w:t>
            </w:r>
            <w:r>
              <w:rPr>
                <w:rFonts w:hint="eastAsia" w:ascii="仿宋" w:hAnsi="仿宋" w:eastAsia="仿宋" w:cs="仿宋"/>
                <w:color w:val="auto"/>
                <w:spacing w:val="-2"/>
                <w:sz w:val="24"/>
                <w:szCs w:val="24"/>
                <w:highlight w:val="none"/>
                <w:lang w:val="en-US" w:eastAsia="zh-CN"/>
              </w:rPr>
              <w:t xml:space="preserve">     </w:t>
            </w:r>
            <w:r>
              <w:rPr>
                <w:rFonts w:hint="eastAsia" w:ascii="仿宋" w:hAnsi="仿宋" w:eastAsia="仿宋" w:cs="仿宋"/>
                <w:color w:val="auto"/>
                <w:spacing w:val="-2"/>
                <w:sz w:val="24"/>
                <w:szCs w:val="24"/>
                <w:highlight w:val="none"/>
              </w:rPr>
              <w:t>(¥)</w:t>
            </w:r>
          </w:p>
        </w:tc>
      </w:tr>
    </w:tbl>
    <w:p w14:paraId="24059275">
      <w:pPr>
        <w:keepNext w:val="0"/>
        <w:keepLines w:val="0"/>
        <w:pageBreakBefore w:val="0"/>
        <w:widowControl w:val="0"/>
        <w:spacing w:line="324" w:lineRule="auto"/>
        <w:ind w:left="0" w:firstLine="560"/>
        <w:rPr>
          <w:rFonts w:hint="eastAsia" w:ascii="仿宋" w:hAnsi="仿宋" w:eastAsia="仿宋" w:cs="仿宋"/>
          <w:bCs/>
          <w:color w:val="auto"/>
          <w:sz w:val="28"/>
          <w:szCs w:val="28"/>
          <w:highlight w:val="none"/>
        </w:rPr>
      </w:pPr>
    </w:p>
    <w:p w14:paraId="652DB6C3">
      <w:pPr>
        <w:keepNext w:val="0"/>
        <w:keepLines w:val="0"/>
        <w:pageBreakBefore w:val="0"/>
        <w:widowControl w:val="0"/>
        <w:spacing w:line="312" w:lineRule="auto"/>
        <w:ind w:left="0" w:firstLine="560"/>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二、交货日期及地点：合同签订后，乙方接到甲方发货通知之日起</w:t>
      </w:r>
      <w:r>
        <w:rPr>
          <w:rFonts w:hint="eastAsia" w:ascii="仿宋" w:hAnsi="仿宋" w:eastAsia="仿宋" w:cs="仿宋"/>
          <w:bCs/>
          <w:color w:val="auto"/>
          <w:sz w:val="28"/>
          <w:szCs w:val="28"/>
          <w:highlight w:val="none"/>
          <w:u w:val="single"/>
          <w:lang w:val="en-US" w:eastAsia="zh-CN"/>
        </w:rPr>
        <w:t>30</w:t>
      </w:r>
      <w:r>
        <w:rPr>
          <w:rFonts w:hint="eastAsia" w:ascii="仿宋" w:hAnsi="仿宋" w:eastAsia="仿宋" w:cs="仿宋"/>
          <w:bCs/>
          <w:color w:val="auto"/>
          <w:sz w:val="28"/>
          <w:szCs w:val="28"/>
          <w:highlight w:val="none"/>
        </w:rPr>
        <w:t>天之内安装调试培训完毕，乙方负责将货物运抵</w:t>
      </w:r>
      <w:r>
        <w:rPr>
          <w:rFonts w:hint="eastAsia" w:ascii="仿宋" w:hAnsi="仿宋" w:eastAsia="仿宋" w:cs="仿宋"/>
          <w:bCs/>
          <w:color w:val="auto"/>
          <w:sz w:val="28"/>
          <w:szCs w:val="28"/>
          <w:highlight w:val="none"/>
          <w:lang w:val="en-US" w:eastAsia="zh-CN"/>
        </w:rPr>
        <w:t>甲方</w:t>
      </w:r>
      <w:r>
        <w:rPr>
          <w:rFonts w:hint="eastAsia" w:ascii="仿宋" w:hAnsi="仿宋" w:eastAsia="仿宋" w:cs="仿宋"/>
          <w:bCs/>
          <w:color w:val="auto"/>
          <w:sz w:val="28"/>
          <w:szCs w:val="28"/>
          <w:highlight w:val="none"/>
        </w:rPr>
        <w:t>指定地点。如乙方逾期交货，则每日按合同总额0.5%承担除违约金，违约金、应退差价等金钱债务甲方均可以在每次应付款中直接扣除</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rPr>
        <w:t>期间产生的所有相关费用由乙方承担。</w:t>
      </w:r>
    </w:p>
    <w:p w14:paraId="4ABFF2AC">
      <w:pPr>
        <w:keepNext w:val="0"/>
        <w:keepLines w:val="0"/>
        <w:pageBreakBefore w:val="0"/>
        <w:widowControl w:val="0"/>
        <w:spacing w:line="312" w:lineRule="auto"/>
        <w:ind w:left="0"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三、设备保修期：</w:t>
      </w:r>
      <w:r>
        <w:rPr>
          <w:rFonts w:hint="eastAsia" w:ascii="仿宋" w:hAnsi="仿宋" w:eastAsia="仿宋" w:cs="仿宋"/>
          <w:b/>
          <w:bCs w:val="0"/>
          <w:color w:val="auto"/>
          <w:sz w:val="28"/>
          <w:szCs w:val="28"/>
          <w:highlight w:val="none"/>
        </w:rPr>
        <w:t>自设备验收合格之日起</w:t>
      </w:r>
      <w:r>
        <w:rPr>
          <w:rFonts w:hint="eastAsia" w:ascii="仿宋" w:hAnsi="仿宋" w:eastAsia="仿宋" w:cs="仿宋"/>
          <w:b/>
          <w:bCs w:val="0"/>
          <w:color w:val="auto"/>
          <w:sz w:val="28"/>
          <w:szCs w:val="28"/>
          <w:highlight w:val="none"/>
          <w:lang w:val="en-US" w:eastAsia="zh-CN"/>
        </w:rPr>
        <w:t>三年</w:t>
      </w:r>
      <w:r>
        <w:rPr>
          <w:rFonts w:hint="eastAsia" w:ascii="仿宋" w:hAnsi="仿宋" w:eastAsia="仿宋" w:cs="仿宋"/>
          <w:bCs/>
          <w:color w:val="auto"/>
          <w:sz w:val="28"/>
          <w:szCs w:val="28"/>
          <w:highlight w:val="none"/>
        </w:rPr>
        <w:t>（以甲方验收单双方签字日期为准），乙方承诺提供免费保修，保修期外乙方负责对本设备维护免人工服务费，只收取配件费，软件终生免费升级。</w:t>
      </w:r>
    </w:p>
    <w:p w14:paraId="2A751CD5">
      <w:pPr>
        <w:keepNext w:val="0"/>
        <w:keepLines w:val="0"/>
        <w:pageBreakBefore w:val="0"/>
        <w:widowControl w:val="0"/>
        <w:spacing w:line="312" w:lineRule="auto"/>
        <w:ind w:left="0" w:firstLine="562"/>
        <w:rPr>
          <w:rFonts w:hint="eastAsia" w:ascii="仿宋" w:hAnsi="仿宋" w:eastAsia="仿宋" w:cs="仿宋"/>
          <w:bCs/>
          <w:color w:val="auto"/>
          <w:sz w:val="28"/>
          <w:szCs w:val="28"/>
          <w:highlight w:val="none"/>
          <w:lang w:val="en-US" w:eastAsia="zh-CN"/>
        </w:rPr>
      </w:pPr>
      <w:r>
        <w:rPr>
          <w:rFonts w:hint="eastAsia" w:ascii="仿宋" w:hAnsi="仿宋" w:eastAsia="仿宋" w:cs="仿宋"/>
          <w:b/>
          <w:bCs/>
          <w:color w:val="auto"/>
          <w:sz w:val="28"/>
          <w:szCs w:val="28"/>
          <w:highlight w:val="none"/>
        </w:rPr>
        <w:t>四、</w:t>
      </w:r>
      <w:r>
        <w:rPr>
          <w:rFonts w:hint="eastAsia" w:ascii="仿宋" w:hAnsi="仿宋" w:eastAsia="仿宋" w:cs="仿宋"/>
          <w:bCs/>
          <w:color w:val="auto"/>
          <w:sz w:val="28"/>
          <w:szCs w:val="28"/>
          <w:highlight w:val="none"/>
        </w:rPr>
        <w:t>付款方法：</w:t>
      </w:r>
      <w:r>
        <w:rPr>
          <w:rFonts w:hint="eastAsia" w:ascii="仿宋" w:hAnsi="仿宋" w:eastAsia="仿宋" w:cs="仿宋"/>
          <w:bCs/>
          <w:color w:val="auto"/>
          <w:sz w:val="28"/>
          <w:szCs w:val="28"/>
          <w:highlight w:val="none"/>
          <w:lang w:val="en-US" w:eastAsia="zh-CN"/>
        </w:rPr>
        <w:t>合同签订后15日内预付合同款项的40%，货到安装、验收合格，设备正常使用，采购人自验收合格之日起15日内一次性付清剩余货款。</w:t>
      </w:r>
    </w:p>
    <w:p w14:paraId="6A37C531">
      <w:pPr>
        <w:keepNext w:val="0"/>
        <w:keepLines w:val="0"/>
        <w:pageBreakBefore w:val="0"/>
        <w:widowControl w:val="0"/>
        <w:spacing w:line="312" w:lineRule="auto"/>
        <w:ind w:left="0"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五</w:t>
      </w:r>
      <w:r>
        <w:rPr>
          <w:rFonts w:hint="eastAsia" w:ascii="仿宋" w:hAnsi="仿宋" w:eastAsia="仿宋" w:cs="仿宋"/>
          <w:bCs/>
          <w:color w:val="auto"/>
          <w:sz w:val="28"/>
          <w:szCs w:val="28"/>
          <w:highlight w:val="none"/>
        </w:rPr>
        <w:t>、乙方必须提供和达到的资质、质量要求及技术标准</w:t>
      </w:r>
    </w:p>
    <w:p w14:paraId="493E22FF">
      <w:pPr>
        <w:keepNext w:val="0"/>
        <w:keepLines w:val="0"/>
        <w:pageBreakBefore w:val="0"/>
        <w:widowControl w:val="0"/>
        <w:spacing w:line="312" w:lineRule="auto"/>
        <w:ind w:left="0" w:firstLine="560"/>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1.特别提醒条款：</w:t>
      </w:r>
    </w:p>
    <w:p w14:paraId="22131BB4">
      <w:pPr>
        <w:keepNext w:val="0"/>
        <w:keepLines w:val="0"/>
        <w:pageBreakBefore w:val="0"/>
        <w:widowControl w:val="0"/>
        <w:spacing w:line="312" w:lineRule="auto"/>
        <w:ind w:left="0" w:firstLine="56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⑴发票所列品名和型号必须与合同所列品名和型号完全一致；</w:t>
      </w:r>
    </w:p>
    <w:p w14:paraId="4056023C">
      <w:pPr>
        <w:keepNext w:val="0"/>
        <w:keepLines w:val="0"/>
        <w:pageBreakBefore w:val="0"/>
        <w:widowControl w:val="0"/>
        <w:spacing w:line="312" w:lineRule="auto"/>
        <w:ind w:left="0" w:firstLine="56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⑵</w:t>
      </w:r>
      <w:r>
        <w:rPr>
          <w:rFonts w:hint="eastAsia" w:ascii="仿宋" w:hAnsi="仿宋" w:eastAsia="仿宋" w:cs="仿宋"/>
          <w:color w:val="auto"/>
          <w:sz w:val="28"/>
          <w:szCs w:val="28"/>
          <w:highlight w:val="none"/>
          <w:lang w:eastAsia="zh-CN"/>
        </w:rPr>
        <w:t>其他未</w:t>
      </w:r>
      <w:r>
        <w:rPr>
          <w:rFonts w:hint="eastAsia" w:ascii="仿宋" w:hAnsi="仿宋" w:eastAsia="仿宋" w:cs="仿宋"/>
          <w:bCs/>
          <w:color w:val="auto"/>
          <w:sz w:val="28"/>
          <w:szCs w:val="28"/>
          <w:highlight w:val="none"/>
        </w:rPr>
        <w:t>提及事项必须符合市场监督管理局的相关规定，未满足以上条款引起的一切责任由乙方承担。</w:t>
      </w:r>
    </w:p>
    <w:p w14:paraId="3E2B91C0">
      <w:pPr>
        <w:keepNext w:val="0"/>
        <w:keepLines w:val="0"/>
        <w:pageBreakBefore w:val="0"/>
        <w:widowControl w:val="0"/>
        <w:spacing w:line="312" w:lineRule="auto"/>
        <w:ind w:left="0"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2.乙方保证向甲方提供的设备满足中国国家标准或相关行业标准（以较严格标准为准）。根据国家规定，如需要提供3C认证证书和标记的设备及有关配置，乙方必须提供上述证书和标记。</w:t>
      </w:r>
    </w:p>
    <w:p w14:paraId="3899F16A">
      <w:pPr>
        <w:keepNext w:val="0"/>
        <w:keepLines w:val="0"/>
        <w:pageBreakBefore w:val="0"/>
        <w:widowControl w:val="0"/>
        <w:spacing w:line="312" w:lineRule="auto"/>
        <w:ind w:left="0"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3.乙方保证所提供设备型号是最新款，且</w:t>
      </w:r>
      <w:r>
        <w:rPr>
          <w:rFonts w:hint="eastAsia" w:ascii="仿宋" w:hAnsi="仿宋" w:eastAsia="仿宋" w:cs="仿宋"/>
          <w:bCs/>
          <w:color w:val="auto"/>
          <w:sz w:val="28"/>
          <w:szCs w:val="28"/>
          <w:highlight w:val="none"/>
          <w:lang w:eastAsia="zh-CN"/>
        </w:rPr>
        <w:t>使用</w:t>
      </w:r>
      <w:r>
        <w:rPr>
          <w:rFonts w:hint="eastAsia" w:ascii="仿宋" w:hAnsi="仿宋" w:eastAsia="仿宋" w:cs="仿宋"/>
          <w:bCs/>
          <w:color w:val="auto"/>
          <w:sz w:val="28"/>
          <w:szCs w:val="28"/>
          <w:highlight w:val="none"/>
        </w:rPr>
        <w:t>优质材料和工艺制成、全新、并严格保持原包装，否则造成的一切损失由乙方承担。</w:t>
      </w:r>
    </w:p>
    <w:p w14:paraId="03669446">
      <w:pPr>
        <w:keepNext w:val="0"/>
        <w:keepLines w:val="0"/>
        <w:pageBreakBefore w:val="0"/>
        <w:widowControl w:val="0"/>
        <w:spacing w:line="312" w:lineRule="auto"/>
        <w:ind w:left="0"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4.乙方提供的设备如验收不合格，乙方必须无条件换货或退货，由此引起的一切损失由乙方承担。</w:t>
      </w:r>
    </w:p>
    <w:p w14:paraId="58245A00">
      <w:pPr>
        <w:keepNext w:val="0"/>
        <w:keepLines w:val="0"/>
        <w:pageBreakBefore w:val="0"/>
        <w:widowControl w:val="0"/>
        <w:spacing w:line="312" w:lineRule="auto"/>
        <w:ind w:left="0"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六</w:t>
      </w:r>
      <w:r>
        <w:rPr>
          <w:rFonts w:hint="eastAsia" w:ascii="仿宋" w:hAnsi="仿宋" w:eastAsia="仿宋" w:cs="仿宋"/>
          <w:bCs/>
          <w:color w:val="auto"/>
          <w:sz w:val="28"/>
          <w:szCs w:val="28"/>
          <w:highlight w:val="none"/>
        </w:rPr>
        <w:t>、设备到货安装和验收要求：</w:t>
      </w:r>
    </w:p>
    <w:p w14:paraId="1FC06A9D">
      <w:pPr>
        <w:keepNext w:val="0"/>
        <w:keepLines w:val="0"/>
        <w:pageBreakBefore w:val="0"/>
        <w:widowControl w:val="0"/>
        <w:spacing w:line="312" w:lineRule="auto"/>
        <w:ind w:left="0"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1.设备</w:t>
      </w:r>
      <w:r>
        <w:rPr>
          <w:rFonts w:hint="eastAsia" w:ascii="仿宋" w:hAnsi="仿宋" w:eastAsia="仿宋" w:cs="仿宋"/>
          <w:bCs/>
          <w:color w:val="auto"/>
          <w:sz w:val="28"/>
          <w:szCs w:val="28"/>
          <w:highlight w:val="none"/>
          <w:lang w:val="en-US" w:eastAsia="zh-CN"/>
        </w:rPr>
        <w:t>发货、运输、接收均由乙方负责，甲方不负责接收和保管。</w:t>
      </w:r>
      <w:r>
        <w:rPr>
          <w:rFonts w:hint="eastAsia" w:ascii="仿宋" w:hAnsi="仿宋" w:eastAsia="仿宋" w:cs="仿宋"/>
          <w:bCs/>
          <w:color w:val="auto"/>
          <w:sz w:val="28"/>
          <w:szCs w:val="28"/>
          <w:highlight w:val="none"/>
        </w:rPr>
        <w:t>设备到货后，乙方负责设备的免费安装和调试。设备安装时，乙方必须和甲方的设备科联系，在设备科的共同参与下对设备进行安装和调试，否则引起的一切责任由乙方承担。</w:t>
      </w:r>
    </w:p>
    <w:p w14:paraId="7799683F">
      <w:pPr>
        <w:keepNext w:val="0"/>
        <w:keepLines w:val="0"/>
        <w:pageBreakBefore w:val="0"/>
        <w:widowControl w:val="0"/>
        <w:spacing w:line="312" w:lineRule="auto"/>
        <w:ind w:left="0"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安装验收时，双方需一起现场开箱验货，按招标技术参数要求和响应文件及其承诺内容，验收合格后，填写医疗设备验收报告单，双方签字确认，使用科室办理入库手续，如发现货物短缺、质次、损坏和规格不符等问题，应作详细记录，由乙方立即无条件调换或补齐，同时由乙方承担因此而造成的一切损失。</w:t>
      </w:r>
    </w:p>
    <w:p w14:paraId="6F947A12">
      <w:pPr>
        <w:keepNext w:val="0"/>
        <w:keepLines w:val="0"/>
        <w:pageBreakBefore w:val="0"/>
        <w:widowControl w:val="0"/>
        <w:spacing w:line="312" w:lineRule="auto"/>
        <w:ind w:left="0"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3.乙方所提供的设备如设有维修软件密码，乙方保证无条件为甲方永久免费开放及升级。</w:t>
      </w:r>
    </w:p>
    <w:p w14:paraId="2730846C">
      <w:pPr>
        <w:keepNext w:val="0"/>
        <w:keepLines w:val="0"/>
        <w:pageBreakBefore w:val="0"/>
        <w:widowControl w:val="0"/>
        <w:spacing w:line="312" w:lineRule="auto"/>
        <w:ind w:left="0"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4.设备安装、调试结束后，甲方对设备试用后进行验收（时间由双方共同商定），乙方须派工程师到现场协助验收、培训工作，确保设备安全有效运行。</w:t>
      </w:r>
    </w:p>
    <w:p w14:paraId="7892D680">
      <w:pPr>
        <w:keepNext w:val="0"/>
        <w:keepLines w:val="0"/>
        <w:pageBreakBefore w:val="0"/>
        <w:widowControl w:val="0"/>
        <w:spacing w:line="312" w:lineRule="auto"/>
        <w:ind w:left="0" w:firstLine="560"/>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5.乙方提供的包内所有产品均须验收合格，如包内任一产品验收不合格视同于整包验收不合格。</w:t>
      </w:r>
    </w:p>
    <w:p w14:paraId="594AAD5B">
      <w:pPr>
        <w:keepNext w:val="0"/>
        <w:keepLines w:val="0"/>
        <w:pageBreakBefore w:val="0"/>
        <w:widowControl w:val="0"/>
        <w:spacing w:line="312" w:lineRule="auto"/>
        <w:ind w:left="0" w:firstLine="560"/>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注：采购人在收到投标人申请后3个工作日内组织履约验收。采购人在验收后2个工作日内出具验收书。</w:t>
      </w:r>
    </w:p>
    <w:p w14:paraId="0EBF4470">
      <w:pPr>
        <w:keepNext w:val="0"/>
        <w:keepLines w:val="0"/>
        <w:pageBreakBefore w:val="0"/>
        <w:widowControl w:val="0"/>
        <w:spacing w:line="312" w:lineRule="auto"/>
        <w:ind w:left="0"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七</w:t>
      </w:r>
      <w:r>
        <w:rPr>
          <w:rFonts w:hint="eastAsia" w:ascii="仿宋" w:hAnsi="仿宋" w:eastAsia="仿宋" w:cs="仿宋"/>
          <w:bCs/>
          <w:color w:val="auto"/>
          <w:sz w:val="28"/>
          <w:szCs w:val="28"/>
          <w:highlight w:val="none"/>
        </w:rPr>
        <w:t>、售后服务要求：</w:t>
      </w:r>
    </w:p>
    <w:p w14:paraId="749AEC7E">
      <w:pPr>
        <w:keepNext w:val="0"/>
        <w:keepLines w:val="0"/>
        <w:pageBreakBefore w:val="0"/>
        <w:widowControl w:val="0"/>
        <w:spacing w:line="312" w:lineRule="auto"/>
        <w:ind w:left="0" w:firstLine="56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1.保修期内乙方应保证设备开机率达到95%。如设备故障或停机率超过5%（一年365天，累计故障时间天数达18天），每超过一天，保修期延长14个工作日。</w:t>
      </w:r>
    </w:p>
    <w:p w14:paraId="282E5A4F">
      <w:pPr>
        <w:keepNext w:val="0"/>
        <w:keepLines w:val="0"/>
        <w:pageBreakBefore w:val="0"/>
        <w:widowControl w:val="0"/>
        <w:spacing w:line="312" w:lineRule="auto"/>
        <w:ind w:left="0" w:firstLine="56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如设备发生故障，乙方在接到甲方报修电话后24小时内未予以实质性响应，甲方可自行采取必要的措施，由此产生的风险和费用由乙方承担。如有特殊情况，乙方应立即电话通知甲方，说明不能响应的原因，在获甲方同意后，才可延迟响应时间，但最长不得超过48小时。</w:t>
      </w:r>
    </w:p>
    <w:p w14:paraId="7C32931E">
      <w:pPr>
        <w:keepNext w:val="0"/>
        <w:keepLines w:val="0"/>
        <w:pageBreakBefore w:val="0"/>
        <w:widowControl w:val="0"/>
        <w:spacing w:line="312" w:lineRule="auto"/>
        <w:ind w:left="0" w:firstLine="56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3.无论保修期内还是保修期外，乙方必须上门维修，乙方工程师来院维修设备，必须先与甲方医疗设备科联系，与甲方工程师共同完成维修工作，否则引起的一切责任由乙方承担。</w:t>
      </w:r>
    </w:p>
    <w:p w14:paraId="459142E1">
      <w:pPr>
        <w:keepNext w:val="0"/>
        <w:keepLines w:val="0"/>
        <w:pageBreakBefore w:val="0"/>
        <w:widowControl w:val="0"/>
        <w:spacing w:line="312" w:lineRule="auto"/>
        <w:ind w:left="0" w:firstLine="56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4.乙方免费提供全套技术资料，如资料不全，甲方有权延迟付款。</w:t>
      </w:r>
    </w:p>
    <w:p w14:paraId="27B00AB0">
      <w:pPr>
        <w:keepNext w:val="0"/>
        <w:keepLines w:val="0"/>
        <w:pageBreakBefore w:val="0"/>
        <w:widowControl w:val="0"/>
        <w:spacing w:line="312" w:lineRule="auto"/>
        <w:ind w:left="0"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乙方未按本合同约定履行义务，每次违约行为应当按合同价的千分之五承担违约金；延迟履行相应义务的，每延迟一日按合同总价的千分之五承担违约金。如果造成甲方其他损失的，甲方有权向乙方要求赔偿，包括但不限于甲方因乙方违约而支出的维修费、诉讼费、律师费、甲方因设备问题而导致无法正常使用设备所损失的相关收入等全部费用，甲方可扣除履约保证金以及有权解除合同，并要求乙方赔偿损失。</w:t>
      </w:r>
    </w:p>
    <w:p w14:paraId="172A9DEE">
      <w:pPr>
        <w:keepNext w:val="0"/>
        <w:keepLines w:val="0"/>
        <w:pageBreakBefore w:val="0"/>
        <w:widowControl w:val="0"/>
        <w:spacing w:line="312" w:lineRule="auto"/>
        <w:ind w:left="0"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八</w:t>
      </w:r>
      <w:r>
        <w:rPr>
          <w:rFonts w:hint="eastAsia" w:ascii="仿宋" w:hAnsi="仿宋" w:eastAsia="仿宋" w:cs="仿宋"/>
          <w:bCs/>
          <w:color w:val="auto"/>
          <w:sz w:val="28"/>
          <w:szCs w:val="28"/>
          <w:highlight w:val="none"/>
        </w:rPr>
        <w:t>、特约条款：</w:t>
      </w:r>
    </w:p>
    <w:p w14:paraId="20B50422">
      <w:pPr>
        <w:keepNext w:val="0"/>
        <w:keepLines w:val="0"/>
        <w:pageBreakBefore w:val="0"/>
        <w:widowControl w:val="0"/>
        <w:spacing w:line="312" w:lineRule="auto"/>
        <w:ind w:left="0"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乙方保证所交货物的规格、品质及正式开机后所表示的性能参数，要与投标时的技术规格相符，如有不符乙方应无条件更换。更换后的货物仍不符合标准的，甲方有权单方面解除合同并要求乙方赔偿相应的损失。</w:t>
      </w:r>
    </w:p>
    <w:p w14:paraId="67D4D7AC">
      <w:pPr>
        <w:keepNext w:val="0"/>
        <w:keepLines w:val="0"/>
        <w:pageBreakBefore w:val="0"/>
        <w:widowControl w:val="0"/>
        <w:spacing w:line="312" w:lineRule="auto"/>
        <w:ind w:left="0"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2.乙方有义务培训医院工作人员熟悉设备的操作及设备保养技术，如遇因培训不到位而产生的设备问题，一切后果由乙方承担。</w:t>
      </w:r>
    </w:p>
    <w:p w14:paraId="28EE0F51">
      <w:pPr>
        <w:keepNext w:val="0"/>
        <w:keepLines w:val="0"/>
        <w:pageBreakBefore w:val="0"/>
        <w:widowControl w:val="0"/>
        <w:spacing w:line="312" w:lineRule="auto"/>
        <w:ind w:left="0"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3.付款前乙方应当提供合法、足额的发票，否则甲方有权暂时不予支付货款。</w:t>
      </w:r>
    </w:p>
    <w:p w14:paraId="5091A531">
      <w:pPr>
        <w:keepNext w:val="0"/>
        <w:keepLines w:val="0"/>
        <w:pageBreakBefore w:val="0"/>
        <w:widowControl w:val="0"/>
        <w:spacing w:line="312" w:lineRule="auto"/>
        <w:ind w:left="0"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九</w:t>
      </w:r>
      <w:r>
        <w:rPr>
          <w:rFonts w:hint="eastAsia" w:ascii="仿宋" w:hAnsi="仿宋" w:eastAsia="仿宋" w:cs="仿宋"/>
          <w:bCs/>
          <w:color w:val="auto"/>
          <w:sz w:val="28"/>
          <w:szCs w:val="28"/>
          <w:highlight w:val="none"/>
        </w:rPr>
        <w:t>、合同解除及违约责任：合同生效后，如因预供货物物品、设备、辅材出现品质缺陷或因第三人的不当处分等原因导致乙方不能履行合同义务或者乙方非因不可抗力要求解除合同的，乙方构成违约，应当向甲方支付合同总价款10%的违约金；乙方支付的违约金不足以弥补全部损失的，甲方有权要求乙方除承担违约责任外对造成损失部分予以赔偿。</w:t>
      </w:r>
    </w:p>
    <w:p w14:paraId="3647A38D">
      <w:pPr>
        <w:keepNext w:val="0"/>
        <w:keepLines w:val="0"/>
        <w:pageBreakBefore w:val="0"/>
        <w:widowControl w:val="0"/>
        <w:spacing w:line="312" w:lineRule="auto"/>
        <w:ind w:left="0" w:firstLine="560"/>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十、投标文件作为本合同不可分割的部分。</w:t>
      </w:r>
      <w:r>
        <w:rPr>
          <w:rFonts w:hint="eastAsia" w:ascii="仿宋" w:hAnsi="仿宋" w:eastAsia="仿宋" w:cs="仿宋"/>
          <w:bCs/>
          <w:color w:val="auto"/>
          <w:sz w:val="28"/>
          <w:szCs w:val="28"/>
          <w:highlight w:val="none"/>
          <w:lang w:val="en-US" w:eastAsia="zh-CN"/>
        </w:rPr>
        <w:t>组成本合同文件包括但不限于以下：</w:t>
      </w:r>
    </w:p>
    <w:p w14:paraId="581BA794">
      <w:pPr>
        <w:keepNext w:val="0"/>
        <w:keepLines w:val="0"/>
        <w:pageBreakBefore w:val="0"/>
        <w:widowControl w:val="0"/>
        <w:spacing w:line="312" w:lineRule="auto"/>
        <w:ind w:left="0"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1.合同主要条款；</w:t>
      </w:r>
    </w:p>
    <w:p w14:paraId="0F966DE2">
      <w:pPr>
        <w:keepNext w:val="0"/>
        <w:keepLines w:val="0"/>
        <w:pageBreakBefore w:val="0"/>
        <w:widowControl w:val="0"/>
        <w:spacing w:line="312" w:lineRule="auto"/>
        <w:ind w:left="0"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2.招标文件和乙方的投标文件； </w:t>
      </w:r>
    </w:p>
    <w:p w14:paraId="713DC142">
      <w:pPr>
        <w:keepNext w:val="0"/>
        <w:keepLines w:val="0"/>
        <w:pageBreakBefore w:val="0"/>
        <w:widowControl w:val="0"/>
        <w:spacing w:line="312" w:lineRule="auto"/>
        <w:ind w:left="0"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3.中标通知书； </w:t>
      </w:r>
    </w:p>
    <w:p w14:paraId="776F51D2">
      <w:pPr>
        <w:keepNext w:val="0"/>
        <w:keepLines w:val="0"/>
        <w:pageBreakBefore w:val="0"/>
        <w:widowControl w:val="0"/>
        <w:spacing w:line="312" w:lineRule="auto"/>
        <w:ind w:left="0"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4.甲乙双方商定的其他必要文件。</w:t>
      </w:r>
    </w:p>
    <w:p w14:paraId="39EB8988">
      <w:pPr>
        <w:keepNext w:val="0"/>
        <w:keepLines w:val="0"/>
        <w:pageBreakBefore w:val="0"/>
        <w:widowControl w:val="0"/>
        <w:spacing w:line="312" w:lineRule="auto"/>
        <w:ind w:left="0"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5.</w:t>
      </w:r>
      <w:r>
        <w:rPr>
          <w:rFonts w:hint="eastAsia" w:ascii="仿宋" w:hAnsi="仿宋" w:eastAsia="仿宋" w:cs="仿宋"/>
          <w:bCs/>
          <w:color w:val="auto"/>
          <w:sz w:val="28"/>
          <w:szCs w:val="28"/>
          <w:highlight w:val="none"/>
        </w:rPr>
        <w:t>公立医院货物、服务购销廉洁协议</w:t>
      </w:r>
    </w:p>
    <w:p w14:paraId="6BD36D6E">
      <w:pPr>
        <w:keepNext w:val="0"/>
        <w:keepLines w:val="0"/>
        <w:pageBreakBefore w:val="0"/>
        <w:widowControl w:val="0"/>
        <w:spacing w:line="312" w:lineRule="auto"/>
        <w:ind w:left="0"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上述合同文件内容互为补充，如有不明确，由甲方负责解释。</w:t>
      </w:r>
    </w:p>
    <w:p w14:paraId="3E1733C7">
      <w:pPr>
        <w:keepNext w:val="0"/>
        <w:keepLines w:val="0"/>
        <w:pageBreakBefore w:val="0"/>
        <w:widowControl w:val="0"/>
        <w:spacing w:line="312" w:lineRule="auto"/>
        <w:ind w:left="0"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十</w:t>
      </w:r>
      <w:r>
        <w:rPr>
          <w:rFonts w:hint="eastAsia" w:ascii="仿宋" w:hAnsi="仿宋" w:eastAsia="仿宋" w:cs="仿宋"/>
          <w:bCs/>
          <w:color w:val="auto"/>
          <w:sz w:val="28"/>
          <w:szCs w:val="28"/>
          <w:highlight w:val="none"/>
          <w:lang w:val="en-US" w:eastAsia="zh-CN"/>
        </w:rPr>
        <w:t>一</w:t>
      </w:r>
      <w:r>
        <w:rPr>
          <w:rFonts w:hint="eastAsia" w:ascii="仿宋" w:hAnsi="仿宋" w:eastAsia="仿宋" w:cs="仿宋"/>
          <w:bCs/>
          <w:color w:val="auto"/>
          <w:sz w:val="28"/>
          <w:szCs w:val="28"/>
          <w:highlight w:val="none"/>
        </w:rPr>
        <w:t>、本合同一式陆份，每份内容一致，具有同等法律效力。甲方执伍份，乙方执一份，作为履行合同之依据。需经双方代表签字并盖章后方能生效，如本合同有未尽事宜经双方协商一致后可达成补充合同，补充合同为本合同的组成部分具有同等法律效力。如因本合同发生争议且不能达成一致意见的，双方均可诉至甲方所在地人民法院。</w:t>
      </w:r>
    </w:p>
    <w:p w14:paraId="0B2D4379">
      <w:pPr>
        <w:keepNext w:val="0"/>
        <w:keepLines w:val="0"/>
        <w:pageBreakBefore w:val="0"/>
        <w:widowControl w:val="0"/>
        <w:spacing w:line="312" w:lineRule="auto"/>
        <w:ind w:left="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甲方（盖章）：                            乙方（盖章）：</w:t>
      </w:r>
    </w:p>
    <w:p w14:paraId="37BC332B">
      <w:pPr>
        <w:keepNext w:val="0"/>
        <w:keepLines w:val="0"/>
        <w:pageBreakBefore w:val="0"/>
        <w:widowControl w:val="0"/>
        <w:spacing w:line="312" w:lineRule="auto"/>
        <w:ind w:left="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                                    地址：</w:t>
      </w:r>
    </w:p>
    <w:p w14:paraId="2278503A">
      <w:pPr>
        <w:keepNext w:val="0"/>
        <w:keepLines w:val="0"/>
        <w:pageBreakBefore w:val="0"/>
        <w:widowControl w:val="0"/>
        <w:spacing w:line="312" w:lineRule="auto"/>
        <w:ind w:left="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法定代表人或授权代表：                    法定代表人或授权代表：</w:t>
      </w:r>
    </w:p>
    <w:p w14:paraId="31351AE5">
      <w:pPr>
        <w:keepNext w:val="0"/>
        <w:keepLines w:val="0"/>
        <w:pageBreakBefore w:val="0"/>
        <w:widowControl w:val="0"/>
        <w:spacing w:line="312" w:lineRule="auto"/>
        <w:ind w:left="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联系电话：                                联系电话：</w:t>
      </w:r>
    </w:p>
    <w:p w14:paraId="3A61DD0F">
      <w:pPr>
        <w:keepNext w:val="0"/>
        <w:keepLines w:val="0"/>
        <w:pageBreakBefore w:val="0"/>
        <w:widowControl w:val="0"/>
        <w:spacing w:line="312" w:lineRule="auto"/>
        <w:ind w:left="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签订日期：   年   月   日                签订日期：  年  月  </w:t>
      </w:r>
    </w:p>
    <w:p w14:paraId="276D55FB">
      <w:pPr>
        <w:keepNext w:val="0"/>
        <w:keepLines w:val="0"/>
        <w:pageBreakBefore w:val="0"/>
        <w:widowControl w:val="0"/>
        <w:spacing w:line="324" w:lineRule="auto"/>
        <w:jc w:val="left"/>
        <w:rPr>
          <w:rFonts w:hint="eastAsia" w:ascii="仿宋" w:hAnsi="仿宋" w:eastAsia="仿宋" w:cs="仿宋"/>
          <w:color w:val="auto"/>
          <w:sz w:val="28"/>
          <w:szCs w:val="28"/>
          <w:highlight w:val="none"/>
        </w:rPr>
      </w:pPr>
    </w:p>
    <w:p w14:paraId="79DC9694">
      <w:pPr>
        <w:keepNext w:val="0"/>
        <w:keepLines w:val="0"/>
        <w:pageBreakBefore w:val="0"/>
        <w:widowControl w:val="0"/>
        <w:spacing w:line="324" w:lineRule="auto"/>
        <w:jc w:val="left"/>
        <w:rPr>
          <w:rFonts w:hint="eastAsia" w:ascii="仿宋" w:hAnsi="仿宋" w:eastAsia="仿宋" w:cs="仿宋"/>
          <w:color w:val="auto"/>
          <w:sz w:val="28"/>
          <w:szCs w:val="28"/>
          <w:highlight w:val="none"/>
        </w:rPr>
      </w:pPr>
    </w:p>
    <w:p w14:paraId="675C9276">
      <w:pPr>
        <w:keepNext w:val="0"/>
        <w:keepLines w:val="0"/>
        <w:pageBreakBefore w:val="0"/>
        <w:widowControl w:val="0"/>
        <w:spacing w:line="324" w:lineRule="auto"/>
        <w:jc w:val="left"/>
        <w:rPr>
          <w:rFonts w:hint="eastAsia" w:ascii="仿宋" w:hAnsi="仿宋" w:eastAsia="仿宋" w:cs="仿宋"/>
          <w:color w:val="auto"/>
          <w:sz w:val="28"/>
          <w:szCs w:val="28"/>
          <w:highlight w:val="none"/>
        </w:rPr>
      </w:pPr>
    </w:p>
    <w:p w14:paraId="17AFDE00">
      <w:pPr>
        <w:keepNext w:val="0"/>
        <w:keepLines w:val="0"/>
        <w:pageBreakBefore w:val="0"/>
        <w:widowControl w:val="0"/>
        <w:spacing w:line="324" w:lineRule="auto"/>
        <w:jc w:val="left"/>
        <w:rPr>
          <w:rFonts w:hint="eastAsia" w:ascii="仿宋" w:hAnsi="仿宋" w:eastAsia="仿宋" w:cs="仿宋"/>
          <w:color w:val="auto"/>
          <w:sz w:val="28"/>
          <w:szCs w:val="28"/>
          <w:highlight w:val="none"/>
        </w:rPr>
      </w:pPr>
    </w:p>
    <w:p w14:paraId="78BD5998">
      <w:pPr>
        <w:keepNext w:val="0"/>
        <w:keepLines w:val="0"/>
        <w:pageBreakBefore w:val="0"/>
        <w:widowControl w:val="0"/>
        <w:spacing w:line="324" w:lineRule="auto"/>
        <w:jc w:val="left"/>
        <w:rPr>
          <w:rFonts w:hint="eastAsia" w:ascii="仿宋" w:hAnsi="仿宋" w:eastAsia="仿宋" w:cs="仿宋"/>
          <w:color w:val="auto"/>
          <w:sz w:val="28"/>
          <w:szCs w:val="28"/>
          <w:highlight w:val="none"/>
        </w:rPr>
      </w:pPr>
    </w:p>
    <w:p w14:paraId="665A273A">
      <w:pPr>
        <w:keepNext w:val="0"/>
        <w:keepLines w:val="0"/>
        <w:pageBreakBefore w:val="0"/>
        <w:widowControl w:val="0"/>
        <w:spacing w:line="324" w:lineRule="auto"/>
        <w:jc w:val="left"/>
        <w:rPr>
          <w:rFonts w:hint="eastAsia" w:ascii="仿宋" w:hAnsi="仿宋" w:eastAsia="仿宋" w:cs="仿宋"/>
          <w:color w:val="auto"/>
          <w:sz w:val="28"/>
          <w:szCs w:val="28"/>
          <w:highlight w:val="none"/>
        </w:rPr>
      </w:pPr>
    </w:p>
    <w:p w14:paraId="4EFAAE3C">
      <w:pPr>
        <w:keepNext w:val="0"/>
        <w:keepLines w:val="0"/>
        <w:pageBreakBefore w:val="0"/>
        <w:widowControl w:val="0"/>
        <w:spacing w:line="324" w:lineRule="auto"/>
        <w:jc w:val="left"/>
        <w:rPr>
          <w:rFonts w:hint="eastAsia" w:ascii="仿宋" w:hAnsi="仿宋" w:eastAsia="仿宋" w:cs="仿宋"/>
          <w:color w:val="auto"/>
          <w:sz w:val="28"/>
          <w:szCs w:val="28"/>
          <w:highlight w:val="none"/>
        </w:rPr>
      </w:pPr>
    </w:p>
    <w:p w14:paraId="248CC339">
      <w:pPr>
        <w:keepNext w:val="0"/>
        <w:keepLines w:val="0"/>
        <w:pageBreakBefore w:val="0"/>
        <w:widowControl w:val="0"/>
        <w:spacing w:line="324" w:lineRule="auto"/>
        <w:jc w:val="left"/>
        <w:rPr>
          <w:rFonts w:hint="eastAsia" w:ascii="仿宋" w:hAnsi="仿宋" w:eastAsia="仿宋" w:cs="仿宋"/>
          <w:color w:val="auto"/>
          <w:sz w:val="28"/>
          <w:szCs w:val="28"/>
          <w:highlight w:val="none"/>
        </w:rPr>
      </w:pPr>
    </w:p>
    <w:p w14:paraId="4AC0B00B">
      <w:pPr>
        <w:keepNext w:val="0"/>
        <w:keepLines w:val="0"/>
        <w:pageBreakBefore w:val="0"/>
        <w:widowControl w:val="0"/>
        <w:spacing w:line="324" w:lineRule="auto"/>
        <w:jc w:val="left"/>
        <w:rPr>
          <w:rFonts w:hint="eastAsia" w:ascii="仿宋" w:hAnsi="仿宋" w:eastAsia="仿宋" w:cs="仿宋"/>
          <w:color w:val="auto"/>
          <w:sz w:val="28"/>
          <w:szCs w:val="28"/>
          <w:highlight w:val="none"/>
        </w:rPr>
      </w:pPr>
    </w:p>
    <w:p w14:paraId="41DFC37C">
      <w:pPr>
        <w:keepNext w:val="0"/>
        <w:keepLines w:val="0"/>
        <w:pageBreakBefore w:val="0"/>
        <w:widowControl w:val="0"/>
        <w:spacing w:line="324" w:lineRule="auto"/>
        <w:jc w:val="left"/>
        <w:rPr>
          <w:rFonts w:hint="eastAsia" w:ascii="仿宋" w:hAnsi="仿宋" w:eastAsia="仿宋" w:cs="仿宋"/>
          <w:color w:val="auto"/>
          <w:sz w:val="28"/>
          <w:szCs w:val="28"/>
          <w:highlight w:val="none"/>
        </w:rPr>
      </w:pPr>
    </w:p>
    <w:p w14:paraId="563948FB">
      <w:pPr>
        <w:keepNext w:val="0"/>
        <w:keepLines w:val="0"/>
        <w:pageBreakBefore w:val="0"/>
        <w:widowControl w:val="0"/>
        <w:spacing w:line="324" w:lineRule="auto"/>
        <w:jc w:val="left"/>
        <w:rPr>
          <w:rFonts w:hint="eastAsia" w:ascii="仿宋" w:hAnsi="仿宋" w:eastAsia="仿宋" w:cs="仿宋"/>
          <w:color w:val="auto"/>
          <w:sz w:val="28"/>
          <w:szCs w:val="28"/>
          <w:highlight w:val="none"/>
        </w:rPr>
      </w:pPr>
    </w:p>
    <w:p w14:paraId="3179115B">
      <w:pPr>
        <w:keepNext w:val="0"/>
        <w:keepLines w:val="0"/>
        <w:pageBreakBefore w:val="0"/>
        <w:widowControl w:val="0"/>
        <w:spacing w:line="324" w:lineRule="auto"/>
        <w:jc w:val="left"/>
        <w:rPr>
          <w:rFonts w:hint="eastAsia" w:ascii="仿宋" w:hAnsi="仿宋" w:eastAsia="仿宋" w:cs="仿宋"/>
          <w:color w:val="auto"/>
          <w:sz w:val="28"/>
          <w:szCs w:val="28"/>
          <w:highlight w:val="none"/>
        </w:rPr>
      </w:pPr>
    </w:p>
    <w:p w14:paraId="6F92CFF2">
      <w:pPr>
        <w:keepNext w:val="0"/>
        <w:keepLines w:val="0"/>
        <w:pageBreakBefore w:val="0"/>
        <w:widowControl w:val="0"/>
        <w:spacing w:line="324" w:lineRule="auto"/>
        <w:jc w:val="left"/>
        <w:rPr>
          <w:rFonts w:hint="eastAsia" w:ascii="仿宋" w:hAnsi="仿宋" w:eastAsia="仿宋" w:cs="仿宋"/>
          <w:color w:val="auto"/>
          <w:sz w:val="28"/>
          <w:szCs w:val="28"/>
          <w:highlight w:val="none"/>
        </w:rPr>
      </w:pPr>
    </w:p>
    <w:p w14:paraId="0709122C">
      <w:pPr>
        <w:keepNext w:val="0"/>
        <w:keepLines w:val="0"/>
        <w:pageBreakBefore w:val="0"/>
        <w:widowControl w:val="0"/>
        <w:spacing w:line="324" w:lineRule="auto"/>
        <w:jc w:val="left"/>
        <w:rPr>
          <w:rFonts w:hint="eastAsia" w:ascii="仿宋" w:hAnsi="仿宋" w:eastAsia="仿宋" w:cs="仿宋"/>
          <w:color w:val="auto"/>
          <w:sz w:val="28"/>
          <w:szCs w:val="28"/>
          <w:highlight w:val="none"/>
        </w:rPr>
      </w:pPr>
    </w:p>
    <w:p w14:paraId="70BF45CC">
      <w:pPr>
        <w:keepNext w:val="0"/>
        <w:keepLines w:val="0"/>
        <w:pageBreakBefore w:val="0"/>
        <w:widowControl w:val="0"/>
        <w:spacing w:line="324" w:lineRule="auto"/>
        <w:jc w:val="left"/>
        <w:rPr>
          <w:rFonts w:hint="eastAsia" w:ascii="仿宋" w:hAnsi="仿宋" w:eastAsia="仿宋" w:cs="仿宋"/>
          <w:color w:val="auto"/>
          <w:sz w:val="28"/>
          <w:szCs w:val="28"/>
          <w:highlight w:val="none"/>
        </w:rPr>
      </w:pPr>
    </w:p>
    <w:p w14:paraId="716F6E80">
      <w:pPr>
        <w:keepNext w:val="0"/>
        <w:keepLines w:val="0"/>
        <w:pageBreakBefore w:val="0"/>
        <w:widowControl w:val="0"/>
        <w:spacing w:line="324" w:lineRule="auto"/>
        <w:jc w:val="left"/>
        <w:rPr>
          <w:rFonts w:hint="eastAsia" w:ascii="仿宋" w:hAnsi="仿宋" w:eastAsia="仿宋" w:cs="仿宋"/>
          <w:color w:val="auto"/>
          <w:sz w:val="28"/>
          <w:szCs w:val="28"/>
          <w:highlight w:val="none"/>
        </w:rPr>
      </w:pPr>
    </w:p>
    <w:p w14:paraId="75003449">
      <w:pPr>
        <w:keepNext w:val="0"/>
        <w:keepLines w:val="0"/>
        <w:pageBreakBefore w:val="0"/>
        <w:widowControl w:val="0"/>
        <w:spacing w:line="324" w:lineRule="auto"/>
        <w:jc w:val="left"/>
        <w:rPr>
          <w:rFonts w:hint="eastAsia" w:ascii="仿宋" w:hAnsi="仿宋" w:eastAsia="仿宋" w:cs="仿宋"/>
          <w:color w:val="auto"/>
          <w:sz w:val="28"/>
          <w:szCs w:val="28"/>
          <w:highlight w:val="none"/>
        </w:rPr>
      </w:pPr>
    </w:p>
    <w:p w14:paraId="182826DB">
      <w:pPr>
        <w:keepNext w:val="0"/>
        <w:keepLines w:val="0"/>
        <w:pageBreakBefore w:val="0"/>
        <w:widowControl w:val="0"/>
        <w:spacing w:line="324" w:lineRule="auto"/>
        <w:jc w:val="left"/>
        <w:rPr>
          <w:rFonts w:hint="eastAsia" w:ascii="仿宋" w:hAnsi="仿宋" w:eastAsia="仿宋" w:cs="仿宋"/>
          <w:color w:val="auto"/>
          <w:sz w:val="28"/>
          <w:szCs w:val="28"/>
          <w:highlight w:val="none"/>
        </w:rPr>
      </w:pPr>
    </w:p>
    <w:p w14:paraId="7AA35F46">
      <w:pPr>
        <w:keepNext w:val="0"/>
        <w:keepLines w:val="0"/>
        <w:pageBreakBefore w:val="0"/>
        <w:widowControl w:val="0"/>
        <w:spacing w:line="324" w:lineRule="auto"/>
        <w:jc w:val="left"/>
        <w:rPr>
          <w:rFonts w:hint="eastAsia" w:ascii="仿宋" w:hAnsi="仿宋" w:eastAsia="仿宋" w:cs="仿宋"/>
          <w:color w:val="auto"/>
          <w:sz w:val="28"/>
          <w:szCs w:val="28"/>
          <w:highlight w:val="none"/>
        </w:rPr>
      </w:pPr>
    </w:p>
    <w:p w14:paraId="69D2A8B7">
      <w:pPr>
        <w:keepNext w:val="0"/>
        <w:keepLines w:val="0"/>
        <w:pageBreakBefore w:val="0"/>
        <w:widowControl w:val="0"/>
        <w:spacing w:line="324" w:lineRule="auto"/>
        <w:jc w:val="left"/>
        <w:rPr>
          <w:rFonts w:hint="eastAsia" w:ascii="仿宋" w:hAnsi="仿宋" w:eastAsia="仿宋" w:cs="仿宋"/>
          <w:color w:val="auto"/>
          <w:sz w:val="28"/>
          <w:szCs w:val="28"/>
          <w:highlight w:val="none"/>
        </w:rPr>
      </w:pPr>
    </w:p>
    <w:p w14:paraId="4E0C0392">
      <w:pPr>
        <w:keepNext w:val="0"/>
        <w:keepLines w:val="0"/>
        <w:pageBreakBefore w:val="0"/>
        <w:widowControl w:val="0"/>
        <w:spacing w:line="324" w:lineRule="auto"/>
        <w:jc w:val="left"/>
        <w:rPr>
          <w:rFonts w:hint="eastAsia" w:ascii="仿宋" w:hAnsi="仿宋" w:eastAsia="仿宋" w:cs="仿宋"/>
          <w:color w:val="auto"/>
          <w:sz w:val="28"/>
          <w:szCs w:val="28"/>
          <w:highlight w:val="none"/>
        </w:rPr>
      </w:pPr>
    </w:p>
    <w:p w14:paraId="5B19897E">
      <w:pPr>
        <w:keepNext w:val="0"/>
        <w:keepLines w:val="0"/>
        <w:pageBreakBefore w:val="0"/>
        <w:widowControl w:val="0"/>
        <w:spacing w:line="324" w:lineRule="auto"/>
        <w:jc w:val="left"/>
        <w:rPr>
          <w:rFonts w:hint="eastAsia" w:ascii="仿宋" w:hAnsi="仿宋" w:eastAsia="仿宋" w:cs="仿宋"/>
          <w:color w:val="auto"/>
          <w:sz w:val="28"/>
          <w:szCs w:val="28"/>
          <w:highlight w:val="none"/>
        </w:rPr>
      </w:pPr>
    </w:p>
    <w:p w14:paraId="6F59EFEA">
      <w:pPr>
        <w:keepNext w:val="0"/>
        <w:keepLines w:val="0"/>
        <w:pageBreakBefore w:val="0"/>
        <w:widowControl w:val="0"/>
        <w:spacing w:line="324" w:lineRule="auto"/>
        <w:jc w:val="left"/>
        <w:rPr>
          <w:rFonts w:hint="eastAsia" w:ascii="仿宋" w:hAnsi="仿宋" w:eastAsia="仿宋" w:cs="仿宋"/>
          <w:color w:val="auto"/>
          <w:sz w:val="28"/>
          <w:szCs w:val="28"/>
          <w:highlight w:val="none"/>
        </w:rPr>
      </w:pPr>
    </w:p>
    <w:p w14:paraId="58955781">
      <w:pPr>
        <w:keepNext w:val="0"/>
        <w:keepLines w:val="0"/>
        <w:pageBreakBefore w:val="0"/>
        <w:widowControl w:val="0"/>
        <w:spacing w:line="324" w:lineRule="auto"/>
        <w:jc w:val="left"/>
        <w:rPr>
          <w:rFonts w:hint="eastAsia" w:ascii="仿宋" w:hAnsi="仿宋" w:eastAsia="仿宋" w:cs="仿宋"/>
          <w:color w:val="auto"/>
          <w:sz w:val="28"/>
          <w:szCs w:val="28"/>
          <w:highlight w:val="none"/>
        </w:rPr>
      </w:pPr>
    </w:p>
    <w:p w14:paraId="2A2E295F">
      <w:pPr>
        <w:keepNext w:val="0"/>
        <w:keepLines w:val="0"/>
        <w:pageBreakBefore w:val="0"/>
        <w:widowControl w:val="0"/>
        <w:spacing w:line="324" w:lineRule="auto"/>
        <w:jc w:val="left"/>
        <w:rPr>
          <w:rFonts w:hint="eastAsia" w:ascii="仿宋" w:hAnsi="仿宋" w:eastAsia="仿宋" w:cs="仿宋"/>
          <w:color w:val="auto"/>
          <w:sz w:val="28"/>
          <w:szCs w:val="28"/>
          <w:highlight w:val="none"/>
        </w:rPr>
      </w:pPr>
    </w:p>
    <w:p w14:paraId="020E344F">
      <w:pPr>
        <w:keepNext w:val="0"/>
        <w:keepLines w:val="0"/>
        <w:pageBreakBefore w:val="0"/>
        <w:widowControl w:val="0"/>
        <w:spacing w:line="324" w:lineRule="auto"/>
        <w:jc w:val="left"/>
        <w:rPr>
          <w:rFonts w:hint="eastAsia" w:ascii="仿宋" w:hAnsi="仿宋" w:eastAsia="仿宋" w:cs="仿宋"/>
          <w:color w:val="auto"/>
          <w:sz w:val="28"/>
          <w:szCs w:val="28"/>
          <w:highlight w:val="none"/>
        </w:rPr>
      </w:pPr>
    </w:p>
    <w:p w14:paraId="23557C00">
      <w:pPr>
        <w:keepNext w:val="0"/>
        <w:keepLines w:val="0"/>
        <w:pageBreakBefore w:val="0"/>
        <w:widowControl w:val="0"/>
        <w:spacing w:line="324" w:lineRule="auto"/>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附件1：</w:t>
      </w:r>
    </w:p>
    <w:p w14:paraId="599808D8">
      <w:pPr>
        <w:keepNext w:val="0"/>
        <w:keepLines w:val="0"/>
        <w:pageBreakBefore w:val="0"/>
        <w:widowControl w:val="0"/>
        <w:spacing w:line="324" w:lineRule="auto"/>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公立医院货物、服务购销廉洁协议</w:t>
      </w:r>
    </w:p>
    <w:p w14:paraId="4A25E007">
      <w:pPr>
        <w:keepNext w:val="0"/>
        <w:keepLines w:val="0"/>
        <w:pageBreakBefore w:val="0"/>
        <w:widowControl w:val="0"/>
        <w:spacing w:line="324" w:lineRule="auto"/>
        <w:ind w:firstLine="56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甲方：</w:t>
      </w:r>
    </w:p>
    <w:p w14:paraId="7C14FCAA">
      <w:pPr>
        <w:keepNext w:val="0"/>
        <w:keepLines w:val="0"/>
        <w:pageBreakBefore w:val="0"/>
        <w:widowControl w:val="0"/>
        <w:spacing w:line="324" w:lineRule="auto"/>
        <w:ind w:firstLine="56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乙方：</w:t>
      </w:r>
    </w:p>
    <w:p w14:paraId="052D09C8">
      <w:pPr>
        <w:keepNext w:val="0"/>
        <w:keepLines w:val="0"/>
        <w:pageBreakBefore w:val="0"/>
        <w:widowControl w:val="0"/>
        <w:spacing w:line="324" w:lineRule="auto"/>
        <w:ind w:firstLine="56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为进一步加强党风廉政建设，预防业务活动中不规范和违纪违法行为的发生，根据有关法律法规和单位行风建设规章制度，甲方（公立医院）、乙方（</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）特订立如下协议：</w:t>
      </w:r>
    </w:p>
    <w:p w14:paraId="57D5D8EA">
      <w:pPr>
        <w:keepNext w:val="0"/>
        <w:keepLines w:val="0"/>
        <w:pageBreakBefore w:val="0"/>
        <w:widowControl w:val="0"/>
        <w:spacing w:line="324" w:lineRule="auto"/>
        <w:ind w:firstLine="562"/>
        <w:jc w:val="left"/>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一、甲乙双方的权利和义务</w:t>
      </w:r>
    </w:p>
    <w:p w14:paraId="266DF3D4">
      <w:pPr>
        <w:keepNext w:val="0"/>
        <w:keepLines w:val="0"/>
        <w:pageBreakBefore w:val="0"/>
        <w:widowControl w:val="0"/>
        <w:spacing w:line="324" w:lineRule="auto"/>
        <w:ind w:firstLine="56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双方严格遵守国家有关法律法规及党风廉政的规定。</w:t>
      </w:r>
    </w:p>
    <w:p w14:paraId="14A9918B">
      <w:pPr>
        <w:keepNext w:val="0"/>
        <w:keepLines w:val="0"/>
        <w:pageBreakBefore w:val="0"/>
        <w:widowControl w:val="0"/>
        <w:spacing w:line="324" w:lineRule="auto"/>
        <w:ind w:firstLine="56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双方的业务活动坚持公开、公正、诚信、透明的原则，不得损害国家、集体和服务对象的利益，违反行业管理的各项规章制度。</w:t>
      </w:r>
    </w:p>
    <w:p w14:paraId="57F99520">
      <w:pPr>
        <w:keepNext w:val="0"/>
        <w:keepLines w:val="0"/>
        <w:pageBreakBefore w:val="0"/>
        <w:widowControl w:val="0"/>
        <w:spacing w:line="324" w:lineRule="auto"/>
        <w:ind w:firstLine="56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发现对方在业务活动中有违反廉政规定的行为，有及时提醒对方纠正的权利和义务。</w:t>
      </w:r>
    </w:p>
    <w:p w14:paraId="3B5B52A1">
      <w:pPr>
        <w:keepNext w:val="0"/>
        <w:keepLines w:val="0"/>
        <w:pageBreakBefore w:val="0"/>
        <w:widowControl w:val="0"/>
        <w:spacing w:line="324" w:lineRule="auto"/>
        <w:ind w:firstLine="56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双方承诺严格遵守本协议，自觉接受纪检监察、财政、审计等部门的监督。</w:t>
      </w:r>
    </w:p>
    <w:p w14:paraId="3CCBE18C">
      <w:pPr>
        <w:keepNext w:val="0"/>
        <w:keepLines w:val="0"/>
        <w:pageBreakBefore w:val="0"/>
        <w:widowControl w:val="0"/>
        <w:spacing w:line="324" w:lineRule="auto"/>
        <w:ind w:firstLine="562"/>
        <w:jc w:val="left"/>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二、甲方的承诺</w:t>
      </w:r>
    </w:p>
    <w:p w14:paraId="33A91B0C">
      <w:pPr>
        <w:keepNext w:val="0"/>
        <w:keepLines w:val="0"/>
        <w:pageBreakBefore w:val="0"/>
        <w:widowControl w:val="0"/>
        <w:spacing w:line="324" w:lineRule="auto"/>
        <w:ind w:firstLine="56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甲方及其工作人员不得索要或接受乙方的钱物。</w:t>
      </w:r>
    </w:p>
    <w:p w14:paraId="1C23674D">
      <w:pPr>
        <w:keepNext w:val="0"/>
        <w:keepLines w:val="0"/>
        <w:pageBreakBefore w:val="0"/>
        <w:widowControl w:val="0"/>
        <w:spacing w:line="324" w:lineRule="auto"/>
        <w:ind w:firstLine="56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甲方工作人员不得私自接受乙方承担费用的旅游、参观、学习培训活动。</w:t>
      </w:r>
    </w:p>
    <w:p w14:paraId="28213580">
      <w:pPr>
        <w:keepNext w:val="0"/>
        <w:keepLines w:val="0"/>
        <w:pageBreakBefore w:val="0"/>
        <w:widowControl w:val="0"/>
        <w:spacing w:line="324" w:lineRule="auto"/>
        <w:ind w:firstLine="56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甲方工作人员要秉公办事，不得营私舞弊，不得以权谋私，获得非法利益。</w:t>
      </w:r>
    </w:p>
    <w:p w14:paraId="014C1A89">
      <w:pPr>
        <w:keepNext w:val="0"/>
        <w:keepLines w:val="0"/>
        <w:pageBreakBefore w:val="0"/>
        <w:widowControl w:val="0"/>
        <w:spacing w:line="324" w:lineRule="auto"/>
        <w:ind w:firstLine="56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甲方工作人员有义务宣传、告知本单位已建立的行风建设制度和规定。</w:t>
      </w:r>
    </w:p>
    <w:p w14:paraId="03282926">
      <w:pPr>
        <w:keepNext w:val="0"/>
        <w:keepLines w:val="0"/>
        <w:pageBreakBefore w:val="0"/>
        <w:widowControl w:val="0"/>
        <w:spacing w:line="324" w:lineRule="auto"/>
        <w:ind w:firstLine="562"/>
        <w:jc w:val="left"/>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三、乙方的承诺</w:t>
      </w:r>
    </w:p>
    <w:p w14:paraId="37B10683">
      <w:pPr>
        <w:keepNext w:val="0"/>
        <w:keepLines w:val="0"/>
        <w:pageBreakBefore w:val="0"/>
        <w:widowControl w:val="0"/>
        <w:spacing w:line="324" w:lineRule="auto"/>
        <w:ind w:firstLine="56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不以现金、有价证券、实物或变相组织旅游和娱乐活动等形式贿赂甲方管理人员和医务人员。</w:t>
      </w:r>
    </w:p>
    <w:p w14:paraId="1A6708FD">
      <w:pPr>
        <w:keepNext w:val="0"/>
        <w:keepLines w:val="0"/>
        <w:pageBreakBefore w:val="0"/>
        <w:widowControl w:val="0"/>
        <w:spacing w:line="324" w:lineRule="auto"/>
        <w:ind w:firstLine="56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不以任何名义为甲方工作人员报销应由个人支付的任何费用。</w:t>
      </w:r>
    </w:p>
    <w:p w14:paraId="4DC7137E">
      <w:pPr>
        <w:keepNext w:val="0"/>
        <w:keepLines w:val="0"/>
        <w:pageBreakBefore w:val="0"/>
        <w:widowControl w:val="0"/>
        <w:spacing w:line="324" w:lineRule="auto"/>
        <w:ind w:firstLine="56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不以任何理由安排甲方工作人员参加高消费宴请及娱乐活动。</w:t>
      </w:r>
    </w:p>
    <w:p w14:paraId="2BFA6A79">
      <w:pPr>
        <w:keepNext w:val="0"/>
        <w:keepLines w:val="0"/>
        <w:pageBreakBefore w:val="0"/>
        <w:widowControl w:val="0"/>
        <w:spacing w:line="324" w:lineRule="auto"/>
        <w:ind w:firstLine="56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不为甲方工作人员及其家属购置或</w:t>
      </w:r>
      <w:r>
        <w:rPr>
          <w:rFonts w:hint="eastAsia" w:ascii="仿宋" w:hAnsi="仿宋" w:eastAsia="仿宋" w:cs="仿宋"/>
          <w:color w:val="auto"/>
          <w:sz w:val="28"/>
          <w:szCs w:val="28"/>
          <w:highlight w:val="none"/>
          <w:lang w:eastAsia="zh-CN"/>
        </w:rPr>
        <w:t>提供通信</w:t>
      </w:r>
      <w:r>
        <w:rPr>
          <w:rFonts w:hint="eastAsia" w:ascii="仿宋" w:hAnsi="仿宋" w:eastAsia="仿宋" w:cs="仿宋"/>
          <w:color w:val="auto"/>
          <w:sz w:val="28"/>
          <w:szCs w:val="28"/>
          <w:highlight w:val="none"/>
        </w:rPr>
        <w:t>工具、交通工具、高档办公用品和其他服务。</w:t>
      </w:r>
    </w:p>
    <w:p w14:paraId="0DCC20D2">
      <w:pPr>
        <w:keepNext w:val="0"/>
        <w:keepLines w:val="0"/>
        <w:pageBreakBefore w:val="0"/>
        <w:widowControl w:val="0"/>
        <w:spacing w:line="324" w:lineRule="auto"/>
        <w:ind w:firstLine="56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不得要求甲方任何部门、任何个人对设备的使用情况进行统计。</w:t>
      </w:r>
    </w:p>
    <w:p w14:paraId="5482D0EA">
      <w:pPr>
        <w:keepNext w:val="0"/>
        <w:keepLines w:val="0"/>
        <w:pageBreakBefore w:val="0"/>
        <w:widowControl w:val="0"/>
        <w:spacing w:line="324" w:lineRule="auto"/>
        <w:ind w:firstLine="562"/>
        <w:jc w:val="left"/>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四、违约责任</w:t>
      </w:r>
    </w:p>
    <w:p w14:paraId="31B76ED0">
      <w:pPr>
        <w:keepNext w:val="0"/>
        <w:keepLines w:val="0"/>
        <w:pageBreakBefore w:val="0"/>
        <w:widowControl w:val="0"/>
        <w:spacing w:line="324" w:lineRule="auto"/>
        <w:ind w:firstLine="56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甲方及其工作人员违反本协议，按管理权限，依据有关规定给予党纪、政纪或组织处理；涉嫌犯罪的，移交司法机关追究刑事责任。</w:t>
      </w:r>
    </w:p>
    <w:p w14:paraId="00BC6D07">
      <w:pPr>
        <w:keepNext w:val="0"/>
        <w:keepLines w:val="0"/>
        <w:pageBreakBefore w:val="0"/>
        <w:widowControl w:val="0"/>
        <w:spacing w:line="324" w:lineRule="auto"/>
        <w:ind w:firstLine="56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乙方及其工作人员违反本协议，按管理权限，依据有关规定，给予相应处分。实施商业贿赂行为的，将列入商业贿赂不良记录；涉嫌犯罪的，移交司法机关追究刑事责任。同时，甲方有权终止其业务往来。</w:t>
      </w:r>
    </w:p>
    <w:p w14:paraId="01F1880A">
      <w:pPr>
        <w:keepNext w:val="0"/>
        <w:keepLines w:val="0"/>
        <w:pageBreakBefore w:val="0"/>
        <w:widowControl w:val="0"/>
        <w:spacing w:line="324" w:lineRule="auto"/>
        <w:ind w:firstLine="560"/>
        <w:jc w:val="left"/>
        <w:rPr>
          <w:rFonts w:hint="eastAsia" w:ascii="仿宋" w:hAnsi="仿宋" w:eastAsia="仿宋" w:cs="仿宋"/>
          <w:color w:val="auto"/>
          <w:sz w:val="28"/>
          <w:szCs w:val="28"/>
          <w:highlight w:val="none"/>
        </w:rPr>
      </w:pPr>
    </w:p>
    <w:p w14:paraId="6B1B222F">
      <w:pPr>
        <w:keepNext w:val="0"/>
        <w:keepLines w:val="0"/>
        <w:pageBreakBefore w:val="0"/>
        <w:widowControl w:val="0"/>
        <w:spacing w:line="324" w:lineRule="auto"/>
        <w:ind w:firstLine="560"/>
        <w:jc w:val="left"/>
        <w:rPr>
          <w:rFonts w:hint="eastAsia" w:ascii="仿宋" w:hAnsi="仿宋" w:eastAsia="仿宋" w:cs="仿宋"/>
          <w:color w:val="auto"/>
          <w:sz w:val="28"/>
          <w:szCs w:val="28"/>
          <w:highlight w:val="none"/>
        </w:rPr>
      </w:pPr>
    </w:p>
    <w:p w14:paraId="7174D631">
      <w:pPr>
        <w:keepNext w:val="0"/>
        <w:keepLines w:val="0"/>
        <w:pageBreakBefore w:val="0"/>
        <w:widowControl w:val="0"/>
        <w:spacing w:line="324" w:lineRule="auto"/>
        <w:ind w:firstLine="56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甲 方：                         乙 方：</w:t>
      </w:r>
    </w:p>
    <w:p w14:paraId="35F3787B">
      <w:pPr>
        <w:keepNext w:val="0"/>
        <w:keepLines w:val="0"/>
        <w:pageBreakBefore w:val="0"/>
        <w:widowControl w:val="0"/>
        <w:spacing w:line="324" w:lineRule="auto"/>
        <w:ind w:firstLine="56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代表签字：                      代表签字：</w:t>
      </w:r>
    </w:p>
    <w:p w14:paraId="49DC478B">
      <w:pPr>
        <w:keepNext w:val="0"/>
        <w:keepLines w:val="0"/>
        <w:pageBreakBefore w:val="0"/>
        <w:widowControl w:val="0"/>
        <w:spacing w:line="324" w:lineRule="auto"/>
        <w:ind w:firstLine="560"/>
        <w:jc w:val="left"/>
        <w:rPr>
          <w:rFonts w:ascii="仿宋" w:hAnsi="仿宋" w:eastAsia="仿宋" w:cs="仿宋"/>
          <w:bCs/>
          <w:color w:val="auto"/>
          <w:sz w:val="28"/>
          <w:szCs w:val="28"/>
          <w:highlight w:val="none"/>
        </w:rPr>
      </w:pPr>
      <w:r>
        <w:rPr>
          <w:rFonts w:hint="eastAsia" w:ascii="仿宋" w:hAnsi="仿宋" w:eastAsia="仿宋" w:cs="仿宋"/>
          <w:color w:val="auto"/>
          <w:sz w:val="28"/>
          <w:szCs w:val="28"/>
          <w:highlight w:val="none"/>
        </w:rPr>
        <w:t>日 期：                         日 期：</w:t>
      </w:r>
    </w:p>
    <w:p w14:paraId="5DE4D80C">
      <w:pPr>
        <w:spacing w:line="520" w:lineRule="exact"/>
        <w:ind w:firstLine="560"/>
        <w:rPr>
          <w:rFonts w:hint="eastAsia" w:ascii="仿宋" w:hAnsi="仿宋" w:eastAsia="仿宋" w:cs="仿宋"/>
          <w:bCs/>
          <w:color w:val="auto"/>
          <w:sz w:val="28"/>
          <w:szCs w:val="28"/>
          <w:highlight w:val="none"/>
        </w:rPr>
      </w:pPr>
    </w:p>
    <w:p w14:paraId="035A5139">
      <w:pPr>
        <w:pStyle w:val="25"/>
        <w:spacing w:line="520" w:lineRule="exact"/>
        <w:jc w:val="center"/>
        <w:outlineLvl w:val="0"/>
        <w:rPr>
          <w:rFonts w:hint="eastAsia" w:ascii="仿宋" w:hAnsi="仿宋" w:eastAsia="仿宋" w:cs="仿宋"/>
          <w:b/>
          <w:bCs/>
          <w:color w:val="auto"/>
          <w:sz w:val="36"/>
          <w:szCs w:val="36"/>
          <w:highlight w:val="none"/>
          <w:lang w:val="zh-CN"/>
        </w:rPr>
      </w:pPr>
      <w:r>
        <w:rPr>
          <w:rFonts w:hint="eastAsia" w:ascii="仿宋" w:hAnsi="仿宋" w:eastAsia="仿宋" w:cs="仿宋"/>
          <w:b/>
          <w:bCs/>
          <w:color w:val="auto"/>
          <w:sz w:val="36"/>
          <w:szCs w:val="36"/>
          <w:highlight w:val="none"/>
        </w:rPr>
        <w:br w:type="page" w:clear="all"/>
      </w:r>
      <w:r>
        <w:rPr>
          <w:rFonts w:hint="eastAsia" w:ascii="仿宋" w:hAnsi="仿宋" w:eastAsia="仿宋" w:cs="仿宋"/>
          <w:b/>
          <w:bCs/>
          <w:color w:val="auto"/>
          <w:sz w:val="36"/>
          <w:szCs w:val="36"/>
          <w:highlight w:val="none"/>
        </w:rPr>
        <w:t>第五章  项目采购需求</w:t>
      </w:r>
    </w:p>
    <w:p w14:paraId="658065F4">
      <w:pPr>
        <w:pStyle w:val="40"/>
        <w:keepNext w:val="0"/>
        <w:keepLines w:val="0"/>
        <w:pageBreakBefore w:val="0"/>
        <w:widowControl w:val="0"/>
        <w:suppressLineNumbers w:val="0"/>
        <w:spacing w:before="0" w:beforeAutospacing="0" w:after="0" w:afterAutospacing="0" w:line="360" w:lineRule="auto"/>
        <w:ind w:left="0" w:firstLine="0"/>
        <w:rPr>
          <w:rFonts w:hint="eastAsia" w:ascii="仿宋" w:hAnsi="仿宋" w:eastAsia="仿宋" w:cs="仿宋"/>
          <w:i w:val="0"/>
          <w:iCs w:val="0"/>
          <w:caps w:val="0"/>
          <w:color w:val="auto"/>
          <w:spacing w:val="0"/>
          <w:sz w:val="28"/>
          <w:szCs w:val="28"/>
          <w:highlight w:val="none"/>
        </w:rPr>
      </w:pPr>
      <w:r>
        <w:rPr>
          <w:rFonts w:hint="eastAsia" w:ascii="仿宋" w:hAnsi="仿宋" w:eastAsia="仿宋" w:cs="仿宋"/>
          <w:i w:val="0"/>
          <w:iCs w:val="0"/>
          <w:caps w:val="0"/>
          <w:color w:val="auto"/>
          <w:spacing w:val="0"/>
          <w:sz w:val="28"/>
          <w:szCs w:val="28"/>
          <w:highlight w:val="none"/>
        </w:rPr>
        <w:t>一、项目概况</w:t>
      </w:r>
    </w:p>
    <w:p w14:paraId="4746C9DB">
      <w:pPr>
        <w:keepNext w:val="0"/>
        <w:keepLines w:val="0"/>
        <w:pageBreakBefore w:val="0"/>
        <w:widowControl w:val="0"/>
        <w:spacing w:line="360" w:lineRule="auto"/>
        <w:ind w:firstLine="560"/>
        <w:rPr>
          <w:rFonts w:hint="eastAsia" w:ascii="仿宋" w:hAnsi="仿宋" w:eastAsia="仿宋" w:cs="仿宋"/>
          <w:i w:val="0"/>
          <w:iCs w:val="0"/>
          <w:caps w:val="0"/>
          <w:color w:val="auto"/>
          <w:spacing w:val="0"/>
          <w:sz w:val="28"/>
          <w:szCs w:val="28"/>
          <w:highlight w:val="none"/>
        </w:rPr>
      </w:pPr>
      <w:r>
        <w:rPr>
          <w:rFonts w:hint="eastAsia" w:ascii="仿宋" w:hAnsi="仿宋" w:eastAsia="仿宋" w:cs="仿宋"/>
          <w:i w:val="0"/>
          <w:iCs w:val="0"/>
          <w:caps w:val="0"/>
          <w:color w:val="auto"/>
          <w:spacing w:val="0"/>
          <w:sz w:val="28"/>
          <w:szCs w:val="28"/>
          <w:highlight w:val="none"/>
        </w:rPr>
        <w:t>本</w:t>
      </w:r>
      <w:r>
        <w:rPr>
          <w:rFonts w:hint="eastAsia" w:ascii="仿宋" w:hAnsi="仿宋" w:eastAsia="仿宋" w:cs="仿宋"/>
          <w:i w:val="0"/>
          <w:iCs w:val="0"/>
          <w:caps w:val="0"/>
          <w:color w:val="auto"/>
          <w:spacing w:val="0"/>
          <w:sz w:val="28"/>
          <w:szCs w:val="28"/>
          <w:highlight w:val="none"/>
          <w:lang w:val="en-US" w:eastAsia="zh-CN"/>
        </w:rPr>
        <w:t>项目为淮安市清江浦区城南街道社区卫生服务中心医疗设备采购项目，本次</w:t>
      </w:r>
      <w:r>
        <w:rPr>
          <w:rFonts w:hint="eastAsia" w:ascii="仿宋" w:hAnsi="仿宋" w:eastAsia="仿宋" w:cs="仿宋"/>
          <w:i w:val="0"/>
          <w:iCs w:val="0"/>
          <w:caps w:val="0"/>
          <w:color w:val="auto"/>
          <w:spacing w:val="0"/>
          <w:sz w:val="28"/>
          <w:szCs w:val="28"/>
          <w:highlight w:val="none"/>
        </w:rPr>
        <w:t>共分为</w:t>
      </w:r>
      <w:r>
        <w:rPr>
          <w:rFonts w:hint="eastAsia" w:ascii="仿宋" w:hAnsi="仿宋" w:eastAsia="仿宋" w:cs="仿宋"/>
          <w:i w:val="0"/>
          <w:iCs w:val="0"/>
          <w:caps w:val="0"/>
          <w:color w:val="auto"/>
          <w:spacing w:val="0"/>
          <w:sz w:val="28"/>
          <w:szCs w:val="28"/>
          <w:highlight w:val="none"/>
          <w:lang w:val="en-US" w:eastAsia="zh-CN"/>
        </w:rPr>
        <w:t>4</w:t>
      </w:r>
      <w:r>
        <w:rPr>
          <w:rFonts w:hint="eastAsia" w:ascii="仿宋" w:hAnsi="仿宋" w:eastAsia="仿宋" w:cs="仿宋"/>
          <w:i w:val="0"/>
          <w:iCs w:val="0"/>
          <w:caps w:val="0"/>
          <w:color w:val="auto"/>
          <w:spacing w:val="0"/>
          <w:sz w:val="28"/>
          <w:szCs w:val="28"/>
          <w:highlight w:val="none"/>
        </w:rPr>
        <w:t>个采购包，</w:t>
      </w:r>
      <w:r>
        <w:rPr>
          <w:rFonts w:hint="eastAsia" w:ascii="仿宋" w:hAnsi="仿宋" w:eastAsia="仿宋" w:cs="仿宋"/>
          <w:color w:val="auto"/>
          <w:spacing w:val="-6"/>
          <w:sz w:val="28"/>
          <w:szCs w:val="28"/>
          <w:highlight w:val="none"/>
          <w:lang w:val="en-US" w:eastAsia="zh-CN"/>
        </w:rPr>
        <w:t>其中包一：慢病筛防中心设备采购 76万元；包二：眼科设备采购80.9万元；包三：口腔颌面锥形束计算机体层摄影设备(口腔CT)采购35万元；包四：乳腺钼靶(DR)采购79.9万元。</w:t>
      </w:r>
    </w:p>
    <w:p w14:paraId="7E2247EF">
      <w:pPr>
        <w:pStyle w:val="40"/>
        <w:keepNext w:val="0"/>
        <w:keepLines w:val="0"/>
        <w:pageBreakBefore w:val="0"/>
        <w:widowControl w:val="0"/>
        <w:suppressLineNumbers w:val="0"/>
        <w:spacing w:before="0" w:beforeAutospacing="0" w:after="0" w:afterAutospacing="0" w:line="360" w:lineRule="auto"/>
        <w:rPr>
          <w:rFonts w:hint="default" w:ascii="仿宋" w:hAnsi="仿宋" w:eastAsia="仿宋" w:cs="仿宋"/>
          <w:i w:val="0"/>
          <w:iCs w:val="0"/>
          <w:caps w:val="0"/>
          <w:color w:val="auto"/>
          <w:spacing w:val="0"/>
          <w:sz w:val="28"/>
          <w:szCs w:val="28"/>
          <w:highlight w:val="none"/>
          <w:lang w:val="en-US" w:eastAsia="zh-CN"/>
        </w:rPr>
      </w:pPr>
      <w:r>
        <w:rPr>
          <w:rFonts w:hint="eastAsia" w:ascii="仿宋" w:hAnsi="仿宋" w:eastAsia="仿宋" w:cs="仿宋"/>
          <w:i w:val="0"/>
          <w:iCs w:val="0"/>
          <w:caps w:val="0"/>
          <w:color w:val="auto"/>
          <w:spacing w:val="0"/>
          <w:sz w:val="28"/>
          <w:szCs w:val="28"/>
          <w:highlight w:val="none"/>
          <w:lang w:val="en-US" w:eastAsia="zh-CN"/>
        </w:rPr>
        <w:t>二、</w:t>
      </w:r>
      <w:r>
        <w:rPr>
          <w:rFonts w:hint="eastAsia" w:ascii="仿宋" w:hAnsi="仿宋" w:eastAsia="仿宋" w:cs="仿宋"/>
          <w:i w:val="0"/>
          <w:iCs w:val="0"/>
          <w:caps w:val="0"/>
          <w:color w:val="auto"/>
          <w:spacing w:val="0"/>
          <w:sz w:val="28"/>
          <w:szCs w:val="28"/>
          <w:highlight w:val="none"/>
        </w:rPr>
        <w:t>产品清单及技术参数：</w:t>
      </w:r>
    </w:p>
    <w:p w14:paraId="1889EA0B">
      <w:pPr>
        <w:keepNext w:val="0"/>
        <w:keepLines w:val="0"/>
        <w:pageBreakBefore w:val="0"/>
        <w:widowControl w:val="0"/>
        <w:kinsoku/>
        <w:wordWrap/>
        <w:overflowPunct/>
        <w:topLinePunct w:val="0"/>
        <w:autoSpaceDE/>
        <w:autoSpaceDN/>
        <w:bidi w:val="0"/>
        <w:adjustRightInd/>
        <w:snapToGrid/>
        <w:spacing w:line="40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包1：慢病筛防中心设备</w:t>
      </w:r>
    </w:p>
    <w:tbl>
      <w:tblPr>
        <w:tblStyle w:val="44"/>
        <w:tblW w:w="92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638"/>
        <w:gridCol w:w="1174"/>
        <w:gridCol w:w="6831"/>
        <w:gridCol w:w="638"/>
      </w:tblGrid>
      <w:tr w14:paraId="11D2C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blHeader/>
          <w:jc w:val="center"/>
        </w:trPr>
        <w:tc>
          <w:tcPr>
            <w:tcW w:w="0" w:type="auto"/>
            <w:shd w:val="clear" w:color="auto" w:fill="auto"/>
            <w:noWrap/>
            <w:vAlign w:val="center"/>
          </w:tcPr>
          <w:p w14:paraId="18909AD4">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序号</w:t>
            </w:r>
          </w:p>
        </w:tc>
        <w:tc>
          <w:tcPr>
            <w:tcW w:w="0" w:type="auto"/>
            <w:shd w:val="clear" w:color="auto" w:fill="auto"/>
            <w:noWrap/>
            <w:vAlign w:val="center"/>
          </w:tcPr>
          <w:p w14:paraId="25DF59B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设备名称</w:t>
            </w:r>
          </w:p>
        </w:tc>
        <w:tc>
          <w:tcPr>
            <w:tcW w:w="0" w:type="auto"/>
            <w:shd w:val="clear" w:color="auto" w:fill="auto"/>
            <w:noWrap/>
            <w:vAlign w:val="center"/>
          </w:tcPr>
          <w:p w14:paraId="1DAC2027">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技术参数</w:t>
            </w:r>
          </w:p>
        </w:tc>
        <w:tc>
          <w:tcPr>
            <w:tcW w:w="638" w:type="dxa"/>
            <w:shd w:val="clear" w:color="auto" w:fill="auto"/>
            <w:noWrap/>
            <w:vAlign w:val="center"/>
          </w:tcPr>
          <w:p w14:paraId="25E4B6C6">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数量</w:t>
            </w:r>
          </w:p>
        </w:tc>
      </w:tr>
      <w:tr w14:paraId="3D292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0" w:type="auto"/>
            <w:shd w:val="clear" w:color="auto" w:fill="auto"/>
            <w:vAlign w:val="center"/>
          </w:tcPr>
          <w:p w14:paraId="165B5324">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w:t>
            </w:r>
          </w:p>
        </w:tc>
        <w:tc>
          <w:tcPr>
            <w:tcW w:w="0" w:type="auto"/>
            <w:shd w:val="clear" w:color="auto" w:fill="auto"/>
            <w:vAlign w:val="center"/>
          </w:tcPr>
          <w:p w14:paraId="158F4CE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超声骨密度检测仪</w:t>
            </w:r>
          </w:p>
        </w:tc>
        <w:tc>
          <w:tcPr>
            <w:tcW w:w="0" w:type="auto"/>
            <w:shd w:val="clear" w:color="auto" w:fill="auto"/>
            <w:vAlign w:val="center"/>
          </w:tcPr>
          <w:p w14:paraId="0AB5B6D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★1、测量部位：桡骨、胫骨</w:t>
            </w:r>
            <w:r>
              <w:rPr>
                <w:rFonts w:hint="eastAsia" w:ascii="仿宋" w:hAnsi="仿宋" w:eastAsia="仿宋" w:cs="仿宋"/>
                <w:b/>
                <w:bCs/>
                <w:i w:val="0"/>
                <w:iCs w:val="0"/>
                <w:color w:val="auto"/>
                <w:kern w:val="0"/>
                <w:sz w:val="21"/>
                <w:szCs w:val="21"/>
                <w:highlight w:val="none"/>
                <w:u w:val="none"/>
                <w:lang w:val="en-US" w:eastAsia="zh-CN" w:bidi="ar"/>
              </w:rPr>
              <w:t>（需提供检测报告或说明书证明材料并加盖投标人电子签章）</w:t>
            </w:r>
          </w:p>
          <w:p w14:paraId="64821F0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2、测量方式：双发双收</w:t>
            </w:r>
          </w:p>
          <w:p w14:paraId="6F0BE3EF">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3、测量参数：轴向骨传播声速(SOS)M/S</w:t>
            </w:r>
          </w:p>
          <w:p w14:paraId="25F3911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4、分析数据： T值、Z值、同龄百分比、成人百分比、骨强度指数、骨龄、预期发生骨质疏松的年龄（EOA）、相对骨折风险（RRF）、BMI指数、预测儿童身高。</w:t>
            </w:r>
          </w:p>
          <w:p w14:paraId="76560FC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5、测量精度误差：≤0.3%</w:t>
            </w:r>
          </w:p>
          <w:p w14:paraId="260F1497">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6、测量重复性误差：≤0.3%</w:t>
            </w:r>
          </w:p>
          <w:p w14:paraId="5AE69C0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▲7、测量时间：单点＜1秒，单次＜8秒，重复＜25秒</w:t>
            </w:r>
            <w:r>
              <w:rPr>
                <w:rFonts w:hint="eastAsia" w:ascii="仿宋" w:hAnsi="仿宋" w:eastAsia="仿宋" w:cs="仿宋"/>
                <w:b/>
                <w:bCs/>
                <w:i w:val="0"/>
                <w:iCs w:val="0"/>
                <w:color w:val="auto"/>
                <w:kern w:val="0"/>
                <w:sz w:val="21"/>
                <w:szCs w:val="21"/>
                <w:highlight w:val="none"/>
                <w:u w:val="none"/>
                <w:lang w:val="en-US" w:eastAsia="zh-CN" w:bidi="ar"/>
              </w:rPr>
              <w:t>（需提供第三方检测机构出具的检测报告复印件加盖投标人电子签章）</w:t>
            </w:r>
          </w:p>
          <w:p w14:paraId="0B762B9E">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8、测量结果自动判断</w:t>
            </w:r>
          </w:p>
          <w:p w14:paraId="7DEE455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9、文字模板具有自动寻址功能</w:t>
            </w:r>
          </w:p>
          <w:p w14:paraId="35471CF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10、可以直接进行数据统计，提供病例数量统计结果</w:t>
            </w:r>
          </w:p>
          <w:p w14:paraId="02213C3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11、具有病历姓名纠错功能</w:t>
            </w:r>
          </w:p>
          <w:p w14:paraId="014A6496">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12、具有一键中英文转换功能</w:t>
            </w:r>
          </w:p>
          <w:p w14:paraId="7B3259C6">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13、具有HIS、DICOM 数据接口功能</w:t>
            </w:r>
          </w:p>
          <w:p w14:paraId="38D9829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▲14、配置双屏（支持视频动画播放功能），双探头（PM、PV）</w:t>
            </w:r>
            <w:r>
              <w:rPr>
                <w:rFonts w:hint="eastAsia" w:ascii="仿宋" w:hAnsi="仿宋" w:eastAsia="仿宋" w:cs="仿宋"/>
                <w:b/>
                <w:bCs/>
                <w:i w:val="0"/>
                <w:iCs w:val="0"/>
                <w:color w:val="auto"/>
                <w:kern w:val="0"/>
                <w:sz w:val="21"/>
                <w:szCs w:val="21"/>
                <w:highlight w:val="none"/>
                <w:u w:val="none"/>
                <w:lang w:val="en-US" w:eastAsia="zh-CN" w:bidi="ar"/>
              </w:rPr>
              <w:t>（提供证明材料加盖投标人电子签章）</w:t>
            </w:r>
          </w:p>
          <w:p w14:paraId="2C1063A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▲15、探头频率：1.20MHz，工作频率的偏离应不大于±15%</w:t>
            </w:r>
            <w:r>
              <w:rPr>
                <w:rFonts w:hint="eastAsia" w:ascii="仿宋" w:hAnsi="仿宋" w:eastAsia="仿宋" w:cs="仿宋"/>
                <w:b/>
                <w:bCs/>
                <w:i w:val="0"/>
                <w:iCs w:val="0"/>
                <w:color w:val="auto"/>
                <w:kern w:val="0"/>
                <w:sz w:val="21"/>
                <w:szCs w:val="21"/>
                <w:highlight w:val="none"/>
                <w:u w:val="none"/>
                <w:lang w:val="en-US" w:eastAsia="zh-CN" w:bidi="ar"/>
              </w:rPr>
              <w:t>（提供证明材料加盖投标人电子签章）</w:t>
            </w:r>
          </w:p>
          <w:p w14:paraId="59FD90B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▲16、通过欧盟CE认证产品</w:t>
            </w:r>
          </w:p>
          <w:p w14:paraId="592263D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17、探头测量导航：能够实时显示探头与骨骼平面轴向夹角、水平角度、方向角度，实时显示角度数值的变化。</w:t>
            </w:r>
          </w:p>
          <w:p w14:paraId="58CE158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18、晶体状态显示：测量时，能够显示探头四个晶体工作状态、超声波接收信号强度。</w:t>
            </w:r>
          </w:p>
          <w:p w14:paraId="755F04B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19、具有身份证读取功能；外接扫码枪扫码功能，具有云数据功能、可以将数据传输至云端。</w:t>
            </w:r>
          </w:p>
          <w:p w14:paraId="7D96FC4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20、默认中国人群，可测量0-100岁人群（婴幼年龄段：0-3岁，少年年龄段3-20岁，成人年龄段20--80岁，老年人年龄段80-100岁，只要输入年龄自动识别）</w:t>
            </w:r>
          </w:p>
          <w:p w14:paraId="5FFBDA6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21、温度显示校准块:具有红铜、紫铜、有机玻璃三重校准，校验器可显示当前温度以及当前温度下标准声速值，出厂标准配备有机玻璃模块</w:t>
            </w:r>
          </w:p>
          <w:p w14:paraId="4576C87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22、报告样式：可提供A4,16K,B5等多种尺寸报告单</w:t>
            </w:r>
          </w:p>
          <w:p w14:paraId="19D7246B">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23、报告版式：能够提供A4、16K、B5等多种尺寸报告单及横竖合理排版方式。</w:t>
            </w:r>
          </w:p>
          <w:p w14:paraId="230088A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24、骨密度主机：拉丝铝模具制造</w:t>
            </w:r>
          </w:p>
          <w:p w14:paraId="6AF5D52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 xml:space="preserve">▲25、MDI数据模块 优化数据传输和数据保密 </w:t>
            </w:r>
          </w:p>
          <w:p w14:paraId="0DE491F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26、具有复查功能栏</w:t>
            </w:r>
          </w:p>
          <w:p w14:paraId="15474137">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27、两种测量模式 快速模式 普通模式</w:t>
            </w:r>
          </w:p>
          <w:p w14:paraId="3A6E7511">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28、骨密度主机（带探头）：重量大于3.5公斤</w:t>
            </w:r>
          </w:p>
          <w:p w14:paraId="5F28CCC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29、系统运行平台：原装商务计算机</w:t>
            </w:r>
          </w:p>
          <w:p w14:paraId="3A22DEF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30、标配喷墨打印机</w:t>
            </w:r>
          </w:p>
          <w:p w14:paraId="389DFC9F">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▲31、双屏双探头专用推车</w:t>
            </w:r>
            <w:r>
              <w:rPr>
                <w:rFonts w:hint="eastAsia" w:ascii="仿宋" w:hAnsi="仿宋" w:eastAsia="仿宋" w:cs="仿宋"/>
                <w:b/>
                <w:bCs/>
                <w:i w:val="0"/>
                <w:iCs w:val="0"/>
                <w:color w:val="auto"/>
                <w:kern w:val="0"/>
                <w:sz w:val="21"/>
                <w:szCs w:val="21"/>
                <w:highlight w:val="none"/>
                <w:u w:val="none"/>
                <w:lang w:val="en-US" w:eastAsia="zh-CN" w:bidi="ar"/>
              </w:rPr>
              <w:t>（提供证明材料加盖投标人电子签章）</w:t>
            </w:r>
          </w:p>
          <w:p w14:paraId="2753F758">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32、进液防护：整机防水等级IPX0，探头防水等级IPX7</w:t>
            </w:r>
          </w:p>
          <w:p w14:paraId="45550663">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33、环境试验符合：GB/T14710-2009要求</w:t>
            </w:r>
          </w:p>
          <w:p w14:paraId="518C794B">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34、电磁兼容试验符合：YY9706.102-2021要求</w:t>
            </w:r>
          </w:p>
          <w:p w14:paraId="70DD2D73">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35、行业标准符合：YY/T0774-2019要求</w:t>
            </w:r>
          </w:p>
          <w:p w14:paraId="3E5E219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36、电源电压：AC220V±10%,50Hz±1Hz</w:t>
            </w:r>
          </w:p>
          <w:p w14:paraId="397B95E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37、输入功率：≤200VA</w:t>
            </w:r>
          </w:p>
        </w:tc>
        <w:tc>
          <w:tcPr>
            <w:tcW w:w="638" w:type="dxa"/>
            <w:shd w:val="clear" w:color="auto" w:fill="auto"/>
            <w:vAlign w:val="center"/>
          </w:tcPr>
          <w:p w14:paraId="4745C3F8">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w:t>
            </w:r>
          </w:p>
        </w:tc>
      </w:tr>
      <w:tr w14:paraId="158E2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0" w:type="auto"/>
            <w:shd w:val="clear" w:color="auto" w:fill="auto"/>
            <w:vAlign w:val="center"/>
          </w:tcPr>
          <w:p w14:paraId="38FC7DCE">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w:t>
            </w:r>
          </w:p>
        </w:tc>
        <w:tc>
          <w:tcPr>
            <w:tcW w:w="0" w:type="auto"/>
            <w:shd w:val="clear" w:color="auto" w:fill="auto"/>
            <w:vAlign w:val="center"/>
          </w:tcPr>
          <w:p w14:paraId="4F526EC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动态血压监测仪</w:t>
            </w:r>
          </w:p>
        </w:tc>
        <w:tc>
          <w:tcPr>
            <w:tcW w:w="0" w:type="auto"/>
            <w:shd w:val="clear" w:color="auto" w:fill="auto"/>
            <w:vAlign w:val="center"/>
          </w:tcPr>
          <w:p w14:paraId="63FD3ECE">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一、采集盒：</w:t>
            </w:r>
          </w:p>
          <w:p w14:paraId="415BB35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▲1.全玻璃面板，重量＜160g</w:t>
            </w:r>
          </w:p>
          <w:p w14:paraId="2B97246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2.OLED彩色屏幕显示，显示时间、电池电量、血压测量结果</w:t>
            </w:r>
          </w:p>
          <w:p w14:paraId="575F77D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3.袖带延长管连接处采用自锁结构，</w:t>
            </w:r>
          </w:p>
          <w:p w14:paraId="479CBFA8">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4.支持type C或无线蓝牙的方式进行数据传输、读取</w:t>
            </w:r>
          </w:p>
          <w:p w14:paraId="1214833F">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5.防水等级：支持≥IP22防水等级</w:t>
            </w:r>
          </w:p>
          <w:p w14:paraId="78FB819F">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6.供电要求：直流电源，2节AA电池供电</w:t>
            </w:r>
          </w:p>
          <w:p w14:paraId="2669CF5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7.电池仓拉绳设计；</w:t>
            </w:r>
          </w:p>
          <w:p w14:paraId="74BBF064">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8.支持事件记录功能，结合事件记录对血压数据进行分析</w:t>
            </w:r>
          </w:p>
          <w:p w14:paraId="1EC7090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9.支持体位记录功能，辅助临床判断患者血压测量时的体位情况</w:t>
            </w:r>
          </w:p>
          <w:p w14:paraId="4CC7A38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10.数据存储器：闪存储存，存储≥300组数据</w:t>
            </w:r>
          </w:p>
          <w:p w14:paraId="225B97C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二、测量范围</w:t>
            </w:r>
          </w:p>
          <w:p w14:paraId="60E05EA4">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1.测量方法：示波法</w:t>
            </w:r>
          </w:p>
          <w:p w14:paraId="7DD0F2E6">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2.量程：≥0 mmHg~300 mmHg，精度：±3 mmHg (±0.4kPa)</w:t>
            </w:r>
          </w:p>
          <w:p w14:paraId="629753F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3.压力测量范围：10 mmHg~290 mmHg，最大平均误差：±5 mmHg（0.67kPa），最大标准偏差：8 mmHg（1.07kPa）</w:t>
            </w:r>
          </w:p>
          <w:p w14:paraId="69ADEF36">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▲4.脉率测量范围：≥40 bpm~240 bpm</w:t>
            </w:r>
          </w:p>
          <w:p w14:paraId="2A2D7A3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 xml:space="preserve">5.过压保护：当血压测量压力值超过297mmHg±3mmHg时，开启过压保护 </w:t>
            </w:r>
          </w:p>
          <w:p w14:paraId="2BB9A377">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6.监测时长：24小时</w:t>
            </w:r>
          </w:p>
          <w:p w14:paraId="2A39D7F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▲7.监测间隔：5分钟、10分钟、15分钟、20分钟、30分钟、45分钟、60分钟、90分钟、120分钟</w:t>
            </w:r>
          </w:p>
          <w:p w14:paraId="624B7AF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8.安全系统：最大充气气压为≥300 mmHg，最大测量时常为≥120s</w:t>
            </w:r>
          </w:p>
          <w:p w14:paraId="0843B524">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三、分析软件</w:t>
            </w:r>
          </w:p>
          <w:p w14:paraId="293E3A1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1.能够自动生成解释性总结，提供诊断术语库</w:t>
            </w:r>
          </w:p>
          <w:p w14:paraId="0A32022F">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2.具有智能检索功能，支持对病例进行快速查找</w:t>
            </w:r>
          </w:p>
          <w:p w14:paraId="1E1AF5A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3.可自动删除已读取数据</w:t>
            </w:r>
          </w:p>
          <w:p w14:paraId="029EEE3E">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4.具有数据表、统计表、直方图、饼图、昼夜节律图等分析工具</w:t>
            </w:r>
          </w:p>
          <w:p w14:paraId="523A71C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5.支持平均压、测量比较功能、脉压分析、动态动脉硬化指数分析、晨峰血压分析、白大衣分析，多种分析功能辅助医生分析诊断</w:t>
            </w:r>
          </w:p>
          <w:p w14:paraId="51089543">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6.相关图分析：可查看收缩压和舒张压相关性，查看全部和部分相关图，数据范围可支持总体、白天、夜间</w:t>
            </w:r>
          </w:p>
          <w:p w14:paraId="23DAB527">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7.提供病人信息、管理列表、报告内容自定义配置</w:t>
            </w:r>
          </w:p>
          <w:p w14:paraId="1013EDD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8.数据管理和报告打印：用户可以编辑、存储、打印病人的血压、数据表、直方图、饼图、昼夜节律图等信息</w:t>
            </w:r>
          </w:p>
          <w:p w14:paraId="3390BEA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仿宋" w:hAnsi="仿宋" w:eastAsia="仿宋" w:cs="仿宋"/>
                <w:b/>
                <w:bCs/>
                <w:i w:val="0"/>
                <w:iCs w:val="0"/>
                <w:color w:val="auto"/>
                <w:sz w:val="21"/>
                <w:szCs w:val="21"/>
                <w:highlight w:val="none"/>
                <w:u w:val="none"/>
                <w:lang w:val="en-US"/>
              </w:rPr>
            </w:pPr>
            <w:r>
              <w:rPr>
                <w:rFonts w:hint="eastAsia" w:ascii="仿宋" w:hAnsi="仿宋" w:eastAsia="仿宋" w:cs="仿宋"/>
                <w:b w:val="0"/>
                <w:bCs w:val="0"/>
                <w:i w:val="0"/>
                <w:iCs w:val="0"/>
                <w:color w:val="auto"/>
                <w:kern w:val="0"/>
                <w:sz w:val="21"/>
                <w:szCs w:val="21"/>
                <w:highlight w:val="none"/>
                <w:u w:val="none"/>
                <w:lang w:val="en-US" w:eastAsia="zh-CN" w:bidi="ar"/>
              </w:rPr>
              <w:t>9.支持与同品牌信息化系统集成，可实现数据传输功能</w:t>
            </w:r>
          </w:p>
        </w:tc>
        <w:tc>
          <w:tcPr>
            <w:tcW w:w="638" w:type="dxa"/>
            <w:shd w:val="clear" w:color="auto" w:fill="auto"/>
            <w:vAlign w:val="center"/>
          </w:tcPr>
          <w:p w14:paraId="59E3F51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1</w:t>
            </w:r>
          </w:p>
        </w:tc>
      </w:tr>
      <w:tr w14:paraId="45A1E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0" w:type="auto"/>
            <w:shd w:val="clear" w:color="auto" w:fill="auto"/>
            <w:vAlign w:val="center"/>
          </w:tcPr>
          <w:p w14:paraId="7DB044B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w:t>
            </w:r>
          </w:p>
        </w:tc>
        <w:tc>
          <w:tcPr>
            <w:tcW w:w="0" w:type="auto"/>
            <w:shd w:val="clear" w:color="auto" w:fill="auto"/>
            <w:vAlign w:val="center"/>
          </w:tcPr>
          <w:p w14:paraId="52A16107">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多导睡眠呼吸初筛仪</w:t>
            </w:r>
          </w:p>
        </w:tc>
        <w:tc>
          <w:tcPr>
            <w:tcW w:w="0" w:type="auto"/>
            <w:shd w:val="clear" w:color="auto" w:fill="auto"/>
            <w:vAlign w:val="center"/>
          </w:tcPr>
          <w:p w14:paraId="0D03BD08">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1.设备满足科室睡眠呼吸暂停、低通气综合征诊断和分型需要；</w:t>
            </w:r>
          </w:p>
          <w:p w14:paraId="306E1E1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2.设备监测参数应包括：气流、鼾声、胸/腹式呼吸、脉搏、血氧饱和度、CPAP压力滴定、数据良好标识等；</w:t>
            </w:r>
          </w:p>
          <w:p w14:paraId="0F4099F4">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▲3.设备监测参数应包括：不少于四种体位、腕动觉醒；</w:t>
            </w:r>
          </w:p>
          <w:p w14:paraId="63BA35F3">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4.主机腕式设计（电池重量≤80g），内置LCD液晶屏；</w:t>
            </w:r>
          </w:p>
          <w:p w14:paraId="444A467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5.满电量时可连续记录≥10小时，电池采用干电池；</w:t>
            </w:r>
          </w:p>
          <w:p w14:paraId="0A4D848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▲6.呼吸事件可监测：陈施式呼吸呼吸事件，并在监测报告中可体现；</w:t>
            </w:r>
          </w:p>
          <w:p w14:paraId="6B18B3E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7.内置液晶屏，记录过程中实时显示数据应包含：气流、鼾声、胸/腹式呼吸运动、体位、脉搏、血氧饱和度、CPAP压力滴定、记录时长；</w:t>
            </w:r>
          </w:p>
          <w:p w14:paraId="085ABB5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▲8.具备导联阻抗提醒功能，在佩戴过程中可图形化显示传感器连接状态；</w:t>
            </w:r>
          </w:p>
          <w:p w14:paraId="748882C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9.呼吸运动应采用呼吸感应式胸腹运动体积描记传感器；</w:t>
            </w:r>
          </w:p>
          <w:p w14:paraId="23C1ABA4">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10.睡眠呼吸初筛仪具有数据记录、数据抹除、状态查询等功能</w:t>
            </w:r>
          </w:p>
          <w:p w14:paraId="7FE9CE5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11.数据传输传输应具备数据线、无线蓝牙、TF卡等方式，≥16GB内存卡，可同时存储500小时以上多段数据。</w:t>
            </w:r>
          </w:p>
          <w:p w14:paraId="2ADDA8D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12.存储数据采用循环记录，无需手动删除原有记录，在存储卡存满后自动循环覆盖最早的数据。</w:t>
            </w:r>
          </w:p>
          <w:p w14:paraId="7947EC9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13.设备具备定时记录功能，提前设置好当晚记录开始时间，倒计时进入记录状态。</w:t>
            </w:r>
          </w:p>
          <w:p w14:paraId="6CEA45F6">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14.具备CPAP压力监测技术，可连接不同品牌任意型号的呼吸机，通过压力监测，出具整晚的压力滴定报告，和佩戴呼吸机时的睡眠监测报告，提供不同大小压力整夜时间占比，辅助临床出具呼吸机压力治疗参数建议。</w:t>
            </w:r>
          </w:p>
          <w:p w14:paraId="1CB3BF3B">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15.全中文界面和打印报告，可选配英文、法文等其他语种的用户界面模块；</w:t>
            </w:r>
          </w:p>
          <w:p w14:paraId="0F32AB1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16.分析软件应符合AASM2.6标准，同时集成数据共享和分级诊疗平台，实现监测数据上、下级双向无线传输的教学目的；平台免费开放，可根据教学、科研需求进行平台模块化或自定义搭建。</w:t>
            </w:r>
          </w:p>
          <w:p w14:paraId="6A3D605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17.应具备数据分割和重整功能，可以将一个数据按不同时段分割为多个数据。</w:t>
            </w:r>
          </w:p>
          <w:p w14:paraId="468D6AF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18.内置候选诊断词条，协助医生快速生成报告</w:t>
            </w:r>
          </w:p>
          <w:p w14:paraId="45DBB48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19.可生成PDF和word版本报告，报告模板可修改，可导入导出EDF数据包。</w:t>
            </w:r>
          </w:p>
        </w:tc>
        <w:tc>
          <w:tcPr>
            <w:tcW w:w="638" w:type="dxa"/>
            <w:shd w:val="clear" w:color="auto" w:fill="auto"/>
            <w:vAlign w:val="center"/>
          </w:tcPr>
          <w:p w14:paraId="656078B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w:t>
            </w:r>
          </w:p>
        </w:tc>
      </w:tr>
      <w:tr w14:paraId="39581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0" w:type="auto"/>
            <w:shd w:val="clear" w:color="auto" w:fill="auto"/>
            <w:vAlign w:val="center"/>
          </w:tcPr>
          <w:p w14:paraId="6417B5B4">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w:t>
            </w:r>
          </w:p>
        </w:tc>
        <w:tc>
          <w:tcPr>
            <w:tcW w:w="0" w:type="auto"/>
            <w:shd w:val="clear" w:color="auto" w:fill="auto"/>
            <w:vAlign w:val="center"/>
          </w:tcPr>
          <w:p w14:paraId="724BAEC6">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健康管理一体机</w:t>
            </w:r>
          </w:p>
        </w:tc>
        <w:tc>
          <w:tcPr>
            <w:tcW w:w="0" w:type="auto"/>
            <w:shd w:val="clear" w:color="auto" w:fill="auto"/>
            <w:vAlign w:val="center"/>
          </w:tcPr>
          <w:p w14:paraId="55BC428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一、系统功能</w:t>
            </w:r>
          </w:p>
          <w:p w14:paraId="547AFE0F">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健康管理一体机系统采用计算机、互联网及物联网技术，通过采集受测人员的身高、体重、BMI,总水分、蛋白质、内脏脂肪、肥胖分析、体脂肪量、水分、肌肉量、骨骼量、内脏脂肪、蛋白质率、脂肪率、水分率、基础代谢量、身体年龄、血压、脉率、体温、血氧、中医体质、心理评测、视力、心电、血糖、尿酸、总胆固醇等体征数据，进行信息收集、分类、储存和分析，融合人脸识别、身份信息识别技术，以及wifi、3G/4G、USB、以太网等信息传输功能，将个人信息及健康档案实时上传至管理工作站，实现慢性病人群的分类与持续管理，并支持上传至公共卫生管理服务平台和HIS等医疗信息化平台。</w:t>
            </w:r>
          </w:p>
          <w:p w14:paraId="28D8921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1.1工作原理：各个仪器通过有线、无线模式，通过数据传输协议将数据传输到管理工作站电脑，工作站系统对数据进行处理、分析与存储。</w:t>
            </w:r>
          </w:p>
          <w:p w14:paraId="03CA0FD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▲1.2采集方式：</w:t>
            </w:r>
          </w:p>
          <w:p w14:paraId="1C5040D3">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支持键盘、身份证、人脸识别、二维码和游客等模式进行个人信息采集；支持扩展医保卡、社保卡、自制智能卡、条码体检卡等多种个人信息采集方式（提供对接协议即可接入）。</w:t>
            </w:r>
          </w:p>
          <w:p w14:paraId="380D0838">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1.3档案管理：</w:t>
            </w:r>
          </w:p>
          <w:p w14:paraId="26F07D9B">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依据录入数据，形成健康档案。支持实时上传更新；断网情况下，可实现健康档案本地保存。</w:t>
            </w:r>
          </w:p>
          <w:p w14:paraId="4C25B14F">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1.4数据统计：</w:t>
            </w:r>
          </w:p>
          <w:p w14:paraId="46F2F2E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支持用户通过时序（年、季、月、周、日等）进行数据统计展现；支持对不同慢病的人次进行统计，并按照性别进行区分；支持对不同设备的使用人次进行统计；支持对不同的ID、姓名和检查时间段进行信息查询。</w:t>
            </w:r>
          </w:p>
          <w:p w14:paraId="52C2EC2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▲1.5结果输出：</w:t>
            </w:r>
          </w:p>
          <w:p w14:paraId="7A977327">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输出报告：输出基础报告和趋势报告。基础报告展示完整的个人健康检查情况；趋势报告通过历史检测记录，展现近5次、近10次和近15次的数据走向示意图。</w:t>
            </w:r>
          </w:p>
          <w:p w14:paraId="6369815B">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二、系统配置：</w:t>
            </w:r>
          </w:p>
          <w:p w14:paraId="4B448B1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2.1主体设备为一体化设计。</w:t>
            </w:r>
          </w:p>
          <w:p w14:paraId="389F2B84">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★2.2显示屏幕可上下、左右进行升降和旋转。</w:t>
            </w:r>
          </w:p>
          <w:p w14:paraId="60C47DF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2.3配置的检测模块通过有线连接的方式进行通讯，支持无线连接。</w:t>
            </w:r>
          </w:p>
          <w:p w14:paraId="53FC8D07">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2.4具备健康管理一体机系统V2.0的软件著作权证。</w:t>
            </w:r>
          </w:p>
          <w:p w14:paraId="35E09BF3">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2.5主机配置：CPU不低于Intel i5 4200U；存储：内存≥8G，硬盘≥128G固态硬盘；系统自带摄像头装置</w:t>
            </w:r>
          </w:p>
          <w:p w14:paraId="4981BB6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2.6屏幕尺寸：≥18.5寸，分辨率：≥1920x1080</w:t>
            </w:r>
          </w:p>
          <w:p w14:paraId="2D9D153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2.7身份证阅读器：射频技术符合ISO14443  Type  B标准；读卡距离0-5CM</w:t>
            </w:r>
          </w:p>
          <w:p w14:paraId="4BD0E12F">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2.8打印机：支持打印幅面：A4</w:t>
            </w:r>
          </w:p>
          <w:p w14:paraId="7B3B298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三、检测功能模块</w:t>
            </w:r>
          </w:p>
          <w:p w14:paraId="0D5E7F5E">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3.1身高体重BMI、人体成分</w:t>
            </w:r>
          </w:p>
          <w:p w14:paraId="778C7E5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1.体重测量方式 高精度、高灵敏、高性能精密平衡梁电阻应变式压力传感器称重；</w:t>
            </w:r>
          </w:p>
          <w:p w14:paraId="4612967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2.身高测量方式 采用毫米波传感器，高频毫米波信号测距，并通过球型天线对信号角度进行约束，约束角度小于10°；</w:t>
            </w:r>
          </w:p>
          <w:p w14:paraId="1358C708">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3.身高测量范围 ≥20-200cm,鉴定精度:≥±0.5cm  分度值：0.5cm或0.1cm可调；</w:t>
            </w:r>
          </w:p>
          <w:p w14:paraId="4CCAC1CB">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4.体重测量范围 ≥2.0-500KG，鉴定精度:≥±0.1kg  分度值：0.1kg或0.01kg可调；</w:t>
            </w:r>
          </w:p>
          <w:p w14:paraId="6C45303E">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5.BMI体型测量 正常范围19-25，自动计算BMI体质指数，</w:t>
            </w:r>
          </w:p>
          <w:p w14:paraId="1EF9590F">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6.脂肪测量 测量方式：4电极人体生物电阻抗法(BIA)；</w:t>
            </w:r>
          </w:p>
          <w:p w14:paraId="7E437FE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7.测量范围：≥5.0%~75.0%；</w:t>
            </w:r>
          </w:p>
          <w:p w14:paraId="2C8EF957">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8.正常模式：测量身高体重BMI。</w:t>
            </w:r>
          </w:p>
          <w:p w14:paraId="1D2E8B2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9.人体成分模式：测量人体成分需正常测量身高体重，根据语音提示进行操作。</w:t>
            </w:r>
          </w:p>
          <w:p w14:paraId="5F27612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10.测量项目：身高、体重、BMI,总水分、蛋白质、内脏脂肪、肥胖分析、体脂肪量、水分、肌肉量、骨骼量、内脏脂肪、蛋白质率、脂肪率、水分率、基础代谢量、身体年龄等；</w:t>
            </w:r>
          </w:p>
          <w:p w14:paraId="7C2C6CD7">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11.LED显示≥ 4.3寸高清VA显示屏，待机显示时间日期温度；</w:t>
            </w:r>
          </w:p>
          <w:p w14:paraId="3921070F">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12.平衡调节 底座自带水平仪，并可通过四角校正水平面；</w:t>
            </w:r>
          </w:p>
          <w:p w14:paraId="12D48B8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3.2血压仪</w:t>
            </w:r>
          </w:p>
          <w:p w14:paraId="03A58E1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1.测量原理：示波法</w:t>
            </w:r>
          </w:p>
          <w:p w14:paraId="044CFAF7">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▲2.测量方式：升压型测量，在压力上升过程中测量血压，压力值上升到收缩压位置测量结束，无需加压到峰值再降压检测。</w:t>
            </w:r>
          </w:p>
          <w:p w14:paraId="6C4802E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▲3. 测量部位：左右臂均可测量，右侧另设置开关键。</w:t>
            </w:r>
          </w:p>
          <w:p w14:paraId="493F31E6">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★4. 显示屏：≥7.0寸显示屏。</w:t>
            </w:r>
          </w:p>
          <w:p w14:paraId="62B228F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5. 规格：袖筒为隧道式，整机为医用台式</w:t>
            </w:r>
          </w:p>
          <w:p w14:paraId="1EA02793">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6. 输出值：收缩压、舒张压、脉搏。</w:t>
            </w:r>
          </w:p>
          <w:p w14:paraId="1C5437C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7. 血压测量范围：≥0～300mmHg</w:t>
            </w:r>
          </w:p>
          <w:p w14:paraId="3246E31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8. 脉搏数测定范围：≥30～200bpm</w:t>
            </w:r>
          </w:p>
          <w:p w14:paraId="1D07AD6E">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9. 语音：语音提示，可调节6档语音大小</w:t>
            </w:r>
          </w:p>
          <w:p w14:paraId="1888997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10. 测量时间：≤40秒 </w:t>
            </w:r>
          </w:p>
          <w:p w14:paraId="1B53B77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11. 适用臂围：16-43cm</w:t>
            </w:r>
          </w:p>
          <w:p w14:paraId="14CC494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▲12. 精确度：≤血压±2mmH g，脉搏：±2%</w:t>
            </w:r>
          </w:p>
          <w:p w14:paraId="3A37C63B">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在量程任何测量点上，静态压力和动态压力测量的最大误差应是±0.3Kpa（±2mmHg）</w:t>
            </w:r>
            <w:r>
              <w:rPr>
                <w:rFonts w:hint="eastAsia" w:ascii="仿宋" w:hAnsi="仿宋" w:eastAsia="仿宋" w:cs="仿宋"/>
                <w:b/>
                <w:bCs/>
                <w:i w:val="0"/>
                <w:iCs w:val="0"/>
                <w:color w:val="auto"/>
                <w:kern w:val="0"/>
                <w:sz w:val="21"/>
                <w:szCs w:val="21"/>
                <w:highlight w:val="none"/>
                <w:u w:val="none"/>
                <w:lang w:val="en-US" w:eastAsia="zh-CN" w:bidi="ar"/>
              </w:rPr>
              <w:t>（提供相关检验报告证明材料加盖投标人电子签章）</w:t>
            </w:r>
            <w:r>
              <w:rPr>
                <w:rFonts w:hint="eastAsia" w:ascii="仿宋" w:hAnsi="仿宋" w:eastAsia="仿宋" w:cs="仿宋"/>
                <w:b w:val="0"/>
                <w:bCs w:val="0"/>
                <w:i w:val="0"/>
                <w:iCs w:val="0"/>
                <w:color w:val="auto"/>
                <w:kern w:val="0"/>
                <w:sz w:val="21"/>
                <w:szCs w:val="21"/>
                <w:highlight w:val="none"/>
                <w:u w:val="none"/>
                <w:lang w:val="en-US" w:eastAsia="zh-CN" w:bidi="ar"/>
              </w:rPr>
              <w:t>。</w:t>
            </w:r>
          </w:p>
          <w:p w14:paraId="22A6C58E">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▲13. 通讯功能：支持连接电脑（选择RS-232）</w:t>
            </w:r>
          </w:p>
          <w:p w14:paraId="4F7AAD04">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14. 安全装置：双重安全装置，过压、停电自动放气、紧急停止双重保护措施。</w:t>
            </w:r>
          </w:p>
          <w:p w14:paraId="18B1C23F">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15.设备尺寸：472×400×300 mm ±20 mm</w:t>
            </w:r>
          </w:p>
          <w:p w14:paraId="792654E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16.具备医疗器械注册证，国产医疗器械，保证数据安全与适用于国人体质。</w:t>
            </w:r>
          </w:p>
          <w:p w14:paraId="6FE739E6">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3.3体温计</w:t>
            </w:r>
          </w:p>
          <w:p w14:paraId="41C8158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1、测量方式：非接触式</w:t>
            </w:r>
          </w:p>
          <w:p w14:paraId="3B4FAE8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2、测量范围：≥32.0℃-42.9℃</w:t>
            </w:r>
          </w:p>
          <w:p w14:paraId="23DEF051">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▲3、精准度：±0.2℃ (35.0℃-42.0℃)；土0.3℃（低于35.0℃或高于42.0℃）</w:t>
            </w:r>
          </w:p>
          <w:p w14:paraId="27A513C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4、测量距离：≥1-5cm</w:t>
            </w:r>
          </w:p>
          <w:p w14:paraId="2DD93ABB">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5、显示精度：0.1℃</w:t>
            </w:r>
          </w:p>
          <w:p w14:paraId="6D279758">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6、具备医疗器械注册证</w:t>
            </w:r>
          </w:p>
          <w:p w14:paraId="2F34045E">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3.4血氧检测模块</w:t>
            </w:r>
          </w:p>
          <w:p w14:paraId="6B9835BF">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1、血氧饱和度：≥测量范围：35%～100%；测量精度：≥70%～100%。</w:t>
            </w:r>
          </w:p>
          <w:p w14:paraId="5813FE9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2、脉率：测量范围：≥30bpm～250bpm ；测量精度，±2%或±2BPM，取大值。</w:t>
            </w:r>
          </w:p>
          <w:p w14:paraId="45833E9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3、具有测量时间提示和数据存储功能。</w:t>
            </w:r>
          </w:p>
          <w:p w14:paraId="084F3641">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4、测量数据实时上传。</w:t>
            </w:r>
          </w:p>
          <w:p w14:paraId="0055EE8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3.5中医体质辨识：</w:t>
            </w:r>
          </w:p>
          <w:p w14:paraId="6DDB700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1、采用问卷答题式检测方法。</w:t>
            </w:r>
          </w:p>
          <w:p w14:paraId="7AAC83A6">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▲2、多题库模式：内置两种题库类型，36道题目适用于老年人群，63道题目适用于其他人群。后台模式可选。</w:t>
            </w:r>
          </w:p>
          <w:p w14:paraId="5A39F088">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▲3、通过对受测者面型特征、体型特征、饮食嗜好选定，综合进行体质分析判断，能够提供截图。</w:t>
            </w:r>
          </w:p>
          <w:p w14:paraId="422F772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4、提供营养方案、药物调理方案、饮食调理方案等。</w:t>
            </w:r>
          </w:p>
          <w:p w14:paraId="3EF3FB68">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5、具备软件著作权证。</w:t>
            </w:r>
          </w:p>
          <w:p w14:paraId="7C4E027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3.6心理评测：</w:t>
            </w:r>
          </w:p>
          <w:p w14:paraId="4D3DA1D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1、题库类型：包含13项心理评测量表，自测健康评定量表（SRHMS）、焦虑自评量表（SAS）、女性更年期综合征自我诊断评定表、抑郁自评量表（SDS）、老年抑郁量表、儿童孤独量表、匹兹堡睡眠质量测试、自尊调查表、糖尿病患者自我管理行为量表（SDSCA）、包括UCLA孤独量表、心理年龄测试、COPD患者生活质量评估问卷、成人心理压力量表。</w:t>
            </w:r>
          </w:p>
          <w:p w14:paraId="2881C64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2、测评报告：报告单有测评得分和测评结果，测量者可以根据具体情况给予受测者以相应的建议。</w:t>
            </w:r>
          </w:p>
          <w:p w14:paraId="3BDAA13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3、根据检测结果，支持单独每个量表的打印，也可进行综合报告打印。</w:t>
            </w:r>
          </w:p>
          <w:p w14:paraId="04FD64AB">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4、具备软件著作权证书。</w:t>
            </w:r>
          </w:p>
          <w:p w14:paraId="7DCD65A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3.7视力检测</w:t>
            </w:r>
          </w:p>
          <w:p w14:paraId="6130EBB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1、可视面积：≥18寸显示屏</w:t>
            </w:r>
          </w:p>
          <w:p w14:paraId="4306C5C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2、视标类型：采用标准E字图视力表</w:t>
            </w:r>
          </w:p>
          <w:p w14:paraId="0CF0B4F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3、使用距离：≥2M</w:t>
            </w:r>
          </w:p>
          <w:p w14:paraId="11B31D6F">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4、操作要求：支持遥控器操作</w:t>
            </w:r>
          </w:p>
          <w:p w14:paraId="5AB7A5F6">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▲5、支持色觉测试，色觉测试图≥12幅彩色视图</w:t>
            </w:r>
          </w:p>
          <w:p w14:paraId="57A0DC5B">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6、具备软件著作权证书。</w:t>
            </w:r>
          </w:p>
          <w:p w14:paraId="15B59EF3">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3.8血糖尿酸总胆固醇三合一检测</w:t>
            </w:r>
          </w:p>
          <w:p w14:paraId="2AD723A3">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1、电化学生物感应法原理检测。</w:t>
            </w:r>
          </w:p>
          <w:p w14:paraId="1A5528E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2、血糖为1.1-33.3毫莫耳/升；总胆固醇为2.59-10.35毫莫耳/升；尿酸为0.18-1.19毫莫耳/升。</w:t>
            </w:r>
          </w:p>
          <w:p w14:paraId="09B4371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3、血糖采血量≥0.7μl，测量时间为5秒。</w:t>
            </w:r>
          </w:p>
          <w:p w14:paraId="0DC9B2C6">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总胆固醇采血量 ≥10.0μl，测量时间为26秒。</w:t>
            </w:r>
          </w:p>
          <w:p w14:paraId="57B454C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尿酸采血量≥1.5μl，测量时间为15秒。</w:t>
            </w:r>
          </w:p>
          <w:p w14:paraId="419A8224">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4、记忆360组血糖测试结果，以及50租总胆固醇测试结果和50组血尿酸测试结果。</w:t>
            </w:r>
          </w:p>
          <w:p w14:paraId="5F03AEC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5、具备医疗器械注册证</w:t>
            </w:r>
          </w:p>
          <w:p w14:paraId="543F0C5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3.9心电检测：</w:t>
            </w:r>
          </w:p>
          <w:p w14:paraId="64BEC58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1、检测通道数：1 个（心电信号）</w:t>
            </w:r>
          </w:p>
          <w:p w14:paraId="6E8B146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2、测量电极：≥3个一体化金属电极或外接导联线</w:t>
            </w:r>
          </w:p>
          <w:p w14:paraId="10876FF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 xml:space="preserve">3、心率测量范围：≥30bpm-240bpm </w:t>
            </w:r>
          </w:p>
          <w:p w14:paraId="3EBA9FEF">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 xml:space="preserve">4、心率测量精度：±2bpm 或±2%两者取最大值 </w:t>
            </w:r>
          </w:p>
          <w:p w14:paraId="5F6616B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b w:val="0"/>
                <w:bCs w:val="0"/>
                <w:i w:val="0"/>
                <w:iCs w:val="0"/>
                <w:color w:val="auto"/>
                <w:kern w:val="0"/>
                <w:sz w:val="21"/>
                <w:szCs w:val="21"/>
                <w:highlight w:val="none"/>
                <w:u w:val="none"/>
                <w:lang w:val="en-US" w:eastAsia="zh-CN" w:bidi="ar"/>
              </w:rPr>
              <w:t>5、具备医疗器械注册证</w:t>
            </w:r>
          </w:p>
        </w:tc>
        <w:tc>
          <w:tcPr>
            <w:tcW w:w="638" w:type="dxa"/>
            <w:shd w:val="clear" w:color="auto" w:fill="auto"/>
            <w:vAlign w:val="center"/>
          </w:tcPr>
          <w:p w14:paraId="7721CB3E">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2</w:t>
            </w:r>
          </w:p>
        </w:tc>
      </w:tr>
      <w:tr w14:paraId="56565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0" w:type="auto"/>
            <w:shd w:val="clear" w:color="auto" w:fill="auto"/>
            <w:vAlign w:val="center"/>
          </w:tcPr>
          <w:p w14:paraId="6E392308">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w:t>
            </w:r>
          </w:p>
        </w:tc>
        <w:tc>
          <w:tcPr>
            <w:tcW w:w="0" w:type="auto"/>
            <w:shd w:val="clear" w:color="auto" w:fill="auto"/>
            <w:vAlign w:val="center"/>
          </w:tcPr>
          <w:p w14:paraId="789FAE5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经颅磁刺激仪</w:t>
            </w:r>
          </w:p>
        </w:tc>
        <w:tc>
          <w:tcPr>
            <w:tcW w:w="0" w:type="auto"/>
            <w:shd w:val="clear" w:color="auto" w:fill="auto"/>
            <w:vAlign w:val="center"/>
          </w:tcPr>
          <w:p w14:paraId="5C9C7268">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1、适用范围：刺激人体中枢神经和外周神经，用于神经电生理检查、康复科神经功能评定和神经科运动功能评定、治疗及研究；配合药物，进行神经疾病引起的失眠的辅助治疗。</w:t>
            </w:r>
          </w:p>
          <w:p w14:paraId="6CF07722">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2、经颅磁刺激仪主机</w:t>
            </w:r>
          </w:p>
          <w:p w14:paraId="6E4CCF84">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2.1外观结构：一体式主机，脉冲源，冷却系统高度集成，非堆叠结构。</w:t>
            </w:r>
          </w:p>
          <w:p w14:paraId="793C3A24">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2.2操作系统：笔记本电脑承载管理软件，非一体机或触摸屏。</w:t>
            </w:r>
          </w:p>
          <w:p w14:paraId="7F9379F6">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2.3操作设备需提供中国质量认证中心签发的3C及节能认证报告。</w:t>
            </w:r>
          </w:p>
          <w:p w14:paraId="3FA050D4">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2.4★最大磁感应强度：≥8T；</w:t>
            </w:r>
            <w:r>
              <w:rPr>
                <w:rFonts w:hint="eastAsia" w:ascii="仿宋" w:hAnsi="仿宋" w:eastAsia="仿宋" w:cs="仿宋"/>
                <w:b/>
                <w:bCs/>
                <w:i w:val="0"/>
                <w:iCs w:val="0"/>
                <w:color w:val="auto"/>
                <w:kern w:val="0"/>
                <w:sz w:val="21"/>
                <w:szCs w:val="21"/>
                <w:lang w:val="en-US" w:eastAsia="zh-CN" w:bidi="ar"/>
              </w:rPr>
              <w:t>（需提供第三方检测机构出具的检测报告复印件</w:t>
            </w:r>
            <w:r>
              <w:rPr>
                <w:rFonts w:hint="eastAsia" w:ascii="仿宋" w:hAnsi="仿宋" w:eastAsia="仿宋" w:cs="仿宋"/>
                <w:b/>
                <w:bCs/>
                <w:i w:val="0"/>
                <w:iCs w:val="0"/>
                <w:color w:val="auto"/>
                <w:kern w:val="0"/>
                <w:sz w:val="21"/>
                <w:szCs w:val="21"/>
                <w:highlight w:val="none"/>
                <w:u w:val="none"/>
                <w:lang w:val="en-US" w:eastAsia="zh-CN" w:bidi="ar"/>
              </w:rPr>
              <w:t>加盖投标人电子签章</w:t>
            </w:r>
            <w:r>
              <w:rPr>
                <w:rFonts w:hint="eastAsia" w:ascii="仿宋" w:hAnsi="仿宋" w:eastAsia="仿宋" w:cs="仿宋"/>
                <w:b/>
                <w:bCs/>
                <w:i w:val="0"/>
                <w:iCs w:val="0"/>
                <w:color w:val="auto"/>
                <w:kern w:val="0"/>
                <w:sz w:val="21"/>
                <w:szCs w:val="21"/>
                <w:lang w:val="en-US" w:eastAsia="zh-CN" w:bidi="ar"/>
              </w:rPr>
              <w:t>）</w:t>
            </w:r>
          </w:p>
          <w:p w14:paraId="53F5129A">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2.5★最大刺激频率：110Hz，0Hz～110Hz可调；</w:t>
            </w:r>
            <w:r>
              <w:rPr>
                <w:rFonts w:hint="eastAsia" w:ascii="仿宋" w:hAnsi="仿宋" w:eastAsia="仿宋" w:cs="仿宋"/>
                <w:b/>
                <w:bCs/>
                <w:i w:val="0"/>
                <w:iCs w:val="0"/>
                <w:color w:val="auto"/>
                <w:kern w:val="0"/>
                <w:sz w:val="21"/>
                <w:szCs w:val="21"/>
                <w:lang w:val="en-US" w:eastAsia="zh-CN" w:bidi="ar"/>
              </w:rPr>
              <w:t>（需提供检测报告或说明书证明材料</w:t>
            </w:r>
            <w:r>
              <w:rPr>
                <w:rFonts w:hint="eastAsia" w:ascii="仿宋" w:hAnsi="仿宋" w:eastAsia="仿宋" w:cs="仿宋"/>
                <w:b/>
                <w:bCs/>
                <w:i w:val="0"/>
                <w:iCs w:val="0"/>
                <w:color w:val="auto"/>
                <w:kern w:val="0"/>
                <w:sz w:val="21"/>
                <w:szCs w:val="21"/>
                <w:highlight w:val="none"/>
                <w:u w:val="none"/>
                <w:lang w:val="en-US" w:eastAsia="zh-CN" w:bidi="ar"/>
              </w:rPr>
              <w:t>加盖投标人电子签章</w:t>
            </w:r>
            <w:r>
              <w:rPr>
                <w:rFonts w:hint="eastAsia" w:ascii="仿宋" w:hAnsi="仿宋" w:eastAsia="仿宋" w:cs="仿宋"/>
                <w:b/>
                <w:bCs/>
                <w:i w:val="0"/>
                <w:iCs w:val="0"/>
                <w:color w:val="auto"/>
                <w:kern w:val="0"/>
                <w:sz w:val="21"/>
                <w:szCs w:val="21"/>
                <w:lang w:val="en-US" w:eastAsia="zh-CN" w:bidi="ar"/>
              </w:rPr>
              <w:t>）</w:t>
            </w:r>
          </w:p>
          <w:p w14:paraId="3114F77F">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2.6▲刺激频率调节：脉冲频率在1Hz以下时调节步长为0.01Hz，超过1Hz时步长为1Hz；</w:t>
            </w:r>
            <w:r>
              <w:rPr>
                <w:rFonts w:hint="eastAsia" w:ascii="仿宋" w:hAnsi="仿宋" w:eastAsia="仿宋" w:cs="仿宋"/>
                <w:b/>
                <w:bCs/>
                <w:i w:val="0"/>
                <w:iCs w:val="0"/>
                <w:color w:val="auto"/>
                <w:kern w:val="0"/>
                <w:sz w:val="21"/>
                <w:szCs w:val="21"/>
                <w:lang w:val="en-US" w:eastAsia="zh-CN" w:bidi="ar"/>
              </w:rPr>
              <w:t>（需提供第三方检测机构出具的检测报告复印件</w:t>
            </w:r>
            <w:r>
              <w:rPr>
                <w:rFonts w:hint="eastAsia" w:ascii="仿宋" w:hAnsi="仿宋" w:eastAsia="仿宋" w:cs="仿宋"/>
                <w:b/>
                <w:bCs/>
                <w:i w:val="0"/>
                <w:iCs w:val="0"/>
                <w:color w:val="auto"/>
                <w:kern w:val="0"/>
                <w:sz w:val="21"/>
                <w:szCs w:val="21"/>
                <w:highlight w:val="none"/>
                <w:u w:val="none"/>
                <w:lang w:val="en-US" w:eastAsia="zh-CN" w:bidi="ar"/>
              </w:rPr>
              <w:t>加盖投标人电子签章</w:t>
            </w:r>
            <w:r>
              <w:rPr>
                <w:rFonts w:hint="eastAsia" w:ascii="仿宋" w:hAnsi="仿宋" w:eastAsia="仿宋" w:cs="仿宋"/>
                <w:b/>
                <w:bCs/>
                <w:i w:val="0"/>
                <w:iCs w:val="0"/>
                <w:color w:val="auto"/>
                <w:kern w:val="0"/>
                <w:sz w:val="21"/>
                <w:szCs w:val="21"/>
                <w:lang w:val="en-US" w:eastAsia="zh-CN" w:bidi="ar"/>
              </w:rPr>
              <w:t>）</w:t>
            </w:r>
          </w:p>
          <w:p w14:paraId="1D9D5B5B">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2.7磁感应强度最大变化率：10kT/s-80kT/s；</w:t>
            </w:r>
          </w:p>
          <w:p w14:paraId="18691178">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2.8脉冲上升时间：35～65μs；</w:t>
            </w:r>
          </w:p>
          <w:p w14:paraId="63CE8434">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2.9▲输出频率允差值：±3%</w:t>
            </w:r>
            <w:r>
              <w:rPr>
                <w:rFonts w:hint="eastAsia" w:ascii="仿宋" w:hAnsi="仿宋" w:eastAsia="仿宋" w:cs="仿宋"/>
                <w:b/>
                <w:bCs/>
                <w:i w:val="0"/>
                <w:iCs w:val="0"/>
                <w:color w:val="auto"/>
                <w:kern w:val="0"/>
                <w:sz w:val="21"/>
                <w:szCs w:val="21"/>
                <w:lang w:val="en-US" w:eastAsia="zh-CN" w:bidi="ar"/>
              </w:rPr>
              <w:t>（需提供第三方检测机构出具的检测报告复印件</w:t>
            </w:r>
            <w:r>
              <w:rPr>
                <w:rFonts w:hint="eastAsia" w:ascii="仿宋" w:hAnsi="仿宋" w:eastAsia="仿宋" w:cs="仿宋"/>
                <w:b/>
                <w:bCs/>
                <w:i w:val="0"/>
                <w:iCs w:val="0"/>
                <w:color w:val="auto"/>
                <w:kern w:val="0"/>
                <w:sz w:val="21"/>
                <w:szCs w:val="21"/>
                <w:highlight w:val="none"/>
                <w:u w:val="none"/>
                <w:lang w:val="en-US" w:eastAsia="zh-CN" w:bidi="ar"/>
              </w:rPr>
              <w:t>加盖投标人电子签章</w:t>
            </w:r>
            <w:r>
              <w:rPr>
                <w:rFonts w:hint="eastAsia" w:ascii="仿宋" w:hAnsi="仿宋" w:eastAsia="仿宋" w:cs="仿宋"/>
                <w:b/>
                <w:bCs/>
                <w:i w:val="0"/>
                <w:iCs w:val="0"/>
                <w:color w:val="auto"/>
                <w:kern w:val="0"/>
                <w:sz w:val="21"/>
                <w:szCs w:val="21"/>
                <w:lang w:val="en-US" w:eastAsia="zh-CN" w:bidi="ar"/>
              </w:rPr>
              <w:t>）</w:t>
            </w:r>
          </w:p>
          <w:p w14:paraId="0C31D574">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2.10单个脉冲持续时间：340μs±20μs；</w:t>
            </w:r>
          </w:p>
          <w:p w14:paraId="26A99D1B">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2.11在工作条件下，设备支持100%强度进行刺激，可以连续24h工作。</w:t>
            </w:r>
          </w:p>
          <w:p w14:paraId="79F10FC9">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2.12使用磁场力线控制技术分为靶肌聚焦区及非靶肌刺激区，刺激线圈磁场分布均匀</w:t>
            </w:r>
          </w:p>
          <w:p w14:paraId="7F7CA15B">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2.13线圈类型：标配圆型及八字形线圈，能实现双面双向刺激。</w:t>
            </w:r>
          </w:p>
          <w:p w14:paraId="2F891788">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2.14▲可拓展儿童、深部双锥及盆底磁线圈，拓展临床应用场景；</w:t>
            </w:r>
            <w:r>
              <w:rPr>
                <w:rFonts w:hint="eastAsia" w:ascii="仿宋" w:hAnsi="仿宋" w:eastAsia="仿宋" w:cs="仿宋"/>
                <w:b/>
                <w:bCs/>
                <w:i w:val="0"/>
                <w:iCs w:val="0"/>
                <w:color w:val="auto"/>
                <w:kern w:val="0"/>
                <w:sz w:val="21"/>
                <w:szCs w:val="21"/>
                <w:lang w:val="en-US" w:eastAsia="zh-CN" w:bidi="ar"/>
              </w:rPr>
              <w:t>（提供说明书或检测报告证明文件并</w:t>
            </w:r>
            <w:r>
              <w:rPr>
                <w:rFonts w:hint="eastAsia" w:ascii="仿宋" w:hAnsi="仿宋" w:eastAsia="仿宋" w:cs="仿宋"/>
                <w:b/>
                <w:bCs/>
                <w:i w:val="0"/>
                <w:iCs w:val="0"/>
                <w:color w:val="auto"/>
                <w:kern w:val="0"/>
                <w:sz w:val="21"/>
                <w:szCs w:val="21"/>
                <w:highlight w:val="none"/>
                <w:u w:val="none"/>
                <w:lang w:val="en-US" w:eastAsia="zh-CN" w:bidi="ar"/>
              </w:rPr>
              <w:t>加盖投标人电子签章</w:t>
            </w:r>
            <w:r>
              <w:rPr>
                <w:rFonts w:hint="eastAsia" w:ascii="仿宋" w:hAnsi="仿宋" w:eastAsia="仿宋" w:cs="仿宋"/>
                <w:b/>
                <w:bCs/>
                <w:i w:val="0"/>
                <w:iCs w:val="0"/>
                <w:color w:val="auto"/>
                <w:kern w:val="0"/>
                <w:sz w:val="21"/>
                <w:szCs w:val="21"/>
                <w:lang w:val="en-US" w:eastAsia="zh-CN" w:bidi="ar"/>
              </w:rPr>
              <w:t>）</w:t>
            </w:r>
          </w:p>
          <w:p w14:paraId="6820C297">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2.15提供触发脉冲刺激输入输出接口，可用于连接其他设备；</w:t>
            </w:r>
          </w:p>
          <w:p w14:paraId="6A3819C7">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2.16▲高压储能电容放电次数≥100,000,000 次，当电容放电次数达到上限时提供电容维护。</w:t>
            </w:r>
            <w:r>
              <w:rPr>
                <w:rFonts w:hint="eastAsia" w:ascii="仿宋" w:hAnsi="仿宋" w:eastAsia="仿宋" w:cs="仿宋"/>
                <w:b/>
                <w:bCs/>
                <w:i w:val="0"/>
                <w:iCs w:val="0"/>
                <w:color w:val="auto"/>
                <w:kern w:val="0"/>
                <w:sz w:val="21"/>
                <w:szCs w:val="21"/>
                <w:lang w:val="en-US" w:eastAsia="zh-CN" w:bidi="ar"/>
              </w:rPr>
              <w:t>（提供说明书或检测报告证明文件并</w:t>
            </w:r>
            <w:r>
              <w:rPr>
                <w:rFonts w:hint="eastAsia" w:ascii="仿宋" w:hAnsi="仿宋" w:eastAsia="仿宋" w:cs="仿宋"/>
                <w:b/>
                <w:bCs/>
                <w:i w:val="0"/>
                <w:iCs w:val="0"/>
                <w:color w:val="auto"/>
                <w:kern w:val="0"/>
                <w:sz w:val="21"/>
                <w:szCs w:val="21"/>
                <w:highlight w:val="none"/>
                <w:u w:val="none"/>
                <w:lang w:val="en-US" w:eastAsia="zh-CN" w:bidi="ar"/>
              </w:rPr>
              <w:t>加盖投标人电子签章</w:t>
            </w:r>
            <w:r>
              <w:rPr>
                <w:rFonts w:hint="eastAsia" w:ascii="仿宋" w:hAnsi="仿宋" w:eastAsia="仿宋" w:cs="仿宋"/>
                <w:b/>
                <w:bCs/>
                <w:i w:val="0"/>
                <w:iCs w:val="0"/>
                <w:color w:val="auto"/>
                <w:kern w:val="0"/>
                <w:sz w:val="21"/>
                <w:szCs w:val="21"/>
                <w:lang w:val="en-US" w:eastAsia="zh-CN" w:bidi="ar"/>
              </w:rPr>
              <w:t>）</w:t>
            </w:r>
          </w:p>
          <w:p w14:paraId="5A26BA55">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3.运动诱发电位监测（MEP）模块</w:t>
            </w:r>
          </w:p>
          <w:p w14:paraId="47E44F0C">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3.1MEP通道数：≥2通道；</w:t>
            </w:r>
          </w:p>
          <w:p w14:paraId="5BE19C11">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3.2传输方式：有线传输；</w:t>
            </w:r>
          </w:p>
          <w:p w14:paraId="0DEAD4BB">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3.3运动诱发电位测量灵敏度范围：1～3000μV，最小分辨率≤0.2μV，检查频率范围：20Hz～550Hz。</w:t>
            </w:r>
          </w:p>
          <w:p w14:paraId="33E04EE2">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3.4配置原厂双通道运动诱发电位检测模块，集成于主机内部，检测模块与主机之间无需有线或无线通讯，数据传输稳定性强。</w:t>
            </w:r>
          </w:p>
          <w:p w14:paraId="02C1B357">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3.5可捕捉肌电信号（EMG），并自动计算得到潜伏期和峰值；</w:t>
            </w:r>
          </w:p>
          <w:p w14:paraId="6635FBBA">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3.6▲点击MEP触发按钮可以触发一次或连续多次脉冲刺激、满足运动阈值测试需求；</w:t>
            </w:r>
            <w:r>
              <w:rPr>
                <w:rFonts w:hint="eastAsia" w:ascii="仿宋" w:hAnsi="仿宋" w:eastAsia="仿宋" w:cs="仿宋"/>
                <w:b/>
                <w:bCs/>
                <w:i w:val="0"/>
                <w:iCs w:val="0"/>
                <w:color w:val="auto"/>
                <w:kern w:val="0"/>
                <w:sz w:val="21"/>
                <w:szCs w:val="21"/>
                <w:lang w:val="en-US" w:eastAsia="zh-CN" w:bidi="ar"/>
              </w:rPr>
              <w:t>（提供说明书或检测报告证明文件并</w:t>
            </w:r>
            <w:r>
              <w:rPr>
                <w:rFonts w:hint="eastAsia" w:ascii="仿宋" w:hAnsi="仿宋" w:eastAsia="仿宋" w:cs="仿宋"/>
                <w:b/>
                <w:bCs/>
                <w:i w:val="0"/>
                <w:iCs w:val="0"/>
                <w:color w:val="auto"/>
                <w:kern w:val="0"/>
                <w:sz w:val="21"/>
                <w:szCs w:val="21"/>
                <w:highlight w:val="none"/>
                <w:u w:val="none"/>
                <w:lang w:val="en-US" w:eastAsia="zh-CN" w:bidi="ar"/>
              </w:rPr>
              <w:t>加盖投标人电子签章</w:t>
            </w:r>
            <w:r>
              <w:rPr>
                <w:rFonts w:hint="eastAsia" w:ascii="仿宋" w:hAnsi="仿宋" w:eastAsia="仿宋" w:cs="仿宋"/>
                <w:b/>
                <w:bCs/>
                <w:i w:val="0"/>
                <w:iCs w:val="0"/>
                <w:color w:val="auto"/>
                <w:kern w:val="0"/>
                <w:sz w:val="21"/>
                <w:szCs w:val="21"/>
                <w:lang w:val="en-US" w:eastAsia="zh-CN" w:bidi="ar"/>
              </w:rPr>
              <w:t>）</w:t>
            </w:r>
          </w:p>
          <w:p w14:paraId="38332C58">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3.7治疗时可进行生理安全监测，实时监测运动诱发电位波形，当出现痉挛信号时会播放警告声音进行癫痫预警安全提示。</w:t>
            </w:r>
          </w:p>
          <w:p w14:paraId="0F20430A">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4.冷却系统和保护系统</w:t>
            </w:r>
          </w:p>
          <w:p w14:paraId="089321CC">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4.1冷却系统：采用液态循环冷却系统，散热效率高，保证设备长时间运行；</w:t>
            </w:r>
          </w:p>
          <w:p w14:paraId="50139FDA">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4.2▲可在高散热需求场景下，启动风冷液冷一体化散热模式，保证设备高性能运行，满足临床长时间治疗需求；</w:t>
            </w:r>
            <w:r>
              <w:rPr>
                <w:rFonts w:hint="eastAsia" w:ascii="仿宋" w:hAnsi="仿宋" w:eastAsia="仿宋" w:cs="仿宋"/>
                <w:b/>
                <w:bCs/>
                <w:i w:val="0"/>
                <w:iCs w:val="0"/>
                <w:color w:val="auto"/>
                <w:kern w:val="0"/>
                <w:sz w:val="21"/>
                <w:szCs w:val="21"/>
                <w:lang w:val="en-US" w:eastAsia="zh-CN" w:bidi="ar"/>
              </w:rPr>
              <w:t>（需提供第三方检测机构出具的检测报告复印件</w:t>
            </w:r>
            <w:r>
              <w:rPr>
                <w:rFonts w:hint="eastAsia" w:ascii="仿宋" w:hAnsi="仿宋" w:eastAsia="仿宋" w:cs="仿宋"/>
                <w:b/>
                <w:bCs/>
                <w:i w:val="0"/>
                <w:iCs w:val="0"/>
                <w:color w:val="auto"/>
                <w:kern w:val="0"/>
                <w:sz w:val="21"/>
                <w:szCs w:val="21"/>
                <w:highlight w:val="none"/>
                <w:u w:val="none"/>
                <w:lang w:val="en-US" w:eastAsia="zh-CN" w:bidi="ar"/>
              </w:rPr>
              <w:t>加盖投标人电子签章</w:t>
            </w:r>
            <w:r>
              <w:rPr>
                <w:rFonts w:hint="eastAsia" w:ascii="仿宋" w:hAnsi="仿宋" w:eastAsia="仿宋" w:cs="仿宋"/>
                <w:b/>
                <w:bCs/>
                <w:i w:val="0"/>
                <w:iCs w:val="0"/>
                <w:color w:val="auto"/>
                <w:kern w:val="0"/>
                <w:sz w:val="21"/>
                <w:szCs w:val="21"/>
                <w:lang w:val="en-US" w:eastAsia="zh-CN" w:bidi="ar"/>
              </w:rPr>
              <w:t>）</w:t>
            </w:r>
          </w:p>
          <w:p w14:paraId="3A9E3F76">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4.3安全工作温度预警功能，当刺激线圈温度超过40℃，磁刺激仪应自动停止刺激输出，保证安全使用。</w:t>
            </w:r>
          </w:p>
          <w:p w14:paraId="55FAB01D">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4.4当冷却系统发生故障时，应有提示或停止磁场输出；</w:t>
            </w:r>
          </w:p>
          <w:p w14:paraId="46532B43">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4.5可以实时显示冷却液温度；</w:t>
            </w:r>
          </w:p>
          <w:p w14:paraId="1DED4CD6">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4.6 ▲惰性冷却液：冷却液直流电阻率≥10MΩ•cm。</w:t>
            </w:r>
            <w:r>
              <w:rPr>
                <w:rFonts w:hint="eastAsia" w:ascii="仿宋" w:hAnsi="仿宋" w:eastAsia="仿宋" w:cs="仿宋"/>
                <w:b/>
                <w:bCs/>
                <w:i w:val="0"/>
                <w:iCs w:val="0"/>
                <w:color w:val="auto"/>
                <w:kern w:val="0"/>
                <w:sz w:val="21"/>
                <w:szCs w:val="21"/>
                <w:lang w:val="en-US" w:eastAsia="zh-CN" w:bidi="ar"/>
              </w:rPr>
              <w:t>（需提供第三方检测机构出具的检测报告复印件</w:t>
            </w:r>
            <w:r>
              <w:rPr>
                <w:rFonts w:hint="eastAsia" w:ascii="仿宋" w:hAnsi="仿宋" w:eastAsia="仿宋" w:cs="仿宋"/>
                <w:b/>
                <w:bCs/>
                <w:i w:val="0"/>
                <w:iCs w:val="0"/>
                <w:color w:val="auto"/>
                <w:kern w:val="0"/>
                <w:sz w:val="21"/>
                <w:szCs w:val="21"/>
                <w:highlight w:val="none"/>
                <w:u w:val="none"/>
                <w:lang w:val="en-US" w:eastAsia="zh-CN" w:bidi="ar"/>
              </w:rPr>
              <w:t>加盖投标人电子签章</w:t>
            </w:r>
            <w:r>
              <w:rPr>
                <w:rFonts w:hint="eastAsia" w:ascii="仿宋" w:hAnsi="仿宋" w:eastAsia="仿宋" w:cs="仿宋"/>
                <w:b/>
                <w:bCs/>
                <w:i w:val="0"/>
                <w:iCs w:val="0"/>
                <w:color w:val="auto"/>
                <w:kern w:val="0"/>
                <w:sz w:val="21"/>
                <w:szCs w:val="21"/>
                <w:lang w:val="en-US" w:eastAsia="zh-CN" w:bidi="ar"/>
              </w:rPr>
              <w:t>）</w:t>
            </w:r>
          </w:p>
          <w:p w14:paraId="7D547919">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4.7 变频风冷：主机散热风扇的转速可改变。</w:t>
            </w:r>
          </w:p>
          <w:p w14:paraId="2390954F">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4.8磁感应线圈应具有独立的保护装置，当线圈发生故障时，应停止磁场输出并有视觉或听觉提示。</w:t>
            </w:r>
          </w:p>
          <w:p w14:paraId="146CA657">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5、软件参数</w:t>
            </w:r>
          </w:p>
          <w:p w14:paraId="34FD04A9">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5.1人机交互管理软件，包含治疗处方管理，治疗记录管理，并可快速调取历史刺激记录，不受记录次数限制，直接启动刺激；</w:t>
            </w:r>
          </w:p>
          <w:p w14:paraId="0243272B">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5.2内置MEP模式、标准模式、TBS模式，可实现单脉冲刺激、重复脉冲刺激、TBS爆发序列刺激，并且提供多种临床治疗方案供医生选择，且所有内置方案参数可查看及编辑。</w:t>
            </w:r>
          </w:p>
          <w:p w14:paraId="53BF7024">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5.3▲具有一键快速启动历史方案功能，可在治疗记录界面一件快速启动历史治疗方案。</w:t>
            </w:r>
            <w:r>
              <w:rPr>
                <w:rFonts w:hint="eastAsia" w:ascii="仿宋" w:hAnsi="仿宋" w:eastAsia="仿宋" w:cs="仿宋"/>
                <w:b/>
                <w:bCs/>
                <w:i w:val="0"/>
                <w:iCs w:val="0"/>
                <w:color w:val="auto"/>
                <w:kern w:val="0"/>
                <w:sz w:val="21"/>
                <w:szCs w:val="21"/>
                <w:lang w:val="en-US" w:eastAsia="zh-CN" w:bidi="ar"/>
              </w:rPr>
              <w:t>（提供软件截图</w:t>
            </w:r>
            <w:r>
              <w:rPr>
                <w:rFonts w:hint="eastAsia" w:ascii="仿宋" w:hAnsi="仿宋" w:eastAsia="仿宋" w:cs="仿宋"/>
                <w:b/>
                <w:bCs/>
                <w:i w:val="0"/>
                <w:iCs w:val="0"/>
                <w:color w:val="auto"/>
                <w:kern w:val="0"/>
                <w:sz w:val="21"/>
                <w:szCs w:val="21"/>
                <w:highlight w:val="none"/>
                <w:u w:val="none"/>
                <w:lang w:val="en-US" w:eastAsia="zh-CN" w:bidi="ar"/>
              </w:rPr>
              <w:t>加盖投标人电子签章</w:t>
            </w:r>
            <w:r>
              <w:rPr>
                <w:rFonts w:hint="eastAsia" w:ascii="仿宋" w:hAnsi="仿宋" w:eastAsia="仿宋" w:cs="仿宋"/>
                <w:b/>
                <w:bCs/>
                <w:i w:val="0"/>
                <w:iCs w:val="0"/>
                <w:color w:val="auto"/>
                <w:kern w:val="0"/>
                <w:sz w:val="21"/>
                <w:szCs w:val="21"/>
                <w:lang w:val="en-US" w:eastAsia="zh-CN" w:bidi="ar"/>
              </w:rPr>
              <w:t>）</w:t>
            </w:r>
          </w:p>
          <w:p w14:paraId="3B2CE28E">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5.4刺激方案具有患者体位示意图或人体大脑解剖定位图，提示患者磁刺激刺激部位或摆放姿势体位，更有效的指导患者配合治疗。</w:t>
            </w:r>
          </w:p>
          <w:p w14:paraId="0620110F">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5.5可进行刺激参数的设置，包括刺激模式、刺激频率、刺激强度、刺激时间、间歇时间及工作时间等；</w:t>
            </w:r>
          </w:p>
          <w:p w14:paraId="0F495524">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5.6▲刺激强度从运动阈值(MT)的0-250%可调，使病人能更快的适应治疗；</w:t>
            </w:r>
            <w:r>
              <w:rPr>
                <w:rFonts w:hint="eastAsia" w:ascii="仿宋" w:hAnsi="仿宋" w:eastAsia="仿宋" w:cs="仿宋"/>
                <w:b/>
                <w:bCs/>
                <w:i w:val="0"/>
                <w:iCs w:val="0"/>
                <w:color w:val="auto"/>
                <w:kern w:val="0"/>
                <w:sz w:val="21"/>
                <w:szCs w:val="21"/>
                <w:lang w:val="en-US" w:eastAsia="zh-CN" w:bidi="ar"/>
              </w:rPr>
              <w:t>（提供软件截图</w:t>
            </w:r>
            <w:r>
              <w:rPr>
                <w:rFonts w:hint="eastAsia" w:ascii="仿宋" w:hAnsi="仿宋" w:eastAsia="仿宋" w:cs="仿宋"/>
                <w:b/>
                <w:bCs/>
                <w:i w:val="0"/>
                <w:iCs w:val="0"/>
                <w:color w:val="auto"/>
                <w:kern w:val="0"/>
                <w:sz w:val="21"/>
                <w:szCs w:val="21"/>
                <w:highlight w:val="none"/>
                <w:u w:val="none"/>
                <w:lang w:val="en-US" w:eastAsia="zh-CN" w:bidi="ar"/>
              </w:rPr>
              <w:t>加盖投标人电子签章</w:t>
            </w:r>
            <w:r>
              <w:rPr>
                <w:rFonts w:hint="eastAsia" w:ascii="仿宋" w:hAnsi="仿宋" w:eastAsia="仿宋" w:cs="仿宋"/>
                <w:b/>
                <w:bCs/>
                <w:i w:val="0"/>
                <w:iCs w:val="0"/>
                <w:color w:val="auto"/>
                <w:kern w:val="0"/>
                <w:sz w:val="21"/>
                <w:szCs w:val="21"/>
                <w:lang w:val="en-US" w:eastAsia="zh-CN" w:bidi="ar"/>
              </w:rPr>
              <w:t>）</w:t>
            </w:r>
          </w:p>
          <w:p w14:paraId="1CD75DF0">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5.7刺激开始及结束有语音提醒，便于医生和病人做好刺激准备，缓解病人紧张情绪；</w:t>
            </w:r>
          </w:p>
          <w:p w14:paraId="3D5AB49B">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5.8▲rTMS与TBS治疗模式下，单次治疗方案至少可设置5种不同的刺激频率.</w:t>
            </w:r>
            <w:r>
              <w:rPr>
                <w:rFonts w:hint="eastAsia" w:ascii="仿宋" w:hAnsi="仿宋" w:eastAsia="仿宋" w:cs="仿宋"/>
                <w:b/>
                <w:bCs/>
                <w:i w:val="0"/>
                <w:iCs w:val="0"/>
                <w:color w:val="auto"/>
                <w:kern w:val="0"/>
                <w:sz w:val="21"/>
                <w:szCs w:val="21"/>
                <w:lang w:val="en-US" w:eastAsia="zh-CN" w:bidi="ar"/>
              </w:rPr>
              <w:t>（提供软件截图</w:t>
            </w:r>
            <w:r>
              <w:rPr>
                <w:rFonts w:hint="eastAsia" w:ascii="仿宋" w:hAnsi="仿宋" w:eastAsia="仿宋" w:cs="仿宋"/>
                <w:b/>
                <w:bCs/>
                <w:i w:val="0"/>
                <w:iCs w:val="0"/>
                <w:color w:val="auto"/>
                <w:kern w:val="0"/>
                <w:sz w:val="21"/>
                <w:szCs w:val="21"/>
                <w:highlight w:val="none"/>
                <w:u w:val="none"/>
                <w:lang w:val="en-US" w:eastAsia="zh-CN" w:bidi="ar"/>
              </w:rPr>
              <w:t>加盖投标人电子签章</w:t>
            </w:r>
            <w:r>
              <w:rPr>
                <w:rFonts w:hint="eastAsia" w:ascii="仿宋" w:hAnsi="仿宋" w:eastAsia="仿宋" w:cs="仿宋"/>
                <w:b/>
                <w:bCs/>
                <w:i w:val="0"/>
                <w:iCs w:val="0"/>
                <w:color w:val="auto"/>
                <w:kern w:val="0"/>
                <w:sz w:val="21"/>
                <w:szCs w:val="21"/>
                <w:lang w:val="en-US" w:eastAsia="zh-CN" w:bidi="ar"/>
              </w:rPr>
              <w:t>）</w:t>
            </w:r>
          </w:p>
          <w:p w14:paraId="5F479B92">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6.其他要求</w:t>
            </w:r>
          </w:p>
          <w:p w14:paraId="28437DF6">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6.1上位机软件通过GB/T25000.51软件产品质量要求与评价；</w:t>
            </w:r>
          </w:p>
          <w:p w14:paraId="06388BEA">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6.2整机通过YY/T0994-2015《磁刺激设备》规定行业标准；</w:t>
            </w:r>
          </w:p>
          <w:p w14:paraId="328CF879">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lang w:val="en-US" w:eastAsia="zh-CN" w:bidi="ar"/>
              </w:rPr>
            </w:pPr>
            <w:r>
              <w:rPr>
                <w:rFonts w:hint="eastAsia" w:ascii="仿宋" w:hAnsi="仿宋" w:eastAsia="仿宋" w:cs="仿宋"/>
                <w:b w:val="0"/>
                <w:bCs w:val="0"/>
                <w:i w:val="0"/>
                <w:iCs w:val="0"/>
                <w:color w:val="auto"/>
                <w:kern w:val="0"/>
                <w:sz w:val="21"/>
                <w:szCs w:val="21"/>
                <w:lang w:val="en-US" w:eastAsia="zh-CN" w:bidi="ar"/>
              </w:rPr>
              <w:t>6.3整机符合GB9706.1-2020《医用电气设备第1部分：基本安全和基本性能通用要求》的规定。</w:t>
            </w:r>
          </w:p>
          <w:p w14:paraId="538FC69F">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b w:val="0"/>
                <w:bCs w:val="0"/>
                <w:i w:val="0"/>
                <w:iCs w:val="0"/>
                <w:color w:val="auto"/>
                <w:kern w:val="0"/>
                <w:sz w:val="21"/>
                <w:szCs w:val="21"/>
                <w:lang w:val="en-US" w:eastAsia="zh-CN" w:bidi="ar"/>
              </w:rPr>
              <w:t>6.4符合YY9706.102-2021《医用电气设备第1-2部分：安全通过要求并列标准：电磁兼容要求和试验》的规定。</w:t>
            </w:r>
          </w:p>
        </w:tc>
        <w:tc>
          <w:tcPr>
            <w:tcW w:w="638" w:type="dxa"/>
            <w:shd w:val="clear" w:color="auto" w:fill="auto"/>
            <w:vAlign w:val="center"/>
          </w:tcPr>
          <w:p w14:paraId="2DA740BF">
            <w:pPr>
              <w:keepNext/>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w:t>
            </w:r>
          </w:p>
        </w:tc>
      </w:tr>
      <w:tr w14:paraId="04BB8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0" w:type="auto"/>
            <w:shd w:val="clear" w:color="auto" w:fill="auto"/>
            <w:vAlign w:val="center"/>
          </w:tcPr>
          <w:p w14:paraId="7E5D47EF">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w:t>
            </w:r>
          </w:p>
        </w:tc>
        <w:tc>
          <w:tcPr>
            <w:tcW w:w="0" w:type="auto"/>
            <w:shd w:val="clear" w:color="auto" w:fill="auto"/>
            <w:vAlign w:val="center"/>
          </w:tcPr>
          <w:p w14:paraId="1D36407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人体成分分析</w:t>
            </w:r>
          </w:p>
        </w:tc>
        <w:tc>
          <w:tcPr>
            <w:tcW w:w="0" w:type="auto"/>
            <w:shd w:val="clear" w:color="auto" w:fill="auto"/>
            <w:vAlign w:val="center"/>
          </w:tcPr>
          <w:p w14:paraId="1CB9AE34">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1、测试频率：≥4频率，（需包含1kHz、5kHz、50kHz、250kHz)</w:t>
            </w:r>
          </w:p>
          <w:p w14:paraId="474F2EF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▲2、检测电流≤80uA。</w:t>
            </w:r>
          </w:p>
          <w:p w14:paraId="0F4F335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3、阻抗测量性能：阻抗测量范围：10Ω-1250Ω;阻抗测量误差：躯干误差≤±3%、肢体误差≤±1%</w:t>
            </w:r>
          </w:p>
          <w:p w14:paraId="52AF16CE">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4、可测量的主要参数覆盖以下指标：</w:t>
            </w:r>
          </w:p>
          <w:p w14:paraId="23E283B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4.1人体成分参数：身高、体重、生物电阻抗、全身相位角、身体总水分、蛋白质、体脂肪、无机盐；</w:t>
            </w:r>
          </w:p>
          <w:p w14:paraId="6B61E07B">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4.2肌肉参数：肌肉量、骨骼肌含量、肌肉均衡分析；</w:t>
            </w:r>
          </w:p>
          <w:p w14:paraId="0DF855B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4.3脂肪参数：BMI、去脂体重、体脂百分比、节段脂肪分析、内脏脂肪面积、内脏脂肪等级、肥胖度；</w:t>
            </w:r>
          </w:p>
          <w:p w14:paraId="22DFA714">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4.4无机盐参数：骨矿物质含量；</w:t>
            </w:r>
          </w:p>
          <w:p w14:paraId="4AF617A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4.5体围度参数：颈围、臂围、胸围、腰围、臀围、大腿围、腰臀比；</w:t>
            </w:r>
          </w:p>
          <w:p w14:paraId="066BA69B">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4.6综合评估：人体成分总评分、基础代谢率、身体细胞量、历史记录、生长图表、体重控制、体型评估、肥胖评估、身体均衡评估、营养建议、运动建议。</w:t>
            </w:r>
          </w:p>
          <w:p w14:paraId="12429E04">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5、使用限制年龄：3岁-100岁。</w:t>
            </w:r>
          </w:p>
          <w:p w14:paraId="2F3FA9B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6、触摸屏：主机采用10点触控电容屏。</w:t>
            </w:r>
          </w:p>
          <w:p w14:paraId="15257B5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7、内置报告单解读页、个性化运动营养建议页，支持用户根据需求设置是否打印。</w:t>
            </w:r>
          </w:p>
          <w:p w14:paraId="41C2F65B">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▲8、产品质量：产品使用期限≥8年，使用过程中支持软件在线升级。</w:t>
            </w:r>
          </w:p>
        </w:tc>
        <w:tc>
          <w:tcPr>
            <w:tcW w:w="638" w:type="dxa"/>
            <w:shd w:val="clear" w:color="auto" w:fill="auto"/>
            <w:vAlign w:val="center"/>
          </w:tcPr>
          <w:p w14:paraId="3C0EE986">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w:t>
            </w:r>
          </w:p>
        </w:tc>
      </w:tr>
      <w:tr w14:paraId="45AB7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40A885FF">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w:t>
            </w:r>
          </w:p>
        </w:tc>
        <w:tc>
          <w:tcPr>
            <w:tcW w:w="0" w:type="auto"/>
            <w:shd w:val="clear" w:color="auto" w:fill="auto"/>
            <w:vAlign w:val="center"/>
          </w:tcPr>
          <w:p w14:paraId="1B7C4896">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双能X射线骨密度仪</w:t>
            </w:r>
          </w:p>
        </w:tc>
        <w:tc>
          <w:tcPr>
            <w:tcW w:w="0" w:type="auto"/>
            <w:shd w:val="clear" w:color="auto" w:fill="auto"/>
            <w:vAlign w:val="center"/>
          </w:tcPr>
          <w:p w14:paraId="25B010A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1、采用双能量x射线吸收测量法；</w:t>
            </w:r>
          </w:p>
          <w:p w14:paraId="5578B00F">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2、成像方式：锥形束，面成像；</w:t>
            </w:r>
          </w:p>
          <w:p w14:paraId="142F4A4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3、全数字扫描成像技术，可以显示灰阶值；</w:t>
            </w:r>
          </w:p>
          <w:p w14:paraId="5DBC0F31">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4、X射线源:高频，小焦点；</w:t>
            </w:r>
          </w:p>
          <w:p w14:paraId="141D3197">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5、操作方式：远台操作，电脑工作站和射线机大于两米以上的距离；</w:t>
            </w:r>
          </w:p>
          <w:p w14:paraId="64F4537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▲6、测量位置:左/右前臂桡骨远端1/3处，1/6处（ud1）,1/10处（ud2）</w:t>
            </w:r>
          </w:p>
          <w:p w14:paraId="74112828">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▲7、脉冲式高低双能X线，高能:≤70kV，低能：≥55kV；</w:t>
            </w:r>
          </w:p>
          <w:p w14:paraId="51CC399B">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8、管电流:高能≤0.25mA，低能≤0.45mA；</w:t>
            </w:r>
          </w:p>
          <w:p w14:paraId="6F0BA35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★9、加载时间:≤4秒；</w:t>
            </w:r>
            <w:r>
              <w:rPr>
                <w:rFonts w:hint="eastAsia" w:ascii="仿宋" w:hAnsi="仿宋" w:eastAsia="仿宋" w:cs="仿宋"/>
                <w:b/>
                <w:bCs/>
                <w:i w:val="0"/>
                <w:iCs w:val="0"/>
                <w:color w:val="auto"/>
                <w:kern w:val="0"/>
                <w:sz w:val="21"/>
                <w:szCs w:val="21"/>
                <w:highlight w:val="none"/>
                <w:u w:val="none"/>
                <w:lang w:val="en-US" w:eastAsia="zh-CN" w:bidi="ar"/>
              </w:rPr>
              <w:t>（需提供第三方检测机构出具的检测报告复印件加盖投标人电子签章）</w:t>
            </w:r>
          </w:p>
          <w:p w14:paraId="46B0FB01">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 xml:space="preserve">▲10、准确度(误差)：低密度≤0.4%；中密度≤0.1%；高密度≤0.3% ；            </w:t>
            </w:r>
          </w:p>
          <w:p w14:paraId="241C3EB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11、重复性变异系数：低密度≤0.5%；中密度≤0.3%；高密度≤0.4% ；</w:t>
            </w:r>
          </w:p>
          <w:p w14:paraId="25CF8FBE">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12、线性：骨密度测定线性相关系数实测值R=1；</w:t>
            </w:r>
          </w:p>
          <w:p w14:paraId="2F35C4DF">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 xml:space="preserve">13、射线管总过滤≥4.8mmAL； </w:t>
            </w:r>
          </w:p>
          <w:p w14:paraId="64837EB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14、探测器：采用动态数字平板探测器；</w:t>
            </w:r>
          </w:p>
          <w:p w14:paraId="6C33318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15、像素尺寸≤100μm；</w:t>
            </w:r>
          </w:p>
          <w:p w14:paraId="24BFEC17">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16、检测窗口采用防护罩方式，射线得到有效防护，医生操作更安全；</w:t>
            </w:r>
          </w:p>
          <w:p w14:paraId="1AED726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▲17、测量参数:T-值、Z-值、BMD、BMC、面积、成人百分比、同龄百分比、骨质指数、预计发生骨质疏松年龄、FRAX、BMI指数；</w:t>
            </w:r>
          </w:p>
          <w:p w14:paraId="1FFC233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18、拥有多人种数据库:中国人数据，WHO国际兼容；</w:t>
            </w:r>
          </w:p>
          <w:p w14:paraId="0727450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▲19、附加功能：FRAX评估、BMI评估、RRF评估、骨龄评估功能</w:t>
            </w:r>
          </w:p>
          <w:p w14:paraId="66197324">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▲20、具有MDI设置功能：具有MDI设置功能，通过MDI模组进行图片患者信息的管理交互。</w:t>
            </w:r>
          </w:p>
          <w:p w14:paraId="7B7F031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21、勾边功能：自动描边、一点定位、人工描边；</w:t>
            </w:r>
          </w:p>
          <w:p w14:paraId="56D8BBF4">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★22、测量面积≥133mm*118mm</w:t>
            </w:r>
            <w:r>
              <w:rPr>
                <w:rFonts w:hint="eastAsia" w:ascii="仿宋" w:hAnsi="仿宋" w:eastAsia="仿宋" w:cs="仿宋"/>
                <w:b/>
                <w:bCs/>
                <w:i w:val="0"/>
                <w:iCs w:val="0"/>
                <w:color w:val="auto"/>
                <w:kern w:val="0"/>
                <w:sz w:val="21"/>
                <w:szCs w:val="21"/>
                <w:highlight w:val="none"/>
                <w:u w:val="none"/>
                <w:lang w:val="en-US" w:eastAsia="zh-CN" w:bidi="ar"/>
              </w:rPr>
              <w:t>（需提供第三方检测机构出具的检测报告复印件加盖投标人电子签章）</w:t>
            </w:r>
          </w:p>
          <w:p w14:paraId="440A74C7">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▲23、焦点与皮肤距离大于260mm ；</w:t>
            </w:r>
          </w:p>
          <w:p w14:paraId="1067FFDE">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▲24、射线管焦点到影像接收面距离，管屏距SID≥335mm；</w:t>
            </w:r>
          </w:p>
          <w:p w14:paraId="082E272E">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25、符合GBZ 130-2020《医用X射线诊断放射防护要求》机器表面1m处辐射泄露剂量率≤2.5μsv/h，免铅房使用；</w:t>
            </w:r>
          </w:p>
          <w:p w14:paraId="01F9DB1B">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26、具有儿童临床协议功能：操作人员可以针对不同测量人群，调整不同曝光参数，用更小的剂量，满足儿童骨龄拍摄条件。</w:t>
            </w:r>
          </w:p>
          <w:p w14:paraId="1928469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27、Z-值趋势图，T-值趋势图功能；</w:t>
            </w:r>
          </w:p>
          <w:p w14:paraId="0A07B823">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28、可选配骨龄功能模块，测量部位：指骨、腕骨、掌骨；</w:t>
            </w:r>
          </w:p>
          <w:p w14:paraId="01C4B844">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▲29、骨龄评价标准：TW3-RUS、TW3-C RUS、中华05（RUS-CHN）、TW3-C Carpal、CHN，包含中华05法R系列、C系列，TW3法R系列、C系列；</w:t>
            </w:r>
          </w:p>
          <w:p w14:paraId="394EDD1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▲30、身高预测方法：中华05法、TW3（Tanner and Whitehouse）法。</w:t>
            </w:r>
          </w:p>
          <w:p w14:paraId="080255A3">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31、身高、体重和BMI标准：依据《中国7岁以下儿童生长标准》《中国0-18岁儿童青少年身高、体重标准化生长曲线》评测。</w:t>
            </w:r>
          </w:p>
          <w:p w14:paraId="45A02C0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32、统计具有饼状统计与表格统计功能，数据分析处理及维护:骨密度相关数据分析，骨密度报告打印和系统数据远程交换；</w:t>
            </w:r>
          </w:p>
          <w:p w14:paraId="35E88876">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33、数据管理：满足His系统链接，符合DICOM3.0标准，具有管理病人数据、导入、导出、批量存档、病例管理功能。</w:t>
            </w:r>
          </w:p>
        </w:tc>
        <w:tc>
          <w:tcPr>
            <w:tcW w:w="638" w:type="dxa"/>
            <w:shd w:val="clear" w:color="auto" w:fill="auto"/>
            <w:vAlign w:val="center"/>
          </w:tcPr>
          <w:p w14:paraId="5D6C0554">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w:t>
            </w:r>
          </w:p>
        </w:tc>
      </w:tr>
      <w:tr w14:paraId="3829D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0" w:type="auto"/>
            <w:shd w:val="clear" w:color="auto" w:fill="auto"/>
            <w:vAlign w:val="center"/>
          </w:tcPr>
          <w:p w14:paraId="4D6D1FE3">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w:t>
            </w:r>
          </w:p>
        </w:tc>
        <w:tc>
          <w:tcPr>
            <w:tcW w:w="0" w:type="auto"/>
            <w:shd w:val="clear" w:color="auto" w:fill="auto"/>
            <w:vAlign w:val="center"/>
          </w:tcPr>
          <w:p w14:paraId="0598024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心电图机</w:t>
            </w:r>
          </w:p>
        </w:tc>
        <w:tc>
          <w:tcPr>
            <w:tcW w:w="0" w:type="auto"/>
            <w:shd w:val="clear" w:color="auto" w:fill="auto"/>
            <w:vAlign w:val="center"/>
          </w:tcPr>
          <w:p w14:paraId="3DC9B23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 xml:space="preserve">一、工作条件： </w:t>
            </w:r>
          </w:p>
          <w:p w14:paraId="3B77097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1.1产品可在电源交流100V~240V，50/60Hz，室温5—40℃和相对湿度25%RH~80%RH的环境下正常工作</w:t>
            </w:r>
          </w:p>
          <w:p w14:paraId="2FD5F736">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1.2产品的电源插头符合中国标准，无需适配器</w:t>
            </w:r>
          </w:p>
          <w:p w14:paraId="2C186F7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二、 ECG输入</w:t>
            </w:r>
          </w:p>
          <w:p w14:paraId="02AD719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2.1ECG输入通道：标准12导联心电信号同步采集</w:t>
            </w:r>
          </w:p>
          <w:p w14:paraId="279BC857">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2.2导联选择：手动/自动可选,（支持Nehb、Cabrera导联体系）</w:t>
            </w:r>
          </w:p>
          <w:p w14:paraId="6EC8A3B4">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2.3输入阻抗：≥100MΩ（10Hz）</w:t>
            </w:r>
          </w:p>
          <w:p w14:paraId="5BFA64A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 xml:space="preserve">2.4频率响应：0.01-450 Hz </w:t>
            </w:r>
          </w:p>
          <w:p w14:paraId="030C41F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2.5定标电压：1mV±1%</w:t>
            </w:r>
          </w:p>
          <w:p w14:paraId="3756862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 xml:space="preserve">2.6耐极化电压：±880 mV（±5%） </w:t>
            </w:r>
          </w:p>
          <w:p w14:paraId="161AB90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2.7内部噪声：≤12.5µVp-p</w:t>
            </w:r>
          </w:p>
          <w:p w14:paraId="044D427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2.8时间常数：≥5s</w:t>
            </w:r>
          </w:p>
          <w:p w14:paraId="5D96768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2.9共模抑制比：≥140dB（AC滤波开启）；≥123dB（AC滤波关闭）</w:t>
            </w:r>
          </w:p>
          <w:p w14:paraId="1709E7A6">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▲2.10输入电流：≤0.01μA</w:t>
            </w:r>
          </w:p>
          <w:p w14:paraId="72F96DF3">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2.11除颤保护：具有抗除颤电击保护功能</w:t>
            </w:r>
          </w:p>
          <w:p w14:paraId="682C7BE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2.12导联线：导联线内附抗除颤电击保护功能</w:t>
            </w:r>
          </w:p>
          <w:p w14:paraId="4B9BBE9E">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2.13中文输入及中文操作提示和中文报告语言</w:t>
            </w:r>
          </w:p>
          <w:p w14:paraId="2C75B53E">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三、波形处理：</w:t>
            </w:r>
          </w:p>
          <w:p w14:paraId="352C7C6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▲3.1A/D转换：24bit</w:t>
            </w:r>
          </w:p>
          <w:p w14:paraId="5BE6267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3.2采样率：40kHz *灵敏度选择：1.25、2.5、5、10、20、10/5、自动（AGC）mm/mV ±5%</w:t>
            </w:r>
          </w:p>
          <w:p w14:paraId="742AA25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3.3抗干扰滤波：具有交流滤波、肌电滤波、基线漂移滤波、低通滤波功能</w:t>
            </w:r>
          </w:p>
          <w:p w14:paraId="587ECD1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3.4自动分析功能：具有12导联同步自动分析以及RR分析功能</w:t>
            </w:r>
          </w:p>
          <w:p w14:paraId="7847722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3.5自诊断功能：具有设备自诊断及故障提示功能</w:t>
            </w:r>
          </w:p>
          <w:p w14:paraId="706D53F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四、存储器</w:t>
            </w:r>
          </w:p>
          <w:p w14:paraId="10B28E5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4.1设备内置存储器，存储病历800例</w:t>
            </w:r>
          </w:p>
          <w:p w14:paraId="519E1E23">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4.2数据可通过SD卡、USB口导入导出,外接U盘和SD卡可扩展存储空间</w:t>
            </w:r>
          </w:p>
          <w:p w14:paraId="59B2BE3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五、显示器：</w:t>
            </w:r>
          </w:p>
          <w:p w14:paraId="6C1B4697">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▲5.1≥7英寸彩色液晶显示屏（可选配触摸屏），倾斜角设计，支持显示背景网格</w:t>
            </w:r>
          </w:p>
          <w:p w14:paraId="276D80C4">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5.2显示信息：同屏显示12导同步心电波形</w:t>
            </w:r>
          </w:p>
          <w:p w14:paraId="3B0CE04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5.3显示内容应包含波形、心率、导联、走纸速度、增益、滤波器、时间、电池电量指示、输入法、文件、信息提示区、中文患者信息等</w:t>
            </w:r>
          </w:p>
          <w:p w14:paraId="121D1B6F">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六、记录器：</w:t>
            </w:r>
          </w:p>
          <w:p w14:paraId="70CDDF2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6.1热敏式点阵打印机</w:t>
            </w:r>
          </w:p>
          <w:p w14:paraId="1E8B351F">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 xml:space="preserve">6.2走纸速度：5、6.25、10、12.5、25、50 mm/s （±3%）  </w:t>
            </w:r>
          </w:p>
          <w:p w14:paraId="42E370B3">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 xml:space="preserve">6.3记录通道：3×4、3×4+1R、3×4+3R、6×2、6×2+1R、12×1 </w:t>
            </w:r>
          </w:p>
          <w:p w14:paraId="3C89A3F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6.4记录纸规格：支持折叠纸打印，打印纸宽度为：210mm</w:t>
            </w:r>
          </w:p>
          <w:p w14:paraId="598A64C1">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6.5打印方式：实时同步或连续12道心电波形，分段打印</w:t>
            </w:r>
          </w:p>
          <w:p w14:paraId="591FCD0F">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6.6记录内容：心电波形、分析结果、明尼苏达码、平均模板以及导联名称、走纸速度、增益、滤波器、日期、中文患者信息、标记等</w:t>
            </w:r>
          </w:p>
          <w:p w14:paraId="356D4CF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6.7可直接外接打印机，通过A4纸打印12道心电波形和报告</w:t>
            </w:r>
          </w:p>
          <w:p w14:paraId="17C84644">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6.8具备在无网格纸上打印网格功能</w:t>
            </w:r>
          </w:p>
          <w:p w14:paraId="45753418">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七、功能</w:t>
            </w:r>
          </w:p>
          <w:p w14:paraId="53D2F3F1">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7.1直接功能键和标准键盘，直观、易用，具有性别、年龄组快速切换键</w:t>
            </w:r>
          </w:p>
          <w:p w14:paraId="0359B59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7.2可选配心电向量</w:t>
            </w:r>
          </w:p>
          <w:p w14:paraId="65E118F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7.3可准确判定接触不良的电极并予以指示</w:t>
            </w:r>
          </w:p>
          <w:p w14:paraId="1D923BC7">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7.4拥有自动测量功能和自动诊断功能</w:t>
            </w:r>
          </w:p>
          <w:p w14:paraId="7335B4E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7.5手动、自动、节律、R-R四种工作模式可供选择。</w:t>
            </w:r>
          </w:p>
          <w:p w14:paraId="4FFD5C64">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7.6R-R间期检测，并将R-R趋势测量报告连同心电波形一并给出</w:t>
            </w:r>
          </w:p>
          <w:p w14:paraId="2458ECF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7.7自动模式下可以支持10-60s时间的采集，记录，存储，传输。</w:t>
            </w:r>
          </w:p>
          <w:p w14:paraId="7FF30B4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7.8支持实时采样、触发采样、周期采样模式，支持心律失常检测延时打印报告</w:t>
            </w:r>
          </w:p>
          <w:p w14:paraId="43EEDF03">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7.9周期记录模式,记录时间间隔最长可设置为60分钟</w:t>
            </w:r>
          </w:p>
          <w:p w14:paraId="1AC42BA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7.10长时间波形冻结功能</w:t>
            </w:r>
          </w:p>
          <w:p w14:paraId="12827C2F">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7.11具有病历管理功能，可进行病历查询、预览、修改、传输、打印</w:t>
            </w:r>
          </w:p>
          <w:p w14:paraId="2876874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7.12可以通过使用有线、无线方式和心电网络相连</w:t>
            </w:r>
          </w:p>
          <w:p w14:paraId="121A1506">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八、外部输入接口：</w:t>
            </w:r>
          </w:p>
          <w:p w14:paraId="10CF30B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8.1USB接口，网络接口功能，外部输入输出端口，SD卡接口</w:t>
            </w:r>
          </w:p>
          <w:p w14:paraId="252EBAA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8.2支持内置WIFI（选配），支持使用有线、无线的方式进行联网</w:t>
            </w:r>
          </w:p>
        </w:tc>
        <w:tc>
          <w:tcPr>
            <w:tcW w:w="638" w:type="dxa"/>
            <w:shd w:val="clear" w:color="auto" w:fill="auto"/>
            <w:vAlign w:val="center"/>
          </w:tcPr>
          <w:p w14:paraId="0CFB8696">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w:t>
            </w:r>
          </w:p>
        </w:tc>
      </w:tr>
      <w:tr w14:paraId="16B97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38" w:type="dxa"/>
            <w:shd w:val="clear" w:color="auto" w:fill="auto"/>
            <w:vAlign w:val="center"/>
          </w:tcPr>
          <w:p w14:paraId="51E21F5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w:t>
            </w:r>
          </w:p>
        </w:tc>
        <w:tc>
          <w:tcPr>
            <w:tcW w:w="1174" w:type="dxa"/>
            <w:shd w:val="clear" w:color="auto" w:fill="auto"/>
            <w:vAlign w:val="center"/>
          </w:tcPr>
          <w:p w14:paraId="53F27E2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血气分析仪</w:t>
            </w:r>
          </w:p>
        </w:tc>
        <w:tc>
          <w:tcPr>
            <w:tcW w:w="6831" w:type="dxa"/>
            <w:shd w:val="clear" w:color="auto" w:fill="auto"/>
            <w:vAlign w:val="center"/>
          </w:tcPr>
          <w:p w14:paraId="3CA15666">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1.▲测试参数：至少包含PH、PO2、PCO2、Na+、K+，CL-,Ca++, Hct，Glu，Lac等10项参数。</w:t>
            </w:r>
          </w:p>
          <w:p w14:paraId="23CC2433">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2.计算参数：至少包含Hb、tCO2、HCO3-、BE、sO2、SBC、SBE、BB、tO2、H+、AG、mOsm、RI等≥20项参数。</w:t>
            </w:r>
          </w:p>
          <w:p w14:paraId="0CDAFCE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3.★方法学原理：干式电化学原理。</w:t>
            </w:r>
          </w:p>
          <w:p w14:paraId="3938DD1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4.标本类型：可适用于动脉血、静脉血、毛细血管血等检测。</w:t>
            </w:r>
          </w:p>
          <w:p w14:paraId="46465008">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5.▲进样方式：自动水平进样。</w:t>
            </w:r>
          </w:p>
          <w:p w14:paraId="4380A636">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6.▲用血量：最低用血量≤80ul。</w:t>
            </w:r>
          </w:p>
          <w:p w14:paraId="3DEF309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7.检测时间：≤60s。</w:t>
            </w:r>
          </w:p>
          <w:p w14:paraId="2189853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8.检测耗材：试剂单人份设计，独立包装，常温或冷藏保存，即取即用。</w:t>
            </w:r>
          </w:p>
          <w:p w14:paraId="5BC9426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9.试剂效期：常温≥210天，冷藏存储≥360天。</w:t>
            </w:r>
          </w:p>
          <w:p w14:paraId="7B89CE43">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10.质量控制：提供原厂配套三级液体质控品。</w:t>
            </w:r>
          </w:p>
          <w:p w14:paraId="5EA1366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11.▲操作界面：≥7英寸彩色触摸屏。</w:t>
            </w:r>
          </w:p>
          <w:p w14:paraId="5037ED1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12.内置充电电池，断电后仍可连续测量≥50个样本。</w:t>
            </w:r>
          </w:p>
          <w:p w14:paraId="7F0CE32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13.仪器须内置热敏打印机，具备单机版软件，可打印A5报告单。</w:t>
            </w:r>
          </w:p>
          <w:p w14:paraId="501838CE">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14.数据接口与管理：串口、网络接口、USB口，支持直接连接LIS、HIS系统；仪器可存储≥10000个病人结果，可导出，可连接数据管理系统。</w:t>
            </w:r>
          </w:p>
          <w:p w14:paraId="0A52A28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15.仪器升级：系统自动升级软件，无需增加模块。</w:t>
            </w:r>
          </w:p>
          <w:p w14:paraId="5DBD303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16.★证书：获得13485认证、9001认证、CE认证、FDA认证。</w:t>
            </w:r>
          </w:p>
          <w:p w14:paraId="29C4C7D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17.★具备江苏省临检中心室间质评独立分组。</w:t>
            </w:r>
          </w:p>
        </w:tc>
        <w:tc>
          <w:tcPr>
            <w:tcW w:w="638" w:type="dxa"/>
            <w:shd w:val="clear" w:color="auto" w:fill="auto"/>
            <w:vAlign w:val="center"/>
          </w:tcPr>
          <w:p w14:paraId="5F85EEE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w:t>
            </w:r>
          </w:p>
        </w:tc>
      </w:tr>
    </w:tbl>
    <w:p w14:paraId="05C16091">
      <w:pPr>
        <w:keepNext w:val="0"/>
        <w:keepLines w:val="0"/>
        <w:pageBreakBefore w:val="0"/>
        <w:widowControl w:val="0"/>
        <w:kinsoku/>
        <w:wordWrap/>
        <w:overflowPunct/>
        <w:topLinePunct w:val="0"/>
        <w:autoSpaceDE/>
        <w:autoSpaceDN/>
        <w:bidi w:val="0"/>
        <w:adjustRightInd/>
        <w:snapToGrid/>
        <w:spacing w:line="40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包2：眼科设备</w:t>
      </w:r>
    </w:p>
    <w:tbl>
      <w:tblPr>
        <w:tblStyle w:val="44"/>
        <w:tblW w:w="92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638"/>
        <w:gridCol w:w="1481"/>
        <w:gridCol w:w="6524"/>
        <w:gridCol w:w="638"/>
      </w:tblGrid>
      <w:tr w14:paraId="77B75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blHeader/>
          <w:jc w:val="center"/>
        </w:trPr>
        <w:tc>
          <w:tcPr>
            <w:tcW w:w="0" w:type="auto"/>
            <w:shd w:val="clear" w:color="auto" w:fill="auto"/>
            <w:noWrap/>
            <w:vAlign w:val="center"/>
          </w:tcPr>
          <w:p w14:paraId="0A6D894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序号</w:t>
            </w:r>
          </w:p>
        </w:tc>
        <w:tc>
          <w:tcPr>
            <w:tcW w:w="0" w:type="auto"/>
            <w:shd w:val="clear" w:color="auto" w:fill="auto"/>
            <w:noWrap/>
            <w:vAlign w:val="center"/>
          </w:tcPr>
          <w:p w14:paraId="63EA95A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设备名称</w:t>
            </w:r>
          </w:p>
        </w:tc>
        <w:tc>
          <w:tcPr>
            <w:tcW w:w="0" w:type="auto"/>
            <w:shd w:val="clear" w:color="auto" w:fill="auto"/>
            <w:noWrap/>
            <w:vAlign w:val="center"/>
          </w:tcPr>
          <w:p w14:paraId="0E44385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技术参数</w:t>
            </w:r>
          </w:p>
        </w:tc>
        <w:tc>
          <w:tcPr>
            <w:tcW w:w="638" w:type="dxa"/>
            <w:shd w:val="clear" w:color="auto" w:fill="auto"/>
            <w:noWrap/>
            <w:vAlign w:val="center"/>
          </w:tcPr>
          <w:p w14:paraId="31A7A44B">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数量</w:t>
            </w:r>
          </w:p>
        </w:tc>
      </w:tr>
      <w:tr w14:paraId="40461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0" w:type="auto"/>
            <w:shd w:val="clear" w:color="auto" w:fill="auto"/>
            <w:noWrap/>
            <w:vAlign w:val="center"/>
          </w:tcPr>
          <w:p w14:paraId="4C4403D1">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w:t>
            </w:r>
          </w:p>
        </w:tc>
        <w:tc>
          <w:tcPr>
            <w:tcW w:w="0" w:type="auto"/>
            <w:shd w:val="clear" w:color="auto" w:fill="auto"/>
            <w:vAlign w:val="center"/>
          </w:tcPr>
          <w:p w14:paraId="675A58C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白内障超声乳化仪</w:t>
            </w:r>
          </w:p>
        </w:tc>
        <w:tc>
          <w:tcPr>
            <w:tcW w:w="0" w:type="auto"/>
            <w:shd w:val="clear" w:color="auto" w:fill="auto"/>
            <w:vAlign w:val="center"/>
          </w:tcPr>
          <w:p w14:paraId="46CAAF13">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 xml:space="preserve">一、主机： </w:t>
            </w:r>
          </w:p>
          <w:p w14:paraId="6DC7DBF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▲1.用户界面：≥15”交互式LCD触摸屏幕，图标指示</w:t>
            </w:r>
          </w:p>
          <w:p w14:paraId="5342121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2.程序储存：可记忆储存参数，最多可存储30个不同的用户，每个用户最多可存储40个程序</w:t>
            </w:r>
          </w:p>
          <w:p w14:paraId="1622F053">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▲3.脚踏：个性化编程，通过编程可控制设备所有的功能；可设定为单线性和双线性</w:t>
            </w:r>
          </w:p>
          <w:p w14:paraId="647B05B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★4.灌注系统：具有眼内压动态控制系统（主动加压灌注功能）和重力灌注系统；眼内压动态控制功能，可选用任何品牌灌注液；</w:t>
            </w:r>
          </w:p>
          <w:p w14:paraId="3D73E9BB">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5.泵系统：蠕动泵设计；</w:t>
            </w:r>
          </w:p>
          <w:p w14:paraId="2FEC00F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6.电凝：双极电凝；工作频率：≥2MHZ；功率：≥9W；可选的电凝镊，电凝笔；</w:t>
            </w:r>
          </w:p>
          <w:p w14:paraId="4ED8F58B">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 xml:space="preserve">▲7.集液盒及管路：积液盒一体化设计；标配可重复管路系统，也可配备一次性管路系统。           </w:t>
            </w:r>
          </w:p>
          <w:p w14:paraId="4AF4362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 xml:space="preserve">二、超声乳化：  </w:t>
            </w:r>
          </w:p>
          <w:p w14:paraId="64D3F8D7">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1.手柄：可选的四晶片手柄及六晶片手柄。频率：≥40KHZ，针头冲程：≥5um-100um可调；</w:t>
            </w:r>
          </w:p>
          <w:p w14:paraId="58C015E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内设手柄老化曲线，及时提醒因使用过多而引起的能量衰减或需更换手柄</w:t>
            </w:r>
          </w:p>
          <w:p w14:paraId="11B06D6F">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2.超乳针头：多种超乳针头可选：</w:t>
            </w:r>
          </w:p>
          <w:p w14:paraId="23188BDB">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≥20G及≥21G针头及相应套管适配2.2-3.0mm切口；</w:t>
            </w:r>
          </w:p>
          <w:p w14:paraId="72C3A44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可选的30°喇叭口直型及弯型针头</w:t>
            </w:r>
          </w:p>
          <w:p w14:paraId="263080B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▲3.具备微雕技术：针头的振幅与设置能量保持一致，优化能量传输</w:t>
            </w:r>
          </w:p>
          <w:p w14:paraId="518289B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▲4.能量模式：连续超声、脉冲（三种预设脉冲模式，最小脉冲为10ms）、爆破（单爆破、多爆破、连续爆破）；</w:t>
            </w:r>
          </w:p>
          <w:p w14:paraId="77BC22A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高级功能：</w:t>
            </w:r>
          </w:p>
          <w:p w14:paraId="3D6D9C7E">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4-1.脉冲模式具有冷超声、冰冷超声功能；</w:t>
            </w:r>
          </w:p>
          <w:p w14:paraId="0F8E696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4-2.脉冲模式下的HD模式自动切换能量输出形式；</w:t>
            </w:r>
          </w:p>
          <w:p w14:paraId="64E274A8">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4-3.Autolimit：在针头堵塞时，冲程小于低于50微米；</w:t>
            </w:r>
          </w:p>
          <w:p w14:paraId="6F5F1E06">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5.负压范围：≥5～650mmHg，可设置负压上升时间，蠕动泵：≥0.5s-12s 25级可调</w:t>
            </w:r>
          </w:p>
          <w:p w14:paraId="28D996CE">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6.流量范围：≥1～65cc/min</w:t>
            </w:r>
          </w:p>
          <w:p w14:paraId="68CA07F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▲7.眼内压控制：≥15-135mmHg</w:t>
            </w:r>
          </w:p>
          <w:p w14:paraId="1EBB5CF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val="0"/>
                <w:bCs w:val="0"/>
                <w:i w:val="0"/>
                <w:iCs w:val="0"/>
                <w:color w:val="auto"/>
                <w:kern w:val="0"/>
                <w:sz w:val="21"/>
                <w:szCs w:val="21"/>
                <w:highlight w:val="none"/>
                <w:u w:val="none"/>
                <w:lang w:val="en-US" w:eastAsia="zh-CN" w:bidi="ar"/>
              </w:rPr>
              <w:t>8.前玻切：气动玻切；单刃60 - 1,000 cuts/min；双刃120 - 2,000 cuts/min</w:t>
            </w:r>
          </w:p>
        </w:tc>
        <w:tc>
          <w:tcPr>
            <w:tcW w:w="638" w:type="dxa"/>
            <w:shd w:val="clear" w:color="auto" w:fill="auto"/>
            <w:vAlign w:val="center"/>
          </w:tcPr>
          <w:p w14:paraId="6E5A51D7">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313"/>
                <w:rFonts w:hint="default" w:ascii="仿宋" w:hAnsi="仿宋" w:eastAsia="仿宋" w:cs="仿宋"/>
                <w:color w:val="auto"/>
                <w:sz w:val="21"/>
                <w:szCs w:val="21"/>
                <w:highlight w:val="none"/>
                <w:lang w:val="en-US" w:eastAsia="zh-CN" w:bidi="ar"/>
              </w:rPr>
            </w:pPr>
            <w:r>
              <w:rPr>
                <w:rStyle w:val="313"/>
                <w:rFonts w:hint="eastAsia" w:ascii="仿宋" w:hAnsi="仿宋" w:eastAsia="仿宋" w:cs="仿宋"/>
                <w:color w:val="auto"/>
                <w:sz w:val="21"/>
                <w:szCs w:val="21"/>
                <w:highlight w:val="none"/>
                <w:lang w:val="en-US" w:eastAsia="zh-CN" w:bidi="ar"/>
              </w:rPr>
              <w:t>1</w:t>
            </w:r>
          </w:p>
        </w:tc>
      </w:tr>
      <w:tr w14:paraId="269A4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0" w:type="auto"/>
            <w:shd w:val="clear" w:color="auto" w:fill="auto"/>
            <w:noWrap/>
            <w:vAlign w:val="center"/>
          </w:tcPr>
          <w:p w14:paraId="4B12420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w:t>
            </w:r>
          </w:p>
        </w:tc>
        <w:tc>
          <w:tcPr>
            <w:tcW w:w="0" w:type="auto"/>
            <w:shd w:val="clear" w:color="auto" w:fill="auto"/>
            <w:noWrap/>
            <w:vAlign w:val="center"/>
          </w:tcPr>
          <w:p w14:paraId="749AED1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生物测量仪</w:t>
            </w:r>
          </w:p>
        </w:tc>
        <w:tc>
          <w:tcPr>
            <w:tcW w:w="0" w:type="auto"/>
            <w:shd w:val="clear" w:color="auto" w:fill="auto"/>
            <w:vAlign w:val="center"/>
          </w:tcPr>
          <w:p w14:paraId="530199CF">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 xml:space="preserve">1、▲原理：光干涉式测量 </w:t>
            </w:r>
          </w:p>
          <w:p w14:paraId="4F13038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眼轴长度  测量范围：≥14至40mm ，精确度≤0.01mm</w:t>
            </w:r>
          </w:p>
          <w:p w14:paraId="5839BF2B">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 xml:space="preserve">2、测量曲率和散光 </w:t>
            </w:r>
          </w:p>
          <w:p w14:paraId="0178A39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 xml:space="preserve">2.1 角膜曲率半径（R1，R2平均值）测量范围：≥5.00至12.00mm     </w:t>
            </w:r>
          </w:p>
          <w:p w14:paraId="27626C24">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2.2 角膜屈光度（K1，K2平均值） 测量范围：≥28.00至67.50D</w:t>
            </w:r>
          </w:p>
          <w:p w14:paraId="66B50524">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2.3 角膜散光度数（CYL） 测量范围：≥0至±12.00D</w:t>
            </w:r>
          </w:p>
          <w:p w14:paraId="5ABE047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2.4 角膜散光轴度（AXIS）测量范围：0至180°</w:t>
            </w:r>
          </w:p>
          <w:p w14:paraId="5E96853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 xml:space="preserve">3、前房深度和角膜厚度测量 </w:t>
            </w:r>
          </w:p>
          <w:p w14:paraId="6A01156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3.1 前房深度（ACD）测量范围：≥1.5至6.5mm，精确度：0.01mm</w:t>
            </w:r>
          </w:p>
          <w:p w14:paraId="3762855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3.2 中心角膜厚度    测量范围：≥250至1200μm，精确度：1μm</w:t>
            </w:r>
          </w:p>
          <w:p w14:paraId="2498A10E">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4、角膜直径测量（WTW）测量范围：≥7至14mm，精确度：1mm</w:t>
            </w:r>
          </w:p>
          <w:p w14:paraId="27DD3EB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5、瞳孔尺寸测量（PS） 测量范围：≥1至10mm，显示增量：0.1mm</w:t>
            </w:r>
          </w:p>
          <w:p w14:paraId="541CB4FE">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★6、人工晶体度数公式计算至少满足六种，SRK,SRK II,SRK/T,Binkhorst,HoffreQ,Holladay, Haigis，Camellin-Calossi，Barrett，必须包含Barrett公式。</w:t>
            </w:r>
          </w:p>
          <w:p w14:paraId="74F76333">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7、3D自动追踪、自动对焦、自动测量</w:t>
            </w:r>
          </w:p>
          <w:p w14:paraId="54CD16B8">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8、打印机：便捷热敏行式打印机，自动装纸切纸功能，打印纸无需穿过打印机</w:t>
            </w:r>
          </w:p>
          <w:p w14:paraId="15E91D7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 xml:space="preserve">9、观察/显示类型 </w:t>
            </w:r>
          </w:p>
          <w:p w14:paraId="4BF0250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9.1▲ 显示可倾斜的彩色LCD触屏，≥5°倾动装置；</w:t>
            </w:r>
          </w:p>
          <w:p w14:paraId="2EA295F1">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9.2 显示项目测量值，设置，按钮图标，对齐标志，眼前节图像，测量环图像；</w:t>
            </w:r>
          </w:p>
          <w:p w14:paraId="4109A58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10、▲可测量Kappa角，Alpha角</w:t>
            </w:r>
          </w:p>
          <w:p w14:paraId="39B0A081">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11、▲具备轴率比显示</w:t>
            </w:r>
          </w:p>
          <w:p w14:paraId="35E5A944">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12、▲具备近视防控软件，可根据不同控制方法预测眼轴和近视情况</w:t>
            </w:r>
          </w:p>
          <w:p w14:paraId="32DFA7C1">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13、接口功能：USB、 LAN</w:t>
            </w:r>
          </w:p>
          <w:p w14:paraId="468AF6E7">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14、配主机，图文工作站</w:t>
            </w:r>
          </w:p>
        </w:tc>
        <w:tc>
          <w:tcPr>
            <w:tcW w:w="638" w:type="dxa"/>
            <w:shd w:val="clear" w:color="auto" w:fill="auto"/>
            <w:vAlign w:val="center"/>
          </w:tcPr>
          <w:p w14:paraId="0E5C2D5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w:t>
            </w:r>
          </w:p>
        </w:tc>
      </w:tr>
      <w:tr w14:paraId="26083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38" w:type="dxa"/>
            <w:shd w:val="clear" w:color="auto" w:fill="auto"/>
            <w:noWrap/>
            <w:vAlign w:val="center"/>
          </w:tcPr>
          <w:p w14:paraId="2FF94D44">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w:t>
            </w:r>
          </w:p>
        </w:tc>
        <w:tc>
          <w:tcPr>
            <w:tcW w:w="1481" w:type="dxa"/>
            <w:shd w:val="clear" w:color="auto" w:fill="auto"/>
            <w:vAlign w:val="center"/>
          </w:tcPr>
          <w:p w14:paraId="0AF6B306">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眼科A/B超声诊断仪</w:t>
            </w:r>
          </w:p>
        </w:tc>
        <w:tc>
          <w:tcPr>
            <w:tcW w:w="6524" w:type="dxa"/>
            <w:shd w:val="clear" w:color="auto" w:fill="auto"/>
            <w:vAlign w:val="center"/>
          </w:tcPr>
          <w:p w14:paraId="0747C66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（一）、主要参数要求</w:t>
            </w:r>
          </w:p>
          <w:p w14:paraId="61F22386">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 A 超</w:t>
            </w:r>
          </w:p>
          <w:p w14:paraId="617D4F84">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1.1 探头频率：≥10MHz ，内置发光管 测量精度：≤±0.04mm</w:t>
            </w:r>
          </w:p>
          <w:p w14:paraId="63732FFB">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1.2 测量参数：前房深度、晶体厚度、玻璃体长度、眼轴长度</w:t>
            </w:r>
          </w:p>
          <w:p w14:paraId="266862A8">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▲1.3眼轴长度的测量范围：≥6mm～40mm，误差≤±0.04mm；</w:t>
            </w:r>
          </w:p>
          <w:p w14:paraId="4D4242B3">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1.4前房深度的测量范围：≥1mm～10mm，误差≤±0.04mm；</w:t>
            </w:r>
          </w:p>
          <w:p w14:paraId="4F6DFE7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1.5晶体厚度的测量范围：≥0.6mm～12mm，误差≤±0.04mm；</w:t>
            </w:r>
          </w:p>
          <w:p w14:paraId="45F4649F">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1.6玻璃体厚度的测量范围：≥2mm～34mm ，误差≤±0.04mm；</w:t>
            </w:r>
          </w:p>
          <w:p w14:paraId="520A289E">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1.7 测量模式：晶体眼、无晶体眼、致密白内障、各种人工晶体眼</w:t>
            </w:r>
          </w:p>
          <w:p w14:paraId="53851BDB">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▲1.8 IOL 公式： SRK-II、SRK-T、HOFFER-Q、HOLLADAY、BINKHORST-II、HAIG IS 统计计算：平均值和标准差</w:t>
            </w:r>
          </w:p>
          <w:p w14:paraId="5EF8EEEF">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1.9 存储：可存储≥10次A超扫描结果</w:t>
            </w:r>
          </w:p>
          <w:p w14:paraId="38965F7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 B 超</w:t>
            </w:r>
          </w:p>
          <w:p w14:paraId="5A53E34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▲2.1 探头频率：≥10MHz 静音磁驱动探头 扫描方式：扇形扫描</w:t>
            </w:r>
          </w:p>
          <w:p w14:paraId="46C926A3">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2.2 分辨力：轴向≤0.2mm  侧向≤0.4mm；</w:t>
            </w:r>
          </w:p>
          <w:p w14:paraId="2C45CAB3">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2.3 放大功能：多级连续放大，实时放大</w:t>
            </w:r>
          </w:p>
          <w:p w14:paraId="48C5D19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▲2.4 玻璃体和视网膜增强功能</w:t>
            </w:r>
          </w:p>
          <w:p w14:paraId="479157A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2.5 探头增益：≥30dB-105Db</w:t>
            </w:r>
          </w:p>
          <w:p w14:paraId="3629C09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 xml:space="preserve">▲2.6 B超几何位置精度：横向≤3%  纵向≤2% </w:t>
            </w:r>
          </w:p>
          <w:p w14:paraId="24508AB8">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▲2.7 探测深度：≥60mm</w:t>
            </w:r>
          </w:p>
          <w:p w14:paraId="44A796F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2.8 扫描角度：≥53 度</w:t>
            </w:r>
          </w:p>
          <w:p w14:paraId="04C6E3A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2.9 图像灰级：≥256 级</w:t>
            </w:r>
          </w:p>
          <w:p w14:paraId="2E21AF0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2.10 伪彩模式：多种伪彩</w:t>
            </w:r>
          </w:p>
          <w:p w14:paraId="1E16E14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 xml:space="preserve">2.11 测量类型：多组距离、周长及面积 </w:t>
            </w:r>
          </w:p>
          <w:p w14:paraId="7EB0F10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2.12 图象后处理：多组伪彩处理曲线</w:t>
            </w:r>
          </w:p>
          <w:p w14:paraId="1ACF4B9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2.13 电影回放：≥100 幅图像回放，AVI、JPG 格式影像输出</w:t>
            </w:r>
          </w:p>
          <w:p w14:paraId="609F9EF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 其他</w:t>
            </w:r>
          </w:p>
          <w:p w14:paraId="78B170F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3.1 显示模式：B、B+B、B+A、A</w:t>
            </w:r>
          </w:p>
          <w:p w14:paraId="07157B9B">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 xml:space="preserve">3.2 所见提示：预置专家字典输入或手工输入 </w:t>
            </w:r>
          </w:p>
          <w:p w14:paraId="7B69004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3.3 检索功能：多关键字检索功能</w:t>
            </w:r>
          </w:p>
          <w:p w14:paraId="73EEA066">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3.4 自定义报告模板，适用微软等操作系统。</w:t>
            </w:r>
          </w:p>
          <w:p w14:paraId="3623D8BE">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★3.5 设备采用分体式主机和显示器尺寸：彩色、≥23英寸、16:9</w:t>
            </w:r>
          </w:p>
          <w:p w14:paraId="2B1A8B3E">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（二）主要配置要求</w:t>
            </w:r>
          </w:p>
          <w:p w14:paraId="645F1C8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 主机一台</w:t>
            </w:r>
          </w:p>
          <w:p w14:paraId="154A642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 A超、B超探头各一个</w:t>
            </w:r>
          </w:p>
          <w:p w14:paraId="717C80C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 定标柱一个</w:t>
            </w:r>
          </w:p>
          <w:p w14:paraId="6D60255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4. 彩色显示器一台</w:t>
            </w:r>
          </w:p>
          <w:p w14:paraId="356EEE61">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5. 彩色打印机一台</w:t>
            </w:r>
          </w:p>
          <w:p w14:paraId="6EEB791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6. 隔离电源一台</w:t>
            </w:r>
          </w:p>
          <w:p w14:paraId="0D807A8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 A/B超影像工作站软件一套</w:t>
            </w:r>
          </w:p>
        </w:tc>
        <w:tc>
          <w:tcPr>
            <w:tcW w:w="638" w:type="dxa"/>
            <w:shd w:val="clear" w:color="auto" w:fill="auto"/>
            <w:vAlign w:val="center"/>
          </w:tcPr>
          <w:p w14:paraId="35892453">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w:t>
            </w:r>
          </w:p>
        </w:tc>
      </w:tr>
    </w:tbl>
    <w:p w14:paraId="663EAF76">
      <w:pPr>
        <w:pStyle w:val="63"/>
        <w:keepNext w:val="0"/>
        <w:keepLines w:val="0"/>
        <w:pageBreakBefore w:val="0"/>
        <w:kinsoku/>
        <w:wordWrap/>
        <w:overflowPunct/>
        <w:topLinePunct w:val="0"/>
        <w:autoSpaceDE/>
        <w:autoSpaceDN/>
        <w:bidi w:val="0"/>
        <w:adjustRightInd/>
        <w:snapToGrid/>
        <w:spacing w:line="400" w:lineRule="exact"/>
        <w:ind w:left="0" w:leftChars="0" w:firstLine="0" w:firstLineChars="0"/>
        <w:rPr>
          <w:rFonts w:hint="eastAsia" w:ascii="仿宋" w:hAnsi="仿宋" w:eastAsia="仿宋" w:cs="仿宋"/>
          <w:bCs/>
          <w:color w:val="auto"/>
          <w:sz w:val="28"/>
          <w:szCs w:val="28"/>
          <w:highlight w:val="none"/>
          <w:lang w:val="en-US" w:eastAsia="zh-CN" w:bidi="ar-SA"/>
        </w:rPr>
      </w:pPr>
    </w:p>
    <w:p w14:paraId="6EE3469C">
      <w:pPr>
        <w:pStyle w:val="63"/>
        <w:keepNext w:val="0"/>
        <w:keepLines w:val="0"/>
        <w:pageBreakBefore w:val="0"/>
        <w:kinsoku/>
        <w:wordWrap/>
        <w:overflowPunct/>
        <w:topLinePunct w:val="0"/>
        <w:autoSpaceDE/>
        <w:autoSpaceDN/>
        <w:bidi w:val="0"/>
        <w:adjustRightInd/>
        <w:snapToGrid/>
        <w:spacing w:line="400" w:lineRule="exact"/>
        <w:ind w:left="0" w:leftChars="0" w:firstLine="0" w:firstLineChars="0"/>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包3：口腔颌面锥形束计算机体层摄影设备（口腔CT）</w:t>
      </w:r>
    </w:p>
    <w:tbl>
      <w:tblPr>
        <w:tblStyle w:val="45"/>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
        <w:gridCol w:w="816"/>
        <w:gridCol w:w="6773"/>
        <w:gridCol w:w="849"/>
      </w:tblGrid>
      <w:tr w14:paraId="1EF97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849" w:type="dxa"/>
            <w:vAlign w:val="center"/>
          </w:tcPr>
          <w:p w14:paraId="7960AF28">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b/>
                <w:color w:val="auto"/>
                <w:sz w:val="21"/>
                <w:szCs w:val="21"/>
                <w:highlight w:val="none"/>
                <w:vertAlign w:val="baseline"/>
                <w:lang w:val="en-US" w:eastAsia="zh-CN"/>
              </w:rPr>
            </w:pPr>
            <w:r>
              <w:rPr>
                <w:rFonts w:hint="eastAsia" w:ascii="仿宋" w:hAnsi="仿宋" w:eastAsia="仿宋" w:cs="仿宋"/>
                <w:b/>
                <w:color w:val="auto"/>
                <w:sz w:val="21"/>
                <w:szCs w:val="21"/>
                <w:highlight w:val="none"/>
                <w:vertAlign w:val="baseline"/>
                <w:lang w:val="en-US" w:eastAsia="zh-CN"/>
              </w:rPr>
              <w:t>序号</w:t>
            </w:r>
          </w:p>
        </w:tc>
        <w:tc>
          <w:tcPr>
            <w:tcW w:w="0" w:type="auto"/>
            <w:vAlign w:val="center"/>
          </w:tcPr>
          <w:p w14:paraId="606A83C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b/>
                <w:color w:val="auto"/>
                <w:sz w:val="21"/>
                <w:szCs w:val="21"/>
                <w:highlight w:val="none"/>
                <w:vertAlign w:val="baseline"/>
                <w:lang w:val="en-US" w:eastAsia="zh-CN"/>
              </w:rPr>
            </w:pPr>
            <w:r>
              <w:rPr>
                <w:rFonts w:hint="eastAsia" w:ascii="仿宋" w:hAnsi="仿宋" w:eastAsia="仿宋" w:cs="仿宋"/>
                <w:b/>
                <w:bCs/>
                <w:i w:val="0"/>
                <w:iCs w:val="0"/>
                <w:color w:val="auto"/>
                <w:kern w:val="0"/>
                <w:sz w:val="21"/>
                <w:szCs w:val="21"/>
                <w:highlight w:val="none"/>
                <w:u w:val="none"/>
                <w:lang w:val="en-US" w:eastAsia="zh-CN" w:bidi="ar"/>
              </w:rPr>
              <w:t>设备名称</w:t>
            </w:r>
          </w:p>
        </w:tc>
        <w:tc>
          <w:tcPr>
            <w:tcW w:w="6773" w:type="dxa"/>
            <w:vAlign w:val="center"/>
          </w:tcPr>
          <w:p w14:paraId="21997B0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b/>
                <w:color w:val="auto"/>
                <w:sz w:val="21"/>
                <w:szCs w:val="21"/>
                <w:highlight w:val="none"/>
                <w:vertAlign w:val="baseline"/>
                <w:lang w:val="en-US" w:eastAsia="zh-CN"/>
              </w:rPr>
            </w:pPr>
            <w:r>
              <w:rPr>
                <w:rFonts w:hint="eastAsia" w:ascii="仿宋" w:hAnsi="仿宋" w:eastAsia="仿宋" w:cs="仿宋"/>
                <w:b/>
                <w:bCs/>
                <w:i w:val="0"/>
                <w:iCs w:val="0"/>
                <w:color w:val="auto"/>
                <w:kern w:val="0"/>
                <w:sz w:val="21"/>
                <w:szCs w:val="21"/>
                <w:highlight w:val="none"/>
                <w:u w:val="none"/>
                <w:lang w:val="en-US" w:eastAsia="zh-CN" w:bidi="ar"/>
              </w:rPr>
              <w:t>技术参数</w:t>
            </w:r>
          </w:p>
        </w:tc>
        <w:tc>
          <w:tcPr>
            <w:tcW w:w="849" w:type="dxa"/>
            <w:vAlign w:val="center"/>
          </w:tcPr>
          <w:p w14:paraId="3DD5248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数量</w:t>
            </w:r>
          </w:p>
        </w:tc>
      </w:tr>
      <w:tr w14:paraId="4B293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9" w:type="dxa"/>
            <w:vAlign w:val="center"/>
          </w:tcPr>
          <w:p w14:paraId="39A233E6">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default"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w:t>
            </w:r>
          </w:p>
        </w:tc>
        <w:tc>
          <w:tcPr>
            <w:tcW w:w="816" w:type="dxa"/>
            <w:vAlign w:val="center"/>
          </w:tcPr>
          <w:p w14:paraId="1256AE7B">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口腔颌面锥形束计算机体层摄影设备（口腔CT）</w:t>
            </w:r>
          </w:p>
        </w:tc>
        <w:tc>
          <w:tcPr>
            <w:tcW w:w="6773" w:type="dxa"/>
            <w:vAlign w:val="center"/>
          </w:tcPr>
          <w:p w14:paraId="263081A4">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1.扫描架系统</w:t>
            </w:r>
          </w:p>
          <w:p w14:paraId="5DAA3E5A">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（1）CT平板探测器类型：CsI+ TFT；</w:t>
            </w:r>
          </w:p>
          <w:p w14:paraId="67DEED30">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（2）探测器有效成像区域：≥15.3cm×15.3cm；</w:t>
            </w:r>
          </w:p>
          <w:p w14:paraId="14EBE6EF">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（3）探测器像素大小：≤100um；</w:t>
            </w:r>
          </w:p>
          <w:p w14:paraId="0BD60ABE">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（4）探测器输出数据灰阶：≥16bit；</w:t>
            </w:r>
          </w:p>
          <w:p w14:paraId="49C0119A">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（5）最小重建体素：≤70um；</w:t>
            </w:r>
          </w:p>
          <w:p w14:paraId="34D4B2AC">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2.侧位支架系统</w:t>
            </w:r>
          </w:p>
          <w:p w14:paraId="66664F44">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（1）头侧探测器类型：CsI+CMOS；</w:t>
            </w:r>
          </w:p>
          <w:p w14:paraId="45FA2161">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（2）最小探测器像素大小：≤100um；</w:t>
            </w:r>
          </w:p>
          <w:p w14:paraId="7F65F148">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lang w:val="en-US" w:eastAsia="zh-CN"/>
              </w:rPr>
              <w:t>（3）探测器输出数据灰阶：≥16bit；</w:t>
            </w:r>
          </w:p>
          <w:p w14:paraId="5505AEF4">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3.X射线源组件</w:t>
            </w:r>
          </w:p>
          <w:p w14:paraId="5255B90A">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（1）类型：高频脉冲高压X射线发生器；</w:t>
            </w:r>
          </w:p>
          <w:p w14:paraId="77C03A4E">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（2）球管电压：60-100kV；</w:t>
            </w:r>
          </w:p>
          <w:p w14:paraId="1B29EC28">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（3）球管电流：1-10mA；</w:t>
            </w:r>
          </w:p>
          <w:p w14:paraId="40075D1E">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lang w:val="en-US" w:eastAsia="zh-CN"/>
              </w:rPr>
              <w:t>（4）球管焦点：≥0.5mm；</w:t>
            </w:r>
          </w:p>
          <w:p w14:paraId="4B1E98A5">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4.扫描参数和图像质量</w:t>
            </w:r>
          </w:p>
          <w:p w14:paraId="4E135500">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▲（1）CT单次扫描最大视野：≥16cm×11cm</w:t>
            </w:r>
          </w:p>
          <w:p w14:paraId="112AE2A5">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▲（2）CT拍摄视野可选择：可提供包括小视野，中视野，大视野在内的至少5个不同视野，且最小视野不大于5cm×5cm </w:t>
            </w:r>
          </w:p>
          <w:p w14:paraId="579BBE88">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（2）CT空间分辨率：≥1.0lp/mm；  </w:t>
            </w:r>
          </w:p>
          <w:p w14:paraId="190B68DD">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（3）全景空间分辨率：≥2.5lp/mm；</w:t>
            </w:r>
          </w:p>
          <w:p w14:paraId="3235EFD6">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（4）头颅侧位空间分辨率：≥2.0lp/mm；</w:t>
            </w:r>
          </w:p>
          <w:p w14:paraId="52262315">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（5）全景最短扫描时间：≤14s；</w:t>
            </w:r>
          </w:p>
          <w:p w14:paraId="1657A711">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（6）头颅侧位最短扫描时间：≤8.4s；</w:t>
            </w:r>
          </w:p>
          <w:p w14:paraId="294C24DE">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（7）CT最短扫描时间：≤8s；</w:t>
            </w:r>
          </w:p>
          <w:p w14:paraId="0738C075">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lang w:val="en-US" w:eastAsia="zh-CN"/>
              </w:rPr>
              <w:t>（8）CT图像信噪比：≤9.0；</w:t>
            </w:r>
          </w:p>
          <w:p w14:paraId="719F0FB8">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5.计算机</w:t>
            </w:r>
          </w:p>
          <w:p w14:paraId="3292B3E5">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（1）CPU：≥i5六核；</w:t>
            </w:r>
          </w:p>
          <w:p w14:paraId="1B409E63">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（2）内存：≥16GB，DDR4 内存；        </w:t>
            </w:r>
          </w:p>
          <w:p w14:paraId="5396EE10">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（3）显卡：独立显卡，显存≥8GB；</w:t>
            </w:r>
          </w:p>
          <w:p w14:paraId="52CCB86D">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（4）硬盘容量：≥2TB，系统盘采用≥256G固态硬盘；</w:t>
            </w:r>
          </w:p>
          <w:p w14:paraId="792B4172">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（5）显示器：≥23.8″液晶，分辨率为1920×1080；</w:t>
            </w:r>
          </w:p>
          <w:p w14:paraId="23F69C47">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（6）CT图像重建时间：≤60秒；</w:t>
            </w:r>
          </w:p>
          <w:p w14:paraId="67B727FB">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lang w:val="en-US" w:eastAsia="zh-CN"/>
              </w:rPr>
              <w:t>（7）图像重建技术：三维锥形束FDK算法。</w:t>
            </w:r>
          </w:p>
          <w:p w14:paraId="7CF7210B">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6.临床应用软件</w:t>
            </w:r>
          </w:p>
          <w:p w14:paraId="3A839181">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（1）支持远程PACS服务器连接，可将设备接入医院现有PACS网络，提供存储、传输、远程打印、查询功能；</w:t>
            </w:r>
          </w:p>
          <w:p w14:paraId="0C09D824">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（2）以标准DICOM3.0格式输出图像文件，可与PACS、RIS相连，支持局域网络共享，分机影像查看；</w:t>
            </w:r>
          </w:p>
          <w:p w14:paraId="31429EAB">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▲（3）具备口腔数字化影像软件和正畸处理软件各一套，均拥有原厂独立NMPA注册证；</w:t>
            </w:r>
          </w:p>
          <w:p w14:paraId="0A089C2C">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（4）距离测量：可测量直线距离、曲线距离；角度测量：可进行三点角度测量、四点角度测量；面积测量：可测量任意区域的面积；连续测量：可测量连续距离；</w:t>
            </w:r>
          </w:p>
          <w:p w14:paraId="4A1729A2">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（5）牙弓线绘制：AI自动绘制牙弓线，生成患者全景图像，可手动调整；</w:t>
            </w:r>
          </w:p>
          <w:p w14:paraId="0DD18494">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（6）AI神经管绘制：具备手动和全自动标记描绘神经管两种模式，全自动模式可一秒着色呈现，能显示三维重建模型，具备自动检测并标注神经管功能；</w:t>
            </w:r>
          </w:p>
          <w:p w14:paraId="5112A786">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（7）AI自动精确进行双侧颞颌关节切片，方便进行双侧关节影像查看，可以任意调节层厚；</w:t>
            </w:r>
          </w:p>
          <w:p w14:paraId="32C134BD">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（8）VTO功能：可通过更改牙位来改变患者照片的侧貌，形成可视化正畸预览；</w:t>
            </w:r>
          </w:p>
          <w:p w14:paraId="7C3589A9">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（9）内窥镜功能：可以3D视角内窥观察患者神经管、根管内部情况；</w:t>
            </w:r>
          </w:p>
          <w:p w14:paraId="0D863794">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（10）金属去伪影校正：降低口腔内金属物或其他高密度物质对CT成像效果的影响；</w:t>
            </w:r>
          </w:p>
          <w:p w14:paraId="65C6FF38">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（11）种植体数据库：拥有上百种主流型号种植体，免费升级种植体库，可依据医院需求添加所需要的品牌、系列种植体模型；</w:t>
            </w:r>
          </w:p>
          <w:p w14:paraId="2808D8C2">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（12）定点观察，可在全景视图中以任意一点为中心，自动展示该位置的轴状面、矢状面、冠状面影像，方便观察；</w:t>
            </w:r>
          </w:p>
          <w:p w14:paraId="05E86B9A">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13）多平面重建图像：集成化界面，任意位置、任意方向观察患者切片，成像能显示成像轮廓和边缘；MIP（最大密度投影），可以透明观察内部结构；成像模式可一键切换，层厚可以任意调节；可将同一患者所有影像数据融合在同一软件中诊断管理；</w:t>
            </w:r>
          </w:p>
          <w:p w14:paraId="7872F2EE">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14）AI智能正畸测量分析系统：可一键自动描绘所有正畸点位，一键出具正畸报告功能；可一键自动标记≥67个分析点、≥193个测量项目，提供≥26种测量分析方法，支持个性化的测量分析方法，一键生成分析报告，支持诊疗各阶段的轮廓对比，支持可视化矫正模拟，支持骨龄分析、气道分析、正貌分析、侧貌分析等，无需联网亦可使用。</w:t>
            </w:r>
          </w:p>
          <w:p w14:paraId="034C15E3">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（15）三维正畸：具备CT数据模拟头颅正位、侧位功能；单侧头影测量功能，自动分割侧位片中的左右半边图像，再分别进行AI头影测量，减少了结构的重叠。</w:t>
            </w:r>
          </w:p>
          <w:p w14:paraId="10637029">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lang w:val="en-US" w:eastAsia="zh-CN"/>
              </w:rPr>
              <w:t>▲（16）CT动态对比功能：在同一界面可对不同时间拍摄的CT片进行任意切面和三维模型动态对比，适用于口腔外科、正颌正畸、颞颌关节的对比诊断。</w:t>
            </w:r>
          </w:p>
          <w:p w14:paraId="614898E9">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7.结构性能</w:t>
            </w:r>
          </w:p>
          <w:p w14:paraId="4444D839">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▲（1）摆位及扫描：采用侧方开放式摆位，摆位及扫描过程中受检者侧对立柱设计（非面向立柱站立）。可正面观察（非通过镜面反射）定位激光线位置；</w:t>
            </w:r>
          </w:p>
          <w:p w14:paraId="3C43E397">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lang w:val="en-US" w:eastAsia="zh-CN"/>
              </w:rPr>
              <w:t>机架底座：采用U型底座（非X型）。</w:t>
            </w:r>
          </w:p>
        </w:tc>
        <w:tc>
          <w:tcPr>
            <w:tcW w:w="849" w:type="dxa"/>
            <w:vAlign w:val="center"/>
          </w:tcPr>
          <w:p w14:paraId="2C51B2DE">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p>
        </w:tc>
      </w:tr>
    </w:tbl>
    <w:p w14:paraId="2E2FE538">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color w:val="auto"/>
          <w:sz w:val="21"/>
          <w:szCs w:val="21"/>
          <w:highlight w:val="none"/>
          <w:lang w:val="en-US" w:eastAsia="zh-CN"/>
        </w:rPr>
      </w:pPr>
    </w:p>
    <w:p w14:paraId="14425B4D">
      <w:pPr>
        <w:pStyle w:val="63"/>
        <w:keepNext w:val="0"/>
        <w:keepLines w:val="0"/>
        <w:pageBreakBefore w:val="0"/>
        <w:numPr>
          <w:ilvl w:val="0"/>
          <w:numId w:val="0"/>
        </w:numPr>
        <w:kinsoku/>
        <w:wordWrap/>
        <w:overflowPunct/>
        <w:topLinePunct w:val="0"/>
        <w:autoSpaceDE/>
        <w:autoSpaceDN/>
        <w:bidi w:val="0"/>
        <w:adjustRightInd/>
        <w:snapToGrid/>
        <w:spacing w:line="4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包4：乳腺钼靶(DR)</w:t>
      </w:r>
    </w:p>
    <w:tbl>
      <w:tblPr>
        <w:tblStyle w:val="45"/>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0"/>
        <w:gridCol w:w="1716"/>
        <w:gridCol w:w="5891"/>
        <w:gridCol w:w="840"/>
      </w:tblGrid>
      <w:tr w14:paraId="1AFEF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840" w:type="dxa"/>
            <w:vAlign w:val="center"/>
          </w:tcPr>
          <w:p w14:paraId="3D81F213">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b/>
                <w:bCs/>
                <w:color w:val="auto"/>
                <w:sz w:val="21"/>
                <w:szCs w:val="21"/>
                <w:highlight w:val="none"/>
                <w:vertAlign w:val="baseline"/>
              </w:rPr>
            </w:pPr>
            <w:r>
              <w:rPr>
                <w:rFonts w:hint="eastAsia" w:ascii="仿宋" w:hAnsi="仿宋" w:eastAsia="仿宋" w:cs="仿宋"/>
                <w:b/>
                <w:color w:val="auto"/>
                <w:sz w:val="21"/>
                <w:szCs w:val="21"/>
                <w:highlight w:val="none"/>
                <w:vertAlign w:val="baseline"/>
                <w:lang w:val="en-US" w:eastAsia="zh-CN"/>
              </w:rPr>
              <w:t>序号</w:t>
            </w:r>
          </w:p>
        </w:tc>
        <w:tc>
          <w:tcPr>
            <w:tcW w:w="0" w:type="auto"/>
            <w:vAlign w:val="center"/>
          </w:tcPr>
          <w:p w14:paraId="1EB415C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b/>
                <w:bCs/>
                <w:color w:val="auto"/>
                <w:sz w:val="21"/>
                <w:szCs w:val="21"/>
                <w:highlight w:val="none"/>
                <w:vertAlign w:val="baseline"/>
              </w:rPr>
            </w:pPr>
            <w:r>
              <w:rPr>
                <w:rFonts w:hint="eastAsia" w:ascii="仿宋" w:hAnsi="仿宋" w:eastAsia="仿宋" w:cs="仿宋"/>
                <w:b/>
                <w:bCs/>
                <w:i w:val="0"/>
                <w:iCs w:val="0"/>
                <w:color w:val="auto"/>
                <w:kern w:val="0"/>
                <w:sz w:val="21"/>
                <w:szCs w:val="21"/>
                <w:highlight w:val="none"/>
                <w:u w:val="none"/>
                <w:lang w:val="en-US" w:eastAsia="zh-CN" w:bidi="ar"/>
              </w:rPr>
              <w:t>设备名称</w:t>
            </w:r>
          </w:p>
        </w:tc>
        <w:tc>
          <w:tcPr>
            <w:tcW w:w="5891" w:type="dxa"/>
            <w:vAlign w:val="center"/>
          </w:tcPr>
          <w:p w14:paraId="6853371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b/>
                <w:bCs/>
                <w:color w:val="auto"/>
                <w:sz w:val="21"/>
                <w:szCs w:val="21"/>
                <w:highlight w:val="none"/>
                <w:vertAlign w:val="baseline"/>
              </w:rPr>
            </w:pPr>
            <w:r>
              <w:rPr>
                <w:rFonts w:hint="eastAsia" w:ascii="仿宋" w:hAnsi="仿宋" w:eastAsia="仿宋" w:cs="仿宋"/>
                <w:b/>
                <w:bCs/>
                <w:i w:val="0"/>
                <w:iCs w:val="0"/>
                <w:color w:val="auto"/>
                <w:kern w:val="0"/>
                <w:sz w:val="21"/>
                <w:szCs w:val="21"/>
                <w:highlight w:val="none"/>
                <w:u w:val="none"/>
                <w:lang w:val="en-US" w:eastAsia="zh-CN" w:bidi="ar"/>
              </w:rPr>
              <w:t>技术参数</w:t>
            </w:r>
          </w:p>
        </w:tc>
        <w:tc>
          <w:tcPr>
            <w:tcW w:w="840" w:type="dxa"/>
            <w:vAlign w:val="center"/>
          </w:tcPr>
          <w:p w14:paraId="3B927C2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数量</w:t>
            </w:r>
          </w:p>
        </w:tc>
      </w:tr>
      <w:tr w14:paraId="34BD1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0" w:hRule="atLeast"/>
          <w:jc w:val="center"/>
        </w:trPr>
        <w:tc>
          <w:tcPr>
            <w:tcW w:w="840" w:type="dxa"/>
            <w:vAlign w:val="center"/>
          </w:tcPr>
          <w:p w14:paraId="41B528E4">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default" w:ascii="仿宋" w:hAnsi="仿宋" w:eastAsia="仿宋" w:cs="仿宋"/>
                <w:bCs/>
                <w:color w:val="auto"/>
                <w:sz w:val="21"/>
                <w:szCs w:val="21"/>
                <w:highlight w:val="none"/>
                <w:vertAlign w:val="baseline"/>
                <w:lang w:val="en-US" w:eastAsia="zh-CN"/>
              </w:rPr>
            </w:pPr>
            <w:r>
              <w:rPr>
                <w:rFonts w:hint="eastAsia" w:ascii="仿宋" w:hAnsi="仿宋" w:eastAsia="仿宋" w:cs="仿宋"/>
                <w:bCs/>
                <w:color w:val="auto"/>
                <w:sz w:val="21"/>
                <w:szCs w:val="21"/>
                <w:highlight w:val="none"/>
                <w:vertAlign w:val="baseline"/>
                <w:lang w:val="en-US" w:eastAsia="zh-CN"/>
              </w:rPr>
              <w:t>1</w:t>
            </w:r>
          </w:p>
        </w:tc>
        <w:tc>
          <w:tcPr>
            <w:tcW w:w="1716" w:type="dxa"/>
            <w:vAlign w:val="center"/>
          </w:tcPr>
          <w:p w14:paraId="2A24C1B8">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bCs/>
                <w:color w:val="auto"/>
                <w:sz w:val="21"/>
                <w:szCs w:val="21"/>
                <w:highlight w:val="none"/>
                <w:vertAlign w:val="baseline"/>
              </w:rPr>
            </w:pPr>
            <w:r>
              <w:rPr>
                <w:rFonts w:hint="eastAsia" w:ascii="仿宋" w:hAnsi="仿宋" w:eastAsia="仿宋" w:cs="仿宋"/>
                <w:bCs/>
                <w:color w:val="auto"/>
                <w:sz w:val="28"/>
                <w:szCs w:val="28"/>
                <w:highlight w:val="none"/>
                <w:lang w:val="en-US" w:eastAsia="zh-CN" w:bidi="ar-SA"/>
              </w:rPr>
              <w:t>乳腺钼靶(DR)</w:t>
            </w:r>
          </w:p>
        </w:tc>
        <w:tc>
          <w:tcPr>
            <w:tcW w:w="5891" w:type="dxa"/>
            <w:vAlign w:val="center"/>
          </w:tcPr>
          <w:p w14:paraId="4E9A2B1C">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1.</w:t>
            </w:r>
            <w:r>
              <w:rPr>
                <w:rFonts w:hint="eastAsia" w:ascii="仿宋" w:hAnsi="仿宋" w:eastAsia="仿宋" w:cs="仿宋"/>
                <w:bCs/>
                <w:color w:val="auto"/>
                <w:sz w:val="21"/>
                <w:szCs w:val="21"/>
                <w:highlight w:val="none"/>
              </w:rPr>
              <w:t>高压发生器：</w:t>
            </w:r>
          </w:p>
          <w:p w14:paraId="7AE08EFF">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1</w:t>
            </w:r>
            <w:r>
              <w:rPr>
                <w:rFonts w:hint="eastAsia" w:ascii="仿宋" w:hAnsi="仿宋" w:eastAsia="仿宋" w:cs="仿宋"/>
                <w:bCs/>
                <w:color w:val="auto"/>
                <w:sz w:val="21"/>
                <w:szCs w:val="21"/>
                <w:highlight w:val="none"/>
              </w:rPr>
              <w:t>.1</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高压发生器类型：高频逆变式</w:t>
            </w:r>
          </w:p>
          <w:p w14:paraId="596FCB35">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w:t>
            </w:r>
            <w:r>
              <w:rPr>
                <w:rFonts w:hint="eastAsia" w:ascii="仿宋" w:hAnsi="仿宋" w:eastAsia="仿宋" w:cs="仿宋"/>
                <w:bCs/>
                <w:color w:val="auto"/>
                <w:sz w:val="21"/>
                <w:szCs w:val="21"/>
                <w:highlight w:val="none"/>
                <w:lang w:val="en-US" w:eastAsia="zh-CN"/>
              </w:rPr>
              <w:t>1</w:t>
            </w:r>
            <w:r>
              <w:rPr>
                <w:rFonts w:hint="eastAsia" w:ascii="仿宋" w:hAnsi="仿宋" w:eastAsia="仿宋" w:cs="仿宋"/>
                <w:bCs/>
                <w:color w:val="auto"/>
                <w:sz w:val="21"/>
                <w:szCs w:val="21"/>
                <w:highlight w:val="none"/>
              </w:rPr>
              <w:t>.2功率：≥5KW</w:t>
            </w:r>
          </w:p>
          <w:p w14:paraId="193BCCB3">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1</w:t>
            </w:r>
            <w:r>
              <w:rPr>
                <w:rFonts w:hint="eastAsia" w:ascii="仿宋" w:hAnsi="仿宋" w:eastAsia="仿宋" w:cs="仿宋"/>
                <w:bCs/>
                <w:color w:val="auto"/>
                <w:sz w:val="21"/>
                <w:szCs w:val="21"/>
                <w:highlight w:val="none"/>
              </w:rPr>
              <w:t>.3</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曝光电压范围：20～40KV</w:t>
            </w:r>
          </w:p>
          <w:p w14:paraId="647224B4">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1</w:t>
            </w:r>
            <w:r>
              <w:rPr>
                <w:rFonts w:hint="eastAsia" w:ascii="仿宋" w:hAnsi="仿宋" w:eastAsia="仿宋" w:cs="仿宋"/>
                <w:bCs/>
                <w:color w:val="auto"/>
                <w:sz w:val="21"/>
                <w:szCs w:val="21"/>
                <w:highlight w:val="none"/>
              </w:rPr>
              <w:t>.4</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最小输出电流：≤10mA</w:t>
            </w:r>
          </w:p>
          <w:p w14:paraId="42A689F7">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1</w:t>
            </w:r>
            <w:r>
              <w:rPr>
                <w:rFonts w:hint="eastAsia" w:ascii="仿宋" w:hAnsi="仿宋" w:eastAsia="仿宋" w:cs="仿宋"/>
                <w:bCs/>
                <w:color w:val="auto"/>
                <w:sz w:val="21"/>
                <w:szCs w:val="21"/>
                <w:highlight w:val="none"/>
              </w:rPr>
              <w:t>.5</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最大输出电流：≥200mA</w:t>
            </w:r>
          </w:p>
          <w:p w14:paraId="7E8208E1">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1</w:t>
            </w:r>
            <w:r>
              <w:rPr>
                <w:rFonts w:hint="eastAsia" w:ascii="仿宋" w:hAnsi="仿宋" w:eastAsia="仿宋" w:cs="仿宋"/>
                <w:bCs/>
                <w:color w:val="auto"/>
                <w:sz w:val="21"/>
                <w:szCs w:val="21"/>
                <w:highlight w:val="none"/>
              </w:rPr>
              <w:t>.6</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最小mAs：≤5 mAs</w:t>
            </w:r>
          </w:p>
          <w:p w14:paraId="7E08CD96">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1</w:t>
            </w:r>
            <w:r>
              <w:rPr>
                <w:rFonts w:hint="eastAsia" w:ascii="仿宋" w:hAnsi="仿宋" w:eastAsia="仿宋" w:cs="仿宋"/>
                <w:bCs/>
                <w:color w:val="auto"/>
                <w:sz w:val="21"/>
                <w:szCs w:val="21"/>
                <w:highlight w:val="none"/>
              </w:rPr>
              <w:t>.7</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最大mAs：≥600 mAs</w:t>
            </w:r>
          </w:p>
          <w:p w14:paraId="167382BC">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1</w:t>
            </w:r>
            <w:r>
              <w:rPr>
                <w:rFonts w:hint="eastAsia" w:ascii="仿宋" w:hAnsi="仿宋" w:eastAsia="仿宋" w:cs="仿宋"/>
                <w:bCs/>
                <w:color w:val="auto"/>
                <w:sz w:val="21"/>
                <w:szCs w:val="21"/>
                <w:highlight w:val="none"/>
              </w:rPr>
              <w:t>.8</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曝光时间范围：5ms-10000ms</w:t>
            </w:r>
          </w:p>
          <w:p w14:paraId="6648DD68">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1</w:t>
            </w:r>
            <w:r>
              <w:rPr>
                <w:rFonts w:hint="eastAsia" w:ascii="仿宋" w:hAnsi="仿宋" w:eastAsia="仿宋" w:cs="仿宋"/>
                <w:bCs/>
                <w:color w:val="auto"/>
                <w:sz w:val="21"/>
                <w:szCs w:val="21"/>
                <w:highlight w:val="none"/>
              </w:rPr>
              <w:t>.9</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多种曝光控制方式：手动曝光控制和全自动曝光控制</w:t>
            </w:r>
          </w:p>
          <w:p w14:paraId="68C818F4">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1</w:t>
            </w:r>
            <w:r>
              <w:rPr>
                <w:rFonts w:hint="eastAsia" w:ascii="仿宋" w:hAnsi="仿宋" w:eastAsia="仿宋" w:cs="仿宋"/>
                <w:bCs/>
                <w:color w:val="auto"/>
                <w:sz w:val="21"/>
                <w:szCs w:val="21"/>
                <w:highlight w:val="none"/>
              </w:rPr>
              <w:t>.9.1手动曝光控制模式： KV和mAs手动调整</w:t>
            </w:r>
          </w:p>
          <w:p w14:paraId="1400B2A8">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1</w:t>
            </w:r>
            <w:r>
              <w:rPr>
                <w:rFonts w:hint="eastAsia" w:ascii="仿宋" w:hAnsi="仿宋" w:eastAsia="仿宋" w:cs="仿宋"/>
                <w:bCs/>
                <w:color w:val="auto"/>
                <w:sz w:val="21"/>
                <w:szCs w:val="21"/>
                <w:highlight w:val="none"/>
              </w:rPr>
              <w:t>.9.2全自动曝光控制模式：KV和mAs自动调整</w:t>
            </w:r>
          </w:p>
          <w:p w14:paraId="6475E55B">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w:t>
            </w:r>
            <w:r>
              <w:rPr>
                <w:rFonts w:hint="eastAsia" w:ascii="仿宋" w:hAnsi="仿宋" w:eastAsia="仿宋" w:cs="仿宋"/>
                <w:bCs/>
                <w:color w:val="auto"/>
                <w:sz w:val="21"/>
                <w:szCs w:val="21"/>
                <w:highlight w:val="none"/>
                <w:lang w:val="en-US" w:eastAsia="zh-CN"/>
              </w:rPr>
              <w:t>1</w:t>
            </w:r>
            <w:r>
              <w:rPr>
                <w:rFonts w:hint="eastAsia" w:ascii="仿宋" w:hAnsi="仿宋" w:eastAsia="仿宋" w:cs="仿宋"/>
                <w:bCs/>
                <w:color w:val="auto"/>
                <w:sz w:val="21"/>
                <w:szCs w:val="21"/>
                <w:highlight w:val="none"/>
              </w:rPr>
              <w:t>.10六种曝光选择模式</w:t>
            </w:r>
          </w:p>
          <w:p w14:paraId="53F8E5F4">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1</w:t>
            </w:r>
            <w:r>
              <w:rPr>
                <w:rFonts w:hint="eastAsia" w:ascii="仿宋" w:hAnsi="仿宋" w:eastAsia="仿宋" w:cs="仿宋"/>
                <w:bCs/>
                <w:color w:val="auto"/>
                <w:sz w:val="21"/>
                <w:szCs w:val="21"/>
                <w:highlight w:val="none"/>
              </w:rPr>
              <w:t>.10.1剂量优先HQ/SQ：具备</w:t>
            </w:r>
          </w:p>
          <w:p w14:paraId="72869CF3">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1</w:t>
            </w:r>
            <w:r>
              <w:rPr>
                <w:rFonts w:hint="eastAsia" w:ascii="仿宋" w:hAnsi="仿宋" w:eastAsia="仿宋" w:cs="仿宋"/>
                <w:bCs/>
                <w:color w:val="auto"/>
                <w:sz w:val="21"/>
                <w:szCs w:val="21"/>
                <w:highlight w:val="none"/>
              </w:rPr>
              <w:t>.10.2对比度优先HQ/SQ：具备</w:t>
            </w:r>
          </w:p>
          <w:p w14:paraId="5C920567">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1</w:t>
            </w:r>
            <w:r>
              <w:rPr>
                <w:rFonts w:hint="eastAsia" w:ascii="仿宋" w:hAnsi="仿宋" w:eastAsia="仿宋" w:cs="仿宋"/>
                <w:bCs/>
                <w:color w:val="auto"/>
                <w:sz w:val="21"/>
                <w:szCs w:val="21"/>
                <w:highlight w:val="none"/>
              </w:rPr>
              <w:t>.10.3标准模式HQ/SQ：具备</w:t>
            </w:r>
          </w:p>
          <w:p w14:paraId="53AB4B7A">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X线球管</w:t>
            </w:r>
          </w:p>
          <w:p w14:paraId="240BC400">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w:t>
            </w: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.1球管阳极靶面材料：钨靶，非双靶设计</w:t>
            </w:r>
          </w:p>
          <w:p w14:paraId="1E696C94">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.2</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球管焦点：</w:t>
            </w:r>
          </w:p>
          <w:p w14:paraId="1D8F4A3A">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小焦点：≤0.1 mm×0.1mm；大焦点：≤0.3 mm×0.3mm</w:t>
            </w:r>
          </w:p>
          <w:p w14:paraId="5D3E4FEE">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.3</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阳极靶角：≥10°</w:t>
            </w:r>
          </w:p>
          <w:p w14:paraId="53657B61">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w:t>
            </w: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.4阳极转速：≥10000rpm/min</w:t>
            </w:r>
          </w:p>
          <w:p w14:paraId="63756ED1">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w:t>
            </w: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.5阳极热容量：≥300KHU</w:t>
            </w:r>
          </w:p>
          <w:p w14:paraId="12047631">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vertAlign w:val="baseline"/>
              </w:rPr>
            </w:pP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.6</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最大管电流：≥200mA</w:t>
            </w:r>
          </w:p>
          <w:p w14:paraId="5E714863">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3.</w:t>
            </w:r>
            <w:r>
              <w:rPr>
                <w:rFonts w:hint="eastAsia" w:ascii="仿宋" w:hAnsi="仿宋" w:eastAsia="仿宋" w:cs="仿宋"/>
                <w:bCs/>
                <w:color w:val="auto"/>
                <w:sz w:val="21"/>
                <w:szCs w:val="21"/>
                <w:highlight w:val="none"/>
              </w:rPr>
              <w:t>摄影架系统</w:t>
            </w:r>
          </w:p>
          <w:p w14:paraId="009BEE05">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3</w:t>
            </w:r>
            <w:r>
              <w:rPr>
                <w:rFonts w:hint="eastAsia" w:ascii="仿宋" w:hAnsi="仿宋" w:eastAsia="仿宋" w:cs="仿宋"/>
                <w:bCs/>
                <w:color w:val="auto"/>
                <w:sz w:val="21"/>
                <w:szCs w:val="21"/>
                <w:highlight w:val="none"/>
              </w:rPr>
              <w:t>.1</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机架结构：开放式C型臂设计</w:t>
            </w:r>
          </w:p>
          <w:p w14:paraId="34341606">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3</w:t>
            </w:r>
            <w:r>
              <w:rPr>
                <w:rFonts w:hint="eastAsia" w:ascii="仿宋" w:hAnsi="仿宋" w:eastAsia="仿宋" w:cs="仿宋"/>
                <w:bCs/>
                <w:color w:val="auto"/>
                <w:sz w:val="21"/>
                <w:szCs w:val="21"/>
                <w:highlight w:val="none"/>
              </w:rPr>
              <w:t>.2</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垂直升降范围：≥590mm</w:t>
            </w:r>
          </w:p>
          <w:p w14:paraId="533FB6BA">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3</w:t>
            </w:r>
            <w:r>
              <w:rPr>
                <w:rFonts w:hint="eastAsia" w:ascii="仿宋" w:hAnsi="仿宋" w:eastAsia="仿宋" w:cs="仿宋"/>
                <w:bCs/>
                <w:color w:val="auto"/>
                <w:sz w:val="21"/>
                <w:szCs w:val="21"/>
                <w:highlight w:val="none"/>
              </w:rPr>
              <w:t>.3</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SID：≥600mm</w:t>
            </w:r>
          </w:p>
          <w:p w14:paraId="2BD99C23">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3</w:t>
            </w:r>
            <w:r>
              <w:rPr>
                <w:rFonts w:hint="eastAsia" w:ascii="仿宋" w:hAnsi="仿宋" w:eastAsia="仿宋" w:cs="仿宋"/>
                <w:bCs/>
                <w:color w:val="auto"/>
                <w:sz w:val="21"/>
                <w:szCs w:val="21"/>
                <w:highlight w:val="none"/>
              </w:rPr>
              <w:t>.4</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C臂绕水平轴旋转角度: ≥300°</w:t>
            </w:r>
          </w:p>
          <w:p w14:paraId="6B7D1DEE">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3</w:t>
            </w:r>
            <w:r>
              <w:rPr>
                <w:rFonts w:hint="eastAsia" w:ascii="仿宋" w:hAnsi="仿宋" w:eastAsia="仿宋" w:cs="仿宋"/>
                <w:bCs/>
                <w:color w:val="auto"/>
                <w:sz w:val="21"/>
                <w:szCs w:val="21"/>
                <w:highlight w:val="none"/>
              </w:rPr>
              <w:t>.5</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具有镜向角度记忆功能，可一键式摆位，快捷准确</w:t>
            </w:r>
          </w:p>
          <w:p w14:paraId="0A46AD89">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3</w:t>
            </w:r>
            <w:r>
              <w:rPr>
                <w:rFonts w:hint="eastAsia" w:ascii="仿宋" w:hAnsi="仿宋" w:eastAsia="仿宋" w:cs="仿宋"/>
                <w:bCs/>
                <w:color w:val="auto"/>
                <w:sz w:val="21"/>
                <w:szCs w:val="21"/>
                <w:highlight w:val="none"/>
              </w:rPr>
              <w:t>.6</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C臂等中心旋转、上下运动通过按键或脚闸控制</w:t>
            </w:r>
          </w:p>
          <w:p w14:paraId="3D257729">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3</w:t>
            </w:r>
            <w:r>
              <w:rPr>
                <w:rFonts w:hint="eastAsia" w:ascii="仿宋" w:hAnsi="仿宋" w:eastAsia="仿宋" w:cs="仿宋"/>
                <w:bCs/>
                <w:color w:val="auto"/>
                <w:sz w:val="21"/>
                <w:szCs w:val="21"/>
                <w:highlight w:val="none"/>
              </w:rPr>
              <w:t>.7</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运动控制：C臂旋转速度随着按键按压时间的长短自动匹配运动速率</w:t>
            </w:r>
          </w:p>
          <w:p w14:paraId="0AED80FE">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3</w:t>
            </w:r>
            <w:r>
              <w:rPr>
                <w:rFonts w:hint="eastAsia" w:ascii="仿宋" w:hAnsi="仿宋" w:eastAsia="仿宋" w:cs="仿宋"/>
                <w:bCs/>
                <w:color w:val="auto"/>
                <w:sz w:val="21"/>
                <w:szCs w:val="21"/>
                <w:highlight w:val="none"/>
              </w:rPr>
              <w:t>.8</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机架两边具有升降、旋转电动控制按钮</w:t>
            </w:r>
          </w:p>
          <w:p w14:paraId="253CC925">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w:t>
            </w:r>
            <w:r>
              <w:rPr>
                <w:rFonts w:hint="eastAsia" w:ascii="仿宋" w:hAnsi="仿宋" w:eastAsia="仿宋" w:cs="仿宋"/>
                <w:bCs/>
                <w:color w:val="auto"/>
                <w:sz w:val="21"/>
                <w:szCs w:val="21"/>
                <w:highlight w:val="none"/>
                <w:lang w:val="en-US" w:eastAsia="zh-CN"/>
              </w:rPr>
              <w:t>3</w:t>
            </w:r>
            <w:r>
              <w:rPr>
                <w:rFonts w:hint="eastAsia" w:ascii="仿宋" w:hAnsi="仿宋" w:eastAsia="仿宋" w:cs="仿宋"/>
                <w:bCs/>
                <w:color w:val="auto"/>
                <w:sz w:val="21"/>
                <w:szCs w:val="21"/>
                <w:highlight w:val="none"/>
              </w:rPr>
              <w:t>.9彩色液晶显示屏尺寸：≥5.7英寸</w:t>
            </w:r>
          </w:p>
          <w:p w14:paraId="4474F3DC">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3</w:t>
            </w:r>
            <w:r>
              <w:rPr>
                <w:rFonts w:hint="eastAsia" w:ascii="仿宋" w:hAnsi="仿宋" w:eastAsia="仿宋" w:cs="仿宋"/>
                <w:bCs/>
                <w:color w:val="auto"/>
                <w:sz w:val="21"/>
                <w:szCs w:val="21"/>
                <w:highlight w:val="none"/>
              </w:rPr>
              <w:t>.10液晶显示屏显示内容： C臂角度、压迫厚度及压迫力度，具备激活参数放大显示功能</w:t>
            </w:r>
          </w:p>
          <w:p w14:paraId="679290BC">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w:t>
            </w:r>
            <w:r>
              <w:rPr>
                <w:rFonts w:hint="eastAsia" w:ascii="仿宋" w:hAnsi="仿宋" w:eastAsia="仿宋" w:cs="仿宋"/>
                <w:bCs/>
                <w:color w:val="auto"/>
                <w:sz w:val="21"/>
                <w:szCs w:val="21"/>
                <w:highlight w:val="none"/>
                <w:lang w:val="en-US" w:eastAsia="zh-CN"/>
              </w:rPr>
              <w:t>3</w:t>
            </w:r>
            <w:r>
              <w:rPr>
                <w:rFonts w:hint="eastAsia" w:ascii="仿宋" w:hAnsi="仿宋" w:eastAsia="仿宋" w:cs="仿宋"/>
                <w:bCs/>
                <w:color w:val="auto"/>
                <w:sz w:val="21"/>
                <w:szCs w:val="21"/>
                <w:highlight w:val="none"/>
              </w:rPr>
              <w:t>.11单键完成设备的折叠功能，折叠后设备的整机高度：≤1300mm</w:t>
            </w:r>
          </w:p>
          <w:p w14:paraId="73CD2FD9">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vertAlign w:val="baseline"/>
              </w:rPr>
            </w:pPr>
            <w:r>
              <w:rPr>
                <w:rFonts w:hint="eastAsia" w:ascii="仿宋" w:hAnsi="仿宋" w:eastAsia="仿宋" w:cs="仿宋"/>
                <w:bCs/>
                <w:color w:val="auto"/>
                <w:sz w:val="21"/>
                <w:szCs w:val="21"/>
                <w:highlight w:val="none"/>
                <w:lang w:val="en-US" w:eastAsia="zh-CN"/>
              </w:rPr>
              <w:t>3</w:t>
            </w:r>
            <w:r>
              <w:rPr>
                <w:rFonts w:hint="eastAsia" w:ascii="仿宋" w:hAnsi="仿宋" w:eastAsia="仿宋" w:cs="仿宋"/>
                <w:bCs/>
                <w:color w:val="auto"/>
                <w:sz w:val="21"/>
                <w:szCs w:val="21"/>
                <w:highlight w:val="none"/>
              </w:rPr>
              <w:t>.12具备急停开关功能</w:t>
            </w:r>
          </w:p>
          <w:p w14:paraId="42A3D8D9">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4.</w:t>
            </w:r>
            <w:r>
              <w:rPr>
                <w:rFonts w:hint="eastAsia" w:ascii="仿宋" w:hAnsi="仿宋" w:eastAsia="仿宋" w:cs="仿宋"/>
                <w:bCs/>
                <w:color w:val="auto"/>
                <w:sz w:val="21"/>
                <w:szCs w:val="21"/>
                <w:highlight w:val="none"/>
              </w:rPr>
              <w:t>平板探测器</w:t>
            </w:r>
          </w:p>
          <w:p w14:paraId="1C7BEDD5">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4</w:t>
            </w:r>
            <w:r>
              <w:rPr>
                <w:rFonts w:hint="eastAsia" w:ascii="仿宋" w:hAnsi="仿宋" w:eastAsia="仿宋" w:cs="仿宋"/>
                <w:bCs/>
                <w:color w:val="auto"/>
                <w:sz w:val="21"/>
                <w:szCs w:val="21"/>
                <w:highlight w:val="none"/>
              </w:rPr>
              <w:t>.1</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探测器材料：乳腺摄影专用非晶硅平板探测器</w:t>
            </w:r>
          </w:p>
          <w:p w14:paraId="60E89EC7">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4</w:t>
            </w:r>
            <w:r>
              <w:rPr>
                <w:rFonts w:hint="eastAsia" w:ascii="仿宋" w:hAnsi="仿宋" w:eastAsia="仿宋" w:cs="仿宋"/>
                <w:bCs/>
                <w:color w:val="auto"/>
                <w:sz w:val="21"/>
                <w:szCs w:val="21"/>
                <w:highlight w:val="none"/>
              </w:rPr>
              <w:t>.2</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探测器成像区域：≥24cm×30cm</w:t>
            </w:r>
          </w:p>
          <w:p w14:paraId="3737E4A1">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4</w:t>
            </w:r>
            <w:r>
              <w:rPr>
                <w:rFonts w:hint="eastAsia" w:ascii="仿宋" w:hAnsi="仿宋" w:eastAsia="仿宋" w:cs="仿宋"/>
                <w:bCs/>
                <w:color w:val="auto"/>
                <w:sz w:val="21"/>
                <w:szCs w:val="21"/>
                <w:highlight w:val="none"/>
              </w:rPr>
              <w:t>.3</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像素矩阵：≥3500×2800</w:t>
            </w:r>
          </w:p>
          <w:p w14:paraId="3B221234">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4</w:t>
            </w:r>
            <w:r>
              <w:rPr>
                <w:rFonts w:hint="eastAsia" w:ascii="仿宋" w:hAnsi="仿宋" w:eastAsia="仿宋" w:cs="仿宋"/>
                <w:bCs/>
                <w:color w:val="auto"/>
                <w:sz w:val="21"/>
                <w:szCs w:val="21"/>
                <w:highlight w:val="none"/>
              </w:rPr>
              <w:t>.4</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像素尺寸：≤85 μm</w:t>
            </w:r>
          </w:p>
          <w:p w14:paraId="6B128DBD">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w:t>
            </w:r>
            <w:r>
              <w:rPr>
                <w:rFonts w:hint="eastAsia" w:ascii="仿宋" w:hAnsi="仿宋" w:eastAsia="仿宋" w:cs="仿宋"/>
                <w:bCs/>
                <w:color w:val="auto"/>
                <w:sz w:val="21"/>
                <w:szCs w:val="21"/>
                <w:highlight w:val="none"/>
                <w:lang w:val="en-US" w:eastAsia="zh-CN"/>
              </w:rPr>
              <w:t>4</w:t>
            </w:r>
            <w:r>
              <w:rPr>
                <w:rFonts w:hint="eastAsia" w:ascii="仿宋" w:hAnsi="仿宋" w:eastAsia="仿宋" w:cs="仿宋"/>
                <w:bCs/>
                <w:color w:val="auto"/>
                <w:sz w:val="21"/>
                <w:szCs w:val="21"/>
                <w:highlight w:val="none"/>
              </w:rPr>
              <w:t>.5空间分辨率：≥7 lp/mm</w:t>
            </w:r>
          </w:p>
          <w:p w14:paraId="5EA9F408">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4</w:t>
            </w:r>
            <w:r>
              <w:rPr>
                <w:rFonts w:hint="eastAsia" w:ascii="仿宋" w:hAnsi="仿宋" w:eastAsia="仿宋" w:cs="仿宋"/>
                <w:bCs/>
                <w:color w:val="auto"/>
                <w:sz w:val="21"/>
                <w:szCs w:val="21"/>
                <w:highlight w:val="none"/>
              </w:rPr>
              <w:t>.6</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图像预览时间：≤7 s</w:t>
            </w:r>
          </w:p>
          <w:p w14:paraId="22A7BF54">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4</w:t>
            </w:r>
            <w:r>
              <w:rPr>
                <w:rFonts w:hint="eastAsia" w:ascii="仿宋" w:hAnsi="仿宋" w:eastAsia="仿宋" w:cs="仿宋"/>
                <w:bCs/>
                <w:color w:val="auto"/>
                <w:sz w:val="21"/>
                <w:szCs w:val="21"/>
                <w:highlight w:val="none"/>
              </w:rPr>
              <w:t>.7</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成像时间：≤10 s</w:t>
            </w:r>
          </w:p>
          <w:p w14:paraId="309D5B81">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4</w:t>
            </w:r>
            <w:r>
              <w:rPr>
                <w:rFonts w:hint="eastAsia" w:ascii="仿宋" w:hAnsi="仿宋" w:eastAsia="仿宋" w:cs="仿宋"/>
                <w:bCs/>
                <w:color w:val="auto"/>
                <w:sz w:val="21"/>
                <w:szCs w:val="21"/>
                <w:highlight w:val="none"/>
              </w:rPr>
              <w:t>.8</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A/D转换：≥16 bit</w:t>
            </w:r>
          </w:p>
          <w:p w14:paraId="7D55B180">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vertAlign w:val="baseline"/>
              </w:rPr>
            </w:pPr>
            <w:r>
              <w:rPr>
                <w:rFonts w:hint="eastAsia" w:ascii="仿宋" w:hAnsi="仿宋" w:eastAsia="仿宋" w:cs="仿宋"/>
                <w:bCs/>
                <w:color w:val="auto"/>
                <w:sz w:val="21"/>
                <w:szCs w:val="21"/>
                <w:highlight w:val="none"/>
              </w:rPr>
              <w:t>▲</w:t>
            </w:r>
            <w:r>
              <w:rPr>
                <w:rFonts w:hint="eastAsia" w:ascii="仿宋" w:hAnsi="仿宋" w:eastAsia="仿宋" w:cs="仿宋"/>
                <w:bCs/>
                <w:color w:val="auto"/>
                <w:sz w:val="21"/>
                <w:szCs w:val="21"/>
                <w:highlight w:val="none"/>
                <w:lang w:val="en-US" w:eastAsia="zh-CN"/>
              </w:rPr>
              <w:t>4</w:t>
            </w:r>
            <w:r>
              <w:rPr>
                <w:rFonts w:hint="eastAsia" w:ascii="仿宋" w:hAnsi="仿宋" w:eastAsia="仿宋" w:cs="仿宋"/>
                <w:bCs/>
                <w:color w:val="auto"/>
                <w:sz w:val="21"/>
                <w:szCs w:val="21"/>
                <w:highlight w:val="none"/>
              </w:rPr>
              <w:t>.9具备电子AEC实现自动曝光控制功能，非物理电离室实现</w:t>
            </w:r>
            <w:r>
              <w:rPr>
                <w:rFonts w:hint="eastAsia" w:ascii="仿宋" w:hAnsi="仿宋" w:eastAsia="仿宋" w:cs="仿宋"/>
                <w:b/>
                <w:bCs w:val="0"/>
                <w:color w:val="auto"/>
                <w:sz w:val="21"/>
                <w:szCs w:val="21"/>
                <w:highlight w:val="none"/>
              </w:rPr>
              <w:t>(需提供第三方出具的相关证明</w:t>
            </w:r>
            <w:r>
              <w:rPr>
                <w:rFonts w:hint="eastAsia" w:ascii="仿宋" w:hAnsi="仿宋" w:eastAsia="仿宋" w:cs="仿宋"/>
                <w:b/>
                <w:bCs w:val="0"/>
                <w:i w:val="0"/>
                <w:iCs w:val="0"/>
                <w:color w:val="auto"/>
                <w:kern w:val="0"/>
                <w:sz w:val="21"/>
                <w:szCs w:val="21"/>
                <w:highlight w:val="none"/>
                <w:u w:val="none"/>
                <w:lang w:val="en-US" w:eastAsia="zh-CN" w:bidi="ar"/>
              </w:rPr>
              <w:t>加盖投标人电子签章</w:t>
            </w:r>
            <w:r>
              <w:rPr>
                <w:rFonts w:hint="eastAsia" w:ascii="仿宋" w:hAnsi="仿宋" w:eastAsia="仿宋" w:cs="仿宋"/>
                <w:b/>
                <w:bCs w:val="0"/>
                <w:color w:val="auto"/>
                <w:sz w:val="21"/>
                <w:szCs w:val="21"/>
                <w:highlight w:val="none"/>
              </w:rPr>
              <w:t>)</w:t>
            </w:r>
          </w:p>
          <w:p w14:paraId="2B6376B9">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5.</w:t>
            </w:r>
            <w:r>
              <w:rPr>
                <w:rFonts w:hint="eastAsia" w:ascii="仿宋" w:hAnsi="仿宋" w:eastAsia="仿宋" w:cs="仿宋"/>
                <w:bCs/>
                <w:color w:val="auto"/>
                <w:sz w:val="21"/>
                <w:szCs w:val="21"/>
                <w:highlight w:val="none"/>
              </w:rPr>
              <w:t>压迫系统</w:t>
            </w:r>
          </w:p>
          <w:p w14:paraId="132D0DD0">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5</w:t>
            </w:r>
            <w:r>
              <w:rPr>
                <w:rFonts w:hint="eastAsia" w:ascii="仿宋" w:hAnsi="仿宋" w:eastAsia="仿宋" w:cs="仿宋"/>
                <w:bCs/>
                <w:color w:val="auto"/>
                <w:sz w:val="21"/>
                <w:szCs w:val="21"/>
                <w:highlight w:val="none"/>
              </w:rPr>
              <w:t>.1</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压迫方式：手动和电动</w:t>
            </w:r>
          </w:p>
          <w:p w14:paraId="500EA58C">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5</w:t>
            </w:r>
            <w:r>
              <w:rPr>
                <w:rFonts w:hint="eastAsia" w:ascii="仿宋" w:hAnsi="仿宋" w:eastAsia="仿宋" w:cs="仿宋"/>
                <w:bCs/>
                <w:color w:val="auto"/>
                <w:sz w:val="21"/>
                <w:szCs w:val="21"/>
                <w:highlight w:val="none"/>
              </w:rPr>
              <w:t>.2</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具备曝光后自动释放压迫板</w:t>
            </w:r>
          </w:p>
          <w:p w14:paraId="3C0A6C5D">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w:t>
            </w:r>
            <w:r>
              <w:rPr>
                <w:rFonts w:hint="eastAsia" w:ascii="仿宋" w:hAnsi="仿宋" w:eastAsia="仿宋" w:cs="仿宋"/>
                <w:bCs/>
                <w:color w:val="auto"/>
                <w:sz w:val="21"/>
                <w:szCs w:val="21"/>
                <w:highlight w:val="none"/>
                <w:lang w:val="en-US" w:eastAsia="zh-CN"/>
              </w:rPr>
              <w:t>5</w:t>
            </w:r>
            <w:r>
              <w:rPr>
                <w:rFonts w:hint="eastAsia" w:ascii="仿宋" w:hAnsi="仿宋" w:eastAsia="仿宋" w:cs="仿宋"/>
                <w:bCs/>
                <w:color w:val="auto"/>
                <w:sz w:val="21"/>
                <w:szCs w:val="21"/>
                <w:highlight w:val="none"/>
              </w:rPr>
              <w:t>.3具备感应式智能压迫功能：根据腺体厚度及致密度自动感应调整压迫力度及速度</w:t>
            </w:r>
            <w:r>
              <w:rPr>
                <w:rFonts w:hint="eastAsia" w:ascii="仿宋" w:hAnsi="仿宋" w:eastAsia="仿宋" w:cs="仿宋"/>
                <w:b/>
                <w:bCs w:val="0"/>
                <w:color w:val="auto"/>
                <w:sz w:val="21"/>
                <w:szCs w:val="21"/>
                <w:highlight w:val="none"/>
              </w:rPr>
              <w:t>(需提供第三方出具的相关证明</w:t>
            </w:r>
            <w:r>
              <w:rPr>
                <w:rFonts w:hint="eastAsia" w:ascii="仿宋" w:hAnsi="仿宋" w:eastAsia="仿宋" w:cs="仿宋"/>
                <w:b/>
                <w:bCs w:val="0"/>
                <w:i w:val="0"/>
                <w:iCs w:val="0"/>
                <w:color w:val="auto"/>
                <w:kern w:val="0"/>
                <w:sz w:val="21"/>
                <w:szCs w:val="21"/>
                <w:highlight w:val="none"/>
                <w:u w:val="none"/>
                <w:lang w:val="en-US" w:eastAsia="zh-CN" w:bidi="ar"/>
              </w:rPr>
              <w:t>加盖投标人电子签章</w:t>
            </w:r>
            <w:r>
              <w:rPr>
                <w:rFonts w:hint="eastAsia" w:ascii="仿宋" w:hAnsi="仿宋" w:eastAsia="仿宋" w:cs="仿宋"/>
                <w:b/>
                <w:bCs w:val="0"/>
                <w:color w:val="auto"/>
                <w:sz w:val="21"/>
                <w:szCs w:val="21"/>
                <w:highlight w:val="none"/>
              </w:rPr>
              <w:t>)</w:t>
            </w:r>
          </w:p>
          <w:p w14:paraId="21BEB6CD">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5</w:t>
            </w:r>
            <w:r>
              <w:rPr>
                <w:rFonts w:hint="eastAsia" w:ascii="仿宋" w:hAnsi="仿宋" w:eastAsia="仿宋" w:cs="仿宋"/>
                <w:bCs/>
                <w:color w:val="auto"/>
                <w:sz w:val="21"/>
                <w:szCs w:val="21"/>
                <w:highlight w:val="none"/>
              </w:rPr>
              <w:t>.4</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压迫板操作方式设定：电动或手动，并带有自动安全压力限制功能</w:t>
            </w:r>
          </w:p>
          <w:p w14:paraId="2AAB937A">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5</w:t>
            </w:r>
            <w:r>
              <w:rPr>
                <w:rFonts w:hint="eastAsia" w:ascii="仿宋" w:hAnsi="仿宋" w:eastAsia="仿宋" w:cs="仿宋"/>
                <w:bCs/>
                <w:color w:val="auto"/>
                <w:sz w:val="21"/>
                <w:szCs w:val="21"/>
                <w:highlight w:val="none"/>
              </w:rPr>
              <w:t>.5</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电动压迫力最大可调至：180N</w:t>
            </w:r>
          </w:p>
          <w:p w14:paraId="4E923AE4">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vertAlign w:val="baseline"/>
              </w:rPr>
            </w:pPr>
            <w:r>
              <w:rPr>
                <w:rFonts w:hint="eastAsia" w:ascii="仿宋" w:hAnsi="仿宋" w:eastAsia="仿宋" w:cs="仿宋"/>
                <w:bCs/>
                <w:color w:val="auto"/>
                <w:sz w:val="21"/>
                <w:szCs w:val="21"/>
                <w:highlight w:val="none"/>
                <w:lang w:val="en-US" w:eastAsia="zh-CN"/>
              </w:rPr>
              <w:t>5</w:t>
            </w:r>
            <w:r>
              <w:rPr>
                <w:rFonts w:hint="eastAsia" w:ascii="仿宋" w:hAnsi="仿宋" w:eastAsia="仿宋" w:cs="仿宋"/>
                <w:bCs/>
                <w:color w:val="auto"/>
                <w:sz w:val="21"/>
                <w:szCs w:val="21"/>
                <w:highlight w:val="none"/>
              </w:rPr>
              <w:t>.6</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手动压迫力最大可调至：300N。</w:t>
            </w:r>
          </w:p>
          <w:p w14:paraId="2FE01B90">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6.</w:t>
            </w:r>
            <w:r>
              <w:rPr>
                <w:rFonts w:hint="eastAsia" w:ascii="仿宋" w:hAnsi="仿宋" w:eastAsia="仿宋" w:cs="仿宋"/>
                <w:bCs/>
                <w:color w:val="auto"/>
                <w:sz w:val="21"/>
                <w:szCs w:val="21"/>
                <w:highlight w:val="none"/>
              </w:rPr>
              <w:t>滤线栅</w:t>
            </w:r>
          </w:p>
          <w:p w14:paraId="56286F45">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vertAlign w:val="baseline"/>
              </w:rPr>
            </w:pPr>
            <w:r>
              <w:rPr>
                <w:rFonts w:hint="eastAsia" w:ascii="仿宋" w:hAnsi="仿宋" w:eastAsia="仿宋" w:cs="仿宋"/>
                <w:bCs/>
                <w:color w:val="auto"/>
                <w:sz w:val="21"/>
                <w:szCs w:val="21"/>
                <w:highlight w:val="none"/>
              </w:rPr>
              <w:t>▲</w:t>
            </w:r>
            <w:r>
              <w:rPr>
                <w:rFonts w:hint="eastAsia" w:ascii="仿宋" w:hAnsi="仿宋" w:eastAsia="仿宋" w:cs="仿宋"/>
                <w:bCs/>
                <w:color w:val="auto"/>
                <w:sz w:val="21"/>
                <w:szCs w:val="21"/>
                <w:highlight w:val="none"/>
                <w:lang w:val="en-US" w:eastAsia="zh-CN"/>
              </w:rPr>
              <w:t>6</w:t>
            </w:r>
            <w:r>
              <w:rPr>
                <w:rFonts w:hint="eastAsia" w:ascii="仿宋" w:hAnsi="仿宋" w:eastAsia="仿宋" w:cs="仿宋"/>
                <w:bCs/>
                <w:color w:val="auto"/>
                <w:sz w:val="21"/>
                <w:szCs w:val="21"/>
                <w:highlight w:val="none"/>
              </w:rPr>
              <w:t>.1通过软件方式实现散射线的有效抑制，去除散射线对图像的影响，非物理滤线栅实现</w:t>
            </w:r>
            <w:r>
              <w:rPr>
                <w:rFonts w:hint="eastAsia" w:ascii="仿宋" w:hAnsi="仿宋" w:eastAsia="仿宋" w:cs="仿宋"/>
                <w:b/>
                <w:bCs w:val="0"/>
                <w:color w:val="auto"/>
                <w:sz w:val="21"/>
                <w:szCs w:val="21"/>
                <w:highlight w:val="none"/>
              </w:rPr>
              <w:t>(需提供第三方出具的相关证明</w:t>
            </w:r>
            <w:r>
              <w:rPr>
                <w:rFonts w:hint="eastAsia" w:ascii="仿宋" w:hAnsi="仿宋" w:eastAsia="仿宋" w:cs="仿宋"/>
                <w:b/>
                <w:bCs w:val="0"/>
                <w:i w:val="0"/>
                <w:iCs w:val="0"/>
                <w:color w:val="auto"/>
                <w:kern w:val="0"/>
                <w:sz w:val="21"/>
                <w:szCs w:val="21"/>
                <w:highlight w:val="none"/>
                <w:u w:val="none"/>
                <w:lang w:val="en-US" w:eastAsia="zh-CN" w:bidi="ar"/>
              </w:rPr>
              <w:t>加盖投标人电子签章</w:t>
            </w:r>
            <w:r>
              <w:rPr>
                <w:rFonts w:hint="eastAsia" w:ascii="仿宋" w:hAnsi="仿宋" w:eastAsia="仿宋" w:cs="仿宋"/>
                <w:b/>
                <w:bCs w:val="0"/>
                <w:color w:val="auto"/>
                <w:sz w:val="21"/>
                <w:szCs w:val="21"/>
                <w:highlight w:val="none"/>
              </w:rPr>
              <w:t>)</w:t>
            </w:r>
          </w:p>
          <w:p w14:paraId="3906E156">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vertAlign w:val="baseline"/>
              </w:rPr>
            </w:pPr>
            <w:r>
              <w:rPr>
                <w:rFonts w:hint="eastAsia" w:ascii="仿宋" w:hAnsi="仿宋" w:eastAsia="仿宋" w:cs="仿宋"/>
                <w:bCs/>
                <w:color w:val="auto"/>
                <w:sz w:val="21"/>
                <w:szCs w:val="21"/>
                <w:highlight w:val="none"/>
                <w:vertAlign w:val="baseline"/>
                <w:lang w:val="en-US" w:eastAsia="zh-CN"/>
              </w:rPr>
              <w:t>7.</w:t>
            </w:r>
            <w:r>
              <w:rPr>
                <w:rFonts w:hint="eastAsia" w:ascii="仿宋" w:hAnsi="仿宋" w:eastAsia="仿宋" w:cs="仿宋"/>
                <w:bCs/>
                <w:color w:val="auto"/>
                <w:sz w:val="21"/>
                <w:szCs w:val="21"/>
                <w:highlight w:val="none"/>
                <w:vertAlign w:val="baseline"/>
              </w:rPr>
              <w:t>图像采集工作站</w:t>
            </w:r>
          </w:p>
          <w:p w14:paraId="32646E2B">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7</w:t>
            </w:r>
            <w:r>
              <w:rPr>
                <w:rFonts w:hint="eastAsia" w:ascii="仿宋" w:hAnsi="仿宋" w:eastAsia="仿宋" w:cs="仿宋"/>
                <w:bCs/>
                <w:color w:val="auto"/>
                <w:sz w:val="21"/>
                <w:szCs w:val="21"/>
                <w:highlight w:val="none"/>
              </w:rPr>
              <w:t>.1</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曝光参数设置与图像采集一体式操作界面，且采集软件与设备整机为同一生产厂家</w:t>
            </w:r>
          </w:p>
          <w:p w14:paraId="659D7116">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7</w:t>
            </w:r>
            <w:r>
              <w:rPr>
                <w:rFonts w:hint="eastAsia" w:ascii="仿宋" w:hAnsi="仿宋" w:eastAsia="仿宋" w:cs="仿宋"/>
                <w:bCs/>
                <w:color w:val="auto"/>
                <w:sz w:val="21"/>
                <w:szCs w:val="21"/>
                <w:highlight w:val="none"/>
              </w:rPr>
              <w:t>.2</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操作系统： Windows</w:t>
            </w:r>
          </w:p>
          <w:p w14:paraId="108AF7A5">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7</w:t>
            </w:r>
            <w:r>
              <w:rPr>
                <w:rFonts w:hint="eastAsia" w:ascii="仿宋" w:hAnsi="仿宋" w:eastAsia="仿宋" w:cs="仿宋"/>
                <w:bCs/>
                <w:color w:val="auto"/>
                <w:sz w:val="21"/>
                <w:szCs w:val="21"/>
                <w:highlight w:val="none"/>
              </w:rPr>
              <w:t>.3</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硬盘：≥1 TB</w:t>
            </w:r>
          </w:p>
          <w:p w14:paraId="31999509">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7</w:t>
            </w:r>
            <w:r>
              <w:rPr>
                <w:rFonts w:hint="eastAsia" w:ascii="仿宋" w:hAnsi="仿宋" w:eastAsia="仿宋" w:cs="仿宋"/>
                <w:bCs/>
                <w:color w:val="auto"/>
                <w:sz w:val="21"/>
                <w:szCs w:val="21"/>
                <w:highlight w:val="none"/>
              </w:rPr>
              <w:t>.4</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内存：≥4 GB</w:t>
            </w:r>
          </w:p>
          <w:p w14:paraId="25B1F5D1">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7</w:t>
            </w:r>
            <w:r>
              <w:rPr>
                <w:rFonts w:hint="eastAsia" w:ascii="仿宋" w:hAnsi="仿宋" w:eastAsia="仿宋" w:cs="仿宋"/>
                <w:bCs/>
                <w:color w:val="auto"/>
                <w:sz w:val="21"/>
                <w:szCs w:val="21"/>
                <w:highlight w:val="none"/>
              </w:rPr>
              <w:t>.5</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可存储图像容量：≥20000幅</w:t>
            </w:r>
          </w:p>
          <w:p w14:paraId="4922392E">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7</w:t>
            </w:r>
            <w:r>
              <w:rPr>
                <w:rFonts w:hint="eastAsia" w:ascii="仿宋" w:hAnsi="仿宋" w:eastAsia="仿宋" w:cs="仿宋"/>
                <w:bCs/>
                <w:color w:val="auto"/>
                <w:sz w:val="21"/>
                <w:szCs w:val="21"/>
                <w:highlight w:val="none"/>
              </w:rPr>
              <w:t>.6</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图像预览显示器：≥23.8英寸</w:t>
            </w:r>
          </w:p>
          <w:p w14:paraId="781FA473">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7</w:t>
            </w:r>
            <w:r>
              <w:rPr>
                <w:rFonts w:hint="eastAsia" w:ascii="仿宋" w:hAnsi="仿宋" w:eastAsia="仿宋" w:cs="仿宋"/>
                <w:bCs/>
                <w:color w:val="auto"/>
                <w:sz w:val="21"/>
                <w:szCs w:val="21"/>
                <w:highlight w:val="none"/>
              </w:rPr>
              <w:t>.7</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全中文操作界面</w:t>
            </w:r>
          </w:p>
          <w:p w14:paraId="47DF2424">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7</w:t>
            </w:r>
            <w:r>
              <w:rPr>
                <w:rFonts w:hint="eastAsia" w:ascii="仿宋" w:hAnsi="仿宋" w:eastAsia="仿宋" w:cs="仿宋"/>
                <w:bCs/>
                <w:color w:val="auto"/>
                <w:sz w:val="21"/>
                <w:szCs w:val="21"/>
                <w:highlight w:val="none"/>
              </w:rPr>
              <w:t>.8</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软件界面及数字图像上显示各种曝光参数，包括：kV/mAs/压迫力度/压迫厚度/剂量/过滤材料等</w:t>
            </w:r>
          </w:p>
          <w:p w14:paraId="7BE67725">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7</w:t>
            </w:r>
            <w:r>
              <w:rPr>
                <w:rFonts w:hint="eastAsia" w:ascii="仿宋" w:hAnsi="仿宋" w:eastAsia="仿宋" w:cs="仿宋"/>
                <w:bCs/>
                <w:color w:val="auto"/>
                <w:sz w:val="21"/>
                <w:szCs w:val="21"/>
                <w:highlight w:val="none"/>
              </w:rPr>
              <w:t>.9</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图像处理功能</w:t>
            </w:r>
          </w:p>
          <w:p w14:paraId="703F608C">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w:t>
            </w:r>
            <w:r>
              <w:rPr>
                <w:rFonts w:hint="eastAsia" w:ascii="仿宋" w:hAnsi="仿宋" w:eastAsia="仿宋" w:cs="仿宋"/>
                <w:bCs/>
                <w:color w:val="auto"/>
                <w:sz w:val="21"/>
                <w:szCs w:val="21"/>
                <w:highlight w:val="none"/>
                <w:lang w:val="en-US" w:eastAsia="zh-CN"/>
              </w:rPr>
              <w:t>7</w:t>
            </w:r>
            <w:r>
              <w:rPr>
                <w:rFonts w:hint="eastAsia" w:ascii="仿宋" w:hAnsi="仿宋" w:eastAsia="仿宋" w:cs="仿宋"/>
                <w:bCs/>
                <w:color w:val="auto"/>
                <w:sz w:val="21"/>
                <w:szCs w:val="21"/>
                <w:highlight w:val="none"/>
              </w:rPr>
              <w:t>.9.1</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通过调整动态范围实现多频率、多层次的图像均衡处理算法技术</w:t>
            </w:r>
            <w:r>
              <w:rPr>
                <w:rFonts w:hint="eastAsia" w:ascii="仿宋" w:hAnsi="仿宋" w:eastAsia="仿宋" w:cs="仿宋"/>
                <w:b/>
                <w:bCs w:val="0"/>
                <w:color w:val="auto"/>
                <w:sz w:val="21"/>
                <w:szCs w:val="21"/>
                <w:highlight w:val="none"/>
              </w:rPr>
              <w:t>(需提供第三方出具的相关证明</w:t>
            </w:r>
            <w:r>
              <w:rPr>
                <w:rFonts w:hint="eastAsia" w:ascii="仿宋" w:hAnsi="仿宋" w:eastAsia="仿宋" w:cs="仿宋"/>
                <w:b/>
                <w:bCs w:val="0"/>
                <w:i w:val="0"/>
                <w:iCs w:val="0"/>
                <w:color w:val="auto"/>
                <w:kern w:val="0"/>
                <w:sz w:val="21"/>
                <w:szCs w:val="21"/>
                <w:highlight w:val="none"/>
                <w:u w:val="none"/>
                <w:lang w:val="en-US" w:eastAsia="zh-CN" w:bidi="ar"/>
              </w:rPr>
              <w:t>加盖投标人电子签章</w:t>
            </w:r>
            <w:r>
              <w:rPr>
                <w:rFonts w:hint="eastAsia" w:ascii="仿宋" w:hAnsi="仿宋" w:eastAsia="仿宋" w:cs="仿宋"/>
                <w:b/>
                <w:bCs w:val="0"/>
                <w:color w:val="auto"/>
                <w:sz w:val="21"/>
                <w:szCs w:val="21"/>
                <w:highlight w:val="none"/>
              </w:rPr>
              <w:t>)</w:t>
            </w:r>
          </w:p>
          <w:p w14:paraId="3826EC0F">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7</w:t>
            </w:r>
            <w:r>
              <w:rPr>
                <w:rFonts w:hint="eastAsia" w:ascii="仿宋" w:hAnsi="仿宋" w:eastAsia="仿宋" w:cs="仿宋"/>
                <w:bCs/>
                <w:color w:val="auto"/>
                <w:sz w:val="21"/>
                <w:szCs w:val="21"/>
                <w:highlight w:val="none"/>
              </w:rPr>
              <w:t>.9.2手动调节窗宽、窗位</w:t>
            </w:r>
          </w:p>
          <w:p w14:paraId="5B10A8DF">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7</w:t>
            </w:r>
            <w:r>
              <w:rPr>
                <w:rFonts w:hint="eastAsia" w:ascii="仿宋" w:hAnsi="仿宋" w:eastAsia="仿宋" w:cs="仿宋"/>
                <w:bCs/>
                <w:color w:val="auto"/>
                <w:sz w:val="21"/>
                <w:szCs w:val="21"/>
                <w:highlight w:val="none"/>
              </w:rPr>
              <w:t>.9.3图像动态范围调节</w:t>
            </w:r>
          </w:p>
          <w:p w14:paraId="45C4A814">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7</w:t>
            </w:r>
            <w:r>
              <w:rPr>
                <w:rFonts w:hint="eastAsia" w:ascii="仿宋" w:hAnsi="仿宋" w:eastAsia="仿宋" w:cs="仿宋"/>
                <w:bCs/>
                <w:color w:val="auto"/>
                <w:sz w:val="21"/>
                <w:szCs w:val="21"/>
                <w:highlight w:val="none"/>
              </w:rPr>
              <w:t>.9.4图像放大、局部放大功能</w:t>
            </w:r>
          </w:p>
          <w:p w14:paraId="0410E7B5">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7</w:t>
            </w:r>
            <w:r>
              <w:rPr>
                <w:rFonts w:hint="eastAsia" w:ascii="仿宋" w:hAnsi="仿宋" w:eastAsia="仿宋" w:cs="仿宋"/>
                <w:bCs/>
                <w:color w:val="auto"/>
                <w:sz w:val="21"/>
                <w:szCs w:val="21"/>
                <w:highlight w:val="none"/>
              </w:rPr>
              <w:t>.9.5图像的黑白反转</w:t>
            </w:r>
          </w:p>
          <w:p w14:paraId="1DC0D1D3">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7</w:t>
            </w:r>
            <w:r>
              <w:rPr>
                <w:rFonts w:hint="eastAsia" w:ascii="仿宋" w:hAnsi="仿宋" w:eastAsia="仿宋" w:cs="仿宋"/>
                <w:bCs/>
                <w:color w:val="auto"/>
                <w:sz w:val="21"/>
                <w:szCs w:val="21"/>
                <w:highlight w:val="none"/>
              </w:rPr>
              <w:t>.9.6图像的角度旋转和反转</w:t>
            </w:r>
          </w:p>
          <w:p w14:paraId="2C7A6504">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7</w:t>
            </w:r>
            <w:r>
              <w:rPr>
                <w:rFonts w:hint="eastAsia" w:ascii="仿宋" w:hAnsi="仿宋" w:eastAsia="仿宋" w:cs="仿宋"/>
                <w:bCs/>
                <w:color w:val="auto"/>
                <w:sz w:val="21"/>
                <w:szCs w:val="21"/>
                <w:highlight w:val="none"/>
              </w:rPr>
              <w:t>.9.7图像的存储</w:t>
            </w:r>
          </w:p>
          <w:p w14:paraId="4FC18258">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7</w:t>
            </w:r>
            <w:r>
              <w:rPr>
                <w:rFonts w:hint="eastAsia" w:ascii="仿宋" w:hAnsi="仿宋" w:eastAsia="仿宋" w:cs="仿宋"/>
                <w:bCs/>
                <w:color w:val="auto"/>
                <w:sz w:val="21"/>
                <w:szCs w:val="21"/>
                <w:highlight w:val="none"/>
              </w:rPr>
              <w:t>.9.8图像标注</w:t>
            </w:r>
          </w:p>
          <w:p w14:paraId="597B56BB">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7</w:t>
            </w:r>
            <w:r>
              <w:rPr>
                <w:rFonts w:hint="eastAsia" w:ascii="仿宋" w:hAnsi="仿宋" w:eastAsia="仿宋" w:cs="仿宋"/>
                <w:bCs/>
                <w:color w:val="auto"/>
                <w:sz w:val="21"/>
                <w:szCs w:val="21"/>
                <w:highlight w:val="none"/>
              </w:rPr>
              <w:t>.9.9测量功能</w:t>
            </w:r>
          </w:p>
          <w:p w14:paraId="442D22A9">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7</w:t>
            </w:r>
            <w:r>
              <w:rPr>
                <w:rFonts w:hint="eastAsia" w:ascii="仿宋" w:hAnsi="仿宋" w:eastAsia="仿宋" w:cs="仿宋"/>
                <w:bCs/>
                <w:color w:val="auto"/>
                <w:sz w:val="21"/>
                <w:szCs w:val="21"/>
                <w:highlight w:val="none"/>
              </w:rPr>
              <w:t>.9.10对比度增强</w:t>
            </w:r>
          </w:p>
          <w:p w14:paraId="371755AA">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7</w:t>
            </w:r>
            <w:r>
              <w:rPr>
                <w:rFonts w:hint="eastAsia" w:ascii="仿宋" w:hAnsi="仿宋" w:eastAsia="仿宋" w:cs="仿宋"/>
                <w:bCs/>
                <w:color w:val="auto"/>
                <w:sz w:val="21"/>
                <w:szCs w:val="21"/>
                <w:highlight w:val="none"/>
              </w:rPr>
              <w:t>.9.11图像边缘增强</w:t>
            </w:r>
          </w:p>
          <w:p w14:paraId="34804094">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7</w:t>
            </w:r>
            <w:r>
              <w:rPr>
                <w:rFonts w:hint="eastAsia" w:ascii="仿宋" w:hAnsi="仿宋" w:eastAsia="仿宋" w:cs="仿宋"/>
                <w:bCs/>
                <w:color w:val="auto"/>
                <w:sz w:val="21"/>
                <w:szCs w:val="21"/>
                <w:highlight w:val="none"/>
              </w:rPr>
              <w:t>.9.12组织均衡</w:t>
            </w:r>
          </w:p>
          <w:p w14:paraId="7FE6A430">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7</w:t>
            </w:r>
            <w:r>
              <w:rPr>
                <w:rFonts w:hint="eastAsia" w:ascii="仿宋" w:hAnsi="仿宋" w:eastAsia="仿宋" w:cs="仿宋"/>
                <w:bCs/>
                <w:color w:val="auto"/>
                <w:sz w:val="21"/>
                <w:szCs w:val="21"/>
                <w:highlight w:val="none"/>
              </w:rPr>
              <w:t>.9.13背景抑制</w:t>
            </w:r>
          </w:p>
          <w:p w14:paraId="5B77F290">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7</w:t>
            </w:r>
            <w:r>
              <w:rPr>
                <w:rFonts w:hint="eastAsia" w:ascii="仿宋" w:hAnsi="仿宋" w:eastAsia="仿宋" w:cs="仿宋"/>
                <w:bCs/>
                <w:color w:val="auto"/>
                <w:sz w:val="21"/>
                <w:szCs w:val="21"/>
                <w:highlight w:val="none"/>
              </w:rPr>
              <w:t>.10具备乳腺假体植入物的选择功能</w:t>
            </w:r>
          </w:p>
          <w:p w14:paraId="0D8D4C9E">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7</w:t>
            </w:r>
            <w:r>
              <w:rPr>
                <w:rFonts w:hint="eastAsia" w:ascii="仿宋" w:hAnsi="仿宋" w:eastAsia="仿宋" w:cs="仿宋"/>
                <w:bCs/>
                <w:color w:val="auto"/>
                <w:sz w:val="21"/>
                <w:szCs w:val="21"/>
                <w:highlight w:val="none"/>
              </w:rPr>
              <w:t>.11病人数据可手动输入，也可通过DICOM Worklist从HIS/RIS中直接获取：</w:t>
            </w:r>
          </w:p>
          <w:p w14:paraId="06E7E4C3">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7</w:t>
            </w:r>
            <w:r>
              <w:rPr>
                <w:rFonts w:hint="eastAsia" w:ascii="仿宋" w:hAnsi="仿宋" w:eastAsia="仿宋" w:cs="仿宋"/>
                <w:bCs/>
                <w:color w:val="auto"/>
                <w:sz w:val="21"/>
                <w:szCs w:val="21"/>
                <w:highlight w:val="none"/>
              </w:rPr>
              <w:t>.12</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rPr>
              <w:t>DICOM 3.0通用数字接口</w:t>
            </w:r>
          </w:p>
          <w:p w14:paraId="4A76C188">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vertAlign w:val="baseline"/>
              </w:rPr>
            </w:pPr>
            <w:r>
              <w:rPr>
                <w:rFonts w:hint="eastAsia" w:ascii="仿宋" w:hAnsi="仿宋" w:eastAsia="仿宋" w:cs="仿宋"/>
                <w:bCs/>
                <w:color w:val="auto"/>
                <w:sz w:val="21"/>
                <w:szCs w:val="21"/>
                <w:highlight w:val="none"/>
                <w:lang w:val="en-US" w:eastAsia="zh-CN"/>
              </w:rPr>
              <w:t>7</w:t>
            </w:r>
            <w:r>
              <w:rPr>
                <w:rFonts w:hint="eastAsia" w:ascii="仿宋" w:hAnsi="仿宋" w:eastAsia="仿宋" w:cs="仿宋"/>
                <w:bCs/>
                <w:color w:val="auto"/>
                <w:sz w:val="21"/>
                <w:szCs w:val="21"/>
                <w:highlight w:val="none"/>
              </w:rPr>
              <w:t>.13具备光盘刻录功能</w:t>
            </w:r>
          </w:p>
          <w:p w14:paraId="20C8ED88">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vertAlign w:val="baseline"/>
              </w:rPr>
            </w:pPr>
            <w:r>
              <w:rPr>
                <w:rFonts w:hint="eastAsia" w:ascii="仿宋" w:hAnsi="仿宋" w:eastAsia="仿宋" w:cs="仿宋"/>
                <w:bCs/>
                <w:color w:val="auto"/>
                <w:sz w:val="21"/>
                <w:szCs w:val="21"/>
                <w:highlight w:val="none"/>
                <w:vertAlign w:val="baseline"/>
                <w:lang w:val="en-US" w:eastAsia="zh-CN"/>
              </w:rPr>
              <w:t>8.</w:t>
            </w:r>
            <w:r>
              <w:rPr>
                <w:rFonts w:hint="eastAsia" w:ascii="仿宋" w:hAnsi="仿宋" w:eastAsia="仿宋" w:cs="仿宋"/>
                <w:bCs/>
                <w:color w:val="auto"/>
                <w:sz w:val="21"/>
                <w:szCs w:val="21"/>
                <w:highlight w:val="none"/>
                <w:vertAlign w:val="baseline"/>
              </w:rPr>
              <w:t>二维定位装置</w:t>
            </w:r>
          </w:p>
          <w:p w14:paraId="4577D344">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w:t>
            </w:r>
            <w:r>
              <w:rPr>
                <w:rFonts w:hint="eastAsia" w:ascii="仿宋" w:hAnsi="仿宋" w:eastAsia="仿宋" w:cs="仿宋"/>
                <w:bCs/>
                <w:color w:val="auto"/>
                <w:sz w:val="21"/>
                <w:szCs w:val="21"/>
                <w:highlight w:val="none"/>
                <w:lang w:val="en-US" w:eastAsia="zh-CN"/>
              </w:rPr>
              <w:t>8</w:t>
            </w:r>
            <w:r>
              <w:rPr>
                <w:rFonts w:hint="eastAsia" w:ascii="仿宋" w:hAnsi="仿宋" w:eastAsia="仿宋" w:cs="仿宋"/>
                <w:bCs/>
                <w:color w:val="auto"/>
                <w:sz w:val="21"/>
                <w:szCs w:val="21"/>
                <w:highlight w:val="none"/>
              </w:rPr>
              <w:t>.1具备二维定位指示装置</w:t>
            </w:r>
          </w:p>
          <w:p w14:paraId="0E8DAEA1">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8</w:t>
            </w:r>
            <w:r>
              <w:rPr>
                <w:rFonts w:hint="eastAsia" w:ascii="仿宋" w:hAnsi="仿宋" w:eastAsia="仿宋" w:cs="仿宋"/>
                <w:bCs/>
                <w:color w:val="auto"/>
                <w:sz w:val="21"/>
                <w:szCs w:val="21"/>
                <w:highlight w:val="none"/>
              </w:rPr>
              <w:t>.2</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具备二维定位压迫板</w:t>
            </w:r>
          </w:p>
        </w:tc>
        <w:tc>
          <w:tcPr>
            <w:tcW w:w="840" w:type="dxa"/>
            <w:vAlign w:val="center"/>
          </w:tcPr>
          <w:p w14:paraId="3FA6FF11">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仿宋" w:hAnsi="仿宋" w:eastAsia="仿宋" w:cs="仿宋"/>
                <w:bCs/>
                <w:color w:val="auto"/>
                <w:sz w:val="21"/>
                <w:szCs w:val="21"/>
                <w:highlight w:val="none"/>
                <w:lang w:val="en-US" w:eastAsia="zh-CN"/>
              </w:rPr>
            </w:pPr>
          </w:p>
        </w:tc>
      </w:tr>
    </w:tbl>
    <w:p w14:paraId="4FE9EBC2">
      <w:pPr>
        <w:keepNext w:val="0"/>
        <w:keepLines w:val="0"/>
        <w:pageBreakBefore w:val="0"/>
        <w:widowControl w:val="0"/>
        <w:spacing w:line="312" w:lineRule="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备注：加“★”号是核心参数，不满足即视为不符合设备要求，应予以废标。加“▲”号是重要参数。</w:t>
      </w:r>
    </w:p>
    <w:p w14:paraId="572F2DCF">
      <w:pPr>
        <w:keepNext w:val="0"/>
        <w:keepLines w:val="0"/>
        <w:pageBreakBefore w:val="0"/>
        <w:widowControl w:val="0"/>
        <w:numPr>
          <w:ilvl w:val="0"/>
          <w:numId w:val="0"/>
        </w:numPr>
        <w:spacing w:line="312" w:lineRule="auto"/>
        <w:ind w:firstLine="560" w:firstLineChars="200"/>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三、</w:t>
      </w:r>
      <w:r>
        <w:rPr>
          <w:rFonts w:hint="eastAsia" w:ascii="仿宋" w:hAnsi="仿宋" w:eastAsia="仿宋" w:cs="仿宋"/>
          <w:bCs/>
          <w:color w:val="auto"/>
          <w:sz w:val="28"/>
          <w:szCs w:val="28"/>
          <w:highlight w:val="none"/>
        </w:rPr>
        <w:t>交货日期及地点：合同签订后，乙方接到甲方发货通知之日起</w:t>
      </w:r>
      <w:r>
        <w:rPr>
          <w:rFonts w:hint="eastAsia" w:ascii="仿宋" w:hAnsi="仿宋" w:eastAsia="仿宋" w:cs="仿宋"/>
          <w:bCs/>
          <w:color w:val="auto"/>
          <w:sz w:val="28"/>
          <w:szCs w:val="28"/>
          <w:highlight w:val="none"/>
          <w:lang w:val="en-US" w:eastAsia="zh-CN"/>
        </w:rPr>
        <w:t>30</w:t>
      </w:r>
      <w:r>
        <w:rPr>
          <w:rFonts w:hint="eastAsia" w:ascii="仿宋" w:hAnsi="仿宋" w:eastAsia="仿宋" w:cs="仿宋"/>
          <w:bCs/>
          <w:color w:val="auto"/>
          <w:sz w:val="28"/>
          <w:szCs w:val="28"/>
          <w:highlight w:val="none"/>
        </w:rPr>
        <w:t>天之内安装调试培训完毕</w:t>
      </w:r>
      <w:r>
        <w:rPr>
          <w:rFonts w:hint="eastAsia" w:ascii="仿宋" w:hAnsi="仿宋" w:eastAsia="仿宋" w:cs="仿宋"/>
          <w:bCs/>
          <w:color w:val="auto"/>
          <w:sz w:val="28"/>
          <w:szCs w:val="28"/>
          <w:highlight w:val="none"/>
          <w:lang w:eastAsia="zh-CN"/>
        </w:rPr>
        <w:t>。</w:t>
      </w:r>
    </w:p>
    <w:p w14:paraId="7B64E0D1">
      <w:pPr>
        <w:keepNext w:val="0"/>
        <w:keepLines w:val="0"/>
        <w:pageBreakBefore w:val="0"/>
        <w:widowControl w:val="0"/>
        <w:numPr>
          <w:ilvl w:val="0"/>
          <w:numId w:val="0"/>
        </w:numPr>
        <w:spacing w:line="312" w:lineRule="auto"/>
        <w:ind w:firstLine="560" w:firstLineChars="200"/>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乙方负责将货物运抵</w:t>
      </w:r>
      <w:r>
        <w:rPr>
          <w:rFonts w:hint="eastAsia" w:ascii="仿宋" w:hAnsi="仿宋" w:eastAsia="仿宋" w:cs="仿宋"/>
          <w:bCs/>
          <w:color w:val="auto"/>
          <w:sz w:val="28"/>
          <w:szCs w:val="28"/>
          <w:highlight w:val="none"/>
          <w:lang w:val="en-US" w:eastAsia="zh-CN"/>
        </w:rPr>
        <w:t>甲方</w:t>
      </w:r>
      <w:r>
        <w:rPr>
          <w:rFonts w:hint="eastAsia" w:ascii="仿宋" w:hAnsi="仿宋" w:eastAsia="仿宋" w:cs="仿宋"/>
          <w:bCs/>
          <w:color w:val="auto"/>
          <w:sz w:val="28"/>
          <w:szCs w:val="28"/>
          <w:highlight w:val="none"/>
        </w:rPr>
        <w:t>指定地点。如乙方逾期交货，则每日按合同总额0.5%承担除违约金，违约金、应退差价等金钱债务甲方均可以在每次应付款中直接扣除</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rPr>
        <w:t>期间产生的所有相关费用由乙方承担。</w:t>
      </w:r>
    </w:p>
    <w:p w14:paraId="13AEC812">
      <w:pPr>
        <w:keepNext w:val="0"/>
        <w:keepLines w:val="0"/>
        <w:pageBreakBefore w:val="0"/>
        <w:widowControl w:val="0"/>
        <w:spacing w:line="312" w:lineRule="auto"/>
        <w:ind w:left="0"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四</w:t>
      </w:r>
      <w:r>
        <w:rPr>
          <w:rFonts w:hint="eastAsia" w:ascii="仿宋" w:hAnsi="仿宋" w:eastAsia="仿宋" w:cs="仿宋"/>
          <w:bCs/>
          <w:color w:val="auto"/>
          <w:sz w:val="28"/>
          <w:szCs w:val="28"/>
          <w:highlight w:val="none"/>
        </w:rPr>
        <w:t>、设备保修期：自设备验收合格之日起三年（以甲方验收单双方签字日期为准），乙方承诺提供免费保修，保修期外乙方负责对本设备维护免人工服务费，只收取配件费，软件终生免费升级。</w:t>
      </w:r>
    </w:p>
    <w:p w14:paraId="4E9D213B">
      <w:pPr>
        <w:keepNext w:val="0"/>
        <w:keepLines w:val="0"/>
        <w:pageBreakBefore w:val="0"/>
        <w:widowControl w:val="0"/>
        <w:spacing w:line="312" w:lineRule="auto"/>
        <w:ind w:left="0" w:firstLine="562"/>
        <w:rPr>
          <w:rFonts w:hint="eastAsia" w:ascii="仿宋" w:hAnsi="仿宋" w:eastAsia="仿宋" w:cs="仿宋"/>
          <w:b/>
          <w:bCs/>
          <w:color w:val="auto"/>
          <w:sz w:val="36"/>
          <w:highlight w:val="none"/>
        </w:rPr>
      </w:pPr>
      <w:r>
        <w:rPr>
          <w:rFonts w:hint="eastAsia" w:ascii="仿宋" w:hAnsi="仿宋" w:eastAsia="仿宋" w:cs="仿宋"/>
          <w:b/>
          <w:bCs/>
          <w:color w:val="auto"/>
          <w:sz w:val="28"/>
          <w:szCs w:val="28"/>
          <w:highlight w:val="none"/>
          <w:lang w:val="en-US" w:eastAsia="zh-CN"/>
        </w:rPr>
        <w:t>五</w:t>
      </w:r>
      <w:r>
        <w:rPr>
          <w:rFonts w:hint="eastAsia" w:ascii="仿宋" w:hAnsi="仿宋" w:eastAsia="仿宋" w:cs="仿宋"/>
          <w:b/>
          <w:bCs/>
          <w:color w:val="auto"/>
          <w:sz w:val="28"/>
          <w:szCs w:val="28"/>
          <w:highlight w:val="none"/>
        </w:rPr>
        <w:t>、</w:t>
      </w:r>
      <w:r>
        <w:rPr>
          <w:rFonts w:hint="eastAsia" w:ascii="仿宋" w:hAnsi="仿宋" w:eastAsia="仿宋" w:cs="仿宋"/>
          <w:bCs/>
          <w:color w:val="auto"/>
          <w:sz w:val="28"/>
          <w:szCs w:val="28"/>
          <w:highlight w:val="none"/>
        </w:rPr>
        <w:t>付款方法：</w:t>
      </w:r>
      <w:r>
        <w:rPr>
          <w:rFonts w:hint="eastAsia" w:ascii="仿宋" w:hAnsi="仿宋" w:eastAsia="仿宋" w:cs="仿宋"/>
          <w:bCs/>
          <w:color w:val="auto"/>
          <w:sz w:val="28"/>
          <w:szCs w:val="28"/>
          <w:highlight w:val="none"/>
          <w:lang w:val="en-US" w:eastAsia="zh-CN"/>
        </w:rPr>
        <w:t>合同签订后15日内预付合同款项的40%，货到安装、验收合格，设备正常使用，采购人自验收合格之日起15日内一次性付清剩余货款。</w:t>
      </w:r>
    </w:p>
    <w:p w14:paraId="2E4AEBDF">
      <w:pPr>
        <w:pStyle w:val="25"/>
        <w:spacing w:line="520" w:lineRule="exact"/>
        <w:ind w:firstLine="560"/>
        <w:rPr>
          <w:rFonts w:hint="eastAsia" w:ascii="仿宋" w:hAnsi="仿宋" w:eastAsia="仿宋" w:cs="仿宋"/>
          <w:bCs/>
          <w:color w:val="auto"/>
          <w:sz w:val="28"/>
          <w:szCs w:val="28"/>
          <w:highlight w:val="none"/>
          <w:lang w:val="en-US" w:eastAsia="zh-CN"/>
        </w:rPr>
      </w:pPr>
    </w:p>
    <w:p w14:paraId="02D173DC">
      <w:pPr>
        <w:pStyle w:val="25"/>
        <w:spacing w:line="520" w:lineRule="exact"/>
        <w:ind w:firstLine="560"/>
        <w:rPr>
          <w:rFonts w:hint="eastAsia" w:ascii="仿宋" w:hAnsi="仿宋" w:eastAsia="仿宋" w:cs="仿宋"/>
          <w:bCs/>
          <w:color w:val="auto"/>
          <w:sz w:val="28"/>
          <w:szCs w:val="28"/>
          <w:highlight w:val="none"/>
          <w:lang w:val="en-US" w:eastAsia="zh-CN"/>
        </w:rPr>
      </w:pPr>
    </w:p>
    <w:p w14:paraId="24FB2B16">
      <w:pPr>
        <w:pStyle w:val="25"/>
        <w:spacing w:line="520" w:lineRule="exact"/>
        <w:ind w:firstLine="560"/>
        <w:rPr>
          <w:rFonts w:hint="eastAsia" w:ascii="仿宋" w:hAnsi="仿宋" w:eastAsia="仿宋" w:cs="仿宋"/>
          <w:bCs/>
          <w:color w:val="auto"/>
          <w:sz w:val="28"/>
          <w:szCs w:val="28"/>
          <w:highlight w:val="none"/>
          <w:lang w:val="en-US" w:eastAsia="zh-CN"/>
        </w:rPr>
      </w:pPr>
    </w:p>
    <w:p w14:paraId="4D888D3D">
      <w:pPr>
        <w:pStyle w:val="25"/>
        <w:spacing w:line="520" w:lineRule="exact"/>
        <w:ind w:firstLine="560"/>
        <w:rPr>
          <w:rFonts w:hint="eastAsia" w:ascii="仿宋" w:hAnsi="仿宋" w:eastAsia="仿宋" w:cs="仿宋"/>
          <w:bCs/>
          <w:color w:val="auto"/>
          <w:sz w:val="28"/>
          <w:szCs w:val="28"/>
          <w:highlight w:val="none"/>
          <w:lang w:val="en-US" w:eastAsia="zh-CN"/>
        </w:rPr>
      </w:pPr>
    </w:p>
    <w:p w14:paraId="7E249DD2">
      <w:pPr>
        <w:pStyle w:val="25"/>
        <w:spacing w:line="520" w:lineRule="exact"/>
        <w:ind w:firstLine="560"/>
        <w:rPr>
          <w:rFonts w:hint="eastAsia" w:ascii="仿宋" w:hAnsi="仿宋" w:eastAsia="仿宋" w:cs="仿宋"/>
          <w:bCs/>
          <w:color w:val="auto"/>
          <w:sz w:val="28"/>
          <w:szCs w:val="28"/>
          <w:highlight w:val="none"/>
          <w:lang w:val="en-US" w:eastAsia="zh-CN"/>
        </w:rPr>
      </w:pPr>
    </w:p>
    <w:p w14:paraId="1B049961">
      <w:pPr>
        <w:pStyle w:val="25"/>
        <w:spacing w:line="520" w:lineRule="exact"/>
        <w:ind w:firstLine="560"/>
        <w:rPr>
          <w:rFonts w:hint="eastAsia" w:ascii="仿宋" w:hAnsi="仿宋" w:eastAsia="仿宋" w:cs="仿宋"/>
          <w:bCs/>
          <w:color w:val="auto"/>
          <w:sz w:val="28"/>
          <w:szCs w:val="28"/>
          <w:highlight w:val="none"/>
          <w:lang w:val="en-US" w:eastAsia="zh-CN"/>
        </w:rPr>
      </w:pPr>
    </w:p>
    <w:p w14:paraId="1BFD8051">
      <w:pPr>
        <w:pStyle w:val="25"/>
        <w:spacing w:line="520" w:lineRule="exact"/>
        <w:ind w:firstLine="560"/>
        <w:rPr>
          <w:rFonts w:hint="eastAsia" w:ascii="仿宋" w:hAnsi="仿宋" w:eastAsia="仿宋" w:cs="仿宋"/>
          <w:bCs/>
          <w:color w:val="auto"/>
          <w:sz w:val="28"/>
          <w:szCs w:val="28"/>
          <w:highlight w:val="none"/>
          <w:lang w:val="en-US" w:eastAsia="zh-CN"/>
        </w:rPr>
      </w:pPr>
    </w:p>
    <w:p w14:paraId="3C812787">
      <w:pPr>
        <w:pStyle w:val="25"/>
        <w:spacing w:line="520" w:lineRule="exact"/>
        <w:ind w:firstLine="560"/>
        <w:rPr>
          <w:rFonts w:hint="eastAsia" w:ascii="仿宋" w:hAnsi="仿宋" w:eastAsia="仿宋" w:cs="仿宋"/>
          <w:bCs/>
          <w:color w:val="auto"/>
          <w:sz w:val="28"/>
          <w:szCs w:val="28"/>
          <w:highlight w:val="none"/>
          <w:lang w:val="en-US" w:eastAsia="zh-CN"/>
        </w:rPr>
      </w:pPr>
    </w:p>
    <w:p w14:paraId="0CD27A24">
      <w:pPr>
        <w:pStyle w:val="25"/>
        <w:spacing w:line="520" w:lineRule="exact"/>
        <w:ind w:firstLine="560"/>
        <w:rPr>
          <w:rFonts w:hint="eastAsia" w:ascii="仿宋" w:hAnsi="仿宋" w:eastAsia="仿宋" w:cs="仿宋"/>
          <w:bCs/>
          <w:color w:val="auto"/>
          <w:sz w:val="28"/>
          <w:szCs w:val="28"/>
          <w:highlight w:val="none"/>
          <w:lang w:val="en-US" w:eastAsia="zh-CN"/>
        </w:rPr>
      </w:pPr>
    </w:p>
    <w:p w14:paraId="4B4ED5DF">
      <w:pPr>
        <w:pStyle w:val="25"/>
        <w:spacing w:line="520" w:lineRule="exact"/>
        <w:ind w:firstLine="560"/>
        <w:rPr>
          <w:rFonts w:hint="eastAsia" w:ascii="仿宋" w:hAnsi="仿宋" w:eastAsia="仿宋" w:cs="仿宋"/>
          <w:bCs/>
          <w:color w:val="auto"/>
          <w:sz w:val="28"/>
          <w:szCs w:val="28"/>
          <w:highlight w:val="none"/>
          <w:lang w:val="en-US" w:eastAsia="zh-CN"/>
        </w:rPr>
      </w:pPr>
    </w:p>
    <w:p w14:paraId="23D30D6D">
      <w:pPr>
        <w:keepNext w:val="0"/>
        <w:keepLines w:val="0"/>
        <w:pageBreakBefore w:val="0"/>
        <w:widowControl w:val="0"/>
        <w:spacing w:line="480" w:lineRule="exact"/>
        <w:jc w:val="center"/>
        <w:rPr>
          <w:rFonts w:hint="eastAsia" w:ascii="仿宋" w:hAnsi="仿宋" w:eastAsia="仿宋" w:cs="仿宋"/>
          <w:b/>
          <w:bCs/>
          <w:color w:val="auto"/>
          <w:sz w:val="40"/>
          <w:szCs w:val="28"/>
          <w:highlight w:val="none"/>
        </w:rPr>
      </w:pPr>
    </w:p>
    <w:p w14:paraId="45270984">
      <w:pPr>
        <w:keepNext w:val="0"/>
        <w:keepLines w:val="0"/>
        <w:pageBreakBefore w:val="0"/>
        <w:widowControl w:val="0"/>
        <w:spacing w:line="480" w:lineRule="exact"/>
        <w:jc w:val="both"/>
        <w:rPr>
          <w:rFonts w:hint="eastAsia" w:ascii="仿宋" w:hAnsi="仿宋" w:eastAsia="仿宋" w:cs="仿宋"/>
          <w:b/>
          <w:bCs/>
          <w:color w:val="auto"/>
          <w:sz w:val="40"/>
          <w:szCs w:val="28"/>
          <w:highlight w:val="none"/>
        </w:rPr>
      </w:pPr>
    </w:p>
    <w:p w14:paraId="120158DB">
      <w:pPr>
        <w:pStyle w:val="63"/>
        <w:rPr>
          <w:rFonts w:hint="eastAsia" w:ascii="仿宋" w:hAnsi="仿宋" w:eastAsia="仿宋" w:cs="仿宋"/>
          <w:b/>
          <w:bCs/>
          <w:color w:val="auto"/>
          <w:sz w:val="40"/>
          <w:szCs w:val="28"/>
          <w:highlight w:val="none"/>
        </w:rPr>
      </w:pPr>
    </w:p>
    <w:p w14:paraId="4BC77A0A">
      <w:pPr>
        <w:rPr>
          <w:rFonts w:hint="eastAsia" w:ascii="仿宋" w:hAnsi="仿宋" w:eastAsia="仿宋" w:cs="仿宋"/>
          <w:b/>
          <w:bCs/>
          <w:color w:val="auto"/>
          <w:sz w:val="40"/>
          <w:szCs w:val="28"/>
          <w:highlight w:val="none"/>
        </w:rPr>
      </w:pPr>
    </w:p>
    <w:p w14:paraId="2BA41173">
      <w:pPr>
        <w:pStyle w:val="63"/>
        <w:rPr>
          <w:rFonts w:hint="eastAsia" w:ascii="仿宋" w:hAnsi="仿宋" w:eastAsia="仿宋" w:cs="仿宋"/>
          <w:b/>
          <w:bCs/>
          <w:color w:val="auto"/>
          <w:sz w:val="40"/>
          <w:szCs w:val="28"/>
          <w:highlight w:val="none"/>
        </w:rPr>
      </w:pPr>
    </w:p>
    <w:p w14:paraId="3856D542">
      <w:pPr>
        <w:pStyle w:val="63"/>
        <w:ind w:left="0" w:leftChars="0" w:firstLine="0" w:firstLineChars="0"/>
        <w:rPr>
          <w:rFonts w:hint="eastAsia"/>
          <w:color w:val="auto"/>
          <w:highlight w:val="none"/>
        </w:rPr>
      </w:pPr>
    </w:p>
    <w:p w14:paraId="27190642">
      <w:pPr>
        <w:keepNext w:val="0"/>
        <w:keepLines w:val="0"/>
        <w:pageBreakBefore w:val="0"/>
        <w:widowControl w:val="0"/>
        <w:spacing w:line="480" w:lineRule="exact"/>
        <w:jc w:val="center"/>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t>第六章  投标文件</w:t>
      </w:r>
    </w:p>
    <w:p w14:paraId="29DC3912">
      <w:pPr>
        <w:pStyle w:val="25"/>
        <w:rPr>
          <w:rFonts w:hint="eastAsia" w:ascii="仿宋" w:hAnsi="仿宋" w:eastAsia="仿宋" w:cs="仿宋"/>
          <w:color w:val="auto"/>
          <w:sz w:val="44"/>
          <w:szCs w:val="44"/>
          <w:highlight w:val="none"/>
        </w:rPr>
      </w:pPr>
    </w:p>
    <w:p w14:paraId="1227BB34">
      <w:pPr>
        <w:pStyle w:val="307"/>
        <w:keepNext w:val="0"/>
        <w:keepLines w:val="0"/>
        <w:pageBreakBefore w:val="0"/>
        <w:outlineLvl w:val="9"/>
        <w:rPr>
          <w:rFonts w:hint="eastAsia" w:ascii="仿宋" w:hAnsi="仿宋" w:eastAsia="仿宋" w:cs="仿宋"/>
          <w:color w:val="auto"/>
          <w:sz w:val="32"/>
          <w:highlight w:val="none"/>
        </w:rPr>
      </w:pPr>
    </w:p>
    <w:p w14:paraId="4DEE17CF">
      <w:pPr>
        <w:pStyle w:val="307"/>
        <w:keepNext w:val="0"/>
        <w:keepLines w:val="0"/>
        <w:pageBreakBefore w:val="0"/>
        <w:outlineLvl w:val="9"/>
        <w:rPr>
          <w:rFonts w:hint="eastAsia" w:ascii="仿宋" w:hAnsi="仿宋" w:eastAsia="仿宋" w:cs="仿宋"/>
          <w:color w:val="auto"/>
          <w:sz w:val="32"/>
          <w:highlight w:val="none"/>
        </w:rPr>
      </w:pPr>
    </w:p>
    <w:p w14:paraId="2E13F363">
      <w:pPr>
        <w:keepNext w:val="0"/>
        <w:keepLines w:val="0"/>
        <w:pageBreakBefore w:val="0"/>
        <w:spacing w:line="400" w:lineRule="exact"/>
        <w:ind w:firstLine="1084"/>
        <w:outlineLvl w:val="9"/>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项</w:t>
      </w:r>
      <w:r>
        <w:rPr>
          <w:rFonts w:hint="eastAsia" w:ascii="仿宋" w:hAnsi="仿宋" w:eastAsia="仿宋" w:cs="仿宋"/>
          <w:b/>
          <w:bCs/>
          <w:color w:val="auto"/>
          <w:sz w:val="36"/>
          <w:highlight w:val="none"/>
          <w:lang w:val="en-US" w:eastAsia="zh-CN"/>
        </w:rPr>
        <w:t xml:space="preserve"> </w:t>
      </w:r>
      <w:r>
        <w:rPr>
          <w:rFonts w:hint="eastAsia" w:ascii="仿宋" w:hAnsi="仿宋" w:eastAsia="仿宋" w:cs="仿宋"/>
          <w:b/>
          <w:bCs/>
          <w:color w:val="auto"/>
          <w:sz w:val="36"/>
          <w:highlight w:val="none"/>
        </w:rPr>
        <w:t>目</w:t>
      </w:r>
      <w:r>
        <w:rPr>
          <w:rFonts w:hint="eastAsia" w:ascii="仿宋" w:hAnsi="仿宋" w:eastAsia="仿宋" w:cs="仿宋"/>
          <w:b/>
          <w:bCs/>
          <w:color w:val="auto"/>
          <w:sz w:val="36"/>
          <w:highlight w:val="none"/>
          <w:lang w:val="en-US" w:eastAsia="zh-CN"/>
        </w:rPr>
        <w:t xml:space="preserve"> </w:t>
      </w:r>
      <w:r>
        <w:rPr>
          <w:rFonts w:hint="eastAsia" w:ascii="仿宋" w:hAnsi="仿宋" w:eastAsia="仿宋" w:cs="仿宋"/>
          <w:b/>
          <w:bCs/>
          <w:color w:val="auto"/>
          <w:sz w:val="36"/>
          <w:highlight w:val="none"/>
        </w:rPr>
        <w:t>名</w:t>
      </w:r>
      <w:r>
        <w:rPr>
          <w:rFonts w:hint="eastAsia" w:ascii="仿宋" w:hAnsi="仿宋" w:eastAsia="仿宋" w:cs="仿宋"/>
          <w:b/>
          <w:bCs/>
          <w:color w:val="auto"/>
          <w:sz w:val="36"/>
          <w:highlight w:val="none"/>
          <w:lang w:val="en-US" w:eastAsia="zh-CN"/>
        </w:rPr>
        <w:t xml:space="preserve"> </w:t>
      </w:r>
      <w:r>
        <w:rPr>
          <w:rFonts w:hint="eastAsia" w:ascii="仿宋" w:hAnsi="仿宋" w:eastAsia="仿宋" w:cs="仿宋"/>
          <w:b/>
          <w:bCs/>
          <w:color w:val="auto"/>
          <w:sz w:val="36"/>
          <w:highlight w:val="none"/>
        </w:rPr>
        <w:t>称:</w:t>
      </w:r>
    </w:p>
    <w:p w14:paraId="1022BAA0">
      <w:pPr>
        <w:pStyle w:val="307"/>
        <w:keepNext w:val="0"/>
        <w:keepLines w:val="0"/>
        <w:pageBreakBefore w:val="0"/>
        <w:outlineLvl w:val="9"/>
        <w:rPr>
          <w:rFonts w:hint="eastAsia" w:ascii="仿宋" w:hAnsi="仿宋" w:eastAsia="仿宋" w:cs="仿宋"/>
          <w:color w:val="auto"/>
          <w:sz w:val="32"/>
          <w:highlight w:val="none"/>
        </w:rPr>
      </w:pPr>
    </w:p>
    <w:p w14:paraId="0064C14C">
      <w:pPr>
        <w:pStyle w:val="307"/>
        <w:keepNext w:val="0"/>
        <w:keepLines w:val="0"/>
        <w:pageBreakBefore w:val="0"/>
        <w:outlineLvl w:val="9"/>
        <w:rPr>
          <w:rFonts w:hint="eastAsia" w:ascii="仿宋" w:hAnsi="仿宋" w:eastAsia="仿宋" w:cs="仿宋"/>
          <w:b/>
          <w:color w:val="auto"/>
          <w:sz w:val="36"/>
          <w:szCs w:val="24"/>
          <w:highlight w:val="none"/>
        </w:rPr>
      </w:pPr>
    </w:p>
    <w:p w14:paraId="2214F237">
      <w:pPr>
        <w:pStyle w:val="307"/>
        <w:keepNext w:val="0"/>
        <w:keepLines w:val="0"/>
        <w:pageBreakBefore w:val="0"/>
        <w:ind w:firstLine="1066"/>
        <w:outlineLvl w:val="9"/>
        <w:rPr>
          <w:rFonts w:hint="eastAsia" w:ascii="仿宋" w:hAnsi="仿宋" w:eastAsia="仿宋" w:cs="仿宋"/>
          <w:b/>
          <w:color w:val="auto"/>
          <w:sz w:val="36"/>
          <w:szCs w:val="24"/>
          <w:highlight w:val="none"/>
        </w:rPr>
      </w:pPr>
    </w:p>
    <w:p w14:paraId="1DA7B158">
      <w:pPr>
        <w:pStyle w:val="307"/>
        <w:keepNext w:val="0"/>
        <w:keepLines w:val="0"/>
        <w:pageBreakBefore w:val="0"/>
        <w:ind w:firstLine="1066"/>
        <w:outlineLvl w:val="9"/>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lang w:eastAsia="zh-CN"/>
        </w:rPr>
        <w:t>招</w:t>
      </w:r>
      <w:r>
        <w:rPr>
          <w:rFonts w:hint="eastAsia" w:ascii="仿宋" w:hAnsi="仿宋" w:eastAsia="仿宋" w:cs="仿宋"/>
          <w:b/>
          <w:color w:val="auto"/>
          <w:sz w:val="36"/>
          <w:szCs w:val="24"/>
          <w:highlight w:val="none"/>
          <w:lang w:val="en-US" w:eastAsia="zh-CN"/>
        </w:rPr>
        <w:t xml:space="preserve"> </w:t>
      </w:r>
      <w:r>
        <w:rPr>
          <w:rFonts w:hint="eastAsia" w:ascii="仿宋" w:hAnsi="仿宋" w:eastAsia="仿宋" w:cs="仿宋"/>
          <w:b/>
          <w:color w:val="auto"/>
          <w:sz w:val="36"/>
          <w:szCs w:val="24"/>
          <w:highlight w:val="none"/>
          <w:lang w:eastAsia="zh-CN"/>
        </w:rPr>
        <w:t>标</w:t>
      </w:r>
      <w:r>
        <w:rPr>
          <w:rFonts w:hint="eastAsia" w:ascii="仿宋" w:hAnsi="仿宋" w:eastAsia="仿宋" w:cs="仿宋"/>
          <w:b/>
          <w:color w:val="auto"/>
          <w:sz w:val="36"/>
          <w:szCs w:val="24"/>
          <w:highlight w:val="none"/>
          <w:lang w:val="en-US" w:eastAsia="zh-CN"/>
        </w:rPr>
        <w:t xml:space="preserve"> </w:t>
      </w:r>
      <w:r>
        <w:rPr>
          <w:rFonts w:hint="eastAsia" w:ascii="仿宋" w:hAnsi="仿宋" w:eastAsia="仿宋" w:cs="仿宋"/>
          <w:b/>
          <w:color w:val="auto"/>
          <w:sz w:val="36"/>
          <w:szCs w:val="24"/>
          <w:highlight w:val="none"/>
        </w:rPr>
        <w:t>编</w:t>
      </w:r>
      <w:r>
        <w:rPr>
          <w:rFonts w:hint="eastAsia" w:ascii="仿宋" w:hAnsi="仿宋" w:eastAsia="仿宋" w:cs="仿宋"/>
          <w:b/>
          <w:color w:val="auto"/>
          <w:sz w:val="36"/>
          <w:szCs w:val="24"/>
          <w:highlight w:val="none"/>
          <w:lang w:val="en-US" w:eastAsia="zh-CN"/>
        </w:rPr>
        <w:t xml:space="preserve"> </w:t>
      </w:r>
      <w:r>
        <w:rPr>
          <w:rFonts w:hint="eastAsia" w:ascii="仿宋" w:hAnsi="仿宋" w:eastAsia="仿宋" w:cs="仿宋"/>
          <w:b/>
          <w:color w:val="auto"/>
          <w:sz w:val="36"/>
          <w:szCs w:val="24"/>
          <w:highlight w:val="none"/>
        </w:rPr>
        <w:t>号:</w:t>
      </w:r>
    </w:p>
    <w:p w14:paraId="7A9E96A1">
      <w:pPr>
        <w:keepNext w:val="0"/>
        <w:keepLines w:val="0"/>
        <w:pageBreakBefore w:val="0"/>
        <w:spacing w:line="400" w:lineRule="exact"/>
        <w:outlineLvl w:val="9"/>
        <w:rPr>
          <w:rFonts w:hint="eastAsia" w:ascii="仿宋" w:hAnsi="仿宋" w:eastAsia="仿宋" w:cs="仿宋"/>
          <w:color w:val="auto"/>
          <w:sz w:val="32"/>
          <w:szCs w:val="20"/>
          <w:highlight w:val="none"/>
        </w:rPr>
      </w:pPr>
    </w:p>
    <w:p w14:paraId="62FA7C0C">
      <w:pPr>
        <w:keepNext w:val="0"/>
        <w:keepLines w:val="0"/>
        <w:pageBreakBefore w:val="0"/>
        <w:spacing w:line="400" w:lineRule="exact"/>
        <w:outlineLvl w:val="9"/>
        <w:rPr>
          <w:rFonts w:hint="eastAsia" w:ascii="仿宋" w:hAnsi="仿宋" w:eastAsia="仿宋" w:cs="仿宋"/>
          <w:color w:val="auto"/>
          <w:sz w:val="32"/>
          <w:szCs w:val="20"/>
          <w:highlight w:val="none"/>
        </w:rPr>
      </w:pPr>
    </w:p>
    <w:p w14:paraId="33513286">
      <w:pPr>
        <w:keepNext w:val="0"/>
        <w:keepLines w:val="0"/>
        <w:pageBreakBefore w:val="0"/>
        <w:spacing w:line="400" w:lineRule="exact"/>
        <w:outlineLvl w:val="9"/>
        <w:rPr>
          <w:rFonts w:hint="eastAsia" w:ascii="仿宋" w:hAnsi="仿宋" w:eastAsia="仿宋" w:cs="仿宋"/>
          <w:color w:val="auto"/>
          <w:sz w:val="32"/>
          <w:szCs w:val="20"/>
          <w:highlight w:val="none"/>
        </w:rPr>
      </w:pPr>
    </w:p>
    <w:p w14:paraId="328B7E17">
      <w:pPr>
        <w:keepNext w:val="0"/>
        <w:keepLines w:val="0"/>
        <w:pageBreakBefore w:val="0"/>
        <w:spacing w:line="400" w:lineRule="exact"/>
        <w:ind w:firstLine="1066"/>
        <w:outlineLvl w:val="9"/>
        <w:rPr>
          <w:rFonts w:hint="eastAsia" w:ascii="仿宋" w:hAnsi="仿宋" w:eastAsia="仿宋" w:cs="仿宋"/>
          <w:b/>
          <w:bCs/>
          <w:color w:val="auto"/>
          <w:sz w:val="36"/>
          <w:highlight w:val="none"/>
          <w:lang w:val="en-US" w:eastAsia="zh-CN"/>
        </w:rPr>
      </w:pPr>
      <w:r>
        <w:rPr>
          <w:rFonts w:hint="eastAsia" w:ascii="仿宋" w:hAnsi="仿宋" w:eastAsia="仿宋" w:cs="仿宋"/>
          <w:b/>
          <w:bCs/>
          <w:color w:val="auto"/>
          <w:sz w:val="36"/>
          <w:highlight w:val="none"/>
        </w:rPr>
        <w:t>投标人</w:t>
      </w:r>
      <w:r>
        <w:rPr>
          <w:rFonts w:hint="eastAsia" w:ascii="仿宋" w:hAnsi="仿宋" w:eastAsia="仿宋" w:cs="仿宋"/>
          <w:b/>
          <w:bCs/>
          <w:color w:val="auto"/>
          <w:sz w:val="36"/>
          <w:highlight w:val="none"/>
          <w:lang w:eastAsia="zh-CN"/>
        </w:rPr>
        <w:t>名称</w:t>
      </w:r>
      <w:r>
        <w:rPr>
          <w:rFonts w:hint="eastAsia" w:ascii="仿宋" w:hAnsi="仿宋" w:eastAsia="仿宋" w:cs="仿宋"/>
          <w:b/>
          <w:bCs/>
          <w:color w:val="auto"/>
          <w:sz w:val="36"/>
          <w:highlight w:val="none"/>
        </w:rPr>
        <w:t>:</w:t>
      </w:r>
      <w:r>
        <w:rPr>
          <w:rFonts w:hint="eastAsia" w:ascii="仿宋" w:hAnsi="仿宋" w:eastAsia="仿宋" w:cs="仿宋"/>
          <w:b/>
          <w:bCs/>
          <w:color w:val="auto"/>
          <w:sz w:val="36"/>
          <w:highlight w:val="none"/>
          <w:lang w:eastAsia="zh-CN"/>
        </w:rPr>
        <w:t>（加盖</w:t>
      </w:r>
      <w:r>
        <w:rPr>
          <w:rFonts w:hint="eastAsia" w:ascii="仿宋" w:hAnsi="仿宋" w:eastAsia="仿宋" w:cs="仿宋"/>
          <w:b/>
          <w:bCs/>
          <w:color w:val="auto"/>
          <w:sz w:val="36"/>
          <w:highlight w:val="none"/>
          <w:lang w:val="en-US" w:eastAsia="zh-CN"/>
        </w:rPr>
        <w:t>CA电子公章）</w:t>
      </w:r>
    </w:p>
    <w:p w14:paraId="09CD21E4">
      <w:pPr>
        <w:keepNext w:val="0"/>
        <w:keepLines w:val="0"/>
        <w:pageBreakBefore w:val="0"/>
        <w:spacing w:line="400" w:lineRule="exact"/>
        <w:ind w:firstLine="1066"/>
        <w:outlineLvl w:val="9"/>
        <w:rPr>
          <w:rFonts w:hint="eastAsia" w:ascii="仿宋" w:hAnsi="仿宋" w:eastAsia="仿宋" w:cs="仿宋"/>
          <w:b/>
          <w:bCs/>
          <w:color w:val="auto"/>
          <w:sz w:val="36"/>
          <w:highlight w:val="none"/>
          <w:lang w:val="en-US" w:eastAsia="zh-CN"/>
        </w:rPr>
      </w:pPr>
      <w:r>
        <w:rPr>
          <w:rFonts w:hint="eastAsia" w:ascii="仿宋" w:hAnsi="仿宋" w:eastAsia="仿宋" w:cs="仿宋"/>
          <w:b/>
          <w:bCs/>
          <w:color w:val="auto"/>
          <w:sz w:val="36"/>
          <w:highlight w:val="none"/>
          <w:lang w:val="en-US" w:eastAsia="zh-CN"/>
        </w:rPr>
        <w:t xml:space="preserve">    </w:t>
      </w:r>
    </w:p>
    <w:p w14:paraId="47FB85A1">
      <w:pPr>
        <w:keepNext w:val="0"/>
        <w:keepLines w:val="0"/>
        <w:pageBreakBefore w:val="0"/>
        <w:spacing w:line="400" w:lineRule="exact"/>
        <w:outlineLvl w:val="9"/>
        <w:rPr>
          <w:rFonts w:hint="eastAsia" w:ascii="仿宋" w:hAnsi="仿宋" w:eastAsia="仿宋" w:cs="仿宋"/>
          <w:b/>
          <w:bCs/>
          <w:color w:val="auto"/>
          <w:sz w:val="36"/>
          <w:highlight w:val="none"/>
          <w:lang w:val="en-US" w:eastAsia="zh-CN"/>
        </w:rPr>
      </w:pPr>
    </w:p>
    <w:p w14:paraId="5D15D58C">
      <w:pPr>
        <w:keepNext w:val="0"/>
        <w:keepLines w:val="0"/>
        <w:pageBreakBefore w:val="0"/>
        <w:spacing w:line="400" w:lineRule="exact"/>
        <w:outlineLvl w:val="9"/>
        <w:rPr>
          <w:rFonts w:hint="eastAsia" w:ascii="仿宋" w:hAnsi="仿宋" w:eastAsia="仿宋" w:cs="仿宋"/>
          <w:b/>
          <w:bCs/>
          <w:color w:val="auto"/>
          <w:sz w:val="36"/>
          <w:highlight w:val="none"/>
          <w:lang w:val="en-US" w:eastAsia="zh-CN"/>
        </w:rPr>
      </w:pPr>
    </w:p>
    <w:p w14:paraId="5C17FBAC">
      <w:pPr>
        <w:keepNext w:val="0"/>
        <w:keepLines w:val="0"/>
        <w:pageBreakBefore w:val="0"/>
        <w:spacing w:line="400" w:lineRule="exact"/>
        <w:ind w:firstLine="1066"/>
        <w:outlineLvl w:val="9"/>
        <w:rPr>
          <w:rFonts w:hint="eastAsia" w:ascii="仿宋" w:hAnsi="仿宋" w:eastAsia="仿宋" w:cs="仿宋"/>
          <w:b/>
          <w:bCs/>
          <w:color w:val="auto"/>
          <w:sz w:val="36"/>
          <w:highlight w:val="none"/>
          <w:lang w:val="en-US" w:eastAsia="zh-CN"/>
        </w:rPr>
      </w:pPr>
      <w:r>
        <w:rPr>
          <w:rFonts w:hint="eastAsia" w:ascii="仿宋" w:hAnsi="仿宋" w:eastAsia="仿宋" w:cs="仿宋"/>
          <w:b/>
          <w:bCs/>
          <w:color w:val="auto"/>
          <w:sz w:val="36"/>
          <w:highlight w:val="none"/>
          <w:lang w:val="en-US" w:eastAsia="zh-CN"/>
        </w:rPr>
        <w:t>日       期：</w:t>
      </w:r>
    </w:p>
    <w:p w14:paraId="47436517">
      <w:pPr>
        <w:pStyle w:val="307"/>
        <w:keepNext w:val="0"/>
        <w:keepLines w:val="0"/>
        <w:pageBreakBefore w:val="0"/>
        <w:ind w:firstLine="1904"/>
        <w:outlineLvl w:val="9"/>
        <w:rPr>
          <w:rFonts w:hint="eastAsia" w:ascii="仿宋" w:hAnsi="仿宋" w:eastAsia="仿宋" w:cs="仿宋"/>
          <w:color w:val="auto"/>
          <w:sz w:val="32"/>
          <w:highlight w:val="none"/>
        </w:rPr>
      </w:pPr>
    </w:p>
    <w:p w14:paraId="05893D64">
      <w:pPr>
        <w:spacing w:line="600" w:lineRule="exact"/>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
          <w:color w:val="auto"/>
          <w:sz w:val="32"/>
          <w:szCs w:val="32"/>
          <w:highlight w:val="none"/>
        </w:rPr>
        <w:t>一、投标函（所有包均适用）</w:t>
      </w:r>
    </w:p>
    <w:p w14:paraId="60D49EA9">
      <w:pPr>
        <w:pStyle w:val="25"/>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lang w:eastAsia="zh-CN"/>
        </w:rPr>
        <w:t>淮安市清江浦区城南街道社区卫生服务中心</w:t>
      </w:r>
      <w:r>
        <w:rPr>
          <w:rFonts w:hint="eastAsia" w:ascii="仿宋" w:hAnsi="仿宋" w:eastAsia="仿宋" w:cs="仿宋"/>
          <w:color w:val="auto"/>
          <w:sz w:val="28"/>
          <w:szCs w:val="24"/>
          <w:highlight w:val="none"/>
        </w:rPr>
        <w:t>:</w:t>
      </w:r>
    </w:p>
    <w:p w14:paraId="6AD3B4B4">
      <w:pPr>
        <w:pStyle w:val="279"/>
        <w:spacing w:before="0" w:after="0" w:line="640" w:lineRule="exact"/>
        <w:ind w:firstLine="7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采购项目（项目编号: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）招标文件（包括更正公告、如果有的话）收悉，我们经详细审阅和研究，现决定参加投标。同时，正式授权下述签字人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（姓名和职务）代表</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（投标人单位名称），全权处理本次项目投标的有关事宜。</w:t>
      </w:r>
    </w:p>
    <w:p w14:paraId="47A351FA">
      <w:pPr>
        <w:spacing w:line="6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1、</w:t>
      </w:r>
      <w:r>
        <w:rPr>
          <w:rFonts w:hint="eastAsia" w:ascii="仿宋" w:hAnsi="仿宋" w:eastAsia="仿宋" w:cs="仿宋"/>
          <w:color w:val="auto"/>
          <w:sz w:val="28"/>
          <w:szCs w:val="28"/>
          <w:highlight w:val="none"/>
        </w:rPr>
        <w:t>我公司没有为本项目提供整体设计、规范编制或者项目管理、监理、检测等服务。</w:t>
      </w:r>
    </w:p>
    <w:p w14:paraId="37D01243">
      <w:pPr>
        <w:spacing w:line="640" w:lineRule="exact"/>
        <w:ind w:firstLine="560"/>
        <w:rPr>
          <w:rFonts w:hint="eastAsia" w:ascii="仿宋" w:hAnsi="仿宋" w:eastAsia="仿宋" w:cs="仿宋"/>
          <w:color w:val="auto"/>
          <w:sz w:val="28"/>
          <w:highlight w:val="none"/>
        </w:rPr>
      </w:pPr>
      <w:r>
        <w:rPr>
          <w:rFonts w:hint="eastAsia" w:ascii="仿宋" w:hAnsi="仿宋" w:eastAsia="仿宋" w:cs="仿宋"/>
          <w:color w:val="auto"/>
          <w:sz w:val="28"/>
          <w:highlight w:val="none"/>
        </w:rPr>
        <w:t>2、参加本次采购活动前，我方没有被“信用中国”网站、“中国政府采购网”列入失信被执行人名单、重大税收违法案件当事人名单、政府采购严重违法失信行为记录名单。</w:t>
      </w:r>
    </w:p>
    <w:p w14:paraId="14282292">
      <w:pPr>
        <w:pStyle w:val="279"/>
        <w:spacing w:before="0" w:after="0" w:line="6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3、我们接受招标文件的所有的条款和规定。</w:t>
      </w:r>
    </w:p>
    <w:p w14:paraId="7FA65C77">
      <w:pPr>
        <w:pStyle w:val="279"/>
        <w:spacing w:before="0" w:after="0" w:line="6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p>
    <w:p w14:paraId="7A59935C">
      <w:pPr>
        <w:pStyle w:val="279"/>
        <w:spacing w:before="0" w:after="0" w:line="6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5、我们理解，你们无义务必须接受投标价最低的投标。同时也理解你们不承担我们本次投标的费用。</w:t>
      </w:r>
    </w:p>
    <w:p w14:paraId="66C57096">
      <w:pPr>
        <w:pStyle w:val="279"/>
        <w:spacing w:before="0" w:after="0" w:line="6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6、我们同意向贵方提供贵方可能要求的与投标有关的任何证据或资料，并保证所提供的都是真实的、准确的。</w:t>
      </w:r>
    </w:p>
    <w:p w14:paraId="096E3DB3">
      <w:pPr>
        <w:pStyle w:val="279"/>
        <w:spacing w:before="0" w:after="0" w:line="6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7、一旦我方中标，我方将根据招标文件的规定，严格履行合同的责任和义务，并保证在按招标文件中规定的时间内供货，并完成项目的施工、调试、交付买方验收、使用。</w:t>
      </w:r>
    </w:p>
    <w:p w14:paraId="70441FEA">
      <w:pPr>
        <w:pStyle w:val="279"/>
        <w:spacing w:before="0" w:after="0" w:line="640" w:lineRule="exact"/>
        <w:ind w:right="560" w:firstLine="2940"/>
        <w:rPr>
          <w:rFonts w:hint="eastAsia" w:ascii="仿宋" w:hAnsi="仿宋" w:eastAsia="仿宋" w:cs="仿宋"/>
          <w:color w:val="auto"/>
          <w:sz w:val="28"/>
          <w:highlight w:val="none"/>
        </w:rPr>
      </w:pPr>
    </w:p>
    <w:p w14:paraId="3025DA75">
      <w:pPr>
        <w:pStyle w:val="279"/>
        <w:spacing w:before="0" w:after="0" w:line="640" w:lineRule="exact"/>
        <w:ind w:right="560" w:firstLine="2940"/>
        <w:rPr>
          <w:rFonts w:hint="eastAsia" w:ascii="仿宋" w:hAnsi="仿宋" w:eastAsia="仿宋" w:cs="仿宋"/>
          <w:color w:val="auto"/>
          <w:sz w:val="28"/>
          <w:highlight w:val="none"/>
          <w:u w:val="single"/>
        </w:rPr>
      </w:pPr>
      <w:r>
        <w:rPr>
          <w:rFonts w:hint="eastAsia" w:ascii="仿宋" w:hAnsi="仿宋" w:eastAsia="仿宋" w:cs="仿宋"/>
          <w:color w:val="auto"/>
          <w:sz w:val="28"/>
          <w:highlight w:val="none"/>
        </w:rPr>
        <w:t>投标人名称（电子签章）:</w:t>
      </w:r>
      <w:r>
        <w:rPr>
          <w:rFonts w:hint="eastAsia" w:ascii="仿宋" w:hAnsi="仿宋" w:eastAsia="仿宋" w:cs="仿宋"/>
          <w:color w:val="auto"/>
          <w:sz w:val="28"/>
          <w:highlight w:val="none"/>
          <w:u w:val="single"/>
        </w:rPr>
        <w:t xml:space="preserve">             </w:t>
      </w:r>
    </w:p>
    <w:p w14:paraId="1C537D58">
      <w:pPr>
        <w:pStyle w:val="279"/>
        <w:spacing w:before="0" w:after="0" w:line="640" w:lineRule="exact"/>
        <w:ind w:right="560" w:firstLine="294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邮编:</w:t>
      </w:r>
      <w:r>
        <w:rPr>
          <w:rFonts w:hint="eastAsia" w:ascii="仿宋" w:hAnsi="仿宋" w:eastAsia="仿宋" w:cs="仿宋"/>
          <w:color w:val="auto"/>
          <w:sz w:val="28"/>
          <w:szCs w:val="28"/>
          <w:highlight w:val="none"/>
          <w:u w:val="single"/>
        </w:rPr>
        <w:t xml:space="preserve">             </w:t>
      </w:r>
    </w:p>
    <w:p w14:paraId="66B54A97">
      <w:pPr>
        <w:spacing w:line="640" w:lineRule="exact"/>
        <w:ind w:right="560" w:firstLine="420"/>
        <w:jc w:val="cente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    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传真:</w:t>
      </w:r>
      <w:r>
        <w:rPr>
          <w:rFonts w:hint="eastAsia" w:ascii="仿宋" w:hAnsi="仿宋" w:eastAsia="仿宋" w:cs="仿宋"/>
          <w:color w:val="auto"/>
          <w:sz w:val="28"/>
          <w:szCs w:val="28"/>
          <w:highlight w:val="none"/>
          <w:u w:val="single"/>
        </w:rPr>
        <w:t xml:space="preserve">           </w:t>
      </w:r>
    </w:p>
    <w:p w14:paraId="708379A8">
      <w:pPr>
        <w:pStyle w:val="25"/>
        <w:spacing w:line="640" w:lineRule="exact"/>
        <w:ind w:right="560" w:firstLine="420"/>
        <w:jc w:val="center"/>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         日期: </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年</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月</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日</w:t>
      </w:r>
    </w:p>
    <w:p w14:paraId="2F3561C5">
      <w:pPr>
        <w:widowControl/>
        <w:spacing w:before="19" w:line="440" w:lineRule="exact"/>
        <w:ind w:firstLine="3036"/>
        <w:rPr>
          <w:rFonts w:hint="eastAsia" w:ascii="仿宋" w:hAnsi="仿宋" w:eastAsia="仿宋" w:cs="仿宋"/>
          <w:b/>
          <w:color w:val="auto"/>
          <w:sz w:val="32"/>
          <w:szCs w:val="32"/>
          <w:highlight w:val="none"/>
        </w:rPr>
      </w:pPr>
    </w:p>
    <w:p w14:paraId="344EBF4A">
      <w:pPr>
        <w:widowControl/>
        <w:spacing w:before="19" w:line="440" w:lineRule="exact"/>
        <w:ind w:firstLine="3036"/>
        <w:rPr>
          <w:rFonts w:hint="eastAsia" w:ascii="仿宋" w:hAnsi="仿宋" w:eastAsia="仿宋" w:cs="仿宋"/>
          <w:b/>
          <w:color w:val="auto"/>
          <w:sz w:val="32"/>
          <w:szCs w:val="32"/>
          <w:highlight w:val="none"/>
        </w:rPr>
      </w:pPr>
    </w:p>
    <w:p w14:paraId="0EBCD6FF">
      <w:pPr>
        <w:widowControl/>
        <w:spacing w:before="19" w:line="440" w:lineRule="exact"/>
        <w:rPr>
          <w:rFonts w:hint="eastAsia" w:ascii="仿宋" w:hAnsi="仿宋" w:eastAsia="仿宋" w:cs="仿宋"/>
          <w:b/>
          <w:color w:val="auto"/>
          <w:sz w:val="32"/>
          <w:szCs w:val="32"/>
          <w:highlight w:val="none"/>
        </w:rPr>
      </w:pPr>
    </w:p>
    <w:p w14:paraId="4BB1C522">
      <w:pPr>
        <w:pStyle w:val="25"/>
        <w:spacing w:line="640" w:lineRule="exact"/>
        <w:rPr>
          <w:rFonts w:hint="eastAsia" w:ascii="仿宋" w:hAnsi="仿宋" w:eastAsia="仿宋" w:cs="仿宋"/>
          <w:color w:val="auto"/>
          <w:sz w:val="28"/>
          <w:szCs w:val="24"/>
          <w:highlight w:val="none"/>
        </w:rPr>
      </w:pPr>
    </w:p>
    <w:p w14:paraId="3593CBDF">
      <w:pPr>
        <w:pStyle w:val="25"/>
        <w:spacing w:line="640" w:lineRule="exact"/>
        <w:rPr>
          <w:rFonts w:hint="eastAsia" w:ascii="仿宋" w:hAnsi="仿宋" w:eastAsia="仿宋" w:cs="仿宋"/>
          <w:color w:val="auto"/>
          <w:sz w:val="28"/>
          <w:szCs w:val="24"/>
          <w:highlight w:val="none"/>
        </w:rPr>
      </w:pPr>
    </w:p>
    <w:p w14:paraId="3FC4F10A">
      <w:pPr>
        <w:pStyle w:val="25"/>
        <w:spacing w:line="640" w:lineRule="exact"/>
        <w:rPr>
          <w:rFonts w:hint="eastAsia" w:ascii="仿宋" w:hAnsi="仿宋" w:eastAsia="仿宋" w:cs="仿宋"/>
          <w:color w:val="auto"/>
          <w:sz w:val="28"/>
          <w:szCs w:val="24"/>
          <w:highlight w:val="none"/>
        </w:rPr>
      </w:pPr>
    </w:p>
    <w:p w14:paraId="02BED312">
      <w:pPr>
        <w:pStyle w:val="25"/>
        <w:spacing w:line="640" w:lineRule="exact"/>
        <w:rPr>
          <w:rFonts w:hint="eastAsia" w:ascii="仿宋" w:hAnsi="仿宋" w:eastAsia="仿宋" w:cs="仿宋"/>
          <w:color w:val="auto"/>
          <w:sz w:val="28"/>
          <w:szCs w:val="24"/>
          <w:highlight w:val="none"/>
        </w:rPr>
      </w:pPr>
    </w:p>
    <w:p w14:paraId="5560F4D6">
      <w:pPr>
        <w:pStyle w:val="25"/>
        <w:spacing w:line="640" w:lineRule="exact"/>
        <w:rPr>
          <w:rFonts w:hint="eastAsia" w:ascii="仿宋" w:hAnsi="仿宋" w:eastAsia="仿宋" w:cs="仿宋"/>
          <w:color w:val="auto"/>
          <w:sz w:val="28"/>
          <w:szCs w:val="24"/>
          <w:highlight w:val="none"/>
        </w:rPr>
      </w:pPr>
    </w:p>
    <w:p w14:paraId="6044AA18">
      <w:pPr>
        <w:pStyle w:val="25"/>
        <w:spacing w:line="640" w:lineRule="exact"/>
        <w:rPr>
          <w:rFonts w:hint="eastAsia" w:ascii="仿宋" w:hAnsi="仿宋" w:eastAsia="仿宋" w:cs="仿宋"/>
          <w:color w:val="auto"/>
          <w:sz w:val="28"/>
          <w:szCs w:val="24"/>
          <w:highlight w:val="none"/>
        </w:rPr>
      </w:pPr>
    </w:p>
    <w:p w14:paraId="58D82F1A">
      <w:pPr>
        <w:pStyle w:val="25"/>
        <w:spacing w:line="640" w:lineRule="exact"/>
        <w:rPr>
          <w:rFonts w:hint="eastAsia" w:ascii="仿宋" w:hAnsi="仿宋" w:eastAsia="仿宋" w:cs="仿宋"/>
          <w:color w:val="auto"/>
          <w:sz w:val="28"/>
          <w:szCs w:val="24"/>
          <w:highlight w:val="none"/>
        </w:rPr>
      </w:pPr>
    </w:p>
    <w:p w14:paraId="11BC37C6">
      <w:pPr>
        <w:pStyle w:val="25"/>
        <w:spacing w:line="640" w:lineRule="exact"/>
        <w:rPr>
          <w:rFonts w:hint="eastAsia" w:ascii="仿宋" w:hAnsi="仿宋" w:eastAsia="仿宋" w:cs="仿宋"/>
          <w:color w:val="auto"/>
          <w:sz w:val="28"/>
          <w:szCs w:val="24"/>
          <w:highlight w:val="none"/>
        </w:rPr>
      </w:pPr>
    </w:p>
    <w:p w14:paraId="1F810C39">
      <w:pPr>
        <w:pStyle w:val="25"/>
        <w:spacing w:line="640" w:lineRule="exact"/>
        <w:rPr>
          <w:rFonts w:hint="eastAsia" w:ascii="仿宋" w:hAnsi="仿宋" w:eastAsia="仿宋" w:cs="仿宋"/>
          <w:color w:val="auto"/>
          <w:sz w:val="28"/>
          <w:szCs w:val="24"/>
          <w:highlight w:val="none"/>
        </w:rPr>
      </w:pPr>
    </w:p>
    <w:p w14:paraId="5EF76874">
      <w:pPr>
        <w:pStyle w:val="25"/>
        <w:spacing w:line="640" w:lineRule="exact"/>
        <w:rPr>
          <w:rFonts w:hint="eastAsia" w:ascii="仿宋" w:hAnsi="仿宋" w:eastAsia="仿宋" w:cs="仿宋"/>
          <w:color w:val="auto"/>
          <w:sz w:val="28"/>
          <w:szCs w:val="24"/>
          <w:highlight w:val="none"/>
        </w:rPr>
      </w:pPr>
    </w:p>
    <w:p w14:paraId="5DD7166F">
      <w:pPr>
        <w:spacing w:line="440" w:lineRule="exact"/>
        <w:rPr>
          <w:rFonts w:hint="eastAsia" w:ascii="仿宋" w:hAnsi="仿宋" w:eastAsia="仿宋" w:cs="仿宋"/>
          <w:color w:val="auto"/>
          <w:sz w:val="28"/>
          <w:szCs w:val="28"/>
          <w:highlight w:val="none"/>
        </w:rPr>
      </w:pPr>
    </w:p>
    <w:p w14:paraId="0479DA75">
      <w:pPr>
        <w:spacing w:line="440" w:lineRule="exact"/>
        <w:rPr>
          <w:rFonts w:hint="eastAsia" w:ascii="仿宋" w:hAnsi="仿宋" w:eastAsia="仿宋" w:cs="仿宋"/>
          <w:color w:val="auto"/>
          <w:sz w:val="28"/>
          <w:szCs w:val="28"/>
          <w:highlight w:val="none"/>
        </w:rPr>
      </w:pPr>
    </w:p>
    <w:p w14:paraId="14D6AF9C">
      <w:pPr>
        <w:widowControl/>
        <w:spacing w:before="19" w:line="440" w:lineRule="exact"/>
        <w:rPr>
          <w:rFonts w:hint="eastAsia" w:ascii="仿宋" w:hAnsi="仿宋" w:eastAsia="仿宋" w:cs="仿宋"/>
          <w:bCs/>
          <w:color w:val="auto"/>
          <w:sz w:val="32"/>
          <w:szCs w:val="32"/>
          <w:highlight w:val="none"/>
        </w:rPr>
      </w:pPr>
    </w:p>
    <w:p w14:paraId="7ED82458">
      <w:pPr>
        <w:widowControl/>
        <w:spacing w:before="19" w:line="440" w:lineRule="exact"/>
        <w:ind w:firstLine="3036"/>
        <w:outlineLvl w:val="0"/>
        <w:rPr>
          <w:rFonts w:hint="default"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rPr>
        <w:t>二、开标一览表</w:t>
      </w:r>
      <w:r>
        <w:rPr>
          <w:rFonts w:hint="eastAsia" w:ascii="仿宋" w:hAnsi="仿宋" w:eastAsia="仿宋" w:cs="仿宋"/>
          <w:b/>
          <w:color w:val="auto"/>
          <w:sz w:val="32"/>
          <w:szCs w:val="32"/>
          <w:highlight w:val="none"/>
          <w:lang w:eastAsia="zh-CN"/>
        </w:rPr>
        <w:t>（</w:t>
      </w:r>
      <w:r>
        <w:rPr>
          <w:rFonts w:hint="eastAsia" w:ascii="仿宋" w:hAnsi="仿宋" w:eastAsia="仿宋" w:cs="仿宋"/>
          <w:b/>
          <w:color w:val="auto"/>
          <w:sz w:val="32"/>
          <w:szCs w:val="32"/>
          <w:highlight w:val="none"/>
          <w:lang w:val="en-US" w:eastAsia="zh-CN"/>
        </w:rPr>
        <w:t>所有包均适用）</w:t>
      </w:r>
    </w:p>
    <w:p w14:paraId="1782323A">
      <w:pPr>
        <w:widowControl/>
        <w:spacing w:before="19" w:line="440" w:lineRule="exact"/>
        <w:ind w:firstLine="3036"/>
        <w:rPr>
          <w:rFonts w:hint="eastAsia" w:ascii="仿宋" w:hAnsi="仿宋" w:eastAsia="仿宋" w:cs="仿宋"/>
          <w:b/>
          <w:color w:val="auto"/>
          <w:sz w:val="32"/>
          <w:szCs w:val="32"/>
          <w:highlight w:val="none"/>
        </w:rPr>
      </w:pPr>
    </w:p>
    <w:tbl>
      <w:tblPr>
        <w:tblStyle w:val="4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17"/>
        <w:gridCol w:w="7222"/>
      </w:tblGrid>
      <w:tr w14:paraId="30F35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98" w:hRule="exact"/>
        </w:trPr>
        <w:tc>
          <w:tcPr>
            <w:tcW w:w="1817" w:type="dxa"/>
            <w:noWrap w:val="0"/>
            <w:vAlign w:val="center"/>
          </w:tcPr>
          <w:p w14:paraId="77CF4218">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项目名称</w:t>
            </w:r>
          </w:p>
        </w:tc>
        <w:tc>
          <w:tcPr>
            <w:tcW w:w="7222" w:type="dxa"/>
            <w:noWrap w:val="0"/>
            <w:vAlign w:val="center"/>
          </w:tcPr>
          <w:p w14:paraId="5B5C36F9">
            <w:pPr>
              <w:jc w:val="center"/>
              <w:rPr>
                <w:rFonts w:hint="eastAsia" w:ascii="仿宋" w:hAnsi="仿宋" w:eastAsia="仿宋" w:cs="仿宋"/>
                <w:color w:val="auto"/>
                <w:sz w:val="28"/>
                <w:szCs w:val="28"/>
                <w:highlight w:val="none"/>
              </w:rPr>
            </w:pPr>
          </w:p>
        </w:tc>
      </w:tr>
      <w:tr w14:paraId="3CB093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61" w:hRule="atLeast"/>
        </w:trPr>
        <w:tc>
          <w:tcPr>
            <w:tcW w:w="1817" w:type="dxa"/>
            <w:noWrap w:val="0"/>
            <w:vAlign w:val="center"/>
          </w:tcPr>
          <w:p w14:paraId="258446D8">
            <w:pPr>
              <w:spacing w:line="7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投标报价</w:t>
            </w:r>
          </w:p>
          <w:p w14:paraId="0C217B64">
            <w:pPr>
              <w:spacing w:line="7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总计</w:t>
            </w:r>
          </w:p>
        </w:tc>
        <w:tc>
          <w:tcPr>
            <w:tcW w:w="7222" w:type="dxa"/>
            <w:noWrap w:val="0"/>
            <w:vAlign w:val="center"/>
          </w:tcPr>
          <w:p w14:paraId="08CC78D2">
            <w:pPr>
              <w:spacing w:line="7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（小写）¥ </w:t>
            </w:r>
            <w:r>
              <w:rPr>
                <w:rFonts w:hint="eastAsia" w:ascii="仿宋" w:hAnsi="仿宋" w:eastAsia="仿宋" w:cs="仿宋"/>
                <w:color w:val="auto"/>
                <w:sz w:val="28"/>
                <w:szCs w:val="28"/>
                <w:highlight w:val="none"/>
                <w:u w:val="single"/>
              </w:rPr>
              <w:t xml:space="preserve">                                  </w:t>
            </w:r>
          </w:p>
          <w:p w14:paraId="32097360">
            <w:pPr>
              <w:spacing w:line="7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拾</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万</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拾</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元整</w:t>
            </w:r>
          </w:p>
        </w:tc>
      </w:tr>
      <w:tr w14:paraId="010A68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73" w:hRule="atLeast"/>
        </w:trPr>
        <w:tc>
          <w:tcPr>
            <w:tcW w:w="1817" w:type="dxa"/>
            <w:noWrap w:val="0"/>
            <w:vAlign w:val="center"/>
          </w:tcPr>
          <w:p w14:paraId="5641C64B">
            <w:pPr>
              <w:ind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品牌</w:t>
            </w:r>
          </w:p>
        </w:tc>
        <w:tc>
          <w:tcPr>
            <w:tcW w:w="7222" w:type="dxa"/>
            <w:noWrap w:val="0"/>
            <w:vAlign w:val="center"/>
          </w:tcPr>
          <w:p w14:paraId="0F4912D1">
            <w:pPr>
              <w:ind w:firstLine="154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p>
        </w:tc>
      </w:tr>
    </w:tbl>
    <w:p w14:paraId="7A5AD7C4">
      <w:pPr>
        <w:spacing w:line="440" w:lineRule="exact"/>
        <w:ind w:firstLine="411"/>
        <w:rPr>
          <w:rFonts w:hint="eastAsia" w:ascii="仿宋" w:hAnsi="仿宋" w:eastAsia="仿宋" w:cs="仿宋"/>
          <w:color w:val="auto"/>
          <w:sz w:val="28"/>
          <w:szCs w:val="28"/>
          <w:highlight w:val="none"/>
        </w:rPr>
      </w:pPr>
      <w:bookmarkStart w:id="39" w:name="_Toc157775459"/>
      <w:bookmarkEnd w:id="39"/>
      <w:bookmarkStart w:id="40" w:name="_Toc136924766"/>
      <w:bookmarkEnd w:id="40"/>
    </w:p>
    <w:p w14:paraId="398402B2">
      <w:pPr>
        <w:spacing w:line="440" w:lineRule="exact"/>
        <w:ind w:firstLine="411"/>
        <w:rPr>
          <w:rFonts w:hint="eastAsia" w:ascii="仿宋" w:hAnsi="仿宋" w:eastAsia="仿宋" w:cs="仿宋"/>
          <w:color w:val="auto"/>
          <w:sz w:val="28"/>
          <w:szCs w:val="28"/>
          <w:highlight w:val="none"/>
        </w:rPr>
      </w:pPr>
    </w:p>
    <w:p w14:paraId="32E33140">
      <w:pPr>
        <w:pStyle w:val="25"/>
        <w:ind w:firstLine="2875"/>
        <w:rPr>
          <w:rFonts w:hint="eastAsia" w:ascii="仿宋" w:hAnsi="仿宋" w:eastAsia="仿宋" w:cs="仿宋"/>
          <w:b/>
          <w:color w:val="auto"/>
          <w:sz w:val="32"/>
          <w:szCs w:val="32"/>
          <w:highlight w:val="none"/>
        </w:rPr>
      </w:pPr>
      <w:bookmarkStart w:id="41" w:name="_Toc157775468"/>
    </w:p>
    <w:p w14:paraId="20A90DCE">
      <w:pPr>
        <w:pStyle w:val="25"/>
        <w:ind w:firstLine="2875"/>
        <w:rPr>
          <w:rFonts w:hint="eastAsia" w:ascii="仿宋" w:hAnsi="仿宋" w:eastAsia="仿宋" w:cs="仿宋"/>
          <w:b/>
          <w:color w:val="auto"/>
          <w:sz w:val="32"/>
          <w:szCs w:val="32"/>
          <w:highlight w:val="none"/>
        </w:rPr>
      </w:pPr>
    </w:p>
    <w:p w14:paraId="4FBE2841">
      <w:pPr>
        <w:pStyle w:val="25"/>
        <w:ind w:firstLine="2875"/>
        <w:rPr>
          <w:rFonts w:hint="eastAsia" w:ascii="仿宋" w:hAnsi="仿宋" w:eastAsia="仿宋" w:cs="仿宋"/>
          <w:b/>
          <w:color w:val="auto"/>
          <w:sz w:val="32"/>
          <w:szCs w:val="32"/>
          <w:highlight w:val="none"/>
        </w:rPr>
      </w:pPr>
    </w:p>
    <w:p w14:paraId="3704AB3D">
      <w:pPr>
        <w:pStyle w:val="25"/>
        <w:ind w:firstLine="2875"/>
        <w:rPr>
          <w:rFonts w:hint="eastAsia" w:ascii="仿宋" w:hAnsi="仿宋" w:eastAsia="仿宋" w:cs="仿宋"/>
          <w:b/>
          <w:color w:val="auto"/>
          <w:sz w:val="32"/>
          <w:szCs w:val="32"/>
          <w:highlight w:val="none"/>
        </w:rPr>
      </w:pPr>
    </w:p>
    <w:p w14:paraId="6803A4FF">
      <w:pPr>
        <w:pStyle w:val="25"/>
        <w:ind w:firstLine="2875"/>
        <w:rPr>
          <w:rFonts w:hint="eastAsia" w:ascii="仿宋" w:hAnsi="仿宋" w:eastAsia="仿宋" w:cs="仿宋"/>
          <w:b/>
          <w:color w:val="auto"/>
          <w:sz w:val="32"/>
          <w:szCs w:val="32"/>
          <w:highlight w:val="none"/>
        </w:rPr>
      </w:pPr>
    </w:p>
    <w:p w14:paraId="028998DA">
      <w:pPr>
        <w:pStyle w:val="25"/>
        <w:ind w:firstLine="2875"/>
        <w:rPr>
          <w:rFonts w:hint="eastAsia" w:ascii="仿宋" w:hAnsi="仿宋" w:eastAsia="仿宋" w:cs="仿宋"/>
          <w:b/>
          <w:color w:val="auto"/>
          <w:sz w:val="32"/>
          <w:szCs w:val="32"/>
          <w:highlight w:val="none"/>
        </w:rPr>
      </w:pPr>
    </w:p>
    <w:p w14:paraId="686D1EFC">
      <w:pPr>
        <w:pStyle w:val="25"/>
        <w:ind w:firstLine="2875"/>
        <w:rPr>
          <w:rFonts w:hint="eastAsia" w:ascii="仿宋" w:hAnsi="仿宋" w:eastAsia="仿宋" w:cs="仿宋"/>
          <w:b/>
          <w:color w:val="auto"/>
          <w:sz w:val="32"/>
          <w:szCs w:val="32"/>
          <w:highlight w:val="none"/>
        </w:rPr>
      </w:pPr>
    </w:p>
    <w:p w14:paraId="3B65CFEA">
      <w:pPr>
        <w:pStyle w:val="25"/>
        <w:ind w:firstLine="2875"/>
        <w:rPr>
          <w:rFonts w:hint="eastAsia" w:ascii="仿宋" w:hAnsi="仿宋" w:eastAsia="仿宋" w:cs="仿宋"/>
          <w:b/>
          <w:color w:val="auto"/>
          <w:sz w:val="32"/>
          <w:szCs w:val="32"/>
          <w:highlight w:val="none"/>
        </w:rPr>
      </w:pPr>
    </w:p>
    <w:p w14:paraId="342DFFCE">
      <w:pPr>
        <w:pStyle w:val="25"/>
        <w:ind w:firstLine="2875"/>
        <w:rPr>
          <w:rFonts w:hint="eastAsia" w:ascii="仿宋" w:hAnsi="仿宋" w:eastAsia="仿宋" w:cs="仿宋"/>
          <w:b/>
          <w:color w:val="auto"/>
          <w:sz w:val="32"/>
          <w:szCs w:val="32"/>
          <w:highlight w:val="none"/>
        </w:rPr>
      </w:pPr>
    </w:p>
    <w:p w14:paraId="6994A821">
      <w:pPr>
        <w:pStyle w:val="25"/>
        <w:ind w:firstLine="2875"/>
        <w:rPr>
          <w:rFonts w:hint="eastAsia" w:ascii="仿宋" w:hAnsi="仿宋" w:eastAsia="仿宋" w:cs="仿宋"/>
          <w:b/>
          <w:color w:val="auto"/>
          <w:sz w:val="32"/>
          <w:szCs w:val="32"/>
          <w:highlight w:val="none"/>
        </w:rPr>
      </w:pPr>
    </w:p>
    <w:p w14:paraId="54479C1F">
      <w:pPr>
        <w:pStyle w:val="25"/>
        <w:ind w:firstLine="2875"/>
        <w:rPr>
          <w:rFonts w:hint="eastAsia" w:ascii="仿宋" w:hAnsi="仿宋" w:eastAsia="仿宋" w:cs="仿宋"/>
          <w:b/>
          <w:color w:val="auto"/>
          <w:sz w:val="32"/>
          <w:szCs w:val="32"/>
          <w:highlight w:val="none"/>
        </w:rPr>
      </w:pPr>
    </w:p>
    <w:p w14:paraId="1876EB9D">
      <w:pPr>
        <w:pStyle w:val="25"/>
        <w:ind w:firstLine="2875"/>
        <w:rPr>
          <w:rFonts w:hint="eastAsia" w:ascii="仿宋" w:hAnsi="仿宋" w:eastAsia="仿宋" w:cs="仿宋"/>
          <w:b/>
          <w:color w:val="auto"/>
          <w:sz w:val="32"/>
          <w:szCs w:val="32"/>
          <w:highlight w:val="none"/>
        </w:rPr>
      </w:pPr>
    </w:p>
    <w:p w14:paraId="0A6D289A">
      <w:pPr>
        <w:pStyle w:val="25"/>
        <w:ind w:firstLine="2875"/>
        <w:rPr>
          <w:rFonts w:hint="eastAsia" w:ascii="仿宋" w:hAnsi="仿宋" w:eastAsia="仿宋" w:cs="仿宋"/>
          <w:b/>
          <w:color w:val="auto"/>
          <w:sz w:val="32"/>
          <w:szCs w:val="32"/>
          <w:highlight w:val="none"/>
        </w:rPr>
      </w:pPr>
    </w:p>
    <w:p w14:paraId="22CC1DCA">
      <w:pPr>
        <w:pStyle w:val="25"/>
        <w:ind w:firstLine="2875"/>
        <w:rPr>
          <w:rFonts w:hint="eastAsia" w:ascii="仿宋" w:hAnsi="仿宋" w:eastAsia="仿宋" w:cs="仿宋"/>
          <w:b/>
          <w:color w:val="auto"/>
          <w:sz w:val="32"/>
          <w:szCs w:val="32"/>
          <w:highlight w:val="none"/>
        </w:rPr>
      </w:pPr>
    </w:p>
    <w:p w14:paraId="79013414">
      <w:pPr>
        <w:pStyle w:val="25"/>
        <w:ind w:firstLine="2875"/>
        <w:rPr>
          <w:rFonts w:hint="eastAsia" w:ascii="仿宋" w:hAnsi="仿宋" w:eastAsia="仿宋" w:cs="仿宋"/>
          <w:b/>
          <w:color w:val="auto"/>
          <w:sz w:val="32"/>
          <w:szCs w:val="32"/>
          <w:highlight w:val="none"/>
        </w:rPr>
      </w:pPr>
    </w:p>
    <w:p w14:paraId="4FC9612F">
      <w:pPr>
        <w:pStyle w:val="25"/>
        <w:ind w:firstLine="2875"/>
        <w:rPr>
          <w:rFonts w:hint="eastAsia" w:ascii="仿宋" w:hAnsi="仿宋" w:eastAsia="仿宋" w:cs="仿宋"/>
          <w:b/>
          <w:color w:val="auto"/>
          <w:sz w:val="32"/>
          <w:szCs w:val="32"/>
          <w:highlight w:val="none"/>
        </w:rPr>
      </w:pPr>
    </w:p>
    <w:p w14:paraId="679B12BC">
      <w:pPr>
        <w:pStyle w:val="25"/>
        <w:ind w:firstLine="2875"/>
        <w:rPr>
          <w:rFonts w:hint="eastAsia" w:ascii="仿宋" w:hAnsi="仿宋" w:eastAsia="仿宋" w:cs="仿宋"/>
          <w:b/>
          <w:color w:val="auto"/>
          <w:sz w:val="32"/>
          <w:szCs w:val="32"/>
          <w:highlight w:val="none"/>
        </w:rPr>
      </w:pPr>
    </w:p>
    <w:p w14:paraId="14B2D1DB">
      <w:pPr>
        <w:pStyle w:val="25"/>
        <w:jc w:val="center"/>
        <w:outlineLvl w:val="0"/>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三、投标分项报价表</w:t>
      </w:r>
      <w:r>
        <w:rPr>
          <w:rFonts w:hint="eastAsia" w:ascii="仿宋" w:hAnsi="仿宋" w:eastAsia="仿宋" w:cs="仿宋"/>
          <w:b/>
          <w:color w:val="auto"/>
          <w:sz w:val="32"/>
          <w:szCs w:val="32"/>
          <w:highlight w:val="none"/>
          <w:lang w:eastAsia="zh-CN"/>
        </w:rPr>
        <w:t>（</w:t>
      </w:r>
      <w:r>
        <w:rPr>
          <w:rFonts w:hint="eastAsia" w:ascii="仿宋" w:hAnsi="仿宋" w:eastAsia="仿宋" w:cs="仿宋"/>
          <w:b/>
          <w:color w:val="auto"/>
          <w:sz w:val="32"/>
          <w:szCs w:val="32"/>
          <w:highlight w:val="none"/>
          <w:lang w:val="en-US" w:eastAsia="zh-CN"/>
        </w:rPr>
        <w:t>所有包均适用）</w:t>
      </w:r>
    </w:p>
    <w:p w14:paraId="26D76977">
      <w:pPr>
        <w:pStyle w:val="20"/>
        <w:rPr>
          <w:rFonts w:hint="default" w:eastAsia="仿宋"/>
          <w:b/>
          <w:bCs w:val="0"/>
          <w:color w:val="auto"/>
          <w:highlight w:val="none"/>
          <w:lang w:val="en-US" w:eastAsia="zh-CN"/>
        </w:rPr>
      </w:pPr>
    </w:p>
    <w:tbl>
      <w:tblPr>
        <w:tblStyle w:val="44"/>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280"/>
        <w:gridCol w:w="825"/>
        <w:gridCol w:w="1290"/>
        <w:gridCol w:w="1283"/>
        <w:gridCol w:w="992"/>
        <w:gridCol w:w="850"/>
        <w:gridCol w:w="851"/>
        <w:gridCol w:w="850"/>
      </w:tblGrid>
      <w:tr w14:paraId="4D7ED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959" w:type="dxa"/>
            <w:noWrap w:val="0"/>
            <w:tcMar>
              <w:top w:w="0" w:type="dxa"/>
              <w:left w:w="108" w:type="dxa"/>
              <w:bottom w:w="0" w:type="dxa"/>
              <w:right w:w="108" w:type="dxa"/>
            </w:tcMar>
            <w:vAlign w:val="center"/>
          </w:tcPr>
          <w:p w14:paraId="12095CD4">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序号</w:t>
            </w:r>
          </w:p>
        </w:tc>
        <w:tc>
          <w:tcPr>
            <w:tcW w:w="1280" w:type="dxa"/>
            <w:noWrap w:val="0"/>
            <w:tcMar>
              <w:top w:w="0" w:type="dxa"/>
              <w:left w:w="108" w:type="dxa"/>
              <w:bottom w:w="0" w:type="dxa"/>
              <w:right w:w="108" w:type="dxa"/>
            </w:tcMar>
            <w:vAlign w:val="center"/>
          </w:tcPr>
          <w:p w14:paraId="6419E638">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产品名称</w:t>
            </w:r>
          </w:p>
        </w:tc>
        <w:tc>
          <w:tcPr>
            <w:tcW w:w="825" w:type="dxa"/>
            <w:noWrap w:val="0"/>
            <w:tcMar>
              <w:top w:w="0" w:type="dxa"/>
              <w:left w:w="108" w:type="dxa"/>
              <w:bottom w:w="0" w:type="dxa"/>
              <w:right w:w="108" w:type="dxa"/>
            </w:tcMar>
            <w:vAlign w:val="center"/>
          </w:tcPr>
          <w:p w14:paraId="29AD4FD7">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品牌</w:t>
            </w:r>
          </w:p>
        </w:tc>
        <w:tc>
          <w:tcPr>
            <w:tcW w:w="1290" w:type="dxa"/>
            <w:noWrap w:val="0"/>
            <w:tcMar>
              <w:top w:w="0" w:type="dxa"/>
              <w:left w:w="108" w:type="dxa"/>
              <w:bottom w:w="0" w:type="dxa"/>
              <w:right w:w="108" w:type="dxa"/>
            </w:tcMar>
            <w:vAlign w:val="center"/>
          </w:tcPr>
          <w:p w14:paraId="022ADD40">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规格型号</w:t>
            </w:r>
          </w:p>
        </w:tc>
        <w:tc>
          <w:tcPr>
            <w:tcW w:w="1283" w:type="dxa"/>
            <w:noWrap w:val="0"/>
            <w:tcMar>
              <w:top w:w="0" w:type="dxa"/>
              <w:left w:w="108" w:type="dxa"/>
              <w:bottom w:w="0" w:type="dxa"/>
              <w:right w:w="108" w:type="dxa"/>
            </w:tcMar>
            <w:vAlign w:val="center"/>
          </w:tcPr>
          <w:p w14:paraId="077DD21A">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生产厂家</w:t>
            </w:r>
          </w:p>
        </w:tc>
        <w:tc>
          <w:tcPr>
            <w:tcW w:w="992" w:type="dxa"/>
            <w:noWrap w:val="0"/>
            <w:tcMar>
              <w:top w:w="0" w:type="dxa"/>
              <w:left w:w="108" w:type="dxa"/>
              <w:bottom w:w="0" w:type="dxa"/>
              <w:right w:w="108" w:type="dxa"/>
            </w:tcMar>
            <w:vAlign w:val="center"/>
          </w:tcPr>
          <w:p w14:paraId="42E799E1">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交付期</w:t>
            </w:r>
          </w:p>
        </w:tc>
        <w:tc>
          <w:tcPr>
            <w:tcW w:w="850" w:type="dxa"/>
            <w:noWrap w:val="0"/>
            <w:tcMar>
              <w:top w:w="0" w:type="dxa"/>
              <w:left w:w="108" w:type="dxa"/>
              <w:bottom w:w="0" w:type="dxa"/>
              <w:right w:w="108" w:type="dxa"/>
            </w:tcMar>
            <w:vAlign w:val="center"/>
          </w:tcPr>
          <w:p w14:paraId="67EB4D3F">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数量</w:t>
            </w:r>
          </w:p>
        </w:tc>
        <w:tc>
          <w:tcPr>
            <w:tcW w:w="851" w:type="dxa"/>
            <w:noWrap w:val="0"/>
            <w:tcMar>
              <w:top w:w="0" w:type="dxa"/>
              <w:left w:w="108" w:type="dxa"/>
              <w:bottom w:w="0" w:type="dxa"/>
              <w:right w:w="108" w:type="dxa"/>
            </w:tcMar>
            <w:vAlign w:val="center"/>
          </w:tcPr>
          <w:p w14:paraId="1E2BCCB7">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分项单价</w:t>
            </w:r>
          </w:p>
        </w:tc>
        <w:tc>
          <w:tcPr>
            <w:tcW w:w="850" w:type="dxa"/>
            <w:noWrap w:val="0"/>
            <w:tcMar>
              <w:top w:w="0" w:type="dxa"/>
              <w:left w:w="108" w:type="dxa"/>
              <w:bottom w:w="0" w:type="dxa"/>
              <w:right w:w="108" w:type="dxa"/>
            </w:tcMar>
            <w:vAlign w:val="center"/>
          </w:tcPr>
          <w:p w14:paraId="5D7EA80A">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分项总价</w:t>
            </w:r>
          </w:p>
        </w:tc>
      </w:tr>
      <w:tr w14:paraId="3ABC6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959" w:type="dxa"/>
            <w:noWrap w:val="0"/>
            <w:tcMar>
              <w:top w:w="0" w:type="dxa"/>
              <w:left w:w="108" w:type="dxa"/>
              <w:bottom w:w="0" w:type="dxa"/>
              <w:right w:w="108" w:type="dxa"/>
            </w:tcMar>
            <w:vAlign w:val="center"/>
          </w:tcPr>
          <w:p w14:paraId="461C2059">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1</w:t>
            </w:r>
          </w:p>
        </w:tc>
        <w:tc>
          <w:tcPr>
            <w:tcW w:w="1280" w:type="dxa"/>
            <w:noWrap w:val="0"/>
            <w:tcMar>
              <w:top w:w="0" w:type="dxa"/>
              <w:left w:w="108" w:type="dxa"/>
              <w:bottom w:w="0" w:type="dxa"/>
              <w:right w:w="108" w:type="dxa"/>
            </w:tcMar>
            <w:vAlign w:val="center"/>
          </w:tcPr>
          <w:p w14:paraId="7C71B420">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c>
          <w:tcPr>
            <w:tcW w:w="825" w:type="dxa"/>
            <w:noWrap w:val="0"/>
            <w:tcMar>
              <w:top w:w="0" w:type="dxa"/>
              <w:left w:w="108" w:type="dxa"/>
              <w:bottom w:w="0" w:type="dxa"/>
              <w:right w:w="108" w:type="dxa"/>
            </w:tcMar>
            <w:vAlign w:val="center"/>
          </w:tcPr>
          <w:p w14:paraId="127D5630">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c>
          <w:tcPr>
            <w:tcW w:w="1290" w:type="dxa"/>
            <w:noWrap w:val="0"/>
            <w:tcMar>
              <w:top w:w="0" w:type="dxa"/>
              <w:left w:w="108" w:type="dxa"/>
              <w:bottom w:w="0" w:type="dxa"/>
              <w:right w:w="108" w:type="dxa"/>
            </w:tcMar>
            <w:vAlign w:val="center"/>
          </w:tcPr>
          <w:p w14:paraId="4CB475B0">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c>
          <w:tcPr>
            <w:tcW w:w="1283" w:type="dxa"/>
            <w:noWrap w:val="0"/>
            <w:tcMar>
              <w:top w:w="0" w:type="dxa"/>
              <w:left w:w="108" w:type="dxa"/>
              <w:bottom w:w="0" w:type="dxa"/>
              <w:right w:w="108" w:type="dxa"/>
            </w:tcMar>
            <w:vAlign w:val="center"/>
          </w:tcPr>
          <w:p w14:paraId="3B943C8B">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c>
          <w:tcPr>
            <w:tcW w:w="992" w:type="dxa"/>
            <w:noWrap w:val="0"/>
            <w:tcMar>
              <w:top w:w="0" w:type="dxa"/>
              <w:left w:w="108" w:type="dxa"/>
              <w:bottom w:w="0" w:type="dxa"/>
              <w:right w:w="108" w:type="dxa"/>
            </w:tcMar>
            <w:vAlign w:val="center"/>
          </w:tcPr>
          <w:p w14:paraId="6C7B8257">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c>
          <w:tcPr>
            <w:tcW w:w="850" w:type="dxa"/>
            <w:noWrap w:val="0"/>
            <w:tcMar>
              <w:top w:w="0" w:type="dxa"/>
              <w:left w:w="108" w:type="dxa"/>
              <w:bottom w:w="0" w:type="dxa"/>
              <w:right w:w="108" w:type="dxa"/>
            </w:tcMar>
            <w:vAlign w:val="center"/>
          </w:tcPr>
          <w:p w14:paraId="08B780F6">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c>
          <w:tcPr>
            <w:tcW w:w="851" w:type="dxa"/>
            <w:noWrap w:val="0"/>
            <w:tcMar>
              <w:top w:w="0" w:type="dxa"/>
              <w:left w:w="108" w:type="dxa"/>
              <w:bottom w:w="0" w:type="dxa"/>
              <w:right w:w="108" w:type="dxa"/>
            </w:tcMar>
            <w:vAlign w:val="center"/>
          </w:tcPr>
          <w:p w14:paraId="43ED7067">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c>
          <w:tcPr>
            <w:tcW w:w="850" w:type="dxa"/>
            <w:noWrap w:val="0"/>
            <w:tcMar>
              <w:top w:w="0" w:type="dxa"/>
              <w:left w:w="108" w:type="dxa"/>
              <w:bottom w:w="0" w:type="dxa"/>
              <w:right w:w="108" w:type="dxa"/>
            </w:tcMar>
            <w:vAlign w:val="center"/>
          </w:tcPr>
          <w:p w14:paraId="34E563BF">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r>
      <w:tr w14:paraId="1E7D4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959" w:type="dxa"/>
            <w:noWrap w:val="0"/>
            <w:tcMar>
              <w:top w:w="0" w:type="dxa"/>
              <w:left w:w="108" w:type="dxa"/>
              <w:bottom w:w="0" w:type="dxa"/>
              <w:right w:w="108" w:type="dxa"/>
            </w:tcMar>
            <w:vAlign w:val="center"/>
          </w:tcPr>
          <w:p w14:paraId="157DA677">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2</w:t>
            </w:r>
          </w:p>
        </w:tc>
        <w:tc>
          <w:tcPr>
            <w:tcW w:w="1280" w:type="dxa"/>
            <w:noWrap w:val="0"/>
            <w:tcMar>
              <w:top w:w="0" w:type="dxa"/>
              <w:left w:w="108" w:type="dxa"/>
              <w:bottom w:w="0" w:type="dxa"/>
              <w:right w:w="108" w:type="dxa"/>
            </w:tcMar>
            <w:vAlign w:val="center"/>
          </w:tcPr>
          <w:p w14:paraId="22E75FA4">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825" w:type="dxa"/>
            <w:noWrap w:val="0"/>
            <w:tcMar>
              <w:top w:w="0" w:type="dxa"/>
              <w:left w:w="108" w:type="dxa"/>
              <w:bottom w:w="0" w:type="dxa"/>
              <w:right w:w="108" w:type="dxa"/>
            </w:tcMar>
            <w:vAlign w:val="center"/>
          </w:tcPr>
          <w:p w14:paraId="06A930ED">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1290" w:type="dxa"/>
            <w:noWrap w:val="0"/>
            <w:tcMar>
              <w:top w:w="0" w:type="dxa"/>
              <w:left w:w="108" w:type="dxa"/>
              <w:bottom w:w="0" w:type="dxa"/>
              <w:right w:w="108" w:type="dxa"/>
            </w:tcMar>
            <w:vAlign w:val="center"/>
          </w:tcPr>
          <w:p w14:paraId="6D68FE6A">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1283" w:type="dxa"/>
            <w:noWrap w:val="0"/>
            <w:tcMar>
              <w:top w:w="0" w:type="dxa"/>
              <w:left w:w="108" w:type="dxa"/>
              <w:bottom w:w="0" w:type="dxa"/>
              <w:right w:w="108" w:type="dxa"/>
            </w:tcMar>
            <w:vAlign w:val="center"/>
          </w:tcPr>
          <w:p w14:paraId="52E6AA11">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992" w:type="dxa"/>
            <w:noWrap w:val="0"/>
            <w:tcMar>
              <w:top w:w="0" w:type="dxa"/>
              <w:left w:w="108" w:type="dxa"/>
              <w:bottom w:w="0" w:type="dxa"/>
              <w:right w:w="108" w:type="dxa"/>
            </w:tcMar>
            <w:vAlign w:val="center"/>
          </w:tcPr>
          <w:p w14:paraId="5EE73A9E">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850" w:type="dxa"/>
            <w:noWrap w:val="0"/>
            <w:tcMar>
              <w:top w:w="0" w:type="dxa"/>
              <w:left w:w="108" w:type="dxa"/>
              <w:bottom w:w="0" w:type="dxa"/>
              <w:right w:w="108" w:type="dxa"/>
            </w:tcMar>
            <w:vAlign w:val="center"/>
          </w:tcPr>
          <w:p w14:paraId="247CCF7C">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851" w:type="dxa"/>
            <w:noWrap w:val="0"/>
            <w:tcMar>
              <w:top w:w="0" w:type="dxa"/>
              <w:left w:w="108" w:type="dxa"/>
              <w:bottom w:w="0" w:type="dxa"/>
              <w:right w:w="108" w:type="dxa"/>
            </w:tcMar>
            <w:vAlign w:val="center"/>
          </w:tcPr>
          <w:p w14:paraId="17D6F86E">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850" w:type="dxa"/>
            <w:noWrap w:val="0"/>
            <w:tcMar>
              <w:top w:w="0" w:type="dxa"/>
              <w:left w:w="108" w:type="dxa"/>
              <w:bottom w:w="0" w:type="dxa"/>
              <w:right w:w="108" w:type="dxa"/>
            </w:tcMar>
            <w:vAlign w:val="center"/>
          </w:tcPr>
          <w:p w14:paraId="086CAE56">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 </w:t>
            </w:r>
          </w:p>
        </w:tc>
      </w:tr>
      <w:tr w14:paraId="0CEC3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959" w:type="dxa"/>
            <w:noWrap w:val="0"/>
            <w:tcMar>
              <w:top w:w="0" w:type="dxa"/>
              <w:left w:w="108" w:type="dxa"/>
              <w:bottom w:w="0" w:type="dxa"/>
              <w:right w:w="108" w:type="dxa"/>
            </w:tcMar>
            <w:vAlign w:val="center"/>
          </w:tcPr>
          <w:p w14:paraId="0CC1BCB8">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3</w:t>
            </w:r>
          </w:p>
        </w:tc>
        <w:tc>
          <w:tcPr>
            <w:tcW w:w="1280" w:type="dxa"/>
            <w:noWrap w:val="0"/>
            <w:tcMar>
              <w:top w:w="0" w:type="dxa"/>
              <w:left w:w="108" w:type="dxa"/>
              <w:bottom w:w="0" w:type="dxa"/>
              <w:right w:w="108" w:type="dxa"/>
            </w:tcMar>
            <w:vAlign w:val="center"/>
          </w:tcPr>
          <w:p w14:paraId="6E92E66A">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c>
          <w:tcPr>
            <w:tcW w:w="825" w:type="dxa"/>
            <w:noWrap w:val="0"/>
            <w:tcMar>
              <w:top w:w="0" w:type="dxa"/>
              <w:left w:w="108" w:type="dxa"/>
              <w:bottom w:w="0" w:type="dxa"/>
              <w:right w:w="108" w:type="dxa"/>
            </w:tcMar>
            <w:vAlign w:val="center"/>
          </w:tcPr>
          <w:p w14:paraId="5F6845F2">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c>
          <w:tcPr>
            <w:tcW w:w="1290" w:type="dxa"/>
            <w:noWrap w:val="0"/>
            <w:tcMar>
              <w:top w:w="0" w:type="dxa"/>
              <w:left w:w="108" w:type="dxa"/>
              <w:bottom w:w="0" w:type="dxa"/>
              <w:right w:w="108" w:type="dxa"/>
            </w:tcMar>
            <w:vAlign w:val="center"/>
          </w:tcPr>
          <w:p w14:paraId="04102A6F">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c>
          <w:tcPr>
            <w:tcW w:w="1283" w:type="dxa"/>
            <w:noWrap w:val="0"/>
            <w:tcMar>
              <w:top w:w="0" w:type="dxa"/>
              <w:left w:w="108" w:type="dxa"/>
              <w:bottom w:w="0" w:type="dxa"/>
              <w:right w:w="108" w:type="dxa"/>
            </w:tcMar>
            <w:vAlign w:val="center"/>
          </w:tcPr>
          <w:p w14:paraId="6B15F8DF">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c>
          <w:tcPr>
            <w:tcW w:w="992" w:type="dxa"/>
            <w:noWrap w:val="0"/>
            <w:tcMar>
              <w:top w:w="0" w:type="dxa"/>
              <w:left w:w="108" w:type="dxa"/>
              <w:bottom w:w="0" w:type="dxa"/>
              <w:right w:w="108" w:type="dxa"/>
            </w:tcMar>
            <w:vAlign w:val="center"/>
          </w:tcPr>
          <w:p w14:paraId="3D98C387">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c>
          <w:tcPr>
            <w:tcW w:w="850" w:type="dxa"/>
            <w:noWrap w:val="0"/>
            <w:tcMar>
              <w:top w:w="0" w:type="dxa"/>
              <w:left w:w="108" w:type="dxa"/>
              <w:bottom w:w="0" w:type="dxa"/>
              <w:right w:w="108" w:type="dxa"/>
            </w:tcMar>
            <w:vAlign w:val="center"/>
          </w:tcPr>
          <w:p w14:paraId="2F40CB78">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c>
          <w:tcPr>
            <w:tcW w:w="851" w:type="dxa"/>
            <w:noWrap w:val="0"/>
            <w:tcMar>
              <w:top w:w="0" w:type="dxa"/>
              <w:left w:w="108" w:type="dxa"/>
              <w:bottom w:w="0" w:type="dxa"/>
              <w:right w:w="108" w:type="dxa"/>
            </w:tcMar>
            <w:vAlign w:val="center"/>
          </w:tcPr>
          <w:p w14:paraId="1D4AFC5E">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c>
          <w:tcPr>
            <w:tcW w:w="850" w:type="dxa"/>
            <w:noWrap w:val="0"/>
            <w:tcMar>
              <w:top w:w="0" w:type="dxa"/>
              <w:left w:w="108" w:type="dxa"/>
              <w:bottom w:w="0" w:type="dxa"/>
              <w:right w:w="108" w:type="dxa"/>
            </w:tcMar>
            <w:vAlign w:val="center"/>
          </w:tcPr>
          <w:p w14:paraId="4F7AF32F">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r>
      <w:tr w14:paraId="6FEA7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959" w:type="dxa"/>
            <w:noWrap w:val="0"/>
            <w:tcMar>
              <w:top w:w="0" w:type="dxa"/>
              <w:left w:w="108" w:type="dxa"/>
              <w:bottom w:w="0" w:type="dxa"/>
              <w:right w:w="108" w:type="dxa"/>
            </w:tcMar>
            <w:vAlign w:val="center"/>
          </w:tcPr>
          <w:p w14:paraId="08A677C8">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4</w:t>
            </w:r>
          </w:p>
        </w:tc>
        <w:tc>
          <w:tcPr>
            <w:tcW w:w="1280" w:type="dxa"/>
            <w:noWrap w:val="0"/>
            <w:tcMar>
              <w:top w:w="0" w:type="dxa"/>
              <w:left w:w="108" w:type="dxa"/>
              <w:bottom w:w="0" w:type="dxa"/>
              <w:right w:w="108" w:type="dxa"/>
            </w:tcMar>
            <w:vAlign w:val="center"/>
          </w:tcPr>
          <w:p w14:paraId="1534B83D">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c>
          <w:tcPr>
            <w:tcW w:w="825" w:type="dxa"/>
            <w:noWrap w:val="0"/>
            <w:tcMar>
              <w:top w:w="0" w:type="dxa"/>
              <w:left w:w="108" w:type="dxa"/>
              <w:bottom w:w="0" w:type="dxa"/>
              <w:right w:w="108" w:type="dxa"/>
            </w:tcMar>
            <w:vAlign w:val="center"/>
          </w:tcPr>
          <w:p w14:paraId="3B344C08">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c>
          <w:tcPr>
            <w:tcW w:w="1290" w:type="dxa"/>
            <w:noWrap w:val="0"/>
            <w:tcMar>
              <w:top w:w="0" w:type="dxa"/>
              <w:left w:w="108" w:type="dxa"/>
              <w:bottom w:w="0" w:type="dxa"/>
              <w:right w:w="108" w:type="dxa"/>
            </w:tcMar>
            <w:vAlign w:val="center"/>
          </w:tcPr>
          <w:p w14:paraId="509E82BB">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c>
          <w:tcPr>
            <w:tcW w:w="1283" w:type="dxa"/>
            <w:noWrap w:val="0"/>
            <w:tcMar>
              <w:top w:w="0" w:type="dxa"/>
              <w:left w:w="108" w:type="dxa"/>
              <w:bottom w:w="0" w:type="dxa"/>
              <w:right w:w="108" w:type="dxa"/>
            </w:tcMar>
            <w:vAlign w:val="center"/>
          </w:tcPr>
          <w:p w14:paraId="52556EA2">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c>
          <w:tcPr>
            <w:tcW w:w="992" w:type="dxa"/>
            <w:noWrap w:val="0"/>
            <w:tcMar>
              <w:top w:w="0" w:type="dxa"/>
              <w:left w:w="108" w:type="dxa"/>
              <w:bottom w:w="0" w:type="dxa"/>
              <w:right w:w="108" w:type="dxa"/>
            </w:tcMar>
            <w:vAlign w:val="center"/>
          </w:tcPr>
          <w:p w14:paraId="56476C77">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c>
          <w:tcPr>
            <w:tcW w:w="850" w:type="dxa"/>
            <w:noWrap w:val="0"/>
            <w:tcMar>
              <w:top w:w="0" w:type="dxa"/>
              <w:left w:w="108" w:type="dxa"/>
              <w:bottom w:w="0" w:type="dxa"/>
              <w:right w:w="108" w:type="dxa"/>
            </w:tcMar>
            <w:vAlign w:val="center"/>
          </w:tcPr>
          <w:p w14:paraId="1769480E">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c>
          <w:tcPr>
            <w:tcW w:w="851" w:type="dxa"/>
            <w:noWrap w:val="0"/>
            <w:tcMar>
              <w:top w:w="0" w:type="dxa"/>
              <w:left w:w="108" w:type="dxa"/>
              <w:bottom w:w="0" w:type="dxa"/>
              <w:right w:w="108" w:type="dxa"/>
            </w:tcMar>
            <w:vAlign w:val="center"/>
          </w:tcPr>
          <w:p w14:paraId="5B99A33F">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c>
          <w:tcPr>
            <w:tcW w:w="850" w:type="dxa"/>
            <w:noWrap w:val="0"/>
            <w:tcMar>
              <w:top w:w="0" w:type="dxa"/>
              <w:left w:w="108" w:type="dxa"/>
              <w:bottom w:w="0" w:type="dxa"/>
              <w:right w:w="108" w:type="dxa"/>
            </w:tcMar>
            <w:vAlign w:val="center"/>
          </w:tcPr>
          <w:p w14:paraId="25277222">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r>
      <w:tr w14:paraId="5EFA7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959" w:type="dxa"/>
            <w:noWrap w:val="0"/>
            <w:tcMar>
              <w:top w:w="0" w:type="dxa"/>
              <w:left w:w="108" w:type="dxa"/>
              <w:bottom w:w="0" w:type="dxa"/>
              <w:right w:w="108" w:type="dxa"/>
            </w:tcMar>
            <w:vAlign w:val="center"/>
          </w:tcPr>
          <w:p w14:paraId="71D81556">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5</w:t>
            </w:r>
          </w:p>
        </w:tc>
        <w:tc>
          <w:tcPr>
            <w:tcW w:w="1280" w:type="dxa"/>
            <w:noWrap w:val="0"/>
            <w:tcMar>
              <w:top w:w="0" w:type="dxa"/>
              <w:left w:w="108" w:type="dxa"/>
              <w:bottom w:w="0" w:type="dxa"/>
              <w:right w:w="108" w:type="dxa"/>
            </w:tcMar>
            <w:vAlign w:val="center"/>
          </w:tcPr>
          <w:p w14:paraId="7CEF35D3">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c>
          <w:tcPr>
            <w:tcW w:w="825" w:type="dxa"/>
            <w:noWrap w:val="0"/>
            <w:tcMar>
              <w:top w:w="0" w:type="dxa"/>
              <w:left w:w="108" w:type="dxa"/>
              <w:bottom w:w="0" w:type="dxa"/>
              <w:right w:w="108" w:type="dxa"/>
            </w:tcMar>
            <w:vAlign w:val="center"/>
          </w:tcPr>
          <w:p w14:paraId="56A33D2E">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c>
          <w:tcPr>
            <w:tcW w:w="1290" w:type="dxa"/>
            <w:noWrap w:val="0"/>
            <w:tcMar>
              <w:top w:w="0" w:type="dxa"/>
              <w:left w:w="108" w:type="dxa"/>
              <w:bottom w:w="0" w:type="dxa"/>
              <w:right w:w="108" w:type="dxa"/>
            </w:tcMar>
            <w:vAlign w:val="center"/>
          </w:tcPr>
          <w:p w14:paraId="2BE9FBEA">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c>
          <w:tcPr>
            <w:tcW w:w="1283" w:type="dxa"/>
            <w:noWrap w:val="0"/>
            <w:tcMar>
              <w:top w:w="0" w:type="dxa"/>
              <w:left w:w="108" w:type="dxa"/>
              <w:bottom w:w="0" w:type="dxa"/>
              <w:right w:w="108" w:type="dxa"/>
            </w:tcMar>
            <w:vAlign w:val="center"/>
          </w:tcPr>
          <w:p w14:paraId="0ECE897F">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c>
          <w:tcPr>
            <w:tcW w:w="992" w:type="dxa"/>
            <w:noWrap w:val="0"/>
            <w:tcMar>
              <w:top w:w="0" w:type="dxa"/>
              <w:left w:w="108" w:type="dxa"/>
              <w:bottom w:w="0" w:type="dxa"/>
              <w:right w:w="108" w:type="dxa"/>
            </w:tcMar>
            <w:vAlign w:val="center"/>
          </w:tcPr>
          <w:p w14:paraId="30A5D0EA">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c>
          <w:tcPr>
            <w:tcW w:w="850" w:type="dxa"/>
            <w:noWrap w:val="0"/>
            <w:tcMar>
              <w:top w:w="0" w:type="dxa"/>
              <w:left w:w="108" w:type="dxa"/>
              <w:bottom w:w="0" w:type="dxa"/>
              <w:right w:w="108" w:type="dxa"/>
            </w:tcMar>
            <w:vAlign w:val="center"/>
          </w:tcPr>
          <w:p w14:paraId="0595D0CC">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c>
          <w:tcPr>
            <w:tcW w:w="851" w:type="dxa"/>
            <w:noWrap w:val="0"/>
            <w:tcMar>
              <w:top w:w="0" w:type="dxa"/>
              <w:left w:w="108" w:type="dxa"/>
              <w:bottom w:w="0" w:type="dxa"/>
              <w:right w:w="108" w:type="dxa"/>
            </w:tcMar>
            <w:vAlign w:val="center"/>
          </w:tcPr>
          <w:p w14:paraId="65920517">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c>
          <w:tcPr>
            <w:tcW w:w="850" w:type="dxa"/>
            <w:noWrap w:val="0"/>
            <w:tcMar>
              <w:top w:w="0" w:type="dxa"/>
              <w:left w:w="108" w:type="dxa"/>
              <w:bottom w:w="0" w:type="dxa"/>
              <w:right w:w="108" w:type="dxa"/>
            </w:tcMar>
            <w:vAlign w:val="center"/>
          </w:tcPr>
          <w:p w14:paraId="1C27FAB2">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r>
      <w:tr w14:paraId="0B708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959" w:type="dxa"/>
            <w:noWrap w:val="0"/>
            <w:tcMar>
              <w:top w:w="0" w:type="dxa"/>
              <w:left w:w="108" w:type="dxa"/>
              <w:bottom w:w="0" w:type="dxa"/>
              <w:right w:w="108" w:type="dxa"/>
            </w:tcMar>
            <w:vAlign w:val="center"/>
          </w:tcPr>
          <w:p w14:paraId="567045B5">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6</w:t>
            </w:r>
          </w:p>
        </w:tc>
        <w:tc>
          <w:tcPr>
            <w:tcW w:w="1280" w:type="dxa"/>
            <w:noWrap w:val="0"/>
            <w:tcMar>
              <w:top w:w="0" w:type="dxa"/>
              <w:left w:w="108" w:type="dxa"/>
              <w:bottom w:w="0" w:type="dxa"/>
              <w:right w:w="108" w:type="dxa"/>
            </w:tcMar>
            <w:vAlign w:val="center"/>
          </w:tcPr>
          <w:p w14:paraId="707A0C6A">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c>
          <w:tcPr>
            <w:tcW w:w="825" w:type="dxa"/>
            <w:noWrap w:val="0"/>
            <w:tcMar>
              <w:top w:w="0" w:type="dxa"/>
              <w:left w:w="108" w:type="dxa"/>
              <w:bottom w:w="0" w:type="dxa"/>
              <w:right w:w="108" w:type="dxa"/>
            </w:tcMar>
            <w:vAlign w:val="center"/>
          </w:tcPr>
          <w:p w14:paraId="56AAC05B">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c>
          <w:tcPr>
            <w:tcW w:w="1290" w:type="dxa"/>
            <w:noWrap w:val="0"/>
            <w:tcMar>
              <w:top w:w="0" w:type="dxa"/>
              <w:left w:w="108" w:type="dxa"/>
              <w:bottom w:w="0" w:type="dxa"/>
              <w:right w:w="108" w:type="dxa"/>
            </w:tcMar>
            <w:vAlign w:val="center"/>
          </w:tcPr>
          <w:p w14:paraId="619EDF49">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c>
          <w:tcPr>
            <w:tcW w:w="1283" w:type="dxa"/>
            <w:noWrap w:val="0"/>
            <w:tcMar>
              <w:top w:w="0" w:type="dxa"/>
              <w:left w:w="108" w:type="dxa"/>
              <w:bottom w:w="0" w:type="dxa"/>
              <w:right w:w="108" w:type="dxa"/>
            </w:tcMar>
            <w:vAlign w:val="center"/>
          </w:tcPr>
          <w:p w14:paraId="24AAABDC">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c>
          <w:tcPr>
            <w:tcW w:w="992" w:type="dxa"/>
            <w:noWrap w:val="0"/>
            <w:tcMar>
              <w:top w:w="0" w:type="dxa"/>
              <w:left w:w="108" w:type="dxa"/>
              <w:bottom w:w="0" w:type="dxa"/>
              <w:right w:w="108" w:type="dxa"/>
            </w:tcMar>
            <w:vAlign w:val="center"/>
          </w:tcPr>
          <w:p w14:paraId="15AF0F26">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c>
          <w:tcPr>
            <w:tcW w:w="850" w:type="dxa"/>
            <w:noWrap w:val="0"/>
            <w:tcMar>
              <w:top w:w="0" w:type="dxa"/>
              <w:left w:w="108" w:type="dxa"/>
              <w:bottom w:w="0" w:type="dxa"/>
              <w:right w:w="108" w:type="dxa"/>
            </w:tcMar>
            <w:vAlign w:val="center"/>
          </w:tcPr>
          <w:p w14:paraId="7901B2DB">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c>
          <w:tcPr>
            <w:tcW w:w="851" w:type="dxa"/>
            <w:noWrap w:val="0"/>
            <w:tcMar>
              <w:top w:w="0" w:type="dxa"/>
              <w:left w:w="108" w:type="dxa"/>
              <w:bottom w:w="0" w:type="dxa"/>
              <w:right w:w="108" w:type="dxa"/>
            </w:tcMar>
            <w:vAlign w:val="center"/>
          </w:tcPr>
          <w:p w14:paraId="7A607ACB">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c>
          <w:tcPr>
            <w:tcW w:w="850" w:type="dxa"/>
            <w:noWrap w:val="0"/>
            <w:tcMar>
              <w:top w:w="0" w:type="dxa"/>
              <w:left w:w="108" w:type="dxa"/>
              <w:bottom w:w="0" w:type="dxa"/>
              <w:right w:w="108" w:type="dxa"/>
            </w:tcMar>
            <w:vAlign w:val="center"/>
          </w:tcPr>
          <w:p w14:paraId="093560D4">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p>
        </w:tc>
      </w:tr>
      <w:tr w14:paraId="0A4D0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959" w:type="dxa"/>
            <w:noWrap w:val="0"/>
            <w:tcMar>
              <w:top w:w="0" w:type="dxa"/>
              <w:left w:w="108" w:type="dxa"/>
              <w:bottom w:w="0" w:type="dxa"/>
              <w:right w:w="108" w:type="dxa"/>
            </w:tcMar>
            <w:vAlign w:val="center"/>
          </w:tcPr>
          <w:p w14:paraId="637FCE8E">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val="en-US" w:eastAsia="zh-CN"/>
              </w:rPr>
              <w:t>7</w:t>
            </w:r>
          </w:p>
        </w:tc>
        <w:tc>
          <w:tcPr>
            <w:tcW w:w="1280" w:type="dxa"/>
            <w:noWrap w:val="0"/>
            <w:tcMar>
              <w:top w:w="0" w:type="dxa"/>
              <w:left w:w="108" w:type="dxa"/>
              <w:bottom w:w="0" w:type="dxa"/>
              <w:right w:w="108" w:type="dxa"/>
            </w:tcMar>
            <w:vAlign w:val="center"/>
          </w:tcPr>
          <w:p w14:paraId="64F443B9">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825" w:type="dxa"/>
            <w:noWrap w:val="0"/>
            <w:tcMar>
              <w:top w:w="0" w:type="dxa"/>
              <w:left w:w="108" w:type="dxa"/>
              <w:bottom w:w="0" w:type="dxa"/>
              <w:right w:w="108" w:type="dxa"/>
            </w:tcMar>
            <w:vAlign w:val="center"/>
          </w:tcPr>
          <w:p w14:paraId="17554EB8">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1290" w:type="dxa"/>
            <w:noWrap w:val="0"/>
            <w:tcMar>
              <w:top w:w="0" w:type="dxa"/>
              <w:left w:w="108" w:type="dxa"/>
              <w:bottom w:w="0" w:type="dxa"/>
              <w:right w:w="108" w:type="dxa"/>
            </w:tcMar>
            <w:vAlign w:val="center"/>
          </w:tcPr>
          <w:p w14:paraId="08D947EB">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1283" w:type="dxa"/>
            <w:noWrap w:val="0"/>
            <w:tcMar>
              <w:top w:w="0" w:type="dxa"/>
              <w:left w:w="108" w:type="dxa"/>
              <w:bottom w:w="0" w:type="dxa"/>
              <w:right w:w="108" w:type="dxa"/>
            </w:tcMar>
            <w:vAlign w:val="center"/>
          </w:tcPr>
          <w:p w14:paraId="00C7B37E">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992" w:type="dxa"/>
            <w:noWrap w:val="0"/>
            <w:tcMar>
              <w:top w:w="0" w:type="dxa"/>
              <w:left w:w="108" w:type="dxa"/>
              <w:bottom w:w="0" w:type="dxa"/>
              <w:right w:w="108" w:type="dxa"/>
            </w:tcMar>
            <w:vAlign w:val="center"/>
          </w:tcPr>
          <w:p w14:paraId="696FA8B2">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850" w:type="dxa"/>
            <w:noWrap w:val="0"/>
            <w:tcMar>
              <w:top w:w="0" w:type="dxa"/>
              <w:left w:w="108" w:type="dxa"/>
              <w:bottom w:w="0" w:type="dxa"/>
              <w:right w:w="108" w:type="dxa"/>
            </w:tcMar>
            <w:vAlign w:val="center"/>
          </w:tcPr>
          <w:p w14:paraId="47168578">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851" w:type="dxa"/>
            <w:noWrap w:val="0"/>
            <w:tcMar>
              <w:top w:w="0" w:type="dxa"/>
              <w:left w:w="108" w:type="dxa"/>
              <w:bottom w:w="0" w:type="dxa"/>
              <w:right w:w="108" w:type="dxa"/>
            </w:tcMar>
            <w:vAlign w:val="center"/>
          </w:tcPr>
          <w:p w14:paraId="3853E99E">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850" w:type="dxa"/>
            <w:noWrap w:val="0"/>
            <w:tcMar>
              <w:top w:w="0" w:type="dxa"/>
              <w:left w:w="108" w:type="dxa"/>
              <w:bottom w:w="0" w:type="dxa"/>
              <w:right w:w="108" w:type="dxa"/>
            </w:tcMar>
            <w:vAlign w:val="center"/>
          </w:tcPr>
          <w:p w14:paraId="0FB79F05">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 </w:t>
            </w:r>
          </w:p>
        </w:tc>
      </w:tr>
      <w:tr w14:paraId="6CFBB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959" w:type="dxa"/>
            <w:noWrap w:val="0"/>
            <w:tcMar>
              <w:top w:w="0" w:type="dxa"/>
              <w:left w:w="108" w:type="dxa"/>
              <w:bottom w:w="0" w:type="dxa"/>
              <w:right w:w="108" w:type="dxa"/>
            </w:tcMar>
            <w:vAlign w:val="center"/>
          </w:tcPr>
          <w:p w14:paraId="3264C90D">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val="en-US" w:eastAsia="zh-CN"/>
              </w:rPr>
              <w:t>8</w:t>
            </w:r>
          </w:p>
        </w:tc>
        <w:tc>
          <w:tcPr>
            <w:tcW w:w="1280" w:type="dxa"/>
            <w:noWrap w:val="0"/>
            <w:tcMar>
              <w:top w:w="0" w:type="dxa"/>
              <w:left w:w="108" w:type="dxa"/>
              <w:bottom w:w="0" w:type="dxa"/>
              <w:right w:w="108" w:type="dxa"/>
            </w:tcMar>
            <w:vAlign w:val="center"/>
          </w:tcPr>
          <w:p w14:paraId="65417332">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825" w:type="dxa"/>
            <w:noWrap w:val="0"/>
            <w:tcMar>
              <w:top w:w="0" w:type="dxa"/>
              <w:left w:w="108" w:type="dxa"/>
              <w:bottom w:w="0" w:type="dxa"/>
              <w:right w:w="108" w:type="dxa"/>
            </w:tcMar>
            <w:vAlign w:val="center"/>
          </w:tcPr>
          <w:p w14:paraId="19BA99F4">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1290" w:type="dxa"/>
            <w:noWrap w:val="0"/>
            <w:tcMar>
              <w:top w:w="0" w:type="dxa"/>
              <w:left w:w="108" w:type="dxa"/>
              <w:bottom w:w="0" w:type="dxa"/>
              <w:right w:w="108" w:type="dxa"/>
            </w:tcMar>
            <w:vAlign w:val="center"/>
          </w:tcPr>
          <w:p w14:paraId="4325CB9D">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1283" w:type="dxa"/>
            <w:noWrap w:val="0"/>
            <w:tcMar>
              <w:top w:w="0" w:type="dxa"/>
              <w:left w:w="108" w:type="dxa"/>
              <w:bottom w:w="0" w:type="dxa"/>
              <w:right w:w="108" w:type="dxa"/>
            </w:tcMar>
            <w:vAlign w:val="center"/>
          </w:tcPr>
          <w:p w14:paraId="6951C033">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992" w:type="dxa"/>
            <w:noWrap w:val="0"/>
            <w:tcMar>
              <w:top w:w="0" w:type="dxa"/>
              <w:left w:w="108" w:type="dxa"/>
              <w:bottom w:w="0" w:type="dxa"/>
              <w:right w:w="108" w:type="dxa"/>
            </w:tcMar>
            <w:vAlign w:val="center"/>
          </w:tcPr>
          <w:p w14:paraId="2D6D27CA">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850" w:type="dxa"/>
            <w:noWrap w:val="0"/>
            <w:tcMar>
              <w:top w:w="0" w:type="dxa"/>
              <w:left w:w="108" w:type="dxa"/>
              <w:bottom w:w="0" w:type="dxa"/>
              <w:right w:w="108" w:type="dxa"/>
            </w:tcMar>
            <w:vAlign w:val="center"/>
          </w:tcPr>
          <w:p w14:paraId="1B7EB597">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851" w:type="dxa"/>
            <w:noWrap w:val="0"/>
            <w:tcMar>
              <w:top w:w="0" w:type="dxa"/>
              <w:left w:w="108" w:type="dxa"/>
              <w:bottom w:w="0" w:type="dxa"/>
              <w:right w:w="108" w:type="dxa"/>
            </w:tcMar>
            <w:vAlign w:val="center"/>
          </w:tcPr>
          <w:p w14:paraId="7DFD6ADE">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850" w:type="dxa"/>
            <w:noWrap w:val="0"/>
            <w:tcMar>
              <w:top w:w="0" w:type="dxa"/>
              <w:left w:w="108" w:type="dxa"/>
              <w:bottom w:w="0" w:type="dxa"/>
              <w:right w:w="108" w:type="dxa"/>
            </w:tcMar>
            <w:vAlign w:val="center"/>
          </w:tcPr>
          <w:p w14:paraId="70F47076">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 </w:t>
            </w:r>
          </w:p>
        </w:tc>
      </w:tr>
      <w:tr w14:paraId="32480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959" w:type="dxa"/>
            <w:noWrap w:val="0"/>
            <w:tcMar>
              <w:top w:w="0" w:type="dxa"/>
              <w:left w:w="108" w:type="dxa"/>
              <w:bottom w:w="0" w:type="dxa"/>
              <w:right w:w="108" w:type="dxa"/>
            </w:tcMar>
            <w:vAlign w:val="center"/>
          </w:tcPr>
          <w:p w14:paraId="71CF8195">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w:t>
            </w:r>
          </w:p>
        </w:tc>
        <w:tc>
          <w:tcPr>
            <w:tcW w:w="1280" w:type="dxa"/>
            <w:noWrap w:val="0"/>
            <w:tcMar>
              <w:top w:w="0" w:type="dxa"/>
              <w:left w:w="108" w:type="dxa"/>
              <w:bottom w:w="0" w:type="dxa"/>
              <w:right w:w="108" w:type="dxa"/>
            </w:tcMar>
            <w:vAlign w:val="center"/>
          </w:tcPr>
          <w:p w14:paraId="598E1FCA">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w:t>
            </w:r>
          </w:p>
        </w:tc>
        <w:tc>
          <w:tcPr>
            <w:tcW w:w="825" w:type="dxa"/>
            <w:noWrap w:val="0"/>
            <w:tcMar>
              <w:top w:w="0" w:type="dxa"/>
              <w:left w:w="108" w:type="dxa"/>
              <w:bottom w:w="0" w:type="dxa"/>
              <w:right w:w="108" w:type="dxa"/>
            </w:tcMar>
            <w:vAlign w:val="center"/>
          </w:tcPr>
          <w:p w14:paraId="0B8C3F3A">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1290" w:type="dxa"/>
            <w:noWrap w:val="0"/>
            <w:tcMar>
              <w:top w:w="0" w:type="dxa"/>
              <w:left w:w="108" w:type="dxa"/>
              <w:bottom w:w="0" w:type="dxa"/>
              <w:right w:w="108" w:type="dxa"/>
            </w:tcMar>
            <w:vAlign w:val="center"/>
          </w:tcPr>
          <w:p w14:paraId="2A490741">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1283" w:type="dxa"/>
            <w:noWrap w:val="0"/>
            <w:tcMar>
              <w:top w:w="0" w:type="dxa"/>
              <w:left w:w="108" w:type="dxa"/>
              <w:bottom w:w="0" w:type="dxa"/>
              <w:right w:w="108" w:type="dxa"/>
            </w:tcMar>
            <w:vAlign w:val="center"/>
          </w:tcPr>
          <w:p w14:paraId="6D970E59">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992" w:type="dxa"/>
            <w:noWrap w:val="0"/>
            <w:tcMar>
              <w:top w:w="0" w:type="dxa"/>
              <w:left w:w="108" w:type="dxa"/>
              <w:bottom w:w="0" w:type="dxa"/>
              <w:right w:w="108" w:type="dxa"/>
            </w:tcMar>
            <w:vAlign w:val="center"/>
          </w:tcPr>
          <w:p w14:paraId="3921C9A4">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850" w:type="dxa"/>
            <w:noWrap w:val="0"/>
            <w:tcMar>
              <w:top w:w="0" w:type="dxa"/>
              <w:left w:w="108" w:type="dxa"/>
              <w:bottom w:w="0" w:type="dxa"/>
              <w:right w:w="108" w:type="dxa"/>
            </w:tcMar>
            <w:vAlign w:val="center"/>
          </w:tcPr>
          <w:p w14:paraId="42970390">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851" w:type="dxa"/>
            <w:noWrap w:val="0"/>
            <w:tcMar>
              <w:top w:w="0" w:type="dxa"/>
              <w:left w:w="108" w:type="dxa"/>
              <w:bottom w:w="0" w:type="dxa"/>
              <w:right w:w="108" w:type="dxa"/>
            </w:tcMar>
            <w:vAlign w:val="center"/>
          </w:tcPr>
          <w:p w14:paraId="71C2D107">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850" w:type="dxa"/>
            <w:noWrap w:val="0"/>
            <w:tcMar>
              <w:top w:w="0" w:type="dxa"/>
              <w:left w:w="108" w:type="dxa"/>
              <w:bottom w:w="0" w:type="dxa"/>
              <w:right w:w="108" w:type="dxa"/>
            </w:tcMar>
            <w:vAlign w:val="center"/>
          </w:tcPr>
          <w:p w14:paraId="2A166353">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color w:val="auto"/>
                <w:sz w:val="24"/>
                <w:szCs w:val="24"/>
                <w:highlight w:val="none"/>
              </w:rPr>
            </w:pPr>
            <w:r>
              <w:rPr>
                <w:rFonts w:ascii="仿宋" w:hAnsi="仿宋" w:eastAsia="仿宋"/>
                <w:color w:val="auto"/>
                <w:sz w:val="24"/>
                <w:szCs w:val="24"/>
                <w:highlight w:val="none"/>
              </w:rPr>
              <w:t> </w:t>
            </w:r>
          </w:p>
        </w:tc>
      </w:tr>
      <w:tr w14:paraId="036F2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9180" w:type="dxa"/>
            <w:gridSpan w:val="9"/>
            <w:noWrap w:val="0"/>
            <w:tcMar>
              <w:top w:w="0" w:type="dxa"/>
              <w:left w:w="108" w:type="dxa"/>
              <w:bottom w:w="0" w:type="dxa"/>
              <w:right w:w="108" w:type="dxa"/>
            </w:tcMar>
            <w:vAlign w:val="center"/>
          </w:tcPr>
          <w:p w14:paraId="218A6FFD">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both"/>
              <w:outlineLvl w:val="9"/>
              <w:rPr>
                <w:rFonts w:ascii="仿宋" w:hAnsi="仿宋" w:eastAsia="仿宋"/>
                <w:color w:val="auto"/>
                <w:sz w:val="24"/>
                <w:szCs w:val="24"/>
                <w:highlight w:val="none"/>
              </w:rPr>
            </w:pPr>
            <w:r>
              <w:rPr>
                <w:rFonts w:hint="eastAsia" w:ascii="仿宋" w:hAnsi="仿宋" w:eastAsia="仿宋" w:cs="仿宋"/>
                <w:color w:val="auto"/>
                <w:spacing w:val="-2"/>
                <w:sz w:val="24"/>
                <w:highlight w:val="none"/>
                <w:lang w:val="en-US" w:eastAsia="zh-CN"/>
              </w:rPr>
              <w:t>本采购包中提供的符合本国产品标准的产品成本之和占该采购包提供的全部产品成本之和的比例为</w:t>
            </w:r>
            <w:r>
              <w:rPr>
                <w:rFonts w:hint="eastAsia" w:ascii="仿宋" w:hAnsi="仿宋" w:eastAsia="仿宋" w:cs="仿宋"/>
                <w:color w:val="auto"/>
                <w:spacing w:val="-2"/>
                <w:sz w:val="24"/>
                <w:highlight w:val="none"/>
                <w:u w:val="single"/>
                <w:lang w:val="en-US" w:eastAsia="zh-CN"/>
              </w:rPr>
              <w:t xml:space="preserve">    </w:t>
            </w:r>
            <w:r>
              <w:rPr>
                <w:rFonts w:hint="eastAsia" w:ascii="仿宋" w:hAnsi="仿宋" w:eastAsia="仿宋" w:cs="仿宋"/>
                <w:color w:val="auto"/>
                <w:spacing w:val="-2"/>
                <w:sz w:val="24"/>
                <w:highlight w:val="none"/>
                <w:lang w:val="en-US" w:eastAsia="zh-CN"/>
              </w:rPr>
              <w:t>%。</w:t>
            </w:r>
          </w:p>
        </w:tc>
      </w:tr>
      <w:tr w14:paraId="2B834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9180" w:type="dxa"/>
            <w:gridSpan w:val="9"/>
            <w:noWrap w:val="0"/>
            <w:tcMar>
              <w:top w:w="0" w:type="dxa"/>
              <w:left w:w="108" w:type="dxa"/>
              <w:bottom w:w="0" w:type="dxa"/>
              <w:right w:w="108" w:type="dxa"/>
            </w:tcMar>
            <w:vAlign w:val="center"/>
          </w:tcPr>
          <w:p w14:paraId="0DE79BA2">
            <w:pPr>
              <w:pStyle w:val="307"/>
              <w:keepNext w:val="0"/>
              <w:keepLines w:val="0"/>
              <w:pageBreakBefore w:val="0"/>
              <w:pBdr>
                <w:top w:val="none" w:color="000000" w:sz="0" w:space="0"/>
                <w:left w:val="none" w:color="000000" w:sz="0" w:space="0"/>
                <w:bottom w:val="none" w:color="000000" w:sz="0" w:space="0"/>
                <w:right w:val="none" w:color="000000" w:sz="0" w:space="0"/>
              </w:pBdr>
              <w:spacing w:line="340" w:lineRule="exact"/>
              <w:jc w:val="both"/>
              <w:outlineLvl w:val="9"/>
              <w:rPr>
                <w:rFonts w:ascii="仿宋" w:hAnsi="仿宋" w:eastAsia="仿宋"/>
                <w:color w:val="auto"/>
                <w:sz w:val="24"/>
                <w:szCs w:val="24"/>
                <w:highlight w:val="none"/>
              </w:rPr>
            </w:pPr>
            <w:r>
              <w:rPr>
                <w:rFonts w:ascii="仿宋" w:hAnsi="仿宋" w:eastAsia="仿宋"/>
                <w:color w:val="auto"/>
                <w:sz w:val="24"/>
                <w:szCs w:val="24"/>
                <w:highlight w:val="none"/>
              </w:rPr>
              <w:t>投标总报价（人民币：元）</w:t>
            </w:r>
          </w:p>
        </w:tc>
      </w:tr>
    </w:tbl>
    <w:p w14:paraId="39B30DD5">
      <w:pPr>
        <w:spacing w:line="520" w:lineRule="exact"/>
        <w:ind w:firstLine="4286"/>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w:t>
      </w:r>
      <w:r>
        <w:rPr>
          <w:rFonts w:hint="eastAsia" w:ascii="仿宋" w:hAnsi="仿宋" w:eastAsia="仿宋" w:cs="仿宋"/>
          <w:color w:val="auto"/>
          <w:sz w:val="28"/>
          <w:szCs w:val="28"/>
          <w:highlight w:val="none"/>
          <w:u w:val="single"/>
        </w:rPr>
        <w:t xml:space="preserve">        （加盖公章）        </w:t>
      </w:r>
      <w:r>
        <w:rPr>
          <w:rFonts w:hint="eastAsia" w:ascii="仿宋" w:hAnsi="仿宋" w:eastAsia="仿宋" w:cs="仿宋"/>
          <w:color w:val="auto"/>
          <w:sz w:val="28"/>
          <w:szCs w:val="28"/>
          <w:highlight w:val="none"/>
        </w:rPr>
        <w:t xml:space="preserve">        </w:t>
      </w:r>
    </w:p>
    <w:p w14:paraId="79ED6418">
      <w:pPr>
        <w:spacing w:line="520" w:lineRule="exact"/>
        <w:ind w:firstLine="4286"/>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法定代表人或其委托代理人：</w:t>
      </w:r>
      <w:r>
        <w:rPr>
          <w:rFonts w:hint="eastAsia" w:ascii="仿宋" w:hAnsi="仿宋" w:eastAsia="仿宋" w:cs="仿宋"/>
          <w:i/>
          <w:iCs/>
          <w:color w:val="auto"/>
          <w:sz w:val="28"/>
          <w:szCs w:val="28"/>
          <w:highlight w:val="none"/>
          <w:u w:val="single"/>
        </w:rPr>
        <w:t xml:space="preserve"> </w:t>
      </w:r>
      <w:r>
        <w:rPr>
          <w:rFonts w:hint="eastAsia" w:ascii="仿宋" w:hAnsi="仿宋" w:eastAsia="仿宋" w:cs="仿宋"/>
          <w:color w:val="auto"/>
          <w:sz w:val="28"/>
          <w:szCs w:val="28"/>
          <w:highlight w:val="none"/>
          <w:u w:val="single"/>
        </w:rPr>
        <w:t xml:space="preserve">（签字） </w:t>
      </w:r>
      <w:r>
        <w:rPr>
          <w:rFonts w:hint="eastAsia" w:ascii="仿宋" w:hAnsi="仿宋" w:eastAsia="仿宋" w:cs="仿宋"/>
          <w:color w:val="auto"/>
          <w:sz w:val="28"/>
          <w:szCs w:val="28"/>
          <w:highlight w:val="none"/>
        </w:rPr>
        <w:t xml:space="preserve">        </w:t>
      </w:r>
    </w:p>
    <w:p w14:paraId="429AE2B9">
      <w:pPr>
        <w:pStyle w:val="307"/>
        <w:keepNext w:val="0"/>
        <w:keepLines w:val="0"/>
        <w:pageBreakBefore w:val="0"/>
        <w:spacing w:line="440" w:lineRule="exact"/>
        <w:ind w:firstLine="4180"/>
        <w:outlineLvl w:val="9"/>
        <w:rPr>
          <w:rFonts w:ascii="仿宋" w:hAnsi="仿宋" w:eastAsia="仿宋"/>
          <w:color w:val="auto"/>
          <w:sz w:val="28"/>
          <w:szCs w:val="24"/>
          <w:highlight w:val="none"/>
        </w:rPr>
      </w:pPr>
      <w:r>
        <w:rPr>
          <w:rFonts w:hint="eastAsia" w:ascii="仿宋" w:hAnsi="仿宋" w:eastAsia="仿宋" w:cs="仿宋"/>
          <w:color w:val="auto"/>
          <w:sz w:val="28"/>
          <w:szCs w:val="28"/>
          <w:highlight w:val="none"/>
        </w:rPr>
        <w:t>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132D949C">
      <w:pPr>
        <w:pStyle w:val="307"/>
        <w:keepNext w:val="0"/>
        <w:keepLines w:val="0"/>
        <w:pageBreakBefore w:val="0"/>
        <w:spacing w:line="440" w:lineRule="exact"/>
        <w:ind w:firstLine="411"/>
        <w:outlineLvl w:val="9"/>
        <w:rPr>
          <w:rFonts w:ascii="仿宋" w:hAnsi="仿宋" w:eastAsia="仿宋"/>
          <w:color w:val="auto"/>
          <w:sz w:val="28"/>
          <w:szCs w:val="24"/>
          <w:highlight w:val="none"/>
        </w:rPr>
      </w:pPr>
    </w:p>
    <w:p w14:paraId="2BFC4883">
      <w:pPr>
        <w:keepNext w:val="0"/>
        <w:keepLines w:val="0"/>
        <w:pageBreakBefore w:val="0"/>
        <w:widowControl w:val="0"/>
        <w:spacing w:line="240" w:lineRule="auto"/>
        <w:rPr>
          <w:rFonts w:hint="default" w:ascii="仿宋" w:hAnsi="仿宋" w:eastAsia="仿宋" w:cs="仿宋"/>
          <w:bCs/>
          <w:color w:val="auto"/>
          <w:spacing w:val="-4"/>
          <w:sz w:val="24"/>
          <w:szCs w:val="24"/>
          <w:highlight w:val="none"/>
          <w:lang w:val="en-US" w:eastAsia="zh-CN"/>
        </w:rPr>
      </w:pPr>
      <w:r>
        <w:rPr>
          <w:rFonts w:hint="eastAsia" w:ascii="仿宋" w:hAnsi="仿宋" w:eastAsia="仿宋" w:cs="仿宋"/>
          <w:b/>
          <w:bCs w:val="0"/>
          <w:color w:val="auto"/>
          <w:spacing w:val="-4"/>
          <w:sz w:val="24"/>
          <w:szCs w:val="24"/>
          <w:highlight w:val="none"/>
        </w:rPr>
        <w:t>（1）</w:t>
      </w:r>
      <w:r>
        <w:rPr>
          <w:rFonts w:hint="eastAsia" w:ascii="仿宋" w:hAnsi="仿宋" w:eastAsia="仿宋" w:cs="仿宋"/>
          <w:b/>
          <w:bCs w:val="0"/>
          <w:color w:val="auto"/>
          <w:spacing w:val="-4"/>
          <w:sz w:val="24"/>
          <w:szCs w:val="24"/>
          <w:highlight w:val="none"/>
          <w:lang w:val="en-US" w:eastAsia="zh-CN"/>
        </w:rPr>
        <w:t>报价须符合投标人须知第11.1项要求</w:t>
      </w:r>
    </w:p>
    <w:p w14:paraId="0692C51E">
      <w:pPr>
        <w:pStyle w:val="4"/>
        <w:keepNext w:val="0"/>
        <w:keepLines w:val="0"/>
        <w:pageBreakBefore w:val="0"/>
        <w:widowControl w:val="0"/>
        <w:spacing w:before="0" w:beforeAutospacing="0" w:after="0" w:afterAutospacing="0" w:line="240" w:lineRule="auto"/>
        <w:rPr>
          <w:rFonts w:hint="eastAsia" w:ascii="仿宋" w:hAnsi="仿宋" w:eastAsia="仿宋" w:cs="仿宋"/>
          <w:bCs/>
          <w:color w:val="auto"/>
          <w:spacing w:val="-4"/>
          <w:sz w:val="24"/>
          <w:szCs w:val="24"/>
          <w:highlight w:val="none"/>
          <w:lang w:eastAsia="zh-CN"/>
        </w:rPr>
      </w:pPr>
      <w:r>
        <w:rPr>
          <w:rFonts w:hint="eastAsia" w:ascii="仿宋" w:hAnsi="仿宋" w:eastAsia="仿宋" w:cs="仿宋"/>
          <w:bCs/>
          <w:color w:val="auto"/>
          <w:spacing w:val="-4"/>
          <w:sz w:val="24"/>
          <w:szCs w:val="24"/>
          <w:highlight w:val="none"/>
        </w:rPr>
        <w:t>（2）结算款=本表中单价×实际采购数量</w:t>
      </w:r>
      <w:r>
        <w:rPr>
          <w:rFonts w:hint="eastAsia" w:ascii="仿宋" w:hAnsi="仿宋" w:eastAsia="仿宋" w:cs="仿宋"/>
          <w:bCs/>
          <w:color w:val="auto"/>
          <w:spacing w:val="-4"/>
          <w:sz w:val="24"/>
          <w:szCs w:val="24"/>
          <w:highlight w:val="none"/>
          <w:lang w:eastAsia="zh-CN"/>
        </w:rPr>
        <w:t>。</w:t>
      </w:r>
    </w:p>
    <w:p w14:paraId="13F6D635">
      <w:pPr>
        <w:pStyle w:val="4"/>
        <w:keepNext w:val="0"/>
        <w:keepLines w:val="0"/>
        <w:pageBreakBefore w:val="0"/>
        <w:widowControl w:val="0"/>
        <w:spacing w:before="0" w:beforeAutospacing="0" w:after="0" w:afterAutospacing="0" w:line="240" w:lineRule="auto"/>
        <w:rPr>
          <w:rFonts w:hint="eastAsia"/>
          <w:color w:val="auto"/>
          <w:highlight w:val="none"/>
        </w:rPr>
      </w:pPr>
      <w:r>
        <w:rPr>
          <w:rFonts w:hint="eastAsia" w:ascii="仿宋" w:hAnsi="仿宋" w:eastAsia="仿宋" w:cs="仿宋"/>
          <w:bCs/>
          <w:color w:val="auto"/>
          <w:spacing w:val="-4"/>
          <w:sz w:val="24"/>
          <w:szCs w:val="24"/>
          <w:highlight w:val="none"/>
        </w:rPr>
        <w:t>（3）以上报价明细表不可缺项漏项，如因缺项漏项导致的一切后果由</w:t>
      </w:r>
      <w:r>
        <w:rPr>
          <w:rFonts w:hint="eastAsia" w:ascii="仿宋" w:hAnsi="仿宋" w:eastAsia="仿宋" w:cs="仿宋"/>
          <w:bCs/>
          <w:color w:val="auto"/>
          <w:spacing w:val="-4"/>
          <w:sz w:val="24"/>
          <w:szCs w:val="24"/>
          <w:highlight w:val="none"/>
          <w:lang w:eastAsia="zh-CN"/>
        </w:rPr>
        <w:t>投标人</w:t>
      </w:r>
      <w:r>
        <w:rPr>
          <w:rFonts w:hint="eastAsia" w:ascii="仿宋" w:hAnsi="仿宋" w:eastAsia="仿宋" w:cs="仿宋"/>
          <w:bCs/>
          <w:color w:val="auto"/>
          <w:spacing w:val="-4"/>
          <w:sz w:val="24"/>
          <w:szCs w:val="24"/>
          <w:highlight w:val="none"/>
        </w:rPr>
        <w:t>自行承担。</w:t>
      </w:r>
      <w:r>
        <w:rPr>
          <w:rFonts w:hint="eastAsia" w:ascii="仿宋" w:hAnsi="仿宋" w:eastAsia="仿宋" w:cs="仿宋"/>
          <w:b/>
          <w:bCs/>
          <w:color w:val="auto"/>
          <w:spacing w:val="-4"/>
          <w:sz w:val="24"/>
          <w:szCs w:val="24"/>
          <w:highlight w:val="none"/>
          <w:lang w:val="en-US" w:eastAsia="zh-CN" w:bidi="ar-SA"/>
        </w:rPr>
        <w:t>（4）“投标分项报价表”中“投标总报价”数额应当与“开标一览表”中“投标总报价”数额一致</w:t>
      </w:r>
    </w:p>
    <w:p w14:paraId="4543929C">
      <w:pPr>
        <w:pStyle w:val="25"/>
        <w:spacing w:line="440" w:lineRule="exact"/>
        <w:ind w:firstLine="411"/>
        <w:jc w:val="center"/>
        <w:rPr>
          <w:rFonts w:hint="eastAsia" w:ascii="仿宋" w:hAnsi="仿宋" w:eastAsia="仿宋" w:cs="仿宋"/>
          <w:b/>
          <w:color w:val="auto"/>
          <w:sz w:val="32"/>
          <w:highlight w:val="none"/>
        </w:rPr>
      </w:pPr>
    </w:p>
    <w:p w14:paraId="57C2B036">
      <w:pPr>
        <w:pStyle w:val="25"/>
        <w:spacing w:line="440" w:lineRule="exact"/>
        <w:ind w:firstLine="411"/>
        <w:jc w:val="center"/>
        <w:rPr>
          <w:rFonts w:hint="eastAsia" w:ascii="仿宋" w:hAnsi="仿宋" w:eastAsia="仿宋" w:cs="仿宋"/>
          <w:b/>
          <w:color w:val="auto"/>
          <w:sz w:val="32"/>
          <w:highlight w:val="none"/>
        </w:rPr>
      </w:pPr>
    </w:p>
    <w:p w14:paraId="4D628FED">
      <w:pPr>
        <w:pStyle w:val="25"/>
        <w:spacing w:line="440" w:lineRule="exact"/>
        <w:ind w:firstLine="411"/>
        <w:jc w:val="center"/>
        <w:rPr>
          <w:rFonts w:hint="eastAsia" w:ascii="仿宋" w:hAnsi="仿宋" w:eastAsia="仿宋" w:cs="仿宋"/>
          <w:b/>
          <w:color w:val="auto"/>
          <w:sz w:val="32"/>
          <w:highlight w:val="none"/>
        </w:rPr>
      </w:pPr>
    </w:p>
    <w:p w14:paraId="1B4854BF">
      <w:pPr>
        <w:pStyle w:val="25"/>
        <w:spacing w:line="440" w:lineRule="exact"/>
        <w:ind w:firstLine="411"/>
        <w:jc w:val="center"/>
        <w:rPr>
          <w:rFonts w:hint="eastAsia" w:ascii="仿宋" w:hAnsi="仿宋" w:eastAsia="仿宋" w:cs="仿宋"/>
          <w:b/>
          <w:color w:val="auto"/>
          <w:sz w:val="32"/>
          <w:highlight w:val="none"/>
        </w:rPr>
      </w:pPr>
    </w:p>
    <w:p w14:paraId="4134CDB4">
      <w:pPr>
        <w:pStyle w:val="25"/>
        <w:spacing w:line="440" w:lineRule="exact"/>
        <w:ind w:firstLine="411"/>
        <w:jc w:val="center"/>
        <w:rPr>
          <w:rFonts w:hint="eastAsia" w:ascii="仿宋" w:hAnsi="仿宋" w:eastAsia="仿宋" w:cs="仿宋"/>
          <w:b/>
          <w:color w:val="auto"/>
          <w:sz w:val="32"/>
          <w:highlight w:val="none"/>
        </w:rPr>
      </w:pPr>
    </w:p>
    <w:p w14:paraId="4922F7C9">
      <w:pPr>
        <w:pStyle w:val="25"/>
        <w:spacing w:line="440" w:lineRule="exact"/>
        <w:ind w:firstLine="411"/>
        <w:jc w:val="center"/>
        <w:rPr>
          <w:rFonts w:hint="eastAsia" w:ascii="仿宋" w:hAnsi="仿宋" w:eastAsia="仿宋" w:cs="仿宋"/>
          <w:b/>
          <w:color w:val="auto"/>
          <w:sz w:val="32"/>
          <w:highlight w:val="none"/>
        </w:rPr>
      </w:pPr>
      <w:r>
        <w:rPr>
          <w:rFonts w:hint="eastAsia" w:ascii="仿宋" w:hAnsi="仿宋" w:eastAsia="仿宋" w:cs="仿宋"/>
          <w:b/>
          <w:color w:val="auto"/>
          <w:sz w:val="32"/>
          <w:highlight w:val="none"/>
        </w:rPr>
        <w:t>四、技术要求</w:t>
      </w:r>
      <w:r>
        <w:rPr>
          <w:rFonts w:hint="eastAsia" w:ascii="仿宋" w:hAnsi="仿宋" w:eastAsia="仿宋" w:cs="仿宋"/>
          <w:b/>
          <w:color w:val="auto"/>
          <w:sz w:val="32"/>
          <w:szCs w:val="32"/>
          <w:highlight w:val="none"/>
        </w:rPr>
        <w:t>响应</w:t>
      </w:r>
      <w:r>
        <w:rPr>
          <w:rFonts w:hint="eastAsia" w:ascii="仿宋" w:hAnsi="仿宋" w:eastAsia="仿宋" w:cs="仿宋"/>
          <w:b/>
          <w:color w:val="auto"/>
          <w:sz w:val="32"/>
          <w:highlight w:val="none"/>
        </w:rPr>
        <w:t>偏离表</w:t>
      </w:r>
    </w:p>
    <w:tbl>
      <w:tblPr>
        <w:tblStyle w:val="4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900"/>
        <w:gridCol w:w="3420"/>
        <w:gridCol w:w="2880"/>
        <w:gridCol w:w="1080"/>
        <w:gridCol w:w="1080"/>
      </w:tblGrid>
      <w:tr w14:paraId="28EC26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jc w:val="center"/>
        </w:trPr>
        <w:tc>
          <w:tcPr>
            <w:tcW w:w="900" w:type="dxa"/>
            <w:tcBorders>
              <w:top w:val="single" w:color="auto" w:sz="4" w:space="0"/>
              <w:left w:val="single" w:color="auto" w:sz="4" w:space="0"/>
              <w:bottom w:val="single" w:color="auto" w:sz="4" w:space="0"/>
              <w:right w:val="single" w:color="auto" w:sz="4" w:space="0"/>
            </w:tcBorders>
            <w:noWrap w:val="0"/>
            <w:vAlign w:val="center"/>
          </w:tcPr>
          <w:p w14:paraId="16C955FC">
            <w:pPr>
              <w:tabs>
                <w:tab w:val="left" w:pos="3360"/>
              </w:tabs>
              <w:spacing w:line="440" w:lineRule="exact"/>
              <w:jc w:val="center"/>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3420" w:type="dxa"/>
            <w:tcBorders>
              <w:top w:val="single" w:color="auto" w:sz="4" w:space="0"/>
              <w:left w:val="single" w:color="auto" w:sz="4" w:space="0"/>
              <w:bottom w:val="single" w:color="auto" w:sz="4" w:space="0"/>
              <w:right w:val="single" w:color="auto" w:sz="4" w:space="0"/>
            </w:tcBorders>
            <w:noWrap w:val="0"/>
            <w:vAlign w:val="center"/>
          </w:tcPr>
          <w:p w14:paraId="1E4153A2">
            <w:pPr>
              <w:tabs>
                <w:tab w:val="left" w:pos="3360"/>
              </w:tabs>
              <w:spacing w:line="440" w:lineRule="exact"/>
              <w:jc w:val="center"/>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项目采购需求中主要技术</w:t>
            </w:r>
          </w:p>
          <w:p w14:paraId="47B7CD97">
            <w:pPr>
              <w:tabs>
                <w:tab w:val="left" w:pos="3360"/>
              </w:tabs>
              <w:spacing w:line="440" w:lineRule="exact"/>
              <w:jc w:val="center"/>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条款描述</w:t>
            </w:r>
          </w:p>
        </w:tc>
        <w:tc>
          <w:tcPr>
            <w:tcW w:w="2880" w:type="dxa"/>
            <w:tcBorders>
              <w:top w:val="single" w:color="auto" w:sz="4" w:space="0"/>
              <w:left w:val="single" w:color="auto" w:sz="4" w:space="0"/>
              <w:bottom w:val="single" w:color="auto" w:sz="4" w:space="0"/>
              <w:right w:val="single" w:color="auto" w:sz="4" w:space="0"/>
            </w:tcBorders>
            <w:noWrap w:val="0"/>
            <w:vAlign w:val="center"/>
          </w:tcPr>
          <w:p w14:paraId="3C43E56D">
            <w:pPr>
              <w:tabs>
                <w:tab w:val="left" w:pos="3360"/>
              </w:tabs>
              <w:spacing w:line="440" w:lineRule="exact"/>
              <w:jc w:val="center"/>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所报产品规格、型号及相应技术参数描述</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1DEDAF87">
            <w:pPr>
              <w:tabs>
                <w:tab w:val="left" w:pos="3360"/>
              </w:tabs>
              <w:spacing w:line="440" w:lineRule="exact"/>
              <w:jc w:val="center"/>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是否</w:t>
            </w:r>
          </w:p>
          <w:p w14:paraId="3CCCF30D">
            <w:pPr>
              <w:tabs>
                <w:tab w:val="left" w:pos="3360"/>
              </w:tabs>
              <w:spacing w:line="440" w:lineRule="exact"/>
              <w:jc w:val="center"/>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偏离</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0619A51B">
            <w:pPr>
              <w:tabs>
                <w:tab w:val="left" w:pos="3360"/>
              </w:tabs>
              <w:spacing w:line="440" w:lineRule="exact"/>
              <w:jc w:val="center"/>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备注</w:t>
            </w:r>
          </w:p>
        </w:tc>
      </w:tr>
      <w:tr w14:paraId="0237A9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04" w:hRule="atLeast"/>
          <w:jc w:val="center"/>
        </w:trPr>
        <w:tc>
          <w:tcPr>
            <w:tcW w:w="900" w:type="dxa"/>
            <w:tcBorders>
              <w:top w:val="single" w:color="auto" w:sz="4" w:space="0"/>
              <w:left w:val="single" w:color="auto" w:sz="4" w:space="0"/>
              <w:bottom w:val="single" w:color="auto" w:sz="4" w:space="0"/>
              <w:right w:val="single" w:color="auto" w:sz="4" w:space="0"/>
            </w:tcBorders>
            <w:noWrap w:val="0"/>
            <w:vAlign w:val="center"/>
          </w:tcPr>
          <w:p w14:paraId="68A0113C">
            <w:pPr>
              <w:tabs>
                <w:tab w:val="left" w:pos="3360"/>
              </w:tabs>
              <w:spacing w:line="440" w:lineRule="exact"/>
              <w:jc w:val="center"/>
              <w:outlineLvl w:val="0"/>
              <w:rPr>
                <w:rFonts w:hint="eastAsia" w:ascii="仿宋" w:hAnsi="仿宋" w:eastAsia="仿宋" w:cs="仿宋"/>
                <w:color w:val="auto"/>
                <w:sz w:val="28"/>
                <w:szCs w:val="28"/>
                <w:highlight w:val="none"/>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2A396085">
            <w:pPr>
              <w:tabs>
                <w:tab w:val="left" w:pos="3360"/>
              </w:tabs>
              <w:spacing w:line="440" w:lineRule="exact"/>
              <w:jc w:val="center"/>
              <w:outlineLvl w:val="0"/>
              <w:rPr>
                <w:rFonts w:hint="eastAsia" w:ascii="仿宋" w:hAnsi="仿宋" w:eastAsia="仿宋" w:cs="仿宋"/>
                <w:color w:val="auto"/>
                <w:sz w:val="28"/>
                <w:szCs w:val="28"/>
                <w:highlight w:val="none"/>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3C5CB4BA">
            <w:pPr>
              <w:tabs>
                <w:tab w:val="left" w:pos="3360"/>
              </w:tabs>
              <w:spacing w:line="440" w:lineRule="exact"/>
              <w:jc w:val="center"/>
              <w:outlineLvl w:val="0"/>
              <w:rPr>
                <w:rFonts w:hint="eastAsia" w:ascii="仿宋" w:hAnsi="仿宋" w:eastAsia="仿宋" w:cs="仿宋"/>
                <w:color w:val="auto"/>
                <w:sz w:val="28"/>
                <w:szCs w:val="28"/>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41C50518">
            <w:pPr>
              <w:tabs>
                <w:tab w:val="left" w:pos="3360"/>
              </w:tabs>
              <w:spacing w:line="440" w:lineRule="exact"/>
              <w:jc w:val="center"/>
              <w:outlineLvl w:val="0"/>
              <w:rPr>
                <w:rFonts w:hint="eastAsia" w:ascii="仿宋" w:hAnsi="仿宋" w:eastAsia="仿宋" w:cs="仿宋"/>
                <w:color w:val="auto"/>
                <w:sz w:val="28"/>
                <w:szCs w:val="28"/>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23B19377">
            <w:pPr>
              <w:tabs>
                <w:tab w:val="left" w:pos="3360"/>
              </w:tabs>
              <w:spacing w:line="440" w:lineRule="exact"/>
              <w:jc w:val="center"/>
              <w:outlineLvl w:val="0"/>
              <w:rPr>
                <w:rFonts w:hint="eastAsia" w:ascii="仿宋" w:hAnsi="仿宋" w:eastAsia="仿宋" w:cs="仿宋"/>
                <w:color w:val="auto"/>
                <w:sz w:val="28"/>
                <w:szCs w:val="28"/>
                <w:highlight w:val="none"/>
              </w:rPr>
            </w:pPr>
          </w:p>
        </w:tc>
      </w:tr>
      <w:tr w14:paraId="321665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04" w:hRule="atLeast"/>
          <w:jc w:val="center"/>
        </w:trPr>
        <w:tc>
          <w:tcPr>
            <w:tcW w:w="900" w:type="dxa"/>
            <w:tcBorders>
              <w:top w:val="single" w:color="auto" w:sz="4" w:space="0"/>
              <w:left w:val="single" w:color="auto" w:sz="4" w:space="0"/>
              <w:right w:val="single" w:color="auto" w:sz="4" w:space="0"/>
            </w:tcBorders>
            <w:noWrap w:val="0"/>
            <w:vAlign w:val="center"/>
          </w:tcPr>
          <w:p w14:paraId="27DC1325">
            <w:pPr>
              <w:tabs>
                <w:tab w:val="left" w:pos="3360"/>
              </w:tabs>
              <w:spacing w:line="440" w:lineRule="exact"/>
              <w:jc w:val="center"/>
              <w:outlineLvl w:val="0"/>
              <w:rPr>
                <w:rFonts w:hint="eastAsia" w:ascii="仿宋" w:hAnsi="仿宋" w:eastAsia="仿宋" w:cs="仿宋"/>
                <w:color w:val="auto"/>
                <w:sz w:val="28"/>
                <w:szCs w:val="28"/>
                <w:highlight w:val="none"/>
              </w:rPr>
            </w:pPr>
          </w:p>
        </w:tc>
        <w:tc>
          <w:tcPr>
            <w:tcW w:w="3420" w:type="dxa"/>
            <w:tcBorders>
              <w:top w:val="single" w:color="auto" w:sz="4" w:space="0"/>
              <w:left w:val="single" w:color="auto" w:sz="4" w:space="0"/>
              <w:right w:val="single" w:color="auto" w:sz="4" w:space="0"/>
            </w:tcBorders>
            <w:noWrap w:val="0"/>
            <w:vAlign w:val="center"/>
          </w:tcPr>
          <w:p w14:paraId="0774D403">
            <w:pPr>
              <w:tabs>
                <w:tab w:val="left" w:pos="3360"/>
              </w:tabs>
              <w:spacing w:line="440" w:lineRule="exact"/>
              <w:jc w:val="center"/>
              <w:outlineLvl w:val="0"/>
              <w:rPr>
                <w:rFonts w:hint="eastAsia" w:ascii="仿宋" w:hAnsi="仿宋" w:eastAsia="仿宋" w:cs="仿宋"/>
                <w:color w:val="auto"/>
                <w:sz w:val="28"/>
                <w:szCs w:val="28"/>
                <w:highlight w:val="none"/>
              </w:rPr>
            </w:pPr>
          </w:p>
        </w:tc>
        <w:tc>
          <w:tcPr>
            <w:tcW w:w="2880" w:type="dxa"/>
            <w:tcBorders>
              <w:top w:val="single" w:color="auto" w:sz="4" w:space="0"/>
              <w:left w:val="single" w:color="auto" w:sz="4" w:space="0"/>
              <w:right w:val="single" w:color="auto" w:sz="4" w:space="0"/>
            </w:tcBorders>
            <w:noWrap w:val="0"/>
            <w:vAlign w:val="center"/>
          </w:tcPr>
          <w:p w14:paraId="10622E74">
            <w:pPr>
              <w:tabs>
                <w:tab w:val="left" w:pos="3360"/>
              </w:tabs>
              <w:spacing w:line="440" w:lineRule="exact"/>
              <w:jc w:val="center"/>
              <w:outlineLvl w:val="0"/>
              <w:rPr>
                <w:rFonts w:hint="eastAsia" w:ascii="仿宋" w:hAnsi="仿宋" w:eastAsia="仿宋" w:cs="仿宋"/>
                <w:color w:val="auto"/>
                <w:sz w:val="28"/>
                <w:szCs w:val="28"/>
                <w:highlight w:val="none"/>
              </w:rPr>
            </w:pPr>
          </w:p>
        </w:tc>
        <w:tc>
          <w:tcPr>
            <w:tcW w:w="1080" w:type="dxa"/>
            <w:tcBorders>
              <w:top w:val="single" w:color="auto" w:sz="4" w:space="0"/>
              <w:left w:val="single" w:color="auto" w:sz="4" w:space="0"/>
              <w:right w:val="single" w:color="auto" w:sz="4" w:space="0"/>
            </w:tcBorders>
            <w:noWrap w:val="0"/>
            <w:vAlign w:val="center"/>
          </w:tcPr>
          <w:p w14:paraId="20DE851A">
            <w:pPr>
              <w:tabs>
                <w:tab w:val="left" w:pos="3360"/>
              </w:tabs>
              <w:spacing w:line="440" w:lineRule="exact"/>
              <w:jc w:val="center"/>
              <w:outlineLvl w:val="0"/>
              <w:rPr>
                <w:rFonts w:hint="eastAsia" w:ascii="仿宋" w:hAnsi="仿宋" w:eastAsia="仿宋" w:cs="仿宋"/>
                <w:color w:val="auto"/>
                <w:sz w:val="28"/>
                <w:szCs w:val="28"/>
                <w:highlight w:val="none"/>
              </w:rPr>
            </w:pPr>
          </w:p>
        </w:tc>
        <w:tc>
          <w:tcPr>
            <w:tcW w:w="1080" w:type="dxa"/>
            <w:tcBorders>
              <w:top w:val="single" w:color="auto" w:sz="4" w:space="0"/>
              <w:left w:val="single" w:color="auto" w:sz="4" w:space="0"/>
              <w:right w:val="single" w:color="auto" w:sz="4" w:space="0"/>
            </w:tcBorders>
            <w:noWrap w:val="0"/>
            <w:vAlign w:val="center"/>
          </w:tcPr>
          <w:p w14:paraId="65E38D23">
            <w:pPr>
              <w:tabs>
                <w:tab w:val="left" w:pos="3360"/>
              </w:tabs>
              <w:spacing w:line="440" w:lineRule="exact"/>
              <w:jc w:val="center"/>
              <w:outlineLvl w:val="0"/>
              <w:rPr>
                <w:rFonts w:hint="eastAsia" w:ascii="仿宋" w:hAnsi="仿宋" w:eastAsia="仿宋" w:cs="仿宋"/>
                <w:color w:val="auto"/>
                <w:sz w:val="28"/>
                <w:szCs w:val="28"/>
                <w:highlight w:val="none"/>
              </w:rPr>
            </w:pPr>
          </w:p>
        </w:tc>
      </w:tr>
      <w:tr w14:paraId="4FACDE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jc w:val="center"/>
        </w:trPr>
        <w:tc>
          <w:tcPr>
            <w:tcW w:w="900" w:type="dxa"/>
            <w:tcBorders>
              <w:top w:val="single" w:color="auto" w:sz="4" w:space="0"/>
              <w:left w:val="single" w:color="auto" w:sz="4" w:space="0"/>
              <w:right w:val="single" w:color="auto" w:sz="4" w:space="0"/>
            </w:tcBorders>
            <w:noWrap w:val="0"/>
            <w:vAlign w:val="center"/>
          </w:tcPr>
          <w:p w14:paraId="2CBA0B86">
            <w:pPr>
              <w:tabs>
                <w:tab w:val="left" w:pos="3360"/>
              </w:tabs>
              <w:spacing w:line="440" w:lineRule="exact"/>
              <w:jc w:val="center"/>
              <w:outlineLvl w:val="0"/>
              <w:rPr>
                <w:rFonts w:hint="eastAsia" w:ascii="仿宋" w:hAnsi="仿宋" w:eastAsia="仿宋" w:cs="仿宋"/>
                <w:color w:val="auto"/>
                <w:sz w:val="28"/>
                <w:szCs w:val="28"/>
                <w:highlight w:val="none"/>
              </w:rPr>
            </w:pPr>
          </w:p>
        </w:tc>
        <w:tc>
          <w:tcPr>
            <w:tcW w:w="3420" w:type="dxa"/>
            <w:tcBorders>
              <w:top w:val="single" w:color="auto" w:sz="4" w:space="0"/>
              <w:left w:val="single" w:color="auto" w:sz="4" w:space="0"/>
              <w:right w:val="single" w:color="auto" w:sz="4" w:space="0"/>
            </w:tcBorders>
            <w:noWrap w:val="0"/>
            <w:vAlign w:val="center"/>
          </w:tcPr>
          <w:p w14:paraId="6AC58E2A">
            <w:pPr>
              <w:tabs>
                <w:tab w:val="left" w:pos="3360"/>
              </w:tabs>
              <w:spacing w:line="440" w:lineRule="exact"/>
              <w:jc w:val="center"/>
              <w:outlineLvl w:val="0"/>
              <w:rPr>
                <w:rFonts w:hint="eastAsia" w:ascii="仿宋" w:hAnsi="仿宋" w:eastAsia="仿宋" w:cs="仿宋"/>
                <w:color w:val="auto"/>
                <w:sz w:val="28"/>
                <w:szCs w:val="28"/>
                <w:highlight w:val="none"/>
              </w:rPr>
            </w:pPr>
          </w:p>
        </w:tc>
        <w:tc>
          <w:tcPr>
            <w:tcW w:w="2880" w:type="dxa"/>
            <w:tcBorders>
              <w:top w:val="single" w:color="auto" w:sz="4" w:space="0"/>
              <w:left w:val="single" w:color="auto" w:sz="4" w:space="0"/>
              <w:right w:val="single" w:color="auto" w:sz="4" w:space="0"/>
            </w:tcBorders>
            <w:noWrap w:val="0"/>
            <w:vAlign w:val="center"/>
          </w:tcPr>
          <w:p w14:paraId="6EF31E84">
            <w:pPr>
              <w:tabs>
                <w:tab w:val="left" w:pos="3360"/>
              </w:tabs>
              <w:spacing w:line="440" w:lineRule="exact"/>
              <w:jc w:val="center"/>
              <w:outlineLvl w:val="0"/>
              <w:rPr>
                <w:rFonts w:hint="eastAsia" w:ascii="仿宋" w:hAnsi="仿宋" w:eastAsia="仿宋" w:cs="仿宋"/>
                <w:color w:val="auto"/>
                <w:sz w:val="28"/>
                <w:szCs w:val="28"/>
                <w:highlight w:val="none"/>
              </w:rPr>
            </w:pPr>
          </w:p>
        </w:tc>
        <w:tc>
          <w:tcPr>
            <w:tcW w:w="1080" w:type="dxa"/>
            <w:tcBorders>
              <w:top w:val="single" w:color="auto" w:sz="4" w:space="0"/>
              <w:left w:val="single" w:color="auto" w:sz="4" w:space="0"/>
              <w:right w:val="single" w:color="auto" w:sz="4" w:space="0"/>
            </w:tcBorders>
            <w:noWrap w:val="0"/>
            <w:vAlign w:val="center"/>
          </w:tcPr>
          <w:p w14:paraId="14C29778">
            <w:pPr>
              <w:tabs>
                <w:tab w:val="left" w:pos="3360"/>
              </w:tabs>
              <w:spacing w:line="440" w:lineRule="exact"/>
              <w:jc w:val="center"/>
              <w:outlineLvl w:val="0"/>
              <w:rPr>
                <w:rFonts w:hint="eastAsia" w:ascii="仿宋" w:hAnsi="仿宋" w:eastAsia="仿宋" w:cs="仿宋"/>
                <w:color w:val="auto"/>
                <w:sz w:val="28"/>
                <w:szCs w:val="28"/>
                <w:highlight w:val="none"/>
              </w:rPr>
            </w:pPr>
          </w:p>
        </w:tc>
        <w:tc>
          <w:tcPr>
            <w:tcW w:w="1080" w:type="dxa"/>
            <w:tcBorders>
              <w:top w:val="single" w:color="auto" w:sz="4" w:space="0"/>
              <w:left w:val="single" w:color="auto" w:sz="4" w:space="0"/>
              <w:right w:val="single" w:color="auto" w:sz="4" w:space="0"/>
            </w:tcBorders>
            <w:noWrap w:val="0"/>
            <w:vAlign w:val="center"/>
          </w:tcPr>
          <w:p w14:paraId="42F078E6">
            <w:pPr>
              <w:tabs>
                <w:tab w:val="left" w:pos="3360"/>
              </w:tabs>
              <w:spacing w:line="440" w:lineRule="exact"/>
              <w:jc w:val="center"/>
              <w:outlineLvl w:val="0"/>
              <w:rPr>
                <w:rFonts w:hint="eastAsia" w:ascii="仿宋" w:hAnsi="仿宋" w:eastAsia="仿宋" w:cs="仿宋"/>
                <w:color w:val="auto"/>
                <w:sz w:val="28"/>
                <w:szCs w:val="28"/>
                <w:highlight w:val="none"/>
              </w:rPr>
            </w:pPr>
          </w:p>
        </w:tc>
      </w:tr>
      <w:tr w14:paraId="06903F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jc w:val="center"/>
        </w:trPr>
        <w:tc>
          <w:tcPr>
            <w:tcW w:w="900" w:type="dxa"/>
            <w:tcBorders>
              <w:top w:val="single" w:color="auto" w:sz="4" w:space="0"/>
              <w:left w:val="single" w:color="auto" w:sz="4" w:space="0"/>
              <w:right w:val="single" w:color="auto" w:sz="4" w:space="0"/>
            </w:tcBorders>
            <w:noWrap w:val="0"/>
            <w:vAlign w:val="center"/>
          </w:tcPr>
          <w:p w14:paraId="2072DB44">
            <w:pPr>
              <w:tabs>
                <w:tab w:val="left" w:pos="3360"/>
              </w:tabs>
              <w:spacing w:line="440" w:lineRule="exact"/>
              <w:jc w:val="center"/>
              <w:outlineLvl w:val="0"/>
              <w:rPr>
                <w:rFonts w:hint="eastAsia" w:ascii="仿宋" w:hAnsi="仿宋" w:eastAsia="仿宋" w:cs="仿宋"/>
                <w:color w:val="auto"/>
                <w:sz w:val="28"/>
                <w:szCs w:val="28"/>
                <w:highlight w:val="none"/>
              </w:rPr>
            </w:pPr>
          </w:p>
        </w:tc>
        <w:tc>
          <w:tcPr>
            <w:tcW w:w="3420" w:type="dxa"/>
            <w:tcBorders>
              <w:top w:val="single" w:color="auto" w:sz="4" w:space="0"/>
              <w:left w:val="single" w:color="auto" w:sz="4" w:space="0"/>
              <w:right w:val="single" w:color="auto" w:sz="4" w:space="0"/>
            </w:tcBorders>
            <w:noWrap w:val="0"/>
            <w:vAlign w:val="center"/>
          </w:tcPr>
          <w:p w14:paraId="3699E2BF">
            <w:pPr>
              <w:tabs>
                <w:tab w:val="left" w:pos="3360"/>
              </w:tabs>
              <w:spacing w:line="440" w:lineRule="exact"/>
              <w:jc w:val="center"/>
              <w:outlineLvl w:val="0"/>
              <w:rPr>
                <w:rFonts w:hint="eastAsia" w:ascii="仿宋" w:hAnsi="仿宋" w:eastAsia="仿宋" w:cs="仿宋"/>
                <w:color w:val="auto"/>
                <w:sz w:val="28"/>
                <w:szCs w:val="28"/>
                <w:highlight w:val="none"/>
              </w:rPr>
            </w:pPr>
          </w:p>
        </w:tc>
        <w:tc>
          <w:tcPr>
            <w:tcW w:w="2880" w:type="dxa"/>
            <w:tcBorders>
              <w:top w:val="single" w:color="auto" w:sz="4" w:space="0"/>
              <w:left w:val="single" w:color="auto" w:sz="4" w:space="0"/>
              <w:right w:val="single" w:color="auto" w:sz="4" w:space="0"/>
            </w:tcBorders>
            <w:noWrap w:val="0"/>
            <w:vAlign w:val="center"/>
          </w:tcPr>
          <w:p w14:paraId="2811C6CF">
            <w:pPr>
              <w:tabs>
                <w:tab w:val="left" w:pos="3360"/>
              </w:tabs>
              <w:spacing w:line="440" w:lineRule="exact"/>
              <w:jc w:val="center"/>
              <w:outlineLvl w:val="0"/>
              <w:rPr>
                <w:rFonts w:hint="eastAsia" w:ascii="仿宋" w:hAnsi="仿宋" w:eastAsia="仿宋" w:cs="仿宋"/>
                <w:color w:val="auto"/>
                <w:sz w:val="28"/>
                <w:szCs w:val="28"/>
                <w:highlight w:val="none"/>
              </w:rPr>
            </w:pPr>
          </w:p>
        </w:tc>
        <w:tc>
          <w:tcPr>
            <w:tcW w:w="1080" w:type="dxa"/>
            <w:tcBorders>
              <w:top w:val="single" w:color="auto" w:sz="4" w:space="0"/>
              <w:left w:val="single" w:color="auto" w:sz="4" w:space="0"/>
              <w:right w:val="single" w:color="auto" w:sz="4" w:space="0"/>
            </w:tcBorders>
            <w:noWrap w:val="0"/>
            <w:vAlign w:val="center"/>
          </w:tcPr>
          <w:p w14:paraId="10B31F8E">
            <w:pPr>
              <w:tabs>
                <w:tab w:val="left" w:pos="3360"/>
              </w:tabs>
              <w:spacing w:line="440" w:lineRule="exact"/>
              <w:jc w:val="center"/>
              <w:outlineLvl w:val="0"/>
              <w:rPr>
                <w:rFonts w:hint="eastAsia" w:ascii="仿宋" w:hAnsi="仿宋" w:eastAsia="仿宋" w:cs="仿宋"/>
                <w:color w:val="auto"/>
                <w:sz w:val="28"/>
                <w:szCs w:val="28"/>
                <w:highlight w:val="none"/>
              </w:rPr>
            </w:pPr>
          </w:p>
        </w:tc>
        <w:tc>
          <w:tcPr>
            <w:tcW w:w="1080" w:type="dxa"/>
            <w:tcBorders>
              <w:top w:val="single" w:color="auto" w:sz="4" w:space="0"/>
              <w:left w:val="single" w:color="auto" w:sz="4" w:space="0"/>
              <w:right w:val="single" w:color="auto" w:sz="4" w:space="0"/>
            </w:tcBorders>
            <w:noWrap w:val="0"/>
            <w:vAlign w:val="center"/>
          </w:tcPr>
          <w:p w14:paraId="732EA14E">
            <w:pPr>
              <w:tabs>
                <w:tab w:val="left" w:pos="3360"/>
              </w:tabs>
              <w:spacing w:line="440" w:lineRule="exact"/>
              <w:jc w:val="center"/>
              <w:outlineLvl w:val="0"/>
              <w:rPr>
                <w:rFonts w:hint="eastAsia" w:ascii="仿宋" w:hAnsi="仿宋" w:eastAsia="仿宋" w:cs="仿宋"/>
                <w:color w:val="auto"/>
                <w:sz w:val="28"/>
                <w:szCs w:val="28"/>
                <w:highlight w:val="none"/>
              </w:rPr>
            </w:pPr>
          </w:p>
        </w:tc>
      </w:tr>
      <w:tr w14:paraId="6AF670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jc w:val="center"/>
        </w:trPr>
        <w:tc>
          <w:tcPr>
            <w:tcW w:w="900" w:type="dxa"/>
            <w:tcBorders>
              <w:top w:val="single" w:color="auto" w:sz="4" w:space="0"/>
              <w:left w:val="single" w:color="auto" w:sz="4" w:space="0"/>
              <w:bottom w:val="single" w:color="auto" w:sz="4" w:space="0"/>
              <w:right w:val="single" w:color="auto" w:sz="4" w:space="0"/>
            </w:tcBorders>
            <w:noWrap w:val="0"/>
            <w:vAlign w:val="center"/>
          </w:tcPr>
          <w:p w14:paraId="07701731">
            <w:pPr>
              <w:tabs>
                <w:tab w:val="left" w:pos="3360"/>
              </w:tabs>
              <w:spacing w:line="440" w:lineRule="exact"/>
              <w:jc w:val="center"/>
              <w:outlineLvl w:val="0"/>
              <w:rPr>
                <w:rFonts w:hint="eastAsia" w:ascii="仿宋" w:hAnsi="仿宋" w:eastAsia="仿宋" w:cs="仿宋"/>
                <w:color w:val="auto"/>
                <w:sz w:val="28"/>
                <w:szCs w:val="28"/>
                <w:highlight w:val="none"/>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5D68DE68">
            <w:pPr>
              <w:tabs>
                <w:tab w:val="left" w:pos="3360"/>
              </w:tabs>
              <w:spacing w:line="440" w:lineRule="exact"/>
              <w:jc w:val="center"/>
              <w:outlineLvl w:val="0"/>
              <w:rPr>
                <w:rFonts w:hint="eastAsia" w:ascii="仿宋" w:hAnsi="仿宋" w:eastAsia="仿宋" w:cs="仿宋"/>
                <w:color w:val="auto"/>
                <w:sz w:val="28"/>
                <w:szCs w:val="28"/>
                <w:highlight w:val="none"/>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179B0C0B">
            <w:pPr>
              <w:tabs>
                <w:tab w:val="left" w:pos="3360"/>
              </w:tabs>
              <w:spacing w:line="440" w:lineRule="exact"/>
              <w:jc w:val="center"/>
              <w:outlineLvl w:val="0"/>
              <w:rPr>
                <w:rFonts w:hint="eastAsia" w:ascii="仿宋" w:hAnsi="仿宋" w:eastAsia="仿宋" w:cs="仿宋"/>
                <w:color w:val="auto"/>
                <w:sz w:val="28"/>
                <w:szCs w:val="28"/>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166B6C48">
            <w:pPr>
              <w:tabs>
                <w:tab w:val="left" w:pos="3360"/>
              </w:tabs>
              <w:spacing w:line="440" w:lineRule="exact"/>
              <w:jc w:val="center"/>
              <w:outlineLvl w:val="0"/>
              <w:rPr>
                <w:rFonts w:hint="eastAsia" w:ascii="仿宋" w:hAnsi="仿宋" w:eastAsia="仿宋" w:cs="仿宋"/>
                <w:color w:val="auto"/>
                <w:sz w:val="28"/>
                <w:szCs w:val="28"/>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09907BB0">
            <w:pPr>
              <w:tabs>
                <w:tab w:val="left" w:pos="3360"/>
              </w:tabs>
              <w:spacing w:line="440" w:lineRule="exact"/>
              <w:jc w:val="center"/>
              <w:outlineLvl w:val="0"/>
              <w:rPr>
                <w:rFonts w:hint="eastAsia" w:ascii="仿宋" w:hAnsi="仿宋" w:eastAsia="仿宋" w:cs="仿宋"/>
                <w:color w:val="auto"/>
                <w:sz w:val="28"/>
                <w:szCs w:val="28"/>
                <w:highlight w:val="none"/>
              </w:rPr>
            </w:pPr>
          </w:p>
        </w:tc>
      </w:tr>
      <w:tr w14:paraId="31D7C5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jc w:val="center"/>
        </w:trPr>
        <w:tc>
          <w:tcPr>
            <w:tcW w:w="900" w:type="dxa"/>
            <w:tcBorders>
              <w:top w:val="single" w:color="auto" w:sz="4" w:space="0"/>
              <w:left w:val="single" w:color="auto" w:sz="4" w:space="0"/>
              <w:bottom w:val="single" w:color="auto" w:sz="4" w:space="0"/>
              <w:right w:val="single" w:color="auto" w:sz="4" w:space="0"/>
            </w:tcBorders>
            <w:noWrap w:val="0"/>
            <w:vAlign w:val="center"/>
          </w:tcPr>
          <w:p w14:paraId="1E6D9166">
            <w:pPr>
              <w:tabs>
                <w:tab w:val="left" w:pos="3360"/>
              </w:tabs>
              <w:spacing w:line="440" w:lineRule="exact"/>
              <w:jc w:val="center"/>
              <w:outlineLvl w:val="0"/>
              <w:rPr>
                <w:rFonts w:hint="eastAsia" w:ascii="仿宋" w:hAnsi="仿宋" w:eastAsia="仿宋" w:cs="仿宋"/>
                <w:color w:val="auto"/>
                <w:sz w:val="28"/>
                <w:szCs w:val="28"/>
                <w:highlight w:val="none"/>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65897CB1">
            <w:pPr>
              <w:tabs>
                <w:tab w:val="left" w:pos="3360"/>
              </w:tabs>
              <w:spacing w:line="440" w:lineRule="exact"/>
              <w:jc w:val="center"/>
              <w:outlineLvl w:val="0"/>
              <w:rPr>
                <w:rFonts w:hint="eastAsia" w:ascii="仿宋" w:hAnsi="仿宋" w:eastAsia="仿宋" w:cs="仿宋"/>
                <w:color w:val="auto"/>
                <w:sz w:val="28"/>
                <w:szCs w:val="28"/>
                <w:highlight w:val="none"/>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0B293750">
            <w:pPr>
              <w:tabs>
                <w:tab w:val="left" w:pos="3360"/>
              </w:tabs>
              <w:spacing w:line="440" w:lineRule="exact"/>
              <w:jc w:val="center"/>
              <w:outlineLvl w:val="0"/>
              <w:rPr>
                <w:rFonts w:hint="eastAsia" w:ascii="仿宋" w:hAnsi="仿宋" w:eastAsia="仿宋" w:cs="仿宋"/>
                <w:color w:val="auto"/>
                <w:sz w:val="28"/>
                <w:szCs w:val="28"/>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7BF06CFB">
            <w:pPr>
              <w:tabs>
                <w:tab w:val="left" w:pos="3360"/>
              </w:tabs>
              <w:spacing w:line="440" w:lineRule="exact"/>
              <w:jc w:val="center"/>
              <w:outlineLvl w:val="0"/>
              <w:rPr>
                <w:rFonts w:hint="eastAsia" w:ascii="仿宋" w:hAnsi="仿宋" w:eastAsia="仿宋" w:cs="仿宋"/>
                <w:color w:val="auto"/>
                <w:sz w:val="28"/>
                <w:szCs w:val="28"/>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68BC0E6B">
            <w:pPr>
              <w:tabs>
                <w:tab w:val="left" w:pos="3360"/>
              </w:tabs>
              <w:spacing w:line="440" w:lineRule="exact"/>
              <w:jc w:val="center"/>
              <w:outlineLvl w:val="0"/>
              <w:rPr>
                <w:rFonts w:hint="eastAsia" w:ascii="仿宋" w:hAnsi="仿宋" w:eastAsia="仿宋" w:cs="仿宋"/>
                <w:color w:val="auto"/>
                <w:sz w:val="28"/>
                <w:szCs w:val="28"/>
                <w:highlight w:val="none"/>
              </w:rPr>
            </w:pPr>
          </w:p>
        </w:tc>
      </w:tr>
      <w:tr w14:paraId="37CA40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jc w:val="center"/>
        </w:trPr>
        <w:tc>
          <w:tcPr>
            <w:tcW w:w="900" w:type="dxa"/>
            <w:tcBorders>
              <w:top w:val="single" w:color="auto" w:sz="4" w:space="0"/>
              <w:left w:val="single" w:color="auto" w:sz="4" w:space="0"/>
              <w:bottom w:val="single" w:color="auto" w:sz="4" w:space="0"/>
              <w:right w:val="single" w:color="auto" w:sz="4" w:space="0"/>
            </w:tcBorders>
            <w:noWrap w:val="0"/>
            <w:vAlign w:val="center"/>
          </w:tcPr>
          <w:p w14:paraId="1144D668">
            <w:pPr>
              <w:tabs>
                <w:tab w:val="left" w:pos="3360"/>
              </w:tabs>
              <w:spacing w:line="440" w:lineRule="exact"/>
              <w:jc w:val="center"/>
              <w:outlineLvl w:val="0"/>
              <w:rPr>
                <w:rFonts w:hint="eastAsia" w:ascii="仿宋" w:hAnsi="仿宋" w:eastAsia="仿宋" w:cs="仿宋"/>
                <w:color w:val="auto"/>
                <w:sz w:val="28"/>
                <w:szCs w:val="28"/>
                <w:highlight w:val="none"/>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3A3C6037">
            <w:pPr>
              <w:tabs>
                <w:tab w:val="left" w:pos="3360"/>
              </w:tabs>
              <w:spacing w:line="440" w:lineRule="exact"/>
              <w:jc w:val="center"/>
              <w:outlineLvl w:val="0"/>
              <w:rPr>
                <w:rFonts w:hint="eastAsia" w:ascii="仿宋" w:hAnsi="仿宋" w:eastAsia="仿宋" w:cs="仿宋"/>
                <w:color w:val="auto"/>
                <w:sz w:val="28"/>
                <w:szCs w:val="28"/>
                <w:highlight w:val="none"/>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6154116E">
            <w:pPr>
              <w:tabs>
                <w:tab w:val="left" w:pos="3360"/>
              </w:tabs>
              <w:spacing w:line="440" w:lineRule="exact"/>
              <w:jc w:val="center"/>
              <w:outlineLvl w:val="0"/>
              <w:rPr>
                <w:rFonts w:hint="eastAsia" w:ascii="仿宋" w:hAnsi="仿宋" w:eastAsia="仿宋" w:cs="仿宋"/>
                <w:color w:val="auto"/>
                <w:sz w:val="28"/>
                <w:szCs w:val="28"/>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4DF93EDB">
            <w:pPr>
              <w:tabs>
                <w:tab w:val="left" w:pos="3360"/>
              </w:tabs>
              <w:spacing w:line="440" w:lineRule="exact"/>
              <w:jc w:val="center"/>
              <w:outlineLvl w:val="0"/>
              <w:rPr>
                <w:rFonts w:hint="eastAsia" w:ascii="仿宋" w:hAnsi="仿宋" w:eastAsia="仿宋" w:cs="仿宋"/>
                <w:color w:val="auto"/>
                <w:sz w:val="28"/>
                <w:szCs w:val="28"/>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1CF5F1AA">
            <w:pPr>
              <w:tabs>
                <w:tab w:val="left" w:pos="3360"/>
              </w:tabs>
              <w:spacing w:line="440" w:lineRule="exact"/>
              <w:jc w:val="center"/>
              <w:outlineLvl w:val="0"/>
              <w:rPr>
                <w:rFonts w:hint="eastAsia" w:ascii="仿宋" w:hAnsi="仿宋" w:eastAsia="仿宋" w:cs="仿宋"/>
                <w:color w:val="auto"/>
                <w:sz w:val="28"/>
                <w:szCs w:val="28"/>
                <w:highlight w:val="none"/>
              </w:rPr>
            </w:pPr>
          </w:p>
        </w:tc>
      </w:tr>
      <w:tr w14:paraId="47E4F6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jc w:val="center"/>
        </w:trPr>
        <w:tc>
          <w:tcPr>
            <w:tcW w:w="900" w:type="dxa"/>
            <w:tcBorders>
              <w:top w:val="single" w:color="auto" w:sz="4" w:space="0"/>
              <w:left w:val="single" w:color="auto" w:sz="4" w:space="0"/>
              <w:bottom w:val="single" w:color="auto" w:sz="4" w:space="0"/>
              <w:right w:val="single" w:color="auto" w:sz="4" w:space="0"/>
            </w:tcBorders>
            <w:noWrap w:val="0"/>
            <w:vAlign w:val="center"/>
          </w:tcPr>
          <w:p w14:paraId="7A6F8A2E">
            <w:pPr>
              <w:tabs>
                <w:tab w:val="left" w:pos="3360"/>
              </w:tabs>
              <w:spacing w:line="440" w:lineRule="exact"/>
              <w:jc w:val="center"/>
              <w:outlineLvl w:val="0"/>
              <w:rPr>
                <w:rFonts w:hint="eastAsia" w:ascii="仿宋" w:hAnsi="仿宋" w:eastAsia="仿宋" w:cs="仿宋"/>
                <w:color w:val="auto"/>
                <w:sz w:val="28"/>
                <w:szCs w:val="28"/>
                <w:highlight w:val="none"/>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0AE22FB4">
            <w:pPr>
              <w:tabs>
                <w:tab w:val="left" w:pos="3360"/>
              </w:tabs>
              <w:spacing w:line="440" w:lineRule="exact"/>
              <w:jc w:val="center"/>
              <w:outlineLvl w:val="0"/>
              <w:rPr>
                <w:rFonts w:hint="eastAsia" w:ascii="仿宋" w:hAnsi="仿宋" w:eastAsia="仿宋" w:cs="仿宋"/>
                <w:color w:val="auto"/>
                <w:sz w:val="28"/>
                <w:szCs w:val="28"/>
                <w:highlight w:val="none"/>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49BD70DB">
            <w:pPr>
              <w:tabs>
                <w:tab w:val="left" w:pos="3360"/>
              </w:tabs>
              <w:spacing w:line="440" w:lineRule="exact"/>
              <w:jc w:val="center"/>
              <w:outlineLvl w:val="0"/>
              <w:rPr>
                <w:rFonts w:hint="eastAsia" w:ascii="仿宋" w:hAnsi="仿宋" w:eastAsia="仿宋" w:cs="仿宋"/>
                <w:color w:val="auto"/>
                <w:sz w:val="28"/>
                <w:szCs w:val="28"/>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7F3728C9">
            <w:pPr>
              <w:tabs>
                <w:tab w:val="left" w:pos="3360"/>
              </w:tabs>
              <w:spacing w:line="440" w:lineRule="exact"/>
              <w:jc w:val="center"/>
              <w:outlineLvl w:val="0"/>
              <w:rPr>
                <w:rFonts w:hint="eastAsia" w:ascii="仿宋" w:hAnsi="仿宋" w:eastAsia="仿宋" w:cs="仿宋"/>
                <w:color w:val="auto"/>
                <w:sz w:val="28"/>
                <w:szCs w:val="28"/>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65A7E5CC">
            <w:pPr>
              <w:tabs>
                <w:tab w:val="left" w:pos="3360"/>
              </w:tabs>
              <w:spacing w:line="440" w:lineRule="exact"/>
              <w:jc w:val="center"/>
              <w:outlineLvl w:val="0"/>
              <w:rPr>
                <w:rFonts w:hint="eastAsia" w:ascii="仿宋" w:hAnsi="仿宋" w:eastAsia="仿宋" w:cs="仿宋"/>
                <w:color w:val="auto"/>
                <w:sz w:val="28"/>
                <w:szCs w:val="28"/>
                <w:highlight w:val="none"/>
              </w:rPr>
            </w:pPr>
          </w:p>
        </w:tc>
      </w:tr>
      <w:tr w14:paraId="6B0E53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jc w:val="center"/>
        </w:trPr>
        <w:tc>
          <w:tcPr>
            <w:tcW w:w="900" w:type="dxa"/>
            <w:tcBorders>
              <w:top w:val="single" w:color="auto" w:sz="4" w:space="0"/>
              <w:left w:val="single" w:color="auto" w:sz="4" w:space="0"/>
              <w:bottom w:val="single" w:color="auto" w:sz="4" w:space="0"/>
              <w:right w:val="single" w:color="auto" w:sz="4" w:space="0"/>
            </w:tcBorders>
            <w:noWrap w:val="0"/>
            <w:vAlign w:val="center"/>
          </w:tcPr>
          <w:p w14:paraId="0AC1265B">
            <w:pPr>
              <w:tabs>
                <w:tab w:val="left" w:pos="3360"/>
              </w:tabs>
              <w:spacing w:line="440" w:lineRule="exact"/>
              <w:jc w:val="center"/>
              <w:outlineLvl w:val="0"/>
              <w:rPr>
                <w:rFonts w:hint="eastAsia" w:ascii="仿宋" w:hAnsi="仿宋" w:eastAsia="仿宋" w:cs="仿宋"/>
                <w:color w:val="auto"/>
                <w:sz w:val="28"/>
                <w:szCs w:val="28"/>
                <w:highlight w:val="none"/>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770E6C7A">
            <w:pPr>
              <w:tabs>
                <w:tab w:val="left" w:pos="3360"/>
              </w:tabs>
              <w:spacing w:line="440" w:lineRule="exact"/>
              <w:jc w:val="center"/>
              <w:outlineLvl w:val="0"/>
              <w:rPr>
                <w:rFonts w:hint="eastAsia" w:ascii="仿宋" w:hAnsi="仿宋" w:eastAsia="仿宋" w:cs="仿宋"/>
                <w:color w:val="auto"/>
                <w:sz w:val="28"/>
                <w:szCs w:val="28"/>
                <w:highlight w:val="none"/>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2A1715FA">
            <w:pPr>
              <w:tabs>
                <w:tab w:val="left" w:pos="3360"/>
              </w:tabs>
              <w:spacing w:line="440" w:lineRule="exact"/>
              <w:jc w:val="center"/>
              <w:outlineLvl w:val="0"/>
              <w:rPr>
                <w:rFonts w:hint="eastAsia" w:ascii="仿宋" w:hAnsi="仿宋" w:eastAsia="仿宋" w:cs="仿宋"/>
                <w:color w:val="auto"/>
                <w:sz w:val="28"/>
                <w:szCs w:val="28"/>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60C3A67B">
            <w:pPr>
              <w:tabs>
                <w:tab w:val="left" w:pos="3360"/>
              </w:tabs>
              <w:spacing w:line="440" w:lineRule="exact"/>
              <w:jc w:val="center"/>
              <w:outlineLvl w:val="0"/>
              <w:rPr>
                <w:rFonts w:hint="eastAsia" w:ascii="仿宋" w:hAnsi="仿宋" w:eastAsia="仿宋" w:cs="仿宋"/>
                <w:color w:val="auto"/>
                <w:sz w:val="28"/>
                <w:szCs w:val="28"/>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5D4EC9DC">
            <w:pPr>
              <w:tabs>
                <w:tab w:val="left" w:pos="3360"/>
              </w:tabs>
              <w:spacing w:line="440" w:lineRule="exact"/>
              <w:jc w:val="center"/>
              <w:outlineLvl w:val="0"/>
              <w:rPr>
                <w:rFonts w:hint="eastAsia" w:ascii="仿宋" w:hAnsi="仿宋" w:eastAsia="仿宋" w:cs="仿宋"/>
                <w:color w:val="auto"/>
                <w:sz w:val="28"/>
                <w:szCs w:val="28"/>
                <w:highlight w:val="none"/>
              </w:rPr>
            </w:pPr>
          </w:p>
        </w:tc>
      </w:tr>
    </w:tbl>
    <w:p w14:paraId="41749630">
      <w:pPr>
        <w:spacing w:line="520" w:lineRule="exact"/>
        <w:ind w:left="-708" w:firstLine="560"/>
        <w:rPr>
          <w:rFonts w:hint="eastAsia" w:ascii="仿宋" w:hAnsi="仿宋" w:eastAsia="仿宋" w:cs="仿宋"/>
          <w:color w:val="auto"/>
          <w:sz w:val="28"/>
          <w:szCs w:val="28"/>
          <w:highlight w:val="none"/>
        </w:rPr>
      </w:pPr>
    </w:p>
    <w:p w14:paraId="12198199">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投标人</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（加盖公章）</w:t>
      </w:r>
      <w:r>
        <w:rPr>
          <w:rFonts w:hint="eastAsia" w:ascii="仿宋" w:hAnsi="仿宋" w:eastAsia="仿宋" w:cs="仿宋"/>
          <w:color w:val="auto"/>
          <w:sz w:val="28"/>
          <w:szCs w:val="28"/>
          <w:highlight w:val="none"/>
        </w:rPr>
        <w:t xml:space="preserve">          </w:t>
      </w:r>
    </w:p>
    <w:p w14:paraId="1A675032">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法定代表人或其委托代理人：</w:t>
      </w:r>
      <w:r>
        <w:rPr>
          <w:rFonts w:hint="eastAsia" w:ascii="仿宋" w:hAnsi="仿宋" w:eastAsia="仿宋" w:cs="仿宋"/>
          <w:i/>
          <w:iCs/>
          <w:color w:val="auto"/>
          <w:sz w:val="28"/>
          <w:szCs w:val="28"/>
          <w:highlight w:val="none"/>
          <w:u w:val="single"/>
        </w:rPr>
        <w:t xml:space="preserve"> </w:t>
      </w:r>
      <w:r>
        <w:rPr>
          <w:rFonts w:hint="eastAsia" w:ascii="仿宋" w:hAnsi="仿宋" w:eastAsia="仿宋" w:cs="仿宋"/>
          <w:color w:val="auto"/>
          <w:sz w:val="28"/>
          <w:szCs w:val="28"/>
          <w:highlight w:val="none"/>
          <w:u w:val="single"/>
        </w:rPr>
        <w:t xml:space="preserve"> （签字） </w:t>
      </w:r>
      <w:r>
        <w:rPr>
          <w:rFonts w:hint="eastAsia" w:ascii="仿宋" w:hAnsi="仿宋" w:eastAsia="仿宋" w:cs="仿宋"/>
          <w:i/>
          <w:iCs/>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36BC76C3">
      <w:pPr>
        <w:spacing w:line="440" w:lineRule="exact"/>
        <w:ind w:firstLine="84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4F5E3C57">
      <w:pPr>
        <w:spacing w:line="440" w:lineRule="exact"/>
        <w:rPr>
          <w:rFonts w:hint="eastAsia" w:ascii="仿宋" w:hAnsi="仿宋" w:eastAsia="仿宋" w:cs="仿宋"/>
          <w:color w:val="auto"/>
          <w:sz w:val="28"/>
          <w:szCs w:val="28"/>
          <w:highlight w:val="none"/>
        </w:rPr>
      </w:pPr>
    </w:p>
    <w:p w14:paraId="4C6B1FAB">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 </w:t>
      </w:r>
    </w:p>
    <w:p w14:paraId="0082B838">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 xml:space="preserve">）是否偏离用符号“+、=、-”分别表示正偏离、完全响应、负偏离。 </w:t>
      </w:r>
    </w:p>
    <w:p w14:paraId="69AD6F2B">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w:t>
      </w:r>
      <w:bookmarkEnd w:id="41"/>
      <w:r>
        <w:rPr>
          <w:rFonts w:hint="eastAsia" w:ascii="仿宋" w:hAnsi="仿宋" w:eastAsia="仿宋"/>
          <w:color w:val="auto"/>
          <w:sz w:val="28"/>
          <w:szCs w:val="28"/>
          <w:highlight w:val="none"/>
        </w:rPr>
        <w:t>投标人必须仔细阅读本招标文件第五章中所有技术规范条款和相关功能要求，并将响应情况及偏离情况逐项填入上表，响应时不得对原有技术规范进行直接复制粘贴及简单表述为完全响应，否则将影响该项得分。</w:t>
      </w:r>
    </w:p>
    <w:p w14:paraId="46DFE0B4">
      <w:pPr>
        <w:pStyle w:val="25"/>
        <w:spacing w:line="520" w:lineRule="exact"/>
        <w:ind w:firstLine="948"/>
        <w:outlineLvl w:val="0"/>
        <w:rPr>
          <w:rFonts w:hint="eastAsia" w:ascii="仿宋" w:hAnsi="仿宋" w:eastAsia="仿宋" w:cs="仿宋"/>
          <w:b/>
          <w:bCs/>
          <w:color w:val="auto"/>
          <w:sz w:val="32"/>
          <w:highlight w:val="none"/>
        </w:rPr>
      </w:pPr>
    </w:p>
    <w:p w14:paraId="6B737EFF">
      <w:pPr>
        <w:pStyle w:val="25"/>
        <w:spacing w:line="520" w:lineRule="exact"/>
        <w:ind w:firstLine="948"/>
        <w:outlineLvl w:val="0"/>
        <w:rPr>
          <w:rFonts w:hint="eastAsia" w:ascii="仿宋" w:hAnsi="仿宋" w:eastAsia="仿宋" w:cs="仿宋"/>
          <w:b/>
          <w:bCs/>
          <w:color w:val="auto"/>
          <w:sz w:val="32"/>
          <w:highlight w:val="none"/>
        </w:rPr>
      </w:pPr>
    </w:p>
    <w:p w14:paraId="53EBA33C">
      <w:pPr>
        <w:pStyle w:val="25"/>
        <w:spacing w:line="520" w:lineRule="exact"/>
        <w:ind w:firstLine="948"/>
        <w:outlineLvl w:val="0"/>
        <w:rPr>
          <w:rFonts w:hint="eastAsia" w:ascii="仿宋" w:hAnsi="仿宋" w:eastAsia="仿宋" w:cs="仿宋"/>
          <w:b/>
          <w:bCs/>
          <w:color w:val="auto"/>
          <w:sz w:val="32"/>
          <w:highlight w:val="none"/>
        </w:rPr>
      </w:pPr>
    </w:p>
    <w:p w14:paraId="306B2570">
      <w:pPr>
        <w:pStyle w:val="25"/>
        <w:spacing w:line="520" w:lineRule="exact"/>
        <w:ind w:firstLine="948"/>
        <w:outlineLvl w:val="0"/>
        <w:rPr>
          <w:rFonts w:hint="eastAsia" w:ascii="仿宋" w:hAnsi="仿宋" w:eastAsia="仿宋" w:cs="仿宋"/>
          <w:b/>
          <w:bCs/>
          <w:color w:val="auto"/>
          <w:sz w:val="32"/>
          <w:szCs w:val="32"/>
          <w:highlight w:val="none"/>
        </w:rPr>
      </w:pPr>
      <w:r>
        <w:rPr>
          <w:rFonts w:hint="eastAsia" w:ascii="仿宋" w:hAnsi="仿宋" w:eastAsia="仿宋" w:cs="仿宋"/>
          <w:b/>
          <w:bCs/>
          <w:color w:val="auto"/>
          <w:sz w:val="32"/>
          <w:highlight w:val="none"/>
          <w:lang w:val="en-US" w:eastAsia="zh-CN"/>
        </w:rPr>
        <w:t>五</w:t>
      </w:r>
      <w:r>
        <w:rPr>
          <w:rFonts w:hint="eastAsia" w:ascii="仿宋" w:hAnsi="仿宋" w:eastAsia="仿宋" w:cs="仿宋"/>
          <w:b/>
          <w:bCs/>
          <w:color w:val="auto"/>
          <w:sz w:val="32"/>
          <w:highlight w:val="none"/>
        </w:rPr>
        <w:t>、</w:t>
      </w:r>
      <w:r>
        <w:rPr>
          <w:rFonts w:hint="eastAsia" w:ascii="仿宋" w:hAnsi="仿宋" w:eastAsia="仿宋" w:cs="仿宋"/>
          <w:b/>
          <w:color w:val="auto"/>
          <w:sz w:val="32"/>
          <w:szCs w:val="32"/>
          <w:highlight w:val="none"/>
        </w:rPr>
        <w:t>资质审查时</w:t>
      </w:r>
      <w:r>
        <w:rPr>
          <w:rFonts w:hint="eastAsia" w:ascii="仿宋" w:hAnsi="仿宋" w:eastAsia="仿宋" w:cs="仿宋"/>
          <w:b/>
          <w:bCs/>
          <w:color w:val="auto"/>
          <w:sz w:val="32"/>
          <w:szCs w:val="32"/>
          <w:highlight w:val="none"/>
        </w:rPr>
        <w:t>投标人必须提供的资格证明文件</w:t>
      </w:r>
    </w:p>
    <w:p w14:paraId="38D708B0">
      <w:pPr>
        <w:pStyle w:val="25"/>
        <w:spacing w:line="520" w:lineRule="exact"/>
        <w:jc w:val="center"/>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lang w:val="en-US" w:eastAsia="zh-CN"/>
        </w:rPr>
        <w:t>(各采购包均适用）</w:t>
      </w:r>
    </w:p>
    <w:p w14:paraId="3E434D98">
      <w:pPr>
        <w:pStyle w:val="25"/>
        <w:spacing w:line="520" w:lineRule="exact"/>
        <w:ind w:firstLine="551"/>
        <w:rPr>
          <w:rFonts w:hint="eastAsia" w:ascii="仿宋" w:hAnsi="仿宋" w:eastAsia="仿宋" w:cs="仿宋"/>
          <w:b/>
          <w:bCs/>
          <w:color w:val="auto"/>
          <w:sz w:val="32"/>
          <w:szCs w:val="32"/>
          <w:highlight w:val="none"/>
        </w:rPr>
      </w:pPr>
      <w:r>
        <w:rPr>
          <w:rFonts w:hint="eastAsia" w:ascii="仿宋" w:hAnsi="仿宋" w:eastAsia="仿宋" w:cs="仿宋"/>
          <w:color w:val="auto"/>
          <w:sz w:val="28"/>
          <w:szCs w:val="28"/>
          <w:highlight w:val="none"/>
        </w:rPr>
        <w:t>1、提供下列材料之一:</w:t>
      </w:r>
    </w:p>
    <w:p w14:paraId="530473C9">
      <w:pPr>
        <w:spacing w:line="520" w:lineRule="exact"/>
        <w:ind w:firstLine="420"/>
        <w:rPr>
          <w:rFonts w:hint="eastAsia" w:ascii="仿宋" w:hAnsi="仿宋" w:eastAsia="仿宋" w:cs="仿宋"/>
          <w:color w:val="auto"/>
          <w:sz w:val="28"/>
          <w:highlight w:val="none"/>
        </w:rPr>
      </w:pPr>
      <w:r>
        <w:rPr>
          <w:rFonts w:hint="eastAsia" w:ascii="仿宋" w:hAnsi="仿宋" w:eastAsia="仿宋" w:cs="仿宋"/>
          <w:color w:val="auto"/>
          <w:sz w:val="28"/>
          <w:highlight w:val="none"/>
        </w:rPr>
        <w:t>（1）投标人</w:t>
      </w:r>
      <w:r>
        <w:rPr>
          <w:rFonts w:hint="eastAsia" w:ascii="仿宋" w:hAnsi="仿宋" w:eastAsia="仿宋" w:cs="仿宋"/>
          <w:color w:val="auto"/>
          <w:sz w:val="28"/>
          <w:szCs w:val="28"/>
          <w:highlight w:val="none"/>
        </w:rPr>
        <w:t>提供</w:t>
      </w:r>
      <w:r>
        <w:rPr>
          <w:rFonts w:hint="eastAsia" w:ascii="仿宋" w:hAnsi="仿宋" w:eastAsia="仿宋" w:cs="仿宋"/>
          <w:bCs/>
          <w:color w:val="auto"/>
          <w:sz w:val="28"/>
          <w:szCs w:val="28"/>
          <w:highlight w:val="none"/>
        </w:rPr>
        <w:t>法定代表人资格证明</w:t>
      </w:r>
      <w:r>
        <w:rPr>
          <w:rFonts w:hint="eastAsia" w:ascii="仿宋" w:hAnsi="仿宋" w:eastAsia="仿宋" w:cs="仿宋"/>
          <w:color w:val="auto"/>
          <w:sz w:val="28"/>
          <w:highlight w:val="none"/>
        </w:rPr>
        <w:t>（格式详见示范格式一）和</w:t>
      </w:r>
      <w:r>
        <w:rPr>
          <w:rFonts w:hint="eastAsia" w:ascii="仿宋" w:hAnsi="仿宋" w:eastAsia="仿宋" w:cs="仿宋"/>
          <w:bCs/>
          <w:color w:val="auto"/>
          <w:sz w:val="28"/>
          <w:highlight w:val="none"/>
        </w:rPr>
        <w:t>法定代表人</w:t>
      </w:r>
      <w:r>
        <w:rPr>
          <w:rFonts w:hint="eastAsia" w:ascii="仿宋" w:hAnsi="仿宋" w:eastAsia="仿宋" w:cs="仿宋"/>
          <w:bCs/>
          <w:color w:val="auto"/>
          <w:sz w:val="28"/>
          <w:szCs w:val="28"/>
          <w:highlight w:val="none"/>
        </w:rPr>
        <w:t>身份证</w:t>
      </w:r>
      <w:r>
        <w:rPr>
          <w:rFonts w:hint="eastAsia" w:ascii="仿宋" w:hAnsi="仿宋" w:eastAsia="仿宋" w:cs="仿宋"/>
          <w:b/>
          <w:bCs w:val="0"/>
          <w:color w:val="auto"/>
          <w:sz w:val="28"/>
          <w:szCs w:val="28"/>
          <w:highlight w:val="none"/>
        </w:rPr>
        <w:t>（加盖</w:t>
      </w:r>
      <w:r>
        <w:rPr>
          <w:rFonts w:hint="eastAsia" w:ascii="仿宋" w:hAnsi="仿宋" w:eastAsia="仿宋" w:cs="仿宋"/>
          <w:b/>
          <w:bCs w:val="0"/>
          <w:color w:val="auto"/>
          <w:sz w:val="28"/>
          <w:highlight w:val="none"/>
        </w:rPr>
        <w:t>CA电子签</w:t>
      </w:r>
      <w:r>
        <w:rPr>
          <w:rFonts w:hint="eastAsia" w:ascii="仿宋" w:hAnsi="仿宋" w:eastAsia="仿宋" w:cs="仿宋"/>
          <w:b/>
          <w:bCs w:val="0"/>
          <w:color w:val="auto"/>
          <w:sz w:val="28"/>
          <w:szCs w:val="28"/>
          <w:highlight w:val="none"/>
        </w:rPr>
        <w:t>章）</w:t>
      </w:r>
      <w:r>
        <w:rPr>
          <w:rFonts w:hint="eastAsia" w:ascii="仿宋" w:hAnsi="仿宋" w:eastAsia="仿宋" w:cs="仿宋"/>
          <w:color w:val="auto"/>
          <w:sz w:val="28"/>
          <w:highlight w:val="none"/>
        </w:rPr>
        <w:t>；</w:t>
      </w:r>
    </w:p>
    <w:p w14:paraId="12E36034">
      <w:pPr>
        <w:spacing w:line="520" w:lineRule="exact"/>
        <w:ind w:firstLine="420"/>
        <w:rPr>
          <w:rFonts w:hint="eastAsia" w:ascii="仿宋" w:hAnsi="仿宋" w:eastAsia="仿宋" w:cs="仿宋"/>
          <w:color w:val="auto"/>
          <w:sz w:val="28"/>
          <w:highlight w:val="none"/>
        </w:rPr>
      </w:pPr>
      <w:r>
        <w:rPr>
          <w:rFonts w:hint="eastAsia" w:ascii="仿宋" w:hAnsi="仿宋" w:eastAsia="仿宋" w:cs="仿宋"/>
          <w:color w:val="auto"/>
          <w:sz w:val="28"/>
          <w:highlight w:val="none"/>
        </w:rPr>
        <w:t>（2）投标人提供授权委托书（格式详见示范格式二）和</w:t>
      </w:r>
      <w:r>
        <w:rPr>
          <w:rFonts w:hint="eastAsia" w:ascii="仿宋" w:hAnsi="仿宋" w:eastAsia="仿宋" w:cs="仿宋"/>
          <w:bCs/>
          <w:color w:val="auto"/>
          <w:sz w:val="28"/>
          <w:szCs w:val="28"/>
          <w:highlight w:val="none"/>
        </w:rPr>
        <w:t>受托人身份证</w:t>
      </w:r>
      <w:r>
        <w:rPr>
          <w:rFonts w:hint="eastAsia" w:ascii="仿宋" w:hAnsi="仿宋" w:eastAsia="仿宋" w:cs="仿宋"/>
          <w:b/>
          <w:bCs w:val="0"/>
          <w:color w:val="auto"/>
          <w:sz w:val="28"/>
          <w:szCs w:val="28"/>
          <w:highlight w:val="none"/>
        </w:rPr>
        <w:t>（加盖</w:t>
      </w:r>
      <w:r>
        <w:rPr>
          <w:rFonts w:hint="eastAsia" w:ascii="仿宋" w:hAnsi="仿宋" w:eastAsia="仿宋" w:cs="仿宋"/>
          <w:b/>
          <w:bCs w:val="0"/>
          <w:color w:val="auto"/>
          <w:sz w:val="28"/>
          <w:highlight w:val="none"/>
        </w:rPr>
        <w:t>CA电子签</w:t>
      </w:r>
      <w:r>
        <w:rPr>
          <w:rFonts w:hint="eastAsia" w:ascii="仿宋" w:hAnsi="仿宋" w:eastAsia="仿宋" w:cs="仿宋"/>
          <w:b/>
          <w:bCs w:val="0"/>
          <w:color w:val="auto"/>
          <w:sz w:val="28"/>
          <w:szCs w:val="28"/>
          <w:highlight w:val="none"/>
        </w:rPr>
        <w:t>章）</w:t>
      </w:r>
      <w:r>
        <w:rPr>
          <w:rFonts w:hint="eastAsia" w:ascii="仿宋" w:hAnsi="仿宋" w:eastAsia="仿宋" w:cs="仿宋"/>
          <w:color w:val="auto"/>
          <w:sz w:val="28"/>
          <w:highlight w:val="none"/>
        </w:rPr>
        <w:t>。</w:t>
      </w:r>
    </w:p>
    <w:p w14:paraId="2C823F23">
      <w:pPr>
        <w:keepNext w:val="0"/>
        <w:keepLines w:val="0"/>
        <w:pageBreakBefore w:val="0"/>
        <w:widowControl/>
        <w:kinsoku/>
        <w:wordWrap/>
        <w:overflowPunct/>
        <w:topLinePunct w:val="0"/>
        <w:autoSpaceDE/>
        <w:autoSpaceDN/>
        <w:bidi w:val="0"/>
        <w:adjustRightInd/>
        <w:snapToGrid/>
        <w:spacing w:line="480" w:lineRule="exact"/>
        <w:ind w:left="34" w:right="100" w:firstLine="542"/>
        <w:textAlignment w:val="auto"/>
        <w:rPr>
          <w:rFonts w:hint="eastAsia" w:ascii="仿宋" w:hAnsi="仿宋" w:eastAsia="仿宋" w:cs="仿宋"/>
          <w:b/>
          <w:bCs/>
          <w:color w:val="auto"/>
          <w:sz w:val="28"/>
          <w:szCs w:val="28"/>
          <w:highlight w:val="none"/>
        </w:rPr>
      </w:pPr>
      <w:r>
        <w:rPr>
          <w:rFonts w:hint="eastAsia" w:ascii="仿宋" w:hAnsi="仿宋" w:eastAsia="仿宋" w:cs="仿宋"/>
          <w:color w:val="auto"/>
          <w:sz w:val="28"/>
          <w:highlight w:val="none"/>
        </w:rPr>
        <w:t>2、投标人符合《政府采购法》第二十二条规定条件的承诺函</w:t>
      </w:r>
      <w:r>
        <w:rPr>
          <w:rFonts w:hint="eastAsia" w:ascii="仿宋" w:hAnsi="仿宋" w:eastAsia="仿宋" w:cs="仿宋"/>
          <w:color w:val="auto"/>
          <w:sz w:val="28"/>
          <w:highlight w:val="none"/>
          <w:lang w:val="zh-CN"/>
        </w:rPr>
        <w:t>（</w:t>
      </w:r>
      <w:r>
        <w:rPr>
          <w:rFonts w:hint="eastAsia" w:ascii="仿宋" w:hAnsi="仿宋" w:eastAsia="仿宋" w:cs="仿宋"/>
          <w:color w:val="auto"/>
          <w:sz w:val="28"/>
          <w:highlight w:val="none"/>
        </w:rPr>
        <w:t>格式详见示范格式三</w:t>
      </w:r>
      <w:r>
        <w:rPr>
          <w:rFonts w:hint="eastAsia" w:ascii="仿宋" w:hAnsi="仿宋" w:eastAsia="仿宋" w:cs="仿宋"/>
          <w:color w:val="auto"/>
          <w:sz w:val="28"/>
          <w:highlight w:val="none"/>
          <w:lang w:val="zh-CN"/>
        </w:rPr>
        <w:t>）；</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val="en-US" w:eastAsia="zh-CN"/>
        </w:rPr>
        <w:t>原件</w:t>
      </w:r>
      <w:r>
        <w:rPr>
          <w:rFonts w:hint="eastAsia" w:ascii="仿宋" w:hAnsi="仿宋" w:eastAsia="仿宋" w:cs="仿宋"/>
          <w:b/>
          <w:bCs/>
          <w:color w:val="auto"/>
          <w:sz w:val="28"/>
          <w:szCs w:val="28"/>
          <w:highlight w:val="none"/>
        </w:rPr>
        <w:t>加盖CA电子签章）</w:t>
      </w:r>
    </w:p>
    <w:p w14:paraId="51D45006">
      <w:pPr>
        <w:keepNext w:val="0"/>
        <w:keepLines w:val="0"/>
        <w:pageBreakBefore w:val="0"/>
        <w:widowControl/>
        <w:kinsoku/>
        <w:wordWrap/>
        <w:overflowPunct/>
        <w:topLinePunct w:val="0"/>
        <w:autoSpaceDE/>
        <w:autoSpaceDN/>
        <w:bidi w:val="0"/>
        <w:adjustRightInd/>
        <w:snapToGrid/>
        <w:spacing w:line="480" w:lineRule="exact"/>
        <w:ind w:left="34" w:right="100" w:firstLine="542"/>
        <w:textAlignment w:val="auto"/>
        <w:rPr>
          <w:rFonts w:hint="eastAsia" w:ascii="仿宋" w:hAnsi="仿宋" w:eastAsia="仿宋" w:cs="仿宋"/>
          <w:b/>
          <w:bCs/>
          <w:color w:val="auto"/>
          <w:sz w:val="28"/>
          <w:highlight w:val="none"/>
          <w:lang w:val="zh-CN"/>
        </w:rPr>
      </w:pPr>
      <w:r>
        <w:rPr>
          <w:rFonts w:hint="eastAsia" w:ascii="仿宋" w:hAnsi="仿宋" w:eastAsia="仿宋" w:cs="仿宋"/>
          <w:color w:val="auto"/>
          <w:sz w:val="28"/>
          <w:highlight w:val="none"/>
        </w:rPr>
        <w:t>3、</w:t>
      </w:r>
      <w:r>
        <w:rPr>
          <w:rFonts w:hint="eastAsia" w:ascii="仿宋" w:hAnsi="仿宋" w:eastAsia="仿宋" w:cs="仿宋"/>
          <w:color w:val="auto"/>
          <w:sz w:val="28"/>
          <w:highlight w:val="none"/>
          <w:lang w:eastAsia="zh-CN"/>
        </w:rPr>
        <w:t>提供法人或者其他组织的营业执照</w:t>
      </w:r>
      <w:r>
        <w:rPr>
          <w:rFonts w:hint="eastAsia" w:ascii="仿宋" w:hAnsi="仿宋" w:eastAsia="仿宋" w:cs="仿宋"/>
          <w:b/>
          <w:bCs/>
          <w:color w:val="auto"/>
          <w:sz w:val="28"/>
          <w:highlight w:val="none"/>
        </w:rPr>
        <w:t>(原件扫描件并加盖</w:t>
      </w:r>
      <w:r>
        <w:rPr>
          <w:rFonts w:hint="eastAsia" w:ascii="仿宋" w:hAnsi="仿宋" w:eastAsia="仿宋" w:cs="仿宋"/>
          <w:b/>
          <w:bCs/>
          <w:color w:val="auto"/>
          <w:sz w:val="28"/>
          <w:szCs w:val="28"/>
          <w:highlight w:val="none"/>
        </w:rPr>
        <w:t>CA</w:t>
      </w:r>
      <w:r>
        <w:rPr>
          <w:rFonts w:hint="eastAsia" w:ascii="仿宋" w:hAnsi="仿宋" w:eastAsia="仿宋" w:cs="仿宋"/>
          <w:b/>
          <w:bCs/>
          <w:color w:val="auto"/>
          <w:sz w:val="28"/>
          <w:highlight w:val="none"/>
        </w:rPr>
        <w:t>电子签章)</w:t>
      </w:r>
      <w:r>
        <w:rPr>
          <w:rFonts w:hint="eastAsia" w:ascii="仿宋" w:hAnsi="仿宋" w:eastAsia="仿宋" w:cs="仿宋"/>
          <w:b/>
          <w:bCs/>
          <w:color w:val="auto"/>
          <w:sz w:val="28"/>
          <w:highlight w:val="none"/>
          <w:lang w:eastAsia="zh-CN"/>
        </w:rPr>
        <w:t>。</w:t>
      </w:r>
    </w:p>
    <w:p w14:paraId="1746881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rPr>
        <w:t>根据本项目的特定资格要求:</w:t>
      </w:r>
    </w:p>
    <w:p w14:paraId="67CD2D0F">
      <w:pPr>
        <w:spacing w:line="520" w:lineRule="exact"/>
        <w:ind w:firstLine="28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（1）</w:t>
      </w:r>
      <w:r>
        <w:rPr>
          <w:rFonts w:hint="eastAsia" w:ascii="仿宋" w:hAnsi="仿宋" w:eastAsia="仿宋" w:cs="仿宋"/>
          <w:color w:val="auto"/>
          <w:sz w:val="28"/>
          <w:szCs w:val="28"/>
          <w:highlight w:val="none"/>
          <w:lang w:val="en-US" w:eastAsia="zh-CN"/>
        </w:rPr>
        <w:t>投标人</w:t>
      </w:r>
      <w:r>
        <w:rPr>
          <w:rFonts w:hint="eastAsia" w:ascii="仿宋" w:hAnsi="仿宋" w:eastAsia="仿宋" w:cs="仿宋"/>
          <w:color w:val="auto"/>
          <w:sz w:val="28"/>
          <w:szCs w:val="28"/>
          <w:highlight w:val="none"/>
          <w:lang w:val="zh-CN"/>
        </w:rPr>
        <w:t>所投医疗器械产品必须要有有效期内的</w:t>
      </w:r>
      <w:r>
        <w:rPr>
          <w:rFonts w:hint="eastAsia" w:ascii="仿宋" w:hAnsi="仿宋" w:eastAsia="仿宋" w:cs="Times New Roman"/>
          <w:color w:val="auto"/>
          <w:sz w:val="28"/>
          <w:szCs w:val="28"/>
          <w:highlight w:val="none"/>
          <w:lang w:val="zh-CN"/>
        </w:rPr>
        <w:t>《医疗器械产品注册证》</w:t>
      </w:r>
      <w:r>
        <w:rPr>
          <w:rFonts w:hint="eastAsia" w:ascii="仿宋" w:hAnsi="仿宋" w:eastAsia="仿宋" w:cs="仿宋"/>
          <w:b/>
          <w:bCs/>
          <w:color w:val="auto"/>
          <w:sz w:val="28"/>
          <w:szCs w:val="28"/>
          <w:highlight w:val="none"/>
        </w:rPr>
        <w:t>（扫描件加盖CA电子签章）</w:t>
      </w:r>
      <w:r>
        <w:rPr>
          <w:rFonts w:hint="eastAsia" w:ascii="仿宋" w:hAnsi="仿宋" w:eastAsia="仿宋" w:cs="仿宋"/>
          <w:color w:val="auto"/>
          <w:sz w:val="28"/>
          <w:szCs w:val="28"/>
          <w:highlight w:val="none"/>
          <w:lang w:val="zh-CN"/>
        </w:rPr>
        <w:t>；</w:t>
      </w:r>
    </w:p>
    <w:p w14:paraId="2C0196CB">
      <w:pPr>
        <w:spacing w:line="520" w:lineRule="exact"/>
        <w:ind w:firstLine="280"/>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lang w:val="zh-CN" w:eastAsia="zh-CN"/>
        </w:rPr>
        <w:t>（2）</w:t>
      </w:r>
      <w:r>
        <w:rPr>
          <w:rFonts w:hint="eastAsia" w:ascii="仿宋" w:hAnsi="仿宋" w:eastAsia="仿宋" w:cs="仿宋"/>
          <w:color w:val="auto"/>
          <w:sz w:val="28"/>
          <w:szCs w:val="28"/>
          <w:highlight w:val="none"/>
          <w:lang w:val="en-US" w:eastAsia="zh-CN"/>
        </w:rPr>
        <w:t>投标人若为医疗器械设备制造商须提供有效期内的《医疗器械生产许可证》</w:t>
      </w:r>
      <w:r>
        <w:rPr>
          <w:rFonts w:hint="eastAsia" w:ascii="仿宋" w:hAnsi="仿宋" w:eastAsia="仿宋" w:cs="仿宋"/>
          <w:b/>
          <w:bCs/>
          <w:color w:val="auto"/>
          <w:sz w:val="28"/>
          <w:szCs w:val="28"/>
          <w:highlight w:val="none"/>
          <w:lang w:val="en-US" w:eastAsia="zh-CN"/>
        </w:rPr>
        <w:t>（扫描件加盖CA电子签章）</w:t>
      </w:r>
      <w:r>
        <w:rPr>
          <w:rFonts w:hint="eastAsia" w:ascii="仿宋" w:hAnsi="仿宋" w:eastAsia="仿宋" w:cs="仿宋"/>
          <w:color w:val="auto"/>
          <w:sz w:val="28"/>
          <w:szCs w:val="28"/>
          <w:highlight w:val="none"/>
          <w:lang w:val="en-US" w:eastAsia="zh-CN"/>
        </w:rPr>
        <w:t>；投标人</w:t>
      </w:r>
      <w:r>
        <w:rPr>
          <w:rFonts w:hint="eastAsia" w:ascii="仿宋" w:hAnsi="仿宋" w:eastAsia="仿宋" w:cs="仿宋"/>
          <w:color w:val="auto"/>
          <w:sz w:val="28"/>
          <w:szCs w:val="28"/>
          <w:highlight w:val="none"/>
          <w:lang w:val="zh-CN" w:eastAsia="zh-CN"/>
        </w:rPr>
        <w:t>如所投医疗器械产品非自己制造，须具备有效期内的</w:t>
      </w:r>
      <w:r>
        <w:rPr>
          <w:rFonts w:hint="eastAsia" w:ascii="仿宋" w:hAnsi="仿宋" w:eastAsia="仿宋" w:cs="仿宋"/>
          <w:color w:val="auto"/>
          <w:sz w:val="28"/>
          <w:szCs w:val="28"/>
          <w:highlight w:val="none"/>
          <w:lang w:val="en-US" w:eastAsia="zh-CN"/>
        </w:rPr>
        <w:t>须提供食品药品监督管理部门核发的《医疗器械经营许可证》或《医疗器械经营备案凭证》。</w:t>
      </w:r>
      <w:r>
        <w:rPr>
          <w:rFonts w:hint="eastAsia" w:ascii="仿宋" w:hAnsi="仿宋" w:eastAsia="仿宋" w:cs="仿宋"/>
          <w:b/>
          <w:bCs/>
          <w:color w:val="auto"/>
          <w:sz w:val="28"/>
          <w:szCs w:val="28"/>
          <w:highlight w:val="none"/>
          <w:lang w:val="en-US" w:eastAsia="zh-CN"/>
        </w:rPr>
        <w:t>（扫描件加盖CA电子签章）</w:t>
      </w:r>
      <w:r>
        <w:rPr>
          <w:rFonts w:hint="eastAsia" w:ascii="仿宋" w:hAnsi="仿宋" w:eastAsia="仿宋" w:cs="仿宋"/>
          <w:color w:val="auto"/>
          <w:sz w:val="28"/>
          <w:szCs w:val="28"/>
          <w:highlight w:val="none"/>
          <w:lang w:val="zh-CN" w:eastAsia="zh-CN"/>
        </w:rPr>
        <w:t>。</w:t>
      </w:r>
      <w:bookmarkStart w:id="43" w:name="_GoBack"/>
      <w:bookmarkEnd w:id="43"/>
    </w:p>
    <w:p w14:paraId="6E05BDE4">
      <w:pPr>
        <w:spacing w:line="500" w:lineRule="exact"/>
        <w:ind w:firstLine="280" w:firstLineChars="1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拒绝下述条件的供应商参加本次采购活动:</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val="en-US" w:eastAsia="zh-CN"/>
        </w:rPr>
        <w:t>承诺书格式自拟，原件</w:t>
      </w:r>
      <w:r>
        <w:rPr>
          <w:rFonts w:hint="eastAsia" w:ascii="仿宋" w:hAnsi="仿宋" w:eastAsia="仿宋" w:cs="仿宋"/>
          <w:b/>
          <w:bCs/>
          <w:color w:val="auto"/>
          <w:sz w:val="28"/>
          <w:szCs w:val="28"/>
          <w:highlight w:val="none"/>
        </w:rPr>
        <w:t>加盖CA电子签章）</w:t>
      </w:r>
    </w:p>
    <w:p w14:paraId="3FF9FFAC">
      <w:pPr>
        <w:spacing w:line="50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①</w:t>
      </w:r>
      <w:r>
        <w:rPr>
          <w:rFonts w:hint="eastAsia" w:ascii="仿宋" w:hAnsi="仿宋" w:eastAsia="仿宋" w:cs="仿宋"/>
          <w:color w:val="auto"/>
          <w:sz w:val="28"/>
          <w:szCs w:val="28"/>
          <w:highlight w:val="none"/>
        </w:rPr>
        <w:t>供应商单位负责人为同一人或者存在直接控股、管理关系的不同供应商，不得同时参加同一合同项下的政府采购活动。</w:t>
      </w:r>
    </w:p>
    <w:p w14:paraId="201C6917">
      <w:pPr>
        <w:spacing w:line="500" w:lineRule="exact"/>
        <w:ind w:firstLine="560"/>
        <w:rPr>
          <w:rFonts w:hint="eastAsia" w:ascii="仿宋" w:hAnsi="仿宋" w:eastAsia="仿宋" w:cs="仿宋"/>
          <w:b/>
          <w:i/>
          <w:color w:val="auto"/>
          <w:sz w:val="28"/>
          <w:szCs w:val="28"/>
          <w:highlight w:val="none"/>
        </w:rPr>
      </w:pPr>
      <w:r>
        <w:rPr>
          <w:rFonts w:hint="eastAsia" w:ascii="仿宋" w:hAnsi="仿宋" w:eastAsia="仿宋" w:cs="仿宋"/>
          <w:color w:val="auto"/>
          <w:sz w:val="28"/>
          <w:szCs w:val="28"/>
          <w:highlight w:val="none"/>
          <w:lang w:val="en-US" w:eastAsia="zh-CN"/>
        </w:rPr>
        <w:t>②</w:t>
      </w:r>
      <w:r>
        <w:rPr>
          <w:rFonts w:hint="eastAsia" w:ascii="仿宋" w:hAnsi="仿宋" w:eastAsia="仿宋" w:cs="仿宋"/>
          <w:color w:val="auto"/>
          <w:sz w:val="28"/>
          <w:szCs w:val="28"/>
          <w:highlight w:val="none"/>
        </w:rPr>
        <w:t>凡为采购项目提供整体设计、规范编制或者项目管理、监理、检测等服务的供应商，不得再参加本项目的采购活动。</w:t>
      </w:r>
    </w:p>
    <w:p w14:paraId="28A1005F">
      <w:pPr>
        <w:spacing w:line="50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③</w:t>
      </w:r>
      <w:r>
        <w:rPr>
          <w:rFonts w:hint="eastAsia" w:ascii="仿宋" w:hAnsi="仿宋" w:eastAsia="仿宋" w:cs="仿宋"/>
          <w:color w:val="auto"/>
          <w:sz w:val="28"/>
          <w:szCs w:val="28"/>
          <w:highlight w:val="none"/>
        </w:rPr>
        <w:t>投标人被“信用中国”网站、“中国政府采购网”列入失信被执行人、重大税收违法案件当事人名单、政府采购严重违法失信行为记录名单。</w:t>
      </w:r>
    </w:p>
    <w:p w14:paraId="6B93DEE9">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5、落实政府采购政策需满足的资格要求（提供下列任一项材料即可，</w:t>
      </w:r>
      <w:r>
        <w:rPr>
          <w:rFonts w:hint="eastAsia" w:ascii="仿宋" w:hAnsi="仿宋" w:eastAsia="仿宋" w:cs="仿宋"/>
          <w:color w:val="auto"/>
          <w:sz w:val="28"/>
          <w:szCs w:val="28"/>
          <w:highlight w:val="none"/>
          <w:lang w:val="zh-CN" w:eastAsia="zh-CN"/>
        </w:rPr>
        <w:t>非专门面向中小企业或者预留份额的采购项目，本项无需提供</w:t>
      </w:r>
      <w:r>
        <w:rPr>
          <w:rFonts w:hint="eastAsia" w:ascii="仿宋" w:hAnsi="仿宋" w:eastAsia="仿宋" w:cs="仿宋"/>
          <w:color w:val="auto"/>
          <w:sz w:val="28"/>
          <w:szCs w:val="28"/>
          <w:highlight w:val="none"/>
          <w:lang w:val="en-US" w:eastAsia="zh-CN"/>
        </w:rPr>
        <w:t>）:</w:t>
      </w:r>
    </w:p>
    <w:p w14:paraId="34141051">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（1）企业声明函</w:t>
      </w:r>
      <w:r>
        <w:rPr>
          <w:rFonts w:hint="eastAsia" w:ascii="仿宋" w:hAnsi="仿宋" w:eastAsia="仿宋" w:cs="仿宋"/>
          <w:b/>
          <w:bCs/>
          <w:color w:val="auto"/>
          <w:sz w:val="28"/>
          <w:szCs w:val="28"/>
          <w:highlight w:val="none"/>
          <w:lang w:val="en-US" w:eastAsia="zh-CN"/>
        </w:rPr>
        <w:t>（详见示范格式四）</w:t>
      </w:r>
      <w:r>
        <w:rPr>
          <w:rFonts w:hint="eastAsia" w:ascii="仿宋" w:hAnsi="仿宋" w:eastAsia="仿宋" w:cs="仿宋"/>
          <w:color w:val="auto"/>
          <w:sz w:val="28"/>
          <w:szCs w:val="28"/>
          <w:highlight w:val="none"/>
          <w:lang w:val="en-US" w:eastAsia="zh-CN"/>
        </w:rPr>
        <w:t>；</w:t>
      </w:r>
    </w:p>
    <w:p w14:paraId="240FB466">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（2）《残疾人福利性单位声明函》</w:t>
      </w:r>
      <w:r>
        <w:rPr>
          <w:rFonts w:hint="eastAsia" w:ascii="仿宋" w:hAnsi="仿宋" w:eastAsia="仿宋" w:cs="仿宋"/>
          <w:b/>
          <w:bCs/>
          <w:color w:val="auto"/>
          <w:sz w:val="28"/>
          <w:szCs w:val="28"/>
          <w:highlight w:val="none"/>
          <w:lang w:val="en-US" w:eastAsia="zh-CN"/>
        </w:rPr>
        <w:t>（详见示范格式五）</w:t>
      </w:r>
      <w:r>
        <w:rPr>
          <w:rFonts w:hint="eastAsia" w:ascii="仿宋" w:hAnsi="仿宋" w:eastAsia="仿宋" w:cs="仿宋"/>
          <w:color w:val="auto"/>
          <w:sz w:val="28"/>
          <w:szCs w:val="28"/>
          <w:highlight w:val="none"/>
          <w:lang w:val="en-US" w:eastAsia="zh-CN"/>
        </w:rPr>
        <w:t>；</w:t>
      </w:r>
    </w:p>
    <w:p w14:paraId="2DB1859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（3）由省级以上监狱管理局、戒毒管理局（含新疆生产建设兵团）</w:t>
      </w:r>
      <w:r>
        <w:rPr>
          <w:rFonts w:hint="eastAsia" w:ascii="仿宋" w:hAnsi="仿宋" w:eastAsia="仿宋" w:cs="仿宋"/>
          <w:color w:val="auto"/>
          <w:sz w:val="28"/>
          <w:szCs w:val="28"/>
          <w:highlight w:val="none"/>
        </w:rPr>
        <w:t>出具的属于监狱企业的证明文件）</w:t>
      </w:r>
      <w:r>
        <w:rPr>
          <w:rFonts w:hint="eastAsia" w:ascii="仿宋" w:hAnsi="仿宋" w:eastAsia="仿宋" w:cs="仿宋"/>
          <w:b/>
          <w:bCs/>
          <w:color w:val="auto"/>
          <w:sz w:val="28"/>
          <w:szCs w:val="28"/>
          <w:highlight w:val="none"/>
        </w:rPr>
        <w:t>（加盖出具单位公章的电子件）</w:t>
      </w:r>
      <w:r>
        <w:rPr>
          <w:rFonts w:hint="eastAsia" w:ascii="仿宋" w:hAnsi="仿宋" w:eastAsia="仿宋" w:cs="仿宋"/>
          <w:color w:val="auto"/>
          <w:sz w:val="28"/>
          <w:szCs w:val="28"/>
          <w:highlight w:val="none"/>
        </w:rPr>
        <w:t>。</w:t>
      </w:r>
    </w:p>
    <w:p w14:paraId="33A705A8">
      <w:pPr>
        <w:spacing w:line="440" w:lineRule="exact"/>
        <w:ind w:firstLine="157"/>
        <w:rPr>
          <w:rFonts w:hint="eastAsia" w:ascii="仿宋" w:hAnsi="仿宋" w:eastAsia="仿宋" w:cs="仿宋"/>
          <w:b/>
          <w:bCs/>
          <w:color w:val="auto"/>
          <w:sz w:val="32"/>
          <w:szCs w:val="32"/>
          <w:highlight w:val="none"/>
        </w:rPr>
      </w:pPr>
    </w:p>
    <w:p w14:paraId="79D2D9A0">
      <w:pPr>
        <w:spacing w:line="520" w:lineRule="exact"/>
        <w:jc w:val="center"/>
        <w:rPr>
          <w:rFonts w:hint="eastAsia" w:ascii="仿宋" w:hAnsi="仿宋" w:eastAsia="仿宋" w:cs="仿宋"/>
          <w:b/>
          <w:bCs/>
          <w:color w:val="auto"/>
          <w:sz w:val="32"/>
          <w:highlight w:val="none"/>
        </w:rPr>
      </w:pPr>
      <w:r>
        <w:rPr>
          <w:rFonts w:hint="eastAsia" w:ascii="仿宋" w:hAnsi="仿宋" w:eastAsia="仿宋" w:cs="仿宋"/>
          <w:b/>
          <w:bCs/>
          <w:color w:val="auto"/>
          <w:sz w:val="28"/>
          <w:szCs w:val="28"/>
          <w:highlight w:val="none"/>
          <w:lang w:val="zh-CN"/>
        </w:rPr>
        <w:br w:type="page" w:clear="all"/>
      </w:r>
      <w:bookmarkStart w:id="42" w:name="_Toc157775454"/>
      <w:r>
        <w:rPr>
          <w:rFonts w:hint="eastAsia" w:ascii="仿宋" w:hAnsi="仿宋" w:eastAsia="仿宋" w:cs="仿宋"/>
          <w:b/>
          <w:bCs/>
          <w:color w:val="auto"/>
          <w:sz w:val="28"/>
          <w:szCs w:val="28"/>
          <w:highlight w:val="none"/>
          <w:lang w:val="en-US" w:eastAsia="zh-CN"/>
        </w:rPr>
        <w:t>六</w:t>
      </w:r>
      <w:r>
        <w:rPr>
          <w:rFonts w:hint="eastAsia" w:ascii="仿宋" w:hAnsi="仿宋" w:eastAsia="仿宋" w:cs="仿宋"/>
          <w:b/>
          <w:bCs/>
          <w:color w:val="auto"/>
          <w:sz w:val="32"/>
          <w:highlight w:val="none"/>
        </w:rPr>
        <w:t>、综合评分时投标人需提供的证明文件</w:t>
      </w:r>
    </w:p>
    <w:p w14:paraId="1A5E467A">
      <w:pPr>
        <w:spacing w:line="52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（供应商根据第三章评标标准的要求提供相关材料）</w:t>
      </w:r>
    </w:p>
    <w:p w14:paraId="113F9A9C">
      <w:pPr>
        <w:spacing w:line="440" w:lineRule="exact"/>
        <w:ind w:firstLine="2877"/>
        <w:rPr>
          <w:rFonts w:hint="eastAsia" w:ascii="仿宋" w:hAnsi="仿宋" w:eastAsia="仿宋" w:cs="仿宋"/>
          <w:b/>
          <w:color w:val="auto"/>
          <w:sz w:val="36"/>
          <w:highlight w:val="none"/>
        </w:rPr>
      </w:pPr>
    </w:p>
    <w:p w14:paraId="2BC872C5">
      <w:pPr>
        <w:spacing w:line="440" w:lineRule="exact"/>
        <w:ind w:firstLine="2877"/>
        <w:rPr>
          <w:rFonts w:hint="eastAsia" w:ascii="仿宋" w:hAnsi="仿宋" w:eastAsia="仿宋" w:cs="仿宋"/>
          <w:b/>
          <w:color w:val="auto"/>
          <w:sz w:val="36"/>
          <w:highlight w:val="none"/>
        </w:rPr>
      </w:pPr>
    </w:p>
    <w:p w14:paraId="7B2AA4F0">
      <w:pPr>
        <w:spacing w:line="440" w:lineRule="exact"/>
        <w:ind w:firstLine="2877"/>
        <w:rPr>
          <w:rFonts w:hint="eastAsia" w:ascii="仿宋" w:hAnsi="仿宋" w:eastAsia="仿宋" w:cs="仿宋"/>
          <w:b/>
          <w:color w:val="auto"/>
          <w:sz w:val="36"/>
          <w:highlight w:val="none"/>
        </w:rPr>
      </w:pPr>
    </w:p>
    <w:p w14:paraId="56E30DCC">
      <w:pPr>
        <w:spacing w:line="440" w:lineRule="exact"/>
        <w:ind w:firstLine="2877"/>
        <w:rPr>
          <w:rFonts w:hint="eastAsia" w:ascii="仿宋" w:hAnsi="仿宋" w:eastAsia="仿宋" w:cs="仿宋"/>
          <w:b/>
          <w:color w:val="auto"/>
          <w:sz w:val="36"/>
          <w:highlight w:val="none"/>
        </w:rPr>
      </w:pPr>
    </w:p>
    <w:p w14:paraId="2A1EDAF4">
      <w:pPr>
        <w:spacing w:line="440" w:lineRule="exact"/>
        <w:ind w:firstLine="2877"/>
        <w:rPr>
          <w:rFonts w:hint="eastAsia" w:ascii="仿宋" w:hAnsi="仿宋" w:eastAsia="仿宋" w:cs="仿宋"/>
          <w:b/>
          <w:color w:val="auto"/>
          <w:sz w:val="36"/>
          <w:highlight w:val="none"/>
        </w:rPr>
      </w:pPr>
    </w:p>
    <w:p w14:paraId="69A6BDCA">
      <w:pPr>
        <w:spacing w:line="440" w:lineRule="exact"/>
        <w:ind w:firstLine="2877"/>
        <w:rPr>
          <w:rFonts w:hint="eastAsia" w:ascii="仿宋" w:hAnsi="仿宋" w:eastAsia="仿宋" w:cs="仿宋"/>
          <w:b/>
          <w:color w:val="auto"/>
          <w:sz w:val="36"/>
          <w:highlight w:val="none"/>
        </w:rPr>
      </w:pPr>
    </w:p>
    <w:p w14:paraId="01CDD98B">
      <w:pPr>
        <w:spacing w:line="440" w:lineRule="exact"/>
        <w:ind w:firstLine="2877"/>
        <w:rPr>
          <w:rFonts w:hint="eastAsia" w:ascii="仿宋" w:hAnsi="仿宋" w:eastAsia="仿宋" w:cs="仿宋"/>
          <w:b/>
          <w:color w:val="auto"/>
          <w:sz w:val="36"/>
          <w:highlight w:val="none"/>
        </w:rPr>
      </w:pPr>
    </w:p>
    <w:p w14:paraId="75C3638F">
      <w:pPr>
        <w:spacing w:line="440" w:lineRule="exact"/>
        <w:ind w:firstLine="2877"/>
        <w:rPr>
          <w:rFonts w:hint="eastAsia" w:ascii="仿宋" w:hAnsi="仿宋" w:eastAsia="仿宋" w:cs="仿宋"/>
          <w:b/>
          <w:color w:val="auto"/>
          <w:sz w:val="36"/>
          <w:highlight w:val="none"/>
        </w:rPr>
      </w:pPr>
    </w:p>
    <w:p w14:paraId="51EAE8C2">
      <w:pPr>
        <w:spacing w:line="440" w:lineRule="exact"/>
        <w:ind w:firstLine="2877"/>
        <w:rPr>
          <w:rFonts w:hint="eastAsia" w:ascii="仿宋" w:hAnsi="仿宋" w:eastAsia="仿宋" w:cs="仿宋"/>
          <w:b/>
          <w:color w:val="auto"/>
          <w:sz w:val="36"/>
          <w:highlight w:val="none"/>
        </w:rPr>
      </w:pPr>
    </w:p>
    <w:p w14:paraId="6D7274AB">
      <w:pPr>
        <w:spacing w:line="440" w:lineRule="exact"/>
        <w:ind w:firstLine="2877"/>
        <w:rPr>
          <w:rFonts w:hint="eastAsia" w:ascii="仿宋" w:hAnsi="仿宋" w:eastAsia="仿宋" w:cs="仿宋"/>
          <w:b/>
          <w:color w:val="auto"/>
          <w:sz w:val="36"/>
          <w:highlight w:val="none"/>
        </w:rPr>
      </w:pPr>
    </w:p>
    <w:p w14:paraId="55BE9B69">
      <w:pPr>
        <w:spacing w:line="440" w:lineRule="exact"/>
        <w:ind w:firstLine="2877"/>
        <w:rPr>
          <w:rFonts w:hint="eastAsia" w:ascii="仿宋" w:hAnsi="仿宋" w:eastAsia="仿宋" w:cs="仿宋"/>
          <w:b/>
          <w:color w:val="auto"/>
          <w:sz w:val="36"/>
          <w:highlight w:val="none"/>
        </w:rPr>
      </w:pPr>
    </w:p>
    <w:p w14:paraId="62785609">
      <w:pPr>
        <w:spacing w:line="440" w:lineRule="exact"/>
        <w:ind w:firstLine="2877"/>
        <w:rPr>
          <w:rFonts w:hint="eastAsia" w:ascii="仿宋" w:hAnsi="仿宋" w:eastAsia="仿宋" w:cs="仿宋"/>
          <w:b/>
          <w:color w:val="auto"/>
          <w:sz w:val="36"/>
          <w:highlight w:val="none"/>
        </w:rPr>
      </w:pPr>
    </w:p>
    <w:p w14:paraId="5211ADFD">
      <w:pPr>
        <w:spacing w:line="440" w:lineRule="exact"/>
        <w:ind w:firstLine="2877"/>
        <w:rPr>
          <w:rFonts w:hint="eastAsia" w:ascii="仿宋" w:hAnsi="仿宋" w:eastAsia="仿宋" w:cs="仿宋"/>
          <w:b/>
          <w:color w:val="auto"/>
          <w:sz w:val="36"/>
          <w:highlight w:val="none"/>
        </w:rPr>
      </w:pPr>
    </w:p>
    <w:p w14:paraId="1DA741B5">
      <w:pPr>
        <w:spacing w:line="440" w:lineRule="exact"/>
        <w:ind w:firstLine="2877"/>
        <w:rPr>
          <w:rFonts w:hint="eastAsia" w:ascii="仿宋" w:hAnsi="仿宋" w:eastAsia="仿宋" w:cs="仿宋"/>
          <w:b/>
          <w:color w:val="auto"/>
          <w:sz w:val="36"/>
          <w:highlight w:val="none"/>
        </w:rPr>
      </w:pPr>
    </w:p>
    <w:p w14:paraId="37953ECB">
      <w:pPr>
        <w:spacing w:line="440" w:lineRule="exact"/>
        <w:ind w:firstLine="2877"/>
        <w:rPr>
          <w:rFonts w:hint="eastAsia" w:ascii="仿宋" w:hAnsi="仿宋" w:eastAsia="仿宋" w:cs="仿宋"/>
          <w:b/>
          <w:color w:val="auto"/>
          <w:sz w:val="36"/>
          <w:highlight w:val="none"/>
        </w:rPr>
      </w:pPr>
    </w:p>
    <w:p w14:paraId="1A96C52F">
      <w:pPr>
        <w:spacing w:line="440" w:lineRule="exact"/>
        <w:ind w:firstLine="2877"/>
        <w:rPr>
          <w:rFonts w:hint="eastAsia" w:ascii="仿宋" w:hAnsi="仿宋" w:eastAsia="仿宋" w:cs="仿宋"/>
          <w:b/>
          <w:color w:val="auto"/>
          <w:sz w:val="36"/>
          <w:highlight w:val="none"/>
        </w:rPr>
      </w:pPr>
    </w:p>
    <w:p w14:paraId="6CD6D73B">
      <w:pPr>
        <w:spacing w:line="440" w:lineRule="exact"/>
        <w:ind w:firstLine="2877"/>
        <w:rPr>
          <w:rFonts w:hint="eastAsia" w:ascii="仿宋" w:hAnsi="仿宋" w:eastAsia="仿宋" w:cs="仿宋"/>
          <w:b/>
          <w:color w:val="auto"/>
          <w:sz w:val="36"/>
          <w:highlight w:val="none"/>
        </w:rPr>
      </w:pPr>
    </w:p>
    <w:p w14:paraId="36DBD049">
      <w:pPr>
        <w:spacing w:line="440" w:lineRule="exact"/>
        <w:ind w:firstLine="2877"/>
        <w:rPr>
          <w:rFonts w:hint="eastAsia" w:ascii="仿宋" w:hAnsi="仿宋" w:eastAsia="仿宋" w:cs="仿宋"/>
          <w:b/>
          <w:color w:val="auto"/>
          <w:sz w:val="36"/>
          <w:highlight w:val="none"/>
        </w:rPr>
      </w:pPr>
    </w:p>
    <w:p w14:paraId="301C96D4">
      <w:pPr>
        <w:spacing w:line="440" w:lineRule="exact"/>
        <w:ind w:firstLine="2877"/>
        <w:rPr>
          <w:rFonts w:hint="eastAsia" w:ascii="仿宋" w:hAnsi="仿宋" w:eastAsia="仿宋" w:cs="仿宋"/>
          <w:b/>
          <w:color w:val="auto"/>
          <w:sz w:val="36"/>
          <w:highlight w:val="none"/>
        </w:rPr>
      </w:pPr>
    </w:p>
    <w:p w14:paraId="4745C5A6">
      <w:pPr>
        <w:spacing w:line="440" w:lineRule="exact"/>
        <w:ind w:firstLine="2877"/>
        <w:rPr>
          <w:rFonts w:hint="eastAsia" w:ascii="仿宋" w:hAnsi="仿宋" w:eastAsia="仿宋" w:cs="仿宋"/>
          <w:b/>
          <w:color w:val="auto"/>
          <w:sz w:val="36"/>
          <w:highlight w:val="none"/>
        </w:rPr>
      </w:pPr>
    </w:p>
    <w:p w14:paraId="40050677">
      <w:pPr>
        <w:spacing w:line="440" w:lineRule="exact"/>
        <w:ind w:firstLine="2877"/>
        <w:rPr>
          <w:rFonts w:hint="eastAsia" w:ascii="仿宋" w:hAnsi="仿宋" w:eastAsia="仿宋" w:cs="仿宋"/>
          <w:b/>
          <w:color w:val="auto"/>
          <w:sz w:val="36"/>
          <w:highlight w:val="none"/>
        </w:rPr>
      </w:pPr>
    </w:p>
    <w:p w14:paraId="7D918D4D">
      <w:pPr>
        <w:spacing w:line="440" w:lineRule="exact"/>
        <w:ind w:firstLine="2877"/>
        <w:rPr>
          <w:rFonts w:hint="eastAsia" w:ascii="仿宋" w:hAnsi="仿宋" w:eastAsia="仿宋" w:cs="仿宋"/>
          <w:b/>
          <w:color w:val="auto"/>
          <w:sz w:val="36"/>
          <w:highlight w:val="none"/>
        </w:rPr>
      </w:pPr>
    </w:p>
    <w:p w14:paraId="422E6B86">
      <w:pPr>
        <w:spacing w:line="440" w:lineRule="exact"/>
        <w:ind w:firstLine="2877"/>
        <w:rPr>
          <w:rFonts w:hint="eastAsia" w:ascii="仿宋" w:hAnsi="仿宋" w:eastAsia="仿宋" w:cs="仿宋"/>
          <w:b/>
          <w:color w:val="auto"/>
          <w:sz w:val="36"/>
          <w:highlight w:val="none"/>
        </w:rPr>
      </w:pPr>
    </w:p>
    <w:p w14:paraId="79829A30">
      <w:pPr>
        <w:spacing w:line="440" w:lineRule="exact"/>
        <w:ind w:firstLine="2877"/>
        <w:rPr>
          <w:rFonts w:hint="eastAsia" w:ascii="仿宋" w:hAnsi="仿宋" w:eastAsia="仿宋" w:cs="仿宋"/>
          <w:b/>
          <w:color w:val="auto"/>
          <w:sz w:val="36"/>
          <w:highlight w:val="none"/>
        </w:rPr>
      </w:pPr>
    </w:p>
    <w:p w14:paraId="0D0852CE">
      <w:pPr>
        <w:spacing w:line="440" w:lineRule="exact"/>
        <w:ind w:firstLine="2877"/>
        <w:rPr>
          <w:rFonts w:hint="eastAsia" w:ascii="仿宋" w:hAnsi="仿宋" w:eastAsia="仿宋" w:cs="仿宋"/>
          <w:b/>
          <w:color w:val="auto"/>
          <w:sz w:val="36"/>
          <w:highlight w:val="none"/>
        </w:rPr>
      </w:pPr>
    </w:p>
    <w:p w14:paraId="3B62E6C2">
      <w:pPr>
        <w:spacing w:line="440" w:lineRule="exact"/>
        <w:ind w:firstLine="2877"/>
        <w:rPr>
          <w:rFonts w:hint="eastAsia" w:ascii="仿宋" w:hAnsi="仿宋" w:eastAsia="仿宋" w:cs="仿宋"/>
          <w:b/>
          <w:color w:val="auto"/>
          <w:sz w:val="36"/>
          <w:highlight w:val="none"/>
        </w:rPr>
      </w:pPr>
    </w:p>
    <w:p w14:paraId="4B34FC2E">
      <w:pPr>
        <w:spacing w:line="440" w:lineRule="exact"/>
        <w:ind w:firstLine="2877"/>
        <w:rPr>
          <w:rFonts w:hint="eastAsia" w:ascii="仿宋" w:hAnsi="仿宋" w:eastAsia="仿宋" w:cs="仿宋"/>
          <w:b/>
          <w:color w:val="auto"/>
          <w:sz w:val="36"/>
          <w:highlight w:val="none"/>
        </w:rPr>
      </w:pPr>
    </w:p>
    <w:p w14:paraId="04AC0D27">
      <w:pPr>
        <w:spacing w:line="440" w:lineRule="exact"/>
        <w:ind w:firstLine="2877"/>
        <w:rPr>
          <w:rFonts w:hint="eastAsia" w:ascii="仿宋" w:hAnsi="仿宋" w:eastAsia="仿宋" w:cs="仿宋"/>
          <w:b/>
          <w:color w:val="auto"/>
          <w:sz w:val="36"/>
          <w:highlight w:val="none"/>
        </w:rPr>
      </w:pPr>
    </w:p>
    <w:p w14:paraId="4FDC5325">
      <w:pPr>
        <w:spacing w:line="440" w:lineRule="exact"/>
        <w:ind w:firstLine="2877"/>
        <w:rPr>
          <w:rFonts w:hint="eastAsia" w:ascii="仿宋" w:hAnsi="仿宋" w:eastAsia="仿宋" w:cs="仿宋"/>
          <w:b/>
          <w:color w:val="auto"/>
          <w:sz w:val="36"/>
          <w:highlight w:val="none"/>
        </w:rPr>
      </w:pPr>
    </w:p>
    <w:p w14:paraId="461C28CD">
      <w:pPr>
        <w:spacing w:line="440" w:lineRule="exact"/>
        <w:jc w:val="center"/>
        <w:outlineLvl w:val="0"/>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en-US" w:eastAsia="zh-CN"/>
        </w:rPr>
        <w:t>七</w:t>
      </w:r>
      <w:r>
        <w:rPr>
          <w:rFonts w:hint="eastAsia" w:ascii="仿宋" w:hAnsi="仿宋" w:eastAsia="仿宋" w:cs="仿宋"/>
          <w:b/>
          <w:color w:val="auto"/>
          <w:sz w:val="32"/>
          <w:szCs w:val="32"/>
          <w:highlight w:val="none"/>
        </w:rPr>
        <w:t>、示范格式</w:t>
      </w:r>
    </w:p>
    <w:p w14:paraId="05F9DBEC">
      <w:pPr>
        <w:spacing w:line="4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示范格式一                 </w:t>
      </w:r>
      <w:bookmarkEnd w:id="42"/>
    </w:p>
    <w:p w14:paraId="574A90A3">
      <w:pPr>
        <w:spacing w:line="440" w:lineRule="exact"/>
        <w:ind w:firstLine="2570"/>
        <w:rPr>
          <w:rFonts w:hint="eastAsia" w:ascii="仿宋" w:hAnsi="仿宋" w:eastAsia="仿宋" w:cs="仿宋"/>
          <w:b/>
          <w:bCs/>
          <w:color w:val="auto"/>
          <w:sz w:val="32"/>
          <w:highlight w:val="none"/>
        </w:rPr>
      </w:pPr>
    </w:p>
    <w:p w14:paraId="093D3F4B">
      <w:pPr>
        <w:spacing w:line="640" w:lineRule="exact"/>
        <w:ind w:firstLine="2891"/>
        <w:outlineLvl w:val="0"/>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法定代表人资格证明</w:t>
      </w:r>
    </w:p>
    <w:p w14:paraId="47A4DC0A">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单位名称:</w:t>
      </w:r>
    </w:p>
    <w:p w14:paraId="601CC7D6">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地址:</w:t>
      </w:r>
    </w:p>
    <w:p w14:paraId="5C948A7C">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姓名:     性别:      年龄:      职务:</w:t>
      </w:r>
    </w:p>
    <w:p w14:paraId="72916CC4">
      <w:pPr>
        <w:spacing w:line="640" w:lineRule="exact"/>
        <w:ind w:left="1" w:firstLine="560"/>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lang w:val="zh-CN"/>
        </w:rPr>
        <w:t>系</w:t>
      </w:r>
      <w:r>
        <w:rPr>
          <w:rFonts w:hint="eastAsia" w:ascii="仿宋" w:hAnsi="仿宋" w:eastAsia="仿宋" w:cs="仿宋"/>
          <w:color w:val="auto"/>
          <w:sz w:val="28"/>
          <w:szCs w:val="28"/>
          <w:highlight w:val="none"/>
          <w:u w:val="single"/>
          <w:lang w:val="zh-CN"/>
        </w:rPr>
        <w:t xml:space="preserve"> （投标人单位名称）</w:t>
      </w:r>
      <w:r>
        <w:rPr>
          <w:rFonts w:hint="eastAsia" w:ascii="仿宋" w:hAnsi="仿宋" w:eastAsia="仿宋" w:cs="仿宋"/>
          <w:color w:val="auto"/>
          <w:sz w:val="28"/>
          <w:szCs w:val="28"/>
          <w:highlight w:val="none"/>
          <w:lang w:val="zh-CN"/>
        </w:rPr>
        <w:t>的法定代表人。</w:t>
      </w:r>
      <w:r>
        <w:rPr>
          <w:rFonts w:hint="eastAsia" w:ascii="仿宋" w:hAnsi="仿宋" w:eastAsia="仿宋" w:cs="仿宋"/>
          <w:color w:val="auto"/>
          <w:sz w:val="28"/>
          <w:highlight w:val="none"/>
        </w:rPr>
        <w:t>为参与</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项目，签署上述项目的投标文件、进行招标、签署合同和处理与之有关的一切事务。</w:t>
      </w:r>
    </w:p>
    <w:p w14:paraId="60D54028">
      <w:pPr>
        <w:spacing w:line="640" w:lineRule="exact"/>
        <w:ind w:firstLine="280"/>
        <w:rPr>
          <w:rFonts w:hint="eastAsia" w:ascii="仿宋" w:hAnsi="仿宋" w:eastAsia="仿宋" w:cs="仿宋"/>
          <w:color w:val="auto"/>
          <w:sz w:val="28"/>
          <w:szCs w:val="28"/>
          <w:highlight w:val="none"/>
        </w:rPr>
      </w:pPr>
    </w:p>
    <w:p w14:paraId="718EDCE0">
      <w:pPr>
        <w:spacing w:line="640" w:lineRule="exact"/>
        <w:rPr>
          <w:rFonts w:hint="eastAsia" w:ascii="仿宋" w:hAnsi="仿宋" w:eastAsia="仿宋" w:cs="仿宋"/>
          <w:color w:val="auto"/>
          <w:sz w:val="28"/>
          <w:szCs w:val="28"/>
          <w:highlight w:val="none"/>
          <w:lang w:val="zh-CN"/>
        </w:rPr>
      </w:pPr>
    </w:p>
    <w:p w14:paraId="72A7A72D">
      <w:pPr>
        <w:spacing w:line="640" w:lineRule="exact"/>
        <w:ind w:firstLine="280"/>
        <w:outlineLvl w:val="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特此证明。</w:t>
      </w:r>
    </w:p>
    <w:p w14:paraId="690F1144">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p>
    <w:p w14:paraId="2AB977D9">
      <w:pPr>
        <w:spacing w:line="640" w:lineRule="exact"/>
        <w:jc w:val="center"/>
        <w:outlineLvl w:val="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投标人:</w:t>
      </w:r>
      <w:r>
        <w:rPr>
          <w:rFonts w:hint="eastAsia" w:ascii="仿宋" w:hAnsi="仿宋" w:eastAsia="仿宋" w:cs="仿宋"/>
          <w:color w:val="auto"/>
          <w:sz w:val="28"/>
          <w:szCs w:val="28"/>
          <w:highlight w:val="none"/>
          <w:u w:val="single"/>
          <w:lang w:val="zh-CN"/>
        </w:rPr>
        <w:t xml:space="preserve">    （电子签章）     </w:t>
      </w:r>
    </w:p>
    <w:p w14:paraId="7F326374">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日</w:t>
      </w:r>
    </w:p>
    <w:p w14:paraId="2DB15E81">
      <w:pPr>
        <w:pStyle w:val="279"/>
        <w:spacing w:before="0" w:after="0" w:line="520" w:lineRule="exact"/>
        <w:ind w:left="4760" w:right="560" w:hanging="1820"/>
        <w:rPr>
          <w:rFonts w:hint="eastAsia" w:ascii="仿宋" w:hAnsi="仿宋" w:eastAsia="仿宋" w:cs="仿宋"/>
          <w:color w:val="auto"/>
          <w:sz w:val="28"/>
          <w:szCs w:val="28"/>
          <w:highlight w:val="none"/>
          <w:lang w:val="zh-CN"/>
        </w:rPr>
      </w:pPr>
    </w:p>
    <w:p w14:paraId="406933BE">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p>
    <w:p w14:paraId="082A45A8">
      <w:pPr>
        <w:spacing w:line="64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highlight w:val="none"/>
        </w:rPr>
        <w:t>注:投标人法定代表人</w:t>
      </w:r>
      <w:r>
        <w:rPr>
          <w:rFonts w:hint="eastAsia" w:ascii="仿宋" w:hAnsi="仿宋" w:eastAsia="仿宋" w:cs="仿宋"/>
          <w:bCs/>
          <w:color w:val="auto"/>
          <w:sz w:val="28"/>
          <w:szCs w:val="28"/>
          <w:highlight w:val="none"/>
        </w:rPr>
        <w:t>参加投标的，必须附</w:t>
      </w:r>
      <w:r>
        <w:rPr>
          <w:rFonts w:hint="eastAsia" w:ascii="仿宋" w:hAnsi="仿宋" w:eastAsia="仿宋" w:cs="仿宋"/>
          <w:bCs/>
          <w:color w:val="auto"/>
          <w:sz w:val="28"/>
          <w:highlight w:val="none"/>
        </w:rPr>
        <w:t>法定代表人</w:t>
      </w:r>
      <w:r>
        <w:rPr>
          <w:rFonts w:hint="eastAsia" w:ascii="仿宋" w:hAnsi="仿宋" w:eastAsia="仿宋" w:cs="仿宋"/>
          <w:bCs/>
          <w:color w:val="auto"/>
          <w:sz w:val="28"/>
          <w:szCs w:val="28"/>
          <w:highlight w:val="none"/>
        </w:rPr>
        <w:t>身份证扫描件加盖投标人电子签章。</w:t>
      </w:r>
      <w:r>
        <w:rPr>
          <w:rFonts w:hint="eastAsia" w:ascii="仿宋" w:hAnsi="仿宋" w:eastAsia="仿宋" w:cs="仿宋"/>
          <w:color w:val="auto"/>
          <w:sz w:val="28"/>
          <w:szCs w:val="28"/>
          <w:highlight w:val="none"/>
        </w:rPr>
        <w:t>法定代表人授权其他人参加投标的，仅需填写“授权委托书”。</w:t>
      </w:r>
    </w:p>
    <w:p w14:paraId="368FA4A8">
      <w:pPr>
        <w:spacing w:line="640" w:lineRule="exact"/>
        <w:ind w:left="-359" w:firstLine="357"/>
        <w:rPr>
          <w:rFonts w:hint="eastAsia" w:ascii="仿宋" w:hAnsi="仿宋" w:eastAsia="仿宋" w:cs="仿宋"/>
          <w:b/>
          <w:color w:val="auto"/>
          <w:sz w:val="32"/>
          <w:highlight w:val="none"/>
        </w:rPr>
      </w:pPr>
    </w:p>
    <w:p w14:paraId="1D6FEEB5">
      <w:pPr>
        <w:spacing w:line="640" w:lineRule="exact"/>
        <w:ind w:left="-359" w:firstLine="357"/>
        <w:rPr>
          <w:rFonts w:hint="eastAsia" w:ascii="仿宋" w:hAnsi="仿宋" w:eastAsia="仿宋" w:cs="仿宋"/>
          <w:b/>
          <w:color w:val="auto"/>
          <w:sz w:val="32"/>
          <w:highlight w:val="none"/>
        </w:rPr>
      </w:pPr>
    </w:p>
    <w:p w14:paraId="42B21A1B">
      <w:pPr>
        <w:spacing w:line="640" w:lineRule="exact"/>
        <w:ind w:left="-359" w:firstLine="357"/>
        <w:rPr>
          <w:rFonts w:hint="eastAsia" w:ascii="仿宋" w:hAnsi="仿宋" w:eastAsia="仿宋" w:cs="仿宋"/>
          <w:b/>
          <w:color w:val="auto"/>
          <w:sz w:val="32"/>
          <w:highlight w:val="none"/>
        </w:rPr>
      </w:pPr>
    </w:p>
    <w:p w14:paraId="2A8CB3D3">
      <w:pPr>
        <w:spacing w:line="640" w:lineRule="exact"/>
        <w:ind w:left="-359" w:firstLine="357"/>
        <w:rPr>
          <w:rFonts w:hint="eastAsia" w:ascii="仿宋" w:hAnsi="仿宋" w:eastAsia="仿宋" w:cs="仿宋"/>
          <w:b/>
          <w:color w:val="auto"/>
          <w:sz w:val="28"/>
          <w:szCs w:val="28"/>
          <w:highlight w:val="none"/>
        </w:rPr>
      </w:pPr>
      <w:r>
        <w:rPr>
          <w:rFonts w:hint="eastAsia" w:ascii="仿宋" w:hAnsi="仿宋" w:eastAsia="仿宋" w:cs="仿宋"/>
          <w:b/>
          <w:color w:val="auto"/>
          <w:sz w:val="32"/>
          <w:highlight w:val="none"/>
        </w:rPr>
        <w:t>示范格式二</w:t>
      </w:r>
    </w:p>
    <w:p w14:paraId="637F0B2C">
      <w:pPr>
        <w:spacing w:line="520" w:lineRule="exact"/>
        <w:ind w:firstLine="3213"/>
        <w:rPr>
          <w:rFonts w:hint="eastAsia" w:ascii="仿宋" w:hAnsi="仿宋" w:eastAsia="仿宋" w:cs="仿宋"/>
          <w:b/>
          <w:bCs/>
          <w:color w:val="auto"/>
          <w:sz w:val="28"/>
          <w:highlight w:val="none"/>
        </w:rPr>
      </w:pPr>
      <w:r>
        <w:rPr>
          <w:rFonts w:hint="eastAsia" w:ascii="仿宋" w:hAnsi="仿宋" w:eastAsia="仿宋" w:cs="仿宋"/>
          <w:b/>
          <w:bCs/>
          <w:color w:val="auto"/>
          <w:sz w:val="32"/>
          <w:highlight w:val="none"/>
        </w:rPr>
        <w:t>授权委托书</w:t>
      </w:r>
    </w:p>
    <w:p w14:paraId="3BE56232">
      <w:pPr>
        <w:spacing w:line="520" w:lineRule="exact"/>
        <w:rPr>
          <w:rFonts w:hint="eastAsia" w:ascii="仿宋" w:hAnsi="仿宋" w:eastAsia="仿宋" w:cs="仿宋"/>
          <w:bCs/>
          <w:color w:val="auto"/>
          <w:sz w:val="30"/>
          <w:szCs w:val="28"/>
          <w:highlight w:val="none"/>
        </w:rPr>
      </w:pPr>
      <w:r>
        <w:rPr>
          <w:rFonts w:hint="eastAsia" w:ascii="仿宋" w:hAnsi="仿宋" w:eastAsia="仿宋" w:cs="仿宋"/>
          <w:bCs/>
          <w:color w:val="auto"/>
          <w:sz w:val="30"/>
          <w:szCs w:val="28"/>
          <w:highlight w:val="none"/>
        </w:rPr>
        <w:t>致</w:t>
      </w:r>
      <w:r>
        <w:rPr>
          <w:rFonts w:hint="eastAsia" w:ascii="仿宋" w:hAnsi="仿宋" w:eastAsia="仿宋" w:cs="仿宋"/>
          <w:bCs/>
          <w:color w:val="auto"/>
          <w:sz w:val="30"/>
          <w:szCs w:val="28"/>
          <w:highlight w:val="none"/>
          <w:lang w:eastAsia="zh-CN"/>
        </w:rPr>
        <w:t>淮安市清江浦区城南街道社区卫生服务中心</w:t>
      </w:r>
      <w:r>
        <w:rPr>
          <w:rFonts w:hint="eastAsia" w:ascii="仿宋" w:hAnsi="仿宋" w:eastAsia="仿宋" w:cs="仿宋"/>
          <w:bCs/>
          <w:color w:val="auto"/>
          <w:sz w:val="30"/>
          <w:szCs w:val="28"/>
          <w:highlight w:val="none"/>
        </w:rPr>
        <w:t>:</w:t>
      </w:r>
    </w:p>
    <w:p w14:paraId="169EB4DC">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本授权书宣告:</w:t>
      </w:r>
    </w:p>
    <w:p w14:paraId="1D4E88D5">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u w:val="single"/>
        </w:rPr>
        <w:t xml:space="preserve">            </w:t>
      </w:r>
    </w:p>
    <w:p w14:paraId="05644782">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法定代表人:</w:t>
      </w:r>
      <w:r>
        <w:rPr>
          <w:rFonts w:hint="eastAsia" w:ascii="仿宋" w:hAnsi="仿宋" w:eastAsia="仿宋" w:cs="仿宋"/>
          <w:color w:val="auto"/>
          <w:sz w:val="28"/>
          <w:szCs w:val="28"/>
          <w:highlight w:val="none"/>
          <w:u w:val="single"/>
        </w:rPr>
        <w:t xml:space="preserve">          </w:t>
      </w:r>
    </w:p>
    <w:p w14:paraId="6B2F4DFD">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受托人:姓名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性别:</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出生日期: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5F5D3437">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所在单位: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职务:</w:t>
      </w:r>
      <w:r>
        <w:rPr>
          <w:rFonts w:hint="eastAsia" w:ascii="仿宋" w:hAnsi="仿宋" w:eastAsia="仿宋" w:cs="仿宋"/>
          <w:color w:val="auto"/>
          <w:sz w:val="28"/>
          <w:szCs w:val="28"/>
          <w:highlight w:val="none"/>
          <w:u w:val="single"/>
        </w:rPr>
        <w:t xml:space="preserve">           </w:t>
      </w:r>
    </w:p>
    <w:p w14:paraId="374FA956">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身 份 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联系方式:</w:t>
      </w:r>
      <w:r>
        <w:rPr>
          <w:rFonts w:hint="eastAsia" w:ascii="仿宋" w:hAnsi="仿宋" w:eastAsia="仿宋" w:cs="仿宋"/>
          <w:color w:val="auto"/>
          <w:sz w:val="28"/>
          <w:szCs w:val="28"/>
          <w:highlight w:val="none"/>
          <w:u w:val="single"/>
        </w:rPr>
        <w:t xml:space="preserve">       </w:t>
      </w:r>
    </w:p>
    <w:p w14:paraId="23CBAD4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兹委托受托人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代表我公司参加</w:t>
      </w:r>
      <w:r>
        <w:rPr>
          <w:rFonts w:hint="eastAsia" w:ascii="仿宋" w:hAnsi="仿宋" w:eastAsia="仿宋" w:cs="仿宋"/>
          <w:color w:val="auto"/>
          <w:sz w:val="28"/>
          <w:szCs w:val="28"/>
          <w:highlight w:val="none"/>
          <w:lang w:eastAsia="zh-CN"/>
        </w:rPr>
        <w:t>淮安万顺工程项目咨询管理有限公司</w:t>
      </w:r>
      <w:r>
        <w:rPr>
          <w:rFonts w:hint="eastAsia" w:ascii="仿宋" w:hAnsi="仿宋" w:eastAsia="仿宋" w:cs="仿宋"/>
          <w:color w:val="auto"/>
          <w:sz w:val="28"/>
          <w:szCs w:val="28"/>
          <w:highlight w:val="none"/>
        </w:rPr>
        <w:t>组织的（项目编号:           ）</w:t>
      </w:r>
      <w:r>
        <w:rPr>
          <w:rFonts w:hint="eastAsia" w:ascii="仿宋" w:hAnsi="仿宋" w:eastAsia="仿宋" w:cs="仿宋"/>
          <w:bCs/>
          <w:color w:val="auto"/>
          <w:sz w:val="28"/>
          <w:highlight w:val="none"/>
        </w:rPr>
        <w:t xml:space="preserve">    </w:t>
      </w:r>
      <w:r>
        <w:rPr>
          <w:rFonts w:hint="eastAsia" w:ascii="仿宋" w:hAnsi="仿宋" w:eastAsia="仿宋" w:cs="仿宋"/>
          <w:color w:val="auto"/>
          <w:sz w:val="28"/>
          <w:szCs w:val="28"/>
          <w:highlight w:val="none"/>
        </w:rPr>
        <w:t>采购项目的政府采购活动，受托人有权在该招标活动中，以我单位的名义签署投标函和投标文件，与</w:t>
      </w:r>
      <w:r>
        <w:rPr>
          <w:rFonts w:hint="eastAsia" w:ascii="仿宋" w:hAnsi="仿宋" w:eastAsia="仿宋" w:cs="仿宋"/>
          <w:color w:val="auto"/>
          <w:sz w:val="28"/>
          <w:szCs w:val="28"/>
          <w:highlight w:val="none"/>
          <w:lang w:eastAsia="zh-CN"/>
        </w:rPr>
        <w:t>淮安市清江浦区城南街道社区卫生服务中心</w:t>
      </w:r>
      <w:r>
        <w:rPr>
          <w:rFonts w:hint="eastAsia" w:ascii="仿宋" w:hAnsi="仿宋" w:eastAsia="仿宋" w:cs="仿宋"/>
          <w:color w:val="auto"/>
          <w:sz w:val="28"/>
          <w:szCs w:val="28"/>
          <w:highlight w:val="none"/>
        </w:rPr>
        <w:t>协商、澄清、解释，签订合同书并执行一切与此有关的事项。</w:t>
      </w:r>
    </w:p>
    <w:p w14:paraId="325BD424">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受托人在办理上述事宜过程中以其自己的名义所签署的所有文件我公司均予以承认。受托人无转委托权。</w:t>
      </w:r>
    </w:p>
    <w:p w14:paraId="0C1C87F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委托期限:至上述事宜处理完毕止。</w:t>
      </w:r>
    </w:p>
    <w:p w14:paraId="26591347">
      <w:pPr>
        <w:spacing w:line="520" w:lineRule="exact"/>
        <w:ind w:firstLine="600"/>
        <w:rPr>
          <w:rFonts w:hint="eastAsia" w:ascii="仿宋" w:hAnsi="仿宋" w:eastAsia="仿宋" w:cs="仿宋"/>
          <w:b/>
          <w:color w:val="auto"/>
          <w:sz w:val="28"/>
          <w:szCs w:val="28"/>
          <w:highlight w:val="none"/>
        </w:rPr>
      </w:pPr>
    </w:p>
    <w:p w14:paraId="501AAAB4">
      <w:pPr>
        <w:spacing w:line="520" w:lineRule="exact"/>
        <w:rPr>
          <w:rFonts w:hint="eastAsia" w:ascii="仿宋" w:hAnsi="仿宋" w:eastAsia="仿宋" w:cs="仿宋"/>
          <w:color w:val="auto"/>
          <w:sz w:val="28"/>
          <w:szCs w:val="28"/>
          <w:highlight w:val="none"/>
        </w:rPr>
      </w:pPr>
    </w:p>
    <w:p w14:paraId="19F05A6E">
      <w:pPr>
        <w:spacing w:line="640" w:lineRule="exact"/>
        <w:jc w:val="center"/>
        <w:outlineLvl w:val="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投标人:</w:t>
      </w:r>
      <w:r>
        <w:rPr>
          <w:rFonts w:hint="eastAsia" w:ascii="仿宋" w:hAnsi="仿宋" w:eastAsia="仿宋" w:cs="仿宋"/>
          <w:color w:val="auto"/>
          <w:sz w:val="28"/>
          <w:szCs w:val="28"/>
          <w:highlight w:val="none"/>
          <w:u w:val="single"/>
          <w:lang w:val="zh-CN"/>
        </w:rPr>
        <w:t xml:space="preserve">     （电子签章）    </w:t>
      </w:r>
    </w:p>
    <w:p w14:paraId="6976E675">
      <w:pPr>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日</w:t>
      </w:r>
    </w:p>
    <w:p w14:paraId="0E17B014">
      <w:pPr>
        <w:spacing w:line="520" w:lineRule="exact"/>
        <w:ind w:left="-359" w:firstLine="548"/>
        <w:rPr>
          <w:rFonts w:hint="eastAsia" w:ascii="仿宋" w:hAnsi="仿宋" w:eastAsia="仿宋" w:cs="仿宋"/>
          <w:bCs/>
          <w:color w:val="auto"/>
          <w:sz w:val="28"/>
          <w:highlight w:val="none"/>
        </w:rPr>
      </w:pPr>
    </w:p>
    <w:p w14:paraId="4837D90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bCs/>
          <w:color w:val="auto"/>
          <w:sz w:val="28"/>
          <w:highlight w:val="none"/>
        </w:rPr>
        <w:t>注:投标人委托</w:t>
      </w:r>
      <w:r>
        <w:rPr>
          <w:rFonts w:hint="eastAsia" w:ascii="仿宋" w:hAnsi="仿宋" w:eastAsia="仿宋" w:cs="仿宋"/>
          <w:bCs/>
          <w:color w:val="auto"/>
          <w:sz w:val="28"/>
          <w:szCs w:val="28"/>
          <w:highlight w:val="none"/>
        </w:rPr>
        <w:t>受托人参加投标的，必须附受托人身份证</w:t>
      </w:r>
      <w:r>
        <w:rPr>
          <w:rFonts w:hint="eastAsia" w:ascii="仿宋" w:hAnsi="仿宋" w:eastAsia="仿宋" w:cs="仿宋"/>
          <w:color w:val="auto"/>
          <w:sz w:val="28"/>
          <w:szCs w:val="28"/>
          <w:highlight w:val="none"/>
        </w:rPr>
        <w:t>扫描</w:t>
      </w:r>
      <w:r>
        <w:rPr>
          <w:rFonts w:hint="eastAsia" w:ascii="仿宋" w:hAnsi="仿宋" w:eastAsia="仿宋" w:cs="仿宋"/>
          <w:bCs/>
          <w:color w:val="auto"/>
          <w:sz w:val="28"/>
          <w:szCs w:val="28"/>
          <w:highlight w:val="none"/>
        </w:rPr>
        <w:t>件加盖投标人电子签章。</w:t>
      </w:r>
      <w:r>
        <w:rPr>
          <w:rFonts w:hint="eastAsia" w:ascii="仿宋" w:hAnsi="仿宋" w:eastAsia="仿宋" w:cs="仿宋"/>
          <w:color w:val="auto"/>
          <w:sz w:val="28"/>
          <w:szCs w:val="28"/>
          <w:highlight w:val="none"/>
        </w:rPr>
        <w:t>法定代表人直接参加投标的，仅需填写“法定代表人资格证明”。</w:t>
      </w:r>
    </w:p>
    <w:p w14:paraId="7E394D99">
      <w:pPr>
        <w:rPr>
          <w:rFonts w:hint="eastAsia" w:ascii="仿宋" w:hAnsi="仿宋" w:eastAsia="仿宋" w:cs="仿宋"/>
          <w:b/>
          <w:color w:val="auto"/>
          <w:sz w:val="32"/>
          <w:szCs w:val="32"/>
          <w:highlight w:val="none"/>
        </w:rPr>
      </w:pPr>
    </w:p>
    <w:p w14:paraId="16857B84">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示范格式三</w:t>
      </w:r>
    </w:p>
    <w:p w14:paraId="0231E292">
      <w:pPr>
        <w:rPr>
          <w:rFonts w:hint="eastAsia" w:ascii="仿宋" w:hAnsi="仿宋" w:eastAsia="仿宋" w:cs="仿宋"/>
          <w:b/>
          <w:color w:val="auto"/>
          <w:sz w:val="32"/>
          <w:szCs w:val="32"/>
          <w:highlight w:val="none"/>
        </w:rPr>
      </w:pPr>
    </w:p>
    <w:p w14:paraId="652056F6">
      <w:pPr>
        <w:spacing w:line="520" w:lineRule="exact"/>
        <w:jc w:val="center"/>
        <w:rPr>
          <w:rFonts w:hint="eastAsia" w:ascii="仿宋" w:hAnsi="仿宋" w:eastAsia="仿宋" w:cs="仿宋"/>
          <w:b/>
          <w:bCs/>
          <w:color w:val="auto"/>
          <w:sz w:val="32"/>
          <w:highlight w:val="none"/>
        </w:rPr>
      </w:pPr>
      <w:r>
        <w:rPr>
          <w:rFonts w:hint="eastAsia" w:ascii="仿宋" w:hAnsi="仿宋" w:eastAsia="仿宋" w:cs="仿宋"/>
          <w:b/>
          <w:bCs/>
          <w:color w:val="auto"/>
          <w:sz w:val="32"/>
          <w:szCs w:val="24"/>
          <w:highlight w:val="none"/>
        </w:rPr>
        <w:t>符合《</w:t>
      </w:r>
      <w:r>
        <w:rPr>
          <w:rFonts w:hint="eastAsia" w:ascii="仿宋" w:hAnsi="仿宋" w:eastAsia="仿宋" w:cs="仿宋"/>
          <w:b/>
          <w:bCs/>
          <w:color w:val="auto"/>
          <w:sz w:val="32"/>
          <w:szCs w:val="24"/>
          <w:highlight w:val="none"/>
          <w:lang w:eastAsia="zh-CN"/>
        </w:rPr>
        <w:t>中华人民共和国政府采购法</w:t>
      </w:r>
      <w:r>
        <w:rPr>
          <w:rFonts w:hint="eastAsia" w:ascii="仿宋" w:hAnsi="仿宋" w:eastAsia="仿宋" w:cs="仿宋"/>
          <w:b/>
          <w:bCs/>
          <w:color w:val="auto"/>
          <w:sz w:val="32"/>
          <w:szCs w:val="24"/>
          <w:highlight w:val="none"/>
        </w:rPr>
        <w:t>》第二十二条规定条件的声明函</w:t>
      </w:r>
    </w:p>
    <w:p w14:paraId="1811047F">
      <w:pPr>
        <w:pStyle w:val="13"/>
        <w:spacing w:line="720" w:lineRule="exact"/>
        <w:ind w:firstLine="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致</w:t>
      </w:r>
      <w:r>
        <w:rPr>
          <w:rFonts w:hint="eastAsia" w:ascii="仿宋" w:hAnsi="仿宋" w:eastAsia="仿宋" w:cs="仿宋"/>
          <w:bCs/>
          <w:color w:val="auto"/>
          <w:sz w:val="28"/>
          <w:szCs w:val="28"/>
          <w:highlight w:val="none"/>
          <w:lang w:eastAsia="zh-CN"/>
        </w:rPr>
        <w:t>淮安市清江浦区城南街道社区卫生服务中心</w:t>
      </w:r>
      <w:r>
        <w:rPr>
          <w:rFonts w:hint="eastAsia" w:ascii="仿宋" w:hAnsi="仿宋" w:eastAsia="仿宋" w:cs="仿宋"/>
          <w:bCs/>
          <w:color w:val="auto"/>
          <w:sz w:val="28"/>
          <w:szCs w:val="28"/>
          <w:highlight w:val="none"/>
        </w:rPr>
        <w:t>:</w:t>
      </w:r>
    </w:p>
    <w:p w14:paraId="515C3195">
      <w:pPr>
        <w:spacing w:line="520" w:lineRule="exact"/>
        <w:ind w:firstLine="84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我公司参加贵中心组织实施的（项目编号:       ）</w:t>
      </w:r>
      <w:r>
        <w:rPr>
          <w:rFonts w:hint="eastAsia" w:ascii="仿宋" w:hAnsi="仿宋" w:eastAsia="仿宋" w:cs="仿宋"/>
          <w:bCs/>
          <w:color w:val="auto"/>
          <w:sz w:val="28"/>
          <w:highlight w:val="none"/>
        </w:rPr>
        <w:t xml:space="preserve">    </w:t>
      </w:r>
      <w:r>
        <w:rPr>
          <w:rFonts w:hint="eastAsia" w:ascii="仿宋" w:hAnsi="仿宋" w:eastAsia="仿宋" w:cs="仿宋"/>
          <w:color w:val="auto"/>
          <w:sz w:val="28"/>
          <w:szCs w:val="28"/>
          <w:highlight w:val="none"/>
        </w:rPr>
        <w:t>采购项目的政府采购活动。针对《中华人民共和国政府采购法》第二十二条规定做出如下声明：</w:t>
      </w:r>
    </w:p>
    <w:p w14:paraId="66573469">
      <w:pPr>
        <w:spacing w:line="520" w:lineRule="exact"/>
        <w:ind w:firstLine="560"/>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1、我单位具有独立承担民事责任的能力；</w:t>
      </w:r>
    </w:p>
    <w:p w14:paraId="2784AD5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2、我单位具有良好的商业信誉和健全的财务会计制度；</w:t>
      </w:r>
    </w:p>
    <w:p w14:paraId="1B3E9528">
      <w:pPr>
        <w:spacing w:line="520" w:lineRule="exact"/>
        <w:ind w:firstLine="560"/>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3、我单位具有履行合同所必需的设备和专业技术能力；</w:t>
      </w:r>
    </w:p>
    <w:p w14:paraId="680B1A5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4、我单位有依法缴纳税收和社会保障资金的良好记录；</w:t>
      </w:r>
    </w:p>
    <w:p w14:paraId="074BFB67">
      <w:pPr>
        <w:spacing w:line="64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5、参加本次政府采购活动前三年内，我公司在经营活动中没有因违法经营受到刑事处罚或者责令停产停业、吊销许可证或者执照、较大数额罚款等行政处罚。 </w:t>
      </w:r>
    </w:p>
    <w:p w14:paraId="38B09E76">
      <w:pPr>
        <w:spacing w:line="520" w:lineRule="exact"/>
        <w:ind w:firstLine="63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6、我单位满足法律、行政法规规定的其他条件。</w:t>
      </w:r>
    </w:p>
    <w:p w14:paraId="60350F98">
      <w:pPr>
        <w:spacing w:line="520" w:lineRule="exact"/>
        <w:rPr>
          <w:rFonts w:hint="eastAsia" w:ascii="仿宋" w:hAnsi="仿宋" w:eastAsia="仿宋" w:cs="仿宋"/>
          <w:color w:val="auto"/>
          <w:sz w:val="28"/>
          <w:szCs w:val="28"/>
          <w:highlight w:val="none"/>
          <w:u w:val="single"/>
        </w:rPr>
      </w:pPr>
    </w:p>
    <w:p w14:paraId="67A460E6">
      <w:pPr>
        <w:spacing w:line="520" w:lineRule="exact"/>
        <w:rPr>
          <w:rFonts w:hint="eastAsia" w:ascii="仿宋" w:hAnsi="仿宋" w:eastAsia="仿宋" w:cs="仿宋"/>
          <w:color w:val="auto"/>
          <w:sz w:val="28"/>
          <w:szCs w:val="28"/>
          <w:highlight w:val="none"/>
          <w:u w:val="single"/>
        </w:rPr>
      </w:pPr>
    </w:p>
    <w:p w14:paraId="4DEF68AF">
      <w:pPr>
        <w:spacing w:line="640" w:lineRule="exact"/>
        <w:jc w:val="right"/>
        <w:outlineLvl w:val="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承诺人</w:t>
      </w: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u w:val="single"/>
          <w:lang w:val="zh-CN"/>
        </w:rPr>
        <w:t xml:space="preserve">     （电子签章）    </w:t>
      </w:r>
    </w:p>
    <w:p w14:paraId="7CB36408">
      <w:pPr>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日</w:t>
      </w:r>
    </w:p>
    <w:p w14:paraId="6D5D787D">
      <w:pPr>
        <w:spacing w:line="520" w:lineRule="exact"/>
        <w:rPr>
          <w:rFonts w:hint="eastAsia" w:ascii="仿宋" w:hAnsi="仿宋" w:eastAsia="仿宋" w:cs="仿宋"/>
          <w:color w:val="auto"/>
          <w:sz w:val="28"/>
          <w:szCs w:val="28"/>
          <w:highlight w:val="none"/>
          <w:u w:val="single"/>
        </w:rPr>
      </w:pPr>
    </w:p>
    <w:p w14:paraId="7ABC99A6">
      <w:pPr>
        <w:rPr>
          <w:rFonts w:hint="eastAsia" w:ascii="仿宋" w:hAnsi="仿宋" w:eastAsia="仿宋" w:cs="仿宋"/>
          <w:b/>
          <w:color w:val="auto"/>
          <w:sz w:val="32"/>
          <w:szCs w:val="32"/>
          <w:highlight w:val="none"/>
        </w:rPr>
      </w:pPr>
    </w:p>
    <w:p w14:paraId="3151CBC6">
      <w:pPr>
        <w:rPr>
          <w:rFonts w:hint="eastAsia" w:ascii="仿宋" w:hAnsi="仿宋" w:eastAsia="仿宋" w:cs="仿宋"/>
          <w:b/>
          <w:color w:val="auto"/>
          <w:sz w:val="32"/>
          <w:szCs w:val="32"/>
          <w:highlight w:val="none"/>
        </w:rPr>
      </w:pPr>
    </w:p>
    <w:p w14:paraId="278E3FDC">
      <w:pPr>
        <w:rPr>
          <w:rFonts w:hint="eastAsia" w:ascii="仿宋" w:hAnsi="仿宋" w:eastAsia="仿宋" w:cs="仿宋"/>
          <w:b/>
          <w:color w:val="auto"/>
          <w:sz w:val="32"/>
          <w:szCs w:val="32"/>
          <w:highlight w:val="none"/>
        </w:rPr>
      </w:pPr>
    </w:p>
    <w:p w14:paraId="4F3AD830">
      <w:pPr>
        <w:rPr>
          <w:rFonts w:hint="eastAsia" w:ascii="仿宋" w:hAnsi="仿宋" w:eastAsia="仿宋" w:cs="仿宋"/>
          <w:b/>
          <w:color w:val="auto"/>
          <w:sz w:val="32"/>
          <w:szCs w:val="32"/>
          <w:highlight w:val="none"/>
        </w:rPr>
      </w:pPr>
    </w:p>
    <w:p w14:paraId="0F96AEE6">
      <w:pPr>
        <w:rPr>
          <w:rFonts w:hint="eastAsia" w:ascii="仿宋" w:hAnsi="仿宋" w:eastAsia="仿宋" w:cs="仿宋"/>
          <w:b/>
          <w:color w:val="auto"/>
          <w:sz w:val="32"/>
          <w:szCs w:val="32"/>
          <w:highlight w:val="none"/>
        </w:rPr>
      </w:pPr>
    </w:p>
    <w:p w14:paraId="37EC8C35">
      <w:pPr>
        <w:rPr>
          <w:rFonts w:hint="eastAsia" w:ascii="仿宋" w:hAnsi="仿宋" w:eastAsia="仿宋" w:cs="仿宋"/>
          <w:b/>
          <w:color w:val="auto"/>
          <w:sz w:val="32"/>
          <w:szCs w:val="32"/>
          <w:highlight w:val="none"/>
        </w:rPr>
      </w:pPr>
    </w:p>
    <w:p w14:paraId="64A9D439">
      <w:pPr>
        <w:rPr>
          <w:rFonts w:hint="eastAsia" w:ascii="仿宋" w:hAnsi="仿宋" w:eastAsia="仿宋" w:cs="仿宋"/>
          <w:color w:val="auto"/>
          <w:sz w:val="28"/>
          <w:szCs w:val="28"/>
          <w:highlight w:val="none"/>
        </w:rPr>
      </w:pPr>
      <w:r>
        <w:rPr>
          <w:rFonts w:hint="eastAsia" w:ascii="仿宋" w:hAnsi="仿宋" w:eastAsia="仿宋" w:cs="仿宋"/>
          <w:b/>
          <w:color w:val="auto"/>
          <w:sz w:val="32"/>
          <w:szCs w:val="32"/>
          <w:highlight w:val="none"/>
        </w:rPr>
        <w:t>示范格式四</w:t>
      </w:r>
      <w:r>
        <w:rPr>
          <w:rFonts w:hint="eastAsia" w:ascii="仿宋" w:hAnsi="仿宋" w:eastAsia="仿宋" w:cs="仿宋"/>
          <w:color w:val="auto"/>
          <w:sz w:val="28"/>
          <w:szCs w:val="28"/>
          <w:highlight w:val="none"/>
        </w:rPr>
        <w:t xml:space="preserve">                                           </w:t>
      </w:r>
    </w:p>
    <w:p w14:paraId="6CE32BA5">
      <w:pPr>
        <w:jc w:val="center"/>
        <w:rPr>
          <w:rFonts w:hint="eastAsia" w:ascii="仿宋" w:hAnsi="仿宋" w:eastAsia="仿宋" w:cs="仿宋"/>
          <w:b/>
          <w:bCs/>
          <w:color w:val="auto"/>
          <w:sz w:val="32"/>
          <w:szCs w:val="32"/>
          <w:highlight w:val="none"/>
        </w:rPr>
      </w:pPr>
    </w:p>
    <w:p w14:paraId="24CC4DA5">
      <w:pPr>
        <w:jc w:val="center"/>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rPr>
        <w:t>企业声明函（货物类）</w:t>
      </w:r>
    </w:p>
    <w:p w14:paraId="34CC0A74">
      <w:pPr>
        <w:pStyle w:val="13"/>
        <w:spacing w:line="600" w:lineRule="exact"/>
        <w:ind w:firstLine="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致</w:t>
      </w:r>
      <w:r>
        <w:rPr>
          <w:rFonts w:hint="eastAsia" w:ascii="仿宋" w:hAnsi="仿宋" w:eastAsia="仿宋" w:cs="仿宋"/>
          <w:bCs/>
          <w:color w:val="auto"/>
          <w:sz w:val="28"/>
          <w:szCs w:val="28"/>
          <w:highlight w:val="none"/>
          <w:lang w:eastAsia="zh-CN"/>
        </w:rPr>
        <w:t>淮安市清江浦区城南街道社区卫生服务中心</w:t>
      </w:r>
      <w:r>
        <w:rPr>
          <w:rFonts w:hint="eastAsia" w:ascii="仿宋" w:hAnsi="仿宋" w:eastAsia="仿宋" w:cs="仿宋"/>
          <w:bCs/>
          <w:color w:val="auto"/>
          <w:sz w:val="28"/>
          <w:szCs w:val="28"/>
          <w:highlight w:val="none"/>
        </w:rPr>
        <w:t>:</w:t>
      </w:r>
    </w:p>
    <w:p w14:paraId="78F3E1B9">
      <w:pPr>
        <w:pStyle w:val="13"/>
        <w:spacing w:line="60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本公司郑重声明，根据《政府采购促进中小企业发展管理办法》（财库﹝2020﹞46 号）的规定，本公司参加</w:t>
      </w:r>
      <w:r>
        <w:rPr>
          <w:rFonts w:hint="eastAsia" w:ascii="仿宋" w:hAnsi="仿宋" w:eastAsia="仿宋" w:cs="仿宋"/>
          <w:bCs/>
          <w:color w:val="auto"/>
          <w:sz w:val="28"/>
          <w:szCs w:val="28"/>
          <w:highlight w:val="none"/>
          <w:u w:val="single"/>
        </w:rPr>
        <w:t>（单位名称）</w:t>
      </w:r>
      <w:r>
        <w:rPr>
          <w:rFonts w:hint="eastAsia" w:ascii="仿宋" w:hAnsi="仿宋" w:eastAsia="仿宋" w:cs="仿宋"/>
          <w:bCs/>
          <w:color w:val="auto"/>
          <w:sz w:val="28"/>
          <w:szCs w:val="28"/>
          <w:highlight w:val="none"/>
        </w:rPr>
        <w:t>的</w:t>
      </w:r>
      <w:r>
        <w:rPr>
          <w:rFonts w:hint="eastAsia" w:ascii="仿宋" w:hAnsi="仿宋" w:eastAsia="仿宋" w:cs="仿宋"/>
          <w:bCs/>
          <w:color w:val="auto"/>
          <w:sz w:val="28"/>
          <w:szCs w:val="28"/>
          <w:highlight w:val="none"/>
          <w:u w:val="single"/>
        </w:rPr>
        <w:t>（项目名称）</w:t>
      </w:r>
      <w:r>
        <w:rPr>
          <w:rFonts w:hint="eastAsia" w:ascii="仿宋" w:hAnsi="仿宋" w:eastAsia="仿宋" w:cs="仿宋"/>
          <w:bCs/>
          <w:color w:val="auto"/>
          <w:sz w:val="28"/>
          <w:szCs w:val="28"/>
          <w:highlight w:val="none"/>
        </w:rPr>
        <w:t>采购活动，</w:t>
      </w:r>
      <w:r>
        <w:rPr>
          <w:rFonts w:hint="eastAsia" w:ascii="仿宋" w:hAnsi="仿宋" w:eastAsia="仿宋" w:cs="仿宋"/>
          <w:b/>
          <w:bCs w:val="0"/>
          <w:color w:val="auto"/>
          <w:sz w:val="28"/>
          <w:szCs w:val="28"/>
          <w:highlight w:val="none"/>
        </w:rPr>
        <w:t>提供的货物全部由符合政策要求的中小企业制造。</w:t>
      </w:r>
      <w:r>
        <w:rPr>
          <w:rFonts w:hint="eastAsia" w:ascii="仿宋" w:hAnsi="仿宋" w:eastAsia="仿宋" w:cs="仿宋"/>
          <w:bCs/>
          <w:color w:val="auto"/>
          <w:sz w:val="28"/>
          <w:szCs w:val="28"/>
          <w:highlight w:val="none"/>
        </w:rPr>
        <w:t xml:space="preserve">相关企业的具体情况如下： </w:t>
      </w:r>
    </w:p>
    <w:p w14:paraId="18B37D20">
      <w:pPr>
        <w:pStyle w:val="13"/>
        <w:spacing w:line="60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 </w:t>
      </w:r>
      <w:r>
        <w:rPr>
          <w:rFonts w:hint="eastAsia" w:ascii="仿宋" w:hAnsi="仿宋" w:eastAsia="仿宋" w:cs="仿宋"/>
          <w:bCs/>
          <w:color w:val="auto"/>
          <w:sz w:val="28"/>
          <w:szCs w:val="28"/>
          <w:highlight w:val="none"/>
          <w:u w:val="single"/>
        </w:rPr>
        <w:t>（标的名称）</w:t>
      </w:r>
      <w:r>
        <w:rPr>
          <w:rFonts w:hint="eastAsia" w:ascii="仿宋" w:hAnsi="仿宋" w:eastAsia="仿宋" w:cs="仿宋"/>
          <w:bCs/>
          <w:color w:val="auto"/>
          <w:sz w:val="28"/>
          <w:szCs w:val="28"/>
          <w:highlight w:val="none"/>
        </w:rPr>
        <w:t xml:space="preserve"> ，属于</w:t>
      </w:r>
      <w:r>
        <w:rPr>
          <w:rFonts w:hint="eastAsia" w:ascii="仿宋" w:hAnsi="仿宋" w:eastAsia="仿宋" w:cs="仿宋"/>
          <w:bCs/>
          <w:color w:val="auto"/>
          <w:sz w:val="28"/>
          <w:szCs w:val="28"/>
          <w:highlight w:val="none"/>
          <w:u w:val="single"/>
        </w:rPr>
        <w:t>（采购文件中明确的所属行业）</w:t>
      </w:r>
      <w:r>
        <w:rPr>
          <w:rFonts w:hint="eastAsia" w:ascii="仿宋" w:hAnsi="仿宋" w:eastAsia="仿宋" w:cs="仿宋"/>
          <w:bCs/>
          <w:color w:val="auto"/>
          <w:sz w:val="28"/>
          <w:szCs w:val="28"/>
          <w:highlight w:val="none"/>
        </w:rPr>
        <w:t>行业；制造商为（企业名称），从业人员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万元，属于（中型企业、小型企业、微型企业）； </w:t>
      </w:r>
    </w:p>
    <w:p w14:paraId="7DB75CFA">
      <w:pPr>
        <w:pStyle w:val="13"/>
        <w:spacing w:line="60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w:t>
      </w:r>
      <w:r>
        <w:rPr>
          <w:rFonts w:hint="eastAsia" w:ascii="仿宋" w:hAnsi="仿宋" w:eastAsia="仿宋" w:cs="仿宋"/>
          <w:bCs/>
          <w:color w:val="auto"/>
          <w:sz w:val="28"/>
          <w:szCs w:val="28"/>
          <w:highlight w:val="none"/>
          <w:u w:val="single"/>
        </w:rPr>
        <w:t xml:space="preserve"> （标的名称）</w:t>
      </w:r>
      <w:r>
        <w:rPr>
          <w:rFonts w:hint="eastAsia" w:ascii="仿宋" w:hAnsi="仿宋" w:eastAsia="仿宋" w:cs="仿宋"/>
          <w:bCs/>
          <w:color w:val="auto"/>
          <w:sz w:val="28"/>
          <w:szCs w:val="28"/>
          <w:highlight w:val="none"/>
        </w:rPr>
        <w:t xml:space="preserve"> ，属于（采购文件中明确的所属行业）行业；制造商为（企业名称），从业人员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万元，属于（中型企业、小型企业、微型企业）。 </w:t>
      </w:r>
    </w:p>
    <w:p w14:paraId="75CBB466">
      <w:pPr>
        <w:pStyle w:val="13"/>
        <w:spacing w:line="60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w:t>
      </w:r>
    </w:p>
    <w:p w14:paraId="0260987C">
      <w:pPr>
        <w:pStyle w:val="13"/>
        <w:spacing w:line="60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以上企业，不属于大企业的分支机构，不存在控股股东为大企业的情形，也不存在与大企业的负责人为同一人的情形。</w:t>
      </w:r>
    </w:p>
    <w:p w14:paraId="55259E99">
      <w:pPr>
        <w:pStyle w:val="13"/>
        <w:spacing w:line="60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本企业对上述声明内容的真实性负责。如有虚假，将依法承担相应责任。 </w:t>
      </w:r>
      <w:r>
        <w:rPr>
          <w:rFonts w:hint="eastAsia" w:ascii="仿宋" w:hAnsi="仿宋" w:eastAsia="仿宋" w:cs="仿宋"/>
          <w:bCs/>
          <w:color w:val="auto"/>
          <w:sz w:val="28"/>
          <w:szCs w:val="28"/>
          <w:highlight w:val="none"/>
          <w:lang w:val="zh-CN"/>
        </w:rPr>
        <w:t xml:space="preserve">              </w:t>
      </w:r>
      <w:r>
        <w:rPr>
          <w:rFonts w:hint="eastAsia" w:ascii="仿宋" w:hAnsi="仿宋" w:eastAsia="仿宋" w:cs="仿宋"/>
          <w:bCs/>
          <w:color w:val="auto"/>
          <w:sz w:val="28"/>
          <w:szCs w:val="28"/>
          <w:highlight w:val="none"/>
        </w:rPr>
        <w:t xml:space="preserve"> </w:t>
      </w:r>
      <w:r>
        <w:rPr>
          <w:rFonts w:hint="eastAsia" w:ascii="仿宋" w:hAnsi="仿宋" w:eastAsia="仿宋" w:cs="仿宋"/>
          <w:bCs/>
          <w:color w:val="auto"/>
          <w:sz w:val="28"/>
          <w:szCs w:val="28"/>
          <w:highlight w:val="none"/>
          <w:lang w:val="zh-CN"/>
        </w:rPr>
        <w:t xml:space="preserve"> </w:t>
      </w:r>
      <w:r>
        <w:rPr>
          <w:rFonts w:hint="eastAsia" w:ascii="仿宋" w:hAnsi="仿宋" w:eastAsia="仿宋" w:cs="仿宋"/>
          <w:bCs/>
          <w:color w:val="auto"/>
          <w:sz w:val="28"/>
          <w:szCs w:val="28"/>
          <w:highlight w:val="none"/>
        </w:rPr>
        <w:t xml:space="preserve">     </w:t>
      </w:r>
    </w:p>
    <w:p w14:paraId="5000643C">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投标人:</w:t>
      </w:r>
      <w:r>
        <w:rPr>
          <w:rFonts w:hint="eastAsia" w:ascii="仿宋" w:hAnsi="仿宋" w:eastAsia="仿宋" w:cs="仿宋"/>
          <w:color w:val="auto"/>
          <w:sz w:val="28"/>
          <w:szCs w:val="28"/>
          <w:highlight w:val="none"/>
          <w:u w:val="single"/>
          <w:lang w:val="zh-CN"/>
        </w:rPr>
        <w:t xml:space="preserve">        （电子签章）     </w:t>
      </w:r>
    </w:p>
    <w:p w14:paraId="6898C863">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日</w:t>
      </w:r>
    </w:p>
    <w:p w14:paraId="7C555D7C">
      <w:pPr>
        <w:pStyle w:val="13"/>
        <w:spacing w:line="600" w:lineRule="exact"/>
        <w:ind w:firstLine="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注：从业人员、营业收入、资产总额填报上一年度数据，无上一年度数据的新成立企业可不填报。</w:t>
      </w:r>
    </w:p>
    <w:p w14:paraId="201F324C">
      <w:pPr>
        <w:pStyle w:val="13"/>
        <w:spacing w:line="520" w:lineRule="exact"/>
        <w:ind w:left="0" w:firstLine="0"/>
        <w:jc w:val="left"/>
        <w:rPr>
          <w:rFonts w:hint="default"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若采购包中涉及多个采购标的，须按照各采购标的分别进行填写。</w:t>
      </w:r>
    </w:p>
    <w:p w14:paraId="30D6CDB1">
      <w:pPr>
        <w:pStyle w:val="13"/>
        <w:spacing w:line="520" w:lineRule="exact"/>
        <w:ind w:firstLine="0"/>
        <w:jc w:val="lef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示范格式五</w:t>
      </w:r>
    </w:p>
    <w:p w14:paraId="43A3146A">
      <w:pPr>
        <w:widowControl/>
        <w:spacing w:line="640" w:lineRule="exact"/>
        <w:jc w:val="center"/>
        <w:rPr>
          <w:rFonts w:hint="eastAsia" w:ascii="仿宋" w:hAnsi="仿宋" w:eastAsia="仿宋" w:cs="仿宋"/>
          <w:color w:val="auto"/>
          <w:sz w:val="24"/>
          <w:highlight w:val="none"/>
        </w:rPr>
      </w:pPr>
      <w:r>
        <w:rPr>
          <w:rFonts w:hint="eastAsia" w:ascii="仿宋" w:hAnsi="仿宋" w:eastAsia="仿宋" w:cs="仿宋"/>
          <w:b/>
          <w:bCs/>
          <w:color w:val="auto"/>
          <w:sz w:val="32"/>
          <w:szCs w:val="32"/>
          <w:highlight w:val="none"/>
        </w:rPr>
        <w:t>残疾人福利性单位声明函</w:t>
      </w:r>
    </w:p>
    <w:p w14:paraId="0BC65244">
      <w:pPr>
        <w:pStyle w:val="13"/>
        <w:spacing w:line="640" w:lineRule="exact"/>
        <w:ind w:firstLine="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致</w:t>
      </w:r>
      <w:r>
        <w:rPr>
          <w:rFonts w:hint="eastAsia" w:ascii="仿宋" w:hAnsi="仿宋" w:eastAsia="仿宋" w:cs="仿宋"/>
          <w:bCs/>
          <w:color w:val="auto"/>
          <w:sz w:val="28"/>
          <w:szCs w:val="28"/>
          <w:highlight w:val="none"/>
          <w:lang w:eastAsia="zh-CN"/>
        </w:rPr>
        <w:t>淮安市清江浦区城南街道社区卫生服务中心</w:t>
      </w:r>
      <w:r>
        <w:rPr>
          <w:rFonts w:hint="eastAsia" w:ascii="仿宋" w:hAnsi="仿宋" w:eastAsia="仿宋" w:cs="仿宋"/>
          <w:bCs/>
          <w:color w:val="auto"/>
          <w:sz w:val="28"/>
          <w:szCs w:val="28"/>
          <w:highlight w:val="none"/>
        </w:rPr>
        <w:t>:</w:t>
      </w:r>
    </w:p>
    <w:p w14:paraId="439F0CC8">
      <w:pPr>
        <w:pStyle w:val="13"/>
        <w:spacing w:line="64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本单位郑重声明，根据《财政部 民政部 中国残疾人联合会关于促进残疾人就业政府采购政策的通知》（财库〔2017〕141 号）的规定，本单位为符合条件的残疾人福利性单位。即，本单位同时满足以下条件:</w:t>
      </w:r>
    </w:p>
    <w:p w14:paraId="5D8249B3">
      <w:pPr>
        <w:pStyle w:val="13"/>
        <w:spacing w:line="64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1、根据《财政部 民政部 中国残疾人联合会关于促进残疾人就业政府采购政策的通知》（财库〔2017〕141 号）规定的划分标准，本公司为残疾人福利性企业。</w:t>
      </w:r>
    </w:p>
    <w:p w14:paraId="49BC00D1">
      <w:pPr>
        <w:pStyle w:val="13"/>
        <w:spacing w:line="64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2、本单位参加（采购单位名称） 的（采购项目名称）采购活动提供本企业制造的货物，由本企业承担工程、提供服务，或者提供其他残疾人福利性单位制造的货物（不包括使用非残疾人福利性单位注册商标的货物。</w:t>
      </w:r>
    </w:p>
    <w:p w14:paraId="3D2820D4">
      <w:pPr>
        <w:pStyle w:val="13"/>
        <w:spacing w:line="640" w:lineRule="exact"/>
        <w:ind w:firstLine="560"/>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注:</w:t>
      </w:r>
      <w:r>
        <w:rPr>
          <w:rFonts w:hint="eastAsia" w:ascii="仿宋" w:hAnsi="仿宋" w:eastAsia="仿宋" w:cs="仿宋"/>
          <w:bCs/>
          <w:color w:val="auto"/>
          <w:sz w:val="28"/>
          <w:szCs w:val="28"/>
          <w:highlight w:val="none"/>
        </w:rPr>
        <w:t>本公司对上述声明的真实性负责。如有虚假，将依法承担相应责任。</w:t>
      </w:r>
    </w:p>
    <w:p w14:paraId="16B37E92">
      <w:pPr>
        <w:pStyle w:val="13"/>
        <w:spacing w:line="640" w:lineRule="exact"/>
        <w:ind w:firstLine="560"/>
        <w:rPr>
          <w:rFonts w:hint="eastAsia" w:ascii="仿宋" w:hAnsi="仿宋" w:eastAsia="仿宋" w:cs="仿宋"/>
          <w:color w:val="auto"/>
          <w:sz w:val="28"/>
          <w:szCs w:val="28"/>
          <w:highlight w:val="none"/>
        </w:rPr>
      </w:pPr>
    </w:p>
    <w:p w14:paraId="25FB2D56">
      <w:pPr>
        <w:spacing w:line="640" w:lineRule="exact"/>
        <w:jc w:val="center"/>
        <w:outlineLvl w:val="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投标人:</w:t>
      </w:r>
      <w:r>
        <w:rPr>
          <w:rFonts w:hint="eastAsia" w:ascii="仿宋" w:hAnsi="仿宋" w:eastAsia="仿宋" w:cs="仿宋"/>
          <w:color w:val="auto"/>
          <w:sz w:val="28"/>
          <w:szCs w:val="28"/>
          <w:highlight w:val="none"/>
          <w:u w:val="single"/>
          <w:lang w:val="zh-CN"/>
        </w:rPr>
        <w:t xml:space="preserve">        （电子签章）     </w:t>
      </w:r>
    </w:p>
    <w:p w14:paraId="6B7A52DA">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日</w:t>
      </w:r>
    </w:p>
    <w:p w14:paraId="44F55A7F">
      <w:pPr>
        <w:spacing w:line="640" w:lineRule="exact"/>
        <w:ind w:firstLine="565"/>
        <w:rPr>
          <w:rFonts w:hint="eastAsia" w:ascii="仿宋" w:hAnsi="仿宋" w:eastAsia="仿宋" w:cs="仿宋"/>
          <w:color w:val="auto"/>
          <w:sz w:val="28"/>
          <w:szCs w:val="28"/>
          <w:highlight w:val="none"/>
        </w:rPr>
        <w:sectPr>
          <w:headerReference r:id="rId4" w:type="default"/>
          <w:footerReference r:id="rId5" w:type="default"/>
          <w:footerReference r:id="rId6" w:type="even"/>
          <w:pgSz w:w="11906" w:h="16838"/>
          <w:pgMar w:top="1417" w:right="1418" w:bottom="1417" w:left="1417" w:header="851" w:footer="992" w:gutter="0"/>
          <w:cols w:space="1701" w:num="1"/>
          <w:docGrid w:linePitch="360" w:charSpace="0"/>
        </w:sectPr>
      </w:pPr>
      <w:r>
        <w:rPr>
          <w:rFonts w:hint="eastAsia" w:ascii="仿宋" w:hAnsi="仿宋" w:eastAsia="仿宋" w:cs="仿宋"/>
          <w:color w:val="auto"/>
          <w:sz w:val="28"/>
          <w:szCs w:val="28"/>
          <w:highlight w:val="none"/>
        </w:rPr>
        <w:t>注:非</w:t>
      </w:r>
      <w:r>
        <w:rPr>
          <w:rFonts w:hint="eastAsia" w:ascii="仿宋" w:hAnsi="仿宋" w:eastAsia="仿宋" w:cs="仿宋"/>
          <w:color w:val="auto"/>
          <w:sz w:val="28"/>
          <w:highlight w:val="none"/>
        </w:rPr>
        <w:t>残疾人福利性单位不</w:t>
      </w:r>
      <w:r>
        <w:rPr>
          <w:rFonts w:hint="eastAsia" w:ascii="仿宋" w:hAnsi="仿宋" w:eastAsia="仿宋" w:cs="仿宋"/>
          <w:color w:val="auto"/>
          <w:sz w:val="28"/>
          <w:szCs w:val="28"/>
          <w:highlight w:val="none"/>
        </w:rPr>
        <w:t>需提供此函</w:t>
      </w:r>
    </w:p>
    <w:p w14:paraId="5A284135">
      <w:pPr>
        <w:widowControl w:val="0"/>
        <w:tabs>
          <w:tab w:val="left" w:pos="2020"/>
          <w:tab w:val="center" w:pos="4535"/>
        </w:tabs>
        <w:spacing w:line="360" w:lineRule="auto"/>
        <w:ind w:right="-1"/>
        <w:jc w:val="both"/>
        <w:outlineLvl w:val="0"/>
        <w:rPr>
          <w:rFonts w:hint="eastAsia" w:ascii="仿宋" w:hAnsi="仿宋" w:eastAsia="仿宋" w:cs="仿宋"/>
          <w:b/>
          <w:bCs/>
          <w:color w:val="auto"/>
          <w:kern w:val="0"/>
          <w:sz w:val="32"/>
          <w:szCs w:val="32"/>
          <w:highlight w:val="none"/>
          <w:lang w:val="en-US" w:eastAsia="zh-CN" w:bidi="ar-SA"/>
        </w:rPr>
      </w:pPr>
      <w:r>
        <w:rPr>
          <w:rFonts w:hint="eastAsia" w:ascii="仿宋" w:hAnsi="仿宋" w:eastAsia="仿宋" w:cs="仿宋"/>
          <w:b/>
          <w:color w:val="auto"/>
          <w:sz w:val="32"/>
          <w:szCs w:val="32"/>
          <w:highlight w:val="none"/>
        </w:rPr>
        <w:t>示范格式</w:t>
      </w:r>
      <w:r>
        <w:rPr>
          <w:rFonts w:hint="eastAsia" w:ascii="仿宋" w:hAnsi="仿宋" w:eastAsia="仿宋" w:cs="仿宋"/>
          <w:b/>
          <w:color w:val="auto"/>
          <w:sz w:val="32"/>
          <w:szCs w:val="32"/>
          <w:highlight w:val="none"/>
          <w:lang w:val="en-US" w:eastAsia="zh-CN"/>
        </w:rPr>
        <w:t>六</w:t>
      </w:r>
    </w:p>
    <w:p w14:paraId="4C30F237">
      <w:pPr>
        <w:widowControl w:val="0"/>
        <w:tabs>
          <w:tab w:val="left" w:pos="2020"/>
          <w:tab w:val="center" w:pos="4535"/>
        </w:tabs>
        <w:spacing w:line="360" w:lineRule="auto"/>
        <w:ind w:right="-1"/>
        <w:jc w:val="center"/>
        <w:outlineLvl w:val="0"/>
        <w:rPr>
          <w:rFonts w:hint="eastAsia" w:ascii="仿宋" w:hAnsi="仿宋" w:eastAsia="仿宋" w:cs="仿宋"/>
          <w:b/>
          <w:bCs/>
          <w:color w:val="auto"/>
          <w:kern w:val="0"/>
          <w:sz w:val="32"/>
          <w:szCs w:val="32"/>
          <w:highlight w:val="none"/>
          <w:lang w:val="en-US" w:eastAsia="zh-CN" w:bidi="ar-SA"/>
        </w:rPr>
      </w:pPr>
      <w:r>
        <w:rPr>
          <w:rFonts w:hint="eastAsia" w:ascii="仿宋" w:hAnsi="仿宋" w:eastAsia="仿宋" w:cs="仿宋"/>
          <w:b/>
          <w:bCs/>
          <w:color w:val="auto"/>
          <w:kern w:val="0"/>
          <w:sz w:val="32"/>
          <w:szCs w:val="32"/>
          <w:highlight w:val="none"/>
          <w:lang w:val="en-US" w:eastAsia="zh-CN" w:bidi="ar-SA"/>
        </w:rPr>
        <w:t>关于符合本国产品标准的声明函</w:t>
      </w:r>
    </w:p>
    <w:p w14:paraId="2D01F33A">
      <w:pPr>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right="0" w:firstLine="480"/>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4A9CE5A1">
      <w:pPr>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right="0" w:firstLine="480"/>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shd w:val="clear" w:color="auto" w:fill="FFFFFF"/>
          <w:lang w:val="en-US" w:eastAsia="zh-CN" w:bidi="ar-SA"/>
        </w:rPr>
        <w:t>1.</w:t>
      </w:r>
      <w:r>
        <w:rPr>
          <w:rFonts w:hint="eastAsia" w:ascii="仿宋" w:hAnsi="仿宋" w:eastAsia="仿宋" w:cs="仿宋"/>
          <w:i w:val="0"/>
          <w:color w:val="auto"/>
          <w:kern w:val="2"/>
          <w:sz w:val="28"/>
          <w:szCs w:val="28"/>
          <w:highlight w:val="none"/>
          <w:u w:val="single"/>
          <w:shd w:val="clear" w:color="auto" w:fill="FFFFFF"/>
          <w:lang w:val="en-US" w:eastAsia="zh-CN" w:bidi="ar-SA"/>
        </w:rPr>
        <w:t>（产品名称1）</w:t>
      </w:r>
      <w:r>
        <w:rPr>
          <w:rFonts w:hint="eastAsia" w:ascii="仿宋" w:hAnsi="仿宋" w:eastAsia="仿宋" w:cs="仿宋"/>
          <w:i w:val="0"/>
          <w:color w:val="auto"/>
          <w:kern w:val="2"/>
          <w:sz w:val="28"/>
          <w:szCs w:val="28"/>
          <w:highlight w:val="none"/>
          <w:shd w:val="clear" w:color="auto" w:fill="FFFFFF"/>
          <w:vertAlign w:val="superscript"/>
          <w:lang w:val="en-US" w:eastAsia="zh-CN" w:bidi="ar-SA"/>
        </w:rPr>
        <w:t>1</w:t>
      </w:r>
      <w:r>
        <w:rPr>
          <w:rFonts w:hint="eastAsia" w:ascii="仿宋" w:hAnsi="仿宋" w:eastAsia="仿宋" w:cs="仿宋"/>
          <w:color w:val="auto"/>
          <w:kern w:val="2"/>
          <w:sz w:val="28"/>
          <w:szCs w:val="28"/>
          <w:highlight w:val="none"/>
          <w:shd w:val="clear" w:color="auto" w:fill="FFFFFF"/>
          <w:lang w:val="en-US" w:eastAsia="zh-CN" w:bidi="ar-SA"/>
        </w:rPr>
        <w:t>，生产厂为</w:t>
      </w:r>
      <w:r>
        <w:rPr>
          <w:rFonts w:hint="eastAsia" w:ascii="仿宋" w:hAnsi="仿宋" w:eastAsia="仿宋" w:cs="仿宋"/>
          <w:i w:val="0"/>
          <w:color w:val="auto"/>
          <w:kern w:val="2"/>
          <w:sz w:val="28"/>
          <w:szCs w:val="28"/>
          <w:highlight w:val="none"/>
          <w:u w:val="single"/>
          <w:shd w:val="clear" w:color="auto" w:fill="FFFFFF"/>
          <w:lang w:val="en-US" w:eastAsia="zh-CN" w:bidi="ar-SA"/>
        </w:rPr>
        <w:t>（厂名）</w:t>
      </w:r>
      <w:r>
        <w:rPr>
          <w:rFonts w:hint="eastAsia" w:ascii="仿宋" w:hAnsi="仿宋" w:eastAsia="仿宋" w:cs="仿宋"/>
          <w:i w:val="0"/>
          <w:color w:val="auto"/>
          <w:kern w:val="2"/>
          <w:sz w:val="28"/>
          <w:szCs w:val="28"/>
          <w:highlight w:val="none"/>
          <w:shd w:val="clear" w:color="auto" w:fill="FFFFFF"/>
          <w:vertAlign w:val="superscript"/>
          <w:lang w:val="en-US" w:eastAsia="zh-CN" w:bidi="ar-SA"/>
        </w:rPr>
        <w:t>2</w:t>
      </w:r>
      <w:r>
        <w:rPr>
          <w:rFonts w:hint="eastAsia" w:ascii="仿宋" w:hAnsi="仿宋" w:eastAsia="仿宋" w:cs="仿宋"/>
          <w:color w:val="auto"/>
          <w:kern w:val="2"/>
          <w:sz w:val="28"/>
          <w:szCs w:val="28"/>
          <w:highlight w:val="none"/>
          <w:shd w:val="clear" w:color="auto" w:fill="FFFFFF"/>
          <w:lang w:val="en-US" w:eastAsia="zh-CN" w:bidi="ar-SA"/>
        </w:rPr>
        <w:t>，厂址为</w:t>
      </w:r>
      <w:r>
        <w:rPr>
          <w:rFonts w:hint="eastAsia" w:ascii="仿宋" w:hAnsi="仿宋" w:eastAsia="仿宋" w:cs="仿宋"/>
          <w:i w:val="0"/>
          <w:color w:val="auto"/>
          <w:kern w:val="2"/>
          <w:sz w:val="28"/>
          <w:szCs w:val="28"/>
          <w:highlight w:val="none"/>
          <w:u w:val="single"/>
          <w:shd w:val="clear" w:color="auto" w:fill="FFFFFF"/>
          <w:lang w:val="en-US" w:eastAsia="zh-CN" w:bidi="ar-SA"/>
        </w:rPr>
        <w:t>（生产厂址）</w:t>
      </w:r>
      <w:r>
        <w:rPr>
          <w:rFonts w:hint="eastAsia" w:ascii="仿宋" w:hAnsi="仿宋" w:eastAsia="仿宋" w:cs="仿宋"/>
          <w:color w:val="auto"/>
          <w:kern w:val="2"/>
          <w:sz w:val="28"/>
          <w:szCs w:val="28"/>
          <w:highlight w:val="none"/>
          <w:shd w:val="clear" w:color="auto" w:fill="FFFFFF"/>
          <w:lang w:val="en-US" w:eastAsia="zh-CN" w:bidi="ar-SA"/>
        </w:rPr>
        <w:t>。</w:t>
      </w:r>
      <w:r>
        <w:rPr>
          <w:rFonts w:hint="eastAsia" w:ascii="仿宋" w:hAnsi="仿宋" w:eastAsia="仿宋" w:cs="仿宋"/>
          <w:i w:val="0"/>
          <w:strike/>
          <w:color w:val="auto"/>
          <w:kern w:val="2"/>
          <w:sz w:val="28"/>
          <w:szCs w:val="28"/>
          <w:highlight w:val="none"/>
          <w:u w:val="single"/>
          <w:shd w:val="clear" w:color="auto" w:fill="FFFFFF"/>
          <w:lang w:val="en-US" w:eastAsia="zh-CN" w:bidi="ar-SA"/>
        </w:rPr>
        <w:t>（产品名称1）</w:t>
      </w:r>
      <w:r>
        <w:rPr>
          <w:rFonts w:hint="eastAsia" w:ascii="仿宋" w:hAnsi="仿宋" w:eastAsia="仿宋" w:cs="仿宋"/>
          <w:color w:val="auto"/>
          <w:kern w:val="2"/>
          <w:sz w:val="28"/>
          <w:szCs w:val="28"/>
          <w:highlight w:val="none"/>
          <w:shd w:val="clear" w:color="auto" w:fill="FFFFFF"/>
          <w:lang w:val="en-US" w:eastAsia="zh-CN" w:bidi="ar-SA"/>
        </w:rPr>
        <w:t>的中国境内生产的组件成本占比≥</w:t>
      </w:r>
      <w:r>
        <w:rPr>
          <w:rFonts w:hint="eastAsia" w:ascii="仿宋" w:hAnsi="仿宋" w:eastAsia="仿宋" w:cs="仿宋"/>
          <w:i w:val="0"/>
          <w:strike/>
          <w:color w:val="auto"/>
          <w:kern w:val="2"/>
          <w:sz w:val="28"/>
          <w:szCs w:val="28"/>
          <w:highlight w:val="none"/>
          <w:u w:val="single"/>
          <w:shd w:val="clear" w:color="auto" w:fill="FFFFFF"/>
          <w:lang w:val="en-US" w:eastAsia="zh-CN" w:bidi="ar-SA"/>
        </w:rPr>
        <w:t>（规定比例）</w:t>
      </w:r>
      <w:r>
        <w:rPr>
          <w:rFonts w:hint="eastAsia" w:ascii="仿宋" w:hAnsi="仿宋" w:eastAsia="仿宋" w:cs="仿宋"/>
          <w:i w:val="0"/>
          <w:color w:val="auto"/>
          <w:kern w:val="2"/>
          <w:sz w:val="28"/>
          <w:szCs w:val="28"/>
          <w:highlight w:val="none"/>
          <w:shd w:val="clear" w:color="auto" w:fill="FFFFFF"/>
          <w:vertAlign w:val="superscript"/>
          <w:lang w:val="en-US" w:eastAsia="zh-CN" w:bidi="ar-SA"/>
        </w:rPr>
        <w:t>3</w:t>
      </w:r>
      <w:r>
        <w:rPr>
          <w:rFonts w:hint="eastAsia" w:ascii="仿宋" w:hAnsi="仿宋" w:eastAsia="仿宋" w:cs="仿宋"/>
          <w:color w:val="auto"/>
          <w:kern w:val="2"/>
          <w:sz w:val="28"/>
          <w:szCs w:val="28"/>
          <w:highlight w:val="none"/>
          <w:shd w:val="clear" w:color="auto" w:fill="FFFFFF"/>
          <w:lang w:val="en-US" w:eastAsia="zh-CN" w:bidi="ar-SA"/>
        </w:rPr>
        <w:t>。</w:t>
      </w:r>
      <w:r>
        <w:rPr>
          <w:rFonts w:hint="eastAsia" w:ascii="仿宋" w:hAnsi="仿宋" w:eastAsia="仿宋" w:cs="仿宋"/>
          <w:i w:val="0"/>
          <w:strike/>
          <w:color w:val="auto"/>
          <w:kern w:val="2"/>
          <w:sz w:val="28"/>
          <w:szCs w:val="28"/>
          <w:highlight w:val="none"/>
          <w:u w:val="single"/>
          <w:shd w:val="clear" w:color="auto" w:fill="FFFFFF"/>
          <w:lang w:val="en-US" w:eastAsia="zh-CN" w:bidi="ar-SA"/>
        </w:rPr>
        <w:t>（产品名称1）</w:t>
      </w:r>
      <w:r>
        <w:rPr>
          <w:rFonts w:hint="eastAsia" w:ascii="仿宋" w:hAnsi="仿宋" w:eastAsia="仿宋" w:cs="仿宋"/>
          <w:color w:val="auto"/>
          <w:kern w:val="2"/>
          <w:sz w:val="28"/>
          <w:szCs w:val="28"/>
          <w:highlight w:val="none"/>
          <w:shd w:val="clear" w:color="auto" w:fill="FFFFFF"/>
          <w:lang w:val="en-US" w:eastAsia="zh-CN" w:bidi="ar-SA"/>
        </w:rPr>
        <w:t>的</w:t>
      </w:r>
      <w:r>
        <w:rPr>
          <w:rFonts w:hint="eastAsia" w:ascii="仿宋" w:hAnsi="仿宋" w:eastAsia="仿宋" w:cs="仿宋"/>
          <w:i w:val="0"/>
          <w:strike/>
          <w:color w:val="auto"/>
          <w:kern w:val="2"/>
          <w:sz w:val="28"/>
          <w:szCs w:val="28"/>
          <w:highlight w:val="none"/>
          <w:u w:val="single"/>
          <w:shd w:val="clear" w:color="auto" w:fill="FFFFFF"/>
          <w:lang w:val="en-US" w:eastAsia="zh-CN" w:bidi="ar-SA"/>
        </w:rPr>
        <w:t>（关键组件）</w:t>
      </w:r>
      <w:r>
        <w:rPr>
          <w:rFonts w:hint="eastAsia" w:ascii="仿宋" w:hAnsi="仿宋" w:eastAsia="仿宋" w:cs="仿宋"/>
          <w:color w:val="auto"/>
          <w:kern w:val="2"/>
          <w:sz w:val="28"/>
          <w:szCs w:val="28"/>
          <w:highlight w:val="none"/>
          <w:shd w:val="clear" w:color="auto" w:fill="FFFFFF"/>
          <w:lang w:val="en-US" w:eastAsia="zh-CN" w:bidi="ar-SA"/>
        </w:rPr>
        <w:t>在中国境内生产。</w:t>
      </w:r>
      <w:r>
        <w:rPr>
          <w:rFonts w:hint="eastAsia" w:ascii="仿宋" w:hAnsi="仿宋" w:eastAsia="仿宋" w:cs="仿宋"/>
          <w:i w:val="0"/>
          <w:strike/>
          <w:color w:val="auto"/>
          <w:kern w:val="2"/>
          <w:sz w:val="28"/>
          <w:szCs w:val="28"/>
          <w:highlight w:val="none"/>
          <w:u w:val="single"/>
          <w:shd w:val="clear" w:color="auto" w:fill="FFFFFF"/>
          <w:lang w:val="en-US" w:eastAsia="zh-CN" w:bidi="ar-SA"/>
        </w:rPr>
        <w:t>（产品名称1）</w:t>
      </w:r>
      <w:r>
        <w:rPr>
          <w:rFonts w:hint="eastAsia" w:ascii="仿宋" w:hAnsi="仿宋" w:eastAsia="仿宋" w:cs="仿宋"/>
          <w:color w:val="auto"/>
          <w:kern w:val="2"/>
          <w:sz w:val="28"/>
          <w:szCs w:val="28"/>
          <w:highlight w:val="none"/>
          <w:shd w:val="clear" w:color="auto" w:fill="FFFFFF"/>
          <w:lang w:val="en-US" w:eastAsia="zh-CN" w:bidi="ar-SA"/>
        </w:rPr>
        <w:t>的</w:t>
      </w:r>
      <w:r>
        <w:rPr>
          <w:rFonts w:hint="eastAsia" w:ascii="仿宋" w:hAnsi="仿宋" w:eastAsia="仿宋" w:cs="仿宋"/>
          <w:i w:val="0"/>
          <w:strike/>
          <w:color w:val="auto"/>
          <w:kern w:val="2"/>
          <w:sz w:val="28"/>
          <w:szCs w:val="28"/>
          <w:highlight w:val="none"/>
          <w:u w:val="single"/>
          <w:shd w:val="clear" w:color="auto" w:fill="FFFFFF"/>
          <w:lang w:val="en-US" w:eastAsia="zh-CN" w:bidi="ar-SA"/>
        </w:rPr>
        <w:t>（关键工序）</w:t>
      </w:r>
      <w:r>
        <w:rPr>
          <w:rFonts w:hint="eastAsia" w:ascii="仿宋" w:hAnsi="仿宋" w:eastAsia="仿宋" w:cs="仿宋"/>
          <w:i w:val="0"/>
          <w:strike/>
          <w:color w:val="auto"/>
          <w:kern w:val="2"/>
          <w:sz w:val="28"/>
          <w:szCs w:val="28"/>
          <w:highlight w:val="none"/>
          <w:shd w:val="clear" w:color="auto" w:fill="FFFFFF"/>
          <w:vertAlign w:val="superscript"/>
          <w:lang w:val="en-US" w:eastAsia="zh-CN" w:bidi="ar-SA"/>
        </w:rPr>
        <w:t>5</w:t>
      </w:r>
      <w:r>
        <w:rPr>
          <w:rFonts w:hint="eastAsia" w:ascii="仿宋" w:hAnsi="仿宋" w:eastAsia="仿宋" w:cs="仿宋"/>
          <w:color w:val="auto"/>
          <w:kern w:val="2"/>
          <w:sz w:val="28"/>
          <w:szCs w:val="28"/>
          <w:highlight w:val="none"/>
          <w:shd w:val="clear" w:color="auto" w:fill="FFFFFF"/>
          <w:lang w:val="en-US" w:eastAsia="zh-CN" w:bidi="ar-SA"/>
        </w:rPr>
        <w:t>在中国境内完成。</w:t>
      </w:r>
    </w:p>
    <w:p w14:paraId="74AE3657">
      <w:pPr>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right="0" w:firstLine="480"/>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shd w:val="clear" w:color="auto" w:fill="FFFFFF"/>
          <w:lang w:val="en-US" w:eastAsia="zh-CN" w:bidi="ar-SA"/>
        </w:rPr>
        <w:t>2.</w:t>
      </w:r>
      <w:r>
        <w:rPr>
          <w:rFonts w:hint="eastAsia" w:ascii="仿宋" w:hAnsi="仿宋" w:eastAsia="仿宋" w:cs="仿宋"/>
          <w:i w:val="0"/>
          <w:color w:val="auto"/>
          <w:kern w:val="2"/>
          <w:sz w:val="28"/>
          <w:szCs w:val="28"/>
          <w:highlight w:val="none"/>
          <w:u w:val="single"/>
          <w:shd w:val="clear" w:color="auto" w:fill="FFFFFF"/>
          <w:lang w:val="en-US" w:eastAsia="zh-CN" w:bidi="ar-SA"/>
        </w:rPr>
        <w:t>（产品名称2）</w:t>
      </w:r>
      <w:r>
        <w:rPr>
          <w:rFonts w:hint="eastAsia" w:ascii="仿宋" w:hAnsi="仿宋" w:eastAsia="仿宋" w:cs="仿宋"/>
          <w:color w:val="auto"/>
          <w:kern w:val="2"/>
          <w:sz w:val="28"/>
          <w:szCs w:val="28"/>
          <w:highlight w:val="none"/>
          <w:shd w:val="clear" w:color="auto" w:fill="FFFFFF"/>
          <w:lang w:val="en-US" w:eastAsia="zh-CN" w:bidi="ar-SA"/>
        </w:rPr>
        <w:t>，生产厂为</w:t>
      </w:r>
      <w:r>
        <w:rPr>
          <w:rFonts w:hint="eastAsia" w:ascii="仿宋" w:hAnsi="仿宋" w:eastAsia="仿宋" w:cs="仿宋"/>
          <w:i w:val="0"/>
          <w:color w:val="auto"/>
          <w:kern w:val="2"/>
          <w:sz w:val="28"/>
          <w:szCs w:val="28"/>
          <w:highlight w:val="none"/>
          <w:u w:val="single"/>
          <w:shd w:val="clear" w:color="auto" w:fill="FFFFFF"/>
          <w:lang w:val="en-US" w:eastAsia="zh-CN" w:bidi="ar-SA"/>
        </w:rPr>
        <w:t>（厂名）</w:t>
      </w:r>
      <w:r>
        <w:rPr>
          <w:rFonts w:hint="eastAsia" w:ascii="仿宋" w:hAnsi="仿宋" w:eastAsia="仿宋" w:cs="仿宋"/>
          <w:color w:val="auto"/>
          <w:kern w:val="2"/>
          <w:sz w:val="28"/>
          <w:szCs w:val="28"/>
          <w:highlight w:val="none"/>
          <w:shd w:val="clear" w:color="auto" w:fill="FFFFFF"/>
          <w:lang w:val="en-US" w:eastAsia="zh-CN" w:bidi="ar-SA"/>
        </w:rPr>
        <w:t>，厂址为</w:t>
      </w:r>
      <w:r>
        <w:rPr>
          <w:rFonts w:hint="eastAsia" w:ascii="仿宋" w:hAnsi="仿宋" w:eastAsia="仿宋" w:cs="仿宋"/>
          <w:i w:val="0"/>
          <w:color w:val="auto"/>
          <w:kern w:val="2"/>
          <w:sz w:val="28"/>
          <w:szCs w:val="28"/>
          <w:highlight w:val="none"/>
          <w:u w:val="single"/>
          <w:shd w:val="clear" w:color="auto" w:fill="FFFFFF"/>
          <w:lang w:val="en-US" w:eastAsia="zh-CN" w:bidi="ar-SA"/>
        </w:rPr>
        <w:t>（生产厂址）</w:t>
      </w:r>
      <w:r>
        <w:rPr>
          <w:rFonts w:hint="eastAsia" w:ascii="仿宋" w:hAnsi="仿宋" w:eastAsia="仿宋" w:cs="仿宋"/>
          <w:color w:val="auto"/>
          <w:kern w:val="2"/>
          <w:sz w:val="28"/>
          <w:szCs w:val="28"/>
          <w:highlight w:val="none"/>
          <w:shd w:val="clear" w:color="auto" w:fill="FFFFFF"/>
          <w:lang w:val="en-US" w:eastAsia="zh-CN" w:bidi="ar-SA"/>
        </w:rPr>
        <w:t>。</w:t>
      </w:r>
      <w:r>
        <w:rPr>
          <w:rFonts w:hint="eastAsia" w:ascii="仿宋" w:hAnsi="仿宋" w:eastAsia="仿宋" w:cs="仿宋"/>
          <w:i w:val="0"/>
          <w:strike/>
          <w:color w:val="auto"/>
          <w:kern w:val="2"/>
          <w:sz w:val="28"/>
          <w:szCs w:val="28"/>
          <w:highlight w:val="none"/>
          <w:u w:val="single"/>
          <w:shd w:val="clear" w:color="auto" w:fill="FFFFFF"/>
          <w:lang w:val="en-US" w:eastAsia="zh-CN" w:bidi="ar-SA"/>
        </w:rPr>
        <w:t>（产品名称2）</w:t>
      </w:r>
      <w:r>
        <w:rPr>
          <w:rFonts w:hint="eastAsia" w:ascii="仿宋" w:hAnsi="仿宋" w:eastAsia="仿宋" w:cs="仿宋"/>
          <w:color w:val="auto"/>
          <w:kern w:val="2"/>
          <w:sz w:val="28"/>
          <w:szCs w:val="28"/>
          <w:highlight w:val="none"/>
          <w:shd w:val="clear" w:color="auto" w:fill="FFFFFF"/>
          <w:lang w:val="en-US" w:eastAsia="zh-CN" w:bidi="ar-SA"/>
        </w:rPr>
        <w:t>的中国境内生产的组件成本占比≥</w:t>
      </w:r>
      <w:r>
        <w:rPr>
          <w:rFonts w:hint="eastAsia" w:ascii="仿宋" w:hAnsi="仿宋" w:eastAsia="仿宋" w:cs="仿宋"/>
          <w:i w:val="0"/>
          <w:strike/>
          <w:color w:val="auto"/>
          <w:kern w:val="2"/>
          <w:sz w:val="28"/>
          <w:szCs w:val="28"/>
          <w:highlight w:val="none"/>
          <w:u w:val="single"/>
          <w:shd w:val="clear" w:color="auto" w:fill="FFFFFF"/>
          <w:lang w:val="en-US" w:eastAsia="zh-CN" w:bidi="ar-SA"/>
        </w:rPr>
        <w:t>（规定比例）</w:t>
      </w:r>
      <w:r>
        <w:rPr>
          <w:rFonts w:hint="eastAsia" w:ascii="仿宋" w:hAnsi="仿宋" w:eastAsia="仿宋" w:cs="仿宋"/>
          <w:color w:val="auto"/>
          <w:kern w:val="2"/>
          <w:sz w:val="28"/>
          <w:szCs w:val="28"/>
          <w:highlight w:val="none"/>
          <w:shd w:val="clear" w:color="auto" w:fill="FFFFFF"/>
          <w:lang w:val="en-US" w:eastAsia="zh-CN" w:bidi="ar-SA"/>
        </w:rPr>
        <w:t>。</w:t>
      </w:r>
      <w:r>
        <w:rPr>
          <w:rFonts w:hint="eastAsia" w:ascii="仿宋" w:hAnsi="仿宋" w:eastAsia="仿宋" w:cs="仿宋"/>
          <w:i w:val="0"/>
          <w:strike/>
          <w:color w:val="auto"/>
          <w:kern w:val="2"/>
          <w:sz w:val="28"/>
          <w:szCs w:val="28"/>
          <w:highlight w:val="none"/>
          <w:u w:val="single"/>
          <w:shd w:val="clear" w:color="auto" w:fill="FFFFFF"/>
          <w:lang w:val="en-US" w:eastAsia="zh-CN" w:bidi="ar-SA"/>
        </w:rPr>
        <w:t>（产品名称2）</w:t>
      </w:r>
      <w:r>
        <w:rPr>
          <w:rFonts w:hint="eastAsia" w:ascii="仿宋" w:hAnsi="仿宋" w:eastAsia="仿宋" w:cs="仿宋"/>
          <w:color w:val="auto"/>
          <w:kern w:val="2"/>
          <w:sz w:val="28"/>
          <w:szCs w:val="28"/>
          <w:highlight w:val="none"/>
          <w:shd w:val="clear" w:color="auto" w:fill="FFFFFF"/>
          <w:lang w:val="en-US" w:eastAsia="zh-CN" w:bidi="ar-SA"/>
        </w:rPr>
        <w:t>的</w:t>
      </w:r>
      <w:r>
        <w:rPr>
          <w:rFonts w:hint="eastAsia" w:ascii="仿宋" w:hAnsi="仿宋" w:eastAsia="仿宋" w:cs="仿宋"/>
          <w:i w:val="0"/>
          <w:strike/>
          <w:color w:val="auto"/>
          <w:kern w:val="2"/>
          <w:sz w:val="28"/>
          <w:szCs w:val="28"/>
          <w:highlight w:val="none"/>
          <w:u w:val="single"/>
          <w:shd w:val="clear" w:color="auto" w:fill="FFFFFF"/>
          <w:lang w:val="en-US" w:eastAsia="zh-CN" w:bidi="ar-SA"/>
        </w:rPr>
        <w:t>（关键组件）</w:t>
      </w:r>
      <w:r>
        <w:rPr>
          <w:rFonts w:hint="eastAsia" w:ascii="仿宋" w:hAnsi="仿宋" w:eastAsia="仿宋" w:cs="仿宋"/>
          <w:color w:val="auto"/>
          <w:kern w:val="2"/>
          <w:sz w:val="28"/>
          <w:szCs w:val="28"/>
          <w:highlight w:val="none"/>
          <w:shd w:val="clear" w:color="auto" w:fill="FFFFFF"/>
          <w:lang w:val="en-US" w:eastAsia="zh-CN" w:bidi="ar-SA"/>
        </w:rPr>
        <w:t>在中国境内生产。</w:t>
      </w:r>
      <w:r>
        <w:rPr>
          <w:rFonts w:hint="eastAsia" w:ascii="仿宋" w:hAnsi="仿宋" w:eastAsia="仿宋" w:cs="仿宋"/>
          <w:i w:val="0"/>
          <w:strike/>
          <w:color w:val="auto"/>
          <w:kern w:val="2"/>
          <w:sz w:val="28"/>
          <w:szCs w:val="28"/>
          <w:highlight w:val="none"/>
          <w:u w:val="single"/>
          <w:shd w:val="clear" w:color="auto" w:fill="FFFFFF"/>
          <w:lang w:val="en-US" w:eastAsia="zh-CN" w:bidi="ar-SA"/>
        </w:rPr>
        <w:t>（产品名称1）</w:t>
      </w:r>
      <w:r>
        <w:rPr>
          <w:rFonts w:hint="eastAsia" w:ascii="仿宋" w:hAnsi="仿宋" w:eastAsia="仿宋" w:cs="仿宋"/>
          <w:color w:val="auto"/>
          <w:kern w:val="2"/>
          <w:sz w:val="28"/>
          <w:szCs w:val="28"/>
          <w:highlight w:val="none"/>
          <w:shd w:val="clear" w:color="auto" w:fill="FFFFFF"/>
          <w:lang w:val="en-US" w:eastAsia="zh-CN" w:bidi="ar-SA"/>
        </w:rPr>
        <w:t>的</w:t>
      </w:r>
      <w:r>
        <w:rPr>
          <w:rFonts w:hint="eastAsia" w:ascii="仿宋" w:hAnsi="仿宋" w:eastAsia="仿宋" w:cs="仿宋"/>
          <w:i w:val="0"/>
          <w:strike/>
          <w:color w:val="auto"/>
          <w:kern w:val="2"/>
          <w:sz w:val="28"/>
          <w:szCs w:val="28"/>
          <w:highlight w:val="none"/>
          <w:u w:val="single"/>
          <w:shd w:val="clear" w:color="auto" w:fill="FFFFFF"/>
          <w:lang w:val="en-US" w:eastAsia="zh-CN" w:bidi="ar-SA"/>
        </w:rPr>
        <w:t>（关键工序）</w:t>
      </w:r>
      <w:r>
        <w:rPr>
          <w:rFonts w:hint="eastAsia" w:ascii="仿宋" w:hAnsi="仿宋" w:eastAsia="仿宋" w:cs="仿宋"/>
          <w:color w:val="auto"/>
          <w:kern w:val="2"/>
          <w:sz w:val="28"/>
          <w:szCs w:val="28"/>
          <w:highlight w:val="none"/>
          <w:shd w:val="clear" w:color="auto" w:fill="FFFFFF"/>
          <w:lang w:val="en-US" w:eastAsia="zh-CN" w:bidi="ar-SA"/>
        </w:rPr>
        <w:t>在中国境内完成。</w:t>
      </w:r>
    </w:p>
    <w:p w14:paraId="76A07611">
      <w:pPr>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right="0" w:firstLine="480"/>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shd w:val="clear" w:color="auto" w:fill="FFFFFF"/>
          <w:lang w:val="en-US" w:eastAsia="zh-CN" w:bidi="ar-SA"/>
        </w:rPr>
        <w:t>……</w:t>
      </w:r>
    </w:p>
    <w:p w14:paraId="4EEB8882">
      <w:pPr>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right="0" w:firstLine="480"/>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shd w:val="clear" w:color="auto" w:fill="FFFFFF"/>
          <w:lang w:val="en-US" w:eastAsia="zh-CN" w:bidi="ar-SA"/>
        </w:rPr>
        <w:t>本公司（单位）对上述声明内容的真实性负责。如有虚假，愿承担相应法律责任。</w:t>
      </w:r>
    </w:p>
    <w:p w14:paraId="1B56F8CE">
      <w:pPr>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right="0" w:firstLine="480"/>
        <w:jc w:val="left"/>
        <w:textAlignment w:val="auto"/>
        <w:rPr>
          <w:rFonts w:hint="eastAsia" w:ascii="仿宋" w:hAnsi="仿宋" w:eastAsia="仿宋" w:cs="仿宋"/>
          <w:color w:val="auto"/>
          <w:kern w:val="2"/>
          <w:sz w:val="28"/>
          <w:szCs w:val="28"/>
          <w:highlight w:val="none"/>
          <w:lang w:val="en-US" w:eastAsia="zh-CN" w:bidi="ar-SA"/>
        </w:rPr>
      </w:pPr>
    </w:p>
    <w:p w14:paraId="24C8F44F">
      <w:pPr>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right="0" w:firstLine="48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shd w:val="clear" w:color="auto" w:fill="FFFFFF"/>
          <w:lang w:val="en-US" w:eastAsia="zh-CN" w:bidi="ar-SA"/>
        </w:rPr>
        <w:t xml:space="preserve">           公司（单位）名称（电子签章）：</w:t>
      </w:r>
    </w:p>
    <w:p w14:paraId="388C4294">
      <w:pPr>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right="0" w:firstLine="48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shd w:val="clear" w:color="auto" w:fill="FFFFFF"/>
          <w:lang w:val="en-US" w:eastAsia="zh-CN" w:bidi="ar-SA"/>
        </w:rPr>
        <w:t xml:space="preserve">      日期：    年    月    日</w:t>
      </w:r>
    </w:p>
    <w:p w14:paraId="695EFB08">
      <w:pPr>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right="0" w:firstLine="480"/>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shd w:val="clear" w:color="auto" w:fill="FFFFFF"/>
          <w:lang w:val="en-US" w:eastAsia="zh-CN" w:bidi="ar-SA"/>
        </w:rPr>
        <w:t>__________________</w:t>
      </w:r>
    </w:p>
    <w:p w14:paraId="12069923">
      <w:pPr>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right="0" w:firstLine="480"/>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shd w:val="clear" w:color="auto" w:fill="FFFFFF"/>
          <w:lang w:val="en-US" w:eastAsia="zh-CN" w:bidi="ar-SA"/>
        </w:rPr>
        <w:t>1.产品如有型号，请在“产品名称”栏一并填写。</w:t>
      </w:r>
    </w:p>
    <w:p w14:paraId="1C32E938">
      <w:pPr>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right="0" w:firstLine="480"/>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shd w:val="clear" w:color="auto" w:fill="FFFFFF"/>
          <w:lang w:val="en-US" w:eastAsia="zh-CN" w:bidi="ar-SA"/>
        </w:rPr>
        <w:t>2.生产厂名与厂址应与生产厂营业执照载明的相关信息保持一致。</w:t>
      </w:r>
    </w:p>
    <w:p w14:paraId="30AA752C">
      <w:pPr>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right="0" w:firstLine="480"/>
        <w:jc w:val="left"/>
        <w:textAlignment w:val="auto"/>
        <w:rPr>
          <w:rFonts w:hint="eastAsia" w:ascii="仿宋" w:hAnsi="仿宋" w:eastAsia="仿宋" w:cs="仿宋"/>
          <w:color w:val="auto"/>
          <w:kern w:val="2"/>
          <w:sz w:val="28"/>
          <w:szCs w:val="28"/>
          <w:highlight w:val="none"/>
          <w:shd w:val="clear" w:color="auto" w:fill="FFFFFF"/>
          <w:lang w:val="en-US" w:eastAsia="zh-CN" w:bidi="ar-SA"/>
        </w:rPr>
      </w:pPr>
      <w:r>
        <w:rPr>
          <w:rFonts w:hint="eastAsia" w:ascii="仿宋" w:hAnsi="仿宋" w:eastAsia="仿宋" w:cs="仿宋"/>
          <w:color w:val="auto"/>
          <w:kern w:val="2"/>
          <w:sz w:val="28"/>
          <w:szCs w:val="28"/>
          <w:highlight w:val="none"/>
          <w:shd w:val="clear" w:color="auto" w:fill="FFFFFF"/>
          <w:lang w:val="en-US" w:eastAsia="zh-CN" w:bidi="ar-SA"/>
        </w:rPr>
        <w:t>3.该产品的中国境内生产的组件成本占比相关要求实施前，“规定比例”栏可不填，下同。</w:t>
      </w:r>
    </w:p>
    <w:p w14:paraId="55722AA1">
      <w:pPr>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right="0" w:firstLine="480"/>
        <w:jc w:val="left"/>
        <w:textAlignment w:val="auto"/>
        <w:rPr>
          <w:rFonts w:hint="eastAsia" w:ascii="仿宋" w:hAnsi="仿宋" w:eastAsia="仿宋" w:cs="仿宋"/>
          <w:color w:val="auto"/>
          <w:kern w:val="2"/>
          <w:sz w:val="28"/>
          <w:szCs w:val="28"/>
          <w:highlight w:val="none"/>
          <w:shd w:val="clear" w:color="auto" w:fill="FFFFFF"/>
          <w:lang w:val="en-US" w:eastAsia="zh-CN" w:bidi="ar-SA"/>
        </w:rPr>
      </w:pPr>
      <w:r>
        <w:rPr>
          <w:rFonts w:hint="eastAsia" w:ascii="仿宋" w:hAnsi="仿宋" w:eastAsia="仿宋" w:cs="仿宋"/>
          <w:color w:val="auto"/>
          <w:kern w:val="2"/>
          <w:sz w:val="28"/>
          <w:szCs w:val="28"/>
          <w:highlight w:val="none"/>
          <w:shd w:val="clear" w:color="auto" w:fill="FFFFFF"/>
          <w:lang w:val="en-US" w:eastAsia="zh-CN" w:bidi="ar-SA"/>
        </w:rPr>
        <w:t>4.该产品的关键组件要求实施前，“关键组件”栏可不填，下同。</w:t>
      </w:r>
    </w:p>
    <w:p w14:paraId="55FADDED">
      <w:pPr>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right="0" w:firstLine="480"/>
        <w:jc w:val="left"/>
        <w:textAlignment w:val="auto"/>
        <w:rPr>
          <w:rFonts w:hint="eastAsia" w:ascii="仿宋" w:hAnsi="仿宋" w:eastAsia="仿宋" w:cs="仿宋"/>
          <w:color w:val="auto"/>
          <w:kern w:val="2"/>
          <w:sz w:val="28"/>
          <w:szCs w:val="28"/>
          <w:highlight w:val="none"/>
          <w:shd w:val="clear" w:color="auto" w:fill="FFFFFF"/>
          <w:lang w:val="en-US" w:eastAsia="zh-CN" w:bidi="ar-SA"/>
        </w:rPr>
      </w:pPr>
      <w:r>
        <w:rPr>
          <w:rFonts w:hint="eastAsia" w:ascii="仿宋" w:hAnsi="仿宋" w:eastAsia="仿宋" w:cs="仿宋"/>
          <w:color w:val="auto"/>
          <w:kern w:val="2"/>
          <w:sz w:val="28"/>
          <w:szCs w:val="28"/>
          <w:highlight w:val="none"/>
          <w:shd w:val="clear" w:color="auto" w:fill="FFFFFF"/>
          <w:lang w:val="en-US" w:eastAsia="zh-CN" w:bidi="ar-SA"/>
        </w:rPr>
        <w:t>5.该产品的关键工序要求实施前，“关键工序”栏可不填，下同。</w:t>
      </w:r>
    </w:p>
    <w:p w14:paraId="0573DBBE">
      <w:pPr>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right="0" w:firstLine="480"/>
        <w:jc w:val="left"/>
        <w:textAlignment w:val="auto"/>
        <w:rPr>
          <w:rFonts w:hint="eastAsia" w:ascii="仿宋" w:hAnsi="仿宋" w:eastAsia="仿宋" w:cs="仿宋"/>
          <w:color w:val="auto"/>
          <w:kern w:val="2"/>
          <w:sz w:val="28"/>
          <w:szCs w:val="28"/>
          <w:highlight w:val="none"/>
          <w:shd w:val="clear" w:color="auto" w:fill="FFFFFF"/>
          <w:lang w:val="en-US" w:eastAsia="zh-CN" w:bidi="ar-SA"/>
        </w:rPr>
      </w:pPr>
      <w:r>
        <w:rPr>
          <w:rFonts w:hint="eastAsia" w:ascii="仿宋" w:hAnsi="仿宋" w:eastAsia="仿宋" w:cs="仿宋"/>
          <w:color w:val="auto"/>
          <w:kern w:val="2"/>
          <w:sz w:val="28"/>
          <w:szCs w:val="28"/>
          <w:highlight w:val="none"/>
          <w:shd w:val="clear" w:color="auto" w:fill="FFFFFF"/>
          <w:lang w:val="en-US" w:eastAsia="zh-CN" w:bidi="ar-SA"/>
        </w:rPr>
        <w:t>6.用横线划除的地方无需填写。</w:t>
      </w:r>
    </w:p>
    <w:sectPr>
      <w:pgSz w:w="11906" w:h="16838"/>
      <w:pgMar w:top="1417" w:right="1418" w:bottom="1417" w:left="1417"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华文彩云">
    <w:panose1 w:val="02010800040101010101"/>
    <w:charset w:val="86"/>
    <w:family w:val="auto"/>
    <w:pitch w:val="default"/>
    <w:sig w:usb0="00000001" w:usb1="080F0000" w:usb2="00000000" w:usb3="00000000" w:csb0="0004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Constantia">
    <w:panose1 w:val="02030602050306030303"/>
    <w:charset w:val="00"/>
    <w:family w:val="auto"/>
    <w:pitch w:val="default"/>
    <w:sig w:usb0="A00002EF" w:usb1="4000204B" w:usb2="00000000" w:usb3="00000000" w:csb0="2000019F"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Helvetica">
    <w:panose1 w:val="020B0504020202030204"/>
    <w:charset w:val="00"/>
    <w:family w:val="auto"/>
    <w:pitch w:val="default"/>
    <w:sig w:usb0="00000007"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1A44FC">
    <w:pPr>
      <w:pStyle w:val="3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87CEC8">
                          <w:pPr>
                            <w:pStyle w:val="30"/>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CvJoQQ2AgAAYwQAAA4AAAAAAAAAAQAgAAAAHwEAAGRycy9lMm9Eb2MueG1s&#10;UEsFBgAAAAAGAAYAWQEAAMcFAAAAAA==&#10;">
              <v:fill on="f" focussize="0,0"/>
              <v:stroke on="f" weight="0.5pt"/>
              <v:imagedata o:title=""/>
              <o:lock v:ext="edit" aspectratio="f"/>
              <v:textbox inset="0mm,0mm,0mm,0mm" style="mso-fit-shape-to-text:t;">
                <w:txbxContent>
                  <w:p w14:paraId="3987CEC8">
                    <w:pPr>
                      <w:pStyle w:val="30"/>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98E494">
    <w:pPr>
      <w:pStyle w:val="30"/>
      <w:framePr w:wrap="around" w:vAnchor="text" w:hAnchor="margin" w:xAlign="center" w:y="1"/>
      <w:rPr>
        <w:rStyle w:val="49"/>
      </w:rPr>
    </w:pPr>
    <w:r>
      <w:fldChar w:fldCharType="begin"/>
    </w:r>
    <w:r>
      <w:rPr>
        <w:rStyle w:val="49"/>
      </w:rPr>
      <w:instrText xml:space="preserve">PAGE  </w:instrText>
    </w:r>
    <w:r>
      <w:fldChar w:fldCharType="end"/>
    </w:r>
  </w:p>
  <w:p w14:paraId="7012A74D">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80AC4E">
    <w:pPr>
      <w:pStyle w:val="31"/>
      <w:pBdr>
        <w:bottom w:val="none" w:color="000000"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8EBF48">
    <w:pPr>
      <w:pStyle w:val="31"/>
      <w:pBdr>
        <w:bottom w:val="none" w:color="000000" w:sz="0" w:space="1"/>
      </w:pBdr>
      <w:jc w:val="both"/>
      <w:rPr>
        <w:rFonts w:hint="eastAsia" w:ascii="仿宋" w:hAnsi="仿宋" w:eastAsia="仿宋"/>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2"/>
      <w:numFmt w:val="chineseCountingThousand"/>
      <w:pStyle w:val="286"/>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1">
    <w:nsid w:val="0053208E"/>
    <w:multiLevelType w:val="multilevel"/>
    <w:tmpl w:val="0053208E"/>
    <w:lvl w:ilvl="0" w:tentative="0">
      <w:start w:val="1"/>
      <w:numFmt w:val="chineseCountingThousand"/>
      <w:pStyle w:val="280"/>
      <w:suff w:val="space"/>
      <w:lvlText w:val="%1、"/>
      <w:lvlJc w:val="left"/>
      <w:pPr>
        <w:tabs>
          <w:tab w:val="left" w:pos="420"/>
        </w:tabs>
        <w:ind w:left="420" w:hanging="420"/>
      </w:pPr>
      <w:rPr>
        <w:rFonts w:hint="eastAsia"/>
        <w:b/>
        <w:i w:val="0"/>
      </w:rPr>
    </w:lvl>
    <w:lvl w:ilvl="1" w:tentative="0">
      <w:start w:val="1"/>
      <w:numFmt w:val="lowerLetter"/>
      <w:suff w:val="space"/>
      <w:lvlText w:val="%2)"/>
      <w:lvlJc w:val="left"/>
      <w:pPr>
        <w:tabs>
          <w:tab w:val="left" w:pos="840"/>
        </w:tabs>
        <w:ind w:left="840" w:hanging="420"/>
      </w:pPr>
    </w:lvl>
    <w:lvl w:ilvl="2" w:tentative="0">
      <w:start w:val="1"/>
      <w:numFmt w:val="lowerRoman"/>
      <w:suff w:val="space"/>
      <w:lvlText w:val="%3."/>
      <w:lvlJc w:val="right"/>
      <w:pPr>
        <w:tabs>
          <w:tab w:val="left" w:pos="1260"/>
        </w:tabs>
        <w:ind w:left="1260" w:hanging="420"/>
      </w:pPr>
    </w:lvl>
    <w:lvl w:ilvl="3" w:tentative="0">
      <w:start w:val="1"/>
      <w:numFmt w:val="decimal"/>
      <w:suff w:val="space"/>
      <w:lvlText w:val="%4."/>
      <w:lvlJc w:val="left"/>
      <w:pPr>
        <w:tabs>
          <w:tab w:val="left" w:pos="1680"/>
        </w:tabs>
        <w:ind w:left="1680" w:hanging="420"/>
      </w:pPr>
    </w:lvl>
    <w:lvl w:ilvl="4" w:tentative="0">
      <w:start w:val="1"/>
      <w:numFmt w:val="lowerLetter"/>
      <w:suff w:val="space"/>
      <w:lvlText w:val="%5)"/>
      <w:lvlJc w:val="left"/>
      <w:pPr>
        <w:tabs>
          <w:tab w:val="left" w:pos="2100"/>
        </w:tabs>
        <w:ind w:left="2100" w:hanging="420"/>
      </w:pPr>
    </w:lvl>
    <w:lvl w:ilvl="5" w:tentative="0">
      <w:start w:val="1"/>
      <w:numFmt w:val="lowerRoman"/>
      <w:suff w:val="space"/>
      <w:lvlText w:val="%6."/>
      <w:lvlJc w:val="right"/>
      <w:pPr>
        <w:tabs>
          <w:tab w:val="left" w:pos="2520"/>
        </w:tabs>
        <w:ind w:left="2520" w:hanging="420"/>
      </w:pPr>
    </w:lvl>
    <w:lvl w:ilvl="6" w:tentative="0">
      <w:start w:val="1"/>
      <w:numFmt w:val="decimal"/>
      <w:suff w:val="space"/>
      <w:lvlText w:val="%7."/>
      <w:lvlJc w:val="left"/>
      <w:pPr>
        <w:tabs>
          <w:tab w:val="left" w:pos="2940"/>
        </w:tabs>
        <w:ind w:left="2940" w:hanging="420"/>
      </w:pPr>
    </w:lvl>
    <w:lvl w:ilvl="7" w:tentative="0">
      <w:start w:val="1"/>
      <w:numFmt w:val="lowerLetter"/>
      <w:suff w:val="space"/>
      <w:lvlText w:val="%8)"/>
      <w:lvlJc w:val="left"/>
      <w:pPr>
        <w:tabs>
          <w:tab w:val="left" w:pos="3360"/>
        </w:tabs>
        <w:ind w:left="3360" w:hanging="420"/>
      </w:pPr>
    </w:lvl>
    <w:lvl w:ilvl="8" w:tentative="0">
      <w:start w:val="1"/>
      <w:numFmt w:val="lowerRoman"/>
      <w:suff w:val="space"/>
      <w:lvlText w:val="%9."/>
      <w:lvlJc w:val="right"/>
      <w:pPr>
        <w:tabs>
          <w:tab w:val="left" w:pos="3780"/>
        </w:tabs>
        <w:ind w:left="3780" w:hanging="420"/>
      </w:pPr>
    </w:lvl>
  </w:abstractNum>
  <w:abstractNum w:abstractNumId="2">
    <w:nsid w:val="59ADCABA"/>
    <w:multiLevelType w:val="multilevel"/>
    <w:tmpl w:val="59ADCABA"/>
    <w:lvl w:ilvl="0" w:tentative="0">
      <w:start w:val="1"/>
      <w:numFmt w:val="chineseCountingThousand"/>
      <w:pStyle w:val="290"/>
      <w:suff w:val="nothing"/>
      <w:lvlText w:val="第%1章"/>
      <w:lvlJc w:val="left"/>
      <w:pPr>
        <w:ind w:left="640" w:firstLine="0"/>
      </w:pPr>
      <w:rPr>
        <w:rFonts w:hint="eastAsia"/>
      </w:rPr>
    </w:lvl>
    <w:lvl w:ilvl="1" w:tentative="0">
      <w:start w:val="1"/>
      <w:numFmt w:val="decimal"/>
      <w:suff w:val="nothing"/>
      <w:lvlText w:val=""/>
      <w:lvlJc w:val="left"/>
      <w:pPr>
        <w:ind w:left="640" w:firstLine="0"/>
      </w:pPr>
      <w:rPr>
        <w:rFonts w:hint="eastAsia"/>
      </w:rPr>
    </w:lvl>
    <w:lvl w:ilvl="2" w:tentative="0">
      <w:start w:val="1"/>
      <w:numFmt w:val="decimal"/>
      <w:suff w:val="nothing"/>
      <w:lvlText w:val=""/>
      <w:lvlJc w:val="left"/>
      <w:pPr>
        <w:ind w:left="640" w:firstLine="0"/>
      </w:pPr>
      <w:rPr>
        <w:rFonts w:hint="eastAsia"/>
      </w:rPr>
    </w:lvl>
    <w:lvl w:ilvl="3" w:tentative="0">
      <w:start w:val="1"/>
      <w:numFmt w:val="decimal"/>
      <w:suff w:val="nothing"/>
      <w:lvlText w:val=""/>
      <w:lvlJc w:val="left"/>
      <w:pPr>
        <w:ind w:left="640" w:firstLine="0"/>
      </w:pPr>
      <w:rPr>
        <w:rFonts w:hint="eastAsia"/>
      </w:rPr>
    </w:lvl>
    <w:lvl w:ilvl="4" w:tentative="0">
      <w:start w:val="1"/>
      <w:numFmt w:val="decimal"/>
      <w:suff w:val="nothing"/>
      <w:lvlText w:val=""/>
      <w:lvlJc w:val="left"/>
      <w:pPr>
        <w:ind w:left="640" w:firstLine="0"/>
      </w:pPr>
      <w:rPr>
        <w:rFonts w:hint="eastAsia"/>
      </w:rPr>
    </w:lvl>
    <w:lvl w:ilvl="5" w:tentative="0">
      <w:start w:val="1"/>
      <w:numFmt w:val="decimal"/>
      <w:suff w:val="nothing"/>
      <w:lvlText w:val=""/>
      <w:lvlJc w:val="left"/>
      <w:pPr>
        <w:ind w:left="640" w:firstLine="0"/>
      </w:pPr>
      <w:rPr>
        <w:rFonts w:hint="eastAsia"/>
      </w:rPr>
    </w:lvl>
    <w:lvl w:ilvl="6" w:tentative="0">
      <w:start w:val="1"/>
      <w:numFmt w:val="decimal"/>
      <w:suff w:val="nothing"/>
      <w:lvlText w:val=""/>
      <w:lvlJc w:val="left"/>
      <w:pPr>
        <w:ind w:left="640" w:firstLine="0"/>
      </w:pPr>
      <w:rPr>
        <w:rFonts w:hint="eastAsia"/>
      </w:rPr>
    </w:lvl>
    <w:lvl w:ilvl="7" w:tentative="0">
      <w:start w:val="1"/>
      <w:numFmt w:val="decimal"/>
      <w:suff w:val="nothing"/>
      <w:lvlText w:val=""/>
      <w:lvlJc w:val="left"/>
      <w:pPr>
        <w:ind w:left="640" w:firstLine="0"/>
      </w:pPr>
      <w:rPr>
        <w:rFonts w:hint="eastAsia"/>
      </w:rPr>
    </w:lvl>
    <w:lvl w:ilvl="8" w:tentative="0">
      <w:start w:val="1"/>
      <w:numFmt w:val="decimal"/>
      <w:suff w:val="nothing"/>
      <w:lvlText w:val=""/>
      <w:lvlJc w:val="left"/>
      <w:pPr>
        <w:ind w:left="640" w:firstLine="0"/>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B0507A"/>
    <w:rsid w:val="0451447E"/>
    <w:rsid w:val="0C8A10F3"/>
    <w:rsid w:val="192F6554"/>
    <w:rsid w:val="197B401F"/>
    <w:rsid w:val="30DF0193"/>
    <w:rsid w:val="343E6F76"/>
    <w:rsid w:val="34E04596"/>
    <w:rsid w:val="40A02E3F"/>
    <w:rsid w:val="45D84E9C"/>
    <w:rsid w:val="4C556CCF"/>
    <w:rsid w:val="4E6B4058"/>
    <w:rsid w:val="52AF2069"/>
    <w:rsid w:val="54594C92"/>
    <w:rsid w:val="55A0213D"/>
    <w:rsid w:val="59F62C88"/>
    <w:rsid w:val="5C94376A"/>
    <w:rsid w:val="5CC570B5"/>
    <w:rsid w:val="67263872"/>
    <w:rsid w:val="68C55CEA"/>
    <w:rsid w:val="6E0E76E6"/>
    <w:rsid w:val="70C0038F"/>
    <w:rsid w:val="74A46408"/>
    <w:rsid w:val="75FC2FAC"/>
    <w:rsid w:val="7A3D37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99"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99"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qFormat/>
    <w:uiPriority w:val="9"/>
    <w:pPr>
      <w:keepNext/>
      <w:keepLines/>
      <w:spacing w:before="340" w:after="330" w:line="578" w:lineRule="auto"/>
      <w:outlineLvl w:val="0"/>
    </w:pPr>
    <w:rPr>
      <w:b/>
      <w:bCs/>
      <w:sz w:val="44"/>
      <w:szCs w:val="44"/>
    </w:rPr>
  </w:style>
  <w:style w:type="paragraph" w:styleId="4">
    <w:name w:val="heading 2"/>
    <w:basedOn w:val="1"/>
    <w:next w:val="1"/>
    <w:qFormat/>
    <w:uiPriority w:val="9"/>
    <w:pPr>
      <w:keepNext/>
      <w:keepLines/>
      <w:spacing w:before="260" w:after="260" w:line="413" w:lineRule="auto"/>
      <w:outlineLvl w:val="1"/>
    </w:pPr>
    <w:rPr>
      <w:rFonts w:ascii="Arial" w:hAnsi="Arial" w:eastAsia="黑体"/>
      <w:b/>
      <w:sz w:val="32"/>
      <w:szCs w:val="20"/>
    </w:rPr>
  </w:style>
  <w:style w:type="paragraph" w:styleId="5">
    <w:name w:val="heading 3"/>
    <w:basedOn w:val="1"/>
    <w:next w:val="1"/>
    <w:qFormat/>
    <w:uiPriority w:val="9"/>
    <w:pPr>
      <w:keepNext/>
      <w:keepLines/>
      <w:spacing w:before="260" w:after="260" w:line="413" w:lineRule="auto"/>
      <w:outlineLvl w:val="2"/>
    </w:pPr>
    <w:rPr>
      <w:rFonts w:ascii="Arial" w:hAnsi="Arial"/>
      <w:b/>
      <w:sz w:val="32"/>
      <w:szCs w:val="20"/>
    </w:rPr>
  </w:style>
  <w:style w:type="paragraph" w:styleId="6">
    <w:name w:val="heading 4"/>
    <w:basedOn w:val="1"/>
    <w:next w:val="1"/>
    <w:link w:val="251"/>
    <w:qFormat/>
    <w:uiPriority w:val="9"/>
    <w:pPr>
      <w:keepNext/>
      <w:keepLines/>
      <w:spacing w:before="280" w:after="290" w:line="376" w:lineRule="auto"/>
      <w:outlineLvl w:val="3"/>
    </w:pPr>
    <w:rPr>
      <w:rFonts w:ascii="Cambria" w:hAnsi="Cambria"/>
      <w:b/>
      <w:bCs/>
      <w:sz w:val="28"/>
      <w:szCs w:val="28"/>
    </w:rPr>
  </w:style>
  <w:style w:type="paragraph" w:styleId="7">
    <w:name w:val="heading 5"/>
    <w:basedOn w:val="1"/>
    <w:next w:val="1"/>
    <w:link w:val="252"/>
    <w:qFormat/>
    <w:uiPriority w:val="9"/>
    <w:pPr>
      <w:keepNext/>
      <w:keepLines/>
      <w:spacing w:before="280" w:after="290" w:line="376" w:lineRule="auto"/>
      <w:outlineLvl w:val="4"/>
    </w:pPr>
    <w:rPr>
      <w:b/>
      <w:bCs/>
      <w:sz w:val="28"/>
      <w:szCs w:val="28"/>
    </w:rPr>
  </w:style>
  <w:style w:type="paragraph" w:styleId="8">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1"/>
    <w:qFormat/>
    <w:uiPriority w:val="0"/>
    <w:pPr>
      <w:ind w:firstLine="630"/>
    </w:pPr>
    <w:rPr>
      <w:rFonts w:ascii="楷体_GB2312" w:eastAsia="楷体_GB2312"/>
      <w:sz w:val="32"/>
      <w:szCs w:val="20"/>
    </w:rPr>
  </w:style>
  <w:style w:type="paragraph" w:styleId="12">
    <w:name w:val="toc 7"/>
    <w:basedOn w:val="1"/>
    <w:next w:val="1"/>
    <w:unhideWhenUsed/>
    <w:qFormat/>
    <w:uiPriority w:val="39"/>
    <w:pPr>
      <w:spacing w:after="57"/>
      <w:ind w:left="1701"/>
    </w:pPr>
  </w:style>
  <w:style w:type="paragraph" w:styleId="13">
    <w:name w:val="Normal Indent"/>
    <w:basedOn w:val="1"/>
    <w:next w:val="14"/>
    <w:link w:val="250"/>
    <w:qFormat/>
    <w:uiPriority w:val="0"/>
    <w:pPr>
      <w:ind w:firstLine="420"/>
    </w:pPr>
    <w:rPr>
      <w:szCs w:val="20"/>
    </w:rPr>
  </w:style>
  <w:style w:type="paragraph" w:styleId="14">
    <w:name w:val="toc 4"/>
    <w:basedOn w:val="1"/>
    <w:next w:val="1"/>
    <w:unhideWhenUsed/>
    <w:qFormat/>
    <w:uiPriority w:val="39"/>
    <w:pPr>
      <w:spacing w:after="57"/>
      <w:ind w:left="850"/>
    </w:pPr>
  </w:style>
  <w:style w:type="paragraph" w:styleId="15">
    <w:name w:val="caption"/>
    <w:basedOn w:val="1"/>
    <w:next w:val="1"/>
    <w:qFormat/>
    <w:uiPriority w:val="35"/>
    <w:pPr>
      <w:spacing w:before="156" w:after="156" w:line="360" w:lineRule="auto"/>
      <w:jc w:val="center"/>
    </w:pPr>
    <w:rPr>
      <w:rFonts w:ascii="Arial" w:hAnsi="Arial" w:cs="Arial"/>
      <w:sz w:val="24"/>
      <w:szCs w:val="20"/>
    </w:rPr>
  </w:style>
  <w:style w:type="paragraph" w:styleId="16">
    <w:name w:val="Document Map"/>
    <w:basedOn w:val="1"/>
    <w:semiHidden/>
    <w:qFormat/>
    <w:uiPriority w:val="0"/>
    <w:pPr>
      <w:shd w:val="clear" w:color="auto" w:fill="000080"/>
    </w:pPr>
  </w:style>
  <w:style w:type="paragraph" w:styleId="17">
    <w:name w:val="toa heading"/>
    <w:basedOn w:val="1"/>
    <w:next w:val="1"/>
    <w:qFormat/>
    <w:uiPriority w:val="99"/>
    <w:pPr>
      <w:spacing w:before="120"/>
    </w:pPr>
    <w:rPr>
      <w:rFonts w:ascii="Arial" w:hAnsi="Arial"/>
      <w:sz w:val="24"/>
    </w:rPr>
  </w:style>
  <w:style w:type="paragraph" w:styleId="18">
    <w:name w:val="annotation text"/>
    <w:basedOn w:val="1"/>
    <w:link w:val="253"/>
    <w:unhideWhenUsed/>
    <w:qFormat/>
    <w:uiPriority w:val="99"/>
    <w:pPr>
      <w:jc w:val="left"/>
    </w:pPr>
  </w:style>
  <w:style w:type="paragraph" w:styleId="19">
    <w:name w:val="Body Text 3"/>
    <w:basedOn w:val="1"/>
    <w:qFormat/>
    <w:uiPriority w:val="0"/>
    <w:rPr>
      <w:rFonts w:ascii="楷体_GB2312" w:hAnsi="Arial" w:eastAsia="楷体_GB2312" w:cs="Arial"/>
      <w:b/>
      <w:bCs/>
      <w:color w:val="000000"/>
      <w:sz w:val="24"/>
    </w:rPr>
  </w:style>
  <w:style w:type="paragraph" w:styleId="20">
    <w:name w:val="Body Text"/>
    <w:basedOn w:val="1"/>
    <w:next w:val="2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styleId="21">
    <w:name w:val="toc 9"/>
    <w:basedOn w:val="1"/>
    <w:next w:val="1"/>
    <w:unhideWhenUsed/>
    <w:qFormat/>
    <w:uiPriority w:val="39"/>
    <w:pPr>
      <w:spacing w:after="57"/>
      <w:ind w:left="2268"/>
    </w:pPr>
  </w:style>
  <w:style w:type="paragraph" w:styleId="22">
    <w:name w:val="Block Text"/>
    <w:basedOn w:val="1"/>
    <w:qFormat/>
    <w:uiPriority w:val="0"/>
    <w:pPr>
      <w:ind w:left="420" w:right="33"/>
      <w:jc w:val="left"/>
    </w:pPr>
    <w:rPr>
      <w:sz w:val="24"/>
      <w:szCs w:val="20"/>
    </w:rPr>
  </w:style>
  <w:style w:type="paragraph" w:styleId="23">
    <w:name w:val="toc 5"/>
    <w:basedOn w:val="1"/>
    <w:next w:val="1"/>
    <w:unhideWhenUsed/>
    <w:qFormat/>
    <w:uiPriority w:val="39"/>
    <w:pPr>
      <w:spacing w:after="57"/>
      <w:ind w:left="1134"/>
    </w:pPr>
  </w:style>
  <w:style w:type="paragraph" w:styleId="24">
    <w:name w:val="toc 3"/>
    <w:basedOn w:val="1"/>
    <w:next w:val="1"/>
    <w:semiHidden/>
    <w:qFormat/>
    <w:uiPriority w:val="0"/>
    <w:pPr>
      <w:tabs>
        <w:tab w:val="right" w:leader="dot" w:pos="9344"/>
      </w:tabs>
      <w:spacing w:line="300" w:lineRule="auto"/>
      <w:ind w:left="840"/>
    </w:pPr>
    <w:rPr>
      <w:rFonts w:ascii="Arial" w:hAnsi="Arial" w:cs="Arial"/>
      <w:szCs w:val="21"/>
    </w:rPr>
  </w:style>
  <w:style w:type="paragraph" w:styleId="25">
    <w:name w:val="Plain Text"/>
    <w:basedOn w:val="1"/>
    <w:link w:val="254"/>
    <w:qFormat/>
    <w:uiPriority w:val="99"/>
    <w:rPr>
      <w:rFonts w:ascii="宋体" w:hAnsi="Courier New"/>
      <w:szCs w:val="20"/>
    </w:rPr>
  </w:style>
  <w:style w:type="paragraph" w:styleId="26">
    <w:name w:val="toc 8"/>
    <w:basedOn w:val="1"/>
    <w:next w:val="1"/>
    <w:unhideWhenUsed/>
    <w:qFormat/>
    <w:uiPriority w:val="39"/>
    <w:pPr>
      <w:spacing w:after="57"/>
      <w:ind w:left="1984"/>
    </w:pPr>
  </w:style>
  <w:style w:type="paragraph" w:styleId="27">
    <w:name w:val="Body Text Indent 2"/>
    <w:basedOn w:val="1"/>
    <w:qFormat/>
    <w:uiPriority w:val="0"/>
    <w:pPr>
      <w:spacing w:after="120" w:line="480" w:lineRule="auto"/>
      <w:ind w:left="420"/>
    </w:pPr>
  </w:style>
  <w:style w:type="paragraph" w:styleId="28">
    <w:name w:val="endnote text"/>
    <w:basedOn w:val="1"/>
    <w:link w:val="248"/>
    <w:semiHidden/>
    <w:unhideWhenUsed/>
    <w:qFormat/>
    <w:uiPriority w:val="99"/>
    <w:rPr>
      <w:sz w:val="20"/>
      <w:szCs w:val="20"/>
    </w:rPr>
  </w:style>
  <w:style w:type="paragraph" w:styleId="29">
    <w:name w:val="Balloon Text"/>
    <w:basedOn w:val="1"/>
    <w:link w:val="255"/>
    <w:qFormat/>
    <w:uiPriority w:val="0"/>
    <w:rPr>
      <w:sz w:val="18"/>
      <w:szCs w:val="18"/>
    </w:rPr>
  </w:style>
  <w:style w:type="paragraph" w:styleId="30">
    <w:name w:val="footer"/>
    <w:basedOn w:val="1"/>
    <w:link w:val="256"/>
    <w:qFormat/>
    <w:uiPriority w:val="99"/>
    <w:pPr>
      <w:tabs>
        <w:tab w:val="center" w:pos="4153"/>
        <w:tab w:val="right" w:pos="8306"/>
      </w:tabs>
      <w:jc w:val="left"/>
    </w:pPr>
    <w:rPr>
      <w:sz w:val="18"/>
      <w:szCs w:val="18"/>
    </w:rPr>
  </w:style>
  <w:style w:type="paragraph" w:styleId="31">
    <w:name w:val="header"/>
    <w:basedOn w:val="1"/>
    <w:link w:val="257"/>
    <w:qFormat/>
    <w:uiPriority w:val="0"/>
    <w:pPr>
      <w:pBdr>
        <w:bottom w:val="single" w:color="000000" w:sz="6" w:space="1"/>
      </w:pBdr>
      <w:tabs>
        <w:tab w:val="center" w:pos="4153"/>
        <w:tab w:val="right" w:pos="8306"/>
      </w:tabs>
      <w:jc w:val="center"/>
    </w:pPr>
    <w:rPr>
      <w:sz w:val="18"/>
      <w:szCs w:val="18"/>
    </w:rPr>
  </w:style>
  <w:style w:type="paragraph" w:styleId="32">
    <w:name w:val="toc 1"/>
    <w:basedOn w:val="1"/>
    <w:next w:val="1"/>
    <w:semiHidden/>
    <w:qFormat/>
    <w:uiPriority w:val="0"/>
  </w:style>
  <w:style w:type="paragraph" w:styleId="33">
    <w:name w:val="Subtitle"/>
    <w:basedOn w:val="1"/>
    <w:next w:val="1"/>
    <w:link w:val="111"/>
    <w:qFormat/>
    <w:uiPriority w:val="11"/>
    <w:pPr>
      <w:spacing w:before="200" w:after="200"/>
    </w:pPr>
    <w:rPr>
      <w:sz w:val="24"/>
    </w:rPr>
  </w:style>
  <w:style w:type="paragraph" w:styleId="34">
    <w:name w:val="footnote text"/>
    <w:basedOn w:val="1"/>
    <w:link w:val="247"/>
    <w:semiHidden/>
    <w:unhideWhenUsed/>
    <w:qFormat/>
    <w:uiPriority w:val="99"/>
    <w:pPr>
      <w:spacing w:after="40"/>
    </w:pPr>
    <w:rPr>
      <w:sz w:val="18"/>
      <w:szCs w:val="20"/>
    </w:rPr>
  </w:style>
  <w:style w:type="paragraph" w:styleId="35">
    <w:name w:val="toc 6"/>
    <w:basedOn w:val="1"/>
    <w:next w:val="1"/>
    <w:unhideWhenUsed/>
    <w:qFormat/>
    <w:uiPriority w:val="39"/>
    <w:pPr>
      <w:spacing w:after="57"/>
      <w:ind w:left="1417"/>
    </w:pPr>
  </w:style>
  <w:style w:type="paragraph" w:styleId="36">
    <w:name w:val="Body Text Indent 3"/>
    <w:basedOn w:val="1"/>
    <w:qFormat/>
    <w:uiPriority w:val="99"/>
    <w:pPr>
      <w:ind w:firstLine="420"/>
    </w:pPr>
    <w:rPr>
      <w:rFonts w:eastAsia="楷体_GB2312"/>
    </w:rPr>
  </w:style>
  <w:style w:type="paragraph" w:styleId="37">
    <w:name w:val="table of figures"/>
    <w:basedOn w:val="1"/>
    <w:next w:val="1"/>
    <w:unhideWhenUsed/>
    <w:qFormat/>
    <w:uiPriority w:val="99"/>
  </w:style>
  <w:style w:type="paragraph" w:styleId="38">
    <w:name w:val="toc 2"/>
    <w:basedOn w:val="1"/>
    <w:next w:val="1"/>
    <w:semiHidden/>
    <w:qFormat/>
    <w:uiPriority w:val="0"/>
    <w:pPr>
      <w:ind w:left="420"/>
    </w:pPr>
    <w:rPr>
      <w:szCs w:val="20"/>
    </w:rPr>
  </w:style>
  <w:style w:type="paragraph" w:styleId="39">
    <w:name w:val="Body Text 2"/>
    <w:basedOn w:val="1"/>
    <w:link w:val="258"/>
    <w:qFormat/>
    <w:uiPriority w:val="0"/>
    <w:pPr>
      <w:spacing w:line="440" w:lineRule="exact"/>
    </w:pPr>
    <w:rPr>
      <w:rFonts w:ascii="楷体_GB2312" w:eastAsia="楷体_GB2312"/>
      <w:sz w:val="28"/>
    </w:rPr>
  </w:style>
  <w:style w:type="paragraph" w:styleId="40">
    <w:name w:val="Normal (Web)"/>
    <w:basedOn w:val="1"/>
    <w:qFormat/>
    <w:uiPriority w:val="99"/>
    <w:pPr>
      <w:spacing w:before="100" w:beforeAutospacing="1" w:after="100" w:afterAutospacing="1"/>
      <w:jc w:val="left"/>
    </w:pPr>
    <w:rPr>
      <w:sz w:val="24"/>
      <w:szCs w:val="20"/>
    </w:rPr>
  </w:style>
  <w:style w:type="paragraph" w:styleId="41">
    <w:name w:val="Title"/>
    <w:basedOn w:val="1"/>
    <w:next w:val="1"/>
    <w:link w:val="110"/>
    <w:qFormat/>
    <w:uiPriority w:val="10"/>
    <w:pPr>
      <w:spacing w:before="300" w:after="200"/>
      <w:contextualSpacing/>
    </w:pPr>
    <w:rPr>
      <w:sz w:val="48"/>
      <w:szCs w:val="48"/>
    </w:rPr>
  </w:style>
  <w:style w:type="paragraph" w:styleId="42">
    <w:name w:val="annotation subject"/>
    <w:basedOn w:val="18"/>
    <w:next w:val="18"/>
    <w:link w:val="259"/>
    <w:qFormat/>
    <w:uiPriority w:val="0"/>
    <w:rPr>
      <w:b/>
      <w:bCs/>
    </w:rPr>
  </w:style>
  <w:style w:type="paragraph" w:styleId="43">
    <w:name w:val="Body Text First Indent 2"/>
    <w:basedOn w:val="2"/>
    <w:qFormat/>
    <w:uiPriority w:val="0"/>
    <w:pPr>
      <w:widowControl/>
      <w:spacing w:after="120"/>
      <w:ind w:left="420" w:firstLine="420"/>
    </w:pPr>
    <w:rPr>
      <w:rFonts w:ascii="仿宋_GB2312" w:eastAsia="仿宋_GB2312"/>
      <w:color w:val="FF6600"/>
      <w:sz w:val="21"/>
    </w:rPr>
  </w:style>
  <w:style w:type="table" w:styleId="45">
    <w:name w:val="Table Grid"/>
    <w:basedOn w:val="44"/>
    <w:qFormat/>
    <w:uiPriority w:val="0"/>
    <w:rPr>
      <w:rFonts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qFormat/>
    <w:uiPriority w:val="0"/>
  </w:style>
  <w:style w:type="character" w:styleId="48">
    <w:name w:val="endnote reference"/>
    <w:semiHidden/>
    <w:unhideWhenUsed/>
    <w:qFormat/>
    <w:uiPriority w:val="99"/>
    <w:rPr>
      <w:vertAlign w:val="superscript"/>
    </w:rPr>
  </w:style>
  <w:style w:type="character" w:styleId="49">
    <w:name w:val="page number"/>
    <w:qFormat/>
    <w:uiPriority w:val="0"/>
  </w:style>
  <w:style w:type="character" w:styleId="50">
    <w:name w:val="FollowedHyperlink"/>
    <w:qFormat/>
    <w:uiPriority w:val="0"/>
    <w:rPr>
      <w:color w:val="800080"/>
      <w:u w:val="none"/>
    </w:rPr>
  </w:style>
  <w:style w:type="character" w:styleId="51">
    <w:name w:val="Emphasis"/>
    <w:qFormat/>
    <w:uiPriority w:val="0"/>
  </w:style>
  <w:style w:type="character" w:styleId="52">
    <w:name w:val="HTML Definition"/>
    <w:qFormat/>
    <w:uiPriority w:val="0"/>
  </w:style>
  <w:style w:type="character" w:styleId="53">
    <w:name w:val="HTML Typewriter"/>
    <w:qFormat/>
    <w:uiPriority w:val="0"/>
    <w:rPr>
      <w:rFonts w:ascii="monospace" w:hAnsi="monospace" w:eastAsia="monospace" w:cs="monospace"/>
      <w:sz w:val="20"/>
    </w:rPr>
  </w:style>
  <w:style w:type="character" w:styleId="54">
    <w:name w:val="HTML Acronym"/>
    <w:qFormat/>
    <w:uiPriority w:val="0"/>
  </w:style>
  <w:style w:type="character" w:styleId="55">
    <w:name w:val="HTML Variable"/>
    <w:qFormat/>
    <w:uiPriority w:val="0"/>
  </w:style>
  <w:style w:type="character" w:styleId="56">
    <w:name w:val="Hyperlink"/>
    <w:qFormat/>
    <w:uiPriority w:val="0"/>
    <w:rPr>
      <w:color w:val="0000FF"/>
      <w:u w:val="none"/>
    </w:rPr>
  </w:style>
  <w:style w:type="character" w:styleId="57">
    <w:name w:val="HTML Code"/>
    <w:qFormat/>
    <w:uiPriority w:val="0"/>
    <w:rPr>
      <w:rFonts w:ascii="monospace" w:hAnsi="monospace" w:eastAsia="monospace" w:cs="monospace"/>
      <w:sz w:val="20"/>
    </w:rPr>
  </w:style>
  <w:style w:type="character" w:styleId="58">
    <w:name w:val="annotation reference"/>
    <w:basedOn w:val="46"/>
    <w:qFormat/>
    <w:uiPriority w:val="0"/>
    <w:rPr>
      <w:sz w:val="21"/>
      <w:szCs w:val="21"/>
    </w:rPr>
  </w:style>
  <w:style w:type="character" w:styleId="59">
    <w:name w:val="HTML Cite"/>
    <w:qFormat/>
    <w:uiPriority w:val="0"/>
  </w:style>
  <w:style w:type="character" w:styleId="60">
    <w:name w:val="footnote reference"/>
    <w:unhideWhenUsed/>
    <w:qFormat/>
    <w:uiPriority w:val="99"/>
    <w:rPr>
      <w:vertAlign w:val="superscript"/>
    </w:rPr>
  </w:style>
  <w:style w:type="character" w:styleId="61">
    <w:name w:val="HTML Keyboard"/>
    <w:qFormat/>
    <w:uiPriority w:val="0"/>
    <w:rPr>
      <w:rFonts w:ascii="monospace" w:hAnsi="monospace" w:eastAsia="monospace" w:cs="monospace"/>
      <w:sz w:val="20"/>
    </w:rPr>
  </w:style>
  <w:style w:type="character" w:styleId="62">
    <w:name w:val="HTML Sample"/>
    <w:qFormat/>
    <w:uiPriority w:val="0"/>
    <w:rPr>
      <w:rFonts w:ascii="monospace" w:hAnsi="monospace" w:eastAsia="monospace" w:cs="monospace"/>
    </w:rPr>
  </w:style>
  <w:style w:type="paragraph" w:customStyle="1" w:styleId="63">
    <w:name w:val="正文首行缩进 21"/>
    <w:basedOn w:val="20"/>
    <w:next w:val="1"/>
    <w:qFormat/>
    <w:uiPriority w:val="0"/>
    <w:pPr>
      <w:widowControl/>
      <w:ind w:firstLine="420" w:firstLineChars="200"/>
      <w:jc w:val="left"/>
    </w:pPr>
  </w:style>
  <w:style w:type="table" w:customStyle="1" w:styleId="64">
    <w:name w:val="Plain Table 1"/>
    <w:basedOn w:val="4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Plain Table 2"/>
    <w:basedOn w:val="4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Plain Table 3"/>
    <w:basedOn w:val="4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4"/>
    <w:basedOn w:val="4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5"/>
    <w:basedOn w:val="4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Grid Table 1 Light"/>
    <w:basedOn w:val="4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2"/>
    <w:basedOn w:val="4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3"/>
    <w:basedOn w:val="4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4"/>
    <w:basedOn w:val="4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5 Dark"/>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4">
    <w:name w:val="Grid Table 6 Colorful"/>
    <w:basedOn w:val="4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5">
    <w:name w:val="Grid Table 7 Colorful"/>
    <w:basedOn w:val="4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6">
    <w:name w:val="List Table 1 Light"/>
    <w:basedOn w:val="4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7">
    <w:name w:val="List Table 2"/>
    <w:basedOn w:val="4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8">
    <w:name w:val="List Table 3"/>
    <w:basedOn w:val="4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9">
    <w:name w:val="List Table 4"/>
    <w:basedOn w:val="4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0">
    <w:name w:val="List Table 5 Dark"/>
    <w:basedOn w:val="4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1">
    <w:name w:val="List Table 6 Colorful"/>
    <w:basedOn w:val="4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2">
    <w:name w:val="List Table 7 Colorful"/>
    <w:basedOn w:val="4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83">
    <w:name w:val="TOC Heading"/>
    <w:unhideWhenUsed/>
    <w:qFormat/>
    <w:uiPriority w:val="39"/>
    <w:rPr>
      <w:rFonts w:hint="default" w:ascii="Times New Roman" w:hAnsi="Times New Roman" w:eastAsia="宋体" w:cs="Times New Roman"/>
    </w:rPr>
  </w:style>
  <w:style w:type="character" w:customStyle="1" w:styleId="84">
    <w:name w:val="Title Char"/>
    <w:basedOn w:val="46"/>
    <w:qFormat/>
    <w:uiPriority w:val="10"/>
    <w:rPr>
      <w:sz w:val="48"/>
      <w:szCs w:val="48"/>
    </w:rPr>
  </w:style>
  <w:style w:type="character" w:customStyle="1" w:styleId="85">
    <w:name w:val="Subtitle Char"/>
    <w:basedOn w:val="46"/>
    <w:qFormat/>
    <w:uiPriority w:val="11"/>
    <w:rPr>
      <w:sz w:val="24"/>
      <w:szCs w:val="24"/>
    </w:rPr>
  </w:style>
  <w:style w:type="character" w:customStyle="1" w:styleId="86">
    <w:name w:val="Quote Char"/>
    <w:qFormat/>
    <w:uiPriority w:val="29"/>
    <w:rPr>
      <w:i/>
    </w:rPr>
  </w:style>
  <w:style w:type="character" w:customStyle="1" w:styleId="87">
    <w:name w:val="Intense Quote Char"/>
    <w:qFormat/>
    <w:uiPriority w:val="30"/>
    <w:rPr>
      <w:i/>
    </w:rPr>
  </w:style>
  <w:style w:type="character" w:customStyle="1" w:styleId="88">
    <w:name w:val="Footnote Text Char"/>
    <w:qFormat/>
    <w:uiPriority w:val="99"/>
    <w:rPr>
      <w:sz w:val="18"/>
    </w:rPr>
  </w:style>
  <w:style w:type="character" w:customStyle="1" w:styleId="89">
    <w:name w:val="Endnote Text Char"/>
    <w:qFormat/>
    <w:uiPriority w:val="99"/>
    <w:rPr>
      <w:sz w:val="20"/>
    </w:rPr>
  </w:style>
  <w:style w:type="paragraph" w:customStyle="1" w:styleId="90">
    <w:name w:val="TOC 标题1"/>
    <w:unhideWhenUsed/>
    <w:qFormat/>
    <w:uiPriority w:val="39"/>
    <w:rPr>
      <w:rFonts w:hint="default" w:ascii="Times New Roman" w:hAnsi="Times New Roman" w:eastAsia="宋体" w:cs="Times New Roman"/>
      <w:lang w:val="en-US" w:eastAsia="zh-CN" w:bidi="ar-SA"/>
    </w:rPr>
  </w:style>
  <w:style w:type="paragraph" w:customStyle="1" w:styleId="91">
    <w:name w:val="标题 11"/>
    <w:basedOn w:val="1"/>
    <w:next w:val="1"/>
    <w:link w:val="92"/>
    <w:qFormat/>
    <w:uiPriority w:val="9"/>
    <w:pPr>
      <w:keepNext/>
      <w:keepLines/>
      <w:spacing w:before="480" w:after="200"/>
      <w:outlineLvl w:val="0"/>
    </w:pPr>
    <w:rPr>
      <w:rFonts w:ascii="Arial" w:hAnsi="Arial" w:eastAsia="Arial"/>
      <w:sz w:val="40"/>
      <w:szCs w:val="40"/>
    </w:rPr>
  </w:style>
  <w:style w:type="character" w:customStyle="1" w:styleId="92">
    <w:name w:val="Heading 1 Char"/>
    <w:link w:val="91"/>
    <w:qFormat/>
    <w:uiPriority w:val="9"/>
    <w:rPr>
      <w:rFonts w:ascii="Arial" w:hAnsi="Arial" w:eastAsia="Arial" w:cs="Arial"/>
      <w:sz w:val="40"/>
      <w:szCs w:val="40"/>
    </w:rPr>
  </w:style>
  <w:style w:type="paragraph" w:customStyle="1" w:styleId="93">
    <w:name w:val="标题 21"/>
    <w:basedOn w:val="1"/>
    <w:next w:val="1"/>
    <w:link w:val="94"/>
    <w:unhideWhenUsed/>
    <w:qFormat/>
    <w:uiPriority w:val="9"/>
    <w:pPr>
      <w:keepNext/>
      <w:keepLines/>
      <w:spacing w:before="360" w:after="200"/>
      <w:outlineLvl w:val="1"/>
    </w:pPr>
    <w:rPr>
      <w:rFonts w:ascii="Arial" w:hAnsi="Arial" w:eastAsia="Arial"/>
      <w:sz w:val="34"/>
      <w:szCs w:val="20"/>
    </w:rPr>
  </w:style>
  <w:style w:type="character" w:customStyle="1" w:styleId="94">
    <w:name w:val="Heading 2 Char"/>
    <w:link w:val="93"/>
    <w:qFormat/>
    <w:uiPriority w:val="9"/>
    <w:rPr>
      <w:rFonts w:ascii="Arial" w:hAnsi="Arial" w:eastAsia="Arial" w:cs="Arial"/>
      <w:sz w:val="34"/>
    </w:rPr>
  </w:style>
  <w:style w:type="paragraph" w:customStyle="1" w:styleId="95">
    <w:name w:val="标题 31"/>
    <w:basedOn w:val="1"/>
    <w:next w:val="1"/>
    <w:link w:val="96"/>
    <w:unhideWhenUsed/>
    <w:qFormat/>
    <w:uiPriority w:val="9"/>
    <w:pPr>
      <w:keepNext/>
      <w:keepLines/>
      <w:spacing w:before="320" w:after="200"/>
      <w:outlineLvl w:val="2"/>
    </w:pPr>
    <w:rPr>
      <w:rFonts w:ascii="Arial" w:hAnsi="Arial" w:eastAsia="Arial"/>
      <w:sz w:val="30"/>
      <w:szCs w:val="30"/>
    </w:rPr>
  </w:style>
  <w:style w:type="character" w:customStyle="1" w:styleId="96">
    <w:name w:val="Heading 3 Char"/>
    <w:link w:val="95"/>
    <w:qFormat/>
    <w:uiPriority w:val="9"/>
    <w:rPr>
      <w:rFonts w:ascii="Arial" w:hAnsi="Arial" w:eastAsia="Arial" w:cs="Arial"/>
      <w:sz w:val="30"/>
      <w:szCs w:val="30"/>
    </w:rPr>
  </w:style>
  <w:style w:type="paragraph" w:customStyle="1" w:styleId="97">
    <w:name w:val="标题 41"/>
    <w:basedOn w:val="1"/>
    <w:next w:val="1"/>
    <w:link w:val="98"/>
    <w:unhideWhenUsed/>
    <w:qFormat/>
    <w:uiPriority w:val="9"/>
    <w:pPr>
      <w:keepNext/>
      <w:keepLines/>
      <w:spacing w:before="320" w:after="200"/>
      <w:outlineLvl w:val="3"/>
    </w:pPr>
    <w:rPr>
      <w:rFonts w:ascii="Arial" w:hAnsi="Arial" w:eastAsia="Arial"/>
      <w:b/>
      <w:bCs/>
      <w:sz w:val="26"/>
      <w:szCs w:val="26"/>
    </w:rPr>
  </w:style>
  <w:style w:type="character" w:customStyle="1" w:styleId="98">
    <w:name w:val="Heading 4 Char"/>
    <w:link w:val="97"/>
    <w:qFormat/>
    <w:uiPriority w:val="9"/>
    <w:rPr>
      <w:rFonts w:ascii="Arial" w:hAnsi="Arial" w:eastAsia="Arial" w:cs="Arial"/>
      <w:b/>
      <w:bCs/>
      <w:sz w:val="26"/>
      <w:szCs w:val="26"/>
    </w:rPr>
  </w:style>
  <w:style w:type="paragraph" w:customStyle="1" w:styleId="99">
    <w:name w:val="标题 51"/>
    <w:basedOn w:val="1"/>
    <w:next w:val="1"/>
    <w:link w:val="100"/>
    <w:unhideWhenUsed/>
    <w:qFormat/>
    <w:uiPriority w:val="9"/>
    <w:pPr>
      <w:keepNext/>
      <w:keepLines/>
      <w:spacing w:before="320" w:after="200"/>
      <w:outlineLvl w:val="4"/>
    </w:pPr>
    <w:rPr>
      <w:rFonts w:ascii="Arial" w:hAnsi="Arial" w:eastAsia="Arial"/>
      <w:b/>
      <w:bCs/>
      <w:sz w:val="24"/>
    </w:rPr>
  </w:style>
  <w:style w:type="character" w:customStyle="1" w:styleId="100">
    <w:name w:val="Heading 5 Char"/>
    <w:link w:val="99"/>
    <w:qFormat/>
    <w:uiPriority w:val="9"/>
    <w:rPr>
      <w:rFonts w:ascii="Arial" w:hAnsi="Arial" w:eastAsia="Arial" w:cs="Arial"/>
      <w:b/>
      <w:bCs/>
      <w:sz w:val="24"/>
      <w:szCs w:val="24"/>
    </w:rPr>
  </w:style>
  <w:style w:type="paragraph" w:customStyle="1" w:styleId="101">
    <w:name w:val="标题 61"/>
    <w:basedOn w:val="1"/>
    <w:next w:val="1"/>
    <w:link w:val="102"/>
    <w:unhideWhenUsed/>
    <w:qFormat/>
    <w:uiPriority w:val="9"/>
    <w:pPr>
      <w:keepNext/>
      <w:keepLines/>
      <w:spacing w:before="320" w:after="200"/>
      <w:outlineLvl w:val="5"/>
    </w:pPr>
    <w:rPr>
      <w:rFonts w:ascii="Arial" w:hAnsi="Arial" w:eastAsia="Arial"/>
      <w:b/>
      <w:bCs/>
      <w:sz w:val="22"/>
      <w:szCs w:val="22"/>
    </w:rPr>
  </w:style>
  <w:style w:type="character" w:customStyle="1" w:styleId="102">
    <w:name w:val="Heading 6 Char"/>
    <w:link w:val="101"/>
    <w:qFormat/>
    <w:uiPriority w:val="9"/>
    <w:rPr>
      <w:rFonts w:ascii="Arial" w:hAnsi="Arial" w:eastAsia="Arial" w:cs="Arial"/>
      <w:b/>
      <w:bCs/>
      <w:sz w:val="22"/>
      <w:szCs w:val="22"/>
    </w:rPr>
  </w:style>
  <w:style w:type="paragraph" w:customStyle="1" w:styleId="103">
    <w:name w:val="标题 71"/>
    <w:basedOn w:val="1"/>
    <w:next w:val="1"/>
    <w:link w:val="104"/>
    <w:unhideWhenUsed/>
    <w:qFormat/>
    <w:uiPriority w:val="9"/>
    <w:pPr>
      <w:keepNext/>
      <w:keepLines/>
      <w:spacing w:before="320" w:after="200"/>
      <w:outlineLvl w:val="6"/>
    </w:pPr>
    <w:rPr>
      <w:rFonts w:ascii="Arial" w:hAnsi="Arial" w:eastAsia="Arial"/>
      <w:b/>
      <w:bCs/>
      <w:i/>
      <w:iCs/>
      <w:sz w:val="22"/>
      <w:szCs w:val="22"/>
    </w:rPr>
  </w:style>
  <w:style w:type="character" w:customStyle="1" w:styleId="104">
    <w:name w:val="Heading 7 Char"/>
    <w:link w:val="103"/>
    <w:qFormat/>
    <w:uiPriority w:val="9"/>
    <w:rPr>
      <w:rFonts w:ascii="Arial" w:hAnsi="Arial" w:eastAsia="Arial" w:cs="Arial"/>
      <w:b/>
      <w:bCs/>
      <w:i/>
      <w:iCs/>
      <w:sz w:val="22"/>
      <w:szCs w:val="22"/>
    </w:rPr>
  </w:style>
  <w:style w:type="paragraph" w:customStyle="1" w:styleId="105">
    <w:name w:val="标题 81"/>
    <w:basedOn w:val="1"/>
    <w:next w:val="1"/>
    <w:link w:val="106"/>
    <w:unhideWhenUsed/>
    <w:qFormat/>
    <w:uiPriority w:val="9"/>
    <w:pPr>
      <w:keepNext/>
      <w:keepLines/>
      <w:spacing w:before="320" w:after="200"/>
      <w:outlineLvl w:val="7"/>
    </w:pPr>
    <w:rPr>
      <w:rFonts w:ascii="Arial" w:hAnsi="Arial" w:eastAsia="Arial"/>
      <w:i/>
      <w:iCs/>
      <w:sz w:val="22"/>
      <w:szCs w:val="22"/>
    </w:rPr>
  </w:style>
  <w:style w:type="character" w:customStyle="1" w:styleId="106">
    <w:name w:val="Heading 8 Char"/>
    <w:link w:val="105"/>
    <w:qFormat/>
    <w:uiPriority w:val="9"/>
    <w:rPr>
      <w:rFonts w:ascii="Arial" w:hAnsi="Arial" w:eastAsia="Arial" w:cs="Arial"/>
      <w:i/>
      <w:iCs/>
      <w:sz w:val="22"/>
      <w:szCs w:val="22"/>
    </w:rPr>
  </w:style>
  <w:style w:type="paragraph" w:customStyle="1" w:styleId="107">
    <w:name w:val="标题 91"/>
    <w:basedOn w:val="1"/>
    <w:next w:val="1"/>
    <w:link w:val="108"/>
    <w:unhideWhenUsed/>
    <w:qFormat/>
    <w:uiPriority w:val="9"/>
    <w:pPr>
      <w:keepNext/>
      <w:keepLines/>
      <w:spacing w:before="320" w:after="200"/>
      <w:outlineLvl w:val="8"/>
    </w:pPr>
    <w:rPr>
      <w:rFonts w:ascii="Arial" w:hAnsi="Arial" w:eastAsia="Arial"/>
      <w:i/>
      <w:iCs/>
      <w:szCs w:val="21"/>
    </w:rPr>
  </w:style>
  <w:style w:type="character" w:customStyle="1" w:styleId="108">
    <w:name w:val="Heading 9 Char"/>
    <w:link w:val="107"/>
    <w:qFormat/>
    <w:uiPriority w:val="9"/>
    <w:rPr>
      <w:rFonts w:ascii="Arial" w:hAnsi="Arial" w:eastAsia="Arial" w:cs="Arial"/>
      <w:i/>
      <w:iCs/>
      <w:sz w:val="21"/>
      <w:szCs w:val="21"/>
    </w:rPr>
  </w:style>
  <w:style w:type="paragraph" w:styleId="109">
    <w:name w:val="No Spacing"/>
    <w:qFormat/>
    <w:uiPriority w:val="1"/>
    <w:rPr>
      <w:rFonts w:hint="default" w:ascii="Times New Roman" w:hAnsi="Times New Roman" w:eastAsia="宋体" w:cs="Times New Roman"/>
      <w:lang w:val="en-US" w:eastAsia="zh-CN" w:bidi="ar-SA"/>
    </w:rPr>
  </w:style>
  <w:style w:type="character" w:customStyle="1" w:styleId="110">
    <w:name w:val="标题 字符"/>
    <w:link w:val="41"/>
    <w:qFormat/>
    <w:uiPriority w:val="10"/>
    <w:rPr>
      <w:sz w:val="48"/>
      <w:szCs w:val="48"/>
    </w:rPr>
  </w:style>
  <w:style w:type="character" w:customStyle="1" w:styleId="111">
    <w:name w:val="副标题 字符"/>
    <w:link w:val="33"/>
    <w:qFormat/>
    <w:uiPriority w:val="11"/>
    <w:rPr>
      <w:sz w:val="24"/>
      <w:szCs w:val="24"/>
    </w:rPr>
  </w:style>
  <w:style w:type="paragraph" w:styleId="112">
    <w:name w:val="Quote"/>
    <w:basedOn w:val="1"/>
    <w:next w:val="1"/>
    <w:link w:val="113"/>
    <w:qFormat/>
    <w:uiPriority w:val="29"/>
    <w:pPr>
      <w:ind w:left="720" w:right="720"/>
    </w:pPr>
    <w:rPr>
      <w:i/>
      <w:sz w:val="20"/>
      <w:szCs w:val="20"/>
    </w:rPr>
  </w:style>
  <w:style w:type="character" w:customStyle="1" w:styleId="113">
    <w:name w:val="引用 字符"/>
    <w:link w:val="112"/>
    <w:qFormat/>
    <w:uiPriority w:val="29"/>
    <w:rPr>
      <w:i/>
    </w:rPr>
  </w:style>
  <w:style w:type="paragraph" w:styleId="114">
    <w:name w:val="Intense Quote"/>
    <w:basedOn w:val="1"/>
    <w:next w:val="1"/>
    <w:link w:val="11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sz w:val="20"/>
      <w:szCs w:val="20"/>
    </w:rPr>
  </w:style>
  <w:style w:type="character" w:customStyle="1" w:styleId="115">
    <w:name w:val="明显引用 字符"/>
    <w:link w:val="114"/>
    <w:qFormat/>
    <w:uiPriority w:val="30"/>
    <w:rPr>
      <w:i/>
    </w:rPr>
  </w:style>
  <w:style w:type="paragraph" w:customStyle="1" w:styleId="116">
    <w:name w:val="页眉1"/>
    <w:basedOn w:val="1"/>
    <w:link w:val="117"/>
    <w:unhideWhenUsed/>
    <w:qFormat/>
    <w:uiPriority w:val="99"/>
    <w:pPr>
      <w:tabs>
        <w:tab w:val="center" w:pos="7143"/>
        <w:tab w:val="right" w:pos="14287"/>
      </w:tabs>
    </w:pPr>
  </w:style>
  <w:style w:type="character" w:customStyle="1" w:styleId="117">
    <w:name w:val="Header Char"/>
    <w:link w:val="116"/>
    <w:qFormat/>
    <w:uiPriority w:val="99"/>
  </w:style>
  <w:style w:type="paragraph" w:customStyle="1" w:styleId="118">
    <w:name w:val="页脚1"/>
    <w:basedOn w:val="1"/>
    <w:link w:val="121"/>
    <w:unhideWhenUsed/>
    <w:qFormat/>
    <w:uiPriority w:val="99"/>
    <w:pPr>
      <w:tabs>
        <w:tab w:val="center" w:pos="7143"/>
        <w:tab w:val="right" w:pos="14287"/>
      </w:tabs>
    </w:pPr>
  </w:style>
  <w:style w:type="character" w:customStyle="1" w:styleId="119">
    <w:name w:val="Footer Char"/>
    <w:qFormat/>
    <w:uiPriority w:val="99"/>
  </w:style>
  <w:style w:type="paragraph" w:customStyle="1" w:styleId="120">
    <w:name w:val="题注1"/>
    <w:basedOn w:val="1"/>
    <w:next w:val="1"/>
    <w:semiHidden/>
    <w:unhideWhenUsed/>
    <w:qFormat/>
    <w:uiPriority w:val="35"/>
    <w:pPr>
      <w:spacing w:line="276" w:lineRule="auto"/>
    </w:pPr>
    <w:rPr>
      <w:b/>
      <w:bCs/>
      <w:color w:val="4F81BD"/>
      <w:sz w:val="18"/>
      <w:szCs w:val="18"/>
    </w:rPr>
  </w:style>
  <w:style w:type="character" w:customStyle="1" w:styleId="121">
    <w:name w:val="Caption Char"/>
    <w:link w:val="118"/>
    <w:qFormat/>
    <w:uiPriority w:val="99"/>
  </w:style>
  <w:style w:type="table" w:customStyle="1" w:styleId="122">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23">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24">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25">
    <w:name w:val="无格式表格 31"/>
    <w:qFormat/>
    <w:uiPriority w:val="99"/>
    <w:tblPr>
      <w:tblCellMar>
        <w:top w:w="0" w:type="dxa"/>
        <w:left w:w="0" w:type="dxa"/>
        <w:bottom w:w="0" w:type="dxa"/>
        <w:right w:w="0" w:type="dxa"/>
      </w:tblCellMar>
    </w:tblPr>
  </w:style>
  <w:style w:type="table" w:customStyle="1" w:styleId="126">
    <w:name w:val="无格式表格 41"/>
    <w:qFormat/>
    <w:uiPriority w:val="99"/>
    <w:tblPr>
      <w:tblCellMar>
        <w:top w:w="0" w:type="dxa"/>
        <w:left w:w="0" w:type="dxa"/>
        <w:bottom w:w="0" w:type="dxa"/>
        <w:right w:w="0" w:type="dxa"/>
      </w:tblCellMar>
    </w:tblPr>
  </w:style>
  <w:style w:type="table" w:customStyle="1" w:styleId="127">
    <w:name w:val="无格式表格 51"/>
    <w:qFormat/>
    <w:uiPriority w:val="99"/>
    <w:tblPr>
      <w:tblCellMar>
        <w:top w:w="0" w:type="dxa"/>
        <w:left w:w="0" w:type="dxa"/>
        <w:bottom w:w="0" w:type="dxa"/>
        <w:right w:w="0" w:type="dxa"/>
      </w:tblCellMar>
    </w:tblPr>
  </w:style>
  <w:style w:type="table" w:customStyle="1" w:styleId="128">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29">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30">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31">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32">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33">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34">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35">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36">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37">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8">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9">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0">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1">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2">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43">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44">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5">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6">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7">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8">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9">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50">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51">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52">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53">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54">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55">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56">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7">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8">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9">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0">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1">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2">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3">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64">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65">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66">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67">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68">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69">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70">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71">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72">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73">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74">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75">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76">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77">
    <w:name w:val="清单表 1 浅色1"/>
    <w:qFormat/>
    <w:uiPriority w:val="99"/>
    <w:tblPr>
      <w:tblCellMar>
        <w:top w:w="0" w:type="dxa"/>
        <w:left w:w="0" w:type="dxa"/>
        <w:bottom w:w="0" w:type="dxa"/>
        <w:right w:w="0" w:type="dxa"/>
      </w:tblCellMar>
    </w:tblPr>
  </w:style>
  <w:style w:type="table" w:customStyle="1" w:styleId="178">
    <w:name w:val="List Table 1 Light - Accent 1"/>
    <w:qFormat/>
    <w:uiPriority w:val="99"/>
    <w:tblPr>
      <w:tblCellMar>
        <w:top w:w="0" w:type="dxa"/>
        <w:left w:w="0" w:type="dxa"/>
        <w:bottom w:w="0" w:type="dxa"/>
        <w:right w:w="0" w:type="dxa"/>
      </w:tblCellMar>
    </w:tblPr>
  </w:style>
  <w:style w:type="table" w:customStyle="1" w:styleId="179">
    <w:name w:val="List Table 1 Light - Accent 2"/>
    <w:qFormat/>
    <w:uiPriority w:val="99"/>
    <w:tblPr>
      <w:tblCellMar>
        <w:top w:w="0" w:type="dxa"/>
        <w:left w:w="0" w:type="dxa"/>
        <w:bottom w:w="0" w:type="dxa"/>
        <w:right w:w="0" w:type="dxa"/>
      </w:tblCellMar>
    </w:tblPr>
  </w:style>
  <w:style w:type="table" w:customStyle="1" w:styleId="180">
    <w:name w:val="List Table 1 Light - Accent 3"/>
    <w:qFormat/>
    <w:uiPriority w:val="99"/>
    <w:tblPr>
      <w:tblCellMar>
        <w:top w:w="0" w:type="dxa"/>
        <w:left w:w="0" w:type="dxa"/>
        <w:bottom w:w="0" w:type="dxa"/>
        <w:right w:w="0" w:type="dxa"/>
      </w:tblCellMar>
    </w:tblPr>
  </w:style>
  <w:style w:type="table" w:customStyle="1" w:styleId="181">
    <w:name w:val="List Table 1 Light - Accent 4"/>
    <w:qFormat/>
    <w:uiPriority w:val="99"/>
    <w:tblPr>
      <w:tblCellMar>
        <w:top w:w="0" w:type="dxa"/>
        <w:left w:w="0" w:type="dxa"/>
        <w:bottom w:w="0" w:type="dxa"/>
        <w:right w:w="0" w:type="dxa"/>
      </w:tblCellMar>
    </w:tblPr>
  </w:style>
  <w:style w:type="table" w:customStyle="1" w:styleId="182">
    <w:name w:val="List Table 1 Light - Accent 5"/>
    <w:qFormat/>
    <w:uiPriority w:val="99"/>
    <w:tblPr>
      <w:tblCellMar>
        <w:top w:w="0" w:type="dxa"/>
        <w:left w:w="0" w:type="dxa"/>
        <w:bottom w:w="0" w:type="dxa"/>
        <w:right w:w="0" w:type="dxa"/>
      </w:tblCellMar>
    </w:tblPr>
  </w:style>
  <w:style w:type="table" w:customStyle="1" w:styleId="183">
    <w:name w:val="List Table 1 Light - Accent 6"/>
    <w:qFormat/>
    <w:uiPriority w:val="99"/>
    <w:tblPr>
      <w:tblCellMar>
        <w:top w:w="0" w:type="dxa"/>
        <w:left w:w="0" w:type="dxa"/>
        <w:bottom w:w="0" w:type="dxa"/>
        <w:right w:w="0" w:type="dxa"/>
      </w:tblCellMar>
    </w:tblPr>
  </w:style>
  <w:style w:type="table" w:customStyle="1" w:styleId="184">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85">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86">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87">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88">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89">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90">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91">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92">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93">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94">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95">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96">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97">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98">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99">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200">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201">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202">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203">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204">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205">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206">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207">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208">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209">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210">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211">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212">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213">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214">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215">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216">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17">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18">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19">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220">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21">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22">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23">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24">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25">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26">
    <w:name w:val="Lined - Accent"/>
    <w:qFormat/>
    <w:uiPriority w:val="99"/>
    <w:rPr>
      <w:color w:val="404040"/>
    </w:rPr>
    <w:tblPr>
      <w:tblCellMar>
        <w:top w:w="0" w:type="dxa"/>
        <w:left w:w="0" w:type="dxa"/>
        <w:bottom w:w="0" w:type="dxa"/>
        <w:right w:w="0" w:type="dxa"/>
      </w:tblCellMar>
    </w:tblPr>
  </w:style>
  <w:style w:type="table" w:customStyle="1" w:styleId="227">
    <w:name w:val="Lined - Accent 1"/>
    <w:qFormat/>
    <w:uiPriority w:val="99"/>
    <w:rPr>
      <w:color w:val="404040"/>
    </w:rPr>
    <w:tblPr>
      <w:tblCellMar>
        <w:top w:w="0" w:type="dxa"/>
        <w:left w:w="0" w:type="dxa"/>
        <w:bottom w:w="0" w:type="dxa"/>
        <w:right w:w="0" w:type="dxa"/>
      </w:tblCellMar>
    </w:tblPr>
  </w:style>
  <w:style w:type="table" w:customStyle="1" w:styleId="228">
    <w:name w:val="Lined - Accent 2"/>
    <w:qFormat/>
    <w:uiPriority w:val="99"/>
    <w:rPr>
      <w:color w:val="404040"/>
    </w:rPr>
    <w:tblPr>
      <w:tblCellMar>
        <w:top w:w="0" w:type="dxa"/>
        <w:left w:w="0" w:type="dxa"/>
        <w:bottom w:w="0" w:type="dxa"/>
        <w:right w:w="0" w:type="dxa"/>
      </w:tblCellMar>
    </w:tblPr>
  </w:style>
  <w:style w:type="table" w:customStyle="1" w:styleId="229">
    <w:name w:val="Lined - Accent 3"/>
    <w:qFormat/>
    <w:uiPriority w:val="99"/>
    <w:rPr>
      <w:color w:val="404040"/>
    </w:rPr>
    <w:tblPr>
      <w:tblCellMar>
        <w:top w:w="0" w:type="dxa"/>
        <w:left w:w="0" w:type="dxa"/>
        <w:bottom w:w="0" w:type="dxa"/>
        <w:right w:w="0" w:type="dxa"/>
      </w:tblCellMar>
    </w:tblPr>
  </w:style>
  <w:style w:type="table" w:customStyle="1" w:styleId="230">
    <w:name w:val="Lined - Accent 4"/>
    <w:qFormat/>
    <w:uiPriority w:val="99"/>
    <w:rPr>
      <w:color w:val="404040"/>
    </w:rPr>
    <w:tblPr>
      <w:tblCellMar>
        <w:top w:w="0" w:type="dxa"/>
        <w:left w:w="0" w:type="dxa"/>
        <w:bottom w:w="0" w:type="dxa"/>
        <w:right w:w="0" w:type="dxa"/>
      </w:tblCellMar>
    </w:tblPr>
  </w:style>
  <w:style w:type="table" w:customStyle="1" w:styleId="231">
    <w:name w:val="Lined - Accent 5"/>
    <w:qFormat/>
    <w:uiPriority w:val="99"/>
    <w:rPr>
      <w:color w:val="404040"/>
    </w:rPr>
    <w:tblPr>
      <w:tblCellMar>
        <w:top w:w="0" w:type="dxa"/>
        <w:left w:w="0" w:type="dxa"/>
        <w:bottom w:w="0" w:type="dxa"/>
        <w:right w:w="0" w:type="dxa"/>
      </w:tblCellMar>
    </w:tblPr>
  </w:style>
  <w:style w:type="table" w:customStyle="1" w:styleId="232">
    <w:name w:val="Lined - Accent 6"/>
    <w:qFormat/>
    <w:uiPriority w:val="99"/>
    <w:rPr>
      <w:color w:val="404040"/>
    </w:rPr>
    <w:tblPr>
      <w:tblCellMar>
        <w:top w:w="0" w:type="dxa"/>
        <w:left w:w="0" w:type="dxa"/>
        <w:bottom w:w="0" w:type="dxa"/>
        <w:right w:w="0" w:type="dxa"/>
      </w:tblCellMar>
    </w:tblPr>
  </w:style>
  <w:style w:type="table" w:customStyle="1" w:styleId="233">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34">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35">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36">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37">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38">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39">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40">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41">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42">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43">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44">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45">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46">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47">
    <w:name w:val="脚注文本 字符"/>
    <w:link w:val="34"/>
    <w:qFormat/>
    <w:uiPriority w:val="99"/>
    <w:rPr>
      <w:sz w:val="18"/>
    </w:rPr>
  </w:style>
  <w:style w:type="character" w:customStyle="1" w:styleId="248">
    <w:name w:val="尾注文本 字符"/>
    <w:link w:val="28"/>
    <w:qFormat/>
    <w:uiPriority w:val="99"/>
    <w:rPr>
      <w:sz w:val="20"/>
    </w:rPr>
  </w:style>
  <w:style w:type="paragraph" w:customStyle="1" w:styleId="249">
    <w:name w:val="TOC 标题11"/>
    <w:unhideWhenUsed/>
    <w:qFormat/>
    <w:uiPriority w:val="39"/>
    <w:rPr>
      <w:rFonts w:hint="default" w:ascii="Times New Roman" w:hAnsi="Times New Roman" w:eastAsia="宋体" w:cs="Times New Roman"/>
      <w:lang w:val="en-US" w:eastAsia="zh-CN" w:bidi="ar-SA"/>
    </w:rPr>
  </w:style>
  <w:style w:type="character" w:customStyle="1" w:styleId="250">
    <w:name w:val="正文缩进 字符"/>
    <w:link w:val="13"/>
    <w:qFormat/>
    <w:uiPriority w:val="0"/>
    <w:rPr>
      <w:sz w:val="21"/>
    </w:rPr>
  </w:style>
  <w:style w:type="character" w:customStyle="1" w:styleId="251">
    <w:name w:val="标题 4 字符"/>
    <w:link w:val="6"/>
    <w:qFormat/>
    <w:uiPriority w:val="9"/>
    <w:rPr>
      <w:rFonts w:ascii="Cambria" w:hAnsi="Cambria"/>
      <w:b/>
      <w:bCs/>
      <w:sz w:val="28"/>
      <w:szCs w:val="28"/>
    </w:rPr>
  </w:style>
  <w:style w:type="character" w:customStyle="1" w:styleId="252">
    <w:name w:val="标题 5 字符"/>
    <w:link w:val="7"/>
    <w:qFormat/>
    <w:uiPriority w:val="9"/>
    <w:rPr>
      <w:b/>
      <w:bCs/>
      <w:sz w:val="28"/>
      <w:szCs w:val="28"/>
    </w:rPr>
  </w:style>
  <w:style w:type="character" w:customStyle="1" w:styleId="253">
    <w:name w:val="批注文字 字符"/>
    <w:link w:val="18"/>
    <w:qFormat/>
    <w:uiPriority w:val="99"/>
    <w:rPr>
      <w:sz w:val="21"/>
      <w:szCs w:val="24"/>
    </w:rPr>
  </w:style>
  <w:style w:type="character" w:customStyle="1" w:styleId="254">
    <w:name w:val="纯文本 字符"/>
    <w:link w:val="25"/>
    <w:qFormat/>
    <w:uiPriority w:val="99"/>
    <w:rPr>
      <w:rFonts w:ascii="宋体" w:hAnsi="Courier New" w:eastAsia="宋体"/>
      <w:sz w:val="21"/>
      <w:lang w:val="en-US" w:eastAsia="zh-CN" w:bidi="ar-SA"/>
    </w:rPr>
  </w:style>
  <w:style w:type="character" w:customStyle="1" w:styleId="255">
    <w:name w:val="批注框文本 字符"/>
    <w:link w:val="29"/>
    <w:qFormat/>
    <w:uiPriority w:val="0"/>
    <w:rPr>
      <w:sz w:val="18"/>
      <w:szCs w:val="18"/>
    </w:rPr>
  </w:style>
  <w:style w:type="character" w:customStyle="1" w:styleId="256">
    <w:name w:val="页脚 字符"/>
    <w:link w:val="30"/>
    <w:qFormat/>
    <w:uiPriority w:val="99"/>
    <w:rPr>
      <w:sz w:val="18"/>
      <w:szCs w:val="18"/>
    </w:rPr>
  </w:style>
  <w:style w:type="character" w:customStyle="1" w:styleId="257">
    <w:name w:val="页眉 字符"/>
    <w:link w:val="31"/>
    <w:qFormat/>
    <w:uiPriority w:val="0"/>
    <w:rPr>
      <w:sz w:val="18"/>
      <w:szCs w:val="18"/>
    </w:rPr>
  </w:style>
  <w:style w:type="character" w:customStyle="1" w:styleId="258">
    <w:name w:val="正文文本 2 字符"/>
    <w:link w:val="39"/>
    <w:qFormat/>
    <w:uiPriority w:val="0"/>
    <w:rPr>
      <w:rFonts w:ascii="楷体_GB2312" w:eastAsia="楷体_GB2312"/>
      <w:sz w:val="28"/>
      <w:szCs w:val="24"/>
    </w:rPr>
  </w:style>
  <w:style w:type="character" w:customStyle="1" w:styleId="259">
    <w:name w:val="批注主题 字符"/>
    <w:link w:val="42"/>
    <w:qFormat/>
    <w:uiPriority w:val="0"/>
    <w:rPr>
      <w:b/>
      <w:bCs/>
      <w:sz w:val="21"/>
      <w:szCs w:val="24"/>
    </w:rPr>
  </w:style>
  <w:style w:type="character" w:customStyle="1" w:styleId="260">
    <w:name w:val="Font Style30"/>
    <w:qFormat/>
    <w:uiPriority w:val="0"/>
    <w:rPr>
      <w:rFonts w:ascii="宋体" w:eastAsia="宋体" w:cs="宋体"/>
      <w:sz w:val="14"/>
      <w:szCs w:val="14"/>
    </w:rPr>
  </w:style>
  <w:style w:type="character" w:customStyle="1" w:styleId="261">
    <w:name w:val="glyphicon"/>
    <w:qFormat/>
    <w:uiPriority w:val="0"/>
  </w:style>
  <w:style w:type="character" w:customStyle="1" w:styleId="262">
    <w:name w:val="Font Style36"/>
    <w:qFormat/>
    <w:uiPriority w:val="0"/>
    <w:rPr>
      <w:rFonts w:ascii="宋体" w:eastAsia="宋体" w:cs="宋体"/>
      <w:sz w:val="16"/>
      <w:szCs w:val="16"/>
    </w:rPr>
  </w:style>
  <w:style w:type="character" w:customStyle="1" w:styleId="263">
    <w:name w:val="hour_am"/>
    <w:qFormat/>
    <w:uiPriority w:val="0"/>
  </w:style>
  <w:style w:type="character" w:customStyle="1" w:styleId="264">
    <w:name w:val="old"/>
    <w:qFormat/>
    <w:uiPriority w:val="0"/>
    <w:rPr>
      <w:color w:val="999999"/>
    </w:rPr>
  </w:style>
  <w:style w:type="character" w:customStyle="1" w:styleId="265">
    <w:name w:val="标题 2 Char"/>
    <w:qFormat/>
    <w:uiPriority w:val="0"/>
    <w:rPr>
      <w:rFonts w:ascii="Arial" w:hAnsi="Arial" w:eastAsia="黑体"/>
      <w:b/>
      <w:sz w:val="32"/>
      <w:lang w:val="en-US" w:eastAsia="zh-CN"/>
    </w:rPr>
  </w:style>
  <w:style w:type="character" w:customStyle="1" w:styleId="266">
    <w:name w:val="hover"/>
    <w:qFormat/>
    <w:uiPriority w:val="0"/>
    <w:rPr>
      <w:shd w:val="clear" w:color="auto" w:fill="EEEEEE"/>
    </w:rPr>
  </w:style>
  <w:style w:type="character" w:customStyle="1" w:styleId="267">
    <w:name w:val="hour_pm"/>
    <w:qFormat/>
    <w:uiPriority w:val="0"/>
  </w:style>
  <w:style w:type="character" w:customStyle="1" w:styleId="268">
    <w:name w:val="Font Style28"/>
    <w:qFormat/>
    <w:uiPriority w:val="0"/>
    <w:rPr>
      <w:rFonts w:ascii="Constantia" w:hAnsi="Constantia" w:cs="Constantia"/>
      <w:sz w:val="28"/>
      <w:szCs w:val="28"/>
    </w:rPr>
  </w:style>
  <w:style w:type="character" w:customStyle="1" w:styleId="269">
    <w:name w:val="Font Style29"/>
    <w:qFormat/>
    <w:uiPriority w:val="0"/>
    <w:rPr>
      <w:rFonts w:ascii="Arial" w:hAnsi="Arial" w:cs="Arial"/>
      <w:sz w:val="14"/>
      <w:szCs w:val="14"/>
    </w:rPr>
  </w:style>
  <w:style w:type="character" w:customStyle="1" w:styleId="270">
    <w:name w:val="Font Style37"/>
    <w:qFormat/>
    <w:uiPriority w:val="0"/>
    <w:rPr>
      <w:rFonts w:ascii="Arial" w:hAnsi="Arial" w:cs="Arial"/>
      <w:sz w:val="16"/>
      <w:szCs w:val="16"/>
    </w:rPr>
  </w:style>
  <w:style w:type="character" w:customStyle="1" w:styleId="271">
    <w:name w:val="Plain Text Char"/>
    <w:qFormat/>
    <w:uiPriority w:val="0"/>
    <w:rPr>
      <w:rFonts w:ascii="宋体" w:hAnsi="Courier New" w:eastAsia="宋体"/>
      <w:sz w:val="21"/>
      <w:lang w:val="en-US" w:eastAsia="zh-CN" w:bidi="ar-SA"/>
    </w:rPr>
  </w:style>
  <w:style w:type="paragraph" w:customStyle="1" w:styleId="272">
    <w:name w:val="Default"/>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273">
    <w:name w:val="默认段落字体 Para Char Char Char Char Char Char Char Char Char1 Char Char Char Char Char Char Char"/>
    <w:basedOn w:val="16"/>
    <w:qFormat/>
    <w:uiPriority w:val="0"/>
    <w:rPr>
      <w:rFonts w:ascii="Tahoma" w:hAnsi="Tahoma"/>
      <w:sz w:val="24"/>
    </w:rPr>
  </w:style>
  <w:style w:type="paragraph" w:customStyle="1" w:styleId="274">
    <w:name w:val="Style9"/>
    <w:basedOn w:val="1"/>
    <w:qFormat/>
    <w:uiPriority w:val="0"/>
    <w:pPr>
      <w:jc w:val="left"/>
    </w:pPr>
    <w:rPr>
      <w:rFonts w:ascii="宋体"/>
      <w:sz w:val="24"/>
    </w:rPr>
  </w:style>
  <w:style w:type="paragraph" w:customStyle="1" w:styleId="275">
    <w:name w:val="Char"/>
    <w:basedOn w:val="1"/>
    <w:qFormat/>
    <w:uiPriority w:val="0"/>
    <w:pPr>
      <w:tabs>
        <w:tab w:val="left" w:pos="360"/>
      </w:tabs>
    </w:pPr>
    <w:rPr>
      <w:sz w:val="24"/>
    </w:rPr>
  </w:style>
  <w:style w:type="paragraph" w:customStyle="1" w:styleId="276">
    <w:name w:val="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277">
    <w:name w:val="Style10"/>
    <w:basedOn w:val="1"/>
    <w:qFormat/>
    <w:uiPriority w:val="0"/>
    <w:pPr>
      <w:jc w:val="left"/>
    </w:pPr>
    <w:rPr>
      <w:rFonts w:ascii="宋体"/>
      <w:sz w:val="24"/>
    </w:rPr>
  </w:style>
  <w:style w:type="paragraph" w:customStyle="1" w:styleId="278">
    <w:name w:val="首行缩进"/>
    <w:basedOn w:val="1"/>
    <w:qFormat/>
    <w:uiPriority w:val="0"/>
    <w:pPr>
      <w:spacing w:line="360" w:lineRule="auto"/>
      <w:ind w:firstLine="420"/>
    </w:pPr>
    <w:rPr>
      <w:sz w:val="20"/>
    </w:rPr>
  </w:style>
  <w:style w:type="paragraph" w:customStyle="1" w:styleId="279">
    <w:name w:val="普通正文"/>
    <w:basedOn w:val="1"/>
    <w:qFormat/>
    <w:uiPriority w:val="0"/>
    <w:pPr>
      <w:spacing w:before="120" w:after="120" w:line="360" w:lineRule="auto"/>
      <w:ind w:firstLine="480"/>
      <w:jc w:val="left"/>
    </w:pPr>
    <w:rPr>
      <w:rFonts w:ascii="Arial" w:hAnsi="Arial"/>
      <w:sz w:val="24"/>
    </w:rPr>
  </w:style>
  <w:style w:type="paragraph" w:customStyle="1" w:styleId="280">
    <w:name w:val="要点标题"/>
    <w:basedOn w:val="1"/>
    <w:qFormat/>
    <w:uiPriority w:val="0"/>
    <w:pPr>
      <w:numPr>
        <w:ilvl w:val="0"/>
        <w:numId w:val="1"/>
      </w:numPr>
      <w:jc w:val="left"/>
    </w:pPr>
    <w:rPr>
      <w:rFonts w:ascii="宋体" w:hAnsi="宋体"/>
      <w:b/>
      <w:sz w:val="24"/>
    </w:rPr>
  </w:style>
  <w:style w:type="paragraph" w:customStyle="1" w:styleId="281">
    <w:name w:val="文档正文"/>
    <w:basedOn w:val="1"/>
    <w:qFormat/>
    <w:uiPriority w:val="0"/>
    <w:pPr>
      <w:spacing w:line="480" w:lineRule="atLeast"/>
      <w:ind w:firstLine="567"/>
    </w:pPr>
    <w:rPr>
      <w:rFonts w:ascii="仿宋_GB2312"/>
      <w:szCs w:val="20"/>
    </w:rPr>
  </w:style>
  <w:style w:type="paragraph" w:customStyle="1" w:styleId="282">
    <w:name w:val="Char Char Char Char"/>
    <w:basedOn w:val="16"/>
    <w:qFormat/>
    <w:uiPriority w:val="0"/>
    <w:pPr>
      <w:spacing w:line="360" w:lineRule="auto"/>
    </w:pPr>
    <w:rPr>
      <w:rFonts w:ascii="Tahoma" w:hAnsi="Tahoma"/>
      <w:sz w:val="24"/>
    </w:rPr>
  </w:style>
  <w:style w:type="paragraph" w:customStyle="1" w:styleId="283">
    <w:name w:val="Char11"/>
    <w:basedOn w:val="1"/>
    <w:qFormat/>
    <w:uiPriority w:val="0"/>
    <w:pPr>
      <w:tabs>
        <w:tab w:val="left" w:pos="420"/>
      </w:tabs>
      <w:ind w:left="420" w:hanging="420"/>
      <w:jc w:val="left"/>
    </w:pPr>
    <w:rPr>
      <w:szCs w:val="20"/>
    </w:rPr>
  </w:style>
  <w:style w:type="paragraph" w:customStyle="1" w:styleId="284">
    <w:name w:val="正文（无缩进）"/>
    <w:basedOn w:val="1"/>
    <w:qFormat/>
    <w:uiPriority w:val="0"/>
    <w:pPr>
      <w:spacing w:line="360" w:lineRule="auto"/>
    </w:pPr>
    <w:rPr>
      <w:rFonts w:ascii="Calibri" w:hAnsi="Calibri"/>
      <w:sz w:val="24"/>
      <w:szCs w:val="21"/>
    </w:rPr>
  </w:style>
  <w:style w:type="paragraph" w:customStyle="1" w:styleId="285">
    <w:name w:val="Style11"/>
    <w:basedOn w:val="1"/>
    <w:qFormat/>
    <w:uiPriority w:val="0"/>
    <w:pPr>
      <w:spacing w:line="446" w:lineRule="exact"/>
      <w:jc w:val="left"/>
    </w:pPr>
    <w:rPr>
      <w:rFonts w:ascii="宋体"/>
      <w:sz w:val="24"/>
    </w:rPr>
  </w:style>
  <w:style w:type="paragraph" w:customStyle="1" w:styleId="286">
    <w:name w:val="样式1"/>
    <w:basedOn w:val="1"/>
    <w:qFormat/>
    <w:uiPriority w:val="0"/>
    <w:pPr>
      <w:numPr>
        <w:ilvl w:val="0"/>
        <w:numId w:val="2"/>
      </w:numPr>
      <w:tabs>
        <w:tab w:val="left" w:pos="1110"/>
      </w:tabs>
    </w:pPr>
    <w:rPr>
      <w:rFonts w:ascii="宋体" w:hAnsi="宋体"/>
      <w:szCs w:val="21"/>
    </w:rPr>
  </w:style>
  <w:style w:type="paragraph" w:customStyle="1" w:styleId="287">
    <w:name w:val="_Style 56"/>
    <w:basedOn w:val="16"/>
    <w:qFormat/>
    <w:uiPriority w:val="0"/>
    <w:pPr>
      <w:spacing w:line="436" w:lineRule="exact"/>
    </w:pPr>
    <w:rPr>
      <w:szCs w:val="20"/>
    </w:rPr>
  </w:style>
  <w:style w:type="paragraph" w:customStyle="1" w:styleId="288">
    <w:name w:val="Char Char1 Char Char Char Char Char Char"/>
    <w:basedOn w:val="1"/>
    <w:qFormat/>
    <w:uiPriority w:val="0"/>
    <w:pPr>
      <w:widowControl/>
      <w:jc w:val="center"/>
    </w:pPr>
    <w:rPr>
      <w:rFonts w:ascii="宋体" w:hAnsi="宋体"/>
      <w:b/>
      <w:sz w:val="24"/>
      <w:lang w:eastAsia="en-US"/>
    </w:rPr>
  </w:style>
  <w:style w:type="paragraph" w:customStyle="1" w:styleId="289">
    <w:name w:val="Char1"/>
    <w:basedOn w:val="1"/>
    <w:qFormat/>
    <w:uiPriority w:val="0"/>
    <w:pPr>
      <w:tabs>
        <w:tab w:val="left" w:pos="840"/>
      </w:tabs>
      <w:ind w:left="840" w:hanging="420"/>
    </w:pPr>
    <w:rPr>
      <w:sz w:val="24"/>
    </w:rPr>
  </w:style>
  <w:style w:type="paragraph" w:customStyle="1" w:styleId="290">
    <w:name w:val="我的样式"/>
    <w:basedOn w:val="3"/>
    <w:next w:val="1"/>
    <w:qFormat/>
    <w:uiPriority w:val="0"/>
    <w:pPr>
      <w:numPr>
        <w:ilvl w:val="0"/>
        <w:numId w:val="3"/>
      </w:numPr>
      <w:spacing w:line="360" w:lineRule="auto"/>
    </w:pPr>
    <w:rPr>
      <w:rFonts w:ascii="仿宋_GB2312" w:eastAsia="仿宋_GB2312"/>
      <w:sz w:val="32"/>
      <w:szCs w:val="30"/>
    </w:rPr>
  </w:style>
  <w:style w:type="paragraph" w:customStyle="1" w:styleId="291">
    <w:name w:val="表格正文"/>
    <w:qFormat/>
    <w:uiPriority w:val="0"/>
    <w:pPr>
      <w:spacing w:line="0" w:lineRule="atLeast"/>
    </w:pPr>
    <w:rPr>
      <w:rFonts w:hint="default" w:ascii="Times New Roman" w:hAnsi="Times New Roman" w:eastAsia="宋体" w:cs="Times New Roman"/>
      <w:sz w:val="24"/>
      <w:szCs w:val="24"/>
      <w:lang w:val="en-US" w:eastAsia="zh-CN" w:bidi="he-IL"/>
    </w:rPr>
  </w:style>
  <w:style w:type="paragraph" w:customStyle="1" w:styleId="292">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3">
    <w:name w:val="标题1"/>
    <w:basedOn w:val="3"/>
    <w:next w:val="1"/>
    <w:qFormat/>
    <w:uiPriority w:val="0"/>
    <w:pPr>
      <w:spacing w:line="578" w:lineRule="atLeast"/>
      <w:ind w:left="432" w:firstLine="288"/>
      <w:jc w:val="left"/>
    </w:pPr>
  </w:style>
  <w:style w:type="paragraph" w:customStyle="1" w:styleId="294">
    <w:name w:val="正文（缩进） Char1"/>
    <w:basedOn w:val="1"/>
    <w:qFormat/>
    <w:uiPriority w:val="0"/>
    <w:pPr>
      <w:spacing w:before="156" w:after="156" w:line="360" w:lineRule="auto"/>
      <w:ind w:firstLine="480"/>
    </w:pPr>
    <w:rPr>
      <w:sz w:val="24"/>
    </w:rPr>
  </w:style>
  <w:style w:type="paragraph" w:customStyle="1" w:styleId="295">
    <w:name w:val="修订1"/>
    <w:semiHidden/>
    <w:qFormat/>
    <w:uiPriority w:val="99"/>
    <w:rPr>
      <w:rFonts w:hint="default" w:ascii="Times New Roman" w:hAnsi="Times New Roman" w:eastAsia="宋体" w:cs="Times New Roman"/>
      <w:sz w:val="21"/>
      <w:szCs w:val="24"/>
      <w:lang w:val="en-US" w:eastAsia="zh-CN" w:bidi="ar-SA"/>
    </w:rPr>
  </w:style>
  <w:style w:type="paragraph" w:customStyle="1" w:styleId="296">
    <w:name w:val="Style12"/>
    <w:basedOn w:val="1"/>
    <w:qFormat/>
    <w:uiPriority w:val="0"/>
    <w:pPr>
      <w:jc w:val="left"/>
    </w:pPr>
    <w:rPr>
      <w:rFonts w:ascii="宋体"/>
      <w:sz w:val="24"/>
    </w:rPr>
  </w:style>
  <w:style w:type="paragraph" w:customStyle="1" w:styleId="297">
    <w:name w:val="纯文本1"/>
    <w:basedOn w:val="1"/>
    <w:qFormat/>
    <w:uiPriority w:val="0"/>
    <w:rPr>
      <w:rFonts w:ascii="宋体" w:hAnsi="Courier New"/>
      <w:szCs w:val="20"/>
    </w:rPr>
  </w:style>
  <w:style w:type="paragraph" w:customStyle="1" w:styleId="298">
    <w:name w:val="标题 211"/>
    <w:basedOn w:val="299"/>
    <w:next w:val="300"/>
    <w:qFormat/>
    <w:uiPriority w:val="9"/>
    <w:pPr>
      <w:keepNext/>
      <w:keepLines/>
      <w:spacing w:before="260" w:after="260" w:line="413" w:lineRule="auto"/>
      <w:outlineLvl w:val="1"/>
    </w:pPr>
    <w:rPr>
      <w:rFonts w:ascii="Arial" w:hAnsi="Arial" w:eastAsia="黑体"/>
      <w:b/>
      <w:sz w:val="32"/>
      <w:szCs w:val="20"/>
    </w:rPr>
  </w:style>
  <w:style w:type="paragraph" w:styleId="299">
    <w:name w:val="List Paragraph"/>
    <w:basedOn w:val="1"/>
    <w:qFormat/>
    <w:uiPriority w:val="34"/>
    <w:pPr>
      <w:ind w:left="720"/>
      <w:contextualSpacing/>
    </w:pPr>
  </w:style>
  <w:style w:type="paragraph" w:customStyle="1" w:styleId="300">
    <w:name w:val="正文（深信服科技）"/>
    <w:qFormat/>
    <w:uiPriority w:val="0"/>
    <w:pPr>
      <w:spacing w:line="360" w:lineRule="auto"/>
      <w:ind w:firstLine="480"/>
      <w:jc w:val="both"/>
    </w:pPr>
    <w:rPr>
      <w:rFonts w:hint="default" w:ascii="Times New Roman" w:hAnsi="Times New Roman" w:eastAsia="宋体" w:cs="Times New Roman"/>
      <w:sz w:val="24"/>
      <w:szCs w:val="21"/>
      <w:lang w:val="en-US" w:eastAsia="zh-CN" w:bidi="ar-SA"/>
    </w:rPr>
  </w:style>
  <w:style w:type="paragraph" w:customStyle="1" w:styleId="301">
    <w:name w:val="p1"/>
    <w:basedOn w:val="1"/>
    <w:qFormat/>
    <w:uiPriority w:val="0"/>
    <w:pPr>
      <w:jc w:val="left"/>
    </w:pPr>
    <w:rPr>
      <w:rFonts w:ascii="Helvetica" w:hAnsi="Helvetica" w:eastAsia="Helvetica"/>
      <w:color w:val="000000"/>
      <w:szCs w:val="21"/>
    </w:rPr>
  </w:style>
  <w:style w:type="paragraph" w:customStyle="1" w:styleId="302">
    <w:name w:val="WPSOffice手动目录 1"/>
    <w:qFormat/>
    <w:uiPriority w:val="0"/>
    <w:rPr>
      <w:rFonts w:hint="default" w:ascii="Times New Roman" w:hAnsi="Times New Roman" w:eastAsia="宋体" w:cs="Times New Roman"/>
      <w:lang w:val="en-US" w:eastAsia="zh-CN" w:bidi="ar-SA"/>
    </w:rPr>
  </w:style>
  <w:style w:type="paragraph" w:customStyle="1" w:styleId="303">
    <w:name w:val="null3"/>
    <w:hidden/>
    <w:qFormat/>
    <w:uiPriority w:val="0"/>
    <w:rPr>
      <w:rFonts w:hint="eastAsia" w:asciiTheme="minorHAnsi" w:hAnsiTheme="minorHAnsi" w:eastAsiaTheme="minorEastAsia" w:cstheme="minorBidi"/>
      <w:lang w:val="en-US" w:eastAsia="zh-Hans" w:bidi="ar-SA"/>
    </w:rPr>
  </w:style>
  <w:style w:type="paragraph" w:customStyle="1" w:styleId="304">
    <w:name w:val="Table Paragraph"/>
    <w:basedOn w:val="1"/>
    <w:qFormat/>
    <w:uiPriority w:val="1"/>
    <w:rPr>
      <w:rFonts w:ascii="Calibri" w:hAnsi="Calibri"/>
      <w:sz w:val="22"/>
      <w:szCs w:val="22"/>
      <w:lang w:eastAsia="en-US"/>
    </w:rPr>
  </w:style>
  <w:style w:type="paragraph" w:customStyle="1" w:styleId="305">
    <w:name w:val="正文文本 21"/>
    <w:basedOn w:val="1"/>
    <w:qFormat/>
    <w:uiPriority w:val="0"/>
    <w:pPr>
      <w:spacing w:line="440" w:lineRule="exact"/>
    </w:pPr>
    <w:rPr>
      <w:rFonts w:ascii="楷体_GB2312" w:eastAsia="楷体_GB2312"/>
      <w:sz w:val="28"/>
    </w:rPr>
  </w:style>
  <w:style w:type="paragraph" w:customStyle="1" w:styleId="306">
    <w:name w:val="列出段落"/>
    <w:basedOn w:val="1"/>
    <w:qFormat/>
    <w:uiPriority w:val="34"/>
    <w:pPr>
      <w:ind w:firstLine="420"/>
    </w:pPr>
    <w:rPr>
      <w:rFonts w:ascii="Calibri" w:hAnsi="Calibri"/>
      <w:szCs w:val="22"/>
    </w:rPr>
  </w:style>
  <w:style w:type="paragraph" w:customStyle="1" w:styleId="307">
    <w:name w:val="纯文本11"/>
    <w:basedOn w:val="1"/>
    <w:qFormat/>
    <w:uiPriority w:val="0"/>
    <w:rPr>
      <w:rFonts w:ascii="宋体" w:hAnsi="Courier New"/>
      <w:szCs w:val="20"/>
    </w:rPr>
  </w:style>
  <w:style w:type="paragraph" w:customStyle="1" w:styleId="308">
    <w:name w:val="正文缩进1"/>
    <w:basedOn w:val="1"/>
    <w:qFormat/>
    <w:uiPriority w:val="0"/>
    <w:pPr>
      <w:ind w:firstLine="420"/>
    </w:pPr>
    <w:rPr>
      <w:szCs w:val="20"/>
    </w:rPr>
  </w:style>
  <w:style w:type="character" w:customStyle="1" w:styleId="309">
    <w:name w:val="font21"/>
    <w:basedOn w:val="46"/>
    <w:qFormat/>
    <w:uiPriority w:val="0"/>
    <w:rPr>
      <w:rFonts w:hint="eastAsia" w:ascii="宋体" w:hAnsi="宋体" w:eastAsia="宋体" w:cs="宋体"/>
      <w:b/>
      <w:bCs/>
      <w:color w:val="000000"/>
      <w:sz w:val="22"/>
      <w:szCs w:val="22"/>
      <w:u w:val="none"/>
    </w:rPr>
  </w:style>
  <w:style w:type="table" w:customStyle="1" w:styleId="310">
    <w:name w:val="Table Normal"/>
    <w:qFormat/>
    <w:uiPriority w:val="0"/>
    <w:tblPr>
      <w:tblCellMar>
        <w:top w:w="0" w:type="dxa"/>
        <w:left w:w="0" w:type="dxa"/>
        <w:bottom w:w="0" w:type="dxa"/>
        <w:right w:w="0" w:type="dxa"/>
      </w:tblCellMar>
    </w:tblPr>
  </w:style>
  <w:style w:type="paragraph" w:customStyle="1" w:styleId="311">
    <w:name w:val="Table Text"/>
    <w:basedOn w:val="1"/>
    <w:qFormat/>
    <w:uiPriority w:val="0"/>
    <w:rPr>
      <w:rFonts w:ascii="宋体" w:hAnsi="宋体" w:cs="宋体"/>
      <w:sz w:val="28"/>
      <w:szCs w:val="28"/>
      <w:lang w:eastAsia="en-US"/>
    </w:rPr>
  </w:style>
  <w:style w:type="character" w:customStyle="1" w:styleId="312">
    <w:name w:val="font11"/>
    <w:basedOn w:val="46"/>
    <w:qFormat/>
    <w:uiPriority w:val="0"/>
    <w:rPr>
      <w:rFonts w:hint="eastAsia" w:ascii="宋体" w:hAnsi="宋体" w:eastAsia="宋体" w:cs="宋体"/>
      <w:color w:val="000000"/>
      <w:sz w:val="16"/>
      <w:szCs w:val="16"/>
      <w:u w:val="none"/>
    </w:rPr>
  </w:style>
  <w:style w:type="character" w:customStyle="1" w:styleId="313">
    <w:name w:val="font01"/>
    <w:basedOn w:val="46"/>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72</Pages>
  <Words>20949</Words>
  <Characters>22180</Characters>
  <TotalTime>6</TotalTime>
  <ScaleCrop>false</ScaleCrop>
  <LinksUpToDate>false</LinksUpToDate>
  <CharactersWithSpaces>22784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2024-01-08T08:47:00Z</dcterms:created>
  <dc:creator>de</dc:creator>
  <cp:lastModifiedBy>Shallow.</cp:lastModifiedBy>
  <dcterms:modified xsi:type="dcterms:W3CDTF">2026-04-21T06:49:34Z</dcterms:modified>
  <dc:title>淮安市政府</dc:title>
  <cp:revision>201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eyJoZGlkIjoiMjljMWNmYTMzM2U1MDVmZmY2ZjljNDJmYjAxZDc1YmYiLCJ1c2VySWQiOiI0MTI5NjI2MzUifQ==</vt:lpwstr>
  </property>
  <property fmtid="{D5CDD505-2E9C-101B-9397-08002B2CF9AE}" pid="3" name="KSOProductBuildVer">
    <vt:lpwstr>2052-12.1.0.25225</vt:lpwstr>
  </property>
  <property fmtid="{D5CDD505-2E9C-101B-9397-08002B2CF9AE}" pid="4" name="ICV">
    <vt:lpwstr>FD9EA00E5CD1456F89512E27BE26305B_13</vt:lpwstr>
  </property>
</Properties>
</file>