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1B32C">
      <w:pPr>
        <w:pStyle w:val="190"/>
        <w:spacing w:line="360" w:lineRule="auto"/>
        <w:rPr>
          <w:rFonts w:ascii="宋体" w:cs="宋体"/>
          <w:b/>
          <w:bCs/>
          <w:color w:val="auto"/>
          <w:sz w:val="44"/>
          <w:szCs w:val="44"/>
          <w:highlight w:val="none"/>
        </w:rPr>
      </w:pPr>
      <w:r>
        <w:rPr>
          <w:rFonts w:hint="eastAsia" w:ascii="宋体" w:cs="宋体"/>
          <w:b/>
          <w:bCs/>
          <w:color w:val="auto"/>
          <w:sz w:val="44"/>
          <w:szCs w:val="44"/>
          <w:highlight w:val="none"/>
        </w:rPr>
        <w:t xml:space="preserve"> </w:t>
      </w:r>
    </w:p>
    <w:p w14:paraId="44FE6310">
      <w:pPr>
        <w:pStyle w:val="190"/>
        <w:spacing w:line="360" w:lineRule="auto"/>
        <w:jc w:val="center"/>
        <w:rPr>
          <w:rFonts w:hint="eastAsia" w:ascii="黑体" w:hAnsi="黑体" w:eastAsia="黑体" w:cs="Times New Roman"/>
          <w:color w:val="auto"/>
          <w:sz w:val="52"/>
          <w:szCs w:val="52"/>
          <w:highlight w:val="none"/>
        </w:rPr>
      </w:pPr>
    </w:p>
    <w:p w14:paraId="508FCC50">
      <w:pPr>
        <w:pStyle w:val="190"/>
        <w:spacing w:line="360" w:lineRule="auto"/>
        <w:jc w:val="center"/>
        <w:rPr>
          <w:rFonts w:hint="eastAsia" w:ascii="黑体" w:hAnsi="黑体" w:eastAsia="黑体"/>
          <w:color w:val="auto"/>
          <w:sz w:val="84"/>
          <w:szCs w:val="84"/>
          <w:highlight w:val="none"/>
          <w:lang w:eastAsia="zh-CN"/>
        </w:rPr>
      </w:pPr>
      <w:r>
        <w:rPr>
          <w:rFonts w:hint="eastAsia" w:ascii="黑体" w:hAnsi="黑体" w:eastAsia="黑体" w:cs="Times New Roman"/>
          <w:color w:val="auto"/>
          <w:sz w:val="52"/>
          <w:szCs w:val="52"/>
          <w:highlight w:val="none"/>
          <w:lang w:eastAsia="zh-CN"/>
        </w:rPr>
        <w:t>2026年修远楼改造出新工程</w:t>
      </w:r>
    </w:p>
    <w:p w14:paraId="4463DCEC">
      <w:pPr>
        <w:pStyle w:val="190"/>
        <w:spacing w:line="360" w:lineRule="auto"/>
        <w:jc w:val="center"/>
        <w:rPr>
          <w:rFonts w:hint="eastAsia" w:ascii="黑体" w:hAnsi="黑体" w:eastAsia="黑体"/>
          <w:color w:val="auto"/>
          <w:sz w:val="84"/>
          <w:szCs w:val="84"/>
          <w:highlight w:val="none"/>
        </w:rPr>
      </w:pPr>
    </w:p>
    <w:p w14:paraId="2278A90B">
      <w:pPr>
        <w:pStyle w:val="190"/>
        <w:spacing w:line="360" w:lineRule="auto"/>
        <w:jc w:val="center"/>
        <w:rPr>
          <w:rFonts w:hint="eastAsia" w:ascii="黑体" w:hAnsi="黑体" w:eastAsia="黑体" w:cs="Times New Roman"/>
          <w:color w:val="auto"/>
          <w:sz w:val="84"/>
          <w:szCs w:val="84"/>
          <w:highlight w:val="none"/>
        </w:rPr>
      </w:pPr>
      <w:r>
        <w:rPr>
          <w:rFonts w:hint="eastAsia" w:ascii="黑体" w:hAnsi="黑体" w:eastAsia="黑体"/>
          <w:color w:val="auto"/>
          <w:sz w:val="84"/>
          <w:szCs w:val="84"/>
          <w:highlight w:val="none"/>
        </w:rPr>
        <w:t>招标文件</w:t>
      </w:r>
    </w:p>
    <w:p w14:paraId="063F9902">
      <w:pPr>
        <w:pStyle w:val="190"/>
        <w:spacing w:line="360" w:lineRule="auto"/>
        <w:jc w:val="center"/>
        <w:rPr>
          <w:rFonts w:hint="eastAsia" w:ascii="黑体" w:hAnsi="黑体" w:eastAsia="黑体" w:cs="Times New Roman"/>
          <w:color w:val="auto"/>
          <w:sz w:val="52"/>
          <w:szCs w:val="52"/>
          <w:highlight w:val="none"/>
        </w:rPr>
      </w:pPr>
      <w:r>
        <w:rPr>
          <w:rFonts w:hint="eastAsia" w:ascii="黑体" w:hAnsi="黑体" w:eastAsia="黑体" w:cs="Times New Roman"/>
          <w:color w:val="auto"/>
          <w:sz w:val="52"/>
          <w:szCs w:val="52"/>
          <w:highlight w:val="none"/>
        </w:rPr>
        <w:t>（工程类）</w:t>
      </w:r>
    </w:p>
    <w:p w14:paraId="09FAC897">
      <w:pPr>
        <w:pStyle w:val="190"/>
        <w:spacing w:before="240" w:after="240" w:line="360" w:lineRule="auto"/>
        <w:rPr>
          <w:rFonts w:ascii="黑体" w:hAnsi="黑体" w:eastAsia="黑体" w:cs="Times New Roman"/>
          <w:color w:val="auto"/>
          <w:sz w:val="52"/>
          <w:szCs w:val="52"/>
          <w:highlight w:val="none"/>
        </w:rPr>
      </w:pPr>
    </w:p>
    <w:p w14:paraId="52B1986E">
      <w:pPr>
        <w:widowControl w:val="0"/>
        <w:ind w:firstLine="1440"/>
        <w:outlineLvl w:val="2"/>
        <w:rPr>
          <w:rFonts w:hint="eastAsia" w:ascii="黑体" w:hAnsi="黑体" w:eastAsia="黑体" w:cs="黑体"/>
          <w:color w:val="auto"/>
          <w:sz w:val="36"/>
          <w:szCs w:val="36"/>
          <w:highlight w:val="none"/>
          <w:lang w:eastAsia="zh-CN"/>
        </w:rPr>
      </w:pPr>
      <w:r>
        <w:rPr>
          <w:rFonts w:hint="eastAsia" w:ascii="黑体" w:hAnsi="黑体" w:eastAsia="黑体" w:cs="黑体"/>
          <w:color w:val="auto"/>
          <w:sz w:val="36"/>
          <w:szCs w:val="36"/>
          <w:highlight w:val="none"/>
          <w:lang w:eastAsia="zh-CN"/>
        </w:rPr>
        <w:t>招标编号：JSZC-320000-JSRM-G2026-0004</w:t>
      </w:r>
    </w:p>
    <w:p w14:paraId="38170A8A">
      <w:pPr>
        <w:widowControl w:val="0"/>
        <w:ind w:left="698" w:firstLine="1440"/>
        <w:rPr>
          <w:rFonts w:hint="eastAsia" w:ascii="黑体" w:hAnsi="黑体" w:eastAsia="黑体" w:cs="黑体"/>
          <w:color w:val="auto"/>
          <w:sz w:val="36"/>
          <w:szCs w:val="36"/>
          <w:highlight w:val="none"/>
          <w:lang w:eastAsia="zh-CN"/>
        </w:rPr>
      </w:pPr>
    </w:p>
    <w:p w14:paraId="50210ECC">
      <w:pPr>
        <w:widowControl w:val="0"/>
        <w:ind w:firstLine="1440"/>
        <w:outlineLvl w:val="2"/>
        <w:rPr>
          <w:rFonts w:hint="eastAsia" w:ascii="黑体" w:hAnsi="黑体" w:eastAsia="黑体" w:cs="黑体"/>
          <w:color w:val="auto"/>
          <w:sz w:val="36"/>
          <w:szCs w:val="36"/>
          <w:highlight w:val="none"/>
          <w:lang w:eastAsia="zh-CN"/>
        </w:rPr>
      </w:pPr>
      <w:r>
        <w:rPr>
          <w:rFonts w:hint="eastAsia" w:ascii="黑体" w:hAnsi="黑体" w:eastAsia="黑体" w:cs="黑体"/>
          <w:color w:val="auto"/>
          <w:sz w:val="36"/>
          <w:szCs w:val="36"/>
          <w:highlight w:val="none"/>
          <w:lang w:eastAsia="zh-CN"/>
        </w:rPr>
        <w:t>采 购 人：南京交通职业技术学院</w:t>
      </w:r>
    </w:p>
    <w:p w14:paraId="271CB369">
      <w:pPr>
        <w:widowControl w:val="0"/>
        <w:ind w:left="698"/>
        <w:jc w:val="center"/>
        <w:rPr>
          <w:rFonts w:hint="eastAsia" w:ascii="黑体" w:hAnsi="黑体" w:eastAsia="黑体" w:cs="黑体"/>
          <w:color w:val="auto"/>
          <w:sz w:val="36"/>
          <w:szCs w:val="36"/>
          <w:highlight w:val="none"/>
          <w:lang w:eastAsia="zh-CN"/>
        </w:rPr>
      </w:pPr>
    </w:p>
    <w:p w14:paraId="79B57EB9">
      <w:pPr>
        <w:widowControl w:val="0"/>
        <w:ind w:firstLine="1440"/>
        <w:jc w:val="both"/>
        <w:outlineLvl w:val="2"/>
        <w:rPr>
          <w:rFonts w:hint="eastAsia" w:ascii="黑体" w:hAnsi="黑体" w:eastAsia="黑体" w:cs="黑体"/>
          <w:color w:val="auto"/>
          <w:sz w:val="36"/>
          <w:szCs w:val="36"/>
          <w:highlight w:val="none"/>
          <w:lang w:eastAsia="zh-CN"/>
        </w:rPr>
      </w:pPr>
      <w:r>
        <w:rPr>
          <w:rFonts w:hint="eastAsia" w:ascii="黑体" w:hAnsi="黑体" w:eastAsia="黑体" w:cs="黑体"/>
          <w:color w:val="auto"/>
          <w:sz w:val="36"/>
          <w:szCs w:val="36"/>
          <w:highlight w:val="none"/>
          <w:lang w:eastAsia="zh-CN"/>
        </w:rPr>
        <w:t>采购代理机构：江苏润沐工程管理咨询有限公司</w:t>
      </w:r>
    </w:p>
    <w:p w14:paraId="2112A1EE">
      <w:pPr>
        <w:widowControl w:val="0"/>
        <w:jc w:val="center"/>
        <w:rPr>
          <w:rFonts w:hint="eastAsia" w:ascii="黑体" w:hAnsi="黑体" w:eastAsia="黑体" w:cs="黑体"/>
          <w:color w:val="auto"/>
          <w:sz w:val="36"/>
          <w:szCs w:val="36"/>
          <w:highlight w:val="none"/>
          <w:lang w:eastAsia="zh-CN"/>
        </w:rPr>
      </w:pPr>
    </w:p>
    <w:p w14:paraId="032044BD">
      <w:pPr>
        <w:widowControl w:val="0"/>
        <w:spacing w:line="357" w:lineRule="auto"/>
        <w:ind w:right="1933" w:firstLine="1440"/>
        <w:rPr>
          <w:rFonts w:hint="eastAsia" w:ascii="黑体" w:hAnsi="黑体" w:eastAsia="黑体" w:cs="黑体"/>
          <w:color w:val="auto"/>
          <w:sz w:val="36"/>
          <w:szCs w:val="36"/>
          <w:highlight w:val="none"/>
          <w:lang w:eastAsia="zh-CN"/>
        </w:rPr>
      </w:pPr>
      <w:r>
        <w:rPr>
          <w:rFonts w:hint="eastAsia" w:ascii="黑体" w:hAnsi="黑体" w:eastAsia="黑体" w:cs="黑体"/>
          <w:color w:val="auto"/>
          <w:sz w:val="36"/>
          <w:szCs w:val="36"/>
          <w:highlight w:val="none"/>
          <w:lang w:eastAsia="zh-CN"/>
        </w:rPr>
        <w:t>日   期：二○二六年四月</w:t>
      </w:r>
    </w:p>
    <w:p w14:paraId="4A3EB058">
      <w:pPr>
        <w:pStyle w:val="215"/>
        <w:rPr>
          <w:rFonts w:ascii="宋体" w:hAnsi="宋体" w:cs="宋体"/>
          <w:b/>
          <w:bCs/>
          <w:color w:val="auto"/>
          <w:sz w:val="32"/>
          <w:szCs w:val="32"/>
          <w:highlight w:val="none"/>
          <w:lang w:eastAsia="zh-CN"/>
        </w:rPr>
      </w:pPr>
    </w:p>
    <w:p w14:paraId="1FB778A2">
      <w:pPr>
        <w:pStyle w:val="215"/>
        <w:rPr>
          <w:rFonts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br w:type="page" w:clear="all"/>
      </w:r>
    </w:p>
    <w:p w14:paraId="0B3179C6">
      <w:pPr>
        <w:jc w:val="center"/>
        <w:rPr>
          <w:rFonts w:ascii="宋体" w:hAnsi="宋体"/>
          <w:b/>
          <w:bCs/>
          <w:color w:val="auto"/>
          <w:sz w:val="40"/>
          <w:szCs w:val="48"/>
          <w:highlight w:val="none"/>
          <w:lang w:eastAsia="zh-CN"/>
        </w:rPr>
      </w:pPr>
      <w:r>
        <w:rPr>
          <w:rFonts w:ascii="宋体" w:hAnsi="宋体"/>
          <w:b/>
          <w:bCs/>
          <w:color w:val="auto"/>
          <w:sz w:val="40"/>
          <w:szCs w:val="48"/>
          <w:highlight w:val="none"/>
          <w:lang w:eastAsia="zh-CN"/>
        </w:rPr>
        <w:t>目</w:t>
      </w:r>
      <w:r>
        <w:rPr>
          <w:rFonts w:hint="eastAsia" w:ascii="宋体" w:hAnsi="宋体"/>
          <w:b/>
          <w:bCs/>
          <w:color w:val="auto"/>
          <w:sz w:val="40"/>
          <w:szCs w:val="48"/>
          <w:highlight w:val="none"/>
          <w:lang w:eastAsia="zh-CN"/>
        </w:rPr>
        <w:t xml:space="preserve">   </w:t>
      </w:r>
      <w:r>
        <w:rPr>
          <w:rFonts w:ascii="宋体" w:hAnsi="宋体"/>
          <w:b/>
          <w:bCs/>
          <w:color w:val="auto"/>
          <w:sz w:val="40"/>
          <w:szCs w:val="48"/>
          <w:highlight w:val="none"/>
          <w:lang w:eastAsia="zh-CN"/>
        </w:rPr>
        <w:t>录</w:t>
      </w:r>
    </w:p>
    <w:p w14:paraId="2C9B793D">
      <w:pPr>
        <w:pStyle w:val="215"/>
        <w:rPr>
          <w:color w:val="auto"/>
          <w:highlight w:val="none"/>
          <w:lang w:eastAsia="zh-CN"/>
        </w:rPr>
      </w:pPr>
    </w:p>
    <w:p w14:paraId="4DA8CCE4">
      <w:pPr>
        <w:pStyle w:val="429"/>
        <w:tabs>
          <w:tab w:val="right" w:leader="dot" w:pos="9542"/>
        </w:tabs>
        <w:spacing w:line="480" w:lineRule="auto"/>
        <w:rPr>
          <w:color w:val="auto"/>
          <w:sz w:val="28"/>
          <w:szCs w:val="28"/>
          <w:highlight w:val="none"/>
        </w:rPr>
      </w:pP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TOC \o "1-1" \h \u </w:instrText>
      </w:r>
      <w:r>
        <w:rPr>
          <w:rFonts w:ascii="宋体" w:hAnsi="宋体" w:cs="宋体"/>
          <w:b/>
          <w:bCs/>
          <w:color w:val="auto"/>
          <w:sz w:val="24"/>
          <w:szCs w:val="24"/>
          <w:highlight w:val="none"/>
        </w:rPr>
        <w:fldChar w:fldCharType="separate"/>
      </w:r>
      <w:r>
        <w:rPr>
          <w:rFonts w:ascii="宋体" w:hAnsi="宋体" w:cs="宋体"/>
          <w:bCs/>
          <w:color w:val="auto"/>
          <w:sz w:val="28"/>
          <w:szCs w:val="28"/>
          <w:highlight w:val="none"/>
        </w:rPr>
        <w:fldChar w:fldCharType="begin"/>
      </w:r>
      <w:r>
        <w:rPr>
          <w:rFonts w:ascii="宋体" w:hAnsi="宋体" w:cs="宋体"/>
          <w:bCs/>
          <w:color w:val="auto"/>
          <w:sz w:val="28"/>
          <w:szCs w:val="28"/>
          <w:highlight w:val="none"/>
        </w:rPr>
        <w:instrText xml:space="preserve"> HYPERLINK \l _Toc87 </w:instrText>
      </w:r>
      <w:r>
        <w:rPr>
          <w:rFonts w:ascii="宋体" w:hAnsi="宋体" w:cs="宋体"/>
          <w:bCs/>
          <w:color w:val="auto"/>
          <w:sz w:val="28"/>
          <w:szCs w:val="28"/>
          <w:highlight w:val="none"/>
        </w:rPr>
        <w:fldChar w:fldCharType="separate"/>
      </w:r>
      <w:r>
        <w:rPr>
          <w:rFonts w:hint="eastAsia"/>
          <w:color w:val="auto"/>
          <w:sz w:val="28"/>
          <w:szCs w:val="28"/>
          <w:highlight w:val="none"/>
          <w:lang w:val="zh-TW" w:eastAsia="zh-TW"/>
        </w:rPr>
        <w:t>第一章</w:t>
      </w:r>
      <w:r>
        <w:rPr>
          <w:rFonts w:hint="eastAsia"/>
          <w:color w:val="auto"/>
          <w:sz w:val="28"/>
          <w:szCs w:val="28"/>
          <w:highlight w:val="none"/>
        </w:rPr>
        <w:t xml:space="preserve"> </w:t>
      </w:r>
      <w:r>
        <w:rPr>
          <w:rFonts w:hint="eastAsia"/>
          <w:color w:val="auto"/>
          <w:sz w:val="28"/>
          <w:szCs w:val="28"/>
          <w:highlight w:val="none"/>
          <w:lang w:val="zh-TW" w:eastAsia="zh-TW"/>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_Toc87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宋体" w:hAnsi="宋体" w:cs="宋体"/>
          <w:bCs/>
          <w:color w:val="auto"/>
          <w:sz w:val="28"/>
          <w:szCs w:val="28"/>
          <w:highlight w:val="none"/>
        </w:rPr>
        <w:fldChar w:fldCharType="end"/>
      </w:r>
    </w:p>
    <w:p w14:paraId="6AB740A9">
      <w:pPr>
        <w:pStyle w:val="429"/>
        <w:tabs>
          <w:tab w:val="right" w:leader="dot" w:pos="9542"/>
        </w:tabs>
        <w:spacing w:line="480" w:lineRule="auto"/>
        <w:rPr>
          <w:color w:val="auto"/>
          <w:sz w:val="28"/>
          <w:szCs w:val="28"/>
          <w:highlight w:val="none"/>
        </w:rPr>
      </w:pPr>
      <w:r>
        <w:rPr>
          <w:rFonts w:ascii="宋体" w:hAnsi="宋体" w:cs="宋体"/>
          <w:bCs/>
          <w:color w:val="auto"/>
          <w:sz w:val="28"/>
          <w:szCs w:val="28"/>
          <w:highlight w:val="none"/>
        </w:rPr>
        <w:fldChar w:fldCharType="begin"/>
      </w:r>
      <w:r>
        <w:rPr>
          <w:rFonts w:ascii="宋体" w:hAnsi="宋体" w:cs="宋体"/>
          <w:bCs/>
          <w:color w:val="auto"/>
          <w:sz w:val="28"/>
          <w:szCs w:val="28"/>
          <w:highlight w:val="none"/>
        </w:rPr>
        <w:instrText xml:space="preserve"> HYPERLINK \l _Toc22472 </w:instrText>
      </w:r>
      <w:r>
        <w:rPr>
          <w:rFonts w:ascii="宋体" w:hAnsi="宋体" w:cs="宋体"/>
          <w:bCs/>
          <w:color w:val="auto"/>
          <w:sz w:val="28"/>
          <w:szCs w:val="28"/>
          <w:highlight w:val="none"/>
        </w:rPr>
        <w:fldChar w:fldCharType="separate"/>
      </w:r>
      <w:r>
        <w:rPr>
          <w:rFonts w:hint="eastAsia"/>
          <w:color w:val="auto"/>
          <w:sz w:val="28"/>
          <w:szCs w:val="28"/>
          <w:highlight w:val="none"/>
        </w:rPr>
        <w:t>第二章</w:t>
      </w:r>
      <w:r>
        <w:rPr>
          <w:rFonts w:hint="eastAsia"/>
          <w:color w:val="auto"/>
          <w:sz w:val="28"/>
          <w:szCs w:val="28"/>
          <w:highlight w:val="none"/>
          <w:lang w:val="zh-TW"/>
        </w:rPr>
        <w:t xml:space="preserve">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_Toc22472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ascii="宋体" w:hAnsi="宋体" w:cs="宋体"/>
          <w:bCs/>
          <w:color w:val="auto"/>
          <w:sz w:val="28"/>
          <w:szCs w:val="28"/>
          <w:highlight w:val="none"/>
        </w:rPr>
        <w:fldChar w:fldCharType="end"/>
      </w:r>
    </w:p>
    <w:p w14:paraId="0084E92D">
      <w:pPr>
        <w:pStyle w:val="429"/>
        <w:tabs>
          <w:tab w:val="right" w:leader="dot" w:pos="9542"/>
        </w:tabs>
        <w:spacing w:line="480" w:lineRule="auto"/>
        <w:rPr>
          <w:color w:val="auto"/>
          <w:sz w:val="28"/>
          <w:szCs w:val="28"/>
          <w:highlight w:val="none"/>
        </w:rPr>
      </w:pPr>
      <w:r>
        <w:rPr>
          <w:rFonts w:ascii="宋体" w:hAnsi="宋体" w:cs="宋体"/>
          <w:bCs/>
          <w:color w:val="auto"/>
          <w:sz w:val="28"/>
          <w:szCs w:val="28"/>
          <w:highlight w:val="none"/>
        </w:rPr>
        <w:fldChar w:fldCharType="begin"/>
      </w:r>
      <w:r>
        <w:rPr>
          <w:rFonts w:ascii="宋体" w:hAnsi="宋体" w:cs="宋体"/>
          <w:bCs/>
          <w:color w:val="auto"/>
          <w:sz w:val="28"/>
          <w:szCs w:val="28"/>
          <w:highlight w:val="none"/>
        </w:rPr>
        <w:instrText xml:space="preserve"> HYPERLINK \l _Toc24600 </w:instrText>
      </w:r>
      <w:r>
        <w:rPr>
          <w:rFonts w:ascii="宋体" w:hAnsi="宋体" w:cs="宋体"/>
          <w:bCs/>
          <w:color w:val="auto"/>
          <w:sz w:val="28"/>
          <w:szCs w:val="28"/>
          <w:highlight w:val="none"/>
        </w:rPr>
        <w:fldChar w:fldCharType="separate"/>
      </w:r>
      <w:r>
        <w:rPr>
          <w:rFonts w:hint="eastAsia"/>
          <w:bCs/>
          <w:color w:val="auto"/>
          <w:sz w:val="28"/>
          <w:szCs w:val="28"/>
          <w:highlight w:val="none"/>
          <w:lang w:val="zh-TW" w:eastAsia="zh-TW"/>
        </w:rPr>
        <w:t>第三章</w:t>
      </w:r>
      <w:r>
        <w:rPr>
          <w:rFonts w:hint="eastAsia"/>
          <w:bCs/>
          <w:color w:val="auto"/>
          <w:sz w:val="28"/>
          <w:szCs w:val="28"/>
          <w:highlight w:val="none"/>
        </w:rPr>
        <w:t xml:space="preserve"> </w:t>
      </w:r>
      <w:r>
        <w:rPr>
          <w:rFonts w:hint="eastAsia"/>
          <w:bCs/>
          <w:color w:val="auto"/>
          <w:sz w:val="28"/>
          <w:szCs w:val="28"/>
          <w:highlight w:val="none"/>
          <w:lang w:val="zh-TW" w:eastAsia="zh-TW"/>
        </w:rPr>
        <w:t>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_Toc24600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rFonts w:ascii="宋体" w:hAnsi="宋体" w:cs="宋体"/>
          <w:bCs/>
          <w:color w:val="auto"/>
          <w:sz w:val="28"/>
          <w:szCs w:val="28"/>
          <w:highlight w:val="none"/>
        </w:rPr>
        <w:fldChar w:fldCharType="end"/>
      </w:r>
    </w:p>
    <w:p w14:paraId="286E2178">
      <w:pPr>
        <w:pStyle w:val="429"/>
        <w:tabs>
          <w:tab w:val="right" w:leader="dot" w:pos="9542"/>
        </w:tabs>
        <w:spacing w:line="480" w:lineRule="auto"/>
        <w:rPr>
          <w:color w:val="auto"/>
          <w:sz w:val="28"/>
          <w:szCs w:val="28"/>
          <w:highlight w:val="none"/>
        </w:rPr>
      </w:pPr>
      <w:r>
        <w:rPr>
          <w:rFonts w:ascii="宋体" w:hAnsi="宋体" w:cs="宋体"/>
          <w:bCs/>
          <w:color w:val="auto"/>
          <w:sz w:val="28"/>
          <w:szCs w:val="28"/>
          <w:highlight w:val="none"/>
        </w:rPr>
        <w:fldChar w:fldCharType="begin"/>
      </w:r>
      <w:r>
        <w:rPr>
          <w:rFonts w:ascii="宋体" w:hAnsi="宋体" w:cs="宋体"/>
          <w:bCs/>
          <w:color w:val="auto"/>
          <w:sz w:val="28"/>
          <w:szCs w:val="28"/>
          <w:highlight w:val="none"/>
        </w:rPr>
        <w:instrText xml:space="preserve"> HYPERLINK \l _Toc27961 </w:instrText>
      </w:r>
      <w:r>
        <w:rPr>
          <w:rFonts w:ascii="宋体" w:hAnsi="宋体" w:cs="宋体"/>
          <w:bCs/>
          <w:color w:val="auto"/>
          <w:sz w:val="28"/>
          <w:szCs w:val="28"/>
          <w:highlight w:val="none"/>
        </w:rPr>
        <w:fldChar w:fldCharType="separate"/>
      </w:r>
      <w:r>
        <w:rPr>
          <w:rFonts w:hint="eastAsia"/>
          <w:bCs/>
          <w:color w:val="auto"/>
          <w:sz w:val="28"/>
          <w:szCs w:val="28"/>
          <w:highlight w:val="none"/>
          <w:lang w:val="zh-TW" w:eastAsia="zh-TW"/>
        </w:rPr>
        <w:t>第四章</w:t>
      </w:r>
      <w:r>
        <w:rPr>
          <w:rFonts w:hint="eastAsia"/>
          <w:bCs/>
          <w:color w:val="auto"/>
          <w:sz w:val="28"/>
          <w:szCs w:val="28"/>
          <w:highlight w:val="none"/>
          <w:lang w:val="zh-TW"/>
        </w:rPr>
        <w:t xml:space="preserve"> </w:t>
      </w:r>
      <w:r>
        <w:rPr>
          <w:rFonts w:hint="eastAsia"/>
          <w:bCs/>
          <w:color w:val="auto"/>
          <w:sz w:val="28"/>
          <w:szCs w:val="28"/>
          <w:highlight w:val="none"/>
          <w:lang w:val="en-US" w:eastAsia="zh-CN"/>
        </w:rPr>
        <w:t>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_Toc27961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rFonts w:ascii="宋体" w:hAnsi="宋体" w:cs="宋体"/>
          <w:bCs/>
          <w:color w:val="auto"/>
          <w:sz w:val="28"/>
          <w:szCs w:val="28"/>
          <w:highlight w:val="none"/>
        </w:rPr>
        <w:fldChar w:fldCharType="end"/>
      </w:r>
    </w:p>
    <w:p w14:paraId="5CC7A2B8">
      <w:pPr>
        <w:pStyle w:val="429"/>
        <w:tabs>
          <w:tab w:val="right" w:pos="2400"/>
          <w:tab w:val="right" w:leader="dot" w:pos="9542"/>
        </w:tabs>
        <w:spacing w:line="480" w:lineRule="auto"/>
        <w:rPr>
          <w:color w:val="auto"/>
          <w:sz w:val="28"/>
          <w:szCs w:val="28"/>
          <w:highlight w:val="none"/>
        </w:rPr>
      </w:pPr>
      <w:r>
        <w:rPr>
          <w:rFonts w:ascii="宋体" w:hAnsi="宋体" w:cs="宋体"/>
          <w:bCs/>
          <w:color w:val="auto"/>
          <w:sz w:val="28"/>
          <w:szCs w:val="28"/>
          <w:highlight w:val="none"/>
        </w:rPr>
        <w:fldChar w:fldCharType="begin"/>
      </w:r>
      <w:r>
        <w:rPr>
          <w:rFonts w:ascii="宋体" w:hAnsi="宋体" w:cs="宋体"/>
          <w:bCs/>
          <w:color w:val="auto"/>
          <w:sz w:val="28"/>
          <w:szCs w:val="28"/>
          <w:highlight w:val="none"/>
        </w:rPr>
        <w:instrText xml:space="preserve"> HYPERLINK \l _Toc7226 </w:instrText>
      </w:r>
      <w:r>
        <w:rPr>
          <w:rFonts w:ascii="宋体" w:hAnsi="宋体" w:cs="宋体"/>
          <w:bCs/>
          <w:color w:val="auto"/>
          <w:sz w:val="28"/>
          <w:szCs w:val="28"/>
          <w:highlight w:val="none"/>
        </w:rPr>
        <w:fldChar w:fldCharType="separate"/>
      </w:r>
      <w:r>
        <w:rPr>
          <w:rFonts w:hint="eastAsia"/>
          <w:color w:val="auto"/>
          <w:sz w:val="28"/>
          <w:szCs w:val="28"/>
          <w:highlight w:val="none"/>
          <w:lang w:val="zh-CN"/>
        </w:rPr>
        <w:t>第五章</w:t>
      </w:r>
      <w:r>
        <w:rPr>
          <w:rFonts w:hint="eastAsia"/>
          <w:color w:val="auto"/>
          <w:sz w:val="28"/>
          <w:szCs w:val="28"/>
          <w:highlight w:val="none"/>
          <w:lang w:val="zh-CN"/>
        </w:rPr>
        <w:tab/>
      </w:r>
      <w:r>
        <w:rPr>
          <w:rFonts w:hint="eastAsia"/>
          <w:color w:val="auto"/>
          <w:sz w:val="28"/>
          <w:szCs w:val="28"/>
          <w:highlight w:val="none"/>
          <w:lang w:val="zh-CN"/>
        </w:rPr>
        <w:t>合同草案条款及格式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_Toc7226 \h </w:instrText>
      </w:r>
      <w:r>
        <w:rPr>
          <w:color w:val="auto"/>
          <w:sz w:val="28"/>
          <w:szCs w:val="28"/>
          <w:highlight w:val="none"/>
        </w:rPr>
        <w:fldChar w:fldCharType="separate"/>
      </w:r>
      <w:r>
        <w:rPr>
          <w:color w:val="auto"/>
          <w:sz w:val="28"/>
          <w:szCs w:val="28"/>
          <w:highlight w:val="none"/>
        </w:rPr>
        <w:t>36</w:t>
      </w:r>
      <w:r>
        <w:rPr>
          <w:color w:val="auto"/>
          <w:sz w:val="28"/>
          <w:szCs w:val="28"/>
          <w:highlight w:val="none"/>
        </w:rPr>
        <w:fldChar w:fldCharType="end"/>
      </w:r>
      <w:r>
        <w:rPr>
          <w:rFonts w:ascii="宋体" w:hAnsi="宋体" w:cs="宋体"/>
          <w:bCs/>
          <w:color w:val="auto"/>
          <w:sz w:val="28"/>
          <w:szCs w:val="28"/>
          <w:highlight w:val="none"/>
        </w:rPr>
        <w:fldChar w:fldCharType="end"/>
      </w:r>
    </w:p>
    <w:p w14:paraId="267F6B81">
      <w:pPr>
        <w:pStyle w:val="429"/>
        <w:tabs>
          <w:tab w:val="right" w:leader="dot" w:pos="9542"/>
        </w:tabs>
        <w:spacing w:line="480" w:lineRule="auto"/>
        <w:rPr>
          <w:color w:val="auto"/>
          <w:sz w:val="24"/>
          <w:szCs w:val="24"/>
          <w:highlight w:val="none"/>
        </w:rPr>
      </w:pPr>
      <w:r>
        <w:rPr>
          <w:rFonts w:ascii="宋体" w:hAnsi="宋体" w:cs="宋体"/>
          <w:bCs/>
          <w:color w:val="auto"/>
          <w:sz w:val="28"/>
          <w:szCs w:val="28"/>
          <w:highlight w:val="none"/>
        </w:rPr>
        <w:fldChar w:fldCharType="begin"/>
      </w:r>
      <w:r>
        <w:rPr>
          <w:rFonts w:ascii="宋体" w:hAnsi="宋体" w:cs="宋体"/>
          <w:bCs/>
          <w:color w:val="auto"/>
          <w:sz w:val="28"/>
          <w:szCs w:val="28"/>
          <w:highlight w:val="none"/>
        </w:rPr>
        <w:instrText xml:space="preserve"> HYPERLINK \l _Toc16568 </w:instrText>
      </w:r>
      <w:r>
        <w:rPr>
          <w:rFonts w:ascii="宋体" w:hAnsi="宋体" w:cs="宋体"/>
          <w:bCs/>
          <w:color w:val="auto"/>
          <w:sz w:val="28"/>
          <w:szCs w:val="28"/>
          <w:highlight w:val="none"/>
        </w:rPr>
        <w:fldChar w:fldCharType="separate"/>
      </w:r>
      <w:r>
        <w:rPr>
          <w:rFonts w:hint="eastAsia" w:ascii="宋体" w:hAnsi="宋体" w:cs="宋体"/>
          <w:color w:val="auto"/>
          <w:sz w:val="28"/>
          <w:szCs w:val="28"/>
          <w:highlight w:val="none"/>
          <w:lang w:val="zh-TW" w:eastAsia="zh-TW"/>
        </w:rPr>
        <w:t>第六章投标文件格式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_Toc16568 \h </w:instrText>
      </w:r>
      <w:r>
        <w:rPr>
          <w:color w:val="auto"/>
          <w:sz w:val="28"/>
          <w:szCs w:val="28"/>
          <w:highlight w:val="none"/>
        </w:rPr>
        <w:fldChar w:fldCharType="separate"/>
      </w:r>
      <w:r>
        <w:rPr>
          <w:color w:val="auto"/>
          <w:sz w:val="28"/>
          <w:szCs w:val="28"/>
          <w:highlight w:val="none"/>
        </w:rPr>
        <w:t>74</w:t>
      </w:r>
      <w:r>
        <w:rPr>
          <w:color w:val="auto"/>
          <w:sz w:val="28"/>
          <w:szCs w:val="28"/>
          <w:highlight w:val="none"/>
        </w:rPr>
        <w:fldChar w:fldCharType="end"/>
      </w:r>
      <w:r>
        <w:rPr>
          <w:rFonts w:ascii="宋体" w:hAnsi="宋体" w:cs="宋体"/>
          <w:bCs/>
          <w:color w:val="auto"/>
          <w:sz w:val="28"/>
          <w:szCs w:val="28"/>
          <w:highlight w:val="none"/>
        </w:rPr>
        <w:fldChar w:fldCharType="end"/>
      </w:r>
    </w:p>
    <w:p w14:paraId="2D40D83B">
      <w:pPr>
        <w:pStyle w:val="215"/>
        <w:spacing w:line="480" w:lineRule="auto"/>
        <w:rPr>
          <w:rFonts w:ascii="宋体" w:hAnsi="宋体" w:cs="宋体"/>
          <w:b/>
          <w:bCs/>
          <w:color w:val="auto"/>
          <w:sz w:val="32"/>
          <w:szCs w:val="32"/>
          <w:highlight w:val="none"/>
          <w:lang w:eastAsia="zh-CN"/>
        </w:rPr>
      </w:pPr>
      <w:r>
        <w:rPr>
          <w:rFonts w:ascii="宋体" w:hAnsi="宋体" w:cs="宋体"/>
          <w:bCs/>
          <w:color w:val="auto"/>
          <w:sz w:val="24"/>
          <w:szCs w:val="24"/>
          <w:highlight w:val="none"/>
          <w:lang w:eastAsia="zh-CN"/>
        </w:rPr>
        <w:fldChar w:fldCharType="end"/>
      </w:r>
    </w:p>
    <w:p w14:paraId="1BD491DC">
      <w:pPr>
        <w:pStyle w:val="190"/>
        <w:spacing w:line="360" w:lineRule="auto"/>
        <w:jc w:val="center"/>
        <w:outlineLvl w:val="0"/>
        <w:rPr>
          <w:rStyle w:val="201"/>
          <w:color w:val="auto"/>
          <w:sz w:val="36"/>
          <w:szCs w:val="36"/>
          <w:highlight w:val="none"/>
          <w:lang w:val="zh-TW" w:eastAsia="zh-TW"/>
        </w:rPr>
      </w:pPr>
      <w:r>
        <w:rPr>
          <w:rFonts w:hint="eastAsia" w:ascii="宋体" w:hAnsi="宋体" w:cs="宋体"/>
          <w:b/>
          <w:bCs/>
          <w:color w:val="auto"/>
          <w:sz w:val="30"/>
          <w:szCs w:val="30"/>
          <w:highlight w:val="none"/>
          <w:lang w:val="zh-TW" w:eastAsia="zh-TW"/>
        </w:rPr>
        <w:br w:type="page" w:clear="all"/>
      </w:r>
      <w:bookmarkStart w:id="0" w:name="_Toc87"/>
      <w:r>
        <w:rPr>
          <w:rStyle w:val="201"/>
          <w:rFonts w:hint="eastAsia"/>
          <w:color w:val="auto"/>
          <w:sz w:val="36"/>
          <w:szCs w:val="36"/>
          <w:highlight w:val="none"/>
          <w:lang w:val="zh-TW" w:eastAsia="zh-TW"/>
        </w:rPr>
        <w:t>第一章</w:t>
      </w:r>
      <w:r>
        <w:rPr>
          <w:rStyle w:val="201"/>
          <w:rFonts w:hint="eastAsia"/>
          <w:color w:val="auto"/>
          <w:sz w:val="36"/>
          <w:szCs w:val="36"/>
          <w:highlight w:val="none"/>
          <w:lang w:eastAsia="zh-CN"/>
        </w:rPr>
        <w:t xml:space="preserve"> </w:t>
      </w:r>
      <w:r>
        <w:rPr>
          <w:rStyle w:val="201"/>
          <w:rFonts w:hint="eastAsia"/>
          <w:color w:val="auto"/>
          <w:sz w:val="36"/>
          <w:szCs w:val="36"/>
          <w:highlight w:val="none"/>
          <w:lang w:val="zh-TW" w:eastAsia="zh-TW"/>
        </w:rPr>
        <w:t>招标公告</w:t>
      </w:r>
      <w:bookmarkEnd w:id="0"/>
    </w:p>
    <w:p w14:paraId="25422D31">
      <w:pPr>
        <w:widowControl w:val="0"/>
        <w:spacing w:line="360" w:lineRule="auto"/>
        <w:ind w:firstLine="480"/>
        <w:jc w:val="both"/>
        <w:rPr>
          <w:rFonts w:ascii="宋体" w:hAnsi="宋体"/>
          <w:bCs/>
          <w:color w:val="auto"/>
          <w:highlight w:val="none"/>
          <w:lang w:eastAsia="zh-CN"/>
        </w:rPr>
      </w:pPr>
      <w:r>
        <w:rPr>
          <w:rFonts w:hint="eastAsia" w:ascii="宋体" w:hAnsi="宋体"/>
          <w:bCs/>
          <w:color w:val="auto"/>
          <w:highlight w:val="none"/>
          <w:u w:val="single"/>
          <w:lang w:eastAsia="zh-CN"/>
        </w:rPr>
        <w:t>2026年修远楼改造出新工程</w:t>
      </w:r>
      <w:r>
        <w:rPr>
          <w:rFonts w:hint="eastAsia" w:ascii="宋体" w:hAnsi="宋体"/>
          <w:bCs/>
          <w:color w:val="auto"/>
          <w:highlight w:val="none"/>
          <w:lang w:eastAsia="zh-CN"/>
        </w:rPr>
        <w:t>的潜在供应商应在</w:t>
      </w:r>
      <w:r>
        <w:rPr>
          <w:rFonts w:hint="eastAsia" w:ascii="宋体" w:hAnsi="宋体"/>
          <w:bCs/>
          <w:color w:val="auto"/>
          <w:highlight w:val="none"/>
          <w:u w:val="single"/>
          <w:lang w:eastAsia="zh-CN"/>
        </w:rPr>
        <w:t>江苏省政府采购交易系统（以下简称“苏采云”系统）</w:t>
      </w:r>
      <w:r>
        <w:rPr>
          <w:rFonts w:hint="eastAsia" w:ascii="宋体" w:hAnsi="宋体"/>
          <w:bCs/>
          <w:color w:val="auto"/>
          <w:highlight w:val="none"/>
          <w:lang w:eastAsia="zh-CN"/>
        </w:rPr>
        <w:t>获取招标文件，并于</w:t>
      </w:r>
      <w:r>
        <w:rPr>
          <w:rFonts w:hint="eastAsia" w:ascii="宋体" w:hAnsi="宋体"/>
          <w:bCs/>
          <w:color w:val="auto"/>
          <w:highlight w:val="none"/>
          <w:lang w:eastAsia="zh-CN"/>
        </w:rPr>
        <w:t>2026年</w:t>
      </w:r>
      <w:r>
        <w:rPr>
          <w:rFonts w:hint="eastAsia" w:ascii="宋体" w:hAnsi="宋体"/>
          <w:bCs/>
          <w:color w:val="auto"/>
          <w:highlight w:val="none"/>
          <w:lang w:val="en-US" w:eastAsia="zh-CN"/>
        </w:rPr>
        <w:t>5</w:t>
      </w:r>
      <w:r>
        <w:rPr>
          <w:rFonts w:hint="eastAsia" w:ascii="宋体" w:hAnsi="宋体"/>
          <w:bCs/>
          <w:color w:val="auto"/>
          <w:highlight w:val="none"/>
          <w:lang w:eastAsia="zh-CN"/>
        </w:rPr>
        <w:t>月</w:t>
      </w:r>
      <w:r>
        <w:rPr>
          <w:rFonts w:hint="eastAsia" w:ascii="宋体" w:hAnsi="宋体"/>
          <w:bCs/>
          <w:color w:val="auto"/>
          <w:highlight w:val="none"/>
          <w:lang w:val="en-US" w:eastAsia="zh-CN"/>
        </w:rPr>
        <w:t>25</w:t>
      </w:r>
      <w:r>
        <w:rPr>
          <w:rFonts w:hint="eastAsia" w:ascii="宋体" w:hAnsi="宋体"/>
          <w:bCs/>
          <w:color w:val="auto"/>
          <w:highlight w:val="none"/>
          <w:lang w:eastAsia="zh-CN"/>
        </w:rPr>
        <w:t>日</w:t>
      </w:r>
      <w:r>
        <w:rPr>
          <w:rFonts w:hint="eastAsia" w:ascii="宋体" w:hAnsi="宋体"/>
          <w:bCs/>
          <w:color w:val="auto"/>
          <w:highlight w:val="none"/>
          <w:lang w:val="en-US" w:eastAsia="zh-CN"/>
        </w:rPr>
        <w:t>09</w:t>
      </w:r>
      <w:r>
        <w:rPr>
          <w:rFonts w:hint="eastAsia" w:ascii="宋体" w:hAnsi="宋体"/>
          <w:bCs/>
          <w:color w:val="auto"/>
          <w:highlight w:val="none"/>
          <w:lang w:eastAsia="zh-CN"/>
        </w:rPr>
        <w:t>点</w:t>
      </w:r>
      <w:r>
        <w:rPr>
          <w:rFonts w:hint="eastAsia" w:ascii="宋体" w:hAnsi="宋体"/>
          <w:bCs/>
          <w:color w:val="auto"/>
          <w:highlight w:val="none"/>
          <w:lang w:val="en-US" w:eastAsia="zh-CN"/>
        </w:rPr>
        <w:t>30</w:t>
      </w:r>
      <w:r>
        <w:rPr>
          <w:rFonts w:hint="eastAsia" w:ascii="宋体" w:hAnsi="宋体"/>
          <w:bCs/>
          <w:color w:val="auto"/>
          <w:highlight w:val="none"/>
          <w:lang w:eastAsia="zh-CN"/>
        </w:rPr>
        <w:t>分</w:t>
      </w:r>
      <w:r>
        <w:rPr>
          <w:rFonts w:hint="eastAsia" w:ascii="宋体" w:hAnsi="宋体"/>
          <w:bCs/>
          <w:color w:val="auto"/>
          <w:highlight w:val="none"/>
          <w:lang w:eastAsia="zh-CN"/>
        </w:rPr>
        <w:t>（北京时间）前提交投标文件。</w:t>
      </w:r>
    </w:p>
    <w:p w14:paraId="1F8E99D9">
      <w:pPr>
        <w:widowControl w:val="0"/>
        <w:spacing w:line="360" w:lineRule="auto"/>
        <w:ind w:firstLine="482"/>
        <w:jc w:val="both"/>
        <w:outlineLvl w:val="1"/>
        <w:rPr>
          <w:rFonts w:hint="eastAsia" w:ascii="宋体" w:hAnsi="宋体" w:cs="宋体"/>
          <w:b/>
          <w:color w:val="auto"/>
          <w:highlight w:val="none"/>
          <w:lang w:eastAsia="zh-CN"/>
        </w:rPr>
      </w:pPr>
      <w:bookmarkStart w:id="1" w:name="_Toc28359079"/>
      <w:bookmarkStart w:id="2" w:name="_Toc28359002"/>
      <w:bookmarkStart w:id="3" w:name="_Toc35393621"/>
      <w:bookmarkStart w:id="4" w:name="_Toc35393790"/>
      <w:bookmarkStart w:id="5" w:name="_Hlk24379207"/>
      <w:r>
        <w:rPr>
          <w:rFonts w:hint="eastAsia" w:ascii="宋体" w:hAnsi="宋体" w:cs="宋体"/>
          <w:b/>
          <w:color w:val="auto"/>
          <w:highlight w:val="none"/>
          <w:lang w:eastAsia="zh-CN"/>
        </w:rPr>
        <w:t>一、项目基本情况</w:t>
      </w:r>
      <w:bookmarkEnd w:id="1"/>
      <w:bookmarkEnd w:id="2"/>
      <w:bookmarkEnd w:id="3"/>
      <w:bookmarkEnd w:id="4"/>
    </w:p>
    <w:bookmarkEnd w:id="5"/>
    <w:p w14:paraId="5F95E618">
      <w:pPr>
        <w:widowControl w:val="0"/>
        <w:spacing w:line="360" w:lineRule="auto"/>
        <w:ind w:firstLine="480"/>
        <w:rPr>
          <w:rFonts w:ascii="宋体" w:hAnsi="宋体"/>
          <w:color w:val="auto"/>
          <w:highlight w:val="none"/>
          <w:lang w:eastAsia="zh-CN"/>
        </w:rPr>
      </w:pPr>
      <w:bookmarkStart w:id="6" w:name="_Toc28359003"/>
      <w:bookmarkStart w:id="7" w:name="_Toc35393622"/>
      <w:bookmarkStart w:id="8" w:name="_Toc28359080"/>
      <w:bookmarkStart w:id="9" w:name="_Toc35393791"/>
      <w:r>
        <w:rPr>
          <w:rFonts w:hint="eastAsia" w:ascii="宋体" w:hAnsi="宋体"/>
          <w:color w:val="auto"/>
          <w:highlight w:val="none"/>
          <w:lang w:eastAsia="zh-CN"/>
        </w:rPr>
        <w:t>1.</w:t>
      </w:r>
      <w:r>
        <w:rPr>
          <w:rFonts w:hint="eastAsia" w:ascii="宋体" w:hAnsi="宋体" w:cs="宋体"/>
          <w:color w:val="auto"/>
          <w:highlight w:val="none"/>
          <w:lang w:eastAsia="zh-CN"/>
        </w:rPr>
        <w:t>项目编号：</w:t>
      </w:r>
      <w:r>
        <w:rPr>
          <w:rFonts w:hint="eastAsia" w:ascii="宋体" w:hAnsi="宋体"/>
          <w:color w:val="auto"/>
          <w:highlight w:val="none"/>
          <w:lang w:eastAsia="zh-CN"/>
        </w:rPr>
        <w:t xml:space="preserve">JSZC-320000-JSRM-G2026-0004 </w:t>
      </w:r>
    </w:p>
    <w:p w14:paraId="44F34643">
      <w:pPr>
        <w:widowControl w:val="0"/>
        <w:spacing w:line="360" w:lineRule="auto"/>
        <w:ind w:firstLine="480"/>
        <w:rPr>
          <w:rFonts w:hint="eastAsia" w:ascii="宋体" w:hAnsi="宋体" w:cs="宋体"/>
          <w:color w:val="auto"/>
          <w:highlight w:val="none"/>
          <w:lang w:eastAsia="zh-CN"/>
        </w:rPr>
      </w:pPr>
      <w:r>
        <w:rPr>
          <w:rFonts w:hint="eastAsia" w:ascii="宋体" w:hAnsi="宋体"/>
          <w:color w:val="auto"/>
          <w:highlight w:val="none"/>
          <w:lang w:eastAsia="zh-CN"/>
        </w:rPr>
        <w:t>2.</w:t>
      </w:r>
      <w:r>
        <w:rPr>
          <w:rFonts w:hint="eastAsia" w:ascii="宋体" w:hAnsi="宋体" w:cs="宋体"/>
          <w:color w:val="auto"/>
          <w:highlight w:val="none"/>
          <w:lang w:eastAsia="zh-CN"/>
        </w:rPr>
        <w:t>项目名称：2026年修远楼改造出新工程</w:t>
      </w:r>
    </w:p>
    <w:p w14:paraId="524D015B">
      <w:pPr>
        <w:widowControl w:val="0"/>
        <w:spacing w:line="360" w:lineRule="auto"/>
        <w:ind w:firstLine="480"/>
        <w:rPr>
          <w:rFonts w:ascii="宋体" w:hAnsi="宋体" w:eastAsia="Calibri"/>
          <w:color w:val="auto"/>
          <w:highlight w:val="none"/>
          <w:lang w:eastAsia="zh-CN"/>
        </w:rPr>
      </w:pPr>
      <w:r>
        <w:rPr>
          <w:rFonts w:hint="eastAsia" w:ascii="宋体" w:hAnsi="宋体"/>
          <w:color w:val="auto"/>
          <w:highlight w:val="none"/>
          <w:lang w:eastAsia="zh-CN"/>
        </w:rPr>
        <w:t>3.</w:t>
      </w:r>
      <w:r>
        <w:rPr>
          <w:rFonts w:hint="eastAsia" w:ascii="宋体" w:hAnsi="宋体" w:cs="宋体"/>
          <w:color w:val="auto"/>
          <w:highlight w:val="none"/>
          <w:lang w:eastAsia="zh-CN"/>
        </w:rPr>
        <w:t>采购方式：公开招标</w:t>
      </w:r>
      <w:r>
        <w:rPr>
          <w:rFonts w:hint="eastAsia" w:ascii="宋体" w:hAnsi="宋体" w:eastAsia="Calibri"/>
          <w:color w:val="auto"/>
          <w:highlight w:val="none"/>
          <w:lang w:eastAsia="zh-CN"/>
        </w:rPr>
        <w:t xml:space="preserve"> </w:t>
      </w:r>
    </w:p>
    <w:p w14:paraId="647C4BC0">
      <w:pPr>
        <w:widowControl w:val="0"/>
        <w:spacing w:line="360" w:lineRule="auto"/>
        <w:ind w:firstLine="480"/>
        <w:rPr>
          <w:rFonts w:ascii="宋体" w:hAnsi="宋体" w:eastAsia="Calibri"/>
          <w:color w:val="auto"/>
          <w:highlight w:val="none"/>
          <w:lang w:eastAsia="zh-CN"/>
        </w:rPr>
      </w:pPr>
      <w:r>
        <w:rPr>
          <w:rFonts w:hint="eastAsia" w:ascii="宋体" w:hAnsi="宋体"/>
          <w:color w:val="auto"/>
          <w:highlight w:val="none"/>
          <w:lang w:eastAsia="zh-CN"/>
        </w:rPr>
        <w:t>4.</w:t>
      </w:r>
      <w:r>
        <w:rPr>
          <w:rFonts w:hint="eastAsia" w:ascii="宋体" w:hAnsi="宋体" w:cs="宋体"/>
          <w:color w:val="auto"/>
          <w:highlight w:val="none"/>
          <w:lang w:eastAsia="zh-CN"/>
        </w:rPr>
        <w:t>预算金额：</w:t>
      </w:r>
      <w:r>
        <w:rPr>
          <w:rFonts w:hint="eastAsia" w:ascii="宋体" w:hAnsi="宋体"/>
          <w:color w:val="auto"/>
          <w:highlight w:val="none"/>
          <w:lang w:eastAsia="zh-CN"/>
        </w:rPr>
        <w:t>1499955.43元</w:t>
      </w:r>
    </w:p>
    <w:p w14:paraId="75C46990">
      <w:pPr>
        <w:widowControl w:val="0"/>
        <w:spacing w:line="360" w:lineRule="auto"/>
        <w:ind w:firstLine="480"/>
        <w:rPr>
          <w:rFonts w:ascii="宋体" w:hAnsi="宋体"/>
          <w:bCs/>
          <w:color w:val="auto"/>
          <w:highlight w:val="none"/>
          <w:lang w:eastAsia="zh-CN"/>
        </w:rPr>
      </w:pPr>
      <w:r>
        <w:rPr>
          <w:rFonts w:hint="eastAsia" w:ascii="宋体" w:hAnsi="宋体"/>
          <w:bCs/>
          <w:color w:val="auto"/>
          <w:highlight w:val="none"/>
          <w:lang w:eastAsia="zh-CN"/>
        </w:rPr>
        <w:t>5.最高限价：1499955.43元，投标报价超过最高限价的为无效投标。</w:t>
      </w:r>
    </w:p>
    <w:p w14:paraId="264B356B">
      <w:pPr>
        <w:widowControl w:val="0"/>
        <w:spacing w:line="360" w:lineRule="auto"/>
        <w:ind w:firstLine="480"/>
        <w:rPr>
          <w:rFonts w:hint="eastAsia" w:ascii="宋体" w:hAnsi="宋体"/>
          <w:bCs/>
          <w:color w:val="auto"/>
          <w:highlight w:val="none"/>
          <w:lang w:eastAsia="zh-CN"/>
        </w:rPr>
      </w:pPr>
      <w:r>
        <w:rPr>
          <w:rFonts w:hint="eastAsia" w:ascii="宋体" w:hAnsi="宋体"/>
          <w:bCs/>
          <w:color w:val="auto"/>
          <w:highlight w:val="none"/>
          <w:lang w:eastAsia="zh-CN"/>
        </w:rPr>
        <w:t>6.采购需求：2026年修远楼改造出新工程，具体详见工程量清单。</w:t>
      </w:r>
    </w:p>
    <w:p w14:paraId="1132A494">
      <w:pPr>
        <w:widowControl w:val="0"/>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7.合同履行期限：35个日历天。开工日期以采购人书面通知为准。</w:t>
      </w:r>
    </w:p>
    <w:p w14:paraId="06D221B3">
      <w:pPr>
        <w:pStyle w:val="192"/>
        <w:spacing w:line="360" w:lineRule="auto"/>
        <w:ind w:firstLine="48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8.本项目不接受联合体投标。</w:t>
      </w:r>
    </w:p>
    <w:p w14:paraId="69304F1A">
      <w:pPr>
        <w:widowControl w:val="0"/>
        <w:spacing w:line="360" w:lineRule="auto"/>
        <w:ind w:firstLine="482"/>
        <w:jc w:val="both"/>
        <w:outlineLvl w:val="1"/>
        <w:rPr>
          <w:rFonts w:ascii="宋体" w:hAnsi="宋体" w:cs="宋体"/>
          <w:b/>
          <w:color w:val="auto"/>
          <w:highlight w:val="none"/>
          <w:lang w:eastAsia="zh-CN"/>
        </w:rPr>
      </w:pPr>
      <w:r>
        <w:rPr>
          <w:rFonts w:hint="eastAsia" w:ascii="宋体" w:hAnsi="宋体" w:cs="宋体"/>
          <w:b/>
          <w:color w:val="auto"/>
          <w:highlight w:val="none"/>
          <w:lang w:eastAsia="zh-CN"/>
        </w:rPr>
        <w:t>二、申请人的资格要求：</w:t>
      </w:r>
      <w:bookmarkEnd w:id="6"/>
      <w:bookmarkEnd w:id="7"/>
      <w:bookmarkEnd w:id="8"/>
      <w:bookmarkEnd w:id="9"/>
    </w:p>
    <w:p w14:paraId="44E0A8E4">
      <w:pPr>
        <w:widowControl w:val="0"/>
        <w:spacing w:line="360" w:lineRule="auto"/>
        <w:ind w:firstLine="482"/>
        <w:rPr>
          <w:rFonts w:ascii="宋体" w:hAnsi="宋体" w:cs="宋体"/>
          <w:b/>
          <w:bCs/>
          <w:color w:val="auto"/>
          <w:highlight w:val="none"/>
          <w:lang w:eastAsia="zh-CN"/>
        </w:rPr>
      </w:pPr>
      <w:bookmarkStart w:id="10" w:name="_Toc35393792"/>
      <w:bookmarkStart w:id="11" w:name="_Toc28359081"/>
      <w:bookmarkStart w:id="12" w:name="_Toc28359004"/>
      <w:bookmarkStart w:id="13" w:name="_Toc35393623"/>
      <w:r>
        <w:rPr>
          <w:rFonts w:hint="eastAsia" w:ascii="宋体" w:hAnsi="宋体" w:cs="宋体"/>
          <w:b/>
          <w:bCs/>
          <w:color w:val="auto"/>
          <w:highlight w:val="none"/>
          <w:lang w:eastAsia="zh-CN"/>
        </w:rPr>
        <w:t>1.满足《中华人民共和国政府采购法》第二十二条规定：</w:t>
      </w:r>
    </w:p>
    <w:p w14:paraId="0E2C677E">
      <w:pPr>
        <w:spacing w:line="324" w:lineRule="auto"/>
        <w:ind w:firstLine="482"/>
        <w:rPr>
          <w:rFonts w:hint="eastAsia"/>
          <w:bCs/>
          <w:color w:val="auto"/>
          <w:highlight w:val="none"/>
        </w:rPr>
      </w:pPr>
      <w:r>
        <w:rPr>
          <w:rFonts w:hint="eastAsia"/>
          <w:bCs/>
          <w:color w:val="auto"/>
          <w:highlight w:val="none"/>
        </w:rPr>
        <w:t>（一）满足《中华人民共和国政府采购法》第二十二条规定：</w:t>
      </w:r>
    </w:p>
    <w:p w14:paraId="10D086D3">
      <w:pPr>
        <w:spacing w:line="324" w:lineRule="auto"/>
        <w:ind w:firstLine="482"/>
        <w:rPr>
          <w:rFonts w:hint="eastAsia"/>
          <w:bCs/>
          <w:color w:val="auto"/>
          <w:highlight w:val="none"/>
        </w:rPr>
      </w:pPr>
      <w:r>
        <w:rPr>
          <w:rFonts w:hint="eastAsia"/>
          <w:bCs/>
          <w:color w:val="auto"/>
          <w:highlight w:val="none"/>
          <w:lang w:eastAsia="zh-CN"/>
        </w:rPr>
        <w:t>（</w:t>
      </w:r>
      <w:r>
        <w:rPr>
          <w:rFonts w:hint="eastAsia"/>
          <w:bCs/>
          <w:color w:val="auto"/>
          <w:highlight w:val="none"/>
          <w:lang w:val="en-US" w:eastAsia="zh-CN"/>
        </w:rPr>
        <w:t>1</w:t>
      </w:r>
      <w:r>
        <w:rPr>
          <w:rFonts w:hint="eastAsia"/>
          <w:bCs/>
          <w:color w:val="auto"/>
          <w:highlight w:val="none"/>
          <w:lang w:eastAsia="zh-CN"/>
        </w:rPr>
        <w:t>）</w:t>
      </w:r>
      <w:r>
        <w:rPr>
          <w:rFonts w:hint="eastAsia"/>
          <w:bCs/>
          <w:color w:val="auto"/>
          <w:highlight w:val="none"/>
        </w:rPr>
        <w:t xml:space="preserve">具有独立承担民事责任的能力。（提供法人或者其他组织的营业执照；供应商为自然人的，提供其身份证）；说明：提供法人或者其他组织的营业执照电子件；供应商为自然人的，提供其身份证正、反面电子件；  </w:t>
      </w:r>
    </w:p>
    <w:p w14:paraId="1DB83D74">
      <w:pPr>
        <w:spacing w:line="324" w:lineRule="auto"/>
        <w:ind w:firstLine="482"/>
        <w:rPr>
          <w:rFonts w:hint="eastAsia"/>
          <w:bCs/>
          <w:color w:val="auto"/>
          <w:highlight w:val="none"/>
        </w:rPr>
      </w:pPr>
      <w:r>
        <w:rPr>
          <w:rFonts w:hint="eastAsia"/>
          <w:bCs/>
          <w:color w:val="auto"/>
          <w:highlight w:val="none"/>
          <w:lang w:eastAsia="zh-CN"/>
        </w:rPr>
        <w:t>（</w:t>
      </w:r>
      <w:r>
        <w:rPr>
          <w:rFonts w:hint="eastAsia"/>
          <w:bCs/>
          <w:color w:val="auto"/>
          <w:highlight w:val="none"/>
          <w:lang w:val="en-US" w:eastAsia="zh-CN"/>
        </w:rPr>
        <w:t>2</w:t>
      </w:r>
      <w:r>
        <w:rPr>
          <w:rFonts w:hint="eastAsia"/>
          <w:bCs/>
          <w:color w:val="auto"/>
          <w:highlight w:val="none"/>
          <w:lang w:eastAsia="zh-CN"/>
        </w:rPr>
        <w:t>）</w:t>
      </w:r>
      <w:r>
        <w:rPr>
          <w:rFonts w:hint="eastAsia"/>
          <w:bCs/>
          <w:color w:val="auto"/>
          <w:highlight w:val="none"/>
        </w:rPr>
        <w:t>具有良好的商业信誉和健全的财务会计制度。（提供以下三种材料的任意一种，扫描件加盖公章）：</w:t>
      </w:r>
    </w:p>
    <w:p w14:paraId="315D0EAB">
      <w:pPr>
        <w:spacing w:line="324" w:lineRule="auto"/>
        <w:ind w:firstLine="482"/>
        <w:rPr>
          <w:rFonts w:hint="eastAsia"/>
          <w:bCs/>
          <w:color w:val="auto"/>
          <w:highlight w:val="none"/>
        </w:rPr>
      </w:pPr>
      <w:r>
        <w:rPr>
          <w:rFonts w:hint="eastAsia"/>
          <w:bCs/>
          <w:color w:val="auto"/>
          <w:highlight w:val="none"/>
        </w:rPr>
        <w:t>①2024年度或</w:t>
      </w:r>
      <w:r>
        <w:rPr>
          <w:rFonts w:hint="eastAsia"/>
          <w:bCs/>
          <w:color w:val="auto"/>
          <w:highlight w:val="none"/>
        </w:rPr>
        <w:t>202</w:t>
      </w:r>
      <w:r>
        <w:rPr>
          <w:rFonts w:hint="eastAsia"/>
          <w:bCs/>
          <w:color w:val="auto"/>
          <w:highlight w:val="none"/>
          <w:lang w:val="en-US" w:eastAsia="zh-CN"/>
        </w:rPr>
        <w:t>5</w:t>
      </w:r>
      <w:r>
        <w:rPr>
          <w:rFonts w:hint="eastAsia"/>
          <w:bCs/>
          <w:color w:val="auto"/>
          <w:highlight w:val="none"/>
        </w:rPr>
        <w:t>年度</w:t>
      </w:r>
      <w:r>
        <w:rPr>
          <w:rFonts w:hint="eastAsia"/>
          <w:bCs/>
          <w:color w:val="auto"/>
          <w:highlight w:val="none"/>
        </w:rPr>
        <w:t>的经第三方会计师事务所审计的财务报告扫描件（包括报告及报表等内容，并由注册会计师签名、盖章以及会计师事务所盖章）；</w:t>
      </w:r>
    </w:p>
    <w:p w14:paraId="1AA99AA0">
      <w:pPr>
        <w:spacing w:line="324" w:lineRule="auto"/>
        <w:ind w:firstLine="482"/>
        <w:rPr>
          <w:rFonts w:hint="eastAsia"/>
          <w:bCs/>
          <w:color w:val="auto"/>
          <w:highlight w:val="none"/>
        </w:rPr>
      </w:pPr>
      <w:r>
        <w:rPr>
          <w:rFonts w:hint="eastAsia"/>
          <w:bCs/>
          <w:color w:val="auto"/>
          <w:highlight w:val="none"/>
        </w:rPr>
        <w:t>②提交投标文件截止日前六个月内</w:t>
      </w:r>
      <w:r>
        <w:rPr>
          <w:rFonts w:hint="eastAsia"/>
          <w:bCs/>
          <w:color w:val="auto"/>
          <w:highlight w:val="none"/>
          <w:lang w:eastAsia="zh-CN"/>
        </w:rPr>
        <w:t>（2025年11月—2026年4月）</w:t>
      </w:r>
      <w:r>
        <w:rPr>
          <w:rFonts w:hint="eastAsia"/>
          <w:bCs/>
          <w:color w:val="auto"/>
          <w:highlight w:val="none"/>
        </w:rPr>
        <w:t>基本开户银行出具的资信证明；</w:t>
      </w:r>
    </w:p>
    <w:p w14:paraId="01B176CC">
      <w:pPr>
        <w:spacing w:line="324" w:lineRule="auto"/>
        <w:ind w:firstLine="482"/>
        <w:rPr>
          <w:rFonts w:hint="eastAsia"/>
          <w:bCs/>
          <w:color w:val="auto"/>
          <w:highlight w:val="none"/>
        </w:rPr>
      </w:pPr>
      <w:r>
        <w:rPr>
          <w:rFonts w:hint="eastAsia"/>
          <w:bCs/>
          <w:color w:val="auto"/>
          <w:highlight w:val="none"/>
        </w:rPr>
        <w:t>③提交投标文件截止时间前六个月内</w:t>
      </w:r>
      <w:r>
        <w:rPr>
          <w:rFonts w:hint="eastAsia"/>
          <w:bCs/>
          <w:color w:val="auto"/>
          <w:highlight w:val="none"/>
          <w:lang w:eastAsia="zh-CN"/>
        </w:rPr>
        <w:t>（2025年11月—2026年4月）</w:t>
      </w:r>
      <w:r>
        <w:rPr>
          <w:rFonts w:hint="eastAsia"/>
          <w:bCs/>
          <w:color w:val="auto"/>
          <w:highlight w:val="none"/>
        </w:rPr>
        <w:t xml:space="preserve">任意一个月的财务状况记录（至少包括资产负债表和损益表，并加盖公章） </w:t>
      </w:r>
    </w:p>
    <w:p w14:paraId="1159D9F5">
      <w:pPr>
        <w:spacing w:line="324" w:lineRule="auto"/>
        <w:ind w:firstLine="482"/>
        <w:rPr>
          <w:rFonts w:hint="eastAsia"/>
          <w:bCs/>
          <w:color w:val="auto"/>
          <w:highlight w:val="none"/>
        </w:rPr>
      </w:pPr>
      <w:r>
        <w:rPr>
          <w:rFonts w:hint="eastAsia"/>
          <w:bCs/>
          <w:color w:val="auto"/>
          <w:highlight w:val="none"/>
          <w:lang w:eastAsia="zh-CN"/>
        </w:rPr>
        <w:t>（</w:t>
      </w:r>
      <w:r>
        <w:rPr>
          <w:rFonts w:hint="eastAsia"/>
          <w:bCs/>
          <w:color w:val="auto"/>
          <w:highlight w:val="none"/>
          <w:lang w:val="en-US" w:eastAsia="zh-CN"/>
        </w:rPr>
        <w:t>3</w:t>
      </w:r>
      <w:r>
        <w:rPr>
          <w:rFonts w:hint="eastAsia"/>
          <w:bCs/>
          <w:color w:val="auto"/>
          <w:highlight w:val="none"/>
          <w:lang w:eastAsia="zh-CN"/>
        </w:rPr>
        <w:t>）</w:t>
      </w:r>
      <w:r>
        <w:rPr>
          <w:rFonts w:hint="eastAsia"/>
          <w:bCs/>
          <w:color w:val="auto"/>
          <w:highlight w:val="none"/>
        </w:rPr>
        <w:t>具有履行合同所必需的设备和专业技术能力。（提供书面声明加盖公章）</w:t>
      </w:r>
    </w:p>
    <w:p w14:paraId="18B94329">
      <w:pPr>
        <w:spacing w:line="324" w:lineRule="auto"/>
        <w:ind w:firstLine="482"/>
        <w:rPr>
          <w:rFonts w:hint="eastAsia"/>
          <w:bCs/>
          <w:color w:val="auto"/>
          <w:highlight w:val="none"/>
        </w:rPr>
      </w:pPr>
      <w:r>
        <w:rPr>
          <w:rFonts w:hint="eastAsia"/>
          <w:bCs/>
          <w:color w:val="auto"/>
          <w:highlight w:val="none"/>
          <w:lang w:eastAsia="zh-CN"/>
        </w:rPr>
        <w:t>（</w:t>
      </w:r>
      <w:r>
        <w:rPr>
          <w:rFonts w:hint="eastAsia"/>
          <w:bCs/>
          <w:color w:val="auto"/>
          <w:highlight w:val="none"/>
          <w:lang w:val="en-US" w:eastAsia="zh-CN"/>
        </w:rPr>
        <w:t>4</w:t>
      </w:r>
      <w:r>
        <w:rPr>
          <w:rFonts w:hint="eastAsia"/>
          <w:bCs/>
          <w:color w:val="auto"/>
          <w:highlight w:val="none"/>
          <w:lang w:eastAsia="zh-CN"/>
        </w:rPr>
        <w:t>）</w:t>
      </w:r>
      <w:r>
        <w:rPr>
          <w:rFonts w:hint="eastAsia"/>
          <w:bCs/>
          <w:color w:val="auto"/>
          <w:highlight w:val="none"/>
        </w:rPr>
        <w:t>有依法缴纳税收和社会保障资金的良好记录。（提供</w:t>
      </w:r>
      <w:r>
        <w:rPr>
          <w:rFonts w:hint="eastAsia" w:ascii="宋体" w:hAnsi="宋体" w:cs="宋体"/>
          <w:color w:val="auto"/>
          <w:highlight w:val="none"/>
          <w:lang w:eastAsia="zh-CN"/>
        </w:rPr>
        <w:t>投标文件截止时间</w:t>
      </w:r>
      <w:r>
        <w:rPr>
          <w:rFonts w:hint="eastAsia"/>
          <w:bCs/>
          <w:color w:val="auto"/>
          <w:highlight w:val="none"/>
        </w:rPr>
        <w:t>前六个月内</w:t>
      </w:r>
      <w:r>
        <w:rPr>
          <w:rFonts w:hint="eastAsia"/>
          <w:bCs/>
          <w:color w:val="auto"/>
          <w:highlight w:val="none"/>
          <w:lang w:eastAsia="zh-CN"/>
        </w:rPr>
        <w:t>（2025年11月—2026年4月）</w:t>
      </w:r>
      <w:r>
        <w:rPr>
          <w:rFonts w:hint="eastAsia"/>
          <w:bCs/>
          <w:color w:val="auto"/>
          <w:highlight w:val="none"/>
        </w:rPr>
        <w:t>至少一个月依法缴纳税收和社会保障资金的相关资料，复印件加盖公章）</w:t>
      </w:r>
    </w:p>
    <w:p w14:paraId="222D6AB9">
      <w:pPr>
        <w:spacing w:line="324" w:lineRule="auto"/>
        <w:ind w:firstLine="482"/>
        <w:rPr>
          <w:rFonts w:hint="eastAsia"/>
          <w:bCs/>
          <w:color w:val="auto"/>
          <w:highlight w:val="none"/>
        </w:rPr>
      </w:pPr>
      <w:r>
        <w:rPr>
          <w:rFonts w:hint="eastAsia"/>
          <w:bCs/>
          <w:color w:val="auto"/>
          <w:highlight w:val="none"/>
          <w:lang w:eastAsia="zh-CN"/>
        </w:rPr>
        <w:t>（</w:t>
      </w:r>
      <w:r>
        <w:rPr>
          <w:rFonts w:hint="eastAsia"/>
          <w:bCs/>
          <w:color w:val="auto"/>
          <w:highlight w:val="none"/>
          <w:lang w:val="en-US" w:eastAsia="zh-CN"/>
        </w:rPr>
        <w:t>5</w:t>
      </w:r>
      <w:r>
        <w:rPr>
          <w:rFonts w:hint="eastAsia"/>
          <w:bCs/>
          <w:color w:val="auto"/>
          <w:highlight w:val="none"/>
          <w:lang w:eastAsia="zh-CN"/>
        </w:rPr>
        <w:t>）</w:t>
      </w:r>
      <w:r>
        <w:rPr>
          <w:rFonts w:hint="eastAsia"/>
          <w:bCs/>
          <w:color w:val="auto"/>
          <w:highlight w:val="none"/>
        </w:rPr>
        <w:t>参加采购活动前三年内，在经营活动中没有重大违法记录。（提供书面声明加盖公章）</w:t>
      </w:r>
    </w:p>
    <w:p w14:paraId="6BD0C37E">
      <w:pPr>
        <w:spacing w:line="324" w:lineRule="auto"/>
        <w:ind w:firstLine="482"/>
        <w:rPr>
          <w:rFonts w:hint="eastAsia"/>
          <w:bCs/>
          <w:color w:val="auto"/>
          <w:highlight w:val="none"/>
        </w:rPr>
      </w:pPr>
      <w:r>
        <w:rPr>
          <w:rFonts w:hint="eastAsia"/>
          <w:bCs/>
          <w:color w:val="auto"/>
          <w:highlight w:val="none"/>
          <w:lang w:eastAsia="zh-CN"/>
        </w:rPr>
        <w:t>（</w:t>
      </w:r>
      <w:r>
        <w:rPr>
          <w:rFonts w:hint="eastAsia"/>
          <w:bCs/>
          <w:color w:val="auto"/>
          <w:highlight w:val="none"/>
          <w:lang w:val="en-US" w:eastAsia="zh-CN"/>
        </w:rPr>
        <w:t>6</w:t>
      </w:r>
      <w:r>
        <w:rPr>
          <w:rFonts w:hint="eastAsia"/>
          <w:bCs/>
          <w:color w:val="auto"/>
          <w:highlight w:val="none"/>
          <w:lang w:eastAsia="zh-CN"/>
        </w:rPr>
        <w:t>）</w:t>
      </w:r>
      <w:r>
        <w:rPr>
          <w:rFonts w:hint="eastAsia"/>
          <w:bCs/>
          <w:color w:val="auto"/>
          <w:highlight w:val="none"/>
        </w:rPr>
        <w:t>法律、行政法规规定的其他条件。</w:t>
      </w:r>
    </w:p>
    <w:p w14:paraId="746097C1">
      <w:pPr>
        <w:spacing w:line="324" w:lineRule="auto"/>
        <w:ind w:firstLine="482"/>
        <w:rPr>
          <w:rFonts w:ascii="宋体" w:hAnsi="宋体" w:cs="宋体"/>
          <w:b/>
          <w:bCs/>
          <w:color w:val="auto"/>
          <w:highlight w:val="none"/>
          <w:lang w:eastAsia="zh-CN"/>
        </w:rPr>
      </w:pPr>
      <w:r>
        <w:rPr>
          <w:rFonts w:hint="eastAsia" w:ascii="宋体" w:hAnsi="宋体" w:cs="宋体"/>
          <w:b/>
          <w:bCs/>
          <w:color w:val="auto"/>
          <w:highlight w:val="none"/>
          <w:lang w:eastAsia="zh-CN"/>
        </w:rPr>
        <w:t>2.落实政府采购政策需要满足的资格条件：</w:t>
      </w:r>
      <w:r>
        <w:rPr>
          <w:rFonts w:hint="eastAsia" w:ascii="宋体" w:hAnsi="宋体" w:cs="宋体"/>
          <w:color w:val="auto"/>
          <w:highlight w:val="none"/>
          <w:lang w:eastAsia="zh-CN"/>
        </w:rPr>
        <w:t>本项目整体专门面向中小企业采购；</w:t>
      </w:r>
    </w:p>
    <w:p w14:paraId="1363C840">
      <w:pPr>
        <w:spacing w:line="324" w:lineRule="auto"/>
        <w:ind w:firstLine="720" w:firstLineChars="300"/>
        <w:rPr>
          <w:rFonts w:hint="eastAsia" w:ascii="宋体" w:hAnsi="宋体" w:cs="宋体"/>
          <w:color w:val="auto"/>
          <w:highlight w:val="none"/>
          <w:lang w:eastAsia="zh-CN"/>
        </w:rPr>
      </w:pPr>
      <w:r>
        <w:rPr>
          <w:rFonts w:hint="eastAsia" w:ascii="宋体" w:hAnsi="宋体" w:cs="宋体"/>
          <w:color w:val="auto"/>
          <w:highlight w:val="none"/>
          <w:lang w:val="zh-CN" w:eastAsia="zh-CN"/>
        </w:rPr>
        <w:t>本项目采购标的对应的中小企业划分标准所属行业为：</w:t>
      </w:r>
      <w:r>
        <w:rPr>
          <w:rFonts w:hint="eastAsia" w:ascii="宋体" w:hAnsi="宋体" w:cs="宋体"/>
          <w:color w:val="auto"/>
          <w:highlight w:val="none"/>
          <w:lang w:eastAsia="zh-CN"/>
        </w:rPr>
        <w:t>建筑业</w:t>
      </w:r>
      <w:r>
        <w:rPr>
          <w:rFonts w:hint="eastAsia" w:ascii="宋体" w:hAnsi="宋体" w:cs="宋体"/>
          <w:color w:val="auto"/>
          <w:highlight w:val="none"/>
          <w:lang w:val="zh-CN" w:eastAsia="zh-CN"/>
        </w:rPr>
        <w:t>。</w:t>
      </w:r>
    </w:p>
    <w:p w14:paraId="391C1FA2">
      <w:pPr>
        <w:widowControl w:val="0"/>
        <w:tabs>
          <w:tab w:val="left" w:pos="562"/>
          <w:tab w:val="left" w:pos="3372"/>
          <w:tab w:val="left" w:pos="3653"/>
        </w:tabs>
        <w:spacing w:line="360" w:lineRule="auto"/>
        <w:ind w:firstLine="482"/>
        <w:rPr>
          <w:rFonts w:hint="eastAsia" w:ascii="宋体" w:hAnsi="宋体" w:cs="宋体"/>
          <w:b/>
          <w:bCs/>
          <w:color w:val="auto"/>
          <w:highlight w:val="none"/>
          <w:lang w:eastAsia="zh-CN"/>
        </w:rPr>
      </w:pPr>
      <w:r>
        <w:rPr>
          <w:rFonts w:hint="eastAsia" w:ascii="宋体" w:hAnsi="宋体" w:cs="宋体"/>
          <w:b/>
          <w:bCs/>
          <w:color w:val="auto"/>
          <w:highlight w:val="none"/>
          <w:lang w:eastAsia="zh-CN"/>
        </w:rPr>
        <w:t>3.本项目的特定资格要求：</w:t>
      </w:r>
    </w:p>
    <w:p w14:paraId="21C8DA2D">
      <w:pPr>
        <w:pStyle w:val="302"/>
        <w:rPr>
          <w:rFonts w:hint="eastAsia" w:eastAsia="宋体"/>
          <w:bCs/>
          <w:color w:val="auto"/>
          <w:highlight w:val="none"/>
          <w:lang w:eastAsia="zh-CN"/>
        </w:rPr>
      </w:pPr>
      <w:r>
        <w:rPr>
          <w:rFonts w:hint="eastAsia"/>
          <w:bCs/>
          <w:color w:val="auto"/>
          <w:highlight w:val="none"/>
        </w:rPr>
        <w:t>（</w:t>
      </w:r>
      <w:r>
        <w:rPr>
          <w:bCs/>
          <w:color w:val="auto"/>
          <w:highlight w:val="none"/>
        </w:rPr>
        <w:t>1</w:t>
      </w:r>
      <w:r>
        <w:rPr>
          <w:rFonts w:hint="eastAsia"/>
          <w:bCs/>
          <w:color w:val="auto"/>
          <w:highlight w:val="none"/>
        </w:rPr>
        <w:t>）供应商资质证书类别及等级要求：具有</w:t>
      </w:r>
      <w:r>
        <w:rPr>
          <w:rFonts w:hint="eastAsia"/>
          <w:bCs/>
          <w:color w:val="auto"/>
          <w:highlight w:val="none"/>
          <w:lang w:val="en-US" w:eastAsia="zh-CN"/>
        </w:rPr>
        <w:t>建筑</w:t>
      </w:r>
      <w:r>
        <w:rPr>
          <w:rFonts w:hint="eastAsia" w:cs="Arial"/>
          <w:color w:val="auto"/>
          <w:highlight w:val="none"/>
        </w:rPr>
        <w:t>工程施工总承包三级</w:t>
      </w:r>
      <w:r>
        <w:rPr>
          <w:rFonts w:hint="eastAsia"/>
          <w:bCs/>
          <w:color w:val="auto"/>
          <w:highlight w:val="none"/>
        </w:rPr>
        <w:t>及以上资质证书，并同时具备安全生产许可证。（提供有效的资质证书、安全生产许可证扫描件加盖供应商电子公章）</w:t>
      </w:r>
      <w:r>
        <w:rPr>
          <w:rFonts w:hint="eastAsia"/>
          <w:bCs/>
          <w:color w:val="auto"/>
          <w:highlight w:val="none"/>
          <w:lang w:eastAsia="zh-CN"/>
        </w:rPr>
        <w:t>。</w:t>
      </w:r>
    </w:p>
    <w:p w14:paraId="7851092B">
      <w:pPr>
        <w:pStyle w:val="302"/>
        <w:rPr>
          <w:rFonts w:hint="eastAsia"/>
          <w:bCs/>
          <w:color w:val="auto"/>
          <w:highlight w:val="none"/>
        </w:rPr>
      </w:pPr>
      <w:r>
        <w:rPr>
          <w:rFonts w:hint="eastAsia"/>
          <w:bCs/>
          <w:color w:val="auto"/>
          <w:highlight w:val="none"/>
        </w:rPr>
        <w:t>（</w:t>
      </w:r>
      <w:r>
        <w:rPr>
          <w:bCs/>
          <w:color w:val="auto"/>
          <w:highlight w:val="none"/>
        </w:rPr>
        <w:t>2</w:t>
      </w:r>
      <w:r>
        <w:rPr>
          <w:rFonts w:hint="eastAsia"/>
          <w:bCs/>
          <w:color w:val="auto"/>
          <w:highlight w:val="none"/>
        </w:rPr>
        <w:t>）项目负责人资格要求：具备注册建造师建筑工程专业二级及以上，并同时具有安全生产考核合格证书（</w:t>
      </w:r>
      <w:r>
        <w:rPr>
          <w:bCs/>
          <w:color w:val="auto"/>
          <w:highlight w:val="none"/>
        </w:rPr>
        <w:t>B</w:t>
      </w:r>
      <w:r>
        <w:rPr>
          <w:rFonts w:hint="eastAsia"/>
          <w:bCs/>
          <w:color w:val="auto"/>
          <w:highlight w:val="none"/>
        </w:rPr>
        <w:t>类）。</w:t>
      </w:r>
    </w:p>
    <w:p w14:paraId="41D81DC3">
      <w:pPr>
        <w:pStyle w:val="302"/>
        <w:rPr>
          <w:rFonts w:hint="eastAsia"/>
          <w:color w:val="auto"/>
          <w:highlight w:val="none"/>
        </w:rPr>
      </w:pPr>
      <w:r>
        <w:rPr>
          <w:rFonts w:hint="eastAsia"/>
          <w:bCs/>
          <w:color w:val="auto"/>
          <w:highlight w:val="none"/>
        </w:rPr>
        <w:t>（提供有效的注册建造师证书和安全生产考核合格证书扫描件加盖供应商电子公章，同时需提供</w:t>
      </w:r>
      <w:r>
        <w:rPr>
          <w:rFonts w:hint="eastAsia"/>
          <w:color w:val="auto"/>
          <w:highlight w:val="none"/>
        </w:rPr>
        <w:t>供应商</w:t>
      </w:r>
      <w:r>
        <w:rPr>
          <w:rFonts w:hint="eastAsia"/>
          <w:bCs/>
          <w:color w:val="auto"/>
          <w:highlight w:val="none"/>
        </w:rPr>
        <w:t>与投标项目负责人签订的有效劳动合同和</w:t>
      </w:r>
      <w:r>
        <w:rPr>
          <w:rFonts w:hint="eastAsia" w:cs="宋体" w:asciiTheme="minorEastAsia" w:hAnsiTheme="minorEastAsia"/>
          <w:color w:val="auto"/>
          <w:szCs w:val="21"/>
          <w:highlight w:val="none"/>
          <w:lang w:val="zh-CN"/>
        </w:rPr>
        <w:t>近</w:t>
      </w:r>
      <w:r>
        <w:rPr>
          <w:rFonts w:hint="eastAsia" w:cs="宋体" w:asciiTheme="minorEastAsia" w:hAnsiTheme="minorEastAsia"/>
          <w:color w:val="auto"/>
          <w:szCs w:val="21"/>
          <w:highlight w:val="none"/>
          <w:lang w:val="en-US" w:eastAsia="zh-CN"/>
        </w:rPr>
        <w:t>六</w:t>
      </w:r>
      <w:r>
        <w:rPr>
          <w:rFonts w:hint="eastAsia" w:cs="宋体" w:asciiTheme="minorEastAsia" w:hAnsiTheme="minorEastAsia"/>
          <w:color w:val="auto"/>
          <w:szCs w:val="21"/>
          <w:highlight w:val="none"/>
          <w:lang w:val="zh-CN"/>
        </w:rPr>
        <w:t>个月任意一个月</w:t>
      </w:r>
      <w:r>
        <w:rPr>
          <w:rFonts w:hint="eastAsia"/>
          <w:bCs/>
          <w:color w:val="auto"/>
          <w:highlight w:val="none"/>
          <w:lang w:eastAsia="zh-CN"/>
        </w:rPr>
        <w:t>（2025年11月—2026年4月）</w:t>
      </w:r>
      <w:r>
        <w:rPr>
          <w:rFonts w:hint="eastAsia"/>
          <w:bCs/>
          <w:color w:val="auto"/>
          <w:highlight w:val="none"/>
        </w:rPr>
        <w:t>供应商为其缴纳的由劳动和社会保障部门出具的社会保险缴纳单据凭证扫描件并加盖供应商电子公章（须明确缴费月份、个人姓名、缴费单位，并有社保机构公章或社保中心参保缴费证明电子专用章。如供应商为事业编制性质的单位，可提供由机关事业单位社会保险基金部门盖章的相关证明）</w:t>
      </w:r>
      <w:r>
        <w:rPr>
          <w:rFonts w:hint="eastAsia"/>
          <w:color w:val="auto"/>
          <w:highlight w:val="none"/>
        </w:rPr>
        <w:t>。</w:t>
      </w:r>
    </w:p>
    <w:p w14:paraId="4BAAFD31">
      <w:pPr>
        <w:spacing w:line="360" w:lineRule="auto"/>
        <w:ind w:firstLine="452"/>
        <w:rPr>
          <w:rFonts w:hint="eastAsia"/>
          <w:color w:val="auto"/>
          <w:highlight w:val="none"/>
        </w:rPr>
      </w:pPr>
      <w:r>
        <w:rPr>
          <w:rFonts w:hint="eastAsia" w:ascii="宋体" w:hAnsi="宋体" w:eastAsia="宋体" w:cs="宋体"/>
          <w:color w:val="auto"/>
          <w:spacing w:val="8"/>
          <w:szCs w:val="21"/>
          <w:highlight w:val="none"/>
        </w:rPr>
        <w:t>根据关于全面实行一级建造师电子注册证书的通知(建办市〔2021〕40号)和省住房和城乡建设厅关于我省二级建造师、二级造价工程师、二级注册建筑师、二级注册结构工程师注册证书电子证照换发的公告(〔2023〕26号)要求，注册证书应当符合相关文件规定，否则供应商将自行承担资格审查不通过等相应后果。</w:t>
      </w:r>
    </w:p>
    <w:p w14:paraId="11477F45">
      <w:pPr>
        <w:pStyle w:val="302"/>
        <w:rPr>
          <w:bCs/>
          <w:color w:val="auto"/>
          <w:highlight w:val="none"/>
        </w:rPr>
      </w:pPr>
      <w:r>
        <w:rPr>
          <w:rFonts w:hint="eastAsia"/>
          <w:bCs/>
          <w:color w:val="auto"/>
          <w:highlight w:val="none"/>
        </w:rPr>
        <w:t>（3）项目负责人必须满足下列条件（符合并提供加盖供应商电子公章的承诺书）：</w:t>
      </w:r>
    </w:p>
    <w:p w14:paraId="4B24AB01">
      <w:pPr>
        <w:pStyle w:val="302"/>
        <w:rPr>
          <w:rFonts w:hint="eastAsia"/>
          <w:bCs/>
          <w:color w:val="auto"/>
          <w:highlight w:val="none"/>
        </w:rPr>
      </w:pPr>
      <w:r>
        <w:rPr>
          <w:rFonts w:hint="eastAsia"/>
          <w:bCs/>
          <w:color w:val="auto"/>
          <w:highlight w:val="none"/>
        </w:rPr>
        <w:t>a.项目负责人不得同时在两个或者两个以上单位受聘或者执业（包括但不仅限于以下两种情形）：①同时在两个及以上单位签订劳动合同或缴纳社会保险；②将本人执（职）业资格证书同时注册在两个及以上单位；</w:t>
      </w:r>
    </w:p>
    <w:p w14:paraId="3F7ED5C3">
      <w:pPr>
        <w:pStyle w:val="302"/>
        <w:rPr>
          <w:bCs/>
          <w:color w:val="auto"/>
          <w:highlight w:val="none"/>
        </w:rPr>
      </w:pPr>
      <w:r>
        <w:rPr>
          <w:bCs/>
          <w:color w:val="auto"/>
          <w:highlight w:val="none"/>
        </w:rPr>
        <w:t>b.</w:t>
      </w:r>
      <w:r>
        <w:rPr>
          <w:rFonts w:hint="eastAsia"/>
          <w:bCs/>
          <w:color w:val="auto"/>
          <w:highlight w:val="none"/>
        </w:rPr>
        <w:t>项目负责人是非变更后无在建工程，或项目负责人是变更后无在建工程（必须原合同工期已满且变更备案之日已满</w:t>
      </w:r>
      <w:r>
        <w:rPr>
          <w:bCs/>
          <w:color w:val="auto"/>
          <w:highlight w:val="none"/>
        </w:rPr>
        <w:t>6</w:t>
      </w:r>
      <w:r>
        <w:rPr>
          <w:rFonts w:hint="eastAsia"/>
          <w:bCs/>
          <w:color w:val="auto"/>
          <w:highlight w:val="none"/>
        </w:rPr>
        <w:t>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593A0B54">
      <w:pPr>
        <w:widowControl w:val="0"/>
        <w:tabs>
          <w:tab w:val="left" w:pos="562"/>
          <w:tab w:val="left" w:pos="3372"/>
          <w:tab w:val="left" w:pos="3653"/>
        </w:tabs>
        <w:spacing w:line="360" w:lineRule="auto"/>
        <w:ind w:firstLine="480"/>
        <w:rPr>
          <w:rFonts w:ascii="宋体" w:hAnsi="宋体"/>
          <w:bCs/>
          <w:color w:val="auto"/>
          <w:highlight w:val="none"/>
          <w:lang w:eastAsia="zh-CN"/>
        </w:rPr>
      </w:pPr>
      <w:r>
        <w:rPr>
          <w:rFonts w:ascii="宋体" w:hAnsi="宋体"/>
          <w:bCs/>
          <w:color w:val="auto"/>
          <w:highlight w:val="none"/>
          <w:lang w:eastAsia="zh-CN"/>
        </w:rPr>
        <w:t>c.</w:t>
      </w:r>
      <w:r>
        <w:rPr>
          <w:rFonts w:hint="eastAsia"/>
          <w:color w:val="auto"/>
          <w:highlight w:val="none"/>
          <w:lang w:eastAsia="zh-CN"/>
        </w:rPr>
        <w:t xml:space="preserve"> </w:t>
      </w:r>
      <w:r>
        <w:rPr>
          <w:rFonts w:hint="eastAsia" w:ascii="宋体" w:hAnsi="宋体"/>
          <w:bCs/>
          <w:color w:val="auto"/>
          <w:highlight w:val="none"/>
          <w:lang w:eastAsia="zh-CN"/>
        </w:rPr>
        <w:t>项目负责人无行贿犯罪行为记录；或者有行贿犯罪行为记录，但自记录之日起已超过5年的。</w:t>
      </w:r>
    </w:p>
    <w:p w14:paraId="3E8EE6DF">
      <w:pPr>
        <w:widowControl w:val="0"/>
        <w:tabs>
          <w:tab w:val="left" w:pos="562"/>
          <w:tab w:val="left" w:pos="3372"/>
          <w:tab w:val="left" w:pos="3653"/>
        </w:tabs>
        <w:spacing w:line="360" w:lineRule="auto"/>
        <w:ind w:firstLine="482"/>
        <w:rPr>
          <w:rFonts w:hint="eastAsia" w:ascii="宋体" w:hAnsi="宋体" w:cs="宋体"/>
          <w:b/>
          <w:bCs/>
          <w:color w:val="auto"/>
          <w:highlight w:val="none"/>
          <w:lang w:eastAsia="zh-CN"/>
        </w:rPr>
      </w:pPr>
      <w:r>
        <w:rPr>
          <w:rFonts w:hint="eastAsia" w:ascii="宋体" w:hAnsi="宋体" w:cs="宋体"/>
          <w:b/>
          <w:bCs/>
          <w:color w:val="auto"/>
          <w:highlight w:val="none"/>
          <w:lang w:eastAsia="zh-CN"/>
        </w:rPr>
        <w:t>4.拒绝下述供应商参加本次采购活动：</w:t>
      </w:r>
    </w:p>
    <w:p w14:paraId="2D06CB4D">
      <w:pPr>
        <w:widowControl w:val="0"/>
        <w:tabs>
          <w:tab w:val="left" w:pos="562"/>
          <w:tab w:val="left" w:pos="3372"/>
          <w:tab w:val="left" w:pos="3653"/>
        </w:tabs>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（1）供应商单位负责人为同一人或者存在直接控股、管理关系的不同供应商，不得参加同一合同项下的采购活动。</w:t>
      </w:r>
      <w:r>
        <w:rPr>
          <w:rFonts w:hint="eastAsia"/>
          <w:bCs/>
          <w:color w:val="auto"/>
          <w:highlight w:val="none"/>
        </w:rPr>
        <w:t>（符合并提供加盖供应商电子公章的承诺书）</w:t>
      </w:r>
    </w:p>
    <w:p w14:paraId="0C49BB89">
      <w:pPr>
        <w:widowControl w:val="0"/>
        <w:tabs>
          <w:tab w:val="left" w:pos="562"/>
          <w:tab w:val="left" w:pos="3372"/>
          <w:tab w:val="left" w:pos="3653"/>
        </w:tabs>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（2）凡为采购项目提供整体设计、规范编制或者项目管理、监理、检测等服务的供应商，不得再参加本项目的采购活动。</w:t>
      </w:r>
      <w:r>
        <w:rPr>
          <w:rFonts w:hint="eastAsia"/>
          <w:bCs/>
          <w:color w:val="auto"/>
          <w:highlight w:val="none"/>
        </w:rPr>
        <w:t>（符合并提供加盖供应商电子公章的承诺书）</w:t>
      </w:r>
    </w:p>
    <w:p w14:paraId="3023DA42">
      <w:pPr>
        <w:widowControl w:val="0"/>
        <w:tabs>
          <w:tab w:val="left" w:pos="562"/>
          <w:tab w:val="left" w:pos="3372"/>
          <w:tab w:val="left" w:pos="3653"/>
        </w:tabs>
        <w:spacing w:line="360" w:lineRule="auto"/>
        <w:ind w:firstLine="480"/>
        <w:rPr>
          <w:rFonts w:ascii="宋体" w:hAnsi="宋体" w:cs="宋体"/>
          <w:b/>
          <w:color w:val="auto"/>
          <w:highlight w:val="none"/>
          <w:lang w:eastAsia="zh-CN"/>
        </w:rPr>
      </w:pPr>
      <w:r>
        <w:rPr>
          <w:rFonts w:hint="eastAsia" w:ascii="宋体" w:hAnsi="宋体"/>
          <w:bCs/>
          <w:color w:val="auto"/>
          <w:highlight w:val="none"/>
          <w:lang w:eastAsia="zh-CN"/>
        </w:rPr>
        <w:t>（3）被列入失信被执行人、重大税收违法案件当事人名单、政府采购严重违法失信行为记录名单及其他不符合《中华人民共和国政府采购法》第二十二条规定条件的供应商参与政府采购活动。</w:t>
      </w:r>
      <w:r>
        <w:rPr>
          <w:rFonts w:ascii="宋体" w:hAnsi="宋体" w:cs="宋体"/>
          <w:b/>
          <w:color w:val="auto"/>
          <w:highlight w:val="none"/>
          <w:lang w:eastAsia="zh-CN"/>
        </w:rPr>
        <w:t xml:space="preserve"> </w:t>
      </w:r>
      <w:r>
        <w:rPr>
          <w:rFonts w:hint="eastAsia"/>
          <w:bCs/>
          <w:color w:val="auto"/>
          <w:highlight w:val="none"/>
        </w:rPr>
        <w:t>（符合并提供加盖供应商电子公章的承诺书）</w:t>
      </w:r>
    </w:p>
    <w:p w14:paraId="2ED359A2">
      <w:pPr>
        <w:widowControl w:val="0"/>
        <w:spacing w:line="360" w:lineRule="auto"/>
        <w:ind w:firstLine="482"/>
        <w:jc w:val="both"/>
        <w:outlineLvl w:val="1"/>
        <w:rPr>
          <w:rFonts w:ascii="宋体" w:hAnsi="宋体" w:cs="宋体"/>
          <w:b/>
          <w:color w:val="auto"/>
          <w:highlight w:val="none"/>
          <w:lang w:eastAsia="zh-CN"/>
        </w:rPr>
      </w:pPr>
      <w:r>
        <w:rPr>
          <w:rFonts w:hint="eastAsia" w:ascii="宋体" w:hAnsi="宋体" w:cs="宋体"/>
          <w:b/>
          <w:color w:val="auto"/>
          <w:highlight w:val="none"/>
          <w:lang w:eastAsia="zh-CN"/>
        </w:rPr>
        <w:t>三、获取招标文件</w:t>
      </w:r>
      <w:bookmarkEnd w:id="10"/>
      <w:bookmarkEnd w:id="11"/>
      <w:bookmarkEnd w:id="12"/>
      <w:bookmarkEnd w:id="13"/>
    </w:p>
    <w:p w14:paraId="48304250">
      <w:pPr>
        <w:widowControl w:val="0"/>
        <w:spacing w:line="360" w:lineRule="auto"/>
        <w:ind w:firstLine="480"/>
        <w:jc w:val="both"/>
        <w:rPr>
          <w:rFonts w:ascii="宋体" w:hAnsi="宋体" w:cs="宋体"/>
          <w:color w:val="auto"/>
          <w:highlight w:val="none"/>
          <w:lang w:eastAsia="zh-CN"/>
        </w:rPr>
      </w:pPr>
      <w:r>
        <w:rPr>
          <w:rFonts w:hint="eastAsia" w:ascii="宋体" w:hAnsi="宋体" w:cs="宋体"/>
          <w:color w:val="auto"/>
          <w:highlight w:val="none"/>
          <w:lang w:eastAsia="zh-CN"/>
        </w:rPr>
        <w:t>1、时间：</w:t>
      </w:r>
      <w:r>
        <w:rPr>
          <w:rFonts w:hint="eastAsia"/>
          <w:bCs/>
          <w:color w:val="auto"/>
          <w:highlight w:val="none"/>
          <w:lang w:eastAsia="zh-CN"/>
        </w:rPr>
        <w:t>自公告发布之日起</w:t>
      </w:r>
      <w:r>
        <w:rPr>
          <w:bCs/>
          <w:color w:val="auto"/>
          <w:highlight w:val="none"/>
          <w:lang w:eastAsia="zh-CN"/>
        </w:rPr>
        <w:t>5</w:t>
      </w:r>
      <w:r>
        <w:rPr>
          <w:rFonts w:hint="eastAsia"/>
          <w:bCs/>
          <w:color w:val="auto"/>
          <w:highlight w:val="none"/>
          <w:lang w:eastAsia="zh-CN"/>
        </w:rPr>
        <w:t>个工作日</w:t>
      </w:r>
    </w:p>
    <w:p w14:paraId="05C1336F">
      <w:pPr>
        <w:widowControl w:val="0"/>
        <w:spacing w:line="360" w:lineRule="auto"/>
        <w:ind w:firstLine="480"/>
        <w:jc w:val="both"/>
        <w:rPr>
          <w:rFonts w:ascii="宋体" w:hAnsi="宋体" w:cs="宋体"/>
          <w:color w:val="auto"/>
          <w:highlight w:val="none"/>
          <w:lang w:eastAsia="zh-CN"/>
        </w:rPr>
      </w:pPr>
      <w:r>
        <w:rPr>
          <w:rFonts w:hint="eastAsia" w:ascii="宋体" w:hAnsi="宋体" w:cs="宋体"/>
          <w:color w:val="auto"/>
          <w:highlight w:val="none"/>
          <w:lang w:eastAsia="zh-CN"/>
        </w:rPr>
        <w:t>2、地点：</w:t>
      </w:r>
      <w:r>
        <w:rPr>
          <w:bCs/>
          <w:color w:val="auto"/>
          <w:highlight w:val="none"/>
          <w:lang w:eastAsia="zh-CN"/>
        </w:rPr>
        <w:t>江苏省政府采购管理交易系统（苏采云系统）</w:t>
      </w:r>
    </w:p>
    <w:p w14:paraId="6501DB7F">
      <w:pPr>
        <w:pStyle w:val="228"/>
        <w:spacing w:line="360" w:lineRule="auto"/>
        <w:ind w:firstLine="480"/>
        <w:rPr>
          <w:bCs/>
          <w:color w:val="auto"/>
          <w:highlight w:val="none"/>
          <w:lang w:eastAsia="zh-CN"/>
        </w:rPr>
      </w:pPr>
      <w:r>
        <w:rPr>
          <w:rFonts w:hint="eastAsia"/>
          <w:color w:val="auto"/>
          <w:highlight w:val="none"/>
          <w:lang w:eastAsia="zh-CN"/>
        </w:rPr>
        <w:t>3、</w:t>
      </w:r>
      <w:bookmarkStart w:id="14" w:name="_Toc28359005"/>
      <w:bookmarkStart w:id="15" w:name="_Toc28359082"/>
      <w:bookmarkStart w:id="16" w:name="_Toc35393624"/>
      <w:bookmarkStart w:id="17" w:name="_Toc35393793"/>
      <w:r>
        <w:rPr>
          <w:bCs/>
          <w:color w:val="auto"/>
          <w:highlight w:val="none"/>
          <w:lang w:eastAsia="zh-CN"/>
        </w:rPr>
        <w:t>方式：网上</w:t>
      </w:r>
      <w:r>
        <w:rPr>
          <w:rFonts w:hint="eastAsia"/>
          <w:bCs/>
          <w:color w:val="auto"/>
          <w:highlight w:val="none"/>
          <w:lang w:eastAsia="zh-CN"/>
        </w:rPr>
        <w:t>自行</w:t>
      </w:r>
      <w:r>
        <w:rPr>
          <w:bCs/>
          <w:color w:val="auto"/>
          <w:highlight w:val="none"/>
          <w:lang w:eastAsia="zh-CN"/>
        </w:rPr>
        <w:t>下载</w:t>
      </w:r>
    </w:p>
    <w:p w14:paraId="2CB21840">
      <w:pPr>
        <w:pStyle w:val="228"/>
        <w:spacing w:line="360" w:lineRule="auto"/>
        <w:ind w:firstLine="960" w:firstLineChars="400"/>
        <w:rPr>
          <w:rFonts w:hint="eastAsia"/>
          <w:bCs/>
          <w:color w:val="auto"/>
          <w:highlight w:val="none"/>
          <w:lang w:eastAsia="zh-CN"/>
        </w:rPr>
      </w:pPr>
      <w:r>
        <w:rPr>
          <w:rFonts w:hint="eastAsia"/>
          <w:bCs/>
          <w:color w:val="auto"/>
          <w:highlight w:val="none"/>
          <w:lang w:eastAsia="zh-CN"/>
        </w:rPr>
        <w:t>售价：</w:t>
      </w:r>
      <w:r>
        <w:rPr>
          <w:rFonts w:hint="eastAsia"/>
          <w:bCs/>
          <w:color w:val="auto"/>
          <w:highlight w:val="none"/>
          <w:lang w:val="en-US" w:eastAsia="zh-CN"/>
        </w:rPr>
        <w:t>0</w:t>
      </w:r>
      <w:r>
        <w:rPr>
          <w:rFonts w:hint="eastAsia"/>
          <w:bCs/>
          <w:color w:val="auto"/>
          <w:highlight w:val="none"/>
          <w:lang w:eastAsia="zh-CN"/>
        </w:rPr>
        <w:t>元</w:t>
      </w:r>
    </w:p>
    <w:p w14:paraId="5F252DF4">
      <w:pPr>
        <w:pStyle w:val="302"/>
        <w:ind w:firstLine="482"/>
        <w:rPr>
          <w:b/>
          <w:color w:val="auto"/>
          <w:highlight w:val="none"/>
        </w:rPr>
      </w:pPr>
      <w:r>
        <w:rPr>
          <w:rFonts w:hint="eastAsia"/>
          <w:b/>
          <w:color w:val="auto"/>
          <w:highlight w:val="none"/>
        </w:rPr>
        <w:t>四、提交投标文件</w:t>
      </w:r>
      <w:bookmarkEnd w:id="14"/>
      <w:bookmarkEnd w:id="15"/>
      <w:r>
        <w:rPr>
          <w:rFonts w:hint="eastAsia"/>
          <w:b/>
          <w:color w:val="auto"/>
          <w:highlight w:val="none"/>
        </w:rPr>
        <w:t>截止时间、开标时间和地点</w:t>
      </w:r>
      <w:bookmarkEnd w:id="16"/>
      <w:bookmarkEnd w:id="17"/>
    </w:p>
    <w:p w14:paraId="214E1687">
      <w:pPr>
        <w:widowControl w:val="0"/>
        <w:spacing w:line="360" w:lineRule="auto"/>
        <w:ind w:firstLine="480"/>
        <w:jc w:val="both"/>
        <w:rPr>
          <w:rFonts w:ascii="宋体" w:hAnsi="宋体"/>
          <w:bCs/>
          <w:color w:val="auto"/>
          <w:highlight w:val="none"/>
          <w:lang w:eastAsia="zh-CN"/>
        </w:rPr>
      </w:pPr>
      <w:r>
        <w:rPr>
          <w:rFonts w:hint="eastAsia" w:ascii="宋体" w:hAnsi="宋体"/>
          <w:bCs/>
          <w:color w:val="auto"/>
          <w:highlight w:val="none"/>
          <w:lang w:eastAsia="zh-CN"/>
        </w:rPr>
        <w:t>2026年</w:t>
      </w:r>
      <w:r>
        <w:rPr>
          <w:rFonts w:hint="eastAsia" w:ascii="宋体" w:hAnsi="宋体"/>
          <w:bCs/>
          <w:color w:val="auto"/>
          <w:highlight w:val="none"/>
          <w:lang w:val="en-US" w:eastAsia="zh-CN"/>
        </w:rPr>
        <w:t>5</w:t>
      </w:r>
      <w:r>
        <w:rPr>
          <w:rFonts w:hint="eastAsia" w:ascii="宋体" w:hAnsi="宋体"/>
          <w:bCs/>
          <w:color w:val="auto"/>
          <w:highlight w:val="none"/>
          <w:lang w:eastAsia="zh-CN"/>
        </w:rPr>
        <w:t>月</w:t>
      </w:r>
      <w:r>
        <w:rPr>
          <w:rFonts w:hint="eastAsia" w:ascii="宋体" w:hAnsi="宋体"/>
          <w:bCs/>
          <w:color w:val="auto"/>
          <w:highlight w:val="none"/>
          <w:lang w:val="en-US" w:eastAsia="zh-CN"/>
        </w:rPr>
        <w:t>25</w:t>
      </w:r>
      <w:r>
        <w:rPr>
          <w:rFonts w:hint="eastAsia" w:ascii="宋体" w:hAnsi="宋体"/>
          <w:bCs/>
          <w:color w:val="auto"/>
          <w:highlight w:val="none"/>
          <w:lang w:eastAsia="zh-CN"/>
        </w:rPr>
        <w:t>日</w:t>
      </w:r>
      <w:r>
        <w:rPr>
          <w:rFonts w:hint="eastAsia" w:ascii="宋体" w:hAnsi="宋体"/>
          <w:bCs/>
          <w:color w:val="auto"/>
          <w:highlight w:val="none"/>
          <w:lang w:val="en-US" w:eastAsia="zh-CN"/>
        </w:rPr>
        <w:t>09</w:t>
      </w:r>
      <w:r>
        <w:rPr>
          <w:rFonts w:hint="eastAsia" w:ascii="宋体" w:hAnsi="宋体"/>
          <w:bCs/>
          <w:color w:val="auto"/>
          <w:highlight w:val="none"/>
          <w:lang w:eastAsia="zh-CN"/>
        </w:rPr>
        <w:t>点</w:t>
      </w:r>
      <w:r>
        <w:rPr>
          <w:rFonts w:hint="eastAsia" w:ascii="宋体" w:hAnsi="宋体"/>
          <w:bCs/>
          <w:color w:val="auto"/>
          <w:highlight w:val="none"/>
          <w:lang w:val="en-US" w:eastAsia="zh-CN"/>
        </w:rPr>
        <w:t>30</w:t>
      </w:r>
      <w:r>
        <w:rPr>
          <w:rFonts w:hint="eastAsia" w:ascii="宋体" w:hAnsi="宋体"/>
          <w:bCs/>
          <w:color w:val="auto"/>
          <w:highlight w:val="none"/>
          <w:lang w:eastAsia="zh-CN"/>
        </w:rPr>
        <w:t>分</w:t>
      </w:r>
      <w:r>
        <w:rPr>
          <w:rFonts w:hint="eastAsia" w:ascii="宋体" w:hAnsi="宋体"/>
          <w:bCs/>
          <w:color w:val="auto"/>
          <w:highlight w:val="none"/>
          <w:lang w:eastAsia="zh-CN"/>
        </w:rPr>
        <w:t>（北京时间）</w:t>
      </w:r>
    </w:p>
    <w:p w14:paraId="36AAE8F2">
      <w:pPr>
        <w:widowControl w:val="0"/>
        <w:spacing w:line="360" w:lineRule="auto"/>
        <w:ind w:firstLine="480"/>
        <w:jc w:val="both"/>
        <w:rPr>
          <w:rFonts w:ascii="宋体" w:hAnsi="宋体"/>
          <w:bCs/>
          <w:color w:val="auto"/>
          <w:highlight w:val="none"/>
          <w:lang w:eastAsia="zh-CN"/>
        </w:rPr>
      </w:pPr>
      <w:r>
        <w:rPr>
          <w:rFonts w:hint="eastAsia" w:ascii="宋体" w:hAnsi="宋体"/>
          <w:color w:val="auto"/>
          <w:highlight w:val="none"/>
          <w:lang w:eastAsia="zh-CN"/>
        </w:rPr>
        <w:t>地点：</w:t>
      </w:r>
      <w:r>
        <w:rPr>
          <w:rFonts w:hint="eastAsia" w:ascii="宋体" w:hAnsi="宋体" w:cs="宋体"/>
          <w:color w:val="auto"/>
          <w:highlight w:val="none"/>
          <w:lang w:eastAsia="zh-CN"/>
        </w:rPr>
        <w:t>江苏省政府采购交易系统（苏采云系统）网上开标大厅</w:t>
      </w:r>
    </w:p>
    <w:p w14:paraId="2BDFD99B">
      <w:pPr>
        <w:widowControl w:val="0"/>
        <w:spacing w:line="360" w:lineRule="auto"/>
        <w:ind w:firstLine="482"/>
        <w:jc w:val="both"/>
        <w:outlineLvl w:val="1"/>
        <w:rPr>
          <w:rFonts w:ascii="宋体" w:hAnsi="宋体" w:cs="宋体"/>
          <w:b/>
          <w:color w:val="auto"/>
          <w:highlight w:val="none"/>
          <w:lang w:eastAsia="zh-CN"/>
        </w:rPr>
      </w:pPr>
      <w:bookmarkStart w:id="18" w:name="_Toc35393625"/>
      <w:bookmarkStart w:id="19" w:name="_Toc28359007"/>
      <w:bookmarkStart w:id="20" w:name="_Toc28359084"/>
      <w:bookmarkStart w:id="21" w:name="_Toc35393794"/>
      <w:r>
        <w:rPr>
          <w:rFonts w:hint="eastAsia" w:ascii="宋体" w:hAnsi="宋体" w:cs="宋体"/>
          <w:b/>
          <w:color w:val="auto"/>
          <w:highlight w:val="none"/>
          <w:lang w:eastAsia="zh-CN"/>
        </w:rPr>
        <w:t>五、公告期限</w:t>
      </w:r>
      <w:bookmarkEnd w:id="18"/>
      <w:bookmarkEnd w:id="19"/>
      <w:bookmarkEnd w:id="20"/>
      <w:bookmarkEnd w:id="21"/>
    </w:p>
    <w:p w14:paraId="756B2A68">
      <w:pPr>
        <w:widowControl w:val="0"/>
        <w:spacing w:line="360" w:lineRule="auto"/>
        <w:ind w:firstLine="480"/>
        <w:jc w:val="both"/>
        <w:rPr>
          <w:rFonts w:ascii="宋体" w:hAnsi="宋体" w:cs="宋体"/>
          <w:color w:val="auto"/>
          <w:highlight w:val="none"/>
          <w:lang w:eastAsia="zh-CN"/>
        </w:rPr>
      </w:pPr>
      <w:r>
        <w:rPr>
          <w:rFonts w:hint="eastAsia" w:ascii="宋体" w:hAnsi="宋体" w:cs="宋体"/>
          <w:color w:val="auto"/>
          <w:highlight w:val="none"/>
          <w:lang w:eastAsia="zh-CN"/>
        </w:rPr>
        <w:t>自本公告发布之日起5个工作日。</w:t>
      </w:r>
    </w:p>
    <w:p w14:paraId="65993E37">
      <w:pPr>
        <w:widowControl w:val="0"/>
        <w:numPr>
          <w:ilvl w:val="0"/>
          <w:numId w:val="1"/>
        </w:numPr>
        <w:spacing w:line="360" w:lineRule="auto"/>
        <w:jc w:val="both"/>
        <w:outlineLvl w:val="1"/>
        <w:rPr>
          <w:rFonts w:ascii="宋体" w:hAnsi="宋体" w:cs="宋体"/>
          <w:b/>
          <w:color w:val="auto"/>
          <w:highlight w:val="none"/>
          <w:lang w:eastAsia="zh-CN"/>
        </w:rPr>
      </w:pPr>
      <w:bookmarkStart w:id="22" w:name="_Toc35393795"/>
      <w:bookmarkStart w:id="23" w:name="_Toc35393626"/>
      <w:r>
        <w:rPr>
          <w:rFonts w:hint="eastAsia" w:ascii="宋体" w:hAnsi="宋体" w:cs="宋体"/>
          <w:b/>
          <w:color w:val="auto"/>
          <w:highlight w:val="none"/>
          <w:lang w:eastAsia="zh-CN"/>
        </w:rPr>
        <w:t>其他补充事宜</w:t>
      </w:r>
      <w:bookmarkEnd w:id="22"/>
      <w:bookmarkEnd w:id="23"/>
    </w:p>
    <w:p w14:paraId="7308ACF9">
      <w:pPr>
        <w:numPr>
          <w:ilvl w:val="0"/>
          <w:numId w:val="2"/>
        </w:numPr>
        <w:spacing w:line="360" w:lineRule="auto"/>
        <w:ind w:firstLine="420"/>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采购项目需要落实的政府采购政策：</w:t>
      </w:r>
    </w:p>
    <w:p w14:paraId="488E74AA">
      <w:pPr>
        <w:spacing w:line="360" w:lineRule="auto"/>
        <w:ind w:firstLine="420"/>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（1）政府采购促进中小企业发展</w:t>
      </w:r>
    </w:p>
    <w:p w14:paraId="4F11E71E">
      <w:pPr>
        <w:spacing w:line="360" w:lineRule="auto"/>
        <w:ind w:firstLine="420"/>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（2）政府采购支持监狱企业发展</w:t>
      </w:r>
    </w:p>
    <w:p w14:paraId="0B4B1D9D">
      <w:pPr>
        <w:spacing w:line="360" w:lineRule="auto"/>
        <w:ind w:firstLine="420"/>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（3）政府采购促进残疾人就业</w:t>
      </w:r>
    </w:p>
    <w:p w14:paraId="46EB6A28">
      <w:pPr>
        <w:spacing w:line="360" w:lineRule="auto"/>
        <w:ind w:firstLine="420"/>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（4）政府采购鼓励采购节能环保产品</w:t>
      </w:r>
    </w:p>
    <w:p w14:paraId="1C3DC7EB">
      <w:pPr>
        <w:pStyle w:val="228"/>
        <w:widowControl w:val="0"/>
        <w:tabs>
          <w:tab w:val="clear" w:pos="993"/>
          <w:tab w:val="clear" w:pos="1134"/>
        </w:tabs>
        <w:spacing w:line="360" w:lineRule="auto"/>
        <w:ind w:firstLine="480"/>
        <w:rPr>
          <w:color w:val="auto"/>
          <w:highlight w:val="none"/>
          <w:lang w:eastAsia="zh-CN"/>
        </w:rPr>
      </w:pPr>
      <w:r>
        <w:rPr>
          <w:rFonts w:hint="eastAsia" w:ascii="宋体" w:hAnsi="宋体"/>
          <w:color w:val="auto"/>
          <w:highlight w:val="none"/>
          <w:lang w:val="en-US" w:eastAsia="zh-CN"/>
        </w:rPr>
        <w:t>2.</w:t>
      </w:r>
      <w:r>
        <w:rPr>
          <w:color w:val="auto"/>
          <w:highlight w:val="none"/>
          <w:lang w:eastAsia="zh-CN"/>
        </w:rPr>
        <w:t xml:space="preserve"> 潜在供应商访问政府采购管理交易系统（苏采云）的网络地址和方法：</w:t>
      </w:r>
    </w:p>
    <w:p w14:paraId="336D6D48">
      <w:pPr>
        <w:pStyle w:val="228"/>
        <w:widowControl w:val="0"/>
        <w:numPr>
          <w:ilvl w:val="0"/>
          <w:numId w:val="3"/>
        </w:numPr>
        <w:tabs>
          <w:tab w:val="clear" w:pos="993"/>
          <w:tab w:val="clear" w:pos="1134"/>
        </w:tabs>
        <w:spacing w:line="360" w:lineRule="auto"/>
        <w:rPr>
          <w:color w:val="auto"/>
          <w:highlight w:val="none"/>
          <w:lang w:eastAsia="zh-CN"/>
        </w:rPr>
      </w:pPr>
      <w:r>
        <w:rPr>
          <w:color w:val="auto"/>
          <w:highlight w:val="none"/>
          <w:lang w:eastAsia="zh-CN"/>
        </w:rPr>
        <w:t>潜在供应商访问政府采购管理交易系统（苏采云）的方法：“苏采云”系统用户注册</w:t>
      </w:r>
      <w:r>
        <w:rPr>
          <w:rFonts w:hint="eastAsia"/>
          <w:color w:val="auto"/>
          <w:highlight w:val="none"/>
          <w:lang w:eastAsia="zh-CN"/>
        </w:rPr>
        <w:t>－－</w:t>
      </w:r>
      <w:r>
        <w:rPr>
          <w:color w:val="auto"/>
          <w:highlight w:val="none"/>
          <w:lang w:eastAsia="zh-CN"/>
        </w:rPr>
        <w:t>获取“CA数字证书”--CA绑定与登录--网上报名</w:t>
      </w:r>
      <w:r>
        <w:rPr>
          <w:rFonts w:hint="eastAsia"/>
          <w:color w:val="auto"/>
          <w:highlight w:val="none"/>
          <w:lang w:eastAsia="zh-CN"/>
        </w:rPr>
        <w:t>－－</w:t>
      </w:r>
      <w:r>
        <w:rPr>
          <w:color w:val="auto"/>
          <w:highlight w:val="none"/>
          <w:lang w:eastAsia="zh-CN"/>
        </w:rPr>
        <w:t>下载采购文件（后缀名为</w:t>
      </w:r>
      <w:r>
        <w:rPr>
          <w:rFonts w:hint="eastAsia"/>
          <w:color w:val="auto"/>
          <w:highlight w:val="none"/>
          <w:lang w:eastAsia="zh-CN"/>
        </w:rPr>
        <w:t>“</w:t>
      </w:r>
      <w:r>
        <w:rPr>
          <w:color w:val="auto"/>
          <w:highlight w:val="none"/>
          <w:lang w:eastAsia="zh-CN"/>
        </w:rPr>
        <w:t>kedt”）--将后缀名为</w:t>
      </w:r>
      <w:r>
        <w:rPr>
          <w:rFonts w:hint="eastAsia"/>
          <w:color w:val="auto"/>
          <w:highlight w:val="none"/>
          <w:lang w:eastAsia="zh-CN"/>
        </w:rPr>
        <w:t>“</w:t>
      </w:r>
      <w:r>
        <w:rPr>
          <w:color w:val="auto"/>
          <w:highlight w:val="none"/>
          <w:lang w:eastAsia="zh-CN"/>
        </w:rPr>
        <w:t>kedt”的采购文件导入政府采购客户端工具</w:t>
      </w:r>
      <w:r>
        <w:rPr>
          <w:rFonts w:hint="eastAsia"/>
          <w:color w:val="auto"/>
          <w:highlight w:val="none"/>
          <w:lang w:eastAsia="zh-CN"/>
        </w:rPr>
        <w:t>－－</w:t>
      </w:r>
      <w:r>
        <w:rPr>
          <w:color w:val="auto"/>
          <w:highlight w:val="none"/>
          <w:lang w:eastAsia="zh-CN"/>
        </w:rPr>
        <w:t>制作投标文件</w:t>
      </w:r>
      <w:r>
        <w:rPr>
          <w:rFonts w:hint="eastAsia"/>
          <w:color w:val="auto"/>
          <w:highlight w:val="none"/>
          <w:lang w:eastAsia="zh-CN"/>
        </w:rPr>
        <w:t>－－</w:t>
      </w:r>
      <w:r>
        <w:rPr>
          <w:color w:val="auto"/>
          <w:highlight w:val="none"/>
          <w:lang w:eastAsia="zh-CN"/>
        </w:rPr>
        <w:t>导出加密的投标文件（后缀名为zip）--通过“苏采云”系统上传投标文件。</w:t>
      </w:r>
    </w:p>
    <w:p w14:paraId="201291A1">
      <w:pPr>
        <w:pStyle w:val="228"/>
        <w:widowControl w:val="0"/>
        <w:numPr>
          <w:ilvl w:val="0"/>
          <w:numId w:val="3"/>
        </w:numPr>
        <w:tabs>
          <w:tab w:val="clear" w:pos="993"/>
          <w:tab w:val="clear" w:pos="1134"/>
        </w:tabs>
        <w:spacing w:line="360" w:lineRule="auto"/>
        <w:rPr>
          <w:color w:val="auto"/>
          <w:highlight w:val="none"/>
          <w:lang w:eastAsia="zh-CN"/>
        </w:rPr>
      </w:pPr>
      <w:r>
        <w:rPr>
          <w:color w:val="auto"/>
          <w:highlight w:val="none"/>
          <w:lang w:eastAsia="zh-CN"/>
        </w:rPr>
        <w:t>“CA数字证书”的获取：供应商需办理CA锁，“苏采云”系统目前仅支持“苏采云”系统下的政务CA，省内各地区办理的“苏采云”系统下的政务CA全省通用。</w:t>
      </w:r>
    </w:p>
    <w:p w14:paraId="725D4C87">
      <w:pPr>
        <w:pStyle w:val="228"/>
        <w:widowControl w:val="0"/>
        <w:numPr>
          <w:ilvl w:val="0"/>
          <w:numId w:val="3"/>
        </w:numPr>
        <w:tabs>
          <w:tab w:val="clear" w:pos="993"/>
          <w:tab w:val="clear" w:pos="1134"/>
        </w:tabs>
        <w:spacing w:line="360" w:lineRule="auto"/>
        <w:rPr>
          <w:color w:val="auto"/>
          <w:highlight w:val="none"/>
        </w:rPr>
      </w:pPr>
      <w:r>
        <w:rPr>
          <w:color w:val="auto"/>
          <w:highlight w:val="none"/>
        </w:rPr>
        <w:t>“CA数字证书”的办理材料以及供应商操作手册详见：http://jsxcmm.com/help/gys.html。</w:t>
      </w:r>
    </w:p>
    <w:p w14:paraId="46801677">
      <w:pPr>
        <w:pStyle w:val="228"/>
        <w:widowControl w:val="0"/>
        <w:numPr>
          <w:ilvl w:val="0"/>
          <w:numId w:val="3"/>
        </w:numPr>
        <w:tabs>
          <w:tab w:val="clear" w:pos="993"/>
          <w:tab w:val="clear" w:pos="1134"/>
        </w:tabs>
        <w:spacing w:line="360" w:lineRule="auto"/>
        <w:rPr>
          <w:color w:val="auto"/>
          <w:highlight w:val="none"/>
        </w:rPr>
      </w:pPr>
      <w:r>
        <w:rPr>
          <w:color w:val="auto"/>
          <w:highlight w:val="none"/>
        </w:rPr>
        <w:t>潜在供应商访问“苏采云”系统的网络地址和方法：“苏采云”系统的网址：http://jszfcg.jsczt.cn/jszc/login。</w:t>
      </w:r>
    </w:p>
    <w:p w14:paraId="7E34B184">
      <w:pPr>
        <w:pStyle w:val="228"/>
        <w:widowControl w:val="0"/>
        <w:numPr>
          <w:ilvl w:val="0"/>
          <w:numId w:val="3"/>
        </w:numPr>
        <w:tabs>
          <w:tab w:val="clear" w:pos="993"/>
          <w:tab w:val="clear" w:pos="1134"/>
        </w:tabs>
        <w:spacing w:line="360" w:lineRule="auto"/>
        <w:rPr>
          <w:color w:val="auto"/>
          <w:highlight w:val="none"/>
          <w:lang w:eastAsia="zh-CN"/>
        </w:rPr>
      </w:pPr>
      <w:r>
        <w:rPr>
          <w:color w:val="auto"/>
          <w:highlight w:val="none"/>
          <w:lang w:eastAsia="zh-CN"/>
        </w:rPr>
        <w:t>采购文件（后缀名为</w:t>
      </w:r>
      <w:r>
        <w:rPr>
          <w:rFonts w:hint="eastAsia"/>
          <w:color w:val="auto"/>
          <w:highlight w:val="none"/>
          <w:lang w:eastAsia="zh-CN"/>
        </w:rPr>
        <w:t>“</w:t>
      </w:r>
      <w:r>
        <w:rPr>
          <w:color w:val="auto"/>
          <w:highlight w:val="none"/>
          <w:lang w:eastAsia="zh-CN"/>
        </w:rPr>
        <w:t>kedt”）、供应商操作手册及政府采购客户端工具也可通过“苏采云”系统</w:t>
      </w:r>
      <w:r>
        <w:rPr>
          <w:rFonts w:hint="eastAsia"/>
          <w:color w:val="auto"/>
          <w:highlight w:val="none"/>
          <w:lang w:eastAsia="zh-CN"/>
        </w:rPr>
        <w:t>－－</w:t>
      </w:r>
      <w:r>
        <w:rPr>
          <w:color w:val="auto"/>
          <w:highlight w:val="none"/>
          <w:lang w:eastAsia="zh-CN"/>
        </w:rPr>
        <w:t>已报名项目</w:t>
      </w:r>
      <w:r>
        <w:rPr>
          <w:rFonts w:hint="eastAsia"/>
          <w:color w:val="auto"/>
          <w:highlight w:val="none"/>
          <w:lang w:eastAsia="zh-CN"/>
        </w:rPr>
        <w:t>－－</w:t>
      </w:r>
      <w:r>
        <w:rPr>
          <w:color w:val="auto"/>
          <w:highlight w:val="none"/>
          <w:lang w:eastAsia="zh-CN"/>
        </w:rPr>
        <w:t>报名详情页面内相应链接进行下载。</w:t>
      </w:r>
    </w:p>
    <w:p w14:paraId="44C3A040">
      <w:pPr>
        <w:pStyle w:val="228"/>
        <w:widowControl w:val="0"/>
        <w:numPr>
          <w:ilvl w:val="0"/>
          <w:numId w:val="3"/>
        </w:numPr>
        <w:tabs>
          <w:tab w:val="clear" w:pos="993"/>
          <w:tab w:val="clear" w:pos="1134"/>
        </w:tabs>
        <w:spacing w:line="360" w:lineRule="auto"/>
        <w:rPr>
          <w:color w:val="auto"/>
          <w:highlight w:val="none"/>
          <w:lang w:eastAsia="zh-CN"/>
        </w:rPr>
      </w:pPr>
      <w:r>
        <w:rPr>
          <w:color w:val="auto"/>
          <w:highlight w:val="none"/>
          <w:lang w:eastAsia="zh-CN"/>
        </w:rPr>
        <w:t>招标代理机构（采购代理机构）将数据电文形式的采购文件加载至“苏采云”系统，供潜在供应商下载或者查阅。    </w:t>
      </w:r>
    </w:p>
    <w:p w14:paraId="14FDB66F">
      <w:pPr>
        <w:pStyle w:val="228"/>
        <w:widowControl w:val="0"/>
        <w:numPr>
          <w:ilvl w:val="0"/>
          <w:numId w:val="3"/>
        </w:numPr>
        <w:tabs>
          <w:tab w:val="clear" w:pos="993"/>
          <w:tab w:val="clear" w:pos="1134"/>
        </w:tabs>
        <w:spacing w:line="360" w:lineRule="auto"/>
        <w:rPr>
          <w:color w:val="auto"/>
          <w:highlight w:val="none"/>
          <w:lang w:eastAsia="zh-CN"/>
        </w:rPr>
      </w:pPr>
      <w:r>
        <w:rPr>
          <w:color w:val="auto"/>
          <w:highlight w:val="none"/>
          <w:lang w:eastAsia="zh-CN"/>
        </w:rPr>
        <w:t>苏采云系统使用谷歌浏览器参与不见面开标。</w:t>
      </w:r>
    </w:p>
    <w:p w14:paraId="2A4AD198">
      <w:pPr>
        <w:pStyle w:val="228"/>
        <w:widowControl w:val="0"/>
        <w:tabs>
          <w:tab w:val="clear" w:pos="993"/>
          <w:tab w:val="clear" w:pos="1134"/>
        </w:tabs>
        <w:spacing w:line="360" w:lineRule="auto"/>
        <w:ind w:firstLine="480"/>
        <w:rPr>
          <w:color w:val="auto"/>
          <w:highlight w:val="none"/>
          <w:lang w:eastAsia="zh-CN"/>
        </w:rPr>
      </w:pPr>
      <w:r>
        <w:rPr>
          <w:rFonts w:hint="eastAsia"/>
          <w:color w:val="auto"/>
          <w:highlight w:val="none"/>
          <w:lang w:val="en-US" w:eastAsia="zh-CN"/>
        </w:rPr>
        <w:t>3</w:t>
      </w:r>
      <w:r>
        <w:rPr>
          <w:rFonts w:hint="eastAsia"/>
          <w:color w:val="auto"/>
          <w:highlight w:val="none"/>
          <w:lang w:eastAsia="zh-CN"/>
        </w:rPr>
        <w:t>.</w:t>
      </w:r>
      <w:r>
        <w:rPr>
          <w:color w:val="auto"/>
          <w:highlight w:val="none"/>
          <w:lang w:eastAsia="zh-CN"/>
        </w:rPr>
        <w:t>本次采购采用“政府采购管理交易系统（苏采云）”，招标、投标、评标和中标结果发布全程电子化，开标方式为不见面开标。供应商应当按照《政府采购管理交易系统（苏采云）供应商操作手册》参加投标活动。如供应商未按要求操作，由此所产生的风险由供应商自行承担。</w:t>
      </w:r>
    </w:p>
    <w:p w14:paraId="7EC1938C">
      <w:pPr>
        <w:pStyle w:val="228"/>
        <w:widowControl w:val="0"/>
        <w:tabs>
          <w:tab w:val="clear" w:pos="993"/>
          <w:tab w:val="clear" w:pos="1134"/>
        </w:tabs>
        <w:spacing w:line="360" w:lineRule="auto"/>
        <w:ind w:firstLine="480"/>
        <w:rPr>
          <w:rFonts w:hint="eastAsia"/>
          <w:color w:val="auto"/>
          <w:highlight w:val="none"/>
          <w:lang w:eastAsia="zh-CN"/>
        </w:rPr>
      </w:pPr>
      <w:r>
        <w:rPr>
          <w:rFonts w:hint="eastAsia"/>
          <w:color w:val="auto"/>
          <w:highlight w:val="none"/>
          <w:lang w:val="en-US" w:eastAsia="zh-CN"/>
        </w:rPr>
        <w:t>4</w:t>
      </w:r>
      <w:r>
        <w:rPr>
          <w:rFonts w:hint="eastAsia"/>
          <w:color w:val="auto"/>
          <w:highlight w:val="none"/>
          <w:lang w:eastAsia="zh-CN"/>
        </w:rPr>
        <w:t>.</w:t>
      </w:r>
      <w:r>
        <w:rPr>
          <w:color w:val="auto"/>
          <w:highlight w:val="none"/>
          <w:lang w:eastAsia="zh-CN"/>
        </w:rPr>
        <w:t>供应商如确定参加投标，可自行下载采购文件及有关资料，按照《操作手册》进行注册，领取CA和办理电子签章，并按《操作手册》要求制作、上传电子投标文件。</w:t>
      </w:r>
    </w:p>
    <w:p w14:paraId="0ABCC975">
      <w:pPr>
        <w:widowControl w:val="0"/>
        <w:spacing w:line="360" w:lineRule="auto"/>
        <w:ind w:firstLine="480"/>
        <w:jc w:val="both"/>
        <w:rPr>
          <w:rFonts w:ascii="宋体" w:hAnsi="宋体"/>
          <w:color w:val="auto"/>
          <w:highlight w:val="none"/>
          <w:lang w:eastAsia="zh-CN"/>
        </w:rPr>
      </w:pPr>
      <w:r>
        <w:rPr>
          <w:rFonts w:hint="eastAsia" w:ascii="宋体" w:hAnsi="宋体"/>
          <w:color w:val="auto"/>
          <w:highlight w:val="none"/>
          <w:lang w:val="en-US" w:eastAsia="zh-CN"/>
        </w:rPr>
        <w:t>5</w:t>
      </w:r>
      <w:r>
        <w:rPr>
          <w:rFonts w:hint="eastAsia" w:ascii="宋体" w:hAnsi="宋体"/>
          <w:color w:val="auto"/>
          <w:highlight w:val="none"/>
          <w:lang w:eastAsia="zh-CN"/>
        </w:rPr>
        <w:t>.本次招标不收取投标保证金。</w:t>
      </w:r>
    </w:p>
    <w:p w14:paraId="4CE5698E">
      <w:pPr>
        <w:widowControl w:val="0"/>
        <w:spacing w:line="360" w:lineRule="auto"/>
        <w:ind w:firstLine="480"/>
        <w:jc w:val="both"/>
        <w:rPr>
          <w:rFonts w:hint="eastAsia" w:ascii="宋体" w:hAnsi="宋体"/>
          <w:color w:val="auto"/>
          <w:highlight w:val="none"/>
          <w:lang w:eastAsia="zh-CN"/>
        </w:rPr>
      </w:pPr>
      <w:r>
        <w:rPr>
          <w:rFonts w:hint="eastAsia" w:ascii="宋体" w:hAnsi="宋体"/>
          <w:color w:val="auto"/>
          <w:highlight w:val="none"/>
          <w:lang w:val="en-US" w:eastAsia="zh-CN"/>
        </w:rPr>
        <w:t>6</w:t>
      </w:r>
      <w:r>
        <w:rPr>
          <w:rFonts w:hint="eastAsia" w:ascii="宋体" w:hAnsi="宋体"/>
          <w:color w:val="auto"/>
          <w:highlight w:val="none"/>
          <w:lang w:eastAsia="zh-CN"/>
        </w:rPr>
        <w:t>.现场勘察</w:t>
      </w:r>
    </w:p>
    <w:p w14:paraId="69E87481">
      <w:pPr>
        <w:widowControl w:val="0"/>
        <w:spacing w:line="360" w:lineRule="auto"/>
        <w:ind w:firstLine="482"/>
        <w:jc w:val="both"/>
        <w:outlineLvl w:val="1"/>
        <w:rPr>
          <w:rFonts w:hint="eastAsia" w:ascii="宋体"/>
          <w:color w:val="auto"/>
          <w:highlight w:val="none"/>
          <w:lang w:val="en-US" w:eastAsia="zh-CN"/>
        </w:rPr>
      </w:pPr>
      <w:bookmarkStart w:id="24" w:name="_Toc35393796"/>
      <w:bookmarkStart w:id="25" w:name="_Toc28359085"/>
      <w:bookmarkStart w:id="26" w:name="_Toc35393627"/>
      <w:bookmarkStart w:id="27" w:name="_Toc28359008"/>
      <w:r>
        <w:rPr>
          <w:rFonts w:hint="eastAsia" w:ascii="宋体"/>
          <w:color w:val="auto"/>
          <w:highlight w:val="none"/>
          <w:lang w:val="en-US" w:eastAsia="zh-CN"/>
        </w:rPr>
        <w:t>采购人不组织踏勘现场和投标预备会，投标人可以自行踏勘现场。现场踏勘联系人：王老师，025-86174605。</w:t>
      </w:r>
    </w:p>
    <w:p w14:paraId="3593718F">
      <w:pPr>
        <w:widowControl w:val="0"/>
        <w:spacing w:line="360" w:lineRule="auto"/>
        <w:ind w:firstLine="482"/>
        <w:jc w:val="both"/>
        <w:outlineLvl w:val="1"/>
        <w:rPr>
          <w:rFonts w:ascii="宋体" w:hAnsi="宋体"/>
          <w:b/>
          <w:bCs/>
          <w:color w:val="auto"/>
          <w:highlight w:val="none"/>
          <w:lang w:eastAsia="zh-CN"/>
        </w:rPr>
      </w:pPr>
      <w:r>
        <w:rPr>
          <w:rFonts w:hint="eastAsia" w:ascii="宋体" w:hAnsi="宋体"/>
          <w:b/>
          <w:bCs/>
          <w:color w:val="auto"/>
          <w:highlight w:val="none"/>
          <w:lang w:eastAsia="zh-CN"/>
        </w:rPr>
        <w:t>七、对本次招标提出询问，请按</w:t>
      </w:r>
      <w:r>
        <w:rPr>
          <w:rFonts w:ascii="宋体" w:hAnsi="宋体"/>
          <w:b/>
          <w:bCs/>
          <w:color w:val="auto"/>
          <w:highlight w:val="none"/>
          <w:lang w:eastAsia="zh-CN"/>
        </w:rPr>
        <w:t>以下方式</w:t>
      </w:r>
      <w:r>
        <w:rPr>
          <w:rFonts w:hint="eastAsia" w:ascii="宋体" w:hAnsi="宋体"/>
          <w:b/>
          <w:bCs/>
          <w:color w:val="auto"/>
          <w:highlight w:val="none"/>
          <w:lang w:eastAsia="zh-CN"/>
        </w:rPr>
        <w:t>联系。</w:t>
      </w:r>
      <w:bookmarkEnd w:id="24"/>
      <w:bookmarkEnd w:id="25"/>
      <w:bookmarkEnd w:id="26"/>
      <w:bookmarkEnd w:id="27"/>
    </w:p>
    <w:p w14:paraId="498B3920">
      <w:pPr>
        <w:widowControl w:val="0"/>
        <w:spacing w:line="360" w:lineRule="auto"/>
        <w:ind w:firstLine="480"/>
        <w:jc w:val="both"/>
        <w:rPr>
          <w:rFonts w:hint="default" w:ascii="宋体" w:hAnsi="宋体"/>
          <w:color w:val="auto"/>
          <w:highlight w:val="none"/>
          <w:lang w:val="en-US" w:eastAsia="zh-CN"/>
        </w:rPr>
      </w:pPr>
      <w:r>
        <w:rPr>
          <w:rFonts w:hint="eastAsia" w:ascii="宋体" w:hAnsi="宋体"/>
          <w:color w:val="auto"/>
          <w:highlight w:val="none"/>
          <w:lang w:eastAsia="zh-CN"/>
        </w:rPr>
        <w:t>1.采购人信息</w:t>
      </w:r>
      <w:r>
        <w:rPr>
          <w:rFonts w:hint="eastAsia" w:ascii="宋体" w:hAnsi="宋体"/>
          <w:color w:val="auto"/>
          <w:highlight w:val="none"/>
          <w:lang w:val="en-US" w:eastAsia="zh-CN"/>
        </w:rPr>
        <w:t xml:space="preserve"> </w:t>
      </w:r>
    </w:p>
    <w:p w14:paraId="787A2017">
      <w:pPr>
        <w:widowControl w:val="0"/>
        <w:spacing w:line="360" w:lineRule="auto"/>
        <w:ind w:firstLine="480"/>
        <w:rPr>
          <w:rFonts w:hint="eastAsia" w:ascii="宋体" w:hAnsi="宋体"/>
          <w:color w:val="auto"/>
          <w:highlight w:val="none"/>
          <w:lang w:eastAsia="zh-CN"/>
        </w:rPr>
      </w:pPr>
      <w:r>
        <w:rPr>
          <w:rFonts w:hint="eastAsia" w:ascii="宋体" w:hAnsi="宋体"/>
          <w:color w:val="auto"/>
          <w:highlight w:val="none"/>
          <w:lang w:eastAsia="zh-CN"/>
        </w:rPr>
        <w:t>名称：南京交通职业技术学院</w:t>
      </w:r>
    </w:p>
    <w:p w14:paraId="50F13656">
      <w:pPr>
        <w:widowControl w:val="0"/>
        <w:spacing w:line="360" w:lineRule="auto"/>
        <w:ind w:firstLine="480"/>
        <w:rPr>
          <w:rFonts w:hint="eastAsia" w:ascii="宋体" w:hAnsi="宋体"/>
          <w:color w:val="auto"/>
          <w:highlight w:val="none"/>
          <w:lang w:eastAsia="zh-CN"/>
        </w:rPr>
      </w:pPr>
      <w:r>
        <w:rPr>
          <w:rFonts w:hint="eastAsia" w:ascii="宋体" w:hAnsi="宋体"/>
          <w:color w:val="auto"/>
          <w:highlight w:val="none"/>
          <w:lang w:eastAsia="zh-CN"/>
        </w:rPr>
        <w:t>地址：江宁科学园龙眠大道629号。</w:t>
      </w:r>
    </w:p>
    <w:p w14:paraId="78E3A7CF">
      <w:pPr>
        <w:widowControl w:val="0"/>
        <w:spacing w:line="360" w:lineRule="auto"/>
        <w:ind w:firstLine="480"/>
        <w:rPr>
          <w:rFonts w:hint="eastAsia" w:ascii="宋体" w:hAnsi="宋体"/>
          <w:color w:val="auto"/>
          <w:highlight w:val="none"/>
          <w:lang w:eastAsia="zh-CN"/>
        </w:rPr>
      </w:pPr>
      <w:r>
        <w:rPr>
          <w:rFonts w:hint="eastAsia" w:ascii="宋体" w:hAnsi="宋体"/>
          <w:color w:val="auto"/>
          <w:highlight w:val="none"/>
          <w:lang w:eastAsia="zh-CN"/>
        </w:rPr>
        <w:t>联系方式：环蓉025-86115701</w:t>
      </w:r>
    </w:p>
    <w:p w14:paraId="52A4A039">
      <w:pPr>
        <w:widowControl w:val="0"/>
        <w:spacing w:line="360" w:lineRule="auto"/>
        <w:ind w:firstLine="480"/>
        <w:rPr>
          <w:rFonts w:ascii="宋体" w:hAnsi="宋体"/>
          <w:color w:val="auto"/>
          <w:highlight w:val="none"/>
          <w:lang w:eastAsia="zh-CN"/>
        </w:rPr>
      </w:pPr>
      <w:r>
        <w:rPr>
          <w:rFonts w:hint="eastAsia" w:ascii="宋体" w:hAnsi="宋体"/>
          <w:color w:val="auto"/>
          <w:highlight w:val="none"/>
          <w:lang w:eastAsia="zh-CN"/>
        </w:rPr>
        <w:t xml:space="preserve">2.采购代理机构信息 </w:t>
      </w:r>
    </w:p>
    <w:p w14:paraId="37BA3C2B">
      <w:pPr>
        <w:widowControl w:val="0"/>
        <w:spacing w:line="360" w:lineRule="auto"/>
        <w:ind w:firstLine="480"/>
        <w:rPr>
          <w:rFonts w:hint="eastAsia" w:ascii="宋体" w:hAnsi="宋体"/>
          <w:color w:val="auto"/>
          <w:highlight w:val="none"/>
          <w:lang w:eastAsia="zh-CN"/>
        </w:rPr>
      </w:pPr>
      <w:r>
        <w:rPr>
          <w:rFonts w:hint="eastAsia" w:ascii="宋体" w:hAnsi="宋体"/>
          <w:color w:val="auto"/>
          <w:highlight w:val="none"/>
          <w:lang w:eastAsia="zh-CN"/>
        </w:rPr>
        <w:t>名称：江苏润沐工程管理咨询有限公司</w:t>
      </w:r>
    </w:p>
    <w:p w14:paraId="4008EB9F">
      <w:pPr>
        <w:widowControl w:val="0"/>
        <w:spacing w:line="360" w:lineRule="auto"/>
        <w:ind w:firstLine="480"/>
        <w:rPr>
          <w:rFonts w:hint="eastAsia" w:ascii="宋体" w:hAnsi="宋体"/>
          <w:color w:val="auto"/>
          <w:highlight w:val="none"/>
          <w:lang w:eastAsia="zh-CN"/>
        </w:rPr>
      </w:pPr>
      <w:r>
        <w:rPr>
          <w:rFonts w:hint="eastAsia" w:ascii="宋体" w:hAnsi="宋体"/>
          <w:color w:val="auto"/>
          <w:highlight w:val="none"/>
          <w:lang w:eastAsia="zh-CN"/>
        </w:rPr>
        <w:t>地址：南京市建邺区广聚路31号安科大厦B座1507室。</w:t>
      </w:r>
    </w:p>
    <w:p w14:paraId="58D04FBD">
      <w:pPr>
        <w:widowControl w:val="0"/>
        <w:spacing w:line="360" w:lineRule="auto"/>
        <w:ind w:firstLine="480"/>
        <w:rPr>
          <w:rFonts w:hint="eastAsia" w:ascii="宋体" w:hAnsi="宋体"/>
          <w:color w:val="auto"/>
          <w:highlight w:val="none"/>
          <w:lang w:eastAsia="zh-CN"/>
        </w:rPr>
      </w:pPr>
      <w:r>
        <w:rPr>
          <w:rFonts w:hint="eastAsia" w:ascii="宋体" w:hAnsi="宋体"/>
          <w:color w:val="auto"/>
          <w:highlight w:val="none"/>
          <w:lang w:eastAsia="zh-CN"/>
        </w:rPr>
        <w:t>联系方式：尹素琴15152802224</w:t>
      </w:r>
    </w:p>
    <w:p w14:paraId="7C8EA2B9">
      <w:pPr>
        <w:widowControl w:val="0"/>
        <w:spacing w:line="360" w:lineRule="auto"/>
        <w:ind w:firstLine="480"/>
        <w:rPr>
          <w:rFonts w:ascii="宋体" w:hAnsi="宋体"/>
          <w:color w:val="auto"/>
          <w:highlight w:val="none"/>
          <w:lang w:eastAsia="zh-CN"/>
        </w:rPr>
      </w:pPr>
      <w:r>
        <w:rPr>
          <w:rFonts w:hint="eastAsia" w:ascii="宋体" w:hAnsi="宋体"/>
          <w:color w:val="auto"/>
          <w:highlight w:val="none"/>
          <w:lang w:eastAsia="zh-CN"/>
        </w:rPr>
        <w:t>3.项目联系方式</w:t>
      </w:r>
    </w:p>
    <w:p w14:paraId="3EB1872D">
      <w:pPr>
        <w:widowControl w:val="0"/>
        <w:spacing w:line="360" w:lineRule="auto"/>
        <w:ind w:firstLine="482"/>
        <w:rPr>
          <w:rFonts w:hint="eastAsia" w:ascii="宋体" w:hAnsi="宋体"/>
          <w:color w:val="auto"/>
          <w:highlight w:val="none"/>
          <w:lang w:eastAsia="zh-CN"/>
        </w:rPr>
      </w:pPr>
      <w:r>
        <w:rPr>
          <w:rFonts w:hint="eastAsia" w:ascii="宋体" w:hAnsi="宋体"/>
          <w:color w:val="auto"/>
          <w:highlight w:val="none"/>
          <w:lang w:eastAsia="zh-CN"/>
        </w:rPr>
        <w:t>项目联系人：尹素琴</w:t>
      </w:r>
    </w:p>
    <w:p w14:paraId="2A8DD692">
      <w:pPr>
        <w:widowControl w:val="0"/>
        <w:spacing w:line="360" w:lineRule="auto"/>
        <w:ind w:firstLine="482"/>
        <w:rPr>
          <w:rFonts w:hint="eastAsia" w:ascii="宋体" w:hAnsi="宋体"/>
          <w:color w:val="auto"/>
          <w:highlight w:val="none"/>
          <w:lang w:eastAsia="zh-CN"/>
        </w:rPr>
      </w:pPr>
      <w:r>
        <w:rPr>
          <w:rFonts w:hint="eastAsia" w:ascii="宋体" w:hAnsi="宋体"/>
          <w:color w:val="auto"/>
          <w:highlight w:val="none"/>
          <w:lang w:eastAsia="zh-CN"/>
        </w:rPr>
        <w:t>电话：15152802224</w:t>
      </w:r>
    </w:p>
    <w:p w14:paraId="2BB2C66A">
      <w:pPr>
        <w:widowControl w:val="0"/>
        <w:spacing w:line="360" w:lineRule="auto"/>
        <w:ind w:firstLine="482"/>
        <w:rPr>
          <w:rFonts w:ascii="宋体" w:hAnsi="宋体"/>
          <w:b/>
          <w:bCs/>
          <w:color w:val="auto"/>
          <w:highlight w:val="none"/>
          <w:lang w:eastAsia="zh-CN"/>
        </w:rPr>
      </w:pPr>
      <w:r>
        <w:rPr>
          <w:rFonts w:hint="eastAsia" w:ascii="宋体" w:hAnsi="宋体"/>
          <w:b/>
          <w:bCs/>
          <w:color w:val="auto"/>
          <w:highlight w:val="none"/>
          <w:lang w:eastAsia="zh-CN"/>
        </w:rPr>
        <w:t>八、采购公告发布信息</w:t>
      </w:r>
    </w:p>
    <w:p w14:paraId="686F4DA8">
      <w:pPr>
        <w:pStyle w:val="302"/>
        <w:rPr>
          <w:color w:val="auto"/>
          <w:highlight w:val="none"/>
        </w:rPr>
      </w:pPr>
      <w:r>
        <w:rPr>
          <w:rFonts w:hint="eastAsia"/>
          <w:color w:val="auto"/>
          <w:highlight w:val="none"/>
          <w:lang w:val="zh-CN"/>
        </w:rPr>
        <w:t>本次采购公告在“江苏省政府采购网”上发布,有关本次采购的事项若存在变动或修改，敬请及时关注“江苏省政府采购网”发布的信息更正公告，其责任由投标供应商自行承担。</w:t>
      </w:r>
      <w:r>
        <w:rPr>
          <w:rFonts w:hint="eastAsia"/>
          <w:color w:val="auto"/>
          <w:sz w:val="21"/>
          <w:szCs w:val="21"/>
          <w:highlight w:val="none"/>
          <w:lang w:val="zh-CN"/>
        </w:rPr>
        <w:t xml:space="preserve"> </w:t>
      </w:r>
    </w:p>
    <w:p w14:paraId="3A6E758D">
      <w:pPr>
        <w:spacing w:line="360" w:lineRule="auto"/>
        <w:rPr>
          <w:rFonts w:ascii="Calibri" w:hAnsi="Calibri"/>
          <w:color w:val="auto"/>
          <w:sz w:val="21"/>
          <w:szCs w:val="22"/>
          <w:highlight w:val="none"/>
          <w:lang w:eastAsia="zh-CN"/>
        </w:rPr>
      </w:pPr>
    </w:p>
    <w:p w14:paraId="11E332EE">
      <w:pPr>
        <w:widowControl w:val="0"/>
        <w:spacing w:line="360" w:lineRule="auto"/>
        <w:jc w:val="center"/>
        <w:outlineLvl w:val="0"/>
        <w:rPr>
          <w:rStyle w:val="201"/>
          <w:rFonts w:hint="eastAsia"/>
          <w:color w:val="auto"/>
          <w:sz w:val="36"/>
          <w:szCs w:val="36"/>
          <w:highlight w:val="none"/>
          <w:lang w:val="zh-TW" w:eastAsia="zh-CN"/>
        </w:rPr>
      </w:pPr>
      <w:bookmarkStart w:id="28" w:name="_Toc11451"/>
      <w:r>
        <w:rPr>
          <w:b/>
          <w:bCs/>
          <w:color w:val="auto"/>
          <w:sz w:val="32"/>
          <w:szCs w:val="44"/>
          <w:highlight w:val="none"/>
          <w:lang w:eastAsia="zh-CN"/>
        </w:rPr>
        <w:br w:type="page" w:clear="all"/>
      </w:r>
      <w:bookmarkStart w:id="29" w:name="_Toc22472"/>
      <w:r>
        <w:rPr>
          <w:rStyle w:val="201"/>
          <w:rFonts w:hint="eastAsia"/>
          <w:color w:val="auto"/>
          <w:sz w:val="36"/>
          <w:szCs w:val="36"/>
          <w:highlight w:val="none"/>
          <w:lang w:eastAsia="zh-CN"/>
        </w:rPr>
        <w:t>第二章</w:t>
      </w:r>
      <w:r>
        <w:rPr>
          <w:rStyle w:val="201"/>
          <w:rFonts w:hint="eastAsia"/>
          <w:color w:val="auto"/>
          <w:sz w:val="36"/>
          <w:szCs w:val="36"/>
          <w:highlight w:val="none"/>
          <w:lang w:val="zh-TW" w:eastAsia="zh-CN"/>
        </w:rPr>
        <w:t xml:space="preserve"> 供应商须知</w:t>
      </w:r>
      <w:bookmarkEnd w:id="28"/>
      <w:bookmarkEnd w:id="29"/>
    </w:p>
    <w:p w14:paraId="30436316">
      <w:pPr>
        <w:widowControl w:val="0"/>
        <w:spacing w:line="360" w:lineRule="auto"/>
        <w:jc w:val="center"/>
        <w:outlineLvl w:val="0"/>
        <w:rPr>
          <w:b/>
          <w:bCs/>
          <w:color w:val="auto"/>
          <w:highlight w:val="none"/>
          <w:lang w:eastAsia="zh-CN"/>
        </w:rPr>
      </w:pPr>
      <w:bookmarkStart w:id="30" w:name="_Toc31644"/>
      <w:r>
        <w:rPr>
          <w:rFonts w:hint="eastAsia"/>
          <w:b/>
          <w:bCs/>
          <w:color w:val="auto"/>
          <w:highlight w:val="none"/>
          <w:lang w:eastAsia="zh-CN"/>
        </w:rPr>
        <w:t>供应商须知前附表</w:t>
      </w:r>
      <w:bookmarkEnd w:id="30"/>
    </w:p>
    <w:tbl>
      <w:tblPr>
        <w:tblStyle w:val="33"/>
        <w:tblW w:w="98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2151"/>
        <w:gridCol w:w="6960"/>
      </w:tblGrid>
      <w:tr w14:paraId="144FE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ign w:val="center"/>
          </w:tcPr>
          <w:p w14:paraId="100387B7">
            <w:pPr>
              <w:widowControl w:val="0"/>
              <w:spacing w:line="360" w:lineRule="auto"/>
              <w:jc w:val="center"/>
              <w:rPr>
                <w:rFonts w:ascii="宋体" w:hAnsi="宋体"/>
                <w:b/>
                <w:color w:val="auto"/>
                <w:highlight w:val="none"/>
                <w:lang w:eastAsia="zh-CN"/>
              </w:rPr>
            </w:pPr>
            <w:r>
              <w:rPr>
                <w:rFonts w:hint="eastAsia" w:ascii="宋体" w:hAnsi="宋体"/>
                <w:b/>
                <w:color w:val="auto"/>
                <w:highlight w:val="none"/>
                <w:lang w:eastAsia="zh-CN"/>
              </w:rPr>
              <w:t>序号</w:t>
            </w:r>
          </w:p>
        </w:tc>
        <w:tc>
          <w:tcPr>
            <w:tcW w:w="2151" w:type="dxa"/>
            <w:noWrap/>
            <w:vAlign w:val="center"/>
          </w:tcPr>
          <w:p w14:paraId="352A7401">
            <w:pPr>
              <w:widowControl w:val="0"/>
              <w:spacing w:line="360" w:lineRule="auto"/>
              <w:jc w:val="center"/>
              <w:rPr>
                <w:rFonts w:ascii="宋体" w:hAnsi="宋体"/>
                <w:b/>
                <w:color w:val="auto"/>
                <w:highlight w:val="none"/>
                <w:lang w:eastAsia="zh-CN"/>
              </w:rPr>
            </w:pPr>
            <w:r>
              <w:rPr>
                <w:rFonts w:hint="eastAsia" w:ascii="宋体" w:hAnsi="宋体"/>
                <w:b/>
                <w:color w:val="auto"/>
                <w:highlight w:val="none"/>
                <w:lang w:eastAsia="zh-CN"/>
              </w:rPr>
              <w:t>名称</w:t>
            </w:r>
          </w:p>
        </w:tc>
        <w:tc>
          <w:tcPr>
            <w:tcW w:w="6960" w:type="dxa"/>
            <w:noWrap/>
            <w:vAlign w:val="center"/>
          </w:tcPr>
          <w:p w14:paraId="51AB6713">
            <w:pPr>
              <w:widowControl w:val="0"/>
              <w:spacing w:line="360" w:lineRule="auto"/>
              <w:jc w:val="center"/>
              <w:rPr>
                <w:rFonts w:ascii="宋体" w:hAnsi="宋体"/>
                <w:b/>
                <w:color w:val="auto"/>
                <w:highlight w:val="none"/>
                <w:lang w:eastAsia="zh-CN"/>
              </w:rPr>
            </w:pPr>
            <w:r>
              <w:rPr>
                <w:rFonts w:hint="eastAsia" w:ascii="宋体" w:hAnsi="宋体"/>
                <w:b/>
                <w:color w:val="auto"/>
                <w:highlight w:val="none"/>
                <w:lang w:eastAsia="zh-CN"/>
              </w:rPr>
              <w:t>内容</w:t>
            </w:r>
          </w:p>
        </w:tc>
      </w:tr>
      <w:tr w14:paraId="5E753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ign w:val="center"/>
          </w:tcPr>
          <w:p w14:paraId="58EFF678">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1</w:t>
            </w:r>
          </w:p>
        </w:tc>
        <w:tc>
          <w:tcPr>
            <w:tcW w:w="2151" w:type="dxa"/>
            <w:noWrap/>
            <w:vAlign w:val="center"/>
          </w:tcPr>
          <w:p w14:paraId="79532CC2">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采购人</w:t>
            </w:r>
          </w:p>
        </w:tc>
        <w:tc>
          <w:tcPr>
            <w:tcW w:w="6960" w:type="dxa"/>
            <w:noWrap/>
            <w:vAlign w:val="top"/>
          </w:tcPr>
          <w:p w14:paraId="03CD4109">
            <w:pPr>
              <w:widowControl w:val="0"/>
              <w:spacing w:line="360" w:lineRule="auto"/>
              <w:rPr>
                <w:rFonts w:hint="eastAsia" w:ascii="宋体" w:hAnsi="宋体"/>
                <w:color w:val="auto"/>
                <w:highlight w:val="none"/>
                <w:lang w:eastAsia="zh-CN"/>
              </w:rPr>
            </w:pPr>
            <w:r>
              <w:rPr>
                <w:rFonts w:hint="eastAsia" w:ascii="宋体" w:hAnsi="宋体"/>
                <w:color w:val="auto"/>
                <w:highlight w:val="none"/>
                <w:lang w:eastAsia="zh-CN"/>
              </w:rPr>
              <w:t>名称：南京交通职业技术学院</w:t>
            </w:r>
          </w:p>
          <w:p w14:paraId="495E78C8">
            <w:pPr>
              <w:widowControl w:val="0"/>
              <w:spacing w:line="360" w:lineRule="auto"/>
              <w:rPr>
                <w:rFonts w:hint="eastAsia" w:ascii="宋体" w:hAnsi="宋体"/>
                <w:color w:val="auto"/>
                <w:highlight w:val="none"/>
                <w:lang w:eastAsia="zh-CN"/>
              </w:rPr>
            </w:pPr>
            <w:r>
              <w:rPr>
                <w:rFonts w:hint="eastAsia" w:ascii="宋体" w:hAnsi="宋体"/>
                <w:color w:val="auto"/>
                <w:highlight w:val="none"/>
                <w:lang w:eastAsia="zh-CN"/>
              </w:rPr>
              <w:t>地址：江宁科学园龙眠大道629号。</w:t>
            </w:r>
          </w:p>
          <w:p w14:paraId="53A67331">
            <w:pPr>
              <w:widowControl w:val="0"/>
              <w:spacing w:line="360" w:lineRule="auto"/>
              <w:rPr>
                <w:rFonts w:ascii="宋体" w:hAnsi="宋体"/>
                <w:color w:val="auto"/>
                <w:highlight w:val="none"/>
                <w:lang w:eastAsia="zh-CN"/>
              </w:rPr>
            </w:pPr>
            <w:r>
              <w:rPr>
                <w:rFonts w:hint="eastAsia" w:ascii="宋体" w:hAnsi="宋体"/>
                <w:color w:val="auto"/>
                <w:highlight w:val="none"/>
                <w:lang w:eastAsia="zh-CN"/>
              </w:rPr>
              <w:t>联系方式：环蓉025-86115701</w:t>
            </w:r>
          </w:p>
        </w:tc>
      </w:tr>
      <w:tr w14:paraId="5EEDD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ign w:val="center"/>
          </w:tcPr>
          <w:p w14:paraId="43D20376">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2</w:t>
            </w:r>
          </w:p>
        </w:tc>
        <w:tc>
          <w:tcPr>
            <w:tcW w:w="2151" w:type="dxa"/>
            <w:noWrap/>
            <w:vAlign w:val="center"/>
          </w:tcPr>
          <w:p w14:paraId="50E583CF">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采购代理机构</w:t>
            </w:r>
          </w:p>
        </w:tc>
        <w:tc>
          <w:tcPr>
            <w:tcW w:w="6960" w:type="dxa"/>
            <w:noWrap/>
            <w:vAlign w:val="center"/>
          </w:tcPr>
          <w:p w14:paraId="7D53E0B3">
            <w:pPr>
              <w:widowControl w:val="0"/>
              <w:spacing w:line="360" w:lineRule="auto"/>
              <w:rPr>
                <w:rFonts w:hint="eastAsia" w:ascii="宋体" w:hAnsi="宋体"/>
                <w:color w:val="auto"/>
                <w:highlight w:val="none"/>
                <w:lang w:eastAsia="zh-CN"/>
              </w:rPr>
            </w:pPr>
            <w:r>
              <w:rPr>
                <w:rFonts w:hint="eastAsia" w:ascii="宋体" w:hAnsi="宋体"/>
                <w:color w:val="auto"/>
                <w:highlight w:val="none"/>
                <w:lang w:eastAsia="zh-CN"/>
              </w:rPr>
              <w:t>名称：江苏润沐工程管理咨询有限公司</w:t>
            </w:r>
          </w:p>
          <w:p w14:paraId="51B7F894">
            <w:pPr>
              <w:widowControl w:val="0"/>
              <w:spacing w:line="360" w:lineRule="auto"/>
              <w:rPr>
                <w:rFonts w:hint="eastAsia" w:ascii="宋体" w:hAnsi="宋体"/>
                <w:color w:val="auto"/>
                <w:highlight w:val="none"/>
                <w:lang w:eastAsia="zh-CN"/>
              </w:rPr>
            </w:pPr>
            <w:r>
              <w:rPr>
                <w:rFonts w:hint="eastAsia" w:ascii="宋体" w:hAnsi="宋体"/>
                <w:color w:val="auto"/>
                <w:highlight w:val="none"/>
                <w:lang w:eastAsia="zh-CN"/>
              </w:rPr>
              <w:t>地址：南京市建邺区广聚路31号安科大厦B座1507室。</w:t>
            </w:r>
          </w:p>
          <w:p w14:paraId="5A39192C">
            <w:pPr>
              <w:widowControl w:val="0"/>
              <w:spacing w:line="360" w:lineRule="auto"/>
              <w:rPr>
                <w:rFonts w:hint="eastAsia" w:ascii="宋体" w:hAnsi="宋体"/>
                <w:color w:val="auto"/>
                <w:highlight w:val="none"/>
                <w:lang w:eastAsia="zh-CN"/>
              </w:rPr>
            </w:pPr>
            <w:r>
              <w:rPr>
                <w:rFonts w:hint="eastAsia" w:ascii="宋体" w:hAnsi="宋体"/>
                <w:color w:val="auto"/>
                <w:highlight w:val="none"/>
                <w:lang w:eastAsia="zh-CN"/>
              </w:rPr>
              <w:t>联系方式：尹素琴15152802224</w:t>
            </w:r>
          </w:p>
        </w:tc>
      </w:tr>
      <w:tr w14:paraId="5AAB2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ign w:val="center"/>
          </w:tcPr>
          <w:p w14:paraId="054D0F2C">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3</w:t>
            </w:r>
          </w:p>
        </w:tc>
        <w:tc>
          <w:tcPr>
            <w:tcW w:w="2151" w:type="dxa"/>
            <w:noWrap/>
            <w:vAlign w:val="center"/>
          </w:tcPr>
          <w:p w14:paraId="0EAC51E4">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采购项目名称</w:t>
            </w:r>
          </w:p>
        </w:tc>
        <w:tc>
          <w:tcPr>
            <w:tcW w:w="6960" w:type="dxa"/>
            <w:noWrap/>
            <w:vAlign w:val="center"/>
          </w:tcPr>
          <w:p w14:paraId="1ECFF237">
            <w:pPr>
              <w:widowControl w:val="0"/>
              <w:spacing w:line="360" w:lineRule="auto"/>
              <w:jc w:val="both"/>
              <w:rPr>
                <w:rFonts w:ascii="宋体" w:hAnsi="宋体"/>
                <w:color w:val="auto"/>
                <w:highlight w:val="none"/>
                <w:lang w:eastAsia="zh-CN"/>
              </w:rPr>
            </w:pPr>
            <w:r>
              <w:rPr>
                <w:rFonts w:hint="eastAsia" w:ascii="宋体" w:hAnsi="宋体" w:cs="宋体"/>
                <w:color w:val="auto"/>
                <w:highlight w:val="none"/>
                <w:lang w:eastAsia="zh-CN"/>
              </w:rPr>
              <w:t>2026年修远楼改造出新工程</w:t>
            </w:r>
          </w:p>
        </w:tc>
      </w:tr>
      <w:tr w14:paraId="45725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ign w:val="center"/>
          </w:tcPr>
          <w:p w14:paraId="6FA79D1D">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4</w:t>
            </w:r>
          </w:p>
        </w:tc>
        <w:tc>
          <w:tcPr>
            <w:tcW w:w="2151" w:type="dxa"/>
            <w:noWrap/>
            <w:vAlign w:val="center"/>
          </w:tcPr>
          <w:p w14:paraId="1CCEA6B4">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项目实施地点</w:t>
            </w:r>
          </w:p>
        </w:tc>
        <w:tc>
          <w:tcPr>
            <w:tcW w:w="6960" w:type="dxa"/>
            <w:noWrap/>
            <w:vAlign w:val="center"/>
          </w:tcPr>
          <w:p w14:paraId="4CC6F279">
            <w:pPr>
              <w:widowControl w:val="0"/>
              <w:spacing w:line="360" w:lineRule="auto"/>
              <w:jc w:val="both"/>
              <w:rPr>
                <w:rFonts w:ascii="宋体" w:hAnsi="宋体"/>
                <w:b/>
                <w:color w:val="auto"/>
                <w:highlight w:val="none"/>
                <w:lang w:eastAsia="zh-CN"/>
              </w:rPr>
            </w:pPr>
            <w:r>
              <w:rPr>
                <w:rFonts w:hint="eastAsia" w:ascii="宋体" w:hAnsi="宋体"/>
                <w:color w:val="auto"/>
                <w:highlight w:val="none"/>
                <w:lang w:eastAsia="zh-CN"/>
              </w:rPr>
              <w:t>南京交通职业技术学院</w:t>
            </w:r>
          </w:p>
        </w:tc>
      </w:tr>
      <w:tr w14:paraId="39183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ign w:val="center"/>
          </w:tcPr>
          <w:p w14:paraId="03EBD10C">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5</w:t>
            </w:r>
          </w:p>
        </w:tc>
        <w:tc>
          <w:tcPr>
            <w:tcW w:w="2151" w:type="dxa"/>
            <w:noWrap/>
            <w:vAlign w:val="center"/>
          </w:tcPr>
          <w:p w14:paraId="6B3C1C3B">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资金来源</w:t>
            </w:r>
          </w:p>
        </w:tc>
        <w:tc>
          <w:tcPr>
            <w:tcW w:w="6960" w:type="dxa"/>
            <w:noWrap/>
            <w:vAlign w:val="center"/>
          </w:tcPr>
          <w:p w14:paraId="3B57F008">
            <w:pPr>
              <w:widowControl w:val="0"/>
              <w:spacing w:line="360" w:lineRule="auto"/>
              <w:jc w:val="both"/>
              <w:rPr>
                <w:rFonts w:ascii="宋体" w:hAnsi="宋体"/>
                <w:color w:val="auto"/>
                <w:highlight w:val="none"/>
                <w:lang w:eastAsia="zh-CN"/>
              </w:rPr>
            </w:pPr>
            <w:r>
              <w:rPr>
                <w:rFonts w:hint="eastAsia" w:ascii="宋体" w:hAnsi="宋体"/>
                <w:color w:val="auto"/>
                <w:highlight w:val="none"/>
                <w:lang w:eastAsia="zh-CN"/>
              </w:rPr>
              <w:t>财政资金</w:t>
            </w:r>
          </w:p>
        </w:tc>
      </w:tr>
      <w:tr w14:paraId="13636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ign w:val="center"/>
          </w:tcPr>
          <w:p w14:paraId="34895421">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6</w:t>
            </w:r>
          </w:p>
        </w:tc>
        <w:tc>
          <w:tcPr>
            <w:tcW w:w="2151" w:type="dxa"/>
            <w:noWrap/>
            <w:vAlign w:val="center"/>
          </w:tcPr>
          <w:p w14:paraId="2E5194BB">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评审方法</w:t>
            </w:r>
          </w:p>
        </w:tc>
        <w:tc>
          <w:tcPr>
            <w:tcW w:w="6960" w:type="dxa"/>
            <w:noWrap/>
            <w:vAlign w:val="center"/>
          </w:tcPr>
          <w:p w14:paraId="72466FB0">
            <w:pPr>
              <w:widowControl w:val="0"/>
              <w:spacing w:line="360" w:lineRule="auto"/>
              <w:jc w:val="both"/>
              <w:rPr>
                <w:rFonts w:ascii="宋体" w:hAnsi="宋体"/>
                <w:color w:val="auto"/>
                <w:highlight w:val="none"/>
                <w:lang w:eastAsia="zh-CN"/>
              </w:rPr>
            </w:pPr>
            <w:r>
              <w:rPr>
                <w:rFonts w:hint="eastAsia" w:ascii="宋体" w:hAnsi="宋体"/>
                <w:color w:val="auto"/>
                <w:highlight w:val="none"/>
                <w:lang w:eastAsia="zh-CN"/>
              </w:rPr>
              <w:t>综合评分法</w:t>
            </w:r>
          </w:p>
        </w:tc>
      </w:tr>
      <w:tr w14:paraId="1B58B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ign w:val="center"/>
          </w:tcPr>
          <w:p w14:paraId="3B303BFF">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7</w:t>
            </w:r>
          </w:p>
        </w:tc>
        <w:tc>
          <w:tcPr>
            <w:tcW w:w="2151" w:type="dxa"/>
            <w:noWrap/>
            <w:vAlign w:val="center"/>
          </w:tcPr>
          <w:p w14:paraId="30047304">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投标有效期</w:t>
            </w:r>
          </w:p>
        </w:tc>
        <w:tc>
          <w:tcPr>
            <w:tcW w:w="6960" w:type="dxa"/>
            <w:noWrap/>
            <w:vAlign w:val="center"/>
          </w:tcPr>
          <w:p w14:paraId="40AAB2A3">
            <w:pPr>
              <w:widowControl w:val="0"/>
              <w:spacing w:line="360" w:lineRule="auto"/>
              <w:jc w:val="both"/>
              <w:rPr>
                <w:rFonts w:ascii="宋体" w:hAnsi="宋体"/>
                <w:color w:val="auto"/>
                <w:highlight w:val="none"/>
                <w:lang w:eastAsia="zh-CN"/>
              </w:rPr>
            </w:pPr>
            <w:r>
              <w:rPr>
                <w:rFonts w:hint="eastAsia" w:ascii="宋体" w:hAnsi="宋体"/>
                <w:color w:val="auto"/>
                <w:highlight w:val="none"/>
                <w:lang w:eastAsia="zh-CN"/>
              </w:rPr>
              <w:t>提交投标文件截止之日起90日</w:t>
            </w:r>
          </w:p>
        </w:tc>
      </w:tr>
      <w:tr w14:paraId="72673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ign w:val="center"/>
          </w:tcPr>
          <w:p w14:paraId="4A8E550D">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8</w:t>
            </w:r>
          </w:p>
        </w:tc>
        <w:tc>
          <w:tcPr>
            <w:tcW w:w="2151" w:type="dxa"/>
            <w:noWrap/>
            <w:vAlign w:val="center"/>
          </w:tcPr>
          <w:p w14:paraId="1030089B">
            <w:pPr>
              <w:widowControl w:val="0"/>
              <w:spacing w:line="360" w:lineRule="auto"/>
              <w:jc w:val="center"/>
              <w:rPr>
                <w:rFonts w:ascii="宋体" w:hAnsi="宋体"/>
                <w:color w:val="auto"/>
                <w:highlight w:val="none"/>
                <w:lang w:eastAsia="zh-CN"/>
              </w:rPr>
            </w:pPr>
            <w:r>
              <w:rPr>
                <w:rFonts w:ascii="宋体" w:hAnsi="宋体"/>
                <w:color w:val="auto"/>
                <w:highlight w:val="none"/>
                <w:lang w:eastAsia="zh-CN"/>
              </w:rPr>
              <w:t>合同履行期限</w:t>
            </w:r>
          </w:p>
        </w:tc>
        <w:tc>
          <w:tcPr>
            <w:tcW w:w="6960" w:type="dxa"/>
            <w:noWrap/>
            <w:vAlign w:val="center"/>
          </w:tcPr>
          <w:p w14:paraId="4F4B2C64">
            <w:pPr>
              <w:widowControl w:val="0"/>
              <w:spacing w:line="360" w:lineRule="auto"/>
              <w:jc w:val="both"/>
              <w:rPr>
                <w:rFonts w:ascii="宋体" w:hAnsi="宋体"/>
                <w:color w:val="auto"/>
                <w:highlight w:val="none"/>
                <w:lang w:eastAsia="zh-CN"/>
              </w:rPr>
            </w:pPr>
            <w:r>
              <w:rPr>
                <w:rFonts w:hint="eastAsia" w:cs="宋体" w:asciiTheme="minorEastAsia" w:hAnsiTheme="minorEastAsia"/>
                <w:color w:val="auto"/>
                <w:szCs w:val="21"/>
                <w:highlight w:val="none"/>
              </w:rPr>
              <w:t>35个日历天。开工日期以采购人书面通知为准。</w:t>
            </w:r>
          </w:p>
        </w:tc>
      </w:tr>
      <w:tr w14:paraId="54D96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ign w:val="center"/>
          </w:tcPr>
          <w:p w14:paraId="0820FE51">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9</w:t>
            </w:r>
          </w:p>
        </w:tc>
        <w:tc>
          <w:tcPr>
            <w:tcW w:w="2151" w:type="dxa"/>
            <w:noWrap/>
            <w:vAlign w:val="center"/>
          </w:tcPr>
          <w:p w14:paraId="5F268849">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供应商（在招标文件中也称投标人）</w:t>
            </w:r>
          </w:p>
        </w:tc>
        <w:tc>
          <w:tcPr>
            <w:tcW w:w="6960" w:type="dxa"/>
            <w:noWrap/>
            <w:vAlign w:val="center"/>
          </w:tcPr>
          <w:p w14:paraId="5BB58200">
            <w:pPr>
              <w:widowControl w:val="0"/>
              <w:spacing w:line="360" w:lineRule="auto"/>
              <w:jc w:val="both"/>
              <w:rPr>
                <w:rFonts w:hint="default" w:ascii="宋体" w:hAnsi="宋体"/>
                <w:color w:val="auto"/>
                <w:highlight w:val="none"/>
                <w:lang w:val="en-US" w:eastAsia="zh-CN"/>
              </w:rPr>
            </w:pPr>
            <w:r>
              <w:rPr>
                <w:rFonts w:hint="eastAsia" w:ascii="宋体" w:hAnsi="宋体"/>
                <w:color w:val="auto"/>
                <w:highlight w:val="none"/>
                <w:lang w:eastAsia="zh-CN"/>
              </w:rPr>
              <w:t>响应招标、参加投标竞争的法人或其他组织（本项目不接受联合体投标）</w:t>
            </w:r>
            <w:r>
              <w:rPr>
                <w:rFonts w:hint="eastAsia" w:ascii="宋体" w:hAnsi="宋体"/>
                <w:color w:val="auto"/>
                <w:highlight w:val="none"/>
                <w:lang w:val="en-US" w:eastAsia="zh-CN"/>
              </w:rPr>
              <w:t xml:space="preserve"> </w:t>
            </w:r>
          </w:p>
        </w:tc>
      </w:tr>
      <w:tr w14:paraId="06BE6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ign w:val="center"/>
          </w:tcPr>
          <w:p w14:paraId="5728DC7F">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10</w:t>
            </w:r>
          </w:p>
        </w:tc>
        <w:tc>
          <w:tcPr>
            <w:tcW w:w="2151" w:type="dxa"/>
            <w:noWrap/>
            <w:vAlign w:val="center"/>
          </w:tcPr>
          <w:p w14:paraId="030EF5CE">
            <w:pPr>
              <w:widowControl w:val="0"/>
              <w:spacing w:line="360" w:lineRule="auto"/>
              <w:jc w:val="center"/>
              <w:rPr>
                <w:rFonts w:hint="eastAsia" w:ascii="宋体" w:hAnsi="宋体"/>
                <w:color w:val="auto"/>
                <w:highlight w:val="none"/>
                <w:lang w:eastAsia="zh-CN"/>
              </w:rPr>
            </w:pPr>
            <w:r>
              <w:rPr>
                <w:rFonts w:hint="eastAsia" w:ascii="宋体" w:hAnsi="宋体"/>
                <w:color w:val="auto"/>
                <w:highlight w:val="none"/>
                <w:lang w:eastAsia="zh-CN"/>
              </w:rPr>
              <w:t>投标货币</w:t>
            </w:r>
          </w:p>
        </w:tc>
        <w:tc>
          <w:tcPr>
            <w:tcW w:w="6960" w:type="dxa"/>
            <w:noWrap/>
            <w:vAlign w:val="center"/>
          </w:tcPr>
          <w:p w14:paraId="1247EC7D">
            <w:pPr>
              <w:widowControl w:val="0"/>
              <w:spacing w:line="360" w:lineRule="auto"/>
              <w:jc w:val="both"/>
              <w:rPr>
                <w:rFonts w:ascii="宋体" w:hAnsi="宋体"/>
                <w:color w:val="auto"/>
                <w:highlight w:val="none"/>
                <w:lang w:eastAsia="zh-CN"/>
              </w:rPr>
            </w:pPr>
            <w:r>
              <w:rPr>
                <w:rFonts w:hint="eastAsia" w:ascii="宋体" w:hAnsi="宋体"/>
                <w:color w:val="auto"/>
                <w:highlight w:val="none"/>
                <w:lang w:eastAsia="zh-CN"/>
              </w:rPr>
              <w:t>人民币</w:t>
            </w:r>
          </w:p>
        </w:tc>
      </w:tr>
      <w:tr w14:paraId="5DC9A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ign w:val="center"/>
          </w:tcPr>
          <w:p w14:paraId="24053E68">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11</w:t>
            </w:r>
          </w:p>
        </w:tc>
        <w:tc>
          <w:tcPr>
            <w:tcW w:w="2151" w:type="dxa"/>
            <w:noWrap/>
            <w:vAlign w:val="center"/>
          </w:tcPr>
          <w:p w14:paraId="56ADA9A6">
            <w:pPr>
              <w:widowControl w:val="0"/>
              <w:spacing w:line="360" w:lineRule="auto"/>
              <w:jc w:val="center"/>
              <w:rPr>
                <w:rFonts w:hint="eastAsia" w:ascii="宋体" w:hAnsi="宋体"/>
                <w:color w:val="auto"/>
                <w:highlight w:val="none"/>
                <w:lang w:eastAsia="zh-CN"/>
              </w:rPr>
            </w:pPr>
            <w:r>
              <w:rPr>
                <w:rFonts w:hint="eastAsia" w:ascii="宋体" w:hAnsi="宋体"/>
                <w:color w:val="auto"/>
                <w:highlight w:val="none"/>
                <w:lang w:eastAsia="zh-CN"/>
              </w:rPr>
              <w:t>采购标的对应的中小企业划分标准所属行业</w:t>
            </w:r>
          </w:p>
        </w:tc>
        <w:tc>
          <w:tcPr>
            <w:tcW w:w="6960" w:type="dxa"/>
            <w:noWrap/>
            <w:vAlign w:val="center"/>
          </w:tcPr>
          <w:p w14:paraId="68C65E30">
            <w:pPr>
              <w:widowControl w:val="0"/>
              <w:spacing w:line="360" w:lineRule="auto"/>
              <w:jc w:val="both"/>
              <w:rPr>
                <w:rFonts w:ascii="宋体" w:hAnsi="宋体"/>
                <w:color w:val="auto"/>
                <w:highlight w:val="none"/>
                <w:lang w:eastAsia="zh-CN"/>
              </w:rPr>
            </w:pPr>
            <w:r>
              <w:rPr>
                <w:rFonts w:hint="eastAsia" w:ascii="宋体" w:hAnsi="宋体"/>
                <w:color w:val="auto"/>
                <w:highlight w:val="none"/>
                <w:lang w:eastAsia="zh-CN"/>
              </w:rPr>
              <w:t>建筑业</w:t>
            </w:r>
          </w:p>
        </w:tc>
      </w:tr>
      <w:tr w14:paraId="6E876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ign w:val="center"/>
          </w:tcPr>
          <w:p w14:paraId="0D45126A">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12</w:t>
            </w:r>
          </w:p>
        </w:tc>
        <w:tc>
          <w:tcPr>
            <w:tcW w:w="2151" w:type="dxa"/>
            <w:noWrap/>
            <w:vAlign w:val="center"/>
          </w:tcPr>
          <w:p w14:paraId="7A66E6AA">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是否划分标包</w:t>
            </w:r>
          </w:p>
        </w:tc>
        <w:tc>
          <w:tcPr>
            <w:tcW w:w="6960" w:type="dxa"/>
            <w:noWrap/>
            <w:vAlign w:val="center"/>
          </w:tcPr>
          <w:p w14:paraId="045C3644">
            <w:pPr>
              <w:widowControl w:val="0"/>
              <w:spacing w:line="360" w:lineRule="auto"/>
              <w:rPr>
                <w:rFonts w:hint="eastAsia" w:ascii="宋体" w:hAnsi="宋体"/>
                <w:color w:val="auto"/>
                <w:highlight w:val="none"/>
                <w:lang w:eastAsia="zh-CN"/>
              </w:rPr>
            </w:pPr>
            <w:r>
              <w:rPr>
                <w:rFonts w:hint="eastAsia" w:ascii="宋体" w:hAnsi="宋体"/>
                <w:bCs/>
                <w:color w:val="auto"/>
                <w:highlight w:val="none"/>
                <w:lang w:eastAsia="zh-CN"/>
              </w:rPr>
              <w:t>否</w:t>
            </w:r>
          </w:p>
        </w:tc>
      </w:tr>
      <w:tr w14:paraId="39B60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ign w:val="center"/>
          </w:tcPr>
          <w:p w14:paraId="0791DB09">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13</w:t>
            </w:r>
          </w:p>
        </w:tc>
        <w:tc>
          <w:tcPr>
            <w:tcW w:w="2151" w:type="dxa"/>
            <w:noWrap/>
            <w:vAlign w:val="center"/>
          </w:tcPr>
          <w:p w14:paraId="3666A053">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最高限价</w:t>
            </w:r>
          </w:p>
        </w:tc>
        <w:tc>
          <w:tcPr>
            <w:tcW w:w="6960" w:type="dxa"/>
            <w:noWrap/>
            <w:vAlign w:val="center"/>
          </w:tcPr>
          <w:p w14:paraId="3FEC2E28">
            <w:pPr>
              <w:widowControl w:val="0"/>
              <w:spacing w:line="360" w:lineRule="auto"/>
              <w:rPr>
                <w:rFonts w:hint="eastAsia" w:ascii="宋体" w:hAnsi="宋体"/>
                <w:b/>
                <w:color w:val="auto"/>
                <w:highlight w:val="none"/>
                <w:lang w:eastAsia="zh-CN"/>
              </w:rPr>
            </w:pPr>
            <w:r>
              <w:rPr>
                <w:rFonts w:hint="eastAsia" w:ascii="宋体" w:hAnsi="宋体"/>
                <w:bCs/>
                <w:color w:val="auto"/>
                <w:highlight w:val="none"/>
                <w:lang w:eastAsia="zh-CN"/>
              </w:rPr>
              <w:t>1499955.43元，投标报价超过最高限价的为无效投标。</w:t>
            </w:r>
          </w:p>
        </w:tc>
      </w:tr>
      <w:tr w14:paraId="216FC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ign w:val="center"/>
          </w:tcPr>
          <w:p w14:paraId="0F046C6F">
            <w:pPr>
              <w:widowControl w:val="0"/>
              <w:spacing w:line="360" w:lineRule="auto"/>
              <w:jc w:val="center"/>
              <w:rPr>
                <w:rFonts w:ascii="宋体" w:hAnsi="宋体"/>
                <w:color w:val="auto"/>
                <w:highlight w:val="none"/>
                <w:lang w:eastAsia="zh-CN"/>
              </w:rPr>
            </w:pPr>
            <w:r>
              <w:rPr>
                <w:rFonts w:hint="eastAsia" w:ascii="宋体" w:hAnsi="宋体"/>
                <w:color w:val="auto"/>
                <w:highlight w:val="none"/>
                <w:lang w:eastAsia="zh-CN"/>
              </w:rPr>
              <w:t>15</w:t>
            </w:r>
          </w:p>
        </w:tc>
        <w:tc>
          <w:tcPr>
            <w:tcW w:w="2151" w:type="dxa"/>
            <w:noWrap/>
            <w:vAlign w:val="center"/>
          </w:tcPr>
          <w:p w14:paraId="158FE98D">
            <w:pPr>
              <w:widowControl w:val="0"/>
              <w:spacing w:line="360" w:lineRule="auto"/>
              <w:jc w:val="center"/>
              <w:rPr>
                <w:rFonts w:hint="eastAsia" w:ascii="宋体" w:hAnsi="宋体"/>
                <w:color w:val="auto"/>
                <w:highlight w:val="none"/>
                <w:lang w:eastAsia="zh-CN"/>
              </w:rPr>
            </w:pPr>
            <w:r>
              <w:rPr>
                <w:rFonts w:hint="eastAsia" w:ascii="宋体" w:hAnsi="宋体"/>
                <w:color w:val="auto"/>
                <w:highlight w:val="none"/>
                <w:lang w:eastAsia="zh-CN"/>
              </w:rPr>
              <w:t>盖章要求</w:t>
            </w:r>
          </w:p>
        </w:tc>
        <w:tc>
          <w:tcPr>
            <w:tcW w:w="6960" w:type="dxa"/>
            <w:noWrap/>
            <w:vAlign w:val="center"/>
          </w:tcPr>
          <w:p w14:paraId="3535F6B1">
            <w:pPr>
              <w:widowControl w:val="0"/>
              <w:spacing w:line="360" w:lineRule="auto"/>
              <w:jc w:val="both"/>
              <w:rPr>
                <w:rFonts w:hint="eastAsia" w:ascii="宋体" w:hAnsi="宋体"/>
                <w:color w:val="auto"/>
                <w:highlight w:val="none"/>
                <w:lang w:eastAsia="zh-CN"/>
              </w:rPr>
            </w:pPr>
            <w:r>
              <w:rPr>
                <w:rFonts w:hint="eastAsia" w:ascii="宋体" w:hAnsi="宋体"/>
                <w:color w:val="auto"/>
                <w:highlight w:val="none"/>
                <w:lang w:eastAsia="zh-CN"/>
              </w:rPr>
              <w:t>供应商电子投标文件中加盖的公章仅能使用与供应商名称一致的标准公章，不得使用其他形式（如带有“专用章”、“合同章”、“财务章”、“业务章”等字样）的印章；否则，按无效投标处理。</w:t>
            </w:r>
          </w:p>
        </w:tc>
      </w:tr>
      <w:tr w14:paraId="7470B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ign w:val="center"/>
          </w:tcPr>
          <w:p w14:paraId="09012001">
            <w:pPr>
              <w:widowControl w:val="0"/>
              <w:spacing w:line="360" w:lineRule="auto"/>
              <w:jc w:val="center"/>
              <w:rPr>
                <w:rFonts w:hint="eastAsia" w:ascii="宋体" w:hAnsi="宋体"/>
                <w:color w:val="auto"/>
                <w:highlight w:val="none"/>
                <w:lang w:eastAsia="zh-CN"/>
              </w:rPr>
            </w:pPr>
            <w:r>
              <w:rPr>
                <w:rFonts w:hint="eastAsia" w:ascii="宋体" w:hAnsi="宋体"/>
                <w:color w:val="auto"/>
                <w:highlight w:val="none"/>
                <w:lang w:eastAsia="zh-CN"/>
              </w:rPr>
              <w:t>16</w:t>
            </w:r>
          </w:p>
        </w:tc>
        <w:tc>
          <w:tcPr>
            <w:tcW w:w="2151" w:type="dxa"/>
            <w:noWrap/>
            <w:vAlign w:val="center"/>
          </w:tcPr>
          <w:p w14:paraId="35AC5B38">
            <w:pPr>
              <w:widowControl w:val="0"/>
              <w:spacing w:line="360" w:lineRule="auto"/>
              <w:jc w:val="center"/>
              <w:rPr>
                <w:rFonts w:hint="eastAsia" w:ascii="宋体" w:hAnsi="宋体"/>
                <w:b/>
                <w:bCs/>
                <w:color w:val="auto"/>
                <w:highlight w:val="none"/>
                <w:lang w:eastAsia="zh-CN"/>
              </w:rPr>
            </w:pPr>
            <w:r>
              <w:rPr>
                <w:rFonts w:hint="eastAsia" w:ascii="宋体" w:hAnsi="宋体"/>
                <w:b/>
                <w:bCs/>
                <w:color w:val="auto"/>
                <w:highlight w:val="none"/>
                <w:lang w:eastAsia="zh-CN"/>
              </w:rPr>
              <w:t>友情提醒</w:t>
            </w:r>
          </w:p>
        </w:tc>
        <w:tc>
          <w:tcPr>
            <w:tcW w:w="6960" w:type="dxa"/>
            <w:noWrap/>
            <w:vAlign w:val="center"/>
          </w:tcPr>
          <w:p w14:paraId="74AC2E1F">
            <w:pPr>
              <w:spacing w:line="360" w:lineRule="auto"/>
              <w:rPr>
                <w:rFonts w:hint="eastAsia"/>
                <w:b/>
                <w:color w:val="auto"/>
                <w:highlight w:val="none"/>
                <w:lang w:eastAsia="zh-CN"/>
              </w:rPr>
            </w:pPr>
            <w:r>
              <w:rPr>
                <w:rFonts w:hint="eastAsia"/>
                <w:b/>
                <w:color w:val="auto"/>
                <w:highlight w:val="none"/>
                <w:lang w:eastAsia="zh-CN"/>
              </w:rPr>
              <w:t>1</w:t>
            </w:r>
            <w:r>
              <w:rPr>
                <w:rFonts w:hint="eastAsia" w:ascii="宋体" w:hAnsi="宋体" w:cs="宋体"/>
                <w:b/>
                <w:color w:val="auto"/>
                <w:highlight w:val="none"/>
                <w:lang w:eastAsia="zh-CN"/>
              </w:rPr>
              <w:t>、根据苏建函建管〔</w:t>
            </w:r>
            <w:r>
              <w:rPr>
                <w:rFonts w:hint="eastAsia"/>
                <w:b/>
                <w:color w:val="auto"/>
                <w:highlight w:val="none"/>
                <w:lang w:eastAsia="zh-CN"/>
              </w:rPr>
              <w:t>2019</w:t>
            </w:r>
            <w:r>
              <w:rPr>
                <w:rFonts w:hint="eastAsia" w:ascii="Cambria Math" w:hAnsi="Cambria Math" w:eastAsia="Cambria Math" w:cs="Cambria Math"/>
                <w:b/>
                <w:color w:val="auto"/>
                <w:highlight w:val="none"/>
                <w:lang w:eastAsia="zh-CN"/>
              </w:rPr>
              <w:t>〕</w:t>
            </w:r>
            <w:r>
              <w:rPr>
                <w:rFonts w:hint="eastAsia"/>
                <w:b/>
                <w:color w:val="auto"/>
                <w:highlight w:val="none"/>
                <w:lang w:eastAsia="zh-CN"/>
              </w:rPr>
              <w:t>393</w:t>
            </w:r>
            <w:r>
              <w:rPr>
                <w:rFonts w:hint="eastAsia" w:ascii="宋体" w:hAnsi="宋体" w:cs="宋体"/>
                <w:b/>
                <w:color w:val="auto"/>
                <w:highlight w:val="none"/>
                <w:lang w:eastAsia="zh-CN"/>
              </w:rPr>
              <w:t>号文及建办市〔</w:t>
            </w:r>
            <w:r>
              <w:rPr>
                <w:rFonts w:hint="eastAsia"/>
                <w:b/>
                <w:color w:val="auto"/>
                <w:highlight w:val="none"/>
                <w:lang w:eastAsia="zh-CN"/>
              </w:rPr>
              <w:t>2019</w:t>
            </w:r>
            <w:r>
              <w:rPr>
                <w:rFonts w:hint="eastAsia" w:ascii="Cambria Math" w:hAnsi="Cambria Math" w:eastAsia="Cambria Math" w:cs="Cambria Math"/>
                <w:b/>
                <w:color w:val="auto"/>
                <w:highlight w:val="none"/>
                <w:lang w:eastAsia="zh-CN"/>
              </w:rPr>
              <w:t>〕</w:t>
            </w:r>
            <w:r>
              <w:rPr>
                <w:rFonts w:hint="eastAsia"/>
                <w:b/>
                <w:color w:val="auto"/>
                <w:highlight w:val="none"/>
                <w:lang w:eastAsia="zh-CN"/>
              </w:rPr>
              <w:t>50</w:t>
            </w:r>
            <w:r>
              <w:rPr>
                <w:rFonts w:hint="eastAsia" w:ascii="宋体" w:hAnsi="宋体" w:cs="宋体"/>
                <w:b/>
                <w:color w:val="auto"/>
                <w:highlight w:val="none"/>
                <w:lang w:eastAsia="zh-CN"/>
              </w:rPr>
              <w:t>号文规定，已取消一级、二级临时建造师执业证书，因此本项目不接受持临时建造师执业资格的项目负责人投标。</w:t>
            </w:r>
          </w:p>
          <w:p w14:paraId="24886A5A">
            <w:pPr>
              <w:pStyle w:val="226"/>
              <w:ind w:firstLine="0"/>
              <w:rPr>
                <w:rFonts w:hint="eastAsia" w:hAnsi="宋体"/>
                <w:b/>
                <w:color w:val="auto"/>
                <w:highlight w:val="none"/>
                <w:lang w:eastAsia="zh-CN"/>
              </w:rPr>
            </w:pPr>
            <w:r>
              <w:rPr>
                <w:rFonts w:hint="eastAsia" w:ascii="Times New Roman"/>
                <w:b/>
                <w:color w:val="auto"/>
                <w:highlight w:val="none"/>
                <w:lang w:eastAsia="zh-CN"/>
              </w:rPr>
              <w:t>2</w:t>
            </w:r>
            <w:r>
              <w:rPr>
                <w:rFonts w:hint="eastAsia" w:hAnsi="宋体" w:cs="宋体"/>
                <w:b/>
                <w:color w:val="auto"/>
                <w:highlight w:val="none"/>
                <w:lang w:eastAsia="zh-CN"/>
              </w:rPr>
              <w:t>、根据住房和城乡建设部办公厅关于全面实行一级建造师电子注册证书的通知（建办市〔</w:t>
            </w:r>
            <w:r>
              <w:rPr>
                <w:rFonts w:hint="eastAsia" w:ascii="Times New Roman"/>
                <w:b/>
                <w:color w:val="auto"/>
                <w:highlight w:val="none"/>
                <w:lang w:eastAsia="zh-CN"/>
              </w:rPr>
              <w:t>2021</w:t>
            </w:r>
            <w:r>
              <w:rPr>
                <w:rFonts w:hint="eastAsia" w:ascii="Cambria Math" w:hAnsi="Cambria Math" w:eastAsia="Cambria Math" w:cs="Cambria Math"/>
                <w:b/>
                <w:color w:val="auto"/>
                <w:highlight w:val="none"/>
                <w:lang w:eastAsia="zh-CN"/>
              </w:rPr>
              <w:t>〕</w:t>
            </w:r>
            <w:r>
              <w:rPr>
                <w:rFonts w:hint="eastAsia" w:ascii="Times New Roman"/>
                <w:b/>
                <w:color w:val="auto"/>
                <w:highlight w:val="none"/>
                <w:lang w:eastAsia="zh-CN"/>
              </w:rPr>
              <w:t>40</w:t>
            </w:r>
            <w:r>
              <w:rPr>
                <w:rFonts w:hint="eastAsia" w:hAnsi="宋体" w:cs="宋体"/>
                <w:b/>
                <w:color w:val="auto"/>
                <w:highlight w:val="none"/>
                <w:lang w:eastAsia="zh-CN"/>
              </w:rPr>
              <w:t>号）要求，自</w:t>
            </w:r>
            <w:r>
              <w:rPr>
                <w:rFonts w:hint="eastAsia" w:ascii="Times New Roman"/>
                <w:b/>
                <w:color w:val="auto"/>
                <w:highlight w:val="none"/>
                <w:lang w:eastAsia="zh-CN"/>
              </w:rPr>
              <w:t>2022</w:t>
            </w:r>
            <w:r>
              <w:rPr>
                <w:rFonts w:hint="eastAsia" w:hAnsi="宋体" w:cs="宋体"/>
                <w:b/>
                <w:color w:val="auto"/>
                <w:highlight w:val="none"/>
                <w:lang w:eastAsia="zh-CN"/>
              </w:rPr>
              <w:t>年</w:t>
            </w:r>
            <w:r>
              <w:rPr>
                <w:rFonts w:hint="eastAsia" w:ascii="Times New Roman"/>
                <w:b/>
                <w:color w:val="auto"/>
                <w:highlight w:val="none"/>
                <w:lang w:eastAsia="zh-CN"/>
              </w:rPr>
              <w:t>10</w:t>
            </w:r>
            <w:r>
              <w:rPr>
                <w:rFonts w:hint="eastAsia" w:hAnsi="宋体" w:cs="宋体"/>
                <w:b/>
                <w:color w:val="auto"/>
                <w:highlight w:val="none"/>
                <w:lang w:eastAsia="zh-CN"/>
              </w:rPr>
              <w:t>月</w:t>
            </w:r>
            <w:r>
              <w:rPr>
                <w:rFonts w:hint="eastAsia" w:ascii="Times New Roman"/>
                <w:b/>
                <w:color w:val="auto"/>
                <w:highlight w:val="none"/>
                <w:lang w:eastAsia="zh-CN"/>
              </w:rPr>
              <w:t>15</w:t>
            </w:r>
            <w:r>
              <w:rPr>
                <w:rFonts w:hint="eastAsia" w:hAnsi="宋体" w:cs="宋体"/>
                <w:b/>
                <w:color w:val="auto"/>
                <w:highlight w:val="none"/>
                <w:lang w:eastAsia="zh-CN"/>
              </w:rPr>
              <w:t>日起，在全国范围内实行一级建造师电子证书，电子证书式样按照《全国一体化在线政务服务平台电子证照一级建造师注册证书》标准执行。自</w:t>
            </w:r>
            <w:r>
              <w:rPr>
                <w:rFonts w:hint="eastAsia" w:ascii="Times New Roman"/>
                <w:b/>
                <w:color w:val="auto"/>
                <w:highlight w:val="none"/>
                <w:lang w:eastAsia="zh-CN"/>
              </w:rPr>
              <w:t>2022</w:t>
            </w:r>
            <w:r>
              <w:rPr>
                <w:rFonts w:hint="eastAsia" w:hAnsi="宋体" w:cs="宋体"/>
                <w:b/>
                <w:color w:val="auto"/>
                <w:highlight w:val="none"/>
                <w:lang w:eastAsia="zh-CN"/>
              </w:rPr>
              <w:t>年</w:t>
            </w:r>
            <w:r>
              <w:rPr>
                <w:rFonts w:hint="eastAsia" w:ascii="Times New Roman"/>
                <w:b/>
                <w:color w:val="auto"/>
                <w:highlight w:val="none"/>
                <w:lang w:eastAsia="zh-CN"/>
              </w:rPr>
              <w:t>1</w:t>
            </w:r>
            <w:r>
              <w:rPr>
                <w:rFonts w:hint="eastAsia" w:hAnsi="宋体" w:cs="宋体"/>
                <w:b/>
                <w:color w:val="auto"/>
                <w:highlight w:val="none"/>
                <w:lang w:eastAsia="zh-CN"/>
              </w:rPr>
              <w:t>月</w:t>
            </w:r>
            <w:r>
              <w:rPr>
                <w:rFonts w:hint="eastAsia" w:ascii="Times New Roman"/>
                <w:b/>
                <w:color w:val="auto"/>
                <w:highlight w:val="none"/>
                <w:lang w:eastAsia="zh-CN"/>
              </w:rPr>
              <w:t>1</w:t>
            </w:r>
            <w:r>
              <w:rPr>
                <w:rFonts w:hint="eastAsia" w:hAnsi="宋体" w:cs="宋体"/>
                <w:b/>
                <w:color w:val="auto"/>
                <w:highlight w:val="none"/>
                <w:lang w:eastAsia="zh-CN"/>
              </w:rPr>
              <w:t>日起，一级建造师统一使用电子证书，纸质注册证书作废。各投标人须提供一级建造师证书电子注册证书，电子注册证书应当符合相关文件规定，持证人个人手写签名应当与签名图像笔迹一致，证书应当在使用有效期限内。</w:t>
            </w:r>
            <w:r>
              <w:rPr>
                <w:rFonts w:hint="eastAsia" w:hAnsi="宋体" w:cs="宋体"/>
                <w:b/>
                <w:color w:val="auto"/>
                <w:highlight w:val="none"/>
                <w:lang w:val="zh-CN" w:eastAsia="zh-CN"/>
              </w:rPr>
              <w:t>若提供的电子件无法识别有效信息的，视为无效响应。投标人将自行承担资格审查不通过等相应后果。</w:t>
            </w:r>
          </w:p>
        </w:tc>
      </w:tr>
    </w:tbl>
    <w:p w14:paraId="51632C3F">
      <w:pPr>
        <w:widowControl w:val="0"/>
        <w:spacing w:line="360" w:lineRule="auto"/>
        <w:jc w:val="both"/>
        <w:outlineLvl w:val="0"/>
        <w:rPr>
          <w:rFonts w:hint="eastAsia" w:ascii="宋体" w:hAnsi="宋体" w:cs="宋体"/>
          <w:b/>
          <w:bCs/>
          <w:color w:val="auto"/>
          <w:highlight w:val="none"/>
          <w:lang w:val="zh-TW" w:eastAsia="zh-TW"/>
        </w:rPr>
        <w:sectPr>
          <w:headerReference r:id="rId4" w:type="first"/>
          <w:headerReference r:id="rId3" w:type="default"/>
          <w:footerReference r:id="rId5" w:type="default"/>
          <w:pgSz w:w="11900" w:h="16840"/>
          <w:pgMar w:top="1123" w:right="1179" w:bottom="1123" w:left="1179" w:header="720" w:footer="720" w:gutter="0"/>
          <w:pgNumType w:fmt="decimal" w:start="1"/>
          <w:cols w:space="1701" w:num="1"/>
          <w:docGrid w:linePitch="360" w:charSpace="0"/>
        </w:sectPr>
      </w:pPr>
    </w:p>
    <w:p w14:paraId="52433F70">
      <w:pPr>
        <w:widowControl w:val="0"/>
        <w:spacing w:line="360" w:lineRule="auto"/>
        <w:jc w:val="both"/>
        <w:outlineLvl w:val="0"/>
        <w:rPr>
          <w:rFonts w:ascii="宋体" w:hAnsi="宋体" w:cs="宋体"/>
          <w:b/>
          <w:bCs/>
          <w:color w:val="auto"/>
          <w:highlight w:val="none"/>
          <w:lang w:val="zh-TW" w:eastAsia="zh-TW"/>
        </w:rPr>
      </w:pPr>
      <w:r>
        <w:rPr>
          <w:rFonts w:hint="eastAsia" w:ascii="宋体" w:hAnsi="宋体" w:cs="宋体"/>
          <w:b/>
          <w:bCs/>
          <w:color w:val="auto"/>
          <w:highlight w:val="none"/>
          <w:lang w:val="zh-TW" w:eastAsia="zh-TW"/>
        </w:rPr>
        <w:t>一、总 则</w:t>
      </w:r>
    </w:p>
    <w:p w14:paraId="5926162D">
      <w:pPr>
        <w:pStyle w:val="190"/>
        <w:widowControl w:val="0"/>
        <w:spacing w:line="360" w:lineRule="auto"/>
        <w:ind w:firstLine="482"/>
        <w:rPr>
          <w:rFonts w:ascii="宋体" w:hAnsi="宋体" w:cs="宋体"/>
          <w:b/>
          <w:bCs/>
          <w:color w:val="auto"/>
          <w:sz w:val="24"/>
          <w:szCs w:val="24"/>
          <w:highlight w:val="none"/>
          <w:lang w:val="zh-TW" w:eastAsia="zh-TW"/>
        </w:rPr>
      </w:pPr>
      <w:r>
        <w:rPr>
          <w:rFonts w:hint="eastAsia" w:ascii="宋体" w:hAnsi="宋体" w:cs="宋体"/>
          <w:b/>
          <w:bCs/>
          <w:color w:val="auto"/>
          <w:sz w:val="24"/>
          <w:szCs w:val="24"/>
          <w:highlight w:val="none"/>
          <w:lang w:val="zh-TW" w:eastAsia="zh-TW"/>
        </w:rPr>
        <w:t>1、</w:t>
      </w:r>
      <w:r>
        <w:rPr>
          <w:rFonts w:hint="eastAsia" w:ascii="宋体" w:hAnsi="宋体" w:cs="宋体"/>
          <w:b/>
          <w:bCs/>
          <w:color w:val="auto"/>
          <w:sz w:val="24"/>
          <w:szCs w:val="24"/>
          <w:highlight w:val="none"/>
        </w:rPr>
        <w:t>适用</w:t>
      </w:r>
      <w:r>
        <w:rPr>
          <w:rFonts w:hint="eastAsia" w:ascii="宋体" w:hAnsi="宋体" w:cs="宋体"/>
          <w:b/>
          <w:bCs/>
          <w:color w:val="auto"/>
          <w:sz w:val="24"/>
          <w:szCs w:val="24"/>
          <w:highlight w:val="none"/>
          <w:lang w:val="zh-TW" w:eastAsia="zh-TW"/>
        </w:rPr>
        <w:t>法律</w:t>
      </w:r>
    </w:p>
    <w:p w14:paraId="1E54716B">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 xml:space="preserve">1.1 </w:t>
      </w:r>
      <w:r>
        <w:rPr>
          <w:rFonts w:hint="eastAsia" w:ascii="宋体" w:hAnsi="宋体" w:cs="宋体"/>
          <w:color w:val="auto"/>
          <w:sz w:val="24"/>
          <w:szCs w:val="24"/>
          <w:highlight w:val="none"/>
        </w:rPr>
        <w:t>适用</w:t>
      </w:r>
      <w:r>
        <w:rPr>
          <w:rFonts w:hint="eastAsia" w:ascii="宋体" w:hAnsi="宋体" w:cs="宋体"/>
          <w:color w:val="auto"/>
          <w:sz w:val="24"/>
          <w:szCs w:val="24"/>
          <w:highlight w:val="none"/>
          <w:lang w:val="zh-TW" w:eastAsia="zh-TW"/>
        </w:rPr>
        <w:t>执行《中华人民共和国政府采购法》、《中华人民共和国招标投标法》等有关法律、规章和规定等。</w:t>
      </w:r>
    </w:p>
    <w:p w14:paraId="57A166A8">
      <w:pPr>
        <w:pStyle w:val="190"/>
        <w:widowControl w:val="0"/>
        <w:spacing w:line="360" w:lineRule="auto"/>
        <w:ind w:firstLine="482"/>
        <w:rPr>
          <w:rFonts w:ascii="宋体" w:hAnsi="宋体" w:cs="宋体"/>
          <w:b/>
          <w:bCs/>
          <w:color w:val="auto"/>
          <w:sz w:val="24"/>
          <w:szCs w:val="24"/>
          <w:highlight w:val="none"/>
          <w:lang w:val="zh-TW" w:eastAsia="zh-TW"/>
        </w:rPr>
      </w:pPr>
      <w:r>
        <w:rPr>
          <w:rFonts w:hint="eastAsia" w:ascii="宋体" w:hAnsi="宋体" w:cs="宋体"/>
          <w:b/>
          <w:bCs/>
          <w:color w:val="auto"/>
          <w:sz w:val="24"/>
          <w:szCs w:val="24"/>
          <w:highlight w:val="none"/>
          <w:lang w:val="zh-TW" w:eastAsia="zh-TW"/>
        </w:rPr>
        <w:t>2、供应商定义</w:t>
      </w:r>
    </w:p>
    <w:p w14:paraId="0B4F359E">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2.1“招标人（采购人）”是指依法进行政府采购的国家机关、事业单位、团体组织。</w:t>
      </w:r>
    </w:p>
    <w:p w14:paraId="1471A533">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2.2“供应商（供应商）”是指参加投标竞争，并符合招标文件规定资格条件的法人、其他组织或者自然人。</w:t>
      </w:r>
    </w:p>
    <w:p w14:paraId="05614880">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2.3“招标代理机构（采购代理机构）”是指集中采购机构和集中采购机构以外的采购代理机构，集中采购机构以外的招标（采购）代理机构，是从事招标（采购）代理业务的社会中介机构。</w:t>
      </w:r>
    </w:p>
    <w:p w14:paraId="64C7FE77">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2.4“工程”指本招标文件中所述工程以及与之配套的货物、服务。</w:t>
      </w:r>
    </w:p>
    <w:p w14:paraId="102A9F6B">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2.5“用户或使用单位”是指使用货物，接受服务的单位。</w:t>
      </w:r>
    </w:p>
    <w:p w14:paraId="1A06C3AD">
      <w:pPr>
        <w:pStyle w:val="190"/>
        <w:widowControl w:val="0"/>
        <w:numPr>
          <w:ilvl w:val="0"/>
          <w:numId w:val="0"/>
        </w:numPr>
        <w:spacing w:line="360" w:lineRule="auto"/>
        <w:ind w:firstLine="482" w:firstLineChars="0"/>
        <w:rPr>
          <w:rFonts w:hint="eastAsia" w:ascii="宋体" w:hAnsi="宋体" w:cs="宋体"/>
          <w:b/>
          <w:bCs/>
          <w:color w:val="auto"/>
          <w:sz w:val="24"/>
          <w:szCs w:val="24"/>
          <w:highlight w:val="none"/>
          <w:lang w:val="zh-TW" w:eastAsia="zh-TW"/>
        </w:rPr>
      </w:pPr>
      <w:r>
        <w:rPr>
          <w:rFonts w:hint="eastAsia" w:ascii="宋体" w:hAnsi="宋体" w:cs="宋体"/>
          <w:b/>
          <w:bCs/>
          <w:color w:val="auto"/>
          <w:sz w:val="24"/>
          <w:szCs w:val="24"/>
          <w:highlight w:val="none"/>
          <w:lang w:val="en-US" w:eastAsia="zh-CN" w:bidi="ar-SA"/>
        </w:rPr>
        <w:t>4</w:t>
      </w:r>
      <w:r>
        <w:rPr>
          <w:rFonts w:hint="eastAsia" w:ascii="宋体" w:hAnsi="宋体" w:eastAsia="宋体" w:cs="宋体"/>
          <w:b/>
          <w:bCs/>
          <w:color w:val="auto"/>
          <w:sz w:val="24"/>
          <w:szCs w:val="24"/>
          <w:highlight w:val="none"/>
          <w:lang w:val="zh-TW" w:eastAsia="zh-TW" w:bidi="ar-SA"/>
        </w:rPr>
        <w:t>、</w:t>
      </w:r>
      <w:r>
        <w:rPr>
          <w:rFonts w:hint="eastAsia" w:ascii="宋体" w:hAnsi="宋体" w:cs="宋体"/>
          <w:b/>
          <w:bCs/>
          <w:color w:val="auto"/>
          <w:sz w:val="24"/>
          <w:szCs w:val="24"/>
          <w:highlight w:val="none"/>
          <w:lang w:val="zh-TW" w:eastAsia="zh-TW"/>
        </w:rPr>
        <w:t>政策功能</w:t>
      </w:r>
    </w:p>
    <w:p w14:paraId="7AEE0B09">
      <w:pPr>
        <w:widowControl w:val="0"/>
        <w:spacing w:line="360" w:lineRule="auto"/>
        <w:ind w:firstLine="482"/>
        <w:outlineLvl w:val="0"/>
        <w:rPr>
          <w:rFonts w:hint="eastAsia" w:ascii="宋体" w:hAnsi="宋体" w:cs="宋体"/>
          <w:b/>
          <w:color w:val="auto"/>
          <w:highlight w:val="none"/>
          <w:lang w:val="zh-CN" w:eastAsia="zh-CN"/>
        </w:rPr>
      </w:pPr>
      <w:bookmarkStart w:id="31" w:name="_Toc665"/>
      <w:r>
        <w:rPr>
          <w:rFonts w:hint="eastAsia" w:ascii="宋体" w:hAnsi="宋体" w:cs="宋体"/>
          <w:b/>
          <w:color w:val="auto"/>
          <w:highlight w:val="none"/>
          <w:lang w:eastAsia="zh-CN"/>
        </w:rPr>
        <w:t>4</w:t>
      </w:r>
      <w:r>
        <w:rPr>
          <w:rFonts w:hint="eastAsia" w:ascii="宋体" w:hAnsi="宋体" w:cs="宋体"/>
          <w:b/>
          <w:color w:val="auto"/>
          <w:highlight w:val="none"/>
          <w:lang w:val="zh-CN" w:eastAsia="zh-CN"/>
        </w:rPr>
        <w:t>.1 中小企业、监狱企业、残疾人福利性单位相关政策</w:t>
      </w:r>
      <w:bookmarkEnd w:id="31"/>
    </w:p>
    <w:p w14:paraId="56E8FA68">
      <w:pPr>
        <w:widowControl w:val="0"/>
        <w:spacing w:line="360" w:lineRule="auto"/>
        <w:ind w:firstLine="480"/>
        <w:outlineLvl w:val="0"/>
        <w:rPr>
          <w:rFonts w:hint="eastAsia" w:ascii="宋体" w:hAnsi="宋体" w:cs="宋体"/>
          <w:color w:val="auto"/>
          <w:highlight w:val="none"/>
          <w:lang w:eastAsia="zh-CN"/>
        </w:rPr>
      </w:pPr>
      <w:bookmarkStart w:id="32" w:name="_Toc870"/>
      <w:r>
        <w:rPr>
          <w:rFonts w:hint="eastAsia" w:ascii="宋体" w:hAnsi="宋体" w:cs="宋体"/>
          <w:color w:val="auto"/>
          <w:highlight w:val="none"/>
          <w:lang w:eastAsia="zh-CN"/>
        </w:rPr>
        <w:t>（1）政府采购促进中小企业发展，小企业（含小型、微型企业）提供的产品和服务在评标时将获得优势，参加投标的小企业，应当提供《中小企业声明函》（“中小企业划型标准”详见《关于印发中小企业划型标准规定的通知》工信部联企业〔2011〕300号及《国家统计局关于印发统计上大中小微型企业划分办法的通知》国统字〔2011〕75号）。</w:t>
      </w:r>
      <w:bookmarkEnd w:id="32"/>
    </w:p>
    <w:p w14:paraId="6E988E45">
      <w:pPr>
        <w:widowControl w:val="0"/>
        <w:spacing w:line="360" w:lineRule="auto"/>
        <w:ind w:firstLine="480"/>
        <w:outlineLvl w:val="0"/>
        <w:rPr>
          <w:rFonts w:hint="eastAsia" w:ascii="宋体" w:hAnsi="宋体" w:cs="宋体"/>
          <w:color w:val="auto"/>
          <w:highlight w:val="none"/>
          <w:lang w:eastAsia="zh-CN"/>
        </w:rPr>
      </w:pPr>
      <w:bookmarkStart w:id="33" w:name="_Toc14371"/>
      <w:r>
        <w:rPr>
          <w:rFonts w:hint="eastAsia" w:ascii="宋体" w:hAnsi="宋体" w:cs="宋体"/>
          <w:color w:val="auto"/>
          <w:highlight w:val="none"/>
          <w:lang w:eastAsia="zh-CN"/>
        </w:rPr>
        <w:t>（2）对于专门面向中小企业或小型、微型企业的项目，只面向中小企业或小型、微型企业采购。对于非专门面向中小企业的项目，对符合规定的小微企业报价给予5%的扣除，用扣除后的价格参加评审。</w:t>
      </w:r>
      <w:bookmarkEnd w:id="33"/>
      <w:r>
        <w:rPr>
          <w:rFonts w:hint="eastAsia" w:ascii="宋体" w:hAnsi="宋体" w:cs="宋体"/>
          <w:b/>
          <w:bCs/>
          <w:color w:val="auto"/>
          <w:highlight w:val="none"/>
          <w:lang w:eastAsia="zh-CN"/>
        </w:rPr>
        <w:t>（本项目不适用）</w:t>
      </w:r>
    </w:p>
    <w:p w14:paraId="7F44173A">
      <w:pPr>
        <w:widowControl w:val="0"/>
        <w:spacing w:line="360" w:lineRule="auto"/>
        <w:ind w:firstLine="480"/>
        <w:outlineLvl w:val="0"/>
        <w:rPr>
          <w:rFonts w:hint="eastAsia" w:ascii="宋体" w:hAnsi="宋体" w:cs="宋体"/>
          <w:b/>
          <w:bCs/>
          <w:color w:val="auto"/>
          <w:highlight w:val="none"/>
          <w:lang w:eastAsia="zh-CN"/>
        </w:rPr>
      </w:pPr>
      <w:bookmarkStart w:id="34" w:name="_Toc19244"/>
      <w:r>
        <w:rPr>
          <w:rFonts w:hint="eastAsia" w:ascii="宋体" w:hAnsi="宋体" w:cs="宋体"/>
          <w:color w:val="auto"/>
          <w:highlight w:val="none"/>
          <w:lang w:eastAsia="zh-CN"/>
        </w:rPr>
        <w:t>（3）对于接受供应商以联合体形式参加采购活动的项目，小型、微型企业联合体应当符合《政府采购促进中小企业发展管理办法》的通知（财库〔2020〕46号）第四条的规定。联合协议中约定，小型、微型企业的协议合同金额占到联合体协议合同总金额30%以上的，给予联合体2%的价格扣除。联合体各方均为小型、微型企业的，联合体视同为小型、微型企业给予5%价格扣除。组成联合体的大中型企业和其他自然人、法人或者其他组织，与小型、微型企业之间不得存在投资关系。</w:t>
      </w:r>
      <w:r>
        <w:rPr>
          <w:rFonts w:hint="eastAsia" w:ascii="宋体" w:hAnsi="宋体" w:cs="宋体"/>
          <w:b/>
          <w:bCs/>
          <w:color w:val="auto"/>
          <w:highlight w:val="none"/>
          <w:lang w:eastAsia="zh-CN"/>
        </w:rPr>
        <w:t>（本项目不适用）</w:t>
      </w:r>
      <w:bookmarkEnd w:id="34"/>
    </w:p>
    <w:p w14:paraId="54C3DB62">
      <w:pPr>
        <w:widowControl w:val="0"/>
        <w:spacing w:line="360" w:lineRule="auto"/>
        <w:ind w:firstLine="480"/>
        <w:outlineLvl w:val="0"/>
        <w:rPr>
          <w:rFonts w:hint="eastAsia" w:ascii="宋体" w:hAnsi="宋体" w:cs="宋体"/>
          <w:color w:val="auto"/>
          <w:highlight w:val="none"/>
          <w:lang w:eastAsia="zh-CN"/>
        </w:rPr>
      </w:pPr>
      <w:bookmarkStart w:id="35" w:name="_Toc14918"/>
      <w:r>
        <w:rPr>
          <w:rFonts w:hint="eastAsia" w:ascii="宋体" w:hAnsi="宋体" w:cs="宋体"/>
          <w:color w:val="auto"/>
          <w:highlight w:val="none"/>
          <w:lang w:eastAsia="zh-CN"/>
        </w:rPr>
        <w:t>（4）根据《财库〔2014〕68号》监狱企业视同小型、微型企业，享受中小企业发展的政府采购政策（监狱企业参加政府采购活动时，应当提供由省级以上监狱管理局、戒毒管理局（含新疆生产建设兵团）出具的属于监狱企业的证明文件），未提供上述资料的报价，其价格不予扣除。</w:t>
      </w:r>
      <w:bookmarkEnd w:id="35"/>
    </w:p>
    <w:p w14:paraId="175B9536">
      <w:pPr>
        <w:widowControl w:val="0"/>
        <w:spacing w:line="360" w:lineRule="auto"/>
        <w:ind w:firstLine="480"/>
        <w:outlineLvl w:val="0"/>
        <w:rPr>
          <w:rFonts w:hint="eastAsia" w:ascii="宋体" w:hAnsi="宋体" w:cs="宋体"/>
          <w:color w:val="auto"/>
          <w:highlight w:val="none"/>
          <w:lang w:eastAsia="zh-CN"/>
        </w:rPr>
      </w:pPr>
      <w:bookmarkStart w:id="36" w:name="_Toc136"/>
      <w:r>
        <w:rPr>
          <w:rFonts w:hint="eastAsia" w:ascii="宋体" w:hAnsi="宋体" w:cs="宋体"/>
          <w:color w:val="auto"/>
          <w:highlight w:val="none"/>
          <w:lang w:eastAsia="zh-CN"/>
        </w:rPr>
        <w:t>（5）根据《财库〔2017〕141号》符合条件的残疾人福利性单位视同小型、微型企业，享受中小企业发展的政府采购政策。残疾人福利性单位属于小型、微型企业的，不重复享受政策。参加投标的残疾人福利性单位，应当提供 《残疾人福利性单位声明函》，未提供上述资料的报价，其价格不予扣除。</w:t>
      </w:r>
      <w:bookmarkEnd w:id="36"/>
    </w:p>
    <w:p w14:paraId="5B239F45">
      <w:pPr>
        <w:widowControl w:val="0"/>
        <w:spacing w:line="360" w:lineRule="auto"/>
        <w:ind w:firstLine="480"/>
        <w:outlineLvl w:val="0"/>
        <w:rPr>
          <w:rFonts w:hint="eastAsia" w:ascii="宋体" w:hAnsi="宋体" w:cs="宋体"/>
          <w:color w:val="auto"/>
          <w:highlight w:val="none"/>
          <w:lang w:eastAsia="zh-CN"/>
        </w:rPr>
      </w:pPr>
      <w:bookmarkStart w:id="37" w:name="_Toc3714"/>
      <w:r>
        <w:rPr>
          <w:rFonts w:hint="eastAsia" w:ascii="宋体" w:hAnsi="宋体" w:cs="宋体"/>
          <w:color w:val="auto"/>
          <w:highlight w:val="none"/>
          <w:lang w:eastAsia="zh-CN"/>
        </w:rPr>
        <w:t>（6）参加政府采购活动的中小企业应当按“关于印发《政府采购促进中小企业发展管理办法》的通知[财库〔2020〕46号]” 规定提供《中小企业声明函》，未提供上述资料的报价，其价格不予扣除。</w:t>
      </w:r>
      <w:bookmarkEnd w:id="37"/>
    </w:p>
    <w:p w14:paraId="45D27F13">
      <w:pPr>
        <w:widowControl w:val="0"/>
        <w:spacing w:line="360" w:lineRule="auto"/>
        <w:ind w:firstLine="480"/>
        <w:outlineLvl w:val="0"/>
        <w:rPr>
          <w:rFonts w:hint="eastAsia" w:ascii="宋体" w:hAnsi="宋体" w:cs="宋体"/>
          <w:color w:val="auto"/>
          <w:highlight w:val="none"/>
          <w:lang w:eastAsia="zh-CN"/>
        </w:rPr>
      </w:pPr>
      <w:bookmarkStart w:id="38" w:name="_Toc12293"/>
      <w:r>
        <w:rPr>
          <w:rFonts w:hint="eastAsia" w:ascii="宋体" w:hAnsi="宋体" w:cs="宋体"/>
          <w:color w:val="auto"/>
          <w:highlight w:val="none"/>
          <w:lang w:eastAsia="zh-CN"/>
        </w:rPr>
        <w:t>（7）中小企业依据《政府采购促进中小企业发展管理办法》的通知（财库〔2020〕46号）、《关于进一步加大政府采购支持中小企业力度的通知》（财库〔2022〕19号）规定的政策获取政府采购合同后，小微企业不得将合同分包给大中型企业，中型企业不得将合同分包给大型企业。</w:t>
      </w:r>
      <w:bookmarkEnd w:id="38"/>
    </w:p>
    <w:p w14:paraId="0360DA84">
      <w:pPr>
        <w:widowControl w:val="0"/>
        <w:shd w:val="clear" w:color="auto" w:fill="FFFFFF"/>
        <w:spacing w:line="360" w:lineRule="auto"/>
        <w:ind w:firstLine="482"/>
        <w:rPr>
          <w:rFonts w:hint="eastAsia" w:ascii="宋体" w:hAnsi="宋体" w:cs="宋体"/>
          <w:b/>
          <w:color w:val="auto"/>
          <w:highlight w:val="none"/>
          <w:lang w:eastAsia="zh-CN"/>
        </w:rPr>
      </w:pPr>
      <w:r>
        <w:rPr>
          <w:rFonts w:hint="eastAsia" w:ascii="宋体" w:hAnsi="宋体" w:cs="宋体"/>
          <w:b/>
          <w:color w:val="auto"/>
          <w:highlight w:val="none"/>
          <w:lang w:eastAsia="zh-CN"/>
        </w:rPr>
        <w:t>4.2 节能产品、环境标志产品政策</w:t>
      </w:r>
    </w:p>
    <w:p w14:paraId="1348047F">
      <w:pPr>
        <w:widowControl w:val="0"/>
        <w:shd w:val="clear" w:color="auto" w:fill="FFFFFF"/>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（1）政府采购节能产品、环境标志产品实施品目清单管理。</w:t>
      </w:r>
    </w:p>
    <w:p w14:paraId="5026E5E0">
      <w:pPr>
        <w:widowControl w:val="0"/>
        <w:shd w:val="clear" w:color="auto" w:fill="FFFFFF"/>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（2）拟采购产品属于节能产品、环境标志产品品目清单规定必须强制采购的，实行强制采购。</w:t>
      </w:r>
    </w:p>
    <w:p w14:paraId="7487E58A">
      <w:pPr>
        <w:widowControl w:val="0"/>
        <w:shd w:val="clear" w:color="auto" w:fill="FFFFFF"/>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（3）拟采购产品属于节能产品、环境标志产品品目清单规定优先采购的，在性能、技术、服务等指标同等条件下，实行优先采购，优先采购的成交标准详见本</w:t>
      </w:r>
      <w:r>
        <w:rPr>
          <w:rFonts w:hint="eastAsia" w:ascii="宋体" w:hAnsi="宋体" w:cs="宋体"/>
          <w:color w:val="auto"/>
          <w:highlight w:val="none"/>
          <w:lang w:val="en-US" w:eastAsia="zh-CN"/>
        </w:rPr>
        <w:t>采购</w:t>
      </w:r>
      <w:r>
        <w:rPr>
          <w:rFonts w:hint="eastAsia" w:ascii="宋体" w:hAnsi="宋体" w:cs="宋体"/>
          <w:color w:val="auto"/>
          <w:highlight w:val="none"/>
          <w:lang w:eastAsia="zh-CN"/>
        </w:rPr>
        <w:t>文件第三章。</w:t>
      </w:r>
    </w:p>
    <w:p w14:paraId="6D969869">
      <w:pPr>
        <w:widowControl w:val="0"/>
        <w:shd w:val="clear" w:color="auto" w:fill="FFFFFF"/>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（4）参加政府采购活动的节能产品、环境标志产品供应商应当提供国家确定的认证机构出具的、处于有效期之内的节能产品、环境标志产品认证证书。</w:t>
      </w:r>
    </w:p>
    <w:p w14:paraId="573B6B30">
      <w:pPr>
        <w:widowControl w:val="0"/>
        <w:shd w:val="clear" w:color="auto" w:fill="FFFFFF"/>
        <w:spacing w:line="360" w:lineRule="auto"/>
        <w:ind w:firstLine="482"/>
        <w:rPr>
          <w:rFonts w:hint="eastAsia" w:ascii="宋体" w:hAnsi="宋体" w:cs="宋体"/>
          <w:b/>
          <w:color w:val="auto"/>
          <w:highlight w:val="none"/>
          <w:lang w:eastAsia="zh-CN"/>
        </w:rPr>
      </w:pPr>
      <w:r>
        <w:rPr>
          <w:rFonts w:hint="eastAsia" w:ascii="宋体" w:hAnsi="宋体" w:cs="宋体"/>
          <w:b/>
          <w:color w:val="auto"/>
          <w:highlight w:val="none"/>
          <w:lang w:eastAsia="zh-CN"/>
        </w:rPr>
        <w:t>4.3 进口产品政策（本项目不适用）</w:t>
      </w:r>
    </w:p>
    <w:p w14:paraId="5F5F4089">
      <w:pPr>
        <w:widowControl w:val="0"/>
        <w:shd w:val="clear" w:color="auto" w:fill="FFFFFF"/>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（1）除在</w:t>
      </w:r>
      <w:r>
        <w:rPr>
          <w:rFonts w:hint="eastAsia" w:ascii="宋体" w:hAnsi="宋体" w:cs="宋体"/>
          <w:color w:val="auto"/>
          <w:highlight w:val="none"/>
          <w:lang w:val="en-US" w:eastAsia="zh-CN"/>
        </w:rPr>
        <w:t>采购</w:t>
      </w:r>
      <w:r>
        <w:rPr>
          <w:rFonts w:hint="eastAsia" w:ascii="宋体" w:hAnsi="宋体" w:cs="宋体"/>
          <w:color w:val="auto"/>
          <w:highlight w:val="none"/>
          <w:lang w:eastAsia="zh-CN"/>
        </w:rPr>
        <w:t>文件另有规定外，不允许进口产品参加。进口产品认定依照《财政部关于政府采购进口产品管理有关问题的通知》（财办库〔2008〕248号）的规定。</w:t>
      </w:r>
    </w:p>
    <w:p w14:paraId="4AA0D065">
      <w:pPr>
        <w:widowControl w:val="0"/>
        <w:shd w:val="clear" w:color="auto" w:fill="FFFFFF"/>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（2）允许进口产品参加的，满足需求的国内产品可以参加。</w:t>
      </w:r>
    </w:p>
    <w:p w14:paraId="392C8360">
      <w:pPr>
        <w:pStyle w:val="302"/>
        <w:rPr>
          <w:rFonts w:hint="eastAsia"/>
          <w:color w:val="auto"/>
          <w:highlight w:val="none"/>
          <w:lang w:val="zh-TW" w:eastAsia="zh-TW"/>
        </w:rPr>
      </w:pPr>
      <w:r>
        <w:rPr>
          <w:rFonts w:hint="eastAsia"/>
          <w:color w:val="auto"/>
          <w:highlight w:val="none"/>
        </w:rPr>
        <w:t>（3）允许进口产品参加的，优先采购向我国企业转让技术、与我国企业签订消化吸收再创新方案的供应商的进口产品。</w:t>
      </w:r>
    </w:p>
    <w:p w14:paraId="4C97EE1E">
      <w:pPr>
        <w:pStyle w:val="190"/>
        <w:widowControl w:val="0"/>
        <w:spacing w:line="360" w:lineRule="auto"/>
        <w:ind w:firstLine="482"/>
        <w:rPr>
          <w:rFonts w:ascii="宋体" w:hAnsi="宋体" w:cs="宋体"/>
          <w:b/>
          <w:bCs/>
          <w:color w:val="auto"/>
          <w:sz w:val="24"/>
          <w:szCs w:val="24"/>
          <w:highlight w:val="none"/>
          <w:lang w:val="zh-TW" w:eastAsia="zh-TW"/>
        </w:rPr>
      </w:pPr>
      <w:r>
        <w:rPr>
          <w:rFonts w:hint="eastAsia" w:ascii="宋体" w:hAnsi="宋体" w:cs="宋体"/>
          <w:b/>
          <w:bCs/>
          <w:color w:val="auto"/>
          <w:sz w:val="24"/>
          <w:szCs w:val="24"/>
          <w:highlight w:val="none"/>
          <w:lang w:val="zh-TW" w:eastAsia="zh-TW"/>
        </w:rPr>
        <w:t>二、招标文件构成</w:t>
      </w:r>
    </w:p>
    <w:p w14:paraId="1FFFB806">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5、招标文件组成</w:t>
      </w:r>
    </w:p>
    <w:p w14:paraId="12987B20">
      <w:pPr>
        <w:pStyle w:val="228"/>
        <w:spacing w:line="360" w:lineRule="auto"/>
        <w:ind w:firstLine="480"/>
        <w:rPr>
          <w:rFonts w:hint="eastAsia"/>
          <w:color w:val="auto"/>
          <w:highlight w:val="none"/>
          <w:lang w:eastAsia="zh-CN"/>
        </w:rPr>
      </w:pPr>
      <w:r>
        <w:rPr>
          <w:rFonts w:hint="eastAsia"/>
          <w:color w:val="auto"/>
          <w:highlight w:val="none"/>
          <w:lang w:eastAsia="zh-CN"/>
        </w:rPr>
        <w:t>5.1</w:t>
      </w:r>
      <w:r>
        <w:rPr>
          <w:color w:val="auto"/>
          <w:highlight w:val="none"/>
          <w:lang w:eastAsia="zh-CN"/>
        </w:rPr>
        <w:t>招标文件包括以下主要内容：</w:t>
      </w:r>
    </w:p>
    <w:p w14:paraId="1AF7843B">
      <w:pPr>
        <w:pStyle w:val="228"/>
        <w:widowControl w:val="0"/>
        <w:numPr>
          <w:ilvl w:val="0"/>
          <w:numId w:val="4"/>
        </w:numPr>
        <w:tabs>
          <w:tab w:val="clear" w:pos="993"/>
          <w:tab w:val="clear" w:pos="1134"/>
        </w:tabs>
        <w:spacing w:line="360" w:lineRule="auto"/>
        <w:rPr>
          <w:rFonts w:hint="eastAsia"/>
          <w:color w:val="auto"/>
          <w:highlight w:val="none"/>
        </w:rPr>
      </w:pPr>
      <w:r>
        <w:rPr>
          <w:color w:val="auto"/>
          <w:highlight w:val="none"/>
        </w:rPr>
        <w:t>招标公告；</w:t>
      </w:r>
    </w:p>
    <w:p w14:paraId="0C80E0FF">
      <w:pPr>
        <w:pStyle w:val="228"/>
        <w:widowControl w:val="0"/>
        <w:numPr>
          <w:ilvl w:val="0"/>
          <w:numId w:val="4"/>
        </w:numPr>
        <w:tabs>
          <w:tab w:val="clear" w:pos="993"/>
          <w:tab w:val="clear" w:pos="1134"/>
        </w:tabs>
        <w:spacing w:line="360" w:lineRule="auto"/>
        <w:rPr>
          <w:rFonts w:hint="eastAsia"/>
          <w:color w:val="auto"/>
          <w:highlight w:val="none"/>
        </w:rPr>
      </w:pPr>
      <w:r>
        <w:rPr>
          <w:rFonts w:hint="eastAsia"/>
          <w:color w:val="auto"/>
          <w:highlight w:val="none"/>
          <w:lang w:val="en-US" w:eastAsia="zh-CN"/>
        </w:rPr>
        <w:t>供应商</w:t>
      </w:r>
      <w:r>
        <w:rPr>
          <w:color w:val="auto"/>
          <w:highlight w:val="none"/>
        </w:rPr>
        <w:t>须知；</w:t>
      </w:r>
    </w:p>
    <w:p w14:paraId="70572E68">
      <w:pPr>
        <w:pStyle w:val="228"/>
        <w:widowControl w:val="0"/>
        <w:numPr>
          <w:ilvl w:val="0"/>
          <w:numId w:val="4"/>
        </w:numPr>
        <w:tabs>
          <w:tab w:val="clear" w:pos="993"/>
          <w:tab w:val="clear" w:pos="1134"/>
        </w:tabs>
        <w:spacing w:line="360" w:lineRule="auto"/>
        <w:rPr>
          <w:rFonts w:hint="eastAsia"/>
          <w:color w:val="auto"/>
          <w:highlight w:val="none"/>
        </w:rPr>
      </w:pPr>
      <w:r>
        <w:rPr>
          <w:color w:val="auto"/>
          <w:highlight w:val="none"/>
        </w:rPr>
        <w:t>评标标准；</w:t>
      </w:r>
    </w:p>
    <w:p w14:paraId="24F4178B">
      <w:pPr>
        <w:pStyle w:val="228"/>
        <w:widowControl w:val="0"/>
        <w:numPr>
          <w:ilvl w:val="0"/>
          <w:numId w:val="4"/>
        </w:numPr>
        <w:tabs>
          <w:tab w:val="clear" w:pos="993"/>
          <w:tab w:val="clear" w:pos="1134"/>
        </w:tabs>
        <w:spacing w:line="360" w:lineRule="auto"/>
        <w:rPr>
          <w:rFonts w:hint="eastAsia"/>
          <w:color w:val="auto"/>
          <w:highlight w:val="none"/>
        </w:rPr>
      </w:pPr>
      <w:r>
        <w:rPr>
          <w:color w:val="auto"/>
          <w:highlight w:val="none"/>
        </w:rPr>
        <w:t>采购需求；</w:t>
      </w:r>
    </w:p>
    <w:p w14:paraId="4D7EB17D">
      <w:pPr>
        <w:pStyle w:val="228"/>
        <w:widowControl w:val="0"/>
        <w:numPr>
          <w:ilvl w:val="0"/>
          <w:numId w:val="4"/>
        </w:numPr>
        <w:tabs>
          <w:tab w:val="clear" w:pos="993"/>
          <w:tab w:val="clear" w:pos="1134"/>
        </w:tabs>
        <w:spacing w:line="360" w:lineRule="auto"/>
        <w:rPr>
          <w:rFonts w:hint="eastAsia"/>
          <w:color w:val="auto"/>
          <w:highlight w:val="none"/>
        </w:rPr>
      </w:pPr>
      <w:r>
        <w:rPr>
          <w:color w:val="auto"/>
          <w:highlight w:val="none"/>
        </w:rPr>
        <w:t>合同主要条款及格式；</w:t>
      </w:r>
    </w:p>
    <w:p w14:paraId="63883946">
      <w:pPr>
        <w:pStyle w:val="228"/>
        <w:widowControl w:val="0"/>
        <w:numPr>
          <w:ilvl w:val="0"/>
          <w:numId w:val="4"/>
        </w:numPr>
        <w:tabs>
          <w:tab w:val="clear" w:pos="993"/>
          <w:tab w:val="clear" w:pos="1134"/>
        </w:tabs>
        <w:spacing w:line="360" w:lineRule="auto"/>
        <w:rPr>
          <w:rFonts w:hint="eastAsia"/>
          <w:color w:val="auto"/>
          <w:highlight w:val="none"/>
        </w:rPr>
      </w:pPr>
      <w:r>
        <w:rPr>
          <w:color w:val="auto"/>
          <w:highlight w:val="none"/>
        </w:rPr>
        <w:t>投标文件格式及附件。</w:t>
      </w:r>
    </w:p>
    <w:p w14:paraId="74D62159">
      <w:pPr>
        <w:pStyle w:val="228"/>
        <w:spacing w:line="360" w:lineRule="auto"/>
        <w:ind w:firstLine="480"/>
        <w:rPr>
          <w:rFonts w:hint="eastAsia"/>
          <w:color w:val="auto"/>
          <w:highlight w:val="none"/>
          <w:lang w:eastAsia="zh-CN"/>
        </w:rPr>
      </w:pPr>
      <w:r>
        <w:rPr>
          <w:rFonts w:hint="eastAsia"/>
          <w:color w:val="auto"/>
          <w:highlight w:val="none"/>
          <w:lang w:eastAsia="zh-CN"/>
        </w:rPr>
        <w:t>5.2</w:t>
      </w:r>
      <w:r>
        <w:rPr>
          <w:color w:val="auto"/>
          <w:highlight w:val="none"/>
          <w:lang w:eastAsia="zh-CN"/>
        </w:rPr>
        <w:t>如标书制作工具中格式和内容与“江苏政府采购网”发布的招标文件不一致的，以上述网站发布的招标文件为准。</w:t>
      </w:r>
    </w:p>
    <w:p w14:paraId="290E1703">
      <w:pPr>
        <w:pStyle w:val="228"/>
        <w:widowControl w:val="0"/>
        <w:tabs>
          <w:tab w:val="clear" w:pos="993"/>
          <w:tab w:val="clear" w:pos="1134"/>
        </w:tabs>
        <w:spacing w:line="360" w:lineRule="auto"/>
        <w:ind w:firstLine="439" w:firstLineChars="183"/>
        <w:rPr>
          <w:rFonts w:hint="eastAsia"/>
          <w:color w:val="auto"/>
          <w:highlight w:val="none"/>
          <w:lang w:eastAsia="zh-CN"/>
        </w:rPr>
      </w:pPr>
      <w:r>
        <w:rPr>
          <w:color w:val="auto"/>
          <w:highlight w:val="none"/>
          <w:lang w:eastAsia="zh-CN"/>
        </w:rPr>
        <w:t>招标的最小单位是标段。招标货物数量及技术要求中未分标段的，投标人对要求提供的货物和服务不得部分投标；招标货物数量及技术要求中已经分标段的，可以以标段为单位投标。</w:t>
      </w:r>
    </w:p>
    <w:p w14:paraId="37406F7D">
      <w:pPr>
        <w:pStyle w:val="228"/>
        <w:widowControl w:val="0"/>
        <w:tabs>
          <w:tab w:val="clear" w:pos="993"/>
          <w:tab w:val="clear" w:pos="1134"/>
        </w:tabs>
        <w:spacing w:line="360" w:lineRule="auto"/>
        <w:ind w:firstLine="439" w:firstLineChars="183"/>
        <w:rPr>
          <w:rFonts w:hint="eastAsia"/>
          <w:color w:val="auto"/>
          <w:highlight w:val="none"/>
          <w:lang w:eastAsia="zh-CN"/>
        </w:rPr>
      </w:pPr>
      <w:r>
        <w:rPr>
          <w:rFonts w:hint="eastAsia"/>
          <w:color w:val="auto"/>
          <w:highlight w:val="none"/>
          <w:lang w:eastAsia="zh-CN"/>
        </w:rPr>
        <w:t>5.3</w:t>
      </w:r>
      <w:r>
        <w:rPr>
          <w:color w:val="auto"/>
          <w:highlight w:val="none"/>
          <w:lang w:eastAsia="zh-CN"/>
        </w:rPr>
        <w:t>采购代理机构如果要求投标人按照招标文件规定提交备选投标方案的，投标人可以提交备选方案；否则，备选方案将被拒绝。</w:t>
      </w:r>
    </w:p>
    <w:p w14:paraId="6D752550">
      <w:pPr>
        <w:pStyle w:val="190"/>
        <w:widowControl w:val="0"/>
        <w:spacing w:line="360" w:lineRule="auto"/>
        <w:ind w:firstLine="482"/>
        <w:rPr>
          <w:rFonts w:ascii="宋体" w:hAnsi="宋体" w:cs="宋体"/>
          <w:b/>
          <w:bCs/>
          <w:color w:val="auto"/>
          <w:sz w:val="24"/>
          <w:szCs w:val="24"/>
          <w:highlight w:val="none"/>
          <w:lang w:val="zh-TW" w:eastAsia="zh-TW"/>
        </w:rPr>
      </w:pPr>
      <w:r>
        <w:rPr>
          <w:rFonts w:hint="eastAsia" w:ascii="宋体" w:hAnsi="宋体" w:cs="宋体"/>
          <w:b/>
          <w:bCs/>
          <w:color w:val="auto"/>
          <w:sz w:val="24"/>
          <w:szCs w:val="24"/>
          <w:highlight w:val="none"/>
          <w:lang w:val="zh-TW" w:eastAsia="zh-TW"/>
        </w:rPr>
        <w:t>三、投标文件的编制</w:t>
      </w:r>
    </w:p>
    <w:p w14:paraId="64CCFF8E">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7、投标文件的语言、计量单位、货币和编制</w:t>
      </w:r>
    </w:p>
    <w:p w14:paraId="74334094">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7.1 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252FE7E">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7.2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C31D695">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7.3 投标人应在提交投标文件截止时间前，关注原公告媒体有关本项目的更正公告，根据更正公告内容自行决定是否需要重新制作和提交投标文件，并承担由此产生的相应责任。</w:t>
      </w:r>
    </w:p>
    <w:p w14:paraId="490408CD">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8、投标文件的组成</w:t>
      </w:r>
    </w:p>
    <w:p w14:paraId="23C79583">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8.1 投标人编写的投标文件应包括</w:t>
      </w:r>
      <w:r>
        <w:rPr>
          <w:rFonts w:hint="eastAsia" w:ascii="宋体" w:hAnsi="宋体" w:cs="宋体"/>
          <w:b/>
          <w:bCs/>
          <w:color w:val="auto"/>
          <w:sz w:val="24"/>
          <w:szCs w:val="24"/>
          <w:highlight w:val="none"/>
          <w:lang w:val="zh-TW" w:eastAsia="zh-TW"/>
        </w:rPr>
        <w:t>资格证明文件、符合性证明文件、投标分项报价表、响应及偏离表、其他证明文件、投标函、开标一览表</w:t>
      </w:r>
      <w:r>
        <w:rPr>
          <w:rFonts w:hint="eastAsia" w:ascii="宋体" w:hAnsi="宋体" w:cs="宋体"/>
          <w:color w:val="auto"/>
          <w:sz w:val="24"/>
          <w:szCs w:val="24"/>
          <w:highlight w:val="none"/>
          <w:lang w:val="zh-TW" w:eastAsia="zh-TW"/>
        </w:rPr>
        <w:t>等部分。</w:t>
      </w:r>
    </w:p>
    <w:p w14:paraId="3886ADC6">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8.2 如标书制作工具中格式和内容与“江苏政府采购网”发布的招标文件不一致，以“江苏政府采购网”发布的招标文件为准。</w:t>
      </w:r>
    </w:p>
    <w:p w14:paraId="3CDC186B">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9、投标文件的商务部分</w:t>
      </w:r>
    </w:p>
    <w:p w14:paraId="02948361">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9.1 商务部分是证明投标人有资格参加投标和中标后有能力履行合同的文件，这些文件应能满足招标文件的要求，包括但不限于下列文件，其中加“★”项目不得有缺失或无效：</w:t>
      </w:r>
    </w:p>
    <w:p w14:paraId="47B5172B">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（1）★投标函（投标申请及声明）；</w:t>
      </w:r>
    </w:p>
    <w:p w14:paraId="01C67C52">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（2）★法定代表人授权委托书及委托代理人的身份证明文件的原件扫描件；</w:t>
      </w:r>
    </w:p>
    <w:p w14:paraId="7BFEF685">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（3）★第一章</w:t>
      </w:r>
      <w:r>
        <w:rPr>
          <w:rFonts w:hint="eastAsia" w:ascii="宋体" w:hAnsi="宋体" w:cs="宋体"/>
          <w:color w:val="auto"/>
          <w:sz w:val="24"/>
          <w:szCs w:val="24"/>
          <w:highlight w:val="none"/>
          <w:lang w:val="en-US" w:eastAsia="zh-CN"/>
        </w:rPr>
        <w:t>招标公告</w:t>
      </w:r>
      <w:r>
        <w:rPr>
          <w:rFonts w:hint="eastAsia" w:ascii="宋体" w:hAnsi="宋体" w:cs="宋体"/>
          <w:color w:val="auto"/>
          <w:sz w:val="24"/>
          <w:szCs w:val="24"/>
          <w:highlight w:val="none"/>
          <w:lang w:val="zh-TW" w:eastAsia="zh-TW"/>
        </w:rPr>
        <w:t>中《中华人民共和国政府采购法》规定的资格条件证明文件；</w:t>
      </w:r>
    </w:p>
    <w:p w14:paraId="6FFB5DDB">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（4）★第一章</w:t>
      </w:r>
      <w:r>
        <w:rPr>
          <w:rFonts w:hint="eastAsia" w:ascii="宋体" w:hAnsi="宋体" w:cs="宋体"/>
          <w:color w:val="auto"/>
          <w:sz w:val="24"/>
          <w:szCs w:val="24"/>
          <w:highlight w:val="none"/>
          <w:lang w:val="en-US" w:eastAsia="zh-CN"/>
        </w:rPr>
        <w:t>招标公告</w:t>
      </w:r>
      <w:r>
        <w:rPr>
          <w:rFonts w:hint="eastAsia" w:ascii="宋体" w:hAnsi="宋体" w:cs="宋体"/>
          <w:color w:val="auto"/>
          <w:sz w:val="24"/>
          <w:szCs w:val="24"/>
          <w:highlight w:val="none"/>
          <w:lang w:val="zh-TW" w:eastAsia="zh-TW"/>
        </w:rPr>
        <w:t xml:space="preserve">中采购人根据采购项目的特殊要求规定的特定条件证明文件； </w:t>
      </w:r>
    </w:p>
    <w:p w14:paraId="4AA4D32C">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（5）《开标一览表》</w:t>
      </w:r>
    </w:p>
    <w:p w14:paraId="4FAC368F">
      <w:pPr>
        <w:pStyle w:val="190"/>
        <w:widowControl w:val="0"/>
        <w:spacing w:line="360" w:lineRule="auto"/>
        <w:ind w:firstLine="480"/>
        <w:rPr>
          <w:rFonts w:hint="eastAsia" w:ascii="宋体" w:hAnsi="宋体" w:eastAsia="宋体" w:cs="宋体"/>
          <w:color w:val="auto"/>
          <w:sz w:val="24"/>
          <w:szCs w:val="24"/>
          <w:highlight w:val="none"/>
          <w:lang w:val="zh-TW" w:eastAsia="zh-CN"/>
        </w:rPr>
      </w:pPr>
      <w:r>
        <w:rPr>
          <w:rFonts w:hint="eastAsia" w:ascii="宋体" w:hAnsi="宋体" w:cs="宋体"/>
          <w:color w:val="auto"/>
          <w:sz w:val="24"/>
          <w:szCs w:val="24"/>
          <w:highlight w:val="none"/>
          <w:lang w:val="zh-TW" w:eastAsia="zh-TW"/>
        </w:rPr>
        <w:t>（6）《分项报价表》</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已标价的工程量清单</w:t>
      </w:r>
      <w:r>
        <w:rPr>
          <w:rFonts w:hint="eastAsia" w:ascii="宋体" w:hAnsi="宋体" w:cs="宋体"/>
          <w:color w:val="auto"/>
          <w:sz w:val="24"/>
          <w:szCs w:val="24"/>
          <w:highlight w:val="none"/>
          <w:lang w:val="zh-TW" w:eastAsia="zh-CN"/>
        </w:rPr>
        <w:t>）</w:t>
      </w:r>
    </w:p>
    <w:p w14:paraId="32333872">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（7）★《商务条款偏离表》</w:t>
      </w:r>
    </w:p>
    <w:p w14:paraId="33B9AFDF">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（8）《主要材料品牌响应承诺书》</w:t>
      </w:r>
    </w:p>
    <w:p w14:paraId="56B4E1F5">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val="zh-TW" w:eastAsia="zh-TW"/>
        </w:rPr>
        <w:t>《项目实施进度计划表》</w:t>
      </w:r>
    </w:p>
    <w:p w14:paraId="7DBAF6BD">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val="zh-TW" w:eastAsia="zh-TW"/>
        </w:rPr>
        <w:t>《节点工期承诺书》</w:t>
      </w:r>
    </w:p>
    <w:p w14:paraId="3D45C172">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val="zh-TW" w:eastAsia="zh-TW"/>
        </w:rPr>
        <w:t>供应商认为需要提供的其他资格证明文件和商务资料。</w:t>
      </w:r>
    </w:p>
    <w:p w14:paraId="737617B3">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10、投标文件的技术部分</w:t>
      </w:r>
    </w:p>
    <w:p w14:paraId="24ED7D40">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技术部分是证明供应商提供的货物</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lang w:val="zh-TW" w:eastAsia="zh-TW"/>
        </w:rPr>
        <w:t>服务</w:t>
      </w:r>
      <w:r>
        <w:rPr>
          <w:rFonts w:hint="eastAsia" w:ascii="宋体" w:hAnsi="宋体" w:cs="宋体"/>
          <w:color w:val="auto"/>
          <w:sz w:val="24"/>
          <w:szCs w:val="24"/>
          <w:highlight w:val="none"/>
          <w:lang w:val="en-US" w:eastAsia="zh-CN"/>
        </w:rPr>
        <w:t>或工程</w:t>
      </w:r>
      <w:r>
        <w:rPr>
          <w:rFonts w:hint="eastAsia" w:ascii="宋体" w:hAnsi="宋体" w:cs="宋体"/>
          <w:color w:val="auto"/>
          <w:sz w:val="24"/>
          <w:szCs w:val="24"/>
          <w:highlight w:val="none"/>
          <w:lang w:val="zh-TW" w:eastAsia="zh-TW"/>
        </w:rPr>
        <w:t>是合格的、并符合招标文件要求的证明文件，以及对服务的详细说明，这些文件可以是文字资料、图纸和数据等。提供的货物</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lang w:val="zh-TW" w:eastAsia="zh-TW"/>
        </w:rPr>
        <w:t>服务</w:t>
      </w:r>
      <w:r>
        <w:rPr>
          <w:rFonts w:hint="eastAsia" w:ascii="宋体" w:hAnsi="宋体" w:cs="宋体"/>
          <w:color w:val="auto"/>
          <w:sz w:val="24"/>
          <w:szCs w:val="24"/>
          <w:highlight w:val="none"/>
          <w:lang w:val="en-US" w:eastAsia="zh-CN"/>
        </w:rPr>
        <w:t>或工程</w:t>
      </w:r>
      <w:r>
        <w:rPr>
          <w:rFonts w:hint="eastAsia" w:ascii="宋体" w:hAnsi="宋体" w:cs="宋体"/>
          <w:color w:val="auto"/>
          <w:sz w:val="24"/>
          <w:szCs w:val="24"/>
          <w:highlight w:val="none"/>
          <w:lang w:val="zh-TW" w:eastAsia="zh-TW"/>
        </w:rPr>
        <w:t>如与招标文件要求有不符之处，应说明其差别之所在。包括但不限于下列文件，其中加“★”项目不得有缺失或无效：</w:t>
      </w:r>
    </w:p>
    <w:p w14:paraId="0250B2A3">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 xml:space="preserve"> （1）技术说明和方案；</w:t>
      </w:r>
    </w:p>
    <w:p w14:paraId="30EE5FFB">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 xml:space="preserve"> （2）★《技术条款偏离表》；</w:t>
      </w:r>
    </w:p>
    <w:p w14:paraId="7CC98429">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 xml:space="preserve"> （3）服务承诺；</w:t>
      </w:r>
    </w:p>
    <w:p w14:paraId="1FA4E65F">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（4）投标人拟投入本项目的设备、人员情况一览表；</w:t>
      </w:r>
    </w:p>
    <w:p w14:paraId="65825356">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 xml:space="preserve"> （5）供应商认为需要提供的其他技术资料。</w:t>
      </w:r>
    </w:p>
    <w:p w14:paraId="7852FC02">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11、投标文件的价格部分</w:t>
      </w:r>
    </w:p>
    <w:p w14:paraId="2C1B2017">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11.1价格部分是对货物</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lang w:val="zh-TW" w:eastAsia="zh-TW"/>
        </w:rPr>
        <w:t>服务</w:t>
      </w:r>
      <w:r>
        <w:rPr>
          <w:rFonts w:hint="eastAsia" w:ascii="宋体" w:hAnsi="宋体" w:cs="宋体"/>
          <w:color w:val="auto"/>
          <w:sz w:val="24"/>
          <w:szCs w:val="24"/>
          <w:highlight w:val="none"/>
          <w:lang w:val="en-US" w:eastAsia="zh-CN"/>
        </w:rPr>
        <w:t>或工程</w:t>
      </w:r>
      <w:r>
        <w:rPr>
          <w:rFonts w:hint="eastAsia" w:ascii="宋体" w:hAnsi="宋体" w:cs="宋体"/>
          <w:color w:val="auto"/>
          <w:sz w:val="24"/>
          <w:szCs w:val="24"/>
          <w:highlight w:val="none"/>
          <w:lang w:val="zh-TW" w:eastAsia="zh-TW"/>
        </w:rPr>
        <w:t>价格构成的说明，招标文件如没有特别说明的话，对每一项货物</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lang w:val="zh-TW" w:eastAsia="zh-TW"/>
        </w:rPr>
        <w:t>服务</w:t>
      </w:r>
      <w:r>
        <w:rPr>
          <w:rFonts w:hint="eastAsia" w:ascii="宋体" w:hAnsi="宋体" w:cs="宋体"/>
          <w:color w:val="auto"/>
          <w:sz w:val="24"/>
          <w:szCs w:val="24"/>
          <w:highlight w:val="none"/>
          <w:lang w:val="en-US" w:eastAsia="zh-CN"/>
        </w:rPr>
        <w:t>或工程</w:t>
      </w:r>
      <w:r>
        <w:rPr>
          <w:rFonts w:hint="eastAsia" w:ascii="宋体" w:hAnsi="宋体" w:cs="宋体"/>
          <w:color w:val="auto"/>
          <w:sz w:val="24"/>
          <w:szCs w:val="24"/>
          <w:highlight w:val="none"/>
          <w:lang w:val="zh-TW" w:eastAsia="zh-TW"/>
        </w:rPr>
        <w:t>仅接受一个价格。供应商应在《开标一览表》、《分项报价表》</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lang w:val="zh-TW" w:eastAsia="zh-TW"/>
        </w:rPr>
        <w:t>《已标价工程量清单》等标明提供工程施工的单价、总价以及分项报价。</w:t>
      </w:r>
    </w:p>
    <w:p w14:paraId="026FF9F4">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11.2投标报价的说明：</w:t>
      </w:r>
    </w:p>
    <w:p w14:paraId="076F984E">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①投标报价应是采购文件所确定的采购范围内的全部工作内容的价格体现，并包括供应商提出的所有工程内容及措施的费用。其应包括但不限于施工机械设备、劳务、管理、材料、安装、切割、损耗、缺陷修补、临时设施费、二次搬运费、质检（自检及监理工程师认可需要抽检所需的一切费用）、施工配合、赶工期、维护、交通、利润、文明施工费、税金和合同包含的供应商所承担的风险、责任及政策性文件规定的各项所有费用。</w:t>
      </w:r>
    </w:p>
    <w:p w14:paraId="0F52B364">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②施工期间发生的费用诸如（包括并不仅限于）：环境保护费、夜间施工增加费、赶工措施费、特殊条件下施工增加费、检验检测费、市容、扰民费、交通处置等费用供应商自行考虑，计入投标报价，否则视同含在其他项目中。</w:t>
      </w:r>
    </w:p>
    <w:p w14:paraId="762D708A">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③投标报价应按照采购文件提供的工程量清单及编制总说明等要求进行报价；工程量清单报价应包括完成采购文件规定的工程量清单项目所需的全部费用，其内含：①分部分项工程费、措施费、其它项目费和规费、税金；②包括完成每分部分项工程所含全部工程内容的费用；③包括完成每项工程内容所需的全部费用；④工程量清单项目中没有体现的，施工中又必须发生的工程内容所需的费用；⑤考虑风险因素而调整的费用；⑥因采购人在采购文件中的要求而发生的费用。</w:t>
      </w:r>
    </w:p>
    <w:p w14:paraId="52E2C8E9">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④供应商须结合施工现场实际情况，充分考虑现场不利因素包括并不仅限于、临时用水、用电的接驳、二次搬运等所需费用，计入投标报价中，中标后不调整。</w:t>
      </w:r>
    </w:p>
    <w:p w14:paraId="37C9A9C6">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⑤供应商在报价时应充分考虑政策性调整和建材市场风险。</w:t>
      </w:r>
    </w:p>
    <w:p w14:paraId="22AD3CD2">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⑥采购人不能保证工程量清单中分部分项工程特征描述的完整性，供应商在获取采购文件（含工程量清单）后，须先到工地踏勘以充分了解工地位置、环境、道路、储存空间、装卸限制及任何其他足以影响报价之情况，若有疑问（包括工程量清单中特征描述等）需要澄清，应于获取采购文件后在规定时间内以书面向采购人提出，采购人将以书面形式予以解答。逾期未书面提出有关问题的，将视为供应商对上述方面涉及到的内容完全理解并接受。</w:t>
      </w:r>
    </w:p>
    <w:p w14:paraId="7DDF49BC">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⑦供应商必须对工程特点和施工现场作出自己的判断和推测，并对自己的判断和推测负责。供应商任何因忽视或误解工地情况而导致的成本增加或工期延长等申请一律不予认可。签订施工合同后，除发生合同专用条款所约定的调整事项外，一律不做调整。</w:t>
      </w:r>
    </w:p>
    <w:p w14:paraId="50E5A830">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⑧工效降低费：场地限制、环保要求、节假日、市内重大活动期间、省市各级领导对工地现场进行视察以及采购人需要的时间段内，可能对施工作出某些限制和配合要求，供应商应予服从，并按照要求作出必要的配合，这可能降低供应商的工效，采购人不向供应商增加费用支出。供应商在投标报价时应在措施费中列入此项费用，结算时不予调整。</w:t>
      </w:r>
    </w:p>
    <w:p w14:paraId="5BB6B6FC">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⑨所有建筑材料投标报价时均应包括（但不限于）采保费、安装、卸力费、二次搬运、国家有关管理部门要求的对工程的所有材料检测费；另外夜间施工办证费、排污费、道路占用费、噪音费、安全施工费、交通安全防护费等，供应商在投标报价时自行考虑，采购人不另行支付，结算时不调整。</w:t>
      </w:r>
    </w:p>
    <w:p w14:paraId="56327DDA">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 xml:space="preserve">⑩投标报价时需考虑本项目扬尘管理的相关费用，中标后采购人不再支付上述相关费用。 </w:t>
      </w:r>
    </w:p>
    <w:p w14:paraId="7B0C17B9">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⑪建设工程工地应符合宁政传（2019）11号《市政府办公厅关于对全市建设工程工地实施差别化管理的通知》的规定。</w:t>
      </w:r>
    </w:p>
    <w:p w14:paraId="4FC45469">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val="zh-TW" w:eastAsia="zh-TW"/>
        </w:rPr>
        <w:t>.3 供应商根据市场和企业自身情况及本工程实际情况自行报价，中标后不做调整。</w:t>
      </w:r>
    </w:p>
    <w:p w14:paraId="0467DE33">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val="zh-TW" w:eastAsia="zh-TW"/>
        </w:rPr>
        <w:t>.4 供应商的任何错漏、优惠、竞争性报价不得作为减轻责任、减少工程和服务、增加收费、降低质量的理由。</w:t>
      </w:r>
    </w:p>
    <w:p w14:paraId="4DEC4FED">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12、投标文件的其他部分</w:t>
      </w:r>
    </w:p>
    <w:p w14:paraId="2B7CE4DE">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12.1 其他部分由投标人根据编制投标文件需要提供的其他相关文件。</w:t>
      </w:r>
    </w:p>
    <w:p w14:paraId="3F478466">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13、投标保证金（</w:t>
      </w:r>
      <w:r>
        <w:rPr>
          <w:rFonts w:hint="eastAsia" w:ascii="宋体" w:hAnsi="宋体" w:cs="宋体"/>
          <w:color w:val="auto"/>
          <w:sz w:val="24"/>
          <w:szCs w:val="24"/>
          <w:highlight w:val="none"/>
        </w:rPr>
        <w:t>本项目无</w:t>
      </w:r>
      <w:r>
        <w:rPr>
          <w:rFonts w:hint="eastAsia" w:ascii="宋体" w:hAnsi="宋体" w:cs="宋体"/>
          <w:color w:val="auto"/>
          <w:sz w:val="24"/>
          <w:szCs w:val="24"/>
          <w:highlight w:val="none"/>
          <w:lang w:val="zh-TW" w:eastAsia="zh-TW"/>
        </w:rPr>
        <w:t>）</w:t>
      </w:r>
    </w:p>
    <w:p w14:paraId="4CD21C40">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13.1 投标人应按照投标邀请提交投标保证金，并作为其投标的一部分。</w:t>
      </w:r>
    </w:p>
    <w:p w14:paraId="4CE220F6">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13.2 投标保证金应按照投标邀请规定的数额和办法缴纳。</w:t>
      </w:r>
    </w:p>
    <w:p w14:paraId="755E3BCE">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13.3 未中标供应商人的投标保证金，将在中标通知发出后五个工作日内无息退还。未中标供应商应主动与投标文件接收人联系办理投标保证金退还事宜，以及办理退还手续，由于投标人的自身原因未及时办理投标保证金退还的，其责任和由此造成的后果由投标人自行承担。</w:t>
      </w:r>
    </w:p>
    <w:p w14:paraId="23CB01A4">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13.4 中标供应商的投标保证金，将在采购合同签订后五个工作日内无息退还。</w:t>
      </w:r>
    </w:p>
    <w:p w14:paraId="48C366F3">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13.5 下列任何情况发生时，投标保证金不予退还：</w:t>
      </w:r>
    </w:p>
    <w:p w14:paraId="28DAE32B">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（1）投标人在投标截止时间后至投标有效期期满前撤回其投标的；</w:t>
      </w:r>
    </w:p>
    <w:p w14:paraId="4C3E47E4">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（2）中标通知书发出后三十天内，中标供应商未与采购人签订合同的；</w:t>
      </w:r>
    </w:p>
    <w:p w14:paraId="55107294">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（3）提供虚假材料谋取中标的；</w:t>
      </w:r>
    </w:p>
    <w:p w14:paraId="1DF40F03">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（4）经查实属于串通投标的等。</w:t>
      </w:r>
    </w:p>
    <w:p w14:paraId="65542224">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14、投标有效期</w:t>
      </w:r>
    </w:p>
    <w:p w14:paraId="63B6F4E0">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14.1 自开标之日起90天内投标有效。</w:t>
      </w:r>
    </w:p>
    <w:p w14:paraId="52522AB7">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14.2 在特殊情况下，在原投标有效期截止之前，代理机构可要求投标人同意延长投标有效期，这种要求与答复均以书面形式提交。投标人可拒绝这种要求，并且不影响保证金退还。接收延长投标有效期的投标人将不会要求和允许修正其投标，而只会被要求相应地延长其投标保证金的有效期。在这种情况下，有关投标保证金的退还规定在延长了的有效期内继续有效。</w:t>
      </w:r>
    </w:p>
    <w:p w14:paraId="39C77448">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15、投标文件签署</w:t>
      </w:r>
    </w:p>
    <w:p w14:paraId="72220C7B">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 xml:space="preserve">15.1 </w:t>
      </w:r>
      <w:r>
        <w:rPr>
          <w:rFonts w:ascii="宋体" w:hAnsi="宋体" w:cs="宋体"/>
          <w:color w:val="auto"/>
          <w:sz w:val="24"/>
          <w:szCs w:val="24"/>
          <w:highlight w:val="none"/>
          <w:lang w:val="zh-TW" w:eastAsia="zh-TW"/>
        </w:rPr>
        <w:t>投标文件应按照招标文件要求加盖电子公章，否则视为无效投标</w:t>
      </w:r>
      <w:r>
        <w:rPr>
          <w:rFonts w:hint="eastAsia" w:ascii="宋体" w:hAnsi="宋体" w:cs="宋体"/>
          <w:color w:val="auto"/>
          <w:sz w:val="24"/>
          <w:szCs w:val="24"/>
          <w:highlight w:val="none"/>
          <w:lang w:val="zh-TW" w:eastAsia="zh-TW"/>
        </w:rPr>
        <w:t>。</w:t>
      </w:r>
    </w:p>
    <w:p w14:paraId="21B2B235">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16、投标费用</w:t>
      </w:r>
    </w:p>
    <w:p w14:paraId="2697F67E">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16.1 投标人应承担所有与准备和参加投标有关的费用，无论采购结果如何，代理机构和采购人在任何情况下均无义务和责任承担这些费用。</w:t>
      </w:r>
    </w:p>
    <w:p w14:paraId="7E048178">
      <w:pPr>
        <w:pStyle w:val="190"/>
        <w:widowControl w:val="0"/>
        <w:spacing w:line="360" w:lineRule="auto"/>
        <w:ind w:firstLine="482"/>
        <w:rPr>
          <w:rFonts w:hint="eastAsia" w:ascii="宋体" w:hAnsi="宋体" w:cs="宋体"/>
          <w:b/>
          <w:bCs/>
          <w:color w:val="auto"/>
          <w:sz w:val="24"/>
          <w:szCs w:val="24"/>
          <w:highlight w:val="none"/>
          <w:lang w:val="zh-TW"/>
        </w:rPr>
      </w:pPr>
      <w:r>
        <w:rPr>
          <w:rFonts w:hint="eastAsia" w:ascii="宋体" w:hAnsi="宋体" w:cs="宋体"/>
          <w:b/>
          <w:bCs/>
          <w:color w:val="auto"/>
          <w:sz w:val="24"/>
          <w:szCs w:val="24"/>
          <w:highlight w:val="none"/>
          <w:lang w:val="zh-TW" w:eastAsia="zh-TW"/>
        </w:rPr>
        <w:t>16.2 本次招标代理服务费由中标人支付，代理服务费参照《招标代理服务费管理暂行办法》（国家发展计划委员会计价格【2002】1980号）代理服收费标准的50%执行，保底代理服务费3500元。此费用已含在投标报价中，结算时不予另计。以上费用由中标人在领取中标通知书前一次性向招标代理机构支付招标服务费。</w:t>
      </w:r>
    </w:p>
    <w:p w14:paraId="40A68DE2">
      <w:pPr>
        <w:pStyle w:val="190"/>
        <w:widowControl w:val="0"/>
        <w:spacing w:line="360" w:lineRule="auto"/>
        <w:ind w:firstLine="482"/>
        <w:rPr>
          <w:rFonts w:ascii="宋体" w:hAnsi="宋体" w:cs="宋体"/>
          <w:b/>
          <w:bCs/>
          <w:color w:val="auto"/>
          <w:sz w:val="24"/>
          <w:szCs w:val="24"/>
          <w:highlight w:val="none"/>
          <w:lang w:val="zh-TW" w:eastAsia="zh-TW"/>
        </w:rPr>
      </w:pPr>
      <w:r>
        <w:rPr>
          <w:rFonts w:hint="eastAsia" w:ascii="宋体" w:hAnsi="宋体" w:cs="宋体"/>
          <w:b/>
          <w:bCs/>
          <w:color w:val="auto"/>
          <w:sz w:val="24"/>
          <w:szCs w:val="24"/>
          <w:highlight w:val="none"/>
          <w:lang w:val="zh-TW" w:eastAsia="zh-TW"/>
        </w:rPr>
        <w:t>四、投标文件的递交</w:t>
      </w:r>
    </w:p>
    <w:p w14:paraId="59429EBC">
      <w:pPr>
        <w:pStyle w:val="190"/>
        <w:widowControl w:val="0"/>
        <w:spacing w:line="360" w:lineRule="auto"/>
        <w:ind w:firstLine="482"/>
        <w:rPr>
          <w:rFonts w:ascii="宋体" w:hAnsi="宋体" w:cs="宋体"/>
          <w:b/>
          <w:bCs/>
          <w:color w:val="auto"/>
          <w:sz w:val="24"/>
          <w:szCs w:val="24"/>
          <w:highlight w:val="none"/>
          <w:lang w:val="zh-TW" w:eastAsia="zh-TW"/>
        </w:rPr>
      </w:pPr>
      <w:r>
        <w:rPr>
          <w:rFonts w:hint="eastAsia" w:ascii="宋体" w:hAnsi="宋体" w:cs="宋体"/>
          <w:b/>
          <w:bCs/>
          <w:color w:val="auto"/>
          <w:sz w:val="24"/>
          <w:szCs w:val="24"/>
          <w:highlight w:val="none"/>
          <w:lang w:val="zh-TW" w:eastAsia="zh-TW"/>
        </w:rPr>
        <w:t>17、投标文件的递交</w:t>
      </w:r>
    </w:p>
    <w:p w14:paraId="3B1143E1">
      <w:pPr>
        <w:pStyle w:val="228"/>
        <w:spacing w:line="360" w:lineRule="auto"/>
        <w:ind w:firstLine="480"/>
        <w:rPr>
          <w:rFonts w:hint="eastAsia"/>
          <w:b/>
          <w:color w:val="auto"/>
          <w:highlight w:val="none"/>
          <w:lang w:eastAsia="zh-CN"/>
        </w:rPr>
      </w:pPr>
      <w:r>
        <w:rPr>
          <w:rFonts w:hint="eastAsia" w:ascii="宋体" w:hAnsi="宋体" w:cs="宋体"/>
          <w:color w:val="auto"/>
          <w:highlight w:val="none"/>
          <w:lang w:val="zh-TW" w:eastAsia="zh-TW"/>
        </w:rPr>
        <w:t>17.1</w:t>
      </w:r>
      <w:r>
        <w:rPr>
          <w:b/>
          <w:color w:val="auto"/>
          <w:highlight w:val="none"/>
          <w:lang w:eastAsia="zh-CN"/>
        </w:rPr>
        <w:t>投标人应当按照《操作手册》规定，在招标公告规定的投标截止时间前制作并上传电子投标文件。招标代理机构拒绝接收提交投标文件截止时间后上传的任何电子投标文件。</w:t>
      </w:r>
    </w:p>
    <w:p w14:paraId="70B2A03E">
      <w:pPr>
        <w:pStyle w:val="190"/>
        <w:widowControl w:val="0"/>
        <w:spacing w:line="360" w:lineRule="auto"/>
        <w:ind w:firstLine="482"/>
        <w:rPr>
          <w:rFonts w:hint="eastAsia" w:ascii="宋体" w:hAnsi="宋体" w:cs="宋体"/>
          <w:b/>
          <w:bCs/>
          <w:color w:val="auto"/>
          <w:sz w:val="24"/>
          <w:szCs w:val="24"/>
          <w:highlight w:val="none"/>
          <w:lang w:val="zh-TW" w:eastAsia="zh-TW"/>
        </w:rPr>
      </w:pPr>
      <w:r>
        <w:rPr>
          <w:rFonts w:hint="eastAsia" w:ascii="宋体" w:hAnsi="宋体" w:cs="宋体"/>
          <w:b/>
          <w:bCs/>
          <w:color w:val="auto"/>
          <w:sz w:val="24"/>
          <w:szCs w:val="24"/>
          <w:highlight w:val="none"/>
          <w:lang w:val="zh-TW"/>
        </w:rPr>
        <w:t>18、</w:t>
      </w:r>
      <w:r>
        <w:rPr>
          <w:rFonts w:ascii="宋体" w:hAnsi="宋体" w:cs="宋体"/>
          <w:b/>
          <w:bCs/>
          <w:color w:val="auto"/>
          <w:sz w:val="24"/>
          <w:szCs w:val="24"/>
          <w:highlight w:val="none"/>
          <w:lang w:val="zh-TW" w:eastAsia="zh-TW"/>
        </w:rPr>
        <w:t>投标文件的解密</w:t>
      </w:r>
    </w:p>
    <w:p w14:paraId="781815B1">
      <w:pPr>
        <w:pStyle w:val="228"/>
        <w:widowControl w:val="0"/>
        <w:numPr>
          <w:ilvl w:val="0"/>
          <w:numId w:val="5"/>
        </w:numPr>
        <w:tabs>
          <w:tab w:val="clear" w:pos="993"/>
          <w:tab w:val="clear" w:pos="1134"/>
        </w:tabs>
        <w:spacing w:line="360" w:lineRule="auto"/>
        <w:rPr>
          <w:rFonts w:hint="eastAsia"/>
          <w:b/>
          <w:color w:val="auto"/>
          <w:highlight w:val="none"/>
          <w:lang w:eastAsia="zh-CN"/>
        </w:rPr>
      </w:pPr>
      <w:r>
        <w:rPr>
          <w:b/>
          <w:color w:val="auto"/>
          <w:highlight w:val="none"/>
          <w:lang w:eastAsia="zh-CN"/>
        </w:rPr>
        <w:t>投标人应当按照《操作手册》规定，在“苏采云”系统规定的时间内对投标文件进行解密，投标人应充分考虑网络环境、网络带宽等因素可能对投标产生的影响，如因投标人自身原因造成的电子投标文件上传不成功的，按做无效投标处理</w:t>
      </w:r>
    </w:p>
    <w:p w14:paraId="1E4E3682">
      <w:pPr>
        <w:widowControl w:val="0"/>
        <w:spacing w:line="360" w:lineRule="auto"/>
        <w:ind w:firstLine="482"/>
        <w:jc w:val="both"/>
        <w:rPr>
          <w:rFonts w:hint="eastAsia" w:ascii="宋体" w:hAnsi="宋体" w:cs="宋体"/>
          <w:color w:val="auto"/>
          <w:highlight w:val="none"/>
          <w:lang w:val="zh-TW" w:eastAsia="zh-TW"/>
        </w:rPr>
      </w:pPr>
      <w:r>
        <w:rPr>
          <w:b/>
          <w:color w:val="auto"/>
          <w:highlight w:val="none"/>
          <w:lang w:eastAsia="zh-CN"/>
        </w:rPr>
        <w:t>招标人可以按照规定，通过修改招标文件酌情延长投标截止时间，在此情况下，投标人的所有权利和义务均以延长后新的截止时间为准</w:t>
      </w:r>
      <w:r>
        <w:rPr>
          <w:rFonts w:hint="eastAsia" w:ascii="宋体" w:hAnsi="宋体" w:cs="宋体"/>
          <w:color w:val="auto"/>
          <w:highlight w:val="none"/>
          <w:lang w:val="zh-TW" w:eastAsia="zh-TW"/>
        </w:rPr>
        <w:t>。</w:t>
      </w:r>
    </w:p>
    <w:p w14:paraId="0CDE4398">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19、投标文件的修改和撤回</w:t>
      </w:r>
    </w:p>
    <w:p w14:paraId="48DA6919">
      <w:pPr>
        <w:pStyle w:val="190"/>
        <w:widowControl w:val="0"/>
        <w:spacing w:line="360" w:lineRule="auto"/>
        <w:ind w:firstLine="48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19.1</w:t>
      </w:r>
      <w:r>
        <w:rPr>
          <w:rFonts w:hint="eastAsia"/>
          <w:color w:val="auto"/>
          <w:highlight w:val="none"/>
        </w:rPr>
        <w:t xml:space="preserve"> </w:t>
      </w:r>
      <w:r>
        <w:rPr>
          <w:rFonts w:hint="eastAsia" w:ascii="宋体" w:hAnsi="宋体" w:cs="宋体"/>
          <w:color w:val="auto"/>
          <w:sz w:val="24"/>
          <w:szCs w:val="24"/>
          <w:highlight w:val="none"/>
          <w:lang w:val="zh-TW"/>
        </w:rPr>
        <w:t>投标文件的撤回</w:t>
      </w:r>
    </w:p>
    <w:p w14:paraId="1627C556">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19.1</w:t>
      </w:r>
      <w:r>
        <w:rPr>
          <w:rFonts w:hint="eastAsia" w:ascii="宋体" w:hAnsi="宋体" w:cs="宋体"/>
          <w:color w:val="auto"/>
          <w:sz w:val="24"/>
          <w:szCs w:val="24"/>
          <w:highlight w:val="none"/>
          <w:lang w:val="zh-TW"/>
        </w:rPr>
        <w:t>.1</w:t>
      </w:r>
      <w:r>
        <w:rPr>
          <w:rFonts w:hint="eastAsia" w:ascii="宋体" w:hAnsi="宋体" w:cs="宋体"/>
          <w:color w:val="auto"/>
          <w:sz w:val="24"/>
          <w:szCs w:val="24"/>
          <w:highlight w:val="none"/>
          <w:lang w:val="zh-TW" w:eastAsia="zh-TW"/>
        </w:rPr>
        <w:t>投标人可在投标截止时间前撤回其电子投标文件，具体操作方法见《操作手册》。</w:t>
      </w:r>
    </w:p>
    <w:p w14:paraId="579BA478">
      <w:pPr>
        <w:pStyle w:val="190"/>
        <w:widowControl w:val="0"/>
        <w:spacing w:line="360" w:lineRule="auto"/>
        <w:ind w:firstLine="480"/>
        <w:rPr>
          <w:rFonts w:ascii="宋体" w:hAnsi="宋体" w:cs="宋体"/>
          <w:color w:val="auto"/>
          <w:sz w:val="24"/>
          <w:szCs w:val="24"/>
          <w:highlight w:val="none"/>
          <w:lang w:val="zh-TW"/>
        </w:rPr>
      </w:pPr>
      <w:r>
        <w:rPr>
          <w:rFonts w:hint="eastAsia" w:ascii="宋体" w:hAnsi="宋体" w:cs="宋体"/>
          <w:color w:val="auto"/>
          <w:sz w:val="24"/>
          <w:szCs w:val="24"/>
          <w:highlight w:val="none"/>
          <w:lang w:val="zh-TW"/>
        </w:rPr>
        <w:t>19.1.2</w:t>
      </w:r>
      <w:r>
        <w:rPr>
          <w:rFonts w:hint="eastAsia" w:ascii="宋体" w:hAnsi="宋体" w:cs="宋体"/>
          <w:color w:val="auto"/>
          <w:sz w:val="24"/>
          <w:szCs w:val="24"/>
          <w:highlight w:val="none"/>
          <w:lang w:val="zh-TW" w:eastAsia="zh-TW"/>
        </w:rPr>
        <w:t>投标人撤回电子投标文件，则认为其不再参与本项目投标活动。</w:t>
      </w:r>
    </w:p>
    <w:p w14:paraId="3AB828FD">
      <w:pPr>
        <w:pStyle w:val="40"/>
        <w:keepNext w:val="0"/>
        <w:keepLines w:val="0"/>
        <w:widowControl w:val="0"/>
        <w:spacing w:before="0" w:after="0" w:line="360" w:lineRule="auto"/>
        <w:ind w:firstLine="480"/>
        <w:rPr>
          <w:rFonts w:hint="eastAsia" w:ascii="宋体" w:hAnsi="宋体" w:cs="宋体"/>
          <w:b w:val="0"/>
          <w:bCs w:val="0"/>
          <w:color w:val="auto"/>
          <w:sz w:val="24"/>
          <w:szCs w:val="24"/>
          <w:highlight w:val="none"/>
          <w:lang w:val="zh-TW" w:eastAsia="zh-CN"/>
        </w:rPr>
      </w:pPr>
      <w:r>
        <w:rPr>
          <w:rFonts w:hint="eastAsia" w:ascii="宋体" w:hAnsi="宋体" w:cs="宋体"/>
          <w:b w:val="0"/>
          <w:bCs w:val="0"/>
          <w:color w:val="auto"/>
          <w:sz w:val="24"/>
          <w:szCs w:val="24"/>
          <w:highlight w:val="none"/>
          <w:lang w:val="zh-TW" w:eastAsia="zh-CN"/>
        </w:rPr>
        <w:t>19.2</w:t>
      </w:r>
      <w:r>
        <w:rPr>
          <w:rFonts w:ascii="宋体" w:hAnsi="宋体" w:cs="宋体"/>
          <w:b w:val="0"/>
          <w:bCs w:val="0"/>
          <w:color w:val="auto"/>
          <w:sz w:val="24"/>
          <w:szCs w:val="24"/>
          <w:highlight w:val="none"/>
          <w:lang w:val="zh-TW" w:eastAsia="zh-CN"/>
        </w:rPr>
        <w:t>投标文件的修改</w:t>
      </w:r>
    </w:p>
    <w:p w14:paraId="348BFD01">
      <w:pPr>
        <w:pStyle w:val="228"/>
        <w:widowControl w:val="0"/>
        <w:numPr>
          <w:ilvl w:val="0"/>
          <w:numId w:val="6"/>
        </w:numPr>
        <w:tabs>
          <w:tab w:val="clear" w:pos="993"/>
          <w:tab w:val="clear" w:pos="1134"/>
        </w:tabs>
        <w:spacing w:line="360" w:lineRule="auto"/>
        <w:rPr>
          <w:rFonts w:hint="eastAsia"/>
          <w:color w:val="auto"/>
          <w:highlight w:val="none"/>
          <w:lang w:eastAsia="zh-CN"/>
        </w:rPr>
      </w:pPr>
      <w:r>
        <w:rPr>
          <w:rFonts w:hint="eastAsia"/>
          <w:color w:val="auto"/>
          <w:highlight w:val="none"/>
          <w:lang w:eastAsia="zh-CN"/>
        </w:rPr>
        <w:t>投标人可在投标截止时间前对其电子投标文件进行修改，具体操作方法见《操作手册》</w:t>
      </w:r>
      <w:r>
        <w:rPr>
          <w:color w:val="auto"/>
          <w:highlight w:val="none"/>
          <w:lang w:eastAsia="zh-CN"/>
        </w:rPr>
        <w:t>。</w:t>
      </w:r>
    </w:p>
    <w:p w14:paraId="06200C83">
      <w:pPr>
        <w:pStyle w:val="190"/>
        <w:widowControl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19.2.2</w:t>
      </w:r>
      <w:r>
        <w:rPr>
          <w:rFonts w:hint="eastAsia"/>
          <w:color w:val="auto"/>
          <w:highlight w:val="none"/>
        </w:rPr>
        <w:t xml:space="preserve"> </w:t>
      </w:r>
      <w:r>
        <w:rPr>
          <w:rFonts w:hint="eastAsia" w:ascii="宋体" w:hAnsi="宋体" w:cs="宋体"/>
          <w:color w:val="auto"/>
          <w:sz w:val="24"/>
          <w:szCs w:val="24"/>
          <w:highlight w:val="none"/>
        </w:rPr>
        <w:t>投标截止时间之后，投标人不得对其电子投标文件作任何修改。</w:t>
      </w:r>
    </w:p>
    <w:p w14:paraId="774E7FB6">
      <w:pPr>
        <w:pStyle w:val="190"/>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19.2.3</w:t>
      </w:r>
      <w:r>
        <w:rPr>
          <w:rFonts w:hint="eastAsia"/>
          <w:color w:val="auto"/>
          <w:highlight w:val="none"/>
        </w:rPr>
        <w:t xml:space="preserve"> </w:t>
      </w:r>
      <w:r>
        <w:rPr>
          <w:rFonts w:hint="eastAsia" w:ascii="宋体" w:hAnsi="宋体" w:cs="宋体"/>
          <w:color w:val="auto"/>
          <w:sz w:val="24"/>
          <w:szCs w:val="24"/>
          <w:highlight w:val="none"/>
        </w:rPr>
        <w:t>在投标截止时间至招标文件中规定的投标有效期满之间的这段时间内，投标人不得撤回其投标。</w:t>
      </w:r>
    </w:p>
    <w:p w14:paraId="41F55710">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20、诚实信用</w:t>
      </w:r>
    </w:p>
    <w:p w14:paraId="1783BC77">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20.1 投标人之间不得相互串通投标报价，不得妨碍其他投标人的公平竞争，不得损害采购人和其他投标人的合法权益。</w:t>
      </w:r>
    </w:p>
    <w:p w14:paraId="7CD61E14">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20.2 投标人不得以向代理机构工作人员、评标委员会成员行贿或者采取其他不正当手段谋取中标。</w:t>
      </w:r>
    </w:p>
    <w:p w14:paraId="1E19564C">
      <w:pPr>
        <w:pStyle w:val="190"/>
        <w:widowControl w:val="0"/>
        <w:spacing w:line="360" w:lineRule="auto"/>
        <w:ind w:firstLine="482"/>
        <w:rPr>
          <w:rFonts w:ascii="宋体" w:hAnsi="宋体" w:cs="宋体"/>
          <w:b/>
          <w:bCs/>
          <w:color w:val="auto"/>
          <w:sz w:val="24"/>
          <w:szCs w:val="24"/>
          <w:highlight w:val="none"/>
          <w:lang w:val="zh-TW" w:eastAsia="zh-TW"/>
        </w:rPr>
      </w:pPr>
      <w:r>
        <w:rPr>
          <w:rFonts w:hint="eastAsia" w:ascii="宋体" w:hAnsi="宋体" w:cs="宋体"/>
          <w:b/>
          <w:bCs/>
          <w:color w:val="auto"/>
          <w:sz w:val="24"/>
          <w:szCs w:val="24"/>
          <w:highlight w:val="none"/>
          <w:lang w:val="zh-TW" w:eastAsia="zh-TW"/>
        </w:rPr>
        <w:t>五、开标、评标与定标</w:t>
      </w:r>
    </w:p>
    <w:p w14:paraId="3407F6E7">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21、开标</w:t>
      </w:r>
    </w:p>
    <w:p w14:paraId="70DA6AC4">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21.1 招标人在招标公告中规定的时间和地点组织公开开标。投标人按照《操作手册》规定参加开标活动，并在苏采云系统规定的时间内对投标文件进行解密。苏采云系统公布各投标人名称和投标价格。</w:t>
      </w:r>
    </w:p>
    <w:p w14:paraId="3310F6EB">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21.2 投标人在开标过程中涉及到的投标文件解密、开标结果确认等工作，应按照《操作手册》规定执行。</w:t>
      </w:r>
    </w:p>
    <w:p w14:paraId="3A800387">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21.3 投标人不足3家的，不得开标。</w:t>
      </w:r>
    </w:p>
    <w:p w14:paraId="70F96860">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21.4 投标人如果对开标过程和开标结果有疑义，应当根据《操作手册》规定提出，“苏采云”系统中《开标记录表》公布后5分钟内未提出的，视同认可开标结果。</w:t>
      </w:r>
    </w:p>
    <w:p w14:paraId="15B83C9E">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22、评标</w:t>
      </w:r>
    </w:p>
    <w:p w14:paraId="12C845A5">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22.1 评标委员会</w:t>
      </w:r>
    </w:p>
    <w:p w14:paraId="4B761009">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22.1 评标由组织评标委员会（以下简称“评委会”）进行。</w:t>
      </w:r>
    </w:p>
    <w:p w14:paraId="0A1CCB34">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22.2 评委会由采购人代表和有关技术、经济等方面的专家组成，且人员构成符合政府采购有关规定。</w:t>
      </w:r>
    </w:p>
    <w:p w14:paraId="557D3E00">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22.3 评委会独立工作，负责评审所有投标文件并推荐中标候选人，或根据采购人授权直接确定中标人。</w:t>
      </w:r>
    </w:p>
    <w:p w14:paraId="183C897C">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22.1.1评标委员会负责具体评标事务，并独立履行下列职责：</w:t>
      </w:r>
    </w:p>
    <w:p w14:paraId="79EA37E1">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（一）审查、评价投标文件是否符合招标文件的商务、技术等实质性要求；</w:t>
      </w:r>
    </w:p>
    <w:p w14:paraId="5B4A2C31">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（二）要求投标人对投标文件有关事项作出澄清或者说明；</w:t>
      </w:r>
    </w:p>
    <w:p w14:paraId="3CFC676C">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（三）对投标文件进行比较和评价；</w:t>
      </w:r>
    </w:p>
    <w:p w14:paraId="3E0D402B">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（四）确定中标候选人名单，以及根据采购人委托直接确定中标人；</w:t>
      </w:r>
    </w:p>
    <w:p w14:paraId="7328566B">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（五）向采购人、采购代理机构或者有关部门报告评标中发现的违法行为。</w:t>
      </w:r>
    </w:p>
    <w:p w14:paraId="5EF24D16">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22.2 评标程序</w:t>
      </w:r>
    </w:p>
    <w:p w14:paraId="02D37A25">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22.2.1 投标文件的资格性检查。公开招标采购项目开标结束后，采购人或者采购代理机构应当依法对投标人的资格进行审查。合格投标人不足3家的，不得评标。</w:t>
      </w:r>
    </w:p>
    <w:p w14:paraId="52841364">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22.2.2 投标文件的符合性审查。评标委员会对通过资格性检查的投标人的投标文件进行符合性审查，以确定其是否满足招标文件的实质性要求。投标文件有下列情况之一的，在符合性检查时按照无效投标处理：</w:t>
      </w:r>
    </w:p>
    <w:p w14:paraId="03157894">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（1）投标人在“苏采云”系统规定的时间内未成功解密电子投标文件的；</w:t>
      </w:r>
    </w:p>
    <w:p w14:paraId="3B8FAA32">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（2）投标人未按照招标文件要求上传电子投标文件的；</w:t>
      </w:r>
    </w:p>
    <w:p w14:paraId="2C177679">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（3）同一投标人提交两个（含两个）以上不同的投标报价的；</w:t>
      </w:r>
    </w:p>
    <w:p w14:paraId="59CF2B86">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（4）投标文件未按照招标文件要求加盖电子公章的；</w:t>
      </w:r>
    </w:p>
    <w:p w14:paraId="20079C77">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（5）不具备招标文件中规定的资格要求的；</w:t>
      </w:r>
    </w:p>
    <w:p w14:paraId="2929889E">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（6）报价超过招标文件中规定的预算金额或者最高限价的；</w:t>
      </w:r>
    </w:p>
    <w:p w14:paraId="15B2B570">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（7）投标文件含有采购人不能接受的附加条件的；</w:t>
      </w:r>
    </w:p>
    <w:p w14:paraId="57E21250">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（8）投标文件内容不全或不符合招标文件中规定的其他实质性要求的；</w:t>
      </w:r>
    </w:p>
    <w:p w14:paraId="7426D6AB">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（9）现行法律、法规、规章和招标文件规定的其他无效情形。</w:t>
      </w:r>
    </w:p>
    <w:p w14:paraId="0477C8DD">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22.2.2.1 实质性要求是指本招标文件中用带星号（“★”）等或者其他明确要求的废标的商务和技术要求。</w:t>
      </w:r>
    </w:p>
    <w:p w14:paraId="605E5210">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22.2.2.2 未通过资格审查或符合性审查的投标人，代理机构将通过“苏采云”系统告知其具体原因，评标结束后不再接受有关询问。</w:t>
      </w:r>
    </w:p>
    <w:p w14:paraId="540992AD">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22.2.2.3 有下列情形之一的予以废标：</w:t>
      </w:r>
    </w:p>
    <w:p w14:paraId="5321FB92">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（1）符合专业条件的投标人或者对招标文件作实质性响应的投标人不足三家的；</w:t>
      </w:r>
    </w:p>
    <w:p w14:paraId="30D24C32">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（2）出现影响采购公正的违法、违规行为的；</w:t>
      </w:r>
    </w:p>
    <w:p w14:paraId="6EBEC208">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（3）投标人的报价均超过了采购预算，采购人不能支付的；</w:t>
      </w:r>
    </w:p>
    <w:p w14:paraId="752AC6AF">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（4）因苏采云系统故障造成开标不成功的；</w:t>
      </w:r>
    </w:p>
    <w:p w14:paraId="04DA3AA9">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（5）因重大变故，采购任务取消的。</w:t>
      </w:r>
    </w:p>
    <w:p w14:paraId="75925056">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（6）投标人以明显低于其他通过符合性审查投标人的报价，有可能影响产品质量或者不能诚信履约的，且不能证明其报价合理性的。</w:t>
      </w:r>
    </w:p>
    <w:p w14:paraId="61DC7178">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22.2.3 澄清有关问题。</w:t>
      </w:r>
    </w:p>
    <w:p w14:paraId="7BABC44E">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22.2.3.1 评标期间，评委会对投标文件中含义不明确、同类问题表述不一致或者有明显文字和计算错误的内容，有权要求投标人作出必要的澄清、说明或者补正。</w:t>
      </w:r>
    </w:p>
    <w:p w14:paraId="625CE8B4">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投标人的澄清、说明或者补正不得超出投标文件的范围或者改变投标文件的实质性内容。</w:t>
      </w:r>
    </w:p>
    <w:p w14:paraId="6E9433A0">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评委会并非对每个投标人都做澄清要求。</w:t>
      </w:r>
    </w:p>
    <w:p w14:paraId="656C01F7">
      <w:pPr>
        <w:spacing w:line="360" w:lineRule="auto"/>
        <w:ind w:firstLine="448" w:firstLineChars="187"/>
        <w:rPr>
          <w:rFonts w:ascii="宋体"/>
          <w:color w:val="auto"/>
          <w:highlight w:val="none"/>
        </w:rPr>
      </w:pPr>
      <w:r>
        <w:rPr>
          <w:rFonts w:hint="eastAsia" w:ascii="宋体"/>
          <w:color w:val="auto"/>
          <w:highlight w:val="none"/>
        </w:rPr>
        <w:t>修正错误的原则如下：</w:t>
      </w:r>
    </w:p>
    <w:p w14:paraId="64BAD3C2">
      <w:pPr>
        <w:numPr>
          <w:ilvl w:val="0"/>
          <w:numId w:val="0"/>
        </w:numPr>
        <w:spacing w:line="360" w:lineRule="auto"/>
        <w:ind w:firstLine="480" w:firstLineChars="200"/>
        <w:rPr>
          <w:rFonts w:ascii="宋体" w:hAnsi="宋体" w:eastAsia="宋体" w:cs="宋体"/>
          <w:color w:val="auto"/>
          <w:szCs w:val="21"/>
          <w:highlight w:val="none"/>
        </w:rPr>
      </w:pPr>
      <w:r>
        <w:rPr>
          <w:rFonts w:hint="eastAsia" w:ascii="宋体" w:hAnsi="宋体" w:cs="宋体"/>
          <w:color w:val="auto"/>
          <w:sz w:val="24"/>
          <w:szCs w:val="21"/>
          <w:highlight w:val="none"/>
          <w:lang w:val="en-US" w:eastAsia="zh-CN" w:bidi="ar-SA"/>
        </w:rPr>
        <w:t>①</w:t>
      </w:r>
      <w:r>
        <w:rPr>
          <w:rFonts w:hint="eastAsia" w:ascii="宋体" w:hAnsi="宋体" w:eastAsia="宋体" w:cs="宋体"/>
          <w:color w:val="auto"/>
          <w:szCs w:val="21"/>
          <w:highlight w:val="none"/>
        </w:rPr>
        <w:t>《开标一览表》内容与投标文件中相应内容不一致的，以《开标一览表》为准；</w:t>
      </w:r>
    </w:p>
    <w:p w14:paraId="78AE1325">
      <w:pPr>
        <w:numPr>
          <w:ilvl w:val="0"/>
          <w:numId w:val="0"/>
        </w:numPr>
        <w:spacing w:line="360" w:lineRule="auto"/>
        <w:ind w:firstLine="480" w:firstLineChars="200"/>
        <w:rPr>
          <w:rFonts w:ascii="宋体" w:hAnsi="宋体" w:eastAsia="宋体" w:cs="宋体"/>
          <w:color w:val="auto"/>
          <w:szCs w:val="21"/>
          <w:highlight w:val="none"/>
        </w:rPr>
      </w:pPr>
      <w:r>
        <w:rPr>
          <w:rFonts w:hint="eastAsia" w:ascii="宋体" w:hAnsi="宋体" w:cs="宋体"/>
          <w:color w:val="auto"/>
          <w:sz w:val="24"/>
          <w:szCs w:val="21"/>
          <w:highlight w:val="none"/>
          <w:lang w:val="en-US" w:eastAsia="zh-CN" w:bidi="ar-SA"/>
        </w:rPr>
        <w:t>②</w:t>
      </w:r>
      <w:r>
        <w:rPr>
          <w:rFonts w:hint="eastAsia" w:ascii="宋体" w:hAnsi="宋体" w:eastAsia="宋体" w:cs="宋体"/>
          <w:color w:val="auto"/>
          <w:szCs w:val="21"/>
          <w:highlight w:val="none"/>
        </w:rPr>
        <w:t>《开标一览表》中报价的大写金额与小写金额不一致的，以大写金额为准；</w:t>
      </w:r>
    </w:p>
    <w:p w14:paraId="35F72B98">
      <w:pPr>
        <w:numPr>
          <w:ilvl w:val="0"/>
          <w:numId w:val="0"/>
        </w:numPr>
        <w:spacing w:line="360" w:lineRule="auto"/>
        <w:ind w:firstLine="480" w:firstLineChars="200"/>
        <w:rPr>
          <w:rFonts w:ascii="宋体" w:hAnsi="宋体" w:eastAsia="宋体" w:cs="宋体"/>
          <w:color w:val="auto"/>
          <w:szCs w:val="21"/>
          <w:highlight w:val="none"/>
        </w:rPr>
      </w:pPr>
      <w:r>
        <w:rPr>
          <w:rFonts w:hint="eastAsia" w:ascii="宋体" w:hAnsi="宋体" w:cs="宋体"/>
          <w:color w:val="auto"/>
          <w:sz w:val="24"/>
          <w:szCs w:val="21"/>
          <w:highlight w:val="none"/>
          <w:lang w:val="en-US" w:eastAsia="zh-CN" w:bidi="ar-SA"/>
        </w:rPr>
        <w:t>③</w:t>
      </w:r>
      <w:r>
        <w:rPr>
          <w:rFonts w:hint="eastAsia" w:ascii="宋体" w:hAnsi="宋体" w:eastAsia="宋体" w:cs="宋体"/>
          <w:color w:val="auto"/>
          <w:szCs w:val="21"/>
          <w:highlight w:val="none"/>
        </w:rPr>
        <w:t>单价金额小数点或者百分比有明显错位的，以《开标一览表》的总价为准，并修改单价；</w:t>
      </w:r>
    </w:p>
    <w:p w14:paraId="41C56559">
      <w:pPr>
        <w:numPr>
          <w:ilvl w:val="0"/>
          <w:numId w:val="0"/>
        </w:numPr>
        <w:spacing w:line="360" w:lineRule="auto"/>
        <w:ind w:firstLine="480" w:firstLineChars="200"/>
        <w:rPr>
          <w:rFonts w:ascii="宋体" w:hAnsi="宋体" w:eastAsia="宋体" w:cs="宋体"/>
          <w:color w:val="auto"/>
          <w:szCs w:val="21"/>
          <w:highlight w:val="none"/>
        </w:rPr>
      </w:pPr>
      <w:r>
        <w:rPr>
          <w:rFonts w:hint="eastAsia" w:ascii="宋体" w:hAnsi="宋体" w:cs="宋体"/>
          <w:color w:val="auto"/>
          <w:sz w:val="24"/>
          <w:szCs w:val="21"/>
          <w:highlight w:val="none"/>
          <w:lang w:val="en-US" w:eastAsia="zh-CN" w:bidi="ar-SA"/>
        </w:rPr>
        <w:t>④</w:t>
      </w:r>
      <w:r>
        <w:rPr>
          <w:rFonts w:hint="eastAsia" w:ascii="宋体" w:hAnsi="宋体" w:eastAsia="宋体" w:cs="宋体"/>
          <w:color w:val="auto"/>
          <w:szCs w:val="21"/>
          <w:highlight w:val="none"/>
        </w:rPr>
        <w:t>总价金额与按单价汇总金额不一致的，以单价金额计算结果为准；</w:t>
      </w:r>
    </w:p>
    <w:p w14:paraId="785B3811">
      <w:pPr>
        <w:numPr>
          <w:ilvl w:val="0"/>
          <w:numId w:val="0"/>
        </w:numPr>
        <w:spacing w:line="360" w:lineRule="auto"/>
        <w:ind w:firstLine="480" w:firstLineChars="200"/>
        <w:rPr>
          <w:rFonts w:ascii="宋体" w:hAnsi="宋体" w:eastAsia="宋体" w:cs="宋体"/>
          <w:color w:val="auto"/>
          <w:szCs w:val="21"/>
          <w:highlight w:val="none"/>
        </w:rPr>
      </w:pPr>
      <w:r>
        <w:rPr>
          <w:rFonts w:hint="eastAsia" w:ascii="宋体" w:hAnsi="宋体" w:cs="宋体"/>
          <w:color w:val="auto"/>
          <w:sz w:val="24"/>
          <w:szCs w:val="21"/>
          <w:highlight w:val="none"/>
          <w:lang w:val="en-US" w:eastAsia="zh-CN" w:bidi="ar-SA"/>
        </w:rPr>
        <w:t>⑤</w:t>
      </w:r>
      <w:r>
        <w:rPr>
          <w:rFonts w:hint="eastAsia" w:ascii="宋体" w:hAnsi="宋体" w:eastAsia="宋体" w:cs="宋体"/>
          <w:color w:val="auto"/>
          <w:szCs w:val="21"/>
          <w:highlight w:val="none"/>
        </w:rPr>
        <w:t>同时出现前述两种及以上不一致的，按照前述的顺序修正。</w:t>
      </w:r>
    </w:p>
    <w:p w14:paraId="4F89A8AE">
      <w:pPr>
        <w:spacing w:line="360" w:lineRule="auto"/>
        <w:ind w:firstLine="420"/>
        <w:rPr>
          <w:rFonts w:hint="eastAsia" w:ascii="宋体" w:hAnsi="宋体" w:cs="宋体"/>
          <w:color w:val="auto"/>
          <w:sz w:val="24"/>
          <w:szCs w:val="24"/>
          <w:highlight w:val="none"/>
          <w:lang w:val="zh-TW" w:eastAsia="zh-TW"/>
        </w:rPr>
      </w:pPr>
      <w:r>
        <w:rPr>
          <w:rFonts w:hint="eastAsia" w:ascii="宋体"/>
          <w:color w:val="auto"/>
          <w:highlight w:val="none"/>
        </w:rPr>
        <w:t>评标委员会将按上述修正错误的方法调整投标文件中的投标报价，</w:t>
      </w:r>
      <w:r>
        <w:rPr>
          <w:rFonts w:hint="eastAsia" w:ascii="宋体"/>
          <w:color w:val="auto"/>
          <w:highlight w:val="none"/>
          <w:lang w:val="zh-CN"/>
        </w:rPr>
        <w:t>并通过苏采云系统告知投标人，</w:t>
      </w:r>
      <w:r>
        <w:rPr>
          <w:rFonts w:hint="eastAsia" w:ascii="宋体"/>
          <w:color w:val="auto"/>
          <w:highlight w:val="none"/>
        </w:rPr>
        <w:t>调整后的价格对投标人具有约束力。如果投标人不接受修正后的价格，则其投标将被拒绝。</w:t>
      </w:r>
    </w:p>
    <w:p w14:paraId="0E15E14B">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22.2.3.2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1980FD52">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22.2.3.3 接到评委会澄清、说明和补正要求的，投标人如未按规定作出澄清、说明和补正，其风险由投标人自行承担。</w:t>
      </w:r>
    </w:p>
    <w:p w14:paraId="7231EFBD">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22.2.3.4 投标人在开、评标全过程中应保持通讯畅通，及时登录苏采云系统查阅、答复相关信息，并安排专人与代理机构及评委会联系。</w:t>
      </w:r>
    </w:p>
    <w:p w14:paraId="54E8F443">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22.2.4 比较与评价。评标委员会应当按照招标文件中规定的评标方法和标准，对符合性审查合格的投标文件进行商务和技术评估，综合比较与评价。</w:t>
      </w:r>
    </w:p>
    <w:p w14:paraId="3B614095">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22.2.5 相同品牌产品的投标</w:t>
      </w:r>
    </w:p>
    <w:p w14:paraId="5C506D4A">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424AC1B3">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6FE40E16">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非单一产品采购项目，确定核心产品的方法在招标文件技术需求中载明。多家投标人提供的核心产品品牌相同的，按前两款规定处理。</w:t>
      </w:r>
    </w:p>
    <w:p w14:paraId="0AAF007A">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22.2.6评标过程中出现下列情形之一的，评标委员会应当启动异常低价响应审查程序：</w:t>
      </w:r>
    </w:p>
    <w:p w14:paraId="569FB844">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评审中出现下列情形之一的，评审委员会应当启动异常低价投标（响应）审查程序：</w:t>
      </w:r>
    </w:p>
    <w:p w14:paraId="1D9878D6">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（1）投标（响应）报价低于全部通过符合性审查供应商投标（响应）报价平均值50%的，即投标（响应）报价&lt;全部通过符合性审查供应商投标（响应）报价平均值×50%；</w:t>
      </w:r>
    </w:p>
    <w:p w14:paraId="5BC6C8FA">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（2）投标（响应）报价低于通过符合性审查的次低报价供应商投标（响应）报价50%的，即投标（响应）报价&lt;通过符合性审查的次低报价供应商投标（响应）报价×50%；</w:t>
      </w:r>
    </w:p>
    <w:p w14:paraId="619631E6">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（3）投标（响应）报价低于采购项目最高限价</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zh-TW" w:eastAsia="zh-TW"/>
        </w:rPr>
        <w:t>5%的，即投标（响应）报价&lt;采购项目最高限价×</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zh-TW" w:eastAsia="zh-TW"/>
        </w:rPr>
        <w:t>5%； </w:t>
      </w:r>
    </w:p>
    <w:p w14:paraId="7D745732">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（4）评审委员会基于专业判断，认为供应商报价过低，有可能影响产品质量或者不能诚信履约的其他情形。 </w:t>
      </w:r>
    </w:p>
    <w:p w14:paraId="3C98F6EB">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相关法律法规对供应商报价有规定的，从其规定。 </w:t>
      </w:r>
    </w:p>
    <w:p w14:paraId="2990F36F">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及人工成本明细说明及相关证明材料；最后报价与首次报价差额的原因分析明细、具体可落实环节和理由（包括综合单价的合理性分析、成本的计算公式、材料市场价格分析及相关证明资料）；后期的履约保证措施等，给予相关供应商的合理时间一般不少于30分钟。 </w:t>
      </w:r>
    </w:p>
    <w:p w14:paraId="7638747B">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AFFAD1F">
      <w:pPr>
        <w:pStyle w:val="190"/>
        <w:widowControl w:val="0"/>
        <w:spacing w:line="360" w:lineRule="auto"/>
        <w:ind w:firstLine="48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eastAsia="zh-TW"/>
        </w:rPr>
        <w:t xml:space="preserve"> 异常低价响应审查的启动原因、审查意见和审查结果应当在评审报告中记录，并随供应商提供的相关书面说明及证明材料，以及评标委员会有关互联网浏览、查询历史一并归档。</w:t>
      </w:r>
    </w:p>
    <w:p w14:paraId="30FB4C68">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22.3 评标方法和标准</w:t>
      </w:r>
    </w:p>
    <w:p w14:paraId="48D0ACB6">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23.3 采用综合评分法的，评标结果按评审后最终得分由高到低进行排名，得分相同的，按投标报价由低到高顺序排列。得分且投标报价相同的，按技术部分方案优劣顺序排列。</w:t>
      </w:r>
    </w:p>
    <w:p w14:paraId="7E7E4949">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23、确定中标人</w:t>
      </w:r>
    </w:p>
    <w:p w14:paraId="2D1CF526">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23.1 采用综合评分法的，评委会将对确定为实质性响应招标文件要求的投标文件进行评价和比较，评标结果按评审后得分由高到低顺序排列。提供相同品牌产品且通过资格性审查、符合性审查的不同供应商参加本项目投标的，按一家供应商计算，评审后得分最高的同品牌供应商获得中标人推荐资格；评审得分相同的，由招标人或者招标人委托评标委员会按照随机抽取的方式确定中标人推荐资格，其他同品牌供应商不作为中标候选人。</w:t>
      </w:r>
    </w:p>
    <w:p w14:paraId="34211A8F">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23.2 按以下第（</w:t>
      </w:r>
      <w:r>
        <w:rPr>
          <w:rFonts w:hint="eastAsia" w:ascii="宋体" w:hAnsi="宋体" w:cs="宋体"/>
          <w:color w:val="auto"/>
          <w:sz w:val="24"/>
          <w:szCs w:val="24"/>
          <w:highlight w:val="none"/>
          <w:lang w:val="zh-TW"/>
        </w:rPr>
        <w:t>2</w:t>
      </w:r>
      <w:r>
        <w:rPr>
          <w:rFonts w:hint="eastAsia" w:ascii="宋体" w:hAnsi="宋体" w:cs="宋体"/>
          <w:color w:val="auto"/>
          <w:sz w:val="24"/>
          <w:szCs w:val="24"/>
          <w:highlight w:val="none"/>
          <w:lang w:val="zh-TW" w:eastAsia="zh-TW"/>
        </w:rPr>
        <w:t>）种方式确定中标人：</w:t>
      </w:r>
    </w:p>
    <w:p w14:paraId="3538A372">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（1）评委会直接确定排名第一的中标候选人为中标人；</w:t>
      </w:r>
    </w:p>
    <w:p w14:paraId="1137B0EB">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（2）采购人在评委会推荐的中标候选人中按顺序确定中标人。</w:t>
      </w:r>
    </w:p>
    <w:p w14:paraId="53283EEC">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按第二种方式确定中标人的，招标代理机构自评审结束之日起两个工作日内将评审报告送达采购人，采购人自收到评审报告之日起五个工作日内，在评审报告推荐的中标候选人中按顺序确定中标人。</w:t>
      </w:r>
    </w:p>
    <w:p w14:paraId="1E076D69">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23.3 中标人确定后，将在“江苏政府采购网”发布中标公告，公告期限为1个工作日。</w:t>
      </w:r>
    </w:p>
    <w:p w14:paraId="47C80946">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24、中标通知书</w:t>
      </w:r>
    </w:p>
    <w:p w14:paraId="433AE902">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24.1 中标结果确定后，将向中标人发出《中标通知书》。中标人可在中标结果公告届满之日起三十日内,登录苏采云系统下载。因系统存储空间有限，中标结果公告届满之日起三十日后，苏采云系统不再保证提供下载《中标通知书》服务，因未及时下载而造成的不利后果由中标人自行承担。</w:t>
      </w:r>
    </w:p>
    <w:p w14:paraId="4419B478">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24.2 《中标通知书》是合同的一个组成部分，对采购人和中标人均具有法律效力。《中标通知书》发出后，采购人改变中标结果或者中标人放弃中标项目的，应当依法承担法律责任。</w:t>
      </w:r>
    </w:p>
    <w:p w14:paraId="6659818D">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25、评标过程的保密性</w:t>
      </w:r>
    </w:p>
    <w:p w14:paraId="170376F2">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25.1 凡是与审查、澄清、评价和比较投标的有关资料以及投标建议等，采购人、评委、均不得向投标人或与评标无关的其他人员透露。</w:t>
      </w:r>
    </w:p>
    <w:p w14:paraId="0467D158">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25.2 投标人不得以任何方式影响评标，否则其投标文件将被作为无效投标文件。</w:t>
      </w:r>
    </w:p>
    <w:p w14:paraId="47A7F95C">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25.3 招标人和评委会不向未中标的投标人解释未中标原因，也不公布评标过程中的相关细节。</w:t>
      </w:r>
    </w:p>
    <w:p w14:paraId="5B1E1562">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25.4 采用综合评分法的项目，未中标的投标人可于中标结果公告期限届满之日起通过苏采云系统查看本单位的评审得分及排名情况。</w:t>
      </w:r>
    </w:p>
    <w:p w14:paraId="468EA603">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五、签订合同</w:t>
      </w:r>
    </w:p>
    <w:p w14:paraId="26B4C3E2">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26、签订合同</w:t>
      </w:r>
    </w:p>
    <w:p w14:paraId="5806F4C9">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26.1 中标供应商应当自中标通知书发出之日起三十日内，按照招标文件和中标供应商投标文件的约定与采购人签订政府采购合同，所签订的合同不得对招标文件和中标供应商投标文件作实质性修改。</w:t>
      </w:r>
    </w:p>
    <w:p w14:paraId="2F85055A">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26.2 采购人不得向中标供应商提出任何不合理的要求作为签订合同的条件，不得与中标供应商私下订立背离合同实质性内容的协议。</w:t>
      </w:r>
    </w:p>
    <w:p w14:paraId="7D3229CC">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26.3 中标供应商因不可抗力或者自身原因不能履行政府采购合同的，采购人可以视情与排位在中标供应商之后第一位的中标候选供应商签订政府采购合同，以此类推。</w:t>
      </w:r>
    </w:p>
    <w:p w14:paraId="68C9C67F">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26.4 政府采购合同履行中，采购人需追加与合同标的相同的货物的，在不改变合同其他条款的前提下，可以与供应商协商签订补充合同，但所有补充合同的采购金额不得超过原合同采购金额的百分之十</w:t>
      </w:r>
    </w:p>
    <w:p w14:paraId="56E9D3EA">
      <w:pPr>
        <w:pStyle w:val="190"/>
        <w:widowControl w:val="0"/>
        <w:spacing w:line="360" w:lineRule="auto"/>
        <w:ind w:firstLine="482"/>
        <w:rPr>
          <w:rFonts w:ascii="宋体" w:hAnsi="宋体" w:cs="宋体"/>
          <w:b/>
          <w:bCs/>
          <w:color w:val="auto"/>
          <w:sz w:val="24"/>
          <w:szCs w:val="24"/>
          <w:highlight w:val="none"/>
          <w:lang w:val="zh-TW" w:eastAsia="zh-TW"/>
        </w:rPr>
      </w:pPr>
      <w:r>
        <w:rPr>
          <w:rFonts w:hint="eastAsia" w:ascii="宋体" w:hAnsi="宋体" w:cs="宋体"/>
          <w:b/>
          <w:bCs/>
          <w:color w:val="auto"/>
          <w:sz w:val="24"/>
          <w:szCs w:val="24"/>
          <w:highlight w:val="none"/>
          <w:lang w:val="zh-TW" w:eastAsia="zh-TW"/>
        </w:rPr>
        <w:t>七、质疑和投诉</w:t>
      </w:r>
    </w:p>
    <w:p w14:paraId="0BBA1927">
      <w:pPr>
        <w:pStyle w:val="190"/>
        <w:widowControl w:val="0"/>
        <w:spacing w:line="360" w:lineRule="auto"/>
        <w:ind w:firstLine="482"/>
        <w:rPr>
          <w:rFonts w:ascii="宋体" w:hAnsi="宋体" w:cs="宋体"/>
          <w:b/>
          <w:bCs/>
          <w:color w:val="auto"/>
          <w:sz w:val="24"/>
          <w:szCs w:val="24"/>
          <w:highlight w:val="none"/>
          <w:lang w:val="zh-TW" w:eastAsia="zh-TW"/>
        </w:rPr>
      </w:pPr>
      <w:r>
        <w:rPr>
          <w:rFonts w:hint="eastAsia" w:ascii="宋体" w:hAnsi="宋体" w:cs="宋体"/>
          <w:b/>
          <w:bCs/>
          <w:color w:val="auto"/>
          <w:sz w:val="24"/>
          <w:szCs w:val="24"/>
          <w:highlight w:val="none"/>
          <w:lang w:val="zh-TW" w:eastAsia="zh-TW"/>
        </w:rPr>
        <w:t>27、质疑</w:t>
      </w:r>
    </w:p>
    <w:p w14:paraId="4B724EF8">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27.1 供应商对采购活动事项有疑问的，可以向代理机构提出询问，代理机构将依法作出答复，但答复的内容不涉及商业秘密。</w:t>
      </w:r>
    </w:p>
    <w:p w14:paraId="15275ED8">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27.2 供应商认为采购文件、采购过程和成交结果使自己的合法权益受到损害的，可以在知道或者应当知道其权益受到损害之日起七个工作日内，将质疑文件原件送达代理机构。</w:t>
      </w:r>
    </w:p>
    <w:p w14:paraId="6890BA82">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27.3 质疑文件应包括以下主要内容，并按照“谁主张、谁举证”的原则，附上相关证明材料。否则，代理机构不予受理：</w:t>
      </w:r>
    </w:p>
    <w:p w14:paraId="0F05597A">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（1）质疑项目名称、项目编号、招标公告发布时间、开标时间；</w:t>
      </w:r>
    </w:p>
    <w:p w14:paraId="6D097C5E">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（2）具体的质疑事项及法律依据（具体条款）；</w:t>
      </w:r>
    </w:p>
    <w:p w14:paraId="3031339F">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3）质疑相关证明文件或证明材料，如果涉及到产品功能或技术指标的，应出具相关制造商的证明文件（友情提示：供应商全部产品线中没有满足技术需求要求的产品才可以对采购产品提出质疑，并提出修改理由和修改建议）；</w:t>
      </w:r>
    </w:p>
    <w:p w14:paraId="6F61081A">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（4）质疑供应商名称、地址、联系方式（包括手机、传真号码）；</w:t>
      </w:r>
    </w:p>
    <w:p w14:paraId="17C09CB1">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（5）法定代表人签署本人姓名或印盖本人姓名章并加盖单位公章，或法定代表人授权委托代理人加盖单位公章，并由参加采购项目的授权委托代理人签署本人姓名或印盖本人姓名章等。</w:t>
      </w:r>
    </w:p>
    <w:p w14:paraId="070F4B42">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27.4质疑供应商是指直接参加本项目采购活动的供应商；对采购文件提出质疑的，应自供应商获得采购文件之日起计算，且应当在递交响应文件截止之日前提出；对采购过程提出质疑的，自采购程序环节结束之日起计算；对成交结果提出质疑的，自成交结果公告之日起计算。</w:t>
      </w:r>
    </w:p>
    <w:p w14:paraId="452D2A8B">
      <w:pPr>
        <w:pStyle w:val="190"/>
        <w:widowControl w:val="0"/>
        <w:spacing w:line="360" w:lineRule="auto"/>
        <w:ind w:firstLine="480"/>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27.5 供应商不得虚假质疑和恶意质疑，并对质疑内容的真实性承担责任。供应商或者其他利害关系人通过捏造事实、伪造证明材料等方式提出异议或投诉，阻碍政府采购活动正常进行的，属于严重不良行为，代理机构将提请财政部门将其列入不良行为记录名单，并依法予以处罚。</w:t>
      </w:r>
    </w:p>
    <w:p w14:paraId="17C7FAD8">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27.6 代理机构在收到供应商的书面质疑后将及时组织调查核实，在七个工作日内作出答复，并以书面或在网站公告形式通知质疑供应商和其他有关供应商，答复的内容不涉及商业秘密。遵循“谁过错谁负担”的原则，有过错的一方承担调查论证费用。</w:t>
      </w:r>
    </w:p>
    <w:p w14:paraId="5E7FC642">
      <w:pPr>
        <w:widowControl w:val="0"/>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27.7 质疑文件接收信息：</w:t>
      </w:r>
    </w:p>
    <w:p w14:paraId="06827F8C">
      <w:pPr>
        <w:widowControl w:val="0"/>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（1）接收单位：采购代理机构</w:t>
      </w:r>
    </w:p>
    <w:p w14:paraId="4D7CFABE">
      <w:pPr>
        <w:widowControl w:val="0"/>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（2）联系人：尹素琴</w:t>
      </w:r>
    </w:p>
    <w:p w14:paraId="49579590">
      <w:pPr>
        <w:widowControl w:val="0"/>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（3）联系电话：15152802224</w:t>
      </w:r>
    </w:p>
    <w:p w14:paraId="6E4AA2DF">
      <w:pPr>
        <w:widowControl w:val="0"/>
        <w:spacing w:line="360" w:lineRule="auto"/>
        <w:ind w:firstLine="480"/>
        <w:rPr>
          <w:rFonts w:hint="eastAsia" w:ascii="宋体" w:hAnsi="宋体" w:cs="宋体"/>
          <w:color w:val="auto"/>
          <w:highlight w:val="none"/>
        </w:rPr>
      </w:pPr>
      <w:r>
        <w:rPr>
          <w:rFonts w:hint="eastAsia" w:ascii="宋体" w:hAnsi="宋体" w:cs="宋体"/>
          <w:color w:val="auto"/>
          <w:highlight w:val="none"/>
        </w:rPr>
        <w:t>（4）联系邮箱：</w:t>
      </w:r>
      <w:r>
        <w:rPr>
          <w:rFonts w:hint="eastAsia" w:ascii="宋体" w:hAnsi="宋体" w:cs="宋体"/>
          <w:color w:val="auto"/>
          <w:highlight w:val="none"/>
          <w:lang w:val="en-US" w:eastAsia="zh-CN"/>
        </w:rPr>
        <w:t>jsrmcgb</w:t>
      </w:r>
      <w:r>
        <w:rPr>
          <w:rFonts w:hint="eastAsia" w:ascii="宋体" w:hAnsi="宋体" w:cs="宋体"/>
          <w:color w:val="auto"/>
          <w:highlight w:val="none"/>
        </w:rPr>
        <w:t>@</w:t>
      </w:r>
      <w:r>
        <w:rPr>
          <w:rFonts w:hint="eastAsia" w:ascii="宋体" w:hAnsi="宋体" w:cs="宋体"/>
          <w:color w:val="auto"/>
          <w:highlight w:val="none"/>
          <w:lang w:val="en-US" w:eastAsia="zh-CN"/>
        </w:rPr>
        <w:t>163</w:t>
      </w:r>
      <w:r>
        <w:rPr>
          <w:rFonts w:hint="eastAsia" w:ascii="宋体" w:hAnsi="宋体" w:cs="宋体"/>
          <w:color w:val="auto"/>
          <w:highlight w:val="none"/>
        </w:rPr>
        <w:t>.com</w:t>
      </w:r>
    </w:p>
    <w:p w14:paraId="58FFED96">
      <w:pPr>
        <w:widowControl w:val="0"/>
        <w:spacing w:line="360" w:lineRule="auto"/>
        <w:ind w:firstLine="480"/>
        <w:rPr>
          <w:rFonts w:hint="default" w:ascii="宋体" w:hAnsi="宋体" w:cs="宋体"/>
          <w:color w:val="auto"/>
          <w:highlight w:val="none"/>
          <w:lang w:val="en-US" w:eastAsia="zh-CN"/>
        </w:rPr>
      </w:pPr>
      <w:r>
        <w:rPr>
          <w:rFonts w:hint="eastAsia" w:ascii="宋体" w:hAnsi="宋体" w:cs="宋体"/>
          <w:color w:val="auto"/>
          <w:highlight w:val="none"/>
          <w:lang w:eastAsia="zh-CN"/>
        </w:rPr>
        <w:t>（5）接收地址：南京市建邺区广聚路31号安科大厦B座1507室。</w:t>
      </w:r>
    </w:p>
    <w:p w14:paraId="7E2BD09A">
      <w:pPr>
        <w:pStyle w:val="190"/>
        <w:widowControl w:val="0"/>
        <w:spacing w:line="360" w:lineRule="auto"/>
        <w:ind w:firstLine="482"/>
        <w:rPr>
          <w:rFonts w:ascii="宋体" w:hAnsi="宋体" w:cs="宋体"/>
          <w:b/>
          <w:bCs/>
          <w:color w:val="auto"/>
          <w:sz w:val="24"/>
          <w:szCs w:val="24"/>
          <w:highlight w:val="none"/>
          <w:lang w:val="zh-TW" w:eastAsia="zh-TW"/>
        </w:rPr>
      </w:pPr>
      <w:r>
        <w:rPr>
          <w:rFonts w:hint="eastAsia" w:ascii="宋体" w:hAnsi="宋体" w:cs="宋体"/>
          <w:b/>
          <w:bCs/>
          <w:color w:val="auto"/>
          <w:sz w:val="24"/>
          <w:szCs w:val="24"/>
          <w:highlight w:val="none"/>
          <w:lang w:val="zh-TW" w:eastAsia="zh-TW"/>
        </w:rPr>
        <w:t>28、投诉</w:t>
      </w:r>
    </w:p>
    <w:p w14:paraId="1CF8EA33">
      <w:pPr>
        <w:pStyle w:val="190"/>
        <w:widowControl w:val="0"/>
        <w:spacing w:line="360" w:lineRule="auto"/>
        <w:ind w:firstLine="480"/>
        <w:rPr>
          <w:rFonts w:hint="eastAsia"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28.1 质疑投标人对代理机构的答复不满意，或代理机构未在规定的时间内作出答复的，可以在答复期满后十五个工作日内向采购人同级财政部门投诉。</w:t>
      </w:r>
    </w:p>
    <w:p w14:paraId="1D8890B9">
      <w:pPr>
        <w:widowControl w:val="0"/>
        <w:spacing w:line="360" w:lineRule="auto"/>
        <w:ind w:firstLine="482"/>
        <w:rPr>
          <w:rFonts w:hint="eastAsia" w:ascii="宋体" w:hAnsi="宋体" w:cs="宋体"/>
          <w:b/>
          <w:color w:val="auto"/>
          <w:highlight w:val="none"/>
          <w:lang w:val="zh-CN" w:eastAsia="zh-CN"/>
        </w:rPr>
      </w:pPr>
      <w:r>
        <w:rPr>
          <w:rFonts w:hint="eastAsia" w:ascii="宋体" w:hAnsi="宋体" w:cs="宋体"/>
          <w:b/>
          <w:color w:val="auto"/>
          <w:highlight w:val="none"/>
          <w:lang w:eastAsia="zh-CN"/>
        </w:rPr>
        <w:t>29</w:t>
      </w:r>
      <w:r>
        <w:rPr>
          <w:rFonts w:hint="eastAsia" w:ascii="宋体" w:hAnsi="宋体" w:cs="宋体"/>
          <w:b/>
          <w:color w:val="auto"/>
          <w:highlight w:val="none"/>
          <w:lang w:val="zh-CN" w:eastAsia="zh-CN"/>
        </w:rPr>
        <w:t>、诚实信用</w:t>
      </w:r>
    </w:p>
    <w:p w14:paraId="7EB4C5A3">
      <w:pPr>
        <w:widowControl w:val="0"/>
        <w:spacing w:line="360" w:lineRule="auto"/>
        <w:ind w:firstLine="480"/>
        <w:rPr>
          <w:rFonts w:hint="eastAsia" w:ascii="宋体" w:hAnsi="宋体" w:cs="宋体"/>
          <w:color w:val="auto"/>
          <w:highlight w:val="none"/>
          <w:lang w:val="zh-CN" w:eastAsia="zh-CN"/>
        </w:rPr>
      </w:pPr>
      <w:r>
        <w:rPr>
          <w:rFonts w:hint="eastAsia" w:ascii="宋体" w:hAnsi="宋体" w:cs="宋体"/>
          <w:color w:val="auto"/>
          <w:highlight w:val="none"/>
          <w:lang w:eastAsia="zh-CN"/>
        </w:rPr>
        <w:t>29</w:t>
      </w:r>
      <w:r>
        <w:rPr>
          <w:rFonts w:hint="eastAsia" w:ascii="宋体" w:hAnsi="宋体" w:cs="宋体"/>
          <w:color w:val="auto"/>
          <w:highlight w:val="none"/>
          <w:lang w:val="zh-CN" w:eastAsia="zh-CN"/>
        </w:rPr>
        <w:t>.1 供应商之间不得相互串通投标报价，不得妨碍其他供应商的公平竞争，不得损害采购人和其他供应商的合法权益。</w:t>
      </w:r>
    </w:p>
    <w:p w14:paraId="32B5228F">
      <w:pPr>
        <w:widowControl w:val="0"/>
        <w:spacing w:line="360" w:lineRule="auto"/>
        <w:ind w:firstLine="480"/>
        <w:rPr>
          <w:rFonts w:hint="eastAsia" w:ascii="宋体" w:hAnsi="宋体" w:cs="宋体"/>
          <w:color w:val="auto"/>
          <w:highlight w:val="none"/>
          <w:lang w:val="zh-CN" w:eastAsia="zh-CN"/>
        </w:rPr>
      </w:pPr>
      <w:r>
        <w:rPr>
          <w:rFonts w:hint="eastAsia" w:ascii="宋体" w:hAnsi="宋体" w:cs="宋体"/>
          <w:color w:val="auto"/>
          <w:highlight w:val="none"/>
          <w:lang w:eastAsia="zh-CN"/>
        </w:rPr>
        <w:t>29</w:t>
      </w:r>
      <w:r>
        <w:rPr>
          <w:rFonts w:hint="eastAsia" w:ascii="宋体" w:hAnsi="宋体" w:cs="宋体"/>
          <w:color w:val="auto"/>
          <w:highlight w:val="none"/>
          <w:lang w:val="zh-CN" w:eastAsia="zh-CN"/>
        </w:rPr>
        <w:t>.2 供应商不得以向代理机构工作人员、评标委员会成员行贿或者采取其他不正当手段谋取中标。经查实供应商有此行为的，</w:t>
      </w:r>
      <w:r>
        <w:rPr>
          <w:rFonts w:hint="eastAsia" w:ascii="宋体" w:hAnsi="宋体" w:cs="宋体"/>
          <w:color w:val="auto"/>
          <w:highlight w:val="none"/>
          <w:lang w:eastAsia="zh-CN"/>
        </w:rPr>
        <w:t>政府采购管理部门将供应商列入不良行为记录名单，按照《政府采购法》有关规定处理。</w:t>
      </w:r>
    </w:p>
    <w:p w14:paraId="663ECDBF">
      <w:pPr>
        <w:widowControl w:val="0"/>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29</w:t>
      </w:r>
      <w:r>
        <w:rPr>
          <w:rFonts w:hint="eastAsia" w:ascii="宋体" w:hAnsi="宋体" w:cs="宋体"/>
          <w:color w:val="auto"/>
          <w:highlight w:val="none"/>
          <w:lang w:val="zh-CN" w:eastAsia="zh-CN"/>
        </w:rPr>
        <w:t>.3 供应商不得虚假质疑和恶意质疑，并对质疑内容的真实性承担责任。</w:t>
      </w:r>
      <w:r>
        <w:rPr>
          <w:rFonts w:hint="eastAsia" w:ascii="宋体" w:hAnsi="宋体" w:cs="宋体"/>
          <w:color w:val="auto"/>
          <w:highlight w:val="none"/>
          <w:lang w:eastAsia="zh-CN"/>
        </w:rPr>
        <w:t>供应商或者其他利害关系人通过捏造事实、伪造证明材料等方式提出异议或投诉，阻碍招投标活动正常进行的，属于严重不良行为，代理机构将提请财政部门将其列入不良行为记录名单，并依法予以处罚。</w:t>
      </w:r>
    </w:p>
    <w:p w14:paraId="5CB92C15">
      <w:pPr>
        <w:widowControl w:val="0"/>
        <w:spacing w:line="360" w:lineRule="auto"/>
        <w:ind w:firstLine="480"/>
        <w:rPr>
          <w:rFonts w:hint="eastAsia" w:ascii="宋体" w:hAnsi="宋体" w:cs="宋体"/>
          <w:color w:val="auto"/>
          <w:highlight w:val="none"/>
          <w:lang w:val="zh-CN" w:eastAsia="zh-CN"/>
        </w:rPr>
      </w:pPr>
      <w:r>
        <w:rPr>
          <w:rFonts w:hint="eastAsia" w:ascii="宋体" w:hAnsi="宋体" w:cs="宋体"/>
          <w:color w:val="auto"/>
          <w:highlight w:val="none"/>
          <w:lang w:eastAsia="zh-CN"/>
        </w:rPr>
        <w:t>29</w:t>
      </w:r>
      <w:r>
        <w:rPr>
          <w:rFonts w:hint="eastAsia" w:ascii="宋体" w:hAnsi="宋体" w:cs="宋体"/>
          <w:color w:val="auto"/>
          <w:highlight w:val="none"/>
          <w:lang w:val="zh-CN" w:eastAsia="zh-CN"/>
        </w:rPr>
        <w:t>.4 供应商不得虚假承诺，否则，按照提供虚假材料谋取中标成交处理。</w:t>
      </w:r>
    </w:p>
    <w:p w14:paraId="52B76A55">
      <w:pPr>
        <w:widowControl w:val="0"/>
        <w:spacing w:line="360" w:lineRule="auto"/>
        <w:ind w:firstLine="480"/>
        <w:rPr>
          <w:rFonts w:hint="eastAsia" w:ascii="宋体" w:hAnsi="宋体" w:cs="宋体"/>
          <w:b/>
          <w:bCs/>
          <w:color w:val="auto"/>
          <w:highlight w:val="none"/>
          <w:lang w:val="zh-CN" w:eastAsia="zh-CN"/>
        </w:rPr>
      </w:pPr>
      <w:r>
        <w:rPr>
          <w:rFonts w:hint="eastAsia" w:ascii="宋体" w:hAnsi="宋体" w:cs="宋体"/>
          <w:color w:val="auto"/>
          <w:highlight w:val="none"/>
          <w:lang w:eastAsia="zh-CN"/>
        </w:rPr>
        <w:t>29</w:t>
      </w:r>
      <w:r>
        <w:rPr>
          <w:rFonts w:hint="eastAsia" w:ascii="宋体" w:hAnsi="宋体" w:cs="宋体"/>
          <w:color w:val="auto"/>
          <w:highlight w:val="none"/>
          <w:lang w:val="zh-CN" w:eastAsia="zh-CN"/>
        </w:rPr>
        <w:t>.5 供应商应自觉遵守开标、评标纪律，扰乱开标评标现场秩序的，属于失信行为，根据《江苏省政府采购供应商监督管理暂行办法》，失信行为将被记入供应商诚信档案。</w:t>
      </w:r>
    </w:p>
    <w:p w14:paraId="6C9A5F11">
      <w:pPr>
        <w:pStyle w:val="190"/>
        <w:widowControl w:val="0"/>
        <w:spacing w:line="360" w:lineRule="auto"/>
        <w:ind w:firstLine="480"/>
        <w:rPr>
          <w:rFonts w:hint="eastAsia" w:ascii="宋体" w:hAnsi="宋体" w:cs="宋体"/>
          <w:color w:val="auto"/>
          <w:sz w:val="24"/>
          <w:szCs w:val="24"/>
          <w:highlight w:val="none"/>
          <w:lang w:val="zh-TW" w:eastAsia="zh-TW"/>
        </w:rPr>
        <w:sectPr>
          <w:pgSz w:w="11900" w:h="16840"/>
          <w:pgMar w:top="1123" w:right="1179" w:bottom="1123" w:left="1179" w:header="720" w:footer="720" w:gutter="0"/>
          <w:pgNumType w:fmt="decimal"/>
          <w:cols w:space="1701" w:num="1"/>
          <w:docGrid w:linePitch="360" w:charSpace="0"/>
        </w:sectPr>
      </w:pPr>
    </w:p>
    <w:p w14:paraId="4D114C8C">
      <w:pPr>
        <w:pStyle w:val="189"/>
        <w:widowControl w:val="0"/>
        <w:spacing w:before="0" w:after="0" w:line="360" w:lineRule="auto"/>
        <w:jc w:val="center"/>
        <w:rPr>
          <w:rStyle w:val="201"/>
          <w:rFonts w:hint="eastAsia"/>
          <w:b w:val="0"/>
          <w:bCs w:val="0"/>
          <w:color w:val="auto"/>
          <w:sz w:val="36"/>
          <w:szCs w:val="36"/>
          <w:highlight w:val="none"/>
          <w:lang w:val="zh-TW" w:eastAsia="zh-TW"/>
        </w:rPr>
      </w:pPr>
      <w:bookmarkStart w:id="39" w:name="_Toc24600"/>
      <w:r>
        <w:rPr>
          <w:rStyle w:val="201"/>
          <w:rFonts w:hint="eastAsia"/>
          <w:b w:val="0"/>
          <w:bCs w:val="0"/>
          <w:color w:val="auto"/>
          <w:sz w:val="36"/>
          <w:szCs w:val="36"/>
          <w:highlight w:val="none"/>
          <w:lang w:val="zh-TW" w:eastAsia="zh-TW"/>
        </w:rPr>
        <w:t>第三章</w:t>
      </w:r>
      <w:r>
        <w:rPr>
          <w:rStyle w:val="201"/>
          <w:rFonts w:hint="eastAsia"/>
          <w:b w:val="0"/>
          <w:bCs w:val="0"/>
          <w:color w:val="auto"/>
          <w:sz w:val="36"/>
          <w:szCs w:val="36"/>
          <w:highlight w:val="none"/>
          <w:lang w:eastAsia="zh-CN"/>
        </w:rPr>
        <w:t xml:space="preserve"> </w:t>
      </w:r>
      <w:r>
        <w:rPr>
          <w:rStyle w:val="201"/>
          <w:rFonts w:hint="eastAsia"/>
          <w:b w:val="0"/>
          <w:bCs w:val="0"/>
          <w:color w:val="auto"/>
          <w:sz w:val="36"/>
          <w:szCs w:val="36"/>
          <w:highlight w:val="none"/>
          <w:lang w:val="zh-TW" w:eastAsia="zh-TW"/>
        </w:rPr>
        <w:t>评标标准</w:t>
      </w:r>
      <w:bookmarkEnd w:id="39"/>
    </w:p>
    <w:p w14:paraId="1B1B1AC5">
      <w:pPr>
        <w:spacing w:line="360" w:lineRule="auto"/>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本项目采用综合评分法，评分统计方法采用百分制（满分100分），将评标委员会成员评分直接进行算术平均，小数点后保留2位。按评审后得分由高到低顺序排列，得分相同的，按报价由低到高顺序排列，得分且报价相同的，按技术指标优劣顺序排列，由评标委员会确定中标供应商。</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139"/>
        <w:gridCol w:w="6302"/>
        <w:gridCol w:w="964"/>
      </w:tblGrid>
      <w:tr w14:paraId="500F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93" w:type="pct"/>
            <w:noWrap/>
            <w:vAlign w:val="center"/>
          </w:tcPr>
          <w:p w14:paraId="35A65C00">
            <w:pPr>
              <w:autoSpaceDE w:val="0"/>
              <w:autoSpaceDN w:val="0"/>
              <w:adjustRightInd w:val="0"/>
              <w:snapToGrid w:val="0"/>
              <w:spacing w:line="240" w:lineRule="auto"/>
              <w:ind w:firstLine="0" w:firstLineChars="0"/>
              <w:jc w:val="center"/>
              <w:rPr>
                <w:rFonts w:ascii="宋体" w:hAnsi="宋体" w:eastAsia="宋体" w:cs="宋体"/>
                <w:b/>
                <w:color w:val="auto"/>
                <w:kern w:val="0"/>
                <w:highlight w:val="none"/>
                <w:lang w:val="zh-CN" w:bidi="zh-CN"/>
              </w:rPr>
            </w:pPr>
            <w:r>
              <w:rPr>
                <w:rFonts w:hint="eastAsia" w:ascii="宋体" w:hAnsi="宋体" w:eastAsia="宋体" w:cs="宋体"/>
                <w:b/>
                <w:color w:val="auto"/>
                <w:kern w:val="0"/>
                <w:highlight w:val="none"/>
                <w:lang w:val="zh-CN" w:bidi="zh-CN"/>
              </w:rPr>
              <w:t>项目</w:t>
            </w:r>
          </w:p>
        </w:tc>
        <w:tc>
          <w:tcPr>
            <w:tcW w:w="3812" w:type="pct"/>
            <w:gridSpan w:val="2"/>
            <w:noWrap/>
            <w:vAlign w:val="center"/>
          </w:tcPr>
          <w:p w14:paraId="530C5032">
            <w:pPr>
              <w:autoSpaceDE w:val="0"/>
              <w:autoSpaceDN w:val="0"/>
              <w:adjustRightInd w:val="0"/>
              <w:snapToGrid w:val="0"/>
              <w:spacing w:line="240" w:lineRule="auto"/>
              <w:ind w:firstLine="0" w:firstLineChars="0"/>
              <w:jc w:val="center"/>
              <w:rPr>
                <w:rFonts w:ascii="宋体" w:hAnsi="宋体" w:eastAsia="宋体" w:cs="宋体"/>
                <w:b/>
                <w:color w:val="auto"/>
                <w:kern w:val="0"/>
                <w:highlight w:val="none"/>
                <w:lang w:val="zh-CN" w:bidi="zh-CN"/>
              </w:rPr>
            </w:pPr>
            <w:r>
              <w:rPr>
                <w:rFonts w:hint="eastAsia" w:ascii="宋体" w:hAnsi="宋体" w:eastAsia="宋体" w:cs="宋体"/>
                <w:b/>
                <w:color w:val="auto"/>
                <w:kern w:val="0"/>
                <w:highlight w:val="none"/>
                <w:lang w:val="zh-CN" w:bidi="zh-CN"/>
              </w:rPr>
              <w:t>评</w:t>
            </w:r>
            <w:r>
              <w:rPr>
                <w:rFonts w:hint="eastAsia" w:ascii="宋体" w:hAnsi="宋体" w:eastAsia="宋体" w:cs="宋体"/>
                <w:b/>
                <w:color w:val="auto"/>
                <w:kern w:val="0"/>
                <w:highlight w:val="none"/>
                <w:lang w:bidi="zh-CN"/>
              </w:rPr>
              <w:t>审</w:t>
            </w:r>
            <w:r>
              <w:rPr>
                <w:rFonts w:hint="eastAsia" w:ascii="宋体" w:hAnsi="宋体" w:eastAsia="宋体" w:cs="宋体"/>
                <w:b/>
                <w:color w:val="auto"/>
                <w:kern w:val="0"/>
                <w:highlight w:val="none"/>
                <w:lang w:val="zh-CN" w:bidi="zh-CN"/>
              </w:rPr>
              <w:t>细则</w:t>
            </w:r>
          </w:p>
        </w:tc>
        <w:tc>
          <w:tcPr>
            <w:tcW w:w="494" w:type="pct"/>
            <w:noWrap/>
            <w:vAlign w:val="center"/>
          </w:tcPr>
          <w:p w14:paraId="358C0443">
            <w:pPr>
              <w:autoSpaceDE w:val="0"/>
              <w:autoSpaceDN w:val="0"/>
              <w:adjustRightInd w:val="0"/>
              <w:snapToGrid w:val="0"/>
              <w:spacing w:line="240" w:lineRule="auto"/>
              <w:ind w:firstLine="0" w:firstLineChars="0"/>
              <w:jc w:val="center"/>
              <w:rPr>
                <w:rFonts w:ascii="宋体" w:hAnsi="宋体" w:eastAsia="宋体" w:cs="宋体"/>
                <w:b/>
                <w:color w:val="auto"/>
                <w:kern w:val="0"/>
                <w:highlight w:val="none"/>
                <w:lang w:val="zh-CN" w:bidi="zh-CN"/>
              </w:rPr>
            </w:pPr>
            <w:r>
              <w:rPr>
                <w:rFonts w:hint="eastAsia" w:ascii="宋体" w:hAnsi="宋体" w:eastAsia="宋体" w:cs="宋体"/>
                <w:b/>
                <w:color w:val="auto"/>
                <w:kern w:val="0"/>
                <w:highlight w:val="none"/>
                <w:lang w:val="zh-CN" w:bidi="zh-CN"/>
              </w:rPr>
              <w:t>分值</w:t>
            </w:r>
          </w:p>
        </w:tc>
      </w:tr>
      <w:tr w14:paraId="0B82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pct"/>
            <w:noWrap/>
            <w:vAlign w:val="center"/>
          </w:tcPr>
          <w:p w14:paraId="5382A608">
            <w:pPr>
              <w:autoSpaceDE w:val="0"/>
              <w:autoSpaceDN w:val="0"/>
              <w:adjustRightInd w:val="0"/>
              <w:snapToGrid w:val="0"/>
              <w:spacing w:line="240" w:lineRule="auto"/>
              <w:ind w:firstLine="0" w:firstLineChars="0"/>
              <w:jc w:val="center"/>
              <w:rPr>
                <w:rFonts w:ascii="宋体" w:hAnsi="宋体" w:eastAsia="宋体" w:cs="宋体"/>
                <w:color w:val="auto"/>
                <w:highlight w:val="none"/>
                <w:lang w:val="zh-CN" w:bidi="zh-CN"/>
              </w:rPr>
            </w:pPr>
            <w:bookmarkStart w:id="40" w:name="OLE_LINK11"/>
            <w:r>
              <w:rPr>
                <w:rFonts w:hint="eastAsia" w:ascii="宋体" w:hAnsi="宋体" w:eastAsia="宋体" w:cs="宋体"/>
                <w:color w:val="auto"/>
                <w:highlight w:val="none"/>
                <w:lang w:val="zh-CN" w:bidi="zh-CN"/>
              </w:rPr>
              <w:t>价格分</w:t>
            </w:r>
          </w:p>
          <w:p w14:paraId="054A591E">
            <w:pPr>
              <w:autoSpaceDE w:val="0"/>
              <w:autoSpaceDN w:val="0"/>
              <w:adjustRightInd w:val="0"/>
              <w:snapToGrid w:val="0"/>
              <w:spacing w:line="240" w:lineRule="auto"/>
              <w:ind w:firstLine="0" w:firstLineChars="0"/>
              <w:jc w:val="center"/>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w:t>
            </w:r>
            <w:r>
              <w:rPr>
                <w:rFonts w:hint="eastAsia" w:ascii="宋体" w:hAnsi="宋体" w:eastAsia="宋体" w:cs="宋体"/>
                <w:color w:val="auto"/>
                <w:highlight w:val="none"/>
                <w:lang w:bidi="zh-CN"/>
              </w:rPr>
              <w:t>30</w:t>
            </w:r>
            <w:r>
              <w:rPr>
                <w:rFonts w:hint="eastAsia" w:ascii="宋体" w:hAnsi="宋体" w:eastAsia="宋体" w:cs="宋体"/>
                <w:color w:val="auto"/>
                <w:highlight w:val="none"/>
                <w:lang w:val="zh-CN" w:bidi="zh-CN"/>
              </w:rPr>
              <w:t>分）</w:t>
            </w:r>
          </w:p>
        </w:tc>
        <w:tc>
          <w:tcPr>
            <w:tcW w:w="3812" w:type="pct"/>
            <w:gridSpan w:val="2"/>
            <w:noWrap/>
            <w:vAlign w:val="center"/>
          </w:tcPr>
          <w:p w14:paraId="2847E82E">
            <w:pPr>
              <w:widowControl/>
              <w:autoSpaceDE w:val="0"/>
              <w:autoSpaceDN w:val="0"/>
              <w:spacing w:line="240" w:lineRule="auto"/>
              <w:ind w:firstLine="0" w:firstLineChars="0"/>
              <w:rPr>
                <w:rFonts w:ascii="宋体" w:hAnsi="宋体" w:eastAsia="宋体" w:cs="宋体"/>
                <w:color w:val="auto"/>
                <w:highlight w:val="none"/>
                <w:lang w:bidi="zh-CN"/>
              </w:rPr>
            </w:pPr>
            <w:r>
              <w:rPr>
                <w:rFonts w:hint="eastAsia" w:ascii="宋体" w:hAnsi="宋体" w:eastAsia="宋体" w:cs="宋体"/>
                <w:color w:val="auto"/>
                <w:highlight w:val="none"/>
                <w:lang w:val="zh-CN" w:bidi="zh-CN"/>
              </w:rPr>
              <w:t>采用低价优先法计算，即满足招标文件要求且投标价格最低的投标报价为评标基准价，其价格分为满分。其他投标人的价格分统一按照下列公式计算：投标报价得分=（评标基准价／投标报价）×</w:t>
            </w:r>
            <w:r>
              <w:rPr>
                <w:rFonts w:hint="eastAsia" w:ascii="宋体" w:hAnsi="宋体" w:eastAsia="宋体" w:cs="宋体"/>
                <w:color w:val="auto"/>
                <w:highlight w:val="none"/>
                <w:lang w:bidi="zh-CN"/>
              </w:rPr>
              <w:t>30。（小数点后保留两位）</w:t>
            </w:r>
          </w:p>
        </w:tc>
        <w:tc>
          <w:tcPr>
            <w:tcW w:w="494" w:type="pct"/>
            <w:noWrap/>
            <w:vAlign w:val="center"/>
          </w:tcPr>
          <w:p w14:paraId="6579FCCE">
            <w:pPr>
              <w:spacing w:line="240" w:lineRule="auto"/>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30分</w:t>
            </w:r>
          </w:p>
        </w:tc>
      </w:tr>
      <w:bookmarkEnd w:id="40"/>
      <w:tr w14:paraId="371D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pct"/>
            <w:vMerge w:val="restart"/>
            <w:noWrap/>
            <w:vAlign w:val="center"/>
          </w:tcPr>
          <w:p w14:paraId="7506A4EF">
            <w:pPr>
              <w:autoSpaceDE w:val="0"/>
              <w:autoSpaceDN w:val="0"/>
              <w:spacing w:line="240" w:lineRule="auto"/>
              <w:ind w:firstLine="0" w:firstLineChars="0"/>
              <w:jc w:val="center"/>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技术部分</w:t>
            </w:r>
          </w:p>
          <w:p w14:paraId="43F7B6CC">
            <w:pPr>
              <w:autoSpaceDE w:val="0"/>
              <w:autoSpaceDN w:val="0"/>
              <w:spacing w:line="240" w:lineRule="auto"/>
              <w:ind w:firstLine="0" w:firstLineChars="0"/>
              <w:jc w:val="center"/>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w:t>
            </w:r>
            <w:r>
              <w:rPr>
                <w:rFonts w:hint="eastAsia" w:ascii="宋体" w:hAnsi="宋体" w:eastAsia="宋体" w:cs="宋体"/>
                <w:color w:val="auto"/>
                <w:highlight w:val="none"/>
                <w:lang w:bidi="zh-CN"/>
              </w:rPr>
              <w:t>45</w:t>
            </w:r>
            <w:r>
              <w:rPr>
                <w:rFonts w:hint="eastAsia" w:ascii="宋体" w:hAnsi="宋体" w:eastAsia="宋体" w:cs="宋体"/>
                <w:color w:val="auto"/>
                <w:highlight w:val="none"/>
                <w:lang w:val="zh-CN" w:bidi="zh-CN"/>
              </w:rPr>
              <w:t>分）</w:t>
            </w:r>
          </w:p>
        </w:tc>
        <w:tc>
          <w:tcPr>
            <w:tcW w:w="583" w:type="pct"/>
            <w:noWrap/>
            <w:vAlign w:val="center"/>
          </w:tcPr>
          <w:p w14:paraId="46BAB46C">
            <w:pPr>
              <w:autoSpaceDE w:val="0"/>
              <w:autoSpaceDN w:val="0"/>
              <w:spacing w:line="240" w:lineRule="auto"/>
              <w:ind w:firstLine="0" w:firstLineChars="0"/>
              <w:jc w:val="center"/>
              <w:rPr>
                <w:rFonts w:ascii="宋体" w:hAnsi="宋体" w:eastAsia="宋体" w:cs="宋体"/>
                <w:bCs/>
                <w:color w:val="auto"/>
                <w:highlight w:val="none"/>
                <w:lang w:val="zh-CN" w:bidi="zh-CN"/>
              </w:rPr>
            </w:pPr>
            <w:r>
              <w:rPr>
                <w:rFonts w:hint="eastAsia" w:ascii="宋体" w:hAnsi="宋体" w:eastAsia="宋体" w:cs="宋体"/>
                <w:bCs/>
                <w:color w:val="auto"/>
                <w:highlight w:val="none"/>
                <w:lang w:val="zh-CN" w:bidi="zh-CN"/>
              </w:rPr>
              <w:t>项目实施总体方案</w:t>
            </w:r>
          </w:p>
        </w:tc>
        <w:tc>
          <w:tcPr>
            <w:tcW w:w="3229" w:type="pct"/>
            <w:noWrap/>
            <w:vAlign w:val="center"/>
          </w:tcPr>
          <w:p w14:paraId="2175AFD8">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评委根据供应商提供的项目实施总体方案</w:t>
            </w:r>
            <w:r>
              <w:rPr>
                <w:rFonts w:hint="eastAsia" w:ascii="宋体" w:hAnsi="宋体" w:eastAsia="宋体" w:cs="宋体"/>
                <w:color w:val="auto"/>
                <w:highlight w:val="none"/>
                <w:lang w:bidi="zh-CN"/>
              </w:rPr>
              <w:t>及对农民工工资与材料款发放措施</w:t>
            </w:r>
            <w:r>
              <w:rPr>
                <w:rFonts w:hint="eastAsia" w:ascii="宋体" w:hAnsi="宋体" w:eastAsia="宋体" w:cs="宋体"/>
                <w:color w:val="auto"/>
                <w:highlight w:val="none"/>
                <w:lang w:val="zh-CN" w:bidi="zh-CN"/>
              </w:rPr>
              <w:t>表述的清晰性、全面性、合理性、科学性、可行性及针对性等</w:t>
            </w:r>
            <w:r>
              <w:rPr>
                <w:rFonts w:hint="eastAsia" w:ascii="宋体" w:hAnsi="宋体" w:eastAsia="宋体" w:cs="宋体"/>
                <w:color w:val="auto"/>
                <w:highlight w:val="none"/>
                <w:lang w:bidi="zh-CN"/>
              </w:rPr>
              <w:t>进行</w:t>
            </w:r>
            <w:r>
              <w:rPr>
                <w:rFonts w:hint="eastAsia" w:ascii="宋体" w:hAnsi="宋体" w:eastAsia="宋体" w:cs="宋体"/>
                <w:color w:val="auto"/>
                <w:highlight w:val="none"/>
                <w:lang w:val="zh-CN" w:bidi="zh-CN"/>
              </w:rPr>
              <w:t>评分：</w:t>
            </w:r>
          </w:p>
          <w:p w14:paraId="3FA1F422">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方案内容清晰、全面、合理、</w:t>
            </w:r>
            <w:r>
              <w:rPr>
                <w:rFonts w:hint="eastAsia" w:ascii="宋体" w:hAnsi="宋体" w:eastAsia="宋体" w:cs="宋体"/>
                <w:color w:val="auto"/>
                <w:highlight w:val="none"/>
                <w:lang w:bidi="zh-CN"/>
              </w:rPr>
              <w:t>科学</w:t>
            </w:r>
            <w:r>
              <w:rPr>
                <w:rFonts w:hint="eastAsia" w:ascii="宋体" w:hAnsi="宋体" w:eastAsia="宋体" w:cs="宋体"/>
                <w:color w:val="auto"/>
                <w:highlight w:val="none"/>
                <w:lang w:val="zh-CN" w:bidi="zh-CN"/>
              </w:rPr>
              <w:t>可行、有针对性的得</w:t>
            </w:r>
            <w:r>
              <w:rPr>
                <w:rFonts w:hint="eastAsia" w:ascii="宋体" w:hAnsi="宋体" w:eastAsia="宋体" w:cs="宋体"/>
                <w:color w:val="auto"/>
                <w:highlight w:val="none"/>
                <w:lang w:bidi="zh-CN"/>
              </w:rPr>
              <w:t>7</w:t>
            </w:r>
            <w:r>
              <w:rPr>
                <w:rFonts w:hint="eastAsia" w:ascii="宋体" w:hAnsi="宋体" w:eastAsia="宋体" w:cs="宋体"/>
                <w:color w:val="auto"/>
                <w:highlight w:val="none"/>
                <w:lang w:val="zh-CN" w:bidi="zh-CN"/>
              </w:rPr>
              <w:t>分；</w:t>
            </w:r>
          </w:p>
          <w:p w14:paraId="50488EE9">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清晰、</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全面、</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合理、</w:t>
            </w:r>
            <w:r>
              <w:rPr>
                <w:rFonts w:hint="eastAsia" w:ascii="宋体" w:hAnsi="宋体" w:eastAsia="宋体" w:cs="宋体"/>
                <w:color w:val="auto"/>
                <w:highlight w:val="none"/>
                <w:lang w:bidi="zh-CN"/>
              </w:rPr>
              <w:t>较科学</w:t>
            </w:r>
            <w:r>
              <w:rPr>
                <w:rFonts w:hint="eastAsia" w:ascii="宋体" w:hAnsi="宋体" w:eastAsia="宋体" w:cs="宋体"/>
                <w:color w:val="auto"/>
                <w:highlight w:val="none"/>
                <w:lang w:val="zh-CN" w:bidi="zh-CN"/>
              </w:rPr>
              <w:t>可行、</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有针对性的得</w:t>
            </w:r>
            <w:r>
              <w:rPr>
                <w:rFonts w:hint="eastAsia" w:ascii="宋体" w:hAnsi="宋体" w:eastAsia="宋体" w:cs="宋体"/>
                <w:color w:val="auto"/>
                <w:highlight w:val="none"/>
                <w:lang w:bidi="zh-CN"/>
              </w:rPr>
              <w:t>5</w:t>
            </w:r>
            <w:r>
              <w:rPr>
                <w:rFonts w:hint="eastAsia" w:ascii="宋体" w:hAnsi="宋体" w:eastAsia="宋体" w:cs="宋体"/>
                <w:color w:val="auto"/>
                <w:highlight w:val="none"/>
                <w:lang w:val="zh-CN" w:bidi="zh-CN"/>
              </w:rPr>
              <w:t>分；</w:t>
            </w:r>
          </w:p>
          <w:p w14:paraId="5F214EA7">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方案内容清晰性、全面性、合理性、科学性、可行性及针对性一般的得</w:t>
            </w:r>
            <w:r>
              <w:rPr>
                <w:rFonts w:hint="eastAsia" w:ascii="宋体" w:hAnsi="宋体" w:eastAsia="宋体" w:cs="宋体"/>
                <w:color w:val="auto"/>
                <w:highlight w:val="none"/>
                <w:lang w:bidi="zh-CN"/>
              </w:rPr>
              <w:t>3</w:t>
            </w:r>
            <w:r>
              <w:rPr>
                <w:rFonts w:hint="eastAsia" w:ascii="宋体" w:hAnsi="宋体" w:eastAsia="宋体" w:cs="宋体"/>
                <w:color w:val="auto"/>
                <w:highlight w:val="none"/>
                <w:lang w:val="zh-CN" w:bidi="zh-CN"/>
              </w:rPr>
              <w:t>分；</w:t>
            </w:r>
          </w:p>
          <w:p w14:paraId="4EF9D199">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方案内容简单、粗糙的得</w:t>
            </w:r>
            <w:r>
              <w:rPr>
                <w:rFonts w:hint="eastAsia" w:ascii="宋体" w:hAnsi="宋体" w:eastAsia="宋体" w:cs="宋体"/>
                <w:color w:val="auto"/>
                <w:highlight w:val="none"/>
                <w:lang w:bidi="zh-CN"/>
              </w:rPr>
              <w:t>1</w:t>
            </w:r>
            <w:r>
              <w:rPr>
                <w:rFonts w:hint="eastAsia" w:ascii="宋体" w:hAnsi="宋体" w:eastAsia="宋体" w:cs="宋体"/>
                <w:color w:val="auto"/>
                <w:highlight w:val="none"/>
                <w:lang w:val="zh-CN" w:bidi="zh-CN"/>
              </w:rPr>
              <w:t>分；</w:t>
            </w:r>
          </w:p>
          <w:p w14:paraId="6B968083">
            <w:pPr>
              <w:widowControl/>
              <w:autoSpaceDE w:val="0"/>
              <w:autoSpaceDN w:val="0"/>
              <w:spacing w:line="240" w:lineRule="auto"/>
              <w:ind w:firstLine="0" w:firstLineChars="0"/>
              <w:rPr>
                <w:rFonts w:ascii="宋体" w:hAnsi="宋体" w:eastAsia="宋体" w:cs="宋体"/>
                <w:color w:val="auto"/>
                <w:kern w:val="0"/>
                <w:highlight w:val="none"/>
                <w:lang w:val="zh-CN" w:bidi="zh-CN"/>
              </w:rPr>
            </w:pPr>
            <w:r>
              <w:rPr>
                <w:rFonts w:hint="eastAsia" w:ascii="宋体" w:hAnsi="宋体" w:eastAsia="宋体" w:cs="宋体"/>
                <w:color w:val="auto"/>
                <w:highlight w:val="none"/>
                <w:lang w:val="zh-CN" w:bidi="zh-CN"/>
              </w:rPr>
              <w:t>不提供不得分。</w:t>
            </w:r>
          </w:p>
        </w:tc>
        <w:tc>
          <w:tcPr>
            <w:tcW w:w="494" w:type="pct"/>
            <w:noWrap/>
            <w:vAlign w:val="center"/>
          </w:tcPr>
          <w:p w14:paraId="19BC272D">
            <w:pPr>
              <w:widowControl/>
              <w:autoSpaceDE w:val="0"/>
              <w:autoSpaceDN w:val="0"/>
              <w:spacing w:line="240" w:lineRule="auto"/>
              <w:ind w:firstLine="0" w:firstLineChars="0"/>
              <w:jc w:val="center"/>
              <w:rPr>
                <w:rFonts w:ascii="宋体" w:hAnsi="宋体" w:eastAsia="宋体" w:cs="宋体"/>
                <w:color w:val="auto"/>
                <w:kern w:val="0"/>
                <w:highlight w:val="none"/>
                <w:lang w:val="zh-CN" w:bidi="zh-CN"/>
              </w:rPr>
            </w:pPr>
            <w:r>
              <w:rPr>
                <w:rFonts w:hint="eastAsia" w:ascii="宋体" w:hAnsi="宋体" w:eastAsia="宋体" w:cs="宋体"/>
                <w:color w:val="auto"/>
                <w:kern w:val="0"/>
                <w:highlight w:val="none"/>
                <w:lang w:bidi="zh-CN"/>
              </w:rPr>
              <w:t>7</w:t>
            </w:r>
            <w:r>
              <w:rPr>
                <w:rFonts w:hint="eastAsia" w:ascii="宋体" w:hAnsi="宋体" w:eastAsia="宋体" w:cs="宋体"/>
                <w:color w:val="auto"/>
                <w:kern w:val="0"/>
                <w:highlight w:val="none"/>
                <w:lang w:val="zh-CN" w:bidi="zh-CN"/>
              </w:rPr>
              <w:t>分</w:t>
            </w:r>
          </w:p>
        </w:tc>
      </w:tr>
      <w:tr w14:paraId="6393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pct"/>
            <w:vMerge w:val="continue"/>
            <w:noWrap/>
            <w:vAlign w:val="center"/>
          </w:tcPr>
          <w:p w14:paraId="392F00C6">
            <w:pPr>
              <w:autoSpaceDE w:val="0"/>
              <w:autoSpaceDN w:val="0"/>
              <w:spacing w:line="240" w:lineRule="auto"/>
              <w:ind w:firstLine="0" w:firstLineChars="0"/>
              <w:jc w:val="center"/>
              <w:rPr>
                <w:rFonts w:ascii="宋体" w:hAnsi="宋体" w:eastAsia="宋体" w:cs="宋体"/>
                <w:color w:val="auto"/>
                <w:highlight w:val="none"/>
                <w:lang w:val="zh-CN" w:bidi="zh-CN"/>
              </w:rPr>
            </w:pPr>
          </w:p>
        </w:tc>
        <w:tc>
          <w:tcPr>
            <w:tcW w:w="583" w:type="pct"/>
            <w:noWrap/>
            <w:vAlign w:val="center"/>
          </w:tcPr>
          <w:p w14:paraId="1AF2449E">
            <w:pPr>
              <w:autoSpaceDE w:val="0"/>
              <w:autoSpaceDN w:val="0"/>
              <w:spacing w:line="240" w:lineRule="auto"/>
              <w:ind w:firstLine="0" w:firstLineChars="0"/>
              <w:jc w:val="center"/>
              <w:rPr>
                <w:rFonts w:ascii="宋体" w:hAnsi="宋体" w:eastAsia="宋体" w:cs="宋体"/>
                <w:bCs/>
                <w:color w:val="auto"/>
                <w:highlight w:val="none"/>
                <w:lang w:val="zh-CN" w:bidi="zh-CN"/>
              </w:rPr>
            </w:pPr>
            <w:r>
              <w:rPr>
                <w:rFonts w:hint="eastAsia" w:ascii="宋体" w:hAnsi="宋体" w:eastAsia="宋体" w:cs="宋体"/>
                <w:bCs/>
                <w:color w:val="auto"/>
                <w:highlight w:val="none"/>
                <w:lang w:val="zh-CN" w:bidi="zh-CN"/>
              </w:rPr>
              <w:t>施工进度计划和进度的保证措施</w:t>
            </w:r>
          </w:p>
        </w:tc>
        <w:tc>
          <w:tcPr>
            <w:tcW w:w="3229" w:type="pct"/>
            <w:noWrap/>
            <w:vAlign w:val="center"/>
          </w:tcPr>
          <w:p w14:paraId="0C00FE9F">
            <w:pPr>
              <w:tabs>
                <w:tab w:val="left" w:pos="634"/>
              </w:tabs>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评委根据供应商针对本项目提供各进度节点与工期保证措施的清晰性、施工进度计划编制的完整性、合理性及可行性等</w:t>
            </w:r>
            <w:r>
              <w:rPr>
                <w:rFonts w:hint="eastAsia" w:ascii="宋体" w:hAnsi="宋体" w:eastAsia="宋体" w:cs="宋体"/>
                <w:color w:val="auto"/>
                <w:highlight w:val="none"/>
                <w:lang w:bidi="zh-CN"/>
              </w:rPr>
              <w:t>进行</w:t>
            </w:r>
            <w:r>
              <w:rPr>
                <w:rFonts w:hint="eastAsia" w:ascii="宋体" w:hAnsi="宋体" w:eastAsia="宋体" w:cs="宋体"/>
                <w:color w:val="auto"/>
                <w:highlight w:val="none"/>
                <w:lang w:val="zh-CN" w:bidi="zh-CN"/>
              </w:rPr>
              <w:t>评分：</w:t>
            </w:r>
          </w:p>
          <w:p w14:paraId="7BEF3EC6">
            <w:pPr>
              <w:tabs>
                <w:tab w:val="left" w:pos="634"/>
              </w:tabs>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方案内容清晰、完整、合理、</w:t>
            </w:r>
            <w:r>
              <w:rPr>
                <w:rFonts w:hint="eastAsia" w:ascii="宋体" w:hAnsi="宋体" w:eastAsia="宋体" w:cs="宋体"/>
                <w:color w:val="auto"/>
                <w:highlight w:val="none"/>
                <w:lang w:bidi="zh-CN"/>
              </w:rPr>
              <w:t>可行</w:t>
            </w:r>
            <w:r>
              <w:rPr>
                <w:rFonts w:hint="eastAsia" w:ascii="宋体" w:hAnsi="宋体" w:eastAsia="宋体" w:cs="宋体"/>
                <w:color w:val="auto"/>
                <w:highlight w:val="none"/>
                <w:lang w:val="zh-CN" w:bidi="zh-CN"/>
              </w:rPr>
              <w:t>的得</w:t>
            </w:r>
            <w:r>
              <w:rPr>
                <w:rFonts w:hint="eastAsia" w:ascii="宋体" w:hAnsi="宋体" w:eastAsia="宋体" w:cs="宋体"/>
                <w:color w:val="auto"/>
                <w:highlight w:val="none"/>
                <w:lang w:bidi="zh-CN"/>
              </w:rPr>
              <w:t>7</w:t>
            </w:r>
            <w:r>
              <w:rPr>
                <w:rFonts w:hint="eastAsia" w:ascii="宋体" w:hAnsi="宋体" w:eastAsia="宋体" w:cs="宋体"/>
                <w:color w:val="auto"/>
                <w:highlight w:val="none"/>
                <w:lang w:val="zh-CN" w:bidi="zh-CN"/>
              </w:rPr>
              <w:t>分；</w:t>
            </w:r>
          </w:p>
          <w:p w14:paraId="14514FFC">
            <w:pPr>
              <w:tabs>
                <w:tab w:val="left" w:pos="634"/>
              </w:tabs>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清晰、</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完整、</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合理、</w:t>
            </w:r>
            <w:r>
              <w:rPr>
                <w:rFonts w:hint="eastAsia" w:ascii="宋体" w:hAnsi="宋体" w:eastAsia="宋体" w:cs="宋体"/>
                <w:color w:val="auto"/>
                <w:highlight w:val="none"/>
                <w:lang w:bidi="zh-CN"/>
              </w:rPr>
              <w:t>较可行</w:t>
            </w:r>
            <w:r>
              <w:rPr>
                <w:rFonts w:hint="eastAsia" w:ascii="宋体" w:hAnsi="宋体" w:eastAsia="宋体" w:cs="宋体"/>
                <w:color w:val="auto"/>
                <w:highlight w:val="none"/>
                <w:lang w:val="zh-CN" w:bidi="zh-CN"/>
              </w:rPr>
              <w:t>的得</w:t>
            </w:r>
            <w:r>
              <w:rPr>
                <w:rFonts w:hint="eastAsia" w:ascii="宋体" w:hAnsi="宋体" w:eastAsia="宋体" w:cs="宋体"/>
                <w:color w:val="auto"/>
                <w:highlight w:val="none"/>
                <w:lang w:bidi="zh-CN"/>
              </w:rPr>
              <w:t>5</w:t>
            </w:r>
            <w:r>
              <w:rPr>
                <w:rFonts w:hint="eastAsia" w:ascii="宋体" w:hAnsi="宋体" w:eastAsia="宋体" w:cs="宋体"/>
                <w:color w:val="auto"/>
                <w:highlight w:val="none"/>
                <w:lang w:val="zh-CN" w:bidi="zh-CN"/>
              </w:rPr>
              <w:t>分；</w:t>
            </w:r>
          </w:p>
          <w:p w14:paraId="636E2A30">
            <w:pPr>
              <w:tabs>
                <w:tab w:val="left" w:pos="634"/>
              </w:tabs>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方案内容清晰性、完整性、合理性及可行性一般的得</w:t>
            </w:r>
            <w:r>
              <w:rPr>
                <w:rFonts w:hint="eastAsia" w:ascii="宋体" w:hAnsi="宋体" w:eastAsia="宋体" w:cs="宋体"/>
                <w:color w:val="auto"/>
                <w:highlight w:val="none"/>
                <w:lang w:bidi="zh-CN"/>
              </w:rPr>
              <w:t>3</w:t>
            </w:r>
            <w:r>
              <w:rPr>
                <w:rFonts w:hint="eastAsia" w:ascii="宋体" w:hAnsi="宋体" w:eastAsia="宋体" w:cs="宋体"/>
                <w:color w:val="auto"/>
                <w:highlight w:val="none"/>
                <w:lang w:val="zh-CN" w:bidi="zh-CN"/>
              </w:rPr>
              <w:t>分；</w:t>
            </w:r>
          </w:p>
          <w:p w14:paraId="479EB7E8">
            <w:pPr>
              <w:tabs>
                <w:tab w:val="left" w:pos="634"/>
              </w:tabs>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方案内容简单、粗糙的得</w:t>
            </w:r>
            <w:r>
              <w:rPr>
                <w:rFonts w:hint="eastAsia" w:ascii="宋体" w:hAnsi="宋体" w:eastAsia="宋体" w:cs="宋体"/>
                <w:color w:val="auto"/>
                <w:highlight w:val="none"/>
                <w:lang w:bidi="zh-CN"/>
              </w:rPr>
              <w:t>1</w:t>
            </w:r>
            <w:r>
              <w:rPr>
                <w:rFonts w:hint="eastAsia" w:ascii="宋体" w:hAnsi="宋体" w:eastAsia="宋体" w:cs="宋体"/>
                <w:color w:val="auto"/>
                <w:highlight w:val="none"/>
                <w:lang w:val="zh-CN" w:bidi="zh-CN"/>
              </w:rPr>
              <w:t>分；</w:t>
            </w:r>
          </w:p>
          <w:p w14:paraId="625A43C0">
            <w:pPr>
              <w:tabs>
                <w:tab w:val="left" w:pos="634"/>
              </w:tabs>
              <w:autoSpaceDE w:val="0"/>
              <w:autoSpaceDN w:val="0"/>
              <w:spacing w:line="240" w:lineRule="auto"/>
              <w:ind w:firstLine="0" w:firstLineChars="0"/>
              <w:rPr>
                <w:rFonts w:ascii="宋体" w:hAnsi="宋体" w:eastAsia="宋体" w:cs="宋体"/>
                <w:color w:val="auto"/>
                <w:kern w:val="0"/>
                <w:highlight w:val="none"/>
                <w:lang w:val="zh-CN" w:bidi="zh-CN"/>
              </w:rPr>
            </w:pPr>
            <w:r>
              <w:rPr>
                <w:rFonts w:hint="eastAsia" w:ascii="宋体" w:hAnsi="宋体" w:eastAsia="宋体" w:cs="宋体"/>
                <w:color w:val="auto"/>
                <w:highlight w:val="none"/>
                <w:lang w:val="zh-CN" w:bidi="zh-CN"/>
              </w:rPr>
              <w:t>不提供不得分。</w:t>
            </w:r>
          </w:p>
        </w:tc>
        <w:tc>
          <w:tcPr>
            <w:tcW w:w="494" w:type="pct"/>
            <w:noWrap/>
            <w:vAlign w:val="center"/>
          </w:tcPr>
          <w:p w14:paraId="7321CA8F">
            <w:pPr>
              <w:widowControl/>
              <w:autoSpaceDE w:val="0"/>
              <w:autoSpaceDN w:val="0"/>
              <w:spacing w:line="240" w:lineRule="auto"/>
              <w:ind w:firstLine="0" w:firstLineChars="0"/>
              <w:jc w:val="center"/>
              <w:rPr>
                <w:rFonts w:ascii="宋体" w:hAnsi="宋体" w:eastAsia="宋体" w:cs="宋体"/>
                <w:color w:val="auto"/>
                <w:kern w:val="0"/>
                <w:highlight w:val="none"/>
                <w:lang w:val="zh-CN" w:bidi="zh-CN"/>
              </w:rPr>
            </w:pPr>
            <w:r>
              <w:rPr>
                <w:rFonts w:hint="eastAsia" w:ascii="宋体" w:hAnsi="宋体" w:eastAsia="宋体" w:cs="宋体"/>
                <w:color w:val="auto"/>
                <w:kern w:val="0"/>
                <w:highlight w:val="none"/>
                <w:lang w:bidi="zh-CN"/>
              </w:rPr>
              <w:t>7</w:t>
            </w:r>
            <w:r>
              <w:rPr>
                <w:rFonts w:hint="eastAsia" w:ascii="宋体" w:hAnsi="宋体" w:eastAsia="宋体" w:cs="宋体"/>
                <w:color w:val="auto"/>
                <w:kern w:val="0"/>
                <w:highlight w:val="none"/>
                <w:lang w:val="zh-CN" w:bidi="zh-CN"/>
              </w:rPr>
              <w:t>分</w:t>
            </w:r>
          </w:p>
        </w:tc>
      </w:tr>
      <w:tr w14:paraId="005B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693" w:type="pct"/>
            <w:vMerge w:val="continue"/>
            <w:noWrap/>
            <w:vAlign w:val="center"/>
          </w:tcPr>
          <w:p w14:paraId="6B6ABD8C">
            <w:pPr>
              <w:autoSpaceDE w:val="0"/>
              <w:autoSpaceDN w:val="0"/>
              <w:spacing w:line="240" w:lineRule="auto"/>
              <w:ind w:firstLine="0" w:firstLineChars="0"/>
              <w:jc w:val="center"/>
              <w:rPr>
                <w:rFonts w:ascii="宋体" w:hAnsi="宋体" w:eastAsia="宋体" w:cs="宋体"/>
                <w:color w:val="auto"/>
                <w:highlight w:val="none"/>
                <w:lang w:val="zh-CN" w:bidi="zh-CN"/>
              </w:rPr>
            </w:pPr>
          </w:p>
        </w:tc>
        <w:tc>
          <w:tcPr>
            <w:tcW w:w="583" w:type="pct"/>
            <w:noWrap/>
            <w:vAlign w:val="center"/>
          </w:tcPr>
          <w:p w14:paraId="6ED183E2">
            <w:pPr>
              <w:autoSpaceDE w:val="0"/>
              <w:autoSpaceDN w:val="0"/>
              <w:spacing w:line="240" w:lineRule="auto"/>
              <w:ind w:firstLine="0" w:firstLineChars="0"/>
              <w:jc w:val="center"/>
              <w:rPr>
                <w:rFonts w:ascii="宋体" w:hAnsi="宋体" w:eastAsia="宋体" w:cs="宋体"/>
                <w:bCs/>
                <w:color w:val="auto"/>
                <w:highlight w:val="none"/>
                <w:lang w:val="zh-CN" w:bidi="zh-CN"/>
              </w:rPr>
            </w:pPr>
            <w:r>
              <w:rPr>
                <w:rFonts w:hint="eastAsia" w:ascii="宋体" w:hAnsi="宋体" w:eastAsia="宋体" w:cs="宋体"/>
                <w:bCs/>
                <w:color w:val="auto"/>
                <w:highlight w:val="none"/>
                <w:lang w:val="zh-CN" w:bidi="zh-CN"/>
              </w:rPr>
              <w:t>施工质量保证措施</w:t>
            </w:r>
          </w:p>
        </w:tc>
        <w:tc>
          <w:tcPr>
            <w:tcW w:w="3229" w:type="pct"/>
            <w:noWrap/>
            <w:vAlign w:val="center"/>
          </w:tcPr>
          <w:p w14:paraId="50CD2EA7">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评委根据供应商提供的施工质量控制措施、质量保证体系及分部分项工程施工过程质量控制的科学性、合理性、全面性、可行性、有效性及采用新技术、新工艺的可靠性等</w:t>
            </w:r>
            <w:r>
              <w:rPr>
                <w:rFonts w:hint="eastAsia" w:ascii="宋体" w:hAnsi="宋体" w:eastAsia="宋体" w:cs="宋体"/>
                <w:color w:val="auto"/>
                <w:highlight w:val="none"/>
                <w:lang w:bidi="zh-CN"/>
              </w:rPr>
              <w:t>进行</w:t>
            </w:r>
            <w:r>
              <w:rPr>
                <w:rFonts w:hint="eastAsia" w:ascii="宋体" w:hAnsi="宋体" w:eastAsia="宋体" w:cs="宋体"/>
                <w:color w:val="auto"/>
                <w:highlight w:val="none"/>
                <w:lang w:val="zh-CN" w:bidi="zh-CN"/>
              </w:rPr>
              <w:t>评分：</w:t>
            </w:r>
          </w:p>
          <w:p w14:paraId="631B14DC">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方案内容科学、合理、全面、可行、有效且可靠的得</w:t>
            </w:r>
            <w:r>
              <w:rPr>
                <w:rFonts w:hint="eastAsia" w:ascii="宋体" w:hAnsi="宋体" w:eastAsia="宋体" w:cs="宋体"/>
                <w:color w:val="auto"/>
                <w:highlight w:val="none"/>
                <w:lang w:bidi="zh-CN"/>
              </w:rPr>
              <w:t>7</w:t>
            </w:r>
            <w:r>
              <w:rPr>
                <w:rFonts w:hint="eastAsia" w:ascii="宋体" w:hAnsi="宋体" w:eastAsia="宋体" w:cs="宋体"/>
                <w:color w:val="auto"/>
                <w:highlight w:val="none"/>
                <w:lang w:val="zh-CN" w:bidi="zh-CN"/>
              </w:rPr>
              <w:t>分；</w:t>
            </w:r>
          </w:p>
          <w:p w14:paraId="346B05EB">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科学、</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合理、</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全面、</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可行、</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有效且</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可靠的得</w:t>
            </w:r>
            <w:r>
              <w:rPr>
                <w:rFonts w:hint="eastAsia" w:ascii="宋体" w:hAnsi="宋体" w:eastAsia="宋体" w:cs="宋体"/>
                <w:color w:val="auto"/>
                <w:highlight w:val="none"/>
                <w:lang w:bidi="zh-CN"/>
              </w:rPr>
              <w:t>5</w:t>
            </w:r>
            <w:r>
              <w:rPr>
                <w:rFonts w:hint="eastAsia" w:ascii="宋体" w:hAnsi="宋体" w:eastAsia="宋体" w:cs="宋体"/>
                <w:color w:val="auto"/>
                <w:highlight w:val="none"/>
                <w:lang w:val="zh-CN" w:bidi="zh-CN"/>
              </w:rPr>
              <w:t>分；</w:t>
            </w:r>
          </w:p>
          <w:p w14:paraId="27F6D5C1">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方案内容科学性、合理性、全面性、可行性、有效性及可靠性</w:t>
            </w:r>
            <w:r>
              <w:rPr>
                <w:rFonts w:hint="eastAsia" w:ascii="宋体" w:hAnsi="宋体" w:eastAsia="宋体" w:cs="宋体"/>
                <w:color w:val="auto"/>
                <w:highlight w:val="none"/>
                <w:lang w:bidi="zh-CN"/>
              </w:rPr>
              <w:t>一般</w:t>
            </w:r>
            <w:r>
              <w:rPr>
                <w:rFonts w:hint="eastAsia" w:ascii="宋体" w:hAnsi="宋体" w:eastAsia="宋体" w:cs="宋体"/>
                <w:color w:val="auto"/>
                <w:highlight w:val="none"/>
                <w:lang w:val="zh-CN" w:bidi="zh-CN"/>
              </w:rPr>
              <w:t>的得</w:t>
            </w:r>
            <w:r>
              <w:rPr>
                <w:rFonts w:hint="eastAsia" w:ascii="宋体" w:hAnsi="宋体" w:eastAsia="宋体" w:cs="宋体"/>
                <w:color w:val="auto"/>
                <w:highlight w:val="none"/>
                <w:lang w:bidi="zh-CN"/>
              </w:rPr>
              <w:t>3</w:t>
            </w:r>
            <w:r>
              <w:rPr>
                <w:rFonts w:hint="eastAsia" w:ascii="宋体" w:hAnsi="宋体" w:eastAsia="宋体" w:cs="宋体"/>
                <w:color w:val="auto"/>
                <w:highlight w:val="none"/>
                <w:lang w:val="zh-CN" w:bidi="zh-CN"/>
              </w:rPr>
              <w:t>分；</w:t>
            </w:r>
          </w:p>
          <w:p w14:paraId="47BC9126">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方案内容简单、粗糙的得1分；</w:t>
            </w:r>
          </w:p>
          <w:p w14:paraId="48ECC066">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不提供不得分。</w:t>
            </w:r>
          </w:p>
        </w:tc>
        <w:tc>
          <w:tcPr>
            <w:tcW w:w="494" w:type="pct"/>
            <w:noWrap/>
            <w:vAlign w:val="center"/>
          </w:tcPr>
          <w:p w14:paraId="1E8793C8">
            <w:pPr>
              <w:widowControl/>
              <w:autoSpaceDE w:val="0"/>
              <w:autoSpaceDN w:val="0"/>
              <w:spacing w:line="240" w:lineRule="auto"/>
              <w:ind w:firstLine="0" w:firstLineChars="0"/>
              <w:jc w:val="center"/>
              <w:rPr>
                <w:rFonts w:ascii="宋体" w:hAnsi="宋体" w:eastAsia="宋体" w:cs="宋体"/>
                <w:color w:val="auto"/>
                <w:highlight w:val="none"/>
                <w:lang w:val="zh-CN" w:bidi="zh-CN"/>
              </w:rPr>
            </w:pPr>
            <w:r>
              <w:rPr>
                <w:rFonts w:hint="eastAsia" w:ascii="宋体" w:hAnsi="宋体" w:eastAsia="宋体" w:cs="宋体"/>
                <w:color w:val="auto"/>
                <w:kern w:val="0"/>
                <w:highlight w:val="none"/>
                <w:lang w:bidi="zh-CN"/>
              </w:rPr>
              <w:t>7</w:t>
            </w:r>
            <w:r>
              <w:rPr>
                <w:rFonts w:hint="eastAsia" w:ascii="宋体" w:hAnsi="宋体" w:eastAsia="宋体" w:cs="宋体"/>
                <w:color w:val="auto"/>
                <w:kern w:val="0"/>
                <w:highlight w:val="none"/>
                <w:lang w:val="zh-CN" w:bidi="zh-CN"/>
              </w:rPr>
              <w:t>分</w:t>
            </w:r>
          </w:p>
        </w:tc>
      </w:tr>
      <w:tr w14:paraId="6FA5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93" w:type="pct"/>
            <w:vMerge w:val="continue"/>
            <w:noWrap/>
            <w:vAlign w:val="center"/>
          </w:tcPr>
          <w:p w14:paraId="2171ED4A">
            <w:pPr>
              <w:autoSpaceDE w:val="0"/>
              <w:autoSpaceDN w:val="0"/>
              <w:spacing w:line="240" w:lineRule="auto"/>
              <w:ind w:firstLine="0" w:firstLineChars="0"/>
              <w:jc w:val="center"/>
              <w:rPr>
                <w:rFonts w:ascii="宋体" w:hAnsi="宋体" w:eastAsia="宋体" w:cs="宋体"/>
                <w:color w:val="auto"/>
                <w:highlight w:val="none"/>
                <w:lang w:val="zh-CN" w:bidi="zh-CN"/>
              </w:rPr>
            </w:pPr>
          </w:p>
        </w:tc>
        <w:tc>
          <w:tcPr>
            <w:tcW w:w="583" w:type="pct"/>
            <w:noWrap/>
            <w:vAlign w:val="center"/>
          </w:tcPr>
          <w:p w14:paraId="5C5107DF">
            <w:pPr>
              <w:autoSpaceDE w:val="0"/>
              <w:autoSpaceDN w:val="0"/>
              <w:spacing w:line="240" w:lineRule="auto"/>
              <w:ind w:firstLine="0" w:firstLineChars="0"/>
              <w:jc w:val="center"/>
              <w:rPr>
                <w:rFonts w:ascii="宋体" w:hAnsi="宋体" w:eastAsia="宋体" w:cs="宋体"/>
                <w:bCs/>
                <w:color w:val="auto"/>
                <w:highlight w:val="none"/>
                <w:lang w:val="zh-CN" w:bidi="zh-CN"/>
              </w:rPr>
            </w:pPr>
            <w:r>
              <w:rPr>
                <w:rFonts w:hint="eastAsia" w:ascii="宋体" w:hAnsi="宋体" w:eastAsia="宋体" w:cs="宋体"/>
                <w:bCs/>
                <w:color w:val="auto"/>
                <w:highlight w:val="none"/>
                <w:lang w:bidi="zh-CN"/>
              </w:rPr>
              <w:t>施工</w:t>
            </w:r>
            <w:r>
              <w:rPr>
                <w:rFonts w:hint="eastAsia" w:ascii="宋体" w:hAnsi="宋体" w:eastAsia="宋体" w:cs="宋体"/>
                <w:bCs/>
                <w:color w:val="auto"/>
                <w:highlight w:val="none"/>
                <w:lang w:val="zh-CN" w:bidi="zh-CN"/>
              </w:rPr>
              <w:t>现场管理方案</w:t>
            </w:r>
          </w:p>
        </w:tc>
        <w:tc>
          <w:tcPr>
            <w:tcW w:w="3229" w:type="pct"/>
            <w:noWrap/>
            <w:vAlign w:val="center"/>
          </w:tcPr>
          <w:p w14:paraId="08180E9A">
            <w:pPr>
              <w:widowControl/>
              <w:autoSpaceDE w:val="0"/>
              <w:autoSpaceDN w:val="0"/>
              <w:spacing w:line="240" w:lineRule="auto"/>
              <w:ind w:firstLine="0" w:firstLineChars="0"/>
              <w:rPr>
                <w:rFonts w:ascii="宋体" w:hAnsi="宋体" w:eastAsia="宋体" w:cs="宋体"/>
                <w:color w:val="auto"/>
                <w:kern w:val="0"/>
                <w:highlight w:val="none"/>
                <w:lang w:val="zh-CN" w:bidi="zh-CN"/>
              </w:rPr>
            </w:pPr>
            <w:r>
              <w:rPr>
                <w:rFonts w:hint="eastAsia" w:ascii="宋体" w:hAnsi="宋体" w:eastAsia="宋体" w:cs="宋体"/>
                <w:color w:val="auto"/>
                <w:kern w:val="0"/>
                <w:highlight w:val="none"/>
                <w:lang w:val="zh-CN" w:bidi="zh-CN"/>
              </w:rPr>
              <w:t>评委根据供应商提供的针对本项目</w:t>
            </w:r>
            <w:r>
              <w:rPr>
                <w:rFonts w:hint="eastAsia" w:ascii="宋体" w:hAnsi="宋体" w:eastAsia="宋体" w:cs="宋体"/>
                <w:color w:val="auto"/>
                <w:kern w:val="0"/>
                <w:highlight w:val="none"/>
                <w:lang w:bidi="zh-CN"/>
              </w:rPr>
              <w:t>施工</w:t>
            </w:r>
            <w:r>
              <w:rPr>
                <w:rFonts w:hint="eastAsia" w:ascii="宋体" w:hAnsi="宋体" w:eastAsia="宋体" w:cs="宋体"/>
                <w:color w:val="auto"/>
                <w:kern w:val="0"/>
                <w:highlight w:val="none"/>
                <w:lang w:val="zh-CN" w:bidi="zh-CN"/>
              </w:rPr>
              <w:t>现场管理的科学性、规范性、全面性、可行性及合理性等</w:t>
            </w:r>
            <w:r>
              <w:rPr>
                <w:rFonts w:hint="eastAsia" w:ascii="宋体" w:hAnsi="宋体" w:eastAsia="宋体" w:cs="宋体"/>
                <w:color w:val="auto"/>
                <w:highlight w:val="none"/>
                <w:lang w:bidi="zh-CN"/>
              </w:rPr>
              <w:t>进行</w:t>
            </w:r>
            <w:r>
              <w:rPr>
                <w:rFonts w:hint="eastAsia" w:ascii="宋体" w:hAnsi="宋体" w:eastAsia="宋体" w:cs="宋体"/>
                <w:color w:val="auto"/>
                <w:kern w:val="0"/>
                <w:highlight w:val="none"/>
                <w:lang w:val="zh-CN" w:bidi="zh-CN"/>
              </w:rPr>
              <w:t>评分：</w:t>
            </w:r>
          </w:p>
          <w:p w14:paraId="426297CA">
            <w:pPr>
              <w:widowControl/>
              <w:autoSpaceDE w:val="0"/>
              <w:autoSpaceDN w:val="0"/>
              <w:spacing w:line="240" w:lineRule="auto"/>
              <w:ind w:firstLine="0" w:firstLineChars="0"/>
              <w:rPr>
                <w:rFonts w:ascii="宋体" w:hAnsi="宋体" w:eastAsia="宋体" w:cs="宋体"/>
                <w:color w:val="auto"/>
                <w:kern w:val="0"/>
                <w:highlight w:val="none"/>
                <w:lang w:val="zh-CN" w:bidi="zh-CN"/>
              </w:rPr>
            </w:pPr>
            <w:r>
              <w:rPr>
                <w:rFonts w:hint="eastAsia" w:ascii="宋体" w:hAnsi="宋体" w:eastAsia="宋体" w:cs="宋体"/>
                <w:color w:val="auto"/>
                <w:kern w:val="0"/>
                <w:highlight w:val="none"/>
                <w:lang w:val="zh-CN" w:bidi="zh-CN"/>
              </w:rPr>
              <w:t>方案内容科学、规范、全面、可行、合理的得</w:t>
            </w:r>
            <w:r>
              <w:rPr>
                <w:rFonts w:hint="eastAsia" w:ascii="宋体" w:hAnsi="宋体" w:eastAsia="宋体" w:cs="宋体"/>
                <w:color w:val="auto"/>
                <w:kern w:val="0"/>
                <w:highlight w:val="none"/>
                <w:lang w:bidi="zh-CN"/>
              </w:rPr>
              <w:t>7</w:t>
            </w:r>
            <w:r>
              <w:rPr>
                <w:rFonts w:hint="eastAsia" w:ascii="宋体" w:hAnsi="宋体" w:eastAsia="宋体" w:cs="宋体"/>
                <w:color w:val="auto"/>
                <w:kern w:val="0"/>
                <w:highlight w:val="none"/>
                <w:lang w:val="zh-CN" w:bidi="zh-CN"/>
              </w:rPr>
              <w:t>分；</w:t>
            </w:r>
          </w:p>
          <w:p w14:paraId="59DD9C0E">
            <w:pPr>
              <w:widowControl/>
              <w:autoSpaceDE w:val="0"/>
              <w:autoSpaceDN w:val="0"/>
              <w:spacing w:line="240" w:lineRule="auto"/>
              <w:ind w:firstLine="0" w:firstLineChars="0"/>
              <w:rPr>
                <w:rFonts w:ascii="宋体" w:hAnsi="宋体" w:eastAsia="宋体" w:cs="宋体"/>
                <w:color w:val="auto"/>
                <w:kern w:val="0"/>
                <w:highlight w:val="none"/>
                <w:lang w:val="zh-CN" w:bidi="zh-CN"/>
              </w:rPr>
            </w:pPr>
            <w:r>
              <w:rPr>
                <w:rFonts w:hint="eastAsia" w:ascii="宋体" w:hAnsi="宋体" w:eastAsia="宋体" w:cs="宋体"/>
                <w:color w:val="auto"/>
                <w:kern w:val="0"/>
                <w:highlight w:val="none"/>
                <w:lang w:val="zh-CN" w:bidi="zh-CN"/>
              </w:rPr>
              <w:t>方案内容</w:t>
            </w:r>
            <w:r>
              <w:rPr>
                <w:rFonts w:hint="eastAsia" w:ascii="宋体" w:hAnsi="宋体" w:eastAsia="宋体" w:cs="宋体"/>
                <w:color w:val="auto"/>
                <w:kern w:val="0"/>
                <w:highlight w:val="none"/>
                <w:lang w:bidi="zh-CN"/>
              </w:rPr>
              <w:t>较</w:t>
            </w:r>
            <w:r>
              <w:rPr>
                <w:rFonts w:hint="eastAsia" w:ascii="宋体" w:hAnsi="宋体" w:eastAsia="宋体" w:cs="宋体"/>
                <w:color w:val="auto"/>
                <w:kern w:val="0"/>
                <w:highlight w:val="none"/>
                <w:lang w:val="zh-CN" w:bidi="zh-CN"/>
              </w:rPr>
              <w:t>科学、</w:t>
            </w:r>
            <w:r>
              <w:rPr>
                <w:rFonts w:hint="eastAsia" w:ascii="宋体" w:hAnsi="宋体" w:eastAsia="宋体" w:cs="宋体"/>
                <w:color w:val="auto"/>
                <w:kern w:val="0"/>
                <w:highlight w:val="none"/>
                <w:lang w:bidi="zh-CN"/>
              </w:rPr>
              <w:t>较</w:t>
            </w:r>
            <w:r>
              <w:rPr>
                <w:rFonts w:hint="eastAsia" w:ascii="宋体" w:hAnsi="宋体" w:eastAsia="宋体" w:cs="宋体"/>
                <w:color w:val="auto"/>
                <w:kern w:val="0"/>
                <w:highlight w:val="none"/>
                <w:lang w:val="zh-CN" w:bidi="zh-CN"/>
              </w:rPr>
              <w:t>规范、</w:t>
            </w:r>
            <w:r>
              <w:rPr>
                <w:rFonts w:hint="eastAsia" w:ascii="宋体" w:hAnsi="宋体" w:eastAsia="宋体" w:cs="宋体"/>
                <w:color w:val="auto"/>
                <w:kern w:val="0"/>
                <w:highlight w:val="none"/>
                <w:lang w:bidi="zh-CN"/>
              </w:rPr>
              <w:t>较</w:t>
            </w:r>
            <w:r>
              <w:rPr>
                <w:rFonts w:hint="eastAsia" w:ascii="宋体" w:hAnsi="宋体" w:eastAsia="宋体" w:cs="宋体"/>
                <w:color w:val="auto"/>
                <w:kern w:val="0"/>
                <w:highlight w:val="none"/>
                <w:lang w:val="zh-CN" w:bidi="zh-CN"/>
              </w:rPr>
              <w:t>全面、</w:t>
            </w:r>
            <w:r>
              <w:rPr>
                <w:rFonts w:hint="eastAsia" w:ascii="宋体" w:hAnsi="宋体" w:eastAsia="宋体" w:cs="宋体"/>
                <w:color w:val="auto"/>
                <w:kern w:val="0"/>
                <w:highlight w:val="none"/>
                <w:lang w:bidi="zh-CN"/>
              </w:rPr>
              <w:t>较</w:t>
            </w:r>
            <w:r>
              <w:rPr>
                <w:rFonts w:hint="eastAsia" w:ascii="宋体" w:hAnsi="宋体" w:eastAsia="宋体" w:cs="宋体"/>
                <w:color w:val="auto"/>
                <w:kern w:val="0"/>
                <w:highlight w:val="none"/>
                <w:lang w:val="zh-CN" w:bidi="zh-CN"/>
              </w:rPr>
              <w:t>可行、</w:t>
            </w:r>
            <w:r>
              <w:rPr>
                <w:rFonts w:hint="eastAsia" w:ascii="宋体" w:hAnsi="宋体" w:eastAsia="宋体" w:cs="宋体"/>
                <w:color w:val="auto"/>
                <w:kern w:val="0"/>
                <w:highlight w:val="none"/>
                <w:lang w:bidi="zh-CN"/>
              </w:rPr>
              <w:t>较</w:t>
            </w:r>
            <w:r>
              <w:rPr>
                <w:rFonts w:hint="eastAsia" w:ascii="宋体" w:hAnsi="宋体" w:eastAsia="宋体" w:cs="宋体"/>
                <w:color w:val="auto"/>
                <w:kern w:val="0"/>
                <w:highlight w:val="none"/>
                <w:lang w:val="zh-CN" w:bidi="zh-CN"/>
              </w:rPr>
              <w:t>合理的得</w:t>
            </w:r>
            <w:r>
              <w:rPr>
                <w:rFonts w:hint="eastAsia" w:ascii="宋体" w:hAnsi="宋体" w:eastAsia="宋体" w:cs="宋体"/>
                <w:color w:val="auto"/>
                <w:kern w:val="0"/>
                <w:highlight w:val="none"/>
                <w:lang w:bidi="zh-CN"/>
              </w:rPr>
              <w:t>5</w:t>
            </w:r>
            <w:r>
              <w:rPr>
                <w:rFonts w:hint="eastAsia" w:ascii="宋体" w:hAnsi="宋体" w:eastAsia="宋体" w:cs="宋体"/>
                <w:color w:val="auto"/>
                <w:kern w:val="0"/>
                <w:highlight w:val="none"/>
                <w:lang w:val="zh-CN" w:bidi="zh-CN"/>
              </w:rPr>
              <w:t>分；</w:t>
            </w:r>
          </w:p>
          <w:p w14:paraId="20752FFE">
            <w:pPr>
              <w:widowControl/>
              <w:autoSpaceDE w:val="0"/>
              <w:autoSpaceDN w:val="0"/>
              <w:spacing w:line="240" w:lineRule="auto"/>
              <w:ind w:firstLine="0" w:firstLineChars="0"/>
              <w:rPr>
                <w:rFonts w:ascii="宋体" w:hAnsi="宋体" w:eastAsia="宋体" w:cs="宋体"/>
                <w:color w:val="auto"/>
                <w:kern w:val="0"/>
                <w:highlight w:val="none"/>
                <w:lang w:val="zh-CN" w:bidi="zh-CN"/>
              </w:rPr>
            </w:pPr>
            <w:r>
              <w:rPr>
                <w:rFonts w:hint="eastAsia" w:ascii="宋体" w:hAnsi="宋体" w:eastAsia="宋体" w:cs="宋体"/>
                <w:color w:val="auto"/>
                <w:kern w:val="0"/>
                <w:highlight w:val="none"/>
                <w:lang w:val="zh-CN" w:bidi="zh-CN"/>
              </w:rPr>
              <w:t>方案内容科学性、规范性、全面性、可行性及合理性</w:t>
            </w:r>
            <w:r>
              <w:rPr>
                <w:rFonts w:hint="eastAsia" w:ascii="宋体" w:hAnsi="宋体" w:eastAsia="宋体" w:cs="宋体"/>
                <w:color w:val="auto"/>
                <w:kern w:val="0"/>
                <w:highlight w:val="none"/>
                <w:lang w:bidi="zh-CN"/>
              </w:rPr>
              <w:t>一般</w:t>
            </w:r>
            <w:r>
              <w:rPr>
                <w:rFonts w:hint="eastAsia" w:ascii="宋体" w:hAnsi="宋体" w:eastAsia="宋体" w:cs="宋体"/>
                <w:color w:val="auto"/>
                <w:kern w:val="0"/>
                <w:highlight w:val="none"/>
                <w:lang w:val="zh-CN" w:bidi="zh-CN"/>
              </w:rPr>
              <w:t>的得</w:t>
            </w:r>
            <w:r>
              <w:rPr>
                <w:rFonts w:hint="eastAsia" w:ascii="宋体" w:hAnsi="宋体" w:eastAsia="宋体" w:cs="宋体"/>
                <w:color w:val="auto"/>
                <w:kern w:val="0"/>
                <w:highlight w:val="none"/>
                <w:lang w:bidi="zh-CN"/>
              </w:rPr>
              <w:t>3</w:t>
            </w:r>
            <w:r>
              <w:rPr>
                <w:rFonts w:hint="eastAsia" w:ascii="宋体" w:hAnsi="宋体" w:eastAsia="宋体" w:cs="宋体"/>
                <w:color w:val="auto"/>
                <w:kern w:val="0"/>
                <w:highlight w:val="none"/>
                <w:lang w:val="zh-CN" w:bidi="zh-CN"/>
              </w:rPr>
              <w:t>分；</w:t>
            </w:r>
          </w:p>
          <w:p w14:paraId="708B3213">
            <w:pPr>
              <w:widowControl/>
              <w:autoSpaceDE w:val="0"/>
              <w:autoSpaceDN w:val="0"/>
              <w:spacing w:line="240" w:lineRule="auto"/>
              <w:ind w:firstLine="0" w:firstLineChars="0"/>
              <w:rPr>
                <w:rFonts w:ascii="宋体" w:hAnsi="宋体" w:eastAsia="宋体" w:cs="宋体"/>
                <w:color w:val="auto"/>
                <w:kern w:val="0"/>
                <w:highlight w:val="none"/>
                <w:lang w:val="zh-CN" w:bidi="zh-CN"/>
              </w:rPr>
            </w:pPr>
            <w:r>
              <w:rPr>
                <w:rFonts w:hint="eastAsia" w:ascii="宋体" w:hAnsi="宋体" w:eastAsia="宋体" w:cs="宋体"/>
                <w:color w:val="auto"/>
                <w:kern w:val="0"/>
                <w:highlight w:val="none"/>
                <w:lang w:val="zh-CN" w:bidi="zh-CN"/>
              </w:rPr>
              <w:t>方案</w:t>
            </w:r>
            <w:r>
              <w:rPr>
                <w:rFonts w:hint="eastAsia" w:ascii="宋体" w:hAnsi="宋体" w:eastAsia="宋体" w:cs="宋体"/>
                <w:color w:val="auto"/>
                <w:highlight w:val="none"/>
                <w:lang w:val="zh-CN" w:bidi="zh-CN"/>
              </w:rPr>
              <w:t>内容简单、粗糙</w:t>
            </w:r>
            <w:r>
              <w:rPr>
                <w:rFonts w:hint="eastAsia" w:ascii="宋体" w:hAnsi="宋体" w:eastAsia="宋体" w:cs="宋体"/>
                <w:color w:val="auto"/>
                <w:kern w:val="0"/>
                <w:highlight w:val="none"/>
                <w:lang w:val="zh-CN" w:bidi="zh-CN"/>
              </w:rPr>
              <w:t>的得1分；</w:t>
            </w:r>
          </w:p>
          <w:p w14:paraId="6FFABA4F">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kern w:val="0"/>
                <w:highlight w:val="none"/>
                <w:lang w:val="zh-CN" w:bidi="zh-CN"/>
              </w:rPr>
              <w:t>不提供不得分。</w:t>
            </w:r>
          </w:p>
        </w:tc>
        <w:tc>
          <w:tcPr>
            <w:tcW w:w="494" w:type="pct"/>
            <w:noWrap/>
            <w:vAlign w:val="center"/>
          </w:tcPr>
          <w:p w14:paraId="2E03CDDB">
            <w:pPr>
              <w:widowControl/>
              <w:autoSpaceDE w:val="0"/>
              <w:autoSpaceDN w:val="0"/>
              <w:spacing w:line="240" w:lineRule="auto"/>
              <w:ind w:firstLine="0" w:firstLineChars="0"/>
              <w:jc w:val="center"/>
              <w:rPr>
                <w:rFonts w:ascii="宋体" w:hAnsi="宋体" w:eastAsia="宋体" w:cs="宋体"/>
                <w:color w:val="auto"/>
                <w:highlight w:val="none"/>
                <w:lang w:val="zh-CN" w:bidi="zh-CN"/>
              </w:rPr>
            </w:pPr>
            <w:r>
              <w:rPr>
                <w:rFonts w:hint="eastAsia" w:ascii="宋体" w:hAnsi="宋体" w:eastAsia="宋体" w:cs="宋体"/>
                <w:color w:val="auto"/>
                <w:kern w:val="0"/>
                <w:highlight w:val="none"/>
                <w:lang w:bidi="zh-CN"/>
              </w:rPr>
              <w:t>7</w:t>
            </w:r>
            <w:r>
              <w:rPr>
                <w:rFonts w:hint="eastAsia" w:ascii="宋体" w:hAnsi="宋体" w:eastAsia="宋体" w:cs="宋体"/>
                <w:color w:val="auto"/>
                <w:kern w:val="0"/>
                <w:highlight w:val="none"/>
                <w:lang w:val="zh-CN" w:bidi="zh-CN"/>
              </w:rPr>
              <w:t>分</w:t>
            </w:r>
          </w:p>
        </w:tc>
      </w:tr>
      <w:tr w14:paraId="1F55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pct"/>
            <w:vMerge w:val="continue"/>
            <w:noWrap/>
            <w:vAlign w:val="center"/>
          </w:tcPr>
          <w:p w14:paraId="78CFDF89">
            <w:pPr>
              <w:autoSpaceDE w:val="0"/>
              <w:autoSpaceDN w:val="0"/>
              <w:spacing w:line="240" w:lineRule="auto"/>
              <w:ind w:firstLine="0" w:firstLineChars="0"/>
              <w:jc w:val="center"/>
              <w:rPr>
                <w:rFonts w:ascii="宋体" w:hAnsi="宋体" w:eastAsia="宋体" w:cs="宋体"/>
                <w:color w:val="auto"/>
                <w:highlight w:val="none"/>
                <w:lang w:val="zh-CN" w:bidi="zh-CN"/>
              </w:rPr>
            </w:pPr>
          </w:p>
        </w:tc>
        <w:tc>
          <w:tcPr>
            <w:tcW w:w="583" w:type="pct"/>
            <w:noWrap/>
            <w:vAlign w:val="center"/>
          </w:tcPr>
          <w:p w14:paraId="3BE423D0">
            <w:pPr>
              <w:autoSpaceDE w:val="0"/>
              <w:autoSpaceDN w:val="0"/>
              <w:spacing w:line="240" w:lineRule="auto"/>
              <w:ind w:firstLine="0" w:firstLineChars="0"/>
              <w:jc w:val="center"/>
              <w:rPr>
                <w:rFonts w:ascii="宋体" w:hAnsi="宋体" w:eastAsia="宋体" w:cs="宋体"/>
                <w:bCs/>
                <w:color w:val="auto"/>
                <w:highlight w:val="none"/>
                <w:lang w:val="zh-CN" w:bidi="zh-CN"/>
              </w:rPr>
            </w:pPr>
            <w:r>
              <w:rPr>
                <w:rFonts w:hint="eastAsia" w:ascii="宋体" w:hAnsi="宋体" w:eastAsia="宋体" w:cs="宋体"/>
                <w:bCs/>
                <w:color w:val="auto"/>
                <w:highlight w:val="none"/>
                <w:lang w:val="zh-CN" w:bidi="zh-CN"/>
              </w:rPr>
              <w:t>安全文明施工措施</w:t>
            </w:r>
          </w:p>
        </w:tc>
        <w:tc>
          <w:tcPr>
            <w:tcW w:w="3229" w:type="pct"/>
            <w:noWrap/>
            <w:vAlign w:val="center"/>
          </w:tcPr>
          <w:p w14:paraId="5E4168ED">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评委根据供应商提供的针对本项目安全文明施工（</w:t>
            </w:r>
            <w:r>
              <w:rPr>
                <w:rFonts w:hint="eastAsia" w:ascii="宋体" w:hAnsi="宋体" w:eastAsia="宋体" w:cs="宋体"/>
                <w:color w:val="auto"/>
                <w:highlight w:val="none"/>
                <w:lang w:bidi="zh-CN"/>
              </w:rPr>
              <w:t>包括但不限于</w:t>
            </w:r>
            <w:r>
              <w:rPr>
                <w:rFonts w:hint="eastAsia" w:ascii="宋体" w:hAnsi="宋体" w:eastAsia="宋体" w:cs="宋体"/>
                <w:color w:val="auto"/>
                <w:highlight w:val="none"/>
              </w:rPr>
              <w:t>施工人员指定工作服、施工区域围护、持证上岗等</w:t>
            </w:r>
            <w:r>
              <w:rPr>
                <w:rFonts w:hint="eastAsia" w:ascii="宋体" w:hAnsi="宋体" w:eastAsia="宋体" w:cs="宋体"/>
                <w:color w:val="auto"/>
                <w:highlight w:val="none"/>
                <w:lang w:val="zh-CN" w:bidi="zh-CN"/>
              </w:rPr>
              <w:t>）采取措施的规范性、全面性、合理性、针对性、具体性、可靠性，以及操作规程科学性等</w:t>
            </w:r>
            <w:r>
              <w:rPr>
                <w:rFonts w:hint="eastAsia" w:ascii="宋体" w:hAnsi="宋体" w:eastAsia="宋体" w:cs="宋体"/>
                <w:color w:val="auto"/>
                <w:highlight w:val="none"/>
                <w:lang w:bidi="zh-CN"/>
              </w:rPr>
              <w:t>进行</w:t>
            </w:r>
            <w:r>
              <w:rPr>
                <w:rFonts w:hint="eastAsia" w:ascii="宋体" w:hAnsi="宋体" w:eastAsia="宋体" w:cs="宋体"/>
                <w:color w:val="auto"/>
                <w:highlight w:val="none"/>
                <w:lang w:val="zh-CN" w:bidi="zh-CN"/>
              </w:rPr>
              <w:t>评分：</w:t>
            </w:r>
          </w:p>
          <w:p w14:paraId="7E2517E3">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方案内容规范、全面、合理、具体、可靠、有针对性的得</w:t>
            </w:r>
            <w:r>
              <w:rPr>
                <w:rFonts w:hint="eastAsia" w:ascii="宋体" w:hAnsi="宋体" w:eastAsia="宋体" w:cs="宋体"/>
                <w:color w:val="auto"/>
                <w:highlight w:val="none"/>
                <w:lang w:bidi="zh-CN"/>
              </w:rPr>
              <w:t>7</w:t>
            </w:r>
            <w:r>
              <w:rPr>
                <w:rFonts w:hint="eastAsia" w:ascii="宋体" w:hAnsi="宋体" w:eastAsia="宋体" w:cs="宋体"/>
                <w:color w:val="auto"/>
                <w:highlight w:val="none"/>
                <w:lang w:val="zh-CN" w:bidi="zh-CN"/>
              </w:rPr>
              <w:t>分；</w:t>
            </w:r>
          </w:p>
          <w:p w14:paraId="6045D81D">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规范、</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全面、</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合理、</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具体、</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可靠、</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有针对性的得</w:t>
            </w:r>
            <w:r>
              <w:rPr>
                <w:rFonts w:hint="eastAsia" w:ascii="宋体" w:hAnsi="宋体" w:eastAsia="宋体" w:cs="宋体"/>
                <w:color w:val="auto"/>
                <w:highlight w:val="none"/>
                <w:lang w:bidi="zh-CN"/>
              </w:rPr>
              <w:t>5</w:t>
            </w:r>
            <w:r>
              <w:rPr>
                <w:rFonts w:hint="eastAsia" w:ascii="宋体" w:hAnsi="宋体" w:eastAsia="宋体" w:cs="宋体"/>
                <w:color w:val="auto"/>
                <w:highlight w:val="none"/>
                <w:lang w:val="zh-CN" w:bidi="zh-CN"/>
              </w:rPr>
              <w:t>分；</w:t>
            </w:r>
          </w:p>
          <w:p w14:paraId="5600011A">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方案内容规范性、全面性、合理性、针对性、具体性、可靠性以及科学性一般的得</w:t>
            </w:r>
            <w:r>
              <w:rPr>
                <w:rFonts w:hint="eastAsia" w:ascii="宋体" w:hAnsi="宋体" w:eastAsia="宋体" w:cs="宋体"/>
                <w:color w:val="auto"/>
                <w:highlight w:val="none"/>
                <w:lang w:bidi="zh-CN"/>
              </w:rPr>
              <w:t>3</w:t>
            </w:r>
            <w:r>
              <w:rPr>
                <w:rFonts w:hint="eastAsia" w:ascii="宋体" w:hAnsi="宋体" w:eastAsia="宋体" w:cs="宋体"/>
                <w:color w:val="auto"/>
                <w:highlight w:val="none"/>
                <w:lang w:val="zh-CN" w:bidi="zh-CN"/>
              </w:rPr>
              <w:t>分；</w:t>
            </w:r>
          </w:p>
          <w:p w14:paraId="5A526770">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方案内容简单、粗糙的得1分；</w:t>
            </w:r>
          </w:p>
          <w:p w14:paraId="7D2837ED">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不提供不得分。</w:t>
            </w:r>
          </w:p>
        </w:tc>
        <w:tc>
          <w:tcPr>
            <w:tcW w:w="494" w:type="pct"/>
            <w:noWrap/>
            <w:vAlign w:val="center"/>
          </w:tcPr>
          <w:p w14:paraId="7B91BC9D">
            <w:pPr>
              <w:widowControl/>
              <w:autoSpaceDE w:val="0"/>
              <w:autoSpaceDN w:val="0"/>
              <w:spacing w:line="240" w:lineRule="auto"/>
              <w:ind w:firstLine="0" w:firstLineChars="0"/>
              <w:jc w:val="center"/>
              <w:rPr>
                <w:rFonts w:ascii="宋体" w:hAnsi="宋体" w:eastAsia="宋体" w:cs="宋体"/>
                <w:color w:val="auto"/>
                <w:highlight w:val="none"/>
                <w:lang w:val="zh-CN" w:bidi="zh-CN"/>
              </w:rPr>
            </w:pPr>
            <w:r>
              <w:rPr>
                <w:rFonts w:hint="eastAsia" w:ascii="宋体" w:hAnsi="宋体" w:eastAsia="宋体" w:cs="宋体"/>
                <w:color w:val="auto"/>
                <w:kern w:val="0"/>
                <w:highlight w:val="none"/>
                <w:lang w:bidi="zh-CN"/>
              </w:rPr>
              <w:t>7</w:t>
            </w:r>
            <w:r>
              <w:rPr>
                <w:rFonts w:hint="eastAsia" w:ascii="宋体" w:hAnsi="宋体" w:eastAsia="宋体" w:cs="宋体"/>
                <w:color w:val="auto"/>
                <w:kern w:val="0"/>
                <w:highlight w:val="none"/>
                <w:lang w:val="zh-CN" w:bidi="zh-CN"/>
              </w:rPr>
              <w:t>分</w:t>
            </w:r>
          </w:p>
        </w:tc>
      </w:tr>
      <w:tr w14:paraId="197E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693" w:type="pct"/>
            <w:vMerge w:val="continue"/>
            <w:noWrap/>
            <w:vAlign w:val="center"/>
          </w:tcPr>
          <w:p w14:paraId="2F5B96EC">
            <w:pPr>
              <w:autoSpaceDE w:val="0"/>
              <w:autoSpaceDN w:val="0"/>
              <w:spacing w:line="240" w:lineRule="auto"/>
              <w:ind w:firstLine="0" w:firstLineChars="0"/>
              <w:jc w:val="center"/>
              <w:rPr>
                <w:rFonts w:ascii="宋体" w:hAnsi="宋体" w:eastAsia="宋体" w:cs="宋体"/>
                <w:color w:val="auto"/>
                <w:highlight w:val="none"/>
                <w:lang w:val="zh-CN" w:bidi="zh-CN"/>
              </w:rPr>
            </w:pPr>
          </w:p>
        </w:tc>
        <w:tc>
          <w:tcPr>
            <w:tcW w:w="583" w:type="pct"/>
            <w:noWrap/>
            <w:vAlign w:val="center"/>
          </w:tcPr>
          <w:p w14:paraId="4ABD46D3">
            <w:pPr>
              <w:autoSpaceDE w:val="0"/>
              <w:autoSpaceDN w:val="0"/>
              <w:spacing w:line="240" w:lineRule="auto"/>
              <w:ind w:firstLine="0" w:firstLineChars="0"/>
              <w:jc w:val="center"/>
              <w:rPr>
                <w:rFonts w:ascii="宋体" w:hAnsi="宋体" w:eastAsia="宋体" w:cs="宋体"/>
                <w:bCs/>
                <w:color w:val="auto"/>
                <w:highlight w:val="none"/>
                <w:lang w:val="zh-CN" w:bidi="zh-CN"/>
              </w:rPr>
            </w:pPr>
            <w:r>
              <w:rPr>
                <w:rFonts w:hint="eastAsia" w:ascii="宋体" w:hAnsi="宋体" w:eastAsia="宋体" w:cs="宋体"/>
                <w:bCs/>
                <w:color w:val="auto"/>
                <w:highlight w:val="none"/>
                <w:lang w:val="zh-CN" w:bidi="zh-CN"/>
              </w:rPr>
              <w:t>难点、重点及合理化建议</w:t>
            </w:r>
          </w:p>
        </w:tc>
        <w:tc>
          <w:tcPr>
            <w:tcW w:w="3229" w:type="pct"/>
            <w:noWrap/>
            <w:vAlign w:val="center"/>
          </w:tcPr>
          <w:p w14:paraId="551CAB8F">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评委根据供应商针对本项目关键施工技术的难点、重点的分析及针对性合理化建议（措施）的科学性、可行性、全面性、针对性及有效性等</w:t>
            </w:r>
            <w:r>
              <w:rPr>
                <w:rFonts w:hint="eastAsia" w:ascii="宋体" w:hAnsi="宋体" w:eastAsia="宋体" w:cs="宋体"/>
                <w:color w:val="auto"/>
                <w:highlight w:val="none"/>
                <w:lang w:bidi="zh-CN"/>
              </w:rPr>
              <w:t>进行</w:t>
            </w:r>
            <w:r>
              <w:rPr>
                <w:rFonts w:hint="eastAsia" w:ascii="宋体" w:hAnsi="宋体" w:eastAsia="宋体" w:cs="宋体"/>
                <w:color w:val="auto"/>
                <w:highlight w:val="none"/>
                <w:lang w:val="zh-CN" w:bidi="zh-CN"/>
              </w:rPr>
              <w:t>评分：</w:t>
            </w:r>
          </w:p>
          <w:p w14:paraId="6D4D7482">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方案内容科学、有效、全面、可行、有针对性的得</w:t>
            </w:r>
            <w:r>
              <w:rPr>
                <w:rFonts w:hint="eastAsia" w:ascii="宋体" w:hAnsi="宋体" w:eastAsia="宋体" w:cs="宋体"/>
                <w:color w:val="auto"/>
                <w:highlight w:val="none"/>
                <w:lang w:bidi="zh-CN"/>
              </w:rPr>
              <w:t>7</w:t>
            </w:r>
            <w:r>
              <w:rPr>
                <w:rFonts w:hint="eastAsia" w:ascii="宋体" w:hAnsi="宋体" w:eastAsia="宋体" w:cs="宋体"/>
                <w:color w:val="auto"/>
                <w:highlight w:val="none"/>
                <w:lang w:val="zh-CN" w:bidi="zh-CN"/>
              </w:rPr>
              <w:t>分；</w:t>
            </w:r>
          </w:p>
          <w:p w14:paraId="1F12DAF0">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科学、</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有效、</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全面、</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可行、</w:t>
            </w:r>
            <w:r>
              <w:rPr>
                <w:rFonts w:hint="eastAsia" w:ascii="宋体" w:hAnsi="宋体" w:eastAsia="宋体" w:cs="宋体"/>
                <w:color w:val="auto"/>
                <w:highlight w:val="none"/>
                <w:lang w:bidi="zh-CN"/>
              </w:rPr>
              <w:t>较</w:t>
            </w:r>
            <w:r>
              <w:rPr>
                <w:rFonts w:hint="eastAsia" w:ascii="宋体" w:hAnsi="宋体" w:eastAsia="宋体" w:cs="宋体"/>
                <w:color w:val="auto"/>
                <w:highlight w:val="none"/>
                <w:lang w:val="zh-CN" w:bidi="zh-CN"/>
              </w:rPr>
              <w:t>有针对性的得</w:t>
            </w:r>
            <w:r>
              <w:rPr>
                <w:rFonts w:hint="eastAsia" w:ascii="宋体" w:hAnsi="宋体" w:eastAsia="宋体" w:cs="宋体"/>
                <w:color w:val="auto"/>
                <w:highlight w:val="none"/>
                <w:lang w:bidi="zh-CN"/>
              </w:rPr>
              <w:t>5</w:t>
            </w:r>
            <w:r>
              <w:rPr>
                <w:rFonts w:hint="eastAsia" w:ascii="宋体" w:hAnsi="宋体" w:eastAsia="宋体" w:cs="宋体"/>
                <w:color w:val="auto"/>
                <w:highlight w:val="none"/>
                <w:lang w:val="zh-CN" w:bidi="zh-CN"/>
              </w:rPr>
              <w:t>分；</w:t>
            </w:r>
          </w:p>
          <w:p w14:paraId="7517D336">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方案内容科学性、可行性、全面性、针对性及有效性一般的得</w:t>
            </w:r>
            <w:r>
              <w:rPr>
                <w:rFonts w:hint="eastAsia" w:ascii="宋体" w:hAnsi="宋体" w:eastAsia="宋体" w:cs="宋体"/>
                <w:color w:val="auto"/>
                <w:highlight w:val="none"/>
                <w:lang w:bidi="zh-CN"/>
              </w:rPr>
              <w:t>3</w:t>
            </w:r>
            <w:r>
              <w:rPr>
                <w:rFonts w:hint="eastAsia" w:ascii="宋体" w:hAnsi="宋体" w:eastAsia="宋体" w:cs="宋体"/>
                <w:color w:val="auto"/>
                <w:highlight w:val="none"/>
                <w:lang w:val="zh-CN" w:bidi="zh-CN"/>
              </w:rPr>
              <w:t>分；</w:t>
            </w:r>
          </w:p>
          <w:p w14:paraId="266C85BF">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方案内容简单、粗糙的得1分；</w:t>
            </w:r>
          </w:p>
          <w:p w14:paraId="00A66A3B">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不提供不得分。</w:t>
            </w:r>
          </w:p>
        </w:tc>
        <w:tc>
          <w:tcPr>
            <w:tcW w:w="494" w:type="pct"/>
            <w:noWrap/>
            <w:vAlign w:val="center"/>
          </w:tcPr>
          <w:p w14:paraId="781545AB">
            <w:pPr>
              <w:widowControl/>
              <w:autoSpaceDE w:val="0"/>
              <w:autoSpaceDN w:val="0"/>
              <w:spacing w:line="240" w:lineRule="auto"/>
              <w:ind w:firstLine="0" w:firstLineChars="0"/>
              <w:jc w:val="center"/>
              <w:rPr>
                <w:rFonts w:ascii="宋体" w:hAnsi="宋体" w:eastAsia="宋体" w:cs="宋体"/>
                <w:color w:val="auto"/>
                <w:highlight w:val="none"/>
                <w:lang w:val="zh-CN" w:bidi="zh-CN"/>
              </w:rPr>
            </w:pPr>
            <w:r>
              <w:rPr>
                <w:rFonts w:hint="eastAsia" w:ascii="宋体" w:hAnsi="宋体" w:eastAsia="宋体" w:cs="宋体"/>
                <w:color w:val="auto"/>
                <w:kern w:val="0"/>
                <w:highlight w:val="none"/>
                <w:lang w:bidi="zh-CN"/>
              </w:rPr>
              <w:t>7</w:t>
            </w:r>
            <w:r>
              <w:rPr>
                <w:rFonts w:hint="eastAsia" w:ascii="宋体" w:hAnsi="宋体" w:eastAsia="宋体" w:cs="宋体"/>
                <w:color w:val="auto"/>
                <w:kern w:val="0"/>
                <w:highlight w:val="none"/>
                <w:lang w:val="zh-CN" w:bidi="zh-CN"/>
              </w:rPr>
              <w:t>分</w:t>
            </w:r>
          </w:p>
        </w:tc>
      </w:tr>
      <w:tr w14:paraId="7A2F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693" w:type="pct"/>
            <w:vMerge w:val="continue"/>
            <w:noWrap/>
            <w:vAlign w:val="center"/>
          </w:tcPr>
          <w:p w14:paraId="5F344426">
            <w:pPr>
              <w:autoSpaceDE w:val="0"/>
              <w:autoSpaceDN w:val="0"/>
              <w:spacing w:line="240" w:lineRule="auto"/>
              <w:ind w:firstLine="0" w:firstLineChars="0"/>
              <w:jc w:val="center"/>
              <w:rPr>
                <w:rFonts w:ascii="宋体" w:hAnsi="宋体" w:eastAsia="宋体" w:cs="宋体"/>
                <w:color w:val="auto"/>
                <w:highlight w:val="none"/>
                <w:lang w:val="zh-CN" w:bidi="zh-CN"/>
              </w:rPr>
            </w:pPr>
          </w:p>
        </w:tc>
        <w:tc>
          <w:tcPr>
            <w:tcW w:w="583" w:type="pct"/>
            <w:noWrap/>
            <w:vAlign w:val="center"/>
          </w:tcPr>
          <w:p w14:paraId="5FC39A48">
            <w:pPr>
              <w:autoSpaceDE w:val="0"/>
              <w:autoSpaceDN w:val="0"/>
              <w:spacing w:line="240" w:lineRule="auto"/>
              <w:ind w:firstLine="0" w:firstLineChars="0"/>
              <w:jc w:val="center"/>
              <w:rPr>
                <w:rFonts w:ascii="宋体" w:hAnsi="宋体" w:eastAsia="宋体" w:cs="宋体"/>
                <w:bCs/>
                <w:color w:val="auto"/>
                <w:highlight w:val="none"/>
                <w:lang w:bidi="zh-CN"/>
              </w:rPr>
            </w:pPr>
            <w:r>
              <w:rPr>
                <w:rFonts w:hint="eastAsia" w:ascii="宋体" w:hAnsi="宋体" w:eastAsia="宋体" w:cs="宋体"/>
                <w:bCs/>
                <w:color w:val="auto"/>
                <w:highlight w:val="none"/>
                <w:lang w:bidi="zh-CN"/>
              </w:rPr>
              <w:t>机</w:t>
            </w:r>
            <w:bookmarkStart w:id="41" w:name="OLE_LINK12"/>
            <w:r>
              <w:rPr>
                <w:rFonts w:hint="eastAsia" w:ascii="宋体" w:hAnsi="宋体" w:eastAsia="宋体" w:cs="宋体"/>
                <w:bCs/>
                <w:color w:val="auto"/>
                <w:highlight w:val="none"/>
                <w:lang w:bidi="zh-CN"/>
              </w:rPr>
              <w:t>械设备和施工材料投入方案</w:t>
            </w:r>
            <w:bookmarkEnd w:id="41"/>
          </w:p>
        </w:tc>
        <w:tc>
          <w:tcPr>
            <w:tcW w:w="3229" w:type="pct"/>
            <w:noWrap/>
            <w:vAlign w:val="center"/>
          </w:tcPr>
          <w:p w14:paraId="6F32B54B">
            <w:pPr>
              <w:widowControl/>
              <w:autoSpaceDE w:val="0"/>
              <w:autoSpaceDN w:val="0"/>
              <w:spacing w:line="240" w:lineRule="auto"/>
              <w:ind w:firstLine="0" w:firstLineChars="0"/>
              <w:rPr>
                <w:rFonts w:ascii="宋体" w:hAnsi="宋体" w:eastAsia="宋体" w:cs="宋体"/>
                <w:color w:val="auto"/>
                <w:highlight w:val="none"/>
                <w:lang w:bidi="zh-CN"/>
              </w:rPr>
            </w:pPr>
            <w:r>
              <w:rPr>
                <w:rFonts w:hint="eastAsia" w:ascii="宋体" w:hAnsi="宋体" w:eastAsia="宋体" w:cs="宋体"/>
                <w:color w:val="auto"/>
                <w:highlight w:val="none"/>
                <w:lang w:bidi="zh-CN"/>
              </w:rPr>
              <w:t>评委根据供应商针对本项目机械设备和施工材料投入方案的科学性、可行性、针对性等进行评分：</w:t>
            </w:r>
          </w:p>
          <w:p w14:paraId="7049F03E">
            <w:pPr>
              <w:widowControl/>
              <w:autoSpaceDE w:val="0"/>
              <w:autoSpaceDN w:val="0"/>
              <w:spacing w:line="240" w:lineRule="auto"/>
              <w:ind w:firstLine="0" w:firstLineChars="0"/>
              <w:rPr>
                <w:rFonts w:ascii="宋体" w:hAnsi="宋体" w:eastAsia="宋体" w:cs="宋体"/>
                <w:color w:val="auto"/>
                <w:highlight w:val="none"/>
                <w:lang w:bidi="zh-CN"/>
              </w:rPr>
            </w:pPr>
            <w:r>
              <w:rPr>
                <w:rFonts w:hint="eastAsia" w:ascii="宋体" w:hAnsi="宋体" w:eastAsia="宋体" w:cs="宋体"/>
                <w:color w:val="auto"/>
                <w:highlight w:val="none"/>
                <w:lang w:bidi="zh-CN"/>
              </w:rPr>
              <w:t>方案内容科学、可行、有针对性的得3分；</w:t>
            </w:r>
          </w:p>
          <w:p w14:paraId="4213F640">
            <w:pPr>
              <w:widowControl/>
              <w:autoSpaceDE w:val="0"/>
              <w:autoSpaceDN w:val="0"/>
              <w:spacing w:line="240" w:lineRule="auto"/>
              <w:ind w:firstLine="0" w:firstLineChars="0"/>
              <w:rPr>
                <w:rFonts w:ascii="宋体" w:hAnsi="宋体" w:eastAsia="宋体" w:cs="宋体"/>
                <w:color w:val="auto"/>
                <w:highlight w:val="none"/>
                <w:lang w:bidi="zh-CN"/>
              </w:rPr>
            </w:pPr>
            <w:r>
              <w:rPr>
                <w:rFonts w:hint="eastAsia" w:ascii="宋体" w:hAnsi="宋体" w:eastAsia="宋体" w:cs="宋体"/>
                <w:color w:val="auto"/>
                <w:highlight w:val="none"/>
                <w:lang w:bidi="zh-CN"/>
              </w:rPr>
              <w:t>方案内容科学性、可行性、针对性一般的得2分；</w:t>
            </w:r>
          </w:p>
          <w:p w14:paraId="2185D321">
            <w:pPr>
              <w:widowControl/>
              <w:autoSpaceDE w:val="0"/>
              <w:autoSpaceDN w:val="0"/>
              <w:spacing w:line="240" w:lineRule="auto"/>
              <w:ind w:firstLine="0" w:firstLineChars="0"/>
              <w:rPr>
                <w:rFonts w:ascii="宋体" w:hAnsi="宋体" w:eastAsia="宋体" w:cs="宋体"/>
                <w:color w:val="auto"/>
                <w:highlight w:val="none"/>
                <w:lang w:bidi="zh-CN"/>
              </w:rPr>
            </w:pPr>
            <w:r>
              <w:rPr>
                <w:rFonts w:hint="eastAsia" w:ascii="宋体" w:hAnsi="宋体" w:eastAsia="宋体" w:cs="宋体"/>
                <w:color w:val="auto"/>
                <w:highlight w:val="none"/>
                <w:lang w:bidi="zh-CN"/>
              </w:rPr>
              <w:t>方案内容简单、粗糙的得1分；</w:t>
            </w:r>
          </w:p>
          <w:p w14:paraId="25FAA0E9">
            <w:pPr>
              <w:widowControl/>
              <w:autoSpaceDE w:val="0"/>
              <w:autoSpaceDN w:val="0"/>
              <w:spacing w:line="240" w:lineRule="auto"/>
              <w:ind w:firstLine="0" w:firstLineChars="0"/>
              <w:rPr>
                <w:rFonts w:ascii="宋体" w:hAnsi="宋体" w:eastAsia="宋体" w:cs="宋体"/>
                <w:color w:val="auto"/>
                <w:highlight w:val="none"/>
                <w:lang w:bidi="zh-CN"/>
              </w:rPr>
            </w:pPr>
            <w:r>
              <w:rPr>
                <w:rFonts w:hint="eastAsia" w:ascii="宋体" w:hAnsi="宋体" w:eastAsia="宋体" w:cs="宋体"/>
                <w:color w:val="auto"/>
                <w:highlight w:val="none"/>
                <w:lang w:bidi="zh-CN"/>
              </w:rPr>
              <w:t>不提供不得分。</w:t>
            </w:r>
          </w:p>
        </w:tc>
        <w:tc>
          <w:tcPr>
            <w:tcW w:w="494" w:type="pct"/>
            <w:noWrap/>
            <w:vAlign w:val="center"/>
          </w:tcPr>
          <w:p w14:paraId="7773110F">
            <w:pPr>
              <w:widowControl/>
              <w:autoSpaceDE w:val="0"/>
              <w:autoSpaceDN w:val="0"/>
              <w:spacing w:line="240" w:lineRule="auto"/>
              <w:ind w:firstLine="0" w:firstLineChars="0"/>
              <w:jc w:val="center"/>
              <w:rPr>
                <w:rFonts w:ascii="宋体" w:hAnsi="宋体" w:eastAsia="宋体" w:cs="宋体"/>
                <w:color w:val="auto"/>
                <w:kern w:val="0"/>
                <w:highlight w:val="none"/>
                <w:lang w:bidi="zh-CN"/>
              </w:rPr>
            </w:pPr>
            <w:r>
              <w:rPr>
                <w:rFonts w:hint="eastAsia" w:ascii="宋体" w:hAnsi="宋体" w:eastAsia="宋体" w:cs="宋体"/>
                <w:color w:val="auto"/>
                <w:kern w:val="0"/>
                <w:highlight w:val="none"/>
                <w:lang w:bidi="zh-CN"/>
              </w:rPr>
              <w:t>3分</w:t>
            </w:r>
          </w:p>
        </w:tc>
      </w:tr>
      <w:tr w14:paraId="4A63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pct"/>
            <w:vMerge w:val="restart"/>
            <w:noWrap/>
            <w:vAlign w:val="center"/>
          </w:tcPr>
          <w:p w14:paraId="6775003B">
            <w:pPr>
              <w:widowControl/>
              <w:autoSpaceDE w:val="0"/>
              <w:autoSpaceDN w:val="0"/>
              <w:spacing w:line="240" w:lineRule="auto"/>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商务部分</w:t>
            </w:r>
          </w:p>
          <w:p w14:paraId="3A04918C">
            <w:pPr>
              <w:widowControl/>
              <w:autoSpaceDE w:val="0"/>
              <w:autoSpaceDN w:val="0"/>
              <w:spacing w:line="240" w:lineRule="auto"/>
              <w:ind w:firstLine="0" w:firstLineChars="0"/>
              <w:jc w:val="center"/>
              <w:rPr>
                <w:rFonts w:ascii="宋体" w:hAnsi="宋体" w:eastAsia="宋体" w:cs="宋体"/>
                <w:color w:val="auto"/>
                <w:highlight w:val="none"/>
                <w:lang w:val="zh-CN" w:bidi="zh-CN"/>
              </w:rPr>
            </w:pPr>
            <w:r>
              <w:rPr>
                <w:rFonts w:hint="eastAsia" w:ascii="宋体" w:hAnsi="宋体" w:eastAsia="宋体" w:cs="宋体"/>
                <w:color w:val="auto"/>
                <w:highlight w:val="none"/>
              </w:rPr>
              <w:t>（25分）</w:t>
            </w:r>
          </w:p>
        </w:tc>
        <w:tc>
          <w:tcPr>
            <w:tcW w:w="583" w:type="pct"/>
            <w:noWrap/>
            <w:vAlign w:val="center"/>
          </w:tcPr>
          <w:p w14:paraId="1F1FC1B1">
            <w:pPr>
              <w:widowControl/>
              <w:autoSpaceDE w:val="0"/>
              <w:autoSpaceDN w:val="0"/>
              <w:spacing w:line="240" w:lineRule="auto"/>
              <w:ind w:firstLine="0" w:firstLineChars="0"/>
              <w:jc w:val="center"/>
              <w:rPr>
                <w:color w:val="auto"/>
                <w:highlight w:val="none"/>
                <w:lang w:val="zh-CN"/>
              </w:rPr>
            </w:pPr>
            <w:r>
              <w:rPr>
                <w:rFonts w:hint="eastAsia" w:ascii="宋体" w:hAnsi="宋体" w:eastAsia="宋体" w:cs="宋体"/>
                <w:color w:val="auto"/>
                <w:kern w:val="0"/>
                <w:highlight w:val="none"/>
                <w:lang w:val="zh-CN" w:bidi="zh-CN"/>
              </w:rPr>
              <w:t>项目</w:t>
            </w:r>
            <w:r>
              <w:rPr>
                <w:rFonts w:hint="eastAsia" w:ascii="宋体" w:hAnsi="宋体" w:eastAsia="宋体" w:cs="宋体"/>
                <w:color w:val="auto"/>
                <w:kern w:val="0"/>
                <w:highlight w:val="none"/>
                <w:lang w:bidi="zh-CN"/>
              </w:rPr>
              <w:t>负责人</w:t>
            </w:r>
          </w:p>
        </w:tc>
        <w:tc>
          <w:tcPr>
            <w:tcW w:w="3229" w:type="pct"/>
            <w:noWrap/>
            <w:vAlign w:val="center"/>
          </w:tcPr>
          <w:p w14:paraId="4DA4826F">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拟派项目负责人具有建设工程类高级及以上职称得</w:t>
            </w:r>
            <w:r>
              <w:rPr>
                <w:rFonts w:hint="eastAsia" w:ascii="宋体" w:hAnsi="宋体" w:eastAsia="宋体" w:cs="宋体"/>
                <w:color w:val="auto"/>
                <w:highlight w:val="none"/>
                <w:lang w:bidi="zh-CN"/>
              </w:rPr>
              <w:t>2</w:t>
            </w:r>
            <w:r>
              <w:rPr>
                <w:rFonts w:hint="eastAsia" w:ascii="宋体" w:hAnsi="宋体" w:eastAsia="宋体" w:cs="宋体"/>
                <w:color w:val="auto"/>
                <w:highlight w:val="none"/>
                <w:lang w:val="zh-CN" w:bidi="zh-CN"/>
              </w:rPr>
              <w:t>分，具有建设工程类中级工程师得</w:t>
            </w:r>
            <w:r>
              <w:rPr>
                <w:rFonts w:hint="eastAsia" w:ascii="宋体" w:hAnsi="宋体" w:eastAsia="宋体" w:cs="宋体"/>
                <w:color w:val="auto"/>
                <w:highlight w:val="none"/>
                <w:lang w:bidi="zh-CN"/>
              </w:rPr>
              <w:t>1</w:t>
            </w:r>
            <w:r>
              <w:rPr>
                <w:rFonts w:hint="eastAsia" w:ascii="宋体" w:hAnsi="宋体" w:eastAsia="宋体" w:cs="宋体"/>
                <w:color w:val="auto"/>
                <w:highlight w:val="none"/>
                <w:lang w:val="zh-CN" w:bidi="zh-CN"/>
              </w:rPr>
              <w:t>分。</w:t>
            </w:r>
            <w:r>
              <w:rPr>
                <w:rFonts w:hint="eastAsia" w:ascii="宋体" w:hAnsi="宋体" w:eastAsia="宋体" w:cs="宋体"/>
                <w:b/>
                <w:bCs/>
                <w:color w:val="auto"/>
                <w:highlight w:val="none"/>
                <w:lang w:val="zh-CN" w:bidi="zh-CN"/>
              </w:rPr>
              <w:t>（提供</w:t>
            </w:r>
            <w:r>
              <w:rPr>
                <w:rFonts w:hint="eastAsia" w:ascii="宋体" w:hAnsi="宋体" w:eastAsia="宋体" w:cs="宋体"/>
                <w:b/>
                <w:bCs/>
                <w:color w:val="auto"/>
                <w:highlight w:val="none"/>
                <w:lang w:bidi="zh-CN"/>
              </w:rPr>
              <w:t>职称</w:t>
            </w:r>
            <w:r>
              <w:rPr>
                <w:rFonts w:hint="eastAsia" w:ascii="宋体" w:hAnsi="宋体" w:eastAsia="宋体" w:cs="宋体"/>
                <w:b/>
                <w:bCs/>
                <w:color w:val="auto"/>
                <w:highlight w:val="none"/>
                <w:lang w:val="zh-CN" w:bidi="zh-CN"/>
              </w:rPr>
              <w:t>证书扫描件加盖投标人公章编制在投标文件中，否则视为未提供）</w:t>
            </w:r>
          </w:p>
        </w:tc>
        <w:tc>
          <w:tcPr>
            <w:tcW w:w="494" w:type="pct"/>
            <w:noWrap/>
            <w:vAlign w:val="center"/>
          </w:tcPr>
          <w:p w14:paraId="7F6D3D93">
            <w:pPr>
              <w:autoSpaceDE w:val="0"/>
              <w:autoSpaceDN w:val="0"/>
              <w:spacing w:line="240" w:lineRule="auto"/>
              <w:ind w:firstLine="0" w:firstLineChars="0"/>
              <w:jc w:val="center"/>
              <w:rPr>
                <w:rFonts w:ascii="宋体" w:hAnsi="宋体" w:eastAsia="宋体" w:cs="宋体"/>
                <w:color w:val="auto"/>
                <w:kern w:val="0"/>
                <w:highlight w:val="none"/>
                <w:lang w:val="zh-CN" w:bidi="zh-CN"/>
              </w:rPr>
            </w:pPr>
            <w:r>
              <w:rPr>
                <w:rFonts w:hint="eastAsia" w:ascii="宋体" w:hAnsi="宋体" w:eastAsia="宋体" w:cs="宋体"/>
                <w:color w:val="auto"/>
                <w:kern w:val="0"/>
                <w:highlight w:val="none"/>
                <w:lang w:bidi="zh-CN"/>
              </w:rPr>
              <w:t>2</w:t>
            </w:r>
            <w:r>
              <w:rPr>
                <w:rFonts w:hint="eastAsia" w:ascii="宋体" w:hAnsi="宋体" w:eastAsia="宋体" w:cs="宋体"/>
                <w:color w:val="auto"/>
                <w:kern w:val="0"/>
                <w:highlight w:val="none"/>
                <w:lang w:val="zh-CN" w:bidi="zh-CN"/>
              </w:rPr>
              <w:t>分</w:t>
            </w:r>
          </w:p>
        </w:tc>
      </w:tr>
      <w:tr w14:paraId="7B33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pct"/>
            <w:vMerge w:val="continue"/>
            <w:noWrap/>
            <w:vAlign w:val="center"/>
          </w:tcPr>
          <w:p w14:paraId="13F5A212">
            <w:pPr>
              <w:autoSpaceDE w:val="0"/>
              <w:autoSpaceDN w:val="0"/>
              <w:spacing w:line="240" w:lineRule="auto"/>
              <w:ind w:firstLine="0" w:firstLineChars="0"/>
              <w:jc w:val="center"/>
              <w:rPr>
                <w:color w:val="auto"/>
                <w:highlight w:val="none"/>
              </w:rPr>
            </w:pPr>
          </w:p>
        </w:tc>
        <w:tc>
          <w:tcPr>
            <w:tcW w:w="583" w:type="pct"/>
            <w:vMerge w:val="restart"/>
            <w:noWrap/>
            <w:vAlign w:val="center"/>
          </w:tcPr>
          <w:p w14:paraId="0934B21A">
            <w:pPr>
              <w:autoSpaceDE w:val="0"/>
              <w:autoSpaceDN w:val="0"/>
              <w:spacing w:line="240" w:lineRule="auto"/>
              <w:ind w:firstLine="0" w:firstLineChars="0"/>
              <w:jc w:val="center"/>
              <w:rPr>
                <w:color w:val="auto"/>
                <w:highlight w:val="none"/>
              </w:rPr>
            </w:pPr>
            <w:r>
              <w:rPr>
                <w:rFonts w:hint="eastAsia"/>
                <w:color w:val="auto"/>
                <w:highlight w:val="none"/>
              </w:rPr>
              <w:t>项目组成员</w:t>
            </w:r>
          </w:p>
          <w:p w14:paraId="536A0EDC">
            <w:pPr>
              <w:autoSpaceDE w:val="0"/>
              <w:autoSpaceDN w:val="0"/>
              <w:spacing w:line="240" w:lineRule="auto"/>
              <w:ind w:firstLine="0" w:firstLineChars="0"/>
              <w:jc w:val="center"/>
              <w:rPr>
                <w:color w:val="auto"/>
                <w:highlight w:val="none"/>
              </w:rPr>
            </w:pPr>
            <w:r>
              <w:rPr>
                <w:rFonts w:hint="eastAsia" w:ascii="宋体" w:hAnsi="宋体" w:eastAsia="宋体" w:cs="宋体"/>
                <w:b/>
                <w:bCs/>
                <w:color w:val="auto"/>
                <w:highlight w:val="none"/>
                <w:lang w:val="zh-CN" w:bidi="zh-CN"/>
              </w:rPr>
              <w:t>注：</w:t>
            </w:r>
            <w:r>
              <w:rPr>
                <w:rFonts w:hint="eastAsia" w:ascii="宋体" w:hAnsi="宋体" w:eastAsia="宋体" w:cs="宋体"/>
                <w:b/>
                <w:bCs/>
                <w:color w:val="auto"/>
                <w:highlight w:val="none"/>
                <w:lang w:bidi="zh-CN"/>
              </w:rPr>
              <w:t>同一人不可兼任多个岗位</w:t>
            </w:r>
          </w:p>
        </w:tc>
        <w:tc>
          <w:tcPr>
            <w:tcW w:w="3229" w:type="pct"/>
            <w:noWrap/>
            <w:vAlign w:val="center"/>
          </w:tcPr>
          <w:p w14:paraId="78B0F598">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bidi="zh-CN"/>
              </w:rPr>
              <w:t>1、</w:t>
            </w:r>
            <w:r>
              <w:rPr>
                <w:rFonts w:hint="eastAsia" w:ascii="宋体" w:hAnsi="宋体" w:eastAsia="宋体" w:cs="宋体"/>
                <w:color w:val="auto"/>
                <w:highlight w:val="none"/>
                <w:lang w:val="zh-CN" w:bidi="zh-CN"/>
              </w:rPr>
              <w:t>投标人提供</w:t>
            </w:r>
            <w:r>
              <w:rPr>
                <w:rFonts w:hint="eastAsia" w:ascii="宋体" w:hAnsi="宋体" w:eastAsia="宋体" w:cs="宋体"/>
                <w:color w:val="auto"/>
                <w:highlight w:val="none"/>
                <w:lang w:bidi="zh-CN"/>
              </w:rPr>
              <w:t>的造价人员具有</w:t>
            </w:r>
            <w:r>
              <w:rPr>
                <w:rFonts w:hint="eastAsia" w:ascii="宋体" w:hAnsi="宋体" w:eastAsia="宋体" w:cs="宋体"/>
                <w:color w:val="auto"/>
                <w:highlight w:val="none"/>
                <w:lang w:val="zh-CN" w:bidi="zh-CN"/>
              </w:rPr>
              <w:t>造价员</w:t>
            </w:r>
            <w:r>
              <w:rPr>
                <w:rFonts w:hint="eastAsia" w:ascii="宋体" w:hAnsi="宋体" w:eastAsia="宋体" w:cs="宋体"/>
                <w:color w:val="auto"/>
                <w:highlight w:val="none"/>
                <w:lang w:bidi="zh-CN"/>
              </w:rPr>
              <w:t>证书</w:t>
            </w:r>
            <w:r>
              <w:rPr>
                <w:rFonts w:hint="eastAsia" w:ascii="宋体" w:hAnsi="宋体" w:eastAsia="宋体" w:cs="宋体"/>
                <w:color w:val="auto"/>
                <w:highlight w:val="none"/>
                <w:lang w:val="zh-CN" w:bidi="zh-CN"/>
              </w:rPr>
              <w:t>或二级及以上注册造价工程师</w:t>
            </w:r>
            <w:r>
              <w:rPr>
                <w:rFonts w:hint="eastAsia" w:ascii="宋体" w:hAnsi="宋体" w:eastAsia="宋体" w:cs="宋体"/>
                <w:color w:val="auto"/>
                <w:highlight w:val="none"/>
                <w:lang w:bidi="zh-CN"/>
              </w:rPr>
              <w:t>证书的</w:t>
            </w:r>
            <w:r>
              <w:rPr>
                <w:rFonts w:hint="eastAsia" w:ascii="宋体" w:hAnsi="宋体" w:eastAsia="宋体" w:cs="宋体"/>
                <w:color w:val="auto"/>
                <w:highlight w:val="none"/>
                <w:lang w:val="zh-CN" w:bidi="zh-CN"/>
              </w:rPr>
              <w:t>得</w:t>
            </w:r>
            <w:r>
              <w:rPr>
                <w:rFonts w:hint="eastAsia" w:ascii="宋体" w:hAnsi="宋体" w:eastAsia="宋体" w:cs="宋体"/>
                <w:color w:val="auto"/>
                <w:highlight w:val="none"/>
                <w:lang w:bidi="zh-CN"/>
              </w:rPr>
              <w:t>2</w:t>
            </w:r>
            <w:r>
              <w:rPr>
                <w:rFonts w:hint="eastAsia" w:ascii="宋体" w:hAnsi="宋体" w:eastAsia="宋体" w:cs="宋体"/>
                <w:color w:val="auto"/>
                <w:highlight w:val="none"/>
                <w:lang w:val="zh-CN" w:bidi="zh-CN"/>
              </w:rPr>
              <w:t>分。</w:t>
            </w:r>
            <w:r>
              <w:rPr>
                <w:rFonts w:hint="eastAsia" w:ascii="宋体" w:hAnsi="宋体" w:eastAsia="宋体" w:cs="宋体"/>
                <w:b/>
                <w:bCs/>
                <w:color w:val="auto"/>
                <w:highlight w:val="none"/>
                <w:lang w:val="zh-CN" w:bidi="zh-CN"/>
              </w:rPr>
              <w:t>【提供社保机构出具的近半年（</w:t>
            </w:r>
            <w:r>
              <w:rPr>
                <w:rFonts w:hint="eastAsia" w:ascii="宋体" w:hAnsi="宋体" w:cs="宋体"/>
                <w:b/>
                <w:bCs/>
                <w:color w:val="auto"/>
                <w:highlight w:val="none"/>
                <w:lang w:val="zh-CN" w:bidi="zh-CN"/>
              </w:rPr>
              <w:t>2025年11月至2026年4月</w:t>
            </w:r>
            <w:r>
              <w:rPr>
                <w:rFonts w:hint="eastAsia" w:ascii="宋体" w:hAnsi="宋体" w:eastAsia="宋体" w:cs="宋体"/>
                <w:b/>
                <w:bCs/>
                <w:color w:val="auto"/>
                <w:highlight w:val="none"/>
                <w:lang w:val="zh-CN" w:bidi="zh-CN"/>
              </w:rPr>
              <w:t>）任意一个月投标人为其缴纳的社保缴费证明加盖社保公章或具有可验证的二维码（或验证码）及相应证书；提供证明材料扫描件加盖投标人公章编制在投标文件中，否则视为未提供，加盖社保缴费电子专用章证明材料可视为原件，否则视为未提供】</w:t>
            </w:r>
          </w:p>
        </w:tc>
        <w:tc>
          <w:tcPr>
            <w:tcW w:w="494" w:type="pct"/>
            <w:noWrap/>
            <w:vAlign w:val="center"/>
          </w:tcPr>
          <w:p w14:paraId="11422187">
            <w:pPr>
              <w:autoSpaceDE w:val="0"/>
              <w:autoSpaceDN w:val="0"/>
              <w:spacing w:line="240" w:lineRule="auto"/>
              <w:ind w:firstLine="0" w:firstLineChars="0"/>
              <w:jc w:val="center"/>
              <w:rPr>
                <w:rFonts w:ascii="宋体" w:hAnsi="宋体" w:eastAsia="宋体" w:cs="宋体"/>
                <w:color w:val="auto"/>
                <w:highlight w:val="none"/>
                <w:lang w:bidi="zh-CN"/>
              </w:rPr>
            </w:pPr>
            <w:r>
              <w:rPr>
                <w:rFonts w:hint="eastAsia" w:ascii="宋体" w:hAnsi="宋体" w:eastAsia="宋体" w:cs="宋体"/>
                <w:color w:val="auto"/>
                <w:highlight w:val="none"/>
                <w:lang w:bidi="zh-CN"/>
              </w:rPr>
              <w:t>2</w:t>
            </w:r>
            <w:r>
              <w:rPr>
                <w:rFonts w:hint="eastAsia" w:ascii="宋体" w:hAnsi="宋体" w:eastAsia="宋体" w:cs="宋体"/>
                <w:color w:val="auto"/>
                <w:kern w:val="0"/>
                <w:highlight w:val="none"/>
                <w:lang w:val="zh-CN" w:bidi="zh-CN"/>
              </w:rPr>
              <w:t>分</w:t>
            </w:r>
          </w:p>
        </w:tc>
      </w:tr>
      <w:tr w14:paraId="6FA0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693" w:type="pct"/>
            <w:vMerge w:val="continue"/>
            <w:noWrap/>
            <w:vAlign w:val="center"/>
          </w:tcPr>
          <w:p w14:paraId="42E5D2B4">
            <w:pPr>
              <w:autoSpaceDE w:val="0"/>
              <w:autoSpaceDN w:val="0"/>
              <w:spacing w:line="240" w:lineRule="auto"/>
              <w:ind w:firstLine="0" w:firstLineChars="0"/>
              <w:jc w:val="center"/>
              <w:rPr>
                <w:color w:val="auto"/>
                <w:highlight w:val="none"/>
              </w:rPr>
            </w:pPr>
          </w:p>
        </w:tc>
        <w:tc>
          <w:tcPr>
            <w:tcW w:w="583" w:type="pct"/>
            <w:vMerge w:val="continue"/>
            <w:noWrap/>
            <w:vAlign w:val="center"/>
          </w:tcPr>
          <w:p w14:paraId="33D47850">
            <w:pPr>
              <w:autoSpaceDE w:val="0"/>
              <w:autoSpaceDN w:val="0"/>
              <w:spacing w:line="240" w:lineRule="auto"/>
              <w:ind w:firstLine="0" w:firstLineChars="0"/>
              <w:jc w:val="center"/>
              <w:rPr>
                <w:color w:val="auto"/>
                <w:highlight w:val="none"/>
              </w:rPr>
            </w:pPr>
          </w:p>
        </w:tc>
        <w:tc>
          <w:tcPr>
            <w:tcW w:w="3229" w:type="pct"/>
            <w:noWrap/>
            <w:vAlign w:val="center"/>
          </w:tcPr>
          <w:p w14:paraId="7C32157C">
            <w:pPr>
              <w:widowControl/>
              <w:autoSpaceDE w:val="0"/>
              <w:autoSpaceDN w:val="0"/>
              <w:spacing w:line="240" w:lineRule="auto"/>
              <w:ind w:firstLine="0" w:firstLineChars="0"/>
              <w:rPr>
                <w:rFonts w:ascii="宋体" w:hAnsi="宋体" w:eastAsia="宋体" w:cs="宋体"/>
                <w:color w:val="auto"/>
                <w:highlight w:val="none"/>
                <w:lang w:bidi="zh-CN"/>
              </w:rPr>
            </w:pPr>
            <w:r>
              <w:rPr>
                <w:rFonts w:hint="eastAsia" w:ascii="宋体" w:hAnsi="宋体" w:eastAsia="宋体" w:cs="宋体"/>
                <w:color w:val="auto"/>
                <w:highlight w:val="none"/>
                <w:lang w:bidi="zh-CN"/>
              </w:rPr>
              <w:t>2、投标人提供的</w:t>
            </w:r>
            <w:r>
              <w:rPr>
                <w:rFonts w:hint="eastAsia" w:ascii="宋体" w:hAnsi="宋体" w:eastAsia="宋体" w:cs="宋体"/>
                <w:color w:val="auto"/>
                <w:highlight w:val="none"/>
                <w:lang w:val="zh-CN" w:bidi="zh-CN"/>
              </w:rPr>
              <w:t>安全员</w:t>
            </w:r>
            <w:r>
              <w:rPr>
                <w:rFonts w:hint="eastAsia" w:ascii="宋体" w:hAnsi="宋体" w:eastAsia="宋体" w:cs="宋体"/>
                <w:color w:val="auto"/>
                <w:highlight w:val="none"/>
                <w:lang w:bidi="zh-CN"/>
              </w:rPr>
              <w:t>具有</w:t>
            </w:r>
            <w:r>
              <w:rPr>
                <w:rFonts w:hint="eastAsia" w:ascii="宋体" w:hAnsi="宋体" w:eastAsia="宋体" w:cs="宋体"/>
                <w:color w:val="auto"/>
                <w:highlight w:val="none"/>
                <w:lang w:val="zh-CN" w:bidi="zh-CN"/>
              </w:rPr>
              <w:t>行政主管部门颁发的安全生产考核合格证书</w:t>
            </w:r>
            <w:r>
              <w:rPr>
                <w:rFonts w:hint="eastAsia" w:ascii="宋体" w:hAnsi="宋体" w:eastAsia="宋体" w:cs="宋体"/>
                <w:color w:val="auto"/>
                <w:highlight w:val="none"/>
                <w:lang w:bidi="zh-CN"/>
              </w:rPr>
              <w:t>的得2分。</w:t>
            </w:r>
            <w:r>
              <w:rPr>
                <w:rFonts w:hint="eastAsia" w:ascii="宋体" w:hAnsi="宋体" w:eastAsia="宋体" w:cs="宋体"/>
                <w:b/>
                <w:bCs/>
                <w:color w:val="auto"/>
                <w:highlight w:val="none"/>
                <w:lang w:val="zh-CN" w:bidi="zh-CN"/>
              </w:rPr>
              <w:t>【提供社保机构出具的近半年（</w:t>
            </w:r>
            <w:r>
              <w:rPr>
                <w:rFonts w:hint="eastAsia" w:ascii="宋体" w:hAnsi="宋体" w:cs="宋体"/>
                <w:b/>
                <w:bCs/>
                <w:color w:val="auto"/>
                <w:highlight w:val="none"/>
                <w:lang w:val="zh-CN" w:bidi="zh-CN"/>
              </w:rPr>
              <w:t>2025年11月至2026年4月</w:t>
            </w:r>
            <w:r>
              <w:rPr>
                <w:rFonts w:hint="eastAsia" w:ascii="宋体" w:hAnsi="宋体" w:eastAsia="宋体" w:cs="宋体"/>
                <w:b/>
                <w:bCs/>
                <w:color w:val="auto"/>
                <w:highlight w:val="none"/>
                <w:lang w:val="zh-CN" w:bidi="zh-CN"/>
              </w:rPr>
              <w:t>）任意一个月投标人为其缴纳的社保缴费证明加盖社保公章或具有可验证的二维码（或验证码）及相应证书；提供证明材料扫描件加盖投标人公章编制在投标文件中，否则视为未提供，加盖社保缴费电子专用章证明材料可视为原件，否则视为未提供】</w:t>
            </w:r>
          </w:p>
        </w:tc>
        <w:tc>
          <w:tcPr>
            <w:tcW w:w="494" w:type="pct"/>
            <w:noWrap/>
            <w:vAlign w:val="center"/>
          </w:tcPr>
          <w:p w14:paraId="784D1F7C">
            <w:pPr>
              <w:autoSpaceDE w:val="0"/>
              <w:autoSpaceDN w:val="0"/>
              <w:spacing w:line="240" w:lineRule="auto"/>
              <w:ind w:firstLine="0" w:firstLineChars="0"/>
              <w:jc w:val="center"/>
              <w:rPr>
                <w:rFonts w:ascii="宋体" w:hAnsi="宋体" w:eastAsia="宋体" w:cs="宋体"/>
                <w:color w:val="auto"/>
                <w:highlight w:val="none"/>
                <w:lang w:bidi="zh-CN"/>
              </w:rPr>
            </w:pPr>
            <w:r>
              <w:rPr>
                <w:rFonts w:hint="eastAsia" w:ascii="宋体" w:hAnsi="宋体" w:eastAsia="宋体" w:cs="宋体"/>
                <w:color w:val="auto"/>
                <w:highlight w:val="none"/>
                <w:lang w:bidi="zh-CN"/>
              </w:rPr>
              <w:t>2</w:t>
            </w:r>
            <w:r>
              <w:rPr>
                <w:rFonts w:hint="eastAsia" w:ascii="宋体" w:hAnsi="宋体" w:eastAsia="宋体" w:cs="宋体"/>
                <w:color w:val="auto"/>
                <w:kern w:val="0"/>
                <w:highlight w:val="none"/>
                <w:lang w:val="zh-CN" w:bidi="zh-CN"/>
              </w:rPr>
              <w:t>分</w:t>
            </w:r>
          </w:p>
        </w:tc>
      </w:tr>
      <w:tr w14:paraId="6B0B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pct"/>
            <w:vMerge w:val="continue"/>
            <w:noWrap/>
            <w:vAlign w:val="center"/>
          </w:tcPr>
          <w:p w14:paraId="35BFF68C">
            <w:pPr>
              <w:autoSpaceDE w:val="0"/>
              <w:autoSpaceDN w:val="0"/>
              <w:spacing w:line="240" w:lineRule="auto"/>
              <w:ind w:firstLine="0" w:firstLineChars="0"/>
              <w:jc w:val="center"/>
              <w:rPr>
                <w:rFonts w:ascii="宋体" w:hAnsi="宋体" w:eastAsia="宋体" w:cs="宋体"/>
                <w:color w:val="auto"/>
                <w:highlight w:val="none"/>
                <w:lang w:val="zh-CN" w:bidi="zh-CN"/>
              </w:rPr>
            </w:pPr>
          </w:p>
        </w:tc>
        <w:tc>
          <w:tcPr>
            <w:tcW w:w="583" w:type="pct"/>
            <w:vMerge w:val="continue"/>
            <w:noWrap/>
            <w:vAlign w:val="center"/>
          </w:tcPr>
          <w:p w14:paraId="6BCBFBA5">
            <w:pPr>
              <w:autoSpaceDE w:val="0"/>
              <w:autoSpaceDN w:val="0"/>
              <w:spacing w:line="240" w:lineRule="auto"/>
              <w:ind w:firstLine="0" w:firstLineChars="0"/>
              <w:jc w:val="center"/>
              <w:rPr>
                <w:rFonts w:ascii="宋体" w:hAnsi="宋体" w:eastAsia="宋体" w:cs="宋体"/>
                <w:color w:val="auto"/>
                <w:highlight w:val="none"/>
                <w:lang w:val="zh-CN" w:bidi="zh-CN"/>
              </w:rPr>
            </w:pPr>
          </w:p>
        </w:tc>
        <w:tc>
          <w:tcPr>
            <w:tcW w:w="3229" w:type="pct"/>
            <w:noWrap/>
            <w:vAlign w:val="center"/>
          </w:tcPr>
          <w:p w14:paraId="10AC98F9">
            <w:pPr>
              <w:widowControl/>
              <w:autoSpaceDE w:val="0"/>
              <w:autoSpaceDN w:val="0"/>
              <w:spacing w:line="240" w:lineRule="auto"/>
              <w:ind w:firstLine="0" w:firstLineChars="0"/>
              <w:rPr>
                <w:rFonts w:ascii="宋体" w:hAnsi="宋体" w:eastAsia="宋体" w:cs="宋体"/>
                <w:color w:val="auto"/>
                <w:highlight w:val="none"/>
                <w:lang w:val="zh-CN" w:bidi="zh-CN"/>
              </w:rPr>
            </w:pPr>
            <w:r>
              <w:rPr>
                <w:rFonts w:hint="eastAsia" w:ascii="宋体" w:hAnsi="宋体" w:eastAsia="宋体" w:cs="宋体"/>
                <w:color w:val="auto"/>
                <w:highlight w:val="none"/>
                <w:lang w:bidi="zh-CN"/>
              </w:rPr>
              <w:t>3、</w:t>
            </w:r>
            <w:r>
              <w:rPr>
                <w:rFonts w:hint="eastAsia" w:ascii="宋体" w:hAnsi="宋体" w:eastAsia="宋体" w:cs="宋体"/>
                <w:color w:val="auto"/>
                <w:highlight w:val="none"/>
                <w:lang w:val="zh-CN" w:bidi="zh-CN"/>
              </w:rPr>
              <w:t>投标人提供施工员、质量员、资料员岗位具体人员名单，每提供一种岗位得</w:t>
            </w:r>
            <w:r>
              <w:rPr>
                <w:rFonts w:hint="eastAsia" w:ascii="宋体" w:hAnsi="宋体" w:eastAsia="宋体" w:cs="宋体"/>
                <w:color w:val="auto"/>
                <w:highlight w:val="none"/>
                <w:lang w:bidi="zh-CN"/>
              </w:rPr>
              <w:t>1</w:t>
            </w:r>
            <w:r>
              <w:rPr>
                <w:rFonts w:hint="eastAsia" w:ascii="宋体" w:hAnsi="宋体" w:eastAsia="宋体" w:cs="宋体"/>
                <w:color w:val="auto"/>
                <w:highlight w:val="none"/>
                <w:lang w:val="zh-CN" w:bidi="zh-CN"/>
              </w:rPr>
              <w:t>分，满分</w:t>
            </w:r>
            <w:r>
              <w:rPr>
                <w:rFonts w:hint="eastAsia" w:ascii="宋体" w:hAnsi="宋体" w:eastAsia="宋体" w:cs="宋体"/>
                <w:color w:val="auto"/>
                <w:highlight w:val="none"/>
                <w:lang w:bidi="zh-CN"/>
              </w:rPr>
              <w:t>3</w:t>
            </w:r>
            <w:r>
              <w:rPr>
                <w:rFonts w:hint="eastAsia" w:ascii="宋体" w:hAnsi="宋体" w:eastAsia="宋体" w:cs="宋体"/>
                <w:color w:val="auto"/>
                <w:highlight w:val="none"/>
                <w:lang w:val="zh-CN" w:bidi="zh-CN"/>
              </w:rPr>
              <w:t>分。</w:t>
            </w:r>
            <w:r>
              <w:rPr>
                <w:rFonts w:hint="eastAsia" w:ascii="宋体" w:hAnsi="宋体" w:eastAsia="宋体" w:cs="宋体"/>
                <w:b/>
                <w:bCs/>
                <w:color w:val="auto"/>
                <w:highlight w:val="none"/>
                <w:lang w:val="zh-CN" w:bidi="zh-CN"/>
              </w:rPr>
              <w:t>【提供社保机构出具的近半年（</w:t>
            </w:r>
            <w:r>
              <w:rPr>
                <w:rFonts w:hint="eastAsia" w:ascii="宋体" w:hAnsi="宋体" w:cs="宋体"/>
                <w:b/>
                <w:bCs/>
                <w:color w:val="auto"/>
                <w:highlight w:val="none"/>
                <w:lang w:val="zh-CN" w:bidi="zh-CN"/>
              </w:rPr>
              <w:t>2025年11月至2026年4月</w:t>
            </w:r>
            <w:r>
              <w:rPr>
                <w:rFonts w:hint="eastAsia" w:ascii="宋体" w:hAnsi="宋体" w:eastAsia="宋体" w:cs="宋体"/>
                <w:b/>
                <w:bCs/>
                <w:color w:val="auto"/>
                <w:highlight w:val="none"/>
                <w:lang w:val="zh-CN" w:bidi="zh-CN"/>
              </w:rPr>
              <w:t>）任意一个月投标人为其缴纳的社保缴费证明加盖社保公章或具有可验证的二维码（或验证码）及相应岗位人名名单信息；提供证明材料扫描件加盖投标人公章编制在投标文件中，否则视为未提供，加盖社保缴费电子专用章证明材料可视为原件，否则视为未提供】</w:t>
            </w:r>
          </w:p>
        </w:tc>
        <w:tc>
          <w:tcPr>
            <w:tcW w:w="494" w:type="pct"/>
            <w:noWrap/>
            <w:vAlign w:val="center"/>
          </w:tcPr>
          <w:p w14:paraId="6F25589F">
            <w:pPr>
              <w:autoSpaceDE w:val="0"/>
              <w:autoSpaceDN w:val="0"/>
              <w:spacing w:line="240" w:lineRule="auto"/>
              <w:ind w:firstLine="0" w:firstLineChars="0"/>
              <w:jc w:val="center"/>
              <w:rPr>
                <w:rFonts w:ascii="宋体" w:hAnsi="宋体" w:eastAsia="宋体" w:cs="宋体"/>
                <w:color w:val="auto"/>
                <w:highlight w:val="none"/>
                <w:lang w:bidi="zh-CN"/>
              </w:rPr>
            </w:pPr>
            <w:r>
              <w:rPr>
                <w:rFonts w:hint="eastAsia" w:ascii="宋体" w:hAnsi="宋体" w:eastAsia="宋体" w:cs="宋体"/>
                <w:color w:val="auto"/>
                <w:highlight w:val="none"/>
                <w:lang w:bidi="zh-CN"/>
              </w:rPr>
              <w:t>3</w:t>
            </w:r>
            <w:r>
              <w:rPr>
                <w:rFonts w:hint="eastAsia" w:ascii="宋体" w:hAnsi="宋体" w:eastAsia="宋体" w:cs="宋体"/>
                <w:color w:val="auto"/>
                <w:kern w:val="0"/>
                <w:highlight w:val="none"/>
                <w:lang w:val="zh-CN" w:bidi="zh-CN"/>
              </w:rPr>
              <w:t>分</w:t>
            </w:r>
          </w:p>
        </w:tc>
      </w:tr>
      <w:tr w14:paraId="3C9F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693" w:type="pct"/>
            <w:vMerge w:val="continue"/>
            <w:noWrap/>
            <w:vAlign w:val="center"/>
          </w:tcPr>
          <w:p w14:paraId="33149048">
            <w:pPr>
              <w:spacing w:line="240" w:lineRule="auto"/>
              <w:ind w:firstLine="0" w:firstLineChars="0"/>
              <w:jc w:val="center"/>
              <w:rPr>
                <w:rFonts w:ascii="宋体" w:hAnsi="宋体" w:eastAsia="宋体" w:cs="宋体"/>
                <w:color w:val="auto"/>
                <w:highlight w:val="none"/>
              </w:rPr>
            </w:pPr>
          </w:p>
        </w:tc>
        <w:tc>
          <w:tcPr>
            <w:tcW w:w="583" w:type="pct"/>
            <w:noWrap/>
            <w:vAlign w:val="center"/>
          </w:tcPr>
          <w:p w14:paraId="1C8959AD">
            <w:pPr>
              <w:pStyle w:val="12"/>
              <w:spacing w:line="240" w:lineRule="auto"/>
              <w:ind w:firstLine="0" w:firstLineChars="0"/>
              <w:jc w:val="center"/>
              <w:rPr>
                <w:rFonts w:ascii="宋体" w:hAnsi="宋体" w:eastAsia="宋体" w:cs="宋体"/>
                <w:color w:val="auto"/>
                <w:szCs w:val="24"/>
                <w:highlight w:val="none"/>
                <w:lang w:val="zh-CN" w:bidi="zh-CN"/>
              </w:rPr>
            </w:pPr>
            <w:r>
              <w:rPr>
                <w:rFonts w:hint="eastAsia" w:ascii="宋体" w:hAnsi="宋体" w:eastAsia="宋体" w:cs="宋体"/>
                <w:color w:val="auto"/>
                <w:szCs w:val="24"/>
                <w:highlight w:val="none"/>
                <w:lang w:val="zh-CN" w:bidi="zh-CN"/>
              </w:rPr>
              <w:t>企业业绩</w:t>
            </w:r>
          </w:p>
        </w:tc>
        <w:tc>
          <w:tcPr>
            <w:tcW w:w="3229" w:type="pct"/>
            <w:noWrap/>
            <w:vAlign w:val="center"/>
          </w:tcPr>
          <w:p w14:paraId="7092B5EA">
            <w:pPr>
              <w:widowControl/>
              <w:autoSpaceDE w:val="0"/>
              <w:autoSpaceDN w:val="0"/>
              <w:spacing w:line="240" w:lineRule="auto"/>
              <w:ind w:firstLine="0" w:firstLineChars="0"/>
              <w:rPr>
                <w:rFonts w:ascii="宋体" w:hAnsi="宋体" w:eastAsia="宋体" w:cs="宋体"/>
                <w:color w:val="auto"/>
                <w:kern w:val="0"/>
                <w:highlight w:val="none"/>
                <w:lang w:val="zh-CN" w:bidi="zh-CN"/>
              </w:rPr>
            </w:pPr>
            <w:r>
              <w:rPr>
                <w:rFonts w:hint="eastAsia" w:ascii="宋体" w:hAnsi="宋体" w:eastAsia="宋体" w:cs="宋体"/>
                <w:color w:val="auto"/>
                <w:kern w:val="0"/>
                <w:highlight w:val="none"/>
                <w:lang w:val="zh-CN" w:bidi="zh-CN"/>
              </w:rPr>
              <w:t>202</w:t>
            </w:r>
            <w:r>
              <w:rPr>
                <w:rFonts w:hint="eastAsia" w:ascii="宋体" w:hAnsi="宋体" w:eastAsia="宋体" w:cs="宋体"/>
                <w:color w:val="auto"/>
                <w:kern w:val="0"/>
                <w:highlight w:val="none"/>
                <w:lang w:bidi="zh-CN"/>
              </w:rPr>
              <w:t>3</w:t>
            </w:r>
            <w:r>
              <w:rPr>
                <w:rFonts w:hint="eastAsia" w:ascii="宋体" w:hAnsi="宋体" w:eastAsia="宋体" w:cs="宋体"/>
                <w:color w:val="auto"/>
                <w:kern w:val="0"/>
                <w:highlight w:val="none"/>
                <w:lang w:val="zh-CN" w:bidi="zh-CN"/>
              </w:rPr>
              <w:t>年</w:t>
            </w:r>
            <w:r>
              <w:rPr>
                <w:rFonts w:hint="eastAsia" w:ascii="宋体" w:hAnsi="宋体" w:eastAsia="宋体" w:cs="宋体"/>
                <w:color w:val="auto"/>
                <w:kern w:val="0"/>
                <w:highlight w:val="none"/>
                <w:lang w:bidi="zh-CN"/>
              </w:rPr>
              <w:t>1</w:t>
            </w:r>
            <w:r>
              <w:rPr>
                <w:rFonts w:hint="eastAsia" w:ascii="宋体" w:hAnsi="宋体" w:eastAsia="宋体" w:cs="宋体"/>
                <w:color w:val="auto"/>
                <w:kern w:val="0"/>
                <w:highlight w:val="none"/>
                <w:lang w:val="zh-CN" w:bidi="zh-CN"/>
              </w:rPr>
              <w:t>月1日（</w:t>
            </w:r>
            <w:r>
              <w:rPr>
                <w:rFonts w:hint="eastAsia" w:ascii="宋体" w:hAnsi="宋体" w:eastAsia="宋体" w:cs="宋体"/>
                <w:color w:val="auto"/>
                <w:kern w:val="0"/>
                <w:highlight w:val="none"/>
                <w:lang w:bidi="zh-CN"/>
              </w:rPr>
              <w:t>含</w:t>
            </w:r>
            <w:r>
              <w:rPr>
                <w:rFonts w:hint="eastAsia" w:ascii="宋体" w:hAnsi="宋体" w:eastAsia="宋体" w:cs="宋体"/>
                <w:color w:val="auto"/>
                <w:kern w:val="0"/>
                <w:highlight w:val="none"/>
                <w:lang w:val="zh-CN" w:bidi="zh-CN"/>
              </w:rPr>
              <w:t>）以来投标人承担过类似项目业绩的有一个得</w:t>
            </w:r>
            <w:r>
              <w:rPr>
                <w:rFonts w:hint="eastAsia" w:ascii="宋体" w:hAnsi="宋体" w:eastAsia="宋体" w:cs="宋体"/>
                <w:color w:val="auto"/>
                <w:kern w:val="0"/>
                <w:highlight w:val="none"/>
                <w:lang w:bidi="zh-CN"/>
              </w:rPr>
              <w:t>4</w:t>
            </w:r>
            <w:r>
              <w:rPr>
                <w:rFonts w:hint="eastAsia" w:ascii="宋体" w:hAnsi="宋体" w:eastAsia="宋体" w:cs="宋体"/>
                <w:color w:val="auto"/>
                <w:kern w:val="0"/>
                <w:highlight w:val="none"/>
                <w:lang w:val="zh-CN" w:bidi="zh-CN"/>
              </w:rPr>
              <w:t>分，最多得8分。</w:t>
            </w:r>
            <w:r>
              <w:rPr>
                <w:rFonts w:hint="eastAsia" w:ascii="宋体" w:hAnsi="宋体" w:eastAsia="宋体" w:cs="宋体"/>
                <w:b/>
                <w:bCs/>
                <w:color w:val="auto"/>
                <w:kern w:val="0"/>
                <w:highlight w:val="none"/>
                <w:lang w:val="zh-CN" w:bidi="zh-CN"/>
              </w:rPr>
              <w:t>（需提供施工合同、竣工验收证明材料扫描件加盖公章，缺一不可，时间以竣工验收合格时间为准，扫描件加盖投标人公章）</w:t>
            </w:r>
          </w:p>
        </w:tc>
        <w:tc>
          <w:tcPr>
            <w:tcW w:w="494" w:type="pct"/>
            <w:noWrap/>
            <w:vAlign w:val="center"/>
          </w:tcPr>
          <w:p w14:paraId="6C5105C5">
            <w:pPr>
              <w:autoSpaceDE w:val="0"/>
              <w:autoSpaceDN w:val="0"/>
              <w:spacing w:line="240" w:lineRule="auto"/>
              <w:ind w:firstLine="0" w:firstLineChars="0"/>
              <w:jc w:val="center"/>
              <w:rPr>
                <w:rFonts w:ascii="宋体" w:hAnsi="宋体" w:eastAsia="宋体" w:cs="宋体"/>
                <w:color w:val="auto"/>
                <w:kern w:val="0"/>
                <w:highlight w:val="none"/>
                <w:lang w:val="zh-CN" w:bidi="zh-CN"/>
              </w:rPr>
            </w:pPr>
            <w:r>
              <w:rPr>
                <w:rFonts w:hint="eastAsia" w:ascii="宋体" w:hAnsi="宋体" w:eastAsia="宋体" w:cs="宋体"/>
                <w:color w:val="auto"/>
                <w:kern w:val="0"/>
                <w:highlight w:val="none"/>
                <w:lang w:val="zh-CN" w:bidi="zh-CN"/>
              </w:rPr>
              <w:t>8分</w:t>
            </w:r>
          </w:p>
        </w:tc>
      </w:tr>
      <w:tr w14:paraId="0513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pct"/>
            <w:vMerge w:val="continue"/>
            <w:noWrap/>
            <w:vAlign w:val="center"/>
          </w:tcPr>
          <w:p w14:paraId="4DF47144">
            <w:pPr>
              <w:spacing w:line="240" w:lineRule="auto"/>
              <w:ind w:firstLine="0" w:firstLineChars="0"/>
              <w:jc w:val="center"/>
              <w:rPr>
                <w:rFonts w:ascii="宋体" w:hAnsi="宋体" w:eastAsia="宋体" w:cs="宋体"/>
                <w:color w:val="auto"/>
                <w:highlight w:val="none"/>
              </w:rPr>
            </w:pPr>
          </w:p>
        </w:tc>
        <w:tc>
          <w:tcPr>
            <w:tcW w:w="583" w:type="pct"/>
            <w:noWrap/>
            <w:vAlign w:val="center"/>
          </w:tcPr>
          <w:p w14:paraId="00487F60">
            <w:pPr>
              <w:spacing w:line="240" w:lineRule="auto"/>
              <w:ind w:firstLine="0" w:firstLineChars="0"/>
              <w:jc w:val="center"/>
              <w:rPr>
                <w:rFonts w:ascii="宋体" w:hAnsi="宋体" w:eastAsia="宋体" w:cs="宋体"/>
                <w:color w:val="auto"/>
                <w:kern w:val="0"/>
                <w:highlight w:val="none"/>
                <w:lang w:val="zh-CN" w:bidi="zh-CN"/>
              </w:rPr>
            </w:pPr>
            <w:r>
              <w:rPr>
                <w:rFonts w:hint="eastAsia" w:ascii="宋体" w:hAnsi="宋体" w:eastAsia="宋体" w:cs="宋体"/>
                <w:color w:val="auto"/>
                <w:kern w:val="0"/>
                <w:highlight w:val="none"/>
                <w:lang w:val="zh-CN" w:bidi="zh-CN"/>
              </w:rPr>
              <w:t>项目负责人业绩</w:t>
            </w:r>
          </w:p>
        </w:tc>
        <w:tc>
          <w:tcPr>
            <w:tcW w:w="3229" w:type="pct"/>
            <w:noWrap/>
            <w:vAlign w:val="center"/>
          </w:tcPr>
          <w:p w14:paraId="10CB1608">
            <w:pPr>
              <w:tabs>
                <w:tab w:val="left" w:pos="0"/>
              </w:tabs>
              <w:autoSpaceDE w:val="0"/>
              <w:autoSpaceDN w:val="0"/>
              <w:snapToGrid w:val="0"/>
              <w:spacing w:line="240" w:lineRule="auto"/>
              <w:ind w:firstLine="0" w:firstLineChars="0"/>
              <w:rPr>
                <w:rFonts w:ascii="宋体" w:hAnsi="宋体" w:eastAsia="宋体" w:cs="宋体"/>
                <w:color w:val="auto"/>
                <w:kern w:val="0"/>
                <w:highlight w:val="none"/>
                <w:lang w:val="zh-CN" w:bidi="zh-CN"/>
              </w:rPr>
            </w:pPr>
            <w:r>
              <w:rPr>
                <w:rFonts w:hint="eastAsia" w:ascii="宋体" w:hAnsi="宋体" w:eastAsia="宋体" w:cs="宋体"/>
                <w:color w:val="auto"/>
                <w:kern w:val="0"/>
                <w:highlight w:val="none"/>
                <w:lang w:val="zh-CN" w:bidi="zh-CN"/>
              </w:rPr>
              <w:t>202</w:t>
            </w:r>
            <w:r>
              <w:rPr>
                <w:rFonts w:hint="eastAsia" w:ascii="宋体" w:hAnsi="宋体" w:eastAsia="宋体" w:cs="宋体"/>
                <w:color w:val="auto"/>
                <w:kern w:val="0"/>
                <w:highlight w:val="none"/>
                <w:lang w:bidi="zh-CN"/>
              </w:rPr>
              <w:t>3</w:t>
            </w:r>
            <w:r>
              <w:rPr>
                <w:rFonts w:hint="eastAsia" w:ascii="宋体" w:hAnsi="宋体" w:eastAsia="宋体" w:cs="宋体"/>
                <w:color w:val="auto"/>
                <w:kern w:val="0"/>
                <w:highlight w:val="none"/>
                <w:lang w:val="zh-CN" w:bidi="zh-CN"/>
              </w:rPr>
              <w:t>年</w:t>
            </w:r>
            <w:r>
              <w:rPr>
                <w:rFonts w:hint="eastAsia" w:ascii="宋体" w:hAnsi="宋体" w:eastAsia="宋体" w:cs="宋体"/>
                <w:color w:val="auto"/>
                <w:kern w:val="0"/>
                <w:highlight w:val="none"/>
                <w:lang w:bidi="zh-CN"/>
              </w:rPr>
              <w:t>1</w:t>
            </w:r>
            <w:r>
              <w:rPr>
                <w:rFonts w:hint="eastAsia" w:ascii="宋体" w:hAnsi="宋体" w:eastAsia="宋体" w:cs="宋体"/>
                <w:color w:val="auto"/>
                <w:kern w:val="0"/>
                <w:highlight w:val="none"/>
                <w:lang w:val="zh-CN" w:bidi="zh-CN"/>
              </w:rPr>
              <w:t>月1日（</w:t>
            </w:r>
            <w:r>
              <w:rPr>
                <w:rFonts w:hint="eastAsia" w:ascii="宋体" w:hAnsi="宋体" w:eastAsia="宋体" w:cs="宋体"/>
                <w:color w:val="auto"/>
                <w:kern w:val="0"/>
                <w:highlight w:val="none"/>
                <w:lang w:bidi="zh-CN"/>
              </w:rPr>
              <w:t>含</w:t>
            </w:r>
            <w:r>
              <w:rPr>
                <w:rFonts w:hint="eastAsia" w:ascii="宋体" w:hAnsi="宋体" w:eastAsia="宋体" w:cs="宋体"/>
                <w:color w:val="auto"/>
                <w:kern w:val="0"/>
                <w:highlight w:val="none"/>
                <w:lang w:val="zh-CN" w:bidi="zh-CN"/>
              </w:rPr>
              <w:t>）以来项目负责人承担过类似项目业绩的有一个得</w:t>
            </w:r>
            <w:r>
              <w:rPr>
                <w:rFonts w:hint="eastAsia" w:ascii="宋体" w:hAnsi="宋体" w:eastAsia="宋体" w:cs="宋体"/>
                <w:color w:val="auto"/>
                <w:kern w:val="0"/>
                <w:highlight w:val="none"/>
                <w:lang w:bidi="zh-CN"/>
              </w:rPr>
              <w:t>4</w:t>
            </w:r>
            <w:r>
              <w:rPr>
                <w:rFonts w:hint="eastAsia" w:ascii="宋体" w:hAnsi="宋体" w:eastAsia="宋体" w:cs="宋体"/>
                <w:color w:val="auto"/>
                <w:kern w:val="0"/>
                <w:highlight w:val="none"/>
                <w:lang w:val="zh-CN" w:bidi="zh-CN"/>
              </w:rPr>
              <w:t>分，最多得</w:t>
            </w:r>
            <w:r>
              <w:rPr>
                <w:rFonts w:hint="eastAsia" w:ascii="宋体" w:hAnsi="宋体" w:eastAsia="宋体" w:cs="宋体"/>
                <w:color w:val="auto"/>
                <w:kern w:val="0"/>
                <w:highlight w:val="none"/>
                <w:lang w:bidi="zh-CN"/>
              </w:rPr>
              <w:t>8</w:t>
            </w:r>
            <w:r>
              <w:rPr>
                <w:rFonts w:hint="eastAsia" w:ascii="宋体" w:hAnsi="宋体" w:eastAsia="宋体" w:cs="宋体"/>
                <w:color w:val="auto"/>
                <w:kern w:val="0"/>
                <w:highlight w:val="none"/>
                <w:lang w:val="zh-CN" w:bidi="zh-CN"/>
              </w:rPr>
              <w:t>分。</w:t>
            </w:r>
            <w:r>
              <w:rPr>
                <w:rFonts w:hint="eastAsia" w:ascii="宋体" w:hAnsi="宋体" w:eastAsia="宋体" w:cs="宋体"/>
                <w:b/>
                <w:bCs/>
                <w:color w:val="auto"/>
                <w:kern w:val="0"/>
                <w:highlight w:val="none"/>
                <w:lang w:val="zh-CN" w:bidi="zh-CN"/>
              </w:rPr>
              <w:t>（需提供施工合同、竣工验收证明材料扫描件加盖公章，缺一不可，时间以竣工验收合格时间为准，扫描件加盖投标人公章）</w:t>
            </w:r>
          </w:p>
          <w:p w14:paraId="2E0AD7C0">
            <w:pPr>
              <w:tabs>
                <w:tab w:val="left" w:pos="0"/>
              </w:tabs>
              <w:autoSpaceDE w:val="0"/>
              <w:autoSpaceDN w:val="0"/>
              <w:snapToGrid w:val="0"/>
              <w:spacing w:line="240" w:lineRule="auto"/>
              <w:ind w:firstLine="0" w:firstLineChars="0"/>
              <w:rPr>
                <w:rFonts w:ascii="宋体" w:hAnsi="宋体" w:eastAsia="宋体" w:cs="宋体"/>
                <w:color w:val="auto"/>
                <w:kern w:val="0"/>
                <w:highlight w:val="none"/>
                <w:lang w:val="zh-CN" w:bidi="zh-CN"/>
              </w:rPr>
            </w:pPr>
            <w:r>
              <w:rPr>
                <w:rFonts w:hint="eastAsia" w:ascii="宋体" w:hAnsi="宋体" w:eastAsia="宋体" w:cs="宋体"/>
                <w:b/>
                <w:bCs/>
                <w:color w:val="auto"/>
                <w:kern w:val="0"/>
                <w:highlight w:val="none"/>
                <w:lang w:val="zh-CN" w:bidi="zh-CN"/>
              </w:rPr>
              <w:t>（项目负责人业绩和企业业绩可兼得）</w:t>
            </w:r>
          </w:p>
        </w:tc>
        <w:tc>
          <w:tcPr>
            <w:tcW w:w="494" w:type="pct"/>
            <w:noWrap/>
            <w:vAlign w:val="center"/>
          </w:tcPr>
          <w:p w14:paraId="366CC39D">
            <w:pPr>
              <w:autoSpaceDE w:val="0"/>
              <w:autoSpaceDN w:val="0"/>
              <w:spacing w:line="240" w:lineRule="auto"/>
              <w:ind w:firstLine="0" w:firstLineChars="0"/>
              <w:jc w:val="center"/>
              <w:rPr>
                <w:rFonts w:ascii="宋体" w:hAnsi="宋体" w:eastAsia="宋体" w:cs="宋体"/>
                <w:color w:val="auto"/>
                <w:kern w:val="0"/>
                <w:highlight w:val="none"/>
                <w:lang w:val="zh-CN" w:bidi="zh-CN"/>
              </w:rPr>
            </w:pPr>
            <w:r>
              <w:rPr>
                <w:rFonts w:hint="eastAsia" w:ascii="宋体" w:hAnsi="宋体" w:eastAsia="宋体" w:cs="宋体"/>
                <w:color w:val="auto"/>
                <w:kern w:val="0"/>
                <w:highlight w:val="none"/>
                <w:lang w:bidi="zh-CN"/>
              </w:rPr>
              <w:t>8</w:t>
            </w:r>
            <w:r>
              <w:rPr>
                <w:rFonts w:hint="eastAsia" w:ascii="宋体" w:hAnsi="宋体" w:eastAsia="宋体" w:cs="宋体"/>
                <w:color w:val="auto"/>
                <w:kern w:val="0"/>
                <w:highlight w:val="none"/>
                <w:lang w:val="zh-CN" w:bidi="zh-CN"/>
              </w:rPr>
              <w:t>分</w:t>
            </w:r>
          </w:p>
        </w:tc>
      </w:tr>
      <w:tr w14:paraId="5888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505" w:type="pct"/>
            <w:gridSpan w:val="3"/>
            <w:noWrap/>
            <w:vAlign w:val="center"/>
          </w:tcPr>
          <w:p w14:paraId="7814E517">
            <w:pPr>
              <w:widowControl/>
              <w:spacing w:line="240" w:lineRule="auto"/>
              <w:ind w:firstLine="0" w:firstLineChars="0"/>
              <w:jc w:val="center"/>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合计</w:t>
            </w:r>
          </w:p>
        </w:tc>
        <w:tc>
          <w:tcPr>
            <w:tcW w:w="494" w:type="pct"/>
            <w:noWrap/>
            <w:vAlign w:val="center"/>
          </w:tcPr>
          <w:p w14:paraId="3E8FD04E">
            <w:pPr>
              <w:widowControl/>
              <w:spacing w:line="240" w:lineRule="auto"/>
              <w:ind w:firstLine="0" w:firstLineChars="0"/>
              <w:jc w:val="center"/>
              <w:rPr>
                <w:rFonts w:ascii="宋体" w:hAnsi="宋体" w:eastAsia="宋体" w:cs="宋体"/>
                <w:color w:val="auto"/>
                <w:highlight w:val="none"/>
                <w:lang w:val="zh-CN" w:bidi="zh-CN"/>
              </w:rPr>
            </w:pPr>
            <w:r>
              <w:rPr>
                <w:rFonts w:hint="eastAsia" w:ascii="宋体" w:hAnsi="宋体" w:eastAsia="宋体" w:cs="宋体"/>
                <w:color w:val="auto"/>
                <w:highlight w:val="none"/>
                <w:lang w:val="zh-CN" w:bidi="zh-CN"/>
              </w:rPr>
              <w:t>100分</w:t>
            </w:r>
          </w:p>
        </w:tc>
      </w:tr>
    </w:tbl>
    <w:p w14:paraId="5E1F63AB">
      <w:pPr>
        <w:spacing w:line="360" w:lineRule="auto"/>
        <w:rPr>
          <w:rFonts w:ascii="宋体" w:hAnsi="宋体" w:eastAsia="宋体" w:cs="宋体"/>
          <w:color w:val="auto"/>
          <w:szCs w:val="21"/>
          <w:highlight w:val="none"/>
        </w:rPr>
      </w:pPr>
    </w:p>
    <w:p w14:paraId="0CC592F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041245BD">
      <w:pPr>
        <w:spacing w:line="44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1、评标委员会成员根据上述评分细则，各自进行打分，并记录在评分表中，然后平均计算出各供应商的得分值，最后根据各供应商的总分进行排名，推荐中标供应商。</w:t>
      </w:r>
    </w:p>
    <w:p w14:paraId="4C63673B">
      <w:pPr>
        <w:spacing w:line="44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2、要求提供原件核查的，如无法提供需要原件的，将不得分。</w:t>
      </w:r>
    </w:p>
    <w:p w14:paraId="75D96C1D">
      <w:pPr>
        <w:spacing w:line="440" w:lineRule="exact"/>
        <w:ind w:firstLine="420"/>
        <w:rPr>
          <w:rFonts w:ascii="宋体" w:hAnsi="宋体" w:eastAsia="宋体" w:cs="宋体"/>
          <w:b/>
          <w:color w:val="auto"/>
          <w:szCs w:val="21"/>
          <w:highlight w:val="none"/>
        </w:rPr>
      </w:pPr>
      <w:r>
        <w:rPr>
          <w:rFonts w:hint="eastAsia" w:ascii="宋体" w:hAnsi="宋体" w:eastAsia="宋体" w:cs="宋体"/>
          <w:color w:val="auto"/>
          <w:szCs w:val="21"/>
          <w:highlight w:val="none"/>
        </w:rPr>
        <w:t>3、供应商所提供的所有业绩材料、人员证书必须真实可靠，如发现供应商弄虚作假，则取消其本次采购中标资格，并向行政主管部门汇报。</w:t>
      </w:r>
    </w:p>
    <w:p w14:paraId="6B7B8CE7">
      <w:pPr>
        <w:spacing w:line="44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4、以上人员必须为项目后续实际负责人员，若一经发现与供应商员不符，将取消合同并追究责任。</w:t>
      </w:r>
    </w:p>
    <w:p w14:paraId="3EC3FEDB">
      <w:pPr>
        <w:spacing w:line="44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在满足采购基本要求的前提下，对国家认定的节能产品和环保产品分别给予投标价的5%价格扣除，用扣除后的价格参与评审（特别说明：节能、环保产品必须纳入“中国政府采购网http：//www.ccgp.gov.cn”等官方网站“节能、环保产品查询系统”，且以提供的证书电子件为准）。 </w:t>
      </w:r>
    </w:p>
    <w:p w14:paraId="7DC73FE5">
      <w:pPr>
        <w:spacing w:line="44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6、对于未预留份额专门面向中小企业采购的采购项目或预留份额项目中的非预留部分采购包，给予小微企业报价</w:t>
      </w:r>
      <w:r>
        <w:rPr>
          <w:rFonts w:hint="eastAsia" w:ascii="宋体" w:hAnsi="宋体" w:eastAsia="宋体" w:cs="宋体"/>
          <w:b/>
          <w:bCs/>
          <w:color w:val="auto"/>
          <w:szCs w:val="21"/>
          <w:highlight w:val="none"/>
        </w:rPr>
        <w:t>3%</w:t>
      </w:r>
      <w:r>
        <w:rPr>
          <w:rFonts w:hint="eastAsia" w:ascii="宋体" w:hAnsi="宋体" w:eastAsia="宋体" w:cs="宋体"/>
          <w:color w:val="auto"/>
          <w:szCs w:val="21"/>
          <w:highlight w:val="none"/>
        </w:rPr>
        <w:t>的扣除，用扣除后的价格参加评审。具体详见《政府采购促进中小企业发展管理办法》（财库〔2020〕46 号）和《关于进一步加大政府采购支持中小企业力度的通知》（财库〔2022〕19号）。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本项目不适用</w:t>
      </w:r>
      <w:r>
        <w:rPr>
          <w:rFonts w:hint="eastAsia" w:ascii="宋体" w:hAnsi="宋体" w:eastAsia="宋体" w:cs="宋体"/>
          <w:color w:val="auto"/>
          <w:szCs w:val="21"/>
          <w:highlight w:val="none"/>
          <w:lang w:eastAsia="zh-CN"/>
        </w:rPr>
        <w:t>）。</w:t>
      </w:r>
    </w:p>
    <w:p w14:paraId="0C659061">
      <w:pPr>
        <w:spacing w:line="44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7、价格扣除比例或者价格分加分比例对小型企业和微型企业同等对待，不作区分。</w:t>
      </w:r>
    </w:p>
    <w:p w14:paraId="075374BF">
      <w:pPr>
        <w:spacing w:line="44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8、本项目对监狱和戒毒企业（简称监狱企业）视同小型、微型企业，享受相同的价格扣除优惠政策，监狱企业需提供由省级以上监狱管理局、戒毒管理局（含新疆生产建设兵团）出具的属于监狱企业的证明文件，监狱企业标准请参照《关于政府采购支持监狱企业发展有关问题的通知》（财库〔2014〕68号）。</w:t>
      </w:r>
    </w:p>
    <w:p w14:paraId="54C20D5C">
      <w:pPr>
        <w:spacing w:line="44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9、本项目对残疾人福利性单位视同小型、微型企业，享受相同的价格扣除优惠政策，残疾人福利性单位需按照招标文件的要求提供《残疾人福利性单位声明函》，残疾人福利性单位标准请参照《关于促进残疾人就业政府采购政策的通知》（财库〔2017〕141号）。</w:t>
      </w:r>
    </w:p>
    <w:p w14:paraId="3EFCB38D">
      <w:pPr>
        <w:spacing w:line="44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10、监狱企业、残疾人福利性单位属于小型、微型企业的，不重复享受政策。</w:t>
      </w:r>
    </w:p>
    <w:p w14:paraId="57AFC904">
      <w:pPr>
        <w:spacing w:line="44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11、除评分标准中另有说明外，所有认证、证明均以有效的证明文件的电子件为依据。</w:t>
      </w:r>
    </w:p>
    <w:p w14:paraId="005F156A">
      <w:pPr>
        <w:pStyle w:val="189"/>
        <w:spacing w:after="0" w:line="360" w:lineRule="auto"/>
        <w:jc w:val="center"/>
        <w:rPr>
          <w:rStyle w:val="201"/>
          <w:rFonts w:hint="eastAsia" w:eastAsia="宋体"/>
          <w:b w:val="0"/>
          <w:bCs w:val="0"/>
          <w:color w:val="auto"/>
          <w:sz w:val="36"/>
          <w:szCs w:val="36"/>
          <w:highlight w:val="none"/>
          <w:lang w:val="zh-CN" w:eastAsia="zh-CN"/>
        </w:rPr>
      </w:pPr>
      <w:r>
        <w:rPr>
          <w:rFonts w:hint="eastAsia" w:ascii="宋体" w:hAnsi="宋体" w:cs="宋体"/>
          <w:color w:val="auto"/>
          <w:sz w:val="24"/>
          <w:szCs w:val="24"/>
          <w:highlight w:val="none"/>
          <w:lang w:val="zh-TW" w:eastAsia="zh-TW"/>
        </w:rPr>
        <w:br w:type="page" w:clear="all"/>
      </w:r>
      <w:bookmarkStart w:id="42" w:name="_Toc27961"/>
      <w:r>
        <w:rPr>
          <w:rStyle w:val="201"/>
          <w:rFonts w:hint="eastAsia"/>
          <w:b w:val="0"/>
          <w:bCs w:val="0"/>
          <w:color w:val="auto"/>
          <w:sz w:val="36"/>
          <w:szCs w:val="36"/>
          <w:highlight w:val="none"/>
          <w:lang w:val="zh-TW" w:eastAsia="zh-TW"/>
        </w:rPr>
        <w:t>第四章</w:t>
      </w:r>
      <w:r>
        <w:rPr>
          <w:rStyle w:val="201"/>
          <w:rFonts w:hint="eastAsia"/>
          <w:b w:val="0"/>
          <w:bCs w:val="0"/>
          <w:color w:val="auto"/>
          <w:sz w:val="36"/>
          <w:szCs w:val="36"/>
          <w:highlight w:val="none"/>
          <w:lang w:val="zh-TW" w:eastAsia="zh-CN"/>
        </w:rPr>
        <w:t xml:space="preserve"> </w:t>
      </w:r>
      <w:bookmarkEnd w:id="42"/>
      <w:r>
        <w:rPr>
          <w:rStyle w:val="201"/>
          <w:rFonts w:hint="eastAsia"/>
          <w:b w:val="0"/>
          <w:bCs w:val="0"/>
          <w:color w:val="auto"/>
          <w:sz w:val="36"/>
          <w:szCs w:val="36"/>
          <w:highlight w:val="none"/>
          <w:lang w:val="en-US" w:eastAsia="zh-CN"/>
        </w:rPr>
        <w:t>采购需求</w:t>
      </w:r>
    </w:p>
    <w:p w14:paraId="54755FB9">
      <w:pPr>
        <w:pStyle w:val="742"/>
        <w:spacing w:before="0" w:after="0" w:line="360" w:lineRule="auto"/>
        <w:ind w:left="0" w:firstLine="0"/>
        <w:rPr>
          <w:rFonts w:ascii="宋体" w:hAnsi="宋体" w:eastAsia="宋体" w:cs="宋体"/>
          <w:b/>
          <w:bCs/>
          <w:color w:val="auto"/>
          <w:sz w:val="22"/>
          <w:szCs w:val="21"/>
          <w:highlight w:val="none"/>
          <w:lang w:val="en-US"/>
        </w:rPr>
      </w:pPr>
      <w:bookmarkStart w:id="43" w:name="_Toc8186"/>
      <w:bookmarkStart w:id="44" w:name="_Toc21780"/>
      <w:bookmarkStart w:id="45" w:name="_Toc7683"/>
      <w:bookmarkStart w:id="46" w:name="_Toc19835"/>
      <w:bookmarkStart w:id="47" w:name="_Toc10908"/>
      <w:bookmarkStart w:id="48" w:name="_Toc22440"/>
      <w:bookmarkStart w:id="49" w:name="_Toc9997"/>
      <w:bookmarkStart w:id="50" w:name="_Toc7738"/>
      <w:r>
        <w:rPr>
          <w:rFonts w:hint="eastAsia" w:ascii="宋体" w:hAnsi="宋体" w:eastAsia="宋体" w:cs="宋体"/>
          <w:b/>
          <w:bCs/>
          <w:color w:val="auto"/>
          <w:sz w:val="22"/>
          <w:szCs w:val="21"/>
          <w:highlight w:val="none"/>
          <w:lang w:val="en-US"/>
        </w:rPr>
        <w:t>一、项目概况</w:t>
      </w:r>
      <w:bookmarkEnd w:id="43"/>
      <w:bookmarkEnd w:id="44"/>
      <w:bookmarkEnd w:id="45"/>
      <w:bookmarkEnd w:id="46"/>
      <w:bookmarkEnd w:id="47"/>
      <w:bookmarkEnd w:id="48"/>
    </w:p>
    <w:p w14:paraId="19D6A876">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1.项目名称：2026年修远楼改造出新工程</w:t>
      </w:r>
    </w:p>
    <w:p w14:paraId="7AE74BC4">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2.采购预算：1499955.43元</w:t>
      </w:r>
    </w:p>
    <w:p w14:paraId="0466C6D5">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3.采购最高限价：1499955.43元（供应商的投标报价超过最高限价的其投标文件将被作为无效响应处理）</w:t>
      </w:r>
    </w:p>
    <w:p w14:paraId="1927011B">
      <w:pPr>
        <w:spacing w:line="360" w:lineRule="auto"/>
        <w:ind w:firstLine="420"/>
        <w:rPr>
          <w:rFonts w:hint="eastAsia"/>
          <w:color w:val="auto"/>
          <w:highlight w:val="none"/>
        </w:rPr>
      </w:pPr>
      <w:r>
        <w:rPr>
          <w:rFonts w:hint="eastAsia" w:ascii="宋体" w:hAnsi="宋体" w:eastAsia="宋体" w:cs="宋体"/>
          <w:color w:val="auto"/>
          <w:szCs w:val="21"/>
          <w:highlight w:val="none"/>
        </w:rPr>
        <w:t>4.建设地点：江宁科学园龙眠大道629号南京交通职业技术学院内</w:t>
      </w:r>
      <w:r>
        <w:rPr>
          <w:rFonts w:hint="eastAsia"/>
          <w:color w:val="auto"/>
          <w:highlight w:val="none"/>
        </w:rPr>
        <w:t>。</w:t>
      </w:r>
    </w:p>
    <w:p w14:paraId="7446FB52">
      <w:pPr>
        <w:spacing w:line="360" w:lineRule="auto"/>
        <w:ind w:firstLine="420"/>
        <w:rPr>
          <w:rFonts w:hint="eastAsia"/>
          <w:color w:val="auto"/>
          <w:highlight w:val="none"/>
          <w:lang w:val="en-US" w:eastAsia="zh-CN"/>
        </w:rPr>
      </w:pPr>
      <w:r>
        <w:rPr>
          <w:rFonts w:hint="eastAsia"/>
          <w:color w:val="auto"/>
          <w:highlight w:val="none"/>
          <w:lang w:val="en-US" w:eastAsia="zh-CN"/>
        </w:rPr>
        <w:t>5.项目背景与目标：为改善修远楼师生教学与办公环境，提升建筑品质与使用功能，现计划对修远楼的室内外公共区域进行系统性改造出新。本项目旨在通过规范的施工，达成安全、环保、美观、耐用的整体效果。</w:t>
      </w:r>
    </w:p>
    <w:p w14:paraId="192E4169">
      <w:pPr>
        <w:pStyle w:val="742"/>
        <w:spacing w:before="0" w:after="0" w:line="360" w:lineRule="auto"/>
        <w:ind w:left="0" w:firstLine="0"/>
        <w:rPr>
          <w:rFonts w:ascii="宋体" w:hAnsi="宋体" w:eastAsia="宋体" w:cs="宋体"/>
          <w:b/>
          <w:bCs/>
          <w:color w:val="auto"/>
          <w:sz w:val="22"/>
          <w:szCs w:val="21"/>
          <w:highlight w:val="none"/>
          <w:lang w:val="en-US"/>
        </w:rPr>
      </w:pPr>
      <w:bookmarkStart w:id="51" w:name="_Toc18922"/>
      <w:bookmarkStart w:id="52" w:name="_Toc25263"/>
      <w:bookmarkStart w:id="53" w:name="_Toc7086"/>
      <w:bookmarkStart w:id="54" w:name="_Toc21193"/>
      <w:r>
        <w:rPr>
          <w:rFonts w:hint="eastAsia" w:ascii="宋体" w:hAnsi="宋体" w:eastAsia="宋体" w:cs="宋体"/>
          <w:b/>
          <w:bCs/>
          <w:color w:val="auto"/>
          <w:sz w:val="22"/>
          <w:szCs w:val="21"/>
          <w:highlight w:val="none"/>
          <w:lang w:val="en-US"/>
        </w:rPr>
        <w:t>二、</w:t>
      </w:r>
      <w:bookmarkEnd w:id="51"/>
      <w:bookmarkEnd w:id="52"/>
      <w:bookmarkEnd w:id="53"/>
      <w:bookmarkEnd w:id="54"/>
      <w:r>
        <w:rPr>
          <w:rFonts w:hint="eastAsia" w:ascii="宋体" w:hAnsi="宋体" w:eastAsia="宋体" w:cs="宋体"/>
          <w:b/>
          <w:bCs/>
          <w:color w:val="auto"/>
          <w:sz w:val="22"/>
          <w:szCs w:val="21"/>
          <w:highlight w:val="none"/>
          <w:lang w:val="en-US"/>
        </w:rPr>
        <w:t>项目范围与内容：</w:t>
      </w:r>
    </w:p>
    <w:p w14:paraId="3E45D76E">
      <w:pPr>
        <w:spacing w:line="360" w:lineRule="auto"/>
        <w:ind w:firstLine="420"/>
        <w:rPr>
          <w:rFonts w:ascii="宋体" w:hAnsi="宋体" w:eastAsia="宋体" w:cs="宋体"/>
          <w:color w:val="auto"/>
          <w:szCs w:val="21"/>
          <w:highlight w:val="none"/>
        </w:rPr>
      </w:pPr>
      <w:bookmarkStart w:id="55" w:name="_Toc21962"/>
      <w:bookmarkStart w:id="56" w:name="_Toc15275"/>
      <w:r>
        <w:rPr>
          <w:rFonts w:hint="eastAsia" w:ascii="宋体" w:hAnsi="宋体" w:eastAsia="宋体" w:cs="宋体"/>
          <w:color w:val="auto"/>
          <w:szCs w:val="21"/>
          <w:highlight w:val="none"/>
        </w:rPr>
        <w:t>本项目采购范围包括为完成改造所需的</w:t>
      </w:r>
      <w:r>
        <w:rPr>
          <w:rFonts w:hint="eastAsia" w:ascii="宋体" w:hAnsi="宋体" w:eastAsia="宋体" w:cs="宋体"/>
          <w:color w:val="auto"/>
          <w:szCs w:val="21"/>
          <w:highlight w:val="none"/>
        </w:rPr>
        <w:t>全部材料设备采购</w:t>
      </w:r>
      <w:r>
        <w:rPr>
          <w:rFonts w:hint="eastAsia" w:ascii="宋体" w:hAnsi="宋体" w:eastAsia="宋体" w:cs="宋体"/>
          <w:color w:val="auto"/>
          <w:szCs w:val="21"/>
          <w:highlight w:val="none"/>
        </w:rPr>
        <w:t>、施工安装、垃圾清运、清洁保洁及质量保修。主要包括：</w:t>
      </w:r>
    </w:p>
    <w:p w14:paraId="30699A32">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1、拆除工程：吊顶拆除及附着设备、周边设施保护；旧地砖拆除；室内涂料面铲除；大厅玻璃门、三楼办公室门拆除；屋顶“葡萄架”及外墙起皮、空鼓涂料面铲除。</w:t>
      </w:r>
    </w:p>
    <w:p w14:paraId="087B1562">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2、土建装饰出新工程： </w:t>
      </w:r>
    </w:p>
    <w:p w14:paraId="53BCA37B">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2.1室内公共区域：墙柱面及天棚乳胶漆；氟碳滚涂铝复合板吊顶；铝方通吊顶天棚及天棚深色涂料；釉面防滑砖铺设；钢制单开门安装。</w:t>
      </w:r>
    </w:p>
    <w:p w14:paraId="27AE69E4">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2.2室外公共区域：室外台阶及坡道釉面防滑砖铺设；铝单板雨篷；门头铝板造型；铝合金平开门；玻璃幕墙；外墙真石漆喷涂及基层修补粉刷。</w:t>
      </w:r>
    </w:p>
    <w:p w14:paraId="307050A6">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3、安装工程： </w:t>
      </w:r>
    </w:p>
    <w:p w14:paraId="2B1AA211">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3.1室内公共区域：新设灯具照明线路配管（JDG管）、配线（WDZ-BYJ-2.5mm²）；四联、双联、单联扳式开关安装；LED长条灯安装；拆换空气开关；接线盒安装；吊顶附着设施设备恢复。</w:t>
      </w:r>
    </w:p>
    <w:p w14:paraId="47EA331C">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3.2室外公共区域：24W可拼接方通式线性灯带安装；配套配管配线；补充空气开关。</w:t>
      </w:r>
    </w:p>
    <w:p w14:paraId="07F301A1">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保洁：移交试用前精细保洁。</w:t>
      </w:r>
    </w:p>
    <w:p w14:paraId="7C031BD5">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具体详见工程量清单（另附）。</w:t>
      </w:r>
    </w:p>
    <w:p w14:paraId="18E34D68">
      <w:pPr>
        <w:pStyle w:val="742"/>
        <w:spacing w:before="0" w:after="0" w:line="360" w:lineRule="auto"/>
        <w:ind w:left="0" w:firstLine="0"/>
        <w:rPr>
          <w:rFonts w:ascii="宋体" w:hAnsi="宋体" w:eastAsia="宋体" w:cs="宋体"/>
          <w:b/>
          <w:bCs/>
          <w:color w:val="auto"/>
          <w:sz w:val="22"/>
          <w:szCs w:val="21"/>
          <w:highlight w:val="none"/>
          <w:lang w:val="en-US"/>
        </w:rPr>
      </w:pPr>
      <w:r>
        <w:rPr>
          <w:rFonts w:hint="eastAsia" w:ascii="宋体" w:hAnsi="宋体" w:eastAsia="宋体" w:cs="宋体"/>
          <w:b/>
          <w:bCs/>
          <w:color w:val="auto"/>
          <w:sz w:val="22"/>
          <w:szCs w:val="21"/>
          <w:highlight w:val="none"/>
          <w:lang w:val="en-US"/>
        </w:rPr>
        <w:t>三、</w:t>
      </w:r>
      <w:bookmarkEnd w:id="55"/>
      <w:bookmarkEnd w:id="56"/>
      <w:r>
        <w:rPr>
          <w:rFonts w:hint="eastAsia" w:ascii="宋体" w:hAnsi="宋体" w:eastAsia="宋体" w:cs="宋体"/>
          <w:b/>
          <w:bCs/>
          <w:color w:val="auto"/>
          <w:sz w:val="22"/>
          <w:szCs w:val="21"/>
          <w:highlight w:val="none"/>
          <w:lang w:val="en-US"/>
        </w:rPr>
        <w:t>拟采购标的需要满足的技术、商务要求</w:t>
      </w:r>
    </w:p>
    <w:p w14:paraId="7FBFA10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（一）技术要求</w:t>
      </w:r>
    </w:p>
    <w:p w14:paraId="78DAE9DF">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1.总体施工要求：</w:t>
      </w:r>
    </w:p>
    <w:p w14:paraId="6929B5E5">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(1)供应商须在投标前充分踏勘现场，理解现状，对施工方案、成品保护、与现状设施的衔接负责。施工期间必须确保校园安全与正常秩序，做到文明施工、绿色施工。</w:t>
      </w:r>
    </w:p>
    <w:p w14:paraId="4D4D734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(2)所有拆除物、施工垃圾必须日产日清，无条件运出校园至地方政府指定的合法消纳场所，相关费用已包含在报价中。</w:t>
      </w:r>
    </w:p>
    <w:p w14:paraId="0D2B1E0E">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(3)隐蔽工程（如管线敷设、防水层）在覆盖前必须经采购人现场验收并签字确认。</w:t>
      </w:r>
    </w:p>
    <w:p w14:paraId="29ED834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2.关键材料与设备性能要求（品牌推荐档次）：</w:t>
      </w:r>
    </w:p>
    <w:p w14:paraId="103A4A8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本要求为保障工程品质的最低标准，供应商可选用同等或更高档次的知名品牌</w:t>
      </w:r>
      <w:r>
        <w:rPr>
          <w:rFonts w:hint="eastAsia" w:ascii="宋体" w:hAnsi="宋体" w:eastAsia="宋体" w:cs="宋体"/>
          <w:color w:val="auto"/>
          <w:szCs w:val="21"/>
          <w:highlight w:val="none"/>
          <w:lang w:eastAsia="zh-CN"/>
        </w:rPr>
        <w:t>，投标人须在投标文件中提供《主要材料品牌响应承诺书》并明确所选用的主材品牌</w:t>
      </w:r>
      <w:r>
        <w:rPr>
          <w:rFonts w:hint="eastAsia" w:ascii="宋体" w:hAnsi="宋体" w:eastAsia="宋体" w:cs="宋体"/>
          <w:color w:val="auto"/>
          <w:szCs w:val="21"/>
          <w:highlight w:val="none"/>
        </w:rPr>
        <w:t>。</w:t>
      </w:r>
    </w:p>
    <w:p w14:paraId="3FA3C12F">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(1)铝板材料： </w:t>
      </w:r>
    </w:p>
    <w:p w14:paraId="7D92CAF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①氟碳滚涂铝复合板/铝单板：七色SEVEN、方大FANGDA、华尔泰HUAERTAI等品牌及以上档次。</w:t>
      </w:r>
    </w:p>
    <w:p w14:paraId="17DB785E">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②铝方通：林德纳Lindner、金霸GKS、成功Daiichi等品牌及以上档次。</w:t>
      </w:r>
    </w:p>
    <w:p w14:paraId="235D09F0">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(2)涂料： </w:t>
      </w:r>
    </w:p>
    <w:p w14:paraId="6BCC2B5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①内墙及天棚乳胶漆、深色涂料需为多乐士、立邦、三棵树等品牌及以上档次的中高端环保系列产品。</w:t>
      </w:r>
    </w:p>
    <w:p w14:paraId="1F06595C">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②外墙真石漆需为立邦、SKK、零度等品牌及以上档次。</w:t>
      </w:r>
    </w:p>
    <w:p w14:paraId="2DFE7FC1">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(3)瓷砖：室内外釉面防滑砖需为马可波罗、东鹏、蒙娜丽莎等品牌及以上档次的优等品，湿态摩擦系数≥0.6。</w:t>
      </w:r>
    </w:p>
    <w:p w14:paraId="1CB2676F">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(4)电气材料： </w:t>
      </w:r>
    </w:p>
    <w:p w14:paraId="1F14B7C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①电线：WDZ-BYJ系列需为远东、江南、宝胜等品牌国标线。</w:t>
      </w:r>
    </w:p>
    <w:p w14:paraId="49995CD5">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②线管：JDG管需为伟星、金牛、联塑等品牌及以上档次。</w:t>
      </w:r>
    </w:p>
    <w:p w14:paraId="0F91A7F2">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③灯具：LED长条灯、线性灯带光源需为飞利浦、欧普、雷士照明等品牌。</w:t>
      </w:r>
    </w:p>
    <w:p w14:paraId="4E43E993">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④开关：四联、双联、单联扳式开关需为西门子、施耐德、公牛等品牌及以上档次的阻燃PC材质产品。</w:t>
      </w:r>
    </w:p>
    <w:p w14:paraId="42B9A62B">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(5)门窗：钢制单开门、铝合金平开门、玻璃幕墙等品牌要求如下。</w:t>
      </w:r>
    </w:p>
    <w:p w14:paraId="3DF368A6">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①铝合金型材：凤铝、坚美、兴发</w:t>
      </w:r>
      <w:r>
        <w:rPr>
          <w:rFonts w:hint="eastAsia" w:ascii="宋体" w:hAnsi="宋体" w:eastAsia="宋体" w:cs="宋体"/>
          <w:color w:val="auto"/>
          <w:szCs w:val="21"/>
          <w:highlight w:val="none"/>
        </w:rPr>
        <w:t>等品牌及以上档次</w:t>
      </w:r>
      <w:r>
        <w:rPr>
          <w:rFonts w:hint="eastAsia" w:ascii="宋体" w:hAnsi="宋体" w:eastAsia="宋体" w:cs="宋体"/>
          <w:color w:val="auto"/>
          <w:szCs w:val="21"/>
          <w:highlight w:val="none"/>
        </w:rPr>
        <w:t>。</w:t>
      </w:r>
    </w:p>
    <w:p w14:paraId="2928A5DD">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②玻璃：台玻、南玻、信义</w:t>
      </w:r>
      <w:r>
        <w:rPr>
          <w:rFonts w:hint="eastAsia" w:ascii="宋体" w:hAnsi="宋体" w:eastAsia="宋体" w:cs="宋体"/>
          <w:color w:val="auto"/>
          <w:szCs w:val="21"/>
          <w:highlight w:val="none"/>
        </w:rPr>
        <w:t>等品牌及以上档次</w:t>
      </w:r>
      <w:r>
        <w:rPr>
          <w:rFonts w:hint="eastAsia" w:ascii="宋体" w:hAnsi="宋体" w:eastAsia="宋体" w:cs="宋体"/>
          <w:color w:val="auto"/>
          <w:szCs w:val="21"/>
          <w:highlight w:val="none"/>
        </w:rPr>
        <w:t>。</w:t>
      </w:r>
    </w:p>
    <w:p w14:paraId="75E85B0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3.验收与测试要求：</w:t>
      </w:r>
    </w:p>
    <w:p w14:paraId="05B3FBF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(1)电气线路必须进行绝缘电阻测试、接地电阻测试，并确保全部灯具、插座通电运行正常。</w:t>
      </w:r>
    </w:p>
    <w:p w14:paraId="03269B75">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(2)最终交付前，供应商须完成全面的清洁保洁，确保现场无施工遗留物、门窗洁具光亮、地面整洁。</w:t>
      </w:r>
    </w:p>
    <w:p w14:paraId="6B963EE2">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（二）商务要求</w:t>
      </w:r>
    </w:p>
    <w:p w14:paraId="6BC17AC9">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1.报价与合同形式：</w:t>
      </w:r>
    </w:p>
    <w:p w14:paraId="19D0D9CF">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(1)本项目采用“固定综合单价包干”合同。供应商须以招标/采购文件所附《工程量清单》为基础，填报每一清单子项的综合单价及合价。总报价为各子项合价之和。</w:t>
      </w:r>
    </w:p>
    <w:p w14:paraId="7758DF8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(2)综合单价应完全覆盖完成该清单项目所需的全部成本、利润、税金、风险及“项目特征描述”中明确的所有辅助工作。以“项”为计量单位的为固定总价包干项目，结算时不因任何原因调整。</w:t>
      </w:r>
    </w:p>
    <w:p w14:paraId="04C5A70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(3)投标人可根据工程实际</w:t>
      </w:r>
      <w:r>
        <w:rPr>
          <w:rFonts w:hint="eastAsia" w:ascii="宋体" w:hAnsi="宋体" w:eastAsia="宋体" w:cs="宋体"/>
          <w:color w:val="auto"/>
          <w:szCs w:val="21"/>
          <w:highlight w:val="none"/>
        </w:rPr>
        <w:t>与施工组织设计自行编列或增补措施项目</w:t>
      </w:r>
      <w:r>
        <w:rPr>
          <w:rFonts w:hint="eastAsia" w:ascii="宋体" w:hAnsi="宋体" w:eastAsia="宋体" w:cs="宋体"/>
          <w:color w:val="auto"/>
          <w:szCs w:val="21"/>
          <w:highlight w:val="none"/>
        </w:rPr>
        <w:t>，但不应更改招标人已列措施项目。结算时，承包人不得以招标工程措施项目清单缺项为由要求增加措施费用。</w:t>
      </w:r>
    </w:p>
    <w:p w14:paraId="65CAD91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(4)结算价款按实际完成并经双方确认的合格工程量乘以中标综合单价计算。</w:t>
      </w:r>
    </w:p>
    <w:p w14:paraId="1954630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本项目按工程量清单计价模式进行计价。供应商按照采购文件附件《工程量清单》要求报价。</w:t>
      </w:r>
    </w:p>
    <w:p w14:paraId="607AC25F">
      <w:pPr>
        <w:spacing w:line="360" w:lineRule="auto"/>
        <w:ind w:firstLine="420"/>
        <w:rPr>
          <w:rFonts w:ascii="宋体" w:hAnsi="宋体" w:eastAsia="宋体" w:cs="宋体"/>
          <w:b/>
          <w:color w:val="auto"/>
          <w:szCs w:val="21"/>
          <w:highlight w:val="none"/>
          <w:lang w:val="zh-CN"/>
        </w:rPr>
      </w:pPr>
      <w:r>
        <w:rPr>
          <w:rFonts w:hint="eastAsia" w:ascii="宋体" w:hAnsi="宋体" w:eastAsia="宋体" w:cs="宋体"/>
          <w:bCs/>
          <w:color w:val="auto"/>
          <w:szCs w:val="21"/>
          <w:highlight w:val="none"/>
          <w:lang w:val="en-US" w:eastAsia="zh-CN"/>
        </w:rPr>
        <w:t>（四）</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zh-CN"/>
        </w:rPr>
        <w:t>本项目执行财库〔2026〕2号《关于推动解决政府采购异常低价问题相关工作的通知》的相关规定。</w:t>
      </w:r>
    </w:p>
    <w:p w14:paraId="10B5B224">
      <w:pPr>
        <w:spacing w:line="360" w:lineRule="auto"/>
        <w:ind w:firstLine="420"/>
        <w:rPr>
          <w:rFonts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.1 评审中出现下列情形之一的，评审委员会应当启动异常低价投标（响应）审查程序： </w:t>
      </w:r>
    </w:p>
    <w:p w14:paraId="4F4BEE53">
      <w:pPr>
        <w:spacing w:line="360" w:lineRule="auto"/>
        <w:ind w:firstLine="420"/>
        <w:rPr>
          <w:rFonts w:ascii="宋体" w:hAnsi="宋体" w:eastAsia="宋体" w:cs="宋体"/>
          <w:bCs/>
          <w:color w:val="auto"/>
          <w:szCs w:val="21"/>
          <w:highlight w:val="none"/>
        </w:rPr>
      </w:pPr>
      <w:r>
        <w:rPr>
          <w:rFonts w:hint="eastAsia" w:ascii="宋体" w:hAnsi="宋体" w:eastAsia="宋体" w:cs="宋体"/>
          <w:bCs/>
          <w:color w:val="auto"/>
          <w:szCs w:val="21"/>
          <w:highlight w:val="none"/>
        </w:rPr>
        <w:t>（1）投标（响应）报价低于全部通过符合性审查供应商投标（响应）报价平均值50%的，即投标（响应）报价&lt;全部通过符合性审查供应商投标（响应）报价平均值×50%； </w:t>
      </w:r>
    </w:p>
    <w:p w14:paraId="7302980C">
      <w:pPr>
        <w:spacing w:line="360" w:lineRule="auto"/>
        <w:ind w:firstLine="420"/>
        <w:rPr>
          <w:rFonts w:ascii="宋体" w:hAnsi="宋体" w:eastAsia="宋体" w:cs="宋体"/>
          <w:bCs/>
          <w:color w:val="auto"/>
          <w:szCs w:val="21"/>
          <w:highlight w:val="none"/>
        </w:rPr>
      </w:pPr>
      <w:r>
        <w:rPr>
          <w:rFonts w:hint="eastAsia" w:ascii="宋体" w:hAnsi="宋体" w:eastAsia="宋体" w:cs="宋体"/>
          <w:bCs/>
          <w:color w:val="auto"/>
          <w:szCs w:val="21"/>
          <w:highlight w:val="none"/>
        </w:rPr>
        <w:t>（2）投标（响应）报价低于通过符合性审查的次低报价供应商投标（响应）报价50%的，即投标（响应）报价&lt;通过符合性审查的次低报价供应商投标（响应）报价×50%； </w:t>
      </w:r>
    </w:p>
    <w:p w14:paraId="2AB5296C">
      <w:pPr>
        <w:spacing w:line="360" w:lineRule="auto"/>
        <w:ind w:firstLine="420"/>
        <w:rPr>
          <w:rFonts w:ascii="宋体" w:hAnsi="宋体" w:eastAsia="宋体" w:cs="宋体"/>
          <w:bCs/>
          <w:color w:val="auto"/>
          <w:szCs w:val="21"/>
          <w:highlight w:val="none"/>
        </w:rPr>
      </w:pPr>
      <w:r>
        <w:rPr>
          <w:rFonts w:hint="eastAsia" w:ascii="宋体" w:hAnsi="宋体" w:eastAsia="宋体" w:cs="宋体"/>
          <w:bCs/>
          <w:color w:val="auto"/>
          <w:szCs w:val="21"/>
          <w:highlight w:val="none"/>
        </w:rPr>
        <w:t>（3）投标（响应）报价低于采购项目最高限价</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5%的，即投标（响应）报价&lt;采购项目最高限价×</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5%； </w:t>
      </w:r>
    </w:p>
    <w:p w14:paraId="485EE2EF">
      <w:pPr>
        <w:spacing w:line="360" w:lineRule="auto"/>
        <w:ind w:firstLine="420"/>
        <w:rPr>
          <w:rFonts w:ascii="宋体" w:hAnsi="宋体" w:eastAsia="宋体" w:cs="宋体"/>
          <w:bCs/>
          <w:color w:val="auto"/>
          <w:szCs w:val="21"/>
          <w:highlight w:val="none"/>
        </w:rPr>
      </w:pPr>
      <w:r>
        <w:rPr>
          <w:rFonts w:hint="eastAsia" w:ascii="宋体" w:hAnsi="宋体" w:eastAsia="宋体" w:cs="宋体"/>
          <w:bCs/>
          <w:color w:val="auto"/>
          <w:szCs w:val="21"/>
          <w:highlight w:val="none"/>
        </w:rPr>
        <w:t>（4）评审委员会基于专业判断，认为供应商报价过低，有可能影响产品质量或者不能诚信履约的其他情形。 </w:t>
      </w:r>
    </w:p>
    <w:p w14:paraId="418B3C5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相关法律法规对供应商报价有规定的，从其规定。</w:t>
      </w:r>
    </w:p>
    <w:p w14:paraId="5058B52C">
      <w:pPr>
        <w:pStyle w:val="742"/>
        <w:spacing w:before="0" w:after="0" w:line="360" w:lineRule="auto"/>
        <w:ind w:left="0" w:firstLine="0"/>
        <w:rPr>
          <w:rFonts w:ascii="宋体" w:hAnsi="宋体" w:eastAsia="宋体" w:cs="宋体"/>
          <w:b/>
          <w:bCs/>
          <w:color w:val="auto"/>
          <w:sz w:val="22"/>
          <w:szCs w:val="21"/>
          <w:highlight w:val="none"/>
          <w:lang w:val="en-US"/>
        </w:rPr>
      </w:pPr>
      <w:bookmarkStart w:id="57" w:name="_Toc662"/>
      <w:r>
        <w:rPr>
          <w:rFonts w:hint="eastAsia" w:ascii="宋体" w:hAnsi="宋体" w:eastAsia="宋体" w:cs="宋体"/>
          <w:b/>
          <w:bCs/>
          <w:color w:val="auto"/>
          <w:sz w:val="22"/>
          <w:szCs w:val="21"/>
          <w:highlight w:val="none"/>
          <w:lang w:val="en-US"/>
        </w:rPr>
        <w:t>四、项目应遵循的标准</w:t>
      </w:r>
    </w:p>
    <w:p w14:paraId="2C6B9691">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供应商为完成本项目所提供的一切产品、材料、施工工艺及最终成果，必须全部符合但不限于以下中华人民共和国现行有效的标准、规范和图集（如标准有更新，以最新版本为准）：</w:t>
      </w:r>
    </w:p>
    <w:p w14:paraId="54CF7FB7">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1、通用质量与安全标准：</w:t>
      </w:r>
    </w:p>
    <w:p w14:paraId="5FD96764">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（1）《建筑工程施工质量验收统一标准》（GB 50300）</w:t>
      </w:r>
    </w:p>
    <w:p w14:paraId="3CCC72A0">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（2）《建设工程项目管理规范》（GB/T 50326）</w:t>
      </w:r>
    </w:p>
    <w:p w14:paraId="2A4E0808">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（3）《建筑施工安全技术统一规范》（GB 50870）</w:t>
      </w:r>
    </w:p>
    <w:p w14:paraId="099F8ED8">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（4）《建筑内部装修设计防火规范》（GB 50222）</w:t>
      </w:r>
    </w:p>
    <w:p w14:paraId="3E395DD7">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（5）《民用建筑工程室内环境污染控制标准》（GB 50325）</w:t>
      </w:r>
    </w:p>
    <w:p w14:paraId="252444E8">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2、主要材料与施工技术标准：</w:t>
      </w:r>
    </w:p>
    <w:p w14:paraId="279F9C4C">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2.1装饰装修：</w:t>
      </w:r>
    </w:p>
    <w:p w14:paraId="7F6990D8">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（1）《建筑装饰装修工程质量验收标准》（GB 50210）</w:t>
      </w:r>
    </w:p>
    <w:p w14:paraId="6BC21354">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（2）《住宅装饰装修工程施工规范》（GB 50327）</w:t>
      </w:r>
    </w:p>
    <w:p w14:paraId="1E51F13B">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（3）《室内装饰装修材料有害物质限量》系列国家标准（GB 18580-18588等）</w:t>
      </w:r>
    </w:p>
    <w:p w14:paraId="47407EF5">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2.2防水工程：</w:t>
      </w:r>
    </w:p>
    <w:p w14:paraId="46A4FFCF">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（1）《屋面工程质量验收规范》（GB 50207）</w:t>
      </w:r>
    </w:p>
    <w:p w14:paraId="4EC111AF">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（2）《地下防水工程质量验收规范》（GB 50208）</w:t>
      </w:r>
    </w:p>
    <w:p w14:paraId="5DCB2B50">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2.3电气工程：</w:t>
      </w:r>
    </w:p>
    <w:p w14:paraId="4138A319">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（1）《建筑电气工程施工质量验收规范》（GB 50303）</w:t>
      </w:r>
    </w:p>
    <w:p w14:paraId="3FABA1FC">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（2）《低压配电设计规范》（GB 50054）</w:t>
      </w:r>
    </w:p>
    <w:p w14:paraId="6729043E">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（3）《民用建筑电气设计标准》（GB 51348）</w:t>
      </w:r>
    </w:p>
    <w:p w14:paraId="4846AFF2">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2.4给排水工程：</w:t>
      </w:r>
    </w:p>
    <w:p w14:paraId="3FB03550">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（1）《建筑给水排水及采暖工程施工质量验收规范》（GB 50242）</w:t>
      </w:r>
    </w:p>
    <w:p w14:paraId="66279604">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（2）《给水排水管道工程施工及验收规范》（GB 50268）</w:t>
      </w:r>
    </w:p>
    <w:p w14:paraId="4CD3715B">
      <w:pPr>
        <w:spacing w:line="360" w:lineRule="auto"/>
        <w:ind w:firstLine="420"/>
        <w:rPr>
          <w:rFonts w:ascii="宋体" w:hAnsi="宋体" w:eastAsia="宋体" w:cs="宋体"/>
          <w:b/>
          <w:bCs/>
          <w:color w:val="auto"/>
          <w:sz w:val="22"/>
          <w:szCs w:val="21"/>
          <w:highlight w:val="none"/>
        </w:rPr>
      </w:pPr>
      <w:r>
        <w:rPr>
          <w:rFonts w:hint="eastAsia" w:ascii="宋体" w:hAnsi="宋体" w:eastAsia="宋体" w:cs="宋体"/>
          <w:color w:val="auto"/>
          <w:szCs w:val="21"/>
          <w:highlight w:val="none"/>
        </w:rPr>
        <w:t>3、引用图集：供应商应参考并执行工程量清单“项目特征描述”中提及的相关国家建筑标准设计图集。</w:t>
      </w:r>
    </w:p>
    <w:p w14:paraId="6C212640">
      <w:pPr>
        <w:pStyle w:val="742"/>
        <w:spacing w:before="0" w:after="0" w:line="360" w:lineRule="auto"/>
        <w:ind w:left="0" w:firstLine="0"/>
        <w:rPr>
          <w:rFonts w:ascii="宋体" w:hAnsi="宋体" w:eastAsia="宋体" w:cs="宋体"/>
          <w:b/>
          <w:bCs/>
          <w:color w:val="auto"/>
          <w:sz w:val="22"/>
          <w:szCs w:val="21"/>
          <w:highlight w:val="none"/>
          <w:lang w:val="en-US"/>
        </w:rPr>
      </w:pPr>
      <w:r>
        <w:rPr>
          <w:rFonts w:hint="eastAsia" w:ascii="宋体" w:hAnsi="宋体" w:eastAsia="宋体" w:cs="宋体"/>
          <w:b/>
          <w:bCs/>
          <w:color w:val="auto"/>
          <w:sz w:val="22"/>
          <w:szCs w:val="21"/>
          <w:highlight w:val="none"/>
          <w:lang w:val="en-US"/>
        </w:rPr>
        <w:t>五、施工要求</w:t>
      </w:r>
      <w:bookmarkEnd w:id="57"/>
    </w:p>
    <w:p w14:paraId="6C7615ED">
      <w:pPr>
        <w:spacing w:line="360" w:lineRule="auto"/>
        <w:ind w:firstLine="480" w:firstLineChars="200"/>
        <w:rPr>
          <w:color w:val="auto"/>
          <w:highlight w:val="none"/>
        </w:rPr>
      </w:pPr>
      <w:r>
        <w:rPr>
          <w:rFonts w:hint="eastAsia" w:ascii="宋体" w:hAnsi="宋体" w:eastAsia="宋体" w:cs="宋体"/>
          <w:color w:val="auto"/>
          <w:szCs w:val="21"/>
          <w:highlight w:val="none"/>
          <w:shd w:val="clear" w:color="auto" w:fill="FFFFFF"/>
        </w:rPr>
        <w:t>1.</w:t>
      </w:r>
      <w:r>
        <w:rPr>
          <w:rFonts w:hint="eastAsia"/>
          <w:color w:val="auto"/>
          <w:highlight w:val="none"/>
        </w:rPr>
        <w:t>供应商</w:t>
      </w:r>
      <w:r>
        <w:rPr>
          <w:rFonts w:hint="eastAsia"/>
          <w:color w:val="auto"/>
          <w:highlight w:val="none"/>
          <w:lang w:val="en-US" w:eastAsia="zh-CN"/>
        </w:rPr>
        <w:t>应</w:t>
      </w:r>
      <w:r>
        <w:rPr>
          <w:rFonts w:hint="eastAsia"/>
          <w:color w:val="auto"/>
          <w:highlight w:val="none"/>
        </w:rPr>
        <w:t>在投标前充分踏勘现场，理解现状，对施工方案、成品保护、与现状设施的衔接负责。施工期间必须确保校园安全与正常秩序，做到文明施工、绿色施工。</w:t>
      </w:r>
    </w:p>
    <w:p w14:paraId="41DD1714">
      <w:pPr>
        <w:spacing w:line="360" w:lineRule="auto"/>
        <w:ind w:firstLine="480" w:firstLineChars="200"/>
        <w:rPr>
          <w:rFonts w:ascii="宋体" w:hAnsi="宋体" w:eastAsia="宋体" w:cs="宋体"/>
          <w:color w:val="auto"/>
          <w:szCs w:val="21"/>
          <w:highlight w:val="none"/>
          <w:shd w:val="clear" w:color="auto" w:fill="FFFFFF"/>
        </w:rPr>
      </w:pPr>
      <w:r>
        <w:rPr>
          <w:rFonts w:hint="eastAsia"/>
          <w:color w:val="auto"/>
          <w:highlight w:val="none"/>
        </w:rPr>
        <w:t>2.</w:t>
      </w:r>
      <w:r>
        <w:rPr>
          <w:rFonts w:hint="eastAsia" w:ascii="宋体" w:hAnsi="宋体" w:eastAsia="宋体" w:cs="宋体"/>
          <w:color w:val="auto"/>
          <w:szCs w:val="21"/>
          <w:highlight w:val="none"/>
          <w:shd w:val="clear" w:color="auto" w:fill="FFFFFF"/>
        </w:rPr>
        <w:t>施工垃圾及时清运</w:t>
      </w:r>
      <w:r>
        <w:rPr>
          <w:rFonts w:hint="eastAsia"/>
          <w:color w:val="auto"/>
          <w:highlight w:val="none"/>
        </w:rPr>
        <w:t>日产日清</w:t>
      </w:r>
      <w:r>
        <w:rPr>
          <w:rFonts w:hint="eastAsia" w:ascii="宋体" w:hAnsi="宋体" w:eastAsia="宋体" w:cs="宋体"/>
          <w:color w:val="auto"/>
          <w:szCs w:val="21"/>
          <w:highlight w:val="none"/>
          <w:shd w:val="clear" w:color="auto" w:fill="FFFFFF"/>
        </w:rPr>
        <w:t>，</w:t>
      </w:r>
      <w:r>
        <w:rPr>
          <w:rFonts w:hint="eastAsia"/>
          <w:color w:val="auto"/>
          <w:highlight w:val="none"/>
        </w:rPr>
        <w:t>无条件运出校园至地方政府指定的合法消纳场所，</w:t>
      </w:r>
      <w:r>
        <w:rPr>
          <w:rFonts w:hint="eastAsia" w:ascii="宋体" w:hAnsi="宋体" w:eastAsia="宋体" w:cs="宋体"/>
          <w:color w:val="auto"/>
          <w:szCs w:val="21"/>
          <w:highlight w:val="none"/>
          <w:shd w:val="clear" w:color="auto" w:fill="FFFFFF"/>
        </w:rPr>
        <w:t>清运手续、费用由施工方自行解决</w:t>
      </w:r>
      <w:r>
        <w:rPr>
          <w:rFonts w:hint="eastAsia"/>
          <w:color w:val="auto"/>
          <w:highlight w:val="none"/>
        </w:rPr>
        <w:t>。</w:t>
      </w:r>
    </w:p>
    <w:p w14:paraId="7686BB83">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r>
        <w:rPr>
          <w:rFonts w:hint="eastAsia" w:ascii="宋体" w:hAnsi="宋体" w:eastAsia="宋体" w:cs="宋体"/>
          <w:color w:val="auto"/>
          <w:szCs w:val="21"/>
          <w:highlight w:val="none"/>
          <w:shd w:val="clear" w:color="auto" w:fill="FFFFFF"/>
        </w:rPr>
        <w:t>.施工单位所提供的施工材料必须符合国家质量检测、环境、安全等有关标准，否则即使成交，采购人和采购代理机构有权取消合同，拒绝接受所供货物，拒绝支付款项，并承担给采购人造成的相应的损失。</w:t>
      </w:r>
    </w:p>
    <w:p w14:paraId="7BDB574A">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项目经理每天不少于8小时，每周不少于5天在本工程现场工作；如发现项目经理一周内有两天以上不在现场，或者一周内在现场工作时间累计少于40小时，则视为成交供应商违约，应按2000元/次支付违约金，且采购人有权就此行为向有关部门和单位投诉。</w:t>
      </w:r>
    </w:p>
    <w:p w14:paraId="2464A654">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4．成交供应商应按约定的时间和要求，完成以下工作：</w:t>
      </w:r>
    </w:p>
    <w:p w14:paraId="4E7CAE05">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（1）施工安全保卫工作及夜间施工照明由施工单位全权组织并负责实施。</w:t>
      </w:r>
    </w:p>
    <w:p w14:paraId="4F8D8839">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（2）成交供应商负责办理有关施工场地交通、环卫和施工噪音管理等各项手续、费用自理。</w:t>
      </w:r>
    </w:p>
    <w:p w14:paraId="03F32E46">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（3）工程涉及市政、市容、环保、交通、防火、劳动保护及施工质量、安全等发生的费用均由成交供应商承担。发生安全事故，责任由成交供应商负责。</w:t>
      </w:r>
    </w:p>
    <w:p w14:paraId="0A53598D">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5．工程质量必须达到《建筑工程施工质量验收统一标准》（GB 50300-2001）的规定。</w:t>
      </w:r>
    </w:p>
    <w:p w14:paraId="67C9F25C">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6．隐蔽工程和中间验收：凡隐蔽工程进行中间验收，各分部分项工程结束后进行验收。</w:t>
      </w:r>
    </w:p>
    <w:p w14:paraId="4F63AA13">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7．材料设备供应：材料设备必须有合格证，其中开关、电器、控制柜、电力电缆、消防器材等主材采购时，必须要经采购人验收，否则采购人有权拒绝支付材料设备款。</w:t>
      </w:r>
    </w:p>
    <w:p w14:paraId="507F6DF0">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8.验收与测试要求：电气线路必须进行绝缘电阻测试、接地电阻测试，并确保全部灯具、插座通电运行正常。</w:t>
      </w:r>
    </w:p>
    <w:p w14:paraId="18DF2E49">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cs="宋体"/>
          <w:color w:val="auto"/>
          <w:szCs w:val="21"/>
          <w:highlight w:val="none"/>
          <w:shd w:val="clear" w:color="auto" w:fill="FFFFFF"/>
        </w:rPr>
        <w:t>9</w:t>
      </w:r>
      <w:r>
        <w:rPr>
          <w:rFonts w:hint="eastAsia" w:ascii="宋体" w:hAnsi="宋体" w:eastAsia="宋体" w:cs="宋体"/>
          <w:color w:val="auto"/>
          <w:szCs w:val="21"/>
          <w:highlight w:val="none"/>
          <w:shd w:val="clear" w:color="auto" w:fill="FFFFFF"/>
        </w:rPr>
        <w:t>．工程变更：</w:t>
      </w:r>
    </w:p>
    <w:p w14:paraId="315170DC">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（1）现场签证必须有采购方现场负责人签字确认方为有效。</w:t>
      </w:r>
    </w:p>
    <w:p w14:paraId="424F73B2">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（2）成交供应商不得对原有工程设计进行变更，因成交供应商自身原因导致的工程变更，成交供应商无权要求追加合同价款的签证，并承担由此给采购方带来的一切损失。</w:t>
      </w:r>
    </w:p>
    <w:p w14:paraId="6F70E171">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（3）因工程设计变更引起的工程量增减，且符合价款调整条件的，必须在5日内将量、价申请报告报采购方现场负责人核准、审查确认，如出现逾期不报将视同优惠，任何后补签证的请求将受到采购方的拒绝。</w:t>
      </w:r>
    </w:p>
    <w:p w14:paraId="257404C7">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（4）因工程设计变更及工程量增加，成交供应商不得申请顺延工期。</w:t>
      </w:r>
    </w:p>
    <w:p w14:paraId="58C26DF8">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 xml:space="preserve"> 9．竣工验收前成交供应商提供</w:t>
      </w:r>
      <w:r>
        <w:rPr>
          <w:rFonts w:hint="eastAsia" w:ascii="宋体" w:hAnsi="宋体" w:eastAsia="宋体" w:cs="宋体"/>
          <w:color w:val="auto"/>
          <w:szCs w:val="21"/>
          <w:highlight w:val="none"/>
          <w:shd w:val="clear" w:color="auto" w:fill="FFFFFF"/>
        </w:rPr>
        <w:t>竣工图</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套</w:t>
      </w:r>
      <w:r>
        <w:rPr>
          <w:rFonts w:hint="eastAsia" w:ascii="宋体" w:hAnsi="宋体" w:eastAsia="宋体" w:cs="宋体"/>
          <w:color w:val="auto"/>
          <w:szCs w:val="21"/>
          <w:highlight w:val="none"/>
          <w:shd w:val="clear" w:color="auto" w:fill="FFFFFF"/>
        </w:rPr>
        <w:t>。详细的竣工图纸及相应标识作为验收的重要依据。</w:t>
      </w:r>
    </w:p>
    <w:p w14:paraId="22DB1ECC">
      <w:pPr>
        <w:widowControl/>
        <w:shd w:val="clear" w:color="auto" w:fill="FFFFFF"/>
        <w:spacing w:line="360" w:lineRule="auto"/>
        <w:ind w:firstLine="42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10．</w:t>
      </w:r>
      <w:r>
        <w:rPr>
          <w:rFonts w:hint="eastAsia" w:ascii="宋体" w:hAnsi="宋体" w:eastAsia="宋体" w:cs="宋体"/>
          <w:color w:val="auto"/>
          <w:szCs w:val="21"/>
          <w:highlight w:val="none"/>
          <w:shd w:val="clear" w:color="auto" w:fill="FFFFFF"/>
        </w:rPr>
        <w:t>最终交付前，供应商须完成全面的清洁保洁，确保现场无施工遗留物、门窗洁具光亮、地面整洁。</w:t>
      </w:r>
      <w:r>
        <w:rPr>
          <w:rFonts w:hint="eastAsia" w:ascii="宋体" w:hAnsi="宋体" w:eastAsia="宋体" w:cs="宋体"/>
          <w:color w:val="auto"/>
          <w:szCs w:val="21"/>
          <w:highlight w:val="none"/>
          <w:shd w:val="clear" w:color="auto" w:fill="FFFFFF"/>
        </w:rPr>
        <w:t>在合同约定的完工时间通过验收并办理相关手续，并向采购人交齐所有合格的竣工资料，如因成交供应商原因影响竣工验收或导致不能通过验收，则应赔偿采购人损失。</w:t>
      </w:r>
    </w:p>
    <w:p w14:paraId="2077C82C">
      <w:pPr>
        <w:spacing w:line="360" w:lineRule="auto"/>
        <w:ind w:firstLine="420"/>
        <w:rPr>
          <w:rFonts w:ascii="宋体" w:hAnsi="宋体" w:cs="宋体"/>
          <w:b/>
          <w:color w:val="auto"/>
          <w:szCs w:val="21"/>
          <w:highlight w:val="none"/>
        </w:rPr>
      </w:pPr>
      <w:r>
        <w:rPr>
          <w:rFonts w:hint="eastAsia" w:ascii="宋体" w:hAnsi="宋体" w:cs="宋体"/>
          <w:b/>
          <w:color w:val="auto"/>
          <w:szCs w:val="21"/>
          <w:highlight w:val="none"/>
        </w:rPr>
        <w:t>六、商务要求：</w:t>
      </w:r>
    </w:p>
    <w:p w14:paraId="2BA5FFFC">
      <w:pPr>
        <w:spacing w:line="360" w:lineRule="auto"/>
        <w:ind w:firstLine="420"/>
        <w:rPr>
          <w:rFonts w:ascii="宋体" w:hAnsi="宋体" w:eastAsia="宋体" w:cs="宋体"/>
          <w:color w:val="auto"/>
          <w:szCs w:val="21"/>
          <w:highlight w:val="none"/>
          <w:shd w:val="clear" w:color="auto" w:fill="FFFFFF"/>
        </w:rPr>
      </w:pPr>
      <w:r>
        <w:rPr>
          <w:rFonts w:hint="eastAsia" w:ascii="宋体" w:hAnsi="宋体" w:cs="宋体"/>
          <w:bCs/>
          <w:color w:val="auto"/>
          <w:szCs w:val="21"/>
          <w:highlight w:val="none"/>
        </w:rPr>
        <w:t>1.工期要求：</w:t>
      </w:r>
      <w:r>
        <w:rPr>
          <w:rFonts w:hint="eastAsia" w:ascii="宋体" w:hAnsi="宋体" w:eastAsia="宋体" w:cs="宋体"/>
          <w:color w:val="auto"/>
          <w:szCs w:val="21"/>
          <w:highlight w:val="none"/>
          <w:shd w:val="clear" w:color="auto" w:fill="FFFFFF"/>
        </w:rPr>
        <w:t>项目工期：35个日历天。开工日期以采购人书面通知为准。</w:t>
      </w:r>
    </w:p>
    <w:p w14:paraId="6C92D240">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关键节点工期（供应商承诺）：供应商应在投标文件中，详细提交其《项目实施进度计划表》及《节点工期承诺书》。</w:t>
      </w:r>
      <w:r>
        <w:rPr>
          <w:rFonts w:hint="eastAsia" w:ascii="宋体" w:hAnsi="宋体" w:eastAsia="宋体" w:cs="宋体"/>
          <w:color w:val="auto"/>
          <w:szCs w:val="21"/>
          <w:highlight w:val="none"/>
          <w:shd w:val="clear" w:color="auto" w:fill="FFFFFF"/>
        </w:rPr>
        <w:t>中标后，经采购人确认，将作为合同附件，具有同等法律效力。计划表与承诺书中必须至少包含以下不可变更的关键节点及完成日期：</w:t>
      </w:r>
    </w:p>
    <w:p w14:paraId="704B19A6">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节点一（20%完成）：在接到采购人开工通知之日起7个日历日内，至少完成合同约定工程量的20%。</w:t>
      </w:r>
    </w:p>
    <w:p w14:paraId="19C8E435">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节点二（40%进度）：在接到采购人开工通知之日起14个日历日内，至少完成合同约定工程量的40%。</w:t>
      </w:r>
    </w:p>
    <w:p w14:paraId="6D0E961C">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节点三（60%进度）：在接到采购人开工通知之日起21个日历日内，至少完成合同约定工程量的60%。</w:t>
      </w:r>
    </w:p>
    <w:p w14:paraId="299A0C68">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节点四（80%进度）：在接到采购人开工通知之日起28个日历日内，至少完成合同约定工程量的80%。</w:t>
      </w:r>
    </w:p>
    <w:p w14:paraId="5F573458">
      <w:pPr>
        <w:spacing w:line="360" w:lineRule="auto"/>
        <w:ind w:firstLine="480" w:firstLineChars="200"/>
        <w:rPr>
          <w:rFonts w:ascii="宋体" w:hAnsi="宋体" w:eastAsia="宋体" w:cs="宋体"/>
          <w:color w:val="auto"/>
          <w:szCs w:val="21"/>
          <w:highlight w:val="none"/>
          <w:shd w:val="clear" w:color="auto" w:fill="FFFFFF"/>
        </w:rPr>
      </w:pPr>
      <w:r>
        <w:rPr>
          <w:rFonts w:ascii="宋体" w:hAnsi="宋体" w:eastAsia="宋体" w:cs="宋体"/>
          <w:color w:val="auto"/>
          <w:szCs w:val="21"/>
          <w:highlight w:val="none"/>
          <w:shd w:val="clear" w:color="auto" w:fill="FFFFFF"/>
        </w:rPr>
        <w:t>节点</w:t>
      </w:r>
      <w:r>
        <w:rPr>
          <w:rFonts w:hint="eastAsia" w:ascii="宋体" w:hAnsi="宋体" w:eastAsia="宋体" w:cs="宋体"/>
          <w:color w:val="auto"/>
          <w:szCs w:val="21"/>
          <w:highlight w:val="none"/>
          <w:shd w:val="clear" w:color="auto" w:fill="FFFFFF"/>
        </w:rPr>
        <w:t>四</w:t>
      </w:r>
      <w:r>
        <w:rPr>
          <w:rFonts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rPr>
        <w:t>完工</w:t>
      </w:r>
      <w:r>
        <w:rPr>
          <w:rFonts w:ascii="宋体" w:hAnsi="宋体" w:eastAsia="宋体" w:cs="宋体"/>
          <w:color w:val="auto"/>
          <w:szCs w:val="21"/>
          <w:highlight w:val="none"/>
          <w:shd w:val="clear" w:color="auto" w:fill="FFFFFF"/>
        </w:rPr>
        <w:t>）：在接到采购人</w:t>
      </w:r>
      <w:r>
        <w:rPr>
          <w:rFonts w:hint="eastAsia" w:ascii="宋体" w:hAnsi="宋体" w:eastAsia="宋体" w:cs="宋体"/>
          <w:color w:val="auto"/>
          <w:szCs w:val="21"/>
          <w:highlight w:val="none"/>
          <w:shd w:val="clear" w:color="auto" w:fill="FFFFFF"/>
        </w:rPr>
        <w:t>安装通知之日起35个日历日内，</w:t>
      </w:r>
      <w:r>
        <w:rPr>
          <w:rFonts w:ascii="宋体" w:hAnsi="宋体" w:eastAsia="宋体" w:cs="宋体"/>
          <w:color w:val="auto"/>
          <w:szCs w:val="21"/>
          <w:highlight w:val="none"/>
          <w:shd w:val="clear" w:color="auto" w:fill="FFFFFF"/>
        </w:rPr>
        <w:t>完成</w:t>
      </w:r>
      <w:r>
        <w:rPr>
          <w:rFonts w:hint="eastAsia" w:ascii="宋体" w:hAnsi="宋体" w:eastAsia="宋体" w:cs="宋体"/>
          <w:color w:val="auto"/>
          <w:szCs w:val="21"/>
          <w:highlight w:val="none"/>
          <w:shd w:val="clear" w:color="auto" w:fill="FFFFFF"/>
        </w:rPr>
        <w:t>全部工作</w:t>
      </w:r>
      <w:r>
        <w:rPr>
          <w:rFonts w:ascii="宋体" w:hAnsi="宋体" w:eastAsia="宋体" w:cs="宋体"/>
          <w:color w:val="auto"/>
          <w:szCs w:val="21"/>
          <w:highlight w:val="none"/>
          <w:shd w:val="clear" w:color="auto" w:fill="FFFFFF"/>
        </w:rPr>
        <w:t>，达到初步验收标准，并向采购人提交《完工验收申请单》。</w:t>
      </w:r>
    </w:p>
    <w:p w14:paraId="56830FD9">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2.进度报告：供应商须每日向采购人提交书面进度报告，如实反映进度、存在的问题及次日计划。如实际进度滞后于承诺计划2个日历日及以上，必须立即书面说明原因及赶工措施。</w:t>
      </w:r>
    </w:p>
    <w:p w14:paraId="48AAB1AB">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3.进度延误的预警与违约责任</w:t>
      </w:r>
    </w:p>
    <w:p w14:paraId="20AA11ED">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3.1一般延误违约金：</w:t>
      </w:r>
    </w:p>
    <w:p w14:paraId="75562382">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若供应商未能达到其承诺的任一关键节点工期，且延误非因采购人原因或不可抗力所致，则每延误一日历日，供应商应向采购人支付合同总价款千分之二的违约金。</w:t>
      </w:r>
    </w:p>
    <w:p w14:paraId="72D8AE66">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此项违约金采购人有权从未支付的合同款项中直接抵扣，且累计总额不超过合同总价款的百分之五。</w:t>
      </w:r>
    </w:p>
    <w:p w14:paraId="45BF4AFF">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3.2进度严重滞后预警：</w:t>
      </w:r>
    </w:p>
    <w:p w14:paraId="3E8A081C">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当供应商的实际进度滞后于其承诺的计划进度超过2个日历日，或可能影响下一关键节点的实现时，采购人有权向供应商发出《进度严重滞后警告函》。</w:t>
      </w:r>
    </w:p>
    <w:p w14:paraId="7DDDDBD1">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供应商须在收到警告函后8小时内，提交详细的书面《赶工方案及保证措施》，并经采购人认可后严格执行。</w:t>
      </w:r>
    </w:p>
    <w:p w14:paraId="60E3CA14">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4.根本违约的认定与采购人单方解除权</w:t>
      </w:r>
    </w:p>
    <w:p w14:paraId="53FF1978">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出现以下情形之一，即视为供应商“根本违约”：</w:t>
      </w:r>
    </w:p>
    <w:p w14:paraId="7449BB0B">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4.1延误任一关键节点工期累计超过5个日历日；</w:t>
      </w:r>
    </w:p>
    <w:p w14:paraId="5EBFCD8E">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4.2在采购人发出《进度严重滞后警告函》后，未按时提交或未有效执行经认可的赶工方案，导致延误持续扩大；</w:t>
      </w:r>
    </w:p>
    <w:p w14:paraId="7CE4E60E">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4.3供应商明确表示或以行为表明（如无故撤场、主要人员设备离场）将无法继续履行合同；</w:t>
      </w:r>
    </w:p>
    <w:p w14:paraId="49BADE59">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4.4其延误行为已确定无疑将导致项目无法在学校开学季前交付使用，严重影响公共利益。</w:t>
      </w:r>
    </w:p>
    <w:p w14:paraId="3509C0DA">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一旦发生上述根本违约情形，采购人可行使以下权利：</w:t>
      </w:r>
    </w:p>
    <w:p w14:paraId="0951F298">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①单方解除合同：采购人有权立即书面通知供应商解除本合同，无需经过司法或仲裁程序。合同自解除通知送达供应商时起解除。</w:t>
      </w:r>
    </w:p>
    <w:p w14:paraId="3C261EF3">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②接管项目与委托第三人：</w:t>
      </w:r>
    </w:p>
    <w:p w14:paraId="14B94787">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a.采购人有权进驻现场，接管所有未完工程、库存材料及设备（仅限于为本项目采购的物资）。</w:t>
      </w:r>
    </w:p>
    <w:p w14:paraId="23CEF9A2">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b.采购人有权自行或委托任何第三方完成剩余全部或部分工作。</w:t>
      </w:r>
    </w:p>
    <w:p w14:paraId="6359044C">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c.供应商应在收到解除通知后12小时内无条件退场，并移</w:t>
      </w:r>
      <w:r>
        <w:rPr>
          <w:rFonts w:hint="eastAsia" w:ascii="宋体" w:hAnsi="宋体" w:eastAsia="宋体" w:cs="宋体"/>
          <w:color w:val="auto"/>
          <w:szCs w:val="21"/>
          <w:highlight w:val="none"/>
          <w:shd w:val="clear" w:color="auto" w:fill="FFFFFF"/>
        </w:rPr>
        <w:t>交全部工程资料。逾期不退场，采购人有权强制清场，由此产生的一切费用和损失由供应商承担。</w:t>
      </w:r>
    </w:p>
    <w:p w14:paraId="70E9A2C6">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5.合同解除后的结算与赔偿</w:t>
      </w:r>
    </w:p>
    <w:p w14:paraId="17C24FB8">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如因供应商根本违约而解除合同后，双方按以下原则清算：</w:t>
      </w:r>
    </w:p>
    <w:p w14:paraId="5E345EBD">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5.1已完成工作量的结算：采购人将组织对供应商已完成且合格的工作量进行计量计价。结算价不得超过该部分工作在合同中的对应价格。</w:t>
      </w:r>
    </w:p>
    <w:p w14:paraId="29976C79">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5.2采购人完成剩余工作的费用：采购人委托第三方完成剩余工作所支付的全部费用（包括但不限于更高的合同价格、赶工费、管理费、协调费）。</w:t>
      </w:r>
    </w:p>
    <w:p w14:paraId="48DAF94A">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5.3损失赔偿：因供应商违约给采购人造成的其他直接损失（如另行安排学生住宿的费用、对师生的赔偿、管理成本增加等）。</w:t>
      </w:r>
    </w:p>
    <w:p w14:paraId="04065105">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5.4最终支付与追偿：第1项的结算款，将用于冲抵第2项和第3项的总费用以及供应商已产生的违约金。若冲抵后仍有余额，该余额支付给供应商；若冲抵后仍有欠款，采购人有权依法向供应商进行追偿。</w:t>
      </w:r>
    </w:p>
    <w:p w14:paraId="56835115">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6.支付条件</w:t>
      </w:r>
    </w:p>
    <w:p w14:paraId="1CBF4F67">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6.1</w:t>
      </w:r>
      <w:r>
        <w:rPr>
          <w:rFonts w:ascii="宋体" w:hAnsi="宋体" w:eastAsia="宋体" w:cs="宋体"/>
          <w:color w:val="auto"/>
          <w:szCs w:val="21"/>
          <w:highlight w:val="none"/>
          <w:shd w:val="clear" w:color="auto" w:fill="FFFFFF"/>
        </w:rPr>
        <w:t>合同签订</w:t>
      </w:r>
      <w:r>
        <w:rPr>
          <w:rFonts w:hint="eastAsia" w:ascii="宋体" w:hAnsi="宋体" w:eastAsia="宋体" w:cs="宋体"/>
          <w:color w:val="auto"/>
          <w:szCs w:val="21"/>
          <w:highlight w:val="none"/>
          <w:shd w:val="clear" w:color="auto" w:fill="FFFFFF"/>
        </w:rPr>
        <w:t>、人员及材料进场后</w:t>
      </w:r>
      <w:r>
        <w:rPr>
          <w:rFonts w:ascii="宋体" w:hAnsi="宋体" w:eastAsia="宋体" w:cs="宋体"/>
          <w:color w:val="auto"/>
          <w:szCs w:val="21"/>
          <w:highlight w:val="none"/>
          <w:shd w:val="clear" w:color="auto" w:fill="FFFFFF"/>
        </w:rPr>
        <w:t>10</w:t>
      </w:r>
      <w:r>
        <w:rPr>
          <w:rFonts w:hint="eastAsia" w:ascii="宋体" w:hAnsi="宋体" w:eastAsia="宋体" w:cs="宋体"/>
          <w:color w:val="auto"/>
          <w:szCs w:val="21"/>
          <w:highlight w:val="none"/>
          <w:shd w:val="clear" w:color="auto" w:fill="FFFFFF"/>
        </w:rPr>
        <w:t>个工作日</w:t>
      </w:r>
      <w:r>
        <w:rPr>
          <w:rFonts w:ascii="宋体" w:hAnsi="宋体" w:eastAsia="宋体" w:cs="宋体"/>
          <w:color w:val="auto"/>
          <w:szCs w:val="21"/>
          <w:highlight w:val="none"/>
          <w:shd w:val="clear" w:color="auto" w:fill="FFFFFF"/>
        </w:rPr>
        <w:t>内支付合同价款的30%作为预付款。</w:t>
      </w:r>
    </w:p>
    <w:p w14:paraId="1107A24F">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6.2竣工</w:t>
      </w:r>
      <w:r>
        <w:rPr>
          <w:rFonts w:ascii="宋体" w:hAnsi="宋体" w:eastAsia="宋体" w:cs="宋体"/>
          <w:color w:val="auto"/>
          <w:szCs w:val="21"/>
          <w:highlight w:val="none"/>
          <w:shd w:val="clear" w:color="auto" w:fill="FFFFFF"/>
        </w:rPr>
        <w:t>验收合格</w:t>
      </w:r>
      <w:r>
        <w:rPr>
          <w:rFonts w:hint="eastAsia" w:ascii="宋体" w:hAnsi="宋体" w:eastAsia="宋体" w:cs="宋体"/>
          <w:color w:val="auto"/>
          <w:szCs w:val="21"/>
          <w:highlight w:val="none"/>
          <w:shd w:val="clear" w:color="auto" w:fill="FFFFFF"/>
        </w:rPr>
        <w:t>并取得竣工验收证明后3</w:t>
      </w:r>
      <w:r>
        <w:rPr>
          <w:rFonts w:ascii="宋体" w:hAnsi="宋体" w:eastAsia="宋体" w:cs="宋体"/>
          <w:color w:val="auto"/>
          <w:szCs w:val="21"/>
          <w:highlight w:val="none"/>
          <w:shd w:val="clear" w:color="auto" w:fill="FFFFFF"/>
        </w:rPr>
        <w:t>0</w:t>
      </w:r>
      <w:r>
        <w:rPr>
          <w:rFonts w:hint="eastAsia" w:ascii="宋体" w:hAnsi="宋体" w:eastAsia="宋体" w:cs="宋体"/>
          <w:color w:val="auto"/>
          <w:szCs w:val="21"/>
          <w:highlight w:val="none"/>
          <w:shd w:val="clear" w:color="auto" w:fill="FFFFFF"/>
        </w:rPr>
        <w:t>个工作</w:t>
      </w:r>
      <w:r>
        <w:rPr>
          <w:rFonts w:ascii="宋体" w:hAnsi="宋体" w:eastAsia="宋体" w:cs="宋体"/>
          <w:color w:val="auto"/>
          <w:szCs w:val="21"/>
          <w:highlight w:val="none"/>
          <w:shd w:val="clear" w:color="auto" w:fill="FFFFFF"/>
        </w:rPr>
        <w:t>日内，支付至</w:t>
      </w:r>
      <w:r>
        <w:rPr>
          <w:rFonts w:hint="eastAsia" w:ascii="宋体" w:hAnsi="宋体" w:eastAsia="宋体" w:cs="宋体"/>
          <w:color w:val="auto"/>
          <w:szCs w:val="21"/>
          <w:highlight w:val="none"/>
          <w:shd w:val="clear" w:color="auto" w:fill="FFFFFF"/>
        </w:rPr>
        <w:t>结算价款</w:t>
      </w:r>
      <w:r>
        <w:rPr>
          <w:rFonts w:ascii="宋体" w:hAnsi="宋体" w:eastAsia="宋体" w:cs="宋体"/>
          <w:color w:val="auto"/>
          <w:szCs w:val="21"/>
          <w:highlight w:val="none"/>
          <w:shd w:val="clear" w:color="auto" w:fill="FFFFFF"/>
        </w:rPr>
        <w:t>的</w:t>
      </w:r>
      <w:r>
        <w:rPr>
          <w:rFonts w:hint="eastAsia" w:ascii="宋体" w:hAnsi="宋体" w:eastAsia="宋体" w:cs="宋体"/>
          <w:color w:val="auto"/>
          <w:szCs w:val="21"/>
          <w:highlight w:val="none"/>
          <w:shd w:val="clear" w:color="auto" w:fill="FFFFFF"/>
        </w:rPr>
        <w:t>80</w:t>
      </w:r>
      <w:r>
        <w:rPr>
          <w:rFonts w:ascii="宋体" w:hAnsi="宋体" w:eastAsia="宋体" w:cs="宋体"/>
          <w:color w:val="auto"/>
          <w:szCs w:val="21"/>
          <w:highlight w:val="none"/>
          <w:shd w:val="clear" w:color="auto" w:fill="FFFFFF"/>
        </w:rPr>
        <w:t>%。</w:t>
      </w:r>
    </w:p>
    <w:p w14:paraId="448CBA2A">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6.3结算审计完毕后60个工作日内，</w:t>
      </w:r>
      <w:r>
        <w:rPr>
          <w:rFonts w:ascii="宋体" w:hAnsi="宋体" w:eastAsia="宋体" w:cs="宋体"/>
          <w:color w:val="auto"/>
          <w:szCs w:val="21"/>
          <w:highlight w:val="none"/>
          <w:shd w:val="clear" w:color="auto" w:fill="FFFFFF"/>
        </w:rPr>
        <w:t>支付至</w:t>
      </w:r>
      <w:r>
        <w:rPr>
          <w:rFonts w:hint="eastAsia" w:ascii="宋体" w:hAnsi="宋体" w:eastAsia="宋体" w:cs="宋体"/>
          <w:color w:val="auto"/>
          <w:szCs w:val="21"/>
          <w:highlight w:val="none"/>
          <w:shd w:val="clear" w:color="auto" w:fill="FFFFFF"/>
        </w:rPr>
        <w:t>审定价款</w:t>
      </w:r>
      <w:r>
        <w:rPr>
          <w:rFonts w:ascii="宋体" w:hAnsi="宋体" w:eastAsia="宋体" w:cs="宋体"/>
          <w:color w:val="auto"/>
          <w:szCs w:val="21"/>
          <w:highlight w:val="none"/>
          <w:shd w:val="clear" w:color="auto" w:fill="FFFFFF"/>
        </w:rPr>
        <w:t>的</w:t>
      </w:r>
      <w:r>
        <w:rPr>
          <w:rFonts w:hint="eastAsia" w:ascii="宋体" w:hAnsi="宋体" w:eastAsia="宋体" w:cs="宋体"/>
          <w:color w:val="auto"/>
          <w:szCs w:val="21"/>
          <w:highlight w:val="none"/>
          <w:shd w:val="clear" w:color="auto" w:fill="FFFFFF"/>
        </w:rPr>
        <w:t>97</w:t>
      </w:r>
      <w:r>
        <w:rPr>
          <w:rFonts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rPr>
        <w:t>；若因中标人原因导致验收延迟，付款时间相应顺延。</w:t>
      </w:r>
      <w:bookmarkStart w:id="216" w:name="_GoBack"/>
      <w:bookmarkEnd w:id="216"/>
    </w:p>
    <w:p w14:paraId="51006238">
      <w:pPr>
        <w:spacing w:line="360" w:lineRule="auto"/>
        <w:ind w:firstLine="48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6.4</w:t>
      </w:r>
      <w:r>
        <w:rPr>
          <w:rFonts w:ascii="宋体" w:hAnsi="宋体" w:eastAsia="宋体" w:cs="宋体"/>
          <w:color w:val="auto"/>
          <w:szCs w:val="21"/>
          <w:highlight w:val="none"/>
          <w:shd w:val="clear" w:color="auto" w:fill="FFFFFF"/>
        </w:rPr>
        <w:t>剩余3%作为质量保证金，待缺陷责任期（2年）满后</w:t>
      </w:r>
      <w:r>
        <w:rPr>
          <w:rFonts w:hint="eastAsia" w:ascii="宋体" w:hAnsi="宋体" w:eastAsia="宋体" w:cs="宋体"/>
          <w:color w:val="auto"/>
          <w:szCs w:val="21"/>
          <w:highlight w:val="none"/>
          <w:shd w:val="clear" w:color="auto" w:fill="FFFFFF"/>
        </w:rPr>
        <w:t>30个工作日内</w:t>
      </w:r>
      <w:r>
        <w:rPr>
          <w:rFonts w:ascii="宋体" w:hAnsi="宋体" w:eastAsia="宋体" w:cs="宋体"/>
          <w:color w:val="auto"/>
          <w:szCs w:val="21"/>
          <w:highlight w:val="none"/>
          <w:shd w:val="clear" w:color="auto" w:fill="FFFFFF"/>
        </w:rPr>
        <w:t>无息付清。</w:t>
      </w:r>
    </w:p>
    <w:p w14:paraId="176EECA1">
      <w:pPr>
        <w:spacing w:line="360" w:lineRule="auto"/>
        <w:ind w:firstLine="480" w:firstLineChars="200"/>
        <w:rPr>
          <w:rFonts w:ascii="宋体" w:hAnsi="宋体" w:cs="宋体"/>
          <w:b/>
          <w:color w:val="auto"/>
          <w:szCs w:val="21"/>
          <w:highlight w:val="none"/>
        </w:rPr>
      </w:pPr>
      <w:r>
        <w:rPr>
          <w:rFonts w:hint="eastAsia" w:ascii="宋体" w:hAnsi="宋体" w:eastAsia="宋体" w:cs="宋体"/>
          <w:color w:val="auto"/>
          <w:szCs w:val="21"/>
          <w:highlight w:val="none"/>
          <w:shd w:val="clear" w:color="auto" w:fill="FFFFFF"/>
        </w:rPr>
        <w:t>6.5所有支付均以银行转账方式执行，且须提供合规发票。</w:t>
      </w:r>
    </w:p>
    <w:p w14:paraId="51A8AA44">
      <w:pPr>
        <w:spacing w:line="360" w:lineRule="auto"/>
        <w:ind w:firstLine="420"/>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特别说明：本章所有内容均为实质性要求，不接受负偏离（负偏离作无效投标处理）</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投标人须在《商务条款偏离表》体现此要求。</w:t>
      </w:r>
    </w:p>
    <w:p w14:paraId="10A5F7BA">
      <w:pPr>
        <w:spacing w:line="360" w:lineRule="auto"/>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如对采购需求有任何疑问，请在规定的截止时间前与采购人联系。</w:t>
      </w:r>
    </w:p>
    <w:bookmarkEnd w:id="49"/>
    <w:bookmarkEnd w:id="50"/>
    <w:p w14:paraId="381F758E">
      <w:pPr>
        <w:spacing w:line="360" w:lineRule="auto"/>
        <w:ind w:firstLine="482"/>
        <w:rPr>
          <w:rFonts w:ascii="宋体" w:hAnsi="宋体" w:cs="仿宋"/>
          <w:b/>
          <w:bCs/>
          <w:color w:val="auto"/>
          <w:highlight w:val="none"/>
          <w:lang w:eastAsia="zh-CN"/>
        </w:rPr>
      </w:pPr>
    </w:p>
    <w:p w14:paraId="4344EDE9">
      <w:pPr>
        <w:pStyle w:val="40"/>
        <w:rPr>
          <w:rFonts w:hint="eastAsia"/>
          <w:color w:val="auto"/>
          <w:highlight w:val="none"/>
          <w:lang w:eastAsia="zh-CN"/>
        </w:rPr>
      </w:pPr>
    </w:p>
    <w:p w14:paraId="4AB55082">
      <w:pPr>
        <w:rPr>
          <w:rFonts w:hint="eastAsia" w:ascii="宋体" w:hAnsi="宋体" w:cs="宋体"/>
          <w:b/>
          <w:color w:val="auto"/>
          <w:highlight w:val="none"/>
          <w:lang w:eastAsia="zh-CN"/>
        </w:rPr>
      </w:pPr>
    </w:p>
    <w:p w14:paraId="3F5632F5">
      <w:pPr>
        <w:pStyle w:val="373"/>
        <w:ind w:firstLine="0"/>
        <w:rPr>
          <w:rFonts w:hint="eastAsia"/>
          <w:color w:val="auto"/>
          <w:highlight w:val="none"/>
          <w:lang w:eastAsia="zh-CN"/>
        </w:rPr>
      </w:pPr>
      <w:r>
        <w:rPr>
          <w:color w:val="auto"/>
          <w:highlight w:val="none"/>
          <w:lang w:eastAsia="zh-CN"/>
        </w:rPr>
        <w:br w:type="page" w:clear="all"/>
      </w:r>
    </w:p>
    <w:p w14:paraId="72E2964C">
      <w:pPr>
        <w:pStyle w:val="215"/>
        <w:spacing w:line="360" w:lineRule="auto"/>
        <w:ind w:firstLine="2494"/>
        <w:outlineLvl w:val="0"/>
        <w:rPr>
          <w:rStyle w:val="201"/>
          <w:rFonts w:hint="eastAsia" w:ascii="Times New Roman" w:hAnsi="Times New Roman"/>
          <w:color w:val="auto"/>
          <w:sz w:val="36"/>
          <w:szCs w:val="36"/>
          <w:highlight w:val="none"/>
          <w:lang w:val="zh-TW" w:eastAsia="zh-CN"/>
        </w:rPr>
      </w:pPr>
      <w:bookmarkStart w:id="58" w:name="_Toc7226"/>
      <w:r>
        <w:rPr>
          <w:rStyle w:val="201"/>
          <w:rFonts w:hint="eastAsia" w:ascii="Times New Roman" w:hAnsi="Times New Roman"/>
          <w:color w:val="auto"/>
          <w:sz w:val="36"/>
          <w:szCs w:val="36"/>
          <w:highlight w:val="none"/>
          <w:lang w:val="zh-CN" w:eastAsia="zh-CN"/>
        </w:rPr>
        <w:t>第五章</w:t>
      </w:r>
      <w:r>
        <w:rPr>
          <w:rStyle w:val="201"/>
          <w:rFonts w:hint="eastAsia" w:ascii="Times New Roman" w:hAnsi="Times New Roman"/>
          <w:color w:val="auto"/>
          <w:sz w:val="36"/>
          <w:szCs w:val="36"/>
          <w:highlight w:val="none"/>
          <w:lang w:val="zh-CN" w:eastAsia="zh-CN"/>
        </w:rPr>
        <w:tab/>
      </w:r>
      <w:r>
        <w:rPr>
          <w:rStyle w:val="201"/>
          <w:rFonts w:hint="eastAsia" w:ascii="Times New Roman" w:hAnsi="Times New Roman"/>
          <w:color w:val="auto"/>
          <w:sz w:val="36"/>
          <w:szCs w:val="36"/>
          <w:highlight w:val="none"/>
          <w:lang w:val="zh-CN" w:eastAsia="zh-CN"/>
        </w:rPr>
        <w:t>合同草案条款及格式</w:t>
      </w:r>
      <w:bookmarkEnd w:id="58"/>
    </w:p>
    <w:p w14:paraId="6E4A5DFC">
      <w:pPr>
        <w:widowControl w:val="0"/>
        <w:jc w:val="center"/>
        <w:rPr>
          <w:rFonts w:eastAsia="仿宋_GB2312"/>
          <w:bCs/>
          <w:color w:val="auto"/>
          <w:sz w:val="32"/>
          <w:szCs w:val="32"/>
          <w:highlight w:val="none"/>
          <w:lang w:eastAsia="zh-CN"/>
        </w:rPr>
      </w:pPr>
      <w:bookmarkStart w:id="59" w:name="page22"/>
      <w:bookmarkEnd w:id="59"/>
      <w:r>
        <w:rPr>
          <w:rFonts w:eastAsia="仿宋_GB2312"/>
          <w:bCs/>
          <w:color w:val="auto"/>
          <w:sz w:val="32"/>
          <w:szCs w:val="32"/>
          <w:highlight w:val="none"/>
          <w:lang w:eastAsia="zh-CN"/>
        </w:rPr>
        <w:t>（GF—201</w:t>
      </w:r>
      <w:r>
        <w:rPr>
          <w:rFonts w:hint="eastAsia" w:eastAsia="仿宋_GB2312"/>
          <w:bCs/>
          <w:color w:val="auto"/>
          <w:sz w:val="32"/>
          <w:szCs w:val="32"/>
          <w:highlight w:val="none"/>
          <w:lang w:eastAsia="zh-CN"/>
        </w:rPr>
        <w:t>7</w:t>
      </w:r>
      <w:r>
        <w:rPr>
          <w:rFonts w:eastAsia="仿宋_GB2312"/>
          <w:bCs/>
          <w:color w:val="auto"/>
          <w:sz w:val="32"/>
          <w:szCs w:val="32"/>
          <w:highlight w:val="none"/>
          <w:lang w:eastAsia="zh-CN"/>
        </w:rPr>
        <w:t>—</w:t>
      </w:r>
      <w:r>
        <w:rPr>
          <w:rFonts w:hint="eastAsia" w:eastAsia="仿宋_GB2312"/>
          <w:bCs/>
          <w:color w:val="auto"/>
          <w:sz w:val="32"/>
          <w:szCs w:val="32"/>
          <w:highlight w:val="none"/>
          <w:lang w:eastAsia="zh-CN"/>
        </w:rPr>
        <w:t>0201）</w:t>
      </w:r>
    </w:p>
    <w:p w14:paraId="21657FCF">
      <w:pPr>
        <w:widowControl w:val="0"/>
        <w:jc w:val="center"/>
        <w:rPr>
          <w:rFonts w:eastAsia="华文中宋"/>
          <w:b/>
          <w:color w:val="auto"/>
          <w:sz w:val="52"/>
          <w:szCs w:val="52"/>
          <w:highlight w:val="none"/>
          <w:lang w:eastAsia="zh-CN"/>
        </w:rPr>
      </w:pPr>
    </w:p>
    <w:p w14:paraId="4177E540">
      <w:pPr>
        <w:widowControl w:val="0"/>
        <w:jc w:val="center"/>
        <w:rPr>
          <w:rFonts w:eastAsia="华文中宋"/>
          <w:b/>
          <w:color w:val="auto"/>
          <w:sz w:val="52"/>
          <w:szCs w:val="52"/>
          <w:highlight w:val="none"/>
          <w:lang w:eastAsia="zh-CN"/>
        </w:rPr>
      </w:pPr>
    </w:p>
    <w:p w14:paraId="087E5EF4">
      <w:pPr>
        <w:widowControl w:val="0"/>
        <w:jc w:val="center"/>
        <w:rPr>
          <w:rFonts w:eastAsia="华文中宋"/>
          <w:b/>
          <w:color w:val="auto"/>
          <w:sz w:val="52"/>
          <w:szCs w:val="52"/>
          <w:highlight w:val="none"/>
          <w:lang w:eastAsia="zh-CN"/>
        </w:rPr>
      </w:pPr>
    </w:p>
    <w:p w14:paraId="238A7C9C">
      <w:pPr>
        <w:widowControl w:val="0"/>
        <w:jc w:val="center"/>
        <w:rPr>
          <w:rFonts w:eastAsia="华文中宋"/>
          <w:b/>
          <w:color w:val="auto"/>
          <w:sz w:val="52"/>
          <w:szCs w:val="52"/>
          <w:highlight w:val="none"/>
          <w:lang w:eastAsia="zh-CN"/>
        </w:rPr>
      </w:pPr>
    </w:p>
    <w:p w14:paraId="70558B39">
      <w:pPr>
        <w:widowControl w:val="0"/>
        <w:jc w:val="center"/>
        <w:rPr>
          <w:rFonts w:eastAsia="华文中宋"/>
          <w:b/>
          <w:color w:val="auto"/>
          <w:sz w:val="72"/>
          <w:szCs w:val="52"/>
          <w:highlight w:val="none"/>
          <w:lang w:eastAsia="zh-CN"/>
        </w:rPr>
      </w:pPr>
      <w:r>
        <w:rPr>
          <w:rFonts w:eastAsia="华文中宋"/>
          <w:b/>
          <w:color w:val="auto"/>
          <w:sz w:val="72"/>
          <w:szCs w:val="52"/>
          <w:highlight w:val="none"/>
          <w:lang w:eastAsia="zh-CN"/>
        </w:rPr>
        <w:t>建设工程施工合同</w:t>
      </w:r>
    </w:p>
    <w:p w14:paraId="03FFC926">
      <w:pPr>
        <w:widowControl w:val="0"/>
        <w:jc w:val="center"/>
        <w:rPr>
          <w:rFonts w:eastAsia="华文中宋"/>
          <w:b/>
          <w:color w:val="auto"/>
          <w:sz w:val="52"/>
          <w:szCs w:val="52"/>
          <w:highlight w:val="none"/>
          <w:lang w:eastAsia="zh-CN"/>
        </w:rPr>
      </w:pPr>
    </w:p>
    <w:p w14:paraId="64A298B1">
      <w:pPr>
        <w:widowControl w:val="0"/>
        <w:jc w:val="center"/>
        <w:rPr>
          <w:rFonts w:eastAsia="黑体"/>
          <w:b/>
          <w:color w:val="auto"/>
          <w:sz w:val="72"/>
          <w:szCs w:val="72"/>
          <w:highlight w:val="none"/>
          <w:lang w:eastAsia="zh-CN"/>
        </w:rPr>
      </w:pPr>
    </w:p>
    <w:p w14:paraId="26687CE1">
      <w:pPr>
        <w:widowControl w:val="0"/>
        <w:jc w:val="center"/>
        <w:rPr>
          <w:rFonts w:eastAsia="楷体_GB2312"/>
          <w:b/>
          <w:color w:val="auto"/>
          <w:sz w:val="72"/>
          <w:szCs w:val="72"/>
          <w:highlight w:val="none"/>
          <w:lang w:eastAsia="zh-CN"/>
        </w:rPr>
      </w:pPr>
    </w:p>
    <w:p w14:paraId="6800B74E">
      <w:pPr>
        <w:widowControl w:val="0"/>
        <w:jc w:val="center"/>
        <w:rPr>
          <w:rFonts w:eastAsia="黑体"/>
          <w:b/>
          <w:color w:val="auto"/>
          <w:sz w:val="52"/>
          <w:szCs w:val="52"/>
          <w:highlight w:val="none"/>
          <w:lang w:eastAsia="zh-CN"/>
        </w:rPr>
      </w:pPr>
    </w:p>
    <w:p w14:paraId="1EEDEAC4">
      <w:pPr>
        <w:widowControl w:val="0"/>
        <w:jc w:val="both"/>
        <w:rPr>
          <w:b/>
          <w:color w:val="auto"/>
          <w:sz w:val="28"/>
          <w:szCs w:val="28"/>
          <w:highlight w:val="none"/>
          <w:lang w:eastAsia="zh-CN"/>
        </w:rPr>
      </w:pPr>
    </w:p>
    <w:p w14:paraId="50EF3933">
      <w:pPr>
        <w:widowControl w:val="0"/>
        <w:jc w:val="both"/>
        <w:rPr>
          <w:b/>
          <w:color w:val="auto"/>
          <w:sz w:val="28"/>
          <w:szCs w:val="28"/>
          <w:highlight w:val="none"/>
          <w:lang w:eastAsia="zh-CN"/>
        </w:rPr>
      </w:pPr>
    </w:p>
    <w:p w14:paraId="7AE7DCCE">
      <w:pPr>
        <w:widowControl w:val="0"/>
        <w:jc w:val="both"/>
        <w:rPr>
          <w:b/>
          <w:color w:val="auto"/>
          <w:sz w:val="28"/>
          <w:szCs w:val="28"/>
          <w:highlight w:val="none"/>
          <w:lang w:eastAsia="zh-CN"/>
        </w:rPr>
      </w:pPr>
    </w:p>
    <w:p w14:paraId="0AFCCD08">
      <w:pPr>
        <w:widowControl w:val="0"/>
        <w:jc w:val="both"/>
        <w:rPr>
          <w:b/>
          <w:color w:val="auto"/>
          <w:sz w:val="28"/>
          <w:szCs w:val="28"/>
          <w:highlight w:val="none"/>
          <w:lang w:eastAsia="zh-CN"/>
        </w:rPr>
      </w:pPr>
    </w:p>
    <w:p w14:paraId="1DED35CC">
      <w:pPr>
        <w:widowControl w:val="0"/>
        <w:jc w:val="both"/>
        <w:rPr>
          <w:b/>
          <w:color w:val="auto"/>
          <w:sz w:val="28"/>
          <w:szCs w:val="28"/>
          <w:highlight w:val="none"/>
          <w:lang w:eastAsia="zh-CN"/>
        </w:rPr>
      </w:pPr>
    </w:p>
    <w:p w14:paraId="673B598A">
      <w:pPr>
        <w:widowControl w:val="0"/>
        <w:ind w:right="2719"/>
        <w:jc w:val="both"/>
        <w:rPr>
          <w:b/>
          <w:color w:val="auto"/>
          <w:sz w:val="32"/>
          <w:szCs w:val="28"/>
          <w:highlight w:val="none"/>
          <w:lang w:eastAsia="zh-CN"/>
        </w:rPr>
      </w:pPr>
      <w:r>
        <w:rPr>
          <w:color w:val="auto"/>
          <w:sz w:val="21"/>
          <w:highlight w:val="none"/>
          <w:lang w:eastAsia="zh-CN"/>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6" name="文本框 6"/>
                <wp:cNvGraphicFramePr/>
                <a:graphic xmlns:a="http://schemas.openxmlformats.org/drawingml/2006/main">
                  <a:graphicData uri="http://schemas.microsoft.com/office/word/2010/wordprocessingShape">
                    <wps:wsp>
                      <wps:cNvSpPr txBox="1"/>
                      <wps:spPr bwMode="auto">
                        <a:xfrm>
                          <a:off x="0" y="0"/>
                          <a:ext cx="723900" cy="457200"/>
                        </a:xfrm>
                        <a:prstGeom prst="rect">
                          <a:avLst/>
                        </a:prstGeom>
                        <a:noFill/>
                        <a:ln>
                          <a:solidFill>
                            <a:srgbClr val="FFFFFF"/>
                          </a:solidFill>
                        </a:ln>
                      </wps:spPr>
                      <wps:txbx>
                        <w:txbxContent>
                          <w:p w14:paraId="5FEA3D67">
                            <w:pPr>
                              <w:widowControl w:val="0"/>
                              <w:jc w:val="both"/>
                              <w:rPr>
                                <w:b/>
                                <w:bCs/>
                                <w:sz w:val="32"/>
                                <w:lang w:eastAsia="zh-CN"/>
                              </w:rPr>
                            </w:pPr>
                            <w:r>
                              <w:rPr>
                                <w:rFonts w:hint="eastAsia" w:eastAsia="宋体"/>
                                <w:b/>
                                <w:bCs/>
                                <w:sz w:val="32"/>
                                <w:lang w:eastAsia="zh-CN"/>
                              </w:rPr>
                              <w:t>制定</w:t>
                            </w:r>
                          </w:p>
                          <w:p w14:paraId="614FBD72">
                            <w:pPr>
                              <w:widowControl w:val="0"/>
                              <w:jc w:val="both"/>
                              <w:rPr>
                                <w:sz w:val="21"/>
                                <w:lang w:eastAsia="zh-CN"/>
                              </w:rPr>
                            </w:pPr>
                          </w:p>
                        </w:txbxContent>
                      </wps:txbx>
                      <wps:bodyPr wrap="square" upright="1"/>
                    </wps:wsp>
                  </a:graphicData>
                </a:graphic>
              </wp:anchor>
            </w:drawing>
          </mc:Choice>
          <mc:Fallback>
            <w:pict>
              <v:shape id="_x0000_s1026"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HNLXHYAAAACQEAAA8AAAAAAAAAAQAg&#10;AAAAIgAAAGRycy9kb3ducmV2LnhtbFBLAQIUABQAAAAIAIdO4kAutwCz1QEAAJIDAAAOAAAAAAAA&#10;AAEAIAAAACcBAABkcnMvZTJvRG9jLnhtbFBLBQYAAAAABgAGAFkBAABuBQAAAAA=&#10;">
                <v:fill on="f" focussize="0,0"/>
                <v:stroke color="#FFFFFF" joinstyle="round"/>
                <v:imagedata o:title=""/>
                <o:lock v:ext="edit" aspectratio="f"/>
                <v:textbox>
                  <w:txbxContent>
                    <w:p w14:paraId="5FEA3D67">
                      <w:pPr>
                        <w:widowControl w:val="0"/>
                        <w:jc w:val="both"/>
                        <w:rPr>
                          <w:b/>
                          <w:bCs/>
                          <w:sz w:val="32"/>
                          <w:lang w:eastAsia="zh-CN"/>
                        </w:rPr>
                      </w:pPr>
                      <w:r>
                        <w:rPr>
                          <w:rFonts w:hint="eastAsia" w:eastAsia="宋体"/>
                          <w:b/>
                          <w:bCs/>
                          <w:sz w:val="32"/>
                          <w:lang w:eastAsia="zh-CN"/>
                        </w:rPr>
                        <w:t>制定</w:t>
                      </w:r>
                    </w:p>
                    <w:p w14:paraId="614FBD72">
                      <w:pPr>
                        <w:widowControl w:val="0"/>
                        <w:jc w:val="both"/>
                        <w:rPr>
                          <w:sz w:val="21"/>
                          <w:lang w:eastAsia="zh-CN"/>
                        </w:rPr>
                      </w:pPr>
                    </w:p>
                  </w:txbxContent>
                </v:textbox>
              </v:shape>
            </w:pict>
          </mc:Fallback>
        </mc:AlternateContent>
      </w:r>
      <w:r>
        <w:rPr>
          <w:b/>
          <w:color w:val="auto"/>
          <w:sz w:val="32"/>
          <w:szCs w:val="28"/>
          <w:highlight w:val="none"/>
          <w:lang w:eastAsia="zh-CN"/>
        </w:rPr>
        <w:t>住房城乡建设部</w:t>
      </w:r>
    </w:p>
    <w:p w14:paraId="3697E260">
      <w:pPr>
        <w:widowControl w:val="0"/>
        <w:ind w:right="2719"/>
        <w:jc w:val="both"/>
        <w:rPr>
          <w:b/>
          <w:color w:val="auto"/>
          <w:sz w:val="32"/>
          <w:szCs w:val="28"/>
          <w:highlight w:val="none"/>
          <w:lang w:eastAsia="zh-CN"/>
        </w:rPr>
      </w:pPr>
      <w:r>
        <w:rPr>
          <w:b/>
          <w:color w:val="auto"/>
          <w:sz w:val="32"/>
          <w:szCs w:val="28"/>
          <w:highlight w:val="none"/>
          <w:lang w:eastAsia="zh-CN"/>
        </w:rPr>
        <w:t>国家工商行政管理总局</w:t>
      </w:r>
    </w:p>
    <w:p w14:paraId="5E3047EF">
      <w:pPr>
        <w:widowControl w:val="0"/>
        <w:jc w:val="both"/>
        <w:rPr>
          <w:b/>
          <w:color w:val="auto"/>
          <w:sz w:val="21"/>
          <w:highlight w:val="none"/>
          <w:lang w:eastAsia="zh-CN"/>
        </w:rPr>
      </w:pPr>
    </w:p>
    <w:p w14:paraId="28636A31">
      <w:pPr>
        <w:spacing w:line="360" w:lineRule="auto"/>
        <w:jc w:val="center"/>
        <w:rPr>
          <w:rFonts w:ascii="宋体" w:hAnsi="宋体" w:eastAsia="宋体" w:cs="宋体"/>
          <w:b/>
          <w:color w:val="auto"/>
          <w:sz w:val="24"/>
          <w:szCs w:val="24"/>
          <w:highlight w:val="none"/>
        </w:rPr>
      </w:pPr>
      <w:r>
        <w:rPr>
          <w:rFonts w:hint="default" w:ascii="Times New Roman" w:hAnsi="Times New Roman" w:eastAsia="宋体" w:cs="Times New Roman"/>
          <w:b w:val="0"/>
          <w:bCs/>
          <w:color w:val="auto"/>
          <w:sz w:val="32"/>
          <w:szCs w:val="32"/>
          <w:highlight w:val="none"/>
          <w:lang w:val="en-US" w:eastAsia="zh-CN" w:bidi="ar-SA"/>
        </w:rPr>
        <w:br w:type="page" w:clear="all"/>
      </w:r>
      <w:r>
        <w:rPr>
          <w:rFonts w:hint="eastAsia" w:ascii="宋体" w:hAnsi="宋体" w:eastAsia="宋体" w:cs="宋体"/>
          <w:b/>
          <w:color w:val="auto"/>
          <w:sz w:val="24"/>
          <w:szCs w:val="24"/>
          <w:highlight w:val="none"/>
        </w:rPr>
        <w:t>第一部分 合同协议书</w:t>
      </w:r>
    </w:p>
    <w:p w14:paraId="44638895">
      <w:pPr>
        <w:snapToGrid w:val="0"/>
        <w:spacing w:line="360" w:lineRule="auto"/>
        <w:jc w:val="left"/>
        <w:rPr>
          <w:rStyle w:val="36"/>
          <w:rFonts w:ascii="宋体" w:hAnsi="宋体" w:eastAsia="宋体" w:cs="宋体"/>
          <w:color w:val="auto"/>
          <w:szCs w:val="21"/>
          <w:highlight w:val="none"/>
        </w:rPr>
      </w:pPr>
      <w:r>
        <w:rPr>
          <w:rFonts w:hint="eastAsia" w:ascii="宋体" w:hAnsi="宋体" w:eastAsia="宋体" w:cs="宋体"/>
          <w:b/>
          <w:color w:val="auto"/>
          <w:szCs w:val="21"/>
          <w:highlight w:val="none"/>
        </w:rPr>
        <w:t>发包人（全称）：</w:t>
      </w:r>
    </w:p>
    <w:p w14:paraId="06AA58CD">
      <w:pPr>
        <w:snapToGrid w:val="0"/>
        <w:spacing w:line="360" w:lineRule="auto"/>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p>
    <w:p w14:paraId="79C73CAB">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根据《中华人民共和国民法典》、《中华人民共和国建筑法》及有关法律规定，遵循平等、自愿、公平和诚实信用的原则，双方就施工及有关事项协商一致，共同达成如下协议：</w:t>
      </w:r>
    </w:p>
    <w:p w14:paraId="015CF573">
      <w:pPr>
        <w:tabs>
          <w:tab w:val="left" w:pos="4409"/>
        </w:tabs>
        <w:snapToGrid w:val="0"/>
        <w:spacing w:line="360" w:lineRule="auto"/>
        <w:jc w:val="left"/>
        <w:rPr>
          <w:rFonts w:ascii="宋体" w:hAnsi="宋体" w:eastAsia="宋体" w:cs="宋体"/>
          <w:color w:val="auto"/>
          <w:szCs w:val="21"/>
          <w:highlight w:val="none"/>
        </w:rPr>
      </w:pPr>
      <w:bookmarkStart w:id="60" w:name="_Toc351203481"/>
      <w:r>
        <w:rPr>
          <w:rFonts w:hint="eastAsia" w:ascii="宋体" w:hAnsi="宋体" w:eastAsia="宋体" w:cs="宋体"/>
          <w:b/>
          <w:color w:val="auto"/>
          <w:szCs w:val="21"/>
          <w:highlight w:val="none"/>
        </w:rPr>
        <w:t>一、工程概况</w:t>
      </w:r>
      <w:bookmarkEnd w:id="60"/>
    </w:p>
    <w:p w14:paraId="1FE8735D">
      <w:pPr>
        <w:snapToGrid w:val="0"/>
        <w:spacing w:line="360" w:lineRule="auto"/>
        <w:ind w:firstLine="470" w:firstLineChars="196"/>
        <w:jc w:val="left"/>
        <w:rPr>
          <w:rStyle w:val="36"/>
          <w:rFonts w:ascii="宋体" w:hAnsi="宋体" w:eastAsia="宋体" w:cs="宋体"/>
          <w:b w:val="0"/>
          <w:color w:val="auto"/>
          <w:szCs w:val="21"/>
          <w:highlight w:val="none"/>
        </w:rPr>
      </w:pPr>
      <w:r>
        <w:rPr>
          <w:rFonts w:hint="eastAsia" w:ascii="宋体" w:hAnsi="宋体" w:eastAsia="宋体" w:cs="宋体"/>
          <w:bCs/>
          <w:color w:val="auto"/>
          <w:szCs w:val="21"/>
          <w:highlight w:val="none"/>
        </w:rPr>
        <w:t>1.工程名称</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u w:val="single"/>
        </w:rPr>
        <w:t xml:space="preserve">               ；</w:t>
      </w:r>
    </w:p>
    <w:p w14:paraId="39AA6555">
      <w:pPr>
        <w:snapToGrid w:val="0"/>
        <w:spacing w:line="360" w:lineRule="auto"/>
        <w:ind w:firstLine="470" w:firstLineChars="196"/>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2.工程地点：</w:t>
      </w:r>
      <w:r>
        <w:rPr>
          <w:rFonts w:hint="eastAsia" w:ascii="宋体" w:hAnsi="宋体" w:eastAsia="宋体" w:cs="宋体"/>
          <w:bCs/>
          <w:color w:val="auto"/>
          <w:szCs w:val="21"/>
          <w:highlight w:val="none"/>
          <w:u w:val="single"/>
        </w:rPr>
        <w:t xml:space="preserve">           ；</w:t>
      </w:r>
    </w:p>
    <w:p w14:paraId="041E5C2B">
      <w:pPr>
        <w:snapToGrid w:val="0"/>
        <w:spacing w:line="360" w:lineRule="auto"/>
        <w:ind w:firstLine="470" w:firstLineChars="196"/>
        <w:jc w:val="left"/>
        <w:rPr>
          <w:rFonts w:ascii="宋体" w:hAnsi="宋体" w:eastAsia="宋体" w:cs="宋体"/>
          <w:b/>
          <w:color w:val="auto"/>
          <w:szCs w:val="21"/>
          <w:highlight w:val="none"/>
          <w:u w:val="single"/>
        </w:rPr>
      </w:pPr>
      <w:r>
        <w:rPr>
          <w:rFonts w:hint="eastAsia" w:ascii="宋体" w:hAnsi="宋体" w:eastAsia="宋体" w:cs="宋体"/>
          <w:bCs/>
          <w:color w:val="auto"/>
          <w:szCs w:val="21"/>
          <w:highlight w:val="none"/>
        </w:rPr>
        <w:t>3.工程立项批准文号： ；</w:t>
      </w:r>
    </w:p>
    <w:p w14:paraId="62BE13FB">
      <w:pPr>
        <w:snapToGrid w:val="0"/>
        <w:spacing w:line="360" w:lineRule="auto"/>
        <w:ind w:firstLine="470" w:firstLineChars="196"/>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4.资金来源：</w:t>
      </w:r>
      <w:r>
        <w:rPr>
          <w:rFonts w:hint="eastAsia" w:ascii="宋体" w:hAnsi="宋体" w:eastAsia="宋体" w:cs="宋体"/>
          <w:color w:val="auto"/>
          <w:szCs w:val="21"/>
          <w:highlight w:val="none"/>
          <w:u w:val="single"/>
        </w:rPr>
        <w:t xml:space="preserve">          ；</w:t>
      </w:r>
    </w:p>
    <w:p w14:paraId="28FAECA0">
      <w:pPr>
        <w:snapToGrid w:val="0"/>
        <w:spacing w:line="360" w:lineRule="auto"/>
        <w:ind w:firstLine="470" w:firstLineChars="196"/>
        <w:jc w:val="left"/>
        <w:rPr>
          <w:rFonts w:ascii="宋体" w:hAnsi="宋体" w:eastAsia="宋体" w:cs="宋体"/>
          <w:color w:val="auto"/>
          <w:szCs w:val="21"/>
          <w:highlight w:val="none"/>
          <w:u w:val="single"/>
        </w:rPr>
      </w:pPr>
      <w:r>
        <w:rPr>
          <w:rFonts w:hint="eastAsia" w:ascii="宋体" w:hAnsi="宋体" w:eastAsia="宋体" w:cs="宋体"/>
          <w:bCs/>
          <w:color w:val="auto"/>
          <w:szCs w:val="21"/>
          <w:highlight w:val="none"/>
        </w:rPr>
        <w:t>5.工程内容：</w:t>
      </w:r>
      <w:r>
        <w:rPr>
          <w:rFonts w:hint="eastAsia" w:ascii="宋体" w:hAnsi="宋体" w:eastAsia="宋体" w:cs="宋体"/>
          <w:bCs/>
          <w:color w:val="auto"/>
          <w:szCs w:val="21"/>
          <w:highlight w:val="none"/>
          <w:u w:val="single"/>
        </w:rPr>
        <w:t xml:space="preserve">          ；</w:t>
      </w:r>
    </w:p>
    <w:p w14:paraId="44C0F6D8">
      <w:pPr>
        <w:snapToGrid w:val="0"/>
        <w:spacing w:line="360" w:lineRule="auto"/>
        <w:ind w:firstLine="470" w:firstLineChars="196"/>
        <w:jc w:val="left"/>
        <w:rPr>
          <w:rStyle w:val="36"/>
          <w:rFonts w:ascii="宋体" w:hAnsi="宋体" w:eastAsia="宋体" w:cs="宋体"/>
          <w:color w:val="auto"/>
          <w:szCs w:val="21"/>
          <w:highlight w:val="none"/>
        </w:rPr>
      </w:pPr>
      <w:r>
        <w:rPr>
          <w:rFonts w:hint="eastAsia" w:ascii="宋体" w:hAnsi="宋体" w:eastAsia="宋体" w:cs="宋体"/>
          <w:bCs/>
          <w:color w:val="auto"/>
          <w:szCs w:val="21"/>
          <w:highlight w:val="none"/>
        </w:rPr>
        <w:t>6.工程承包范围：</w:t>
      </w:r>
      <w:r>
        <w:rPr>
          <w:rFonts w:hint="eastAsia" w:ascii="宋体" w:hAnsi="宋体" w:eastAsia="宋体" w:cs="宋体"/>
          <w:bCs/>
          <w:color w:val="auto"/>
          <w:szCs w:val="21"/>
          <w:highlight w:val="none"/>
          <w:u w:val="single"/>
        </w:rPr>
        <w:t xml:space="preserve"> 详见工程量清单 ；</w:t>
      </w:r>
    </w:p>
    <w:p w14:paraId="7F01AEE2">
      <w:pPr>
        <w:tabs>
          <w:tab w:val="left" w:pos="4409"/>
        </w:tabs>
        <w:snapToGrid w:val="0"/>
        <w:spacing w:line="360" w:lineRule="auto"/>
        <w:jc w:val="left"/>
        <w:rPr>
          <w:rFonts w:ascii="宋体" w:hAnsi="宋体" w:eastAsia="宋体" w:cs="宋体"/>
          <w:b/>
          <w:color w:val="auto"/>
          <w:szCs w:val="21"/>
          <w:highlight w:val="none"/>
        </w:rPr>
      </w:pPr>
      <w:bookmarkStart w:id="61" w:name="_Toc351203482"/>
      <w:r>
        <w:rPr>
          <w:rFonts w:hint="eastAsia" w:ascii="宋体" w:hAnsi="宋体" w:eastAsia="宋体" w:cs="宋体"/>
          <w:b/>
          <w:color w:val="auto"/>
          <w:szCs w:val="21"/>
          <w:highlight w:val="none"/>
        </w:rPr>
        <w:t>二、合同工期</w:t>
      </w:r>
      <w:bookmarkEnd w:id="61"/>
    </w:p>
    <w:p w14:paraId="059EEF1B">
      <w:pPr>
        <w:snapToGrid w:val="0"/>
        <w:spacing w:line="360" w:lineRule="auto"/>
        <w:ind w:firstLine="459"/>
        <w:jc w:val="left"/>
        <w:rPr>
          <w:rFonts w:ascii="宋体" w:hAnsi="宋体" w:eastAsia="宋体" w:cs="宋体"/>
          <w:color w:val="auto"/>
          <w:szCs w:val="21"/>
          <w:highlight w:val="none"/>
        </w:rPr>
      </w:pPr>
      <w:r>
        <w:rPr>
          <w:rFonts w:hint="eastAsia" w:ascii="宋体" w:hAnsi="宋体" w:eastAsia="宋体" w:cs="宋体"/>
          <w:color w:val="auto"/>
          <w:szCs w:val="21"/>
          <w:highlight w:val="none"/>
        </w:rPr>
        <w:t>计划开工日期：年月日。</w:t>
      </w:r>
    </w:p>
    <w:p w14:paraId="603A22EC">
      <w:pPr>
        <w:snapToGrid w:val="0"/>
        <w:spacing w:line="360" w:lineRule="auto"/>
        <w:ind w:firstLine="459"/>
        <w:jc w:val="left"/>
        <w:rPr>
          <w:rFonts w:ascii="宋体" w:hAnsi="宋体" w:eastAsia="宋体" w:cs="宋体"/>
          <w:color w:val="auto"/>
          <w:szCs w:val="21"/>
          <w:highlight w:val="none"/>
        </w:rPr>
      </w:pPr>
      <w:r>
        <w:rPr>
          <w:rFonts w:hint="eastAsia" w:ascii="宋体" w:hAnsi="宋体" w:eastAsia="宋体" w:cs="宋体"/>
          <w:color w:val="auto"/>
          <w:szCs w:val="21"/>
          <w:highlight w:val="none"/>
        </w:rPr>
        <w:t>计划竣工日期：年月日。</w:t>
      </w:r>
    </w:p>
    <w:p w14:paraId="79F303AA">
      <w:pPr>
        <w:snapToGrid w:val="0"/>
        <w:spacing w:line="360" w:lineRule="auto"/>
        <w:ind w:firstLine="459"/>
        <w:jc w:val="left"/>
        <w:rPr>
          <w:rFonts w:ascii="宋体" w:hAnsi="宋体" w:eastAsia="宋体" w:cs="宋体"/>
          <w:color w:val="auto"/>
          <w:szCs w:val="21"/>
          <w:highlight w:val="none"/>
        </w:rPr>
      </w:pPr>
      <w:r>
        <w:rPr>
          <w:rFonts w:hint="eastAsia" w:ascii="宋体" w:hAnsi="宋体" w:eastAsia="宋体" w:cs="宋体"/>
          <w:color w:val="auto"/>
          <w:szCs w:val="21"/>
          <w:highlight w:val="none"/>
        </w:rPr>
        <w:t>工期总日历天数：天。工期总日历天数与根据前述计划开竣工日期计算的工期天数不一致的，以工期总日历天数为准。</w:t>
      </w:r>
    </w:p>
    <w:p w14:paraId="2A96CD16">
      <w:pPr>
        <w:tabs>
          <w:tab w:val="left" w:pos="4409"/>
        </w:tabs>
        <w:snapToGrid w:val="0"/>
        <w:spacing w:line="360" w:lineRule="auto"/>
        <w:jc w:val="left"/>
        <w:rPr>
          <w:rFonts w:ascii="宋体" w:hAnsi="宋体" w:eastAsia="宋体" w:cs="宋体"/>
          <w:color w:val="auto"/>
          <w:szCs w:val="21"/>
          <w:highlight w:val="none"/>
        </w:rPr>
      </w:pPr>
      <w:bookmarkStart w:id="62" w:name="_Toc351203483"/>
      <w:r>
        <w:rPr>
          <w:rFonts w:hint="eastAsia" w:ascii="宋体" w:hAnsi="宋体" w:eastAsia="宋体" w:cs="宋体"/>
          <w:b/>
          <w:color w:val="auto"/>
          <w:szCs w:val="21"/>
          <w:highlight w:val="none"/>
        </w:rPr>
        <w:t>三、质量标准</w:t>
      </w:r>
      <w:bookmarkEnd w:id="62"/>
    </w:p>
    <w:p w14:paraId="6CC38DC8">
      <w:pPr>
        <w:snapToGrid w:val="0"/>
        <w:spacing w:line="360" w:lineRule="auto"/>
        <w:ind w:firstLine="459"/>
        <w:jc w:val="left"/>
        <w:rPr>
          <w:rFonts w:ascii="宋体" w:hAnsi="宋体" w:eastAsia="宋体" w:cs="宋体"/>
          <w:color w:val="auto"/>
          <w:szCs w:val="21"/>
          <w:highlight w:val="none"/>
        </w:rPr>
      </w:pPr>
      <w:r>
        <w:rPr>
          <w:rFonts w:hint="eastAsia" w:ascii="宋体" w:hAnsi="宋体" w:eastAsia="宋体" w:cs="宋体"/>
          <w:color w:val="auto"/>
          <w:szCs w:val="21"/>
          <w:highlight w:val="none"/>
        </w:rPr>
        <w:t>工程质量符合</w:t>
      </w:r>
      <w:r>
        <w:rPr>
          <w:rFonts w:hint="eastAsia" w:ascii="宋体" w:hAnsi="宋体" w:eastAsia="宋体" w:cs="宋体"/>
          <w:color w:val="auto"/>
          <w:szCs w:val="21"/>
          <w:highlight w:val="none"/>
          <w:u w:val="single"/>
        </w:rPr>
        <w:t>国家验收质量</w:t>
      </w:r>
      <w:r>
        <w:rPr>
          <w:rFonts w:hint="eastAsia" w:ascii="宋体" w:hAnsi="宋体" w:eastAsia="宋体" w:cs="宋体"/>
          <w:color w:val="auto"/>
          <w:szCs w:val="21"/>
          <w:highlight w:val="none"/>
        </w:rPr>
        <w:t>标准。</w:t>
      </w:r>
    </w:p>
    <w:p w14:paraId="2795ECF1">
      <w:pPr>
        <w:tabs>
          <w:tab w:val="left" w:pos="4409"/>
        </w:tabs>
        <w:snapToGrid w:val="0"/>
        <w:spacing w:line="360" w:lineRule="auto"/>
        <w:jc w:val="left"/>
        <w:rPr>
          <w:rFonts w:ascii="宋体" w:hAnsi="宋体" w:eastAsia="宋体" w:cs="宋体"/>
          <w:color w:val="auto"/>
          <w:szCs w:val="21"/>
          <w:highlight w:val="none"/>
        </w:rPr>
      </w:pPr>
      <w:bookmarkStart w:id="63" w:name="_Toc351203484"/>
      <w:r>
        <w:rPr>
          <w:rFonts w:hint="eastAsia" w:ascii="宋体" w:hAnsi="宋体" w:eastAsia="宋体" w:cs="宋体"/>
          <w:b/>
          <w:color w:val="auto"/>
          <w:szCs w:val="21"/>
          <w:highlight w:val="none"/>
        </w:rPr>
        <w:t>四、签约合同价与合同价格形式</w:t>
      </w:r>
      <w:bookmarkEnd w:id="63"/>
      <w:r>
        <w:rPr>
          <w:rFonts w:hint="eastAsia" w:ascii="宋体" w:hAnsi="宋体" w:eastAsia="宋体" w:cs="宋体"/>
          <w:b/>
          <w:color w:val="auto"/>
          <w:szCs w:val="21"/>
          <w:highlight w:val="none"/>
        </w:rPr>
        <w:tab/>
      </w:r>
    </w:p>
    <w:p w14:paraId="41E3B2F5">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1.签约合同价为：</w:t>
      </w:r>
    </w:p>
    <w:p w14:paraId="1111FF17">
      <w:pPr>
        <w:snapToGrid w:val="0"/>
        <w:spacing w:line="360" w:lineRule="auto"/>
        <w:ind w:firstLine="600"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rPr>
        <w:t>人民币（大写）(¥元)（含税）；</w:t>
      </w:r>
    </w:p>
    <w:p w14:paraId="4D4D2EE2">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其中：</w:t>
      </w:r>
    </w:p>
    <w:p w14:paraId="3519B893">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（1）安全文明施工费：</w:t>
      </w:r>
    </w:p>
    <w:p w14:paraId="3CE1B617">
      <w:pPr>
        <w:snapToGrid w:val="0"/>
        <w:spacing w:line="360" w:lineRule="auto"/>
        <w:ind w:firstLine="1080" w:firstLineChars="450"/>
        <w:jc w:val="left"/>
        <w:rPr>
          <w:rFonts w:ascii="宋体" w:hAnsi="宋体" w:eastAsia="宋体" w:cs="宋体"/>
          <w:color w:val="auto"/>
          <w:szCs w:val="21"/>
          <w:highlight w:val="none"/>
        </w:rPr>
      </w:pPr>
      <w:r>
        <w:rPr>
          <w:rFonts w:hint="eastAsia" w:ascii="宋体" w:hAnsi="宋体" w:eastAsia="宋体" w:cs="宋体"/>
          <w:color w:val="auto"/>
          <w:szCs w:val="21"/>
          <w:highlight w:val="none"/>
        </w:rPr>
        <w:t>人民币（大写） (¥元)；</w:t>
      </w:r>
    </w:p>
    <w:p w14:paraId="3110AF59">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（2）材料和工程设备暂估价金额：</w:t>
      </w:r>
    </w:p>
    <w:p w14:paraId="1F4C9821">
      <w:pPr>
        <w:snapToGrid w:val="0"/>
        <w:spacing w:line="360" w:lineRule="auto"/>
        <w:ind w:firstLine="1080" w:firstLineChars="450"/>
        <w:jc w:val="left"/>
        <w:rPr>
          <w:rFonts w:ascii="宋体" w:hAnsi="宋体" w:eastAsia="宋体" w:cs="宋体"/>
          <w:color w:val="auto"/>
          <w:szCs w:val="21"/>
          <w:highlight w:val="none"/>
        </w:rPr>
      </w:pPr>
      <w:r>
        <w:rPr>
          <w:rFonts w:hint="eastAsia" w:ascii="宋体" w:hAnsi="宋体" w:eastAsia="宋体" w:cs="宋体"/>
          <w:color w:val="auto"/>
          <w:szCs w:val="21"/>
          <w:highlight w:val="none"/>
        </w:rPr>
        <w:t>人民币（大写） (¥元)；</w:t>
      </w:r>
    </w:p>
    <w:p w14:paraId="7CF8D49C">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（3）专业工程暂估价金额：</w:t>
      </w:r>
    </w:p>
    <w:p w14:paraId="2732C8F9">
      <w:pPr>
        <w:snapToGrid w:val="0"/>
        <w:spacing w:line="360" w:lineRule="auto"/>
        <w:ind w:firstLine="1080" w:firstLineChars="450"/>
        <w:jc w:val="left"/>
        <w:rPr>
          <w:rFonts w:ascii="宋体" w:hAnsi="宋体" w:eastAsia="宋体" w:cs="宋体"/>
          <w:color w:val="auto"/>
          <w:szCs w:val="21"/>
          <w:highlight w:val="none"/>
        </w:rPr>
      </w:pPr>
      <w:r>
        <w:rPr>
          <w:rFonts w:hint="eastAsia" w:ascii="宋体" w:hAnsi="宋体" w:eastAsia="宋体" w:cs="宋体"/>
          <w:color w:val="auto"/>
          <w:szCs w:val="21"/>
          <w:highlight w:val="none"/>
        </w:rPr>
        <w:t>人民币（大写）(¥元)；</w:t>
      </w:r>
    </w:p>
    <w:p w14:paraId="69ABF0E7">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（4）暂列金额：</w:t>
      </w:r>
    </w:p>
    <w:p w14:paraId="26AC3E64">
      <w:pPr>
        <w:snapToGrid w:val="0"/>
        <w:spacing w:line="360" w:lineRule="auto"/>
        <w:ind w:firstLine="1080" w:firstLineChars="45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元</w:t>
      </w:r>
      <w:r>
        <w:rPr>
          <w:rFonts w:hint="eastAsia" w:ascii="宋体" w:hAnsi="宋体" w:eastAsia="宋体" w:cs="宋体"/>
          <w:color w:val="auto"/>
          <w:szCs w:val="21"/>
          <w:highlight w:val="none"/>
        </w:rPr>
        <w:t xml:space="preserve"> (¥元)。</w:t>
      </w:r>
    </w:p>
    <w:p w14:paraId="74D54FF4">
      <w:pPr>
        <w:snapToGrid w:val="0"/>
        <w:spacing w:line="360" w:lineRule="auto"/>
        <w:ind w:left="470" w:leftChars="196"/>
        <w:jc w:val="left"/>
        <w:rPr>
          <w:rFonts w:ascii="宋体" w:hAnsi="宋体" w:eastAsia="宋体" w:cs="宋体"/>
          <w:color w:val="auto"/>
          <w:szCs w:val="21"/>
          <w:highlight w:val="none"/>
        </w:rPr>
      </w:pPr>
      <w:r>
        <w:rPr>
          <w:rFonts w:hint="eastAsia" w:ascii="宋体" w:hAnsi="宋体" w:eastAsia="宋体" w:cs="宋体"/>
          <w:color w:val="auto"/>
          <w:szCs w:val="21"/>
          <w:highlight w:val="none"/>
        </w:rPr>
        <w:t>2.合同价格形式：</w:t>
      </w:r>
      <w:r>
        <w:rPr>
          <w:rFonts w:hint="eastAsia" w:ascii="宋体" w:hAnsi="宋体" w:eastAsia="宋体" w:cs="宋体"/>
          <w:color w:val="auto"/>
          <w:szCs w:val="21"/>
          <w:highlight w:val="none"/>
          <w:u w:val="single"/>
        </w:rPr>
        <w:t xml:space="preserve"> 单价合同 </w:t>
      </w:r>
      <w:r>
        <w:rPr>
          <w:rFonts w:hint="eastAsia" w:ascii="宋体" w:hAnsi="宋体" w:eastAsia="宋体" w:cs="宋体"/>
          <w:color w:val="auto"/>
          <w:szCs w:val="21"/>
          <w:highlight w:val="none"/>
        </w:rPr>
        <w:t>。</w:t>
      </w:r>
    </w:p>
    <w:p w14:paraId="61227F65">
      <w:pPr>
        <w:tabs>
          <w:tab w:val="left" w:pos="4409"/>
        </w:tabs>
        <w:snapToGrid w:val="0"/>
        <w:spacing w:line="360" w:lineRule="auto"/>
        <w:jc w:val="left"/>
        <w:rPr>
          <w:rFonts w:ascii="宋体" w:hAnsi="宋体" w:eastAsia="宋体" w:cs="宋体"/>
          <w:b/>
          <w:color w:val="auto"/>
          <w:szCs w:val="21"/>
          <w:highlight w:val="none"/>
        </w:rPr>
      </w:pPr>
      <w:bookmarkStart w:id="64" w:name="_Toc351203485"/>
      <w:r>
        <w:rPr>
          <w:rFonts w:hint="eastAsia" w:ascii="宋体" w:hAnsi="宋体" w:eastAsia="宋体" w:cs="宋体"/>
          <w:b/>
          <w:color w:val="auto"/>
          <w:szCs w:val="21"/>
          <w:highlight w:val="none"/>
        </w:rPr>
        <w:t>五、</w:t>
      </w:r>
      <w:bookmarkEnd w:id="64"/>
      <w:r>
        <w:rPr>
          <w:rFonts w:hint="eastAsia" w:ascii="宋体" w:hAnsi="宋体" w:eastAsia="宋体" w:cs="宋体"/>
          <w:b/>
          <w:color w:val="auto"/>
          <w:szCs w:val="21"/>
          <w:highlight w:val="none"/>
        </w:rPr>
        <w:t>项目负责人</w:t>
      </w:r>
    </w:p>
    <w:p w14:paraId="7E2949F4">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承包人项目负责人：； 注册编号：； 身份证号：。</w:t>
      </w:r>
    </w:p>
    <w:p w14:paraId="087BC7E8">
      <w:pPr>
        <w:tabs>
          <w:tab w:val="left" w:pos="4409"/>
        </w:tabs>
        <w:snapToGrid w:val="0"/>
        <w:spacing w:line="360" w:lineRule="auto"/>
        <w:jc w:val="left"/>
        <w:rPr>
          <w:rFonts w:ascii="宋体" w:hAnsi="宋体" w:eastAsia="宋体" w:cs="宋体"/>
          <w:b/>
          <w:color w:val="auto"/>
          <w:szCs w:val="21"/>
          <w:highlight w:val="none"/>
        </w:rPr>
      </w:pPr>
      <w:bookmarkStart w:id="65" w:name="_Toc351203486"/>
      <w:r>
        <w:rPr>
          <w:rFonts w:hint="eastAsia" w:ascii="宋体" w:hAnsi="宋体" w:eastAsia="宋体" w:cs="宋体"/>
          <w:b/>
          <w:color w:val="auto"/>
          <w:szCs w:val="21"/>
          <w:highlight w:val="none"/>
        </w:rPr>
        <w:t>六、合同文件构成</w:t>
      </w:r>
      <w:bookmarkEnd w:id="65"/>
    </w:p>
    <w:p w14:paraId="3D082882">
      <w:pPr>
        <w:snapToGrid w:val="0"/>
        <w:spacing w:line="360" w:lineRule="auto"/>
        <w:ind w:firstLine="48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本协议书与下列文件一起构成合同文件：</w:t>
      </w:r>
    </w:p>
    <w:p w14:paraId="13AFBF8F">
      <w:pPr>
        <w:autoSpaceDE w:val="0"/>
        <w:autoSpaceDN w:val="0"/>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（1）中标通知书（如果有）；</w:t>
      </w:r>
    </w:p>
    <w:p w14:paraId="1BB82126">
      <w:pPr>
        <w:autoSpaceDE w:val="0"/>
        <w:autoSpaceDN w:val="0"/>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（2）投标函及其附录（如果有）； </w:t>
      </w:r>
    </w:p>
    <w:p w14:paraId="1824677F">
      <w:pPr>
        <w:autoSpaceDE w:val="0"/>
        <w:autoSpaceDN w:val="0"/>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（3）专用合同条款及其附件；</w:t>
      </w:r>
    </w:p>
    <w:p w14:paraId="7A510D1D">
      <w:pPr>
        <w:autoSpaceDE w:val="0"/>
        <w:autoSpaceDN w:val="0"/>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（4）通用合同条款；</w:t>
      </w:r>
    </w:p>
    <w:p w14:paraId="699D60F4">
      <w:pPr>
        <w:autoSpaceDE w:val="0"/>
        <w:autoSpaceDN w:val="0"/>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（5）技术标准和要求；</w:t>
      </w:r>
    </w:p>
    <w:p w14:paraId="48720A93">
      <w:pPr>
        <w:autoSpaceDE w:val="0"/>
        <w:autoSpaceDN w:val="0"/>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）已标价工程量清单或预算书；</w:t>
      </w:r>
    </w:p>
    <w:p w14:paraId="5AD2F717">
      <w:pPr>
        <w:autoSpaceDE w:val="0"/>
        <w:autoSpaceDN w:val="0"/>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）其他合同文件。</w:t>
      </w:r>
    </w:p>
    <w:p w14:paraId="432A9F08">
      <w:pPr>
        <w:autoSpaceDE w:val="0"/>
        <w:autoSpaceDN w:val="0"/>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在合同订立及履行过程中形成的与合同有关的文件均构成合同文件组成部分。如发生冲突以以上顺序为主要解释顺序。</w:t>
      </w:r>
    </w:p>
    <w:p w14:paraId="23C17BC0">
      <w:pPr>
        <w:autoSpaceDE w:val="0"/>
        <w:autoSpaceDN w:val="0"/>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bookmarkStart w:id="66" w:name="_Toc351203487"/>
    </w:p>
    <w:p w14:paraId="42803C97">
      <w:pPr>
        <w:tabs>
          <w:tab w:val="left" w:pos="4409"/>
        </w:tabs>
        <w:snapToGri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七、承诺</w:t>
      </w:r>
      <w:bookmarkEnd w:id="66"/>
    </w:p>
    <w:p w14:paraId="70E8969F">
      <w:pPr>
        <w:snapToGrid w:val="0"/>
        <w:spacing w:line="360" w:lineRule="auto"/>
        <w:ind w:firstLine="48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1.发包人承诺按照法律规定履行项目审批手续、筹集工程建设资金并按照合同约定的期限和方式支付合同价款。</w:t>
      </w:r>
    </w:p>
    <w:p w14:paraId="6872BCA7">
      <w:pPr>
        <w:snapToGrid w:val="0"/>
        <w:spacing w:line="360" w:lineRule="auto"/>
        <w:ind w:firstLine="48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15D97745">
      <w:pPr>
        <w:snapToGrid w:val="0"/>
        <w:spacing w:line="360" w:lineRule="auto"/>
        <w:ind w:firstLine="48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3.发包人和承包人通过招投标形式签订合同的，双方理解并承诺不再就同一工程另行签订与合同实质性内容相背离的协议。</w:t>
      </w:r>
    </w:p>
    <w:p w14:paraId="161A8CFD">
      <w:pPr>
        <w:snapToGrid w:val="0"/>
        <w:spacing w:line="360" w:lineRule="auto"/>
        <w:ind w:firstLine="48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4.</w:t>
      </w:r>
      <w:r>
        <w:rPr>
          <w:rFonts w:hint="eastAsia" w:ascii="宋体" w:hAnsi="宋体" w:eastAsia="宋体" w:cs="宋体"/>
          <w:bCs/>
          <w:color w:val="auto"/>
          <w:szCs w:val="21"/>
          <w:highlight w:val="none"/>
          <w:u w:val="single"/>
        </w:rPr>
        <w:t>承包人不得做出恶意低价竞标政府采购项目无意诚信履约，只是利用政府采购的低价优先原则，以报出不合理低价为手段，以占据低价优势或牟取中标为条件，以损害发包人利益和破坏正常采购秩序为代价的行为。除继续履行将损害国家利益和社会公众利益的，政府采购合同的双方当事人不得擅自变更、中止或者终止合同。成交供应商除发生法律规定的不能预见、不能避免并不能克服的客观情况外，不得放弃或拒绝签订合同。放弃或拒绝签订合同的，成交供应商不能参加对该项目重新开展的采购活动。采购人对供应商成交后放弃、拒签合同、违法转包分包，不按照承诺的品牌、型号、规格供货，不按照承诺的施工方案或质量施工，擅自改变工程量要求采购人增加款项等违法行为，除依据合同追究违约责任外，将按照《政府采购法》第七十七条第一款予以罚款，列入不良行为记录名单，在一至三年内禁止参加政府采购活动，并予以通报。</w:t>
      </w:r>
    </w:p>
    <w:p w14:paraId="384F7CF6">
      <w:pPr>
        <w:snapToGrid w:val="0"/>
        <w:spacing w:line="360" w:lineRule="auto"/>
        <w:ind w:firstLine="480" w:firstLineChars="200"/>
        <w:jc w:val="left"/>
        <w:rPr>
          <w:rFonts w:ascii="宋体" w:hAnsi="宋体" w:eastAsia="宋体" w:cs="宋体"/>
          <w:bCs/>
          <w:color w:val="auto"/>
          <w:szCs w:val="21"/>
          <w:highlight w:val="none"/>
        </w:rPr>
      </w:pPr>
    </w:p>
    <w:p w14:paraId="74728164">
      <w:pPr>
        <w:tabs>
          <w:tab w:val="left" w:pos="4409"/>
        </w:tabs>
        <w:snapToGrid w:val="0"/>
        <w:spacing w:line="360" w:lineRule="auto"/>
        <w:jc w:val="left"/>
        <w:rPr>
          <w:rFonts w:ascii="宋体" w:hAnsi="宋体" w:eastAsia="宋体" w:cs="宋体"/>
          <w:b/>
          <w:color w:val="auto"/>
          <w:szCs w:val="21"/>
          <w:highlight w:val="none"/>
        </w:rPr>
      </w:pPr>
      <w:bookmarkStart w:id="67" w:name="_Toc351203488"/>
      <w:r>
        <w:rPr>
          <w:rFonts w:hint="eastAsia" w:ascii="宋体" w:hAnsi="宋体" w:eastAsia="宋体" w:cs="宋体"/>
          <w:b/>
          <w:color w:val="auto"/>
          <w:szCs w:val="21"/>
          <w:highlight w:val="none"/>
        </w:rPr>
        <w:t>八、词语含义</w:t>
      </w:r>
      <w:bookmarkEnd w:id="67"/>
    </w:p>
    <w:p w14:paraId="511D1867">
      <w:pPr>
        <w:snapToGrid w:val="0"/>
        <w:spacing w:line="360" w:lineRule="auto"/>
        <w:ind w:firstLine="48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本协议书中词语含义与第二部分通用合同条款中赋予的含义相同。</w:t>
      </w:r>
    </w:p>
    <w:p w14:paraId="6DBB75C0">
      <w:pPr>
        <w:tabs>
          <w:tab w:val="left" w:pos="4409"/>
        </w:tabs>
        <w:snapToGrid w:val="0"/>
        <w:spacing w:line="360" w:lineRule="auto"/>
        <w:jc w:val="left"/>
        <w:rPr>
          <w:rFonts w:ascii="宋体" w:hAnsi="宋体" w:eastAsia="宋体" w:cs="宋体"/>
          <w:b/>
          <w:color w:val="auto"/>
          <w:szCs w:val="21"/>
          <w:highlight w:val="none"/>
        </w:rPr>
      </w:pPr>
      <w:bookmarkStart w:id="68" w:name="_Toc351203489"/>
      <w:r>
        <w:rPr>
          <w:rFonts w:hint="eastAsia" w:ascii="宋体" w:hAnsi="宋体" w:eastAsia="宋体" w:cs="宋体"/>
          <w:b/>
          <w:color w:val="auto"/>
          <w:szCs w:val="21"/>
          <w:highlight w:val="none"/>
        </w:rPr>
        <w:t>九、签订时间</w:t>
      </w:r>
      <w:bookmarkEnd w:id="68"/>
    </w:p>
    <w:p w14:paraId="64EAD0D0">
      <w:pPr>
        <w:snapToGrid w:val="0"/>
        <w:spacing w:line="360" w:lineRule="auto"/>
        <w:ind w:firstLine="48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本合同于年月日签订。</w:t>
      </w:r>
    </w:p>
    <w:p w14:paraId="4438158B">
      <w:pPr>
        <w:tabs>
          <w:tab w:val="left" w:pos="4409"/>
        </w:tabs>
        <w:snapToGrid w:val="0"/>
        <w:spacing w:line="360" w:lineRule="auto"/>
        <w:jc w:val="left"/>
        <w:rPr>
          <w:rFonts w:ascii="宋体" w:hAnsi="宋体" w:eastAsia="宋体" w:cs="宋体"/>
          <w:b/>
          <w:color w:val="auto"/>
          <w:szCs w:val="21"/>
          <w:highlight w:val="none"/>
        </w:rPr>
      </w:pPr>
      <w:bookmarkStart w:id="69" w:name="_Toc351203490"/>
      <w:r>
        <w:rPr>
          <w:rFonts w:hint="eastAsia" w:ascii="宋体" w:hAnsi="宋体" w:eastAsia="宋体" w:cs="宋体"/>
          <w:b/>
          <w:color w:val="auto"/>
          <w:szCs w:val="21"/>
          <w:highlight w:val="none"/>
        </w:rPr>
        <w:t>十、签订地点</w:t>
      </w:r>
      <w:bookmarkEnd w:id="69"/>
    </w:p>
    <w:p w14:paraId="53A00697">
      <w:pPr>
        <w:snapToGrid w:val="0"/>
        <w:spacing w:line="360" w:lineRule="auto"/>
        <w:ind w:firstLine="48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本合同在</w:t>
      </w:r>
      <w:r>
        <w:rPr>
          <w:rFonts w:hint="eastAsia" w:ascii="宋体" w:hAnsi="宋体" w:eastAsia="宋体" w:cs="宋体"/>
          <w:bCs/>
          <w:color w:val="auto"/>
          <w:szCs w:val="21"/>
          <w:highlight w:val="none"/>
          <w:u w:val="single"/>
        </w:rPr>
        <w:t xml:space="preserve">   发包人处     </w:t>
      </w:r>
      <w:r>
        <w:rPr>
          <w:rFonts w:hint="eastAsia" w:ascii="宋体" w:hAnsi="宋体" w:eastAsia="宋体" w:cs="宋体"/>
          <w:bCs/>
          <w:color w:val="auto"/>
          <w:szCs w:val="21"/>
          <w:highlight w:val="none"/>
        </w:rPr>
        <w:t>签订。</w:t>
      </w:r>
      <w:bookmarkStart w:id="70" w:name="_Toc351203491"/>
    </w:p>
    <w:p w14:paraId="7AF0B5F1">
      <w:pPr>
        <w:snapToGri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十一、补充协议</w:t>
      </w:r>
      <w:bookmarkEnd w:id="70"/>
    </w:p>
    <w:p w14:paraId="035B0012">
      <w:pPr>
        <w:snapToGrid w:val="0"/>
        <w:spacing w:line="360" w:lineRule="auto"/>
        <w:ind w:firstLine="480" w:firstLineChars="200"/>
        <w:jc w:val="left"/>
        <w:rPr>
          <w:rFonts w:ascii="宋体" w:hAnsi="宋体" w:eastAsia="宋体" w:cs="宋体"/>
          <w:b/>
          <w:bCs/>
          <w:color w:val="auto"/>
          <w:szCs w:val="21"/>
          <w:highlight w:val="none"/>
        </w:rPr>
      </w:pPr>
      <w:r>
        <w:rPr>
          <w:rFonts w:hint="eastAsia" w:ascii="宋体" w:hAnsi="宋体" w:eastAsia="宋体" w:cs="宋体"/>
          <w:bCs/>
          <w:color w:val="auto"/>
          <w:szCs w:val="21"/>
          <w:highlight w:val="none"/>
        </w:rPr>
        <w:t>合同未尽事宜，合同当事人另行签订补充协议，补充协议是合同的组成部分</w:t>
      </w:r>
      <w:r>
        <w:rPr>
          <w:rFonts w:hint="eastAsia" w:ascii="宋体" w:hAnsi="宋体" w:cs="宋体"/>
          <w:bCs/>
          <w:color w:val="auto"/>
          <w:szCs w:val="21"/>
          <w:highlight w:val="none"/>
        </w:rPr>
        <w:t>，</w:t>
      </w:r>
      <w:r>
        <w:rPr>
          <w:rFonts w:hint="eastAsia" w:ascii="宋体" w:hAnsi="宋体"/>
          <w:bCs/>
          <w:color w:val="auto"/>
          <w:szCs w:val="21"/>
          <w:highlight w:val="none"/>
        </w:rPr>
        <w:t>与本合同具有同等法律效力。</w:t>
      </w:r>
      <w:r>
        <w:rPr>
          <w:rFonts w:hint="eastAsia" w:ascii="宋体" w:hAnsi="宋体" w:eastAsia="宋体" w:cs="宋体"/>
          <w:bCs/>
          <w:color w:val="auto"/>
          <w:szCs w:val="21"/>
          <w:highlight w:val="none"/>
        </w:rPr>
        <w:t>。</w:t>
      </w:r>
    </w:p>
    <w:p w14:paraId="50FBC9ED">
      <w:pPr>
        <w:snapToGrid w:val="0"/>
        <w:spacing w:line="360" w:lineRule="auto"/>
        <w:jc w:val="left"/>
        <w:rPr>
          <w:rFonts w:ascii="宋体" w:hAnsi="宋体" w:eastAsia="宋体" w:cs="宋体"/>
          <w:b/>
          <w:color w:val="auto"/>
          <w:szCs w:val="21"/>
          <w:highlight w:val="none"/>
        </w:rPr>
      </w:pPr>
      <w:bookmarkStart w:id="71" w:name="_Toc351203492"/>
      <w:r>
        <w:rPr>
          <w:rFonts w:hint="eastAsia" w:ascii="宋体" w:hAnsi="宋体" w:eastAsia="宋体" w:cs="宋体"/>
          <w:b/>
          <w:color w:val="auto"/>
          <w:szCs w:val="21"/>
          <w:highlight w:val="none"/>
        </w:rPr>
        <w:t>十二、合同生效</w:t>
      </w:r>
      <w:bookmarkEnd w:id="71"/>
    </w:p>
    <w:p w14:paraId="79C986A8">
      <w:pPr>
        <w:snapToGrid w:val="0"/>
        <w:spacing w:line="360" w:lineRule="auto"/>
        <w:ind w:firstLine="48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本合同自</w:t>
      </w:r>
      <w:r>
        <w:rPr>
          <w:rFonts w:hint="eastAsia" w:ascii="宋体" w:hAnsi="宋体" w:eastAsia="宋体" w:cs="宋体"/>
          <w:bCs/>
          <w:color w:val="auto"/>
          <w:szCs w:val="21"/>
          <w:highlight w:val="none"/>
          <w:u w:val="single"/>
        </w:rPr>
        <w:t xml:space="preserve">   双方盖章签字后  </w:t>
      </w:r>
      <w:r>
        <w:rPr>
          <w:rFonts w:hint="eastAsia" w:ascii="宋体" w:hAnsi="宋体" w:eastAsia="宋体" w:cs="宋体"/>
          <w:bCs/>
          <w:color w:val="auto"/>
          <w:szCs w:val="21"/>
          <w:highlight w:val="none"/>
        </w:rPr>
        <w:t>生效。</w:t>
      </w:r>
    </w:p>
    <w:p w14:paraId="307542F3">
      <w:pPr>
        <w:snapToGrid w:val="0"/>
        <w:spacing w:line="360" w:lineRule="auto"/>
        <w:jc w:val="left"/>
        <w:rPr>
          <w:rFonts w:ascii="宋体" w:hAnsi="宋体" w:eastAsia="宋体" w:cs="宋体"/>
          <w:b/>
          <w:color w:val="auto"/>
          <w:szCs w:val="21"/>
          <w:highlight w:val="none"/>
        </w:rPr>
      </w:pPr>
      <w:bookmarkStart w:id="72" w:name="_Toc351203493"/>
      <w:r>
        <w:rPr>
          <w:rFonts w:hint="eastAsia" w:ascii="宋体" w:hAnsi="宋体" w:eastAsia="宋体" w:cs="宋体"/>
          <w:b/>
          <w:color w:val="auto"/>
          <w:szCs w:val="21"/>
          <w:highlight w:val="none"/>
        </w:rPr>
        <w:t>十三、合同份数</w:t>
      </w:r>
      <w:bookmarkEnd w:id="72"/>
    </w:p>
    <w:p w14:paraId="4A862D21">
      <w:pPr>
        <w:snapToGrid w:val="0"/>
        <w:spacing w:line="360" w:lineRule="auto"/>
        <w:ind w:firstLine="48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本合同一式</w:t>
      </w:r>
      <w:r>
        <w:rPr>
          <w:rFonts w:hint="eastAsia" w:ascii="宋体" w:hAnsi="宋体" w:eastAsia="宋体" w:cs="宋体"/>
          <w:bCs/>
          <w:color w:val="auto"/>
          <w:szCs w:val="21"/>
          <w:highlight w:val="none"/>
          <w:u w:val="single"/>
        </w:rPr>
        <w:t xml:space="preserve"> 陆 </w:t>
      </w:r>
      <w:r>
        <w:rPr>
          <w:rFonts w:hint="eastAsia" w:ascii="宋体" w:hAnsi="宋体" w:eastAsia="宋体" w:cs="宋体"/>
          <w:bCs/>
          <w:color w:val="auto"/>
          <w:szCs w:val="21"/>
          <w:highlight w:val="none"/>
        </w:rPr>
        <w:t>份，均具有同等法律效力，发包人执</w:t>
      </w:r>
      <w:r>
        <w:rPr>
          <w:rFonts w:hint="eastAsia" w:ascii="宋体" w:hAnsi="宋体" w:eastAsia="宋体" w:cs="宋体"/>
          <w:bCs/>
          <w:color w:val="auto"/>
          <w:szCs w:val="21"/>
          <w:highlight w:val="none"/>
          <w:u w:val="single"/>
        </w:rPr>
        <w:t xml:space="preserve"> 叁 </w:t>
      </w:r>
      <w:r>
        <w:rPr>
          <w:rFonts w:hint="eastAsia" w:ascii="宋体" w:hAnsi="宋体" w:eastAsia="宋体" w:cs="宋体"/>
          <w:bCs/>
          <w:color w:val="auto"/>
          <w:szCs w:val="21"/>
          <w:highlight w:val="none"/>
        </w:rPr>
        <w:t>份，承包人执</w:t>
      </w:r>
      <w:r>
        <w:rPr>
          <w:rFonts w:hint="eastAsia" w:ascii="宋体" w:hAnsi="宋体" w:eastAsia="宋体" w:cs="宋体"/>
          <w:bCs/>
          <w:color w:val="auto"/>
          <w:szCs w:val="21"/>
          <w:highlight w:val="none"/>
          <w:u w:val="single"/>
        </w:rPr>
        <w:t xml:space="preserve"> 叁 </w:t>
      </w:r>
      <w:r>
        <w:rPr>
          <w:rFonts w:hint="eastAsia" w:ascii="宋体" w:hAnsi="宋体" w:eastAsia="宋体" w:cs="宋体"/>
          <w:bCs/>
          <w:color w:val="auto"/>
          <w:szCs w:val="21"/>
          <w:highlight w:val="none"/>
        </w:rPr>
        <w:t>份。</w:t>
      </w:r>
    </w:p>
    <w:p w14:paraId="244498EC">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  (公章)                            承包人：  (公章)</w:t>
      </w:r>
    </w:p>
    <w:p w14:paraId="2FF1015E">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法定代表人或其委托代理人：（签字）          法定代表人或其委托代理人：（签字）</w:t>
      </w:r>
    </w:p>
    <w:p w14:paraId="21B26BA7">
      <w:pPr>
        <w:tabs>
          <w:tab w:val="left" w:pos="4410"/>
        </w:tabs>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组织机构代码：                              组织机构代码：</w:t>
      </w:r>
    </w:p>
    <w:p w14:paraId="6AABCBBC">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地  址：                                    地  址：</w:t>
      </w:r>
    </w:p>
    <w:p w14:paraId="1C48D1CE">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邮政编码：                                  邮政编码：</w:t>
      </w:r>
    </w:p>
    <w:p w14:paraId="71400870">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法定代表人：                                法定代表人：</w:t>
      </w:r>
    </w:p>
    <w:p w14:paraId="40FEA817">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委托代理人：                                委托代理人：</w:t>
      </w:r>
    </w:p>
    <w:p w14:paraId="007BD4EC">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电  话：                                    电  话：</w:t>
      </w:r>
    </w:p>
    <w:p w14:paraId="59FF859B">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传  真：                                    传  真：</w:t>
      </w:r>
    </w:p>
    <w:p w14:paraId="2E5AB6FF">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14:paraId="5CA8CBA0">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账  号：                                    账  号：</w:t>
      </w:r>
      <w:bookmarkStart w:id="73" w:name="_Toc351203494"/>
    </w:p>
    <w:p w14:paraId="2B672DED">
      <w:pPr>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4"/>
          <w:szCs w:val="24"/>
          <w:highlight w:val="none"/>
        </w:rPr>
        <w:t>第二部分 通用合同条款</w:t>
      </w:r>
      <w:bookmarkEnd w:id="73"/>
      <w:bookmarkStart w:id="74" w:name="_Toc337558727"/>
    </w:p>
    <w:p w14:paraId="4B483770">
      <w:pPr>
        <w:snapToGrid w:val="0"/>
        <w:spacing w:line="360" w:lineRule="auto"/>
        <w:ind w:firstLine="720" w:firstLineChars="300"/>
        <w:jc w:val="left"/>
        <w:rPr>
          <w:rFonts w:ascii="宋体" w:hAnsi="宋体" w:eastAsia="宋体" w:cs="宋体"/>
          <w:color w:val="auto"/>
          <w:szCs w:val="21"/>
          <w:highlight w:val="none"/>
        </w:rPr>
      </w:pPr>
      <w:r>
        <w:rPr>
          <w:rFonts w:hint="eastAsia" w:ascii="宋体" w:hAnsi="宋体" w:eastAsia="宋体" w:cs="宋体"/>
          <w:color w:val="auto"/>
          <w:szCs w:val="21"/>
          <w:highlight w:val="none"/>
        </w:rPr>
        <w:t>此部分采用《建设工程施工合同》范本（GF-2017-0201）中《第二部分 通用</w:t>
      </w:r>
      <w:r>
        <w:rPr>
          <w:rFonts w:hint="eastAsia" w:ascii="宋体" w:hAnsi="宋体" w:cs="宋体"/>
          <w:color w:val="auto"/>
          <w:szCs w:val="21"/>
          <w:highlight w:val="none"/>
        </w:rPr>
        <w:t>合同</w:t>
      </w:r>
      <w:r>
        <w:rPr>
          <w:rFonts w:hint="eastAsia" w:ascii="宋体" w:hAnsi="宋体" w:eastAsia="宋体" w:cs="宋体"/>
          <w:color w:val="auto"/>
          <w:szCs w:val="21"/>
          <w:highlight w:val="none"/>
        </w:rPr>
        <w:t>条款》</w:t>
      </w:r>
    </w:p>
    <w:bookmarkEnd w:id="74"/>
    <w:p w14:paraId="48CFE2DB">
      <w:pPr>
        <w:spacing w:line="360" w:lineRule="auto"/>
        <w:jc w:val="center"/>
        <w:rPr>
          <w:rFonts w:ascii="宋体" w:hAnsi="宋体" w:eastAsia="宋体" w:cs="宋体"/>
          <w:b/>
          <w:color w:val="auto"/>
          <w:szCs w:val="21"/>
          <w:highlight w:val="none"/>
        </w:rPr>
      </w:pPr>
    </w:p>
    <w:p w14:paraId="0F5A59BC">
      <w:pPr>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第三部分 专用合同条款</w:t>
      </w:r>
    </w:p>
    <w:p w14:paraId="489E4B42">
      <w:pPr>
        <w:tabs>
          <w:tab w:val="left" w:pos="4409"/>
        </w:tabs>
        <w:adjustRightInd w:val="0"/>
        <w:snapToGrid w:val="0"/>
        <w:spacing w:line="360" w:lineRule="auto"/>
        <w:jc w:val="left"/>
        <w:rPr>
          <w:rFonts w:ascii="宋体" w:hAnsi="宋体" w:eastAsia="宋体" w:cs="宋体"/>
          <w:b/>
          <w:color w:val="auto"/>
          <w:szCs w:val="21"/>
          <w:highlight w:val="none"/>
        </w:rPr>
      </w:pPr>
      <w:bookmarkStart w:id="75" w:name="_Toc351203633"/>
      <w:r>
        <w:rPr>
          <w:rFonts w:hint="eastAsia" w:ascii="宋体" w:hAnsi="宋体" w:eastAsia="宋体" w:cs="宋体"/>
          <w:b/>
          <w:color w:val="auto"/>
          <w:szCs w:val="21"/>
          <w:highlight w:val="none"/>
        </w:rPr>
        <w:t>1</w:t>
      </w:r>
      <w:bookmarkStart w:id="76" w:name="_Toc292559361"/>
      <w:bookmarkStart w:id="77" w:name="_Toc296944495"/>
      <w:bookmarkStart w:id="78" w:name="_Toc296891196"/>
      <w:bookmarkStart w:id="79" w:name="_Toc297120456"/>
      <w:bookmarkStart w:id="80" w:name="_Toc292559866"/>
      <w:bookmarkStart w:id="81" w:name="_Toc297048342"/>
      <w:bookmarkStart w:id="82" w:name="_Toc296347155"/>
      <w:bookmarkStart w:id="83" w:name="_Toc296890984"/>
      <w:bookmarkStart w:id="84" w:name="_Toc296503156"/>
      <w:bookmarkStart w:id="85" w:name="_Toc296346657"/>
      <w:r>
        <w:rPr>
          <w:rFonts w:hint="eastAsia" w:ascii="宋体" w:hAnsi="宋体" w:eastAsia="宋体" w:cs="宋体"/>
          <w:b/>
          <w:color w:val="auto"/>
          <w:szCs w:val="21"/>
          <w:highlight w:val="none"/>
        </w:rPr>
        <w:t>. 一般约定</w:t>
      </w:r>
      <w:bookmarkEnd w:id="75"/>
    </w:p>
    <w:bookmarkEnd w:id="76"/>
    <w:bookmarkEnd w:id="77"/>
    <w:bookmarkEnd w:id="78"/>
    <w:bookmarkEnd w:id="79"/>
    <w:bookmarkEnd w:id="80"/>
    <w:bookmarkEnd w:id="81"/>
    <w:bookmarkEnd w:id="82"/>
    <w:bookmarkEnd w:id="83"/>
    <w:bookmarkEnd w:id="84"/>
    <w:bookmarkEnd w:id="85"/>
    <w:p w14:paraId="4A686877">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1.1 词语定义</w:t>
      </w:r>
    </w:p>
    <w:p w14:paraId="5A67564D">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1.1.1合同</w:t>
      </w:r>
    </w:p>
    <w:p w14:paraId="308E06DE">
      <w:pPr>
        <w:adjustRightInd w:val="0"/>
        <w:snapToGrid w:val="0"/>
        <w:spacing w:line="360" w:lineRule="auto"/>
        <w:ind w:firstLine="48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1.1.1.10其他合同文件包括：</w:t>
      </w:r>
      <w:r>
        <w:rPr>
          <w:rFonts w:hint="eastAsia" w:ascii="宋体" w:hAnsi="宋体" w:eastAsia="宋体" w:cs="宋体"/>
          <w:color w:val="auto"/>
          <w:szCs w:val="21"/>
          <w:highlight w:val="none"/>
          <w:u w:val="single"/>
        </w:rPr>
        <w:t>（1）合同协议书；（2）明确双方权利、义务的纪要、补充协议；（3）中标通知书；（4）投标函及其附录；（5）专用合同条款及其附件；（6）通用合同条款；（7）标准、规范及有关技术文件、技术要求；(</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rPr>
        <w:t>) 招标文件及招标文件修改澄清(含答疑)；（</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）投标文件（不含投标函及投标函附录）；（1</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）已标价工程量清单；（1</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）双方有关工程的洽商、变更等相关文件</w:t>
      </w:r>
      <w:r>
        <w:rPr>
          <w:rFonts w:hint="eastAsia" w:ascii="宋体" w:hAnsi="宋体" w:eastAsia="宋体" w:cs="宋体"/>
          <w:color w:val="auto"/>
          <w:szCs w:val="21"/>
          <w:highlight w:val="none"/>
        </w:rPr>
        <w:t>。</w:t>
      </w:r>
    </w:p>
    <w:p w14:paraId="1428CB23">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1.1.2 合同当事人及其他相关方</w:t>
      </w:r>
    </w:p>
    <w:p w14:paraId="0CF95AC8">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1.1.2.4监理人：</w:t>
      </w:r>
    </w:p>
    <w:p w14:paraId="73763842">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名    称：；</w:t>
      </w:r>
    </w:p>
    <w:p w14:paraId="77BEFCD7">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资质类别和等级：；</w:t>
      </w:r>
    </w:p>
    <w:p w14:paraId="23087541">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p>
    <w:p w14:paraId="3968233F">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电子信箱：；</w:t>
      </w:r>
    </w:p>
    <w:p w14:paraId="552C059C">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通信地址：。</w:t>
      </w:r>
    </w:p>
    <w:p w14:paraId="10855529">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1.1.2.5 设计人：</w:t>
      </w:r>
    </w:p>
    <w:p w14:paraId="36E779B8">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18CA9391">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0E959E22">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08ACCF10">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3A6F2163">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3176FF67">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1.1.3 工程和设备</w:t>
      </w:r>
    </w:p>
    <w:p w14:paraId="0090778C">
      <w:pPr>
        <w:adjustRightInd w:val="0"/>
        <w:snapToGrid w:val="0"/>
        <w:spacing w:line="360" w:lineRule="auto"/>
        <w:ind w:firstLine="48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1.1.3.7 作为施工现场组成部分的其他场所包括：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D888A67">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1.1.3.9 永久占地包括：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A331792">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1.1.3.10 临时占地包括：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98109CF">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1.3法律 </w:t>
      </w:r>
    </w:p>
    <w:p w14:paraId="7FA3950A">
      <w:pPr>
        <w:adjustRightInd w:val="0"/>
        <w:snapToGrid w:val="0"/>
        <w:spacing w:line="360" w:lineRule="auto"/>
        <w:ind w:firstLine="48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适用于合同的其他规范性文件：</w:t>
      </w:r>
      <w:r>
        <w:rPr>
          <w:rFonts w:hint="eastAsia" w:ascii="宋体" w:hAnsi="宋体"/>
          <w:color w:val="auto"/>
          <w:szCs w:val="21"/>
          <w:highlight w:val="none"/>
          <w:u w:val="single"/>
        </w:rPr>
        <w:t>《中华人民共和国民法典》、《中华人民共和国建筑法》、《中华人民共和国安全生产法》、《建设工程质量管理条例》、及国家、江苏省、南京市有关建筑工程的法规条令</w:t>
      </w:r>
      <w:r>
        <w:rPr>
          <w:rFonts w:hint="eastAsia" w:ascii="宋体" w:hAnsi="宋体"/>
          <w:color w:val="auto"/>
          <w:szCs w:val="21"/>
          <w:highlight w:val="none"/>
        </w:rPr>
        <w:t>。</w:t>
      </w:r>
    </w:p>
    <w:p w14:paraId="37E2BEEA">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1.4 标准和规范</w:t>
      </w:r>
    </w:p>
    <w:p w14:paraId="34ECBD28">
      <w:pPr>
        <w:adjustRightInd w:val="0"/>
        <w:snapToGrid w:val="0"/>
        <w:spacing w:line="360" w:lineRule="auto"/>
        <w:ind w:firstLine="48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1.4.1适用于工程的标准规范包括：</w:t>
      </w:r>
      <w:r>
        <w:rPr>
          <w:rFonts w:hint="eastAsia" w:ascii="宋体" w:hAnsi="宋体" w:eastAsia="宋体" w:cs="宋体"/>
          <w:color w:val="auto"/>
          <w:szCs w:val="21"/>
          <w:highlight w:val="none"/>
          <w:u w:val="single"/>
        </w:rPr>
        <w:t>现行国家、行业、专业及南京市的有关标准、规范、规定和条例所阐明的强制性标准。除非合同中另有规定，施工所用的规范及标准须采用最新版本。当对同一考核指标国家、行业、专业和南京市颁布的有关标准、规范产生不一致时，以其颁布的标准、规范较为严格者为准</w:t>
      </w:r>
      <w:r>
        <w:rPr>
          <w:rFonts w:hint="eastAsia" w:ascii="宋体" w:hAnsi="宋体" w:eastAsia="宋体" w:cs="宋体"/>
          <w:color w:val="auto"/>
          <w:szCs w:val="21"/>
          <w:highlight w:val="none"/>
        </w:rPr>
        <w:t>。</w:t>
      </w:r>
    </w:p>
    <w:p w14:paraId="17F378BD">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1.4.2 发包人提供国外标准、规范的名称：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3E671CF6">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发包人提供国外标准、规范的份数：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C304B8B">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发包人提供国外标准、规范的名称：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251F61C">
      <w:pPr>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1.4.3发包人对工程的技术标准和功能要求的特殊要求：</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1B8F4633">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1.5 合同文件的优先顺序</w:t>
      </w:r>
    </w:p>
    <w:p w14:paraId="3B3AD582">
      <w:pPr>
        <w:adjustRightInd w:val="0"/>
        <w:snapToGrid w:val="0"/>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合同文件组成及优先顺序为：</w:t>
      </w:r>
      <w:r>
        <w:rPr>
          <w:rFonts w:hint="eastAsia" w:ascii="宋体" w:hAnsi="宋体" w:eastAsia="宋体" w:cs="宋体"/>
          <w:color w:val="auto"/>
          <w:szCs w:val="21"/>
          <w:highlight w:val="none"/>
          <w:u w:val="single"/>
        </w:rPr>
        <w:t>（1）合同协议书；（2）明确双方权利、义务的纪要、补充协议；（3）中标通知书；（4）投标函及其附录；（5）专用合同条款及其附件；（6）通用合同条款；（7）标准、规范及有关技术文件、技术要求；(</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rPr>
        <w:t>) 招标文件及招标文件修改澄清(含答疑)；（</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）投标文件（不含投标函及投标函附录）；（1</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）已标价工程量清单；（1</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）双方有关工程的洽商、变更等相关文件。以此为解释顺序。  </w:t>
      </w:r>
    </w:p>
    <w:p w14:paraId="664C1681">
      <w:pPr>
        <w:adjustRightInd w:val="0"/>
        <w:snapToGrid w:val="0"/>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上述各项合同文件包括合同当事人就该项合同文件所作出的补充和修改，属于同一类内容的文件，应以最新签署的为准，如果合同出现模糊、矛盾或不一致之处（本合同另有约定的除外），以发包人的解释和澄清为准。</w:t>
      </w:r>
    </w:p>
    <w:p w14:paraId="08FF1ABB">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1.6 图纸和承包人文件</w:t>
      </w:r>
      <w:r>
        <w:rPr>
          <w:rFonts w:hint="eastAsia" w:ascii="宋体" w:hAnsi="宋体" w:eastAsia="宋体" w:cs="宋体"/>
          <w:color w:val="auto"/>
          <w:szCs w:val="21"/>
          <w:highlight w:val="none"/>
        </w:rPr>
        <w:tab/>
      </w:r>
    </w:p>
    <w:p w14:paraId="00B913CC">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1.6.1 图纸的提供</w:t>
      </w:r>
    </w:p>
    <w:p w14:paraId="0B4ADB22">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发包人向承包人提供图纸的期限：</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8E00800">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发包人向承包人提供图纸的数量：</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rPr>
        <w:t>。</w:t>
      </w:r>
    </w:p>
    <w:p w14:paraId="40D81B35">
      <w:pPr>
        <w:adjustRightInd w:val="0"/>
        <w:snapToGrid w:val="0"/>
        <w:spacing w:line="360" w:lineRule="auto"/>
        <w:ind w:firstLine="2"/>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发包人对图纸的保密要求：</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rPr>
        <w:t>。 </w:t>
      </w:r>
    </w:p>
    <w:p w14:paraId="5C0667E2">
      <w:pPr>
        <w:adjustRightInd w:val="0"/>
        <w:snapToGrid w:val="0"/>
        <w:spacing w:line="360" w:lineRule="auto"/>
        <w:ind w:firstLine="48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发包人向承包人提供图纸的内容</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w:t>
      </w:r>
    </w:p>
    <w:p w14:paraId="3A8776D6">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1.6.4 承包人文件</w:t>
      </w:r>
    </w:p>
    <w:p w14:paraId="31AF0C7D">
      <w:pPr>
        <w:adjustRightInd w:val="0"/>
        <w:snapToGrid w:val="0"/>
        <w:spacing w:line="360" w:lineRule="auto"/>
        <w:ind w:firstLine="2"/>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需要由承包人提供的文件，包括：</w:t>
      </w:r>
      <w:r>
        <w:rPr>
          <w:rFonts w:hint="eastAsia" w:ascii="宋体" w:hAnsi="宋体" w:eastAsia="宋体" w:cs="宋体"/>
          <w:color w:val="auto"/>
          <w:szCs w:val="21"/>
          <w:highlight w:val="none"/>
          <w:u w:val="single"/>
        </w:rPr>
        <w:t>施工组织设计、施工方案、进度计划、材料进场计划、甲供材清单及时间要求、劳动力及机械进场计划、已完工程报表等发包人要求的文件资料和报表</w:t>
      </w:r>
      <w:r>
        <w:rPr>
          <w:rFonts w:hint="eastAsia" w:ascii="宋体" w:hAnsi="宋体" w:eastAsia="宋体" w:cs="宋体"/>
          <w:color w:val="auto"/>
          <w:szCs w:val="21"/>
          <w:highlight w:val="none"/>
        </w:rPr>
        <w:t>；</w:t>
      </w:r>
    </w:p>
    <w:p w14:paraId="0B4AF757">
      <w:pPr>
        <w:adjustRightInd w:val="0"/>
        <w:snapToGrid w:val="0"/>
        <w:spacing w:line="360" w:lineRule="auto"/>
        <w:ind w:firstLine="2"/>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承包人提供的文件的期限为：</w:t>
      </w:r>
      <w:r>
        <w:rPr>
          <w:rFonts w:hint="eastAsia" w:ascii="宋体" w:hAnsi="宋体" w:eastAsia="宋体" w:cs="宋体"/>
          <w:color w:val="auto"/>
          <w:szCs w:val="21"/>
          <w:highlight w:val="none"/>
          <w:u w:val="single"/>
        </w:rPr>
        <w:t>提供本月实际完成工作量统计表、工程进度计划、工程建设单位供应材料使用计划及发包人要求提供的其它报表</w:t>
      </w:r>
      <w:r>
        <w:rPr>
          <w:rFonts w:hint="eastAsia" w:ascii="宋体" w:hAnsi="宋体" w:eastAsia="宋体" w:cs="宋体"/>
          <w:color w:val="auto"/>
          <w:szCs w:val="21"/>
          <w:highlight w:val="none"/>
        </w:rPr>
        <w:t>。</w:t>
      </w:r>
    </w:p>
    <w:p w14:paraId="10572E37">
      <w:pPr>
        <w:adjustRightInd w:val="0"/>
        <w:snapToGrid w:val="0"/>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承包人提供的文件的数量为：</w:t>
      </w:r>
      <w:r>
        <w:rPr>
          <w:rFonts w:hint="eastAsia" w:ascii="宋体" w:hAnsi="宋体" w:eastAsia="宋体" w:cs="宋体"/>
          <w:color w:val="auto"/>
          <w:szCs w:val="21"/>
          <w:highlight w:val="none"/>
          <w:u w:val="single"/>
        </w:rPr>
        <w:t>按发包人要求</w:t>
      </w:r>
      <w:r>
        <w:rPr>
          <w:rFonts w:hint="eastAsia" w:ascii="宋体" w:hAnsi="宋体" w:eastAsia="宋体" w:cs="宋体"/>
          <w:color w:val="auto"/>
          <w:szCs w:val="21"/>
          <w:highlight w:val="none"/>
        </w:rPr>
        <w:t>；</w:t>
      </w:r>
    </w:p>
    <w:p w14:paraId="6FEA9201">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承包人提供的文件的形式为：</w:t>
      </w:r>
      <w:r>
        <w:rPr>
          <w:rFonts w:hint="eastAsia" w:ascii="宋体" w:hAnsi="宋体" w:eastAsia="宋体" w:cs="宋体"/>
          <w:color w:val="auto"/>
          <w:szCs w:val="21"/>
          <w:highlight w:val="none"/>
          <w:u w:val="single"/>
        </w:rPr>
        <w:t>纸质及电子文件</w:t>
      </w:r>
      <w:r>
        <w:rPr>
          <w:rFonts w:hint="eastAsia" w:ascii="宋体" w:hAnsi="宋体" w:eastAsia="宋体" w:cs="宋体"/>
          <w:color w:val="auto"/>
          <w:szCs w:val="21"/>
          <w:highlight w:val="none"/>
        </w:rPr>
        <w:t>；</w:t>
      </w:r>
    </w:p>
    <w:p w14:paraId="61A4F126">
      <w:pPr>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发包人审批承包人文件的期限：</w:t>
      </w:r>
      <w:r>
        <w:rPr>
          <w:rFonts w:hint="eastAsia" w:ascii="宋体" w:hAnsi="宋体" w:eastAsia="宋体" w:cs="宋体"/>
          <w:color w:val="auto"/>
          <w:szCs w:val="21"/>
          <w:highlight w:val="none"/>
          <w:u w:val="single"/>
        </w:rPr>
        <w:t xml:space="preserve">第一次工地例会召开后一周内 </w:t>
      </w:r>
      <w:r>
        <w:rPr>
          <w:rFonts w:hint="eastAsia" w:ascii="宋体" w:hAnsi="宋体" w:eastAsia="宋体" w:cs="宋体"/>
          <w:color w:val="auto"/>
          <w:szCs w:val="21"/>
          <w:highlight w:val="none"/>
        </w:rPr>
        <w:t>。</w:t>
      </w:r>
    </w:p>
    <w:p w14:paraId="20755DFE">
      <w:pPr>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1.6.5 现场图纸准备</w:t>
      </w:r>
    </w:p>
    <w:p w14:paraId="3B3ACA4A">
      <w:pPr>
        <w:adjustRightInd w:val="0"/>
        <w:snapToGrid w:val="0"/>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关于现场图纸准备的约定：</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rPr>
        <w:t>。</w:t>
      </w:r>
    </w:p>
    <w:p w14:paraId="2AA98A79">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 联络</w:t>
      </w:r>
    </w:p>
    <w:p w14:paraId="62B48121">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1.7.1发包人和承包人应当在</w:t>
      </w:r>
      <w:r>
        <w:rPr>
          <w:rFonts w:hint="eastAsia" w:ascii="宋体" w:hAnsi="宋体" w:eastAsia="宋体" w:cs="宋体"/>
          <w:color w:val="auto"/>
          <w:szCs w:val="21"/>
          <w:highlight w:val="none"/>
          <w:u w:val="single"/>
        </w:rPr>
        <w:t xml:space="preserve"> 7 </w:t>
      </w:r>
      <w:r>
        <w:rPr>
          <w:rFonts w:hint="eastAsia" w:ascii="宋体" w:hAnsi="宋体" w:eastAsia="宋体" w:cs="宋体"/>
          <w:color w:val="auto"/>
          <w:szCs w:val="21"/>
          <w:highlight w:val="none"/>
        </w:rPr>
        <w:t>天内将与合同有关的通知、批准、证明、证书、指示、指令、要求、请求、书面同意、意见、确定和决定等书面函件送达对方当事人。</w:t>
      </w:r>
    </w:p>
    <w:p w14:paraId="4A0A0EA2">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1.7.2 发包人接收文件的地点：</w:t>
      </w:r>
      <w:r>
        <w:rPr>
          <w:rFonts w:hint="eastAsia" w:ascii="宋体" w:hAnsi="宋体" w:eastAsia="宋体" w:cs="宋体"/>
          <w:color w:val="auto"/>
          <w:szCs w:val="21"/>
          <w:highlight w:val="none"/>
          <w:u w:val="single"/>
        </w:rPr>
        <w:t xml:space="preserve"> 项目现场发包人项目部或发包人办公室 </w:t>
      </w:r>
      <w:r>
        <w:rPr>
          <w:rFonts w:hint="eastAsia" w:ascii="宋体" w:hAnsi="宋体" w:eastAsia="宋体" w:cs="宋体"/>
          <w:color w:val="auto"/>
          <w:szCs w:val="21"/>
          <w:highlight w:val="none"/>
        </w:rPr>
        <w:t>；</w:t>
      </w:r>
    </w:p>
    <w:p w14:paraId="5CF5E47C">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发包人指定的接收人为：</w:t>
      </w:r>
      <w:r>
        <w:rPr>
          <w:rFonts w:hint="eastAsia" w:ascii="宋体" w:hAnsi="宋体" w:eastAsia="宋体" w:cs="宋体"/>
          <w:color w:val="auto"/>
          <w:szCs w:val="21"/>
          <w:highlight w:val="none"/>
          <w:u w:val="single"/>
        </w:rPr>
        <w:t xml:space="preserve"> 现场代表</w:t>
      </w:r>
      <w:r>
        <w:rPr>
          <w:rFonts w:hint="eastAsia" w:ascii="宋体" w:hAnsi="宋体" w:eastAsia="宋体" w:cs="宋体"/>
          <w:color w:val="auto"/>
          <w:szCs w:val="21"/>
          <w:highlight w:val="none"/>
        </w:rPr>
        <w:t>。</w:t>
      </w:r>
    </w:p>
    <w:p w14:paraId="07A12197">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承包人接收文件的地点：</w:t>
      </w:r>
      <w:r>
        <w:rPr>
          <w:rFonts w:hint="eastAsia" w:ascii="宋体" w:hAnsi="宋体" w:eastAsia="宋体" w:cs="宋体"/>
          <w:color w:val="auto"/>
          <w:szCs w:val="21"/>
          <w:highlight w:val="none"/>
          <w:u w:val="single"/>
        </w:rPr>
        <w:t xml:space="preserve"> 项目现场承包人项目部或承包人办公室 </w:t>
      </w:r>
      <w:r>
        <w:rPr>
          <w:rFonts w:hint="eastAsia" w:ascii="宋体" w:hAnsi="宋体" w:eastAsia="宋体" w:cs="宋体"/>
          <w:color w:val="auto"/>
          <w:szCs w:val="21"/>
          <w:highlight w:val="none"/>
        </w:rPr>
        <w:t>；</w:t>
      </w:r>
    </w:p>
    <w:p w14:paraId="23C0A9FA">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承包人指定的接收人为：</w:t>
      </w:r>
      <w:r>
        <w:rPr>
          <w:rFonts w:hint="eastAsia" w:ascii="宋体" w:hAnsi="宋体" w:eastAsia="宋体" w:cs="宋体"/>
          <w:color w:val="auto"/>
          <w:szCs w:val="21"/>
          <w:highlight w:val="none"/>
          <w:u w:val="single"/>
        </w:rPr>
        <w:t>项目负责人</w:t>
      </w:r>
      <w:r>
        <w:rPr>
          <w:rFonts w:hint="eastAsia" w:ascii="宋体" w:hAnsi="宋体" w:eastAsia="宋体" w:cs="宋体"/>
          <w:color w:val="auto"/>
          <w:szCs w:val="21"/>
          <w:highlight w:val="none"/>
        </w:rPr>
        <w:t>。</w:t>
      </w:r>
    </w:p>
    <w:p w14:paraId="6FA76B5D">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监理人接收文件的地点：</w:t>
      </w:r>
      <w:r>
        <w:rPr>
          <w:rFonts w:hint="eastAsia" w:ascii="宋体" w:hAnsi="宋体" w:eastAsia="宋体" w:cs="宋体"/>
          <w:color w:val="auto"/>
          <w:szCs w:val="21"/>
          <w:highlight w:val="none"/>
          <w:u w:val="single"/>
        </w:rPr>
        <w:t xml:space="preserve"> 项目现场监理项目部或监理人办公室 </w:t>
      </w:r>
      <w:r>
        <w:rPr>
          <w:rFonts w:hint="eastAsia" w:ascii="宋体" w:hAnsi="宋体" w:eastAsia="宋体" w:cs="宋体"/>
          <w:color w:val="auto"/>
          <w:szCs w:val="21"/>
          <w:highlight w:val="none"/>
        </w:rPr>
        <w:t>；</w:t>
      </w:r>
    </w:p>
    <w:p w14:paraId="6DA85D4D">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监理人指定的接收人为：</w:t>
      </w:r>
      <w:r>
        <w:rPr>
          <w:rFonts w:hint="eastAsia" w:ascii="宋体" w:hAnsi="宋体" w:eastAsia="宋体" w:cs="宋体"/>
          <w:color w:val="auto"/>
          <w:szCs w:val="21"/>
          <w:highlight w:val="none"/>
          <w:u w:val="single"/>
        </w:rPr>
        <w:t xml:space="preserve"> 总监</w:t>
      </w:r>
      <w:r>
        <w:rPr>
          <w:rFonts w:hint="eastAsia" w:ascii="宋体" w:hAnsi="宋体" w:eastAsia="宋体" w:cs="宋体"/>
          <w:color w:val="auto"/>
          <w:szCs w:val="21"/>
          <w:highlight w:val="none"/>
        </w:rPr>
        <w:t>。</w:t>
      </w:r>
    </w:p>
    <w:p w14:paraId="7518372A">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1.10 交通运输</w:t>
      </w:r>
    </w:p>
    <w:p w14:paraId="20A18F2C">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bookmarkStart w:id="86" w:name="_Toc312677986"/>
      <w:bookmarkStart w:id="87" w:name="_Toc318581155"/>
      <w:bookmarkStart w:id="88" w:name="_Toc303539100"/>
      <w:bookmarkStart w:id="89" w:name="_Toc304295521"/>
      <w:bookmarkStart w:id="90" w:name="_Toc300934943"/>
      <w:r>
        <w:rPr>
          <w:rFonts w:hint="eastAsia" w:ascii="宋体" w:hAnsi="宋体" w:eastAsia="宋体" w:cs="宋体"/>
          <w:color w:val="auto"/>
          <w:szCs w:val="21"/>
          <w:highlight w:val="none"/>
        </w:rPr>
        <w:t>.10.1 出入现场的权利</w:t>
      </w:r>
    </w:p>
    <w:p w14:paraId="06239394">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关于出入现场的权利的约定：</w:t>
      </w:r>
      <w:r>
        <w:rPr>
          <w:rFonts w:hint="eastAsia" w:ascii="宋体" w:hAnsi="宋体" w:eastAsia="宋体" w:cs="宋体"/>
          <w:color w:val="auto"/>
          <w:szCs w:val="21"/>
          <w:highlight w:val="none"/>
          <w:u w:val="single"/>
        </w:rPr>
        <w:t>承包人必须遵守政府有关主管部门对进入施工场地交通的管理规定，按规定办理有关手续，承担有关费用，该费用已含在签约合同价中，承包人不得允许与项目施工无关的人员进入现场，如无关人员擅自进入现场，由此而产生的后果由承包人自行负责。</w:t>
      </w:r>
    </w:p>
    <w:bookmarkEnd w:id="86"/>
    <w:bookmarkEnd w:id="87"/>
    <w:bookmarkEnd w:id="88"/>
    <w:bookmarkEnd w:id="89"/>
    <w:bookmarkEnd w:id="90"/>
    <w:p w14:paraId="6EE9CE03">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bookmarkStart w:id="91" w:name="_Toc312677987"/>
      <w:bookmarkStart w:id="92" w:name="_Toc304295522"/>
      <w:bookmarkStart w:id="93" w:name="_Toc300934944"/>
      <w:bookmarkStart w:id="94" w:name="_Toc318581156"/>
      <w:bookmarkStart w:id="95" w:name="_Toc303539101"/>
      <w:r>
        <w:rPr>
          <w:rFonts w:hint="eastAsia" w:ascii="宋体" w:hAnsi="宋体" w:eastAsia="宋体" w:cs="宋体"/>
          <w:color w:val="auto"/>
          <w:szCs w:val="21"/>
          <w:highlight w:val="none"/>
        </w:rPr>
        <w:t>.10.3 场内交通</w:t>
      </w:r>
    </w:p>
    <w:p w14:paraId="62029083">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关于场外交通和场内交通的边界的约定：</w:t>
      </w:r>
      <w:r>
        <w:rPr>
          <w:rFonts w:hint="eastAsia" w:ascii="宋体" w:hAnsi="宋体" w:eastAsia="宋体" w:cs="宋体"/>
          <w:color w:val="auto"/>
          <w:szCs w:val="21"/>
          <w:highlight w:val="none"/>
          <w:u w:val="single"/>
        </w:rPr>
        <w:t>视项目现场情况与发包人另行约定</w:t>
      </w:r>
      <w:r>
        <w:rPr>
          <w:rFonts w:hint="eastAsia" w:ascii="宋体" w:hAnsi="宋体" w:eastAsia="宋体" w:cs="宋体"/>
          <w:color w:val="auto"/>
          <w:szCs w:val="21"/>
          <w:highlight w:val="none"/>
        </w:rPr>
        <w:t>。</w:t>
      </w:r>
    </w:p>
    <w:p w14:paraId="2C3ED031">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关于发包人向承包人免费提供满足工程施工需要的场内道路和交通设施的约定：</w:t>
      </w:r>
      <w:bookmarkEnd w:id="91"/>
      <w:bookmarkEnd w:id="92"/>
      <w:bookmarkEnd w:id="93"/>
      <w:bookmarkEnd w:id="94"/>
      <w:bookmarkEnd w:id="95"/>
      <w:bookmarkStart w:id="96" w:name="_Toc318581157"/>
      <w:r>
        <w:rPr>
          <w:rFonts w:hint="eastAsia" w:ascii="宋体" w:hAnsi="宋体" w:eastAsia="宋体" w:cs="宋体"/>
          <w:color w:val="auto"/>
          <w:szCs w:val="21"/>
          <w:highlight w:val="none"/>
          <w:u w:val="single"/>
        </w:rPr>
        <w:t>施工所需的场内临时道路和交通设施的修建、维护、养护和管理人：承包人，相关费用由承包人承担。发包人有权无偿使用承包人修建的临时道路和交通设施，不需要缴纳任何费用。</w:t>
      </w:r>
    </w:p>
    <w:p w14:paraId="6D3F3B33">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1.10.4超大件和超重件的运输</w:t>
      </w:r>
    </w:p>
    <w:p w14:paraId="2116C321">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运输超大件或超重件所需的道路和桥梁临时加固改造费用和其他有关费用由</w:t>
      </w:r>
      <w:r>
        <w:rPr>
          <w:rFonts w:hint="eastAsia" w:ascii="宋体" w:hAnsi="宋体" w:eastAsia="宋体" w:cs="宋体"/>
          <w:color w:val="auto"/>
          <w:szCs w:val="21"/>
          <w:highlight w:val="none"/>
          <w:u w:val="single"/>
        </w:rPr>
        <w:t xml:space="preserve"> 承包人 </w:t>
      </w:r>
      <w:r>
        <w:rPr>
          <w:rFonts w:hint="eastAsia" w:ascii="宋体" w:hAnsi="宋体" w:eastAsia="宋体" w:cs="宋体"/>
          <w:color w:val="auto"/>
          <w:szCs w:val="21"/>
          <w:highlight w:val="none"/>
        </w:rPr>
        <w:t>承担。</w:t>
      </w:r>
    </w:p>
    <w:bookmarkEnd w:id="96"/>
    <w:p w14:paraId="7F1C03B4">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1.11 知识产权</w:t>
      </w:r>
    </w:p>
    <w:p w14:paraId="3283D712">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1.11.1关于发包人为实施工程自行编制或委托编制的技术规范以及反映发包人关于合同要求或其他类似性质的文件的著作权的归属：</w:t>
      </w:r>
      <w:r>
        <w:rPr>
          <w:rFonts w:hint="eastAsia" w:ascii="宋体" w:hAnsi="宋体" w:eastAsia="宋体" w:cs="宋体"/>
          <w:color w:val="auto"/>
          <w:szCs w:val="21"/>
          <w:highlight w:val="none"/>
          <w:u w:val="single"/>
        </w:rPr>
        <w:t xml:space="preserve">归发包人所有 </w:t>
      </w:r>
      <w:r>
        <w:rPr>
          <w:rFonts w:hint="eastAsia" w:ascii="宋体" w:hAnsi="宋体" w:eastAsia="宋体" w:cs="宋体"/>
          <w:color w:val="auto"/>
          <w:szCs w:val="21"/>
          <w:highlight w:val="none"/>
        </w:rPr>
        <w:t>。</w:t>
      </w:r>
    </w:p>
    <w:p w14:paraId="049061CA">
      <w:pPr>
        <w:adjustRightInd w:val="0"/>
        <w:snapToGrid w:val="0"/>
        <w:spacing w:line="360" w:lineRule="auto"/>
        <w:ind w:firstLine="578" w:firstLineChars="241"/>
        <w:jc w:val="lef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关于发包人提供的上述文件的使用限制的要求：</w:t>
      </w:r>
      <w:r>
        <w:rPr>
          <w:rFonts w:hint="eastAsia" w:ascii="宋体" w:hAnsi="宋体" w:eastAsia="宋体" w:cs="宋体"/>
          <w:color w:val="auto"/>
          <w:szCs w:val="21"/>
          <w:highlight w:val="none"/>
          <w:u w:val="single"/>
        </w:rPr>
        <w:t>未经发包人同意不得复制，不得移作他用</w:t>
      </w:r>
      <w:r>
        <w:rPr>
          <w:rFonts w:hint="eastAsia" w:ascii="宋体" w:hAnsi="宋体" w:cs="宋体"/>
          <w:color w:val="auto"/>
          <w:szCs w:val="21"/>
          <w:highlight w:val="none"/>
          <w:u w:val="single"/>
          <w:lang w:eastAsia="zh-CN"/>
        </w:rPr>
        <w:t>。</w:t>
      </w:r>
    </w:p>
    <w:p w14:paraId="7ADEB760">
      <w:pPr>
        <w:adjustRightInd w:val="0"/>
        <w:snapToGrid w:val="0"/>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1.11.2 关于承包人为实施工程所编制文件的著作权的归属：</w:t>
      </w:r>
      <w:r>
        <w:rPr>
          <w:rFonts w:hint="eastAsia" w:ascii="宋体" w:hAnsi="宋体" w:eastAsia="宋体" w:cs="宋体"/>
          <w:color w:val="auto"/>
          <w:szCs w:val="21"/>
          <w:highlight w:val="none"/>
          <w:u w:val="single"/>
        </w:rPr>
        <w:t>除署名权以外的著作权归发包人所有</w:t>
      </w:r>
      <w:r>
        <w:rPr>
          <w:rFonts w:hint="eastAsia" w:ascii="宋体" w:hAnsi="宋体" w:eastAsia="宋体" w:cs="宋体"/>
          <w:color w:val="auto"/>
          <w:szCs w:val="21"/>
          <w:highlight w:val="none"/>
        </w:rPr>
        <w:t>。</w:t>
      </w:r>
    </w:p>
    <w:p w14:paraId="66249207">
      <w:pPr>
        <w:adjustRightInd w:val="0"/>
        <w:snapToGrid w:val="0"/>
        <w:spacing w:line="360" w:lineRule="auto"/>
        <w:ind w:firstLine="578" w:firstLineChars="241"/>
        <w:jc w:val="lef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关于承包人提供的上述文件的使用限制的要求：</w:t>
      </w:r>
      <w:r>
        <w:rPr>
          <w:rFonts w:hint="eastAsia" w:ascii="宋体" w:hAnsi="宋体" w:eastAsia="宋体" w:cs="宋体"/>
          <w:color w:val="auto"/>
          <w:szCs w:val="21"/>
          <w:highlight w:val="none"/>
          <w:u w:val="single"/>
        </w:rPr>
        <w:t>仅限本工程使用，未经发包人同意不得转借，不得移作他用</w:t>
      </w:r>
      <w:r>
        <w:rPr>
          <w:rFonts w:hint="eastAsia" w:ascii="宋体" w:hAnsi="宋体" w:cs="宋体"/>
          <w:color w:val="auto"/>
          <w:szCs w:val="21"/>
          <w:highlight w:val="none"/>
          <w:u w:val="single"/>
          <w:lang w:eastAsia="zh-CN"/>
        </w:rPr>
        <w:t>。</w:t>
      </w:r>
    </w:p>
    <w:p w14:paraId="721BD501">
      <w:pPr>
        <w:adjustRightInd w:val="0"/>
        <w:snapToGrid w:val="0"/>
        <w:spacing w:line="360" w:lineRule="auto"/>
        <w:ind w:firstLine="48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1.11.4 承包人在施工过程中所采用的专利、专有技术、技术秘密的使用费的承担方式：</w:t>
      </w:r>
      <w:r>
        <w:rPr>
          <w:rFonts w:hint="eastAsia" w:ascii="宋体" w:hAnsi="宋体" w:eastAsia="宋体" w:cs="宋体"/>
          <w:color w:val="auto"/>
          <w:szCs w:val="21"/>
          <w:highlight w:val="none"/>
          <w:u w:val="single"/>
        </w:rPr>
        <w:t>由承包人承担且包含在签约合同价中</w:t>
      </w:r>
      <w:r>
        <w:rPr>
          <w:rFonts w:hint="eastAsia" w:ascii="宋体" w:hAnsi="宋体" w:cs="宋体"/>
          <w:color w:val="auto"/>
          <w:szCs w:val="21"/>
          <w:highlight w:val="none"/>
          <w:u w:val="single"/>
          <w:lang w:eastAsia="zh-CN"/>
        </w:rPr>
        <w:t>。</w:t>
      </w:r>
    </w:p>
    <w:p w14:paraId="2149254E">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1.13工程量清单错误的修正</w:t>
      </w:r>
    </w:p>
    <w:p w14:paraId="7C69F726">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出现工程量清单错误时，是否调整合同价格：</w:t>
      </w:r>
      <w:r>
        <w:rPr>
          <w:rFonts w:hint="eastAsia" w:ascii="宋体" w:hAnsi="宋体" w:eastAsia="宋体" w:cs="宋体"/>
          <w:color w:val="auto"/>
          <w:szCs w:val="21"/>
          <w:highlight w:val="none"/>
          <w:u w:val="single"/>
        </w:rPr>
        <w:t xml:space="preserve"> 否 </w:t>
      </w:r>
      <w:r>
        <w:rPr>
          <w:rFonts w:hint="eastAsia" w:ascii="宋体" w:hAnsi="宋体" w:eastAsia="宋体" w:cs="宋体"/>
          <w:color w:val="auto"/>
          <w:szCs w:val="21"/>
          <w:highlight w:val="none"/>
        </w:rPr>
        <w:t>。</w:t>
      </w:r>
    </w:p>
    <w:p w14:paraId="08D9A993">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允许调整合同价格的工程量偏差范围：</w:t>
      </w:r>
      <w:bookmarkStart w:id="97" w:name="_Toc351203634"/>
      <w:r>
        <w:rPr>
          <w:rFonts w:hint="eastAsia" w:ascii="宋体" w:hAnsi="宋体" w:eastAsia="宋体" w:cs="宋体"/>
          <w:color w:val="auto"/>
          <w:szCs w:val="21"/>
          <w:highlight w:val="none"/>
          <w:u w:val="single"/>
        </w:rPr>
        <w:t>若工程量清单子目部分或全部取消时，在合同价中直接核减，发包人对承包人的未取得利润不做任何赔偿</w:t>
      </w:r>
      <w:r>
        <w:rPr>
          <w:rFonts w:hint="eastAsia" w:ascii="宋体" w:hAnsi="宋体" w:eastAsia="宋体" w:cs="宋体"/>
          <w:color w:val="auto"/>
          <w:szCs w:val="21"/>
          <w:highlight w:val="none"/>
        </w:rPr>
        <w:t xml:space="preserve">。           </w:t>
      </w:r>
    </w:p>
    <w:p w14:paraId="13778A45">
      <w:pPr>
        <w:tabs>
          <w:tab w:val="left" w:pos="4409"/>
        </w:tabs>
        <w:adjustRightInd w:val="0"/>
        <w:snapToGri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2</w:t>
      </w:r>
      <w:bookmarkStart w:id="98" w:name="_Toc292559867"/>
      <w:bookmarkStart w:id="99" w:name="_Toc296346658"/>
      <w:bookmarkStart w:id="100" w:name="_Toc296890985"/>
      <w:bookmarkStart w:id="101" w:name="_Toc296347156"/>
      <w:bookmarkStart w:id="102" w:name="_Toc296503157"/>
      <w:bookmarkStart w:id="103" w:name="_Toc296891197"/>
      <w:bookmarkStart w:id="104" w:name="_Toc297120457"/>
      <w:bookmarkStart w:id="105" w:name="_Toc297048343"/>
      <w:bookmarkStart w:id="106" w:name="_Toc296944496"/>
      <w:bookmarkStart w:id="107" w:name="_Toc292559362"/>
      <w:r>
        <w:rPr>
          <w:rFonts w:hint="eastAsia" w:ascii="宋体" w:hAnsi="宋体" w:eastAsia="宋体" w:cs="宋体"/>
          <w:b/>
          <w:color w:val="auto"/>
          <w:szCs w:val="21"/>
          <w:highlight w:val="none"/>
        </w:rPr>
        <w:t>. 发包人</w:t>
      </w:r>
      <w:bookmarkEnd w:id="97"/>
    </w:p>
    <w:bookmarkEnd w:id="98"/>
    <w:bookmarkEnd w:id="99"/>
    <w:bookmarkEnd w:id="100"/>
    <w:bookmarkEnd w:id="101"/>
    <w:bookmarkEnd w:id="102"/>
    <w:bookmarkEnd w:id="103"/>
    <w:bookmarkEnd w:id="104"/>
    <w:bookmarkEnd w:id="105"/>
    <w:bookmarkEnd w:id="106"/>
    <w:bookmarkEnd w:id="107"/>
    <w:p w14:paraId="0F26E29B">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2.2 发包人代表</w:t>
      </w:r>
    </w:p>
    <w:p w14:paraId="2B7312B6">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发包人代表：</w:t>
      </w:r>
    </w:p>
    <w:p w14:paraId="043B447C">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姓    名： ；</w:t>
      </w:r>
    </w:p>
    <w:p w14:paraId="0848450D">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身份证号：；</w:t>
      </w:r>
    </w:p>
    <w:p w14:paraId="76EBEA30">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职    务：；</w:t>
      </w:r>
    </w:p>
    <w:p w14:paraId="709D617A">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p>
    <w:p w14:paraId="79C787A2">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电子信箱：；</w:t>
      </w:r>
    </w:p>
    <w:p w14:paraId="6C6C7A71">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通信地址：。</w:t>
      </w:r>
    </w:p>
    <w:p w14:paraId="765AB1D7">
      <w:pPr>
        <w:adjustRightInd w:val="0"/>
        <w:snapToGrid w:val="0"/>
        <w:spacing w:line="360" w:lineRule="auto"/>
        <w:ind w:firstLine="48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发包人对发包人代表的授权范围如下：</w:t>
      </w:r>
      <w:r>
        <w:rPr>
          <w:rFonts w:hint="eastAsia" w:ascii="宋体" w:hAnsi="宋体" w:eastAsia="宋体" w:cs="宋体"/>
          <w:color w:val="auto"/>
          <w:szCs w:val="21"/>
          <w:highlight w:val="none"/>
          <w:u w:val="single"/>
        </w:rPr>
        <w:t>工程师（发包人代表）的指令、通知由其本人签字后，以书面形式发出。确有必要时，工程师可以发出口头指令，并在72小时内给予书面确认，承包人对工程师的指令应予执行。工程师不能及时给予书面确认的，承包人应于工程师发出口头指令后7日内提出书面确认要求。工程师在承包人提出确认要求后48小时内不予答复的，视为口头指令已被确认。除工程师或工程师代表（如工程师委派工程师代表时）外，发包人派驻工地的其他人员无权向承包人发出任何指令</w:t>
      </w:r>
      <w:r>
        <w:rPr>
          <w:rFonts w:hint="eastAsia" w:ascii="宋体" w:hAnsi="宋体" w:cs="宋体"/>
          <w:color w:val="auto"/>
          <w:szCs w:val="21"/>
          <w:highlight w:val="none"/>
          <w:u w:val="single"/>
          <w:lang w:eastAsia="zh-CN"/>
        </w:rPr>
        <w:t>。</w:t>
      </w:r>
    </w:p>
    <w:p w14:paraId="57817BF1">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2.4 施工现场、施工条件和基础资料的提供</w:t>
      </w:r>
    </w:p>
    <w:p w14:paraId="268018C9">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2.4.1 提供施工现场</w:t>
      </w:r>
    </w:p>
    <w:p w14:paraId="1FB73044">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关于发包人移交施工现场的期限要求：</w:t>
      </w:r>
      <w:r>
        <w:rPr>
          <w:rFonts w:hint="eastAsia" w:ascii="宋体" w:hAnsi="宋体" w:eastAsia="宋体" w:cs="宋体"/>
          <w:color w:val="auto"/>
          <w:szCs w:val="21"/>
          <w:highlight w:val="none"/>
          <w:u w:val="single"/>
        </w:rPr>
        <w:t>现场已具备开工条件</w:t>
      </w:r>
      <w:r>
        <w:rPr>
          <w:rFonts w:hint="eastAsia" w:ascii="宋体" w:hAnsi="宋体" w:eastAsia="宋体" w:cs="宋体"/>
          <w:color w:val="auto"/>
          <w:szCs w:val="21"/>
          <w:highlight w:val="none"/>
        </w:rPr>
        <w:t>。</w:t>
      </w:r>
    </w:p>
    <w:p w14:paraId="25B266FC">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2.4.2 提供施工条件</w:t>
      </w:r>
    </w:p>
    <w:p w14:paraId="68A03CAF">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关于发包人应负责提供施工所需要的条件，包括：</w:t>
      </w:r>
    </w:p>
    <w:p w14:paraId="71733F26">
      <w:pPr>
        <w:adjustRightInd w:val="0"/>
        <w:snapToGrid w:val="0"/>
        <w:spacing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由承包人自行解决所需费用包含在签约合同价中，其他类项目由承包人自行全部进场条件，其所需费用已含在签约合同价中，发包人应按约定的时间和要求完成以下工作：</w:t>
      </w:r>
    </w:p>
    <w:p w14:paraId="5917FC17">
      <w:pPr>
        <w:adjustRightInd w:val="0"/>
        <w:snapToGrid w:val="0"/>
        <w:spacing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（1）施工场地具备施工条件的要求及完成的时间：已具备施工条件。</w:t>
      </w:r>
    </w:p>
    <w:p w14:paraId="6EB910B9">
      <w:pPr>
        <w:adjustRightInd w:val="0"/>
        <w:snapToGrid w:val="0"/>
        <w:spacing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将施工所需的水、电、电讯线路接至施工场地的时间、地点和供应要求：开工前水、电由发包人接至施工现场（50米范围内）且装表计量，水电费由承包人缴纳，若现场无法装表计量，则在结算时套相关定额后扣除。若有政策性调整，发包人不再支付，均由承包人承担。</w:t>
      </w:r>
    </w:p>
    <w:p w14:paraId="49D122FA">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2.5 资金来源证明及支付担保</w:t>
      </w:r>
    </w:p>
    <w:p w14:paraId="4627E97B">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发包人提供资金来源证明的期限要求：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8C29605">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发包人是否提供支付担保：</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F56FC0F">
      <w:pPr>
        <w:adjustRightInd w:val="0"/>
        <w:snapToGrid w:val="0"/>
        <w:spacing w:line="360" w:lineRule="auto"/>
        <w:ind w:firstLine="48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发包人提供支付担保的形式：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4469A00">
      <w:pPr>
        <w:tabs>
          <w:tab w:val="left" w:pos="4409"/>
        </w:tabs>
        <w:adjustRightInd w:val="0"/>
        <w:snapToGrid w:val="0"/>
        <w:spacing w:line="360" w:lineRule="auto"/>
        <w:jc w:val="left"/>
        <w:rPr>
          <w:rFonts w:ascii="宋体" w:hAnsi="宋体" w:eastAsia="宋体" w:cs="宋体"/>
          <w:b/>
          <w:color w:val="auto"/>
          <w:szCs w:val="21"/>
          <w:highlight w:val="none"/>
        </w:rPr>
      </w:pPr>
      <w:bookmarkStart w:id="108" w:name="_Toc351203635"/>
      <w:r>
        <w:rPr>
          <w:rFonts w:hint="eastAsia" w:ascii="宋体" w:hAnsi="宋体" w:eastAsia="宋体" w:cs="宋体"/>
          <w:b/>
          <w:color w:val="auto"/>
          <w:szCs w:val="21"/>
          <w:highlight w:val="none"/>
        </w:rPr>
        <w:t>3</w:t>
      </w:r>
      <w:bookmarkStart w:id="109" w:name="_Toc292559363"/>
      <w:bookmarkStart w:id="110" w:name="_Toc297048344"/>
      <w:bookmarkStart w:id="111" w:name="_Toc296890986"/>
      <w:bookmarkStart w:id="112" w:name="_Toc296347157"/>
      <w:bookmarkStart w:id="113" w:name="_Toc296346659"/>
      <w:bookmarkStart w:id="114" w:name="_Toc296891198"/>
      <w:bookmarkStart w:id="115" w:name="_Toc296944497"/>
      <w:bookmarkStart w:id="116" w:name="_Toc296503158"/>
      <w:bookmarkStart w:id="117" w:name="_Toc292559868"/>
      <w:bookmarkStart w:id="118" w:name="_Toc297120458"/>
      <w:r>
        <w:rPr>
          <w:rFonts w:hint="eastAsia" w:ascii="宋体" w:hAnsi="宋体" w:eastAsia="宋体" w:cs="宋体"/>
          <w:b/>
          <w:color w:val="auto"/>
          <w:szCs w:val="21"/>
          <w:highlight w:val="none"/>
        </w:rPr>
        <w:t>. 承包人</w:t>
      </w:r>
      <w:bookmarkEnd w:id="108"/>
    </w:p>
    <w:bookmarkEnd w:id="109"/>
    <w:bookmarkEnd w:id="110"/>
    <w:bookmarkEnd w:id="111"/>
    <w:bookmarkEnd w:id="112"/>
    <w:bookmarkEnd w:id="113"/>
    <w:bookmarkEnd w:id="114"/>
    <w:bookmarkEnd w:id="115"/>
    <w:bookmarkEnd w:id="116"/>
    <w:bookmarkEnd w:id="117"/>
    <w:bookmarkEnd w:id="118"/>
    <w:p w14:paraId="1FAB98EB">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3.1 承包人的一般义务</w:t>
      </w:r>
    </w:p>
    <w:p w14:paraId="5A785E95">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（1）承包人提交的竣工资料的内容：</w:t>
      </w:r>
    </w:p>
    <w:p w14:paraId="4F5000BF">
      <w:pPr>
        <w:adjustRightInd w:val="0"/>
        <w:snapToGrid w:val="0"/>
        <w:spacing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承包人应根据合同工作内容要求，整理符合国家、省、市与交通工程质量安全监督站城建档案馆要求的完整的竣工验收资料（含竣工图）报发包人。</w:t>
      </w:r>
    </w:p>
    <w:p w14:paraId="6E53B75C">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承包人需要提交的竣工资料套数：</w:t>
      </w:r>
      <w:r>
        <w:rPr>
          <w:rFonts w:hint="eastAsia" w:ascii="宋体" w:hAnsi="宋体" w:cs="宋体"/>
          <w:color w:val="auto"/>
          <w:szCs w:val="21"/>
          <w:highlight w:val="none"/>
          <w:lang w:val="en-US" w:eastAsia="zh-CN"/>
        </w:rPr>
        <w:t>叁</w:t>
      </w:r>
      <w:r>
        <w:rPr>
          <w:rFonts w:hint="eastAsia" w:ascii="宋体" w:hAnsi="宋体" w:eastAsia="宋体" w:cs="宋体"/>
          <w:color w:val="auto"/>
          <w:szCs w:val="21"/>
          <w:highlight w:val="none"/>
        </w:rPr>
        <w:t>套(含光盘一套）</w:t>
      </w:r>
      <w:r>
        <w:rPr>
          <w:rFonts w:hint="eastAsia" w:ascii="宋体" w:hAnsi="宋体" w:eastAsia="宋体" w:cs="宋体"/>
          <w:color w:val="auto"/>
          <w:szCs w:val="21"/>
          <w:highlight w:val="none"/>
        </w:rPr>
        <w:t>。</w:t>
      </w:r>
    </w:p>
    <w:p w14:paraId="60AE72BD">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承包人提交的竣工资料的费用承担：承包人，费用包含在投标报价中。</w:t>
      </w:r>
    </w:p>
    <w:p w14:paraId="30340E00">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承包人提交的竣工资料移交时间：竣工验收合格后60天内。</w:t>
      </w:r>
    </w:p>
    <w:p w14:paraId="13ED5238">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承包人提交的竣工资料形式要求：装订成册符合存档的纸质版及电子版（pdf扫描版）。</w:t>
      </w:r>
    </w:p>
    <w:p w14:paraId="61DAFA2C">
      <w:pPr>
        <w:numPr>
          <w:ilvl w:val="0"/>
          <w:numId w:val="7"/>
        </w:num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应履行的其他义务：发包人在签订本合同后及时提供用于申办本工程备案、手续报批等所需的必要资料，承包人应在发包人提供上述资料后14天内完成各类备案、手续的办理工作，因承包人原因逾期未办妥的而导致工期延误，工期不予顺延。项目经理及项目主要管理人员必须执行江苏省、南京市相关法律、法规、规章制度及中心管理规定的要求。</w:t>
      </w:r>
    </w:p>
    <w:p w14:paraId="2888F119">
      <w:pPr>
        <w:numPr>
          <w:ilvl w:val="0"/>
          <w:numId w:val="0"/>
        </w:num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应提供计划、报表的名称及完成时间：进场一周内提供材料计划，分别向发包人提供详细的施工进度计划、承包人自购材料清单、材料进场计划、劳动力及用款计划等资料。分项施工组织设计在开工前一周内向发包人提供。以上计划及报表必须报发包人。</w:t>
      </w:r>
    </w:p>
    <w:p w14:paraId="5D765FA4">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担施工安全保卫工作及非夜间施工照明的责任和要求：承包人负责施工现场的安全和保卫工作，承包人要服从发包人等相关主管人员的安全管理，遵守中心安全文明施工及标化现场等有关规定。其中施工现场门岗及场内安保工作由总承包单位聘请专业安保负责（其相关费用由承包人承担,包含在报价中,不另行计取），采取有效的防盗措施，现场施工人员宜有标识，进入现场必须佩带安全帽，不带者违约金每人每次100元。</w:t>
      </w:r>
    </w:p>
    <w:p w14:paraId="6C2EA31B">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（5）承包人应遵守中心安全文明施工及标化现场等有关规定，按照要求设置施工现场出入口、围栏处等均应有明显的标志或指示牌。</w:t>
      </w:r>
    </w:p>
    <w:p w14:paraId="63C733A0">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（6）承包人应有确实可行的现场安全管理措施，确保承包人本身及其他施工单位人员的安全生产活动，承包人对现场施工用临时用电需安全严格管理，合理铺设线路，有应对突发事件的应急方案。</w:t>
      </w:r>
    </w:p>
    <w:p w14:paraId="6E4B9FC4">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（7）需承包人办理的有关施工场地交通、环卫和施工噪音管理等手续：</w:t>
      </w:r>
    </w:p>
    <w:p w14:paraId="1B1B2060">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工程施工期间承包人应制定合理的围挡方案，保证尽可能少的影响交通，分段施工完后，及时拆除围挡回填路面，恢复交通。并及时清理渣土、垃圾，保持路面清洁。承包人工程施工期间应控制噪声对环境的影响，现场施工噪音必须符合《建筑施工场界噪声限制》（GB12523-90）和《城市区域环境震动标准》（GB10070-88）的要求，按有关规定自行办理涉及施工场地交通、施工噪音以及环境保护和安全生产等相关手续，费用由承包人负责（含在投标报价中），夜间作业的时候有合理的措施降低施工扰民现象，承包人必须服从发包人在此方面的管理与指示，负责造成的相关损失及影响由承包人全部承担。</w:t>
      </w:r>
    </w:p>
    <w:p w14:paraId="75A82FBF">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（9）已完工程成品保护的特殊要求及费用承担：成品保护由承包人负责，费用由承包人承担。</w:t>
      </w:r>
    </w:p>
    <w:p w14:paraId="5FF215FF">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施工场地周围地下管线和邻近建筑物、构筑物（含文物保护建筑）、古树名木的保护要求及费用承担：做好邻近建筑物、道路、广场、绿化、地下管线的保护和观测工作，因承包人的责任造成的财产和人身损失，费用由承包人承担。现场高压线防护必须符合供电部门的相关规定，费用含在报价内，结算时不予调整。</w:t>
      </w:r>
    </w:p>
    <w:p w14:paraId="2A65C778">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施工场清洁卫生的要求：承包人所有人员进入工地后必须遵守发包人的管理规定。施工现场的布置、机械及材料的放置、施工垃圾及处理等按标化现场要求，做到文明施工、规范施工。交工前做到工完场地清。</w:t>
      </w:r>
    </w:p>
    <w:p w14:paraId="2B2D9549">
      <w:pPr>
        <w:adjustRightInd w:val="0"/>
        <w:snapToGrid w:val="0"/>
        <w:spacing w:line="360" w:lineRule="auto"/>
        <w:ind w:firstLine="482" w:firstLineChars="200"/>
        <w:jc w:val="left"/>
        <w:rPr>
          <w:rFonts w:ascii="宋体" w:hAnsi="宋体" w:eastAsia="宋体" w:cs="宋体"/>
          <w:color w:val="auto"/>
          <w:szCs w:val="21"/>
          <w:highlight w:val="none"/>
          <w:u w:val="single"/>
        </w:rPr>
      </w:pPr>
      <w:r>
        <w:rPr>
          <w:rFonts w:hint="eastAsia" w:ascii="宋体" w:hAnsi="宋体" w:eastAsia="宋体" w:cs="宋体"/>
          <w:b/>
          <w:bCs/>
          <w:color w:val="auto"/>
          <w:szCs w:val="21"/>
          <w:highlight w:val="none"/>
        </w:rPr>
        <w:t>（12）本项目因在校园施工，承包人（中标人）需考虑好围挡密闭，确保完好，做好安全施工措施，防止学生从施工通道进出。</w:t>
      </w:r>
      <w:r>
        <w:rPr>
          <w:rFonts w:hint="eastAsia" w:ascii="宋体" w:hAnsi="宋体" w:eastAsia="宋体" w:cs="宋体"/>
          <w:color w:val="auto"/>
          <w:szCs w:val="21"/>
          <w:highlight w:val="none"/>
        </w:rPr>
        <w:t xml:space="preserve">  </w:t>
      </w:r>
    </w:p>
    <w:p w14:paraId="5BB5C199">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3.2 项目负责人</w:t>
      </w:r>
    </w:p>
    <w:p w14:paraId="42CE2DB7">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3.2.1 项目负责人：</w:t>
      </w:r>
    </w:p>
    <w:p w14:paraId="10A8B10D">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姓    名：；</w:t>
      </w:r>
    </w:p>
    <w:p w14:paraId="2E801F93">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身份证号：；</w:t>
      </w:r>
    </w:p>
    <w:p w14:paraId="05E93B41">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建造师执业资格等级：；</w:t>
      </w:r>
    </w:p>
    <w:p w14:paraId="146D6527">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p>
    <w:p w14:paraId="45BCDB6A">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建造师执业印章号：；</w:t>
      </w:r>
    </w:p>
    <w:p w14:paraId="0404DD92">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安全生产考核合格证书号：；</w:t>
      </w:r>
    </w:p>
    <w:p w14:paraId="04458916">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p>
    <w:p w14:paraId="5D2DE335">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电子信箱：；</w:t>
      </w:r>
    </w:p>
    <w:p w14:paraId="40E5FA86">
      <w:pPr>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通信地址：；</w:t>
      </w:r>
    </w:p>
    <w:p w14:paraId="219E973C">
      <w:pPr>
        <w:adjustRightInd w:val="0"/>
        <w:snapToGrid w:val="0"/>
        <w:spacing w:line="360" w:lineRule="auto"/>
        <w:ind w:firstLine="42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bookmarkStart w:id="119" w:name="_Toc267251437"/>
      <w:bookmarkStart w:id="120" w:name="_Toc267251440"/>
      <w:bookmarkStart w:id="121" w:name="_Toc267251433"/>
      <w:bookmarkStart w:id="122" w:name="_Toc267251439"/>
      <w:bookmarkStart w:id="123" w:name="_Toc267251435"/>
      <w:bookmarkStart w:id="124" w:name="_Toc267251441"/>
      <w:bookmarkStart w:id="125" w:name="_Toc267251442"/>
      <w:r>
        <w:rPr>
          <w:rFonts w:hint="eastAsia" w:ascii="宋体" w:hAnsi="宋体" w:eastAsia="宋体" w:cs="宋体"/>
          <w:color w:val="auto"/>
          <w:sz w:val="24"/>
          <w:szCs w:val="24"/>
          <w:highlight w:val="none"/>
        </w:rPr>
        <w:t>承包人对项目负责人的授权范围如下：行使合同约定的承包人的权利，履行合同约定的承包人的职责。本合同的项目经理必须是通过资格审查的项目经理，投标中明确的项目经理不得挂名，否则按违约处理。</w:t>
      </w:r>
    </w:p>
    <w:p w14:paraId="46054BED">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项目负责人每月在施工现场的时间要求：承包人项目经理应常驻工地现场，而且其全部时间应用于本工程的管理，不得兼任其他工作。项目经理每周不少于5天，每天不少于8小时在岗处理事务，项目经理必须执行江苏省、南京市相关法律、法规、规章制度及中心管理规定的要求。</w:t>
      </w:r>
    </w:p>
    <w:p w14:paraId="2A9A4C8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提交劳动合同，以及没有为项目负责人缴纳社会保险证明的违约责任：清退承包人出场，所发生所有费用由承包人承担，并报送工程所在地工程建设主管部门备案，上述以外人员前来办理与工程相关的任何事项，发包人将不予接待，由此造成的一切责任或损失由承包人承担。</w:t>
      </w:r>
    </w:p>
    <w:p w14:paraId="58D66CA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未经批准，擅自离开施工现场的违约责任：项目经理必须长驻现场，离开工地需经发包人书面同意，若无正当理由且未经发包人的同意不在工地现场的，项目经理不在岗一天，承包人必须向发包人支付3000元/天的违约金。累计10天（含）不在现场，发包人有权解除合同，追究违约责任；不参加工程例会，承包人向发包人支付2000元/次的违约金，三次以上，发包人有权解除合同，并追究违约责任，由发包人代表签发处罚指令。</w:t>
      </w:r>
    </w:p>
    <w:p w14:paraId="1957AF71">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3.2.3承包人擅自更换项目负责人的违约责任：</w:t>
      </w:r>
    </w:p>
    <w:p w14:paraId="02EB97F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及合同中明确的项目经理不得擅自更换，如有特殊原因确需更换，承包人应向发包人提出书面申请，发包人同意后方可更换，若发生擅自更换，则视为违约，发包人向承包人索赔违约金1万元，并有权解除合同，追究违约责任</w:t>
      </w:r>
    </w:p>
    <w:p w14:paraId="3F1F121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承包人无正当理由拒绝更换项目负责人的违约责任：发包人有权对承包人项目部全体工程管理人员进行监督，发包人有权对未履行职责的项目经理视情节严重程度采取以下一种或几种处罚措施：①书面警告；②约谈项目经理主管单位负责人（被约谈单位须在会后应及时提交响应书面承诺，并支付1万元违约金）；③通报批评（项目经理所在单位）并抄报地方建设主管部门。④发包人有权要求承包人在3日内撤换或调整其认为不称职的项目经理，新项目经理人选需经发包人审核同意；承包人拒绝的，承包人应向发包人支付1万元的违约金，超过7天不予更换，同发包人有权解除合同，由此产生的相关费用、给发包人造成的损失由承包人承担。上述违约金在工程结算时直接扣除。</w:t>
      </w:r>
    </w:p>
    <w:p w14:paraId="167B252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3.3承包人人员</w:t>
      </w:r>
    </w:p>
    <w:p w14:paraId="15AD83B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3.3.1承包人提交项目管理机构及施工现场管理人员安排报告的期限：开工前7天。</w:t>
      </w:r>
    </w:p>
    <w:p w14:paraId="7C441FB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承包人无正当理由拒绝撤换主要施工管理人员的违约责任：承包人应对其主要施工管理人员进行有效的管理。和发包人要求撤换不能胜任本职工作、行为不端或玩忽职守的承包人主要施工管理人员的，承包人应予以撤换，否则1次违约金2000元。</w:t>
      </w:r>
    </w:p>
    <w:p w14:paraId="3C04CC1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承包人主要施工管理人员离开施工现场的批准要求：如承包人主要施工管理人员有特殊原因不能保证上述在岗时间的或正常在岗时间离开工地现场的，必须以书面请假条形式报发包人，报发包人批准。所有主要管理人员（技术负责人、质检员、安全员、施工员、材料员）必须长驻现场，离开工地需经发包人书面同意，若无正当理由且未经发包人的同意不在工地现场的，所有主要管理人员不在岗一天，承包人必须向发包人支付2000元/天的违约金，累计10天（含）不在现场，发包人有权解除合同，追究违约责任。</w:t>
      </w:r>
    </w:p>
    <w:p w14:paraId="2C61BD9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投标文件中明确的技术负责人、施工员、质量员、安全员等不得擅自变更，如未经发包人同意，开工时或施工过程中变更，承包人向发包人支付违约金1000元/人次，并追究由此带来的发包人的一切损失。</w:t>
      </w:r>
    </w:p>
    <w:p w14:paraId="4167CE3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承包人投标文件所载明的主要施工管理人员必须常驻现场，不得擅自离开施工现场，否则发包人每发现1次，违约金500元；超过5次，视为违约，发包人有权终止合同。</w:t>
      </w:r>
    </w:p>
    <w:p w14:paraId="3D0D5A6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3.5分包</w:t>
      </w:r>
    </w:p>
    <w:p w14:paraId="1730F2F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3.5.1分包的一般约定</w:t>
      </w:r>
    </w:p>
    <w:p w14:paraId="7FBBB8C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p>
    <w:p w14:paraId="4387A7C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主体结构、关键性工作的范围：/</w:t>
      </w:r>
    </w:p>
    <w:p w14:paraId="5296AFC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3.5.2分包的确定</w:t>
      </w:r>
    </w:p>
    <w:p w14:paraId="4709AA6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允许分包的专业工程包括：/。</w:t>
      </w:r>
    </w:p>
    <w:p w14:paraId="3ACD03C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其他关于分包的约定：分包单位的资质必须符合国家现行相关管理规定，并征得发包方的认可。</w:t>
      </w:r>
    </w:p>
    <w:p w14:paraId="29D5685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3.5.4分包合同价款</w:t>
      </w:r>
    </w:p>
    <w:p w14:paraId="4B0325E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p>
    <w:p w14:paraId="5F05886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3.6工程照管与成品、半成品保护</w:t>
      </w:r>
    </w:p>
    <w:p w14:paraId="082450E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承包人负责照管工程及工程相关的材料、工程设备的起始时间：按通用条款执行。</w:t>
      </w:r>
    </w:p>
    <w:p w14:paraId="3B7B384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3.7履约担保</w:t>
      </w:r>
    </w:p>
    <w:p w14:paraId="2638E70F">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承包人是否提供履约担保：否。</w:t>
      </w:r>
    </w:p>
    <w:p w14:paraId="29401D0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p>
    <w:p w14:paraId="25D2674C">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5.工程质量</w:t>
      </w:r>
    </w:p>
    <w:p w14:paraId="4646FEBF">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5.1质量要求</w:t>
      </w:r>
    </w:p>
    <w:p w14:paraId="02D708D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5.1.1特殊质量标准和要求：</w:t>
      </w:r>
    </w:p>
    <w:p w14:paraId="6C74366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国家质量验收标准,《建筑工程施工质量验收统一标准》等的规定。各种材质品种、品牌应根据招标文件的要求供货。如达不到合同约定的质量验收标准，除返工合格外，承包人再按合同总价的2%支付违约金并赔偿发包人的经济损失。如承包人返工后仍达不到合格标准的，承包人还应再次承担上述违约责任，此时发包人还有权解除本合同。在施工过程中，如经政府有关部门或发包人检查，由于工程质量或安全生产文明施工未达到国家有关规定要求受到通报批评的，发包人除要求承包人限期整改外，并向承包人收取人民币5000～50000元/次的违约金</w:t>
      </w:r>
    </w:p>
    <w:p w14:paraId="2987F78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p>
    <w:p w14:paraId="669FBC9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5.3隐蔽工程检查</w:t>
      </w:r>
    </w:p>
    <w:p w14:paraId="184FC86D">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5.3.2承包人提前通知发包人隐蔽工程检查的期限的约定：按通用条款</w:t>
      </w:r>
    </w:p>
    <w:p w14:paraId="7CF4DC9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关于延期最长不得超过：48小时。</w:t>
      </w:r>
    </w:p>
    <w:p w14:paraId="4EFB0BB5">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6.安全文明施工与环境保护</w:t>
      </w:r>
    </w:p>
    <w:p w14:paraId="122E70A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2FC2BDC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6.1.1项目安全生产的达标目标及相应事项的约定：</w:t>
      </w:r>
    </w:p>
    <w:p w14:paraId="370A2E0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必须按照工程建设安全生产有关管理规定严格按安全标准组织施工，对施工现场的安全施工负责，根据现场情况采取必要的安全防护措施，全面负责施工现场的安全及第三方人身安全，加强安全教育，坚决杜绝安全事故的发生，并承担一切责任。</w:t>
      </w:r>
    </w:p>
    <w:p w14:paraId="28515AF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2)承包人对安全生产负全责。施工中加强安全防范意识和措施，杜绝安全事故的发生。在承包人施工范围内发生或因承包人施工活动有关的安全事故由承包人负责处理并承担责任</w:t>
      </w:r>
    </w:p>
    <w:p w14:paraId="312BFAF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6.1.4关于治安保卫的特别约定：</w:t>
      </w:r>
    </w:p>
    <w:p w14:paraId="044239D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现场采取必要的安全保卫措施，施工现场的主要管理人员在施工现场应当佩戴证明其身份的证卡,其它现场施工人员亦有标识，承包人应充分关注和保障所有在场人员的安全，承包人对安全防护工作负全责（包括但不限于责任和费用），并禁止非施工人员、车辆进入现场。</w:t>
      </w:r>
    </w:p>
    <w:p w14:paraId="54C4954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2）建立和执行防火管理制度。在火灾易发地区(木工房等)施工或储存使用易燃器材时,应采取特殊消防安全措施,现场严禁吸烟。</w:t>
      </w:r>
    </w:p>
    <w:p w14:paraId="309CADF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现场的通道、消防通道出入口、紧急疏散处等均应有明显标志或指示牌。有高度限制的地点应有限高标志，各种车辆进入施工现场，必须服从发包人的统一管理和遵守有关规定，否则发包人将按照有关规定给予处罚。</w:t>
      </w:r>
    </w:p>
    <w:p w14:paraId="5E0C701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4）现场的食堂卫生安全、饮水设施安全可靠。</w:t>
      </w:r>
    </w:p>
    <w:p w14:paraId="051BE3C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5）施工现场临时用电安全参照JGJ46—2005规范执行。</w:t>
      </w:r>
    </w:p>
    <w:p w14:paraId="6EAB22F1">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负责发包人供应的材料设备的保管。为保护本工程免遭损坏，或为现场附近和过往人群的安全与方便，在确有必要的时候和地方，或有关主管部门要求时，承包人应自费提供照明、警卫、护栅、警告标志等安全防护措施。所有安全事故及责任，由承包人承担。如承包人未履行上述约定及通用条款相关义务造成工程、财产和人身伤害，由承包人承担责任，赔偿损失及支付发生的费用</w:t>
      </w:r>
    </w:p>
    <w:p w14:paraId="62AEA4B1">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关于编制施工场地治安管理计划的约定：在开工前提交的施工组织设计中必须要有该项部分内容</w:t>
      </w:r>
    </w:p>
    <w:p w14:paraId="786EB7D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6.1.5文明施工</w:t>
      </w:r>
    </w:p>
    <w:p w14:paraId="4A49F4C1">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p>
    <w:p w14:paraId="4DB9B8C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需承包人办理的有关施工场地交通、环卫和施工噪音管理等手续：工程施工期间,应控制噪声对周围环境的影响,承包人必须满足国家、省市的有关法规要求（以高者为准）,按规定自行办理涉及施工场地交通、施工噪音以及环境保护和安全生产等相关手续。</w:t>
      </w:r>
    </w:p>
    <w:p w14:paraId="0CD4D8B1">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（2）施工场地周围地下管线和邻近建筑物、构筑物（含文物保护建筑）、古树名木的保护要求及费用承担：无偿保护施工场地周围地下管线和邻近建筑物、构筑物(含文物保护建筑)、古树名木,损坏按实赔偿。</w:t>
      </w:r>
    </w:p>
    <w:p w14:paraId="782613A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（3）施工场清洁卫生的要求：施工现场在保证安全的前提下,按照标准化现场施工要求,保持场内、场外、交通进出口的安全和卫生。</w:t>
      </w:r>
    </w:p>
    <w:p w14:paraId="788CB6A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（4）双方约定承包人应做的其他工作：施工期间保证场内场外道路的畅通，安全防护减少噪音干扰和灰尘处理；未尽事宜双方协商解决。</w:t>
      </w:r>
    </w:p>
    <w:p w14:paraId="3D2738C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（5）施工现场必须具有满足环保验收要求需配备的冲洗台以及自动洗轮机及高压水枪等设备。</w:t>
      </w:r>
    </w:p>
    <w:p w14:paraId="64A460F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（6）其他文明施工要求。</w:t>
      </w:r>
    </w:p>
    <w:p w14:paraId="26F856D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6.1.6关于安全文明施工费支付比例和支付期限的约定：按工程款比例支付</w:t>
      </w:r>
    </w:p>
    <w:p w14:paraId="0307D56C">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7.工期和进度</w:t>
      </w:r>
    </w:p>
    <w:p w14:paraId="4B380391">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7.1施工组织设计</w:t>
      </w:r>
    </w:p>
    <w:p w14:paraId="178E813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7.1.1合同当事人约定的施工组织设计应包括的其他内容：按通用条款执行</w:t>
      </w:r>
    </w:p>
    <w:p w14:paraId="56B6C51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7.1.2施工组织设计的提交和修改</w:t>
      </w:r>
    </w:p>
    <w:p w14:paraId="771BFB6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承包人提交详细施工组织设计的期限的约定：开工前7日</w:t>
      </w:r>
    </w:p>
    <w:p w14:paraId="5EAC6FF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发包人在收到详细的施工组织设计后确认或提出修改意见的期限：7天内</w:t>
      </w:r>
    </w:p>
    <w:p w14:paraId="6B7B3E2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7.2施工进度计划</w:t>
      </w:r>
    </w:p>
    <w:p w14:paraId="7716DB2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7.2.2施工进度计划的修订</w:t>
      </w:r>
    </w:p>
    <w:p w14:paraId="6876DD6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在收到修订的施工进度计划后确认或提出修改意见的期限：收到承包方资料后一周内予以确认。逾期不确认也不提出书面意见的，视为同意。但前述“视为同意”不得成为承包人在施工组织设计和工程进度计划方面因故意或过失导致的任何民事、行政责任的免责事由</w:t>
      </w:r>
    </w:p>
    <w:p w14:paraId="2BEE016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7.3开工</w:t>
      </w:r>
    </w:p>
    <w:p w14:paraId="0193058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7.3.1开工准备</w:t>
      </w:r>
    </w:p>
    <w:p w14:paraId="75901D9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关于承包人提交工程开工报审表的期限：根据现场实际情况及发包人要求确定</w:t>
      </w:r>
    </w:p>
    <w:p w14:paraId="22E8ECF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关于发包人应完成的其他开工准备工作及期限：开工前完成</w:t>
      </w:r>
    </w:p>
    <w:p w14:paraId="69A5B14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关于承包人应完成的其他开工准备工作及期限：开工前完成</w:t>
      </w:r>
    </w:p>
    <w:p w14:paraId="62F3D3D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7.4测量放线</w:t>
      </w:r>
    </w:p>
    <w:p w14:paraId="2FE847B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7.4.1发包人向承包人提供测量基准点、基准线和水准点及其书面资料的期限：开工前提供水准点与坐标管制点，由发包人、承包人现场交验。</w:t>
      </w:r>
    </w:p>
    <w:p w14:paraId="46D0C81D">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7.5工期延误</w:t>
      </w:r>
    </w:p>
    <w:p w14:paraId="23F25A6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7.5.1因发包人原因导致工期延误</w:t>
      </w:r>
    </w:p>
    <w:p w14:paraId="6478E86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因发包人原因导致工期延误的其他情形：由于发包人的原因或不可抗力因素造成进度计划网络图中关键线路上的关键工作的延误，在承包人办好签证手续后，工期予以顺延，发包人不支付顺延工期产生的任何费用</w:t>
      </w:r>
    </w:p>
    <w:p w14:paraId="395F8CB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7.5.2因承包人原因导致工期延误</w:t>
      </w:r>
    </w:p>
    <w:p w14:paraId="039B55A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期竣工违约金的计算方法为：若由于承包人原因造成工期延误，每延误一天承包人向发包人支付3000元人民币的违约金。发包人可从应向承包人支付的任何款项中扣除此违约金,此违约金的支付并不解除承包人完成工程的责任和合同规定的其它责任。如工期拖延超过10天以上或施工过程中承包人在发包人合理要求下不按要求增加施工机械和人员的，超过五天以上，发包人有权另行安排具有相应资质的单位进行剩余工程的施工，增加的费用由承包人承担，因承包人原因造成工期延误，逾期竣工违约金的上限：合同价的2%</w:t>
      </w:r>
    </w:p>
    <w:p w14:paraId="0735321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7.6不利物质条件</w:t>
      </w:r>
    </w:p>
    <w:p w14:paraId="5AC947F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不利物质条件的其他情形和有关约定：由发包人会同承包人及有关部门做好相关保护工作，因承包人责任造成损害的，其损失赔偿由承包人承担</w:t>
      </w:r>
    </w:p>
    <w:p w14:paraId="3D0FF50F">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7.7异常恶劣的气候条件</w:t>
      </w:r>
    </w:p>
    <w:p w14:paraId="5C0C4CF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1656C9ED">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(1)洪水、地震等自然灾害天气；</w:t>
      </w:r>
    </w:p>
    <w:p w14:paraId="3E5E169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14:paraId="30F238DF">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14:paraId="4C7B83A1">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7.8承包人应综合考虑影响工期的不利因素，包括但不仅限于气候、气温、施工环境等，采取相应保障工期措施，确保工程进度符合合同约定及经发包人批准的进度计划，不得以不利因素为由提出索赔。</w:t>
      </w:r>
    </w:p>
    <w:p w14:paraId="11FF075D">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7.9提前竣工的奖励</w:t>
      </w:r>
    </w:p>
    <w:p w14:paraId="1C66AE4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p>
    <w:p w14:paraId="05AA43C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8.材料与设备</w:t>
      </w:r>
    </w:p>
    <w:p w14:paraId="4464206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8.2承包人采购材料与工程设备</w:t>
      </w:r>
    </w:p>
    <w:p w14:paraId="46575A0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设备采购前须得到发包人的认可，双方约定由承包人自购的材料、设备,其规格、技术指标、质量等级必须满足相关技术规范要求。合同实施过程中承包人不得降低材料的规格、数量、档次、质量等级和擅自变更材料品种和型号。</w:t>
      </w:r>
    </w:p>
    <w:p w14:paraId="3FD99C3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有权在承包人材料、设备采购的任一环节进行监督控制，并行使最终的认可权和否决权；若发包人在监督控制过程和检验中发现该材料、设备不符合规定的质量要求，承包人应督促供应商进行整改直至发包人满意为止，且保留改为发包人供应的权利，由此造成的工期延误责任和费用增加由承包人承担。</w:t>
      </w:r>
    </w:p>
    <w:p w14:paraId="6A2049B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采购的所有材料必须按照当地政府全部相关政府职能部门及规范要求进行检验、检测及试验（包含但不限于强制性抽检），并满足工程竣工要求。所有材料必须现场取样，经发包人见证后送至发包人认可的第三方检测机构进行检测，所有检测费用含在合同总价内。</w:t>
      </w:r>
    </w:p>
    <w:p w14:paraId="47584FE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设备采购和使用前须按本工程施工技术要求中材料认可程序得到发包人的认可，双方约定由承包人自购的材料、设备,其规格、技术指标、质量等级详见发包人要求，发包人要求有参考品牌的材料、设备，承包人必须按发包人在参考品牌中选定的一种釆购，同时必须满足相关技术规范要求。</w:t>
      </w:r>
    </w:p>
    <w:p w14:paraId="77363E5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未指定品牌或厂家的材料、设备，承包人应在现场使用7天前递交3种以上样品供发包人认可，如发包人认为样品不招标文件要求、或认为质量式样不满意的，承包商应无条件进行更换并重新提交样品，直到发包人认可为止。并且造成的工期延误、财产损失的由承包人承担。对于未指定品牌或厂家的材料、设备，承包人应在现场使用7天前递交3种以上样品供发包人认可，如发包人认为样品不满足招标文件要求、或认为质量式样不满意的，承包商应无条件进行更换并重新提交样品，直到发包人认可为止。并且造成的工期延误、财产损失的由承包人承担。</w:t>
      </w:r>
    </w:p>
    <w:p w14:paraId="61D17DA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所有材料品牌必须为发包人认可的品牌、规格及型号，未经发包人认可所造成的工期延误责任和费用增加由承包人自行承担。承包人必须采取有效的现场保护措施，如承包人未按发包人要求保护时，工程师有权另行组织人员，对材料、成品等实施保护，所发生的费用由承包人承担并直接从工程款中扣回，并可对承包人处以双倍所发生费用的惩罚性违约金。</w:t>
      </w:r>
    </w:p>
    <w:p w14:paraId="1814A3F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8.4材料与工程设备的保管与使用</w:t>
      </w:r>
    </w:p>
    <w:p w14:paraId="490F961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8.4.1发包人供应的材料设备的保管费用的承担：运至施工现场后由承包人承担</w:t>
      </w:r>
    </w:p>
    <w:p w14:paraId="1230871F">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8.6样品</w:t>
      </w:r>
    </w:p>
    <w:p w14:paraId="45B8EA8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8.6.1样品的报送与封存</w:t>
      </w:r>
    </w:p>
    <w:p w14:paraId="3431C78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要求：承包人采购的材料设备要满足设计和规范的要求，并提供产品合格证明及检验资料，并需经发包人验收合格后方可使用。发包人对工程所使用的各种材料、设备进行监督、检查</w:t>
      </w:r>
    </w:p>
    <w:p w14:paraId="24CAECEA">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8.8施工设备和临时设施</w:t>
      </w:r>
    </w:p>
    <w:p w14:paraId="747B3EC1">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8.8.1承包人提供的施工设备和临时设施</w:t>
      </w:r>
    </w:p>
    <w:p w14:paraId="7B94D99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关于修建临时设施费用承担的约定：承包人自行考虑临时设施（现场红线内严禁搭建临时设施），满足工程使用需求，并自行承担费用。</w:t>
      </w:r>
    </w:p>
    <w:p w14:paraId="60A49CB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9.试验与检验</w:t>
      </w:r>
    </w:p>
    <w:p w14:paraId="6442183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9.1试验设备与试验人员</w:t>
      </w:r>
    </w:p>
    <w:p w14:paraId="3D8823F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9.1.2试验设备</w:t>
      </w:r>
    </w:p>
    <w:p w14:paraId="50CD750A">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施工现场需要配置的试验场所：承包人按规定和按投标文件承诺配置</w:t>
      </w:r>
    </w:p>
    <w:p w14:paraId="25D671A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施工现场需要配备的试验设备：承包人按规定和按投标文件承诺配置</w:t>
      </w:r>
    </w:p>
    <w:p w14:paraId="317817C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施工现场需要具备的其他试验条件：暂无，如需要，另行协商解决</w:t>
      </w:r>
    </w:p>
    <w:p w14:paraId="50524C9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9.4现场工艺试验</w:t>
      </w:r>
    </w:p>
    <w:p w14:paraId="1BCBF03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现场工艺试验的有关约定：按通用条款执行</w:t>
      </w:r>
    </w:p>
    <w:p w14:paraId="6309A775">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10.变更</w:t>
      </w:r>
    </w:p>
    <w:p w14:paraId="60B34E7A">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10.1变更的范围</w:t>
      </w:r>
    </w:p>
    <w:p w14:paraId="6430C38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p>
    <w:p w14:paraId="251533B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1）发包人书面认可的工程设计变更；</w:t>
      </w:r>
    </w:p>
    <w:p w14:paraId="1F61F0C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2）发包人和审计部门均书面认可的签证；</w:t>
      </w:r>
    </w:p>
    <w:p w14:paraId="0DF1FA0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3）工程量清单存在的错误和漏项，对施工工艺、顺序和时间的改变，施工条件发生改变，为完成合同工程所需要追加的额外工作等</w:t>
      </w:r>
    </w:p>
    <w:p w14:paraId="1DA9E8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10.4变更估价</w:t>
      </w:r>
    </w:p>
    <w:p w14:paraId="7FE2E4F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10.4.1变更估价原则</w:t>
      </w:r>
    </w:p>
    <w:p w14:paraId="5D8B9C2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关于变更估价的约定：按通用条款执行，其中第（3）款，合同当事人按照第4.4款〔商定或确定〕确定变更工作的综合单价详见本合同专用条款12.1相关条款</w:t>
      </w:r>
    </w:p>
    <w:p w14:paraId="132F835A">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10.5承包人的合理化建议</w:t>
      </w:r>
    </w:p>
    <w:p w14:paraId="45C8D6E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发包人审批承包人合理化建议的期限：7天。</w:t>
      </w:r>
    </w:p>
    <w:p w14:paraId="44FD748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承包人提出的合理化建议降低了合同价格或者提高了工程经济效益的奖励的方法和金额为：无</w:t>
      </w:r>
    </w:p>
    <w:p w14:paraId="1F617361">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10.7暂估价</w:t>
      </w:r>
    </w:p>
    <w:p w14:paraId="11F0D61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暂估价材料和工程设备的明细详见：《暂估价一览表》。</w:t>
      </w:r>
    </w:p>
    <w:p w14:paraId="0DD150A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10.7.1依法必须招标的暂估价项目</w:t>
      </w:r>
    </w:p>
    <w:p w14:paraId="4142AA9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对于依法必须招标的暂估价项目的确认和批准采取第2种方式确定。</w:t>
      </w:r>
    </w:p>
    <w:p w14:paraId="11B41CA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10.7.2不属于依法必须招标的暂估价项目</w:t>
      </w:r>
    </w:p>
    <w:p w14:paraId="4906653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对于不属于依法必须招标的暂估价项目的确认和批准采取第3种方式确定。</w:t>
      </w:r>
    </w:p>
    <w:p w14:paraId="6224B89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第3种方式：承包人直接实施的暂估价项目</w:t>
      </w:r>
    </w:p>
    <w:p w14:paraId="07E7869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承包人直接实施的暂估价项目的约定：按发包人的要求执行</w:t>
      </w:r>
    </w:p>
    <w:p w14:paraId="56AC771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10.8暂列金额</w:t>
      </w:r>
    </w:p>
    <w:p w14:paraId="2AC1FF0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合同当事人关于暂列金额使用的约定：暂列金额应按照发包人的要求执行。暂列金额有可能发生也有可能不发生，不一定属于承包人施工范围</w:t>
      </w:r>
    </w:p>
    <w:p w14:paraId="5EE90A4F">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11.价格调整，本项目价格不予调整。</w:t>
      </w:r>
    </w:p>
    <w:p w14:paraId="2B0FBC5F">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11.1市场价格波动引起的调整</w:t>
      </w:r>
    </w:p>
    <w:p w14:paraId="746929F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市场价格波动是否调整合同价格的约定：按以下第3种方式调整。</w:t>
      </w:r>
    </w:p>
    <w:p w14:paraId="17F5DA5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因市场价格波动调整合同价格，采用以下第3种方式对合同价格进行调整：</w:t>
      </w:r>
    </w:p>
    <w:p w14:paraId="4B747AA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3374E50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关于各可调因子、定值和变值权重，以及基本价格指数及其来源的约定：/；</w:t>
      </w:r>
    </w:p>
    <w:p w14:paraId="00EEA92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294A400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p>
    <w:p w14:paraId="6A89172A">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47BF7B0A">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6FE6704A">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③承包人在已标价工程量清单或预算书中载明的材料单价等于基准单价的：专用合同条款合同履行期间材料单价涨跌幅以基准单价为基础超过±/%时，其超过部分据实调整。</w:t>
      </w:r>
    </w:p>
    <w:p w14:paraId="006A979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p>
    <w:p w14:paraId="0760EC0D">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（1）除施工期间内各类政策性调整及不可抗力以外的其他风险外，其余费用的市场价格变化在投标综合单价里已考虑，不做调整。</w:t>
      </w:r>
    </w:p>
    <w:p w14:paraId="57378E8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（2）措施费除安全文明施工措施费外（安全文明措施费按相关文件执行），其他措施项目费均为包干价，结算时不予调整</w:t>
      </w:r>
    </w:p>
    <w:p w14:paraId="341E31DF">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（3）本项目的材料检验试验费由承包人自报，并包干使用；发包人指定（委托）检测单位，承包人负责取样（含见证取样）、送检并承担检测费用。</w:t>
      </w:r>
    </w:p>
    <w:p w14:paraId="7D8A011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（4）全部相关政府职能部门要求的检验、检测及试验（包含但不限于强制性抽检）所产生的费用由承包人承担。（包含项目：工程检验试验、消防（包含消防设施）检测、室内环境检测且不限于以上项目）</w:t>
      </w:r>
    </w:p>
    <w:p w14:paraId="6A75D13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（5）材料变更时材料价格的确定：</w:t>
      </w:r>
    </w:p>
    <w:p w14:paraId="42EDB4B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承包人投标报价中材料价格明细表已有的材料，根据承包人材料价格明细表所列的材料单价计算；如承包人投标文件分部分项工程综合单价分析表中的材料价格与乙供材料表中单价不一致，以有利于发包人的原则确定该材料价格</w:t>
      </w:r>
    </w:p>
    <w:p w14:paraId="23D62A2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b.承包人材料价格明细表中没有的材料，由承包人呈报价格,最终跟踪审计审核、发包人批准后的价格为准</w:t>
      </w:r>
    </w:p>
    <w:p w14:paraId="582D08C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如承包人材料价格明细表中已有的材料，在建设过程中因市场原因无法采购，而发生材料代用时，必须经发包人同意后方可代用，并由承包人呈报价格，经跟踪审计审核、发包人批准后的价格为准，超出原材料价款的费用由承包方承担，节省的费用由发包人扣回</w:t>
      </w:r>
    </w:p>
    <w:p w14:paraId="2364A7F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d.因发包人原因造成材料代换时，必须由承包人呈报价格经设计、跟踪审计审核，发包人批准确定该材料价格</w:t>
      </w:r>
    </w:p>
    <w:p w14:paraId="53BB6A7D">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合同价格、计量与支付</w:t>
      </w:r>
    </w:p>
    <w:p w14:paraId="66647CBA">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12.1合同价格形式</w:t>
      </w:r>
    </w:p>
    <w:p w14:paraId="25E29FFA">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12.1.1、单价合同</w:t>
      </w:r>
    </w:p>
    <w:p w14:paraId="36494F7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p>
    <w:p w14:paraId="12A0A13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1、施工期间承包人提供的材料（合同约定除外）、机械、设备等全部市场风险及其它各种风险含在投标报价中。</w:t>
      </w:r>
    </w:p>
    <w:p w14:paraId="7CAC3F7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2、招标文件（含工程量清单）、合同条款中约定的风险。</w:t>
      </w:r>
    </w:p>
    <w:p w14:paraId="24B6872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3、投标人自行踏勘现场及对招标文件（含工程量清单）错误理解的风险。</w:t>
      </w:r>
    </w:p>
    <w:p w14:paraId="407C9E7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4、作为有丰富经验的承包商应该预见到的风险。</w:t>
      </w:r>
    </w:p>
    <w:p w14:paraId="302B4A8D">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5、对整个项目的进度、质量、安全进行管理及合同约定的承担违约责任的风险。</w:t>
      </w:r>
    </w:p>
    <w:p w14:paraId="083DF2ED">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6、针对天气、场地及地质状况等采取的施工技术措施费用。</w:t>
      </w:r>
    </w:p>
    <w:p w14:paraId="0C2C6A3F">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7、投标报价中错、漏报项目的风险（不包括发包人根据招标文件约定调整的不平衡报价部分）。</w:t>
      </w:r>
    </w:p>
    <w:p w14:paraId="402F8A7D">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8、招标范围明示的、潜在的一切风险。</w:t>
      </w:r>
    </w:p>
    <w:p w14:paraId="69B23DE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9、法律法规中规定的应包含的其它风险。</w:t>
      </w:r>
    </w:p>
    <w:p w14:paraId="2B1964BD">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p>
    <w:p w14:paraId="422B5C2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p>
    <w:p w14:paraId="7A032ED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（1）建设方批准的设计变更、签证；</w:t>
      </w:r>
    </w:p>
    <w:p w14:paraId="1B5997C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（2）上述变更引起的工程量清单项目，对应的综合单价按下列方法确定：</w:t>
      </w:r>
    </w:p>
    <w:p w14:paraId="5419B2E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①工程量清单项目特征与响应报价项目中相同的，按响应报价的综合单价计算；</w:t>
      </w:r>
    </w:p>
    <w:p w14:paraId="1DA95D9D">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②新增工程量清单项目的项目特征与响应报价中类似的，综合单价按类似工程的材料、人工、机械台班、管理费、利润执行；</w:t>
      </w:r>
    </w:p>
    <w:p w14:paraId="79FC505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响应报价中没有综合单价的新的工程量清单项目：工程量清单执行《建设工程工程量清单计价规范》GB50500-2013、《房屋建筑与装饰工程工程量计算规范》GB50854-2013、《通用安装工程工程量计算规范》GB50856-2013、《市政工程工程量计算规范》GB50857-2013、《园林绿化工程工程量计算规范》GB50858-2013、定额执行2014年《江苏省建筑与装饰工程计价定额》、《江苏省安装工程计价定额》、《江苏省市政工程计价定额》、2007年《江苏仿古建筑与园林工程计价表》、取费执行《江苏省建设工程费用定额》（2014）、江苏营改增苏建价〔2016〕154号文执行标准；人、材、机响应中已有的执行响应报价，响应中没有的，由成本人申报，发包人确认后计入；管理费、利润率执行本专业响应报价费率，同一标段管理费、利润费率不一致的，执行该标段同专业最低管理费、利润率。</w:t>
      </w:r>
      <w:bookmarkEnd w:id="119"/>
      <w:bookmarkEnd w:id="120"/>
      <w:bookmarkEnd w:id="121"/>
      <w:bookmarkEnd w:id="122"/>
      <w:bookmarkEnd w:id="123"/>
      <w:bookmarkEnd w:id="124"/>
    </w:p>
    <w:p w14:paraId="0D72EE4F">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12.1.2、总价合同</w:t>
      </w:r>
    </w:p>
    <w:p w14:paraId="2CA5D3B2">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总价包含的风险范围：/</w:t>
      </w:r>
    </w:p>
    <w:p w14:paraId="20464920">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风险费用的计算方法：/</w:t>
      </w:r>
    </w:p>
    <w:p w14:paraId="6702A657">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风险范围以外合同价格的调整方法：/</w:t>
      </w:r>
    </w:p>
    <w:p w14:paraId="0E1B4261">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12.1.3、其他价格方式：/</w:t>
      </w:r>
    </w:p>
    <w:p w14:paraId="4D528969">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12.2预付款</w:t>
      </w:r>
    </w:p>
    <w:p w14:paraId="3963FF4F">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12.2.1预付款的支付</w:t>
      </w:r>
    </w:p>
    <w:p w14:paraId="4286E402">
      <w:pPr>
        <w:adjustRightInd w:val="0"/>
        <w:snapToGrid w:val="0"/>
        <w:spacing w:line="360" w:lineRule="auto"/>
        <w:ind w:firstLine="48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预付款支付比例或金额：</w:t>
      </w:r>
      <w:r>
        <w:rPr>
          <w:rFonts w:hint="eastAsia" w:ascii="宋体" w:hAnsi="宋体" w:cs="宋体"/>
          <w:color w:val="auto"/>
          <w:szCs w:val="21"/>
          <w:highlight w:val="none"/>
          <w:lang w:val="en-US" w:eastAsia="zh-CN"/>
        </w:rPr>
        <w:t>30%</w:t>
      </w:r>
    </w:p>
    <w:p w14:paraId="4034C649">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预付款支付期限：/</w:t>
      </w:r>
    </w:p>
    <w:p w14:paraId="25B0A713">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预付款扣回的方式：不扣回。</w:t>
      </w:r>
    </w:p>
    <w:p w14:paraId="20332C2F">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12.2.2预付款担保</w:t>
      </w:r>
    </w:p>
    <w:p w14:paraId="20899285">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承包人提交预付款担保的期限：/。</w:t>
      </w:r>
    </w:p>
    <w:p w14:paraId="086CD51A">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预付款担保的形式为：/。</w:t>
      </w:r>
    </w:p>
    <w:p w14:paraId="122B5D8C">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12.3计量</w:t>
      </w:r>
    </w:p>
    <w:p w14:paraId="3F58DD97">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12.3.1计量原则</w:t>
      </w:r>
    </w:p>
    <w:p w14:paraId="6A72E603">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工程量计算规则：除特别说明外，按照国家现行的工程量清单计价规范执行。</w:t>
      </w:r>
    </w:p>
    <w:p w14:paraId="35DC1DA1">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12.3.2计量周期</w:t>
      </w:r>
    </w:p>
    <w:p w14:paraId="5FC31DF8">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关于计量周期的约定：每周为一个计量周期，由跟踪审计例会前确认，将当月完成的工程量报送发包人，由发包人、跟踪审计核准，发包人批准。</w:t>
      </w:r>
    </w:p>
    <w:p w14:paraId="41132597">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12.3.3单价合同的计量</w:t>
      </w:r>
    </w:p>
    <w:p w14:paraId="4A12E5C9">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单价合同计量的约定：承包人应于已完成的工程量报告，并附具进度付款申请单、已完成工程量报表和有关资料。（2）跟踪审计单位在收到承包人提交的工程量报表后的7天内完成审核，跟踪审计单位对工程量有异议的，有权要求承包人进行共同复核或抽样复测。承包人应协助跟踪审计单位进行复核或抽样复测，并按跟踪审计单位要求提供补充计量资料。承包人未按跟踪审计单位要求参加复核或抽样复测的，跟踪审计单位复核或修正的工程量视为承包人实际完成的工程量。</w:t>
      </w:r>
    </w:p>
    <w:p w14:paraId="471374AE">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12.3.4总价合同的计量</w:t>
      </w:r>
    </w:p>
    <w:p w14:paraId="6A0A2BEF">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关于总价合同计量的约定：/。</w:t>
      </w:r>
    </w:p>
    <w:p w14:paraId="02D8D080">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12.3.5总价合同采用支付分解表计量支付的，是否适用第12.3.4项〔总价合同的计量〕约定进行计量：/。</w:t>
      </w:r>
    </w:p>
    <w:p w14:paraId="49C5A9FE">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12.3.6其他价格形式合同的计量</w:t>
      </w:r>
    </w:p>
    <w:p w14:paraId="54978005">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其他价格形式的计量方式和程序：/</w:t>
      </w:r>
    </w:p>
    <w:p w14:paraId="67310D02">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12.4工程进度款支付</w:t>
      </w:r>
    </w:p>
    <w:p w14:paraId="1BC8B260">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12.4 工程进度款支付</w:t>
      </w:r>
    </w:p>
    <w:p w14:paraId="3E347E66">
      <w:pPr>
        <w:adjustRightInd w:val="0"/>
        <w:snapToGrid w:val="0"/>
        <w:spacing w:line="360" w:lineRule="auto"/>
        <w:ind w:firstLine="480" w:firstLineChars="200"/>
        <w:jc w:val="left"/>
        <w:rPr>
          <w:rFonts w:ascii="宋体" w:hAnsi="宋体" w:eastAsia="宋体" w:cs="宋体"/>
          <w:color w:val="auto"/>
          <w:szCs w:val="21"/>
          <w:highlight w:val="none"/>
        </w:rPr>
      </w:pPr>
      <w:bookmarkStart w:id="126" w:name="_Toc296944550"/>
      <w:bookmarkStart w:id="127" w:name="_Toc300935006"/>
      <w:bookmarkStart w:id="128" w:name="_Toc296891251"/>
      <w:bookmarkStart w:id="129" w:name="_Toc296503211"/>
      <w:bookmarkStart w:id="130" w:name="_Toc296346712"/>
      <w:bookmarkStart w:id="131" w:name="_Toc297120511"/>
      <w:bookmarkStart w:id="132" w:name="_Toc297048397"/>
      <w:bookmarkStart w:id="133" w:name="_Toc292559416"/>
      <w:bookmarkStart w:id="134" w:name="_Toc297123556"/>
      <w:bookmarkStart w:id="135" w:name="_Toc297216215"/>
      <w:bookmarkStart w:id="136" w:name="_Toc296347210"/>
      <w:bookmarkStart w:id="137" w:name="_Toc292559921"/>
      <w:bookmarkStart w:id="138" w:name="_Toc296891039"/>
      <w:bookmarkStart w:id="139" w:name="_Toc303539163"/>
      <w:r>
        <w:rPr>
          <w:rFonts w:hint="eastAsia" w:ascii="宋体" w:hAnsi="宋体" w:eastAsia="宋体" w:cs="宋体"/>
          <w:color w:val="auto"/>
          <w:szCs w:val="21"/>
          <w:highlight w:val="none"/>
        </w:rPr>
        <w:t>12.4.1 付款周期</w:t>
      </w:r>
    </w:p>
    <w:p w14:paraId="21075D7B">
      <w:pPr>
        <w:snapToGrid w:val="0"/>
        <w:spacing w:line="360" w:lineRule="auto"/>
        <w:ind w:firstLine="48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关于付款周期的约定：</w:t>
      </w:r>
    </w:p>
    <w:p w14:paraId="351DBBA5">
      <w:pPr>
        <w:adjustRightInd w:val="0"/>
        <w:snapToGrid w:val="0"/>
        <w:spacing w:line="360" w:lineRule="auto"/>
        <w:ind w:firstLine="480" w:firstLineChars="200"/>
        <w:jc w:val="left"/>
        <w:rPr>
          <w:rStyle w:val="482"/>
          <w:rFonts w:ascii="宋体" w:hAnsi="宋体" w:eastAsia="宋体" w:cs="宋体"/>
          <w:color w:val="auto"/>
          <w:szCs w:val="21"/>
          <w:highlight w:val="none"/>
        </w:rPr>
      </w:pPr>
      <w:r>
        <w:rPr>
          <w:rStyle w:val="482"/>
          <w:rFonts w:hint="eastAsia" w:ascii="宋体" w:hAnsi="宋体" w:eastAsia="宋体" w:cs="宋体"/>
          <w:color w:val="auto"/>
          <w:szCs w:val="21"/>
          <w:highlight w:val="none"/>
        </w:rPr>
        <w:t>①合同签订、人员及材料进场后10个工作日内支付合同价款的30%作为预付款。</w:t>
      </w:r>
    </w:p>
    <w:p w14:paraId="67E28633">
      <w:pPr>
        <w:adjustRightInd w:val="0"/>
        <w:snapToGrid w:val="0"/>
        <w:spacing w:line="360" w:lineRule="auto"/>
        <w:ind w:firstLine="480" w:firstLineChars="200"/>
        <w:jc w:val="left"/>
        <w:rPr>
          <w:rStyle w:val="482"/>
          <w:rFonts w:ascii="宋体" w:hAnsi="宋体" w:eastAsia="宋体" w:cs="宋体"/>
          <w:color w:val="auto"/>
          <w:szCs w:val="21"/>
          <w:highlight w:val="none"/>
        </w:rPr>
      </w:pPr>
      <w:r>
        <w:rPr>
          <w:rStyle w:val="482"/>
          <w:rFonts w:hint="eastAsia" w:ascii="宋体" w:hAnsi="宋体" w:eastAsia="宋体" w:cs="宋体"/>
          <w:color w:val="auto"/>
          <w:szCs w:val="21"/>
          <w:highlight w:val="none"/>
        </w:rPr>
        <w:t>②竣工验收合格并取得竣工验收证明后30个工作日内，支付至结算价款的80%。</w:t>
      </w:r>
    </w:p>
    <w:p w14:paraId="717C13CF">
      <w:pPr>
        <w:adjustRightInd w:val="0"/>
        <w:snapToGrid w:val="0"/>
        <w:spacing w:line="360" w:lineRule="auto"/>
        <w:ind w:firstLine="480" w:firstLineChars="200"/>
        <w:jc w:val="left"/>
        <w:rPr>
          <w:rStyle w:val="482"/>
          <w:rFonts w:ascii="宋体" w:hAnsi="宋体" w:eastAsia="宋体" w:cs="宋体"/>
          <w:color w:val="auto"/>
          <w:szCs w:val="21"/>
          <w:highlight w:val="none"/>
        </w:rPr>
      </w:pPr>
      <w:r>
        <w:rPr>
          <w:rStyle w:val="482"/>
          <w:rFonts w:hint="eastAsia" w:ascii="宋体" w:hAnsi="宋体" w:eastAsia="宋体" w:cs="宋体"/>
          <w:color w:val="auto"/>
          <w:szCs w:val="21"/>
          <w:highlight w:val="none"/>
        </w:rPr>
        <w:t>③结算审计完毕后60个工作日内，支付至审定价款的97%；若因中标人原因导致验收延迟，付款时间相应顺延。</w:t>
      </w:r>
    </w:p>
    <w:p w14:paraId="560C49EB">
      <w:pPr>
        <w:adjustRightInd w:val="0"/>
        <w:snapToGrid w:val="0"/>
        <w:spacing w:line="360" w:lineRule="auto"/>
        <w:ind w:firstLine="480" w:firstLineChars="200"/>
        <w:jc w:val="left"/>
        <w:rPr>
          <w:rStyle w:val="482"/>
          <w:rFonts w:ascii="宋体" w:hAnsi="宋体" w:eastAsia="宋体" w:cs="宋体"/>
          <w:color w:val="auto"/>
          <w:szCs w:val="21"/>
          <w:highlight w:val="none"/>
        </w:rPr>
      </w:pPr>
      <w:r>
        <w:rPr>
          <w:rStyle w:val="482"/>
          <w:rFonts w:hint="eastAsia" w:ascii="宋体" w:hAnsi="宋体" w:eastAsia="宋体" w:cs="宋体"/>
          <w:color w:val="auto"/>
          <w:szCs w:val="21"/>
          <w:highlight w:val="none"/>
        </w:rPr>
        <w:t>④剩余3%作为质量保证金，待缺陷责任期（2年）满后30个工作日内无息付清。</w:t>
      </w:r>
    </w:p>
    <w:p w14:paraId="6EC0CD74">
      <w:pPr>
        <w:adjustRightInd w:val="0"/>
        <w:snapToGrid w:val="0"/>
        <w:spacing w:line="360" w:lineRule="auto"/>
        <w:ind w:firstLine="480" w:firstLineChars="200"/>
        <w:jc w:val="left"/>
        <w:rPr>
          <w:rStyle w:val="482"/>
          <w:rFonts w:ascii="宋体" w:hAnsi="宋体" w:eastAsia="宋体" w:cs="宋体"/>
          <w:color w:val="auto"/>
          <w:szCs w:val="21"/>
          <w:highlight w:val="none"/>
        </w:rPr>
      </w:pPr>
      <w:r>
        <w:rPr>
          <w:rStyle w:val="482"/>
          <w:rFonts w:hint="eastAsia" w:ascii="宋体" w:hAnsi="宋体" w:eastAsia="宋体" w:cs="宋体"/>
          <w:color w:val="auto"/>
          <w:szCs w:val="21"/>
          <w:highlight w:val="none"/>
        </w:rPr>
        <w:t>⑤所有支付均以银行转账方式执行，且须提供合规发票。</w:t>
      </w:r>
    </w:p>
    <w:p w14:paraId="40A9168D">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12.4.2 进度付款申请单的编制</w:t>
      </w:r>
    </w:p>
    <w:p w14:paraId="49D669B4">
      <w:pPr>
        <w:snapToGrid w:val="0"/>
        <w:spacing w:line="360" w:lineRule="auto"/>
        <w:ind w:firstLine="480" w:firstLineChars="200"/>
        <w:jc w:val="left"/>
        <w:rPr>
          <w:rFonts w:ascii="宋体" w:hAnsi="宋体" w:eastAsia="宋体" w:cs="宋体"/>
          <w:bCs/>
          <w:color w:val="auto"/>
          <w:szCs w:val="21"/>
          <w:highlight w:val="none"/>
          <w:u w:val="single"/>
        </w:rPr>
      </w:pPr>
      <w:r>
        <w:rPr>
          <w:rFonts w:hint="eastAsia" w:ascii="宋体" w:hAnsi="宋体" w:eastAsia="宋体" w:cs="宋体"/>
          <w:color w:val="auto"/>
          <w:szCs w:val="21"/>
          <w:highlight w:val="none"/>
        </w:rPr>
        <w:t xml:space="preserve">关于进度付款申请单的编制的约定： </w:t>
      </w:r>
      <w:r>
        <w:rPr>
          <w:rFonts w:hint="eastAsia" w:ascii="宋体" w:hAnsi="宋体" w:cs="宋体"/>
          <w:bCs/>
          <w:color w:val="auto"/>
          <w:szCs w:val="21"/>
          <w:highlight w:val="none"/>
          <w:u w:val="single"/>
        </w:rPr>
        <w:t>根据发包人和监理人要求编制。</w:t>
      </w:r>
    </w:p>
    <w:p w14:paraId="7D3D25ED">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hint="eastAsia" w:ascii="宋体" w:hAnsi="宋体" w:eastAsia="宋体" w:cs="宋体"/>
          <w:color w:val="auto"/>
          <w:szCs w:val="21"/>
          <w:highlight w:val="none"/>
        </w:rPr>
        <w:t>2.4.3 进度付款申请单的提交</w:t>
      </w:r>
    </w:p>
    <w:p w14:paraId="6904E6B2">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（1）单价合同进度付款申请单提交的约定：</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p w14:paraId="40BDA635">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（2）总价合同进度付款申请单提交的约定：</w:t>
      </w:r>
      <w:r>
        <w:rPr>
          <w:rFonts w:hint="eastAsia" w:ascii="宋体" w:hAnsi="宋体" w:eastAsia="宋体" w:cs="宋体"/>
          <w:color w:val="auto"/>
          <w:szCs w:val="21"/>
          <w:highlight w:val="none"/>
          <w:u w:val="single"/>
        </w:rPr>
        <w:t xml:space="preserve">  不采用  </w:t>
      </w:r>
      <w:r>
        <w:rPr>
          <w:rFonts w:hint="eastAsia" w:ascii="宋体" w:hAnsi="宋体" w:eastAsia="宋体" w:cs="宋体"/>
          <w:color w:val="auto"/>
          <w:szCs w:val="21"/>
          <w:highlight w:val="none"/>
        </w:rPr>
        <w:t>。</w:t>
      </w:r>
    </w:p>
    <w:p w14:paraId="66AD08A2">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（3）其他价格形式合同进度付款申请单提交的约定：</w:t>
      </w:r>
      <w:r>
        <w:rPr>
          <w:rFonts w:hint="eastAsia" w:ascii="宋体" w:hAnsi="宋体" w:eastAsia="宋体" w:cs="宋体"/>
          <w:color w:val="auto"/>
          <w:szCs w:val="21"/>
          <w:highlight w:val="none"/>
          <w:u w:val="single"/>
        </w:rPr>
        <w:t xml:space="preserve">  不采用  </w:t>
      </w:r>
      <w:r>
        <w:rPr>
          <w:rFonts w:hint="eastAsia" w:ascii="宋体" w:hAnsi="宋体" w:eastAsia="宋体" w:cs="宋体"/>
          <w:color w:val="auto"/>
          <w:szCs w:val="21"/>
          <w:highlight w:val="none"/>
        </w:rPr>
        <w:t>。</w:t>
      </w:r>
    </w:p>
    <w:p w14:paraId="0F043A45">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12.4.4 进度款审核和支付</w:t>
      </w:r>
    </w:p>
    <w:p w14:paraId="7EE60284">
      <w:pPr>
        <w:adjustRightInd w:val="0"/>
        <w:snapToGrid w:val="0"/>
        <w:spacing w:line="360" w:lineRule="auto"/>
        <w:ind w:firstLine="48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（1）监理人审查并报送发包人的期限：</w:t>
      </w:r>
      <w:r>
        <w:rPr>
          <w:rFonts w:hint="eastAsia" w:ascii="宋体" w:hAnsi="宋体" w:eastAsia="宋体" w:cs="宋体"/>
          <w:color w:val="auto"/>
          <w:szCs w:val="21"/>
          <w:highlight w:val="none"/>
          <w:u w:val="single"/>
        </w:rPr>
        <w:t xml:space="preserve"> 按通用条款执行 </w:t>
      </w:r>
      <w:r>
        <w:rPr>
          <w:rFonts w:hint="eastAsia" w:ascii="宋体" w:hAnsi="宋体" w:eastAsia="宋体" w:cs="宋体"/>
          <w:color w:val="auto"/>
          <w:szCs w:val="21"/>
          <w:highlight w:val="none"/>
        </w:rPr>
        <w:t>。</w:t>
      </w:r>
    </w:p>
    <w:p w14:paraId="079A7DE0">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发包人完成审批并签发进度款支付证书的期限：</w:t>
      </w:r>
      <w:r>
        <w:rPr>
          <w:rFonts w:hint="eastAsia" w:ascii="宋体" w:hAnsi="宋体" w:eastAsia="宋体" w:cs="宋体"/>
          <w:color w:val="auto"/>
          <w:szCs w:val="21"/>
          <w:highlight w:val="none"/>
          <w:u w:val="single"/>
        </w:rPr>
        <w:t xml:space="preserve"> 按发包人单位财务支付规定 </w:t>
      </w:r>
      <w:r>
        <w:rPr>
          <w:rFonts w:hint="eastAsia" w:ascii="宋体" w:hAnsi="宋体" w:eastAsia="宋体" w:cs="宋体"/>
          <w:color w:val="auto"/>
          <w:szCs w:val="21"/>
          <w:highlight w:val="none"/>
        </w:rPr>
        <w:t>。</w:t>
      </w:r>
    </w:p>
    <w:p w14:paraId="5737A513">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（2）发包人支付进度款的期限：</w:t>
      </w:r>
      <w:r>
        <w:rPr>
          <w:rFonts w:hint="eastAsia" w:ascii="宋体" w:hAnsi="宋体" w:eastAsia="宋体" w:cs="宋体"/>
          <w:color w:val="auto"/>
          <w:szCs w:val="21"/>
          <w:highlight w:val="none"/>
          <w:u w:val="single"/>
        </w:rPr>
        <w:t xml:space="preserve"> 按发包人单位财务支付规定 </w:t>
      </w:r>
      <w:r>
        <w:rPr>
          <w:rFonts w:hint="eastAsia" w:ascii="宋体" w:hAnsi="宋体" w:eastAsia="宋体" w:cs="宋体"/>
          <w:color w:val="auto"/>
          <w:szCs w:val="21"/>
          <w:highlight w:val="none"/>
        </w:rPr>
        <w:t>。</w:t>
      </w:r>
    </w:p>
    <w:p w14:paraId="5C73964F">
      <w:pPr>
        <w:adjustRightInd w:val="0"/>
        <w:snapToGrid w:val="0"/>
        <w:spacing w:line="360" w:lineRule="auto"/>
        <w:ind w:firstLine="600"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发包人逾期支付进度款的违约金的计算方式：</w:t>
      </w:r>
      <w:r>
        <w:rPr>
          <w:rFonts w:hint="eastAsia" w:ascii="宋体" w:hAnsi="宋体" w:eastAsia="宋体" w:cs="宋体"/>
          <w:color w:val="auto"/>
          <w:szCs w:val="21"/>
          <w:highlight w:val="none"/>
          <w:u w:val="single"/>
        </w:rPr>
        <w:t xml:space="preserve"> 按照中国人民银行同期同类贷款基准利率计算。</w:t>
      </w:r>
    </w:p>
    <w:p w14:paraId="3ACB3F3C">
      <w:pPr>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12.4.6 支付分解表的编制</w:t>
      </w:r>
    </w:p>
    <w:p w14:paraId="1FE1D14A">
      <w:pPr>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2、总价合同支付分解表的编制与审批：</w:t>
      </w:r>
      <w:r>
        <w:rPr>
          <w:rFonts w:hint="eastAsia" w:ascii="宋体" w:hAnsi="宋体" w:eastAsia="宋体" w:cs="宋体"/>
          <w:color w:val="auto"/>
          <w:szCs w:val="21"/>
          <w:highlight w:val="none"/>
          <w:u w:val="single"/>
        </w:rPr>
        <w:t xml:space="preserve">  不采用  </w:t>
      </w:r>
      <w:r>
        <w:rPr>
          <w:rFonts w:hint="eastAsia" w:ascii="宋体" w:hAnsi="宋体" w:eastAsia="宋体" w:cs="宋体"/>
          <w:color w:val="auto"/>
          <w:szCs w:val="21"/>
          <w:highlight w:val="none"/>
        </w:rPr>
        <w:t>。</w:t>
      </w:r>
    </w:p>
    <w:p w14:paraId="03F2DC97">
      <w:pPr>
        <w:numPr>
          <w:ilvl w:val="0"/>
          <w:numId w:val="8"/>
        </w:num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单价合同的总价项目支付分解表的编制与审批：</w:t>
      </w:r>
      <w:r>
        <w:rPr>
          <w:rFonts w:hint="eastAsia" w:ascii="宋体" w:hAnsi="宋体" w:eastAsia="宋体" w:cs="宋体"/>
          <w:color w:val="auto"/>
          <w:szCs w:val="21"/>
          <w:highlight w:val="none"/>
          <w:u w:val="single"/>
        </w:rPr>
        <w:t xml:space="preserve"> 不采用。</w:t>
      </w:r>
    </w:p>
    <w:bookmarkEnd w:id="125"/>
    <w:p w14:paraId="27A676EE">
      <w:pPr>
        <w:tabs>
          <w:tab w:val="left" w:pos="4409"/>
        </w:tabs>
        <w:adjustRightInd w:val="0"/>
        <w:snapToGrid w:val="0"/>
        <w:spacing w:line="360" w:lineRule="auto"/>
        <w:jc w:val="left"/>
        <w:rPr>
          <w:rFonts w:ascii="宋体" w:hAnsi="宋体" w:eastAsia="宋体" w:cs="宋体"/>
          <w:b/>
          <w:color w:val="auto"/>
          <w:szCs w:val="21"/>
          <w:highlight w:val="none"/>
        </w:rPr>
      </w:pPr>
      <w:bookmarkStart w:id="140" w:name="_Toc351203645"/>
      <w:bookmarkStart w:id="141" w:name="_Toc300935015"/>
      <w:bookmarkStart w:id="142" w:name="_Toc296346720"/>
      <w:bookmarkStart w:id="143" w:name="_Toc296347218"/>
      <w:bookmarkStart w:id="144" w:name="_Toc297123564"/>
      <w:bookmarkStart w:id="145" w:name="_Toc297216223"/>
      <w:bookmarkStart w:id="146" w:name="_Toc292559929"/>
      <w:bookmarkStart w:id="147" w:name="_Toc297120519"/>
      <w:bookmarkStart w:id="148" w:name="_Toc303539172"/>
      <w:bookmarkStart w:id="149" w:name="_Toc292559424"/>
      <w:bookmarkStart w:id="150" w:name="_Toc296891047"/>
      <w:bookmarkStart w:id="151" w:name="_Toc297048405"/>
      <w:bookmarkStart w:id="152" w:name="_Toc296891259"/>
      <w:bookmarkStart w:id="153" w:name="_Toc296944558"/>
      <w:bookmarkStart w:id="154" w:name="_Toc304295593"/>
      <w:bookmarkStart w:id="155" w:name="_Toc312678053"/>
      <w:bookmarkStart w:id="156" w:name="_Toc296503219"/>
      <w:r>
        <w:rPr>
          <w:rFonts w:hint="eastAsia" w:ascii="宋体" w:hAnsi="宋体" w:eastAsia="宋体" w:cs="宋体"/>
          <w:b/>
          <w:color w:val="auto"/>
          <w:szCs w:val="21"/>
          <w:highlight w:val="none"/>
        </w:rPr>
        <w:t>13. 验收和工程试车</w:t>
      </w:r>
      <w:bookmarkEnd w:id="140"/>
    </w:p>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14:paraId="2A25F7DF">
      <w:pPr>
        <w:snapToGrid w:val="0"/>
        <w:spacing w:line="360" w:lineRule="auto"/>
        <w:ind w:firstLine="480" w:firstLineChars="200"/>
        <w:jc w:val="left"/>
        <w:rPr>
          <w:rFonts w:hint="eastAsia" w:ascii="宋体" w:hAnsi="宋体" w:eastAsia="宋体" w:cs="宋体"/>
          <w:color w:val="auto"/>
          <w:szCs w:val="21"/>
          <w:highlight w:val="none"/>
        </w:rPr>
      </w:pPr>
      <w:bookmarkStart w:id="157" w:name="_Toc267251474"/>
      <w:bookmarkStart w:id="158" w:name="_Toc267251475"/>
      <w:bookmarkStart w:id="159" w:name="_Toc267251476"/>
      <w:bookmarkStart w:id="160" w:name="_Toc280868709"/>
      <w:bookmarkStart w:id="161" w:name="_Toc267251470"/>
      <w:bookmarkStart w:id="162" w:name="_Toc267251473"/>
      <w:bookmarkStart w:id="163" w:name="_Toc267251471"/>
      <w:bookmarkStart w:id="164" w:name="_Toc267251472"/>
      <w:r>
        <w:rPr>
          <w:rFonts w:hint="eastAsia" w:ascii="宋体" w:hAnsi="宋体" w:eastAsia="宋体" w:cs="宋体"/>
          <w:color w:val="auto"/>
          <w:szCs w:val="21"/>
          <w:highlight w:val="none"/>
        </w:rPr>
        <w:t>13.1分部分项工程验收</w:t>
      </w:r>
    </w:p>
    <w:p w14:paraId="04A55B4F">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13.1.2不能按时进行验收时，应提前24小时提交书面延期要求。</w:t>
      </w:r>
    </w:p>
    <w:p w14:paraId="11E7C19F">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关于延期最长不得超过：48小时。</w:t>
      </w:r>
    </w:p>
    <w:p w14:paraId="3749BBFB">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13.2竣工验收</w:t>
      </w:r>
    </w:p>
    <w:p w14:paraId="2443C76C">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13.2.2竣工验收程序</w:t>
      </w:r>
    </w:p>
    <w:p w14:paraId="3BCFAD26">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关于竣工验收程序的约定：按通用条款,承包人必须保证工程完工后及时进行竣工验收，若现场正式电未按时接入，则承包人应考虑使用临时电进行各项验收。</w:t>
      </w:r>
    </w:p>
    <w:p w14:paraId="3044A1C3">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发包人不按照本项约定组织竣工验收、颁发工程接收证书的违约金的计算方法：/</w:t>
      </w:r>
    </w:p>
    <w:p w14:paraId="4078DCAF">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13.2.5移交、接收全部与部分工程</w:t>
      </w:r>
    </w:p>
    <w:p w14:paraId="5B583A93">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承包人向发包人移交工程的期限：竣工时间以发包人组织的竣工验收合格日期为准。经发包人组织验收合格的工程，自验收结束之日起7天内承包人将工程移交给发包人。</w:t>
      </w:r>
    </w:p>
    <w:p w14:paraId="4B029205">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发包人未按本合同约定接收全部或部分工程的，违约金的计算方法为：/。</w:t>
      </w:r>
    </w:p>
    <w:p w14:paraId="333E46EC">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未按时移交工程的，违约金的计算方法为：除不可抗力与发包人的原因外，若由于承包人原因未按时移交工程的，每延误一天承包人向发包人支付1000元人民币的违约金（以合同价5%为限）。发包人可从应向承包人支付的任何款项中扣除此违约金</w:t>
      </w:r>
    </w:p>
    <w:p w14:paraId="5D255476">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13.3工程试车</w:t>
      </w:r>
    </w:p>
    <w:p w14:paraId="4E6CC6CF">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13.3.1试车程序</w:t>
      </w:r>
    </w:p>
    <w:p w14:paraId="48E6B8AF">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工程试车内容：</w:t>
      </w:r>
    </w:p>
    <w:p w14:paraId="6E0BE23C">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试车程序由双方按规范和有关要求另行协商，试车费用由承包人承担</w:t>
      </w:r>
    </w:p>
    <w:p w14:paraId="32B8ADD4">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(1)单机无负荷试车费用由承包人承担；</w:t>
      </w:r>
      <w:r>
        <w:rPr>
          <w:rFonts w:hint="eastAsia" w:ascii="宋体" w:hAnsi="宋体" w:eastAsia="宋体" w:cs="宋体"/>
          <w:color w:val="auto"/>
          <w:szCs w:val="21"/>
          <w:highlight w:val="none"/>
        </w:rPr>
        <w:tab/>
      </w:r>
    </w:p>
    <w:p w14:paraId="50C5EC4D">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(2)无负荷联动试车费用由承包人承担。</w:t>
      </w:r>
    </w:p>
    <w:p w14:paraId="716FE66A">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13.3.3投料试车</w:t>
      </w:r>
    </w:p>
    <w:p w14:paraId="7054FA9A">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关于投料试车相关事项的约定：由相关施工方承担</w:t>
      </w:r>
    </w:p>
    <w:p w14:paraId="4F20FA67">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13.6竣工退场</w:t>
      </w:r>
    </w:p>
    <w:p w14:paraId="666D641B">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13.6.1竣工退场</w:t>
      </w:r>
    </w:p>
    <w:p w14:paraId="770926F5">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承包人完成竣工退场的期限：取得工程竣工验收证书后7天内（1）施工现场内残留的垃圾已全部清除出场；（2）临时工程已拆除，场地已进行清理、平整或复原；（3）按合同约定应撤离的人员、承包人施工设备和剩余的材料，包括废弃的施工设备和材料，已按计划撤离施工现场；（4）施工现场其他场地清理工作已全部完成。每延误一天，向发包人支付1000元/天的违约金，超过7天发包人有权处理现场，处理费用由承包人承担，处理后所得款不予返还。非承包人原因导致的施工人员、材料、设备没在15天内全部退场不支付违约金。</w:t>
      </w:r>
    </w:p>
    <w:p w14:paraId="36BE3B52">
      <w:pPr>
        <w:tabs>
          <w:tab w:val="left" w:pos="4409"/>
        </w:tabs>
        <w:adjustRightInd w:val="0"/>
        <w:snapToGrid w:val="0"/>
        <w:spacing w:line="360" w:lineRule="auto"/>
        <w:jc w:val="left"/>
        <w:rPr>
          <w:rFonts w:ascii="宋体" w:hAnsi="宋体" w:eastAsia="宋体" w:cs="宋体"/>
          <w:b/>
          <w:color w:val="auto"/>
          <w:szCs w:val="21"/>
          <w:highlight w:val="none"/>
        </w:rPr>
      </w:pPr>
      <w:bookmarkStart w:id="165" w:name="_Toc351203646"/>
      <w:r>
        <w:rPr>
          <w:rFonts w:hint="eastAsia" w:ascii="宋体" w:hAnsi="宋体" w:eastAsia="宋体" w:cs="宋体"/>
          <w:b/>
          <w:color w:val="auto"/>
          <w:szCs w:val="21"/>
          <w:highlight w:val="none"/>
        </w:rPr>
        <w:t>14. 竣工结算</w:t>
      </w:r>
      <w:bookmarkEnd w:id="165"/>
    </w:p>
    <w:p w14:paraId="3A676203">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14.1竣工结算申请</w:t>
      </w:r>
    </w:p>
    <w:p w14:paraId="0C341820">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竣工结算申请单的期限：承包人在工程完工后30天内将竣工结算报发包人进行初审，初审后由发包人委托的审计部门进行审计。承包人应积极配合发包人、审计部门的工作，并做好相关资料的核对工作，履行正常手续。</w:t>
      </w:r>
    </w:p>
    <w:p w14:paraId="0C384713">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竣工结算申请单应包括的内容：</w:t>
      </w:r>
    </w:p>
    <w:p w14:paraId="67D9CF95">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除包括按通用条款约定的（1）竣工结算合同价格；（2）发包人已支付承包人的款项；（3）应扣留的质量保修（证）金；（4）发包人应支付承包人的合同价款。</w:t>
      </w:r>
    </w:p>
    <w:p w14:paraId="0195B072">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还应包括（</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）项目分部分项工程逐个工程量清单子目计量单（</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）项目签证单（</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）工程结算书（含竣工结算合同价格含明细计量计价表、发包人已支付承包人的款项、（</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）项目竣工图（</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）项目合格的竣工验收报告等资料</w:t>
      </w:r>
    </w:p>
    <w:p w14:paraId="04749FC0">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14.2竣工结算审核</w:t>
      </w:r>
    </w:p>
    <w:p w14:paraId="592044F5">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发包人审批竣工付款申请单的期限：（一）结算报审、审计时间要求</w:t>
      </w:r>
    </w:p>
    <w:p w14:paraId="0F76BF06">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结算报审、审计时间要求乙方在竣工验收及工程签证手续办理完成后1个月内联系甲方上报工程结算资料，甲方收到乙方提供的完备的竣工结算资料后，四十五个工作日内出具审计征求意见稿。施工方需在收到征求意见稿之后10个工作日内，就争议部分出具书面意见并送达审计处，如按期未提供书面意见则视为无异议。双方对审计结果认可后十日内出具审核报告。甲方有权对超供部分甲供材在结算中扣除。</w:t>
      </w:r>
    </w:p>
    <w:p w14:paraId="12E4BB2E">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结算资料包括但不经限于：（1）施工合同、补充协议等；（2）中标通知书；（3）招标文件、招标答疑、投标文件（纸质版和PDF版）；（4）竣工图、工程签证单、设计变更等资料（至少一份原件）；（5）开工、竣工报告；（6）工程影像资料；（7）施工用水电度数（如有）；（8）有关工程的质量、安全、奖罚资料；（9）竣工结算资料（含竣工结算书、工程量计算书）；（10）甲供材清单（如有）；</w:t>
      </w:r>
    </w:p>
    <w:p w14:paraId="59611DE4">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2.本项目结算审计，应按下列规定支付审计费用：</w:t>
      </w:r>
    </w:p>
    <w:p w14:paraId="383AB7F0">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（1）单项工程核减率超过5%的，其审计费用全部由乙方承担，并由甲方从乙方工程款中扣除；</w:t>
      </w:r>
    </w:p>
    <w:p w14:paraId="19013E7C">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（2）单项工程核减率在5%及其以下的，其审计费用由甲方承担。</w:t>
      </w:r>
    </w:p>
    <w:p w14:paraId="228D818A">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核减率按审计最终核定额与乙方申报的决算额之间的差额计算。</w:t>
      </w:r>
    </w:p>
    <w:p w14:paraId="338DE5A5">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3、（1）主材必须严格选用优质、环保、无腐蚀性产品，材料进场提供产品合格证并办理材料报验手续；施工规范符合现行国家规范；工程质量要求为：合格。</w:t>
      </w:r>
    </w:p>
    <w:p w14:paraId="39124C1D">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主要材料品牌及样品提供要求：所选产品的功能、技术参数及品牌档次不得低于招标文件品牌要求，未列入以上参考品牌的，参考相关参数、型号和要求报价,报价细致到每个零件的数量、型号、价格。如投标品牌与以上参考品牌不同，必须提供充分的证据，证明使用的材料质量高于或相当于本品牌的产品，经采购人同意后方可使用。设备、材料、货物到场后，供应商需派人现场值守，负责所供货物的安全、协调施工和调试，直至通过相关部门验收。主材检测：业主可随时对工程主要材料选择送检，检测费用包含在响应价内，如发现以次充好或不合格材料，除及时更换合格产品外，每发现一处扣罚款2000元。</w:t>
      </w:r>
    </w:p>
    <w:p w14:paraId="3024DE2C">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（3）主要材料进场须经甲方确认</w:t>
      </w:r>
    </w:p>
    <w:p w14:paraId="19E5B482">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4、现场管理及安全责任：施工单位根据现行国家工程质量检验标准和现场实际情况，按国家有关规定派驻具有相应资质的项目经理，加强施工管理，因质量和安全问题造成的一切责任和损失均由施工单位负责。</w:t>
      </w:r>
    </w:p>
    <w:p w14:paraId="5FAFE3E7">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5、隐蔽工程或部位必须报甲方同意后，方可进入下一步工序并自行留存相关资料，否则结算不予承认。</w:t>
      </w:r>
    </w:p>
    <w:p w14:paraId="76C64ED4">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6、施工管理中，未按规定要求（安全文明施工、质量标准等方面）进行施工、管理的，罚款300-500元/次。发包人完成竣工付款的期限：按发包人要求办理。</w:t>
      </w:r>
    </w:p>
    <w:p w14:paraId="18C9A52D">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关于竣工付款证书异议部分复核的方式和程序：</w:t>
      </w:r>
    </w:p>
    <w:p w14:paraId="6617650D">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由项目终审单位提出异议，并由合同当事人按照专用合同条款约定的方式和程序进行复核，或按照第20条〔争议解决〕约定处理</w:t>
      </w:r>
    </w:p>
    <w:p w14:paraId="5E365B2D">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14.4最终结清</w:t>
      </w:r>
    </w:p>
    <w:p w14:paraId="61C33956">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14.4.1最终结清申请单</w:t>
      </w:r>
    </w:p>
    <w:p w14:paraId="18BD7465">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承包人提交最终结清申请单的份数：4份纸制文件，电子版一份。</w:t>
      </w:r>
    </w:p>
    <w:p w14:paraId="30E4739B">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承包人提交最终结算申请单的期限：按通用条款有关规定执行。</w:t>
      </w:r>
    </w:p>
    <w:p w14:paraId="673C37A3">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14.4.2最终结清证书和支付</w:t>
      </w:r>
    </w:p>
    <w:p w14:paraId="4E6B409F">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(1)发包人完成最终结清申请单的审批并颁发最终结清证书的期限：收到承包人提交的最终结清申请单后60天内。</w:t>
      </w:r>
    </w:p>
    <w:p w14:paraId="25D636B7">
      <w:pPr>
        <w:adjustRightInd w:val="0"/>
        <w:snapToGrid w:val="0"/>
        <w:spacing w:line="360" w:lineRule="auto"/>
        <w:ind w:firstLine="48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(2)发包人完成支付的期限：最终结算定审后30个工作日内。</w:t>
      </w:r>
    </w:p>
    <w:bookmarkEnd w:id="157"/>
    <w:bookmarkEnd w:id="158"/>
    <w:bookmarkEnd w:id="159"/>
    <w:bookmarkEnd w:id="160"/>
    <w:bookmarkEnd w:id="161"/>
    <w:bookmarkEnd w:id="162"/>
    <w:bookmarkEnd w:id="163"/>
    <w:bookmarkEnd w:id="164"/>
    <w:p w14:paraId="1728D704">
      <w:pPr>
        <w:tabs>
          <w:tab w:val="left" w:pos="4409"/>
        </w:tabs>
        <w:adjustRightInd w:val="0"/>
        <w:snapToGrid w:val="0"/>
        <w:spacing w:line="360" w:lineRule="auto"/>
        <w:jc w:val="left"/>
        <w:rPr>
          <w:rFonts w:ascii="宋体" w:hAnsi="宋体" w:eastAsia="宋体" w:cs="宋体"/>
          <w:b/>
          <w:color w:val="auto"/>
          <w:szCs w:val="21"/>
          <w:highlight w:val="none"/>
        </w:rPr>
      </w:pPr>
      <w:bookmarkStart w:id="166" w:name="_Toc351203647"/>
      <w:bookmarkStart w:id="167" w:name="_Toc267251485"/>
      <w:bookmarkStart w:id="168" w:name="_Toc267251482"/>
      <w:bookmarkStart w:id="169" w:name="_Toc267251484"/>
      <w:bookmarkStart w:id="170" w:name="_Toc267251483"/>
      <w:bookmarkStart w:id="171" w:name="_Toc267251489"/>
      <w:bookmarkStart w:id="172" w:name="_Toc267251486"/>
      <w:bookmarkStart w:id="173" w:name="_Toc267251490"/>
      <w:bookmarkStart w:id="174" w:name="_Toc267251488"/>
      <w:bookmarkStart w:id="175" w:name="_Toc267251513"/>
      <w:bookmarkStart w:id="176" w:name="_Toc267251493"/>
      <w:bookmarkStart w:id="177" w:name="_Toc267251496"/>
      <w:bookmarkStart w:id="178" w:name="_Toc267251511"/>
      <w:bookmarkStart w:id="179" w:name="_Toc267251503"/>
      <w:bookmarkStart w:id="180" w:name="_Toc267251502"/>
      <w:bookmarkStart w:id="181" w:name="_Toc267251509"/>
      <w:bookmarkStart w:id="182" w:name="_Toc267251495"/>
      <w:bookmarkStart w:id="183" w:name="_Toc267251494"/>
      <w:bookmarkStart w:id="184" w:name="_Toc267251504"/>
      <w:bookmarkStart w:id="185" w:name="_Toc267251514"/>
      <w:bookmarkStart w:id="186" w:name="_Toc267251507"/>
      <w:bookmarkStart w:id="187" w:name="_Toc267251492"/>
      <w:bookmarkStart w:id="188" w:name="_Toc267251491"/>
      <w:bookmarkStart w:id="189" w:name="_Toc267251515"/>
      <w:bookmarkStart w:id="190" w:name="_Toc267251498"/>
      <w:bookmarkStart w:id="191" w:name="_Toc267251508"/>
      <w:bookmarkStart w:id="192" w:name="_Toc267251501"/>
      <w:bookmarkStart w:id="193" w:name="_Toc267251499"/>
      <w:bookmarkStart w:id="194" w:name="_Toc267251510"/>
      <w:bookmarkStart w:id="195" w:name="_Toc267251506"/>
      <w:bookmarkStart w:id="196" w:name="_Toc267251497"/>
      <w:r>
        <w:rPr>
          <w:rFonts w:hint="eastAsia" w:ascii="宋体" w:hAnsi="宋体" w:eastAsia="宋体" w:cs="宋体"/>
          <w:b/>
          <w:color w:val="auto"/>
          <w:szCs w:val="21"/>
          <w:highlight w:val="none"/>
        </w:rPr>
        <w:t>15. 缺陷责任期与保修</w:t>
      </w:r>
      <w:bookmarkEnd w:id="166"/>
    </w:p>
    <w:bookmarkEnd w:id="167"/>
    <w:bookmarkEnd w:id="168"/>
    <w:bookmarkEnd w:id="169"/>
    <w:bookmarkEnd w:id="170"/>
    <w:p w14:paraId="7AC1D5B4">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15.2缺陷责任期</w:t>
      </w:r>
    </w:p>
    <w:p w14:paraId="5826C516">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缺陷责任期的具体期限：24个月</w:t>
      </w:r>
    </w:p>
    <w:p w14:paraId="1392D258">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15.3质量保证金</w:t>
      </w:r>
    </w:p>
    <w:p w14:paraId="1D91EFFC">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关于是否扣留质量保证金的约定：</w:t>
      </w:r>
      <w:r>
        <w:rPr>
          <w:rFonts w:hint="eastAsia" w:ascii="宋体" w:hAnsi="宋体" w:cs="宋体"/>
          <w:color w:val="auto"/>
          <w:szCs w:val="21"/>
          <w:highlight w:val="none"/>
          <w:lang w:val="en-US" w:eastAsia="zh-CN"/>
        </w:rPr>
        <w:t>是</w:t>
      </w:r>
      <w:r>
        <w:rPr>
          <w:rFonts w:hint="eastAsia" w:ascii="宋体" w:hAnsi="宋体" w:eastAsia="宋体" w:cs="宋体"/>
          <w:color w:val="auto"/>
          <w:szCs w:val="21"/>
          <w:highlight w:val="none"/>
        </w:rPr>
        <w:t>。</w:t>
      </w:r>
    </w:p>
    <w:p w14:paraId="58047081">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15.3.1承包人提供质量保证金的方式</w:t>
      </w:r>
    </w:p>
    <w:p w14:paraId="0931A21E">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质量保证金采用以下第2种方式：</w:t>
      </w:r>
    </w:p>
    <w:p w14:paraId="22E95342">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(1)质量保证金保函，保证金额为：/；</w:t>
      </w:r>
    </w:p>
    <w:p w14:paraId="78244079">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(2)结算总价的3%的工程款；</w:t>
      </w:r>
    </w:p>
    <w:p w14:paraId="3432F355">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(3)其他方式：/。</w:t>
      </w:r>
    </w:p>
    <w:p w14:paraId="0244A4F7">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15.3.2质量保证金的扣留</w:t>
      </w:r>
    </w:p>
    <w:p w14:paraId="5CE8F2B4">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质量保证金的扣留采取以下第2种方式：</w:t>
      </w:r>
    </w:p>
    <w:p w14:paraId="1984ACB8">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(1)在支付工程进度款时逐次扣留，在此情形下，质量保证金的计算基数不包括预付款的支付、扣回以及价格调整的金额；</w:t>
      </w:r>
    </w:p>
    <w:p w14:paraId="7F8C27D3">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(2)工程竣工结算时一次性扣留质量保证金；</w:t>
      </w:r>
    </w:p>
    <w:p w14:paraId="529E373E">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(3)其他扣留方式：/。</w:t>
      </w:r>
    </w:p>
    <w:p w14:paraId="617AAACF">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关于质量保证金的补充约定：</w:t>
      </w:r>
    </w:p>
    <w:p w14:paraId="7EA062A2">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修期内，发包人有权组织相关部门进行定期检查，发现质量缺陷，承包方应积极配合在中心规定的时间内进行维修，发包人有权根据承包方的维修情况（或不履行维修义务）进行扣除质保金或经济索赔。如果维修超过两次仍未解决或不履行维修义务的，发包人有权另行组织其他单位进行维修，费用由承包方承担，发包人有权扣除质保金并追索经济赔偿；</w:t>
      </w:r>
    </w:p>
    <w:p w14:paraId="7907B429">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为本项目所有设备提供叁年质保，质保期内部件故障免费更换。</w:t>
      </w:r>
    </w:p>
    <w:p w14:paraId="62126E07">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15.4保修</w:t>
      </w:r>
    </w:p>
    <w:p w14:paraId="79A9306B">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15.4.1保修责任</w:t>
      </w:r>
    </w:p>
    <w:p w14:paraId="56B7BD61">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工程保修期为：</w:t>
      </w:r>
    </w:p>
    <w:p w14:paraId="3635B7AD">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详见《工程质量保修书》</w:t>
      </w:r>
    </w:p>
    <w:p w14:paraId="2AD373D5">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15.4.3修复通知</w:t>
      </w:r>
    </w:p>
    <w:p w14:paraId="77D58CF4">
      <w:pPr>
        <w:adjustRightInd w:val="0"/>
        <w:snapToGrid w:val="0"/>
        <w:spacing w:line="360" w:lineRule="auto"/>
        <w:ind w:firstLine="468"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承包人收到保修通知并到达工程现场的合理时间：</w:t>
      </w:r>
    </w:p>
    <w:p w14:paraId="283BDDCE">
      <w:pPr>
        <w:adjustRightInd w:val="0"/>
        <w:snapToGrid w:val="0"/>
        <w:spacing w:line="360" w:lineRule="auto"/>
        <w:ind w:firstLine="468" w:firstLineChars="195"/>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承包人收到保修通知后24小时内到达工程现场</w:t>
      </w:r>
    </w:p>
    <w:bookmarkEnd w:id="171"/>
    <w:bookmarkEnd w:id="172"/>
    <w:bookmarkEnd w:id="173"/>
    <w:bookmarkEnd w:id="174"/>
    <w:p w14:paraId="77B2AB86">
      <w:pPr>
        <w:tabs>
          <w:tab w:val="left" w:pos="4409"/>
        </w:tabs>
        <w:adjustRightInd w:val="0"/>
        <w:snapToGrid w:val="0"/>
        <w:spacing w:line="360" w:lineRule="auto"/>
        <w:jc w:val="left"/>
        <w:rPr>
          <w:rFonts w:ascii="宋体" w:hAnsi="宋体" w:eastAsia="宋体" w:cs="宋体"/>
          <w:b/>
          <w:color w:val="auto"/>
          <w:szCs w:val="21"/>
          <w:highlight w:val="none"/>
        </w:rPr>
      </w:pPr>
      <w:bookmarkStart w:id="197" w:name="_Toc351203648"/>
      <w:bookmarkStart w:id="198" w:name="_Toc280868717"/>
      <w:bookmarkStart w:id="199" w:name="_Toc280868718"/>
      <w:r>
        <w:rPr>
          <w:rFonts w:hint="eastAsia" w:ascii="宋体" w:hAnsi="宋体" w:eastAsia="宋体" w:cs="宋体"/>
          <w:b/>
          <w:color w:val="auto"/>
          <w:szCs w:val="21"/>
          <w:highlight w:val="none"/>
        </w:rPr>
        <w:t>16. 违约</w:t>
      </w:r>
      <w:bookmarkEnd w:id="197"/>
    </w:p>
    <w:p w14:paraId="63B9907E">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16.1发包人违约</w:t>
      </w:r>
    </w:p>
    <w:p w14:paraId="0D4FB4CF">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16.1.1发包人违约的情形</w:t>
      </w:r>
    </w:p>
    <w:p w14:paraId="19BED005">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发包人违约的其他情形：</w:t>
      </w:r>
    </w:p>
    <w:p w14:paraId="38BCC415">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按通用条款</w:t>
      </w:r>
    </w:p>
    <w:p w14:paraId="73050A87">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16.1.2发包人违约的责任</w:t>
      </w:r>
    </w:p>
    <w:p w14:paraId="1E283A09">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发包人违约责任的承担方式和计算方法：</w:t>
      </w:r>
    </w:p>
    <w:p w14:paraId="69A6A1C2">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(1)因发包人原因未能在计划开工日期前7天内下达开工通知的违约责任：工期顺延。</w:t>
      </w:r>
    </w:p>
    <w:p w14:paraId="7787333F">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(2)因发包人原因未能按合同约定支付合同价款的违约责任：/。</w:t>
      </w:r>
    </w:p>
    <w:p w14:paraId="3BD7FD3A">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(3)发包人违反第10.1款〔变更的范围〕第(2)项约定，自行实施被取消的工作或转由他人实施的违约责任：/</w:t>
      </w:r>
    </w:p>
    <w:p w14:paraId="5206F56E">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(4)发包人提供的材料、工程设备的规格、数量或质量不符合合同约定，或因发包人原因导致交货日期延误或交货地点变更等情况的违约责任：/。</w:t>
      </w:r>
    </w:p>
    <w:p w14:paraId="7074A5BF">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(5)因发包人违反合同约定造成暂停施工的违约责任：工期顺延</w:t>
      </w:r>
    </w:p>
    <w:p w14:paraId="2D28AFE9">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(6)发包人无正当理由没有在约定期限内发出复工指示，导致承包人无法复工的违约责任：/。</w:t>
      </w:r>
    </w:p>
    <w:p w14:paraId="505A2B66">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(7)其他：另行协商。</w:t>
      </w:r>
    </w:p>
    <w:p w14:paraId="0590D7E4">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16.1.3因发包人违约解除合同</w:t>
      </w:r>
    </w:p>
    <w:p w14:paraId="3FDC79A7">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承包人按16.1.1项〔发包人违约的情形〕约定暂停施工满180天后发包人仍不纠正其违约行为并致使合同目的不能实现的，承包人有权解除合同。</w:t>
      </w:r>
    </w:p>
    <w:p w14:paraId="7ED74D0F">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16.2承包人违约</w:t>
      </w:r>
    </w:p>
    <w:p w14:paraId="7CF5B9AB">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16.2.1承包人违约的情形</w:t>
      </w:r>
    </w:p>
    <w:p w14:paraId="1FAEE5A2">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承包人违约的其他情形：</w:t>
      </w:r>
    </w:p>
    <w:p w14:paraId="1047CB57">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（1）承包人承包的工程质量必须</w:t>
      </w:r>
      <w:r>
        <w:rPr>
          <w:rFonts w:hint="eastAsia" w:ascii="宋体" w:hAnsi="宋体" w:eastAsia="宋体" w:cs="宋体"/>
          <w:color w:val="auto"/>
          <w:szCs w:val="21"/>
          <w:highlight w:val="none"/>
        </w:rPr>
        <w:t>符合国家质量验收标准</w:t>
      </w:r>
      <w:r>
        <w:rPr>
          <w:rFonts w:hint="eastAsia" w:ascii="宋体" w:hAnsi="宋体" w:eastAsia="宋体" w:cs="宋体"/>
          <w:color w:val="auto"/>
          <w:szCs w:val="21"/>
          <w:highlight w:val="none"/>
        </w:rPr>
        <w:t>，如不符合国家质量验收标准要求，所发生的一切返工费用及由此给发包人造成的经济损失均由承包人承担，并承担合同总价2%的违约金，此项赔偿并不能解除承包人完成工程的责任及合同规定的其他责任。如因施工质量导致安全事故，由承包人承担事故处理的一切费用、工程的恢复费用及因此而造成后续工程延误费用。</w:t>
      </w:r>
    </w:p>
    <w:p w14:paraId="2641F977">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应对工程质量及因工程质量发生的纠纷承担责任。因承包人原因工程质量达不到合格等级，发包人有权单方终止合同，承包人无权要求发包人给付工程款，并应按本合同总价款10%的标准向发包人支付违约金；如承包人支付了违约金后仍不能弥补因其工程质量达不到合同约定等级而给发包人造成的经济损失，承包人还应赔偿发包人的实际经济损失。</w:t>
      </w:r>
    </w:p>
    <w:p w14:paraId="76072212">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于承包人在施工阶段一切违背本合同文件条款和国家有关规定的行为，发包人有权就有关事项书面发出通知。如承包人在接获发包人要求纠正的书面通知后十天内仍未遵照执行时，则发包人有权直接招请其他承包人执行该书面通知所需的任何工作，由此而产生的费用和发包人的相关损失，发包人可作为债务向承包人索还或在根据本合同文件内应付或届期应付承包人的款项内扣除，支付执行者。</w:t>
      </w:r>
    </w:p>
    <w:p w14:paraId="59AF5350">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不按合同条款约定，擅自变更项目管理计划、施工组织设计、安全技术措施、现有设施保护措施、施工采购方案，发包人不支付擅自变更部分的措施项目费或扣除因擅自变更措施(方案)而相应减少的费用外，每发生一次，承包人应支付5万元的违约金。</w:t>
      </w:r>
    </w:p>
    <w:p w14:paraId="59498EAE">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发包人可以书面形式通知承包人要求其暂停履行合同规定的全部或部分义务，通知应说明暂停履行的义务、有效日期和理由，承包人应就此暂停履行其义务（除照管工程所需的部分外）直到发包人签发恢复履行的书面通知。</w:t>
      </w:r>
    </w:p>
    <w:p w14:paraId="562F8DFE">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（6）承包人违反法律法规规定及合同约定，将工程转让或违法分包或未按合同约定分包的，每次按其转让和分包工程造价的50%违约金，发包人有权收回其转让和分包的工程内容，按法律法规另行发包。</w:t>
      </w:r>
    </w:p>
    <w:p w14:paraId="58024ACA">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（7）对于不称职的施工、采购分包商，发包人有权强令其退场，且必须无条件在3天内清场，清场时间延误的，处以承包人2万元/天的违约金。</w:t>
      </w:r>
    </w:p>
    <w:p w14:paraId="5C98FFF8">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承包人不按规定支付工人工资和材料供应商的材料款，每发生一次投诉，一经查实，扣除工程款5万元，在支付工程进度款时扣除，并视情况向建设行政主管部门进行通报，同时发包人有权直接向与工程相关第三方支付人工和材料相关费用，并从承包人工程进度款中直接扣除。</w:t>
      </w:r>
    </w:p>
    <w:p w14:paraId="22115EA1">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（9）承包人不按合同履行应承担的工作，对工程进展造成影响时，发包人有权自行或委托他人完成合同约定原属承包人的工作，所产生的费用从承包人应得的款项中获得，不足部分由承包人偿付。</w:t>
      </w:r>
    </w:p>
    <w:p w14:paraId="4C1EFAE4">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主要工程材料和设备，由承包人提出具体技术要求及样板经发包人、跟踪审计单位审核、确认批准后方可进行采购。若承包人违反以上要求，承包人将进场的材料设备退回，所有费用由承包人承担，并处以5万元/次的违约金。承包人如未按照合同约定的材料品牌、规格、型号等进行的采购，被发包人查获，每发现一起，发包人有权扣除承包人工程款1万元，在支付工程进度款时扣除。</w:t>
      </w:r>
    </w:p>
    <w:p w14:paraId="560A7C06">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如承包人不按合同条款施工，因承包人安全文明措施不到位的或承包人未按政府有关部门或发包人要求，未及时清理、修复因施工污染或损坏的城市道路、广场等公用设施的，在接发包人通知后3天内按通知要求整改，由承包人承担；若未按要求整改的发包人有权另行安排他人完成，费用由承包人承担。并处以2万元/次的违约金。</w:t>
      </w:r>
    </w:p>
    <w:p w14:paraId="35B0FAC0">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（12）发包人发现的承包人对各种检验、试验、测试、评定、调试报告弄虚作假的，责令承包人按规范进行返工或采取其它补救措施，直至合格，以上所有费用均由承包人承担，并处以2万元/次的违约金。</w:t>
      </w:r>
    </w:p>
    <w:p w14:paraId="0E03BB4B">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承包人必须高度重视施工日志、施工原始记录、质检资料、试验资料等内业资料的整理和收集工作，并确保资料的真实性和及时性，严禁补资料或造假资料，做到工程施工完工、竣工资料同时完成。由于内业资料等与实际不符引起的一切纠纷和责任（包括但不限于结算工程量的确认竣工资料的移交和验收、物业管理和维护及保修等）均由承包人承担，并处以2万元/次的违约金。</w:t>
      </w:r>
    </w:p>
    <w:p w14:paraId="1EE3F374">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因承包人施工引起的任何质量问题、一般质量事故错误或重大质量事故，承包人承担因事故带来的一切损失。引起一般质量事故的，发包人处以承包人3万元/次违约金。引起重大质量事故的，发包人处以承包人5万元的违约金，并且发包人有权单方面终止合同。</w:t>
      </w:r>
    </w:p>
    <w:p w14:paraId="691F6F3A">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（14）在施工期间，承包人若违反施工操作及管理程序，则按0.1万元/次标准处以承包人的违约金；若造成人员伤亡事故，</w:t>
      </w:r>
      <w:r>
        <w:rPr>
          <w:rFonts w:hint="eastAsia" w:ascii="宋体" w:hAnsi="宋体" w:eastAsia="宋体" w:cs="宋体"/>
          <w:color w:val="auto"/>
          <w:szCs w:val="21"/>
          <w:highlight w:val="none"/>
        </w:rPr>
        <w:t>承包人</w:t>
      </w:r>
      <w:r>
        <w:rPr>
          <w:rFonts w:hint="eastAsia" w:ascii="宋体" w:hAnsi="宋体" w:cs="宋体"/>
          <w:color w:val="auto"/>
          <w:szCs w:val="21"/>
          <w:highlight w:val="none"/>
          <w:lang w:val="en-US" w:eastAsia="zh-CN"/>
        </w:rPr>
        <w:t>向发包人支付</w:t>
      </w:r>
      <w:r>
        <w:rPr>
          <w:rFonts w:hint="eastAsia" w:ascii="宋体" w:hAnsi="宋体" w:eastAsia="宋体" w:cs="宋体"/>
          <w:color w:val="auto"/>
          <w:szCs w:val="21"/>
          <w:highlight w:val="none"/>
        </w:rPr>
        <w:t>10万元/死亡1人的违约金</w:t>
      </w:r>
      <w:r>
        <w:rPr>
          <w:rFonts w:hint="eastAsia" w:ascii="宋体" w:hAnsi="宋体" w:eastAsia="宋体" w:cs="宋体"/>
          <w:color w:val="auto"/>
          <w:szCs w:val="21"/>
          <w:highlight w:val="none"/>
        </w:rPr>
        <w:t>,并承担全部赔偿费用；因事故调查分析而产生的工期延误和费用增加由承包人承担。</w:t>
      </w:r>
    </w:p>
    <w:p w14:paraId="4D352319">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在施工过程中以及工程移交的质量保修期内，由于承包人原因出现的质量问题，安全事故或其他原因，给本工程的社会形象造成负面影响(如受到报纸、电视等媒体的曝光或政府有关部门的通报、批评等)，承包人需承担由此产生的一切后果和费用。每发生一次承包人须支付发包人5万元违约金。</w:t>
      </w:r>
    </w:p>
    <w:p w14:paraId="2309E146">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（16）承包人未能按照规定的进度要求完成施工影响到其他施工进度正常进行的，承包人承担相关的赶工及相关费用。</w:t>
      </w:r>
    </w:p>
    <w:p w14:paraId="35F75005">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（17）承包人因其他非不可抗力的原因不履行合同义务、终止履行合同义务或不按合同约定履行义务时，发包人有权解除合同并要求承包人承担违约造成的损失。</w:t>
      </w:r>
    </w:p>
    <w:p w14:paraId="25A15C2A">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由于承包人原因，工程推进不力，经发包人提出仍然不能及时整改，发包人有权自行安排，并将在承包人工程款中扣除相应款项。承包人应采取必要措施，使其施工对于邻近单位、人员的干扰、不方便及危险降至最低程度。工程事故引起的一切责任与费用，均由承包人承担。承包人必须保证发包人不承担由于施工产生的安全事故、噪音、污染或其他干扰所造成的的一切索赔、诉讼、损害、费用、罚款及开支等有关的责任。</w:t>
      </w:r>
    </w:p>
    <w:p w14:paraId="130CC904">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（19）施工过程中严格执行《南京市扬尘污染防治管理办法》和加强扬尘污染防控“十条措施”，如扬尘措施落实不到位，发包人予以扣除相应的费用。</w:t>
      </w:r>
    </w:p>
    <w:p w14:paraId="422F1DFA">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16.2.2承包人违约的责任</w:t>
      </w:r>
    </w:p>
    <w:p w14:paraId="5C8FEF72">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承包人违约责任的承担方式和计算方法：</w:t>
      </w:r>
    </w:p>
    <w:p w14:paraId="0C695452">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1、双方约定由承包人采购的材料必须符合</w:t>
      </w:r>
      <w:r>
        <w:rPr>
          <w:rFonts w:hint="eastAsia" w:ascii="宋体" w:hAnsi="宋体" w:eastAsia="宋体" w:cs="宋体"/>
          <w:color w:val="auto"/>
          <w:szCs w:val="21"/>
          <w:highlight w:val="none"/>
        </w:rPr>
        <w:t>有关规范的质量要求以及验收要求</w:t>
      </w:r>
      <w:r>
        <w:rPr>
          <w:rFonts w:hint="eastAsia" w:ascii="宋体" w:hAnsi="宋体" w:eastAsia="宋体" w:cs="宋体"/>
          <w:color w:val="auto"/>
          <w:szCs w:val="21"/>
          <w:highlight w:val="none"/>
        </w:rPr>
        <w:t>,必须有详细的质保书及复试报告且经发包事先认可。若不符合要求,发包人可拒绝验收和使用,并按限定时间运出场地,重新采购,承包人承担由此发生的费用,由此延误的工期不予顺延。</w:t>
      </w:r>
    </w:p>
    <w:p w14:paraId="183554CE">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变更后，由承包人在14天内提出变更合同价款的报告（报告中必须含工程量、工程量单价、主要材料单价），发包人在7天内对工程量、价款等审核，涉及到设计变更时必须由发包人同意，涉及到工程量签证时，由发包人代表签证；涉及到大的变更无变更单价参考时需由发包人、跟踪审计共同参加商议并确认。</w:t>
      </w:r>
    </w:p>
    <w:p w14:paraId="6B14E15F">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3、承包人在投标前,应当了解以下情况：</w:t>
      </w:r>
    </w:p>
    <w:p w14:paraId="35C4B133">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a.实施和完成本合同工程及缺陷修复的工作范围、性质和所需要的材料采购和加工；</w:t>
      </w:r>
    </w:p>
    <w:p w14:paraId="496C6A21">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b.进场道路和水、电、食宿供应条件；</w:t>
      </w:r>
    </w:p>
    <w:p w14:paraId="7D9E0464">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c.承包人已取得对工程施工有影响或起作用的风险、意外等必要的资料。承包人应采取各种合理的预防措施，保证工程在合同约定的工期内完成，若由此产生工期延误不予顺延，给发包人造成的损失，应由承包人予以赔偿。</w:t>
      </w:r>
    </w:p>
    <w:p w14:paraId="7156291E">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需按国家、江苏省、南京市等相关规定办理各种保险（其中必须办理意外伤害险和交纳社会保障费），发包人必要时要求承包人提供保单或其他证据。如果承包人不能提供、拒绝提供或提供了但是不符合要求，发包人有权要求停工，造成的工期延误由承包人承担，决算时仍不能提供的，在决算时扣除相应的费用。</w:t>
      </w:r>
    </w:p>
    <w:p w14:paraId="42F708B4">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5、现场安全文明施工措施费支付方式：基本费按落实的措施内容支付。如没有落实的内容，每缺少一项，发包人有权予以扣除相应的费用。增加费按照现场实际情况予以支付。</w:t>
      </w:r>
    </w:p>
    <w:p w14:paraId="3E510DE9">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6、施工过程中严格执行《南京市扬尘污染防治管理办法》和加强扬尘污染防控“十条措施”，如扬尘措施落实不到位，发包人有权予以扣除相应的费用。</w:t>
      </w:r>
    </w:p>
    <w:p w14:paraId="5645417E">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16.2.3因承包人违约解除合同</w:t>
      </w:r>
    </w:p>
    <w:p w14:paraId="29252658">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关于承包人违约解除合同的特别约定：</w:t>
      </w:r>
    </w:p>
    <w:p w14:paraId="02ADFCD4">
      <w:pPr>
        <w:adjustRightInd w:val="0"/>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承包人存在招标过程中的违法行为和发包人认为承包人已不具备正常履约能力。在本合同解除后</w:t>
      </w:r>
      <w:r>
        <w:rPr>
          <w:rFonts w:hint="eastAsia" w:ascii="宋体" w:hAnsi="宋体" w:eastAsia="宋体" w:cs="宋体"/>
          <w:color w:val="auto"/>
          <w:szCs w:val="21"/>
          <w:highlight w:val="none"/>
        </w:rPr>
        <w:t>，承包人必须</w:t>
      </w:r>
      <w:r>
        <w:rPr>
          <w:rFonts w:hint="eastAsia" w:ascii="宋体" w:hAnsi="宋体" w:cs="宋体"/>
          <w:color w:val="auto"/>
          <w:szCs w:val="21"/>
          <w:highlight w:val="none"/>
          <w:lang w:val="en-US" w:eastAsia="zh-CN"/>
        </w:rPr>
        <w:t>在</w:t>
      </w:r>
      <w:r>
        <w:rPr>
          <w:rFonts w:hint="eastAsia" w:ascii="宋体" w:hAnsi="宋体" w:eastAsia="宋体" w:cs="宋体"/>
          <w:color w:val="auto"/>
          <w:szCs w:val="21"/>
          <w:highlight w:val="none"/>
          <w:shd w:val="clear" w:color="auto" w:fill="FFFFFF"/>
        </w:rPr>
        <w:t>解除通知后12小时内无条件退场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发包人将按承包人已完成工程量给予结算，承包人并承担由此而给发包方造成的一切损失。</w:t>
      </w:r>
    </w:p>
    <w:p w14:paraId="0B4189EB">
      <w:pPr>
        <w:adjustRightInd w:val="0"/>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发包人继续使用承包人在施工现场的材料、设备、临时工程、承包人文件和由承包人或以其名义编制的其他文件的费用承担方式：根据跟踪审计出具的报告结算给承包人。</w:t>
      </w:r>
    </w:p>
    <w:p w14:paraId="1BCB231C">
      <w:pPr>
        <w:tabs>
          <w:tab w:val="left" w:pos="4409"/>
        </w:tabs>
        <w:adjustRightInd w:val="0"/>
        <w:snapToGrid w:val="0"/>
        <w:spacing w:line="360" w:lineRule="auto"/>
        <w:jc w:val="left"/>
        <w:rPr>
          <w:rFonts w:ascii="宋体" w:hAnsi="宋体" w:eastAsia="宋体" w:cs="宋体"/>
          <w:b/>
          <w:color w:val="auto"/>
          <w:szCs w:val="21"/>
          <w:highlight w:val="none"/>
        </w:rPr>
      </w:pPr>
      <w:bookmarkStart w:id="200" w:name="_Toc351203649"/>
      <w:r>
        <w:rPr>
          <w:rFonts w:hint="eastAsia" w:ascii="宋体" w:hAnsi="宋体" w:eastAsia="宋体" w:cs="宋体"/>
          <w:b/>
          <w:color w:val="auto"/>
          <w:szCs w:val="21"/>
          <w:highlight w:val="none"/>
        </w:rPr>
        <w:t>17. 不可抗力</w:t>
      </w:r>
      <w:bookmarkEnd w:id="198"/>
      <w:bookmarkEnd w:id="200"/>
    </w:p>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9"/>
    <w:p w14:paraId="1AF46505">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17.1不可抗力的确认</w:t>
      </w:r>
    </w:p>
    <w:p w14:paraId="31E84B70">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通用合同条款约定的不可抗力事件之外，视为不可抗力的其他情形：自然灾害、战争、动乱、其他非发包人承包人责任造成的爆炸、火灾，或九级及以上的持续1小时以上的台风、8级及以上烈度的地震等情况。按省级有关部门的规定执行。不可抗力事件发生后，承包方应立即通知发包人，在力所能及的条件下迅速采取措施，尽力减少损失，发包方应协助承包方采取措施。不可抗力事件结束后48小时内承包方向发包人通报受害情况和损失情况，及预计清理和修复的费用。不可抗事件持续发生，承包方应每隔7天向发包人报告一次受害情况。不可抗力事件结束后14天内，承包方向发包人提交清理和修复费用的正式报告及有关资料。</w:t>
      </w:r>
    </w:p>
    <w:p w14:paraId="00426796">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17.4因不可抗力解除合同</w:t>
      </w:r>
    </w:p>
    <w:p w14:paraId="58C84C7C">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合同解除后，发包人应在商定或确定发包人应支付款项后30天内完成款项的支付。</w:t>
      </w:r>
    </w:p>
    <w:p w14:paraId="00CE9700">
      <w:pPr>
        <w:pStyle w:val="18"/>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18.保险</w:t>
      </w:r>
    </w:p>
    <w:p w14:paraId="79C3DF1D">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18.1工程保险</w:t>
      </w:r>
    </w:p>
    <w:p w14:paraId="635EEDA6">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保险的特别约定：（1）发包人投保内容：由发包人自行决定。（2）承包人投保内容：按本合同通用条款及国家、江苏省、南京市有关规定执行，同时承包人必须办理业主人员及第三方人员意外伤害保险。以上保险由承包人统一办理，费用已包含在合同价款内。承包人必须按国家相关规定为从事作业的职工办理意外伤害保险、第三方人身险以及其他依据国家、江苏省、南京市有关法律、法规、规章、规范性文件应当办理的人身、财产保险，并为施工场地内自有人员生命财产和施工机械设备办理保险，支付保险费用。发包人必要时有权要求承包人提供保单或其他证据。如果承包人不能提供、拒绝提供或提供了但是不符合要求，发包人有权要求停工，造成的工期延误由承包人承担。承包人须承担与本工程有关或本工程进行期间发生或本工程引致的人身伤亡及财产损坏负的费用、损失、索偿或诉讼等法律责任，并须保障发包人免负该等责任，除非有关伤亡是发包人所引致的。</w:t>
      </w:r>
    </w:p>
    <w:p w14:paraId="1CB4B879">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18.3其他保险</w:t>
      </w:r>
    </w:p>
    <w:p w14:paraId="07ADF7CF">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关于其他保险的约定：/。</w:t>
      </w:r>
    </w:p>
    <w:p w14:paraId="2B891109">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承包人是否应为其施工设备等办理财产保险：按专用条款第18.1条执行</w:t>
      </w:r>
    </w:p>
    <w:p w14:paraId="6DEEAC61">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18.7通知义务</w:t>
      </w:r>
    </w:p>
    <w:p w14:paraId="3B21DE1D">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关于变更保险合同时的通知义务的约定：变更前5天通知</w:t>
      </w:r>
    </w:p>
    <w:p w14:paraId="69D767A6">
      <w:pPr>
        <w:pStyle w:val="18"/>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20.争议解决</w:t>
      </w:r>
    </w:p>
    <w:p w14:paraId="599B63D0">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20.3争议评审</w:t>
      </w:r>
    </w:p>
    <w:p w14:paraId="364994AD">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合同当事人是否同意将工程争议提交争议评审小组决定：不同意</w:t>
      </w:r>
    </w:p>
    <w:p w14:paraId="7599CCF5">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20.3.1争议评审小组的确定</w:t>
      </w:r>
    </w:p>
    <w:p w14:paraId="716F3AB2">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争议评审小组成员的确定：/。</w:t>
      </w:r>
    </w:p>
    <w:p w14:paraId="4961DBFA">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选定争议评审员的期限：/。</w:t>
      </w:r>
    </w:p>
    <w:p w14:paraId="41A6651E">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争议评审小组成员的报酬承担方式：/。</w:t>
      </w:r>
    </w:p>
    <w:p w14:paraId="0FF12B0F">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其他事项的约定：</w:t>
      </w:r>
    </w:p>
    <w:p w14:paraId="2323245D">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（1）必须严格按照南京市人民政府第237号令关于《南京市工程施工现场管理规定》的等规定执行。</w:t>
      </w:r>
    </w:p>
    <w:p w14:paraId="20AD5F0B">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（2）承包人应合理安排工期和作息时间，如发生违规行为，则承担一切责任和经济损失。</w:t>
      </w:r>
    </w:p>
    <w:p w14:paraId="5CD7F8AF">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（3）承包人应主动及时向发包人汇报乙供材供应的每一个环节，并得到发包人的认可所有工程所需主材的规格、型号、材质须经建设单位认可后方可施工。</w:t>
      </w:r>
    </w:p>
    <w:p w14:paraId="343C8C2B">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（4）所有垃圾外运由承包人根据施工项目自行核定且包含在投标报价中，决算时不作调整。</w:t>
      </w:r>
    </w:p>
    <w:p w14:paraId="169B1CCC">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合同金额应是招标文件所确定的招标范围内的全部工作内容的价格体现，其应包括但不限于合同规定的临时工程、永久工程、材料设备（包括甲供材料设备（如有）的下力费、场内运输费和施工现场保管费）、施工机械、缺陷修补、劳务、管理、利润、税金，以及合同所包含的所有风险、责任及政策性文件规定以及承包人在施工过程中与所有相关单位的产生的协调、服务配合费用等各项应有费用，合同履约过程中，发包人不再另行支付其他费用。</w:t>
      </w:r>
    </w:p>
    <w:p w14:paraId="11BCD7BC">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（6）质量与验收补充说明</w:t>
      </w:r>
    </w:p>
    <w:p w14:paraId="2381766D">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a、无论是否进行并通过了各项检验，均不解除承包人对自己承包的工程的质量所负责任，除非质量问题是由于设计原因引起，而此类质量问题承包人须及时通知总监。</w:t>
      </w:r>
    </w:p>
    <w:p w14:paraId="441C8DA5">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工程材料是由承包人自行供应或是由招标人指定的供应商供应，均不解除承包人所负的工程全面质量的责任，承包人应该对各种材料按规范进行检查，拒绝不符合要求的材料用于工程。无论何种原因，出现不合格材料用于工程的情况，均由承包人承担应有的责任。</w:t>
      </w:r>
    </w:p>
    <w:p w14:paraId="4BC70A94">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承包人人员资格的特别规定：所有特殊工种人员、各种领班以上人员均应符合有关规定的资质要求，并且应持有该项工作的上岗证，在施工期间佩带其上岗证供总监随时检查。</w:t>
      </w:r>
    </w:p>
    <w:p w14:paraId="29F80300">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承包人应按招标文件及有关技术规范要求，设置专门的监控量测岗位，完成工程所有的量测工作，并积累完整的技术资料。</w:t>
      </w:r>
    </w:p>
    <w:p w14:paraId="066AC280">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b、承包人的质量未达标违约金将在结算价款中扣除。发包人对承包人处以质量未达标罚金后，并不免除承包人施工质量应达到合同要求的质量标准的责任。</w:t>
      </w:r>
    </w:p>
    <w:p w14:paraId="14217076">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承包人必须严格服从发包人对工程施工的管理。若发包人认为承包人的现场投入不能满足施工需要，发包人有要求承包人增加人员、机械设备、财力和物力满足现场需要的权利，承包人对此不得拒绝。若发包人认为承包人的管理人员、施工人员无法胜任或不能配合发包人工作，发包人有权要求该人员退场，承包人不得以任何理由拒绝，并尽快用发包人批准的合格的人员代替上述调离的任何人员。</w:t>
      </w:r>
    </w:p>
    <w:p w14:paraId="237BCB77">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（8）政府有关政策规定向承包人收取的相关费用由承包人支付。</w:t>
      </w:r>
    </w:p>
    <w:p w14:paraId="229F2302">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（9）施工中发生的一切安全事故（包含人身、设备、材料等）全部由承包人自行解决，所有费用全部由承包人承担。</w:t>
      </w:r>
    </w:p>
    <w:p w14:paraId="1935E55E">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因承包人未履行或未完全履行本专用条款中的约定工作，产生工程质量问题，影响工程进度，造成有关部门找发包人处理，发包人有权责令承包人停工，有权暂停支付工程款直到问题解决，并可先行处理理赔，费用和赔偿款从承包人工程款中扣除。由上述原因造成的延误工期不予顺延，发包人同时追究承包人的违约责任。</w:t>
      </w:r>
    </w:p>
    <w:p w14:paraId="72C5E17D">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发包人认为承包人的全部或部分施工不能满足本工程的质量和安全要求时，发包人有权单方面解除合同，勒令承包人退场，或将承包人承包范围内的部分项目指定分包其他单位施工，因此而造成的所有后果、费用和损失全部由承包人承担。</w:t>
      </w:r>
    </w:p>
    <w:p w14:paraId="48FDC936">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（12）发包人保留施工期间在施工场地的所有围栏和建筑物上设置广告的权利。施工围挡采用江南京市统一围护标准，承包人自行报价，结算时不予调整</w:t>
      </w:r>
    </w:p>
    <w:p w14:paraId="61E9DF0D">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（13）凡是非设计变更及非发包人原因造成的施工条件变更，施工方案和施工措施的修改而造成增加的费用由承包人承担。</w:t>
      </w:r>
    </w:p>
    <w:p w14:paraId="4F2C2880">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（14）本次项目在实施过程中，发包人有权让承包人根据</w:t>
      </w:r>
      <w:r>
        <w:rPr>
          <w:rFonts w:hint="eastAsia" w:hAnsi="宋体" w:cs="宋体"/>
          <w:color w:val="auto"/>
          <w:szCs w:val="21"/>
          <w:highlight w:val="none"/>
          <w:lang w:val="en-US" w:eastAsia="zh-CN"/>
        </w:rPr>
        <w:t>现场</w:t>
      </w:r>
      <w:r>
        <w:rPr>
          <w:rFonts w:hint="eastAsia" w:ascii="宋体" w:hAnsi="宋体" w:eastAsia="宋体" w:cs="宋体"/>
          <w:color w:val="auto"/>
          <w:szCs w:val="21"/>
          <w:highlight w:val="none"/>
        </w:rPr>
        <w:t>进行深化设计，且出具满足发包人要求的成果文件，经同意后方可施工。由此产生的费用均包含在投标报价中。承包人在施工过程中，若方案设计未经发包人确认，或者擅自先行施工的，所有产生的费用均由承包人承担，且发包人有权对其进行工程款的扣除。</w:t>
      </w:r>
    </w:p>
    <w:p w14:paraId="5FA13361">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（15）对于本工程中的专业工程，发包人有权分包给专业施工单位施工，承包人不得拒绝，招标时已由本工程承包人代垫交的各项规费、税金应由发包人从分包单位的工程款中代扣返还给本工程承包人。</w:t>
      </w:r>
    </w:p>
    <w:p w14:paraId="03AB1159">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（16）在施工过程中，因投标人未经踏勘现场而导致的相关工程签证，发包人将不予认可。</w:t>
      </w:r>
    </w:p>
    <w:p w14:paraId="1FEA119B">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发包人根据相关管理规定、制度，定期和不定期组织对施工现场进行安全生产文明施工、扬尘管控、施工质量等方面的检查，发现不符合规定的问题发包人有权要求其整改并对其进行罚款，情节严重或不服从发包人管理的，发包人有权上报相关建设主管部门。</w:t>
      </w:r>
    </w:p>
    <w:p w14:paraId="0890D8B5">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（18）施工过程中需充分考虑周边环境的影响，具体施工组织设计需报发包人确认，因未能考虑周边环境影响造成的费用增加，由承包人自行承担。</w:t>
      </w:r>
    </w:p>
    <w:p w14:paraId="2552CC61">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20.3.2争议评审小组的决定</w:t>
      </w:r>
    </w:p>
    <w:p w14:paraId="418FE189">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合同当事人关于本项的约定：/。</w:t>
      </w:r>
    </w:p>
    <w:p w14:paraId="7BBEAAAE">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20.4仲裁或诉讼</w:t>
      </w:r>
    </w:p>
    <w:p w14:paraId="030E0091">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因合同及合同有关事项发生的争议，按下列第2种方式解决：</w:t>
      </w:r>
    </w:p>
    <w:p w14:paraId="20BD1442">
      <w:pPr>
        <w:pStyle w:val="18"/>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(1)向南京市仲裁委员会申请仲裁；</w:t>
      </w:r>
    </w:p>
    <w:p w14:paraId="64399541">
      <w:pPr>
        <w:pStyle w:val="18"/>
        <w:snapToGrid w:val="0"/>
        <w:spacing w:line="360" w:lineRule="auto"/>
        <w:ind w:firstLine="480" w:firstLineChars="200"/>
        <w:jc w:val="left"/>
        <w:rPr>
          <w:rFonts w:hAnsi="宋体" w:eastAsia="宋体" w:cs="宋体"/>
          <w:color w:val="auto"/>
          <w:highlight w:val="none"/>
        </w:rPr>
      </w:pPr>
      <w:r>
        <w:rPr>
          <w:rFonts w:hint="eastAsia" w:ascii="宋体" w:hAnsi="宋体" w:eastAsia="宋体" w:cs="宋体"/>
          <w:color w:val="auto"/>
          <w:szCs w:val="21"/>
          <w:highlight w:val="none"/>
        </w:rPr>
        <w:t>(2)向工程所在地有管辖权的人民法院起诉。</w:t>
      </w:r>
    </w:p>
    <w:p w14:paraId="4BD0650A">
      <w:pPr>
        <w:pStyle w:val="18"/>
        <w:spacing w:line="360" w:lineRule="auto"/>
        <w:jc w:val="left"/>
        <w:rPr>
          <w:rFonts w:hAnsi="宋体" w:eastAsia="宋体" w:cs="宋体"/>
          <w:color w:val="auto"/>
          <w:highlight w:val="none"/>
        </w:rPr>
      </w:pPr>
    </w:p>
    <w:p w14:paraId="71AE0CBC">
      <w:pPr>
        <w:pStyle w:val="18"/>
        <w:spacing w:line="360" w:lineRule="auto"/>
        <w:jc w:val="left"/>
        <w:rPr>
          <w:rFonts w:hAnsi="宋体" w:eastAsia="宋体" w:cs="宋体"/>
          <w:color w:val="auto"/>
          <w:highlight w:val="none"/>
        </w:rPr>
      </w:pPr>
    </w:p>
    <w:p w14:paraId="1BAE3475">
      <w:pPr>
        <w:pStyle w:val="18"/>
        <w:spacing w:line="360" w:lineRule="auto"/>
        <w:jc w:val="left"/>
        <w:rPr>
          <w:rFonts w:hAnsi="宋体" w:eastAsia="宋体" w:cs="宋体"/>
          <w:color w:val="auto"/>
          <w:highlight w:val="none"/>
        </w:rPr>
      </w:pPr>
    </w:p>
    <w:p w14:paraId="4A6ED46B">
      <w:pPr>
        <w:pStyle w:val="18"/>
        <w:spacing w:line="360" w:lineRule="auto"/>
        <w:jc w:val="left"/>
        <w:rPr>
          <w:rFonts w:hAnsi="宋体" w:eastAsia="宋体" w:cs="宋体"/>
          <w:color w:val="auto"/>
          <w:highlight w:val="none"/>
        </w:rPr>
      </w:pPr>
    </w:p>
    <w:p w14:paraId="26EDDF6D">
      <w:pPr>
        <w:pStyle w:val="18"/>
        <w:spacing w:line="360" w:lineRule="auto"/>
        <w:jc w:val="left"/>
        <w:rPr>
          <w:rFonts w:hAnsi="宋体" w:eastAsia="宋体" w:cs="宋体"/>
          <w:color w:val="auto"/>
          <w:highlight w:val="none"/>
        </w:rPr>
      </w:pPr>
    </w:p>
    <w:p w14:paraId="469A4EB3">
      <w:pPr>
        <w:pStyle w:val="18"/>
        <w:spacing w:line="360" w:lineRule="auto"/>
        <w:jc w:val="left"/>
        <w:rPr>
          <w:rFonts w:hAnsi="宋体" w:eastAsia="宋体" w:cs="宋体"/>
          <w:color w:val="auto"/>
          <w:highlight w:val="none"/>
        </w:rPr>
      </w:pPr>
    </w:p>
    <w:p w14:paraId="5E822946">
      <w:pPr>
        <w:pStyle w:val="18"/>
        <w:spacing w:line="360" w:lineRule="auto"/>
        <w:jc w:val="left"/>
        <w:rPr>
          <w:rFonts w:hAnsi="宋体" w:eastAsia="宋体" w:cs="宋体"/>
          <w:color w:val="auto"/>
          <w:highlight w:val="none"/>
        </w:rPr>
      </w:pPr>
      <w:r>
        <w:rPr>
          <w:rFonts w:hint="eastAsia" w:hAnsi="宋体" w:eastAsia="宋体" w:cs="宋体"/>
          <w:color w:val="auto"/>
          <w:highlight w:val="none"/>
        </w:rPr>
        <w:br w:type="page"/>
      </w:r>
      <w:r>
        <w:rPr>
          <w:rFonts w:hint="eastAsia" w:hAnsi="宋体" w:eastAsia="宋体" w:cs="宋体"/>
          <w:b/>
          <w:bCs/>
          <w:color w:val="auto"/>
          <w:highlight w:val="none"/>
        </w:rPr>
        <w:t xml:space="preserve">附件：1  </w:t>
      </w:r>
    </w:p>
    <w:p w14:paraId="34FC7BD1">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工程质量保修书</w:t>
      </w:r>
    </w:p>
    <w:p w14:paraId="766128C5">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发包人（全称）：</w:t>
      </w:r>
    </w:p>
    <w:p w14:paraId="28EC5147">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承包人（全称）：</w:t>
      </w:r>
    </w:p>
    <w:p w14:paraId="59CFA22A">
      <w:pPr>
        <w:snapToGrid w:val="0"/>
        <w:spacing w:line="360" w:lineRule="auto"/>
        <w:jc w:val="left"/>
        <w:rPr>
          <w:rFonts w:ascii="宋体" w:hAnsi="宋体" w:eastAsia="宋体" w:cs="宋体"/>
          <w:color w:val="auto"/>
          <w:szCs w:val="21"/>
          <w:highlight w:val="none"/>
        </w:rPr>
      </w:pPr>
    </w:p>
    <w:p w14:paraId="0AD580A6">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发包人和承包人根据《中华人民共和国建筑法》和《建设工程质量管理条例》，经协商一致就（工程全称）签订工程质量保修书。</w:t>
      </w:r>
    </w:p>
    <w:p w14:paraId="25F44612">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一、工程质量保修范围和内容</w:t>
      </w:r>
    </w:p>
    <w:p w14:paraId="3A890C6D">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承包人在质量保修期内，按照有关法律规定和合同约定，承担工程质量保修责任。</w:t>
      </w:r>
    </w:p>
    <w:p w14:paraId="48706293">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w:t>
      </w:r>
    </w:p>
    <w:p w14:paraId="277A487C">
      <w:pPr>
        <w:snapToGrid w:val="0"/>
        <w:spacing w:line="360" w:lineRule="auto"/>
        <w:jc w:val="left"/>
        <w:rPr>
          <w:rFonts w:ascii="宋体" w:hAnsi="宋体" w:eastAsia="宋体" w:cs="宋体"/>
          <w:color w:val="auto"/>
          <w:szCs w:val="21"/>
          <w:highlight w:val="none"/>
        </w:rPr>
      </w:pPr>
      <w:r>
        <w:rPr>
          <w:rFonts w:hint="eastAsia" w:ascii="宋体" w:hAnsi="宋体" w:eastAsia="宋体" w:cs="宋体"/>
          <w:b/>
          <w:color w:val="auto"/>
          <w:szCs w:val="21"/>
          <w:highlight w:val="none"/>
        </w:rPr>
        <w:t>　　</w:t>
      </w:r>
      <w:r>
        <w:rPr>
          <w:rFonts w:hint="eastAsia" w:ascii="宋体" w:hAnsi="宋体" w:eastAsia="宋体" w:cs="宋体"/>
          <w:color w:val="auto"/>
          <w:szCs w:val="21"/>
          <w:highlight w:val="none"/>
        </w:rPr>
        <w:t>二、质量保修期</w:t>
      </w:r>
    </w:p>
    <w:p w14:paraId="7FF6B2CD">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根据《建设工程质量管理条例》及有关规定，工程的质量保修期如下：</w:t>
      </w:r>
    </w:p>
    <w:p w14:paraId="584A17C4">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1．地基基础工程和主体结构工程为设计文件规定的工程合理使用年限；</w:t>
      </w:r>
    </w:p>
    <w:p w14:paraId="2EB71D34">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2．屋面防水工程、有防水要求的卫生间、房间和外墙面的防渗为</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年；</w:t>
      </w:r>
    </w:p>
    <w:p w14:paraId="2195BAF9">
      <w:pPr>
        <w:snapToGrid w:val="0"/>
        <w:spacing w:line="360" w:lineRule="auto"/>
        <w:ind w:left="480" w:leftChars="200" w:firstLine="120" w:firstLineChars="50"/>
        <w:jc w:val="left"/>
        <w:rPr>
          <w:rFonts w:ascii="宋体" w:hAnsi="宋体" w:eastAsia="宋体" w:cs="宋体"/>
          <w:color w:val="auto"/>
          <w:szCs w:val="21"/>
          <w:highlight w:val="none"/>
        </w:rPr>
      </w:pPr>
      <w:r>
        <w:rPr>
          <w:rFonts w:hint="eastAsia" w:ascii="宋体" w:hAnsi="宋体" w:eastAsia="宋体" w:cs="宋体"/>
          <w:color w:val="auto"/>
          <w:szCs w:val="21"/>
          <w:highlight w:val="none"/>
        </w:rPr>
        <w:t>3．装修工程为</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年；</w:t>
      </w:r>
    </w:p>
    <w:p w14:paraId="2F557547">
      <w:pPr>
        <w:snapToGrid w:val="0"/>
        <w:spacing w:line="360" w:lineRule="auto"/>
        <w:ind w:left="480" w:leftChars="200" w:firstLine="120" w:firstLineChars="50"/>
        <w:jc w:val="left"/>
        <w:rPr>
          <w:rFonts w:ascii="宋体" w:hAnsi="宋体" w:eastAsia="宋体" w:cs="宋体"/>
          <w:color w:val="auto"/>
          <w:szCs w:val="21"/>
          <w:highlight w:val="none"/>
        </w:rPr>
      </w:pPr>
      <w:r>
        <w:rPr>
          <w:rFonts w:hint="eastAsia" w:ascii="宋体" w:hAnsi="宋体" w:eastAsia="宋体" w:cs="宋体"/>
          <w:color w:val="auto"/>
          <w:szCs w:val="21"/>
          <w:highlight w:val="none"/>
        </w:rPr>
        <w:t>4．电气管线、给排水管道、设备安装工程为</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年；</w:t>
      </w:r>
    </w:p>
    <w:p w14:paraId="507E608B">
      <w:pPr>
        <w:snapToGrid w:val="0"/>
        <w:spacing w:line="360" w:lineRule="auto"/>
        <w:ind w:left="480" w:leftChars="200" w:firstLine="120" w:firstLineChars="50"/>
        <w:jc w:val="left"/>
        <w:rPr>
          <w:rFonts w:ascii="宋体" w:hAnsi="宋体" w:eastAsia="宋体" w:cs="宋体"/>
          <w:color w:val="auto"/>
          <w:szCs w:val="21"/>
          <w:highlight w:val="none"/>
        </w:rPr>
      </w:pPr>
      <w:r>
        <w:rPr>
          <w:rFonts w:hint="eastAsia" w:ascii="宋体" w:hAnsi="宋体" w:eastAsia="宋体" w:cs="宋体"/>
          <w:color w:val="auto"/>
          <w:szCs w:val="21"/>
          <w:highlight w:val="none"/>
        </w:rPr>
        <w:t>5．供热与供冷系统为</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个采暖期、供冷期；</w:t>
      </w:r>
    </w:p>
    <w:p w14:paraId="1E358575">
      <w:pPr>
        <w:snapToGrid w:val="0"/>
        <w:spacing w:line="360" w:lineRule="auto"/>
        <w:ind w:left="480" w:leftChars="200" w:firstLine="120" w:firstLineChars="50"/>
        <w:jc w:val="left"/>
        <w:rPr>
          <w:rFonts w:ascii="宋体" w:hAnsi="宋体" w:eastAsia="宋体" w:cs="宋体"/>
          <w:color w:val="auto"/>
          <w:szCs w:val="21"/>
          <w:highlight w:val="none"/>
        </w:rPr>
      </w:pPr>
      <w:r>
        <w:rPr>
          <w:rFonts w:hint="eastAsia" w:ascii="宋体" w:hAnsi="宋体" w:eastAsia="宋体" w:cs="宋体"/>
          <w:color w:val="auto"/>
          <w:szCs w:val="21"/>
          <w:highlight w:val="none"/>
        </w:rPr>
        <w:t>6．住宅小区内的给排水设施、道路等配套工程为</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年；</w:t>
      </w:r>
    </w:p>
    <w:p w14:paraId="36E4174E">
      <w:pPr>
        <w:snapToGrid w:val="0"/>
        <w:spacing w:line="360" w:lineRule="auto"/>
        <w:ind w:left="480" w:leftChars="200" w:firstLine="120" w:firstLineChars="50"/>
        <w:jc w:val="left"/>
        <w:rPr>
          <w:rFonts w:ascii="宋体" w:hAnsi="宋体" w:eastAsia="宋体" w:cs="宋体"/>
          <w:color w:val="auto"/>
          <w:szCs w:val="21"/>
          <w:highlight w:val="none"/>
        </w:rPr>
      </w:pPr>
      <w:r>
        <w:rPr>
          <w:rFonts w:hint="eastAsia" w:ascii="宋体" w:hAnsi="宋体" w:eastAsia="宋体" w:cs="宋体"/>
          <w:color w:val="auto"/>
          <w:szCs w:val="21"/>
          <w:highlight w:val="none"/>
        </w:rPr>
        <w:t>7．其他项目保修期限约定如下：</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F84C63E">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质量保修期自工程竣工验收合格之日起计算。</w:t>
      </w:r>
    </w:p>
    <w:p w14:paraId="1B58C9DC">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三、缺陷责任期</w:t>
      </w:r>
    </w:p>
    <w:p w14:paraId="56EEF33D">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工程缺陷责任期为</w:t>
      </w:r>
      <w:r>
        <w:rPr>
          <w:rFonts w:hint="eastAsia" w:ascii="宋体" w:hAnsi="宋体" w:eastAsia="宋体" w:cs="宋体"/>
          <w:color w:val="auto"/>
          <w:szCs w:val="21"/>
          <w:highlight w:val="none"/>
          <w:u w:val="single"/>
        </w:rPr>
        <w:t xml:space="preserve">  24  </w:t>
      </w:r>
      <w:r>
        <w:rPr>
          <w:rFonts w:hint="eastAsia" w:ascii="宋体" w:hAnsi="宋体" w:eastAsia="宋体" w:cs="宋体"/>
          <w:color w:val="auto"/>
          <w:szCs w:val="21"/>
          <w:highlight w:val="none"/>
        </w:rPr>
        <w:t>个月，缺陷责任期自工程竣工验收合格之日起计算。单位工程先于全部工程进行验收，单位工程缺陷责任期自单位工程验收合格之日起算。</w:t>
      </w:r>
    </w:p>
    <w:p w14:paraId="610811C5">
      <w:pPr>
        <w:snapToGri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缺陷责任期终止后，发包人应退还剩余的质量保证金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30个工作日内无息付清。</w:t>
      </w:r>
    </w:p>
    <w:p w14:paraId="4AD7299E">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四、质量保修责任</w:t>
      </w:r>
    </w:p>
    <w:p w14:paraId="46845C6B">
      <w:pPr>
        <w:snapToGrid w:val="0"/>
        <w:spacing w:line="360" w:lineRule="auto"/>
        <w:ind w:left="120" w:leftChars="50" w:firstLine="491" w:firstLineChars="205"/>
        <w:jc w:val="left"/>
        <w:rPr>
          <w:rFonts w:ascii="宋体" w:hAnsi="宋体" w:eastAsia="宋体" w:cs="宋体"/>
          <w:color w:val="auto"/>
          <w:szCs w:val="21"/>
          <w:highlight w:val="none"/>
        </w:rPr>
      </w:pPr>
      <w:r>
        <w:rPr>
          <w:rFonts w:hint="eastAsia" w:ascii="宋体" w:hAnsi="宋体" w:eastAsia="宋体" w:cs="宋体"/>
          <w:color w:val="auto"/>
          <w:szCs w:val="21"/>
          <w:highlight w:val="none"/>
        </w:rPr>
        <w:t>1．属于保修范围、内容的项目，承包人应当在接到保修通知之日起7天内派人保修。承包人不在约定期限内派人保修的，发包人可以委托他人修理。</w:t>
      </w:r>
    </w:p>
    <w:p w14:paraId="43051413">
      <w:pPr>
        <w:snapToGrid w:val="0"/>
        <w:spacing w:line="360" w:lineRule="auto"/>
        <w:ind w:left="120" w:leftChars="50" w:firstLine="491" w:firstLineChars="205"/>
        <w:jc w:val="left"/>
        <w:rPr>
          <w:rFonts w:ascii="宋体" w:hAnsi="宋体" w:eastAsia="宋体" w:cs="宋体"/>
          <w:color w:val="auto"/>
          <w:szCs w:val="21"/>
          <w:highlight w:val="none"/>
        </w:rPr>
      </w:pPr>
      <w:r>
        <w:rPr>
          <w:rFonts w:hint="eastAsia" w:ascii="宋体" w:hAnsi="宋体" w:eastAsia="宋体" w:cs="宋体"/>
          <w:color w:val="auto"/>
          <w:szCs w:val="21"/>
          <w:highlight w:val="none"/>
        </w:rPr>
        <w:t>2．发生紧急事故需抢修的，承包人在接到事故通知后，应当立即到达事故现场抢修。</w:t>
      </w:r>
    </w:p>
    <w:p w14:paraId="48449E8C">
      <w:pPr>
        <w:snapToGrid w:val="0"/>
        <w:spacing w:line="360" w:lineRule="auto"/>
        <w:ind w:left="120" w:leftChars="50" w:firstLine="491" w:firstLineChars="205"/>
        <w:jc w:val="left"/>
        <w:rPr>
          <w:rFonts w:ascii="宋体" w:hAnsi="宋体" w:eastAsia="宋体" w:cs="宋体"/>
          <w:color w:val="auto"/>
          <w:szCs w:val="21"/>
          <w:highlight w:val="none"/>
        </w:rPr>
      </w:pPr>
      <w:r>
        <w:rPr>
          <w:rFonts w:hint="eastAsia" w:ascii="宋体" w:hAnsi="宋体" w:eastAsia="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33729F8">
      <w:pPr>
        <w:snapToGrid w:val="0"/>
        <w:spacing w:line="360" w:lineRule="auto"/>
        <w:ind w:left="480" w:leftChars="200" w:firstLine="120" w:firstLineChars="50"/>
        <w:jc w:val="left"/>
        <w:rPr>
          <w:rFonts w:ascii="宋体" w:hAnsi="宋体" w:eastAsia="宋体" w:cs="宋体"/>
          <w:color w:val="auto"/>
          <w:szCs w:val="21"/>
          <w:highlight w:val="none"/>
        </w:rPr>
      </w:pPr>
      <w:r>
        <w:rPr>
          <w:rFonts w:hint="eastAsia" w:ascii="宋体" w:hAnsi="宋体" w:eastAsia="宋体" w:cs="宋体"/>
          <w:color w:val="auto"/>
          <w:szCs w:val="21"/>
          <w:highlight w:val="none"/>
        </w:rPr>
        <w:t>4．质量保修完成后，由发包人组织验收。</w:t>
      </w:r>
    </w:p>
    <w:p w14:paraId="04ADC2A7">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五、保修费用</w:t>
      </w:r>
    </w:p>
    <w:p w14:paraId="5D10683B">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保修费用由造成质量缺陷的责任方承担。</w:t>
      </w:r>
    </w:p>
    <w:p w14:paraId="32D12C52">
      <w:pPr>
        <w:snapToGrid w:val="0"/>
        <w:spacing w:line="360" w:lineRule="auto"/>
        <w:ind w:firstLine="600"/>
        <w:jc w:val="left"/>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六</w:t>
      </w:r>
      <w:r>
        <w:rPr>
          <w:rFonts w:hint="eastAsia" w:ascii="宋体" w:hAnsi="宋体" w:eastAsia="宋体" w:cs="宋体"/>
          <w:color w:val="auto"/>
          <w:szCs w:val="21"/>
          <w:highlight w:val="none"/>
        </w:rPr>
        <w:t>、双方约定的其他工程质量保修事项：</w:t>
      </w:r>
      <w:r>
        <w:rPr>
          <w:rFonts w:hint="eastAsia" w:ascii="宋体" w:hAnsi="宋体" w:eastAsia="宋体" w:cs="宋体"/>
          <w:color w:val="auto"/>
          <w:szCs w:val="21"/>
          <w:highlight w:val="none"/>
          <w:u w:val="single"/>
        </w:rPr>
        <w:t xml:space="preserve">  另行协商     </w:t>
      </w:r>
      <w:r>
        <w:rPr>
          <w:rFonts w:hint="eastAsia" w:ascii="宋体" w:hAnsi="宋体" w:eastAsia="宋体" w:cs="宋体"/>
          <w:color w:val="auto"/>
          <w:szCs w:val="21"/>
          <w:highlight w:val="none"/>
        </w:rPr>
        <w:t>。</w:t>
      </w:r>
    </w:p>
    <w:p w14:paraId="15B10B13">
      <w:pPr>
        <w:snapToGrid w:val="0"/>
        <w:spacing w:line="360" w:lineRule="auto"/>
        <w:ind w:firstLine="456" w:firstLineChars="190"/>
        <w:jc w:val="left"/>
        <w:rPr>
          <w:rFonts w:ascii="宋体" w:hAnsi="宋体" w:eastAsia="宋体" w:cs="宋体"/>
          <w:color w:val="auto"/>
          <w:szCs w:val="21"/>
          <w:highlight w:val="none"/>
        </w:rPr>
      </w:pPr>
      <w:r>
        <w:rPr>
          <w:rFonts w:hint="eastAsia" w:ascii="宋体" w:hAnsi="宋体" w:eastAsia="宋体" w:cs="宋体"/>
          <w:color w:val="auto"/>
          <w:szCs w:val="21"/>
          <w:highlight w:val="none"/>
        </w:rPr>
        <w:t>工程质量保修书由发包人、承包人在工程竣工验收前共同签署，作为施工合同附件，其有效期限至保修期满。</w:t>
      </w:r>
    </w:p>
    <w:p w14:paraId="3073D200">
      <w:pPr>
        <w:snapToGrid w:val="0"/>
        <w:spacing w:line="360" w:lineRule="auto"/>
        <w:ind w:firstLine="420"/>
        <w:jc w:val="left"/>
        <w:rPr>
          <w:rFonts w:ascii="宋体" w:hAnsi="宋体" w:eastAsia="宋体" w:cs="宋体"/>
          <w:color w:val="auto"/>
          <w:szCs w:val="21"/>
          <w:highlight w:val="none"/>
        </w:rPr>
      </w:pPr>
    </w:p>
    <w:p w14:paraId="3932ECD5">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发包人(公章)：                      承包人(公章)：</w:t>
      </w:r>
    </w:p>
    <w:p w14:paraId="57460075">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地  址：                            地  址：</w:t>
      </w:r>
    </w:p>
    <w:p w14:paraId="0D577D2E">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法定代表人(签字)：                  法定代表人(签字)：</w:t>
      </w:r>
    </w:p>
    <w:p w14:paraId="5BB630B8">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委托代理人(签字)：                  委托代理人(签字)：</w:t>
      </w:r>
    </w:p>
    <w:p w14:paraId="0E86F763">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电  话：                            电  话：</w:t>
      </w:r>
    </w:p>
    <w:p w14:paraId="45462C13">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传  真：                            传  真：</w:t>
      </w:r>
    </w:p>
    <w:p w14:paraId="49CFB59C">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14:paraId="30585E32">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账  号：                            账  号：</w:t>
      </w:r>
    </w:p>
    <w:p w14:paraId="38040020">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邮政编码：                          邮政编码：</w:t>
      </w:r>
    </w:p>
    <w:p w14:paraId="13EFE467">
      <w:pPr>
        <w:spacing w:line="360" w:lineRule="auto"/>
        <w:jc w:val="left"/>
        <w:rPr>
          <w:rFonts w:ascii="宋体" w:hAnsi="宋体" w:eastAsia="宋体" w:cs="宋体"/>
          <w:color w:val="auto"/>
          <w:szCs w:val="21"/>
          <w:highlight w:val="none"/>
        </w:rPr>
      </w:pPr>
    </w:p>
    <w:p w14:paraId="0C4BF2BE">
      <w:pPr>
        <w:spacing w:line="360" w:lineRule="auto"/>
        <w:jc w:val="left"/>
        <w:rPr>
          <w:rFonts w:ascii="宋体" w:hAnsi="宋体" w:eastAsia="宋体" w:cs="宋体"/>
          <w:color w:val="auto"/>
          <w:szCs w:val="21"/>
          <w:highlight w:val="none"/>
        </w:rPr>
      </w:pPr>
    </w:p>
    <w:p w14:paraId="099CED20">
      <w:pPr>
        <w:spacing w:line="360" w:lineRule="auto"/>
        <w:jc w:val="left"/>
        <w:rPr>
          <w:rFonts w:ascii="宋体" w:hAnsi="宋体" w:eastAsia="宋体" w:cs="宋体"/>
          <w:color w:val="auto"/>
          <w:szCs w:val="21"/>
          <w:highlight w:val="none"/>
        </w:rPr>
      </w:pPr>
    </w:p>
    <w:p w14:paraId="588844EB">
      <w:pPr>
        <w:spacing w:line="360" w:lineRule="auto"/>
        <w:jc w:val="left"/>
        <w:rPr>
          <w:rFonts w:ascii="宋体" w:hAnsi="宋体" w:eastAsia="宋体" w:cs="宋体"/>
          <w:color w:val="auto"/>
          <w:szCs w:val="21"/>
          <w:highlight w:val="none"/>
        </w:rPr>
      </w:pPr>
    </w:p>
    <w:p w14:paraId="36E07D76">
      <w:pPr>
        <w:spacing w:line="360" w:lineRule="auto"/>
        <w:jc w:val="left"/>
        <w:rPr>
          <w:rFonts w:ascii="宋体" w:hAnsi="宋体" w:eastAsia="宋体" w:cs="宋体"/>
          <w:color w:val="auto"/>
          <w:szCs w:val="21"/>
          <w:highlight w:val="none"/>
        </w:rPr>
      </w:pPr>
    </w:p>
    <w:p w14:paraId="4D2236D9">
      <w:pPr>
        <w:spacing w:line="360" w:lineRule="auto"/>
        <w:jc w:val="left"/>
        <w:rPr>
          <w:rFonts w:ascii="宋体" w:hAnsi="宋体" w:eastAsia="宋体" w:cs="宋体"/>
          <w:color w:val="auto"/>
          <w:szCs w:val="21"/>
          <w:highlight w:val="none"/>
        </w:rPr>
      </w:pPr>
    </w:p>
    <w:p w14:paraId="43DFBFDD">
      <w:pPr>
        <w:spacing w:line="360" w:lineRule="auto"/>
        <w:jc w:val="left"/>
        <w:rPr>
          <w:rFonts w:ascii="宋体" w:hAnsi="宋体" w:eastAsia="宋体" w:cs="宋体"/>
          <w:color w:val="auto"/>
          <w:szCs w:val="21"/>
          <w:highlight w:val="none"/>
        </w:rPr>
      </w:pPr>
    </w:p>
    <w:p w14:paraId="0DFC3703">
      <w:pPr>
        <w:spacing w:line="360" w:lineRule="auto"/>
        <w:jc w:val="left"/>
        <w:rPr>
          <w:rFonts w:ascii="宋体" w:hAnsi="宋体" w:eastAsia="宋体" w:cs="宋体"/>
          <w:color w:val="auto"/>
          <w:szCs w:val="21"/>
          <w:highlight w:val="none"/>
        </w:rPr>
      </w:pPr>
    </w:p>
    <w:p w14:paraId="03292898">
      <w:pPr>
        <w:spacing w:line="360" w:lineRule="auto"/>
        <w:rPr>
          <w:rFonts w:ascii="宋体" w:hAnsi="宋体" w:eastAsia="宋体" w:cs="宋体"/>
          <w:b/>
          <w:bCs/>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Cs w:val="21"/>
          <w:highlight w:val="none"/>
        </w:rPr>
        <w:t>附件：2</w:t>
      </w:r>
    </w:p>
    <w:p w14:paraId="42B86CFC">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廉政建设协议</w:t>
      </w:r>
    </w:p>
    <w:p w14:paraId="2B813C27">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根据国家有关工程建设、廉政建设的规定，为做好工程建设中的党风廉政建设，保证工程建设高效优质，保证建设资金的安全和有效使用以及投资效益，工程项目的发包人（以下简称“甲方”）与承包人（以下简称“乙方”），特订立如下协议。</w:t>
      </w:r>
    </w:p>
    <w:p w14:paraId="22A5C679">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1.甲乙双方的权利和义务</w:t>
      </w:r>
    </w:p>
    <w:p w14:paraId="09251BDB">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（1）严格遵守党和国家的有关法律法规及纪检监察机关的有关规定。</w:t>
      </w:r>
    </w:p>
    <w:p w14:paraId="1EC104EB">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（2）严格执行有关工程建设合同（协议）文件，自觉按合同（协议）办事。</w:t>
      </w:r>
    </w:p>
    <w:p w14:paraId="22F15E06">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（3）双方的业务活动坚持公开、公正、诚信、透明的原则（法律认定的商业秘密和合同文件另有规定除外），不得损害国家和集体利益，违反工程建设管理规章制度。</w:t>
      </w:r>
    </w:p>
    <w:p w14:paraId="6223D961">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（4）建立健全廉政制度，开展廉政教育，设立廉政告示牌，公布举报电话，监督并认真查处违法违纪行为。</w:t>
      </w:r>
    </w:p>
    <w:p w14:paraId="01E1F449">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（5）发现对方在业务活动中有违反廉政规定的行为，有及时提醒对方纠正的权利及义务。</w:t>
      </w:r>
    </w:p>
    <w:p w14:paraId="3FBC567F">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（6）发现对方严重违反本协议义务条款的行为，有向其上级有关部门举报、建议给予处理并要求告知处理结果的权利。</w:t>
      </w:r>
    </w:p>
    <w:p w14:paraId="2F6D6EDE">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2.甲方的义务</w:t>
      </w:r>
    </w:p>
    <w:p w14:paraId="2DEACD8D">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（1）甲方及其工作人员不得索要或接受乙方的礼金、有价证券和贵重物品，不得在乙方报销任何应由甲方或甲方工作人员个人支付的费用等。</w:t>
      </w:r>
    </w:p>
    <w:p w14:paraId="39082113">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（2）甲方工作人员不得参加乙方安排的超标准宴请和娱乐活动；不得接受乙方提供的通讯工具、交通工具和高档办公用品等。</w:t>
      </w:r>
    </w:p>
    <w:p w14:paraId="6F795893">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（3）甲方及其工作人员不得要求或者接受乙方为其住房装修、婚丧嫁娶活动、配偶子女的工作安排以及出国出境、旅游等提供方便等。</w:t>
      </w:r>
    </w:p>
    <w:p w14:paraId="5AC7540D">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（4）甲方工作人及其配偶、子女不得从事与甲方工程有关的材料设备供应、工程分包、劳务等经济活动等。</w:t>
      </w:r>
    </w:p>
    <w:p w14:paraId="700BF295">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（5）甲方及其工作人员不得以任何理由向乙方推荐分包单位或推销材料，不得要求乙方购买合同规定外的材料和设备。</w:t>
      </w:r>
    </w:p>
    <w:p w14:paraId="4BF8301C">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（6）甲方工作人员要秉公办事，不准营私舞弊，不准利用职权从事各种个人有偿中介活动和安排个人施工队伍。</w:t>
      </w:r>
    </w:p>
    <w:p w14:paraId="5D828C4B">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3.乙方义务</w:t>
      </w:r>
    </w:p>
    <w:p w14:paraId="6D648DBD">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（1）乙方不得以任何理由向甲方及其工作人员行贿或馈赠礼金、有价证券、贵重礼品。</w:t>
      </w:r>
    </w:p>
    <w:p w14:paraId="13A22AB0">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（2）乙方不得以任何名义为甲方及其工作人员报销应由甲方单位或个人支付的任何费用。</w:t>
      </w:r>
    </w:p>
    <w:p w14:paraId="339C2E81">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（3）乙方不得以任何理由安排甲方工作人员参加超标准宴请及娱乐活动。</w:t>
      </w:r>
    </w:p>
    <w:p w14:paraId="0E1DA74F">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（4）乙方不得为甲方单位和个人购置或提供通讯工具、交通工具和高档办公用品等。</w:t>
      </w:r>
    </w:p>
    <w:p w14:paraId="5AC6E7EB">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4.违约责任</w:t>
      </w:r>
    </w:p>
    <w:p w14:paraId="73083BBA">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（1）甲方及其工作人员违反本协议第一、二条，按管理权限，依据有关规定给予党纪、政纪或组织处理；涉嫌犯罪的，移交司法机关追究刑事责任；给乙方单位造成经济损失的，应予以赔偿。</w:t>
      </w:r>
    </w:p>
    <w:p w14:paraId="4D4BCD84">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乙方及其工作人员违反本协议第一、三条，按管理权限，依据有关规定给予党纪、政纪或组织处理；给甲方单位造成经济损失的，应予以赔偿；情节严重的，甲方建议工程建设主管部门给予乙方一至三年内不得进入其主管的工程建设市场的处罚。</w:t>
      </w:r>
    </w:p>
    <w:p w14:paraId="1E140D05">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双方约定：本协议由甲方的纪检监察机关（部门）负责监督执行。由甲方或甲方上级单位的纪检监察机关约请乙方或乙方上级单位纪检监察机关对本协议执行情况进行检查，提出在本协议规定范围内的裁定意见。</w:t>
      </w:r>
    </w:p>
    <w:p w14:paraId="0B3A12B5">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6.本协议有效期自签章生效始至工程建设合同（协议）执行完成止。</w:t>
      </w:r>
    </w:p>
    <w:p w14:paraId="6781E46C">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7.本协议作为工程建设合同（协议）附件，由双方法定代表人或其授权的代理人签署与加盖公章后生效。</w:t>
      </w:r>
    </w:p>
    <w:p w14:paraId="35822FE4">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发包人：（盖公章）                       承包人：（盖公章）</w:t>
      </w:r>
    </w:p>
    <w:p w14:paraId="6949D81B">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法定代表人                              法定代表人</w:t>
      </w:r>
    </w:p>
    <w:p w14:paraId="602DC873">
      <w:pPr>
        <w:snapToGrid w:val="0"/>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或其委托代理人：（签字）                 或其委托代理人：（签字）</w:t>
      </w:r>
    </w:p>
    <w:p w14:paraId="7818F91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    月   日                            年    月   日</w:t>
      </w:r>
    </w:p>
    <w:p w14:paraId="4F997C16">
      <w:pPr>
        <w:pStyle w:val="228"/>
        <w:spacing w:line="360" w:lineRule="auto"/>
        <w:ind w:firstLine="480"/>
        <w:jc w:val="center"/>
        <w:outlineLvl w:val="0"/>
        <w:rPr>
          <w:b/>
          <w:bCs/>
          <w:color w:val="auto"/>
          <w:sz w:val="36"/>
          <w:szCs w:val="36"/>
          <w:highlight w:val="none"/>
          <w:lang w:val="zh-TW" w:eastAsia="zh-TW"/>
        </w:rPr>
      </w:pPr>
      <w:r>
        <w:rPr>
          <w:rFonts w:hint="eastAsia" w:ascii="宋体" w:hAnsi="宋体" w:cs="宋体"/>
          <w:color w:val="auto"/>
          <w:highlight w:val="none"/>
          <w:lang w:eastAsia="zh-CN"/>
        </w:rPr>
        <w:br w:type="page" w:clear="all"/>
      </w:r>
      <w:bookmarkStart w:id="201" w:name="_Toc16568"/>
      <w:r>
        <w:rPr>
          <w:rFonts w:hint="eastAsia" w:ascii="宋体" w:hAnsi="宋体" w:cs="宋体"/>
          <w:b/>
          <w:bCs/>
          <w:color w:val="auto"/>
          <w:sz w:val="36"/>
          <w:szCs w:val="36"/>
          <w:highlight w:val="none"/>
          <w:lang w:val="zh-TW" w:eastAsia="zh-TW"/>
        </w:rPr>
        <w:t>第六章投标文件格式</w:t>
      </w:r>
      <w:bookmarkEnd w:id="201"/>
    </w:p>
    <w:p w14:paraId="3BF210F4">
      <w:pPr>
        <w:pStyle w:val="190"/>
        <w:shd w:val="clear" w:color="auto" w:fill="FFFFFF"/>
        <w:ind w:firstLine="472"/>
        <w:rPr>
          <w:rFonts w:ascii="宋体" w:cs="宋体"/>
          <w:b/>
          <w:bCs/>
          <w:color w:val="auto"/>
          <w:sz w:val="24"/>
          <w:szCs w:val="24"/>
          <w:highlight w:val="none"/>
          <w:lang w:val="zh-TW" w:eastAsia="zh-TW"/>
        </w:rPr>
      </w:pPr>
      <w:r>
        <w:rPr>
          <w:rFonts w:hint="eastAsia" w:ascii="宋体" w:hAnsi="宋体" w:cs="宋体"/>
          <w:b/>
          <w:bCs/>
          <w:color w:val="auto"/>
          <w:sz w:val="24"/>
          <w:szCs w:val="24"/>
          <w:highlight w:val="none"/>
          <w:lang w:val="zh-TW" w:eastAsia="zh-TW"/>
        </w:rPr>
        <w:t>投标文件相应材料请按投标文件格式进行填写，如投标文件格式无明确规定的，由供应商自行编制。</w:t>
      </w:r>
    </w:p>
    <w:p w14:paraId="27E4C548">
      <w:pPr>
        <w:pStyle w:val="190"/>
        <w:spacing w:line="360" w:lineRule="auto"/>
        <w:rPr>
          <w:rFonts w:ascii="宋体" w:cs="宋体"/>
          <w:color w:val="auto"/>
          <w:highlight w:val="none"/>
        </w:rPr>
      </w:pPr>
    </w:p>
    <w:p w14:paraId="3E85E494">
      <w:pPr>
        <w:pStyle w:val="190"/>
        <w:spacing w:line="360" w:lineRule="auto"/>
        <w:jc w:val="right"/>
        <w:rPr>
          <w:rFonts w:ascii="宋体" w:cs="宋体"/>
          <w:color w:val="auto"/>
          <w:highlight w:val="none"/>
        </w:rPr>
      </w:pPr>
    </w:p>
    <w:p w14:paraId="0FE00EFE">
      <w:pPr>
        <w:pStyle w:val="190"/>
        <w:spacing w:line="360" w:lineRule="auto"/>
        <w:jc w:val="right"/>
        <w:rPr>
          <w:rFonts w:ascii="宋体" w:cs="宋体"/>
          <w:b/>
          <w:bCs/>
          <w:color w:val="auto"/>
          <w:sz w:val="28"/>
          <w:szCs w:val="28"/>
          <w:highlight w:val="none"/>
        </w:rPr>
      </w:pPr>
      <w:r>
        <w:rPr>
          <w:rFonts w:hint="eastAsia" w:ascii="宋体" w:hAnsi="宋体" w:cs="宋体"/>
          <w:b/>
          <w:bCs/>
          <w:color w:val="auto"/>
          <w:sz w:val="28"/>
          <w:szCs w:val="28"/>
          <w:highlight w:val="none"/>
          <w:lang w:val="zh-TW" w:eastAsia="zh-TW"/>
        </w:rPr>
        <w:t>正本</w:t>
      </w:r>
      <w:r>
        <w:rPr>
          <w:rFonts w:ascii="宋体" w:hAnsi="宋体" w:cs="宋体"/>
          <w:b/>
          <w:bCs/>
          <w:color w:val="auto"/>
          <w:sz w:val="28"/>
          <w:szCs w:val="28"/>
          <w:highlight w:val="none"/>
        </w:rPr>
        <w:t>/</w:t>
      </w:r>
      <w:r>
        <w:rPr>
          <w:rFonts w:hint="eastAsia" w:ascii="宋体" w:hAnsi="宋体" w:cs="宋体"/>
          <w:b/>
          <w:bCs/>
          <w:color w:val="auto"/>
          <w:sz w:val="28"/>
          <w:szCs w:val="28"/>
          <w:highlight w:val="none"/>
          <w:lang w:val="zh-TW" w:eastAsia="zh-TW"/>
        </w:rPr>
        <w:t>副本</w:t>
      </w:r>
    </w:p>
    <w:p w14:paraId="1F70ED7C">
      <w:pPr>
        <w:pStyle w:val="190"/>
        <w:spacing w:line="360" w:lineRule="auto"/>
        <w:jc w:val="center"/>
        <w:outlineLvl w:val="0"/>
        <w:rPr>
          <w:rFonts w:ascii="宋体" w:hAnsi="宋体" w:cs="宋体"/>
          <w:b/>
          <w:bCs/>
          <w:color w:val="auto"/>
          <w:sz w:val="40"/>
          <w:szCs w:val="40"/>
          <w:highlight w:val="none"/>
          <w:lang w:val="zh-TW" w:eastAsia="zh-TW"/>
        </w:rPr>
      </w:pPr>
      <w:bookmarkStart w:id="202" w:name="_Toc24750"/>
      <w:r>
        <w:rPr>
          <w:rFonts w:hint="eastAsia" w:ascii="宋体" w:hAnsi="宋体" w:cs="宋体"/>
          <w:b/>
          <w:bCs/>
          <w:color w:val="auto"/>
          <w:sz w:val="40"/>
          <w:szCs w:val="40"/>
          <w:highlight w:val="none"/>
          <w:lang w:val="zh-TW" w:eastAsia="zh-CN"/>
        </w:rPr>
        <w:t>2026年修远楼改造出新工程</w:t>
      </w:r>
      <w:bookmarkEnd w:id="202"/>
    </w:p>
    <w:p w14:paraId="6B42798B">
      <w:pPr>
        <w:pStyle w:val="306"/>
        <w:ind w:firstLine="3534"/>
        <w:outlineLvl w:val="0"/>
        <w:rPr>
          <w:rFonts w:hint="eastAsia" w:ascii="宋体" w:hAnsi="宋体" w:cs="宋体"/>
          <w:b/>
          <w:bCs/>
          <w:color w:val="auto"/>
          <w:sz w:val="40"/>
          <w:szCs w:val="40"/>
          <w:highlight w:val="none"/>
        </w:rPr>
      </w:pPr>
      <w:bookmarkStart w:id="203" w:name="_Toc16134"/>
      <w:r>
        <w:rPr>
          <w:rFonts w:hint="eastAsia" w:ascii="宋体" w:hAnsi="宋体" w:cs="宋体"/>
          <w:b/>
          <w:bCs/>
          <w:color w:val="auto"/>
          <w:sz w:val="40"/>
          <w:szCs w:val="40"/>
          <w:highlight w:val="none"/>
          <w:lang w:val="zh-TW" w:eastAsia="zh-TW"/>
        </w:rPr>
        <w:t>项目编号</w:t>
      </w:r>
      <w:r>
        <w:rPr>
          <w:rFonts w:hint="eastAsia" w:ascii="宋体" w:hAnsi="宋体" w:cs="宋体"/>
          <w:b/>
          <w:bCs/>
          <w:color w:val="auto"/>
          <w:sz w:val="40"/>
          <w:szCs w:val="40"/>
          <w:highlight w:val="none"/>
        </w:rPr>
        <w:t>：</w:t>
      </w:r>
      <w:bookmarkEnd w:id="203"/>
    </w:p>
    <w:p w14:paraId="481E9331">
      <w:pPr>
        <w:pStyle w:val="306"/>
        <w:ind w:firstLine="3534"/>
        <w:outlineLvl w:val="0"/>
        <w:rPr>
          <w:rFonts w:hint="eastAsia" w:ascii="宋体" w:hAnsi="宋体" w:cs="宋体"/>
          <w:b/>
          <w:bCs/>
          <w:color w:val="auto"/>
          <w:sz w:val="40"/>
          <w:szCs w:val="40"/>
          <w:highlight w:val="none"/>
        </w:rPr>
      </w:pPr>
    </w:p>
    <w:p w14:paraId="62FB6658">
      <w:pPr>
        <w:pStyle w:val="306"/>
        <w:ind w:firstLine="3534"/>
        <w:outlineLvl w:val="0"/>
        <w:rPr>
          <w:rFonts w:hint="eastAsia" w:ascii="宋体" w:hAnsi="宋体" w:cs="宋体"/>
          <w:b/>
          <w:bCs/>
          <w:color w:val="auto"/>
          <w:sz w:val="40"/>
          <w:szCs w:val="40"/>
          <w:highlight w:val="none"/>
        </w:rPr>
      </w:pPr>
    </w:p>
    <w:p w14:paraId="305B2253">
      <w:pPr>
        <w:pStyle w:val="306"/>
        <w:ind w:firstLine="3534"/>
        <w:outlineLvl w:val="0"/>
        <w:rPr>
          <w:rFonts w:hint="eastAsia" w:ascii="宋体" w:hAnsi="宋体" w:cs="宋体"/>
          <w:b/>
          <w:bCs/>
          <w:color w:val="auto"/>
          <w:sz w:val="40"/>
          <w:szCs w:val="40"/>
          <w:highlight w:val="none"/>
        </w:rPr>
      </w:pPr>
    </w:p>
    <w:p w14:paraId="4F8B1EB0">
      <w:pPr>
        <w:pStyle w:val="306"/>
        <w:ind w:firstLine="3534"/>
        <w:outlineLvl w:val="0"/>
        <w:rPr>
          <w:rFonts w:hint="eastAsia" w:ascii="宋体" w:hAnsi="宋体" w:cs="宋体"/>
          <w:b/>
          <w:bCs/>
          <w:color w:val="auto"/>
          <w:sz w:val="40"/>
          <w:szCs w:val="40"/>
          <w:highlight w:val="none"/>
        </w:rPr>
      </w:pPr>
    </w:p>
    <w:p w14:paraId="5FEBC1E7">
      <w:pPr>
        <w:pStyle w:val="190"/>
        <w:spacing w:line="360" w:lineRule="auto"/>
        <w:jc w:val="center"/>
        <w:rPr>
          <w:rFonts w:ascii="宋体" w:cs="宋体"/>
          <w:color w:val="auto"/>
          <w:sz w:val="28"/>
          <w:szCs w:val="28"/>
          <w:highlight w:val="none"/>
        </w:rPr>
      </w:pPr>
      <w:bookmarkStart w:id="204" w:name="_Toc22672"/>
      <w:r>
        <w:rPr>
          <w:rFonts w:hint="eastAsia" w:ascii="宋体" w:hAnsi="宋体" w:cs="宋体"/>
          <w:b/>
          <w:bCs/>
          <w:color w:val="auto"/>
          <w:sz w:val="40"/>
          <w:szCs w:val="40"/>
          <w:highlight w:val="none"/>
          <w:lang w:val="zh-TW" w:eastAsia="zh-TW"/>
        </w:rPr>
        <w:t>投标文件</w:t>
      </w:r>
      <w:bookmarkEnd w:id="204"/>
    </w:p>
    <w:p w14:paraId="60F87687">
      <w:pPr>
        <w:pStyle w:val="190"/>
        <w:spacing w:line="360" w:lineRule="auto"/>
        <w:rPr>
          <w:rFonts w:ascii="宋体" w:cs="宋体"/>
          <w:color w:val="auto"/>
          <w:sz w:val="28"/>
          <w:szCs w:val="28"/>
          <w:highlight w:val="none"/>
        </w:rPr>
      </w:pPr>
    </w:p>
    <w:p w14:paraId="6FCCA290">
      <w:pPr>
        <w:pStyle w:val="190"/>
        <w:spacing w:line="360" w:lineRule="auto"/>
        <w:rPr>
          <w:rFonts w:ascii="宋体" w:cs="宋体"/>
          <w:color w:val="auto"/>
          <w:sz w:val="28"/>
          <w:szCs w:val="28"/>
          <w:highlight w:val="none"/>
        </w:rPr>
      </w:pPr>
    </w:p>
    <w:p w14:paraId="7321CC9B">
      <w:pPr>
        <w:pStyle w:val="190"/>
        <w:spacing w:line="360" w:lineRule="auto"/>
        <w:rPr>
          <w:rFonts w:ascii="宋体" w:cs="宋体"/>
          <w:color w:val="auto"/>
          <w:sz w:val="28"/>
          <w:szCs w:val="28"/>
          <w:highlight w:val="none"/>
        </w:rPr>
      </w:pPr>
    </w:p>
    <w:p w14:paraId="252FC1BF">
      <w:pPr>
        <w:pStyle w:val="190"/>
        <w:spacing w:line="360" w:lineRule="auto"/>
        <w:rPr>
          <w:rFonts w:ascii="宋体" w:cs="宋体"/>
          <w:color w:val="auto"/>
          <w:sz w:val="28"/>
          <w:szCs w:val="28"/>
          <w:highlight w:val="none"/>
        </w:rPr>
      </w:pPr>
    </w:p>
    <w:p w14:paraId="619D8541">
      <w:pPr>
        <w:pStyle w:val="190"/>
        <w:spacing w:line="360" w:lineRule="auto"/>
        <w:rPr>
          <w:rFonts w:ascii="宋体" w:cs="宋体"/>
          <w:color w:val="auto"/>
          <w:sz w:val="28"/>
          <w:szCs w:val="28"/>
          <w:highlight w:val="none"/>
        </w:rPr>
      </w:pPr>
    </w:p>
    <w:p w14:paraId="73965FD0">
      <w:pPr>
        <w:pStyle w:val="190"/>
        <w:spacing w:line="360" w:lineRule="auto"/>
        <w:jc w:val="center"/>
        <w:outlineLvl w:val="0"/>
        <w:rPr>
          <w:rFonts w:ascii="宋体" w:cs="宋体"/>
          <w:b/>
          <w:bCs/>
          <w:color w:val="auto"/>
          <w:sz w:val="32"/>
          <w:szCs w:val="32"/>
          <w:highlight w:val="none"/>
          <w:u w:val="single"/>
          <w:lang w:val="zh-TW" w:eastAsia="zh-TW"/>
        </w:rPr>
      </w:pPr>
      <w:bookmarkStart w:id="205" w:name="_Toc16404"/>
      <w:r>
        <w:rPr>
          <w:rFonts w:hint="eastAsia" w:ascii="宋体" w:hAnsi="宋体" w:cs="宋体"/>
          <w:b/>
          <w:bCs/>
          <w:color w:val="auto"/>
          <w:sz w:val="32"/>
          <w:szCs w:val="32"/>
          <w:highlight w:val="none"/>
          <w:lang w:val="zh-TW" w:eastAsia="zh-TW"/>
        </w:rPr>
        <w:t>供应商：（盖单位章）</w:t>
      </w:r>
      <w:bookmarkEnd w:id="205"/>
    </w:p>
    <w:p w14:paraId="187AE94D">
      <w:pPr>
        <w:pStyle w:val="190"/>
        <w:spacing w:line="360" w:lineRule="auto"/>
        <w:jc w:val="center"/>
        <w:outlineLvl w:val="0"/>
        <w:rPr>
          <w:rFonts w:ascii="宋体" w:cs="宋体"/>
          <w:b/>
          <w:bCs/>
          <w:color w:val="auto"/>
          <w:sz w:val="32"/>
          <w:szCs w:val="32"/>
          <w:highlight w:val="none"/>
          <w:lang w:val="zh-TW" w:eastAsia="zh-TW"/>
        </w:rPr>
      </w:pPr>
      <w:bookmarkStart w:id="206" w:name="_Toc10442"/>
      <w:r>
        <w:rPr>
          <w:rFonts w:hint="eastAsia" w:ascii="宋体" w:hAnsi="宋体" w:cs="宋体"/>
          <w:b/>
          <w:bCs/>
          <w:color w:val="auto"/>
          <w:sz w:val="32"/>
          <w:szCs w:val="32"/>
          <w:highlight w:val="none"/>
          <w:lang w:val="zh-TW" w:eastAsia="zh-TW"/>
        </w:rPr>
        <w:t>法定代表人或其委托代理人：（签字）</w:t>
      </w:r>
      <w:bookmarkEnd w:id="206"/>
    </w:p>
    <w:p w14:paraId="62C430F5">
      <w:pPr>
        <w:pStyle w:val="190"/>
        <w:spacing w:line="360" w:lineRule="auto"/>
        <w:jc w:val="center"/>
        <w:outlineLvl w:val="0"/>
        <w:rPr>
          <w:rFonts w:ascii="宋体" w:cs="宋体"/>
          <w:b/>
          <w:bCs/>
          <w:color w:val="auto"/>
          <w:sz w:val="21"/>
          <w:szCs w:val="21"/>
          <w:highlight w:val="none"/>
          <w:lang w:val="zh-TW" w:eastAsia="zh-TW"/>
        </w:rPr>
      </w:pPr>
      <w:bookmarkStart w:id="207" w:name="_Toc20348"/>
      <w:r>
        <w:rPr>
          <w:rFonts w:hint="eastAsia" w:ascii="宋体" w:hAnsi="宋体" w:cs="宋体"/>
          <w:b/>
          <w:bCs/>
          <w:color w:val="auto"/>
          <w:sz w:val="32"/>
          <w:szCs w:val="32"/>
          <w:highlight w:val="none"/>
          <w:lang w:val="zh-TW" w:eastAsia="zh-TW"/>
        </w:rPr>
        <w:t>年月日</w:t>
      </w:r>
      <w:bookmarkEnd w:id="207"/>
    </w:p>
    <w:p w14:paraId="39B589A5">
      <w:pPr>
        <w:pStyle w:val="190"/>
        <w:shd w:val="clear" w:color="auto" w:fill="FFFFFF"/>
        <w:spacing w:line="360" w:lineRule="auto"/>
        <w:rPr>
          <w:rFonts w:ascii="宋体" w:cs="宋体"/>
          <w:color w:val="auto"/>
          <w:highlight w:val="none"/>
        </w:rPr>
      </w:pPr>
    </w:p>
    <w:p w14:paraId="7A11B8A9">
      <w:pPr>
        <w:pStyle w:val="302"/>
        <w:ind w:firstLine="0"/>
        <w:rPr>
          <w:b/>
          <w:bCs/>
          <w:color w:val="auto"/>
          <w:highlight w:val="none"/>
        </w:rPr>
      </w:pPr>
    </w:p>
    <w:p w14:paraId="4BD06F29">
      <w:pPr>
        <w:pStyle w:val="302"/>
        <w:ind w:firstLine="0"/>
        <w:rPr>
          <w:b/>
          <w:bCs/>
          <w:color w:val="auto"/>
          <w:highlight w:val="none"/>
        </w:rPr>
      </w:pPr>
    </w:p>
    <w:p w14:paraId="384678AA">
      <w:pPr>
        <w:pStyle w:val="302"/>
        <w:ind w:firstLine="0"/>
        <w:rPr>
          <w:b/>
          <w:bCs/>
          <w:color w:val="auto"/>
          <w:highlight w:val="none"/>
        </w:rPr>
      </w:pPr>
    </w:p>
    <w:p w14:paraId="09383323">
      <w:pPr>
        <w:pStyle w:val="302"/>
        <w:ind w:firstLine="0"/>
        <w:jc w:val="center"/>
        <w:rPr>
          <w:rFonts w:hint="eastAsia"/>
          <w:b/>
          <w:bCs/>
          <w:color w:val="auto"/>
          <w:sz w:val="32"/>
          <w:szCs w:val="32"/>
          <w:highlight w:val="none"/>
          <w:lang w:val="zh-TW" w:eastAsia="zh-TW"/>
        </w:rPr>
      </w:pPr>
    </w:p>
    <w:p w14:paraId="6C25AABB">
      <w:pPr>
        <w:pStyle w:val="302"/>
        <w:ind w:firstLine="0"/>
        <w:jc w:val="center"/>
        <w:rPr>
          <w:b/>
          <w:bCs/>
          <w:color w:val="auto"/>
          <w:sz w:val="36"/>
          <w:szCs w:val="36"/>
          <w:highlight w:val="none"/>
          <w:lang w:val="zh-TW" w:eastAsia="zh-TW"/>
        </w:rPr>
      </w:pPr>
      <w:r>
        <w:rPr>
          <w:rFonts w:hint="eastAsia"/>
          <w:b/>
          <w:bCs/>
          <w:color w:val="auto"/>
          <w:sz w:val="32"/>
          <w:szCs w:val="32"/>
          <w:highlight w:val="none"/>
          <w:lang w:val="zh-TW" w:eastAsia="zh-TW"/>
        </w:rPr>
        <w:t>评分索引表</w:t>
      </w:r>
    </w:p>
    <w:p w14:paraId="5CA6A091">
      <w:pPr>
        <w:pStyle w:val="307"/>
        <w:spacing w:line="360" w:lineRule="auto"/>
        <w:jc w:val="center"/>
        <w:rPr>
          <w:rFonts w:ascii="宋体" w:cs="宋体"/>
          <w:color w:val="auto"/>
          <w:highlight w:val="none"/>
        </w:rPr>
      </w:pPr>
    </w:p>
    <w:tbl>
      <w:tblPr>
        <w:tblStyle w:val="33"/>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80" w:type="dxa"/>
          <w:bottom w:w="80" w:type="dxa"/>
          <w:right w:w="80" w:type="dxa"/>
        </w:tblCellMar>
      </w:tblPr>
      <w:tblGrid>
        <w:gridCol w:w="1407"/>
        <w:gridCol w:w="7051"/>
        <w:gridCol w:w="1004"/>
      </w:tblGrid>
      <w:tr w14:paraId="3B92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806" w:hRule="atLeast"/>
          <w:jc w:val="center"/>
        </w:trPr>
        <w:tc>
          <w:tcPr>
            <w:tcW w:w="1407" w:type="dxa"/>
            <w:noWrap w:val="0"/>
            <w:tcMar>
              <w:top w:w="80" w:type="dxa"/>
              <w:left w:w="80" w:type="dxa"/>
              <w:bottom w:w="80" w:type="dxa"/>
              <w:right w:w="80" w:type="dxa"/>
            </w:tcMar>
            <w:vAlign w:val="center"/>
          </w:tcPr>
          <w:p w14:paraId="51CE14EB">
            <w:pPr>
              <w:pStyle w:val="190"/>
              <w:jc w:val="center"/>
              <w:rPr>
                <w:color w:val="auto"/>
                <w:highlight w:val="none"/>
              </w:rPr>
            </w:pPr>
            <w:r>
              <w:rPr>
                <w:rFonts w:hint="eastAsia" w:ascii="宋体" w:hAnsi="宋体" w:cs="宋体"/>
                <w:color w:val="auto"/>
                <w:highlight w:val="none"/>
                <w:lang w:val="zh-TW" w:eastAsia="zh-TW"/>
              </w:rPr>
              <w:t>评分因素</w:t>
            </w:r>
          </w:p>
        </w:tc>
        <w:tc>
          <w:tcPr>
            <w:tcW w:w="7051" w:type="dxa"/>
            <w:noWrap w:val="0"/>
            <w:tcMar>
              <w:top w:w="80" w:type="dxa"/>
              <w:left w:w="80" w:type="dxa"/>
              <w:bottom w:w="80" w:type="dxa"/>
              <w:right w:w="80" w:type="dxa"/>
            </w:tcMar>
            <w:vAlign w:val="center"/>
          </w:tcPr>
          <w:p w14:paraId="7060A9A3">
            <w:pPr>
              <w:pStyle w:val="190"/>
              <w:jc w:val="center"/>
              <w:rPr>
                <w:color w:val="auto"/>
                <w:highlight w:val="none"/>
              </w:rPr>
            </w:pPr>
            <w:r>
              <w:rPr>
                <w:rFonts w:hint="eastAsia" w:ascii="宋体" w:hAnsi="宋体" w:cs="宋体"/>
                <w:color w:val="auto"/>
                <w:highlight w:val="none"/>
                <w:lang w:val="zh-TW" w:eastAsia="zh-TW"/>
              </w:rPr>
              <w:t>评分标准</w:t>
            </w:r>
          </w:p>
        </w:tc>
        <w:tc>
          <w:tcPr>
            <w:tcW w:w="1004" w:type="dxa"/>
            <w:noWrap w:val="0"/>
            <w:tcMar>
              <w:top w:w="80" w:type="dxa"/>
              <w:left w:w="80" w:type="dxa"/>
              <w:bottom w:w="80" w:type="dxa"/>
              <w:right w:w="80" w:type="dxa"/>
            </w:tcMar>
            <w:vAlign w:val="center"/>
          </w:tcPr>
          <w:p w14:paraId="14BDE7DA">
            <w:pPr>
              <w:pStyle w:val="190"/>
              <w:jc w:val="center"/>
              <w:rPr>
                <w:color w:val="auto"/>
                <w:highlight w:val="none"/>
              </w:rPr>
            </w:pPr>
            <w:r>
              <w:rPr>
                <w:rFonts w:hint="eastAsia" w:ascii="宋体" w:hAnsi="宋体" w:cs="宋体"/>
                <w:color w:val="auto"/>
                <w:highlight w:val="none"/>
                <w:lang w:val="zh-TW" w:eastAsia="zh-TW"/>
              </w:rPr>
              <w:t>响应文件对应页码</w:t>
            </w:r>
          </w:p>
        </w:tc>
      </w:tr>
      <w:tr w14:paraId="4D36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531" w:hRule="atLeast"/>
          <w:jc w:val="center"/>
        </w:trPr>
        <w:tc>
          <w:tcPr>
            <w:tcW w:w="1407" w:type="dxa"/>
            <w:noWrap w:val="0"/>
            <w:tcMar>
              <w:top w:w="80" w:type="dxa"/>
              <w:left w:w="80" w:type="dxa"/>
              <w:bottom w:w="80" w:type="dxa"/>
              <w:right w:w="80" w:type="dxa"/>
            </w:tcMar>
            <w:vAlign w:val="center"/>
          </w:tcPr>
          <w:p w14:paraId="27947529">
            <w:pPr>
              <w:rPr>
                <w:color w:val="auto"/>
                <w:highlight w:val="none"/>
              </w:rPr>
            </w:pPr>
          </w:p>
        </w:tc>
        <w:tc>
          <w:tcPr>
            <w:tcW w:w="7051" w:type="dxa"/>
            <w:noWrap w:val="0"/>
            <w:tcMar>
              <w:top w:w="80" w:type="dxa"/>
              <w:left w:w="80" w:type="dxa"/>
              <w:bottom w:w="80" w:type="dxa"/>
              <w:right w:w="80" w:type="dxa"/>
            </w:tcMar>
            <w:vAlign w:val="center"/>
          </w:tcPr>
          <w:p w14:paraId="7380F3A4">
            <w:pPr>
              <w:rPr>
                <w:color w:val="auto"/>
                <w:highlight w:val="none"/>
              </w:rPr>
            </w:pPr>
          </w:p>
        </w:tc>
        <w:tc>
          <w:tcPr>
            <w:tcW w:w="1004" w:type="dxa"/>
            <w:noWrap w:val="0"/>
            <w:tcMar>
              <w:top w:w="80" w:type="dxa"/>
              <w:left w:w="80" w:type="dxa"/>
              <w:bottom w:w="80" w:type="dxa"/>
              <w:right w:w="80" w:type="dxa"/>
            </w:tcMar>
            <w:vAlign w:val="center"/>
          </w:tcPr>
          <w:p w14:paraId="7245FAF1">
            <w:pPr>
              <w:rPr>
                <w:color w:val="auto"/>
                <w:highlight w:val="none"/>
              </w:rPr>
            </w:pPr>
          </w:p>
        </w:tc>
      </w:tr>
      <w:tr w14:paraId="797C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531" w:hRule="atLeast"/>
          <w:jc w:val="center"/>
        </w:trPr>
        <w:tc>
          <w:tcPr>
            <w:tcW w:w="1407" w:type="dxa"/>
            <w:noWrap w:val="0"/>
            <w:tcMar>
              <w:top w:w="80" w:type="dxa"/>
              <w:left w:w="80" w:type="dxa"/>
              <w:bottom w:w="80" w:type="dxa"/>
              <w:right w:w="80" w:type="dxa"/>
            </w:tcMar>
            <w:vAlign w:val="center"/>
          </w:tcPr>
          <w:p w14:paraId="6312B7D1">
            <w:pPr>
              <w:rPr>
                <w:color w:val="auto"/>
                <w:highlight w:val="none"/>
              </w:rPr>
            </w:pPr>
          </w:p>
        </w:tc>
        <w:tc>
          <w:tcPr>
            <w:tcW w:w="7051" w:type="dxa"/>
            <w:noWrap w:val="0"/>
            <w:tcMar>
              <w:top w:w="80" w:type="dxa"/>
              <w:left w:w="80" w:type="dxa"/>
              <w:bottom w:w="80" w:type="dxa"/>
              <w:right w:w="80" w:type="dxa"/>
            </w:tcMar>
            <w:vAlign w:val="center"/>
          </w:tcPr>
          <w:p w14:paraId="698C7291">
            <w:pPr>
              <w:rPr>
                <w:color w:val="auto"/>
                <w:highlight w:val="none"/>
              </w:rPr>
            </w:pPr>
          </w:p>
        </w:tc>
        <w:tc>
          <w:tcPr>
            <w:tcW w:w="1004" w:type="dxa"/>
            <w:noWrap w:val="0"/>
            <w:tcMar>
              <w:top w:w="80" w:type="dxa"/>
              <w:left w:w="80" w:type="dxa"/>
              <w:bottom w:w="80" w:type="dxa"/>
              <w:right w:w="80" w:type="dxa"/>
            </w:tcMar>
            <w:vAlign w:val="center"/>
          </w:tcPr>
          <w:p w14:paraId="27543944">
            <w:pPr>
              <w:rPr>
                <w:color w:val="auto"/>
                <w:highlight w:val="none"/>
              </w:rPr>
            </w:pPr>
          </w:p>
        </w:tc>
      </w:tr>
      <w:tr w14:paraId="5F31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531" w:hRule="atLeast"/>
          <w:jc w:val="center"/>
        </w:trPr>
        <w:tc>
          <w:tcPr>
            <w:tcW w:w="1407" w:type="dxa"/>
            <w:noWrap w:val="0"/>
            <w:tcMar>
              <w:top w:w="80" w:type="dxa"/>
              <w:left w:w="80" w:type="dxa"/>
              <w:bottom w:w="80" w:type="dxa"/>
              <w:right w:w="80" w:type="dxa"/>
            </w:tcMar>
            <w:vAlign w:val="center"/>
          </w:tcPr>
          <w:p w14:paraId="697ED801">
            <w:pPr>
              <w:rPr>
                <w:color w:val="auto"/>
                <w:highlight w:val="none"/>
              </w:rPr>
            </w:pPr>
          </w:p>
        </w:tc>
        <w:tc>
          <w:tcPr>
            <w:tcW w:w="7051" w:type="dxa"/>
            <w:noWrap w:val="0"/>
            <w:tcMar>
              <w:top w:w="80" w:type="dxa"/>
              <w:left w:w="80" w:type="dxa"/>
              <w:bottom w:w="80" w:type="dxa"/>
              <w:right w:w="80" w:type="dxa"/>
            </w:tcMar>
            <w:vAlign w:val="center"/>
          </w:tcPr>
          <w:p w14:paraId="02375F73">
            <w:pPr>
              <w:rPr>
                <w:color w:val="auto"/>
                <w:highlight w:val="none"/>
              </w:rPr>
            </w:pPr>
          </w:p>
        </w:tc>
        <w:tc>
          <w:tcPr>
            <w:tcW w:w="1004" w:type="dxa"/>
            <w:noWrap w:val="0"/>
            <w:tcMar>
              <w:top w:w="80" w:type="dxa"/>
              <w:left w:w="80" w:type="dxa"/>
              <w:bottom w:w="80" w:type="dxa"/>
              <w:right w:w="80" w:type="dxa"/>
            </w:tcMar>
            <w:vAlign w:val="center"/>
          </w:tcPr>
          <w:p w14:paraId="7DF4D157">
            <w:pPr>
              <w:rPr>
                <w:color w:val="auto"/>
                <w:highlight w:val="none"/>
              </w:rPr>
            </w:pPr>
          </w:p>
        </w:tc>
      </w:tr>
      <w:tr w14:paraId="371B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531" w:hRule="atLeast"/>
          <w:jc w:val="center"/>
        </w:trPr>
        <w:tc>
          <w:tcPr>
            <w:tcW w:w="1407" w:type="dxa"/>
            <w:noWrap w:val="0"/>
            <w:tcMar>
              <w:top w:w="80" w:type="dxa"/>
              <w:left w:w="80" w:type="dxa"/>
              <w:bottom w:w="80" w:type="dxa"/>
              <w:right w:w="80" w:type="dxa"/>
            </w:tcMar>
            <w:vAlign w:val="center"/>
          </w:tcPr>
          <w:p w14:paraId="543394E6">
            <w:pPr>
              <w:rPr>
                <w:color w:val="auto"/>
                <w:highlight w:val="none"/>
              </w:rPr>
            </w:pPr>
          </w:p>
        </w:tc>
        <w:tc>
          <w:tcPr>
            <w:tcW w:w="7051" w:type="dxa"/>
            <w:noWrap w:val="0"/>
            <w:tcMar>
              <w:top w:w="80" w:type="dxa"/>
              <w:left w:w="80" w:type="dxa"/>
              <w:bottom w:w="80" w:type="dxa"/>
              <w:right w:w="80" w:type="dxa"/>
            </w:tcMar>
            <w:vAlign w:val="center"/>
          </w:tcPr>
          <w:p w14:paraId="39079673">
            <w:pPr>
              <w:rPr>
                <w:color w:val="auto"/>
                <w:highlight w:val="none"/>
              </w:rPr>
            </w:pPr>
          </w:p>
        </w:tc>
        <w:tc>
          <w:tcPr>
            <w:tcW w:w="1004" w:type="dxa"/>
            <w:noWrap w:val="0"/>
            <w:tcMar>
              <w:top w:w="80" w:type="dxa"/>
              <w:left w:w="80" w:type="dxa"/>
              <w:bottom w:w="80" w:type="dxa"/>
              <w:right w:w="80" w:type="dxa"/>
            </w:tcMar>
            <w:vAlign w:val="center"/>
          </w:tcPr>
          <w:p w14:paraId="1FA4E01F">
            <w:pPr>
              <w:rPr>
                <w:color w:val="auto"/>
                <w:highlight w:val="none"/>
              </w:rPr>
            </w:pPr>
          </w:p>
        </w:tc>
      </w:tr>
      <w:tr w14:paraId="03BB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531" w:hRule="atLeast"/>
          <w:jc w:val="center"/>
        </w:trPr>
        <w:tc>
          <w:tcPr>
            <w:tcW w:w="1407" w:type="dxa"/>
            <w:noWrap w:val="0"/>
            <w:tcMar>
              <w:top w:w="80" w:type="dxa"/>
              <w:left w:w="80" w:type="dxa"/>
              <w:bottom w:w="80" w:type="dxa"/>
              <w:right w:w="80" w:type="dxa"/>
            </w:tcMar>
            <w:vAlign w:val="center"/>
          </w:tcPr>
          <w:p w14:paraId="11136191">
            <w:pPr>
              <w:rPr>
                <w:color w:val="auto"/>
                <w:highlight w:val="none"/>
              </w:rPr>
            </w:pPr>
          </w:p>
        </w:tc>
        <w:tc>
          <w:tcPr>
            <w:tcW w:w="7051" w:type="dxa"/>
            <w:noWrap w:val="0"/>
            <w:tcMar>
              <w:top w:w="80" w:type="dxa"/>
              <w:left w:w="80" w:type="dxa"/>
              <w:bottom w:w="80" w:type="dxa"/>
              <w:right w:w="80" w:type="dxa"/>
            </w:tcMar>
            <w:vAlign w:val="center"/>
          </w:tcPr>
          <w:p w14:paraId="4B63C8BA">
            <w:pPr>
              <w:rPr>
                <w:color w:val="auto"/>
                <w:highlight w:val="none"/>
              </w:rPr>
            </w:pPr>
          </w:p>
        </w:tc>
        <w:tc>
          <w:tcPr>
            <w:tcW w:w="1004" w:type="dxa"/>
            <w:noWrap w:val="0"/>
            <w:tcMar>
              <w:top w:w="80" w:type="dxa"/>
              <w:left w:w="80" w:type="dxa"/>
              <w:bottom w:w="80" w:type="dxa"/>
              <w:right w:w="80" w:type="dxa"/>
            </w:tcMar>
            <w:vAlign w:val="center"/>
          </w:tcPr>
          <w:p w14:paraId="7D53843F">
            <w:pPr>
              <w:rPr>
                <w:color w:val="auto"/>
                <w:highlight w:val="none"/>
              </w:rPr>
            </w:pPr>
          </w:p>
        </w:tc>
      </w:tr>
      <w:tr w14:paraId="560E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1407" w:type="dxa"/>
            <w:noWrap w:val="0"/>
            <w:tcMar>
              <w:top w:w="80" w:type="dxa"/>
              <w:left w:w="80" w:type="dxa"/>
              <w:bottom w:w="80" w:type="dxa"/>
              <w:right w:w="80" w:type="dxa"/>
            </w:tcMar>
            <w:vAlign w:val="center"/>
          </w:tcPr>
          <w:p w14:paraId="6EA2A652">
            <w:pPr>
              <w:rPr>
                <w:color w:val="auto"/>
                <w:highlight w:val="none"/>
              </w:rPr>
            </w:pPr>
          </w:p>
        </w:tc>
        <w:tc>
          <w:tcPr>
            <w:tcW w:w="7051" w:type="dxa"/>
            <w:noWrap w:val="0"/>
            <w:tcMar>
              <w:top w:w="80" w:type="dxa"/>
              <w:left w:w="80" w:type="dxa"/>
              <w:bottom w:w="80" w:type="dxa"/>
              <w:right w:w="80" w:type="dxa"/>
            </w:tcMar>
            <w:vAlign w:val="center"/>
          </w:tcPr>
          <w:p w14:paraId="0C84901C">
            <w:pPr>
              <w:rPr>
                <w:color w:val="auto"/>
                <w:highlight w:val="none"/>
              </w:rPr>
            </w:pPr>
          </w:p>
        </w:tc>
        <w:tc>
          <w:tcPr>
            <w:tcW w:w="1004" w:type="dxa"/>
            <w:noWrap w:val="0"/>
            <w:tcMar>
              <w:top w:w="80" w:type="dxa"/>
              <w:left w:w="80" w:type="dxa"/>
              <w:bottom w:w="80" w:type="dxa"/>
              <w:right w:w="80" w:type="dxa"/>
            </w:tcMar>
            <w:vAlign w:val="center"/>
          </w:tcPr>
          <w:p w14:paraId="7D05A529">
            <w:pPr>
              <w:rPr>
                <w:color w:val="auto"/>
                <w:highlight w:val="none"/>
              </w:rPr>
            </w:pPr>
          </w:p>
        </w:tc>
      </w:tr>
      <w:tr w14:paraId="3B69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531" w:hRule="atLeast"/>
          <w:jc w:val="center"/>
        </w:trPr>
        <w:tc>
          <w:tcPr>
            <w:tcW w:w="1407" w:type="dxa"/>
            <w:noWrap w:val="0"/>
            <w:tcMar>
              <w:top w:w="80" w:type="dxa"/>
              <w:left w:w="80" w:type="dxa"/>
              <w:bottom w:w="80" w:type="dxa"/>
              <w:right w:w="80" w:type="dxa"/>
            </w:tcMar>
            <w:vAlign w:val="center"/>
          </w:tcPr>
          <w:p w14:paraId="4657351F">
            <w:pPr>
              <w:rPr>
                <w:color w:val="auto"/>
                <w:highlight w:val="none"/>
              </w:rPr>
            </w:pPr>
          </w:p>
        </w:tc>
        <w:tc>
          <w:tcPr>
            <w:tcW w:w="7051" w:type="dxa"/>
            <w:noWrap w:val="0"/>
            <w:tcMar>
              <w:top w:w="80" w:type="dxa"/>
              <w:left w:w="80" w:type="dxa"/>
              <w:bottom w:w="80" w:type="dxa"/>
              <w:right w:w="80" w:type="dxa"/>
            </w:tcMar>
            <w:vAlign w:val="center"/>
          </w:tcPr>
          <w:p w14:paraId="08D394A1">
            <w:pPr>
              <w:rPr>
                <w:color w:val="auto"/>
                <w:highlight w:val="none"/>
              </w:rPr>
            </w:pPr>
          </w:p>
        </w:tc>
        <w:tc>
          <w:tcPr>
            <w:tcW w:w="1004" w:type="dxa"/>
            <w:noWrap w:val="0"/>
            <w:tcMar>
              <w:top w:w="80" w:type="dxa"/>
              <w:left w:w="80" w:type="dxa"/>
              <w:bottom w:w="80" w:type="dxa"/>
              <w:right w:w="80" w:type="dxa"/>
            </w:tcMar>
            <w:vAlign w:val="center"/>
          </w:tcPr>
          <w:p w14:paraId="4A4E518F">
            <w:pPr>
              <w:rPr>
                <w:color w:val="auto"/>
                <w:highlight w:val="none"/>
              </w:rPr>
            </w:pPr>
          </w:p>
        </w:tc>
      </w:tr>
      <w:tr w14:paraId="4CAD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531" w:hRule="atLeast"/>
          <w:jc w:val="center"/>
        </w:trPr>
        <w:tc>
          <w:tcPr>
            <w:tcW w:w="1407" w:type="dxa"/>
            <w:noWrap w:val="0"/>
            <w:tcMar>
              <w:top w:w="80" w:type="dxa"/>
              <w:left w:w="80" w:type="dxa"/>
              <w:bottom w:w="80" w:type="dxa"/>
              <w:right w:w="80" w:type="dxa"/>
            </w:tcMar>
            <w:vAlign w:val="center"/>
          </w:tcPr>
          <w:p w14:paraId="28661C11">
            <w:pPr>
              <w:rPr>
                <w:color w:val="auto"/>
                <w:highlight w:val="none"/>
              </w:rPr>
            </w:pPr>
          </w:p>
        </w:tc>
        <w:tc>
          <w:tcPr>
            <w:tcW w:w="7051" w:type="dxa"/>
            <w:noWrap w:val="0"/>
            <w:tcMar>
              <w:top w:w="80" w:type="dxa"/>
              <w:left w:w="80" w:type="dxa"/>
              <w:bottom w:w="80" w:type="dxa"/>
              <w:right w:w="80" w:type="dxa"/>
            </w:tcMar>
            <w:vAlign w:val="center"/>
          </w:tcPr>
          <w:p w14:paraId="7DDBCA13">
            <w:pPr>
              <w:rPr>
                <w:color w:val="auto"/>
                <w:highlight w:val="none"/>
              </w:rPr>
            </w:pPr>
          </w:p>
        </w:tc>
        <w:tc>
          <w:tcPr>
            <w:tcW w:w="1004" w:type="dxa"/>
            <w:noWrap w:val="0"/>
            <w:tcMar>
              <w:top w:w="80" w:type="dxa"/>
              <w:left w:w="80" w:type="dxa"/>
              <w:bottom w:w="80" w:type="dxa"/>
              <w:right w:w="80" w:type="dxa"/>
            </w:tcMar>
            <w:vAlign w:val="center"/>
          </w:tcPr>
          <w:p w14:paraId="377A8F56">
            <w:pPr>
              <w:rPr>
                <w:color w:val="auto"/>
                <w:highlight w:val="none"/>
              </w:rPr>
            </w:pPr>
          </w:p>
        </w:tc>
      </w:tr>
      <w:tr w14:paraId="1B72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531" w:hRule="atLeast"/>
          <w:jc w:val="center"/>
        </w:trPr>
        <w:tc>
          <w:tcPr>
            <w:tcW w:w="1407" w:type="dxa"/>
            <w:noWrap w:val="0"/>
            <w:tcMar>
              <w:top w:w="80" w:type="dxa"/>
              <w:left w:w="80" w:type="dxa"/>
              <w:bottom w:w="80" w:type="dxa"/>
              <w:right w:w="80" w:type="dxa"/>
            </w:tcMar>
            <w:vAlign w:val="center"/>
          </w:tcPr>
          <w:p w14:paraId="1D360AD0">
            <w:pPr>
              <w:rPr>
                <w:color w:val="auto"/>
                <w:highlight w:val="none"/>
              </w:rPr>
            </w:pPr>
          </w:p>
        </w:tc>
        <w:tc>
          <w:tcPr>
            <w:tcW w:w="7051" w:type="dxa"/>
            <w:noWrap w:val="0"/>
            <w:tcMar>
              <w:top w:w="80" w:type="dxa"/>
              <w:left w:w="80" w:type="dxa"/>
              <w:bottom w:w="80" w:type="dxa"/>
              <w:right w:w="80" w:type="dxa"/>
            </w:tcMar>
            <w:vAlign w:val="center"/>
          </w:tcPr>
          <w:p w14:paraId="297D0B61">
            <w:pPr>
              <w:rPr>
                <w:color w:val="auto"/>
                <w:highlight w:val="none"/>
              </w:rPr>
            </w:pPr>
          </w:p>
        </w:tc>
        <w:tc>
          <w:tcPr>
            <w:tcW w:w="1004" w:type="dxa"/>
            <w:noWrap w:val="0"/>
            <w:tcMar>
              <w:top w:w="80" w:type="dxa"/>
              <w:left w:w="80" w:type="dxa"/>
              <w:bottom w:w="80" w:type="dxa"/>
              <w:right w:w="80" w:type="dxa"/>
            </w:tcMar>
            <w:vAlign w:val="center"/>
          </w:tcPr>
          <w:p w14:paraId="3972635C">
            <w:pPr>
              <w:rPr>
                <w:color w:val="auto"/>
                <w:highlight w:val="none"/>
              </w:rPr>
            </w:pPr>
          </w:p>
        </w:tc>
      </w:tr>
      <w:tr w14:paraId="5741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1407" w:type="dxa"/>
            <w:noWrap w:val="0"/>
            <w:tcMar>
              <w:top w:w="80" w:type="dxa"/>
              <w:left w:w="80" w:type="dxa"/>
              <w:bottom w:w="80" w:type="dxa"/>
              <w:right w:w="80" w:type="dxa"/>
            </w:tcMar>
            <w:vAlign w:val="center"/>
          </w:tcPr>
          <w:p w14:paraId="03D407B4">
            <w:pPr>
              <w:rPr>
                <w:color w:val="auto"/>
                <w:highlight w:val="none"/>
              </w:rPr>
            </w:pPr>
          </w:p>
        </w:tc>
        <w:tc>
          <w:tcPr>
            <w:tcW w:w="7051" w:type="dxa"/>
            <w:noWrap w:val="0"/>
            <w:tcMar>
              <w:top w:w="80" w:type="dxa"/>
              <w:left w:w="80" w:type="dxa"/>
              <w:bottom w:w="80" w:type="dxa"/>
              <w:right w:w="80" w:type="dxa"/>
            </w:tcMar>
            <w:vAlign w:val="center"/>
          </w:tcPr>
          <w:p w14:paraId="0A27A6E8">
            <w:pPr>
              <w:rPr>
                <w:color w:val="auto"/>
                <w:highlight w:val="none"/>
              </w:rPr>
            </w:pPr>
          </w:p>
        </w:tc>
        <w:tc>
          <w:tcPr>
            <w:tcW w:w="1004" w:type="dxa"/>
            <w:noWrap w:val="0"/>
            <w:tcMar>
              <w:top w:w="80" w:type="dxa"/>
              <w:left w:w="80" w:type="dxa"/>
              <w:bottom w:w="80" w:type="dxa"/>
              <w:right w:w="80" w:type="dxa"/>
            </w:tcMar>
            <w:vAlign w:val="center"/>
          </w:tcPr>
          <w:p w14:paraId="5D4CBCBE">
            <w:pPr>
              <w:rPr>
                <w:color w:val="auto"/>
                <w:highlight w:val="none"/>
              </w:rPr>
            </w:pPr>
          </w:p>
        </w:tc>
      </w:tr>
      <w:tr w14:paraId="7826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531" w:hRule="atLeast"/>
          <w:jc w:val="center"/>
        </w:trPr>
        <w:tc>
          <w:tcPr>
            <w:tcW w:w="1407" w:type="dxa"/>
            <w:noWrap w:val="0"/>
            <w:tcMar>
              <w:top w:w="80" w:type="dxa"/>
              <w:left w:w="80" w:type="dxa"/>
              <w:bottom w:w="80" w:type="dxa"/>
              <w:right w:w="80" w:type="dxa"/>
            </w:tcMar>
            <w:vAlign w:val="center"/>
          </w:tcPr>
          <w:p w14:paraId="1E123A9E">
            <w:pPr>
              <w:rPr>
                <w:color w:val="auto"/>
                <w:highlight w:val="none"/>
              </w:rPr>
            </w:pPr>
          </w:p>
        </w:tc>
        <w:tc>
          <w:tcPr>
            <w:tcW w:w="7051" w:type="dxa"/>
            <w:noWrap w:val="0"/>
            <w:tcMar>
              <w:top w:w="80" w:type="dxa"/>
              <w:left w:w="80" w:type="dxa"/>
              <w:bottom w:w="80" w:type="dxa"/>
              <w:right w:w="80" w:type="dxa"/>
            </w:tcMar>
            <w:vAlign w:val="center"/>
          </w:tcPr>
          <w:p w14:paraId="4443BEDB">
            <w:pPr>
              <w:rPr>
                <w:color w:val="auto"/>
                <w:highlight w:val="none"/>
              </w:rPr>
            </w:pPr>
          </w:p>
        </w:tc>
        <w:tc>
          <w:tcPr>
            <w:tcW w:w="1004" w:type="dxa"/>
            <w:noWrap w:val="0"/>
            <w:tcMar>
              <w:top w:w="80" w:type="dxa"/>
              <w:left w:w="80" w:type="dxa"/>
              <w:bottom w:w="80" w:type="dxa"/>
              <w:right w:w="80" w:type="dxa"/>
            </w:tcMar>
            <w:vAlign w:val="center"/>
          </w:tcPr>
          <w:p w14:paraId="5FB24ABE">
            <w:pPr>
              <w:rPr>
                <w:color w:val="auto"/>
                <w:highlight w:val="none"/>
              </w:rPr>
            </w:pPr>
          </w:p>
        </w:tc>
      </w:tr>
      <w:tr w14:paraId="0270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531" w:hRule="atLeast"/>
          <w:jc w:val="center"/>
        </w:trPr>
        <w:tc>
          <w:tcPr>
            <w:tcW w:w="1407" w:type="dxa"/>
            <w:noWrap w:val="0"/>
            <w:tcMar>
              <w:top w:w="80" w:type="dxa"/>
              <w:left w:w="80" w:type="dxa"/>
              <w:bottom w:w="80" w:type="dxa"/>
              <w:right w:w="80" w:type="dxa"/>
            </w:tcMar>
            <w:vAlign w:val="center"/>
          </w:tcPr>
          <w:p w14:paraId="24D8CDF8">
            <w:pPr>
              <w:rPr>
                <w:color w:val="auto"/>
                <w:highlight w:val="none"/>
              </w:rPr>
            </w:pPr>
          </w:p>
        </w:tc>
        <w:tc>
          <w:tcPr>
            <w:tcW w:w="7051" w:type="dxa"/>
            <w:noWrap w:val="0"/>
            <w:tcMar>
              <w:top w:w="80" w:type="dxa"/>
              <w:left w:w="80" w:type="dxa"/>
              <w:bottom w:w="80" w:type="dxa"/>
              <w:right w:w="80" w:type="dxa"/>
            </w:tcMar>
            <w:vAlign w:val="center"/>
          </w:tcPr>
          <w:p w14:paraId="2D4FA78E">
            <w:pPr>
              <w:rPr>
                <w:color w:val="auto"/>
                <w:highlight w:val="none"/>
              </w:rPr>
            </w:pPr>
          </w:p>
        </w:tc>
        <w:tc>
          <w:tcPr>
            <w:tcW w:w="1004" w:type="dxa"/>
            <w:noWrap w:val="0"/>
            <w:tcMar>
              <w:top w:w="80" w:type="dxa"/>
              <w:left w:w="80" w:type="dxa"/>
              <w:bottom w:w="80" w:type="dxa"/>
              <w:right w:w="80" w:type="dxa"/>
            </w:tcMar>
            <w:vAlign w:val="center"/>
          </w:tcPr>
          <w:p w14:paraId="50304C62">
            <w:pPr>
              <w:rPr>
                <w:color w:val="auto"/>
                <w:highlight w:val="none"/>
              </w:rPr>
            </w:pPr>
          </w:p>
        </w:tc>
      </w:tr>
    </w:tbl>
    <w:p w14:paraId="49E6BF3D">
      <w:pPr>
        <w:pStyle w:val="307"/>
        <w:jc w:val="center"/>
        <w:rPr>
          <w:rFonts w:ascii="宋体" w:cs="宋体"/>
          <w:color w:val="auto"/>
          <w:highlight w:val="none"/>
        </w:rPr>
      </w:pPr>
    </w:p>
    <w:p w14:paraId="493B5A07">
      <w:pPr>
        <w:pStyle w:val="190"/>
        <w:spacing w:line="360" w:lineRule="auto"/>
        <w:rPr>
          <w:rFonts w:ascii="宋体" w:cs="宋体"/>
          <w:color w:val="auto"/>
          <w:sz w:val="24"/>
          <w:szCs w:val="24"/>
          <w:highlight w:val="none"/>
          <w:lang w:val="zh-TW" w:eastAsia="zh-TW"/>
        </w:rPr>
      </w:pPr>
      <w:r>
        <w:rPr>
          <w:rFonts w:hint="eastAsia" w:ascii="宋体" w:hAnsi="宋体" w:cs="宋体"/>
          <w:color w:val="auto"/>
          <w:sz w:val="24"/>
          <w:szCs w:val="24"/>
          <w:highlight w:val="none"/>
          <w:lang w:val="zh-TW" w:eastAsia="zh-TW"/>
        </w:rPr>
        <w:t>供应商名称：（盖章）</w:t>
      </w:r>
    </w:p>
    <w:p w14:paraId="7E720BD2">
      <w:pPr>
        <w:pStyle w:val="190"/>
        <w:spacing w:line="360" w:lineRule="auto"/>
        <w:rPr>
          <w:rFonts w:ascii="宋体" w:cs="宋体"/>
          <w:color w:val="auto"/>
          <w:sz w:val="24"/>
          <w:szCs w:val="24"/>
          <w:highlight w:val="none"/>
          <w:lang w:val="zh-TW" w:eastAsia="zh-TW"/>
        </w:rPr>
      </w:pPr>
      <w:r>
        <w:rPr>
          <w:rFonts w:hint="eastAsia" w:ascii="宋体" w:hAnsi="宋体" w:cs="宋体"/>
          <w:color w:val="auto"/>
          <w:sz w:val="24"/>
          <w:szCs w:val="24"/>
          <w:highlight w:val="none"/>
          <w:lang w:val="zh-TW" w:eastAsia="zh-TW"/>
        </w:rPr>
        <w:t>说明：如果行数不够，请自行增加。</w:t>
      </w:r>
    </w:p>
    <w:p w14:paraId="382C2577">
      <w:pPr>
        <w:pStyle w:val="190"/>
        <w:spacing w:line="360" w:lineRule="auto"/>
        <w:rPr>
          <w:rFonts w:hint="eastAsia" w:ascii="黑体" w:hAnsi="黑体" w:eastAsia="黑体" w:cs="黑体"/>
          <w:b/>
          <w:bCs/>
          <w:color w:val="auto"/>
          <w:sz w:val="36"/>
          <w:szCs w:val="36"/>
          <w:highlight w:val="none"/>
          <w:lang w:val="zh-TW"/>
        </w:rPr>
      </w:pPr>
    </w:p>
    <w:p w14:paraId="43DB019A">
      <w:pPr>
        <w:pStyle w:val="190"/>
        <w:spacing w:line="360" w:lineRule="auto"/>
        <w:rPr>
          <w:rFonts w:hint="eastAsia" w:ascii="黑体" w:hAnsi="黑体" w:eastAsia="黑体" w:cs="黑体"/>
          <w:b/>
          <w:bCs/>
          <w:color w:val="auto"/>
          <w:sz w:val="36"/>
          <w:szCs w:val="36"/>
          <w:highlight w:val="none"/>
          <w:lang w:val="zh-TW"/>
        </w:rPr>
      </w:pPr>
    </w:p>
    <w:p w14:paraId="5D0CE171">
      <w:pPr>
        <w:pStyle w:val="190"/>
        <w:spacing w:line="360" w:lineRule="auto"/>
        <w:rPr>
          <w:rFonts w:hint="eastAsia" w:ascii="黑体" w:hAnsi="黑体" w:eastAsia="黑体" w:cs="黑体"/>
          <w:b/>
          <w:bCs/>
          <w:color w:val="auto"/>
          <w:sz w:val="36"/>
          <w:szCs w:val="36"/>
          <w:highlight w:val="none"/>
          <w:lang w:val="zh-TW"/>
        </w:rPr>
      </w:pPr>
    </w:p>
    <w:p w14:paraId="61510AE0">
      <w:pPr>
        <w:pStyle w:val="190"/>
        <w:spacing w:line="360" w:lineRule="auto"/>
        <w:rPr>
          <w:rFonts w:hint="eastAsia" w:ascii="宋体" w:hAnsi="宋体" w:cs="宋体"/>
          <w:b/>
          <w:bCs/>
          <w:color w:val="auto"/>
          <w:sz w:val="32"/>
          <w:szCs w:val="32"/>
          <w:highlight w:val="none"/>
          <w:lang w:val="zh-TW"/>
        </w:rPr>
      </w:pPr>
      <w:r>
        <w:rPr>
          <w:rFonts w:hint="eastAsia" w:ascii="宋体" w:hAnsi="宋体" w:cs="宋体"/>
          <w:b/>
          <w:bCs/>
          <w:color w:val="auto"/>
          <w:sz w:val="32"/>
          <w:szCs w:val="32"/>
          <w:highlight w:val="none"/>
          <w:lang w:val="zh-TW"/>
        </w:rPr>
        <w:br w:type="page" w:clear="all"/>
      </w:r>
    </w:p>
    <w:p w14:paraId="71B93BE4">
      <w:pPr>
        <w:pStyle w:val="190"/>
        <w:spacing w:line="360" w:lineRule="auto"/>
        <w:jc w:val="center"/>
        <w:rPr>
          <w:rFonts w:ascii="宋体" w:cs="宋体"/>
          <w:b/>
          <w:bCs/>
          <w:color w:val="auto"/>
          <w:sz w:val="32"/>
          <w:szCs w:val="32"/>
          <w:highlight w:val="none"/>
          <w:lang w:val="zh-TW" w:eastAsia="zh-TW"/>
        </w:rPr>
      </w:pPr>
      <w:r>
        <w:rPr>
          <w:rFonts w:hint="eastAsia" w:ascii="宋体" w:hAnsi="宋体" w:cs="宋体"/>
          <w:b/>
          <w:bCs/>
          <w:color w:val="auto"/>
          <w:sz w:val="32"/>
          <w:szCs w:val="32"/>
          <w:highlight w:val="none"/>
          <w:lang w:val="zh-TW" w:eastAsia="zh-TW"/>
        </w:rPr>
        <w:t>目录</w:t>
      </w:r>
    </w:p>
    <w:p w14:paraId="3C07F970">
      <w:pPr>
        <w:pStyle w:val="190"/>
        <w:spacing w:line="360" w:lineRule="auto"/>
        <w:jc w:val="center"/>
        <w:rPr>
          <w:rFonts w:ascii="宋体" w:cs="宋体"/>
          <w:b/>
          <w:bCs/>
          <w:color w:val="auto"/>
          <w:sz w:val="24"/>
          <w:szCs w:val="24"/>
          <w:highlight w:val="none"/>
        </w:rPr>
      </w:pPr>
    </w:p>
    <w:p w14:paraId="77AF6652">
      <w:pPr>
        <w:pStyle w:val="190"/>
        <w:ind w:firstLine="1680"/>
        <w:rPr>
          <w:color w:val="auto"/>
          <w:sz w:val="24"/>
          <w:szCs w:val="24"/>
          <w:highlight w:val="none"/>
        </w:rPr>
      </w:pPr>
      <w:r>
        <w:rPr>
          <w:rFonts w:ascii="Times New Roman" w:hAnsi="Times New Roman"/>
          <w:color w:val="auto"/>
          <w:sz w:val="24"/>
          <w:szCs w:val="24"/>
          <w:highlight w:val="none"/>
        </w:rPr>
        <w:t>[</w:t>
      </w:r>
      <w:r>
        <w:rPr>
          <w:rFonts w:hint="eastAsia" w:ascii="宋体" w:hAnsi="宋体" w:cs="宋体"/>
          <w:color w:val="auto"/>
          <w:sz w:val="24"/>
          <w:szCs w:val="24"/>
          <w:highlight w:val="none"/>
          <w:lang w:val="zh-TW" w:eastAsia="zh-TW"/>
        </w:rPr>
        <w:t>注：供应商根据附件顺序编制投标文件并制作目录（须生成页码）</w:t>
      </w:r>
      <w:r>
        <w:rPr>
          <w:rFonts w:ascii="Times New Roman" w:hAnsi="Times New Roman"/>
          <w:color w:val="auto"/>
          <w:sz w:val="24"/>
          <w:szCs w:val="24"/>
          <w:highlight w:val="none"/>
        </w:rPr>
        <w:t>]</w:t>
      </w:r>
    </w:p>
    <w:p w14:paraId="377E2CD0">
      <w:pPr>
        <w:pStyle w:val="190"/>
        <w:rPr>
          <w:color w:val="auto"/>
          <w:sz w:val="24"/>
          <w:szCs w:val="24"/>
          <w:highlight w:val="none"/>
        </w:rPr>
      </w:pPr>
    </w:p>
    <w:p w14:paraId="3912A998">
      <w:pPr>
        <w:pStyle w:val="190"/>
        <w:rPr>
          <w:color w:val="auto"/>
          <w:sz w:val="24"/>
          <w:szCs w:val="24"/>
          <w:highlight w:val="none"/>
        </w:rPr>
      </w:pPr>
    </w:p>
    <w:p w14:paraId="1258B00D">
      <w:pPr>
        <w:pStyle w:val="190"/>
        <w:rPr>
          <w:color w:val="auto"/>
          <w:highlight w:val="none"/>
        </w:rPr>
      </w:pPr>
    </w:p>
    <w:p w14:paraId="3E631A08">
      <w:pPr>
        <w:pStyle w:val="190"/>
        <w:rPr>
          <w:color w:val="auto"/>
          <w:highlight w:val="none"/>
        </w:rPr>
      </w:pPr>
    </w:p>
    <w:p w14:paraId="71B5C7BB">
      <w:pPr>
        <w:pStyle w:val="190"/>
        <w:rPr>
          <w:color w:val="auto"/>
          <w:highlight w:val="none"/>
        </w:rPr>
      </w:pPr>
    </w:p>
    <w:p w14:paraId="44404A6F">
      <w:pPr>
        <w:pStyle w:val="190"/>
        <w:rPr>
          <w:color w:val="auto"/>
          <w:highlight w:val="none"/>
        </w:rPr>
      </w:pPr>
    </w:p>
    <w:p w14:paraId="370A054F">
      <w:pPr>
        <w:pStyle w:val="190"/>
        <w:rPr>
          <w:color w:val="auto"/>
          <w:highlight w:val="none"/>
        </w:rPr>
      </w:pPr>
    </w:p>
    <w:p w14:paraId="37951920">
      <w:pPr>
        <w:pStyle w:val="190"/>
        <w:rPr>
          <w:color w:val="auto"/>
          <w:highlight w:val="none"/>
        </w:rPr>
      </w:pPr>
    </w:p>
    <w:p w14:paraId="5E4DD75D">
      <w:pPr>
        <w:pStyle w:val="190"/>
        <w:rPr>
          <w:color w:val="auto"/>
          <w:highlight w:val="none"/>
        </w:rPr>
      </w:pPr>
    </w:p>
    <w:p w14:paraId="6A1600A9">
      <w:pPr>
        <w:pStyle w:val="190"/>
        <w:rPr>
          <w:color w:val="auto"/>
          <w:highlight w:val="none"/>
        </w:rPr>
      </w:pPr>
    </w:p>
    <w:p w14:paraId="1F5B4D34">
      <w:pPr>
        <w:pStyle w:val="190"/>
        <w:rPr>
          <w:color w:val="auto"/>
          <w:highlight w:val="none"/>
        </w:rPr>
      </w:pPr>
    </w:p>
    <w:p w14:paraId="619C2079">
      <w:pPr>
        <w:pStyle w:val="190"/>
        <w:rPr>
          <w:color w:val="auto"/>
          <w:highlight w:val="none"/>
        </w:rPr>
      </w:pPr>
    </w:p>
    <w:p w14:paraId="1C104D79">
      <w:pPr>
        <w:pStyle w:val="190"/>
        <w:rPr>
          <w:color w:val="auto"/>
          <w:highlight w:val="none"/>
        </w:rPr>
      </w:pPr>
    </w:p>
    <w:p w14:paraId="4F9570F7">
      <w:pPr>
        <w:pStyle w:val="190"/>
        <w:rPr>
          <w:color w:val="auto"/>
          <w:highlight w:val="none"/>
        </w:rPr>
      </w:pPr>
    </w:p>
    <w:p w14:paraId="7931AE80">
      <w:pPr>
        <w:pStyle w:val="190"/>
        <w:rPr>
          <w:color w:val="auto"/>
          <w:highlight w:val="none"/>
        </w:rPr>
      </w:pPr>
    </w:p>
    <w:p w14:paraId="4E0A98E0">
      <w:pPr>
        <w:pStyle w:val="190"/>
        <w:rPr>
          <w:color w:val="auto"/>
          <w:highlight w:val="none"/>
        </w:rPr>
      </w:pPr>
    </w:p>
    <w:p w14:paraId="6BF02FA0">
      <w:pPr>
        <w:pStyle w:val="190"/>
        <w:rPr>
          <w:rFonts w:hint="eastAsia"/>
          <w:color w:val="auto"/>
          <w:highlight w:val="none"/>
        </w:rPr>
      </w:pPr>
    </w:p>
    <w:p w14:paraId="2879DCDB">
      <w:pPr>
        <w:pStyle w:val="190"/>
        <w:rPr>
          <w:rFonts w:hint="eastAsia"/>
          <w:color w:val="auto"/>
          <w:highlight w:val="none"/>
        </w:rPr>
      </w:pPr>
    </w:p>
    <w:p w14:paraId="58C1E523">
      <w:pPr>
        <w:pStyle w:val="190"/>
        <w:rPr>
          <w:rFonts w:hint="eastAsia"/>
          <w:color w:val="auto"/>
          <w:highlight w:val="none"/>
        </w:rPr>
      </w:pPr>
    </w:p>
    <w:p w14:paraId="1792CAEF">
      <w:pPr>
        <w:pStyle w:val="190"/>
        <w:rPr>
          <w:rFonts w:hint="eastAsia"/>
          <w:color w:val="auto"/>
          <w:highlight w:val="none"/>
        </w:rPr>
      </w:pPr>
    </w:p>
    <w:p w14:paraId="52A98303">
      <w:pPr>
        <w:pStyle w:val="190"/>
        <w:jc w:val="both"/>
        <w:rPr>
          <w:rFonts w:hint="eastAsia" w:ascii="宋体" w:hAnsi="宋体" w:cs="宋体"/>
          <w:b/>
          <w:bCs/>
          <w:color w:val="auto"/>
          <w:sz w:val="24"/>
          <w:szCs w:val="24"/>
          <w:highlight w:val="none"/>
          <w:lang w:val="zh-TW" w:eastAsia="zh-TW"/>
        </w:rPr>
      </w:pPr>
      <w:r>
        <w:rPr>
          <w:rFonts w:hint="eastAsia" w:ascii="宋体" w:hAnsi="宋体" w:cs="宋体"/>
          <w:b/>
          <w:bCs/>
          <w:color w:val="auto"/>
          <w:sz w:val="24"/>
          <w:szCs w:val="24"/>
          <w:highlight w:val="none"/>
          <w:lang w:val="zh-TW" w:eastAsia="zh-TW"/>
        </w:rPr>
        <w:br w:type="page" w:clear="all"/>
      </w:r>
    </w:p>
    <w:p w14:paraId="680FE912">
      <w:pPr>
        <w:pStyle w:val="190"/>
        <w:jc w:val="both"/>
        <w:outlineLvl w:val="0"/>
        <w:rPr>
          <w:rFonts w:ascii="宋体" w:hAnsi="宋体" w:cs="宋体"/>
          <w:b/>
          <w:bCs/>
          <w:color w:val="auto"/>
          <w:sz w:val="24"/>
          <w:szCs w:val="24"/>
          <w:highlight w:val="none"/>
          <w:lang w:val="zh-TW"/>
        </w:rPr>
      </w:pPr>
      <w:bookmarkStart w:id="208" w:name="_Toc2968"/>
      <w:r>
        <w:rPr>
          <w:rFonts w:hint="eastAsia" w:ascii="宋体" w:hAnsi="宋体" w:cs="宋体"/>
          <w:b/>
          <w:bCs/>
          <w:color w:val="auto"/>
          <w:sz w:val="24"/>
          <w:szCs w:val="24"/>
          <w:highlight w:val="none"/>
          <w:lang w:val="zh-TW" w:eastAsia="zh-TW"/>
        </w:rPr>
        <w:t>附件一：投标申请及申明</w:t>
      </w:r>
      <w:bookmarkEnd w:id="208"/>
    </w:p>
    <w:p w14:paraId="41E8FAB3">
      <w:pPr>
        <w:pStyle w:val="190"/>
        <w:jc w:val="center"/>
        <w:rPr>
          <w:rFonts w:ascii="黑体" w:hAnsi="黑体" w:eastAsia="黑体" w:cs="黑体"/>
          <w:color w:val="auto"/>
          <w:sz w:val="24"/>
          <w:szCs w:val="24"/>
          <w:highlight w:val="none"/>
          <w:lang w:val="zh-TW" w:eastAsia="zh-TW"/>
        </w:rPr>
      </w:pPr>
      <w:r>
        <w:rPr>
          <w:rFonts w:hint="eastAsia" w:ascii="黑体" w:hAnsi="黑体" w:eastAsia="黑体" w:cs="黑体"/>
          <w:color w:val="auto"/>
          <w:sz w:val="24"/>
          <w:szCs w:val="24"/>
          <w:highlight w:val="none"/>
          <w:lang w:val="zh-TW" w:eastAsia="zh-TW"/>
        </w:rPr>
        <w:t>投标申请及申明</w:t>
      </w:r>
    </w:p>
    <w:p w14:paraId="7A8C7653">
      <w:pPr>
        <w:pStyle w:val="190"/>
        <w:spacing w:line="360" w:lineRule="auto"/>
        <w:rPr>
          <w:rFonts w:hint="eastAsia" w:ascii="宋体" w:eastAsia="宋体" w:cs="宋体"/>
          <w:color w:val="auto"/>
          <w:sz w:val="24"/>
          <w:szCs w:val="24"/>
          <w:highlight w:val="none"/>
          <w:lang w:val="zh-TW" w:eastAsia="zh-CN"/>
        </w:rPr>
      </w:pPr>
      <w:r>
        <w:rPr>
          <w:rFonts w:hint="eastAsia" w:ascii="宋体" w:hAnsi="宋体" w:cs="宋体"/>
          <w:color w:val="auto"/>
          <w:sz w:val="24"/>
          <w:szCs w:val="24"/>
          <w:highlight w:val="none"/>
          <w:lang w:val="zh-TW" w:eastAsia="zh-TW"/>
        </w:rPr>
        <w:t>致：</w:t>
      </w:r>
      <w:r>
        <w:rPr>
          <w:rFonts w:hint="eastAsia" w:ascii="宋体" w:hAnsi="宋体" w:cs="宋体"/>
          <w:color w:val="auto"/>
          <w:sz w:val="24"/>
          <w:szCs w:val="24"/>
          <w:highlight w:val="none"/>
          <w:lang w:val="zh-TW" w:eastAsia="zh-CN"/>
        </w:rPr>
        <w:t>南京交通职业技术学院</w:t>
      </w:r>
    </w:p>
    <w:p w14:paraId="26E0FE10">
      <w:pPr>
        <w:pStyle w:val="190"/>
        <w:shd w:val="clear" w:color="auto" w:fill="FFFFFF"/>
        <w:spacing w:line="360" w:lineRule="auto"/>
        <w:ind w:firstLine="420"/>
        <w:jc w:val="both"/>
        <w:rPr>
          <w:rFonts w:ascii="宋体" w:cs="宋体"/>
          <w:color w:val="auto"/>
          <w:sz w:val="24"/>
          <w:szCs w:val="24"/>
          <w:highlight w:val="none"/>
        </w:rPr>
      </w:pPr>
      <w:r>
        <w:rPr>
          <w:rFonts w:hint="eastAsia" w:ascii="宋体" w:hAnsi="宋体" w:cs="宋体"/>
          <w:color w:val="auto"/>
          <w:sz w:val="24"/>
          <w:szCs w:val="24"/>
          <w:highlight w:val="none"/>
          <w:lang w:val="zh-TW" w:eastAsia="zh-TW"/>
        </w:rPr>
        <w:t>根据贵方</w:t>
      </w:r>
      <w:r>
        <w:rPr>
          <w:rFonts w:ascii="宋体" w:cs="宋体"/>
          <w:color w:val="auto"/>
          <w:sz w:val="24"/>
          <w:szCs w:val="24"/>
          <w:highlight w:val="none"/>
          <w:u w:val="single"/>
        </w:rPr>
        <w:t>                   </w:t>
      </w:r>
      <w:r>
        <w:rPr>
          <w:rFonts w:hint="eastAsia" w:ascii="宋体" w:hAnsi="宋体" w:cs="宋体"/>
          <w:color w:val="auto"/>
          <w:sz w:val="24"/>
          <w:szCs w:val="24"/>
          <w:highlight w:val="none"/>
          <w:lang w:val="zh-TW" w:eastAsia="zh-TW"/>
        </w:rPr>
        <w:t>（项目名称）</w:t>
      </w:r>
      <w:r>
        <w:rPr>
          <w:rFonts w:ascii="Times New Roman" w:hAnsi="Times New Roman"/>
          <w:color w:val="auto"/>
          <w:sz w:val="24"/>
          <w:szCs w:val="24"/>
          <w:highlight w:val="none"/>
        </w:rPr>
        <w:t> </w:t>
      </w:r>
      <w:r>
        <w:rPr>
          <w:rFonts w:ascii="宋体" w:cs="宋体"/>
          <w:color w:val="auto"/>
          <w:sz w:val="24"/>
          <w:szCs w:val="24"/>
          <w:highlight w:val="none"/>
          <w:u w:val="single"/>
        </w:rPr>
        <w:t>   </w:t>
      </w:r>
      <w:r>
        <w:rPr>
          <w:rFonts w:hint="eastAsia" w:ascii="宋体" w:cs="宋体"/>
          <w:color w:val="auto"/>
          <w:sz w:val="24"/>
          <w:szCs w:val="24"/>
          <w:highlight w:val="none"/>
          <w:u w:val="single"/>
        </w:rPr>
        <w:t xml:space="preserve">   </w:t>
      </w:r>
      <w:r>
        <w:rPr>
          <w:rFonts w:ascii="宋体" w:cs="宋体"/>
          <w:color w:val="auto"/>
          <w:sz w:val="24"/>
          <w:szCs w:val="24"/>
          <w:highlight w:val="none"/>
          <w:u w:val="single"/>
        </w:rPr>
        <w:t>    </w:t>
      </w:r>
      <w:r>
        <w:rPr>
          <w:rFonts w:hint="eastAsia" w:ascii="宋体" w:hAnsi="宋体" w:cs="宋体"/>
          <w:color w:val="auto"/>
          <w:sz w:val="24"/>
          <w:szCs w:val="24"/>
          <w:highlight w:val="none"/>
          <w:lang w:val="zh-TW" w:eastAsia="zh-TW"/>
        </w:rPr>
        <w:t>（项目编号）投标邀请，正式授权下述签字人</w:t>
      </w:r>
      <w:r>
        <w:rPr>
          <w:rFonts w:ascii="宋体" w:cs="宋体"/>
          <w:color w:val="auto"/>
          <w:sz w:val="24"/>
          <w:szCs w:val="24"/>
          <w:highlight w:val="none"/>
          <w:u w:val="single"/>
        </w:rPr>
        <w:t>            </w:t>
      </w:r>
      <w:r>
        <w:rPr>
          <w:rFonts w:ascii="宋体" w:hAnsi="宋体" w:cs="宋体"/>
          <w:color w:val="auto"/>
          <w:sz w:val="24"/>
          <w:szCs w:val="24"/>
          <w:highlight w:val="none"/>
        </w:rPr>
        <w:t>(</w:t>
      </w:r>
      <w:r>
        <w:rPr>
          <w:rFonts w:hint="eastAsia" w:ascii="宋体" w:hAnsi="宋体" w:cs="宋体"/>
          <w:color w:val="auto"/>
          <w:sz w:val="24"/>
          <w:szCs w:val="24"/>
          <w:highlight w:val="none"/>
          <w:lang w:val="zh-TW" w:eastAsia="zh-TW"/>
        </w:rPr>
        <w:t>姓名和职务</w:t>
      </w:r>
      <w:r>
        <w:rPr>
          <w:rFonts w:ascii="宋体" w:hAnsi="宋体" w:cs="宋体"/>
          <w:color w:val="auto"/>
          <w:sz w:val="24"/>
          <w:szCs w:val="24"/>
          <w:highlight w:val="none"/>
        </w:rPr>
        <w:t>)</w:t>
      </w:r>
      <w:r>
        <w:rPr>
          <w:rFonts w:hint="eastAsia" w:ascii="宋体" w:hAnsi="宋体" w:cs="宋体"/>
          <w:color w:val="auto"/>
          <w:sz w:val="24"/>
          <w:szCs w:val="24"/>
          <w:highlight w:val="none"/>
          <w:lang w:val="zh-TW" w:eastAsia="zh-TW"/>
        </w:rPr>
        <w:t>代表投标供应商</w:t>
      </w:r>
      <w:r>
        <w:rPr>
          <w:rFonts w:ascii="宋体" w:cs="宋体"/>
          <w:color w:val="auto"/>
          <w:sz w:val="24"/>
          <w:szCs w:val="24"/>
          <w:highlight w:val="none"/>
          <w:u w:val="single"/>
        </w:rPr>
        <w:t>   </w:t>
      </w:r>
      <w:r>
        <w:rPr>
          <w:rFonts w:hint="eastAsia" w:ascii="宋体" w:cs="宋体"/>
          <w:color w:val="auto"/>
          <w:sz w:val="24"/>
          <w:szCs w:val="24"/>
          <w:highlight w:val="none"/>
          <w:u w:val="single"/>
        </w:rPr>
        <w:t xml:space="preserve">     </w:t>
      </w:r>
      <w:r>
        <w:rPr>
          <w:rFonts w:ascii="宋体" w:cs="宋体"/>
          <w:color w:val="auto"/>
          <w:sz w:val="24"/>
          <w:szCs w:val="24"/>
          <w:highlight w:val="none"/>
          <w:u w:val="single"/>
        </w:rPr>
        <w:t>  </w:t>
      </w:r>
      <w:r>
        <w:rPr>
          <w:rFonts w:hint="eastAsia" w:ascii="宋体" w:hAnsi="宋体" w:cs="宋体"/>
          <w:color w:val="auto"/>
          <w:sz w:val="24"/>
          <w:szCs w:val="24"/>
          <w:highlight w:val="none"/>
          <w:lang w:val="zh-TW" w:eastAsia="zh-TW"/>
        </w:rPr>
        <w:t>（投标供应商名称），提交投标文件。</w:t>
      </w:r>
    </w:p>
    <w:p w14:paraId="6DFAC266">
      <w:pPr>
        <w:pStyle w:val="190"/>
        <w:shd w:val="clear" w:color="auto" w:fill="FFFFFF"/>
        <w:spacing w:line="360" w:lineRule="auto"/>
        <w:ind w:firstLine="420"/>
        <w:rPr>
          <w:rFonts w:ascii="宋体" w:cs="宋体"/>
          <w:color w:val="auto"/>
          <w:sz w:val="24"/>
          <w:szCs w:val="24"/>
          <w:highlight w:val="none"/>
          <w:lang w:val="zh-TW" w:eastAsia="zh-TW"/>
        </w:rPr>
      </w:pPr>
      <w:r>
        <w:rPr>
          <w:rFonts w:hint="eastAsia" w:ascii="宋体" w:hAnsi="宋体" w:cs="宋体"/>
          <w:color w:val="auto"/>
          <w:sz w:val="24"/>
          <w:szCs w:val="24"/>
          <w:highlight w:val="none"/>
          <w:lang w:val="zh-TW" w:eastAsia="zh-TW"/>
        </w:rPr>
        <w:t>据此函，签字人兹宣布声明和承诺如下：</w:t>
      </w:r>
    </w:p>
    <w:p w14:paraId="2B6D0064">
      <w:pPr>
        <w:pStyle w:val="190"/>
        <w:shd w:val="clear" w:color="auto" w:fill="FFFFFF"/>
        <w:spacing w:line="360" w:lineRule="auto"/>
        <w:ind w:firstLine="42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zh-TW" w:eastAsia="zh-TW"/>
        </w:rPr>
        <w:t>、</w:t>
      </w:r>
      <w:r>
        <w:rPr>
          <w:rFonts w:hint="eastAsia" w:ascii="宋体" w:hAnsi="宋体" w:cs="宋体"/>
          <w:b/>
          <w:bCs/>
          <w:color w:val="auto"/>
          <w:sz w:val="24"/>
          <w:szCs w:val="24"/>
          <w:highlight w:val="none"/>
          <w:lang w:val="zh-TW" w:eastAsia="zh-TW"/>
        </w:rPr>
        <w:t>我们的资格条件完全符合政府采购法和本次招标要求</w:t>
      </w:r>
      <w:r>
        <w:rPr>
          <w:rFonts w:hint="eastAsia" w:ascii="宋体" w:hAnsi="宋体" w:cs="宋体"/>
          <w:color w:val="auto"/>
          <w:sz w:val="24"/>
          <w:szCs w:val="24"/>
          <w:highlight w:val="none"/>
          <w:lang w:val="zh-TW" w:eastAsia="zh-TW"/>
        </w:rPr>
        <w:t>，我们同意并向贵方提供了与投标有关的所有证据和资料。</w:t>
      </w:r>
    </w:p>
    <w:p w14:paraId="612B39BC">
      <w:pPr>
        <w:pStyle w:val="190"/>
        <w:shd w:val="clear" w:color="auto" w:fill="FFFFFF"/>
        <w:spacing w:line="360" w:lineRule="auto"/>
        <w:ind w:left="1470" w:hanging="1050"/>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zh-TW" w:eastAsia="zh-TW"/>
        </w:rPr>
        <w:t>、按招标要求，我们的投标总报价为（大写）</w:t>
      </w:r>
      <w:r>
        <w:rPr>
          <w:rFonts w:ascii="宋体" w:cs="宋体"/>
          <w:b/>
          <w:bCs/>
          <w:color w:val="auto"/>
          <w:sz w:val="24"/>
          <w:szCs w:val="24"/>
          <w:highlight w:val="none"/>
          <w:u w:val="single"/>
        </w:rPr>
        <w:t>             </w:t>
      </w:r>
      <w:r>
        <w:rPr>
          <w:rFonts w:hint="eastAsia" w:ascii="宋体" w:hAnsi="宋体" w:cs="宋体"/>
          <w:color w:val="auto"/>
          <w:sz w:val="24"/>
          <w:szCs w:val="24"/>
          <w:highlight w:val="none"/>
          <w:lang w:val="zh-TW" w:eastAsia="zh-TW"/>
        </w:rPr>
        <w:t>元</w:t>
      </w:r>
      <w:r>
        <w:rPr>
          <w:rFonts w:hint="eastAsia" w:ascii="宋体" w:hAnsi="宋体" w:cs="宋体"/>
          <w:color w:val="auto"/>
          <w:sz w:val="24"/>
          <w:szCs w:val="24"/>
          <w:highlight w:val="none"/>
          <w:lang w:val="zh-TW"/>
        </w:rPr>
        <w:t>，</w:t>
      </w:r>
      <w:r>
        <w:rPr>
          <w:rFonts w:hint="eastAsia" w:ascii="宋体" w:hAnsi="宋体" w:cs="宋体"/>
          <w:color w:val="auto"/>
          <w:sz w:val="24"/>
          <w:szCs w:val="24"/>
          <w:highlight w:val="none"/>
          <w:lang w:val="zh-TW" w:eastAsia="zh-TW"/>
        </w:rPr>
        <w:t>小写</w:t>
      </w:r>
      <w:r>
        <w:rPr>
          <w:rFonts w:ascii="宋体" w:cs="宋体"/>
          <w:b/>
          <w:bCs/>
          <w:color w:val="auto"/>
          <w:sz w:val="24"/>
          <w:szCs w:val="24"/>
          <w:highlight w:val="none"/>
          <w:u w:val="single"/>
        </w:rPr>
        <w:t>             </w:t>
      </w:r>
      <w:r>
        <w:rPr>
          <w:rFonts w:hint="eastAsia" w:ascii="宋体" w:hAnsi="宋体" w:cs="宋体"/>
          <w:color w:val="auto"/>
          <w:sz w:val="24"/>
          <w:szCs w:val="24"/>
          <w:highlight w:val="none"/>
          <w:lang w:val="zh-TW" w:eastAsia="zh-TW"/>
        </w:rPr>
        <w:t>元。</w:t>
      </w:r>
    </w:p>
    <w:p w14:paraId="77A1E8C9">
      <w:pPr>
        <w:pStyle w:val="190"/>
        <w:shd w:val="clear" w:color="auto" w:fill="FFFFFF"/>
        <w:spacing w:line="360" w:lineRule="auto"/>
        <w:ind w:firstLine="420"/>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val="zh-TW" w:eastAsia="zh-TW"/>
        </w:rPr>
        <w:t>、本项目</w:t>
      </w:r>
      <w:r>
        <w:rPr>
          <w:rFonts w:hint="eastAsia" w:ascii="宋体" w:hAnsi="宋体" w:cs="宋体"/>
          <w:color w:val="auto"/>
          <w:sz w:val="24"/>
          <w:szCs w:val="24"/>
          <w:highlight w:val="none"/>
          <w:lang w:val="zh-TW"/>
        </w:rPr>
        <w:t>工期</w:t>
      </w:r>
      <w:r>
        <w:rPr>
          <w:rFonts w:hint="eastAsia" w:ascii="宋体" w:hAnsi="宋体" w:cs="宋体"/>
          <w:color w:val="auto"/>
          <w:sz w:val="24"/>
          <w:szCs w:val="24"/>
          <w:highlight w:val="none"/>
          <w:lang w:val="zh-TW" w:eastAsia="zh-TW"/>
        </w:rPr>
        <w:t>为：</w:t>
      </w:r>
      <w:r>
        <w:rPr>
          <w:rFonts w:hint="eastAsia" w:ascii="宋体" w:hAnsi="宋体" w:cs="宋体"/>
          <w:color w:val="auto"/>
          <w:sz w:val="24"/>
          <w:szCs w:val="24"/>
          <w:highlight w:val="none"/>
          <w:u w:val="single"/>
          <w:lang w:val="zh-TW"/>
        </w:rPr>
        <w:t xml:space="preserve">                   </w:t>
      </w:r>
      <w:r>
        <w:rPr>
          <w:rFonts w:hint="eastAsia" w:ascii="宋体" w:hAnsi="宋体" w:cs="宋体"/>
          <w:color w:val="auto"/>
          <w:sz w:val="24"/>
          <w:szCs w:val="24"/>
          <w:highlight w:val="none"/>
          <w:lang w:val="zh-TW" w:eastAsia="zh-TW"/>
        </w:rPr>
        <w:t>。</w:t>
      </w:r>
    </w:p>
    <w:p w14:paraId="3D9566C7">
      <w:pPr>
        <w:pStyle w:val="190"/>
        <w:shd w:val="clear" w:color="auto" w:fill="FFFFFF"/>
        <w:spacing w:line="360" w:lineRule="auto"/>
        <w:ind w:firstLine="420"/>
        <w:rPr>
          <w:rFonts w:ascii="宋体" w:hAnsi="宋体" w:cs="宋体"/>
          <w:color w:val="auto"/>
          <w:sz w:val="24"/>
          <w:szCs w:val="24"/>
          <w:highlight w:val="none"/>
          <w:u w:val="single"/>
          <w:lang w:val="zh-TW"/>
        </w:rPr>
      </w:pPr>
      <w:r>
        <w:rPr>
          <w:rFonts w:ascii="宋体" w:hAnsi="宋体" w:cs="宋体"/>
          <w:color w:val="auto"/>
          <w:sz w:val="24"/>
          <w:szCs w:val="24"/>
          <w:highlight w:val="none"/>
        </w:rPr>
        <w:t>4</w:t>
      </w:r>
      <w:r>
        <w:rPr>
          <w:rFonts w:hint="eastAsia" w:ascii="宋体" w:hAnsi="宋体" w:cs="宋体"/>
          <w:color w:val="auto"/>
          <w:sz w:val="24"/>
          <w:szCs w:val="24"/>
          <w:highlight w:val="none"/>
          <w:lang w:val="zh-TW" w:eastAsia="zh-TW"/>
        </w:rPr>
        <w:t>、我方项目负责人为</w:t>
      </w:r>
      <w:r>
        <w:rPr>
          <w:rFonts w:hint="eastAsia" w:ascii="宋体" w:hAnsi="宋体" w:cs="宋体"/>
          <w:color w:val="auto"/>
          <w:sz w:val="24"/>
          <w:szCs w:val="24"/>
          <w:highlight w:val="none"/>
          <w:lang w:val="zh-TW"/>
        </w:rPr>
        <w:t>：</w:t>
      </w:r>
      <w:r>
        <w:rPr>
          <w:rFonts w:hint="eastAsia" w:ascii="宋体" w:hAnsi="宋体" w:cs="宋体"/>
          <w:color w:val="auto"/>
          <w:sz w:val="24"/>
          <w:szCs w:val="24"/>
          <w:highlight w:val="none"/>
          <w:u w:val="single"/>
          <w:lang w:val="zh-TW"/>
        </w:rPr>
        <w:t xml:space="preserve">         .</w:t>
      </w:r>
    </w:p>
    <w:p w14:paraId="4540C243">
      <w:pPr>
        <w:pStyle w:val="190"/>
        <w:shd w:val="clear" w:color="auto" w:fill="FFFFFF"/>
        <w:spacing w:line="360" w:lineRule="auto"/>
        <w:ind w:firstLine="420"/>
        <w:rPr>
          <w:rFonts w:ascii="宋体" w:cs="宋体"/>
          <w:color w:val="auto"/>
          <w:sz w:val="24"/>
          <w:szCs w:val="24"/>
          <w:highlight w:val="none"/>
        </w:rPr>
      </w:pPr>
      <w:r>
        <w:rPr>
          <w:rFonts w:hint="eastAsia" w:ascii="宋体" w:hAnsi="宋体" w:cs="宋体"/>
          <w:color w:val="auto"/>
          <w:sz w:val="24"/>
          <w:szCs w:val="24"/>
          <w:highlight w:val="none"/>
          <w:lang w:val="zh-TW"/>
        </w:rPr>
        <w:t>5、</w:t>
      </w:r>
      <w:r>
        <w:rPr>
          <w:rFonts w:hint="eastAsia" w:ascii="宋体" w:hAnsi="宋体" w:cs="宋体"/>
          <w:color w:val="auto"/>
          <w:sz w:val="24"/>
          <w:szCs w:val="24"/>
          <w:highlight w:val="none"/>
          <w:lang w:val="zh-TW" w:eastAsia="zh-TW"/>
        </w:rPr>
        <w:t>我们已详细审核全部招标文件及其有效补充文件，我们放弃对招标文件任何误解的权利，提交投标文件后，</w:t>
      </w:r>
      <w:r>
        <w:rPr>
          <w:rFonts w:hint="eastAsia" w:ascii="宋体" w:hAnsi="宋体" w:cs="宋体"/>
          <w:b/>
          <w:bCs/>
          <w:color w:val="auto"/>
          <w:sz w:val="24"/>
          <w:szCs w:val="24"/>
          <w:highlight w:val="none"/>
          <w:lang w:val="zh-TW" w:eastAsia="zh-TW"/>
        </w:rPr>
        <w:t>不对招标文件本身提出质疑</w:t>
      </w:r>
      <w:r>
        <w:rPr>
          <w:rFonts w:hint="eastAsia" w:ascii="宋体" w:hAnsi="宋体" w:cs="宋体"/>
          <w:color w:val="auto"/>
          <w:sz w:val="24"/>
          <w:szCs w:val="24"/>
          <w:highlight w:val="none"/>
          <w:lang w:val="zh-TW" w:eastAsia="zh-TW"/>
        </w:rPr>
        <w:t>。</w:t>
      </w:r>
    </w:p>
    <w:p w14:paraId="73E3286E">
      <w:pPr>
        <w:pStyle w:val="190"/>
        <w:shd w:val="clear" w:color="auto" w:fill="FFFFFF"/>
        <w:spacing w:line="360" w:lineRule="auto"/>
        <w:ind w:firstLine="420"/>
        <w:rPr>
          <w:rFonts w:asci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TW" w:eastAsia="zh-TW"/>
        </w:rPr>
        <w:t>、我们同意从规定的开标日期起遵循本投标文件，并在规定的投标有效期期满之前均具有约束力。</w:t>
      </w:r>
    </w:p>
    <w:p w14:paraId="0F7CCC0F">
      <w:pPr>
        <w:pStyle w:val="190"/>
        <w:shd w:val="clear" w:color="auto" w:fill="FFFFFF"/>
        <w:spacing w:line="360" w:lineRule="auto"/>
        <w:ind w:firstLine="420"/>
        <w:rPr>
          <w:rFonts w:asci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TW" w:eastAsia="zh-TW"/>
        </w:rPr>
        <w:t>、投标截止时间结束后参加投标的供应商不足三家的，或在评标期间出现符合专业条件的供应商或者对招标文件作出实质响应的供应商不足三家情形的，我们酌情决定是否参加贵方组织的其他采购方式采购。</w:t>
      </w:r>
    </w:p>
    <w:p w14:paraId="2ABD5400">
      <w:pPr>
        <w:pStyle w:val="190"/>
        <w:shd w:val="clear" w:color="auto" w:fill="FFFFFF"/>
        <w:spacing w:line="360" w:lineRule="auto"/>
        <w:ind w:firstLine="420"/>
        <w:rPr>
          <w:rFonts w:asci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TW" w:eastAsia="zh-TW"/>
        </w:rPr>
        <w:t>、一旦我方中标，我方将根据招标文件的规定严格履行合同，并保证于承诺的时间完成货物的启动</w:t>
      </w:r>
      <w:r>
        <w:rPr>
          <w:rFonts w:ascii="宋体" w:hAnsi="宋体" w:cs="宋体"/>
          <w:color w:val="auto"/>
          <w:sz w:val="24"/>
          <w:szCs w:val="24"/>
          <w:highlight w:val="none"/>
        </w:rPr>
        <w:t>/</w:t>
      </w:r>
      <w:r>
        <w:rPr>
          <w:rFonts w:hint="eastAsia" w:ascii="宋体" w:hAnsi="宋体" w:cs="宋体"/>
          <w:color w:val="auto"/>
          <w:sz w:val="24"/>
          <w:szCs w:val="24"/>
          <w:highlight w:val="none"/>
          <w:lang w:val="zh-TW" w:eastAsia="zh-TW"/>
        </w:rPr>
        <w:t>集成、调试等服务，交付采购人验收、使用。</w:t>
      </w:r>
    </w:p>
    <w:p w14:paraId="43EC9E26">
      <w:pPr>
        <w:pStyle w:val="190"/>
        <w:shd w:val="clear" w:color="auto" w:fill="FFFFFF"/>
        <w:spacing w:line="360" w:lineRule="auto"/>
        <w:ind w:firstLine="420"/>
        <w:rPr>
          <w:rFonts w:asci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TW" w:eastAsia="zh-TW"/>
        </w:rPr>
        <w:t>、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3CC90349">
      <w:pPr>
        <w:pStyle w:val="190"/>
        <w:shd w:val="clear" w:color="auto" w:fill="FFFFFF"/>
        <w:spacing w:line="360" w:lineRule="auto"/>
        <w:ind w:firstLine="420"/>
        <w:rPr>
          <w:rFonts w:ascii="宋体" w:cs="宋体"/>
          <w:color w:val="auto"/>
          <w:sz w:val="24"/>
          <w:szCs w:val="24"/>
          <w:highlight w:val="none"/>
        </w:rPr>
      </w:pPr>
      <w:r>
        <w:rPr>
          <w:rFonts w:ascii="宋体" w:hAnsi="宋体" w:cs="宋体"/>
          <w:color w:val="auto"/>
          <w:sz w:val="24"/>
          <w:szCs w:val="24"/>
          <w:highlight w:val="none"/>
        </w:rPr>
        <w:t>10</w:t>
      </w:r>
      <w:r>
        <w:rPr>
          <w:rFonts w:hint="eastAsia" w:ascii="宋体" w:hAnsi="宋体" w:cs="宋体"/>
          <w:color w:val="auto"/>
          <w:sz w:val="24"/>
          <w:szCs w:val="24"/>
          <w:highlight w:val="none"/>
          <w:lang w:val="zh-TW" w:eastAsia="zh-TW"/>
        </w:rPr>
        <w:t>、与本投标有关的正式联系方式为：</w:t>
      </w:r>
    </w:p>
    <w:p w14:paraId="36A835C7">
      <w:pPr>
        <w:pStyle w:val="190"/>
        <w:shd w:val="clear" w:color="auto" w:fill="FFFFFF"/>
        <w:spacing w:line="360" w:lineRule="auto"/>
        <w:ind w:firstLine="420"/>
        <w:rPr>
          <w:rFonts w:ascii="宋体" w:cs="宋体"/>
          <w:color w:val="auto"/>
          <w:sz w:val="24"/>
          <w:szCs w:val="24"/>
          <w:highlight w:val="none"/>
        </w:rPr>
      </w:pPr>
      <w:r>
        <w:rPr>
          <w:rFonts w:hint="eastAsia" w:ascii="宋体" w:hAnsi="宋体" w:cs="宋体"/>
          <w:color w:val="auto"/>
          <w:sz w:val="24"/>
          <w:szCs w:val="24"/>
          <w:highlight w:val="none"/>
          <w:lang w:val="zh-TW" w:eastAsia="zh-TW"/>
        </w:rPr>
        <w:t>地</w:t>
      </w:r>
      <w:r>
        <w:rPr>
          <w:rFonts w:ascii="宋体" w:cs="宋体"/>
          <w:color w:val="auto"/>
          <w:sz w:val="24"/>
          <w:szCs w:val="24"/>
          <w:highlight w:val="none"/>
        </w:rPr>
        <w:t>   </w:t>
      </w:r>
      <w:r>
        <w:rPr>
          <w:rFonts w:hint="eastAsia" w:ascii="宋体" w:hAnsi="宋体" w:cs="宋体"/>
          <w:color w:val="auto"/>
          <w:sz w:val="24"/>
          <w:szCs w:val="24"/>
          <w:highlight w:val="none"/>
          <w:lang w:val="zh-TW" w:eastAsia="zh-TW"/>
        </w:rPr>
        <w:t>址：</w:t>
      </w:r>
      <w:r>
        <w:rPr>
          <w:rFonts w:ascii="宋体" w:cs="宋体"/>
          <w:color w:val="auto"/>
          <w:sz w:val="24"/>
          <w:szCs w:val="24"/>
          <w:highlight w:val="none"/>
          <w:u w:val="single"/>
        </w:rPr>
        <w:t>                      </w:t>
      </w:r>
    </w:p>
    <w:p w14:paraId="7D4EF178">
      <w:pPr>
        <w:pStyle w:val="190"/>
        <w:shd w:val="clear" w:color="auto" w:fill="FFFFFF"/>
        <w:spacing w:line="360" w:lineRule="auto"/>
        <w:ind w:firstLine="420"/>
        <w:rPr>
          <w:rFonts w:ascii="宋体" w:cs="宋体"/>
          <w:color w:val="auto"/>
          <w:sz w:val="24"/>
          <w:szCs w:val="24"/>
          <w:highlight w:val="none"/>
        </w:rPr>
      </w:pPr>
      <w:r>
        <w:rPr>
          <w:rFonts w:hint="eastAsia" w:ascii="宋体" w:hAnsi="宋体" w:cs="宋体"/>
          <w:color w:val="auto"/>
          <w:sz w:val="24"/>
          <w:szCs w:val="24"/>
          <w:highlight w:val="none"/>
          <w:lang w:val="zh-TW" w:eastAsia="zh-TW"/>
        </w:rPr>
        <w:t>电</w:t>
      </w:r>
      <w:r>
        <w:rPr>
          <w:rFonts w:ascii="宋体" w:cs="宋体"/>
          <w:color w:val="auto"/>
          <w:sz w:val="24"/>
          <w:szCs w:val="24"/>
          <w:highlight w:val="none"/>
        </w:rPr>
        <w:t>   </w:t>
      </w:r>
      <w:r>
        <w:rPr>
          <w:rFonts w:hint="eastAsia" w:ascii="宋体" w:hAnsi="宋体" w:cs="宋体"/>
          <w:color w:val="auto"/>
          <w:sz w:val="24"/>
          <w:szCs w:val="24"/>
          <w:highlight w:val="none"/>
          <w:lang w:val="zh-TW" w:eastAsia="zh-TW"/>
        </w:rPr>
        <w:t>话：</w:t>
      </w:r>
      <w:r>
        <w:rPr>
          <w:rFonts w:ascii="宋体" w:cs="宋体"/>
          <w:color w:val="auto"/>
          <w:sz w:val="24"/>
          <w:szCs w:val="24"/>
          <w:highlight w:val="none"/>
          <w:u w:val="single"/>
        </w:rPr>
        <w:t>                      </w:t>
      </w:r>
    </w:p>
    <w:p w14:paraId="5177E5D8">
      <w:pPr>
        <w:pStyle w:val="190"/>
        <w:shd w:val="clear" w:color="auto" w:fill="FFFFFF"/>
        <w:spacing w:line="360" w:lineRule="auto"/>
        <w:ind w:firstLine="420"/>
        <w:rPr>
          <w:rFonts w:ascii="宋体" w:cs="宋体"/>
          <w:color w:val="auto"/>
          <w:sz w:val="24"/>
          <w:szCs w:val="24"/>
          <w:highlight w:val="none"/>
        </w:rPr>
      </w:pPr>
      <w:r>
        <w:rPr>
          <w:rFonts w:hint="eastAsia" w:ascii="宋体" w:hAnsi="宋体" w:cs="宋体"/>
          <w:color w:val="auto"/>
          <w:sz w:val="24"/>
          <w:szCs w:val="24"/>
          <w:highlight w:val="none"/>
          <w:lang w:val="zh-TW" w:eastAsia="zh-TW"/>
        </w:rPr>
        <w:t>传</w:t>
      </w:r>
      <w:r>
        <w:rPr>
          <w:rFonts w:ascii="宋体" w:cs="宋体"/>
          <w:color w:val="auto"/>
          <w:sz w:val="24"/>
          <w:szCs w:val="24"/>
          <w:highlight w:val="none"/>
        </w:rPr>
        <w:t>   </w:t>
      </w:r>
      <w:r>
        <w:rPr>
          <w:rFonts w:hint="eastAsia" w:ascii="宋体" w:hAnsi="宋体" w:cs="宋体"/>
          <w:color w:val="auto"/>
          <w:sz w:val="24"/>
          <w:szCs w:val="24"/>
          <w:highlight w:val="none"/>
          <w:lang w:val="zh-TW" w:eastAsia="zh-TW"/>
        </w:rPr>
        <w:t>真：</w:t>
      </w:r>
      <w:r>
        <w:rPr>
          <w:rFonts w:ascii="宋体" w:cs="宋体"/>
          <w:color w:val="auto"/>
          <w:sz w:val="24"/>
          <w:szCs w:val="24"/>
          <w:highlight w:val="none"/>
          <w:u w:val="single"/>
        </w:rPr>
        <w:t>                      </w:t>
      </w:r>
    </w:p>
    <w:p w14:paraId="7BA09B48">
      <w:pPr>
        <w:pStyle w:val="190"/>
        <w:shd w:val="clear" w:color="auto" w:fill="FFFFFF"/>
        <w:spacing w:line="360" w:lineRule="auto"/>
        <w:ind w:firstLine="420"/>
        <w:rPr>
          <w:rFonts w:ascii="宋体" w:cs="宋体"/>
          <w:color w:val="auto"/>
          <w:sz w:val="24"/>
          <w:szCs w:val="24"/>
          <w:highlight w:val="none"/>
          <w:u w:val="single"/>
        </w:rPr>
      </w:pPr>
      <w:r>
        <w:rPr>
          <w:rFonts w:hint="eastAsia" w:ascii="宋体" w:hAnsi="宋体" w:cs="宋体"/>
          <w:color w:val="auto"/>
          <w:sz w:val="24"/>
          <w:szCs w:val="24"/>
          <w:highlight w:val="none"/>
          <w:lang w:val="zh-TW" w:eastAsia="zh-TW"/>
        </w:rPr>
        <w:t>开户银行：</w:t>
      </w:r>
    </w:p>
    <w:p w14:paraId="62ECED0C">
      <w:pPr>
        <w:pStyle w:val="190"/>
        <w:shd w:val="clear" w:color="auto" w:fill="FFFFFF"/>
        <w:spacing w:line="360" w:lineRule="auto"/>
        <w:ind w:firstLine="420"/>
        <w:rPr>
          <w:rFonts w:ascii="宋体" w:cs="宋体"/>
          <w:color w:val="auto"/>
          <w:sz w:val="24"/>
          <w:szCs w:val="24"/>
          <w:highlight w:val="none"/>
          <w:u w:val="single"/>
        </w:rPr>
      </w:pPr>
      <w:r>
        <w:rPr>
          <w:rFonts w:hint="eastAsia" w:ascii="宋体" w:hAnsi="宋体" w:cs="宋体"/>
          <w:color w:val="auto"/>
          <w:sz w:val="24"/>
          <w:szCs w:val="24"/>
          <w:highlight w:val="none"/>
          <w:lang w:val="zh-TW" w:eastAsia="zh-TW"/>
        </w:rPr>
        <w:t>银行账号：</w:t>
      </w:r>
    </w:p>
    <w:p w14:paraId="6B340DF4">
      <w:pPr>
        <w:pStyle w:val="190"/>
        <w:shd w:val="clear" w:color="auto" w:fill="FFFFFF"/>
        <w:spacing w:line="360" w:lineRule="auto"/>
        <w:ind w:firstLine="420"/>
        <w:rPr>
          <w:rFonts w:ascii="宋体" w:cs="宋体"/>
          <w:color w:val="auto"/>
          <w:sz w:val="24"/>
          <w:szCs w:val="24"/>
          <w:highlight w:val="none"/>
        </w:rPr>
      </w:pPr>
      <w:r>
        <w:rPr>
          <w:rFonts w:hint="eastAsia" w:ascii="宋体" w:hAnsi="宋体" w:cs="宋体"/>
          <w:color w:val="auto"/>
          <w:sz w:val="24"/>
          <w:szCs w:val="24"/>
          <w:highlight w:val="none"/>
          <w:lang w:val="zh-TW" w:eastAsia="zh-TW"/>
        </w:rPr>
        <w:t>投标供应商授权代表姓名（签字）：</w:t>
      </w:r>
      <w:r>
        <w:rPr>
          <w:rFonts w:ascii="宋体" w:cs="宋体"/>
          <w:color w:val="auto"/>
          <w:sz w:val="24"/>
          <w:szCs w:val="24"/>
          <w:highlight w:val="none"/>
          <w:u w:val="single"/>
        </w:rPr>
        <w:t>      </w:t>
      </w:r>
      <w:r>
        <w:rPr>
          <w:rFonts w:hint="eastAsia" w:ascii="宋体" w:cs="宋体"/>
          <w:color w:val="auto"/>
          <w:sz w:val="24"/>
          <w:szCs w:val="24"/>
          <w:highlight w:val="none"/>
          <w:u w:val="single"/>
        </w:rPr>
        <w:t xml:space="preserve">    </w:t>
      </w:r>
      <w:r>
        <w:rPr>
          <w:rFonts w:ascii="宋体" w:cs="宋体"/>
          <w:color w:val="auto"/>
          <w:sz w:val="24"/>
          <w:szCs w:val="24"/>
          <w:highlight w:val="none"/>
          <w:u w:val="single"/>
        </w:rPr>
        <w:t>  </w:t>
      </w:r>
    </w:p>
    <w:p w14:paraId="6E139869">
      <w:pPr>
        <w:pStyle w:val="190"/>
        <w:shd w:val="clear" w:color="auto" w:fill="FFFFFF"/>
        <w:spacing w:line="360" w:lineRule="auto"/>
        <w:ind w:firstLine="420"/>
        <w:rPr>
          <w:rFonts w:ascii="宋体" w:cs="宋体"/>
          <w:color w:val="auto"/>
          <w:sz w:val="24"/>
          <w:szCs w:val="24"/>
          <w:highlight w:val="none"/>
        </w:rPr>
      </w:pPr>
      <w:r>
        <w:rPr>
          <w:rFonts w:hint="eastAsia" w:ascii="宋体" w:hAnsi="宋体" w:cs="宋体"/>
          <w:color w:val="auto"/>
          <w:sz w:val="24"/>
          <w:szCs w:val="24"/>
          <w:highlight w:val="none"/>
          <w:lang w:val="zh-TW" w:eastAsia="zh-TW"/>
        </w:rPr>
        <w:t>投标供应商名称：</w:t>
      </w:r>
      <w:r>
        <w:rPr>
          <w:rFonts w:ascii="宋体" w:cs="宋体"/>
          <w:color w:val="auto"/>
          <w:sz w:val="24"/>
          <w:szCs w:val="24"/>
          <w:highlight w:val="none"/>
          <w:u w:val="single"/>
        </w:rPr>
        <w:t>            </w:t>
      </w:r>
      <w:r>
        <w:rPr>
          <w:rFonts w:hint="eastAsia" w:ascii="宋体" w:cs="宋体"/>
          <w:color w:val="auto"/>
          <w:sz w:val="24"/>
          <w:szCs w:val="24"/>
          <w:highlight w:val="none"/>
          <w:u w:val="single"/>
        </w:rPr>
        <w:t xml:space="preserve">   </w:t>
      </w:r>
      <w:r>
        <w:rPr>
          <w:rFonts w:ascii="宋体" w:cs="宋体"/>
          <w:color w:val="auto"/>
          <w:sz w:val="24"/>
          <w:szCs w:val="24"/>
          <w:highlight w:val="none"/>
          <w:u w:val="single"/>
        </w:rPr>
        <w:t>     </w:t>
      </w:r>
      <w:r>
        <w:rPr>
          <w:rFonts w:hint="eastAsia" w:ascii="宋体" w:hAnsi="宋体" w:cs="宋体"/>
          <w:color w:val="auto"/>
          <w:sz w:val="24"/>
          <w:szCs w:val="24"/>
          <w:highlight w:val="none"/>
          <w:lang w:val="zh-TW" w:eastAsia="zh-TW"/>
        </w:rPr>
        <w:t>（加盖电子公章）</w:t>
      </w:r>
    </w:p>
    <w:p w14:paraId="78718053">
      <w:pPr>
        <w:pStyle w:val="190"/>
        <w:shd w:val="clear" w:color="auto" w:fill="FFFFFF"/>
        <w:spacing w:line="360" w:lineRule="auto"/>
        <w:ind w:firstLine="480"/>
        <w:rPr>
          <w:rFonts w:ascii="宋体" w:cs="宋体"/>
          <w:color w:val="auto"/>
          <w:sz w:val="24"/>
          <w:szCs w:val="24"/>
          <w:highlight w:val="none"/>
        </w:rPr>
      </w:pPr>
      <w:r>
        <w:rPr>
          <w:rFonts w:hint="eastAsia" w:ascii="宋体" w:hAnsi="宋体" w:cs="宋体"/>
          <w:color w:val="auto"/>
          <w:sz w:val="24"/>
          <w:szCs w:val="24"/>
          <w:highlight w:val="none"/>
          <w:lang w:val="zh-TW" w:eastAsia="zh-TW"/>
        </w:rPr>
        <w:t>日</w:t>
      </w:r>
      <w:r>
        <w:rPr>
          <w:rFonts w:ascii="宋体" w:cs="宋体"/>
          <w:color w:val="auto"/>
          <w:sz w:val="24"/>
          <w:szCs w:val="24"/>
          <w:highlight w:val="none"/>
        </w:rPr>
        <w:t>    </w:t>
      </w:r>
      <w:r>
        <w:rPr>
          <w:rFonts w:hint="eastAsia" w:ascii="宋体" w:hAnsi="宋体" w:cs="宋体"/>
          <w:color w:val="auto"/>
          <w:sz w:val="24"/>
          <w:szCs w:val="24"/>
          <w:highlight w:val="none"/>
          <w:lang w:val="zh-TW" w:eastAsia="zh-TW"/>
        </w:rPr>
        <w:t>期：</w:t>
      </w:r>
      <w:r>
        <w:rPr>
          <w:rFonts w:ascii="宋体" w:cs="宋体"/>
          <w:color w:val="auto"/>
          <w:sz w:val="24"/>
          <w:szCs w:val="24"/>
          <w:highlight w:val="none"/>
          <w:u w:val="single"/>
        </w:rPr>
        <w:t>       </w:t>
      </w:r>
      <w:r>
        <w:rPr>
          <w:rFonts w:hint="eastAsia" w:ascii="宋体" w:hAnsi="宋体" w:cs="宋体"/>
          <w:color w:val="auto"/>
          <w:sz w:val="24"/>
          <w:szCs w:val="24"/>
          <w:highlight w:val="none"/>
          <w:lang w:val="zh-TW" w:eastAsia="zh-TW"/>
        </w:rPr>
        <w:t>年</w:t>
      </w:r>
      <w:r>
        <w:rPr>
          <w:rFonts w:ascii="宋体" w:cs="宋体"/>
          <w:color w:val="auto"/>
          <w:sz w:val="24"/>
          <w:szCs w:val="24"/>
          <w:highlight w:val="none"/>
          <w:u w:val="single"/>
        </w:rPr>
        <w:t>  </w:t>
      </w:r>
      <w:r>
        <w:rPr>
          <w:rFonts w:hint="eastAsia" w:ascii="宋体" w:cs="宋体"/>
          <w:color w:val="auto"/>
          <w:sz w:val="24"/>
          <w:szCs w:val="24"/>
          <w:highlight w:val="none"/>
          <w:u w:val="single"/>
        </w:rPr>
        <w:t xml:space="preserve"> </w:t>
      </w:r>
      <w:r>
        <w:rPr>
          <w:rFonts w:ascii="宋体" w:cs="宋体"/>
          <w:color w:val="auto"/>
          <w:sz w:val="24"/>
          <w:szCs w:val="24"/>
          <w:highlight w:val="none"/>
          <w:u w:val="single"/>
        </w:rPr>
        <w:t>  </w:t>
      </w:r>
      <w:r>
        <w:rPr>
          <w:rFonts w:hint="eastAsia" w:ascii="宋体" w:hAnsi="宋体" w:cs="宋体"/>
          <w:color w:val="auto"/>
          <w:sz w:val="24"/>
          <w:szCs w:val="24"/>
          <w:highlight w:val="none"/>
          <w:lang w:val="zh-TW" w:eastAsia="zh-TW"/>
        </w:rPr>
        <w:t>月</w:t>
      </w:r>
      <w:r>
        <w:rPr>
          <w:rFonts w:ascii="宋体" w:cs="宋体"/>
          <w:color w:val="auto"/>
          <w:sz w:val="24"/>
          <w:szCs w:val="24"/>
          <w:highlight w:val="none"/>
          <w:u w:val="single"/>
        </w:rPr>
        <w:t>   </w:t>
      </w:r>
      <w:r>
        <w:rPr>
          <w:rFonts w:hint="eastAsia" w:ascii="宋体" w:cs="宋体"/>
          <w:color w:val="auto"/>
          <w:sz w:val="24"/>
          <w:szCs w:val="24"/>
          <w:highlight w:val="none"/>
          <w:u w:val="single"/>
        </w:rPr>
        <w:t xml:space="preserve"> </w:t>
      </w:r>
      <w:r>
        <w:rPr>
          <w:rFonts w:ascii="宋体" w:cs="宋体"/>
          <w:color w:val="auto"/>
          <w:sz w:val="24"/>
          <w:szCs w:val="24"/>
          <w:highlight w:val="none"/>
          <w:u w:val="single"/>
        </w:rPr>
        <w:t> </w:t>
      </w:r>
      <w:r>
        <w:rPr>
          <w:rFonts w:hint="eastAsia" w:ascii="宋体" w:hAnsi="宋体" w:cs="宋体"/>
          <w:color w:val="auto"/>
          <w:sz w:val="24"/>
          <w:szCs w:val="24"/>
          <w:highlight w:val="none"/>
          <w:lang w:val="zh-TW" w:eastAsia="zh-TW"/>
        </w:rPr>
        <w:t>日</w:t>
      </w:r>
    </w:p>
    <w:p w14:paraId="04596983">
      <w:pPr>
        <w:pStyle w:val="190"/>
        <w:shd w:val="clear" w:color="auto" w:fill="FFFFFF"/>
        <w:spacing w:line="360" w:lineRule="auto"/>
        <w:ind w:firstLine="400"/>
        <w:rPr>
          <w:rFonts w:ascii="宋体" w:cs="宋体"/>
          <w:color w:val="auto"/>
          <w:sz w:val="24"/>
          <w:szCs w:val="24"/>
          <w:highlight w:val="none"/>
        </w:rPr>
      </w:pPr>
    </w:p>
    <w:p w14:paraId="11E1FF31">
      <w:pPr>
        <w:pStyle w:val="190"/>
        <w:shd w:val="clear" w:color="auto" w:fill="FFFFFF"/>
        <w:spacing w:line="360" w:lineRule="auto"/>
        <w:ind w:firstLine="400"/>
        <w:rPr>
          <w:rFonts w:ascii="宋体" w:cs="宋体"/>
          <w:color w:val="auto"/>
          <w:sz w:val="24"/>
          <w:szCs w:val="24"/>
          <w:highlight w:val="none"/>
        </w:rPr>
      </w:pPr>
    </w:p>
    <w:p w14:paraId="75453AE4">
      <w:pPr>
        <w:pStyle w:val="190"/>
        <w:shd w:val="clear" w:color="auto" w:fill="FFFFFF"/>
        <w:spacing w:line="360" w:lineRule="auto"/>
        <w:ind w:firstLine="400"/>
        <w:rPr>
          <w:rFonts w:ascii="宋体" w:cs="宋体"/>
          <w:color w:val="auto"/>
          <w:sz w:val="24"/>
          <w:szCs w:val="24"/>
          <w:highlight w:val="none"/>
        </w:rPr>
      </w:pPr>
    </w:p>
    <w:p w14:paraId="68D793BF">
      <w:pPr>
        <w:pStyle w:val="190"/>
        <w:shd w:val="clear" w:color="auto" w:fill="FFFFFF"/>
        <w:spacing w:line="360" w:lineRule="auto"/>
        <w:ind w:firstLine="400"/>
        <w:rPr>
          <w:rFonts w:ascii="宋体" w:cs="宋体"/>
          <w:color w:val="auto"/>
          <w:sz w:val="24"/>
          <w:szCs w:val="24"/>
          <w:highlight w:val="none"/>
        </w:rPr>
      </w:pPr>
    </w:p>
    <w:p w14:paraId="2E2CE403">
      <w:pPr>
        <w:pStyle w:val="190"/>
        <w:shd w:val="clear" w:color="auto" w:fill="FFFFFF"/>
        <w:spacing w:line="360" w:lineRule="auto"/>
        <w:ind w:firstLine="400"/>
        <w:rPr>
          <w:rFonts w:ascii="宋体" w:cs="宋体"/>
          <w:color w:val="auto"/>
          <w:sz w:val="24"/>
          <w:szCs w:val="24"/>
          <w:highlight w:val="none"/>
        </w:rPr>
      </w:pPr>
    </w:p>
    <w:p w14:paraId="63EA2F42">
      <w:pPr>
        <w:pStyle w:val="190"/>
        <w:shd w:val="clear" w:color="auto" w:fill="FFFFFF"/>
        <w:spacing w:line="360" w:lineRule="auto"/>
        <w:ind w:firstLine="400"/>
        <w:rPr>
          <w:rFonts w:ascii="宋体" w:cs="宋体"/>
          <w:color w:val="auto"/>
          <w:sz w:val="24"/>
          <w:szCs w:val="24"/>
          <w:highlight w:val="none"/>
        </w:rPr>
      </w:pPr>
    </w:p>
    <w:p w14:paraId="1C72473D">
      <w:pPr>
        <w:pStyle w:val="190"/>
        <w:shd w:val="clear" w:color="auto" w:fill="FFFFFF"/>
        <w:spacing w:line="360" w:lineRule="auto"/>
        <w:ind w:firstLine="400"/>
        <w:rPr>
          <w:rFonts w:ascii="宋体" w:cs="宋体"/>
          <w:color w:val="auto"/>
          <w:sz w:val="24"/>
          <w:szCs w:val="24"/>
          <w:highlight w:val="none"/>
        </w:rPr>
      </w:pPr>
    </w:p>
    <w:p w14:paraId="7E6AA5B2">
      <w:pPr>
        <w:pStyle w:val="190"/>
        <w:shd w:val="clear" w:color="auto" w:fill="FFFFFF"/>
        <w:spacing w:line="360" w:lineRule="auto"/>
        <w:ind w:firstLine="400"/>
        <w:rPr>
          <w:rFonts w:ascii="宋体" w:cs="宋体"/>
          <w:color w:val="auto"/>
          <w:sz w:val="24"/>
          <w:szCs w:val="24"/>
          <w:highlight w:val="none"/>
        </w:rPr>
      </w:pPr>
    </w:p>
    <w:p w14:paraId="476D149A">
      <w:pPr>
        <w:pStyle w:val="190"/>
        <w:shd w:val="clear" w:color="auto" w:fill="FFFFFF"/>
        <w:spacing w:line="360" w:lineRule="auto"/>
        <w:ind w:firstLine="400"/>
        <w:rPr>
          <w:rFonts w:ascii="宋体" w:cs="宋体"/>
          <w:color w:val="auto"/>
          <w:sz w:val="24"/>
          <w:szCs w:val="24"/>
          <w:highlight w:val="none"/>
        </w:rPr>
      </w:pPr>
    </w:p>
    <w:p w14:paraId="3A920F95">
      <w:pPr>
        <w:pStyle w:val="190"/>
        <w:shd w:val="clear" w:color="auto" w:fill="FFFFFF"/>
        <w:spacing w:line="360" w:lineRule="auto"/>
        <w:ind w:firstLine="400"/>
        <w:rPr>
          <w:rFonts w:ascii="宋体" w:cs="宋体"/>
          <w:color w:val="auto"/>
          <w:sz w:val="24"/>
          <w:szCs w:val="24"/>
          <w:highlight w:val="none"/>
        </w:rPr>
      </w:pPr>
    </w:p>
    <w:p w14:paraId="4B94A1A9">
      <w:pPr>
        <w:pStyle w:val="190"/>
        <w:shd w:val="clear" w:color="auto" w:fill="FFFFFF"/>
        <w:spacing w:line="360" w:lineRule="auto"/>
        <w:ind w:firstLine="400"/>
        <w:rPr>
          <w:rFonts w:ascii="宋体" w:cs="宋体"/>
          <w:color w:val="auto"/>
          <w:sz w:val="24"/>
          <w:szCs w:val="24"/>
          <w:highlight w:val="none"/>
        </w:rPr>
      </w:pPr>
    </w:p>
    <w:p w14:paraId="3AFC1E32">
      <w:pPr>
        <w:pStyle w:val="190"/>
        <w:shd w:val="clear" w:color="auto" w:fill="FFFFFF"/>
        <w:spacing w:line="360" w:lineRule="auto"/>
        <w:ind w:firstLine="400"/>
        <w:rPr>
          <w:rFonts w:ascii="宋体" w:cs="宋体"/>
          <w:color w:val="auto"/>
          <w:sz w:val="24"/>
          <w:szCs w:val="24"/>
          <w:highlight w:val="none"/>
        </w:rPr>
      </w:pPr>
    </w:p>
    <w:p w14:paraId="7E4A2959">
      <w:pPr>
        <w:pStyle w:val="190"/>
        <w:shd w:val="clear" w:color="auto" w:fill="FFFFFF"/>
        <w:spacing w:line="360" w:lineRule="auto"/>
        <w:ind w:firstLine="400"/>
        <w:rPr>
          <w:rFonts w:ascii="宋体" w:cs="宋体"/>
          <w:color w:val="auto"/>
          <w:sz w:val="24"/>
          <w:szCs w:val="24"/>
          <w:highlight w:val="none"/>
        </w:rPr>
      </w:pPr>
    </w:p>
    <w:p w14:paraId="085E46A4">
      <w:pPr>
        <w:pStyle w:val="190"/>
        <w:shd w:val="clear" w:color="auto" w:fill="FFFFFF"/>
        <w:spacing w:line="360" w:lineRule="auto"/>
        <w:ind w:firstLine="400"/>
        <w:rPr>
          <w:rFonts w:ascii="宋体" w:cs="宋体"/>
          <w:color w:val="auto"/>
          <w:sz w:val="24"/>
          <w:szCs w:val="24"/>
          <w:highlight w:val="none"/>
        </w:rPr>
      </w:pPr>
    </w:p>
    <w:p w14:paraId="7137AA96">
      <w:pPr>
        <w:pStyle w:val="190"/>
        <w:shd w:val="clear" w:color="auto" w:fill="FFFFFF"/>
        <w:spacing w:line="360" w:lineRule="auto"/>
        <w:ind w:firstLine="400"/>
        <w:rPr>
          <w:rFonts w:ascii="宋体" w:cs="宋体"/>
          <w:color w:val="auto"/>
          <w:sz w:val="24"/>
          <w:szCs w:val="24"/>
          <w:highlight w:val="none"/>
        </w:rPr>
      </w:pPr>
    </w:p>
    <w:p w14:paraId="5077B625">
      <w:pPr>
        <w:pStyle w:val="190"/>
        <w:shd w:val="clear" w:color="auto" w:fill="FFFFFF"/>
        <w:spacing w:line="360" w:lineRule="auto"/>
        <w:ind w:firstLine="400"/>
        <w:rPr>
          <w:rFonts w:ascii="宋体" w:cs="宋体"/>
          <w:color w:val="auto"/>
          <w:sz w:val="24"/>
          <w:szCs w:val="24"/>
          <w:highlight w:val="none"/>
        </w:rPr>
      </w:pPr>
    </w:p>
    <w:p w14:paraId="3F2FF010">
      <w:pPr>
        <w:pStyle w:val="190"/>
        <w:shd w:val="clear" w:color="auto" w:fill="FFFFFF"/>
        <w:spacing w:line="360" w:lineRule="auto"/>
        <w:ind w:firstLine="400"/>
        <w:rPr>
          <w:rFonts w:ascii="宋体" w:cs="宋体"/>
          <w:color w:val="auto"/>
          <w:sz w:val="24"/>
          <w:szCs w:val="24"/>
          <w:highlight w:val="none"/>
        </w:rPr>
      </w:pPr>
    </w:p>
    <w:p w14:paraId="5C441D76">
      <w:pPr>
        <w:pStyle w:val="190"/>
        <w:shd w:val="clear" w:color="auto" w:fill="FFFFFF"/>
        <w:spacing w:line="360" w:lineRule="auto"/>
        <w:ind w:firstLine="400"/>
        <w:rPr>
          <w:rFonts w:ascii="宋体" w:cs="宋体"/>
          <w:color w:val="auto"/>
          <w:sz w:val="24"/>
          <w:szCs w:val="24"/>
          <w:highlight w:val="none"/>
        </w:rPr>
      </w:pPr>
    </w:p>
    <w:p w14:paraId="2CA8334E">
      <w:pPr>
        <w:pStyle w:val="190"/>
        <w:shd w:val="clear" w:color="auto" w:fill="FFFFFF"/>
        <w:spacing w:line="360" w:lineRule="auto"/>
        <w:ind w:firstLine="400"/>
        <w:rPr>
          <w:rFonts w:hint="eastAsia" w:ascii="宋体" w:cs="宋体"/>
          <w:color w:val="auto"/>
          <w:sz w:val="24"/>
          <w:szCs w:val="24"/>
          <w:highlight w:val="none"/>
        </w:rPr>
      </w:pPr>
    </w:p>
    <w:p w14:paraId="7661340B">
      <w:pPr>
        <w:pStyle w:val="190"/>
        <w:shd w:val="clear" w:color="auto" w:fill="FFFFFF"/>
        <w:spacing w:line="360" w:lineRule="auto"/>
        <w:ind w:firstLine="400"/>
        <w:rPr>
          <w:rFonts w:hint="eastAsia" w:ascii="宋体" w:cs="宋体"/>
          <w:color w:val="auto"/>
          <w:sz w:val="24"/>
          <w:szCs w:val="24"/>
          <w:highlight w:val="none"/>
        </w:rPr>
      </w:pPr>
    </w:p>
    <w:p w14:paraId="750CF5FB">
      <w:pPr>
        <w:pStyle w:val="190"/>
        <w:shd w:val="clear" w:color="auto" w:fill="FFFFFF"/>
        <w:spacing w:line="360" w:lineRule="auto"/>
        <w:ind w:firstLine="400"/>
        <w:rPr>
          <w:rFonts w:hint="eastAsia" w:ascii="宋体" w:cs="宋体"/>
          <w:color w:val="auto"/>
          <w:sz w:val="24"/>
          <w:szCs w:val="24"/>
          <w:highlight w:val="none"/>
        </w:rPr>
      </w:pPr>
    </w:p>
    <w:p w14:paraId="517F5AE3">
      <w:pPr>
        <w:pStyle w:val="190"/>
        <w:shd w:val="clear" w:color="auto" w:fill="FFFFFF"/>
        <w:spacing w:line="360" w:lineRule="auto"/>
        <w:ind w:firstLine="400"/>
        <w:rPr>
          <w:rFonts w:hint="eastAsia" w:ascii="宋体" w:cs="宋体"/>
          <w:color w:val="auto"/>
          <w:sz w:val="24"/>
          <w:szCs w:val="24"/>
          <w:highlight w:val="none"/>
        </w:rPr>
      </w:pPr>
    </w:p>
    <w:p w14:paraId="48572F69">
      <w:pPr>
        <w:pStyle w:val="190"/>
        <w:shd w:val="clear" w:color="auto" w:fill="FFFFFF"/>
        <w:spacing w:line="360" w:lineRule="auto"/>
        <w:ind w:firstLine="400"/>
        <w:rPr>
          <w:rFonts w:hint="eastAsia" w:ascii="宋体" w:cs="宋体"/>
          <w:color w:val="auto"/>
          <w:sz w:val="24"/>
          <w:szCs w:val="24"/>
          <w:highlight w:val="none"/>
        </w:rPr>
      </w:pPr>
    </w:p>
    <w:p w14:paraId="26A79F71">
      <w:pPr>
        <w:pStyle w:val="190"/>
        <w:shd w:val="clear" w:color="auto" w:fill="FFFFFF"/>
        <w:spacing w:line="360" w:lineRule="auto"/>
        <w:ind w:firstLine="400"/>
        <w:rPr>
          <w:rFonts w:hint="eastAsia" w:ascii="宋体" w:cs="宋体"/>
          <w:color w:val="auto"/>
          <w:sz w:val="24"/>
          <w:szCs w:val="24"/>
          <w:highlight w:val="none"/>
        </w:rPr>
      </w:pPr>
    </w:p>
    <w:p w14:paraId="36F59119">
      <w:pPr>
        <w:pStyle w:val="190"/>
        <w:shd w:val="clear" w:color="auto" w:fill="FFFFFF"/>
        <w:spacing w:line="360" w:lineRule="auto"/>
        <w:ind w:firstLine="400"/>
        <w:rPr>
          <w:rFonts w:ascii="宋体" w:cs="宋体"/>
          <w:color w:val="auto"/>
          <w:sz w:val="24"/>
          <w:szCs w:val="24"/>
          <w:highlight w:val="none"/>
        </w:rPr>
      </w:pPr>
    </w:p>
    <w:p w14:paraId="4CD10654">
      <w:pPr>
        <w:pStyle w:val="190"/>
        <w:shd w:val="clear" w:color="auto" w:fill="FFFFFF"/>
        <w:spacing w:line="360" w:lineRule="auto"/>
        <w:ind w:firstLine="400"/>
        <w:rPr>
          <w:rFonts w:ascii="宋体" w:cs="宋体"/>
          <w:color w:val="auto"/>
          <w:sz w:val="24"/>
          <w:szCs w:val="24"/>
          <w:highlight w:val="none"/>
        </w:rPr>
      </w:pPr>
    </w:p>
    <w:p w14:paraId="30DDBF94">
      <w:pPr>
        <w:pStyle w:val="190"/>
        <w:shd w:val="clear" w:color="auto" w:fill="FFFFFF"/>
        <w:spacing w:line="360" w:lineRule="auto"/>
        <w:rPr>
          <w:rFonts w:ascii="宋体" w:cs="宋体"/>
          <w:color w:val="auto"/>
          <w:sz w:val="24"/>
          <w:szCs w:val="24"/>
          <w:highlight w:val="none"/>
        </w:rPr>
      </w:pPr>
    </w:p>
    <w:p w14:paraId="1BE2A34F">
      <w:pPr>
        <w:pStyle w:val="191"/>
        <w:spacing w:before="0" w:after="0" w:line="360" w:lineRule="auto"/>
        <w:jc w:val="left"/>
        <w:rPr>
          <w:rFonts w:ascii="宋体" w:cs="宋体"/>
          <w:color w:val="auto"/>
          <w:sz w:val="24"/>
          <w:szCs w:val="24"/>
          <w:highlight w:val="none"/>
          <w:lang w:val="zh-TW" w:eastAsia="zh-TW"/>
        </w:rPr>
      </w:pPr>
      <w:bookmarkStart w:id="209" w:name="_Toc3742"/>
      <w:r>
        <w:rPr>
          <w:rFonts w:hint="eastAsia" w:ascii="宋体" w:hAnsi="宋体" w:cs="宋体"/>
          <w:color w:val="auto"/>
          <w:sz w:val="24"/>
          <w:szCs w:val="24"/>
          <w:highlight w:val="none"/>
          <w:lang w:val="zh-TW" w:eastAsia="zh-TW"/>
        </w:rPr>
        <w:t>附件二：法定代表人授权书格式</w:t>
      </w:r>
      <w:bookmarkEnd w:id="209"/>
    </w:p>
    <w:p w14:paraId="410E64BD">
      <w:pPr>
        <w:pStyle w:val="190"/>
        <w:spacing w:line="360" w:lineRule="auto"/>
        <w:rPr>
          <w:rFonts w:ascii="宋体" w:cs="宋体"/>
          <w:b/>
          <w:bCs/>
          <w:color w:val="auto"/>
          <w:sz w:val="24"/>
          <w:szCs w:val="24"/>
          <w:highlight w:val="none"/>
        </w:rPr>
      </w:pPr>
    </w:p>
    <w:p w14:paraId="1B21B67E">
      <w:pPr>
        <w:pStyle w:val="190"/>
        <w:spacing w:line="360" w:lineRule="auto"/>
        <w:ind w:firstLine="720"/>
        <w:jc w:val="center"/>
        <w:rPr>
          <w:rFonts w:ascii="黑体" w:hAnsi="黑体" w:eastAsia="黑体" w:cs="黑体"/>
          <w:color w:val="auto"/>
          <w:sz w:val="24"/>
          <w:szCs w:val="24"/>
          <w:highlight w:val="none"/>
          <w:lang w:val="zh-TW" w:eastAsia="zh-TW"/>
        </w:rPr>
      </w:pPr>
      <w:r>
        <w:rPr>
          <w:rFonts w:hint="eastAsia" w:ascii="黑体" w:hAnsi="黑体" w:eastAsia="黑体" w:cs="黑体"/>
          <w:color w:val="auto"/>
          <w:sz w:val="24"/>
          <w:szCs w:val="24"/>
          <w:highlight w:val="none"/>
          <w:lang w:val="zh-TW" w:eastAsia="zh-TW"/>
        </w:rPr>
        <w:t>法定代表人授权委托书</w:t>
      </w:r>
    </w:p>
    <w:p w14:paraId="713F5B53">
      <w:pPr>
        <w:pStyle w:val="190"/>
        <w:spacing w:line="360" w:lineRule="auto"/>
        <w:rPr>
          <w:rFonts w:ascii="宋体" w:cs="宋体"/>
          <w:color w:val="auto"/>
          <w:sz w:val="24"/>
          <w:szCs w:val="24"/>
          <w:highlight w:val="none"/>
          <w:lang w:val="zh-TW" w:eastAsia="zh-TW"/>
        </w:rPr>
      </w:pPr>
      <w:r>
        <w:rPr>
          <w:rFonts w:hint="eastAsia" w:ascii="宋体" w:hAnsi="宋体" w:cs="宋体"/>
          <w:color w:val="auto"/>
          <w:sz w:val="24"/>
          <w:szCs w:val="24"/>
          <w:highlight w:val="none"/>
          <w:lang w:val="zh-TW" w:eastAsia="zh-CN"/>
        </w:rPr>
        <w:t>南京交通职业技术学院</w:t>
      </w:r>
      <w:r>
        <w:rPr>
          <w:rFonts w:hint="eastAsia" w:ascii="宋体" w:hAnsi="宋体" w:cs="宋体"/>
          <w:color w:val="auto"/>
          <w:sz w:val="24"/>
          <w:szCs w:val="24"/>
          <w:highlight w:val="none"/>
          <w:lang w:val="zh-TW" w:eastAsia="zh-TW"/>
        </w:rPr>
        <w:t>：</w:t>
      </w:r>
    </w:p>
    <w:p w14:paraId="4C97CACA">
      <w:pPr>
        <w:pStyle w:val="190"/>
        <w:spacing w:line="360" w:lineRule="auto"/>
        <w:ind w:firstLine="420"/>
        <w:rPr>
          <w:rFonts w:ascii="宋体" w:cs="宋体"/>
          <w:color w:val="auto"/>
          <w:sz w:val="24"/>
          <w:szCs w:val="24"/>
          <w:highlight w:val="none"/>
          <w:lang w:val="zh-TW" w:eastAsia="zh-TW"/>
        </w:rPr>
      </w:pPr>
      <w:r>
        <w:rPr>
          <w:rFonts w:hint="eastAsia" w:ascii="宋体" w:hAnsi="宋体" w:cs="宋体"/>
          <w:color w:val="auto"/>
          <w:sz w:val="24"/>
          <w:szCs w:val="24"/>
          <w:highlight w:val="none"/>
          <w:lang w:val="zh-TW" w:eastAsia="zh-TW"/>
        </w:rPr>
        <w:t>本授权书声明：注册于</w:t>
      </w:r>
      <w:r>
        <w:rPr>
          <w:rFonts w:hint="eastAsia" w:ascii="宋体" w:hAnsi="宋体" w:cs="宋体"/>
          <w:color w:val="auto"/>
          <w:sz w:val="24"/>
          <w:szCs w:val="24"/>
          <w:highlight w:val="none"/>
          <w:u w:val="single"/>
          <w:lang w:val="zh-TW" w:eastAsia="zh-TW"/>
        </w:rPr>
        <w:t>（投标供应商住址）</w:t>
      </w:r>
      <w:r>
        <w:rPr>
          <w:rFonts w:hint="eastAsia" w:ascii="宋体" w:hAnsi="宋体" w:cs="宋体"/>
          <w:color w:val="auto"/>
          <w:sz w:val="24"/>
          <w:szCs w:val="24"/>
          <w:highlight w:val="none"/>
          <w:lang w:val="zh-TW" w:eastAsia="zh-TW"/>
        </w:rPr>
        <w:t>的</w:t>
      </w:r>
      <w:r>
        <w:rPr>
          <w:rFonts w:hint="eastAsia" w:ascii="宋体" w:hAnsi="宋体" w:cs="宋体"/>
          <w:color w:val="auto"/>
          <w:sz w:val="24"/>
          <w:szCs w:val="24"/>
          <w:highlight w:val="none"/>
          <w:u w:val="single"/>
          <w:lang w:val="zh-TW" w:eastAsia="zh-TW"/>
        </w:rPr>
        <w:t>（投标供应商名称）</w:t>
      </w:r>
      <w:r>
        <w:rPr>
          <w:rFonts w:hint="eastAsia" w:ascii="宋体" w:hAnsi="宋体" w:cs="宋体"/>
          <w:color w:val="auto"/>
          <w:sz w:val="24"/>
          <w:szCs w:val="24"/>
          <w:highlight w:val="none"/>
          <w:lang w:val="zh-TW" w:eastAsia="zh-TW"/>
        </w:rPr>
        <w:t>法定代表人</w:t>
      </w:r>
      <w:r>
        <w:rPr>
          <w:rFonts w:hint="eastAsia" w:ascii="宋体" w:hAnsi="宋体" w:cs="宋体"/>
          <w:color w:val="auto"/>
          <w:sz w:val="24"/>
          <w:szCs w:val="24"/>
          <w:highlight w:val="none"/>
          <w:u w:val="single"/>
          <w:lang w:val="zh-TW" w:eastAsia="zh-TW"/>
        </w:rPr>
        <w:t>（法定代表人姓名、职务）</w:t>
      </w:r>
      <w:r>
        <w:rPr>
          <w:rFonts w:hint="eastAsia" w:ascii="宋体" w:hAnsi="宋体" w:cs="宋体"/>
          <w:color w:val="auto"/>
          <w:sz w:val="24"/>
          <w:szCs w:val="24"/>
          <w:highlight w:val="none"/>
          <w:lang w:val="zh-TW" w:eastAsia="zh-TW"/>
        </w:rPr>
        <w:t>代表本公司授权在下面签字的</w:t>
      </w:r>
      <w:r>
        <w:rPr>
          <w:rFonts w:hint="eastAsia" w:ascii="宋体" w:hAnsi="宋体" w:cs="宋体"/>
          <w:color w:val="auto"/>
          <w:sz w:val="24"/>
          <w:szCs w:val="24"/>
          <w:highlight w:val="none"/>
          <w:u w:val="single"/>
          <w:lang w:val="zh-TW" w:eastAsia="zh-TW"/>
        </w:rPr>
        <w:t>（投标供应商代表姓名、职务）</w:t>
      </w:r>
      <w:r>
        <w:rPr>
          <w:rFonts w:hint="eastAsia" w:ascii="宋体" w:hAnsi="宋体" w:cs="宋体"/>
          <w:color w:val="auto"/>
          <w:sz w:val="24"/>
          <w:szCs w:val="24"/>
          <w:highlight w:val="none"/>
          <w:lang w:val="zh-TW" w:eastAsia="zh-TW"/>
        </w:rPr>
        <w:t>为本公司的合法代理人，就贵方组织的</w:t>
      </w:r>
      <w:r>
        <w:rPr>
          <w:rFonts w:hint="eastAsia" w:ascii="宋体" w:hAnsi="宋体" w:cs="宋体"/>
          <w:color w:val="auto"/>
          <w:sz w:val="24"/>
          <w:szCs w:val="24"/>
          <w:highlight w:val="none"/>
          <w:u w:val="single"/>
          <w:lang w:val="zh-TW" w:eastAsia="zh-TW"/>
        </w:rPr>
        <w:t>（项目名称）</w:t>
      </w:r>
      <w:r>
        <w:rPr>
          <w:rFonts w:hint="eastAsia" w:ascii="宋体" w:hAnsi="宋体" w:cs="宋体"/>
          <w:color w:val="auto"/>
          <w:sz w:val="24"/>
          <w:szCs w:val="24"/>
          <w:highlight w:val="none"/>
          <w:lang w:val="zh-TW" w:eastAsia="zh-TW"/>
        </w:rPr>
        <w:t>，</w:t>
      </w:r>
      <w:r>
        <w:rPr>
          <w:rFonts w:hint="eastAsia" w:ascii="宋体" w:hAnsi="宋体" w:cs="宋体"/>
          <w:color w:val="auto"/>
          <w:sz w:val="24"/>
          <w:szCs w:val="24"/>
          <w:highlight w:val="none"/>
          <w:u w:val="single"/>
          <w:lang w:val="zh-TW" w:eastAsia="zh-TW"/>
        </w:rPr>
        <w:t>（项目编号）</w:t>
      </w:r>
      <w:r>
        <w:rPr>
          <w:rFonts w:hint="eastAsia" w:ascii="宋体" w:hAnsi="宋体" w:cs="宋体"/>
          <w:color w:val="auto"/>
          <w:sz w:val="24"/>
          <w:szCs w:val="24"/>
          <w:highlight w:val="none"/>
          <w:lang w:val="zh-TW" w:eastAsia="zh-TW"/>
        </w:rPr>
        <w:t>投标，以本公司名义处理一切与之有关的事务。</w:t>
      </w:r>
    </w:p>
    <w:p w14:paraId="30936067">
      <w:pPr>
        <w:pStyle w:val="190"/>
        <w:spacing w:line="360" w:lineRule="auto"/>
        <w:ind w:firstLine="420"/>
        <w:rPr>
          <w:rFonts w:ascii="宋体" w:cs="宋体"/>
          <w:color w:val="auto"/>
          <w:sz w:val="24"/>
          <w:szCs w:val="24"/>
          <w:highlight w:val="none"/>
          <w:lang w:val="zh-TW" w:eastAsia="zh-TW"/>
        </w:rPr>
      </w:pPr>
      <w:r>
        <w:rPr>
          <w:rFonts w:hint="eastAsia" w:ascii="宋体" w:hAnsi="宋体" w:cs="宋体"/>
          <w:color w:val="auto"/>
          <w:sz w:val="24"/>
          <w:szCs w:val="24"/>
          <w:highlight w:val="none"/>
          <w:lang w:val="zh-TW" w:eastAsia="zh-TW"/>
        </w:rPr>
        <w:t>本授权书于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TW" w:eastAsia="zh-TW"/>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TW" w:eastAsia="zh-TW"/>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TW" w:eastAsia="zh-TW"/>
        </w:rPr>
        <w:t>日</w:t>
      </w:r>
      <w:r>
        <w:rPr>
          <w:rFonts w:hint="eastAsia" w:ascii="宋体" w:hAnsi="宋体" w:cs="宋体"/>
          <w:color w:val="auto"/>
          <w:sz w:val="24"/>
          <w:szCs w:val="24"/>
          <w:highlight w:val="none"/>
          <w:lang w:val="zh-TW" w:eastAsia="zh-TW"/>
        </w:rPr>
        <w:t>签字生效，特此声明。</w:t>
      </w:r>
    </w:p>
    <w:p w14:paraId="12B2B722">
      <w:pPr>
        <w:pStyle w:val="190"/>
        <w:spacing w:line="360" w:lineRule="auto"/>
        <w:ind w:firstLine="420"/>
        <w:rPr>
          <w:rFonts w:ascii="宋体" w:cs="宋体"/>
          <w:color w:val="auto"/>
          <w:sz w:val="24"/>
          <w:szCs w:val="24"/>
          <w:highlight w:val="none"/>
          <w:lang w:val="zh-TW" w:eastAsia="zh-TW"/>
        </w:rPr>
      </w:pPr>
    </w:p>
    <w:p w14:paraId="3031E832">
      <w:pPr>
        <w:pStyle w:val="190"/>
        <w:spacing w:line="360" w:lineRule="auto"/>
        <w:ind w:firstLine="420"/>
        <w:rPr>
          <w:rFonts w:ascii="宋体" w:cs="宋体"/>
          <w:color w:val="auto"/>
          <w:sz w:val="24"/>
          <w:szCs w:val="24"/>
          <w:highlight w:val="none"/>
          <w:lang w:val="zh-TW" w:eastAsia="zh-TW"/>
        </w:rPr>
      </w:pPr>
      <w:r>
        <w:rPr>
          <w:rFonts w:hint="eastAsia" w:ascii="宋体" w:hAnsi="宋体" w:cs="宋体"/>
          <w:color w:val="auto"/>
          <w:sz w:val="24"/>
          <w:szCs w:val="24"/>
          <w:highlight w:val="none"/>
          <w:lang w:val="zh-TW" w:eastAsia="zh-TW"/>
        </w:rPr>
        <w:t>供应商名称：（加盖电子公章）</w:t>
      </w:r>
    </w:p>
    <w:p w14:paraId="3D9B0FA3">
      <w:pPr>
        <w:pStyle w:val="190"/>
        <w:spacing w:line="360" w:lineRule="auto"/>
        <w:ind w:firstLine="420"/>
        <w:rPr>
          <w:rFonts w:ascii="宋体" w:cs="宋体"/>
          <w:color w:val="auto"/>
          <w:sz w:val="24"/>
          <w:szCs w:val="24"/>
          <w:highlight w:val="none"/>
          <w:lang w:val="zh-TW" w:eastAsia="zh-TW"/>
        </w:rPr>
      </w:pPr>
      <w:r>
        <w:rPr>
          <w:rFonts w:hint="eastAsia" w:ascii="宋体" w:hAnsi="宋体" w:cs="宋体"/>
          <w:color w:val="auto"/>
          <w:sz w:val="24"/>
          <w:szCs w:val="24"/>
          <w:highlight w:val="none"/>
          <w:lang w:val="zh-TW" w:eastAsia="zh-TW"/>
        </w:rPr>
        <w:t>法定代表人签字：</w:t>
      </w:r>
    </w:p>
    <w:p w14:paraId="10902A49">
      <w:pPr>
        <w:pStyle w:val="190"/>
        <w:spacing w:line="360" w:lineRule="auto"/>
        <w:ind w:firstLine="420"/>
        <w:rPr>
          <w:rFonts w:ascii="宋体" w:cs="宋体"/>
          <w:color w:val="auto"/>
          <w:sz w:val="24"/>
          <w:szCs w:val="24"/>
          <w:highlight w:val="none"/>
          <w:lang w:val="zh-TW" w:eastAsia="zh-TW"/>
        </w:rPr>
      </w:pPr>
      <w:r>
        <w:rPr>
          <w:rFonts w:hint="eastAsia" w:ascii="宋体" w:hAnsi="宋体" w:cs="宋体"/>
          <w:color w:val="auto"/>
          <w:sz w:val="24"/>
          <w:szCs w:val="24"/>
          <w:highlight w:val="none"/>
          <w:lang w:val="zh-TW" w:eastAsia="zh-TW"/>
        </w:rPr>
        <w:t>授权委托人签字：</w:t>
      </w:r>
    </w:p>
    <w:p w14:paraId="08FA21DE">
      <w:pPr>
        <w:pStyle w:val="190"/>
        <w:tabs>
          <w:tab w:val="left" w:pos="1440"/>
        </w:tabs>
        <w:spacing w:line="360" w:lineRule="auto"/>
        <w:ind w:firstLine="420"/>
        <w:rPr>
          <w:rFonts w:ascii="宋体" w:cs="宋体"/>
          <w:color w:val="auto"/>
          <w:sz w:val="24"/>
          <w:szCs w:val="24"/>
          <w:highlight w:val="none"/>
          <w:lang w:val="zh-TW" w:eastAsia="zh-TW"/>
        </w:rPr>
      </w:pPr>
      <w:r>
        <w:rPr>
          <w:rFonts w:hint="eastAsia" w:ascii="宋体" w:hAnsi="宋体" w:cs="宋体"/>
          <w:color w:val="auto"/>
          <w:sz w:val="24"/>
          <w:szCs w:val="24"/>
          <w:highlight w:val="none"/>
          <w:lang w:val="zh-TW" w:eastAsia="zh-TW"/>
        </w:rPr>
        <w:t>日期：</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TW" w:eastAsia="zh-TW"/>
        </w:rPr>
        <w:t>年</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TW" w:eastAsia="zh-TW"/>
        </w:rPr>
        <w:t>月</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TW" w:eastAsia="zh-TW"/>
        </w:rPr>
        <w:t>日</w:t>
      </w:r>
    </w:p>
    <w:p w14:paraId="269AD1D0">
      <w:pPr>
        <w:pStyle w:val="190"/>
        <w:spacing w:line="360" w:lineRule="auto"/>
        <w:ind w:firstLine="422"/>
        <w:rPr>
          <w:rFonts w:ascii="宋体" w:cs="宋体"/>
          <w:b/>
          <w:bCs/>
          <w:color w:val="auto"/>
          <w:sz w:val="24"/>
          <w:szCs w:val="24"/>
          <w:highlight w:val="none"/>
          <w:lang w:val="zh-TW" w:eastAsia="zh-TW"/>
        </w:rPr>
      </w:pPr>
    </w:p>
    <w:p w14:paraId="5D843244">
      <w:pPr>
        <w:rPr>
          <w:color w:val="auto"/>
          <w:highlight w:val="none"/>
          <w:lang w:val="zh-TW" w:eastAsia="zh-TW"/>
        </w:rPr>
      </w:pPr>
    </w:p>
    <w:p w14:paraId="4B73931D">
      <w:pPr>
        <w:rPr>
          <w:rFonts w:hint="eastAsia"/>
          <w:color w:val="auto"/>
          <w:highlight w:val="none"/>
          <w:lang w:val="zh-TW" w:eastAsia="zh-CN"/>
        </w:rPr>
      </w:pPr>
      <w:r>
        <w:rPr>
          <w:rFonts w:hint="eastAsia" w:ascii="宋体" w:hAnsi="宋体" w:cs="宋体"/>
          <w:color w:val="auto"/>
          <w:highlight w:val="none"/>
          <w:lang w:val="zh-TW" w:eastAsia="zh-TW"/>
        </w:rPr>
        <w:t>法定代表人</w:t>
      </w:r>
      <w:r>
        <w:rPr>
          <w:rFonts w:hint="eastAsia" w:ascii="宋体" w:hAnsi="宋体" w:cs="宋体"/>
          <w:color w:val="auto"/>
          <w:highlight w:val="none"/>
          <w:lang w:val="zh-TW" w:eastAsia="zh-CN"/>
        </w:rPr>
        <w:t>身份证正反面复印件：</w:t>
      </w:r>
    </w:p>
    <w:p w14:paraId="71F19485">
      <w:pPr>
        <w:rPr>
          <w:color w:val="auto"/>
          <w:highlight w:val="none"/>
          <w:lang w:val="zh-TW" w:eastAsia="zh-TW"/>
        </w:rPr>
      </w:pPr>
    </w:p>
    <w:p w14:paraId="31B82985">
      <w:pPr>
        <w:rPr>
          <w:color w:val="auto"/>
          <w:highlight w:val="none"/>
          <w:lang w:val="zh-TW" w:eastAsia="zh-TW"/>
        </w:rPr>
      </w:pPr>
    </w:p>
    <w:p w14:paraId="53F20990">
      <w:pPr>
        <w:rPr>
          <w:color w:val="auto"/>
          <w:highlight w:val="none"/>
          <w:lang w:val="zh-TW" w:eastAsia="zh-TW"/>
        </w:rPr>
      </w:pPr>
    </w:p>
    <w:p w14:paraId="15AA8D85">
      <w:pPr>
        <w:rPr>
          <w:color w:val="auto"/>
          <w:highlight w:val="none"/>
          <w:lang w:val="zh-TW" w:eastAsia="zh-TW"/>
        </w:rPr>
      </w:pPr>
    </w:p>
    <w:p w14:paraId="29CC7653">
      <w:pPr>
        <w:rPr>
          <w:rFonts w:hint="eastAsia"/>
          <w:color w:val="auto"/>
          <w:highlight w:val="none"/>
          <w:lang w:val="zh-TW"/>
        </w:rPr>
      </w:pPr>
      <w:r>
        <w:rPr>
          <w:rFonts w:hint="eastAsia" w:ascii="宋体" w:hAnsi="宋体" w:cs="宋体"/>
          <w:color w:val="auto"/>
          <w:highlight w:val="none"/>
          <w:lang w:val="zh-TW" w:eastAsia="zh-TW"/>
        </w:rPr>
        <w:t>授权委托人</w:t>
      </w:r>
      <w:r>
        <w:rPr>
          <w:rFonts w:hint="eastAsia" w:ascii="宋体" w:hAnsi="宋体" w:cs="宋体"/>
          <w:color w:val="auto"/>
          <w:highlight w:val="none"/>
          <w:lang w:val="zh-TW" w:eastAsia="zh-CN"/>
        </w:rPr>
        <w:t>身份证正反面复印件：</w:t>
      </w:r>
    </w:p>
    <w:p w14:paraId="0DCA5F25">
      <w:pPr>
        <w:pStyle w:val="190"/>
        <w:spacing w:line="360" w:lineRule="auto"/>
        <w:ind w:firstLine="422"/>
        <w:rPr>
          <w:rFonts w:ascii="宋体" w:cs="宋体"/>
          <w:b/>
          <w:bCs/>
          <w:color w:val="auto"/>
          <w:sz w:val="24"/>
          <w:szCs w:val="24"/>
          <w:highlight w:val="none"/>
          <w:lang w:val="zh-TW" w:eastAsia="zh-TW"/>
        </w:rPr>
      </w:pPr>
    </w:p>
    <w:p w14:paraId="49A3355A">
      <w:pPr>
        <w:pStyle w:val="190"/>
        <w:spacing w:line="360" w:lineRule="auto"/>
        <w:ind w:firstLine="422"/>
        <w:rPr>
          <w:rFonts w:ascii="宋体" w:cs="宋体"/>
          <w:b/>
          <w:bCs/>
          <w:color w:val="auto"/>
          <w:sz w:val="24"/>
          <w:szCs w:val="24"/>
          <w:highlight w:val="none"/>
          <w:lang w:val="zh-TW" w:eastAsia="zh-TW"/>
        </w:rPr>
      </w:pPr>
    </w:p>
    <w:p w14:paraId="2E49FFE9">
      <w:pPr>
        <w:pStyle w:val="190"/>
        <w:spacing w:line="360" w:lineRule="auto"/>
        <w:ind w:firstLine="422"/>
        <w:rPr>
          <w:rFonts w:ascii="宋体" w:cs="宋体"/>
          <w:b/>
          <w:bCs/>
          <w:color w:val="auto"/>
          <w:sz w:val="24"/>
          <w:szCs w:val="24"/>
          <w:highlight w:val="none"/>
          <w:lang w:val="zh-TW" w:eastAsia="zh-TW"/>
        </w:rPr>
      </w:pPr>
    </w:p>
    <w:p w14:paraId="36E39DD6">
      <w:pPr>
        <w:pStyle w:val="191"/>
        <w:spacing w:before="0" w:after="0" w:line="360" w:lineRule="auto"/>
        <w:jc w:val="left"/>
        <w:rPr>
          <w:rFonts w:ascii="宋体" w:cs="宋体"/>
          <w:color w:val="auto"/>
          <w:sz w:val="24"/>
          <w:szCs w:val="24"/>
          <w:highlight w:val="none"/>
          <w:lang w:val="zh-TW" w:eastAsia="zh-TW"/>
        </w:rPr>
      </w:pPr>
      <w:r>
        <w:rPr>
          <w:rFonts w:hint="eastAsia" w:ascii="宋体" w:hAnsi="宋体" w:cs="宋体"/>
          <w:color w:val="auto"/>
          <w:sz w:val="24"/>
          <w:szCs w:val="24"/>
          <w:highlight w:val="none"/>
          <w:lang w:val="zh-TW" w:eastAsia="zh-TW"/>
        </w:rPr>
        <w:br w:type="page" w:clear="all"/>
      </w:r>
      <w:bookmarkStart w:id="210" w:name="_Toc18343"/>
      <w:r>
        <w:rPr>
          <w:rFonts w:hint="eastAsia" w:ascii="宋体" w:hAnsi="宋体" w:cs="宋体"/>
          <w:color w:val="auto"/>
          <w:sz w:val="24"/>
          <w:szCs w:val="24"/>
          <w:highlight w:val="none"/>
          <w:lang w:val="zh-TW" w:eastAsia="zh-TW"/>
        </w:rPr>
        <w:t>附件三：开标一览表格式</w:t>
      </w:r>
      <w:bookmarkEnd w:id="210"/>
    </w:p>
    <w:p w14:paraId="50077672">
      <w:pPr>
        <w:spacing w:line="360" w:lineRule="auto"/>
        <w:jc w:val="center"/>
        <w:outlineLvl w:val="0"/>
        <w:rPr>
          <w:rFonts w:ascii="宋体" w:hAnsi="宋体" w:cs="宋体"/>
          <w:color w:val="auto"/>
          <w:highlight w:val="none"/>
          <w:lang w:val="zh-TW" w:eastAsia="zh-TW"/>
        </w:rPr>
      </w:pPr>
      <w:bookmarkStart w:id="211" w:name="_Toc23980"/>
      <w:r>
        <w:rPr>
          <w:rFonts w:hint="eastAsia" w:ascii="宋体" w:hAnsi="宋体" w:cs="宋体"/>
          <w:color w:val="auto"/>
          <w:highlight w:val="none"/>
          <w:lang w:val="zh-TW" w:eastAsia="zh-TW"/>
        </w:rPr>
        <w:t>开标一览表</w:t>
      </w:r>
      <w:bookmarkEnd w:id="211"/>
    </w:p>
    <w:p w14:paraId="6A6453B4">
      <w:pPr>
        <w:pStyle w:val="215"/>
        <w:spacing w:line="360" w:lineRule="auto"/>
        <w:ind w:firstLine="540"/>
        <w:rPr>
          <w:rFonts w:ascii="宋体" w:cs="宋体"/>
          <w:color w:val="auto"/>
          <w:sz w:val="24"/>
          <w:szCs w:val="24"/>
          <w:highlight w:val="none"/>
          <w:lang w:val="zh-TW" w:eastAsia="zh-TW"/>
        </w:rPr>
      </w:pPr>
      <w:r>
        <w:rPr>
          <w:rFonts w:hint="eastAsia" w:ascii="宋体" w:hAnsi="宋体" w:cs="宋体"/>
          <w:color w:val="auto"/>
          <w:sz w:val="24"/>
          <w:szCs w:val="24"/>
          <w:highlight w:val="none"/>
          <w:lang w:val="zh-TW" w:eastAsia="zh-TW"/>
        </w:rPr>
        <w:t>项目名称：</w:t>
      </w:r>
      <w:r>
        <w:rPr>
          <w:rFonts w:hint="eastAsia" w:ascii="宋体" w:hAnsi="宋体" w:cs="宋体"/>
          <w:color w:val="auto"/>
          <w:sz w:val="24"/>
          <w:szCs w:val="24"/>
          <w:highlight w:val="none"/>
          <w:lang w:val="zh-TW" w:eastAsia="zh-CN"/>
        </w:rPr>
        <w:t xml:space="preserve">                                 </w:t>
      </w:r>
      <w:r>
        <w:rPr>
          <w:rFonts w:hint="eastAsia" w:ascii="宋体" w:hAnsi="宋体" w:cs="宋体"/>
          <w:color w:val="auto"/>
          <w:sz w:val="24"/>
          <w:szCs w:val="24"/>
          <w:highlight w:val="none"/>
          <w:lang w:val="zh-TW" w:eastAsia="zh-TW"/>
        </w:rPr>
        <w:t>项目编号：</w:t>
      </w:r>
    </w:p>
    <w:tbl>
      <w:tblPr>
        <w:tblStyle w:val="33"/>
        <w:tblW w:w="95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80" w:type="dxa"/>
          <w:bottom w:w="80" w:type="dxa"/>
          <w:right w:w="80" w:type="dxa"/>
        </w:tblCellMar>
      </w:tblPr>
      <w:tblGrid>
        <w:gridCol w:w="2066"/>
        <w:gridCol w:w="5668"/>
        <w:gridCol w:w="1810"/>
      </w:tblGrid>
      <w:tr w14:paraId="1DBC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2161" w:hRule="atLeast"/>
        </w:trPr>
        <w:tc>
          <w:tcPr>
            <w:tcW w:w="2066" w:type="dxa"/>
            <w:noWrap w:val="0"/>
            <w:tcMar>
              <w:top w:w="80" w:type="dxa"/>
              <w:left w:w="80" w:type="dxa"/>
              <w:bottom w:w="80" w:type="dxa"/>
              <w:right w:w="80" w:type="dxa"/>
            </w:tcMar>
            <w:vAlign w:val="center"/>
          </w:tcPr>
          <w:p w14:paraId="6E037AE6">
            <w:pPr>
              <w:pStyle w:val="215"/>
              <w:spacing w:line="360" w:lineRule="auto"/>
              <w:rPr>
                <w:rFonts w:cs="Arial Unicode MS"/>
                <w:color w:val="auto"/>
                <w:sz w:val="24"/>
                <w:szCs w:val="24"/>
                <w:highlight w:val="none"/>
                <w:lang w:eastAsia="zh-CN"/>
              </w:rPr>
            </w:pPr>
            <w:r>
              <w:rPr>
                <w:rFonts w:hint="eastAsia" w:ascii="宋体" w:hAnsi="宋体" w:cs="宋体"/>
                <w:color w:val="auto"/>
                <w:sz w:val="24"/>
                <w:szCs w:val="24"/>
                <w:highlight w:val="none"/>
                <w:lang w:val="zh-TW" w:eastAsia="zh-TW"/>
              </w:rPr>
              <w:t>投标总价</w:t>
            </w:r>
          </w:p>
        </w:tc>
        <w:tc>
          <w:tcPr>
            <w:tcW w:w="5668" w:type="dxa"/>
            <w:noWrap w:val="0"/>
            <w:tcMar>
              <w:top w:w="80" w:type="dxa"/>
              <w:left w:w="80" w:type="dxa"/>
              <w:bottom w:w="80" w:type="dxa"/>
              <w:right w:w="80" w:type="dxa"/>
            </w:tcMar>
            <w:vAlign w:val="center"/>
          </w:tcPr>
          <w:p w14:paraId="68686A34">
            <w:pPr>
              <w:pStyle w:val="215"/>
              <w:spacing w:line="360" w:lineRule="auto"/>
              <w:ind w:firstLine="0"/>
              <w:rPr>
                <w:rFonts w:ascii="宋体" w:cs="宋体"/>
                <w:color w:val="auto"/>
                <w:sz w:val="24"/>
                <w:szCs w:val="24"/>
                <w:highlight w:val="none"/>
                <w:lang w:eastAsia="zh-CN"/>
              </w:rPr>
            </w:pPr>
            <w:r>
              <w:rPr>
                <w:rFonts w:hint="eastAsia" w:ascii="宋体" w:hAnsi="宋体" w:cs="宋体"/>
                <w:color w:val="auto"/>
                <w:sz w:val="24"/>
                <w:szCs w:val="24"/>
                <w:highlight w:val="none"/>
                <w:lang w:val="zh-TW" w:eastAsia="zh-TW"/>
              </w:rPr>
              <w:t>小写：人民币</w:t>
            </w:r>
          </w:p>
          <w:p w14:paraId="62E6D608">
            <w:pPr>
              <w:pStyle w:val="215"/>
              <w:spacing w:line="360" w:lineRule="auto"/>
              <w:ind w:firstLine="540"/>
              <w:rPr>
                <w:rFonts w:ascii="宋体" w:cs="宋体"/>
                <w:color w:val="auto"/>
                <w:sz w:val="24"/>
                <w:szCs w:val="24"/>
                <w:highlight w:val="none"/>
                <w:lang w:eastAsia="zh-CN"/>
              </w:rPr>
            </w:pPr>
          </w:p>
          <w:p w14:paraId="448D7076">
            <w:pPr>
              <w:pStyle w:val="215"/>
              <w:spacing w:line="360" w:lineRule="auto"/>
              <w:ind w:firstLine="0"/>
              <w:rPr>
                <w:rFonts w:cs="Arial Unicode MS"/>
                <w:color w:val="auto"/>
                <w:sz w:val="24"/>
                <w:szCs w:val="24"/>
                <w:highlight w:val="none"/>
                <w:lang w:eastAsia="zh-CN"/>
              </w:rPr>
            </w:pPr>
            <w:r>
              <w:rPr>
                <w:rFonts w:hint="eastAsia" w:ascii="宋体" w:hAnsi="宋体" w:cs="宋体"/>
                <w:color w:val="auto"/>
                <w:sz w:val="24"/>
                <w:szCs w:val="24"/>
                <w:highlight w:val="none"/>
                <w:lang w:val="zh-TW" w:eastAsia="zh-TW"/>
              </w:rPr>
              <w:t>大写：人民币</w:t>
            </w:r>
          </w:p>
        </w:tc>
        <w:tc>
          <w:tcPr>
            <w:tcW w:w="1810" w:type="dxa"/>
            <w:noWrap w:val="0"/>
            <w:tcMar>
              <w:top w:w="80" w:type="dxa"/>
              <w:left w:w="80" w:type="dxa"/>
              <w:bottom w:w="80" w:type="dxa"/>
              <w:right w:w="80" w:type="dxa"/>
            </w:tcMar>
            <w:vAlign w:val="center"/>
          </w:tcPr>
          <w:p w14:paraId="67B717D2">
            <w:pPr>
              <w:rPr>
                <w:color w:val="auto"/>
                <w:highlight w:val="none"/>
                <w:lang w:eastAsia="zh-CN"/>
              </w:rPr>
            </w:pPr>
          </w:p>
        </w:tc>
      </w:tr>
      <w:tr w14:paraId="3AA7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1489" w:hRule="atLeast"/>
        </w:trPr>
        <w:tc>
          <w:tcPr>
            <w:tcW w:w="2066" w:type="dxa"/>
            <w:noWrap w:val="0"/>
            <w:tcMar>
              <w:top w:w="80" w:type="dxa"/>
              <w:left w:w="80" w:type="dxa"/>
              <w:bottom w:w="80" w:type="dxa"/>
              <w:right w:w="80" w:type="dxa"/>
            </w:tcMar>
            <w:vAlign w:val="center"/>
          </w:tcPr>
          <w:p w14:paraId="23F92D8A">
            <w:pPr>
              <w:pStyle w:val="215"/>
              <w:spacing w:line="360" w:lineRule="auto"/>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项目负责人</w:t>
            </w:r>
          </w:p>
        </w:tc>
        <w:tc>
          <w:tcPr>
            <w:tcW w:w="5668" w:type="dxa"/>
            <w:noWrap w:val="0"/>
            <w:tcMar>
              <w:top w:w="80" w:type="dxa"/>
              <w:left w:w="80" w:type="dxa"/>
              <w:bottom w:w="80" w:type="dxa"/>
              <w:right w:w="80" w:type="dxa"/>
            </w:tcMar>
            <w:vAlign w:val="center"/>
          </w:tcPr>
          <w:p w14:paraId="7B4696A6">
            <w:pPr>
              <w:pStyle w:val="215"/>
              <w:spacing w:line="360" w:lineRule="auto"/>
              <w:ind w:firstLine="0"/>
              <w:rPr>
                <w:rFonts w:hint="eastAsia" w:ascii="宋体" w:hAnsi="宋体" w:cs="宋体"/>
                <w:color w:val="auto"/>
                <w:sz w:val="24"/>
                <w:szCs w:val="24"/>
                <w:highlight w:val="none"/>
                <w:lang w:val="zh-TW" w:eastAsia="zh-TW"/>
              </w:rPr>
            </w:pPr>
          </w:p>
        </w:tc>
        <w:tc>
          <w:tcPr>
            <w:tcW w:w="1810" w:type="dxa"/>
            <w:noWrap w:val="0"/>
            <w:tcMar>
              <w:top w:w="80" w:type="dxa"/>
              <w:left w:w="80" w:type="dxa"/>
              <w:bottom w:w="80" w:type="dxa"/>
              <w:right w:w="80" w:type="dxa"/>
            </w:tcMar>
            <w:vAlign w:val="center"/>
          </w:tcPr>
          <w:p w14:paraId="421A2BDF">
            <w:pPr>
              <w:rPr>
                <w:color w:val="auto"/>
                <w:highlight w:val="none"/>
                <w:lang w:eastAsia="zh-CN"/>
              </w:rPr>
            </w:pPr>
          </w:p>
        </w:tc>
      </w:tr>
      <w:tr w14:paraId="1B4F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1256" w:hRule="atLeast"/>
        </w:trPr>
        <w:tc>
          <w:tcPr>
            <w:tcW w:w="2066" w:type="dxa"/>
            <w:noWrap w:val="0"/>
            <w:tcMar>
              <w:top w:w="80" w:type="dxa"/>
              <w:left w:w="80" w:type="dxa"/>
              <w:bottom w:w="80" w:type="dxa"/>
              <w:right w:w="80" w:type="dxa"/>
            </w:tcMar>
            <w:vAlign w:val="center"/>
          </w:tcPr>
          <w:p w14:paraId="422B3CBC">
            <w:pPr>
              <w:pStyle w:val="215"/>
              <w:spacing w:line="360" w:lineRule="auto"/>
              <w:ind w:firstLine="0"/>
              <w:jc w:val="center"/>
              <w:rPr>
                <w:rFonts w:cs="Arial Unicode MS"/>
                <w:color w:val="auto"/>
                <w:sz w:val="24"/>
                <w:szCs w:val="24"/>
                <w:highlight w:val="none"/>
                <w:lang w:eastAsia="zh-CN"/>
              </w:rPr>
            </w:pPr>
            <w:r>
              <w:rPr>
                <w:rFonts w:hint="eastAsia" w:ascii="宋体" w:hAnsi="宋体" w:cs="宋体"/>
                <w:color w:val="auto"/>
                <w:sz w:val="24"/>
                <w:szCs w:val="24"/>
                <w:highlight w:val="none"/>
                <w:lang w:eastAsia="zh-CN"/>
              </w:rPr>
              <w:t>工</w:t>
            </w:r>
            <w:r>
              <w:rPr>
                <w:rFonts w:hint="eastAsia" w:ascii="宋体" w:hAnsi="宋体" w:cs="宋体"/>
                <w:color w:val="auto"/>
                <w:sz w:val="24"/>
                <w:szCs w:val="24"/>
                <w:highlight w:val="none"/>
                <w:lang w:val="zh-TW" w:eastAsia="zh-TW"/>
              </w:rPr>
              <w:t>期</w:t>
            </w:r>
          </w:p>
        </w:tc>
        <w:tc>
          <w:tcPr>
            <w:tcW w:w="5668" w:type="dxa"/>
            <w:noWrap w:val="0"/>
            <w:tcMar>
              <w:top w:w="80" w:type="dxa"/>
              <w:left w:w="80" w:type="dxa"/>
              <w:bottom w:w="80" w:type="dxa"/>
              <w:right w:w="80" w:type="dxa"/>
            </w:tcMar>
            <w:vAlign w:val="center"/>
          </w:tcPr>
          <w:p w14:paraId="18DA0435">
            <w:pPr>
              <w:pStyle w:val="215"/>
              <w:tabs>
                <w:tab w:val="left" w:pos="3624"/>
              </w:tabs>
              <w:spacing w:line="360" w:lineRule="auto"/>
              <w:ind w:firstLine="540"/>
              <w:rPr>
                <w:rFonts w:cs="Arial Unicode MS"/>
                <w:color w:val="auto"/>
                <w:sz w:val="24"/>
                <w:szCs w:val="24"/>
                <w:highlight w:val="none"/>
                <w:lang w:eastAsia="zh-CN"/>
              </w:rPr>
            </w:pPr>
          </w:p>
        </w:tc>
        <w:tc>
          <w:tcPr>
            <w:tcW w:w="1810" w:type="dxa"/>
            <w:noWrap w:val="0"/>
            <w:tcMar>
              <w:top w:w="80" w:type="dxa"/>
              <w:left w:w="80" w:type="dxa"/>
              <w:bottom w:w="80" w:type="dxa"/>
              <w:right w:w="80" w:type="dxa"/>
            </w:tcMar>
            <w:vAlign w:val="center"/>
          </w:tcPr>
          <w:p w14:paraId="0C474556">
            <w:pPr>
              <w:pStyle w:val="215"/>
              <w:spacing w:line="360" w:lineRule="auto"/>
              <w:ind w:firstLine="540"/>
              <w:rPr>
                <w:rFonts w:cs="Arial Unicode MS"/>
                <w:color w:val="auto"/>
                <w:sz w:val="24"/>
                <w:szCs w:val="24"/>
                <w:highlight w:val="none"/>
                <w:lang w:eastAsia="zh-CN"/>
              </w:rPr>
            </w:pPr>
          </w:p>
        </w:tc>
      </w:tr>
      <w:tr w14:paraId="54FA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1256" w:hRule="atLeast"/>
        </w:trPr>
        <w:tc>
          <w:tcPr>
            <w:tcW w:w="2066" w:type="dxa"/>
            <w:noWrap w:val="0"/>
            <w:tcMar>
              <w:top w:w="80" w:type="dxa"/>
              <w:left w:w="80" w:type="dxa"/>
              <w:bottom w:w="80" w:type="dxa"/>
              <w:right w:w="80" w:type="dxa"/>
            </w:tcMar>
            <w:vAlign w:val="center"/>
          </w:tcPr>
          <w:p w14:paraId="7AE084AF">
            <w:pPr>
              <w:pStyle w:val="215"/>
              <w:spacing w:line="360" w:lineRule="auto"/>
              <w:ind w:firstLine="0"/>
              <w:jc w:val="center"/>
              <w:rPr>
                <w:rFonts w:ascii="宋体" w:cs="宋体"/>
                <w:color w:val="auto"/>
                <w:sz w:val="24"/>
                <w:szCs w:val="24"/>
                <w:highlight w:val="none"/>
                <w:lang w:val="zh-TW" w:eastAsia="zh-TW"/>
              </w:rPr>
            </w:pPr>
            <w:r>
              <w:rPr>
                <w:rFonts w:hint="eastAsia" w:ascii="宋体" w:hAnsi="宋体" w:cs="宋体"/>
                <w:color w:val="auto"/>
                <w:sz w:val="24"/>
                <w:szCs w:val="24"/>
                <w:highlight w:val="none"/>
                <w:lang w:val="zh-TW" w:eastAsia="zh-TW"/>
              </w:rPr>
              <w:t>其他</w:t>
            </w:r>
          </w:p>
        </w:tc>
        <w:tc>
          <w:tcPr>
            <w:tcW w:w="5668" w:type="dxa"/>
            <w:noWrap w:val="0"/>
            <w:tcMar>
              <w:top w:w="80" w:type="dxa"/>
              <w:left w:w="80" w:type="dxa"/>
              <w:bottom w:w="80" w:type="dxa"/>
              <w:right w:w="80" w:type="dxa"/>
            </w:tcMar>
            <w:vAlign w:val="center"/>
          </w:tcPr>
          <w:p w14:paraId="73527934">
            <w:pPr>
              <w:pStyle w:val="215"/>
              <w:tabs>
                <w:tab w:val="left" w:pos="3624"/>
              </w:tabs>
              <w:spacing w:line="360" w:lineRule="auto"/>
              <w:ind w:firstLine="540"/>
              <w:rPr>
                <w:rFonts w:ascii="宋体" w:cs="宋体"/>
                <w:color w:val="auto"/>
                <w:sz w:val="24"/>
                <w:szCs w:val="24"/>
                <w:highlight w:val="none"/>
                <w:lang w:val="zh-TW" w:eastAsia="zh-TW"/>
              </w:rPr>
            </w:pPr>
          </w:p>
        </w:tc>
        <w:tc>
          <w:tcPr>
            <w:tcW w:w="1810" w:type="dxa"/>
            <w:noWrap w:val="0"/>
            <w:tcMar>
              <w:top w:w="80" w:type="dxa"/>
              <w:left w:w="80" w:type="dxa"/>
              <w:bottom w:w="80" w:type="dxa"/>
              <w:right w:w="80" w:type="dxa"/>
            </w:tcMar>
            <w:vAlign w:val="center"/>
          </w:tcPr>
          <w:p w14:paraId="2EDFA224">
            <w:pPr>
              <w:pStyle w:val="215"/>
              <w:spacing w:line="360" w:lineRule="auto"/>
              <w:ind w:firstLine="540"/>
              <w:rPr>
                <w:rFonts w:cs="Arial Unicode MS"/>
                <w:color w:val="auto"/>
                <w:sz w:val="24"/>
                <w:szCs w:val="24"/>
                <w:highlight w:val="none"/>
                <w:lang w:eastAsia="zh-CN"/>
              </w:rPr>
            </w:pPr>
          </w:p>
        </w:tc>
      </w:tr>
      <w:tr w14:paraId="61ED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1256" w:hRule="atLeast"/>
        </w:trPr>
        <w:tc>
          <w:tcPr>
            <w:tcW w:w="2066" w:type="dxa"/>
            <w:noWrap w:val="0"/>
            <w:tcMar>
              <w:top w:w="80" w:type="dxa"/>
              <w:left w:w="80" w:type="dxa"/>
              <w:bottom w:w="80" w:type="dxa"/>
              <w:right w:w="80" w:type="dxa"/>
            </w:tcMar>
            <w:vAlign w:val="center"/>
          </w:tcPr>
          <w:p w14:paraId="2447C95D">
            <w:pPr>
              <w:pStyle w:val="215"/>
              <w:spacing w:line="360" w:lineRule="auto"/>
              <w:ind w:firstLine="0"/>
              <w:jc w:val="center"/>
              <w:rPr>
                <w:rFonts w:ascii="宋体" w:hAnsi="宋体" w:cs="宋体"/>
                <w:color w:val="auto"/>
                <w:sz w:val="24"/>
                <w:szCs w:val="24"/>
                <w:highlight w:val="none"/>
                <w:lang w:val="zh-TW" w:eastAsia="zh-CN"/>
              </w:rPr>
            </w:pPr>
            <w:r>
              <w:rPr>
                <w:rFonts w:hint="eastAsia" w:ascii="宋体" w:hAnsi="宋体" w:cs="宋体"/>
                <w:color w:val="auto"/>
                <w:sz w:val="24"/>
                <w:szCs w:val="24"/>
                <w:highlight w:val="none"/>
                <w:lang w:val="zh-TW" w:eastAsia="zh-TW"/>
              </w:rPr>
              <w:t>中小微企业</w:t>
            </w:r>
          </w:p>
        </w:tc>
        <w:tc>
          <w:tcPr>
            <w:tcW w:w="5668" w:type="dxa"/>
            <w:noWrap w:val="0"/>
            <w:tcMar>
              <w:top w:w="80" w:type="dxa"/>
              <w:left w:w="80" w:type="dxa"/>
              <w:bottom w:w="80" w:type="dxa"/>
              <w:right w:w="80" w:type="dxa"/>
            </w:tcMar>
            <w:vAlign w:val="center"/>
          </w:tcPr>
          <w:p w14:paraId="6C4C7108">
            <w:pPr>
              <w:pStyle w:val="215"/>
              <w:tabs>
                <w:tab w:val="left" w:pos="3624"/>
              </w:tabs>
              <w:spacing w:line="360" w:lineRule="auto"/>
              <w:ind w:firstLine="540"/>
              <w:rPr>
                <w:rFonts w:ascii="宋体" w:cs="宋体"/>
                <w:color w:val="auto"/>
                <w:sz w:val="24"/>
                <w:szCs w:val="24"/>
                <w:highlight w:val="none"/>
                <w:lang w:val="zh-TW" w:eastAsia="zh-CN"/>
              </w:rPr>
            </w:pPr>
            <w:r>
              <w:rPr>
                <w:rFonts w:ascii="宋体" w:cs="宋体"/>
                <w:color w:val="auto"/>
                <w:sz w:val="24"/>
                <w:szCs w:val="24"/>
                <w:highlight w:val="none"/>
                <w:lang w:val="zh-TW" w:eastAsia="zh-TW"/>
              </w:rPr>
              <w:t>是</w:t>
            </w:r>
            <w:r>
              <w:rPr>
                <w:rFonts w:hint="eastAsia" w:ascii="宋体" w:cs="宋体"/>
                <w:color w:val="auto"/>
                <w:sz w:val="24"/>
                <w:szCs w:val="24"/>
                <w:highlight w:val="none"/>
                <w:lang w:val="zh-TW" w:eastAsia="zh-CN"/>
              </w:rPr>
              <w:t>/否</w:t>
            </w:r>
          </w:p>
        </w:tc>
        <w:tc>
          <w:tcPr>
            <w:tcW w:w="1810" w:type="dxa"/>
            <w:noWrap w:val="0"/>
            <w:tcMar>
              <w:top w:w="80" w:type="dxa"/>
              <w:left w:w="80" w:type="dxa"/>
              <w:bottom w:w="80" w:type="dxa"/>
              <w:right w:w="80" w:type="dxa"/>
            </w:tcMar>
            <w:vAlign w:val="center"/>
          </w:tcPr>
          <w:p w14:paraId="76012565">
            <w:pPr>
              <w:pStyle w:val="215"/>
              <w:spacing w:line="360" w:lineRule="auto"/>
              <w:ind w:firstLine="540"/>
              <w:rPr>
                <w:rFonts w:cs="Arial Unicode MS"/>
                <w:color w:val="auto"/>
                <w:sz w:val="24"/>
                <w:szCs w:val="24"/>
                <w:highlight w:val="none"/>
                <w:lang w:eastAsia="zh-CN"/>
              </w:rPr>
            </w:pPr>
          </w:p>
        </w:tc>
      </w:tr>
    </w:tbl>
    <w:p w14:paraId="49C5E393">
      <w:pPr>
        <w:pStyle w:val="190"/>
        <w:shd w:val="clear" w:color="auto" w:fill="FFFFFF"/>
        <w:spacing w:line="360" w:lineRule="auto"/>
        <w:rPr>
          <w:rFonts w:ascii="宋体" w:cs="宋体"/>
          <w:color w:val="auto"/>
          <w:sz w:val="24"/>
          <w:szCs w:val="24"/>
          <w:highlight w:val="none"/>
        </w:rPr>
      </w:pPr>
      <w:r>
        <w:rPr>
          <w:rFonts w:hint="eastAsia" w:ascii="宋体" w:hAnsi="宋体" w:cs="宋体"/>
          <w:color w:val="auto"/>
          <w:sz w:val="24"/>
          <w:szCs w:val="24"/>
          <w:highlight w:val="none"/>
          <w:lang w:val="zh-TW" w:eastAsia="zh-TW"/>
        </w:rPr>
        <w:t>投标单位（加盖电子公章）：</w:t>
      </w:r>
      <w:r>
        <w:rPr>
          <w:rFonts w:ascii="宋体" w:cs="宋体"/>
          <w:color w:val="auto"/>
          <w:sz w:val="24"/>
          <w:szCs w:val="24"/>
          <w:highlight w:val="none"/>
          <w:u w:val="single"/>
        </w:rPr>
        <w:t>                      </w:t>
      </w:r>
    </w:p>
    <w:p w14:paraId="783088F0">
      <w:pPr>
        <w:pStyle w:val="190"/>
        <w:shd w:val="clear" w:color="auto" w:fill="FFFFFF"/>
        <w:spacing w:line="360" w:lineRule="auto"/>
        <w:rPr>
          <w:rFonts w:ascii="宋体" w:cs="宋体"/>
          <w:color w:val="auto"/>
          <w:sz w:val="24"/>
          <w:szCs w:val="24"/>
          <w:highlight w:val="none"/>
          <w:u w:val="single"/>
        </w:rPr>
      </w:pPr>
      <w:r>
        <w:rPr>
          <w:rFonts w:hint="eastAsia" w:ascii="宋体" w:hAnsi="宋体" w:cs="宋体"/>
          <w:color w:val="auto"/>
          <w:sz w:val="24"/>
          <w:szCs w:val="24"/>
          <w:highlight w:val="none"/>
          <w:lang w:val="zh-TW" w:eastAsia="zh-TW"/>
        </w:rPr>
        <w:t>授权代表（签字）：</w:t>
      </w:r>
      <w:r>
        <w:rPr>
          <w:rFonts w:ascii="宋体" w:cs="宋体"/>
          <w:color w:val="auto"/>
          <w:sz w:val="24"/>
          <w:szCs w:val="24"/>
          <w:highlight w:val="none"/>
          <w:u w:val="single"/>
        </w:rPr>
        <w:t>                      </w:t>
      </w:r>
    </w:p>
    <w:p w14:paraId="7B7B0330">
      <w:pPr>
        <w:pStyle w:val="190"/>
        <w:shd w:val="clear" w:color="auto" w:fill="FFFFFF"/>
        <w:spacing w:line="360" w:lineRule="auto"/>
        <w:rPr>
          <w:rFonts w:ascii="宋体" w:cs="宋体"/>
          <w:color w:val="auto"/>
          <w:sz w:val="24"/>
          <w:szCs w:val="24"/>
          <w:highlight w:val="none"/>
          <w:u w:val="single"/>
        </w:rPr>
      </w:pPr>
      <w:r>
        <w:rPr>
          <w:rFonts w:hint="eastAsia" w:ascii="宋体" w:hAnsi="宋体" w:cs="宋体"/>
          <w:color w:val="auto"/>
          <w:sz w:val="24"/>
          <w:szCs w:val="24"/>
          <w:highlight w:val="none"/>
          <w:lang w:val="zh-TW" w:eastAsia="zh-TW"/>
        </w:rPr>
        <w:t>日期：</w:t>
      </w:r>
      <w:r>
        <w:rPr>
          <w:rFonts w:ascii="宋体" w:cs="宋体"/>
          <w:color w:val="auto"/>
          <w:sz w:val="24"/>
          <w:szCs w:val="24"/>
          <w:highlight w:val="none"/>
          <w:u w:val="single"/>
        </w:rPr>
        <w:t>                      </w:t>
      </w:r>
    </w:p>
    <w:p w14:paraId="1776837F">
      <w:pPr>
        <w:pStyle w:val="190"/>
        <w:shd w:val="clear" w:color="auto" w:fill="FFFFFF"/>
        <w:spacing w:line="360" w:lineRule="auto"/>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说明：本项目仅接受一个价格，不得填报有选择性报价方案。</w:t>
      </w:r>
    </w:p>
    <w:p w14:paraId="1791CB03">
      <w:pPr>
        <w:pStyle w:val="212"/>
        <w:rPr>
          <w:color w:val="auto"/>
          <w:highlight w:val="none"/>
        </w:rPr>
      </w:pPr>
    </w:p>
    <w:p w14:paraId="52847EA3">
      <w:pPr>
        <w:pStyle w:val="212"/>
        <w:rPr>
          <w:color w:val="auto"/>
          <w:highlight w:val="none"/>
        </w:rPr>
      </w:pPr>
    </w:p>
    <w:p w14:paraId="0B8B02BD">
      <w:pPr>
        <w:pStyle w:val="212"/>
        <w:rPr>
          <w:color w:val="auto"/>
          <w:highlight w:val="none"/>
        </w:rPr>
      </w:pPr>
    </w:p>
    <w:p w14:paraId="257851D5">
      <w:pPr>
        <w:pStyle w:val="191"/>
        <w:spacing w:before="0" w:after="0" w:line="360" w:lineRule="auto"/>
        <w:jc w:val="left"/>
        <w:rPr>
          <w:rFonts w:ascii="宋体" w:cs="宋体"/>
          <w:color w:val="auto"/>
          <w:sz w:val="24"/>
          <w:szCs w:val="24"/>
          <w:highlight w:val="none"/>
          <w:lang w:val="zh-TW" w:eastAsia="zh-TW"/>
        </w:rPr>
      </w:pPr>
      <w:r>
        <w:rPr>
          <w:rFonts w:hint="eastAsia" w:ascii="宋体" w:hAnsi="宋体" w:cs="宋体"/>
          <w:color w:val="auto"/>
          <w:sz w:val="24"/>
          <w:szCs w:val="24"/>
          <w:highlight w:val="none"/>
          <w:lang w:val="zh-TW" w:eastAsia="zh-TW"/>
        </w:rPr>
        <w:br w:type="page" w:clear="all"/>
      </w:r>
      <w:r>
        <w:rPr>
          <w:rFonts w:hint="eastAsia" w:ascii="宋体" w:hAnsi="宋体" w:cs="宋体"/>
          <w:color w:val="auto"/>
          <w:sz w:val="24"/>
          <w:szCs w:val="24"/>
          <w:highlight w:val="none"/>
          <w:lang w:val="zh-TW" w:eastAsia="zh-TW"/>
        </w:rPr>
        <w:t>附件四：分项报价表格式</w:t>
      </w:r>
    </w:p>
    <w:p w14:paraId="4459524A">
      <w:pPr>
        <w:spacing w:line="360" w:lineRule="auto"/>
        <w:jc w:val="center"/>
        <w:outlineLvl w:val="0"/>
        <w:rPr>
          <w:rFonts w:ascii="宋体" w:hAnsi="宋体" w:cs="宋体"/>
          <w:color w:val="auto"/>
          <w:highlight w:val="none"/>
          <w:lang w:val="zh-TW" w:eastAsia="zh-TW"/>
        </w:rPr>
      </w:pPr>
      <w:bookmarkStart w:id="212" w:name="_Toc497"/>
      <w:r>
        <w:rPr>
          <w:rFonts w:hint="eastAsia" w:ascii="宋体" w:hAnsi="宋体" w:cs="宋体"/>
          <w:color w:val="auto"/>
          <w:highlight w:val="none"/>
          <w:lang w:val="zh-TW" w:eastAsia="zh-TW"/>
        </w:rPr>
        <w:t>分项报价表</w:t>
      </w:r>
      <w:bookmarkEnd w:id="212"/>
    </w:p>
    <w:p w14:paraId="63C73E85">
      <w:pPr>
        <w:ind w:firstLine="420"/>
        <w:jc w:val="center"/>
        <w:rPr>
          <w:rFonts w:ascii="宋体" w:hAnsi="宋体"/>
          <w:color w:val="auto"/>
          <w:highlight w:val="none"/>
          <w:lang w:val="zh-CN" w:eastAsia="zh-CN"/>
        </w:rPr>
      </w:pPr>
      <w:r>
        <w:rPr>
          <w:rFonts w:hint="eastAsia" w:ascii="宋体" w:hAnsi="宋体"/>
          <w:color w:val="auto"/>
          <w:highlight w:val="none"/>
          <w:lang w:val="zh-CN" w:eastAsia="zh-CN"/>
        </w:rPr>
        <w:t>（根据工程量清单进行报价）</w:t>
      </w:r>
    </w:p>
    <w:p w14:paraId="52763428">
      <w:pPr>
        <w:pStyle w:val="302"/>
        <w:rPr>
          <w:color w:val="auto"/>
          <w:highlight w:val="none"/>
          <w:lang w:val="zh-CN"/>
        </w:rPr>
      </w:pPr>
    </w:p>
    <w:p w14:paraId="0C719E05">
      <w:pPr>
        <w:pStyle w:val="190"/>
        <w:rPr>
          <w:color w:val="auto"/>
          <w:sz w:val="24"/>
          <w:szCs w:val="24"/>
          <w:highlight w:val="none"/>
        </w:rPr>
      </w:pPr>
    </w:p>
    <w:p w14:paraId="78BD25A6">
      <w:pPr>
        <w:pStyle w:val="190"/>
        <w:rPr>
          <w:color w:val="auto"/>
          <w:sz w:val="24"/>
          <w:szCs w:val="24"/>
          <w:highlight w:val="none"/>
          <w:shd w:val="clear" w:color="auto" w:fill="FF0000"/>
          <w:lang w:eastAsia="zh-TW"/>
        </w:rPr>
      </w:pPr>
    </w:p>
    <w:p w14:paraId="6F529F8C">
      <w:pPr>
        <w:rPr>
          <w:rFonts w:ascii="宋体" w:hAnsi="宋体" w:cs="宋体"/>
          <w:b/>
          <w:bCs/>
          <w:color w:val="auto"/>
          <w:highlight w:val="none"/>
          <w:lang w:val="zh-TW" w:eastAsia="zh-TW"/>
        </w:rPr>
      </w:pPr>
      <w:r>
        <w:rPr>
          <w:rFonts w:ascii="宋体" w:hAnsi="宋体" w:cs="宋体"/>
          <w:b/>
          <w:bCs/>
          <w:color w:val="auto"/>
          <w:highlight w:val="none"/>
          <w:lang w:val="zh-TW" w:eastAsia="zh-TW"/>
        </w:rPr>
        <w:br w:type="page" w:clear="all"/>
      </w:r>
    </w:p>
    <w:p w14:paraId="131AA028">
      <w:pPr>
        <w:pStyle w:val="190"/>
        <w:rPr>
          <w:b/>
          <w:bCs/>
          <w:color w:val="auto"/>
          <w:sz w:val="24"/>
          <w:szCs w:val="24"/>
          <w:highlight w:val="none"/>
          <w:lang w:val="zh-TW" w:eastAsia="zh-TW"/>
        </w:rPr>
      </w:pPr>
      <w:r>
        <w:rPr>
          <w:rFonts w:hint="eastAsia" w:ascii="宋体" w:hAnsi="宋体" w:cs="宋体"/>
          <w:b/>
          <w:bCs/>
          <w:color w:val="auto"/>
          <w:sz w:val="24"/>
          <w:szCs w:val="24"/>
          <w:highlight w:val="none"/>
          <w:lang w:val="zh-TW" w:eastAsia="zh-TW"/>
        </w:rPr>
        <w:t>附件五：技术规格偏离表格式</w:t>
      </w:r>
    </w:p>
    <w:p w14:paraId="44B7C01F">
      <w:pPr>
        <w:spacing w:line="360" w:lineRule="auto"/>
        <w:jc w:val="center"/>
        <w:outlineLvl w:val="0"/>
        <w:rPr>
          <w:rFonts w:ascii="宋体" w:hAnsi="宋体" w:cs="宋体"/>
          <w:color w:val="auto"/>
          <w:highlight w:val="none"/>
          <w:lang w:val="zh-TW" w:eastAsia="zh-TW"/>
        </w:rPr>
      </w:pPr>
      <w:bookmarkStart w:id="213" w:name="_Toc9495"/>
      <w:r>
        <w:rPr>
          <w:rFonts w:hint="eastAsia" w:ascii="宋体" w:hAnsi="宋体" w:cs="宋体"/>
          <w:color w:val="auto"/>
          <w:highlight w:val="none"/>
          <w:lang w:val="zh-TW" w:eastAsia="zh-TW"/>
        </w:rPr>
        <w:t>技术规格偏离表</w:t>
      </w:r>
      <w:bookmarkEnd w:id="213"/>
    </w:p>
    <w:tbl>
      <w:tblPr>
        <w:tblStyle w:val="33"/>
        <w:tblW w:w="10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80" w:type="dxa"/>
          <w:bottom w:w="80" w:type="dxa"/>
          <w:right w:w="80" w:type="dxa"/>
        </w:tblCellMar>
      </w:tblPr>
      <w:tblGrid>
        <w:gridCol w:w="1276"/>
        <w:gridCol w:w="2876"/>
        <w:gridCol w:w="2047"/>
        <w:gridCol w:w="1394"/>
        <w:gridCol w:w="1425"/>
        <w:gridCol w:w="1425"/>
      </w:tblGrid>
      <w:tr w14:paraId="0CF2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360" w:hRule="atLeast"/>
          <w:jc w:val="center"/>
        </w:trPr>
        <w:tc>
          <w:tcPr>
            <w:tcW w:w="6199" w:type="dxa"/>
            <w:gridSpan w:val="3"/>
            <w:noWrap w:val="0"/>
            <w:tcMar>
              <w:top w:w="80" w:type="dxa"/>
              <w:left w:w="80" w:type="dxa"/>
              <w:bottom w:w="80" w:type="dxa"/>
              <w:right w:w="80" w:type="dxa"/>
            </w:tcMar>
            <w:vAlign w:val="center"/>
          </w:tcPr>
          <w:p w14:paraId="326AF607">
            <w:pPr>
              <w:pStyle w:val="190"/>
              <w:spacing w:line="360" w:lineRule="auto"/>
              <w:rPr>
                <w:color w:val="auto"/>
                <w:sz w:val="24"/>
                <w:szCs w:val="24"/>
                <w:highlight w:val="none"/>
              </w:rPr>
            </w:pPr>
            <w:r>
              <w:rPr>
                <w:rFonts w:hint="eastAsia" w:ascii="宋体" w:hAnsi="宋体" w:cs="宋体"/>
                <w:color w:val="auto"/>
                <w:sz w:val="24"/>
                <w:szCs w:val="24"/>
                <w:highlight w:val="none"/>
                <w:lang w:val="zh-TW" w:eastAsia="zh-TW"/>
              </w:rPr>
              <w:t>项目</w:t>
            </w: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val="zh-TW" w:eastAsia="zh-TW"/>
              </w:rPr>
              <w:t>：</w:t>
            </w:r>
            <w:r>
              <w:rPr>
                <w:rFonts w:ascii="宋体" w:cs="宋体"/>
                <w:color w:val="auto"/>
                <w:sz w:val="24"/>
                <w:szCs w:val="24"/>
                <w:highlight w:val="none"/>
              </w:rPr>
              <w:t>  </w:t>
            </w:r>
          </w:p>
        </w:tc>
        <w:tc>
          <w:tcPr>
            <w:tcW w:w="4244" w:type="dxa"/>
            <w:gridSpan w:val="3"/>
            <w:noWrap w:val="0"/>
            <w:vAlign w:val="top"/>
          </w:tcPr>
          <w:p w14:paraId="6C0AF9C2">
            <w:pPr>
              <w:pStyle w:val="19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项目编号：</w:t>
            </w:r>
          </w:p>
        </w:tc>
      </w:tr>
      <w:tr w14:paraId="5136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870" w:hRule="atLeast"/>
          <w:jc w:val="center"/>
        </w:trPr>
        <w:tc>
          <w:tcPr>
            <w:tcW w:w="1276" w:type="dxa"/>
            <w:noWrap w:val="0"/>
            <w:tcMar>
              <w:top w:w="80" w:type="dxa"/>
              <w:left w:w="80" w:type="dxa"/>
              <w:bottom w:w="80" w:type="dxa"/>
              <w:right w:w="80" w:type="dxa"/>
            </w:tcMar>
            <w:vAlign w:val="center"/>
          </w:tcPr>
          <w:p w14:paraId="65E53BC3">
            <w:pPr>
              <w:pStyle w:val="190"/>
              <w:spacing w:line="360" w:lineRule="auto"/>
              <w:jc w:val="center"/>
              <w:rPr>
                <w:color w:val="auto"/>
                <w:sz w:val="24"/>
                <w:szCs w:val="24"/>
                <w:highlight w:val="none"/>
              </w:rPr>
            </w:pPr>
            <w:r>
              <w:rPr>
                <w:rFonts w:hint="eastAsia" w:ascii="宋体" w:hAnsi="宋体" w:cs="宋体"/>
                <w:color w:val="auto"/>
                <w:sz w:val="24"/>
                <w:szCs w:val="24"/>
                <w:highlight w:val="none"/>
                <w:lang w:val="zh-TW" w:eastAsia="zh-TW"/>
              </w:rPr>
              <w:t>序号</w:t>
            </w:r>
          </w:p>
        </w:tc>
        <w:tc>
          <w:tcPr>
            <w:tcW w:w="2876" w:type="dxa"/>
            <w:noWrap w:val="0"/>
            <w:tcMar>
              <w:top w:w="80" w:type="dxa"/>
              <w:left w:w="80" w:type="dxa"/>
              <w:bottom w:w="80" w:type="dxa"/>
              <w:right w:w="80" w:type="dxa"/>
            </w:tcMar>
            <w:vAlign w:val="center"/>
          </w:tcPr>
          <w:p w14:paraId="4DE98EDF">
            <w:pPr>
              <w:pStyle w:val="190"/>
              <w:spacing w:line="360" w:lineRule="auto"/>
              <w:jc w:val="center"/>
              <w:rPr>
                <w:color w:val="auto"/>
                <w:sz w:val="24"/>
                <w:szCs w:val="24"/>
                <w:highlight w:val="none"/>
              </w:rPr>
            </w:pPr>
            <w:r>
              <w:rPr>
                <w:rFonts w:hint="eastAsia" w:ascii="宋体" w:hAnsi="宋体" w:cs="宋体"/>
                <w:color w:val="auto"/>
                <w:sz w:val="24"/>
                <w:szCs w:val="24"/>
                <w:highlight w:val="none"/>
                <w:lang w:val="zh-TW" w:eastAsia="zh-TW"/>
              </w:rPr>
              <w:t>招标要求规格</w:t>
            </w:r>
          </w:p>
        </w:tc>
        <w:tc>
          <w:tcPr>
            <w:tcW w:w="3441" w:type="dxa"/>
            <w:gridSpan w:val="2"/>
            <w:noWrap w:val="0"/>
            <w:tcMar>
              <w:top w:w="80" w:type="dxa"/>
              <w:left w:w="80" w:type="dxa"/>
              <w:bottom w:w="80" w:type="dxa"/>
              <w:right w:w="80" w:type="dxa"/>
            </w:tcMar>
            <w:vAlign w:val="center"/>
          </w:tcPr>
          <w:p w14:paraId="444F942E">
            <w:pPr>
              <w:pStyle w:val="190"/>
              <w:spacing w:line="360" w:lineRule="auto"/>
              <w:jc w:val="center"/>
              <w:rPr>
                <w:color w:val="auto"/>
                <w:sz w:val="24"/>
                <w:szCs w:val="24"/>
                <w:highlight w:val="none"/>
              </w:rPr>
            </w:pPr>
            <w:r>
              <w:rPr>
                <w:rFonts w:hint="eastAsia" w:ascii="宋体" w:hAnsi="宋体" w:cs="宋体"/>
                <w:color w:val="auto"/>
                <w:sz w:val="24"/>
                <w:szCs w:val="24"/>
                <w:highlight w:val="none"/>
                <w:lang w:val="zh-TW" w:eastAsia="zh-TW"/>
              </w:rPr>
              <w:t>投标响应</w:t>
            </w:r>
          </w:p>
        </w:tc>
        <w:tc>
          <w:tcPr>
            <w:tcW w:w="1425" w:type="dxa"/>
            <w:noWrap w:val="0"/>
            <w:tcMar>
              <w:top w:w="80" w:type="dxa"/>
              <w:left w:w="80" w:type="dxa"/>
              <w:bottom w:w="80" w:type="dxa"/>
              <w:right w:w="80" w:type="dxa"/>
            </w:tcMar>
            <w:vAlign w:val="center"/>
          </w:tcPr>
          <w:p w14:paraId="49D58409">
            <w:pPr>
              <w:pStyle w:val="190"/>
              <w:spacing w:line="360" w:lineRule="auto"/>
              <w:jc w:val="center"/>
              <w:rPr>
                <w:color w:val="auto"/>
                <w:sz w:val="24"/>
                <w:szCs w:val="24"/>
                <w:highlight w:val="none"/>
              </w:rPr>
            </w:pPr>
            <w:r>
              <w:rPr>
                <w:rFonts w:hint="eastAsia" w:ascii="宋体" w:hAnsi="宋体" w:cs="宋体"/>
                <w:color w:val="auto"/>
                <w:sz w:val="24"/>
                <w:szCs w:val="24"/>
                <w:highlight w:val="none"/>
                <w:lang w:val="zh-TW" w:eastAsia="zh-TW"/>
              </w:rPr>
              <w:t>偏离</w:t>
            </w:r>
          </w:p>
        </w:tc>
        <w:tc>
          <w:tcPr>
            <w:tcW w:w="1425" w:type="dxa"/>
            <w:noWrap w:val="0"/>
            <w:vAlign w:val="center"/>
          </w:tcPr>
          <w:p w14:paraId="7CC7C68C">
            <w:pPr>
              <w:pStyle w:val="190"/>
              <w:spacing w:line="360" w:lineRule="auto"/>
              <w:jc w:val="center"/>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备注</w:t>
            </w:r>
          </w:p>
        </w:tc>
      </w:tr>
      <w:tr w14:paraId="5EB2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300" w:hRule="atLeast"/>
          <w:jc w:val="center"/>
        </w:trPr>
        <w:tc>
          <w:tcPr>
            <w:tcW w:w="1276" w:type="dxa"/>
            <w:noWrap w:val="0"/>
            <w:tcMar>
              <w:top w:w="80" w:type="dxa"/>
              <w:left w:w="80" w:type="dxa"/>
              <w:bottom w:w="80" w:type="dxa"/>
              <w:right w:w="80" w:type="dxa"/>
            </w:tcMar>
            <w:vAlign w:val="center"/>
          </w:tcPr>
          <w:p w14:paraId="721F4BF6">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2876" w:type="dxa"/>
            <w:noWrap w:val="0"/>
            <w:tcMar>
              <w:top w:w="80" w:type="dxa"/>
              <w:left w:w="80" w:type="dxa"/>
              <w:bottom w:w="80" w:type="dxa"/>
              <w:right w:w="80" w:type="dxa"/>
            </w:tcMar>
            <w:vAlign w:val="center"/>
          </w:tcPr>
          <w:p w14:paraId="05000EBB">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3441" w:type="dxa"/>
            <w:gridSpan w:val="2"/>
            <w:noWrap w:val="0"/>
            <w:tcMar>
              <w:top w:w="80" w:type="dxa"/>
              <w:left w:w="80" w:type="dxa"/>
              <w:bottom w:w="80" w:type="dxa"/>
              <w:right w:w="80" w:type="dxa"/>
            </w:tcMar>
            <w:vAlign w:val="center"/>
          </w:tcPr>
          <w:p w14:paraId="4390D579">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1425" w:type="dxa"/>
            <w:noWrap w:val="0"/>
            <w:tcMar>
              <w:top w:w="80" w:type="dxa"/>
              <w:left w:w="80" w:type="dxa"/>
              <w:bottom w:w="80" w:type="dxa"/>
              <w:right w:w="80" w:type="dxa"/>
            </w:tcMar>
            <w:vAlign w:val="center"/>
          </w:tcPr>
          <w:p w14:paraId="3AF9904A">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1425" w:type="dxa"/>
            <w:noWrap w:val="0"/>
            <w:vAlign w:val="top"/>
          </w:tcPr>
          <w:p w14:paraId="661A528E">
            <w:pPr>
              <w:pStyle w:val="190"/>
              <w:spacing w:line="360" w:lineRule="auto"/>
              <w:jc w:val="center"/>
              <w:rPr>
                <w:rFonts w:ascii="宋体" w:cs="宋体"/>
                <w:color w:val="auto"/>
                <w:sz w:val="24"/>
                <w:szCs w:val="24"/>
                <w:highlight w:val="none"/>
              </w:rPr>
            </w:pPr>
          </w:p>
        </w:tc>
      </w:tr>
      <w:tr w14:paraId="35FA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300" w:hRule="atLeast"/>
          <w:jc w:val="center"/>
        </w:trPr>
        <w:tc>
          <w:tcPr>
            <w:tcW w:w="1276" w:type="dxa"/>
            <w:noWrap w:val="0"/>
            <w:tcMar>
              <w:top w:w="80" w:type="dxa"/>
              <w:left w:w="80" w:type="dxa"/>
              <w:bottom w:w="80" w:type="dxa"/>
              <w:right w:w="80" w:type="dxa"/>
            </w:tcMar>
            <w:vAlign w:val="center"/>
          </w:tcPr>
          <w:p w14:paraId="2384BD02">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2876" w:type="dxa"/>
            <w:noWrap w:val="0"/>
            <w:tcMar>
              <w:top w:w="80" w:type="dxa"/>
              <w:left w:w="80" w:type="dxa"/>
              <w:bottom w:w="80" w:type="dxa"/>
              <w:right w:w="80" w:type="dxa"/>
            </w:tcMar>
            <w:vAlign w:val="center"/>
          </w:tcPr>
          <w:p w14:paraId="52616939">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3441" w:type="dxa"/>
            <w:gridSpan w:val="2"/>
            <w:noWrap w:val="0"/>
            <w:tcMar>
              <w:top w:w="80" w:type="dxa"/>
              <w:left w:w="80" w:type="dxa"/>
              <w:bottom w:w="80" w:type="dxa"/>
              <w:right w:w="80" w:type="dxa"/>
            </w:tcMar>
            <w:vAlign w:val="center"/>
          </w:tcPr>
          <w:p w14:paraId="6D013D41">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1425" w:type="dxa"/>
            <w:noWrap w:val="0"/>
            <w:tcMar>
              <w:top w:w="80" w:type="dxa"/>
              <w:left w:w="80" w:type="dxa"/>
              <w:bottom w:w="80" w:type="dxa"/>
              <w:right w:w="80" w:type="dxa"/>
            </w:tcMar>
            <w:vAlign w:val="center"/>
          </w:tcPr>
          <w:p w14:paraId="6E1C9FC3">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1425" w:type="dxa"/>
            <w:noWrap w:val="0"/>
            <w:vAlign w:val="top"/>
          </w:tcPr>
          <w:p w14:paraId="461F5347">
            <w:pPr>
              <w:pStyle w:val="190"/>
              <w:spacing w:line="360" w:lineRule="auto"/>
              <w:jc w:val="center"/>
              <w:rPr>
                <w:rFonts w:ascii="宋体" w:cs="宋体"/>
                <w:color w:val="auto"/>
                <w:sz w:val="24"/>
                <w:szCs w:val="24"/>
                <w:highlight w:val="none"/>
              </w:rPr>
            </w:pPr>
          </w:p>
        </w:tc>
      </w:tr>
      <w:tr w14:paraId="7025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295" w:hRule="atLeast"/>
          <w:jc w:val="center"/>
        </w:trPr>
        <w:tc>
          <w:tcPr>
            <w:tcW w:w="1276" w:type="dxa"/>
            <w:noWrap w:val="0"/>
            <w:tcMar>
              <w:top w:w="80" w:type="dxa"/>
              <w:left w:w="80" w:type="dxa"/>
              <w:bottom w:w="80" w:type="dxa"/>
              <w:right w:w="80" w:type="dxa"/>
            </w:tcMar>
            <w:vAlign w:val="center"/>
          </w:tcPr>
          <w:p w14:paraId="70F994D1">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2876" w:type="dxa"/>
            <w:noWrap w:val="0"/>
            <w:tcMar>
              <w:top w:w="80" w:type="dxa"/>
              <w:left w:w="80" w:type="dxa"/>
              <w:bottom w:w="80" w:type="dxa"/>
              <w:right w:w="80" w:type="dxa"/>
            </w:tcMar>
            <w:vAlign w:val="center"/>
          </w:tcPr>
          <w:p w14:paraId="39BE712A">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3441" w:type="dxa"/>
            <w:gridSpan w:val="2"/>
            <w:noWrap w:val="0"/>
            <w:tcMar>
              <w:top w:w="80" w:type="dxa"/>
              <w:left w:w="80" w:type="dxa"/>
              <w:bottom w:w="80" w:type="dxa"/>
              <w:right w:w="80" w:type="dxa"/>
            </w:tcMar>
            <w:vAlign w:val="center"/>
          </w:tcPr>
          <w:p w14:paraId="299AD6D5">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1425" w:type="dxa"/>
            <w:noWrap w:val="0"/>
            <w:tcMar>
              <w:top w:w="80" w:type="dxa"/>
              <w:left w:w="80" w:type="dxa"/>
              <w:bottom w:w="80" w:type="dxa"/>
              <w:right w:w="80" w:type="dxa"/>
            </w:tcMar>
            <w:vAlign w:val="center"/>
          </w:tcPr>
          <w:p w14:paraId="214F633F">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1425" w:type="dxa"/>
            <w:noWrap w:val="0"/>
            <w:vAlign w:val="top"/>
          </w:tcPr>
          <w:p w14:paraId="2E05B10D">
            <w:pPr>
              <w:pStyle w:val="190"/>
              <w:spacing w:line="360" w:lineRule="auto"/>
              <w:jc w:val="center"/>
              <w:rPr>
                <w:rFonts w:ascii="宋体" w:cs="宋体"/>
                <w:color w:val="auto"/>
                <w:sz w:val="24"/>
                <w:szCs w:val="24"/>
                <w:highlight w:val="none"/>
              </w:rPr>
            </w:pPr>
          </w:p>
        </w:tc>
      </w:tr>
    </w:tbl>
    <w:p w14:paraId="213573F3">
      <w:pPr>
        <w:pStyle w:val="190"/>
        <w:shd w:val="clear" w:color="auto" w:fill="FFFFFF"/>
        <w:spacing w:line="360" w:lineRule="auto"/>
        <w:rPr>
          <w:rFonts w:ascii="宋体" w:cs="宋体"/>
          <w:color w:val="auto"/>
          <w:sz w:val="24"/>
          <w:szCs w:val="24"/>
          <w:highlight w:val="none"/>
        </w:rPr>
      </w:pPr>
      <w:r>
        <w:rPr>
          <w:rFonts w:hint="eastAsia" w:ascii="宋体" w:hAnsi="宋体" w:cs="宋体"/>
          <w:color w:val="auto"/>
          <w:sz w:val="24"/>
          <w:szCs w:val="24"/>
          <w:highlight w:val="none"/>
          <w:lang w:val="zh-TW" w:eastAsia="zh-TW"/>
        </w:rPr>
        <w:t>投标单位（加盖电子公章）：</w:t>
      </w:r>
      <w:r>
        <w:rPr>
          <w:rFonts w:ascii="宋体" w:cs="宋体"/>
          <w:color w:val="auto"/>
          <w:sz w:val="24"/>
          <w:szCs w:val="24"/>
          <w:highlight w:val="none"/>
          <w:u w:val="single"/>
        </w:rPr>
        <w:t>                      </w:t>
      </w:r>
    </w:p>
    <w:p w14:paraId="042A3A7B">
      <w:pPr>
        <w:pStyle w:val="190"/>
        <w:shd w:val="clear" w:color="auto" w:fill="FFFFFF"/>
        <w:spacing w:line="360" w:lineRule="auto"/>
        <w:rPr>
          <w:rFonts w:ascii="宋体" w:cs="宋体"/>
          <w:color w:val="auto"/>
          <w:sz w:val="24"/>
          <w:szCs w:val="24"/>
          <w:highlight w:val="none"/>
          <w:u w:val="single"/>
        </w:rPr>
      </w:pPr>
      <w:r>
        <w:rPr>
          <w:rFonts w:hint="eastAsia" w:ascii="宋体" w:hAnsi="宋体" w:cs="宋体"/>
          <w:color w:val="auto"/>
          <w:sz w:val="24"/>
          <w:szCs w:val="24"/>
          <w:highlight w:val="none"/>
          <w:lang w:val="zh-TW" w:eastAsia="zh-TW"/>
        </w:rPr>
        <w:t>授权代表（签字）：</w:t>
      </w:r>
      <w:r>
        <w:rPr>
          <w:rFonts w:ascii="宋体" w:cs="宋体"/>
          <w:color w:val="auto"/>
          <w:sz w:val="24"/>
          <w:szCs w:val="24"/>
          <w:highlight w:val="none"/>
          <w:u w:val="single"/>
        </w:rPr>
        <w:t>                      </w:t>
      </w:r>
    </w:p>
    <w:p w14:paraId="68C04794">
      <w:pPr>
        <w:pStyle w:val="190"/>
        <w:shd w:val="clear" w:color="auto" w:fill="FFFFFF"/>
        <w:spacing w:line="360" w:lineRule="auto"/>
        <w:rPr>
          <w:rFonts w:ascii="宋体" w:cs="宋体"/>
          <w:color w:val="auto"/>
          <w:sz w:val="24"/>
          <w:szCs w:val="24"/>
          <w:highlight w:val="none"/>
          <w:u w:val="single"/>
        </w:rPr>
      </w:pPr>
      <w:r>
        <w:rPr>
          <w:rFonts w:hint="eastAsia" w:ascii="宋体" w:hAnsi="宋体" w:cs="宋体"/>
          <w:color w:val="auto"/>
          <w:sz w:val="24"/>
          <w:szCs w:val="24"/>
          <w:highlight w:val="none"/>
          <w:lang w:val="zh-TW" w:eastAsia="zh-TW"/>
        </w:rPr>
        <w:t>日期：</w:t>
      </w:r>
      <w:r>
        <w:rPr>
          <w:rFonts w:ascii="宋体" w:cs="宋体"/>
          <w:color w:val="auto"/>
          <w:sz w:val="24"/>
          <w:szCs w:val="24"/>
          <w:highlight w:val="none"/>
          <w:u w:val="single"/>
        </w:rPr>
        <w:t>                      </w:t>
      </w:r>
    </w:p>
    <w:p w14:paraId="4603E78D">
      <w:pPr>
        <w:pStyle w:val="190"/>
        <w:shd w:val="clear" w:color="auto" w:fill="FFFFFF"/>
        <w:spacing w:line="360" w:lineRule="auto"/>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说明：</w:t>
      </w:r>
    </w:p>
    <w:p w14:paraId="559FA4C5">
      <w:pPr>
        <w:shd w:val="clear" w:color="auto" w:fill="FFFFFF"/>
        <w:spacing w:line="360" w:lineRule="auto"/>
        <w:rPr>
          <w:rFonts w:ascii="宋体" w:hAnsi="宋体" w:cs="宋体"/>
          <w:color w:val="auto"/>
          <w:highlight w:val="none"/>
          <w:lang w:val="zh-TW" w:eastAsia="zh-TW"/>
        </w:rPr>
      </w:pPr>
      <w:r>
        <w:rPr>
          <w:rFonts w:ascii="宋体" w:hAnsi="宋体" w:cs="宋体"/>
          <w:color w:val="auto"/>
          <w:highlight w:val="none"/>
          <w:lang w:val="zh-TW" w:eastAsia="zh-TW"/>
        </w:rPr>
        <w:t>1</w:t>
      </w:r>
      <w:r>
        <w:rPr>
          <w:rFonts w:hint="eastAsia" w:ascii="宋体" w:hAnsi="宋体" w:cs="宋体"/>
          <w:color w:val="auto"/>
          <w:highlight w:val="none"/>
          <w:lang w:val="zh-TW" w:eastAsia="zh-TW"/>
        </w:rPr>
        <w:t>、供应商应在上表中明确投标文件技术部分与招标文件要求的技术或服务要求偏离情况，未在上表中说明的，如在投标文件其他内容中已有文字说明或相关证明材料的，则以已有文字说明或相关证明材料为准，但该表不作为供应商对所投项目关于技术或服务要求等详细描述和说明的替代。</w:t>
      </w:r>
    </w:p>
    <w:p w14:paraId="3F844303">
      <w:pPr>
        <w:pStyle w:val="190"/>
        <w:shd w:val="clear" w:color="auto" w:fill="FFFFFF"/>
        <w:spacing w:line="360" w:lineRule="auto"/>
        <w:rPr>
          <w:rFonts w:ascii="宋体" w:hAnsi="宋体" w:cs="宋体"/>
          <w:color w:val="auto"/>
          <w:sz w:val="24"/>
          <w:szCs w:val="24"/>
          <w:highlight w:val="none"/>
          <w:lang w:val="zh-TW" w:eastAsia="zh-TW"/>
        </w:rPr>
      </w:pPr>
      <w:r>
        <w:rPr>
          <w:rFonts w:ascii="宋体" w:hAnsi="宋体" w:cs="宋体"/>
          <w:color w:val="auto"/>
          <w:sz w:val="24"/>
          <w:szCs w:val="24"/>
          <w:highlight w:val="none"/>
          <w:lang w:val="zh-TW" w:eastAsia="zh-TW"/>
        </w:rPr>
        <w:t>2</w:t>
      </w:r>
      <w:r>
        <w:rPr>
          <w:rFonts w:hint="eastAsia" w:ascii="宋体" w:hAnsi="宋体" w:cs="宋体"/>
          <w:color w:val="auto"/>
          <w:sz w:val="24"/>
          <w:szCs w:val="24"/>
          <w:highlight w:val="none"/>
          <w:lang w:val="zh-TW" w:eastAsia="zh-TW"/>
        </w:rPr>
        <w:t>、如果行数不够，请自行增加。</w:t>
      </w:r>
    </w:p>
    <w:p w14:paraId="54124BE8">
      <w:pPr>
        <w:pStyle w:val="190"/>
        <w:rPr>
          <w:rFonts w:ascii="宋体" w:cs="宋体"/>
          <w:b/>
          <w:bCs/>
          <w:color w:val="auto"/>
          <w:sz w:val="24"/>
          <w:szCs w:val="24"/>
          <w:highlight w:val="none"/>
        </w:rPr>
      </w:pPr>
    </w:p>
    <w:p w14:paraId="4470F584">
      <w:pPr>
        <w:pStyle w:val="190"/>
        <w:rPr>
          <w:rFonts w:ascii="宋体" w:cs="宋体"/>
          <w:b/>
          <w:bCs/>
          <w:color w:val="auto"/>
          <w:sz w:val="24"/>
          <w:szCs w:val="24"/>
          <w:highlight w:val="none"/>
        </w:rPr>
      </w:pPr>
    </w:p>
    <w:p w14:paraId="762BCC59">
      <w:pPr>
        <w:pStyle w:val="190"/>
        <w:rPr>
          <w:rFonts w:ascii="宋体" w:cs="宋体"/>
          <w:b/>
          <w:bCs/>
          <w:color w:val="auto"/>
          <w:sz w:val="24"/>
          <w:szCs w:val="24"/>
          <w:highlight w:val="none"/>
        </w:rPr>
      </w:pPr>
    </w:p>
    <w:p w14:paraId="745808EB">
      <w:pPr>
        <w:pStyle w:val="190"/>
        <w:rPr>
          <w:rFonts w:ascii="宋体" w:cs="宋体"/>
          <w:b/>
          <w:bCs/>
          <w:color w:val="auto"/>
          <w:sz w:val="24"/>
          <w:szCs w:val="24"/>
          <w:highlight w:val="none"/>
        </w:rPr>
      </w:pPr>
    </w:p>
    <w:p w14:paraId="51DD3C9D">
      <w:pPr>
        <w:pStyle w:val="190"/>
        <w:rPr>
          <w:rFonts w:ascii="宋体" w:cs="宋体"/>
          <w:b/>
          <w:bCs/>
          <w:color w:val="auto"/>
          <w:sz w:val="24"/>
          <w:szCs w:val="24"/>
          <w:highlight w:val="none"/>
        </w:rPr>
      </w:pPr>
    </w:p>
    <w:p w14:paraId="6D720864">
      <w:pPr>
        <w:pStyle w:val="190"/>
        <w:rPr>
          <w:rFonts w:ascii="宋体" w:cs="宋体"/>
          <w:b/>
          <w:bCs/>
          <w:color w:val="auto"/>
          <w:sz w:val="24"/>
          <w:szCs w:val="24"/>
          <w:highlight w:val="none"/>
        </w:rPr>
      </w:pPr>
    </w:p>
    <w:p w14:paraId="425AC5BE">
      <w:pPr>
        <w:pStyle w:val="190"/>
        <w:rPr>
          <w:rFonts w:ascii="宋体" w:cs="宋体"/>
          <w:b/>
          <w:bCs/>
          <w:color w:val="auto"/>
          <w:sz w:val="24"/>
          <w:szCs w:val="24"/>
          <w:highlight w:val="none"/>
        </w:rPr>
      </w:pPr>
    </w:p>
    <w:p w14:paraId="4BE31103">
      <w:pPr>
        <w:pStyle w:val="190"/>
        <w:rPr>
          <w:rFonts w:ascii="宋体" w:cs="宋体"/>
          <w:b/>
          <w:bCs/>
          <w:color w:val="auto"/>
          <w:sz w:val="24"/>
          <w:szCs w:val="24"/>
          <w:highlight w:val="none"/>
        </w:rPr>
      </w:pPr>
    </w:p>
    <w:p w14:paraId="4CDCD2CA">
      <w:pPr>
        <w:pStyle w:val="190"/>
        <w:rPr>
          <w:rFonts w:ascii="宋体" w:cs="宋体"/>
          <w:b/>
          <w:bCs/>
          <w:color w:val="auto"/>
          <w:sz w:val="24"/>
          <w:szCs w:val="24"/>
          <w:highlight w:val="none"/>
        </w:rPr>
      </w:pPr>
    </w:p>
    <w:p w14:paraId="7E5E750D">
      <w:pPr>
        <w:pStyle w:val="190"/>
        <w:rPr>
          <w:rFonts w:ascii="宋体" w:cs="宋体"/>
          <w:b/>
          <w:bCs/>
          <w:color w:val="auto"/>
          <w:sz w:val="24"/>
          <w:szCs w:val="24"/>
          <w:highlight w:val="none"/>
        </w:rPr>
      </w:pPr>
    </w:p>
    <w:p w14:paraId="3FDA9EFF">
      <w:pPr>
        <w:rPr>
          <w:rFonts w:ascii="宋体" w:hAnsi="宋体" w:cs="宋体"/>
          <w:b/>
          <w:bCs/>
          <w:color w:val="auto"/>
          <w:highlight w:val="none"/>
          <w:lang w:val="zh-TW" w:eastAsia="zh-TW"/>
        </w:rPr>
      </w:pPr>
    </w:p>
    <w:p w14:paraId="01500428">
      <w:pPr>
        <w:pStyle w:val="228"/>
        <w:rPr>
          <w:rFonts w:ascii="宋体" w:hAnsi="宋体" w:cs="宋体"/>
          <w:b/>
          <w:bCs/>
          <w:color w:val="auto"/>
          <w:highlight w:val="none"/>
          <w:lang w:val="zh-TW" w:eastAsia="zh-TW"/>
        </w:rPr>
      </w:pPr>
    </w:p>
    <w:p w14:paraId="3C58D8EF">
      <w:pPr>
        <w:pStyle w:val="228"/>
        <w:rPr>
          <w:rFonts w:ascii="宋体" w:hAnsi="宋体" w:cs="宋体"/>
          <w:b/>
          <w:bCs/>
          <w:color w:val="auto"/>
          <w:highlight w:val="none"/>
          <w:lang w:val="zh-TW" w:eastAsia="zh-TW"/>
        </w:rPr>
      </w:pPr>
    </w:p>
    <w:p w14:paraId="3491E585">
      <w:pPr>
        <w:pStyle w:val="228"/>
        <w:rPr>
          <w:rFonts w:ascii="宋体" w:hAnsi="宋体" w:cs="宋体"/>
          <w:b/>
          <w:bCs/>
          <w:color w:val="auto"/>
          <w:highlight w:val="none"/>
          <w:lang w:val="zh-TW" w:eastAsia="zh-TW"/>
        </w:rPr>
      </w:pPr>
    </w:p>
    <w:p w14:paraId="0CD70C14">
      <w:pPr>
        <w:pStyle w:val="191"/>
        <w:spacing w:before="0" w:after="0" w:line="360" w:lineRule="auto"/>
        <w:jc w:val="left"/>
        <w:rPr>
          <w:rFonts w:ascii="宋体" w:cs="宋体"/>
          <w:color w:val="auto"/>
          <w:sz w:val="24"/>
          <w:szCs w:val="24"/>
          <w:highlight w:val="none"/>
          <w:lang w:val="zh-TW" w:eastAsia="zh-TW"/>
        </w:rPr>
      </w:pPr>
      <w:r>
        <w:rPr>
          <w:rFonts w:hint="eastAsia" w:ascii="宋体" w:hAnsi="宋体" w:cs="宋体"/>
          <w:color w:val="auto"/>
          <w:sz w:val="24"/>
          <w:szCs w:val="24"/>
          <w:highlight w:val="none"/>
          <w:lang w:val="zh-TW" w:eastAsia="zh-TW"/>
        </w:rPr>
        <w:t>附件六：商务条款偏离表格式</w:t>
      </w:r>
    </w:p>
    <w:p w14:paraId="7BA0E260">
      <w:pPr>
        <w:spacing w:line="360" w:lineRule="auto"/>
        <w:jc w:val="center"/>
        <w:outlineLvl w:val="0"/>
        <w:rPr>
          <w:rFonts w:ascii="宋体" w:hAnsi="宋体" w:cs="宋体"/>
          <w:color w:val="auto"/>
          <w:highlight w:val="none"/>
          <w:lang w:val="zh-TW" w:eastAsia="zh-TW"/>
        </w:rPr>
      </w:pPr>
      <w:bookmarkStart w:id="214" w:name="_Toc759"/>
      <w:r>
        <w:rPr>
          <w:rFonts w:hint="eastAsia" w:ascii="宋体" w:hAnsi="宋体" w:cs="宋体"/>
          <w:color w:val="auto"/>
          <w:highlight w:val="none"/>
          <w:lang w:val="zh-TW" w:eastAsia="zh-TW"/>
        </w:rPr>
        <w:t>商务条款偏离表</w:t>
      </w:r>
      <w:bookmarkEnd w:id="214"/>
    </w:p>
    <w:tbl>
      <w:tblPr>
        <w:tblStyle w:val="33"/>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80" w:type="dxa"/>
          <w:bottom w:w="80" w:type="dxa"/>
          <w:right w:w="80" w:type="dxa"/>
        </w:tblCellMar>
      </w:tblPr>
      <w:tblGrid>
        <w:gridCol w:w="1412"/>
        <w:gridCol w:w="2592"/>
        <w:gridCol w:w="1034"/>
        <w:gridCol w:w="1927"/>
        <w:gridCol w:w="1559"/>
        <w:gridCol w:w="1146"/>
      </w:tblGrid>
      <w:tr w14:paraId="6BF9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360" w:hRule="atLeast"/>
          <w:tblHeader/>
          <w:jc w:val="center"/>
        </w:trPr>
        <w:tc>
          <w:tcPr>
            <w:tcW w:w="5038" w:type="dxa"/>
            <w:gridSpan w:val="3"/>
            <w:noWrap w:val="0"/>
            <w:tcMar>
              <w:top w:w="80" w:type="dxa"/>
              <w:left w:w="80" w:type="dxa"/>
              <w:bottom w:w="80" w:type="dxa"/>
              <w:right w:w="80" w:type="dxa"/>
            </w:tcMar>
            <w:vAlign w:val="center"/>
          </w:tcPr>
          <w:p w14:paraId="0501AF4D">
            <w:pPr>
              <w:pStyle w:val="190"/>
              <w:spacing w:line="360" w:lineRule="auto"/>
              <w:rPr>
                <w:color w:val="auto"/>
                <w:sz w:val="24"/>
                <w:szCs w:val="24"/>
                <w:highlight w:val="none"/>
              </w:rPr>
            </w:pPr>
            <w:r>
              <w:rPr>
                <w:rFonts w:hint="eastAsia" w:ascii="宋体" w:hAnsi="宋体" w:cs="宋体"/>
                <w:color w:val="auto"/>
                <w:sz w:val="24"/>
                <w:szCs w:val="24"/>
                <w:highlight w:val="none"/>
                <w:lang w:val="zh-TW" w:eastAsia="zh-TW"/>
              </w:rPr>
              <w:t>项目</w:t>
            </w: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val="zh-TW" w:eastAsia="zh-TW"/>
              </w:rPr>
              <w:t>：</w:t>
            </w:r>
            <w:r>
              <w:rPr>
                <w:rFonts w:ascii="宋体" w:cs="宋体"/>
                <w:color w:val="auto"/>
                <w:sz w:val="24"/>
                <w:szCs w:val="24"/>
                <w:highlight w:val="none"/>
              </w:rPr>
              <w:t>          </w:t>
            </w:r>
          </w:p>
        </w:tc>
        <w:tc>
          <w:tcPr>
            <w:tcW w:w="4632" w:type="dxa"/>
            <w:gridSpan w:val="3"/>
            <w:noWrap w:val="0"/>
            <w:vAlign w:val="top"/>
          </w:tcPr>
          <w:p w14:paraId="303C43BF">
            <w:pPr>
              <w:pStyle w:val="190"/>
              <w:spacing w:line="360" w:lineRule="auto"/>
              <w:rPr>
                <w:rFonts w:ascii="宋体" w:hAnsi="宋体" w:cs="宋体"/>
                <w:color w:val="auto"/>
                <w:sz w:val="24"/>
                <w:szCs w:val="24"/>
                <w:highlight w:val="none"/>
                <w:lang w:val="zh-TW" w:eastAsia="zh-TW"/>
              </w:rPr>
            </w:pPr>
            <w:r>
              <w:rPr>
                <w:rFonts w:hint="eastAsia" w:ascii="宋体" w:hAnsi="宋体" w:cs="宋体"/>
                <w:color w:val="auto"/>
                <w:sz w:val="24"/>
                <w:szCs w:val="24"/>
                <w:highlight w:val="none"/>
              </w:rPr>
              <w:t>项目编号：</w:t>
            </w:r>
          </w:p>
        </w:tc>
      </w:tr>
      <w:tr w14:paraId="00C3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870" w:hRule="atLeast"/>
          <w:jc w:val="center"/>
        </w:trPr>
        <w:tc>
          <w:tcPr>
            <w:tcW w:w="1412" w:type="dxa"/>
            <w:noWrap w:val="0"/>
            <w:tcMar>
              <w:top w:w="80" w:type="dxa"/>
              <w:left w:w="80" w:type="dxa"/>
              <w:bottom w:w="80" w:type="dxa"/>
              <w:right w:w="80" w:type="dxa"/>
            </w:tcMar>
            <w:vAlign w:val="center"/>
          </w:tcPr>
          <w:p w14:paraId="7B921581">
            <w:pPr>
              <w:pStyle w:val="190"/>
              <w:spacing w:line="360" w:lineRule="auto"/>
              <w:jc w:val="center"/>
              <w:rPr>
                <w:color w:val="auto"/>
                <w:sz w:val="24"/>
                <w:szCs w:val="24"/>
                <w:highlight w:val="none"/>
              </w:rPr>
            </w:pPr>
            <w:r>
              <w:rPr>
                <w:rFonts w:hint="eastAsia" w:ascii="宋体" w:hAnsi="宋体" w:cs="宋体"/>
                <w:color w:val="auto"/>
                <w:sz w:val="24"/>
                <w:szCs w:val="24"/>
                <w:highlight w:val="none"/>
                <w:lang w:val="zh-TW" w:eastAsia="zh-TW"/>
              </w:rPr>
              <w:t>序号</w:t>
            </w:r>
          </w:p>
        </w:tc>
        <w:tc>
          <w:tcPr>
            <w:tcW w:w="2592" w:type="dxa"/>
            <w:noWrap w:val="0"/>
            <w:tcMar>
              <w:top w:w="80" w:type="dxa"/>
              <w:left w:w="80" w:type="dxa"/>
              <w:bottom w:w="80" w:type="dxa"/>
              <w:right w:w="80" w:type="dxa"/>
            </w:tcMar>
            <w:vAlign w:val="center"/>
          </w:tcPr>
          <w:p w14:paraId="046FF482">
            <w:pPr>
              <w:pStyle w:val="190"/>
              <w:spacing w:line="360" w:lineRule="auto"/>
              <w:jc w:val="center"/>
              <w:rPr>
                <w:color w:val="auto"/>
                <w:sz w:val="24"/>
                <w:szCs w:val="24"/>
                <w:highlight w:val="none"/>
              </w:rPr>
            </w:pPr>
            <w:r>
              <w:rPr>
                <w:rFonts w:hint="eastAsia" w:ascii="宋体" w:hAnsi="宋体" w:cs="宋体"/>
                <w:color w:val="auto"/>
                <w:sz w:val="24"/>
                <w:szCs w:val="24"/>
                <w:highlight w:val="none"/>
                <w:lang w:val="zh-TW" w:eastAsia="zh-TW"/>
              </w:rPr>
              <w:t>招标文件要求的商务条款</w:t>
            </w:r>
          </w:p>
        </w:tc>
        <w:tc>
          <w:tcPr>
            <w:tcW w:w="2961" w:type="dxa"/>
            <w:gridSpan w:val="2"/>
            <w:noWrap w:val="0"/>
            <w:tcMar>
              <w:top w:w="80" w:type="dxa"/>
              <w:left w:w="80" w:type="dxa"/>
              <w:bottom w:w="80" w:type="dxa"/>
              <w:right w:w="80" w:type="dxa"/>
            </w:tcMar>
            <w:vAlign w:val="center"/>
          </w:tcPr>
          <w:p w14:paraId="4389EA6A">
            <w:pPr>
              <w:pStyle w:val="190"/>
              <w:spacing w:line="360" w:lineRule="auto"/>
              <w:jc w:val="center"/>
              <w:rPr>
                <w:color w:val="auto"/>
                <w:sz w:val="24"/>
                <w:szCs w:val="24"/>
                <w:highlight w:val="none"/>
              </w:rPr>
            </w:pPr>
            <w:r>
              <w:rPr>
                <w:rFonts w:hint="eastAsia" w:ascii="宋体" w:hAnsi="宋体" w:cs="宋体"/>
                <w:color w:val="auto"/>
                <w:sz w:val="24"/>
                <w:szCs w:val="24"/>
                <w:highlight w:val="none"/>
                <w:lang w:val="zh-TW" w:eastAsia="zh-TW"/>
              </w:rPr>
              <w:t>投标响应</w:t>
            </w:r>
          </w:p>
        </w:tc>
        <w:tc>
          <w:tcPr>
            <w:tcW w:w="1559" w:type="dxa"/>
            <w:noWrap w:val="0"/>
            <w:tcMar>
              <w:top w:w="80" w:type="dxa"/>
              <w:left w:w="80" w:type="dxa"/>
              <w:bottom w:w="80" w:type="dxa"/>
              <w:right w:w="80" w:type="dxa"/>
            </w:tcMar>
            <w:vAlign w:val="center"/>
          </w:tcPr>
          <w:p w14:paraId="03AAB5DC">
            <w:pPr>
              <w:pStyle w:val="190"/>
              <w:spacing w:line="360" w:lineRule="auto"/>
              <w:jc w:val="center"/>
              <w:rPr>
                <w:color w:val="auto"/>
                <w:sz w:val="24"/>
                <w:szCs w:val="24"/>
                <w:highlight w:val="none"/>
              </w:rPr>
            </w:pPr>
            <w:r>
              <w:rPr>
                <w:rFonts w:hint="eastAsia" w:ascii="宋体" w:hAnsi="宋体" w:cs="宋体"/>
                <w:color w:val="auto"/>
                <w:sz w:val="24"/>
                <w:szCs w:val="24"/>
                <w:highlight w:val="none"/>
                <w:lang w:val="zh-TW" w:eastAsia="zh-TW"/>
              </w:rPr>
              <w:t>偏离</w:t>
            </w:r>
          </w:p>
        </w:tc>
        <w:tc>
          <w:tcPr>
            <w:tcW w:w="1146" w:type="dxa"/>
            <w:noWrap w:val="0"/>
            <w:vAlign w:val="center"/>
          </w:tcPr>
          <w:p w14:paraId="6BE00843">
            <w:pPr>
              <w:pStyle w:val="190"/>
              <w:spacing w:line="360" w:lineRule="auto"/>
              <w:jc w:val="center"/>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备注</w:t>
            </w:r>
          </w:p>
        </w:tc>
      </w:tr>
      <w:tr w14:paraId="3224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300" w:hRule="atLeast"/>
          <w:jc w:val="center"/>
        </w:trPr>
        <w:tc>
          <w:tcPr>
            <w:tcW w:w="1412" w:type="dxa"/>
            <w:noWrap w:val="0"/>
            <w:tcMar>
              <w:top w:w="80" w:type="dxa"/>
              <w:left w:w="80" w:type="dxa"/>
              <w:bottom w:w="80" w:type="dxa"/>
              <w:right w:w="80" w:type="dxa"/>
            </w:tcMar>
            <w:vAlign w:val="center"/>
          </w:tcPr>
          <w:p w14:paraId="3CE60F32">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2592" w:type="dxa"/>
            <w:noWrap w:val="0"/>
            <w:tcMar>
              <w:top w:w="80" w:type="dxa"/>
              <w:left w:w="80" w:type="dxa"/>
              <w:bottom w:w="80" w:type="dxa"/>
              <w:right w:w="80" w:type="dxa"/>
            </w:tcMar>
            <w:vAlign w:val="center"/>
          </w:tcPr>
          <w:p w14:paraId="270FDECB">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2961" w:type="dxa"/>
            <w:gridSpan w:val="2"/>
            <w:noWrap w:val="0"/>
            <w:tcMar>
              <w:top w:w="80" w:type="dxa"/>
              <w:left w:w="80" w:type="dxa"/>
              <w:bottom w:w="80" w:type="dxa"/>
              <w:right w:w="80" w:type="dxa"/>
            </w:tcMar>
            <w:vAlign w:val="center"/>
          </w:tcPr>
          <w:p w14:paraId="7517DC7B">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1559" w:type="dxa"/>
            <w:noWrap w:val="0"/>
            <w:tcMar>
              <w:top w:w="80" w:type="dxa"/>
              <w:left w:w="80" w:type="dxa"/>
              <w:bottom w:w="80" w:type="dxa"/>
              <w:right w:w="80" w:type="dxa"/>
            </w:tcMar>
            <w:vAlign w:val="center"/>
          </w:tcPr>
          <w:p w14:paraId="0D4406D9">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1146" w:type="dxa"/>
            <w:noWrap w:val="0"/>
            <w:vAlign w:val="top"/>
          </w:tcPr>
          <w:p w14:paraId="2E38B568">
            <w:pPr>
              <w:pStyle w:val="190"/>
              <w:spacing w:line="360" w:lineRule="auto"/>
              <w:jc w:val="center"/>
              <w:rPr>
                <w:rFonts w:ascii="宋体" w:cs="宋体"/>
                <w:color w:val="auto"/>
                <w:sz w:val="24"/>
                <w:szCs w:val="24"/>
                <w:highlight w:val="none"/>
              </w:rPr>
            </w:pPr>
          </w:p>
        </w:tc>
      </w:tr>
      <w:tr w14:paraId="5BB0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300" w:hRule="atLeast"/>
          <w:jc w:val="center"/>
        </w:trPr>
        <w:tc>
          <w:tcPr>
            <w:tcW w:w="1412" w:type="dxa"/>
            <w:noWrap w:val="0"/>
            <w:tcMar>
              <w:top w:w="80" w:type="dxa"/>
              <w:left w:w="80" w:type="dxa"/>
              <w:bottom w:w="80" w:type="dxa"/>
              <w:right w:w="80" w:type="dxa"/>
            </w:tcMar>
            <w:vAlign w:val="center"/>
          </w:tcPr>
          <w:p w14:paraId="0F680681">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2592" w:type="dxa"/>
            <w:noWrap w:val="0"/>
            <w:tcMar>
              <w:top w:w="80" w:type="dxa"/>
              <w:left w:w="80" w:type="dxa"/>
              <w:bottom w:w="80" w:type="dxa"/>
              <w:right w:w="80" w:type="dxa"/>
            </w:tcMar>
            <w:vAlign w:val="center"/>
          </w:tcPr>
          <w:p w14:paraId="2F7CDCB8">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2961" w:type="dxa"/>
            <w:gridSpan w:val="2"/>
            <w:noWrap w:val="0"/>
            <w:tcMar>
              <w:top w:w="80" w:type="dxa"/>
              <w:left w:w="80" w:type="dxa"/>
              <w:bottom w:w="80" w:type="dxa"/>
              <w:right w:w="80" w:type="dxa"/>
            </w:tcMar>
            <w:vAlign w:val="center"/>
          </w:tcPr>
          <w:p w14:paraId="083B2C51">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1559" w:type="dxa"/>
            <w:noWrap w:val="0"/>
            <w:tcMar>
              <w:top w:w="80" w:type="dxa"/>
              <w:left w:w="80" w:type="dxa"/>
              <w:bottom w:w="80" w:type="dxa"/>
              <w:right w:w="80" w:type="dxa"/>
            </w:tcMar>
            <w:vAlign w:val="center"/>
          </w:tcPr>
          <w:p w14:paraId="2A0FD6B6">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1146" w:type="dxa"/>
            <w:noWrap w:val="0"/>
            <w:vAlign w:val="top"/>
          </w:tcPr>
          <w:p w14:paraId="1C6E3BCD">
            <w:pPr>
              <w:pStyle w:val="190"/>
              <w:spacing w:line="360" w:lineRule="auto"/>
              <w:jc w:val="center"/>
              <w:rPr>
                <w:rFonts w:ascii="宋体" w:cs="宋体"/>
                <w:color w:val="auto"/>
                <w:sz w:val="24"/>
                <w:szCs w:val="24"/>
                <w:highlight w:val="none"/>
              </w:rPr>
            </w:pPr>
          </w:p>
        </w:tc>
      </w:tr>
      <w:tr w14:paraId="7ED7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300" w:hRule="atLeast"/>
          <w:jc w:val="center"/>
        </w:trPr>
        <w:tc>
          <w:tcPr>
            <w:tcW w:w="1412" w:type="dxa"/>
            <w:noWrap w:val="0"/>
            <w:tcMar>
              <w:top w:w="80" w:type="dxa"/>
              <w:left w:w="80" w:type="dxa"/>
              <w:bottom w:w="80" w:type="dxa"/>
              <w:right w:w="80" w:type="dxa"/>
            </w:tcMar>
            <w:vAlign w:val="center"/>
          </w:tcPr>
          <w:p w14:paraId="2DBF3E67">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2592" w:type="dxa"/>
            <w:noWrap w:val="0"/>
            <w:tcMar>
              <w:top w:w="80" w:type="dxa"/>
              <w:left w:w="80" w:type="dxa"/>
              <w:bottom w:w="80" w:type="dxa"/>
              <w:right w:w="80" w:type="dxa"/>
            </w:tcMar>
            <w:vAlign w:val="center"/>
          </w:tcPr>
          <w:p w14:paraId="758E967C">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2961" w:type="dxa"/>
            <w:gridSpan w:val="2"/>
            <w:noWrap w:val="0"/>
            <w:tcMar>
              <w:top w:w="80" w:type="dxa"/>
              <w:left w:w="80" w:type="dxa"/>
              <w:bottom w:w="80" w:type="dxa"/>
              <w:right w:w="80" w:type="dxa"/>
            </w:tcMar>
            <w:vAlign w:val="center"/>
          </w:tcPr>
          <w:p w14:paraId="70605447">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1559" w:type="dxa"/>
            <w:noWrap w:val="0"/>
            <w:tcMar>
              <w:top w:w="80" w:type="dxa"/>
              <w:left w:w="80" w:type="dxa"/>
              <w:bottom w:w="80" w:type="dxa"/>
              <w:right w:w="80" w:type="dxa"/>
            </w:tcMar>
            <w:vAlign w:val="center"/>
          </w:tcPr>
          <w:p w14:paraId="47941C63">
            <w:pPr>
              <w:pStyle w:val="190"/>
              <w:spacing w:line="360" w:lineRule="auto"/>
              <w:jc w:val="center"/>
              <w:rPr>
                <w:color w:val="auto"/>
                <w:sz w:val="24"/>
                <w:szCs w:val="24"/>
                <w:highlight w:val="none"/>
              </w:rPr>
            </w:pPr>
            <w:r>
              <w:rPr>
                <w:rFonts w:ascii="宋体" w:cs="宋体"/>
                <w:color w:val="auto"/>
                <w:sz w:val="24"/>
                <w:szCs w:val="24"/>
                <w:highlight w:val="none"/>
              </w:rPr>
              <w:t> </w:t>
            </w:r>
          </w:p>
        </w:tc>
        <w:tc>
          <w:tcPr>
            <w:tcW w:w="1146" w:type="dxa"/>
            <w:noWrap w:val="0"/>
            <w:vAlign w:val="top"/>
          </w:tcPr>
          <w:p w14:paraId="4B147FD5">
            <w:pPr>
              <w:pStyle w:val="190"/>
              <w:spacing w:line="360" w:lineRule="auto"/>
              <w:jc w:val="center"/>
              <w:rPr>
                <w:rFonts w:ascii="宋体" w:cs="宋体"/>
                <w:color w:val="auto"/>
                <w:sz w:val="24"/>
                <w:szCs w:val="24"/>
                <w:highlight w:val="none"/>
              </w:rPr>
            </w:pPr>
          </w:p>
        </w:tc>
      </w:tr>
      <w:tr w14:paraId="43BF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300" w:hRule="atLeast"/>
          <w:jc w:val="center"/>
        </w:trPr>
        <w:tc>
          <w:tcPr>
            <w:tcW w:w="1412" w:type="dxa"/>
            <w:noWrap w:val="0"/>
            <w:tcMar>
              <w:top w:w="80" w:type="dxa"/>
              <w:left w:w="80" w:type="dxa"/>
              <w:bottom w:w="80" w:type="dxa"/>
              <w:right w:w="80" w:type="dxa"/>
            </w:tcMar>
            <w:vAlign w:val="center"/>
          </w:tcPr>
          <w:p w14:paraId="53281C99">
            <w:pPr>
              <w:pStyle w:val="190"/>
              <w:spacing w:line="360" w:lineRule="auto"/>
              <w:rPr>
                <w:color w:val="auto"/>
                <w:sz w:val="24"/>
                <w:szCs w:val="24"/>
                <w:highlight w:val="none"/>
              </w:rPr>
            </w:pPr>
            <w:r>
              <w:rPr>
                <w:rFonts w:ascii="宋体" w:cs="宋体"/>
                <w:color w:val="auto"/>
                <w:sz w:val="24"/>
                <w:szCs w:val="24"/>
                <w:highlight w:val="none"/>
              </w:rPr>
              <w:t> </w:t>
            </w:r>
          </w:p>
        </w:tc>
        <w:tc>
          <w:tcPr>
            <w:tcW w:w="2592" w:type="dxa"/>
            <w:noWrap w:val="0"/>
            <w:tcMar>
              <w:top w:w="80" w:type="dxa"/>
              <w:left w:w="80" w:type="dxa"/>
              <w:bottom w:w="80" w:type="dxa"/>
              <w:right w:w="80" w:type="dxa"/>
            </w:tcMar>
            <w:vAlign w:val="center"/>
          </w:tcPr>
          <w:p w14:paraId="52F92198">
            <w:pPr>
              <w:pStyle w:val="190"/>
              <w:spacing w:line="360" w:lineRule="auto"/>
              <w:rPr>
                <w:color w:val="auto"/>
                <w:sz w:val="24"/>
                <w:szCs w:val="24"/>
                <w:highlight w:val="none"/>
              </w:rPr>
            </w:pPr>
            <w:r>
              <w:rPr>
                <w:rFonts w:ascii="宋体" w:cs="宋体"/>
                <w:color w:val="auto"/>
                <w:sz w:val="24"/>
                <w:szCs w:val="24"/>
                <w:highlight w:val="none"/>
              </w:rPr>
              <w:t> </w:t>
            </w:r>
          </w:p>
        </w:tc>
        <w:tc>
          <w:tcPr>
            <w:tcW w:w="2961" w:type="dxa"/>
            <w:gridSpan w:val="2"/>
            <w:noWrap w:val="0"/>
            <w:tcMar>
              <w:top w:w="80" w:type="dxa"/>
              <w:left w:w="80" w:type="dxa"/>
              <w:bottom w:w="80" w:type="dxa"/>
              <w:right w:w="80" w:type="dxa"/>
            </w:tcMar>
            <w:vAlign w:val="center"/>
          </w:tcPr>
          <w:p w14:paraId="0176F4A2">
            <w:pPr>
              <w:pStyle w:val="190"/>
              <w:spacing w:line="360" w:lineRule="auto"/>
              <w:rPr>
                <w:color w:val="auto"/>
                <w:sz w:val="24"/>
                <w:szCs w:val="24"/>
                <w:highlight w:val="none"/>
              </w:rPr>
            </w:pPr>
            <w:r>
              <w:rPr>
                <w:rFonts w:ascii="宋体" w:cs="宋体"/>
                <w:color w:val="auto"/>
                <w:sz w:val="24"/>
                <w:szCs w:val="24"/>
                <w:highlight w:val="none"/>
              </w:rPr>
              <w:t> </w:t>
            </w:r>
          </w:p>
        </w:tc>
        <w:tc>
          <w:tcPr>
            <w:tcW w:w="1559" w:type="dxa"/>
            <w:noWrap w:val="0"/>
            <w:tcMar>
              <w:top w:w="80" w:type="dxa"/>
              <w:left w:w="80" w:type="dxa"/>
              <w:bottom w:w="80" w:type="dxa"/>
              <w:right w:w="80" w:type="dxa"/>
            </w:tcMar>
            <w:vAlign w:val="center"/>
          </w:tcPr>
          <w:p w14:paraId="63363315">
            <w:pPr>
              <w:pStyle w:val="190"/>
              <w:spacing w:line="360" w:lineRule="auto"/>
              <w:rPr>
                <w:color w:val="auto"/>
                <w:sz w:val="24"/>
                <w:szCs w:val="24"/>
                <w:highlight w:val="none"/>
              </w:rPr>
            </w:pPr>
            <w:r>
              <w:rPr>
                <w:rFonts w:ascii="宋体" w:cs="宋体"/>
                <w:color w:val="auto"/>
                <w:sz w:val="24"/>
                <w:szCs w:val="24"/>
                <w:highlight w:val="none"/>
              </w:rPr>
              <w:t> </w:t>
            </w:r>
          </w:p>
        </w:tc>
        <w:tc>
          <w:tcPr>
            <w:tcW w:w="1146" w:type="dxa"/>
            <w:noWrap w:val="0"/>
            <w:vAlign w:val="top"/>
          </w:tcPr>
          <w:p w14:paraId="5D9783EC">
            <w:pPr>
              <w:pStyle w:val="190"/>
              <w:spacing w:line="360" w:lineRule="auto"/>
              <w:rPr>
                <w:rFonts w:ascii="宋体" w:cs="宋体"/>
                <w:color w:val="auto"/>
                <w:sz w:val="24"/>
                <w:szCs w:val="24"/>
                <w:highlight w:val="none"/>
              </w:rPr>
            </w:pPr>
          </w:p>
        </w:tc>
      </w:tr>
      <w:tr w14:paraId="0388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80" w:type="dxa"/>
            <w:bottom w:w="80" w:type="dxa"/>
            <w:right w:w="80" w:type="dxa"/>
          </w:tblCellMar>
        </w:tblPrEx>
        <w:trPr>
          <w:trHeight w:val="300" w:hRule="atLeast"/>
          <w:jc w:val="center"/>
        </w:trPr>
        <w:tc>
          <w:tcPr>
            <w:tcW w:w="1412" w:type="dxa"/>
            <w:noWrap w:val="0"/>
            <w:tcMar>
              <w:top w:w="80" w:type="dxa"/>
              <w:left w:w="80" w:type="dxa"/>
              <w:bottom w:w="80" w:type="dxa"/>
              <w:right w:w="80" w:type="dxa"/>
            </w:tcMar>
            <w:vAlign w:val="center"/>
          </w:tcPr>
          <w:p w14:paraId="0D0DFC70">
            <w:pPr>
              <w:rPr>
                <w:color w:val="auto"/>
                <w:highlight w:val="none"/>
              </w:rPr>
            </w:pPr>
          </w:p>
        </w:tc>
        <w:tc>
          <w:tcPr>
            <w:tcW w:w="2592" w:type="dxa"/>
            <w:noWrap w:val="0"/>
            <w:tcMar>
              <w:top w:w="80" w:type="dxa"/>
              <w:left w:w="80" w:type="dxa"/>
              <w:bottom w:w="80" w:type="dxa"/>
              <w:right w:w="80" w:type="dxa"/>
            </w:tcMar>
            <w:vAlign w:val="center"/>
          </w:tcPr>
          <w:p w14:paraId="438A0A6E">
            <w:pPr>
              <w:rPr>
                <w:color w:val="auto"/>
                <w:highlight w:val="none"/>
              </w:rPr>
            </w:pPr>
          </w:p>
        </w:tc>
        <w:tc>
          <w:tcPr>
            <w:tcW w:w="2961" w:type="dxa"/>
            <w:gridSpan w:val="2"/>
            <w:noWrap w:val="0"/>
            <w:tcMar>
              <w:top w:w="80" w:type="dxa"/>
              <w:left w:w="80" w:type="dxa"/>
              <w:bottom w:w="80" w:type="dxa"/>
              <w:right w:w="80" w:type="dxa"/>
            </w:tcMar>
            <w:vAlign w:val="center"/>
          </w:tcPr>
          <w:p w14:paraId="27D2BA1B">
            <w:pPr>
              <w:rPr>
                <w:color w:val="auto"/>
                <w:highlight w:val="none"/>
              </w:rPr>
            </w:pPr>
          </w:p>
        </w:tc>
        <w:tc>
          <w:tcPr>
            <w:tcW w:w="1559" w:type="dxa"/>
            <w:noWrap w:val="0"/>
            <w:tcMar>
              <w:top w:w="80" w:type="dxa"/>
              <w:left w:w="80" w:type="dxa"/>
              <w:bottom w:w="80" w:type="dxa"/>
              <w:right w:w="80" w:type="dxa"/>
            </w:tcMar>
            <w:vAlign w:val="center"/>
          </w:tcPr>
          <w:p w14:paraId="7F786DC3">
            <w:pPr>
              <w:rPr>
                <w:color w:val="auto"/>
                <w:highlight w:val="none"/>
              </w:rPr>
            </w:pPr>
          </w:p>
        </w:tc>
        <w:tc>
          <w:tcPr>
            <w:tcW w:w="1146" w:type="dxa"/>
            <w:noWrap w:val="0"/>
            <w:vAlign w:val="top"/>
          </w:tcPr>
          <w:p w14:paraId="0CC7F4FD">
            <w:pPr>
              <w:rPr>
                <w:color w:val="auto"/>
                <w:highlight w:val="none"/>
              </w:rPr>
            </w:pPr>
          </w:p>
        </w:tc>
      </w:tr>
    </w:tbl>
    <w:p w14:paraId="4E0921BB">
      <w:pPr>
        <w:pStyle w:val="190"/>
        <w:shd w:val="clear" w:color="auto" w:fill="FFFFFF"/>
        <w:spacing w:line="360" w:lineRule="auto"/>
        <w:rPr>
          <w:rFonts w:ascii="宋体" w:cs="宋体"/>
          <w:color w:val="auto"/>
          <w:sz w:val="24"/>
          <w:szCs w:val="24"/>
          <w:highlight w:val="none"/>
        </w:rPr>
      </w:pPr>
      <w:r>
        <w:rPr>
          <w:rFonts w:hint="eastAsia" w:ascii="宋体" w:hAnsi="宋体" w:cs="宋体"/>
          <w:color w:val="auto"/>
          <w:sz w:val="24"/>
          <w:szCs w:val="24"/>
          <w:highlight w:val="none"/>
          <w:lang w:val="zh-TW" w:eastAsia="zh-TW"/>
        </w:rPr>
        <w:t>投标单位（加盖电子公章）：</w:t>
      </w:r>
      <w:r>
        <w:rPr>
          <w:rFonts w:ascii="宋体" w:cs="宋体"/>
          <w:color w:val="auto"/>
          <w:sz w:val="24"/>
          <w:szCs w:val="24"/>
          <w:highlight w:val="none"/>
          <w:u w:val="single"/>
        </w:rPr>
        <w:t>                      </w:t>
      </w:r>
    </w:p>
    <w:p w14:paraId="1AEC6AFF">
      <w:pPr>
        <w:pStyle w:val="190"/>
        <w:shd w:val="clear" w:color="auto" w:fill="FFFFFF"/>
        <w:spacing w:line="360" w:lineRule="auto"/>
        <w:rPr>
          <w:rFonts w:ascii="宋体" w:cs="宋体"/>
          <w:color w:val="auto"/>
          <w:sz w:val="24"/>
          <w:szCs w:val="24"/>
          <w:highlight w:val="none"/>
          <w:u w:val="single"/>
        </w:rPr>
      </w:pPr>
      <w:r>
        <w:rPr>
          <w:rFonts w:hint="eastAsia" w:ascii="宋体" w:hAnsi="宋体" w:cs="宋体"/>
          <w:color w:val="auto"/>
          <w:sz w:val="24"/>
          <w:szCs w:val="24"/>
          <w:highlight w:val="none"/>
          <w:lang w:val="zh-TW" w:eastAsia="zh-TW"/>
        </w:rPr>
        <w:t>授权代表（签字）：</w:t>
      </w:r>
      <w:r>
        <w:rPr>
          <w:rFonts w:ascii="宋体" w:cs="宋体"/>
          <w:color w:val="auto"/>
          <w:sz w:val="24"/>
          <w:szCs w:val="24"/>
          <w:highlight w:val="none"/>
          <w:u w:val="single"/>
        </w:rPr>
        <w:t>                      </w:t>
      </w:r>
    </w:p>
    <w:p w14:paraId="44D14BB1">
      <w:pPr>
        <w:pStyle w:val="190"/>
        <w:shd w:val="clear" w:color="auto" w:fill="FFFFFF"/>
        <w:spacing w:line="360" w:lineRule="auto"/>
        <w:rPr>
          <w:rFonts w:ascii="宋体" w:cs="宋体"/>
          <w:color w:val="auto"/>
          <w:sz w:val="24"/>
          <w:szCs w:val="24"/>
          <w:highlight w:val="none"/>
          <w:u w:val="single"/>
        </w:rPr>
      </w:pPr>
      <w:r>
        <w:rPr>
          <w:rFonts w:hint="eastAsia" w:ascii="宋体" w:hAnsi="宋体" w:cs="宋体"/>
          <w:color w:val="auto"/>
          <w:sz w:val="24"/>
          <w:szCs w:val="24"/>
          <w:highlight w:val="none"/>
          <w:lang w:val="zh-TW" w:eastAsia="zh-TW"/>
        </w:rPr>
        <w:t>日期：</w:t>
      </w:r>
      <w:r>
        <w:rPr>
          <w:rFonts w:ascii="宋体" w:cs="宋体"/>
          <w:color w:val="auto"/>
          <w:sz w:val="24"/>
          <w:szCs w:val="24"/>
          <w:highlight w:val="none"/>
          <w:u w:val="single"/>
        </w:rPr>
        <w:t>                      </w:t>
      </w:r>
    </w:p>
    <w:p w14:paraId="06532CDE">
      <w:pPr>
        <w:pStyle w:val="190"/>
        <w:shd w:val="clear" w:color="auto" w:fill="FFFFFF"/>
        <w:spacing w:line="360" w:lineRule="auto"/>
        <w:rPr>
          <w:rFonts w:ascii="宋体" w:hAnsi="宋体" w:cs="宋体"/>
          <w:color w:val="auto"/>
          <w:sz w:val="24"/>
          <w:szCs w:val="24"/>
          <w:highlight w:val="none"/>
          <w:lang w:val="zh-TW" w:eastAsia="zh-TW"/>
        </w:rPr>
      </w:pPr>
      <w:r>
        <w:rPr>
          <w:rFonts w:ascii="宋体" w:hAnsi="宋体" w:cs="宋体"/>
          <w:color w:val="auto"/>
          <w:sz w:val="24"/>
          <w:szCs w:val="24"/>
          <w:highlight w:val="none"/>
          <w:lang w:val="zh-TW" w:eastAsia="zh-TW"/>
        </w:rPr>
        <w:t>1</w:t>
      </w:r>
      <w:r>
        <w:rPr>
          <w:rFonts w:hint="eastAsia" w:ascii="宋体" w:hAnsi="宋体" w:cs="宋体"/>
          <w:color w:val="auto"/>
          <w:sz w:val="24"/>
          <w:szCs w:val="24"/>
          <w:highlight w:val="none"/>
          <w:lang w:val="zh-TW" w:eastAsia="zh-TW"/>
        </w:rPr>
        <w:t>、供应商应在上表中明确投标文件技术部分与招标文件要求的</w:t>
      </w:r>
      <w:r>
        <w:rPr>
          <w:rFonts w:hint="eastAsia" w:ascii="宋体" w:hAnsi="宋体" w:cs="宋体"/>
          <w:color w:val="auto"/>
          <w:sz w:val="24"/>
          <w:szCs w:val="24"/>
          <w:highlight w:val="none"/>
        </w:rPr>
        <w:t>商务</w:t>
      </w:r>
      <w:r>
        <w:rPr>
          <w:rFonts w:hint="eastAsia" w:ascii="宋体" w:hAnsi="宋体" w:cs="宋体"/>
          <w:color w:val="auto"/>
          <w:sz w:val="24"/>
          <w:szCs w:val="24"/>
          <w:highlight w:val="none"/>
          <w:lang w:val="zh-TW" w:eastAsia="zh-TW"/>
        </w:rPr>
        <w:t>要求偏离情况，未在上表中说明的，如在投标文件其他内容中已有文字说明或相关证明材料的，则以已有文字说明或相关证明材料为准，但该表不作为供应商对所投项目关于</w:t>
      </w:r>
      <w:r>
        <w:rPr>
          <w:rFonts w:hint="eastAsia" w:ascii="宋体" w:hAnsi="宋体" w:cs="宋体"/>
          <w:color w:val="auto"/>
          <w:sz w:val="24"/>
          <w:szCs w:val="24"/>
          <w:highlight w:val="none"/>
        </w:rPr>
        <w:t>商务</w:t>
      </w:r>
      <w:r>
        <w:rPr>
          <w:rFonts w:hint="eastAsia" w:ascii="宋体" w:hAnsi="宋体" w:cs="宋体"/>
          <w:color w:val="auto"/>
          <w:sz w:val="24"/>
          <w:szCs w:val="24"/>
          <w:highlight w:val="none"/>
          <w:lang w:val="zh-TW" w:eastAsia="zh-TW"/>
        </w:rPr>
        <w:t>要求等详细描述和说明的替代。</w:t>
      </w:r>
    </w:p>
    <w:p w14:paraId="7CAFE34E">
      <w:pPr>
        <w:pStyle w:val="190"/>
        <w:shd w:val="clear" w:color="auto" w:fill="FFFFFF"/>
        <w:spacing w:line="360" w:lineRule="auto"/>
        <w:rPr>
          <w:rFonts w:ascii="宋体" w:hAnsi="宋体" w:cs="宋体"/>
          <w:color w:val="auto"/>
          <w:sz w:val="24"/>
          <w:szCs w:val="24"/>
          <w:highlight w:val="none"/>
          <w:lang w:val="zh-TW" w:eastAsia="zh-TW"/>
        </w:rPr>
      </w:pPr>
      <w:r>
        <w:rPr>
          <w:rFonts w:ascii="宋体" w:hAnsi="宋体" w:cs="宋体"/>
          <w:color w:val="auto"/>
          <w:sz w:val="24"/>
          <w:szCs w:val="24"/>
          <w:highlight w:val="none"/>
          <w:lang w:val="zh-TW" w:eastAsia="zh-TW"/>
        </w:rPr>
        <w:t>2</w:t>
      </w:r>
      <w:r>
        <w:rPr>
          <w:rFonts w:hint="eastAsia" w:ascii="宋体" w:hAnsi="宋体" w:cs="宋体"/>
          <w:color w:val="auto"/>
          <w:sz w:val="24"/>
          <w:szCs w:val="24"/>
          <w:highlight w:val="none"/>
          <w:lang w:val="zh-TW" w:eastAsia="zh-TW"/>
        </w:rPr>
        <w:t>、说明：如果行数不够，请自行增加。</w:t>
      </w:r>
    </w:p>
    <w:p w14:paraId="0F4C9990">
      <w:pPr>
        <w:pStyle w:val="190"/>
        <w:shd w:val="clear" w:color="auto" w:fill="FFFFFF"/>
        <w:spacing w:line="360" w:lineRule="auto"/>
        <w:rPr>
          <w:rFonts w:ascii="宋体" w:cs="宋体"/>
          <w:color w:val="auto"/>
          <w:sz w:val="24"/>
          <w:szCs w:val="24"/>
          <w:highlight w:val="none"/>
        </w:rPr>
      </w:pPr>
      <w:r>
        <w:rPr>
          <w:rFonts w:ascii="宋体" w:cs="宋体"/>
          <w:color w:val="auto"/>
          <w:sz w:val="24"/>
          <w:szCs w:val="24"/>
          <w:highlight w:val="none"/>
        </w:rPr>
        <w:t> </w:t>
      </w:r>
    </w:p>
    <w:p w14:paraId="72657087">
      <w:pPr>
        <w:pStyle w:val="190"/>
        <w:spacing w:line="360" w:lineRule="auto"/>
        <w:rPr>
          <w:rFonts w:ascii="宋体" w:cs="宋体"/>
          <w:b/>
          <w:bCs/>
          <w:color w:val="auto"/>
          <w:sz w:val="24"/>
          <w:szCs w:val="24"/>
          <w:highlight w:val="none"/>
        </w:rPr>
      </w:pPr>
    </w:p>
    <w:p w14:paraId="0FF1BA96">
      <w:pPr>
        <w:pStyle w:val="190"/>
        <w:spacing w:line="360" w:lineRule="auto"/>
        <w:rPr>
          <w:rFonts w:ascii="宋体" w:cs="宋体"/>
          <w:b/>
          <w:bCs/>
          <w:color w:val="auto"/>
          <w:sz w:val="24"/>
          <w:szCs w:val="24"/>
          <w:highlight w:val="none"/>
        </w:rPr>
      </w:pPr>
    </w:p>
    <w:p w14:paraId="2E0F12DF">
      <w:pPr>
        <w:pStyle w:val="190"/>
        <w:spacing w:line="360" w:lineRule="auto"/>
        <w:rPr>
          <w:rFonts w:ascii="宋体" w:cs="宋体"/>
          <w:b/>
          <w:bCs/>
          <w:color w:val="auto"/>
          <w:sz w:val="24"/>
          <w:szCs w:val="24"/>
          <w:highlight w:val="none"/>
        </w:rPr>
      </w:pPr>
    </w:p>
    <w:p w14:paraId="3D9797C0">
      <w:pPr>
        <w:pStyle w:val="190"/>
        <w:spacing w:line="360" w:lineRule="auto"/>
        <w:rPr>
          <w:rFonts w:ascii="宋体" w:cs="宋体"/>
          <w:b/>
          <w:bCs/>
          <w:color w:val="auto"/>
          <w:sz w:val="24"/>
          <w:szCs w:val="24"/>
          <w:highlight w:val="none"/>
        </w:rPr>
      </w:pPr>
    </w:p>
    <w:p w14:paraId="7EC8B197">
      <w:pPr>
        <w:pStyle w:val="190"/>
        <w:spacing w:line="360" w:lineRule="auto"/>
        <w:rPr>
          <w:rFonts w:ascii="宋体" w:cs="宋体"/>
          <w:b/>
          <w:bCs/>
          <w:color w:val="auto"/>
          <w:sz w:val="24"/>
          <w:szCs w:val="24"/>
          <w:highlight w:val="none"/>
        </w:rPr>
      </w:pPr>
    </w:p>
    <w:p w14:paraId="4D756E48">
      <w:pPr>
        <w:rPr>
          <w:rFonts w:ascii="宋体" w:hAnsi="宋体" w:cs="宋体"/>
          <w:b/>
          <w:bCs/>
          <w:color w:val="auto"/>
          <w:highlight w:val="none"/>
          <w:lang w:val="zh-TW" w:eastAsia="zh-TW"/>
        </w:rPr>
      </w:pPr>
    </w:p>
    <w:p w14:paraId="75D9D3B8">
      <w:pPr>
        <w:pStyle w:val="228"/>
        <w:rPr>
          <w:rFonts w:ascii="宋体" w:hAnsi="宋体" w:cs="宋体"/>
          <w:b/>
          <w:bCs/>
          <w:color w:val="auto"/>
          <w:highlight w:val="none"/>
          <w:lang w:val="zh-TW" w:eastAsia="zh-TW"/>
        </w:rPr>
      </w:pPr>
    </w:p>
    <w:p w14:paraId="11EC0A91">
      <w:pPr>
        <w:pStyle w:val="228"/>
        <w:rPr>
          <w:rFonts w:ascii="宋体" w:hAnsi="宋体" w:cs="宋体"/>
          <w:b/>
          <w:bCs/>
          <w:color w:val="auto"/>
          <w:highlight w:val="none"/>
          <w:lang w:val="zh-TW" w:eastAsia="zh-TW"/>
        </w:rPr>
      </w:pPr>
    </w:p>
    <w:p w14:paraId="601BADE2">
      <w:pPr>
        <w:pStyle w:val="228"/>
        <w:rPr>
          <w:rFonts w:ascii="宋体" w:hAnsi="宋体" w:cs="宋体"/>
          <w:b/>
          <w:bCs/>
          <w:color w:val="auto"/>
          <w:highlight w:val="none"/>
          <w:lang w:val="zh-TW" w:eastAsia="zh-TW"/>
        </w:rPr>
      </w:pPr>
    </w:p>
    <w:p w14:paraId="6F64DBAF">
      <w:pPr>
        <w:pStyle w:val="190"/>
        <w:rPr>
          <w:b/>
          <w:bCs/>
          <w:color w:val="auto"/>
          <w:sz w:val="24"/>
          <w:szCs w:val="24"/>
          <w:highlight w:val="none"/>
          <w:lang w:val="zh-TW" w:eastAsia="zh-TW"/>
        </w:rPr>
      </w:pPr>
      <w:r>
        <w:rPr>
          <w:rFonts w:hint="eastAsia" w:ascii="宋体" w:hAnsi="宋体" w:cs="宋体"/>
          <w:b/>
          <w:bCs/>
          <w:color w:val="auto"/>
          <w:sz w:val="24"/>
          <w:szCs w:val="24"/>
          <w:highlight w:val="none"/>
          <w:lang w:val="zh-TW" w:eastAsia="zh-TW"/>
        </w:rPr>
        <w:t>附件七：项目负责人及项目组人员表</w:t>
      </w:r>
    </w:p>
    <w:p w14:paraId="1BE4C94D">
      <w:pPr>
        <w:pStyle w:val="190"/>
        <w:jc w:val="center"/>
        <w:rPr>
          <w:b/>
          <w:bCs/>
          <w:color w:val="auto"/>
          <w:sz w:val="24"/>
          <w:szCs w:val="24"/>
          <w:highlight w:val="none"/>
        </w:rPr>
      </w:pPr>
    </w:p>
    <w:p w14:paraId="555F178C">
      <w:pPr>
        <w:spacing w:line="360" w:lineRule="auto"/>
        <w:jc w:val="center"/>
        <w:rPr>
          <w:rFonts w:ascii="宋体" w:hAnsi="宋体" w:cs="宋体"/>
          <w:color w:val="auto"/>
          <w:highlight w:val="none"/>
          <w:lang w:val="zh-TW" w:eastAsia="zh-TW"/>
        </w:rPr>
      </w:pPr>
      <w:r>
        <w:rPr>
          <w:rFonts w:hint="eastAsia" w:ascii="宋体" w:hAnsi="宋体" w:cs="宋体"/>
          <w:color w:val="auto"/>
          <w:highlight w:val="none"/>
          <w:lang w:val="zh-TW" w:eastAsia="zh-TW"/>
        </w:rPr>
        <w:t>7.1拟投入项目负责人履</w:t>
      </w:r>
      <w:r>
        <w:rPr>
          <w:rFonts w:ascii="宋体" w:hAnsi="宋体" w:cs="宋体"/>
          <w:color w:val="auto"/>
          <w:highlight w:val="none"/>
          <w:lang w:val="zh-TW" w:eastAsia="zh-TW"/>
        </w:rPr>
        <w:t>历</w:t>
      </w:r>
      <w:r>
        <w:rPr>
          <w:rFonts w:hint="eastAsia" w:ascii="宋体" w:hAnsi="宋体" w:cs="宋体"/>
          <w:color w:val="auto"/>
          <w:highlight w:val="none"/>
          <w:lang w:val="zh-TW" w:eastAsia="zh-TW"/>
        </w:rPr>
        <w:t>表</w:t>
      </w:r>
    </w:p>
    <w:tbl>
      <w:tblPr>
        <w:tblStyle w:val="33"/>
        <w:tblW w:w="9245" w:type="dxa"/>
        <w:tblInd w:w="118" w:type="dxa"/>
        <w:tblLayout w:type="fixed"/>
        <w:tblCellMar>
          <w:top w:w="0" w:type="dxa"/>
          <w:left w:w="0" w:type="dxa"/>
          <w:bottom w:w="0" w:type="dxa"/>
          <w:right w:w="0" w:type="dxa"/>
        </w:tblCellMar>
      </w:tblPr>
      <w:tblGrid>
        <w:gridCol w:w="2046"/>
        <w:gridCol w:w="813"/>
        <w:gridCol w:w="782"/>
        <w:gridCol w:w="1203"/>
        <w:gridCol w:w="491"/>
        <w:gridCol w:w="784"/>
        <w:gridCol w:w="1476"/>
        <w:gridCol w:w="1650"/>
      </w:tblGrid>
      <w:tr w14:paraId="6D88F523">
        <w:tblPrEx>
          <w:tblCellMar>
            <w:top w:w="0" w:type="dxa"/>
            <w:left w:w="0" w:type="dxa"/>
            <w:bottom w:w="0" w:type="dxa"/>
            <w:right w:w="0" w:type="dxa"/>
          </w:tblCellMar>
        </w:tblPrEx>
        <w:trPr>
          <w:trHeight w:val="838" w:hRule="exact"/>
        </w:trPr>
        <w:tc>
          <w:tcPr>
            <w:tcW w:w="2046" w:type="dxa"/>
            <w:tcBorders>
              <w:top w:val="single" w:color="000000" w:sz="4" w:space="0"/>
              <w:left w:val="single" w:color="000000" w:sz="4" w:space="0"/>
              <w:bottom w:val="single" w:color="000000" w:sz="4" w:space="0"/>
              <w:right w:val="single" w:color="000000" w:sz="4" w:space="0"/>
            </w:tcBorders>
            <w:noWrap w:val="0"/>
            <w:vAlign w:val="center"/>
          </w:tcPr>
          <w:p w14:paraId="3540EBE2">
            <w:pPr>
              <w:jc w:val="center"/>
              <w:rPr>
                <w:rFonts w:ascii="宋体" w:hAnsi="宋体" w:cs="宋体"/>
                <w:color w:val="auto"/>
                <w:highlight w:val="none"/>
                <w:lang w:val="zh-TW" w:eastAsia="zh-TW"/>
              </w:rPr>
            </w:pPr>
            <w:r>
              <w:rPr>
                <w:rFonts w:ascii="宋体" w:hAnsi="宋体" w:cs="宋体"/>
                <w:color w:val="auto"/>
                <w:highlight w:val="none"/>
                <w:lang w:val="zh-TW" w:eastAsia="zh-TW"/>
              </w:rPr>
              <w:t>姓</w:t>
            </w:r>
            <w:r>
              <w:rPr>
                <w:rFonts w:ascii="宋体" w:hAnsi="宋体" w:cs="宋体"/>
                <w:color w:val="auto"/>
                <w:highlight w:val="none"/>
                <w:lang w:val="zh-TW" w:eastAsia="zh-TW"/>
              </w:rPr>
              <w:tab/>
            </w:r>
            <w:r>
              <w:rPr>
                <w:rFonts w:ascii="宋体" w:hAnsi="宋体" w:cs="宋体"/>
                <w:color w:val="auto"/>
                <w:highlight w:val="none"/>
                <w:lang w:val="zh-TW" w:eastAsia="zh-TW"/>
              </w:rPr>
              <w:t>名</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9A9E5F1">
            <w:pPr>
              <w:jc w:val="center"/>
              <w:rPr>
                <w:rFonts w:ascii="宋体" w:hAnsi="宋体" w:cs="宋体"/>
                <w:color w:val="auto"/>
                <w:highlight w:val="none"/>
                <w:lang w:val="zh-TW" w:eastAsia="zh-TW"/>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31F416F6">
            <w:pPr>
              <w:jc w:val="center"/>
              <w:rPr>
                <w:rFonts w:ascii="宋体" w:hAnsi="宋体" w:cs="宋体"/>
                <w:color w:val="auto"/>
                <w:highlight w:val="none"/>
                <w:lang w:val="zh-TW" w:eastAsia="zh-TW"/>
              </w:rPr>
            </w:pPr>
            <w:r>
              <w:rPr>
                <w:rFonts w:ascii="宋体" w:hAnsi="宋体" w:cs="宋体"/>
                <w:color w:val="auto"/>
                <w:highlight w:val="none"/>
                <w:lang w:val="zh-TW" w:eastAsia="zh-TW"/>
              </w:rPr>
              <w:t>性别</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14:paraId="7579DC4C">
            <w:pPr>
              <w:jc w:val="center"/>
              <w:rPr>
                <w:rFonts w:ascii="宋体" w:hAnsi="宋体" w:cs="宋体"/>
                <w:color w:val="auto"/>
                <w:highlight w:val="none"/>
                <w:lang w:val="zh-TW" w:eastAsia="zh-TW"/>
              </w:rPr>
            </w:pP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14:paraId="7D27EB35">
            <w:pPr>
              <w:jc w:val="center"/>
              <w:rPr>
                <w:rFonts w:ascii="宋体" w:hAnsi="宋体" w:cs="宋体"/>
                <w:color w:val="auto"/>
                <w:highlight w:val="none"/>
                <w:lang w:val="zh-TW" w:eastAsia="zh-TW"/>
              </w:rPr>
            </w:pPr>
            <w:r>
              <w:rPr>
                <w:rFonts w:ascii="宋体" w:hAnsi="宋体" w:cs="宋体"/>
                <w:color w:val="auto"/>
                <w:highlight w:val="none"/>
                <w:lang w:val="zh-TW" w:eastAsia="zh-TW"/>
              </w:rPr>
              <w:t>出生日期</w:t>
            </w:r>
          </w:p>
        </w:tc>
        <w:tc>
          <w:tcPr>
            <w:tcW w:w="3126" w:type="dxa"/>
            <w:gridSpan w:val="2"/>
            <w:tcBorders>
              <w:top w:val="single" w:color="000000" w:sz="4" w:space="0"/>
              <w:left w:val="single" w:color="000000" w:sz="4" w:space="0"/>
              <w:bottom w:val="single" w:color="000000" w:sz="4" w:space="0"/>
              <w:right w:val="single" w:color="000000" w:sz="4" w:space="0"/>
            </w:tcBorders>
            <w:noWrap w:val="0"/>
            <w:vAlign w:val="center"/>
          </w:tcPr>
          <w:p w14:paraId="0A5B523B">
            <w:pPr>
              <w:jc w:val="center"/>
              <w:rPr>
                <w:rFonts w:ascii="宋体" w:hAnsi="宋体" w:cs="宋体"/>
                <w:color w:val="auto"/>
                <w:highlight w:val="none"/>
                <w:lang w:val="zh-TW" w:eastAsia="zh-TW"/>
              </w:rPr>
            </w:pPr>
            <w:r>
              <w:rPr>
                <w:rFonts w:ascii="宋体" w:hAnsi="宋体" w:cs="宋体"/>
                <w:color w:val="auto"/>
                <w:highlight w:val="none"/>
                <w:lang w:val="zh-TW" w:eastAsia="zh-TW"/>
              </w:rPr>
              <w:t>年</w:t>
            </w:r>
            <w:r>
              <w:rPr>
                <w:rFonts w:ascii="宋体" w:hAnsi="宋体" w:cs="宋体"/>
                <w:color w:val="auto"/>
                <w:highlight w:val="none"/>
                <w:lang w:val="zh-TW" w:eastAsia="zh-TW"/>
              </w:rPr>
              <w:tab/>
            </w:r>
            <w:r>
              <w:rPr>
                <w:rFonts w:ascii="宋体" w:hAnsi="宋体" w:cs="宋体"/>
                <w:color w:val="auto"/>
                <w:highlight w:val="none"/>
                <w:lang w:val="zh-TW" w:eastAsia="zh-TW"/>
              </w:rPr>
              <w:t>月</w:t>
            </w:r>
            <w:r>
              <w:rPr>
                <w:rFonts w:ascii="宋体" w:hAnsi="宋体" w:cs="宋体"/>
                <w:color w:val="auto"/>
                <w:highlight w:val="none"/>
                <w:lang w:val="zh-TW" w:eastAsia="zh-TW"/>
              </w:rPr>
              <w:tab/>
            </w:r>
            <w:r>
              <w:rPr>
                <w:rFonts w:ascii="宋体" w:hAnsi="宋体" w:cs="宋体"/>
                <w:color w:val="auto"/>
                <w:highlight w:val="none"/>
                <w:lang w:val="zh-TW" w:eastAsia="zh-TW"/>
              </w:rPr>
              <w:t>日</w:t>
            </w:r>
          </w:p>
        </w:tc>
      </w:tr>
      <w:tr w14:paraId="4A70EED9">
        <w:tblPrEx>
          <w:tblCellMar>
            <w:top w:w="0" w:type="dxa"/>
            <w:left w:w="0" w:type="dxa"/>
            <w:bottom w:w="0" w:type="dxa"/>
            <w:right w:w="0" w:type="dxa"/>
          </w:tblCellMar>
        </w:tblPrEx>
        <w:trPr>
          <w:trHeight w:val="758" w:hRule="exact"/>
        </w:trPr>
        <w:tc>
          <w:tcPr>
            <w:tcW w:w="2046" w:type="dxa"/>
            <w:tcBorders>
              <w:top w:val="single" w:color="000000" w:sz="4" w:space="0"/>
              <w:left w:val="single" w:color="000000" w:sz="4" w:space="0"/>
              <w:bottom w:val="single" w:color="000000" w:sz="4" w:space="0"/>
              <w:right w:val="single" w:color="000000" w:sz="4" w:space="0"/>
            </w:tcBorders>
            <w:noWrap w:val="0"/>
            <w:vAlign w:val="center"/>
          </w:tcPr>
          <w:p w14:paraId="4C3F9410">
            <w:pPr>
              <w:jc w:val="center"/>
              <w:rPr>
                <w:rFonts w:ascii="宋体" w:hAnsi="宋体" w:cs="宋体"/>
                <w:color w:val="auto"/>
                <w:highlight w:val="none"/>
                <w:lang w:val="zh-TW" w:eastAsia="zh-TW"/>
              </w:rPr>
            </w:pPr>
            <w:r>
              <w:rPr>
                <w:rFonts w:ascii="宋体" w:hAnsi="宋体" w:cs="宋体"/>
                <w:color w:val="auto"/>
                <w:highlight w:val="none"/>
                <w:lang w:val="zh-TW" w:eastAsia="zh-TW"/>
              </w:rPr>
              <w:t>毕业院校</w:t>
            </w:r>
          </w:p>
        </w:tc>
        <w:tc>
          <w:tcPr>
            <w:tcW w:w="2798" w:type="dxa"/>
            <w:gridSpan w:val="3"/>
            <w:tcBorders>
              <w:top w:val="single" w:color="000000" w:sz="4" w:space="0"/>
              <w:left w:val="single" w:color="000000" w:sz="4" w:space="0"/>
              <w:bottom w:val="single" w:color="000000" w:sz="4" w:space="0"/>
              <w:right w:val="single" w:color="000000" w:sz="4" w:space="0"/>
            </w:tcBorders>
            <w:noWrap w:val="0"/>
            <w:vAlign w:val="center"/>
          </w:tcPr>
          <w:p w14:paraId="7EA46B60">
            <w:pPr>
              <w:jc w:val="center"/>
              <w:rPr>
                <w:rFonts w:ascii="宋体" w:hAnsi="宋体" w:cs="宋体"/>
                <w:color w:val="auto"/>
                <w:highlight w:val="none"/>
                <w:lang w:val="zh-TW" w:eastAsia="zh-TW"/>
              </w:rPr>
            </w:pP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14:paraId="401C0E7F">
            <w:pPr>
              <w:jc w:val="center"/>
              <w:rPr>
                <w:rFonts w:ascii="宋体" w:hAnsi="宋体" w:cs="宋体"/>
                <w:color w:val="auto"/>
                <w:highlight w:val="none"/>
                <w:lang w:val="zh-TW" w:eastAsia="zh-TW"/>
              </w:rPr>
            </w:pPr>
            <w:r>
              <w:rPr>
                <w:rFonts w:ascii="宋体" w:hAnsi="宋体" w:cs="宋体"/>
                <w:color w:val="auto"/>
                <w:highlight w:val="none"/>
                <w:lang w:val="zh-TW" w:eastAsia="zh-TW"/>
              </w:rPr>
              <w:t>毕业时间</w:t>
            </w:r>
          </w:p>
        </w:tc>
        <w:tc>
          <w:tcPr>
            <w:tcW w:w="3126" w:type="dxa"/>
            <w:gridSpan w:val="2"/>
            <w:tcBorders>
              <w:top w:val="single" w:color="000000" w:sz="4" w:space="0"/>
              <w:left w:val="single" w:color="000000" w:sz="4" w:space="0"/>
              <w:bottom w:val="single" w:color="000000" w:sz="4" w:space="0"/>
              <w:right w:val="single" w:color="000000" w:sz="4" w:space="0"/>
            </w:tcBorders>
            <w:noWrap w:val="0"/>
            <w:vAlign w:val="center"/>
          </w:tcPr>
          <w:p w14:paraId="263C9A4D">
            <w:pPr>
              <w:jc w:val="center"/>
              <w:rPr>
                <w:rFonts w:ascii="宋体" w:hAnsi="宋体" w:cs="宋体"/>
                <w:color w:val="auto"/>
                <w:highlight w:val="none"/>
                <w:lang w:val="zh-TW" w:eastAsia="zh-TW"/>
              </w:rPr>
            </w:pPr>
            <w:r>
              <w:rPr>
                <w:rFonts w:ascii="宋体" w:hAnsi="宋体" w:cs="宋体"/>
                <w:color w:val="auto"/>
                <w:highlight w:val="none"/>
                <w:lang w:val="zh-TW" w:eastAsia="zh-TW"/>
              </w:rPr>
              <w:t>年</w:t>
            </w:r>
            <w:r>
              <w:rPr>
                <w:rFonts w:ascii="宋体" w:hAnsi="宋体" w:cs="宋体"/>
                <w:color w:val="auto"/>
                <w:highlight w:val="none"/>
                <w:lang w:val="zh-TW" w:eastAsia="zh-TW"/>
              </w:rPr>
              <w:tab/>
            </w:r>
            <w:r>
              <w:rPr>
                <w:rFonts w:ascii="宋体" w:hAnsi="宋体" w:cs="宋体"/>
                <w:color w:val="auto"/>
                <w:highlight w:val="none"/>
                <w:lang w:val="zh-TW" w:eastAsia="zh-TW"/>
              </w:rPr>
              <w:t>月</w:t>
            </w:r>
            <w:r>
              <w:rPr>
                <w:rFonts w:ascii="宋体" w:hAnsi="宋体" w:cs="宋体"/>
                <w:color w:val="auto"/>
                <w:highlight w:val="none"/>
                <w:lang w:val="zh-TW" w:eastAsia="zh-TW"/>
              </w:rPr>
              <w:tab/>
            </w:r>
            <w:r>
              <w:rPr>
                <w:rFonts w:ascii="宋体" w:hAnsi="宋体" w:cs="宋体"/>
                <w:color w:val="auto"/>
                <w:highlight w:val="none"/>
                <w:lang w:val="zh-TW" w:eastAsia="zh-TW"/>
              </w:rPr>
              <w:t>日</w:t>
            </w:r>
          </w:p>
        </w:tc>
      </w:tr>
      <w:tr w14:paraId="2BF60EB5">
        <w:tblPrEx>
          <w:tblCellMar>
            <w:top w:w="0" w:type="dxa"/>
            <w:left w:w="0" w:type="dxa"/>
            <w:bottom w:w="0" w:type="dxa"/>
            <w:right w:w="0" w:type="dxa"/>
          </w:tblCellMar>
        </w:tblPrEx>
        <w:trPr>
          <w:trHeight w:val="793" w:hRule="exact"/>
        </w:trPr>
        <w:tc>
          <w:tcPr>
            <w:tcW w:w="2046" w:type="dxa"/>
            <w:tcBorders>
              <w:top w:val="single" w:color="000000" w:sz="4" w:space="0"/>
              <w:left w:val="single" w:color="000000" w:sz="4" w:space="0"/>
              <w:bottom w:val="single" w:color="000000" w:sz="4" w:space="0"/>
              <w:right w:val="single" w:color="000000" w:sz="4" w:space="0"/>
            </w:tcBorders>
            <w:noWrap w:val="0"/>
            <w:vAlign w:val="center"/>
          </w:tcPr>
          <w:p w14:paraId="1E22B38C">
            <w:pPr>
              <w:jc w:val="center"/>
              <w:rPr>
                <w:rFonts w:ascii="宋体" w:hAnsi="宋体" w:cs="宋体"/>
                <w:color w:val="auto"/>
                <w:highlight w:val="none"/>
                <w:lang w:val="zh-TW" w:eastAsia="zh-TW"/>
              </w:rPr>
            </w:pPr>
            <w:r>
              <w:rPr>
                <w:rFonts w:ascii="宋体" w:hAnsi="宋体" w:cs="宋体"/>
                <w:color w:val="auto"/>
                <w:highlight w:val="none"/>
                <w:lang w:val="zh-TW" w:eastAsia="zh-TW"/>
              </w:rPr>
              <w:t>专业</w:t>
            </w:r>
          </w:p>
        </w:tc>
        <w:tc>
          <w:tcPr>
            <w:tcW w:w="1595" w:type="dxa"/>
            <w:gridSpan w:val="2"/>
            <w:tcBorders>
              <w:top w:val="single" w:color="000000" w:sz="4" w:space="0"/>
              <w:left w:val="single" w:color="000000" w:sz="4" w:space="0"/>
              <w:bottom w:val="single" w:color="000000" w:sz="4" w:space="0"/>
              <w:right w:val="single" w:color="000000" w:sz="4" w:space="0"/>
            </w:tcBorders>
            <w:noWrap w:val="0"/>
            <w:vAlign w:val="center"/>
          </w:tcPr>
          <w:p w14:paraId="447B0471">
            <w:pPr>
              <w:jc w:val="center"/>
              <w:rPr>
                <w:rFonts w:ascii="宋体" w:hAnsi="宋体" w:cs="宋体"/>
                <w:color w:val="auto"/>
                <w:highlight w:val="none"/>
                <w:lang w:val="zh-TW" w:eastAsia="zh-TW"/>
              </w:rPr>
            </w:pPr>
          </w:p>
        </w:tc>
        <w:tc>
          <w:tcPr>
            <w:tcW w:w="2478" w:type="dxa"/>
            <w:gridSpan w:val="3"/>
            <w:tcBorders>
              <w:top w:val="single" w:color="000000" w:sz="4" w:space="0"/>
              <w:left w:val="single" w:color="000000" w:sz="4" w:space="0"/>
              <w:bottom w:val="single" w:color="000000" w:sz="4" w:space="0"/>
              <w:right w:val="single" w:color="000000" w:sz="4" w:space="0"/>
            </w:tcBorders>
            <w:noWrap w:val="0"/>
            <w:vAlign w:val="center"/>
          </w:tcPr>
          <w:p w14:paraId="6F5B6047">
            <w:pPr>
              <w:jc w:val="center"/>
              <w:rPr>
                <w:rFonts w:ascii="宋体" w:hAnsi="宋体" w:cs="宋体"/>
                <w:color w:val="auto"/>
                <w:highlight w:val="none"/>
                <w:lang w:val="zh-TW" w:eastAsia="zh-TW"/>
              </w:rPr>
            </w:pPr>
            <w:r>
              <w:rPr>
                <w:rFonts w:ascii="宋体" w:hAnsi="宋体" w:cs="宋体"/>
                <w:color w:val="auto"/>
                <w:highlight w:val="none"/>
                <w:lang w:val="zh-TW" w:eastAsia="zh-TW"/>
              </w:rPr>
              <w:t>从事本专业时间</w:t>
            </w:r>
          </w:p>
        </w:tc>
        <w:tc>
          <w:tcPr>
            <w:tcW w:w="3126" w:type="dxa"/>
            <w:gridSpan w:val="2"/>
            <w:tcBorders>
              <w:top w:val="single" w:color="000000" w:sz="4" w:space="0"/>
              <w:left w:val="single" w:color="000000" w:sz="4" w:space="0"/>
              <w:bottom w:val="single" w:color="000000" w:sz="4" w:space="0"/>
              <w:right w:val="single" w:color="000000" w:sz="4" w:space="0"/>
            </w:tcBorders>
            <w:noWrap w:val="0"/>
            <w:vAlign w:val="center"/>
          </w:tcPr>
          <w:p w14:paraId="40264B57">
            <w:pPr>
              <w:jc w:val="center"/>
              <w:rPr>
                <w:rFonts w:ascii="宋体" w:hAnsi="宋体" w:cs="宋体"/>
                <w:color w:val="auto"/>
                <w:highlight w:val="none"/>
                <w:lang w:val="zh-TW" w:eastAsia="zh-TW"/>
              </w:rPr>
            </w:pPr>
          </w:p>
        </w:tc>
      </w:tr>
      <w:tr w14:paraId="2AB44D08">
        <w:tblPrEx>
          <w:tblCellMar>
            <w:top w:w="0" w:type="dxa"/>
            <w:left w:w="0" w:type="dxa"/>
            <w:bottom w:w="0" w:type="dxa"/>
            <w:right w:w="0" w:type="dxa"/>
          </w:tblCellMar>
        </w:tblPrEx>
        <w:trPr>
          <w:trHeight w:val="403" w:hRule="exact"/>
        </w:trPr>
        <w:tc>
          <w:tcPr>
            <w:tcW w:w="2046" w:type="dxa"/>
            <w:tcBorders>
              <w:top w:val="single" w:color="000000" w:sz="4" w:space="0"/>
              <w:left w:val="single" w:color="000000" w:sz="4" w:space="0"/>
              <w:bottom w:val="single" w:color="000000" w:sz="4" w:space="0"/>
              <w:right w:val="single" w:color="000000" w:sz="4" w:space="0"/>
            </w:tcBorders>
            <w:noWrap w:val="0"/>
            <w:vAlign w:val="center"/>
          </w:tcPr>
          <w:p w14:paraId="3A39027F">
            <w:pPr>
              <w:jc w:val="center"/>
              <w:rPr>
                <w:rFonts w:ascii="宋体" w:hAnsi="宋体" w:cs="宋体"/>
                <w:color w:val="auto"/>
                <w:highlight w:val="none"/>
                <w:lang w:val="zh-TW" w:eastAsia="zh-TW"/>
              </w:rPr>
            </w:pPr>
            <w:r>
              <w:rPr>
                <w:rFonts w:ascii="宋体" w:hAnsi="宋体" w:cs="宋体"/>
                <w:color w:val="auto"/>
                <w:highlight w:val="none"/>
                <w:lang w:val="zh-TW" w:eastAsia="zh-TW"/>
              </w:rPr>
              <w:t>职务</w:t>
            </w:r>
          </w:p>
        </w:tc>
        <w:tc>
          <w:tcPr>
            <w:tcW w:w="1595" w:type="dxa"/>
            <w:gridSpan w:val="2"/>
            <w:tcBorders>
              <w:top w:val="single" w:color="000000" w:sz="4" w:space="0"/>
              <w:left w:val="single" w:color="000000" w:sz="4" w:space="0"/>
              <w:bottom w:val="single" w:color="000000" w:sz="4" w:space="0"/>
              <w:right w:val="single" w:color="000000" w:sz="4" w:space="0"/>
            </w:tcBorders>
            <w:noWrap w:val="0"/>
            <w:vAlign w:val="center"/>
          </w:tcPr>
          <w:p w14:paraId="54F16A4F">
            <w:pPr>
              <w:jc w:val="center"/>
              <w:rPr>
                <w:rFonts w:ascii="宋体" w:hAnsi="宋体" w:cs="宋体"/>
                <w:color w:val="auto"/>
                <w:highlight w:val="none"/>
                <w:lang w:val="zh-TW" w:eastAsia="zh-TW"/>
              </w:rPr>
            </w:pPr>
          </w:p>
        </w:tc>
        <w:tc>
          <w:tcPr>
            <w:tcW w:w="2478" w:type="dxa"/>
            <w:gridSpan w:val="3"/>
            <w:tcBorders>
              <w:top w:val="single" w:color="000000" w:sz="4" w:space="0"/>
              <w:left w:val="single" w:color="000000" w:sz="4" w:space="0"/>
              <w:bottom w:val="single" w:color="000000" w:sz="4" w:space="0"/>
              <w:right w:val="single" w:color="000000" w:sz="4" w:space="0"/>
            </w:tcBorders>
            <w:noWrap w:val="0"/>
            <w:vAlign w:val="center"/>
          </w:tcPr>
          <w:p w14:paraId="6DC1581C">
            <w:pPr>
              <w:jc w:val="center"/>
              <w:rPr>
                <w:rFonts w:ascii="宋体" w:hAnsi="宋体" w:cs="宋体"/>
                <w:color w:val="auto"/>
                <w:highlight w:val="none"/>
                <w:lang w:val="zh-TW" w:eastAsia="zh-TW"/>
              </w:rPr>
            </w:pPr>
            <w:r>
              <w:rPr>
                <w:rFonts w:ascii="宋体" w:hAnsi="宋体" w:cs="宋体"/>
                <w:color w:val="auto"/>
                <w:highlight w:val="none"/>
                <w:lang w:val="zh-TW" w:eastAsia="zh-TW"/>
              </w:rPr>
              <w:t>职称</w:t>
            </w:r>
          </w:p>
        </w:tc>
        <w:tc>
          <w:tcPr>
            <w:tcW w:w="3126" w:type="dxa"/>
            <w:gridSpan w:val="2"/>
            <w:tcBorders>
              <w:top w:val="single" w:color="000000" w:sz="4" w:space="0"/>
              <w:left w:val="single" w:color="000000" w:sz="4" w:space="0"/>
              <w:bottom w:val="single" w:color="000000" w:sz="4" w:space="0"/>
              <w:right w:val="single" w:color="000000" w:sz="4" w:space="0"/>
            </w:tcBorders>
            <w:noWrap w:val="0"/>
            <w:vAlign w:val="center"/>
          </w:tcPr>
          <w:p w14:paraId="45064D7F">
            <w:pPr>
              <w:jc w:val="center"/>
              <w:rPr>
                <w:rFonts w:ascii="宋体" w:hAnsi="宋体" w:cs="宋体"/>
                <w:color w:val="auto"/>
                <w:highlight w:val="none"/>
                <w:lang w:val="zh-TW" w:eastAsia="zh-TW"/>
              </w:rPr>
            </w:pPr>
          </w:p>
        </w:tc>
      </w:tr>
      <w:tr w14:paraId="2A51B9E9">
        <w:tblPrEx>
          <w:tblCellMar>
            <w:top w:w="0" w:type="dxa"/>
            <w:left w:w="0" w:type="dxa"/>
            <w:bottom w:w="0" w:type="dxa"/>
            <w:right w:w="0" w:type="dxa"/>
          </w:tblCellMar>
        </w:tblPrEx>
        <w:trPr>
          <w:trHeight w:val="1073" w:hRule="exact"/>
        </w:trPr>
        <w:tc>
          <w:tcPr>
            <w:tcW w:w="9245" w:type="dxa"/>
            <w:gridSpan w:val="8"/>
            <w:tcBorders>
              <w:top w:val="single" w:color="000000" w:sz="4" w:space="0"/>
              <w:left w:val="single" w:color="000000" w:sz="4" w:space="0"/>
              <w:bottom w:val="single" w:color="000000" w:sz="4" w:space="0"/>
              <w:right w:val="single" w:color="000000" w:sz="4" w:space="0"/>
            </w:tcBorders>
            <w:noWrap w:val="0"/>
            <w:vAlign w:val="center"/>
          </w:tcPr>
          <w:p w14:paraId="1AD9BF3A">
            <w:pPr>
              <w:jc w:val="center"/>
              <w:rPr>
                <w:rFonts w:ascii="宋体" w:hAnsi="宋体" w:cs="宋体"/>
                <w:color w:val="auto"/>
                <w:highlight w:val="none"/>
                <w:lang w:val="zh-TW" w:eastAsia="zh-TW"/>
              </w:rPr>
            </w:pPr>
            <w:r>
              <w:rPr>
                <w:rFonts w:ascii="宋体" w:hAnsi="宋体" w:cs="宋体"/>
                <w:color w:val="auto"/>
                <w:highlight w:val="none"/>
                <w:lang w:val="zh-TW" w:eastAsia="zh-TW"/>
              </w:rPr>
              <w:t>主</w:t>
            </w:r>
            <w:r>
              <w:rPr>
                <w:rFonts w:ascii="宋体" w:hAnsi="宋体" w:cs="宋体"/>
                <w:color w:val="auto"/>
                <w:highlight w:val="none"/>
                <w:lang w:val="zh-TW" w:eastAsia="zh-TW"/>
              </w:rPr>
              <w:tab/>
            </w:r>
            <w:r>
              <w:rPr>
                <w:rFonts w:ascii="宋体" w:hAnsi="宋体" w:cs="宋体"/>
                <w:color w:val="auto"/>
                <w:highlight w:val="none"/>
                <w:lang w:val="zh-TW" w:eastAsia="zh-TW"/>
              </w:rPr>
              <w:t>要</w:t>
            </w:r>
            <w:r>
              <w:rPr>
                <w:rFonts w:ascii="宋体" w:hAnsi="宋体" w:cs="宋体"/>
                <w:color w:val="auto"/>
                <w:highlight w:val="none"/>
                <w:lang w:val="zh-TW" w:eastAsia="zh-TW"/>
              </w:rPr>
              <w:tab/>
            </w:r>
            <w:r>
              <w:rPr>
                <w:rFonts w:ascii="宋体" w:hAnsi="宋体" w:cs="宋体"/>
                <w:color w:val="auto"/>
                <w:highlight w:val="none"/>
                <w:lang w:val="zh-TW" w:eastAsia="zh-TW"/>
              </w:rPr>
              <w:t>经</w:t>
            </w:r>
            <w:r>
              <w:rPr>
                <w:rFonts w:ascii="宋体" w:hAnsi="宋体" w:cs="宋体"/>
                <w:color w:val="auto"/>
                <w:highlight w:val="none"/>
                <w:lang w:val="zh-TW" w:eastAsia="zh-TW"/>
              </w:rPr>
              <w:tab/>
            </w:r>
            <w:r>
              <w:rPr>
                <w:rFonts w:ascii="宋体" w:hAnsi="宋体" w:cs="宋体"/>
                <w:color w:val="auto"/>
                <w:highlight w:val="none"/>
                <w:lang w:val="zh-TW" w:eastAsia="zh-TW"/>
              </w:rPr>
              <w:t>历</w:t>
            </w:r>
          </w:p>
        </w:tc>
      </w:tr>
      <w:tr w14:paraId="0425FFA1">
        <w:tblPrEx>
          <w:tblCellMar>
            <w:top w:w="0" w:type="dxa"/>
            <w:left w:w="0" w:type="dxa"/>
            <w:bottom w:w="0" w:type="dxa"/>
            <w:right w:w="0" w:type="dxa"/>
          </w:tblCellMar>
        </w:tblPrEx>
        <w:trPr>
          <w:trHeight w:val="773" w:hRule="exact"/>
        </w:trPr>
        <w:tc>
          <w:tcPr>
            <w:tcW w:w="2046" w:type="dxa"/>
            <w:tcBorders>
              <w:top w:val="single" w:color="000000" w:sz="4" w:space="0"/>
              <w:left w:val="single" w:color="000000" w:sz="4" w:space="0"/>
              <w:bottom w:val="single" w:color="000000" w:sz="4" w:space="0"/>
              <w:right w:val="single" w:color="000000" w:sz="4" w:space="0"/>
            </w:tcBorders>
            <w:noWrap w:val="0"/>
            <w:vAlign w:val="top"/>
          </w:tcPr>
          <w:p w14:paraId="30C97DD2">
            <w:pPr>
              <w:jc w:val="center"/>
              <w:rPr>
                <w:rFonts w:ascii="宋体" w:hAnsi="宋体" w:cs="宋体"/>
                <w:color w:val="auto"/>
                <w:highlight w:val="none"/>
                <w:lang w:val="zh-TW" w:eastAsia="zh-TW"/>
              </w:rPr>
            </w:pPr>
            <w:r>
              <w:rPr>
                <w:rFonts w:ascii="宋体" w:hAnsi="宋体" w:cs="宋体"/>
                <w:color w:val="auto"/>
                <w:highlight w:val="none"/>
                <w:lang w:val="zh-TW" w:eastAsia="zh-TW"/>
              </w:rPr>
              <w:t>时</w:t>
            </w:r>
            <w:r>
              <w:rPr>
                <w:rFonts w:ascii="宋体" w:hAnsi="宋体" w:cs="宋体"/>
                <w:color w:val="auto"/>
                <w:highlight w:val="none"/>
                <w:lang w:val="zh-TW" w:eastAsia="zh-TW"/>
              </w:rPr>
              <w:tab/>
            </w:r>
            <w:r>
              <w:rPr>
                <w:rFonts w:ascii="宋体" w:hAnsi="宋体" w:cs="宋体"/>
                <w:color w:val="auto"/>
                <w:highlight w:val="none"/>
                <w:lang w:val="zh-TW" w:eastAsia="zh-TW"/>
              </w:rPr>
              <w:t>间</w:t>
            </w:r>
          </w:p>
        </w:tc>
        <w:tc>
          <w:tcPr>
            <w:tcW w:w="3289" w:type="dxa"/>
            <w:gridSpan w:val="4"/>
            <w:tcBorders>
              <w:top w:val="single" w:color="000000" w:sz="4" w:space="0"/>
              <w:left w:val="single" w:color="000000" w:sz="4" w:space="0"/>
              <w:bottom w:val="single" w:color="000000" w:sz="4" w:space="0"/>
              <w:right w:val="single" w:color="000000" w:sz="4" w:space="0"/>
            </w:tcBorders>
            <w:noWrap w:val="0"/>
            <w:vAlign w:val="top"/>
          </w:tcPr>
          <w:p w14:paraId="00547264">
            <w:pPr>
              <w:jc w:val="center"/>
              <w:rPr>
                <w:rFonts w:ascii="宋体" w:hAnsi="宋体" w:cs="宋体"/>
                <w:color w:val="auto"/>
                <w:highlight w:val="none"/>
                <w:lang w:val="zh-TW" w:eastAsia="zh-TW"/>
              </w:rPr>
            </w:pPr>
            <w:r>
              <w:rPr>
                <w:rFonts w:ascii="宋体" w:hAnsi="宋体" w:cs="宋体"/>
                <w:color w:val="auto"/>
                <w:highlight w:val="none"/>
                <w:lang w:val="zh-TW" w:eastAsia="zh-TW"/>
              </w:rPr>
              <w:t>参加过的项目名称及规模</w:t>
            </w:r>
          </w:p>
        </w:tc>
        <w:tc>
          <w:tcPr>
            <w:tcW w:w="2260" w:type="dxa"/>
            <w:gridSpan w:val="2"/>
            <w:tcBorders>
              <w:top w:val="single" w:color="000000" w:sz="4" w:space="0"/>
              <w:left w:val="single" w:color="000000" w:sz="4" w:space="0"/>
              <w:bottom w:val="single" w:color="000000" w:sz="4" w:space="0"/>
              <w:right w:val="single" w:color="000000" w:sz="4" w:space="0"/>
            </w:tcBorders>
            <w:noWrap w:val="0"/>
            <w:vAlign w:val="top"/>
          </w:tcPr>
          <w:p w14:paraId="677D9C45">
            <w:pPr>
              <w:jc w:val="center"/>
              <w:rPr>
                <w:rFonts w:ascii="宋体" w:hAnsi="宋体" w:cs="宋体"/>
                <w:color w:val="auto"/>
                <w:highlight w:val="none"/>
                <w:lang w:val="zh-TW" w:eastAsia="zh-TW"/>
              </w:rPr>
            </w:pPr>
            <w:r>
              <w:rPr>
                <w:rFonts w:ascii="宋体" w:hAnsi="宋体" w:cs="宋体"/>
                <w:color w:val="auto"/>
                <w:highlight w:val="none"/>
                <w:lang w:val="zh-TW" w:eastAsia="zh-TW"/>
              </w:rPr>
              <w:t>该项目中任职</w:t>
            </w:r>
          </w:p>
        </w:tc>
        <w:tc>
          <w:tcPr>
            <w:tcW w:w="1650" w:type="dxa"/>
            <w:tcBorders>
              <w:top w:val="single" w:color="000000" w:sz="4" w:space="0"/>
              <w:left w:val="single" w:color="000000" w:sz="4" w:space="0"/>
              <w:bottom w:val="single" w:color="000000" w:sz="4" w:space="0"/>
              <w:right w:val="single" w:color="000000" w:sz="4" w:space="0"/>
            </w:tcBorders>
            <w:noWrap w:val="0"/>
            <w:vAlign w:val="top"/>
          </w:tcPr>
          <w:p w14:paraId="23D8B9AF">
            <w:pPr>
              <w:jc w:val="center"/>
              <w:rPr>
                <w:rFonts w:ascii="宋体" w:hAnsi="宋体" w:cs="宋体"/>
                <w:color w:val="auto"/>
                <w:highlight w:val="none"/>
                <w:lang w:val="zh-TW" w:eastAsia="zh-TW"/>
              </w:rPr>
            </w:pPr>
            <w:r>
              <w:rPr>
                <w:rFonts w:ascii="宋体" w:hAnsi="宋体" w:cs="宋体"/>
                <w:color w:val="auto"/>
                <w:highlight w:val="none"/>
                <w:lang w:val="zh-TW" w:eastAsia="zh-TW"/>
              </w:rPr>
              <w:t>业主单位</w:t>
            </w:r>
            <w:r>
              <w:rPr>
                <w:rFonts w:hint="eastAsia" w:ascii="宋体" w:hAnsi="宋体" w:cs="宋体"/>
                <w:color w:val="auto"/>
                <w:highlight w:val="none"/>
                <w:lang w:val="zh-TW" w:eastAsia="zh-TW"/>
              </w:rPr>
              <w:t>、联系人电话</w:t>
            </w:r>
          </w:p>
        </w:tc>
      </w:tr>
      <w:tr w14:paraId="128EF51A">
        <w:tblPrEx>
          <w:tblCellMar>
            <w:top w:w="0" w:type="dxa"/>
            <w:left w:w="0" w:type="dxa"/>
            <w:bottom w:w="0" w:type="dxa"/>
            <w:right w:w="0" w:type="dxa"/>
          </w:tblCellMar>
        </w:tblPrEx>
        <w:trPr>
          <w:trHeight w:val="1891" w:hRule="exact"/>
        </w:trPr>
        <w:tc>
          <w:tcPr>
            <w:tcW w:w="2046" w:type="dxa"/>
            <w:tcBorders>
              <w:top w:val="single" w:color="000000" w:sz="4" w:space="0"/>
              <w:left w:val="single" w:color="000000" w:sz="4" w:space="0"/>
              <w:bottom w:val="single" w:color="000000" w:sz="4" w:space="0"/>
              <w:right w:val="single" w:color="000000" w:sz="4" w:space="0"/>
            </w:tcBorders>
            <w:noWrap w:val="0"/>
            <w:vAlign w:val="top"/>
          </w:tcPr>
          <w:p w14:paraId="7642A66D">
            <w:pPr>
              <w:jc w:val="both"/>
              <w:rPr>
                <w:rFonts w:ascii="宋体" w:hAnsi="宋体" w:cs="宋体"/>
                <w:color w:val="auto"/>
                <w:highlight w:val="none"/>
                <w:lang w:val="zh-TW" w:eastAsia="zh-TW"/>
              </w:rPr>
            </w:pPr>
          </w:p>
        </w:tc>
        <w:tc>
          <w:tcPr>
            <w:tcW w:w="3289" w:type="dxa"/>
            <w:gridSpan w:val="4"/>
            <w:tcBorders>
              <w:top w:val="single" w:color="000000" w:sz="4" w:space="0"/>
              <w:left w:val="single" w:color="000000" w:sz="4" w:space="0"/>
              <w:bottom w:val="single" w:color="000000" w:sz="4" w:space="0"/>
              <w:right w:val="single" w:color="000000" w:sz="4" w:space="0"/>
            </w:tcBorders>
            <w:noWrap w:val="0"/>
            <w:vAlign w:val="top"/>
          </w:tcPr>
          <w:p w14:paraId="3EAA7982">
            <w:pPr>
              <w:jc w:val="both"/>
              <w:rPr>
                <w:rFonts w:ascii="宋体" w:hAnsi="宋体" w:cs="宋体"/>
                <w:color w:val="auto"/>
                <w:highlight w:val="none"/>
                <w:lang w:val="zh-TW" w:eastAsia="zh-TW"/>
              </w:rPr>
            </w:pPr>
          </w:p>
        </w:tc>
        <w:tc>
          <w:tcPr>
            <w:tcW w:w="2260" w:type="dxa"/>
            <w:gridSpan w:val="2"/>
            <w:tcBorders>
              <w:top w:val="single" w:color="000000" w:sz="4" w:space="0"/>
              <w:left w:val="single" w:color="000000" w:sz="4" w:space="0"/>
              <w:bottom w:val="single" w:color="000000" w:sz="4" w:space="0"/>
              <w:right w:val="single" w:color="000000" w:sz="4" w:space="0"/>
            </w:tcBorders>
            <w:noWrap w:val="0"/>
            <w:vAlign w:val="top"/>
          </w:tcPr>
          <w:p w14:paraId="0824BB03">
            <w:pPr>
              <w:jc w:val="both"/>
              <w:rPr>
                <w:rFonts w:ascii="宋体" w:hAnsi="宋体" w:cs="宋体"/>
                <w:color w:val="auto"/>
                <w:highlight w:val="none"/>
                <w:lang w:val="zh-TW" w:eastAsia="zh-TW"/>
              </w:rPr>
            </w:pPr>
          </w:p>
          <w:p w14:paraId="2DA6EA5E">
            <w:pPr>
              <w:spacing w:line="360" w:lineRule="auto"/>
              <w:ind w:firstLine="480"/>
              <w:rPr>
                <w:rFonts w:ascii="宋体" w:hAnsi="宋体" w:cs="宋体"/>
                <w:color w:val="auto"/>
                <w:highlight w:val="none"/>
                <w:lang w:val="zh-TW" w:eastAsia="zh-TW"/>
              </w:rPr>
            </w:pPr>
          </w:p>
          <w:p w14:paraId="29741D1E">
            <w:pPr>
              <w:spacing w:line="360" w:lineRule="auto"/>
              <w:ind w:firstLine="480"/>
              <w:rPr>
                <w:rFonts w:ascii="宋体" w:hAnsi="宋体" w:cs="宋体"/>
                <w:color w:val="auto"/>
                <w:highlight w:val="none"/>
                <w:lang w:val="zh-TW" w:eastAsia="zh-TW"/>
              </w:rPr>
            </w:pPr>
          </w:p>
          <w:p w14:paraId="09BF4392">
            <w:pPr>
              <w:spacing w:line="360" w:lineRule="auto"/>
              <w:ind w:firstLine="480"/>
              <w:rPr>
                <w:rFonts w:ascii="宋体" w:hAnsi="宋体" w:cs="宋体"/>
                <w:color w:val="auto"/>
                <w:highlight w:val="none"/>
                <w:lang w:val="zh-TW" w:eastAsia="zh-TW"/>
              </w:rPr>
            </w:pPr>
          </w:p>
          <w:p w14:paraId="2380FE54">
            <w:pPr>
              <w:spacing w:line="360" w:lineRule="auto"/>
              <w:ind w:firstLine="480"/>
              <w:rPr>
                <w:rFonts w:ascii="宋体" w:hAnsi="宋体" w:cs="宋体"/>
                <w:color w:val="auto"/>
                <w:highlight w:val="none"/>
                <w:lang w:val="zh-TW" w:eastAsia="zh-TW"/>
              </w:rPr>
            </w:pPr>
          </w:p>
          <w:p w14:paraId="297CAA17">
            <w:pPr>
              <w:spacing w:line="360" w:lineRule="auto"/>
              <w:ind w:firstLine="480"/>
              <w:rPr>
                <w:rFonts w:ascii="宋体" w:hAnsi="宋体" w:cs="宋体"/>
                <w:color w:val="auto"/>
                <w:highlight w:val="none"/>
                <w:lang w:val="zh-TW" w:eastAsia="zh-TW"/>
              </w:rPr>
            </w:pPr>
          </w:p>
          <w:p w14:paraId="32F7C3E0">
            <w:pPr>
              <w:spacing w:line="360" w:lineRule="auto"/>
              <w:ind w:firstLine="480"/>
              <w:rPr>
                <w:rFonts w:ascii="宋体" w:hAnsi="宋体" w:cs="宋体"/>
                <w:color w:val="auto"/>
                <w:highlight w:val="none"/>
                <w:lang w:val="zh-TW" w:eastAsia="zh-TW"/>
              </w:rPr>
            </w:pPr>
          </w:p>
          <w:p w14:paraId="06FC473D">
            <w:pPr>
              <w:spacing w:line="360" w:lineRule="auto"/>
              <w:ind w:firstLine="480"/>
              <w:rPr>
                <w:rFonts w:ascii="宋体" w:hAnsi="宋体" w:cs="宋体"/>
                <w:color w:val="auto"/>
                <w:highlight w:val="none"/>
                <w:lang w:val="zh-TW" w:eastAsia="zh-TW"/>
              </w:rPr>
            </w:pPr>
          </w:p>
          <w:p w14:paraId="2170F22D">
            <w:pPr>
              <w:spacing w:line="360" w:lineRule="auto"/>
              <w:ind w:firstLine="480"/>
              <w:rPr>
                <w:rFonts w:ascii="宋体" w:hAnsi="宋体" w:cs="宋体"/>
                <w:color w:val="auto"/>
                <w:highlight w:val="none"/>
                <w:lang w:val="zh-TW" w:eastAsia="zh-TW"/>
              </w:rPr>
            </w:pPr>
          </w:p>
        </w:tc>
        <w:tc>
          <w:tcPr>
            <w:tcW w:w="1650" w:type="dxa"/>
            <w:tcBorders>
              <w:top w:val="single" w:color="000000" w:sz="4" w:space="0"/>
              <w:left w:val="single" w:color="000000" w:sz="4" w:space="0"/>
              <w:bottom w:val="single" w:color="000000" w:sz="4" w:space="0"/>
              <w:right w:val="single" w:color="000000" w:sz="4" w:space="0"/>
            </w:tcBorders>
            <w:noWrap w:val="0"/>
            <w:vAlign w:val="top"/>
          </w:tcPr>
          <w:p w14:paraId="49903488">
            <w:pPr>
              <w:spacing w:line="360" w:lineRule="auto"/>
              <w:ind w:firstLine="480"/>
              <w:rPr>
                <w:rFonts w:ascii="宋体" w:hAnsi="宋体" w:cs="宋体"/>
                <w:color w:val="auto"/>
                <w:highlight w:val="none"/>
                <w:lang w:val="zh-TW" w:eastAsia="zh-TW"/>
              </w:rPr>
            </w:pPr>
          </w:p>
        </w:tc>
      </w:tr>
    </w:tbl>
    <w:p w14:paraId="22E9C498">
      <w:pPr>
        <w:pStyle w:val="190"/>
        <w:shd w:val="clear" w:color="auto" w:fill="FFFFFF"/>
        <w:spacing w:line="360" w:lineRule="auto"/>
        <w:rPr>
          <w:rFonts w:ascii="宋体" w:cs="宋体"/>
          <w:color w:val="auto"/>
          <w:sz w:val="24"/>
          <w:szCs w:val="24"/>
          <w:highlight w:val="none"/>
        </w:rPr>
      </w:pPr>
      <w:r>
        <w:rPr>
          <w:rFonts w:hint="eastAsia" w:ascii="宋体" w:hAnsi="宋体" w:cs="宋体"/>
          <w:color w:val="auto"/>
          <w:sz w:val="24"/>
          <w:szCs w:val="24"/>
          <w:highlight w:val="none"/>
          <w:lang w:val="zh-TW" w:eastAsia="zh-TW"/>
        </w:rPr>
        <w:t>投标单位（加盖电子公章）：</w:t>
      </w:r>
      <w:r>
        <w:rPr>
          <w:rFonts w:ascii="宋体" w:cs="宋体"/>
          <w:color w:val="auto"/>
          <w:sz w:val="24"/>
          <w:szCs w:val="24"/>
          <w:highlight w:val="none"/>
          <w:u w:val="single"/>
        </w:rPr>
        <w:t>                      </w:t>
      </w:r>
    </w:p>
    <w:p w14:paraId="73D1A715">
      <w:pPr>
        <w:pStyle w:val="190"/>
        <w:shd w:val="clear" w:color="auto" w:fill="FFFFFF"/>
        <w:spacing w:line="360" w:lineRule="auto"/>
        <w:rPr>
          <w:rFonts w:ascii="宋体" w:cs="宋体"/>
          <w:color w:val="auto"/>
          <w:sz w:val="24"/>
          <w:szCs w:val="24"/>
          <w:highlight w:val="none"/>
          <w:u w:val="single"/>
        </w:rPr>
      </w:pPr>
      <w:r>
        <w:rPr>
          <w:rFonts w:hint="eastAsia" w:ascii="宋体" w:hAnsi="宋体" w:cs="宋体"/>
          <w:color w:val="auto"/>
          <w:sz w:val="24"/>
          <w:szCs w:val="24"/>
          <w:highlight w:val="none"/>
          <w:lang w:val="zh-TW" w:eastAsia="zh-TW"/>
        </w:rPr>
        <w:t>授权代表（签字）：</w:t>
      </w:r>
      <w:r>
        <w:rPr>
          <w:rFonts w:ascii="宋体" w:cs="宋体"/>
          <w:color w:val="auto"/>
          <w:sz w:val="24"/>
          <w:szCs w:val="24"/>
          <w:highlight w:val="none"/>
          <w:u w:val="single"/>
        </w:rPr>
        <w:t>                      </w:t>
      </w:r>
    </w:p>
    <w:p w14:paraId="125AEC33">
      <w:pPr>
        <w:pStyle w:val="190"/>
        <w:shd w:val="clear" w:color="auto" w:fill="FFFFFF"/>
        <w:spacing w:line="360" w:lineRule="auto"/>
        <w:rPr>
          <w:rFonts w:ascii="宋体" w:cs="宋体"/>
          <w:color w:val="auto"/>
          <w:sz w:val="24"/>
          <w:szCs w:val="24"/>
          <w:highlight w:val="none"/>
          <w:u w:val="single"/>
        </w:rPr>
      </w:pPr>
      <w:r>
        <w:rPr>
          <w:rFonts w:hint="eastAsia" w:ascii="宋体" w:hAnsi="宋体" w:cs="宋体"/>
          <w:color w:val="auto"/>
          <w:sz w:val="24"/>
          <w:szCs w:val="24"/>
          <w:highlight w:val="none"/>
          <w:lang w:val="zh-TW" w:eastAsia="zh-TW"/>
        </w:rPr>
        <w:t>日期：</w:t>
      </w:r>
      <w:r>
        <w:rPr>
          <w:rFonts w:ascii="宋体" w:cs="宋体"/>
          <w:color w:val="auto"/>
          <w:sz w:val="24"/>
          <w:szCs w:val="24"/>
          <w:highlight w:val="none"/>
          <w:u w:val="single"/>
        </w:rPr>
        <w:t>                      </w:t>
      </w:r>
    </w:p>
    <w:p w14:paraId="15BEC331">
      <w:pPr>
        <w:spacing w:line="360" w:lineRule="auto"/>
        <w:rPr>
          <w:rFonts w:ascii="宋体" w:hAnsi="宋体" w:cs="宋体"/>
          <w:color w:val="auto"/>
          <w:highlight w:val="none"/>
          <w:lang w:val="zh-TW" w:eastAsia="zh-CN"/>
        </w:rPr>
      </w:pPr>
    </w:p>
    <w:p w14:paraId="537B1C00">
      <w:pPr>
        <w:jc w:val="both"/>
        <w:rPr>
          <w:rFonts w:ascii="宋体" w:hAnsi="宋体" w:cs="宋体"/>
          <w:color w:val="auto"/>
          <w:highlight w:val="none"/>
          <w:lang w:val="zh-TW" w:eastAsia="zh-CN"/>
        </w:rPr>
      </w:pPr>
      <w:r>
        <w:rPr>
          <w:rFonts w:hint="eastAsia" w:ascii="宋体" w:hAnsi="宋体" w:cs="宋体"/>
          <w:color w:val="auto"/>
          <w:highlight w:val="none"/>
          <w:lang w:val="zh-TW" w:eastAsia="zh-TW"/>
        </w:rPr>
        <w:t>说明：具体时间要求及需提交的证明材料详见</w:t>
      </w:r>
      <w:r>
        <w:rPr>
          <w:rFonts w:hint="eastAsia" w:ascii="宋体" w:hAnsi="宋体" w:cs="宋体"/>
          <w:color w:val="auto"/>
          <w:highlight w:val="none"/>
          <w:lang w:val="zh-TW" w:eastAsia="zh-CN"/>
        </w:rPr>
        <w:t>评标标准</w:t>
      </w:r>
      <w:r>
        <w:rPr>
          <w:rFonts w:hint="eastAsia" w:ascii="宋体" w:hAnsi="宋体" w:cs="宋体"/>
          <w:color w:val="auto"/>
          <w:highlight w:val="none"/>
          <w:lang w:val="zh-TW" w:eastAsia="zh-TW"/>
        </w:rPr>
        <w:t>。</w:t>
      </w:r>
    </w:p>
    <w:p w14:paraId="7CFAB01A">
      <w:pPr>
        <w:spacing w:line="400" w:lineRule="exact"/>
        <w:ind w:left="998" w:right="214"/>
        <w:jc w:val="both"/>
        <w:rPr>
          <w:rFonts w:ascii="宋体" w:hAnsi="宋体"/>
          <w:color w:val="auto"/>
          <w:highlight w:val="none"/>
          <w:lang w:eastAsia="zh-CN"/>
        </w:rPr>
      </w:pPr>
    </w:p>
    <w:p w14:paraId="5BC8F072">
      <w:pPr>
        <w:spacing w:line="400" w:lineRule="exact"/>
        <w:ind w:left="998" w:right="214"/>
        <w:jc w:val="both"/>
        <w:rPr>
          <w:rFonts w:ascii="宋体" w:hAnsi="宋体"/>
          <w:color w:val="auto"/>
          <w:highlight w:val="none"/>
          <w:lang w:eastAsia="zh-CN"/>
        </w:rPr>
      </w:pPr>
    </w:p>
    <w:p w14:paraId="565A50EA">
      <w:pPr>
        <w:spacing w:line="360" w:lineRule="auto"/>
        <w:ind w:firstLine="480"/>
        <w:rPr>
          <w:rFonts w:ascii="宋体" w:hAnsi="宋体"/>
          <w:color w:val="auto"/>
          <w:highlight w:val="none"/>
          <w:lang w:eastAsia="zh-CN"/>
        </w:rPr>
      </w:pPr>
    </w:p>
    <w:p w14:paraId="47BC20E1">
      <w:pPr>
        <w:spacing w:line="360" w:lineRule="auto"/>
        <w:ind w:firstLine="480"/>
        <w:rPr>
          <w:rFonts w:ascii="宋体" w:hAnsi="宋体"/>
          <w:color w:val="auto"/>
          <w:highlight w:val="none"/>
          <w:lang w:eastAsia="zh-CN"/>
        </w:rPr>
      </w:pPr>
    </w:p>
    <w:p w14:paraId="53B69907">
      <w:pPr>
        <w:spacing w:line="360" w:lineRule="auto"/>
        <w:jc w:val="center"/>
        <w:rPr>
          <w:rFonts w:ascii="宋体" w:hAnsi="宋体" w:cs="宋体"/>
          <w:color w:val="auto"/>
          <w:highlight w:val="none"/>
          <w:lang w:val="zh-TW" w:eastAsia="zh-TW"/>
        </w:rPr>
      </w:pPr>
      <w:r>
        <w:rPr>
          <w:rFonts w:ascii="宋体" w:hAnsi="宋体" w:cs="宋体"/>
          <w:color w:val="auto"/>
          <w:highlight w:val="none"/>
          <w:lang w:val="zh-TW" w:eastAsia="zh-TW"/>
        </w:rPr>
        <w:br w:type="page" w:clear="all"/>
      </w:r>
      <w:r>
        <w:rPr>
          <w:rFonts w:hint="eastAsia" w:ascii="宋体" w:hAnsi="宋体" w:cs="宋体"/>
          <w:color w:val="auto"/>
          <w:highlight w:val="none"/>
          <w:lang w:val="zh-TW" w:eastAsia="zh-TW"/>
        </w:rPr>
        <w:t>7.2 拟参与本项目人员一览表</w:t>
      </w:r>
    </w:p>
    <w:p w14:paraId="657DB070">
      <w:pPr>
        <w:widowControl w:val="0"/>
        <w:spacing w:before="100" w:beforeAutospacing="1" w:after="100" w:afterAutospacing="1"/>
        <w:ind w:firstLine="240"/>
        <w:rPr>
          <w:rFonts w:ascii="宋体" w:hAnsi="宋体" w:cs="宋体"/>
          <w:color w:val="auto"/>
          <w:highlight w:val="none"/>
          <w:lang w:val="zh-TW" w:eastAsia="zh-TW"/>
        </w:rPr>
      </w:pPr>
      <w:r>
        <w:rPr>
          <w:rFonts w:ascii="宋体" w:hAnsi="宋体" w:cs="宋体"/>
          <w:color w:val="auto"/>
          <w:highlight w:val="none"/>
          <w:lang w:val="zh-TW" w:eastAsia="zh-TW"/>
        </w:rPr>
        <w:t>项目名称：</w:t>
      </w:r>
      <w:r>
        <w:rPr>
          <w:rFonts w:hint="eastAsia" w:ascii="宋体" w:hAnsi="宋体" w:cs="宋体"/>
          <w:color w:val="auto"/>
          <w:highlight w:val="none"/>
          <w:lang w:val="zh-TW" w:eastAsia="zh-TW"/>
        </w:rPr>
        <w:t xml:space="preserve">                                         </w:t>
      </w:r>
      <w:r>
        <w:rPr>
          <w:rFonts w:ascii="宋体" w:hAnsi="宋体" w:cs="宋体"/>
          <w:color w:val="auto"/>
          <w:highlight w:val="none"/>
          <w:lang w:val="zh-TW" w:eastAsia="zh-TW"/>
        </w:rPr>
        <w:t>项目编号：</w:t>
      </w:r>
    </w:p>
    <w:tbl>
      <w:tblPr>
        <w:tblStyle w:val="33"/>
        <w:tblW w:w="9651" w:type="dxa"/>
        <w:jc w:val="center"/>
        <w:tblLayout w:type="fixed"/>
        <w:tblCellMar>
          <w:top w:w="0" w:type="dxa"/>
          <w:left w:w="108" w:type="dxa"/>
          <w:bottom w:w="0" w:type="dxa"/>
          <w:right w:w="108" w:type="dxa"/>
        </w:tblCellMar>
      </w:tblPr>
      <w:tblGrid>
        <w:gridCol w:w="595"/>
        <w:gridCol w:w="998"/>
        <w:gridCol w:w="738"/>
        <w:gridCol w:w="789"/>
        <w:gridCol w:w="1263"/>
        <w:gridCol w:w="1036"/>
        <w:gridCol w:w="1135"/>
        <w:gridCol w:w="946"/>
        <w:gridCol w:w="2151"/>
      </w:tblGrid>
      <w:tr w14:paraId="3324ADAA">
        <w:tblPrEx>
          <w:tblCellMar>
            <w:top w:w="0" w:type="dxa"/>
            <w:left w:w="108" w:type="dxa"/>
            <w:bottom w:w="0" w:type="dxa"/>
            <w:right w:w="108" w:type="dxa"/>
          </w:tblCellMar>
        </w:tblPrEx>
        <w:trPr>
          <w:trHeight w:val="1113" w:hRule="atLeast"/>
          <w:jc w:val="center"/>
        </w:trPr>
        <w:tc>
          <w:tcPr>
            <w:tcW w:w="595" w:type="dxa"/>
            <w:tcBorders>
              <w:top w:val="single" w:color="000000" w:sz="4" w:space="0"/>
              <w:left w:val="single" w:color="000000" w:sz="4" w:space="0"/>
              <w:bottom w:val="single" w:color="000000" w:sz="4" w:space="0"/>
              <w:right w:val="single" w:color="000000" w:sz="4" w:space="0"/>
            </w:tcBorders>
            <w:noWrap/>
            <w:vAlign w:val="center"/>
          </w:tcPr>
          <w:p w14:paraId="5DD1C359">
            <w:pPr>
              <w:jc w:val="center"/>
              <w:rPr>
                <w:rFonts w:ascii="宋体" w:hAnsi="宋体" w:cs="宋体"/>
                <w:color w:val="auto"/>
                <w:highlight w:val="none"/>
                <w:lang w:val="zh-TW" w:eastAsia="zh-TW"/>
              </w:rPr>
            </w:pPr>
            <w:r>
              <w:rPr>
                <w:rFonts w:hint="eastAsia" w:ascii="宋体" w:hAnsi="宋体" w:cs="宋体"/>
                <w:color w:val="auto"/>
                <w:highlight w:val="none"/>
                <w:lang w:val="zh-TW" w:eastAsia="zh-TW"/>
              </w:rPr>
              <w:t>序号</w:t>
            </w:r>
          </w:p>
        </w:tc>
        <w:tc>
          <w:tcPr>
            <w:tcW w:w="998" w:type="dxa"/>
            <w:tcBorders>
              <w:top w:val="single" w:color="000000" w:sz="4" w:space="0"/>
              <w:left w:val="nil"/>
              <w:bottom w:val="single" w:color="000000" w:sz="4" w:space="0"/>
              <w:right w:val="single" w:color="000000" w:sz="4" w:space="0"/>
            </w:tcBorders>
            <w:noWrap/>
            <w:vAlign w:val="center"/>
          </w:tcPr>
          <w:p w14:paraId="2B031902">
            <w:pPr>
              <w:jc w:val="center"/>
              <w:rPr>
                <w:rFonts w:ascii="宋体" w:hAnsi="宋体" w:cs="宋体"/>
                <w:color w:val="auto"/>
                <w:highlight w:val="none"/>
                <w:lang w:val="zh-TW" w:eastAsia="zh-TW"/>
              </w:rPr>
            </w:pPr>
            <w:r>
              <w:rPr>
                <w:rFonts w:hint="eastAsia" w:ascii="宋体" w:hAnsi="宋体" w:cs="宋体"/>
                <w:color w:val="auto"/>
                <w:highlight w:val="none"/>
                <w:lang w:val="zh-TW" w:eastAsia="zh-TW"/>
              </w:rPr>
              <w:t>姓名</w:t>
            </w:r>
          </w:p>
        </w:tc>
        <w:tc>
          <w:tcPr>
            <w:tcW w:w="738" w:type="dxa"/>
            <w:tcBorders>
              <w:top w:val="single" w:color="000000" w:sz="4" w:space="0"/>
              <w:left w:val="nil"/>
              <w:bottom w:val="single" w:color="000000" w:sz="4" w:space="0"/>
              <w:right w:val="single" w:color="000000" w:sz="4" w:space="0"/>
            </w:tcBorders>
            <w:noWrap/>
            <w:vAlign w:val="center"/>
          </w:tcPr>
          <w:p w14:paraId="4E361649">
            <w:pPr>
              <w:jc w:val="center"/>
              <w:rPr>
                <w:rFonts w:ascii="宋体" w:hAnsi="宋体" w:cs="宋体"/>
                <w:color w:val="auto"/>
                <w:highlight w:val="none"/>
                <w:lang w:val="zh-TW" w:eastAsia="zh-TW"/>
              </w:rPr>
            </w:pPr>
            <w:r>
              <w:rPr>
                <w:rFonts w:hint="eastAsia" w:ascii="宋体" w:hAnsi="宋体" w:cs="宋体"/>
                <w:color w:val="auto"/>
                <w:highlight w:val="none"/>
                <w:lang w:val="zh-TW" w:eastAsia="zh-TW"/>
              </w:rPr>
              <w:t>性别</w:t>
            </w:r>
          </w:p>
        </w:tc>
        <w:tc>
          <w:tcPr>
            <w:tcW w:w="789" w:type="dxa"/>
            <w:tcBorders>
              <w:top w:val="single" w:color="000000" w:sz="4" w:space="0"/>
              <w:left w:val="nil"/>
              <w:bottom w:val="single" w:color="000000" w:sz="4" w:space="0"/>
              <w:right w:val="single" w:color="000000" w:sz="4" w:space="0"/>
            </w:tcBorders>
            <w:noWrap/>
            <w:vAlign w:val="center"/>
          </w:tcPr>
          <w:p w14:paraId="6004C952">
            <w:pPr>
              <w:jc w:val="center"/>
              <w:rPr>
                <w:rFonts w:ascii="宋体" w:hAnsi="宋体" w:cs="宋体"/>
                <w:color w:val="auto"/>
                <w:highlight w:val="none"/>
                <w:lang w:val="zh-TW" w:eastAsia="zh-TW"/>
              </w:rPr>
            </w:pPr>
            <w:r>
              <w:rPr>
                <w:rFonts w:hint="eastAsia" w:ascii="宋体" w:hAnsi="宋体" w:cs="宋体"/>
                <w:color w:val="auto"/>
                <w:highlight w:val="none"/>
                <w:lang w:val="zh-TW" w:eastAsia="zh-TW"/>
              </w:rPr>
              <w:t>年龄</w:t>
            </w:r>
          </w:p>
        </w:tc>
        <w:tc>
          <w:tcPr>
            <w:tcW w:w="1263" w:type="dxa"/>
            <w:tcBorders>
              <w:top w:val="single" w:color="000000" w:sz="4" w:space="0"/>
              <w:left w:val="nil"/>
              <w:bottom w:val="single" w:color="000000" w:sz="4" w:space="0"/>
              <w:right w:val="single" w:color="000000" w:sz="4" w:space="0"/>
            </w:tcBorders>
            <w:noWrap/>
            <w:vAlign w:val="center"/>
          </w:tcPr>
          <w:p w14:paraId="35574148">
            <w:pPr>
              <w:jc w:val="center"/>
              <w:rPr>
                <w:rFonts w:ascii="宋体" w:hAnsi="宋体" w:cs="宋体"/>
                <w:color w:val="auto"/>
                <w:highlight w:val="none"/>
                <w:lang w:val="zh-TW" w:eastAsia="zh-TW"/>
              </w:rPr>
            </w:pPr>
            <w:r>
              <w:rPr>
                <w:rFonts w:hint="eastAsia" w:ascii="宋体" w:hAnsi="宋体" w:cs="宋体"/>
                <w:color w:val="auto"/>
                <w:highlight w:val="none"/>
                <w:lang w:val="zh-TW" w:eastAsia="zh-TW"/>
              </w:rPr>
              <w:t>专业</w:t>
            </w:r>
          </w:p>
        </w:tc>
        <w:tc>
          <w:tcPr>
            <w:tcW w:w="1036" w:type="dxa"/>
            <w:tcBorders>
              <w:top w:val="single" w:color="000000" w:sz="4" w:space="0"/>
              <w:left w:val="nil"/>
              <w:bottom w:val="single" w:color="000000" w:sz="4" w:space="0"/>
              <w:right w:val="single" w:color="000000" w:sz="4" w:space="0"/>
            </w:tcBorders>
            <w:noWrap/>
            <w:vAlign w:val="center"/>
          </w:tcPr>
          <w:p w14:paraId="7D876109">
            <w:pPr>
              <w:jc w:val="center"/>
              <w:rPr>
                <w:rFonts w:ascii="宋体" w:hAnsi="宋体" w:cs="宋体"/>
                <w:color w:val="auto"/>
                <w:highlight w:val="none"/>
                <w:lang w:val="zh-TW" w:eastAsia="zh-TW"/>
              </w:rPr>
            </w:pPr>
            <w:r>
              <w:rPr>
                <w:rFonts w:hint="eastAsia" w:ascii="宋体" w:hAnsi="宋体" w:cs="宋体"/>
                <w:color w:val="auto"/>
                <w:highlight w:val="none"/>
                <w:lang w:val="zh-TW" w:eastAsia="zh-TW"/>
              </w:rPr>
              <w:t>学历</w:t>
            </w:r>
          </w:p>
        </w:tc>
        <w:tc>
          <w:tcPr>
            <w:tcW w:w="1135" w:type="dxa"/>
            <w:tcBorders>
              <w:top w:val="single" w:color="000000" w:sz="4" w:space="0"/>
              <w:left w:val="nil"/>
              <w:bottom w:val="single" w:color="000000" w:sz="4" w:space="0"/>
              <w:right w:val="single" w:color="000000" w:sz="4" w:space="0"/>
            </w:tcBorders>
            <w:noWrap/>
            <w:vAlign w:val="center"/>
          </w:tcPr>
          <w:p w14:paraId="5FBAAFEF">
            <w:pPr>
              <w:jc w:val="center"/>
              <w:rPr>
                <w:rFonts w:ascii="宋体" w:hAnsi="宋体" w:cs="宋体"/>
                <w:color w:val="auto"/>
                <w:highlight w:val="none"/>
                <w:lang w:val="zh-TW" w:eastAsia="zh-TW"/>
              </w:rPr>
            </w:pPr>
            <w:r>
              <w:rPr>
                <w:rFonts w:hint="eastAsia" w:ascii="宋体" w:hAnsi="宋体" w:cs="宋体"/>
                <w:color w:val="auto"/>
                <w:highlight w:val="none"/>
                <w:lang w:val="zh-TW" w:eastAsia="zh-TW"/>
              </w:rPr>
              <w:t>执业</w:t>
            </w:r>
          </w:p>
          <w:p w14:paraId="11CA95D1">
            <w:pPr>
              <w:jc w:val="center"/>
              <w:rPr>
                <w:rFonts w:ascii="宋体" w:hAnsi="宋体" w:cs="宋体"/>
                <w:color w:val="auto"/>
                <w:highlight w:val="none"/>
                <w:lang w:val="zh-TW" w:eastAsia="zh-TW"/>
              </w:rPr>
            </w:pPr>
            <w:r>
              <w:rPr>
                <w:rFonts w:hint="eastAsia" w:ascii="宋体" w:hAnsi="宋体" w:cs="宋体"/>
                <w:color w:val="auto"/>
                <w:highlight w:val="none"/>
                <w:lang w:val="zh-TW" w:eastAsia="zh-TW"/>
              </w:rPr>
              <w:t>资格</w:t>
            </w:r>
          </w:p>
        </w:tc>
        <w:tc>
          <w:tcPr>
            <w:tcW w:w="946" w:type="dxa"/>
            <w:tcBorders>
              <w:top w:val="single" w:color="000000" w:sz="4" w:space="0"/>
              <w:left w:val="nil"/>
              <w:bottom w:val="single" w:color="000000" w:sz="4" w:space="0"/>
              <w:right w:val="single" w:color="000000" w:sz="4" w:space="0"/>
            </w:tcBorders>
            <w:noWrap/>
            <w:vAlign w:val="center"/>
          </w:tcPr>
          <w:p w14:paraId="410724C3">
            <w:pPr>
              <w:jc w:val="center"/>
              <w:rPr>
                <w:rFonts w:ascii="宋体" w:hAnsi="宋体" w:cs="宋体"/>
                <w:color w:val="auto"/>
                <w:highlight w:val="none"/>
                <w:lang w:val="zh-TW" w:eastAsia="zh-TW"/>
              </w:rPr>
            </w:pPr>
            <w:r>
              <w:rPr>
                <w:rFonts w:hint="eastAsia" w:ascii="宋体" w:hAnsi="宋体" w:cs="宋体"/>
                <w:color w:val="auto"/>
                <w:highlight w:val="none"/>
                <w:lang w:val="zh-TW" w:eastAsia="zh-TW"/>
              </w:rPr>
              <w:t>相关工作年限</w:t>
            </w:r>
          </w:p>
        </w:tc>
        <w:tc>
          <w:tcPr>
            <w:tcW w:w="2151" w:type="dxa"/>
            <w:tcBorders>
              <w:top w:val="single" w:color="000000" w:sz="4" w:space="0"/>
              <w:left w:val="nil"/>
              <w:bottom w:val="single" w:color="000000" w:sz="4" w:space="0"/>
              <w:right w:val="single" w:color="000000" w:sz="4" w:space="0"/>
            </w:tcBorders>
            <w:noWrap/>
            <w:vAlign w:val="center"/>
          </w:tcPr>
          <w:p w14:paraId="118BF0E4">
            <w:pPr>
              <w:jc w:val="center"/>
              <w:rPr>
                <w:rFonts w:ascii="宋体" w:hAnsi="宋体" w:cs="宋体"/>
                <w:color w:val="auto"/>
                <w:highlight w:val="none"/>
                <w:lang w:val="zh-TW" w:eastAsia="zh-TW"/>
              </w:rPr>
            </w:pPr>
            <w:r>
              <w:rPr>
                <w:rFonts w:hint="eastAsia" w:ascii="宋体" w:hAnsi="宋体" w:cs="宋体"/>
                <w:color w:val="auto"/>
                <w:highlight w:val="none"/>
                <w:lang w:val="zh-TW" w:eastAsia="zh-TW"/>
              </w:rPr>
              <w:t>本项目中担任岗位</w:t>
            </w:r>
          </w:p>
        </w:tc>
      </w:tr>
      <w:tr w14:paraId="4CD30CF6">
        <w:tblPrEx>
          <w:tblCellMar>
            <w:top w:w="0" w:type="dxa"/>
            <w:left w:w="108" w:type="dxa"/>
            <w:bottom w:w="0" w:type="dxa"/>
            <w:right w:w="108" w:type="dxa"/>
          </w:tblCellMar>
        </w:tblPrEx>
        <w:trPr>
          <w:trHeight w:val="376" w:hRule="atLeast"/>
          <w:jc w:val="center"/>
        </w:trPr>
        <w:tc>
          <w:tcPr>
            <w:tcW w:w="595" w:type="dxa"/>
            <w:tcBorders>
              <w:top w:val="single" w:color="000000" w:sz="4" w:space="0"/>
              <w:left w:val="single" w:color="000000" w:sz="4" w:space="0"/>
              <w:bottom w:val="single" w:color="000000" w:sz="4" w:space="0"/>
              <w:right w:val="single" w:color="000000" w:sz="4" w:space="0"/>
            </w:tcBorders>
            <w:noWrap/>
            <w:vAlign w:val="top"/>
          </w:tcPr>
          <w:p w14:paraId="6917F2C4">
            <w:pPr>
              <w:jc w:val="both"/>
              <w:rPr>
                <w:rFonts w:ascii="宋体" w:hAnsi="宋体" w:cs="宋体"/>
                <w:color w:val="auto"/>
                <w:highlight w:val="none"/>
                <w:lang w:val="zh-TW" w:eastAsia="zh-TW"/>
              </w:rPr>
            </w:pPr>
          </w:p>
        </w:tc>
        <w:tc>
          <w:tcPr>
            <w:tcW w:w="998" w:type="dxa"/>
            <w:tcBorders>
              <w:top w:val="single" w:color="000000" w:sz="4" w:space="0"/>
              <w:left w:val="nil"/>
              <w:bottom w:val="single" w:color="000000" w:sz="4" w:space="0"/>
              <w:right w:val="single" w:color="000000" w:sz="4" w:space="0"/>
            </w:tcBorders>
            <w:noWrap/>
            <w:vAlign w:val="top"/>
          </w:tcPr>
          <w:p w14:paraId="4FB4E327">
            <w:pPr>
              <w:jc w:val="both"/>
              <w:rPr>
                <w:rFonts w:ascii="宋体" w:hAnsi="宋体" w:cs="宋体"/>
                <w:color w:val="auto"/>
                <w:highlight w:val="none"/>
                <w:lang w:val="zh-TW" w:eastAsia="zh-TW"/>
              </w:rPr>
            </w:pPr>
          </w:p>
        </w:tc>
        <w:tc>
          <w:tcPr>
            <w:tcW w:w="738" w:type="dxa"/>
            <w:tcBorders>
              <w:top w:val="single" w:color="000000" w:sz="4" w:space="0"/>
              <w:left w:val="nil"/>
              <w:bottom w:val="single" w:color="000000" w:sz="4" w:space="0"/>
              <w:right w:val="single" w:color="000000" w:sz="4" w:space="0"/>
            </w:tcBorders>
            <w:noWrap/>
            <w:vAlign w:val="top"/>
          </w:tcPr>
          <w:p w14:paraId="741823EB">
            <w:pPr>
              <w:jc w:val="both"/>
              <w:rPr>
                <w:rFonts w:ascii="宋体" w:hAnsi="宋体" w:cs="宋体"/>
                <w:color w:val="auto"/>
                <w:highlight w:val="none"/>
                <w:lang w:val="zh-TW" w:eastAsia="zh-TW"/>
              </w:rPr>
            </w:pPr>
          </w:p>
        </w:tc>
        <w:tc>
          <w:tcPr>
            <w:tcW w:w="789" w:type="dxa"/>
            <w:tcBorders>
              <w:top w:val="single" w:color="000000" w:sz="4" w:space="0"/>
              <w:left w:val="nil"/>
              <w:bottom w:val="single" w:color="000000" w:sz="4" w:space="0"/>
              <w:right w:val="single" w:color="000000" w:sz="4" w:space="0"/>
            </w:tcBorders>
            <w:noWrap/>
            <w:vAlign w:val="top"/>
          </w:tcPr>
          <w:p w14:paraId="4907B200">
            <w:pPr>
              <w:jc w:val="both"/>
              <w:rPr>
                <w:rFonts w:ascii="宋体" w:hAnsi="宋体" w:cs="宋体"/>
                <w:color w:val="auto"/>
                <w:highlight w:val="none"/>
                <w:lang w:val="zh-TW" w:eastAsia="zh-TW"/>
              </w:rPr>
            </w:pPr>
          </w:p>
        </w:tc>
        <w:tc>
          <w:tcPr>
            <w:tcW w:w="1263" w:type="dxa"/>
            <w:tcBorders>
              <w:top w:val="single" w:color="000000" w:sz="4" w:space="0"/>
              <w:left w:val="nil"/>
              <w:bottom w:val="single" w:color="000000" w:sz="4" w:space="0"/>
              <w:right w:val="single" w:color="000000" w:sz="4" w:space="0"/>
            </w:tcBorders>
            <w:noWrap/>
            <w:vAlign w:val="top"/>
          </w:tcPr>
          <w:p w14:paraId="20210C34">
            <w:pPr>
              <w:jc w:val="both"/>
              <w:rPr>
                <w:rFonts w:ascii="宋体" w:hAnsi="宋体" w:cs="宋体"/>
                <w:color w:val="auto"/>
                <w:highlight w:val="none"/>
                <w:lang w:val="zh-TW" w:eastAsia="zh-TW"/>
              </w:rPr>
            </w:pPr>
          </w:p>
        </w:tc>
        <w:tc>
          <w:tcPr>
            <w:tcW w:w="1036" w:type="dxa"/>
            <w:tcBorders>
              <w:top w:val="single" w:color="000000" w:sz="4" w:space="0"/>
              <w:left w:val="nil"/>
              <w:bottom w:val="single" w:color="000000" w:sz="4" w:space="0"/>
              <w:right w:val="single" w:color="000000" w:sz="4" w:space="0"/>
            </w:tcBorders>
            <w:noWrap/>
            <w:vAlign w:val="top"/>
          </w:tcPr>
          <w:p w14:paraId="196657D5">
            <w:pPr>
              <w:jc w:val="both"/>
              <w:rPr>
                <w:rFonts w:ascii="宋体" w:hAnsi="宋体" w:cs="宋体"/>
                <w:color w:val="auto"/>
                <w:highlight w:val="none"/>
                <w:lang w:val="zh-TW" w:eastAsia="zh-TW"/>
              </w:rPr>
            </w:pPr>
          </w:p>
        </w:tc>
        <w:tc>
          <w:tcPr>
            <w:tcW w:w="1135" w:type="dxa"/>
            <w:tcBorders>
              <w:top w:val="single" w:color="000000" w:sz="4" w:space="0"/>
              <w:left w:val="nil"/>
              <w:bottom w:val="single" w:color="000000" w:sz="4" w:space="0"/>
              <w:right w:val="single" w:color="000000" w:sz="4" w:space="0"/>
            </w:tcBorders>
            <w:noWrap/>
            <w:vAlign w:val="top"/>
          </w:tcPr>
          <w:p w14:paraId="4F8E026C">
            <w:pPr>
              <w:jc w:val="both"/>
              <w:rPr>
                <w:rFonts w:ascii="宋体" w:hAnsi="宋体" w:cs="宋体"/>
                <w:color w:val="auto"/>
                <w:highlight w:val="none"/>
                <w:lang w:val="zh-TW" w:eastAsia="zh-TW"/>
              </w:rPr>
            </w:pPr>
          </w:p>
        </w:tc>
        <w:tc>
          <w:tcPr>
            <w:tcW w:w="946" w:type="dxa"/>
            <w:tcBorders>
              <w:top w:val="single" w:color="000000" w:sz="4" w:space="0"/>
              <w:left w:val="nil"/>
              <w:bottom w:val="single" w:color="000000" w:sz="4" w:space="0"/>
              <w:right w:val="single" w:color="000000" w:sz="4" w:space="0"/>
            </w:tcBorders>
            <w:noWrap/>
            <w:vAlign w:val="top"/>
          </w:tcPr>
          <w:p w14:paraId="7D8F06BA">
            <w:pPr>
              <w:jc w:val="both"/>
              <w:rPr>
                <w:rFonts w:ascii="宋体" w:hAnsi="宋体" w:cs="宋体"/>
                <w:color w:val="auto"/>
                <w:highlight w:val="none"/>
                <w:lang w:val="zh-TW" w:eastAsia="zh-TW"/>
              </w:rPr>
            </w:pPr>
          </w:p>
        </w:tc>
        <w:tc>
          <w:tcPr>
            <w:tcW w:w="2151" w:type="dxa"/>
            <w:tcBorders>
              <w:top w:val="single" w:color="000000" w:sz="4" w:space="0"/>
              <w:left w:val="nil"/>
              <w:bottom w:val="single" w:color="000000" w:sz="4" w:space="0"/>
              <w:right w:val="single" w:color="000000" w:sz="4" w:space="0"/>
            </w:tcBorders>
            <w:noWrap/>
            <w:vAlign w:val="top"/>
          </w:tcPr>
          <w:p w14:paraId="60218F2C">
            <w:pPr>
              <w:jc w:val="both"/>
              <w:rPr>
                <w:rFonts w:ascii="宋体" w:hAnsi="宋体" w:cs="宋体"/>
                <w:color w:val="auto"/>
                <w:highlight w:val="none"/>
                <w:lang w:val="zh-TW" w:eastAsia="zh-TW"/>
              </w:rPr>
            </w:pPr>
          </w:p>
        </w:tc>
      </w:tr>
      <w:tr w14:paraId="52F4732C">
        <w:tblPrEx>
          <w:tblCellMar>
            <w:top w:w="0" w:type="dxa"/>
            <w:left w:w="108" w:type="dxa"/>
            <w:bottom w:w="0" w:type="dxa"/>
            <w:right w:w="108" w:type="dxa"/>
          </w:tblCellMar>
        </w:tblPrEx>
        <w:trPr>
          <w:trHeight w:val="359" w:hRule="atLeast"/>
          <w:jc w:val="center"/>
        </w:trPr>
        <w:tc>
          <w:tcPr>
            <w:tcW w:w="595" w:type="dxa"/>
            <w:tcBorders>
              <w:top w:val="single" w:color="000000" w:sz="4" w:space="0"/>
              <w:left w:val="single" w:color="000000" w:sz="4" w:space="0"/>
              <w:bottom w:val="single" w:color="000000" w:sz="4" w:space="0"/>
              <w:right w:val="single" w:color="000000" w:sz="4" w:space="0"/>
            </w:tcBorders>
            <w:noWrap/>
            <w:vAlign w:val="top"/>
          </w:tcPr>
          <w:p w14:paraId="3CD473E6">
            <w:pPr>
              <w:jc w:val="both"/>
              <w:rPr>
                <w:rFonts w:ascii="宋体" w:hAnsi="宋体" w:cs="宋体"/>
                <w:color w:val="auto"/>
                <w:highlight w:val="none"/>
                <w:lang w:val="zh-TW" w:eastAsia="zh-TW"/>
              </w:rPr>
            </w:pPr>
          </w:p>
        </w:tc>
        <w:tc>
          <w:tcPr>
            <w:tcW w:w="998" w:type="dxa"/>
            <w:tcBorders>
              <w:top w:val="single" w:color="000000" w:sz="4" w:space="0"/>
              <w:left w:val="nil"/>
              <w:bottom w:val="single" w:color="000000" w:sz="4" w:space="0"/>
              <w:right w:val="single" w:color="000000" w:sz="4" w:space="0"/>
            </w:tcBorders>
            <w:noWrap/>
            <w:vAlign w:val="top"/>
          </w:tcPr>
          <w:p w14:paraId="7CC02DCE">
            <w:pPr>
              <w:jc w:val="both"/>
              <w:rPr>
                <w:rFonts w:ascii="宋体" w:hAnsi="宋体" w:cs="宋体"/>
                <w:color w:val="auto"/>
                <w:highlight w:val="none"/>
                <w:lang w:val="zh-TW" w:eastAsia="zh-TW"/>
              </w:rPr>
            </w:pPr>
          </w:p>
        </w:tc>
        <w:tc>
          <w:tcPr>
            <w:tcW w:w="738" w:type="dxa"/>
            <w:tcBorders>
              <w:top w:val="single" w:color="000000" w:sz="4" w:space="0"/>
              <w:left w:val="nil"/>
              <w:bottom w:val="single" w:color="000000" w:sz="4" w:space="0"/>
              <w:right w:val="single" w:color="000000" w:sz="4" w:space="0"/>
            </w:tcBorders>
            <w:noWrap/>
            <w:vAlign w:val="top"/>
          </w:tcPr>
          <w:p w14:paraId="4B5E80EB">
            <w:pPr>
              <w:jc w:val="both"/>
              <w:rPr>
                <w:rFonts w:ascii="宋体" w:hAnsi="宋体" w:cs="宋体"/>
                <w:color w:val="auto"/>
                <w:highlight w:val="none"/>
                <w:lang w:val="zh-TW" w:eastAsia="zh-TW"/>
              </w:rPr>
            </w:pPr>
          </w:p>
        </w:tc>
        <w:tc>
          <w:tcPr>
            <w:tcW w:w="789" w:type="dxa"/>
            <w:tcBorders>
              <w:top w:val="single" w:color="000000" w:sz="4" w:space="0"/>
              <w:left w:val="nil"/>
              <w:bottom w:val="single" w:color="000000" w:sz="4" w:space="0"/>
              <w:right w:val="single" w:color="000000" w:sz="4" w:space="0"/>
            </w:tcBorders>
            <w:noWrap/>
            <w:vAlign w:val="top"/>
          </w:tcPr>
          <w:p w14:paraId="5871E2E1">
            <w:pPr>
              <w:jc w:val="both"/>
              <w:rPr>
                <w:rFonts w:ascii="宋体" w:hAnsi="宋体" w:cs="宋体"/>
                <w:color w:val="auto"/>
                <w:highlight w:val="none"/>
                <w:lang w:val="zh-TW" w:eastAsia="zh-TW"/>
              </w:rPr>
            </w:pPr>
          </w:p>
        </w:tc>
        <w:tc>
          <w:tcPr>
            <w:tcW w:w="1263" w:type="dxa"/>
            <w:tcBorders>
              <w:top w:val="single" w:color="000000" w:sz="4" w:space="0"/>
              <w:left w:val="nil"/>
              <w:bottom w:val="single" w:color="000000" w:sz="4" w:space="0"/>
              <w:right w:val="single" w:color="000000" w:sz="4" w:space="0"/>
            </w:tcBorders>
            <w:noWrap/>
            <w:vAlign w:val="top"/>
          </w:tcPr>
          <w:p w14:paraId="645FF338">
            <w:pPr>
              <w:jc w:val="both"/>
              <w:rPr>
                <w:rFonts w:ascii="宋体" w:hAnsi="宋体" w:cs="宋体"/>
                <w:color w:val="auto"/>
                <w:highlight w:val="none"/>
                <w:lang w:val="zh-TW" w:eastAsia="zh-TW"/>
              </w:rPr>
            </w:pPr>
          </w:p>
        </w:tc>
        <w:tc>
          <w:tcPr>
            <w:tcW w:w="1036" w:type="dxa"/>
            <w:tcBorders>
              <w:top w:val="single" w:color="000000" w:sz="4" w:space="0"/>
              <w:left w:val="nil"/>
              <w:bottom w:val="single" w:color="000000" w:sz="4" w:space="0"/>
              <w:right w:val="single" w:color="000000" w:sz="4" w:space="0"/>
            </w:tcBorders>
            <w:noWrap/>
            <w:vAlign w:val="top"/>
          </w:tcPr>
          <w:p w14:paraId="4F924A6F">
            <w:pPr>
              <w:jc w:val="both"/>
              <w:rPr>
                <w:rFonts w:ascii="宋体" w:hAnsi="宋体" w:cs="宋体"/>
                <w:color w:val="auto"/>
                <w:highlight w:val="none"/>
                <w:lang w:val="zh-TW" w:eastAsia="zh-TW"/>
              </w:rPr>
            </w:pPr>
          </w:p>
        </w:tc>
        <w:tc>
          <w:tcPr>
            <w:tcW w:w="1135" w:type="dxa"/>
            <w:tcBorders>
              <w:top w:val="single" w:color="000000" w:sz="4" w:space="0"/>
              <w:left w:val="nil"/>
              <w:bottom w:val="single" w:color="000000" w:sz="4" w:space="0"/>
              <w:right w:val="single" w:color="000000" w:sz="4" w:space="0"/>
            </w:tcBorders>
            <w:noWrap/>
            <w:vAlign w:val="top"/>
          </w:tcPr>
          <w:p w14:paraId="46F54FC7">
            <w:pPr>
              <w:jc w:val="both"/>
              <w:rPr>
                <w:rFonts w:ascii="宋体" w:hAnsi="宋体" w:cs="宋体"/>
                <w:color w:val="auto"/>
                <w:highlight w:val="none"/>
                <w:lang w:val="zh-TW" w:eastAsia="zh-TW"/>
              </w:rPr>
            </w:pPr>
          </w:p>
        </w:tc>
        <w:tc>
          <w:tcPr>
            <w:tcW w:w="946" w:type="dxa"/>
            <w:tcBorders>
              <w:top w:val="single" w:color="000000" w:sz="4" w:space="0"/>
              <w:left w:val="nil"/>
              <w:bottom w:val="single" w:color="000000" w:sz="4" w:space="0"/>
              <w:right w:val="single" w:color="000000" w:sz="4" w:space="0"/>
            </w:tcBorders>
            <w:noWrap/>
            <w:vAlign w:val="top"/>
          </w:tcPr>
          <w:p w14:paraId="72F81D69">
            <w:pPr>
              <w:jc w:val="both"/>
              <w:rPr>
                <w:rFonts w:ascii="宋体" w:hAnsi="宋体" w:cs="宋体"/>
                <w:color w:val="auto"/>
                <w:highlight w:val="none"/>
                <w:lang w:val="zh-TW" w:eastAsia="zh-TW"/>
              </w:rPr>
            </w:pPr>
          </w:p>
        </w:tc>
        <w:tc>
          <w:tcPr>
            <w:tcW w:w="2151" w:type="dxa"/>
            <w:tcBorders>
              <w:top w:val="single" w:color="000000" w:sz="4" w:space="0"/>
              <w:left w:val="nil"/>
              <w:bottom w:val="single" w:color="000000" w:sz="4" w:space="0"/>
              <w:right w:val="single" w:color="000000" w:sz="4" w:space="0"/>
            </w:tcBorders>
            <w:noWrap/>
            <w:vAlign w:val="top"/>
          </w:tcPr>
          <w:p w14:paraId="0B190EF0">
            <w:pPr>
              <w:jc w:val="both"/>
              <w:rPr>
                <w:rFonts w:ascii="宋体" w:hAnsi="宋体" w:cs="宋体"/>
                <w:color w:val="auto"/>
                <w:highlight w:val="none"/>
                <w:lang w:val="zh-TW" w:eastAsia="zh-TW"/>
              </w:rPr>
            </w:pPr>
          </w:p>
        </w:tc>
      </w:tr>
      <w:tr w14:paraId="7567B6FC">
        <w:tblPrEx>
          <w:tblCellMar>
            <w:top w:w="0" w:type="dxa"/>
            <w:left w:w="108" w:type="dxa"/>
            <w:bottom w:w="0" w:type="dxa"/>
            <w:right w:w="108" w:type="dxa"/>
          </w:tblCellMar>
        </w:tblPrEx>
        <w:trPr>
          <w:trHeight w:val="376" w:hRule="atLeast"/>
          <w:jc w:val="center"/>
        </w:trPr>
        <w:tc>
          <w:tcPr>
            <w:tcW w:w="595" w:type="dxa"/>
            <w:tcBorders>
              <w:top w:val="single" w:color="000000" w:sz="4" w:space="0"/>
              <w:left w:val="single" w:color="000000" w:sz="4" w:space="0"/>
              <w:bottom w:val="single" w:color="000000" w:sz="4" w:space="0"/>
              <w:right w:val="single" w:color="000000" w:sz="4" w:space="0"/>
            </w:tcBorders>
            <w:noWrap/>
            <w:vAlign w:val="top"/>
          </w:tcPr>
          <w:p w14:paraId="361356BF">
            <w:pPr>
              <w:jc w:val="both"/>
              <w:rPr>
                <w:rFonts w:ascii="宋体" w:hAnsi="宋体" w:cs="宋体"/>
                <w:color w:val="auto"/>
                <w:highlight w:val="none"/>
                <w:lang w:val="zh-TW" w:eastAsia="zh-TW"/>
              </w:rPr>
            </w:pPr>
          </w:p>
        </w:tc>
        <w:tc>
          <w:tcPr>
            <w:tcW w:w="998" w:type="dxa"/>
            <w:tcBorders>
              <w:top w:val="single" w:color="000000" w:sz="4" w:space="0"/>
              <w:left w:val="nil"/>
              <w:bottom w:val="single" w:color="000000" w:sz="4" w:space="0"/>
              <w:right w:val="single" w:color="000000" w:sz="4" w:space="0"/>
            </w:tcBorders>
            <w:noWrap/>
            <w:vAlign w:val="top"/>
          </w:tcPr>
          <w:p w14:paraId="2469AB44">
            <w:pPr>
              <w:jc w:val="both"/>
              <w:rPr>
                <w:rFonts w:ascii="宋体" w:hAnsi="宋体" w:cs="宋体"/>
                <w:color w:val="auto"/>
                <w:highlight w:val="none"/>
                <w:lang w:val="zh-TW" w:eastAsia="zh-TW"/>
              </w:rPr>
            </w:pPr>
          </w:p>
        </w:tc>
        <w:tc>
          <w:tcPr>
            <w:tcW w:w="738" w:type="dxa"/>
            <w:tcBorders>
              <w:top w:val="single" w:color="000000" w:sz="4" w:space="0"/>
              <w:left w:val="nil"/>
              <w:bottom w:val="single" w:color="000000" w:sz="4" w:space="0"/>
              <w:right w:val="single" w:color="000000" w:sz="4" w:space="0"/>
            </w:tcBorders>
            <w:noWrap/>
            <w:vAlign w:val="top"/>
          </w:tcPr>
          <w:p w14:paraId="0B54E7F7">
            <w:pPr>
              <w:jc w:val="both"/>
              <w:rPr>
                <w:rFonts w:ascii="宋体" w:hAnsi="宋体" w:cs="宋体"/>
                <w:color w:val="auto"/>
                <w:highlight w:val="none"/>
                <w:lang w:val="zh-TW" w:eastAsia="zh-TW"/>
              </w:rPr>
            </w:pPr>
          </w:p>
        </w:tc>
        <w:tc>
          <w:tcPr>
            <w:tcW w:w="789" w:type="dxa"/>
            <w:tcBorders>
              <w:top w:val="single" w:color="000000" w:sz="4" w:space="0"/>
              <w:left w:val="nil"/>
              <w:bottom w:val="single" w:color="000000" w:sz="4" w:space="0"/>
              <w:right w:val="single" w:color="000000" w:sz="4" w:space="0"/>
            </w:tcBorders>
            <w:noWrap/>
            <w:vAlign w:val="top"/>
          </w:tcPr>
          <w:p w14:paraId="0B02C0A9">
            <w:pPr>
              <w:jc w:val="both"/>
              <w:rPr>
                <w:rFonts w:ascii="宋体" w:hAnsi="宋体" w:cs="宋体"/>
                <w:color w:val="auto"/>
                <w:highlight w:val="none"/>
                <w:lang w:val="zh-TW" w:eastAsia="zh-TW"/>
              </w:rPr>
            </w:pPr>
          </w:p>
        </w:tc>
        <w:tc>
          <w:tcPr>
            <w:tcW w:w="1263" w:type="dxa"/>
            <w:tcBorders>
              <w:top w:val="single" w:color="000000" w:sz="4" w:space="0"/>
              <w:left w:val="nil"/>
              <w:bottom w:val="single" w:color="000000" w:sz="4" w:space="0"/>
              <w:right w:val="single" w:color="000000" w:sz="4" w:space="0"/>
            </w:tcBorders>
            <w:noWrap/>
            <w:vAlign w:val="top"/>
          </w:tcPr>
          <w:p w14:paraId="44FF565E">
            <w:pPr>
              <w:jc w:val="both"/>
              <w:rPr>
                <w:rFonts w:ascii="宋体" w:hAnsi="宋体" w:cs="宋体"/>
                <w:color w:val="auto"/>
                <w:highlight w:val="none"/>
                <w:lang w:val="zh-TW" w:eastAsia="zh-TW"/>
              </w:rPr>
            </w:pPr>
          </w:p>
        </w:tc>
        <w:tc>
          <w:tcPr>
            <w:tcW w:w="1036" w:type="dxa"/>
            <w:tcBorders>
              <w:top w:val="single" w:color="000000" w:sz="4" w:space="0"/>
              <w:left w:val="nil"/>
              <w:bottom w:val="single" w:color="000000" w:sz="4" w:space="0"/>
              <w:right w:val="single" w:color="000000" w:sz="4" w:space="0"/>
            </w:tcBorders>
            <w:noWrap/>
            <w:vAlign w:val="top"/>
          </w:tcPr>
          <w:p w14:paraId="1BEFF8AB">
            <w:pPr>
              <w:jc w:val="both"/>
              <w:rPr>
                <w:rFonts w:ascii="宋体" w:hAnsi="宋体" w:cs="宋体"/>
                <w:color w:val="auto"/>
                <w:highlight w:val="none"/>
                <w:lang w:val="zh-TW" w:eastAsia="zh-TW"/>
              </w:rPr>
            </w:pPr>
          </w:p>
        </w:tc>
        <w:tc>
          <w:tcPr>
            <w:tcW w:w="1135" w:type="dxa"/>
            <w:tcBorders>
              <w:top w:val="single" w:color="000000" w:sz="4" w:space="0"/>
              <w:left w:val="nil"/>
              <w:bottom w:val="single" w:color="000000" w:sz="4" w:space="0"/>
              <w:right w:val="single" w:color="000000" w:sz="4" w:space="0"/>
            </w:tcBorders>
            <w:noWrap/>
            <w:vAlign w:val="top"/>
          </w:tcPr>
          <w:p w14:paraId="4FACFFAF">
            <w:pPr>
              <w:jc w:val="both"/>
              <w:rPr>
                <w:rFonts w:ascii="宋体" w:hAnsi="宋体" w:cs="宋体"/>
                <w:color w:val="auto"/>
                <w:highlight w:val="none"/>
                <w:lang w:val="zh-TW" w:eastAsia="zh-TW"/>
              </w:rPr>
            </w:pPr>
          </w:p>
        </w:tc>
        <w:tc>
          <w:tcPr>
            <w:tcW w:w="946" w:type="dxa"/>
            <w:tcBorders>
              <w:top w:val="single" w:color="000000" w:sz="4" w:space="0"/>
              <w:left w:val="nil"/>
              <w:bottom w:val="single" w:color="000000" w:sz="4" w:space="0"/>
              <w:right w:val="single" w:color="000000" w:sz="4" w:space="0"/>
            </w:tcBorders>
            <w:noWrap/>
            <w:vAlign w:val="top"/>
          </w:tcPr>
          <w:p w14:paraId="129FEAF9">
            <w:pPr>
              <w:jc w:val="both"/>
              <w:rPr>
                <w:rFonts w:ascii="宋体" w:hAnsi="宋体" w:cs="宋体"/>
                <w:color w:val="auto"/>
                <w:highlight w:val="none"/>
                <w:lang w:val="zh-TW" w:eastAsia="zh-TW"/>
              </w:rPr>
            </w:pPr>
          </w:p>
        </w:tc>
        <w:tc>
          <w:tcPr>
            <w:tcW w:w="2151" w:type="dxa"/>
            <w:tcBorders>
              <w:top w:val="single" w:color="000000" w:sz="4" w:space="0"/>
              <w:left w:val="nil"/>
              <w:bottom w:val="single" w:color="000000" w:sz="4" w:space="0"/>
              <w:right w:val="single" w:color="000000" w:sz="4" w:space="0"/>
            </w:tcBorders>
            <w:noWrap/>
            <w:vAlign w:val="top"/>
          </w:tcPr>
          <w:p w14:paraId="181D2782">
            <w:pPr>
              <w:jc w:val="both"/>
              <w:rPr>
                <w:rFonts w:ascii="宋体" w:hAnsi="宋体" w:cs="宋体"/>
                <w:color w:val="auto"/>
                <w:highlight w:val="none"/>
                <w:lang w:val="zh-TW" w:eastAsia="zh-TW"/>
              </w:rPr>
            </w:pPr>
          </w:p>
        </w:tc>
      </w:tr>
      <w:tr w14:paraId="2AAF650F">
        <w:tblPrEx>
          <w:tblCellMar>
            <w:top w:w="0" w:type="dxa"/>
            <w:left w:w="108" w:type="dxa"/>
            <w:bottom w:w="0" w:type="dxa"/>
            <w:right w:w="108" w:type="dxa"/>
          </w:tblCellMar>
        </w:tblPrEx>
        <w:trPr>
          <w:trHeight w:val="376" w:hRule="atLeast"/>
          <w:jc w:val="center"/>
        </w:trPr>
        <w:tc>
          <w:tcPr>
            <w:tcW w:w="595" w:type="dxa"/>
            <w:tcBorders>
              <w:top w:val="single" w:color="000000" w:sz="4" w:space="0"/>
              <w:left w:val="single" w:color="000000" w:sz="4" w:space="0"/>
              <w:bottom w:val="single" w:color="000000" w:sz="4" w:space="0"/>
              <w:right w:val="single" w:color="000000" w:sz="4" w:space="0"/>
            </w:tcBorders>
            <w:noWrap/>
            <w:vAlign w:val="top"/>
          </w:tcPr>
          <w:p w14:paraId="1A9C97FF">
            <w:pPr>
              <w:jc w:val="both"/>
              <w:rPr>
                <w:rFonts w:ascii="宋体" w:hAnsi="宋体" w:cs="宋体"/>
                <w:color w:val="auto"/>
                <w:highlight w:val="none"/>
                <w:lang w:val="zh-TW" w:eastAsia="zh-TW"/>
              </w:rPr>
            </w:pPr>
          </w:p>
        </w:tc>
        <w:tc>
          <w:tcPr>
            <w:tcW w:w="998" w:type="dxa"/>
            <w:tcBorders>
              <w:top w:val="single" w:color="000000" w:sz="4" w:space="0"/>
              <w:left w:val="nil"/>
              <w:bottom w:val="single" w:color="000000" w:sz="4" w:space="0"/>
              <w:right w:val="single" w:color="000000" w:sz="4" w:space="0"/>
            </w:tcBorders>
            <w:noWrap/>
            <w:vAlign w:val="top"/>
          </w:tcPr>
          <w:p w14:paraId="789D165F">
            <w:pPr>
              <w:jc w:val="both"/>
              <w:rPr>
                <w:rFonts w:ascii="宋体" w:hAnsi="宋体" w:cs="宋体"/>
                <w:color w:val="auto"/>
                <w:highlight w:val="none"/>
                <w:lang w:val="zh-TW" w:eastAsia="zh-TW"/>
              </w:rPr>
            </w:pPr>
          </w:p>
        </w:tc>
        <w:tc>
          <w:tcPr>
            <w:tcW w:w="738" w:type="dxa"/>
            <w:tcBorders>
              <w:top w:val="single" w:color="000000" w:sz="4" w:space="0"/>
              <w:left w:val="nil"/>
              <w:bottom w:val="single" w:color="000000" w:sz="4" w:space="0"/>
              <w:right w:val="single" w:color="000000" w:sz="4" w:space="0"/>
            </w:tcBorders>
            <w:noWrap/>
            <w:vAlign w:val="top"/>
          </w:tcPr>
          <w:p w14:paraId="724E62C7">
            <w:pPr>
              <w:jc w:val="both"/>
              <w:rPr>
                <w:rFonts w:ascii="宋体" w:hAnsi="宋体" w:cs="宋体"/>
                <w:color w:val="auto"/>
                <w:highlight w:val="none"/>
                <w:lang w:val="zh-TW" w:eastAsia="zh-TW"/>
              </w:rPr>
            </w:pPr>
          </w:p>
        </w:tc>
        <w:tc>
          <w:tcPr>
            <w:tcW w:w="789" w:type="dxa"/>
            <w:tcBorders>
              <w:top w:val="single" w:color="000000" w:sz="4" w:space="0"/>
              <w:left w:val="nil"/>
              <w:bottom w:val="single" w:color="000000" w:sz="4" w:space="0"/>
              <w:right w:val="single" w:color="000000" w:sz="4" w:space="0"/>
            </w:tcBorders>
            <w:noWrap/>
            <w:vAlign w:val="top"/>
          </w:tcPr>
          <w:p w14:paraId="0141B5C5">
            <w:pPr>
              <w:jc w:val="both"/>
              <w:rPr>
                <w:rFonts w:ascii="宋体" w:hAnsi="宋体" w:cs="宋体"/>
                <w:color w:val="auto"/>
                <w:highlight w:val="none"/>
                <w:lang w:val="zh-TW" w:eastAsia="zh-TW"/>
              </w:rPr>
            </w:pPr>
          </w:p>
        </w:tc>
        <w:tc>
          <w:tcPr>
            <w:tcW w:w="1263" w:type="dxa"/>
            <w:tcBorders>
              <w:top w:val="single" w:color="000000" w:sz="4" w:space="0"/>
              <w:left w:val="nil"/>
              <w:bottom w:val="single" w:color="000000" w:sz="4" w:space="0"/>
              <w:right w:val="single" w:color="000000" w:sz="4" w:space="0"/>
            </w:tcBorders>
            <w:noWrap/>
            <w:vAlign w:val="top"/>
          </w:tcPr>
          <w:p w14:paraId="6333A8A9">
            <w:pPr>
              <w:jc w:val="both"/>
              <w:rPr>
                <w:rFonts w:ascii="宋体" w:hAnsi="宋体" w:cs="宋体"/>
                <w:color w:val="auto"/>
                <w:highlight w:val="none"/>
                <w:lang w:val="zh-TW" w:eastAsia="zh-TW"/>
              </w:rPr>
            </w:pPr>
          </w:p>
        </w:tc>
        <w:tc>
          <w:tcPr>
            <w:tcW w:w="1036" w:type="dxa"/>
            <w:tcBorders>
              <w:top w:val="single" w:color="000000" w:sz="4" w:space="0"/>
              <w:left w:val="nil"/>
              <w:bottom w:val="single" w:color="000000" w:sz="4" w:space="0"/>
              <w:right w:val="single" w:color="000000" w:sz="4" w:space="0"/>
            </w:tcBorders>
            <w:noWrap/>
            <w:vAlign w:val="top"/>
          </w:tcPr>
          <w:p w14:paraId="422FCA00">
            <w:pPr>
              <w:jc w:val="both"/>
              <w:rPr>
                <w:rFonts w:ascii="宋体" w:hAnsi="宋体" w:cs="宋体"/>
                <w:color w:val="auto"/>
                <w:highlight w:val="none"/>
                <w:lang w:val="zh-TW" w:eastAsia="zh-TW"/>
              </w:rPr>
            </w:pPr>
          </w:p>
        </w:tc>
        <w:tc>
          <w:tcPr>
            <w:tcW w:w="1135" w:type="dxa"/>
            <w:tcBorders>
              <w:top w:val="single" w:color="000000" w:sz="4" w:space="0"/>
              <w:left w:val="nil"/>
              <w:bottom w:val="single" w:color="000000" w:sz="4" w:space="0"/>
              <w:right w:val="single" w:color="000000" w:sz="4" w:space="0"/>
            </w:tcBorders>
            <w:noWrap/>
            <w:vAlign w:val="top"/>
          </w:tcPr>
          <w:p w14:paraId="7ADC06FE">
            <w:pPr>
              <w:jc w:val="both"/>
              <w:rPr>
                <w:rFonts w:ascii="宋体" w:hAnsi="宋体" w:cs="宋体"/>
                <w:color w:val="auto"/>
                <w:highlight w:val="none"/>
                <w:lang w:val="zh-TW" w:eastAsia="zh-TW"/>
              </w:rPr>
            </w:pPr>
          </w:p>
        </w:tc>
        <w:tc>
          <w:tcPr>
            <w:tcW w:w="946" w:type="dxa"/>
            <w:tcBorders>
              <w:top w:val="single" w:color="000000" w:sz="4" w:space="0"/>
              <w:left w:val="nil"/>
              <w:bottom w:val="single" w:color="000000" w:sz="4" w:space="0"/>
              <w:right w:val="single" w:color="000000" w:sz="4" w:space="0"/>
            </w:tcBorders>
            <w:noWrap/>
            <w:vAlign w:val="top"/>
          </w:tcPr>
          <w:p w14:paraId="7B43B383">
            <w:pPr>
              <w:jc w:val="both"/>
              <w:rPr>
                <w:rFonts w:ascii="宋体" w:hAnsi="宋体" w:cs="宋体"/>
                <w:color w:val="auto"/>
                <w:highlight w:val="none"/>
                <w:lang w:val="zh-TW" w:eastAsia="zh-TW"/>
              </w:rPr>
            </w:pPr>
          </w:p>
        </w:tc>
        <w:tc>
          <w:tcPr>
            <w:tcW w:w="2151" w:type="dxa"/>
            <w:tcBorders>
              <w:top w:val="single" w:color="000000" w:sz="4" w:space="0"/>
              <w:left w:val="nil"/>
              <w:bottom w:val="single" w:color="000000" w:sz="4" w:space="0"/>
              <w:right w:val="single" w:color="000000" w:sz="4" w:space="0"/>
            </w:tcBorders>
            <w:noWrap/>
            <w:vAlign w:val="top"/>
          </w:tcPr>
          <w:p w14:paraId="404FF85A">
            <w:pPr>
              <w:jc w:val="both"/>
              <w:rPr>
                <w:rFonts w:ascii="宋体" w:hAnsi="宋体" w:cs="宋体"/>
                <w:color w:val="auto"/>
                <w:highlight w:val="none"/>
                <w:lang w:val="zh-TW" w:eastAsia="zh-TW"/>
              </w:rPr>
            </w:pPr>
          </w:p>
        </w:tc>
      </w:tr>
      <w:tr w14:paraId="34F4778B">
        <w:tblPrEx>
          <w:tblCellMar>
            <w:top w:w="0" w:type="dxa"/>
            <w:left w:w="108" w:type="dxa"/>
            <w:bottom w:w="0" w:type="dxa"/>
            <w:right w:w="108" w:type="dxa"/>
          </w:tblCellMar>
        </w:tblPrEx>
        <w:trPr>
          <w:trHeight w:val="359" w:hRule="atLeast"/>
          <w:jc w:val="center"/>
        </w:trPr>
        <w:tc>
          <w:tcPr>
            <w:tcW w:w="595" w:type="dxa"/>
            <w:tcBorders>
              <w:top w:val="single" w:color="000000" w:sz="4" w:space="0"/>
              <w:left w:val="single" w:color="000000" w:sz="4" w:space="0"/>
              <w:bottom w:val="single" w:color="000000" w:sz="4" w:space="0"/>
              <w:right w:val="single" w:color="000000" w:sz="4" w:space="0"/>
            </w:tcBorders>
            <w:noWrap/>
            <w:vAlign w:val="top"/>
          </w:tcPr>
          <w:p w14:paraId="57F19562">
            <w:pPr>
              <w:jc w:val="both"/>
              <w:rPr>
                <w:rFonts w:ascii="宋体" w:hAnsi="宋体" w:cs="宋体"/>
                <w:color w:val="auto"/>
                <w:highlight w:val="none"/>
                <w:lang w:val="zh-TW" w:eastAsia="zh-TW"/>
              </w:rPr>
            </w:pPr>
          </w:p>
        </w:tc>
        <w:tc>
          <w:tcPr>
            <w:tcW w:w="998" w:type="dxa"/>
            <w:tcBorders>
              <w:top w:val="single" w:color="000000" w:sz="4" w:space="0"/>
              <w:left w:val="nil"/>
              <w:bottom w:val="single" w:color="000000" w:sz="4" w:space="0"/>
              <w:right w:val="single" w:color="000000" w:sz="4" w:space="0"/>
            </w:tcBorders>
            <w:noWrap/>
            <w:vAlign w:val="top"/>
          </w:tcPr>
          <w:p w14:paraId="53E20E5D">
            <w:pPr>
              <w:jc w:val="both"/>
              <w:rPr>
                <w:rFonts w:ascii="宋体" w:hAnsi="宋体" w:cs="宋体"/>
                <w:color w:val="auto"/>
                <w:highlight w:val="none"/>
                <w:lang w:val="zh-TW" w:eastAsia="zh-TW"/>
              </w:rPr>
            </w:pPr>
          </w:p>
        </w:tc>
        <w:tc>
          <w:tcPr>
            <w:tcW w:w="738" w:type="dxa"/>
            <w:tcBorders>
              <w:top w:val="single" w:color="000000" w:sz="4" w:space="0"/>
              <w:left w:val="nil"/>
              <w:bottom w:val="single" w:color="000000" w:sz="4" w:space="0"/>
              <w:right w:val="single" w:color="000000" w:sz="4" w:space="0"/>
            </w:tcBorders>
            <w:noWrap/>
            <w:vAlign w:val="top"/>
          </w:tcPr>
          <w:p w14:paraId="4E8510E7">
            <w:pPr>
              <w:jc w:val="both"/>
              <w:rPr>
                <w:rFonts w:ascii="宋体" w:hAnsi="宋体" w:cs="宋体"/>
                <w:color w:val="auto"/>
                <w:highlight w:val="none"/>
                <w:lang w:val="zh-TW" w:eastAsia="zh-TW"/>
              </w:rPr>
            </w:pPr>
          </w:p>
        </w:tc>
        <w:tc>
          <w:tcPr>
            <w:tcW w:w="789" w:type="dxa"/>
            <w:tcBorders>
              <w:top w:val="single" w:color="000000" w:sz="4" w:space="0"/>
              <w:left w:val="nil"/>
              <w:bottom w:val="single" w:color="000000" w:sz="4" w:space="0"/>
              <w:right w:val="single" w:color="000000" w:sz="4" w:space="0"/>
            </w:tcBorders>
            <w:noWrap/>
            <w:vAlign w:val="top"/>
          </w:tcPr>
          <w:p w14:paraId="08704D6D">
            <w:pPr>
              <w:jc w:val="both"/>
              <w:rPr>
                <w:rFonts w:ascii="宋体" w:hAnsi="宋体" w:cs="宋体"/>
                <w:color w:val="auto"/>
                <w:highlight w:val="none"/>
                <w:lang w:val="zh-TW" w:eastAsia="zh-TW"/>
              </w:rPr>
            </w:pPr>
          </w:p>
        </w:tc>
        <w:tc>
          <w:tcPr>
            <w:tcW w:w="1263" w:type="dxa"/>
            <w:tcBorders>
              <w:top w:val="single" w:color="000000" w:sz="4" w:space="0"/>
              <w:left w:val="nil"/>
              <w:bottom w:val="single" w:color="000000" w:sz="4" w:space="0"/>
              <w:right w:val="single" w:color="000000" w:sz="4" w:space="0"/>
            </w:tcBorders>
            <w:noWrap/>
            <w:vAlign w:val="top"/>
          </w:tcPr>
          <w:p w14:paraId="048E8C72">
            <w:pPr>
              <w:jc w:val="both"/>
              <w:rPr>
                <w:rFonts w:ascii="宋体" w:hAnsi="宋体" w:cs="宋体"/>
                <w:color w:val="auto"/>
                <w:highlight w:val="none"/>
                <w:lang w:val="zh-TW" w:eastAsia="zh-TW"/>
              </w:rPr>
            </w:pPr>
          </w:p>
        </w:tc>
        <w:tc>
          <w:tcPr>
            <w:tcW w:w="1036" w:type="dxa"/>
            <w:tcBorders>
              <w:top w:val="single" w:color="000000" w:sz="4" w:space="0"/>
              <w:left w:val="nil"/>
              <w:bottom w:val="single" w:color="000000" w:sz="4" w:space="0"/>
              <w:right w:val="single" w:color="000000" w:sz="4" w:space="0"/>
            </w:tcBorders>
            <w:noWrap/>
            <w:vAlign w:val="top"/>
          </w:tcPr>
          <w:p w14:paraId="365BFF71">
            <w:pPr>
              <w:jc w:val="both"/>
              <w:rPr>
                <w:rFonts w:ascii="宋体" w:hAnsi="宋体" w:cs="宋体"/>
                <w:color w:val="auto"/>
                <w:highlight w:val="none"/>
                <w:lang w:val="zh-TW" w:eastAsia="zh-TW"/>
              </w:rPr>
            </w:pPr>
          </w:p>
        </w:tc>
        <w:tc>
          <w:tcPr>
            <w:tcW w:w="1135" w:type="dxa"/>
            <w:tcBorders>
              <w:top w:val="single" w:color="000000" w:sz="4" w:space="0"/>
              <w:left w:val="nil"/>
              <w:bottom w:val="single" w:color="000000" w:sz="4" w:space="0"/>
              <w:right w:val="single" w:color="000000" w:sz="4" w:space="0"/>
            </w:tcBorders>
            <w:noWrap/>
            <w:vAlign w:val="top"/>
          </w:tcPr>
          <w:p w14:paraId="0A229517">
            <w:pPr>
              <w:jc w:val="both"/>
              <w:rPr>
                <w:rFonts w:ascii="宋体" w:hAnsi="宋体" w:cs="宋体"/>
                <w:color w:val="auto"/>
                <w:highlight w:val="none"/>
                <w:lang w:val="zh-TW" w:eastAsia="zh-TW"/>
              </w:rPr>
            </w:pPr>
          </w:p>
        </w:tc>
        <w:tc>
          <w:tcPr>
            <w:tcW w:w="946" w:type="dxa"/>
            <w:tcBorders>
              <w:top w:val="single" w:color="000000" w:sz="4" w:space="0"/>
              <w:left w:val="nil"/>
              <w:bottom w:val="single" w:color="000000" w:sz="4" w:space="0"/>
              <w:right w:val="single" w:color="000000" w:sz="4" w:space="0"/>
            </w:tcBorders>
            <w:noWrap/>
            <w:vAlign w:val="top"/>
          </w:tcPr>
          <w:p w14:paraId="4014A3F3">
            <w:pPr>
              <w:jc w:val="both"/>
              <w:rPr>
                <w:rFonts w:ascii="宋体" w:hAnsi="宋体" w:cs="宋体"/>
                <w:color w:val="auto"/>
                <w:highlight w:val="none"/>
                <w:lang w:val="zh-TW" w:eastAsia="zh-TW"/>
              </w:rPr>
            </w:pPr>
          </w:p>
        </w:tc>
        <w:tc>
          <w:tcPr>
            <w:tcW w:w="2151" w:type="dxa"/>
            <w:tcBorders>
              <w:top w:val="single" w:color="000000" w:sz="4" w:space="0"/>
              <w:left w:val="nil"/>
              <w:bottom w:val="single" w:color="000000" w:sz="4" w:space="0"/>
              <w:right w:val="single" w:color="000000" w:sz="4" w:space="0"/>
            </w:tcBorders>
            <w:noWrap/>
            <w:vAlign w:val="top"/>
          </w:tcPr>
          <w:p w14:paraId="647A871F">
            <w:pPr>
              <w:jc w:val="both"/>
              <w:rPr>
                <w:rFonts w:ascii="宋体" w:hAnsi="宋体" w:cs="宋体"/>
                <w:color w:val="auto"/>
                <w:highlight w:val="none"/>
                <w:lang w:val="zh-TW" w:eastAsia="zh-TW"/>
              </w:rPr>
            </w:pPr>
          </w:p>
        </w:tc>
      </w:tr>
      <w:tr w14:paraId="404D8287">
        <w:tblPrEx>
          <w:tblCellMar>
            <w:top w:w="0" w:type="dxa"/>
            <w:left w:w="108" w:type="dxa"/>
            <w:bottom w:w="0" w:type="dxa"/>
            <w:right w:w="108" w:type="dxa"/>
          </w:tblCellMar>
        </w:tblPrEx>
        <w:trPr>
          <w:trHeight w:val="376" w:hRule="atLeast"/>
          <w:jc w:val="center"/>
        </w:trPr>
        <w:tc>
          <w:tcPr>
            <w:tcW w:w="595" w:type="dxa"/>
            <w:tcBorders>
              <w:top w:val="single" w:color="000000" w:sz="4" w:space="0"/>
              <w:left w:val="single" w:color="000000" w:sz="4" w:space="0"/>
              <w:bottom w:val="single" w:color="000000" w:sz="4" w:space="0"/>
              <w:right w:val="single" w:color="000000" w:sz="4" w:space="0"/>
            </w:tcBorders>
            <w:noWrap/>
            <w:vAlign w:val="top"/>
          </w:tcPr>
          <w:p w14:paraId="2B0C8564">
            <w:pPr>
              <w:jc w:val="both"/>
              <w:rPr>
                <w:rFonts w:ascii="宋体" w:hAnsi="宋体" w:cs="宋体"/>
                <w:color w:val="auto"/>
                <w:highlight w:val="none"/>
                <w:lang w:val="zh-TW" w:eastAsia="zh-TW"/>
              </w:rPr>
            </w:pPr>
          </w:p>
        </w:tc>
        <w:tc>
          <w:tcPr>
            <w:tcW w:w="998" w:type="dxa"/>
            <w:tcBorders>
              <w:top w:val="single" w:color="000000" w:sz="4" w:space="0"/>
              <w:left w:val="nil"/>
              <w:bottom w:val="single" w:color="000000" w:sz="4" w:space="0"/>
              <w:right w:val="single" w:color="000000" w:sz="4" w:space="0"/>
            </w:tcBorders>
            <w:noWrap/>
            <w:vAlign w:val="top"/>
          </w:tcPr>
          <w:p w14:paraId="1F7429EE">
            <w:pPr>
              <w:jc w:val="both"/>
              <w:rPr>
                <w:rFonts w:ascii="宋体" w:hAnsi="宋体" w:cs="宋体"/>
                <w:color w:val="auto"/>
                <w:highlight w:val="none"/>
                <w:lang w:val="zh-TW" w:eastAsia="zh-TW"/>
              </w:rPr>
            </w:pPr>
          </w:p>
        </w:tc>
        <w:tc>
          <w:tcPr>
            <w:tcW w:w="738" w:type="dxa"/>
            <w:tcBorders>
              <w:top w:val="single" w:color="000000" w:sz="4" w:space="0"/>
              <w:left w:val="nil"/>
              <w:bottom w:val="single" w:color="000000" w:sz="4" w:space="0"/>
              <w:right w:val="single" w:color="000000" w:sz="4" w:space="0"/>
            </w:tcBorders>
            <w:noWrap/>
            <w:vAlign w:val="top"/>
          </w:tcPr>
          <w:p w14:paraId="6BF6DBBF">
            <w:pPr>
              <w:jc w:val="both"/>
              <w:rPr>
                <w:rFonts w:ascii="宋体" w:hAnsi="宋体" w:cs="宋体"/>
                <w:color w:val="auto"/>
                <w:highlight w:val="none"/>
                <w:lang w:val="zh-TW" w:eastAsia="zh-TW"/>
              </w:rPr>
            </w:pPr>
          </w:p>
        </w:tc>
        <w:tc>
          <w:tcPr>
            <w:tcW w:w="789" w:type="dxa"/>
            <w:tcBorders>
              <w:top w:val="single" w:color="000000" w:sz="4" w:space="0"/>
              <w:left w:val="nil"/>
              <w:bottom w:val="single" w:color="000000" w:sz="4" w:space="0"/>
              <w:right w:val="single" w:color="000000" w:sz="4" w:space="0"/>
            </w:tcBorders>
            <w:noWrap/>
            <w:vAlign w:val="top"/>
          </w:tcPr>
          <w:p w14:paraId="3AF08A78">
            <w:pPr>
              <w:jc w:val="both"/>
              <w:rPr>
                <w:rFonts w:ascii="宋体" w:hAnsi="宋体" w:cs="宋体"/>
                <w:color w:val="auto"/>
                <w:highlight w:val="none"/>
                <w:lang w:val="zh-TW" w:eastAsia="zh-TW"/>
              </w:rPr>
            </w:pPr>
          </w:p>
        </w:tc>
        <w:tc>
          <w:tcPr>
            <w:tcW w:w="1263" w:type="dxa"/>
            <w:tcBorders>
              <w:top w:val="single" w:color="000000" w:sz="4" w:space="0"/>
              <w:left w:val="nil"/>
              <w:bottom w:val="single" w:color="000000" w:sz="4" w:space="0"/>
              <w:right w:val="single" w:color="000000" w:sz="4" w:space="0"/>
            </w:tcBorders>
            <w:noWrap/>
            <w:vAlign w:val="top"/>
          </w:tcPr>
          <w:p w14:paraId="19BD8ABB">
            <w:pPr>
              <w:jc w:val="both"/>
              <w:rPr>
                <w:rFonts w:ascii="宋体" w:hAnsi="宋体" w:cs="宋体"/>
                <w:color w:val="auto"/>
                <w:highlight w:val="none"/>
                <w:lang w:val="zh-TW" w:eastAsia="zh-TW"/>
              </w:rPr>
            </w:pPr>
          </w:p>
        </w:tc>
        <w:tc>
          <w:tcPr>
            <w:tcW w:w="1036" w:type="dxa"/>
            <w:tcBorders>
              <w:top w:val="single" w:color="000000" w:sz="4" w:space="0"/>
              <w:left w:val="nil"/>
              <w:bottom w:val="single" w:color="000000" w:sz="4" w:space="0"/>
              <w:right w:val="single" w:color="000000" w:sz="4" w:space="0"/>
            </w:tcBorders>
            <w:noWrap/>
            <w:vAlign w:val="top"/>
          </w:tcPr>
          <w:p w14:paraId="26DA3E54">
            <w:pPr>
              <w:jc w:val="both"/>
              <w:rPr>
                <w:rFonts w:ascii="宋体" w:hAnsi="宋体" w:cs="宋体"/>
                <w:color w:val="auto"/>
                <w:highlight w:val="none"/>
                <w:lang w:val="zh-TW" w:eastAsia="zh-TW"/>
              </w:rPr>
            </w:pPr>
          </w:p>
        </w:tc>
        <w:tc>
          <w:tcPr>
            <w:tcW w:w="1135" w:type="dxa"/>
            <w:tcBorders>
              <w:top w:val="single" w:color="000000" w:sz="4" w:space="0"/>
              <w:left w:val="nil"/>
              <w:bottom w:val="single" w:color="000000" w:sz="4" w:space="0"/>
              <w:right w:val="single" w:color="000000" w:sz="4" w:space="0"/>
            </w:tcBorders>
            <w:noWrap/>
            <w:vAlign w:val="top"/>
          </w:tcPr>
          <w:p w14:paraId="45E77113">
            <w:pPr>
              <w:jc w:val="both"/>
              <w:rPr>
                <w:rFonts w:ascii="宋体" w:hAnsi="宋体" w:cs="宋体"/>
                <w:color w:val="auto"/>
                <w:highlight w:val="none"/>
                <w:lang w:val="zh-TW" w:eastAsia="zh-TW"/>
              </w:rPr>
            </w:pPr>
          </w:p>
        </w:tc>
        <w:tc>
          <w:tcPr>
            <w:tcW w:w="946" w:type="dxa"/>
            <w:tcBorders>
              <w:top w:val="single" w:color="000000" w:sz="4" w:space="0"/>
              <w:left w:val="nil"/>
              <w:bottom w:val="single" w:color="000000" w:sz="4" w:space="0"/>
              <w:right w:val="single" w:color="000000" w:sz="4" w:space="0"/>
            </w:tcBorders>
            <w:noWrap/>
            <w:vAlign w:val="top"/>
          </w:tcPr>
          <w:p w14:paraId="32B4B09F">
            <w:pPr>
              <w:jc w:val="both"/>
              <w:rPr>
                <w:rFonts w:ascii="宋体" w:hAnsi="宋体" w:cs="宋体"/>
                <w:color w:val="auto"/>
                <w:highlight w:val="none"/>
                <w:lang w:val="zh-TW" w:eastAsia="zh-TW"/>
              </w:rPr>
            </w:pPr>
          </w:p>
        </w:tc>
        <w:tc>
          <w:tcPr>
            <w:tcW w:w="2151" w:type="dxa"/>
            <w:tcBorders>
              <w:top w:val="single" w:color="000000" w:sz="4" w:space="0"/>
              <w:left w:val="nil"/>
              <w:bottom w:val="single" w:color="000000" w:sz="4" w:space="0"/>
              <w:right w:val="single" w:color="000000" w:sz="4" w:space="0"/>
            </w:tcBorders>
            <w:noWrap/>
            <w:vAlign w:val="top"/>
          </w:tcPr>
          <w:p w14:paraId="0AA85D0C">
            <w:pPr>
              <w:jc w:val="both"/>
              <w:rPr>
                <w:rFonts w:ascii="宋体" w:hAnsi="宋体" w:cs="宋体"/>
                <w:color w:val="auto"/>
                <w:highlight w:val="none"/>
                <w:lang w:val="zh-TW" w:eastAsia="zh-TW"/>
              </w:rPr>
            </w:pPr>
          </w:p>
        </w:tc>
      </w:tr>
      <w:tr w14:paraId="1E0FC0D4">
        <w:tblPrEx>
          <w:tblCellMar>
            <w:top w:w="0" w:type="dxa"/>
            <w:left w:w="108" w:type="dxa"/>
            <w:bottom w:w="0" w:type="dxa"/>
            <w:right w:w="108" w:type="dxa"/>
          </w:tblCellMar>
        </w:tblPrEx>
        <w:trPr>
          <w:trHeight w:val="359" w:hRule="atLeast"/>
          <w:jc w:val="center"/>
        </w:trPr>
        <w:tc>
          <w:tcPr>
            <w:tcW w:w="595" w:type="dxa"/>
            <w:tcBorders>
              <w:top w:val="single" w:color="000000" w:sz="4" w:space="0"/>
              <w:left w:val="single" w:color="000000" w:sz="4" w:space="0"/>
              <w:bottom w:val="single" w:color="000000" w:sz="4" w:space="0"/>
              <w:right w:val="single" w:color="000000" w:sz="4" w:space="0"/>
            </w:tcBorders>
            <w:noWrap/>
            <w:vAlign w:val="top"/>
          </w:tcPr>
          <w:p w14:paraId="1B4A8EBD">
            <w:pPr>
              <w:jc w:val="both"/>
              <w:rPr>
                <w:rFonts w:ascii="宋体" w:hAnsi="宋体" w:cs="宋体"/>
                <w:color w:val="auto"/>
                <w:highlight w:val="none"/>
                <w:lang w:val="zh-TW" w:eastAsia="zh-TW"/>
              </w:rPr>
            </w:pPr>
          </w:p>
        </w:tc>
        <w:tc>
          <w:tcPr>
            <w:tcW w:w="998" w:type="dxa"/>
            <w:tcBorders>
              <w:top w:val="single" w:color="000000" w:sz="4" w:space="0"/>
              <w:left w:val="nil"/>
              <w:bottom w:val="single" w:color="000000" w:sz="4" w:space="0"/>
              <w:right w:val="single" w:color="000000" w:sz="4" w:space="0"/>
            </w:tcBorders>
            <w:noWrap/>
            <w:vAlign w:val="top"/>
          </w:tcPr>
          <w:p w14:paraId="5A20A974">
            <w:pPr>
              <w:jc w:val="both"/>
              <w:rPr>
                <w:rFonts w:ascii="宋体" w:hAnsi="宋体" w:cs="宋体"/>
                <w:color w:val="auto"/>
                <w:highlight w:val="none"/>
                <w:lang w:val="zh-TW" w:eastAsia="zh-TW"/>
              </w:rPr>
            </w:pPr>
          </w:p>
        </w:tc>
        <w:tc>
          <w:tcPr>
            <w:tcW w:w="738" w:type="dxa"/>
            <w:tcBorders>
              <w:top w:val="single" w:color="000000" w:sz="4" w:space="0"/>
              <w:left w:val="nil"/>
              <w:bottom w:val="single" w:color="000000" w:sz="4" w:space="0"/>
              <w:right w:val="single" w:color="000000" w:sz="4" w:space="0"/>
            </w:tcBorders>
            <w:noWrap/>
            <w:vAlign w:val="top"/>
          </w:tcPr>
          <w:p w14:paraId="1658642C">
            <w:pPr>
              <w:jc w:val="both"/>
              <w:rPr>
                <w:rFonts w:ascii="宋体" w:hAnsi="宋体" w:cs="宋体"/>
                <w:color w:val="auto"/>
                <w:highlight w:val="none"/>
                <w:lang w:val="zh-TW" w:eastAsia="zh-TW"/>
              </w:rPr>
            </w:pPr>
          </w:p>
        </w:tc>
        <w:tc>
          <w:tcPr>
            <w:tcW w:w="789" w:type="dxa"/>
            <w:tcBorders>
              <w:top w:val="single" w:color="000000" w:sz="4" w:space="0"/>
              <w:left w:val="nil"/>
              <w:bottom w:val="single" w:color="000000" w:sz="4" w:space="0"/>
              <w:right w:val="single" w:color="000000" w:sz="4" w:space="0"/>
            </w:tcBorders>
            <w:noWrap/>
            <w:vAlign w:val="top"/>
          </w:tcPr>
          <w:p w14:paraId="50F4D6D0">
            <w:pPr>
              <w:jc w:val="both"/>
              <w:rPr>
                <w:rFonts w:ascii="宋体" w:hAnsi="宋体" w:cs="宋体"/>
                <w:color w:val="auto"/>
                <w:highlight w:val="none"/>
                <w:lang w:val="zh-TW" w:eastAsia="zh-TW"/>
              </w:rPr>
            </w:pPr>
          </w:p>
        </w:tc>
        <w:tc>
          <w:tcPr>
            <w:tcW w:w="1263" w:type="dxa"/>
            <w:tcBorders>
              <w:top w:val="single" w:color="000000" w:sz="4" w:space="0"/>
              <w:left w:val="nil"/>
              <w:bottom w:val="single" w:color="000000" w:sz="4" w:space="0"/>
              <w:right w:val="single" w:color="000000" w:sz="4" w:space="0"/>
            </w:tcBorders>
            <w:noWrap/>
            <w:vAlign w:val="top"/>
          </w:tcPr>
          <w:p w14:paraId="3CC8BE7B">
            <w:pPr>
              <w:jc w:val="both"/>
              <w:rPr>
                <w:rFonts w:ascii="宋体" w:hAnsi="宋体" w:cs="宋体"/>
                <w:color w:val="auto"/>
                <w:highlight w:val="none"/>
                <w:lang w:val="zh-TW" w:eastAsia="zh-TW"/>
              </w:rPr>
            </w:pPr>
          </w:p>
        </w:tc>
        <w:tc>
          <w:tcPr>
            <w:tcW w:w="1036" w:type="dxa"/>
            <w:tcBorders>
              <w:top w:val="single" w:color="000000" w:sz="4" w:space="0"/>
              <w:left w:val="nil"/>
              <w:bottom w:val="single" w:color="000000" w:sz="4" w:space="0"/>
              <w:right w:val="single" w:color="000000" w:sz="4" w:space="0"/>
            </w:tcBorders>
            <w:noWrap/>
            <w:vAlign w:val="top"/>
          </w:tcPr>
          <w:p w14:paraId="069EAAEA">
            <w:pPr>
              <w:jc w:val="both"/>
              <w:rPr>
                <w:rFonts w:ascii="宋体" w:hAnsi="宋体" w:cs="宋体"/>
                <w:color w:val="auto"/>
                <w:highlight w:val="none"/>
                <w:lang w:val="zh-TW" w:eastAsia="zh-TW"/>
              </w:rPr>
            </w:pPr>
          </w:p>
        </w:tc>
        <w:tc>
          <w:tcPr>
            <w:tcW w:w="1135" w:type="dxa"/>
            <w:tcBorders>
              <w:top w:val="single" w:color="000000" w:sz="4" w:space="0"/>
              <w:left w:val="nil"/>
              <w:bottom w:val="single" w:color="000000" w:sz="4" w:space="0"/>
              <w:right w:val="single" w:color="000000" w:sz="4" w:space="0"/>
            </w:tcBorders>
            <w:noWrap/>
            <w:vAlign w:val="top"/>
          </w:tcPr>
          <w:p w14:paraId="6C8A453F">
            <w:pPr>
              <w:jc w:val="both"/>
              <w:rPr>
                <w:rFonts w:ascii="宋体" w:hAnsi="宋体" w:cs="宋体"/>
                <w:color w:val="auto"/>
                <w:highlight w:val="none"/>
                <w:lang w:val="zh-TW" w:eastAsia="zh-TW"/>
              </w:rPr>
            </w:pPr>
          </w:p>
        </w:tc>
        <w:tc>
          <w:tcPr>
            <w:tcW w:w="946" w:type="dxa"/>
            <w:tcBorders>
              <w:top w:val="single" w:color="000000" w:sz="4" w:space="0"/>
              <w:left w:val="nil"/>
              <w:bottom w:val="single" w:color="000000" w:sz="4" w:space="0"/>
              <w:right w:val="single" w:color="000000" w:sz="4" w:space="0"/>
            </w:tcBorders>
            <w:noWrap/>
            <w:vAlign w:val="top"/>
          </w:tcPr>
          <w:p w14:paraId="388FAB02">
            <w:pPr>
              <w:jc w:val="both"/>
              <w:rPr>
                <w:rFonts w:ascii="宋体" w:hAnsi="宋体" w:cs="宋体"/>
                <w:color w:val="auto"/>
                <w:highlight w:val="none"/>
                <w:lang w:val="zh-TW" w:eastAsia="zh-TW"/>
              </w:rPr>
            </w:pPr>
          </w:p>
        </w:tc>
        <w:tc>
          <w:tcPr>
            <w:tcW w:w="2151" w:type="dxa"/>
            <w:tcBorders>
              <w:top w:val="single" w:color="000000" w:sz="4" w:space="0"/>
              <w:left w:val="nil"/>
              <w:bottom w:val="single" w:color="000000" w:sz="4" w:space="0"/>
              <w:right w:val="single" w:color="000000" w:sz="4" w:space="0"/>
            </w:tcBorders>
            <w:noWrap/>
            <w:vAlign w:val="top"/>
          </w:tcPr>
          <w:p w14:paraId="33D98860">
            <w:pPr>
              <w:jc w:val="both"/>
              <w:rPr>
                <w:rFonts w:ascii="宋体" w:hAnsi="宋体" w:cs="宋体"/>
                <w:color w:val="auto"/>
                <w:highlight w:val="none"/>
                <w:lang w:val="zh-TW" w:eastAsia="zh-TW"/>
              </w:rPr>
            </w:pPr>
          </w:p>
        </w:tc>
      </w:tr>
      <w:tr w14:paraId="2BD24CCD">
        <w:tblPrEx>
          <w:tblCellMar>
            <w:top w:w="0" w:type="dxa"/>
            <w:left w:w="108" w:type="dxa"/>
            <w:bottom w:w="0" w:type="dxa"/>
            <w:right w:w="108" w:type="dxa"/>
          </w:tblCellMar>
        </w:tblPrEx>
        <w:trPr>
          <w:trHeight w:val="394" w:hRule="atLeast"/>
          <w:jc w:val="center"/>
        </w:trPr>
        <w:tc>
          <w:tcPr>
            <w:tcW w:w="595" w:type="dxa"/>
            <w:tcBorders>
              <w:top w:val="single" w:color="000000" w:sz="4" w:space="0"/>
              <w:left w:val="single" w:color="000000" w:sz="4" w:space="0"/>
              <w:bottom w:val="single" w:color="000000" w:sz="4" w:space="0"/>
              <w:right w:val="single" w:color="000000" w:sz="4" w:space="0"/>
            </w:tcBorders>
            <w:noWrap/>
            <w:vAlign w:val="top"/>
          </w:tcPr>
          <w:p w14:paraId="31EFBBE0">
            <w:pPr>
              <w:jc w:val="both"/>
              <w:rPr>
                <w:rFonts w:ascii="宋体" w:hAnsi="宋体" w:cs="宋体"/>
                <w:color w:val="auto"/>
                <w:highlight w:val="none"/>
                <w:lang w:val="zh-TW" w:eastAsia="zh-TW"/>
              </w:rPr>
            </w:pPr>
          </w:p>
        </w:tc>
        <w:tc>
          <w:tcPr>
            <w:tcW w:w="998" w:type="dxa"/>
            <w:tcBorders>
              <w:top w:val="single" w:color="000000" w:sz="4" w:space="0"/>
              <w:left w:val="nil"/>
              <w:bottom w:val="single" w:color="000000" w:sz="4" w:space="0"/>
              <w:right w:val="single" w:color="000000" w:sz="4" w:space="0"/>
            </w:tcBorders>
            <w:noWrap/>
            <w:vAlign w:val="top"/>
          </w:tcPr>
          <w:p w14:paraId="2480FB7D">
            <w:pPr>
              <w:jc w:val="both"/>
              <w:rPr>
                <w:rFonts w:ascii="宋体" w:hAnsi="宋体" w:cs="宋体"/>
                <w:color w:val="auto"/>
                <w:highlight w:val="none"/>
                <w:lang w:val="zh-TW" w:eastAsia="zh-TW"/>
              </w:rPr>
            </w:pPr>
          </w:p>
        </w:tc>
        <w:tc>
          <w:tcPr>
            <w:tcW w:w="738" w:type="dxa"/>
            <w:tcBorders>
              <w:top w:val="single" w:color="000000" w:sz="4" w:space="0"/>
              <w:left w:val="nil"/>
              <w:bottom w:val="single" w:color="000000" w:sz="4" w:space="0"/>
              <w:right w:val="single" w:color="000000" w:sz="4" w:space="0"/>
            </w:tcBorders>
            <w:noWrap/>
            <w:vAlign w:val="top"/>
          </w:tcPr>
          <w:p w14:paraId="31AC1AE0">
            <w:pPr>
              <w:jc w:val="both"/>
              <w:rPr>
                <w:rFonts w:ascii="宋体" w:hAnsi="宋体" w:cs="宋体"/>
                <w:color w:val="auto"/>
                <w:highlight w:val="none"/>
                <w:lang w:val="zh-TW" w:eastAsia="zh-TW"/>
              </w:rPr>
            </w:pPr>
          </w:p>
        </w:tc>
        <w:tc>
          <w:tcPr>
            <w:tcW w:w="789" w:type="dxa"/>
            <w:tcBorders>
              <w:top w:val="single" w:color="000000" w:sz="4" w:space="0"/>
              <w:left w:val="nil"/>
              <w:bottom w:val="single" w:color="000000" w:sz="4" w:space="0"/>
              <w:right w:val="single" w:color="000000" w:sz="4" w:space="0"/>
            </w:tcBorders>
            <w:noWrap/>
            <w:vAlign w:val="top"/>
          </w:tcPr>
          <w:p w14:paraId="0BBA8557">
            <w:pPr>
              <w:jc w:val="both"/>
              <w:rPr>
                <w:rFonts w:ascii="宋体" w:hAnsi="宋体" w:cs="宋体"/>
                <w:color w:val="auto"/>
                <w:highlight w:val="none"/>
                <w:lang w:val="zh-TW" w:eastAsia="zh-TW"/>
              </w:rPr>
            </w:pPr>
          </w:p>
        </w:tc>
        <w:tc>
          <w:tcPr>
            <w:tcW w:w="1263" w:type="dxa"/>
            <w:tcBorders>
              <w:top w:val="single" w:color="000000" w:sz="4" w:space="0"/>
              <w:left w:val="nil"/>
              <w:bottom w:val="single" w:color="000000" w:sz="4" w:space="0"/>
              <w:right w:val="single" w:color="000000" w:sz="4" w:space="0"/>
            </w:tcBorders>
            <w:noWrap/>
            <w:vAlign w:val="top"/>
          </w:tcPr>
          <w:p w14:paraId="06C2E21C">
            <w:pPr>
              <w:jc w:val="both"/>
              <w:rPr>
                <w:rFonts w:ascii="宋体" w:hAnsi="宋体" w:cs="宋体"/>
                <w:color w:val="auto"/>
                <w:highlight w:val="none"/>
                <w:lang w:val="zh-TW" w:eastAsia="zh-TW"/>
              </w:rPr>
            </w:pPr>
          </w:p>
        </w:tc>
        <w:tc>
          <w:tcPr>
            <w:tcW w:w="1036" w:type="dxa"/>
            <w:tcBorders>
              <w:top w:val="single" w:color="000000" w:sz="4" w:space="0"/>
              <w:left w:val="nil"/>
              <w:bottom w:val="single" w:color="000000" w:sz="4" w:space="0"/>
              <w:right w:val="single" w:color="000000" w:sz="4" w:space="0"/>
            </w:tcBorders>
            <w:noWrap/>
            <w:vAlign w:val="top"/>
          </w:tcPr>
          <w:p w14:paraId="214C4D91">
            <w:pPr>
              <w:jc w:val="both"/>
              <w:rPr>
                <w:rFonts w:ascii="宋体" w:hAnsi="宋体" w:cs="宋体"/>
                <w:color w:val="auto"/>
                <w:highlight w:val="none"/>
                <w:lang w:val="zh-TW" w:eastAsia="zh-TW"/>
              </w:rPr>
            </w:pPr>
          </w:p>
        </w:tc>
        <w:tc>
          <w:tcPr>
            <w:tcW w:w="1135" w:type="dxa"/>
            <w:tcBorders>
              <w:top w:val="single" w:color="000000" w:sz="4" w:space="0"/>
              <w:left w:val="nil"/>
              <w:bottom w:val="single" w:color="000000" w:sz="4" w:space="0"/>
              <w:right w:val="single" w:color="000000" w:sz="4" w:space="0"/>
            </w:tcBorders>
            <w:noWrap/>
            <w:vAlign w:val="top"/>
          </w:tcPr>
          <w:p w14:paraId="493194F4">
            <w:pPr>
              <w:jc w:val="both"/>
              <w:rPr>
                <w:rFonts w:ascii="宋体" w:hAnsi="宋体" w:cs="宋体"/>
                <w:color w:val="auto"/>
                <w:highlight w:val="none"/>
                <w:lang w:val="zh-TW" w:eastAsia="zh-TW"/>
              </w:rPr>
            </w:pPr>
          </w:p>
        </w:tc>
        <w:tc>
          <w:tcPr>
            <w:tcW w:w="946" w:type="dxa"/>
            <w:tcBorders>
              <w:top w:val="single" w:color="000000" w:sz="4" w:space="0"/>
              <w:left w:val="nil"/>
              <w:bottom w:val="single" w:color="000000" w:sz="4" w:space="0"/>
              <w:right w:val="single" w:color="000000" w:sz="4" w:space="0"/>
            </w:tcBorders>
            <w:noWrap/>
            <w:vAlign w:val="top"/>
          </w:tcPr>
          <w:p w14:paraId="533E47A1">
            <w:pPr>
              <w:jc w:val="both"/>
              <w:rPr>
                <w:rFonts w:ascii="宋体" w:hAnsi="宋体" w:cs="宋体"/>
                <w:color w:val="auto"/>
                <w:highlight w:val="none"/>
                <w:lang w:val="zh-TW" w:eastAsia="zh-TW"/>
              </w:rPr>
            </w:pPr>
          </w:p>
        </w:tc>
        <w:tc>
          <w:tcPr>
            <w:tcW w:w="2151" w:type="dxa"/>
            <w:tcBorders>
              <w:top w:val="single" w:color="000000" w:sz="4" w:space="0"/>
              <w:left w:val="nil"/>
              <w:bottom w:val="single" w:color="000000" w:sz="4" w:space="0"/>
              <w:right w:val="single" w:color="000000" w:sz="4" w:space="0"/>
            </w:tcBorders>
            <w:noWrap/>
            <w:vAlign w:val="top"/>
          </w:tcPr>
          <w:p w14:paraId="6AE7F2F7">
            <w:pPr>
              <w:jc w:val="both"/>
              <w:rPr>
                <w:rFonts w:ascii="宋体" w:hAnsi="宋体" w:cs="宋体"/>
                <w:color w:val="auto"/>
                <w:highlight w:val="none"/>
                <w:lang w:val="zh-TW" w:eastAsia="zh-TW"/>
              </w:rPr>
            </w:pPr>
          </w:p>
        </w:tc>
      </w:tr>
    </w:tbl>
    <w:p w14:paraId="1A96BB9C">
      <w:pPr>
        <w:jc w:val="both"/>
        <w:rPr>
          <w:rFonts w:ascii="宋体" w:hAnsi="宋体"/>
          <w:color w:val="auto"/>
          <w:highlight w:val="none"/>
          <w:lang w:eastAsia="zh-CN"/>
        </w:rPr>
      </w:pPr>
    </w:p>
    <w:p w14:paraId="6EBA9C40">
      <w:pPr>
        <w:pStyle w:val="190"/>
        <w:shd w:val="clear" w:color="auto" w:fill="FFFFFF"/>
        <w:spacing w:line="360" w:lineRule="auto"/>
        <w:rPr>
          <w:rFonts w:ascii="宋体" w:cs="宋体"/>
          <w:color w:val="auto"/>
          <w:sz w:val="24"/>
          <w:szCs w:val="24"/>
          <w:highlight w:val="none"/>
        </w:rPr>
      </w:pPr>
      <w:r>
        <w:rPr>
          <w:rFonts w:hint="eastAsia" w:ascii="宋体" w:hAnsi="宋体" w:cs="宋体"/>
          <w:color w:val="auto"/>
          <w:sz w:val="24"/>
          <w:szCs w:val="24"/>
          <w:highlight w:val="none"/>
          <w:lang w:val="zh-TW" w:eastAsia="zh-TW"/>
        </w:rPr>
        <w:t>投标单位（加盖电子公章）：</w:t>
      </w:r>
      <w:r>
        <w:rPr>
          <w:rFonts w:ascii="宋体" w:cs="宋体"/>
          <w:color w:val="auto"/>
          <w:sz w:val="24"/>
          <w:szCs w:val="24"/>
          <w:highlight w:val="none"/>
          <w:u w:val="single"/>
        </w:rPr>
        <w:t>                      </w:t>
      </w:r>
    </w:p>
    <w:p w14:paraId="5C183952">
      <w:pPr>
        <w:pStyle w:val="190"/>
        <w:shd w:val="clear" w:color="auto" w:fill="FFFFFF"/>
        <w:spacing w:line="360" w:lineRule="auto"/>
        <w:rPr>
          <w:rFonts w:ascii="宋体" w:cs="宋体"/>
          <w:color w:val="auto"/>
          <w:sz w:val="24"/>
          <w:szCs w:val="24"/>
          <w:highlight w:val="none"/>
          <w:u w:val="single"/>
        </w:rPr>
      </w:pPr>
      <w:r>
        <w:rPr>
          <w:rFonts w:hint="eastAsia" w:ascii="宋体" w:hAnsi="宋体" w:cs="宋体"/>
          <w:color w:val="auto"/>
          <w:sz w:val="24"/>
          <w:szCs w:val="24"/>
          <w:highlight w:val="none"/>
          <w:lang w:val="zh-TW" w:eastAsia="zh-TW"/>
        </w:rPr>
        <w:t>授权代表（签字）：</w:t>
      </w:r>
      <w:r>
        <w:rPr>
          <w:rFonts w:ascii="宋体" w:cs="宋体"/>
          <w:color w:val="auto"/>
          <w:sz w:val="24"/>
          <w:szCs w:val="24"/>
          <w:highlight w:val="none"/>
          <w:u w:val="single"/>
        </w:rPr>
        <w:t>                      </w:t>
      </w:r>
    </w:p>
    <w:p w14:paraId="1EF4DABE">
      <w:pPr>
        <w:pStyle w:val="190"/>
        <w:shd w:val="clear" w:color="auto" w:fill="FFFFFF"/>
        <w:spacing w:line="360" w:lineRule="auto"/>
        <w:rPr>
          <w:rFonts w:ascii="宋体" w:hAnsi="宋体" w:cs="宋体"/>
          <w:color w:val="auto"/>
          <w:sz w:val="24"/>
          <w:szCs w:val="24"/>
          <w:highlight w:val="none"/>
          <w:lang w:val="zh-TW" w:eastAsia="zh-TW"/>
        </w:rPr>
      </w:pPr>
      <w:r>
        <w:rPr>
          <w:rFonts w:hint="eastAsia" w:ascii="宋体" w:hAnsi="宋体" w:cs="宋体"/>
          <w:color w:val="auto"/>
          <w:sz w:val="24"/>
          <w:szCs w:val="24"/>
          <w:highlight w:val="none"/>
          <w:lang w:val="zh-TW" w:eastAsia="zh-TW"/>
        </w:rPr>
        <w:t>日期：</w:t>
      </w:r>
      <w:r>
        <w:rPr>
          <w:rFonts w:ascii="宋体" w:hAnsi="宋体" w:cs="宋体"/>
          <w:color w:val="auto"/>
          <w:sz w:val="24"/>
          <w:szCs w:val="24"/>
          <w:highlight w:val="none"/>
          <w:u w:val="single"/>
          <w:lang w:val="zh-TW" w:eastAsia="zh-TW"/>
        </w:rPr>
        <w:t>             </w:t>
      </w:r>
      <w:r>
        <w:rPr>
          <w:rFonts w:ascii="宋体" w:hAnsi="宋体" w:cs="宋体"/>
          <w:color w:val="auto"/>
          <w:sz w:val="24"/>
          <w:szCs w:val="24"/>
          <w:highlight w:val="none"/>
          <w:lang w:val="zh-TW" w:eastAsia="zh-TW"/>
        </w:rPr>
        <w:t>         </w:t>
      </w:r>
    </w:p>
    <w:p w14:paraId="14F96A9F">
      <w:pPr>
        <w:jc w:val="both"/>
        <w:rPr>
          <w:rFonts w:ascii="宋体" w:hAnsi="宋体" w:cs="宋体"/>
          <w:color w:val="auto"/>
          <w:highlight w:val="none"/>
          <w:lang w:val="zh-TW" w:eastAsia="zh-CN"/>
        </w:rPr>
      </w:pPr>
      <w:r>
        <w:rPr>
          <w:rFonts w:hint="eastAsia" w:ascii="宋体" w:hAnsi="宋体" w:cs="宋体"/>
          <w:color w:val="auto"/>
          <w:highlight w:val="none"/>
          <w:lang w:val="zh-TW" w:eastAsia="zh-TW"/>
        </w:rPr>
        <w:t>说明：具体时间要求及需提交的证明材料详见</w:t>
      </w:r>
      <w:r>
        <w:rPr>
          <w:rFonts w:hint="eastAsia" w:ascii="宋体" w:hAnsi="宋体" w:cs="宋体"/>
          <w:color w:val="auto"/>
          <w:highlight w:val="none"/>
          <w:lang w:val="zh-TW" w:eastAsia="zh-CN"/>
        </w:rPr>
        <w:t>评标标准</w:t>
      </w:r>
      <w:r>
        <w:rPr>
          <w:rFonts w:hint="eastAsia" w:ascii="宋体" w:hAnsi="宋体" w:cs="宋体"/>
          <w:color w:val="auto"/>
          <w:highlight w:val="none"/>
          <w:lang w:val="zh-TW" w:eastAsia="zh-TW"/>
        </w:rPr>
        <w:t>。</w:t>
      </w:r>
    </w:p>
    <w:p w14:paraId="08930D71">
      <w:pPr>
        <w:jc w:val="both"/>
        <w:rPr>
          <w:rFonts w:ascii="宋体" w:hAnsi="宋体" w:cs="宋体"/>
          <w:color w:val="auto"/>
          <w:highlight w:val="none"/>
          <w:lang w:val="zh-TW" w:eastAsia="zh-TW"/>
        </w:rPr>
      </w:pPr>
    </w:p>
    <w:p w14:paraId="56B8BCD7">
      <w:pPr>
        <w:pStyle w:val="191"/>
        <w:spacing w:before="0" w:after="0" w:line="360" w:lineRule="auto"/>
        <w:jc w:val="left"/>
        <w:rPr>
          <w:rFonts w:ascii="宋体" w:cs="宋体"/>
          <w:b w:val="0"/>
          <w:bCs w:val="0"/>
          <w:color w:val="auto"/>
          <w:sz w:val="24"/>
          <w:szCs w:val="24"/>
          <w:highlight w:val="none"/>
          <w:lang w:eastAsia="zh-CN"/>
        </w:rPr>
      </w:pPr>
    </w:p>
    <w:p w14:paraId="57965107">
      <w:pPr>
        <w:pStyle w:val="190"/>
        <w:rPr>
          <w:color w:val="auto"/>
          <w:sz w:val="24"/>
          <w:szCs w:val="24"/>
          <w:highlight w:val="none"/>
        </w:rPr>
      </w:pPr>
    </w:p>
    <w:p w14:paraId="1B41180C">
      <w:pPr>
        <w:pStyle w:val="190"/>
        <w:rPr>
          <w:color w:val="auto"/>
          <w:sz w:val="24"/>
          <w:szCs w:val="24"/>
          <w:highlight w:val="none"/>
        </w:rPr>
      </w:pPr>
    </w:p>
    <w:p w14:paraId="453F103F">
      <w:pPr>
        <w:pStyle w:val="190"/>
        <w:rPr>
          <w:color w:val="auto"/>
          <w:sz w:val="24"/>
          <w:szCs w:val="24"/>
          <w:highlight w:val="none"/>
        </w:rPr>
      </w:pPr>
    </w:p>
    <w:p w14:paraId="1420D4CB">
      <w:pPr>
        <w:pStyle w:val="190"/>
        <w:rPr>
          <w:color w:val="auto"/>
          <w:sz w:val="24"/>
          <w:szCs w:val="24"/>
          <w:highlight w:val="none"/>
        </w:rPr>
      </w:pPr>
    </w:p>
    <w:p w14:paraId="551438F5">
      <w:pPr>
        <w:pStyle w:val="190"/>
        <w:rPr>
          <w:color w:val="auto"/>
          <w:sz w:val="24"/>
          <w:szCs w:val="24"/>
          <w:highlight w:val="none"/>
        </w:rPr>
      </w:pPr>
    </w:p>
    <w:p w14:paraId="616010C0">
      <w:pPr>
        <w:pStyle w:val="190"/>
        <w:rPr>
          <w:color w:val="auto"/>
          <w:sz w:val="24"/>
          <w:szCs w:val="24"/>
          <w:highlight w:val="none"/>
        </w:rPr>
      </w:pPr>
    </w:p>
    <w:p w14:paraId="1F7D033A">
      <w:pPr>
        <w:pStyle w:val="190"/>
        <w:rPr>
          <w:color w:val="auto"/>
          <w:sz w:val="24"/>
          <w:szCs w:val="24"/>
          <w:highlight w:val="none"/>
        </w:rPr>
      </w:pPr>
    </w:p>
    <w:p w14:paraId="0CC8259D">
      <w:pPr>
        <w:pStyle w:val="190"/>
        <w:rPr>
          <w:color w:val="auto"/>
          <w:sz w:val="24"/>
          <w:szCs w:val="24"/>
          <w:highlight w:val="none"/>
        </w:rPr>
      </w:pPr>
    </w:p>
    <w:p w14:paraId="0DABCBE1">
      <w:pPr>
        <w:pStyle w:val="190"/>
        <w:rPr>
          <w:color w:val="auto"/>
          <w:sz w:val="24"/>
          <w:szCs w:val="24"/>
          <w:highlight w:val="none"/>
        </w:rPr>
      </w:pPr>
    </w:p>
    <w:p w14:paraId="798B2000">
      <w:pPr>
        <w:pStyle w:val="191"/>
        <w:spacing w:before="0" w:after="0" w:line="360" w:lineRule="auto"/>
        <w:jc w:val="left"/>
        <w:rPr>
          <w:rFonts w:hint="eastAsia" w:ascii="宋体" w:hAnsi="宋体" w:cs="宋体"/>
          <w:color w:val="auto"/>
          <w:sz w:val="24"/>
          <w:szCs w:val="24"/>
          <w:highlight w:val="none"/>
          <w:lang w:val="zh-TW" w:eastAsia="zh-TW"/>
        </w:rPr>
      </w:pPr>
    </w:p>
    <w:p w14:paraId="27E74C5A">
      <w:pPr>
        <w:pStyle w:val="191"/>
        <w:spacing w:before="0" w:after="0" w:line="360" w:lineRule="auto"/>
        <w:jc w:val="left"/>
        <w:rPr>
          <w:rFonts w:hint="eastAsia" w:ascii="宋体" w:hAnsi="宋体" w:cs="宋体"/>
          <w:color w:val="auto"/>
          <w:sz w:val="24"/>
          <w:szCs w:val="24"/>
          <w:highlight w:val="none"/>
          <w:lang w:val="zh-TW" w:eastAsia="zh-TW"/>
        </w:rPr>
        <w:sectPr>
          <w:headerReference r:id="rId6" w:type="default"/>
          <w:footerReference r:id="rId7" w:type="default"/>
          <w:pgSz w:w="11900" w:h="16840"/>
          <w:pgMar w:top="1123" w:right="1179" w:bottom="1123" w:left="1179" w:header="720" w:footer="720" w:gutter="0"/>
          <w:pgNumType w:fmt="decimal"/>
          <w:cols w:space="1701" w:num="1"/>
          <w:docGrid w:linePitch="360" w:charSpace="0"/>
        </w:sectPr>
      </w:pPr>
    </w:p>
    <w:p w14:paraId="29314BB0">
      <w:pPr>
        <w:pStyle w:val="191"/>
        <w:spacing w:before="0" w:after="0" w:line="360" w:lineRule="auto"/>
        <w:jc w:val="left"/>
        <w:rPr>
          <w:rFonts w:ascii="宋体" w:cs="宋体"/>
          <w:b w:val="0"/>
          <w:bCs w:val="0"/>
          <w:color w:val="auto"/>
          <w:sz w:val="24"/>
          <w:szCs w:val="24"/>
          <w:highlight w:val="none"/>
          <w:lang w:val="zh-TW" w:eastAsia="zh-TW"/>
        </w:rPr>
      </w:pPr>
      <w:r>
        <w:rPr>
          <w:rFonts w:hint="eastAsia" w:ascii="宋体" w:hAnsi="宋体" w:cs="宋体"/>
          <w:color w:val="auto"/>
          <w:sz w:val="24"/>
          <w:szCs w:val="24"/>
          <w:highlight w:val="none"/>
          <w:lang w:val="zh-TW" w:eastAsia="zh-TW"/>
        </w:rPr>
        <w:t>附件八：投标供应商类似业绩情况表</w:t>
      </w:r>
    </w:p>
    <w:p w14:paraId="3A2D6DEA">
      <w:pPr>
        <w:pStyle w:val="190"/>
        <w:spacing w:line="360" w:lineRule="auto"/>
        <w:jc w:val="center"/>
        <w:rPr>
          <w:rFonts w:ascii="宋体" w:cs="宋体"/>
          <w:b/>
          <w:bCs/>
          <w:color w:val="auto"/>
          <w:sz w:val="24"/>
          <w:szCs w:val="24"/>
          <w:highlight w:val="none"/>
        </w:rPr>
      </w:pPr>
    </w:p>
    <w:p w14:paraId="639BDE55">
      <w:pPr>
        <w:widowControl w:val="0"/>
        <w:spacing w:line="360" w:lineRule="auto"/>
        <w:jc w:val="center"/>
        <w:rPr>
          <w:rFonts w:ascii="宋体" w:hAnsi="宋体" w:cs="宋体"/>
          <w:color w:val="auto"/>
          <w:highlight w:val="none"/>
          <w:lang w:val="zh-TW" w:eastAsia="zh-TW"/>
        </w:rPr>
      </w:pPr>
      <w:r>
        <w:rPr>
          <w:rFonts w:ascii="宋体" w:hAnsi="宋体" w:cs="宋体"/>
          <w:color w:val="auto"/>
          <w:highlight w:val="none"/>
          <w:lang w:val="zh-TW" w:eastAsia="zh-TW"/>
        </w:rPr>
        <w:t>投标人类似业绩情况表</w:t>
      </w:r>
    </w:p>
    <w:p w14:paraId="33499A77">
      <w:pPr>
        <w:widowControl w:val="0"/>
        <w:spacing w:before="100" w:beforeAutospacing="1" w:after="100" w:afterAutospacing="1"/>
        <w:ind w:firstLine="240"/>
        <w:rPr>
          <w:rFonts w:ascii="宋体" w:hAnsi="宋体" w:cs="宋体"/>
          <w:color w:val="auto"/>
          <w:highlight w:val="none"/>
          <w:lang w:val="zh-TW" w:eastAsia="zh-TW"/>
        </w:rPr>
      </w:pPr>
      <w:r>
        <w:rPr>
          <w:rFonts w:ascii="宋体" w:hAnsi="宋体" w:cs="宋体"/>
          <w:color w:val="auto"/>
          <w:highlight w:val="none"/>
          <w:lang w:val="zh-TW" w:eastAsia="zh-TW"/>
        </w:rPr>
        <w:t xml:space="preserve">项目名称：        </w:t>
      </w:r>
      <w:r>
        <w:rPr>
          <w:rFonts w:hint="eastAsia" w:ascii="宋体" w:hAnsi="宋体" w:cs="宋体"/>
          <w:color w:val="auto"/>
          <w:highlight w:val="none"/>
          <w:lang w:val="zh-TW" w:eastAsia="zh-TW"/>
        </w:rPr>
        <w:t xml:space="preserve">                                        </w:t>
      </w:r>
      <w:r>
        <w:rPr>
          <w:rFonts w:ascii="宋体" w:hAnsi="宋体" w:cs="宋体"/>
          <w:color w:val="auto"/>
          <w:highlight w:val="none"/>
          <w:lang w:val="zh-TW" w:eastAsia="zh-TW"/>
        </w:rPr>
        <w:t xml:space="preserve"> 项目编号：</w:t>
      </w:r>
    </w:p>
    <w:tbl>
      <w:tblPr>
        <w:tblStyle w:val="33"/>
        <w:tblW w:w="9470" w:type="dxa"/>
        <w:jc w:val="center"/>
        <w:tblLayout w:type="fixed"/>
        <w:tblCellMar>
          <w:top w:w="0" w:type="dxa"/>
          <w:left w:w="0" w:type="dxa"/>
          <w:bottom w:w="0" w:type="dxa"/>
          <w:right w:w="0" w:type="dxa"/>
        </w:tblCellMar>
      </w:tblPr>
      <w:tblGrid>
        <w:gridCol w:w="682"/>
        <w:gridCol w:w="1559"/>
        <w:gridCol w:w="1418"/>
        <w:gridCol w:w="992"/>
        <w:gridCol w:w="1034"/>
        <w:gridCol w:w="1517"/>
        <w:gridCol w:w="1134"/>
        <w:gridCol w:w="1134"/>
      </w:tblGrid>
      <w:tr w14:paraId="70AF85C0">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093F6273">
            <w:pPr>
              <w:spacing w:line="400" w:lineRule="atLeast"/>
              <w:jc w:val="center"/>
              <w:rPr>
                <w:rFonts w:ascii="宋体" w:hAnsi="宋体" w:cs="宋体"/>
                <w:color w:val="auto"/>
                <w:highlight w:val="none"/>
                <w:lang w:val="zh-TW" w:eastAsia="zh-TW"/>
              </w:rPr>
            </w:pPr>
            <w:r>
              <w:rPr>
                <w:rFonts w:ascii="宋体" w:hAnsi="宋体" w:cs="宋体"/>
                <w:color w:val="auto"/>
                <w:highlight w:val="none"/>
                <w:lang w:val="zh-TW" w:eastAsia="zh-TW"/>
              </w:rPr>
              <w:t>序号</w:t>
            </w:r>
          </w:p>
        </w:tc>
        <w:tc>
          <w:tcPr>
            <w:tcW w:w="1559" w:type="dxa"/>
            <w:tcBorders>
              <w:top w:val="single" w:color="000000" w:sz="4" w:space="0"/>
              <w:left w:val="nil"/>
              <w:bottom w:val="single" w:color="000000" w:sz="4" w:space="0"/>
              <w:right w:val="single" w:color="000000" w:sz="4" w:space="0"/>
            </w:tcBorders>
            <w:noWrap w:val="0"/>
            <w:vAlign w:val="center"/>
          </w:tcPr>
          <w:p w14:paraId="0C417929">
            <w:pPr>
              <w:spacing w:line="400" w:lineRule="atLeast"/>
              <w:jc w:val="center"/>
              <w:rPr>
                <w:rFonts w:ascii="宋体" w:hAnsi="宋体" w:cs="宋体"/>
                <w:color w:val="auto"/>
                <w:highlight w:val="none"/>
                <w:lang w:val="zh-TW" w:eastAsia="zh-TW"/>
              </w:rPr>
            </w:pPr>
            <w:r>
              <w:rPr>
                <w:rFonts w:ascii="宋体" w:hAnsi="宋体" w:cs="宋体"/>
                <w:color w:val="auto"/>
                <w:highlight w:val="none"/>
                <w:lang w:val="zh-TW" w:eastAsia="zh-TW"/>
              </w:rPr>
              <w:t>项目名称</w:t>
            </w:r>
          </w:p>
        </w:tc>
        <w:tc>
          <w:tcPr>
            <w:tcW w:w="1418" w:type="dxa"/>
            <w:tcBorders>
              <w:top w:val="single" w:color="000000" w:sz="4" w:space="0"/>
              <w:left w:val="nil"/>
              <w:bottom w:val="single" w:color="000000" w:sz="4" w:space="0"/>
              <w:right w:val="single" w:color="000000" w:sz="4" w:space="0"/>
            </w:tcBorders>
            <w:noWrap w:val="0"/>
            <w:vAlign w:val="center"/>
          </w:tcPr>
          <w:p w14:paraId="1BA6BE0E">
            <w:pPr>
              <w:spacing w:line="400" w:lineRule="atLeast"/>
              <w:jc w:val="center"/>
              <w:rPr>
                <w:rFonts w:ascii="宋体" w:hAnsi="宋体" w:cs="宋体"/>
                <w:color w:val="auto"/>
                <w:highlight w:val="none"/>
                <w:lang w:val="zh-TW" w:eastAsia="zh-TW"/>
              </w:rPr>
            </w:pPr>
            <w:r>
              <w:rPr>
                <w:rFonts w:ascii="宋体" w:hAnsi="宋体" w:cs="宋体"/>
                <w:color w:val="auto"/>
                <w:highlight w:val="none"/>
                <w:lang w:val="zh-TW" w:eastAsia="zh-TW"/>
              </w:rPr>
              <w:t>业主单位</w:t>
            </w:r>
          </w:p>
        </w:tc>
        <w:tc>
          <w:tcPr>
            <w:tcW w:w="992" w:type="dxa"/>
            <w:tcBorders>
              <w:top w:val="single" w:color="000000" w:sz="4" w:space="0"/>
              <w:left w:val="nil"/>
              <w:bottom w:val="single" w:color="000000" w:sz="4" w:space="0"/>
              <w:right w:val="single" w:color="000000" w:sz="4" w:space="0"/>
            </w:tcBorders>
            <w:noWrap w:val="0"/>
            <w:vAlign w:val="center"/>
          </w:tcPr>
          <w:p w14:paraId="5A6DC77D">
            <w:pPr>
              <w:spacing w:line="400" w:lineRule="atLeast"/>
              <w:jc w:val="center"/>
              <w:rPr>
                <w:rFonts w:ascii="宋体" w:hAnsi="宋体" w:cs="宋体"/>
                <w:color w:val="auto"/>
                <w:highlight w:val="none"/>
                <w:lang w:val="zh-TW" w:eastAsia="zh-TW"/>
              </w:rPr>
            </w:pPr>
            <w:r>
              <w:rPr>
                <w:rFonts w:hint="eastAsia" w:ascii="宋体" w:hAnsi="宋体" w:cs="宋体"/>
                <w:color w:val="auto"/>
                <w:highlight w:val="none"/>
                <w:lang w:val="zh-TW" w:eastAsia="zh-TW"/>
              </w:rPr>
              <w:t>合同</w:t>
            </w:r>
          </w:p>
          <w:p w14:paraId="09B529F1">
            <w:pPr>
              <w:spacing w:line="400" w:lineRule="atLeast"/>
              <w:jc w:val="center"/>
              <w:rPr>
                <w:rFonts w:ascii="宋体" w:hAnsi="宋体" w:cs="宋体"/>
                <w:color w:val="auto"/>
                <w:highlight w:val="none"/>
                <w:lang w:val="zh-TW" w:eastAsia="zh-TW"/>
              </w:rPr>
            </w:pPr>
            <w:r>
              <w:rPr>
                <w:rFonts w:hint="eastAsia" w:ascii="宋体" w:hAnsi="宋体" w:cs="宋体"/>
                <w:color w:val="auto"/>
                <w:highlight w:val="none"/>
                <w:lang w:val="zh-TW" w:eastAsia="zh-TW"/>
              </w:rPr>
              <w:t>金额</w:t>
            </w:r>
          </w:p>
        </w:tc>
        <w:tc>
          <w:tcPr>
            <w:tcW w:w="1034" w:type="dxa"/>
            <w:tcBorders>
              <w:top w:val="single" w:color="000000" w:sz="4" w:space="0"/>
              <w:left w:val="nil"/>
              <w:bottom w:val="single" w:color="000000" w:sz="4" w:space="0"/>
              <w:right w:val="single" w:color="000000" w:sz="4" w:space="0"/>
            </w:tcBorders>
            <w:noWrap w:val="0"/>
            <w:vAlign w:val="center"/>
          </w:tcPr>
          <w:p w14:paraId="4142823B">
            <w:pPr>
              <w:spacing w:line="400" w:lineRule="atLeast"/>
              <w:jc w:val="center"/>
              <w:rPr>
                <w:rFonts w:ascii="宋体" w:hAnsi="宋体" w:cs="宋体"/>
                <w:color w:val="auto"/>
                <w:highlight w:val="none"/>
                <w:lang w:val="zh-TW" w:eastAsia="zh-TW"/>
              </w:rPr>
            </w:pPr>
            <w:r>
              <w:rPr>
                <w:rFonts w:hint="eastAsia" w:ascii="宋体" w:hAnsi="宋体" w:cs="宋体"/>
                <w:color w:val="auto"/>
                <w:highlight w:val="none"/>
                <w:lang w:val="zh-TW" w:eastAsia="zh-TW"/>
              </w:rPr>
              <w:t>项目</w:t>
            </w:r>
          </w:p>
          <w:p w14:paraId="3E3E2838">
            <w:pPr>
              <w:spacing w:line="400" w:lineRule="atLeast"/>
              <w:jc w:val="center"/>
              <w:rPr>
                <w:rFonts w:ascii="宋体" w:hAnsi="宋体" w:cs="宋体"/>
                <w:color w:val="auto"/>
                <w:highlight w:val="none"/>
                <w:lang w:val="zh-TW" w:eastAsia="zh-TW"/>
              </w:rPr>
            </w:pPr>
            <w:r>
              <w:rPr>
                <w:rFonts w:ascii="宋体" w:hAnsi="宋体" w:cs="宋体"/>
                <w:color w:val="auto"/>
                <w:highlight w:val="none"/>
                <w:lang w:val="zh-TW" w:eastAsia="zh-TW"/>
              </w:rPr>
              <w:t>内容</w:t>
            </w:r>
          </w:p>
        </w:tc>
        <w:tc>
          <w:tcPr>
            <w:tcW w:w="1517" w:type="dxa"/>
            <w:tcBorders>
              <w:top w:val="single" w:color="000000" w:sz="4" w:space="0"/>
              <w:left w:val="nil"/>
              <w:bottom w:val="single" w:color="000000" w:sz="4" w:space="0"/>
              <w:right w:val="single" w:color="000000" w:sz="4" w:space="0"/>
            </w:tcBorders>
            <w:noWrap w:val="0"/>
            <w:vAlign w:val="top"/>
          </w:tcPr>
          <w:p w14:paraId="4CECAF9F">
            <w:pPr>
              <w:spacing w:line="400" w:lineRule="atLeast"/>
              <w:jc w:val="center"/>
              <w:rPr>
                <w:rFonts w:ascii="宋体" w:hAnsi="宋体" w:cs="宋体"/>
                <w:color w:val="auto"/>
                <w:highlight w:val="none"/>
                <w:lang w:val="zh-TW" w:eastAsia="zh-TW"/>
              </w:rPr>
            </w:pPr>
            <w:r>
              <w:rPr>
                <w:rFonts w:ascii="宋体" w:hAnsi="宋体" w:cs="宋体"/>
                <w:color w:val="auto"/>
                <w:highlight w:val="none"/>
                <w:lang w:val="zh-TW" w:eastAsia="zh-TW"/>
              </w:rPr>
              <w:t>签约及服务</w:t>
            </w:r>
          </w:p>
          <w:p w14:paraId="03CB0D15">
            <w:pPr>
              <w:spacing w:line="400" w:lineRule="atLeast"/>
              <w:jc w:val="center"/>
              <w:rPr>
                <w:rFonts w:ascii="宋体" w:hAnsi="宋体" w:cs="宋体"/>
                <w:color w:val="auto"/>
                <w:highlight w:val="none"/>
                <w:lang w:val="zh-TW" w:eastAsia="zh-TW"/>
              </w:rPr>
            </w:pPr>
            <w:r>
              <w:rPr>
                <w:rFonts w:ascii="宋体" w:hAnsi="宋体" w:cs="宋体"/>
                <w:color w:val="auto"/>
                <w:highlight w:val="none"/>
                <w:lang w:val="zh-TW" w:eastAsia="zh-TW"/>
              </w:rPr>
              <w:t>时间</w:t>
            </w:r>
          </w:p>
        </w:tc>
        <w:tc>
          <w:tcPr>
            <w:tcW w:w="1134" w:type="dxa"/>
            <w:tcBorders>
              <w:top w:val="single" w:color="000000" w:sz="4" w:space="0"/>
              <w:left w:val="nil"/>
              <w:bottom w:val="single" w:color="000000" w:sz="4" w:space="0"/>
              <w:right w:val="single" w:color="000000" w:sz="4" w:space="0"/>
            </w:tcBorders>
            <w:noWrap w:val="0"/>
            <w:vAlign w:val="top"/>
          </w:tcPr>
          <w:p w14:paraId="194AD516">
            <w:pPr>
              <w:spacing w:line="400" w:lineRule="atLeast"/>
              <w:jc w:val="center"/>
              <w:rPr>
                <w:rFonts w:ascii="宋体" w:hAnsi="宋体" w:cs="宋体"/>
                <w:color w:val="auto"/>
                <w:highlight w:val="none"/>
                <w:lang w:val="zh-TW" w:eastAsia="zh-TW"/>
              </w:rPr>
            </w:pPr>
            <w:r>
              <w:rPr>
                <w:rFonts w:ascii="宋体" w:hAnsi="宋体" w:cs="宋体"/>
                <w:color w:val="auto"/>
                <w:highlight w:val="none"/>
                <w:lang w:val="zh-TW" w:eastAsia="zh-TW"/>
              </w:rPr>
              <w:t>联系人及电话</w:t>
            </w:r>
          </w:p>
        </w:tc>
        <w:tc>
          <w:tcPr>
            <w:tcW w:w="1134" w:type="dxa"/>
            <w:tcBorders>
              <w:top w:val="single" w:color="000000" w:sz="4" w:space="0"/>
              <w:left w:val="nil"/>
              <w:bottom w:val="single" w:color="000000" w:sz="4" w:space="0"/>
              <w:right w:val="single" w:color="000000" w:sz="4" w:space="0"/>
            </w:tcBorders>
            <w:noWrap w:val="0"/>
            <w:vAlign w:val="top"/>
          </w:tcPr>
          <w:p w14:paraId="1A22B8D8">
            <w:pPr>
              <w:spacing w:line="400" w:lineRule="atLeast"/>
              <w:jc w:val="center"/>
              <w:rPr>
                <w:rFonts w:ascii="宋体" w:hAnsi="宋体" w:cs="宋体"/>
                <w:color w:val="auto"/>
                <w:highlight w:val="none"/>
                <w:lang w:val="zh-TW" w:eastAsia="zh-TW"/>
              </w:rPr>
            </w:pPr>
            <w:r>
              <w:rPr>
                <w:rFonts w:ascii="宋体" w:hAnsi="宋体" w:cs="宋体"/>
                <w:color w:val="auto"/>
                <w:highlight w:val="none"/>
                <w:lang w:val="zh-TW" w:eastAsia="zh-TW"/>
              </w:rPr>
              <w:t>备注</w:t>
            </w:r>
          </w:p>
        </w:tc>
      </w:tr>
      <w:tr w14:paraId="0A81A2C7">
        <w:tblPrEx>
          <w:tblCellMar>
            <w:top w:w="0" w:type="dxa"/>
            <w:left w:w="0" w:type="dxa"/>
            <w:bottom w:w="0" w:type="dxa"/>
            <w:right w:w="0"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0C8EB523">
            <w:pPr>
              <w:spacing w:line="400" w:lineRule="atLeast"/>
              <w:jc w:val="center"/>
              <w:rPr>
                <w:rFonts w:ascii="宋体" w:hAnsi="宋体" w:cs="宋体"/>
                <w:color w:val="auto"/>
                <w:highlight w:val="none"/>
                <w:lang w:val="zh-TW" w:eastAsia="zh-TW"/>
              </w:rPr>
            </w:pPr>
          </w:p>
        </w:tc>
        <w:tc>
          <w:tcPr>
            <w:tcW w:w="1559" w:type="dxa"/>
            <w:tcBorders>
              <w:top w:val="single" w:color="000000" w:sz="4" w:space="0"/>
              <w:left w:val="nil"/>
              <w:bottom w:val="single" w:color="000000" w:sz="4" w:space="0"/>
              <w:right w:val="single" w:color="000000" w:sz="4" w:space="0"/>
            </w:tcBorders>
            <w:noWrap w:val="0"/>
            <w:vAlign w:val="top"/>
          </w:tcPr>
          <w:p w14:paraId="3E33F382">
            <w:pPr>
              <w:spacing w:line="400" w:lineRule="atLeast"/>
              <w:jc w:val="center"/>
              <w:rPr>
                <w:rFonts w:ascii="宋体" w:hAnsi="宋体" w:cs="宋体"/>
                <w:color w:val="auto"/>
                <w:highlight w:val="none"/>
                <w:lang w:val="zh-TW" w:eastAsia="zh-TW"/>
              </w:rPr>
            </w:pPr>
          </w:p>
        </w:tc>
        <w:tc>
          <w:tcPr>
            <w:tcW w:w="1418" w:type="dxa"/>
            <w:tcBorders>
              <w:top w:val="single" w:color="000000" w:sz="4" w:space="0"/>
              <w:left w:val="nil"/>
              <w:bottom w:val="single" w:color="000000" w:sz="4" w:space="0"/>
              <w:right w:val="single" w:color="000000" w:sz="4" w:space="0"/>
            </w:tcBorders>
            <w:noWrap w:val="0"/>
            <w:vAlign w:val="top"/>
          </w:tcPr>
          <w:p w14:paraId="3F6B8F22">
            <w:pPr>
              <w:spacing w:line="400" w:lineRule="atLeast"/>
              <w:ind w:firstLine="120"/>
              <w:jc w:val="both"/>
              <w:rPr>
                <w:rFonts w:ascii="宋体" w:hAnsi="宋体" w:cs="宋体"/>
                <w:color w:val="auto"/>
                <w:highlight w:val="none"/>
                <w:lang w:val="zh-TW" w:eastAsia="zh-TW"/>
              </w:rPr>
            </w:pPr>
          </w:p>
        </w:tc>
        <w:tc>
          <w:tcPr>
            <w:tcW w:w="992" w:type="dxa"/>
            <w:tcBorders>
              <w:top w:val="single" w:color="000000" w:sz="4" w:space="0"/>
              <w:left w:val="nil"/>
              <w:bottom w:val="single" w:color="000000" w:sz="4" w:space="0"/>
              <w:right w:val="single" w:color="000000" w:sz="4" w:space="0"/>
            </w:tcBorders>
            <w:noWrap w:val="0"/>
            <w:vAlign w:val="top"/>
          </w:tcPr>
          <w:p w14:paraId="18CB2AB4">
            <w:pPr>
              <w:spacing w:line="400" w:lineRule="atLeast"/>
              <w:jc w:val="center"/>
              <w:rPr>
                <w:rFonts w:ascii="宋体" w:hAnsi="宋体" w:cs="宋体"/>
                <w:color w:val="auto"/>
                <w:highlight w:val="none"/>
                <w:lang w:val="zh-TW" w:eastAsia="zh-TW"/>
              </w:rPr>
            </w:pPr>
          </w:p>
        </w:tc>
        <w:tc>
          <w:tcPr>
            <w:tcW w:w="1034" w:type="dxa"/>
            <w:tcBorders>
              <w:top w:val="single" w:color="000000" w:sz="4" w:space="0"/>
              <w:left w:val="nil"/>
              <w:bottom w:val="single" w:color="000000" w:sz="4" w:space="0"/>
              <w:right w:val="single" w:color="000000" w:sz="4" w:space="0"/>
            </w:tcBorders>
            <w:noWrap w:val="0"/>
            <w:vAlign w:val="top"/>
          </w:tcPr>
          <w:p w14:paraId="4E4C6378">
            <w:pPr>
              <w:spacing w:line="400" w:lineRule="atLeast"/>
              <w:jc w:val="center"/>
              <w:rPr>
                <w:rFonts w:ascii="宋体" w:hAnsi="宋体" w:cs="宋体"/>
                <w:color w:val="auto"/>
                <w:highlight w:val="none"/>
                <w:lang w:val="zh-TW" w:eastAsia="zh-TW"/>
              </w:rPr>
            </w:pPr>
          </w:p>
        </w:tc>
        <w:tc>
          <w:tcPr>
            <w:tcW w:w="1517" w:type="dxa"/>
            <w:tcBorders>
              <w:top w:val="single" w:color="000000" w:sz="4" w:space="0"/>
              <w:left w:val="nil"/>
              <w:bottom w:val="single" w:color="000000" w:sz="4" w:space="0"/>
              <w:right w:val="single" w:color="000000" w:sz="4" w:space="0"/>
            </w:tcBorders>
            <w:noWrap w:val="0"/>
            <w:vAlign w:val="top"/>
          </w:tcPr>
          <w:p w14:paraId="6A8F0315">
            <w:pPr>
              <w:spacing w:line="400" w:lineRule="atLeast"/>
              <w:jc w:val="center"/>
              <w:rPr>
                <w:rFonts w:ascii="宋体" w:hAnsi="宋体" w:cs="宋体"/>
                <w:color w:val="auto"/>
                <w:highlight w:val="none"/>
                <w:lang w:val="zh-TW" w:eastAsia="zh-TW"/>
              </w:rPr>
            </w:pPr>
          </w:p>
        </w:tc>
        <w:tc>
          <w:tcPr>
            <w:tcW w:w="1134" w:type="dxa"/>
            <w:tcBorders>
              <w:top w:val="single" w:color="000000" w:sz="4" w:space="0"/>
              <w:left w:val="nil"/>
              <w:bottom w:val="single" w:color="000000" w:sz="4" w:space="0"/>
              <w:right w:val="single" w:color="000000" w:sz="4" w:space="0"/>
            </w:tcBorders>
            <w:noWrap w:val="0"/>
            <w:vAlign w:val="top"/>
          </w:tcPr>
          <w:p w14:paraId="23E1D5E3">
            <w:pPr>
              <w:spacing w:line="400" w:lineRule="atLeast"/>
              <w:jc w:val="center"/>
              <w:rPr>
                <w:rFonts w:ascii="宋体" w:hAnsi="宋体" w:cs="宋体"/>
                <w:color w:val="auto"/>
                <w:highlight w:val="none"/>
                <w:lang w:val="zh-TW" w:eastAsia="zh-TW"/>
              </w:rPr>
            </w:pPr>
          </w:p>
        </w:tc>
        <w:tc>
          <w:tcPr>
            <w:tcW w:w="1134" w:type="dxa"/>
            <w:tcBorders>
              <w:top w:val="single" w:color="000000" w:sz="4" w:space="0"/>
              <w:left w:val="nil"/>
              <w:bottom w:val="single" w:color="000000" w:sz="4" w:space="0"/>
              <w:right w:val="single" w:color="000000" w:sz="4" w:space="0"/>
            </w:tcBorders>
            <w:noWrap w:val="0"/>
            <w:vAlign w:val="top"/>
          </w:tcPr>
          <w:p w14:paraId="26D41686">
            <w:pPr>
              <w:spacing w:line="400" w:lineRule="atLeast"/>
              <w:jc w:val="center"/>
              <w:rPr>
                <w:rFonts w:ascii="宋体" w:hAnsi="宋体" w:cs="宋体"/>
                <w:color w:val="auto"/>
                <w:highlight w:val="none"/>
                <w:lang w:val="zh-TW" w:eastAsia="zh-TW"/>
              </w:rPr>
            </w:pPr>
          </w:p>
        </w:tc>
      </w:tr>
      <w:tr w14:paraId="141D8124">
        <w:tblPrEx>
          <w:tblCellMar>
            <w:top w:w="0" w:type="dxa"/>
            <w:left w:w="0" w:type="dxa"/>
            <w:bottom w:w="0" w:type="dxa"/>
            <w:right w:w="0"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17AD7598">
            <w:pPr>
              <w:spacing w:line="400" w:lineRule="atLeast"/>
              <w:jc w:val="center"/>
              <w:rPr>
                <w:rFonts w:ascii="宋体" w:hAnsi="宋体" w:cs="宋体"/>
                <w:color w:val="auto"/>
                <w:highlight w:val="none"/>
                <w:lang w:val="zh-TW" w:eastAsia="zh-TW"/>
              </w:rPr>
            </w:pPr>
          </w:p>
        </w:tc>
        <w:tc>
          <w:tcPr>
            <w:tcW w:w="1559" w:type="dxa"/>
            <w:tcBorders>
              <w:top w:val="single" w:color="000000" w:sz="4" w:space="0"/>
              <w:left w:val="nil"/>
              <w:bottom w:val="single" w:color="000000" w:sz="4" w:space="0"/>
              <w:right w:val="single" w:color="000000" w:sz="4" w:space="0"/>
            </w:tcBorders>
            <w:noWrap w:val="0"/>
            <w:vAlign w:val="top"/>
          </w:tcPr>
          <w:p w14:paraId="28343488">
            <w:pPr>
              <w:spacing w:line="400" w:lineRule="atLeast"/>
              <w:jc w:val="center"/>
              <w:rPr>
                <w:rFonts w:ascii="宋体" w:hAnsi="宋体" w:cs="宋体"/>
                <w:color w:val="auto"/>
                <w:highlight w:val="none"/>
                <w:lang w:val="zh-TW" w:eastAsia="zh-TW"/>
              </w:rPr>
            </w:pPr>
          </w:p>
        </w:tc>
        <w:tc>
          <w:tcPr>
            <w:tcW w:w="1418" w:type="dxa"/>
            <w:tcBorders>
              <w:top w:val="single" w:color="000000" w:sz="4" w:space="0"/>
              <w:left w:val="nil"/>
              <w:bottom w:val="single" w:color="000000" w:sz="4" w:space="0"/>
              <w:right w:val="single" w:color="000000" w:sz="4" w:space="0"/>
            </w:tcBorders>
            <w:noWrap w:val="0"/>
            <w:vAlign w:val="top"/>
          </w:tcPr>
          <w:p w14:paraId="193756F2">
            <w:pPr>
              <w:spacing w:line="400" w:lineRule="atLeast"/>
              <w:jc w:val="center"/>
              <w:rPr>
                <w:rFonts w:ascii="宋体" w:hAnsi="宋体" w:cs="宋体"/>
                <w:color w:val="auto"/>
                <w:highlight w:val="none"/>
                <w:lang w:val="zh-TW" w:eastAsia="zh-TW"/>
              </w:rPr>
            </w:pPr>
          </w:p>
        </w:tc>
        <w:tc>
          <w:tcPr>
            <w:tcW w:w="992" w:type="dxa"/>
            <w:tcBorders>
              <w:top w:val="single" w:color="000000" w:sz="4" w:space="0"/>
              <w:left w:val="nil"/>
              <w:bottom w:val="single" w:color="000000" w:sz="4" w:space="0"/>
              <w:right w:val="single" w:color="000000" w:sz="4" w:space="0"/>
            </w:tcBorders>
            <w:noWrap w:val="0"/>
            <w:vAlign w:val="top"/>
          </w:tcPr>
          <w:p w14:paraId="27DEAE98">
            <w:pPr>
              <w:spacing w:line="400" w:lineRule="atLeast"/>
              <w:jc w:val="center"/>
              <w:rPr>
                <w:rFonts w:ascii="宋体" w:hAnsi="宋体" w:cs="宋体"/>
                <w:color w:val="auto"/>
                <w:highlight w:val="none"/>
                <w:lang w:val="zh-TW" w:eastAsia="zh-TW"/>
              </w:rPr>
            </w:pPr>
          </w:p>
        </w:tc>
        <w:tc>
          <w:tcPr>
            <w:tcW w:w="1034" w:type="dxa"/>
            <w:tcBorders>
              <w:top w:val="single" w:color="000000" w:sz="4" w:space="0"/>
              <w:left w:val="nil"/>
              <w:bottom w:val="single" w:color="000000" w:sz="4" w:space="0"/>
              <w:right w:val="single" w:color="000000" w:sz="4" w:space="0"/>
            </w:tcBorders>
            <w:noWrap w:val="0"/>
            <w:vAlign w:val="top"/>
          </w:tcPr>
          <w:p w14:paraId="6BC7DFE1">
            <w:pPr>
              <w:spacing w:line="400" w:lineRule="atLeast"/>
              <w:jc w:val="center"/>
              <w:rPr>
                <w:rFonts w:ascii="宋体" w:hAnsi="宋体" w:cs="宋体"/>
                <w:color w:val="auto"/>
                <w:highlight w:val="none"/>
                <w:lang w:val="zh-TW" w:eastAsia="zh-TW"/>
              </w:rPr>
            </w:pPr>
          </w:p>
        </w:tc>
        <w:tc>
          <w:tcPr>
            <w:tcW w:w="1517" w:type="dxa"/>
            <w:tcBorders>
              <w:top w:val="single" w:color="000000" w:sz="4" w:space="0"/>
              <w:left w:val="nil"/>
              <w:bottom w:val="single" w:color="000000" w:sz="4" w:space="0"/>
              <w:right w:val="single" w:color="000000" w:sz="4" w:space="0"/>
            </w:tcBorders>
            <w:noWrap w:val="0"/>
            <w:vAlign w:val="top"/>
          </w:tcPr>
          <w:p w14:paraId="75336C5A">
            <w:pPr>
              <w:spacing w:line="400" w:lineRule="atLeast"/>
              <w:jc w:val="center"/>
              <w:rPr>
                <w:rFonts w:ascii="宋体" w:hAnsi="宋体" w:cs="宋体"/>
                <w:color w:val="auto"/>
                <w:highlight w:val="none"/>
                <w:lang w:val="zh-TW" w:eastAsia="zh-TW"/>
              </w:rPr>
            </w:pPr>
          </w:p>
        </w:tc>
        <w:tc>
          <w:tcPr>
            <w:tcW w:w="1134" w:type="dxa"/>
            <w:tcBorders>
              <w:top w:val="single" w:color="000000" w:sz="4" w:space="0"/>
              <w:left w:val="nil"/>
              <w:bottom w:val="single" w:color="000000" w:sz="4" w:space="0"/>
              <w:right w:val="single" w:color="000000" w:sz="4" w:space="0"/>
            </w:tcBorders>
            <w:noWrap w:val="0"/>
            <w:vAlign w:val="top"/>
          </w:tcPr>
          <w:p w14:paraId="51C5216C">
            <w:pPr>
              <w:spacing w:line="400" w:lineRule="atLeast"/>
              <w:jc w:val="center"/>
              <w:rPr>
                <w:rFonts w:ascii="宋体" w:hAnsi="宋体" w:cs="宋体"/>
                <w:color w:val="auto"/>
                <w:highlight w:val="none"/>
                <w:lang w:val="zh-TW" w:eastAsia="zh-TW"/>
              </w:rPr>
            </w:pPr>
          </w:p>
        </w:tc>
        <w:tc>
          <w:tcPr>
            <w:tcW w:w="1134" w:type="dxa"/>
            <w:tcBorders>
              <w:top w:val="single" w:color="000000" w:sz="4" w:space="0"/>
              <w:left w:val="nil"/>
              <w:bottom w:val="single" w:color="000000" w:sz="4" w:space="0"/>
              <w:right w:val="single" w:color="000000" w:sz="4" w:space="0"/>
            </w:tcBorders>
            <w:noWrap w:val="0"/>
            <w:vAlign w:val="top"/>
          </w:tcPr>
          <w:p w14:paraId="199C0212">
            <w:pPr>
              <w:spacing w:line="400" w:lineRule="atLeast"/>
              <w:jc w:val="center"/>
              <w:rPr>
                <w:rFonts w:ascii="宋体" w:hAnsi="宋体" w:cs="宋体"/>
                <w:color w:val="auto"/>
                <w:highlight w:val="none"/>
                <w:lang w:val="zh-TW" w:eastAsia="zh-TW"/>
              </w:rPr>
            </w:pPr>
          </w:p>
        </w:tc>
      </w:tr>
      <w:tr w14:paraId="6499BAE0">
        <w:tblPrEx>
          <w:tblCellMar>
            <w:top w:w="0" w:type="dxa"/>
            <w:left w:w="0" w:type="dxa"/>
            <w:bottom w:w="0" w:type="dxa"/>
            <w:right w:w="0"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174740F0">
            <w:pPr>
              <w:spacing w:line="400" w:lineRule="atLeast"/>
              <w:jc w:val="center"/>
              <w:rPr>
                <w:rFonts w:ascii="宋体" w:hAnsi="宋体" w:cs="宋体"/>
                <w:color w:val="auto"/>
                <w:highlight w:val="none"/>
                <w:lang w:val="zh-TW" w:eastAsia="zh-TW"/>
              </w:rPr>
            </w:pPr>
          </w:p>
        </w:tc>
        <w:tc>
          <w:tcPr>
            <w:tcW w:w="1559" w:type="dxa"/>
            <w:tcBorders>
              <w:top w:val="single" w:color="000000" w:sz="4" w:space="0"/>
              <w:left w:val="nil"/>
              <w:bottom w:val="single" w:color="000000" w:sz="4" w:space="0"/>
              <w:right w:val="single" w:color="000000" w:sz="4" w:space="0"/>
            </w:tcBorders>
            <w:noWrap w:val="0"/>
            <w:vAlign w:val="top"/>
          </w:tcPr>
          <w:p w14:paraId="3CE87852">
            <w:pPr>
              <w:spacing w:line="400" w:lineRule="atLeast"/>
              <w:jc w:val="center"/>
              <w:rPr>
                <w:rFonts w:ascii="宋体" w:hAnsi="宋体" w:cs="宋体"/>
                <w:color w:val="auto"/>
                <w:highlight w:val="none"/>
                <w:lang w:val="zh-TW" w:eastAsia="zh-TW"/>
              </w:rPr>
            </w:pPr>
          </w:p>
        </w:tc>
        <w:tc>
          <w:tcPr>
            <w:tcW w:w="1418" w:type="dxa"/>
            <w:tcBorders>
              <w:top w:val="single" w:color="000000" w:sz="4" w:space="0"/>
              <w:left w:val="nil"/>
              <w:bottom w:val="single" w:color="000000" w:sz="4" w:space="0"/>
              <w:right w:val="single" w:color="000000" w:sz="4" w:space="0"/>
            </w:tcBorders>
            <w:noWrap w:val="0"/>
            <w:vAlign w:val="top"/>
          </w:tcPr>
          <w:p w14:paraId="70CA00A0">
            <w:pPr>
              <w:spacing w:line="400" w:lineRule="atLeast"/>
              <w:jc w:val="center"/>
              <w:rPr>
                <w:rFonts w:ascii="宋体" w:hAnsi="宋体" w:cs="宋体"/>
                <w:color w:val="auto"/>
                <w:highlight w:val="none"/>
                <w:lang w:val="zh-TW" w:eastAsia="zh-TW"/>
              </w:rPr>
            </w:pPr>
          </w:p>
        </w:tc>
        <w:tc>
          <w:tcPr>
            <w:tcW w:w="992" w:type="dxa"/>
            <w:tcBorders>
              <w:top w:val="single" w:color="000000" w:sz="4" w:space="0"/>
              <w:left w:val="nil"/>
              <w:bottom w:val="single" w:color="000000" w:sz="4" w:space="0"/>
              <w:right w:val="single" w:color="000000" w:sz="4" w:space="0"/>
            </w:tcBorders>
            <w:noWrap w:val="0"/>
            <w:vAlign w:val="top"/>
          </w:tcPr>
          <w:p w14:paraId="3DD3C4ED">
            <w:pPr>
              <w:spacing w:line="400" w:lineRule="atLeast"/>
              <w:jc w:val="center"/>
              <w:rPr>
                <w:rFonts w:ascii="宋体" w:hAnsi="宋体" w:cs="宋体"/>
                <w:color w:val="auto"/>
                <w:highlight w:val="none"/>
                <w:lang w:val="zh-TW" w:eastAsia="zh-TW"/>
              </w:rPr>
            </w:pPr>
          </w:p>
        </w:tc>
        <w:tc>
          <w:tcPr>
            <w:tcW w:w="1034" w:type="dxa"/>
            <w:tcBorders>
              <w:top w:val="single" w:color="000000" w:sz="4" w:space="0"/>
              <w:left w:val="nil"/>
              <w:bottom w:val="single" w:color="000000" w:sz="4" w:space="0"/>
              <w:right w:val="single" w:color="000000" w:sz="4" w:space="0"/>
            </w:tcBorders>
            <w:noWrap w:val="0"/>
            <w:vAlign w:val="top"/>
          </w:tcPr>
          <w:p w14:paraId="10765C6B">
            <w:pPr>
              <w:spacing w:line="400" w:lineRule="atLeast"/>
              <w:jc w:val="center"/>
              <w:rPr>
                <w:rFonts w:ascii="宋体" w:hAnsi="宋体" w:cs="宋体"/>
                <w:color w:val="auto"/>
                <w:highlight w:val="none"/>
                <w:lang w:val="zh-TW" w:eastAsia="zh-TW"/>
              </w:rPr>
            </w:pPr>
          </w:p>
        </w:tc>
        <w:tc>
          <w:tcPr>
            <w:tcW w:w="1517" w:type="dxa"/>
            <w:tcBorders>
              <w:top w:val="single" w:color="000000" w:sz="4" w:space="0"/>
              <w:left w:val="nil"/>
              <w:bottom w:val="single" w:color="000000" w:sz="4" w:space="0"/>
              <w:right w:val="single" w:color="000000" w:sz="4" w:space="0"/>
            </w:tcBorders>
            <w:noWrap w:val="0"/>
            <w:vAlign w:val="top"/>
          </w:tcPr>
          <w:p w14:paraId="5FF68CD0">
            <w:pPr>
              <w:spacing w:line="400" w:lineRule="atLeast"/>
              <w:jc w:val="center"/>
              <w:rPr>
                <w:rFonts w:ascii="宋体" w:hAnsi="宋体" w:cs="宋体"/>
                <w:color w:val="auto"/>
                <w:highlight w:val="none"/>
                <w:lang w:val="zh-TW" w:eastAsia="zh-TW"/>
              </w:rPr>
            </w:pPr>
          </w:p>
        </w:tc>
        <w:tc>
          <w:tcPr>
            <w:tcW w:w="1134" w:type="dxa"/>
            <w:tcBorders>
              <w:top w:val="single" w:color="000000" w:sz="4" w:space="0"/>
              <w:left w:val="nil"/>
              <w:bottom w:val="single" w:color="000000" w:sz="4" w:space="0"/>
              <w:right w:val="single" w:color="000000" w:sz="4" w:space="0"/>
            </w:tcBorders>
            <w:noWrap w:val="0"/>
            <w:vAlign w:val="top"/>
          </w:tcPr>
          <w:p w14:paraId="53FCC441">
            <w:pPr>
              <w:spacing w:line="400" w:lineRule="atLeast"/>
              <w:jc w:val="center"/>
              <w:rPr>
                <w:rFonts w:ascii="宋体" w:hAnsi="宋体" w:cs="宋体"/>
                <w:color w:val="auto"/>
                <w:highlight w:val="none"/>
                <w:lang w:val="zh-TW" w:eastAsia="zh-TW"/>
              </w:rPr>
            </w:pPr>
          </w:p>
        </w:tc>
        <w:tc>
          <w:tcPr>
            <w:tcW w:w="1134" w:type="dxa"/>
            <w:tcBorders>
              <w:top w:val="single" w:color="000000" w:sz="4" w:space="0"/>
              <w:left w:val="nil"/>
              <w:bottom w:val="single" w:color="000000" w:sz="4" w:space="0"/>
              <w:right w:val="single" w:color="000000" w:sz="4" w:space="0"/>
            </w:tcBorders>
            <w:noWrap w:val="0"/>
            <w:vAlign w:val="top"/>
          </w:tcPr>
          <w:p w14:paraId="265B9B17">
            <w:pPr>
              <w:spacing w:line="400" w:lineRule="atLeast"/>
              <w:jc w:val="center"/>
              <w:rPr>
                <w:rFonts w:ascii="宋体" w:hAnsi="宋体" w:cs="宋体"/>
                <w:color w:val="auto"/>
                <w:highlight w:val="none"/>
                <w:lang w:val="zh-TW" w:eastAsia="zh-TW"/>
              </w:rPr>
            </w:pPr>
          </w:p>
        </w:tc>
      </w:tr>
      <w:tr w14:paraId="3A03F7C4">
        <w:tblPrEx>
          <w:tblCellMar>
            <w:top w:w="0" w:type="dxa"/>
            <w:left w:w="0" w:type="dxa"/>
            <w:bottom w:w="0" w:type="dxa"/>
            <w:right w:w="0"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0F4F8D6C">
            <w:pPr>
              <w:spacing w:line="400" w:lineRule="atLeast"/>
              <w:jc w:val="center"/>
              <w:rPr>
                <w:rFonts w:ascii="宋体" w:hAnsi="宋体" w:cs="宋体"/>
                <w:color w:val="auto"/>
                <w:highlight w:val="none"/>
                <w:lang w:val="zh-TW" w:eastAsia="zh-TW"/>
              </w:rPr>
            </w:pPr>
          </w:p>
        </w:tc>
        <w:tc>
          <w:tcPr>
            <w:tcW w:w="1559" w:type="dxa"/>
            <w:tcBorders>
              <w:top w:val="single" w:color="000000" w:sz="4" w:space="0"/>
              <w:left w:val="nil"/>
              <w:bottom w:val="single" w:color="000000" w:sz="4" w:space="0"/>
              <w:right w:val="single" w:color="000000" w:sz="4" w:space="0"/>
            </w:tcBorders>
            <w:noWrap w:val="0"/>
            <w:vAlign w:val="top"/>
          </w:tcPr>
          <w:p w14:paraId="1B9BF663">
            <w:pPr>
              <w:spacing w:line="400" w:lineRule="atLeast"/>
              <w:jc w:val="center"/>
              <w:rPr>
                <w:rFonts w:ascii="宋体" w:hAnsi="宋体" w:cs="宋体"/>
                <w:color w:val="auto"/>
                <w:highlight w:val="none"/>
                <w:lang w:val="zh-TW" w:eastAsia="zh-TW"/>
              </w:rPr>
            </w:pPr>
          </w:p>
        </w:tc>
        <w:tc>
          <w:tcPr>
            <w:tcW w:w="1418" w:type="dxa"/>
            <w:tcBorders>
              <w:top w:val="single" w:color="000000" w:sz="4" w:space="0"/>
              <w:left w:val="nil"/>
              <w:bottom w:val="single" w:color="000000" w:sz="4" w:space="0"/>
              <w:right w:val="single" w:color="000000" w:sz="4" w:space="0"/>
            </w:tcBorders>
            <w:noWrap w:val="0"/>
            <w:vAlign w:val="top"/>
          </w:tcPr>
          <w:p w14:paraId="04896221">
            <w:pPr>
              <w:spacing w:line="400" w:lineRule="atLeast"/>
              <w:jc w:val="center"/>
              <w:rPr>
                <w:rFonts w:ascii="宋体" w:hAnsi="宋体" w:cs="宋体"/>
                <w:color w:val="auto"/>
                <w:highlight w:val="none"/>
                <w:lang w:val="zh-TW" w:eastAsia="zh-TW"/>
              </w:rPr>
            </w:pPr>
          </w:p>
        </w:tc>
        <w:tc>
          <w:tcPr>
            <w:tcW w:w="992" w:type="dxa"/>
            <w:tcBorders>
              <w:top w:val="single" w:color="000000" w:sz="4" w:space="0"/>
              <w:left w:val="nil"/>
              <w:bottom w:val="single" w:color="000000" w:sz="4" w:space="0"/>
              <w:right w:val="single" w:color="000000" w:sz="4" w:space="0"/>
            </w:tcBorders>
            <w:noWrap w:val="0"/>
            <w:vAlign w:val="top"/>
          </w:tcPr>
          <w:p w14:paraId="145961B7">
            <w:pPr>
              <w:spacing w:line="400" w:lineRule="atLeast"/>
              <w:jc w:val="center"/>
              <w:rPr>
                <w:rFonts w:ascii="宋体" w:hAnsi="宋体" w:cs="宋体"/>
                <w:color w:val="auto"/>
                <w:highlight w:val="none"/>
                <w:lang w:val="zh-TW" w:eastAsia="zh-TW"/>
              </w:rPr>
            </w:pPr>
          </w:p>
        </w:tc>
        <w:tc>
          <w:tcPr>
            <w:tcW w:w="1034" w:type="dxa"/>
            <w:tcBorders>
              <w:top w:val="single" w:color="000000" w:sz="4" w:space="0"/>
              <w:left w:val="nil"/>
              <w:bottom w:val="single" w:color="000000" w:sz="4" w:space="0"/>
              <w:right w:val="single" w:color="000000" w:sz="4" w:space="0"/>
            </w:tcBorders>
            <w:noWrap w:val="0"/>
            <w:vAlign w:val="top"/>
          </w:tcPr>
          <w:p w14:paraId="0C740A31">
            <w:pPr>
              <w:spacing w:line="400" w:lineRule="atLeast"/>
              <w:jc w:val="center"/>
              <w:rPr>
                <w:rFonts w:ascii="宋体" w:hAnsi="宋体" w:cs="宋体"/>
                <w:color w:val="auto"/>
                <w:highlight w:val="none"/>
                <w:lang w:val="zh-TW" w:eastAsia="zh-TW"/>
              </w:rPr>
            </w:pPr>
          </w:p>
        </w:tc>
        <w:tc>
          <w:tcPr>
            <w:tcW w:w="1517" w:type="dxa"/>
            <w:tcBorders>
              <w:top w:val="single" w:color="000000" w:sz="4" w:space="0"/>
              <w:left w:val="nil"/>
              <w:bottom w:val="single" w:color="000000" w:sz="4" w:space="0"/>
              <w:right w:val="single" w:color="000000" w:sz="4" w:space="0"/>
            </w:tcBorders>
            <w:noWrap w:val="0"/>
            <w:vAlign w:val="top"/>
          </w:tcPr>
          <w:p w14:paraId="15AC5316">
            <w:pPr>
              <w:spacing w:line="400" w:lineRule="atLeast"/>
              <w:jc w:val="center"/>
              <w:rPr>
                <w:rFonts w:ascii="宋体" w:hAnsi="宋体" w:cs="宋体"/>
                <w:color w:val="auto"/>
                <w:highlight w:val="none"/>
                <w:lang w:val="zh-TW" w:eastAsia="zh-TW"/>
              </w:rPr>
            </w:pPr>
          </w:p>
        </w:tc>
        <w:tc>
          <w:tcPr>
            <w:tcW w:w="1134" w:type="dxa"/>
            <w:tcBorders>
              <w:top w:val="single" w:color="000000" w:sz="4" w:space="0"/>
              <w:left w:val="nil"/>
              <w:bottom w:val="single" w:color="000000" w:sz="4" w:space="0"/>
              <w:right w:val="single" w:color="000000" w:sz="4" w:space="0"/>
            </w:tcBorders>
            <w:noWrap w:val="0"/>
            <w:vAlign w:val="top"/>
          </w:tcPr>
          <w:p w14:paraId="632986BC">
            <w:pPr>
              <w:spacing w:line="400" w:lineRule="atLeast"/>
              <w:jc w:val="center"/>
              <w:rPr>
                <w:rFonts w:ascii="宋体" w:hAnsi="宋体" w:cs="宋体"/>
                <w:color w:val="auto"/>
                <w:highlight w:val="none"/>
                <w:lang w:val="zh-TW" w:eastAsia="zh-TW"/>
              </w:rPr>
            </w:pPr>
          </w:p>
        </w:tc>
        <w:tc>
          <w:tcPr>
            <w:tcW w:w="1134" w:type="dxa"/>
            <w:tcBorders>
              <w:top w:val="single" w:color="000000" w:sz="4" w:space="0"/>
              <w:left w:val="nil"/>
              <w:bottom w:val="single" w:color="000000" w:sz="4" w:space="0"/>
              <w:right w:val="single" w:color="000000" w:sz="4" w:space="0"/>
            </w:tcBorders>
            <w:noWrap w:val="0"/>
            <w:vAlign w:val="top"/>
          </w:tcPr>
          <w:p w14:paraId="001110B0">
            <w:pPr>
              <w:spacing w:line="400" w:lineRule="atLeast"/>
              <w:jc w:val="center"/>
              <w:rPr>
                <w:rFonts w:ascii="宋体" w:hAnsi="宋体" w:cs="宋体"/>
                <w:color w:val="auto"/>
                <w:highlight w:val="none"/>
                <w:lang w:val="zh-TW" w:eastAsia="zh-TW"/>
              </w:rPr>
            </w:pPr>
          </w:p>
        </w:tc>
      </w:tr>
      <w:tr w14:paraId="230A9B82">
        <w:tblPrEx>
          <w:tblCellMar>
            <w:top w:w="0" w:type="dxa"/>
            <w:left w:w="0" w:type="dxa"/>
            <w:bottom w:w="0" w:type="dxa"/>
            <w:right w:w="0"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5272473A">
            <w:pPr>
              <w:spacing w:line="400" w:lineRule="atLeast"/>
              <w:jc w:val="center"/>
              <w:rPr>
                <w:rFonts w:ascii="宋体" w:hAnsi="宋体" w:cs="宋体"/>
                <w:color w:val="auto"/>
                <w:highlight w:val="none"/>
                <w:lang w:val="zh-TW" w:eastAsia="zh-TW"/>
              </w:rPr>
            </w:pPr>
          </w:p>
        </w:tc>
        <w:tc>
          <w:tcPr>
            <w:tcW w:w="1559" w:type="dxa"/>
            <w:tcBorders>
              <w:top w:val="single" w:color="000000" w:sz="4" w:space="0"/>
              <w:left w:val="nil"/>
              <w:bottom w:val="single" w:color="000000" w:sz="4" w:space="0"/>
              <w:right w:val="single" w:color="000000" w:sz="4" w:space="0"/>
            </w:tcBorders>
            <w:noWrap w:val="0"/>
            <w:vAlign w:val="top"/>
          </w:tcPr>
          <w:p w14:paraId="02A46C60">
            <w:pPr>
              <w:spacing w:line="400" w:lineRule="atLeast"/>
              <w:jc w:val="center"/>
              <w:rPr>
                <w:rFonts w:ascii="宋体" w:hAnsi="宋体" w:cs="宋体"/>
                <w:color w:val="auto"/>
                <w:highlight w:val="none"/>
                <w:lang w:val="zh-TW" w:eastAsia="zh-TW"/>
              </w:rPr>
            </w:pPr>
          </w:p>
        </w:tc>
        <w:tc>
          <w:tcPr>
            <w:tcW w:w="1418" w:type="dxa"/>
            <w:tcBorders>
              <w:top w:val="single" w:color="000000" w:sz="4" w:space="0"/>
              <w:left w:val="nil"/>
              <w:bottom w:val="single" w:color="000000" w:sz="4" w:space="0"/>
              <w:right w:val="single" w:color="000000" w:sz="4" w:space="0"/>
            </w:tcBorders>
            <w:noWrap w:val="0"/>
            <w:vAlign w:val="top"/>
          </w:tcPr>
          <w:p w14:paraId="1EEE662F">
            <w:pPr>
              <w:spacing w:line="400" w:lineRule="atLeast"/>
              <w:jc w:val="center"/>
              <w:rPr>
                <w:rFonts w:ascii="宋体" w:hAnsi="宋体" w:cs="宋体"/>
                <w:color w:val="auto"/>
                <w:highlight w:val="none"/>
                <w:lang w:val="zh-TW" w:eastAsia="zh-TW"/>
              </w:rPr>
            </w:pPr>
          </w:p>
        </w:tc>
        <w:tc>
          <w:tcPr>
            <w:tcW w:w="992" w:type="dxa"/>
            <w:tcBorders>
              <w:top w:val="single" w:color="000000" w:sz="4" w:space="0"/>
              <w:left w:val="nil"/>
              <w:bottom w:val="single" w:color="000000" w:sz="4" w:space="0"/>
              <w:right w:val="single" w:color="000000" w:sz="4" w:space="0"/>
            </w:tcBorders>
            <w:noWrap w:val="0"/>
            <w:vAlign w:val="top"/>
          </w:tcPr>
          <w:p w14:paraId="6D3C2D32">
            <w:pPr>
              <w:spacing w:line="400" w:lineRule="atLeast"/>
              <w:jc w:val="center"/>
              <w:rPr>
                <w:rFonts w:ascii="宋体" w:hAnsi="宋体" w:cs="宋体"/>
                <w:color w:val="auto"/>
                <w:highlight w:val="none"/>
                <w:lang w:val="zh-TW" w:eastAsia="zh-TW"/>
              </w:rPr>
            </w:pPr>
          </w:p>
        </w:tc>
        <w:tc>
          <w:tcPr>
            <w:tcW w:w="1034" w:type="dxa"/>
            <w:tcBorders>
              <w:top w:val="single" w:color="000000" w:sz="4" w:space="0"/>
              <w:left w:val="nil"/>
              <w:bottom w:val="single" w:color="000000" w:sz="4" w:space="0"/>
              <w:right w:val="single" w:color="000000" w:sz="4" w:space="0"/>
            </w:tcBorders>
            <w:noWrap w:val="0"/>
            <w:vAlign w:val="top"/>
          </w:tcPr>
          <w:p w14:paraId="21E023A1">
            <w:pPr>
              <w:spacing w:line="400" w:lineRule="atLeast"/>
              <w:jc w:val="center"/>
              <w:rPr>
                <w:rFonts w:ascii="宋体" w:hAnsi="宋体" w:cs="宋体"/>
                <w:color w:val="auto"/>
                <w:highlight w:val="none"/>
                <w:lang w:val="zh-TW" w:eastAsia="zh-TW"/>
              </w:rPr>
            </w:pPr>
          </w:p>
        </w:tc>
        <w:tc>
          <w:tcPr>
            <w:tcW w:w="1517" w:type="dxa"/>
            <w:tcBorders>
              <w:top w:val="single" w:color="000000" w:sz="4" w:space="0"/>
              <w:left w:val="nil"/>
              <w:bottom w:val="single" w:color="000000" w:sz="4" w:space="0"/>
              <w:right w:val="single" w:color="000000" w:sz="4" w:space="0"/>
            </w:tcBorders>
            <w:noWrap w:val="0"/>
            <w:vAlign w:val="top"/>
          </w:tcPr>
          <w:p w14:paraId="3F6DF82A">
            <w:pPr>
              <w:spacing w:line="400" w:lineRule="atLeast"/>
              <w:jc w:val="center"/>
              <w:rPr>
                <w:rFonts w:ascii="宋体" w:hAnsi="宋体" w:cs="宋体"/>
                <w:color w:val="auto"/>
                <w:highlight w:val="none"/>
                <w:lang w:val="zh-TW" w:eastAsia="zh-TW"/>
              </w:rPr>
            </w:pPr>
          </w:p>
        </w:tc>
        <w:tc>
          <w:tcPr>
            <w:tcW w:w="1134" w:type="dxa"/>
            <w:tcBorders>
              <w:top w:val="single" w:color="000000" w:sz="4" w:space="0"/>
              <w:left w:val="nil"/>
              <w:bottom w:val="single" w:color="000000" w:sz="4" w:space="0"/>
              <w:right w:val="single" w:color="000000" w:sz="4" w:space="0"/>
            </w:tcBorders>
            <w:noWrap w:val="0"/>
            <w:vAlign w:val="top"/>
          </w:tcPr>
          <w:p w14:paraId="3DEC3F2C">
            <w:pPr>
              <w:spacing w:line="400" w:lineRule="atLeast"/>
              <w:jc w:val="center"/>
              <w:rPr>
                <w:rFonts w:ascii="宋体" w:hAnsi="宋体" w:cs="宋体"/>
                <w:color w:val="auto"/>
                <w:highlight w:val="none"/>
                <w:lang w:val="zh-TW" w:eastAsia="zh-TW"/>
              </w:rPr>
            </w:pPr>
          </w:p>
        </w:tc>
        <w:tc>
          <w:tcPr>
            <w:tcW w:w="1134" w:type="dxa"/>
            <w:tcBorders>
              <w:top w:val="single" w:color="000000" w:sz="4" w:space="0"/>
              <w:left w:val="nil"/>
              <w:bottom w:val="single" w:color="000000" w:sz="4" w:space="0"/>
              <w:right w:val="single" w:color="000000" w:sz="4" w:space="0"/>
            </w:tcBorders>
            <w:noWrap w:val="0"/>
            <w:vAlign w:val="top"/>
          </w:tcPr>
          <w:p w14:paraId="6B981033">
            <w:pPr>
              <w:spacing w:line="400" w:lineRule="atLeast"/>
              <w:jc w:val="center"/>
              <w:rPr>
                <w:rFonts w:ascii="宋体" w:hAnsi="宋体" w:cs="宋体"/>
                <w:color w:val="auto"/>
                <w:highlight w:val="none"/>
                <w:lang w:val="zh-TW" w:eastAsia="zh-TW"/>
              </w:rPr>
            </w:pPr>
          </w:p>
        </w:tc>
      </w:tr>
      <w:tr w14:paraId="18427284">
        <w:tblPrEx>
          <w:tblCellMar>
            <w:top w:w="0" w:type="dxa"/>
            <w:left w:w="0" w:type="dxa"/>
            <w:bottom w:w="0" w:type="dxa"/>
            <w:right w:w="0"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14F361F1">
            <w:pPr>
              <w:spacing w:line="400" w:lineRule="atLeast"/>
              <w:jc w:val="center"/>
              <w:rPr>
                <w:rFonts w:ascii="宋体" w:hAnsi="宋体" w:cs="宋体"/>
                <w:color w:val="auto"/>
                <w:highlight w:val="none"/>
                <w:lang w:val="zh-TW" w:eastAsia="zh-TW"/>
              </w:rPr>
            </w:pPr>
          </w:p>
        </w:tc>
        <w:tc>
          <w:tcPr>
            <w:tcW w:w="1559" w:type="dxa"/>
            <w:tcBorders>
              <w:top w:val="single" w:color="000000" w:sz="4" w:space="0"/>
              <w:left w:val="nil"/>
              <w:bottom w:val="single" w:color="000000" w:sz="4" w:space="0"/>
              <w:right w:val="single" w:color="000000" w:sz="4" w:space="0"/>
            </w:tcBorders>
            <w:noWrap w:val="0"/>
            <w:vAlign w:val="top"/>
          </w:tcPr>
          <w:p w14:paraId="383F1A6B">
            <w:pPr>
              <w:spacing w:line="400" w:lineRule="atLeast"/>
              <w:jc w:val="center"/>
              <w:rPr>
                <w:rFonts w:ascii="宋体" w:hAnsi="宋体" w:cs="宋体"/>
                <w:color w:val="auto"/>
                <w:highlight w:val="none"/>
                <w:lang w:val="zh-TW" w:eastAsia="zh-TW"/>
              </w:rPr>
            </w:pPr>
          </w:p>
        </w:tc>
        <w:tc>
          <w:tcPr>
            <w:tcW w:w="1418" w:type="dxa"/>
            <w:tcBorders>
              <w:top w:val="single" w:color="000000" w:sz="4" w:space="0"/>
              <w:left w:val="nil"/>
              <w:bottom w:val="single" w:color="000000" w:sz="4" w:space="0"/>
              <w:right w:val="single" w:color="000000" w:sz="4" w:space="0"/>
            </w:tcBorders>
            <w:noWrap w:val="0"/>
            <w:vAlign w:val="top"/>
          </w:tcPr>
          <w:p w14:paraId="69E3A475">
            <w:pPr>
              <w:spacing w:line="400" w:lineRule="atLeast"/>
              <w:jc w:val="center"/>
              <w:rPr>
                <w:rFonts w:ascii="宋体" w:hAnsi="宋体" w:cs="宋体"/>
                <w:color w:val="auto"/>
                <w:highlight w:val="none"/>
                <w:lang w:val="zh-TW" w:eastAsia="zh-TW"/>
              </w:rPr>
            </w:pPr>
          </w:p>
        </w:tc>
        <w:tc>
          <w:tcPr>
            <w:tcW w:w="992" w:type="dxa"/>
            <w:tcBorders>
              <w:top w:val="single" w:color="000000" w:sz="4" w:space="0"/>
              <w:left w:val="nil"/>
              <w:bottom w:val="single" w:color="000000" w:sz="4" w:space="0"/>
              <w:right w:val="single" w:color="000000" w:sz="4" w:space="0"/>
            </w:tcBorders>
            <w:noWrap w:val="0"/>
            <w:vAlign w:val="top"/>
          </w:tcPr>
          <w:p w14:paraId="021DBB5A">
            <w:pPr>
              <w:spacing w:line="400" w:lineRule="atLeast"/>
              <w:jc w:val="center"/>
              <w:rPr>
                <w:rFonts w:ascii="宋体" w:hAnsi="宋体" w:cs="宋体"/>
                <w:color w:val="auto"/>
                <w:highlight w:val="none"/>
                <w:lang w:val="zh-TW" w:eastAsia="zh-TW"/>
              </w:rPr>
            </w:pPr>
          </w:p>
        </w:tc>
        <w:tc>
          <w:tcPr>
            <w:tcW w:w="1034" w:type="dxa"/>
            <w:tcBorders>
              <w:top w:val="single" w:color="000000" w:sz="4" w:space="0"/>
              <w:left w:val="nil"/>
              <w:bottom w:val="single" w:color="000000" w:sz="4" w:space="0"/>
              <w:right w:val="single" w:color="000000" w:sz="4" w:space="0"/>
            </w:tcBorders>
            <w:noWrap w:val="0"/>
            <w:vAlign w:val="top"/>
          </w:tcPr>
          <w:p w14:paraId="1EF7EBBC">
            <w:pPr>
              <w:spacing w:line="400" w:lineRule="atLeast"/>
              <w:jc w:val="center"/>
              <w:rPr>
                <w:rFonts w:ascii="宋体" w:hAnsi="宋体" w:cs="宋体"/>
                <w:color w:val="auto"/>
                <w:highlight w:val="none"/>
                <w:lang w:val="zh-TW" w:eastAsia="zh-TW"/>
              </w:rPr>
            </w:pPr>
          </w:p>
        </w:tc>
        <w:tc>
          <w:tcPr>
            <w:tcW w:w="1517" w:type="dxa"/>
            <w:tcBorders>
              <w:top w:val="single" w:color="000000" w:sz="4" w:space="0"/>
              <w:left w:val="nil"/>
              <w:bottom w:val="single" w:color="000000" w:sz="4" w:space="0"/>
              <w:right w:val="single" w:color="000000" w:sz="4" w:space="0"/>
            </w:tcBorders>
            <w:noWrap w:val="0"/>
            <w:vAlign w:val="top"/>
          </w:tcPr>
          <w:p w14:paraId="2E8EA509">
            <w:pPr>
              <w:spacing w:line="400" w:lineRule="atLeast"/>
              <w:jc w:val="center"/>
              <w:rPr>
                <w:rFonts w:ascii="宋体" w:hAnsi="宋体" w:cs="宋体"/>
                <w:color w:val="auto"/>
                <w:highlight w:val="none"/>
                <w:lang w:val="zh-TW" w:eastAsia="zh-TW"/>
              </w:rPr>
            </w:pPr>
          </w:p>
        </w:tc>
        <w:tc>
          <w:tcPr>
            <w:tcW w:w="1134" w:type="dxa"/>
            <w:tcBorders>
              <w:top w:val="single" w:color="000000" w:sz="4" w:space="0"/>
              <w:left w:val="nil"/>
              <w:bottom w:val="single" w:color="000000" w:sz="4" w:space="0"/>
              <w:right w:val="single" w:color="000000" w:sz="4" w:space="0"/>
            </w:tcBorders>
            <w:noWrap w:val="0"/>
            <w:vAlign w:val="top"/>
          </w:tcPr>
          <w:p w14:paraId="6961D4DE">
            <w:pPr>
              <w:spacing w:line="400" w:lineRule="atLeast"/>
              <w:jc w:val="center"/>
              <w:rPr>
                <w:rFonts w:ascii="宋体" w:hAnsi="宋体" w:cs="宋体"/>
                <w:color w:val="auto"/>
                <w:highlight w:val="none"/>
                <w:lang w:val="zh-TW" w:eastAsia="zh-TW"/>
              </w:rPr>
            </w:pPr>
          </w:p>
        </w:tc>
        <w:tc>
          <w:tcPr>
            <w:tcW w:w="1134" w:type="dxa"/>
            <w:tcBorders>
              <w:top w:val="single" w:color="000000" w:sz="4" w:space="0"/>
              <w:left w:val="nil"/>
              <w:bottom w:val="single" w:color="000000" w:sz="4" w:space="0"/>
              <w:right w:val="single" w:color="000000" w:sz="4" w:space="0"/>
            </w:tcBorders>
            <w:noWrap w:val="0"/>
            <w:vAlign w:val="top"/>
          </w:tcPr>
          <w:p w14:paraId="75F93AA3">
            <w:pPr>
              <w:spacing w:line="400" w:lineRule="atLeast"/>
              <w:jc w:val="center"/>
              <w:rPr>
                <w:rFonts w:ascii="宋体" w:hAnsi="宋体" w:cs="宋体"/>
                <w:color w:val="auto"/>
                <w:highlight w:val="none"/>
                <w:lang w:val="zh-TW" w:eastAsia="zh-TW"/>
              </w:rPr>
            </w:pPr>
          </w:p>
        </w:tc>
      </w:tr>
      <w:tr w14:paraId="15472145">
        <w:tblPrEx>
          <w:tblCellMar>
            <w:top w:w="0" w:type="dxa"/>
            <w:left w:w="0" w:type="dxa"/>
            <w:bottom w:w="0" w:type="dxa"/>
            <w:right w:w="0"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31605EB5">
            <w:pPr>
              <w:spacing w:line="400" w:lineRule="atLeast"/>
              <w:jc w:val="center"/>
              <w:rPr>
                <w:rFonts w:ascii="宋体" w:hAnsi="宋体" w:cs="宋体"/>
                <w:color w:val="auto"/>
                <w:highlight w:val="none"/>
                <w:lang w:val="zh-TW" w:eastAsia="zh-TW"/>
              </w:rPr>
            </w:pPr>
          </w:p>
        </w:tc>
        <w:tc>
          <w:tcPr>
            <w:tcW w:w="1559" w:type="dxa"/>
            <w:tcBorders>
              <w:top w:val="single" w:color="000000" w:sz="4" w:space="0"/>
              <w:left w:val="nil"/>
              <w:bottom w:val="single" w:color="000000" w:sz="4" w:space="0"/>
              <w:right w:val="single" w:color="000000" w:sz="4" w:space="0"/>
            </w:tcBorders>
            <w:noWrap w:val="0"/>
            <w:vAlign w:val="top"/>
          </w:tcPr>
          <w:p w14:paraId="5BEE7E4C">
            <w:pPr>
              <w:spacing w:line="400" w:lineRule="atLeast"/>
              <w:jc w:val="center"/>
              <w:rPr>
                <w:rFonts w:ascii="宋体" w:hAnsi="宋体" w:cs="宋体"/>
                <w:color w:val="auto"/>
                <w:highlight w:val="none"/>
                <w:lang w:val="zh-TW" w:eastAsia="zh-TW"/>
              </w:rPr>
            </w:pPr>
          </w:p>
        </w:tc>
        <w:tc>
          <w:tcPr>
            <w:tcW w:w="1418" w:type="dxa"/>
            <w:tcBorders>
              <w:top w:val="single" w:color="000000" w:sz="4" w:space="0"/>
              <w:left w:val="nil"/>
              <w:bottom w:val="single" w:color="000000" w:sz="4" w:space="0"/>
              <w:right w:val="single" w:color="000000" w:sz="4" w:space="0"/>
            </w:tcBorders>
            <w:noWrap w:val="0"/>
            <w:vAlign w:val="top"/>
          </w:tcPr>
          <w:p w14:paraId="32EB2F5F">
            <w:pPr>
              <w:spacing w:line="400" w:lineRule="atLeast"/>
              <w:jc w:val="center"/>
              <w:rPr>
                <w:rFonts w:ascii="宋体" w:hAnsi="宋体" w:cs="宋体"/>
                <w:color w:val="auto"/>
                <w:highlight w:val="none"/>
                <w:lang w:val="zh-TW" w:eastAsia="zh-TW"/>
              </w:rPr>
            </w:pPr>
          </w:p>
        </w:tc>
        <w:tc>
          <w:tcPr>
            <w:tcW w:w="992" w:type="dxa"/>
            <w:tcBorders>
              <w:top w:val="single" w:color="000000" w:sz="4" w:space="0"/>
              <w:left w:val="nil"/>
              <w:bottom w:val="single" w:color="000000" w:sz="4" w:space="0"/>
              <w:right w:val="single" w:color="000000" w:sz="4" w:space="0"/>
            </w:tcBorders>
            <w:noWrap w:val="0"/>
            <w:vAlign w:val="top"/>
          </w:tcPr>
          <w:p w14:paraId="77EDB49B">
            <w:pPr>
              <w:spacing w:line="400" w:lineRule="atLeast"/>
              <w:jc w:val="center"/>
              <w:rPr>
                <w:rFonts w:ascii="宋体" w:hAnsi="宋体" w:cs="宋体"/>
                <w:color w:val="auto"/>
                <w:highlight w:val="none"/>
                <w:lang w:val="zh-TW" w:eastAsia="zh-TW"/>
              </w:rPr>
            </w:pPr>
          </w:p>
        </w:tc>
        <w:tc>
          <w:tcPr>
            <w:tcW w:w="1034" w:type="dxa"/>
            <w:tcBorders>
              <w:top w:val="single" w:color="000000" w:sz="4" w:space="0"/>
              <w:left w:val="nil"/>
              <w:bottom w:val="single" w:color="000000" w:sz="4" w:space="0"/>
              <w:right w:val="single" w:color="000000" w:sz="4" w:space="0"/>
            </w:tcBorders>
            <w:noWrap w:val="0"/>
            <w:vAlign w:val="top"/>
          </w:tcPr>
          <w:p w14:paraId="32FF4E67">
            <w:pPr>
              <w:spacing w:line="400" w:lineRule="atLeast"/>
              <w:jc w:val="center"/>
              <w:rPr>
                <w:rFonts w:ascii="宋体" w:hAnsi="宋体" w:cs="宋体"/>
                <w:color w:val="auto"/>
                <w:highlight w:val="none"/>
                <w:lang w:val="zh-TW" w:eastAsia="zh-TW"/>
              </w:rPr>
            </w:pPr>
          </w:p>
        </w:tc>
        <w:tc>
          <w:tcPr>
            <w:tcW w:w="1517" w:type="dxa"/>
            <w:tcBorders>
              <w:top w:val="single" w:color="000000" w:sz="4" w:space="0"/>
              <w:left w:val="nil"/>
              <w:bottom w:val="single" w:color="000000" w:sz="4" w:space="0"/>
              <w:right w:val="single" w:color="000000" w:sz="4" w:space="0"/>
            </w:tcBorders>
            <w:noWrap w:val="0"/>
            <w:vAlign w:val="top"/>
          </w:tcPr>
          <w:p w14:paraId="0D27CF5F">
            <w:pPr>
              <w:spacing w:line="400" w:lineRule="atLeast"/>
              <w:jc w:val="center"/>
              <w:rPr>
                <w:rFonts w:ascii="宋体" w:hAnsi="宋体" w:cs="宋体"/>
                <w:color w:val="auto"/>
                <w:highlight w:val="none"/>
                <w:lang w:val="zh-TW" w:eastAsia="zh-TW"/>
              </w:rPr>
            </w:pPr>
          </w:p>
        </w:tc>
        <w:tc>
          <w:tcPr>
            <w:tcW w:w="1134" w:type="dxa"/>
            <w:tcBorders>
              <w:top w:val="single" w:color="000000" w:sz="4" w:space="0"/>
              <w:left w:val="nil"/>
              <w:bottom w:val="single" w:color="000000" w:sz="4" w:space="0"/>
              <w:right w:val="single" w:color="000000" w:sz="4" w:space="0"/>
            </w:tcBorders>
            <w:noWrap w:val="0"/>
            <w:vAlign w:val="top"/>
          </w:tcPr>
          <w:p w14:paraId="25580EAA">
            <w:pPr>
              <w:spacing w:line="400" w:lineRule="atLeast"/>
              <w:jc w:val="center"/>
              <w:rPr>
                <w:rFonts w:ascii="宋体" w:hAnsi="宋体" w:cs="宋体"/>
                <w:color w:val="auto"/>
                <w:highlight w:val="none"/>
                <w:lang w:val="zh-TW" w:eastAsia="zh-TW"/>
              </w:rPr>
            </w:pPr>
          </w:p>
        </w:tc>
        <w:tc>
          <w:tcPr>
            <w:tcW w:w="1134" w:type="dxa"/>
            <w:tcBorders>
              <w:top w:val="single" w:color="000000" w:sz="4" w:space="0"/>
              <w:left w:val="nil"/>
              <w:bottom w:val="single" w:color="000000" w:sz="4" w:space="0"/>
              <w:right w:val="single" w:color="000000" w:sz="4" w:space="0"/>
            </w:tcBorders>
            <w:noWrap w:val="0"/>
            <w:vAlign w:val="top"/>
          </w:tcPr>
          <w:p w14:paraId="1A4374C0">
            <w:pPr>
              <w:spacing w:line="400" w:lineRule="atLeast"/>
              <w:jc w:val="center"/>
              <w:rPr>
                <w:rFonts w:ascii="宋体" w:hAnsi="宋体" w:cs="宋体"/>
                <w:color w:val="auto"/>
                <w:highlight w:val="none"/>
                <w:lang w:val="zh-TW" w:eastAsia="zh-TW"/>
              </w:rPr>
            </w:pPr>
          </w:p>
        </w:tc>
      </w:tr>
      <w:tr w14:paraId="71AFF9B5">
        <w:tblPrEx>
          <w:tblCellMar>
            <w:top w:w="0" w:type="dxa"/>
            <w:left w:w="0" w:type="dxa"/>
            <w:bottom w:w="0" w:type="dxa"/>
            <w:right w:w="0"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60CA126B">
            <w:pPr>
              <w:spacing w:line="400" w:lineRule="atLeast"/>
              <w:jc w:val="center"/>
              <w:rPr>
                <w:rFonts w:ascii="宋体" w:hAnsi="宋体" w:cs="宋体"/>
                <w:color w:val="auto"/>
                <w:highlight w:val="none"/>
                <w:lang w:val="zh-TW" w:eastAsia="zh-TW"/>
              </w:rPr>
            </w:pPr>
          </w:p>
        </w:tc>
        <w:tc>
          <w:tcPr>
            <w:tcW w:w="1559" w:type="dxa"/>
            <w:tcBorders>
              <w:top w:val="single" w:color="000000" w:sz="4" w:space="0"/>
              <w:left w:val="nil"/>
              <w:bottom w:val="single" w:color="000000" w:sz="4" w:space="0"/>
              <w:right w:val="single" w:color="000000" w:sz="4" w:space="0"/>
            </w:tcBorders>
            <w:noWrap w:val="0"/>
            <w:vAlign w:val="top"/>
          </w:tcPr>
          <w:p w14:paraId="26A11CC6">
            <w:pPr>
              <w:spacing w:line="400" w:lineRule="atLeast"/>
              <w:jc w:val="center"/>
              <w:rPr>
                <w:rFonts w:ascii="宋体" w:hAnsi="宋体" w:cs="宋体"/>
                <w:color w:val="auto"/>
                <w:highlight w:val="none"/>
                <w:lang w:val="zh-TW" w:eastAsia="zh-TW"/>
              </w:rPr>
            </w:pPr>
          </w:p>
        </w:tc>
        <w:tc>
          <w:tcPr>
            <w:tcW w:w="1418" w:type="dxa"/>
            <w:tcBorders>
              <w:top w:val="single" w:color="000000" w:sz="4" w:space="0"/>
              <w:left w:val="nil"/>
              <w:bottom w:val="single" w:color="000000" w:sz="4" w:space="0"/>
              <w:right w:val="single" w:color="000000" w:sz="4" w:space="0"/>
            </w:tcBorders>
            <w:noWrap w:val="0"/>
            <w:vAlign w:val="top"/>
          </w:tcPr>
          <w:p w14:paraId="06680959">
            <w:pPr>
              <w:spacing w:line="400" w:lineRule="atLeast"/>
              <w:jc w:val="center"/>
              <w:rPr>
                <w:rFonts w:ascii="宋体" w:hAnsi="宋体" w:cs="宋体"/>
                <w:color w:val="auto"/>
                <w:highlight w:val="none"/>
                <w:lang w:val="zh-TW" w:eastAsia="zh-TW"/>
              </w:rPr>
            </w:pPr>
          </w:p>
        </w:tc>
        <w:tc>
          <w:tcPr>
            <w:tcW w:w="992" w:type="dxa"/>
            <w:tcBorders>
              <w:top w:val="single" w:color="000000" w:sz="4" w:space="0"/>
              <w:left w:val="nil"/>
              <w:bottom w:val="single" w:color="000000" w:sz="4" w:space="0"/>
              <w:right w:val="single" w:color="000000" w:sz="4" w:space="0"/>
            </w:tcBorders>
            <w:noWrap w:val="0"/>
            <w:vAlign w:val="top"/>
          </w:tcPr>
          <w:p w14:paraId="7A19423A">
            <w:pPr>
              <w:spacing w:line="400" w:lineRule="atLeast"/>
              <w:jc w:val="center"/>
              <w:rPr>
                <w:rFonts w:ascii="宋体" w:hAnsi="宋体" w:cs="宋体"/>
                <w:color w:val="auto"/>
                <w:highlight w:val="none"/>
                <w:lang w:val="zh-TW" w:eastAsia="zh-TW"/>
              </w:rPr>
            </w:pPr>
          </w:p>
        </w:tc>
        <w:tc>
          <w:tcPr>
            <w:tcW w:w="1034" w:type="dxa"/>
            <w:tcBorders>
              <w:top w:val="single" w:color="000000" w:sz="4" w:space="0"/>
              <w:left w:val="nil"/>
              <w:bottom w:val="single" w:color="000000" w:sz="4" w:space="0"/>
              <w:right w:val="single" w:color="000000" w:sz="4" w:space="0"/>
            </w:tcBorders>
            <w:noWrap w:val="0"/>
            <w:vAlign w:val="top"/>
          </w:tcPr>
          <w:p w14:paraId="0228377B">
            <w:pPr>
              <w:spacing w:line="400" w:lineRule="atLeast"/>
              <w:jc w:val="center"/>
              <w:rPr>
                <w:rFonts w:ascii="宋体" w:hAnsi="宋体" w:cs="宋体"/>
                <w:color w:val="auto"/>
                <w:highlight w:val="none"/>
                <w:lang w:val="zh-TW" w:eastAsia="zh-TW"/>
              </w:rPr>
            </w:pPr>
          </w:p>
        </w:tc>
        <w:tc>
          <w:tcPr>
            <w:tcW w:w="1517" w:type="dxa"/>
            <w:tcBorders>
              <w:top w:val="single" w:color="000000" w:sz="4" w:space="0"/>
              <w:left w:val="nil"/>
              <w:bottom w:val="single" w:color="000000" w:sz="4" w:space="0"/>
              <w:right w:val="single" w:color="000000" w:sz="4" w:space="0"/>
            </w:tcBorders>
            <w:noWrap w:val="0"/>
            <w:vAlign w:val="top"/>
          </w:tcPr>
          <w:p w14:paraId="75A56335">
            <w:pPr>
              <w:spacing w:line="400" w:lineRule="atLeast"/>
              <w:jc w:val="center"/>
              <w:rPr>
                <w:rFonts w:ascii="宋体" w:hAnsi="宋体" w:cs="宋体"/>
                <w:color w:val="auto"/>
                <w:highlight w:val="none"/>
                <w:lang w:val="zh-TW" w:eastAsia="zh-TW"/>
              </w:rPr>
            </w:pPr>
          </w:p>
        </w:tc>
        <w:tc>
          <w:tcPr>
            <w:tcW w:w="1134" w:type="dxa"/>
            <w:tcBorders>
              <w:top w:val="single" w:color="000000" w:sz="4" w:space="0"/>
              <w:left w:val="nil"/>
              <w:bottom w:val="single" w:color="000000" w:sz="4" w:space="0"/>
              <w:right w:val="single" w:color="000000" w:sz="4" w:space="0"/>
            </w:tcBorders>
            <w:noWrap w:val="0"/>
            <w:vAlign w:val="top"/>
          </w:tcPr>
          <w:p w14:paraId="75BEB09F">
            <w:pPr>
              <w:spacing w:line="400" w:lineRule="atLeast"/>
              <w:jc w:val="center"/>
              <w:rPr>
                <w:rFonts w:ascii="宋体" w:hAnsi="宋体" w:cs="宋体"/>
                <w:color w:val="auto"/>
                <w:highlight w:val="none"/>
                <w:lang w:val="zh-TW" w:eastAsia="zh-TW"/>
              </w:rPr>
            </w:pPr>
          </w:p>
        </w:tc>
        <w:tc>
          <w:tcPr>
            <w:tcW w:w="1134" w:type="dxa"/>
            <w:tcBorders>
              <w:top w:val="single" w:color="000000" w:sz="4" w:space="0"/>
              <w:left w:val="nil"/>
              <w:bottom w:val="single" w:color="000000" w:sz="4" w:space="0"/>
              <w:right w:val="single" w:color="000000" w:sz="4" w:space="0"/>
            </w:tcBorders>
            <w:noWrap w:val="0"/>
            <w:vAlign w:val="top"/>
          </w:tcPr>
          <w:p w14:paraId="77C21284">
            <w:pPr>
              <w:spacing w:line="400" w:lineRule="atLeast"/>
              <w:jc w:val="center"/>
              <w:rPr>
                <w:rFonts w:ascii="宋体" w:hAnsi="宋体" w:cs="宋体"/>
                <w:color w:val="auto"/>
                <w:highlight w:val="none"/>
                <w:lang w:val="zh-TW" w:eastAsia="zh-TW"/>
              </w:rPr>
            </w:pPr>
          </w:p>
        </w:tc>
      </w:tr>
    </w:tbl>
    <w:p w14:paraId="60C565D2">
      <w:pPr>
        <w:spacing w:line="360" w:lineRule="auto"/>
        <w:jc w:val="both"/>
        <w:rPr>
          <w:rFonts w:ascii="宋体" w:hAnsi="宋体"/>
          <w:b/>
          <w:bCs/>
          <w:color w:val="auto"/>
          <w:highlight w:val="none"/>
          <w:lang w:eastAsia="zh-CN"/>
        </w:rPr>
      </w:pPr>
    </w:p>
    <w:p w14:paraId="5EBA1655">
      <w:pPr>
        <w:pStyle w:val="190"/>
        <w:shd w:val="clear" w:color="auto" w:fill="FFFFFF"/>
        <w:spacing w:line="360" w:lineRule="auto"/>
        <w:rPr>
          <w:rFonts w:ascii="宋体" w:cs="宋体"/>
          <w:color w:val="auto"/>
          <w:sz w:val="24"/>
          <w:szCs w:val="24"/>
          <w:highlight w:val="none"/>
        </w:rPr>
      </w:pPr>
      <w:r>
        <w:rPr>
          <w:rFonts w:hint="eastAsia" w:ascii="宋体" w:hAnsi="宋体" w:cs="宋体"/>
          <w:color w:val="auto"/>
          <w:sz w:val="24"/>
          <w:szCs w:val="24"/>
          <w:highlight w:val="none"/>
          <w:lang w:val="zh-TW" w:eastAsia="zh-TW"/>
        </w:rPr>
        <w:t>投标单位（加盖电子公章）：</w:t>
      </w:r>
      <w:r>
        <w:rPr>
          <w:rFonts w:ascii="宋体" w:cs="宋体"/>
          <w:color w:val="auto"/>
          <w:sz w:val="24"/>
          <w:szCs w:val="24"/>
          <w:highlight w:val="none"/>
          <w:u w:val="single"/>
        </w:rPr>
        <w:t>                      </w:t>
      </w:r>
    </w:p>
    <w:p w14:paraId="15667F42">
      <w:pPr>
        <w:pStyle w:val="190"/>
        <w:shd w:val="clear" w:color="auto" w:fill="FFFFFF"/>
        <w:spacing w:line="360" w:lineRule="auto"/>
        <w:rPr>
          <w:rFonts w:ascii="宋体" w:cs="宋体"/>
          <w:color w:val="auto"/>
          <w:sz w:val="24"/>
          <w:szCs w:val="24"/>
          <w:highlight w:val="none"/>
          <w:u w:val="single"/>
        </w:rPr>
      </w:pPr>
      <w:r>
        <w:rPr>
          <w:rFonts w:hint="eastAsia" w:ascii="宋体" w:hAnsi="宋体" w:cs="宋体"/>
          <w:color w:val="auto"/>
          <w:sz w:val="24"/>
          <w:szCs w:val="24"/>
          <w:highlight w:val="none"/>
          <w:lang w:val="zh-TW" w:eastAsia="zh-TW"/>
        </w:rPr>
        <w:t>授权代表（签字）：</w:t>
      </w:r>
      <w:r>
        <w:rPr>
          <w:rFonts w:ascii="宋体" w:cs="宋体"/>
          <w:color w:val="auto"/>
          <w:sz w:val="24"/>
          <w:szCs w:val="24"/>
          <w:highlight w:val="none"/>
          <w:u w:val="single"/>
        </w:rPr>
        <w:t>                      </w:t>
      </w:r>
    </w:p>
    <w:p w14:paraId="5A099DE5">
      <w:pPr>
        <w:spacing w:line="360" w:lineRule="auto"/>
        <w:jc w:val="both"/>
        <w:rPr>
          <w:rFonts w:ascii="宋体" w:hAnsi="宋体"/>
          <w:b/>
          <w:bCs/>
          <w:color w:val="auto"/>
          <w:highlight w:val="none"/>
          <w:lang w:eastAsia="zh-CN"/>
        </w:rPr>
      </w:pPr>
      <w:r>
        <w:rPr>
          <w:rFonts w:hint="eastAsia" w:ascii="宋体" w:hAnsi="宋体" w:cs="宋体"/>
          <w:color w:val="auto"/>
          <w:highlight w:val="none"/>
          <w:lang w:val="zh-TW" w:eastAsia="zh-TW"/>
        </w:rPr>
        <w:t>日期：</w:t>
      </w:r>
      <w:r>
        <w:rPr>
          <w:rFonts w:ascii="宋体" w:hAnsi="宋体" w:cs="宋体"/>
          <w:color w:val="auto"/>
          <w:highlight w:val="none"/>
          <w:u w:val="single"/>
          <w:lang w:val="zh-TW" w:eastAsia="zh-TW"/>
        </w:rPr>
        <w:t>             </w:t>
      </w:r>
    </w:p>
    <w:p w14:paraId="1D5E5FEE">
      <w:pPr>
        <w:jc w:val="both"/>
        <w:rPr>
          <w:rFonts w:ascii="宋体" w:hAnsi="宋体" w:cs="宋体"/>
          <w:color w:val="auto"/>
          <w:highlight w:val="none"/>
          <w:lang w:val="zh-TW" w:eastAsia="zh-CN"/>
        </w:rPr>
      </w:pPr>
      <w:r>
        <w:rPr>
          <w:rFonts w:ascii="宋体" w:hAnsi="宋体" w:cs="宋体"/>
          <w:color w:val="auto"/>
          <w:highlight w:val="none"/>
          <w:lang w:val="zh-TW" w:eastAsia="zh-TW"/>
        </w:rPr>
        <w:t>说明：</w:t>
      </w:r>
      <w:r>
        <w:rPr>
          <w:rFonts w:hint="eastAsia" w:ascii="宋体" w:hAnsi="宋体" w:cs="宋体"/>
          <w:color w:val="auto"/>
          <w:highlight w:val="none"/>
          <w:lang w:val="zh-TW" w:eastAsia="zh-TW"/>
        </w:rPr>
        <w:t>具体时间要求及需提交的证明材料详见</w:t>
      </w:r>
      <w:r>
        <w:rPr>
          <w:rFonts w:hint="eastAsia" w:ascii="宋体" w:hAnsi="宋体" w:cs="宋体"/>
          <w:color w:val="auto"/>
          <w:highlight w:val="none"/>
          <w:lang w:val="zh-TW" w:eastAsia="zh-CN"/>
        </w:rPr>
        <w:t>评标标准</w:t>
      </w:r>
      <w:r>
        <w:rPr>
          <w:rFonts w:ascii="宋体" w:hAnsi="宋体" w:cs="宋体"/>
          <w:color w:val="auto"/>
          <w:highlight w:val="none"/>
          <w:lang w:val="zh-TW" w:eastAsia="zh-TW"/>
        </w:rPr>
        <w:t>。</w:t>
      </w:r>
    </w:p>
    <w:p w14:paraId="467CDA0E">
      <w:pPr>
        <w:pStyle w:val="190"/>
        <w:shd w:val="clear" w:color="auto" w:fill="FFFFFF"/>
        <w:spacing w:line="360" w:lineRule="auto"/>
        <w:rPr>
          <w:rFonts w:ascii="宋体" w:cs="宋体"/>
          <w:color w:val="auto"/>
          <w:sz w:val="24"/>
          <w:szCs w:val="24"/>
          <w:highlight w:val="none"/>
        </w:rPr>
      </w:pPr>
    </w:p>
    <w:p w14:paraId="60A606F4">
      <w:pPr>
        <w:pStyle w:val="190"/>
        <w:shd w:val="clear" w:color="auto" w:fill="FFFFFF"/>
        <w:spacing w:line="360" w:lineRule="auto"/>
        <w:ind w:firstLine="4116"/>
        <w:rPr>
          <w:rFonts w:ascii="宋体" w:cs="宋体"/>
          <w:b/>
          <w:bCs/>
          <w:color w:val="auto"/>
          <w:sz w:val="24"/>
          <w:szCs w:val="24"/>
          <w:highlight w:val="none"/>
          <w:lang w:val="zh-TW" w:eastAsia="zh-TW"/>
        </w:rPr>
      </w:pPr>
    </w:p>
    <w:p w14:paraId="6B0125F8">
      <w:pPr>
        <w:pStyle w:val="190"/>
        <w:spacing w:line="360" w:lineRule="auto"/>
        <w:rPr>
          <w:rFonts w:ascii="宋体" w:cs="宋体"/>
          <w:color w:val="auto"/>
          <w:sz w:val="24"/>
          <w:szCs w:val="24"/>
          <w:highlight w:val="none"/>
          <w:lang w:val="zh-TW" w:eastAsia="zh-TW"/>
        </w:rPr>
      </w:pPr>
    </w:p>
    <w:p w14:paraId="0EB87B8E">
      <w:pPr>
        <w:pStyle w:val="190"/>
        <w:spacing w:line="360" w:lineRule="auto"/>
        <w:rPr>
          <w:rFonts w:ascii="宋体" w:cs="宋体"/>
          <w:b/>
          <w:bCs/>
          <w:color w:val="auto"/>
          <w:sz w:val="24"/>
          <w:szCs w:val="24"/>
          <w:highlight w:val="none"/>
          <w:lang w:val="zh-TW" w:eastAsia="zh-TW"/>
        </w:rPr>
      </w:pPr>
    </w:p>
    <w:p w14:paraId="43B1C2D6">
      <w:pPr>
        <w:pStyle w:val="190"/>
        <w:spacing w:line="360" w:lineRule="auto"/>
        <w:rPr>
          <w:rFonts w:ascii="宋体" w:cs="宋体"/>
          <w:b/>
          <w:bCs/>
          <w:color w:val="auto"/>
          <w:sz w:val="24"/>
          <w:szCs w:val="24"/>
          <w:highlight w:val="none"/>
        </w:rPr>
      </w:pPr>
    </w:p>
    <w:p w14:paraId="367D18D0">
      <w:pPr>
        <w:pStyle w:val="190"/>
        <w:spacing w:line="360" w:lineRule="auto"/>
        <w:rPr>
          <w:rFonts w:ascii="宋体" w:cs="宋体"/>
          <w:b/>
          <w:bCs/>
          <w:color w:val="auto"/>
          <w:sz w:val="24"/>
          <w:szCs w:val="24"/>
          <w:highlight w:val="none"/>
        </w:rPr>
      </w:pPr>
    </w:p>
    <w:p w14:paraId="174E8B82">
      <w:pPr>
        <w:pStyle w:val="190"/>
        <w:spacing w:line="360" w:lineRule="auto"/>
        <w:rPr>
          <w:rFonts w:ascii="宋体" w:cs="宋体"/>
          <w:b/>
          <w:bCs/>
          <w:color w:val="auto"/>
          <w:sz w:val="24"/>
          <w:szCs w:val="24"/>
          <w:highlight w:val="none"/>
        </w:rPr>
      </w:pPr>
    </w:p>
    <w:p w14:paraId="0C07CF7A">
      <w:pPr>
        <w:pStyle w:val="190"/>
        <w:spacing w:line="360" w:lineRule="auto"/>
        <w:rPr>
          <w:rFonts w:ascii="宋体" w:cs="宋体"/>
          <w:b/>
          <w:bCs/>
          <w:color w:val="auto"/>
          <w:sz w:val="24"/>
          <w:szCs w:val="24"/>
          <w:highlight w:val="none"/>
        </w:rPr>
      </w:pPr>
    </w:p>
    <w:p w14:paraId="79875D85">
      <w:pPr>
        <w:pStyle w:val="190"/>
        <w:spacing w:line="360" w:lineRule="auto"/>
        <w:rPr>
          <w:rFonts w:ascii="宋体" w:cs="宋体"/>
          <w:b/>
          <w:bCs/>
          <w:color w:val="auto"/>
          <w:sz w:val="24"/>
          <w:szCs w:val="24"/>
          <w:highlight w:val="none"/>
        </w:rPr>
      </w:pPr>
    </w:p>
    <w:p w14:paraId="099AD4B4">
      <w:pPr>
        <w:pStyle w:val="190"/>
        <w:spacing w:line="360" w:lineRule="auto"/>
        <w:rPr>
          <w:rFonts w:ascii="宋体" w:cs="宋体"/>
          <w:b/>
          <w:bCs/>
          <w:color w:val="auto"/>
          <w:sz w:val="24"/>
          <w:szCs w:val="24"/>
          <w:highlight w:val="none"/>
        </w:rPr>
      </w:pPr>
    </w:p>
    <w:p w14:paraId="634AAD72">
      <w:pPr>
        <w:pStyle w:val="190"/>
        <w:spacing w:line="360" w:lineRule="auto"/>
        <w:rPr>
          <w:rFonts w:ascii="宋体" w:cs="宋体"/>
          <w:b/>
          <w:bCs/>
          <w:color w:val="auto"/>
          <w:sz w:val="24"/>
          <w:szCs w:val="24"/>
          <w:highlight w:val="none"/>
        </w:rPr>
      </w:pPr>
    </w:p>
    <w:p w14:paraId="2516099B">
      <w:pPr>
        <w:pStyle w:val="190"/>
        <w:spacing w:line="360" w:lineRule="auto"/>
        <w:rPr>
          <w:rFonts w:ascii="宋体" w:cs="宋体"/>
          <w:b/>
          <w:bCs/>
          <w:color w:val="auto"/>
          <w:sz w:val="24"/>
          <w:szCs w:val="24"/>
          <w:highlight w:val="none"/>
        </w:rPr>
      </w:pPr>
    </w:p>
    <w:p w14:paraId="337144B4">
      <w:pPr>
        <w:shd w:val="clear" w:color="auto" w:fill="FFFFFF"/>
        <w:spacing w:line="360" w:lineRule="auto"/>
        <w:rPr>
          <w:rFonts w:ascii="宋体" w:cs="宋体"/>
          <w:b/>
          <w:color w:val="auto"/>
          <w:highlight w:val="none"/>
          <w:lang w:val="zh-TW" w:eastAsia="zh-TW"/>
        </w:rPr>
      </w:pPr>
      <w:r>
        <w:rPr>
          <w:rFonts w:hint="eastAsia" w:ascii="宋体" w:hAnsi="宋体" w:cs="宋体"/>
          <w:b/>
          <w:color w:val="auto"/>
          <w:highlight w:val="none"/>
          <w:lang w:val="zh-TW" w:eastAsia="zh-TW"/>
        </w:rPr>
        <w:t>附件九：无重大违法记录声明格式</w:t>
      </w:r>
    </w:p>
    <w:p w14:paraId="7BBC1754">
      <w:pPr>
        <w:pStyle w:val="190"/>
        <w:spacing w:line="360" w:lineRule="auto"/>
        <w:jc w:val="center"/>
        <w:rPr>
          <w:rFonts w:ascii="宋体" w:cs="宋体"/>
          <w:color w:val="auto"/>
          <w:sz w:val="24"/>
          <w:szCs w:val="24"/>
          <w:highlight w:val="none"/>
        </w:rPr>
      </w:pPr>
    </w:p>
    <w:p w14:paraId="145686BF">
      <w:pPr>
        <w:pStyle w:val="190"/>
        <w:spacing w:line="360" w:lineRule="auto"/>
        <w:jc w:val="center"/>
        <w:rPr>
          <w:rFonts w:ascii="宋体" w:cs="宋体"/>
          <w:b/>
          <w:bCs/>
          <w:color w:val="auto"/>
          <w:sz w:val="24"/>
          <w:szCs w:val="24"/>
          <w:highlight w:val="none"/>
          <w:lang w:val="zh-TW" w:eastAsia="zh-TW"/>
        </w:rPr>
      </w:pPr>
      <w:r>
        <w:rPr>
          <w:rFonts w:hint="eastAsia" w:ascii="宋体" w:hAnsi="宋体" w:cs="宋体"/>
          <w:b/>
          <w:bCs/>
          <w:color w:val="auto"/>
          <w:sz w:val="24"/>
          <w:szCs w:val="24"/>
          <w:highlight w:val="none"/>
          <w:lang w:val="zh-TW" w:eastAsia="zh-TW"/>
        </w:rPr>
        <w:t>无重大违法记录声明</w:t>
      </w:r>
    </w:p>
    <w:p w14:paraId="528D06EE">
      <w:pPr>
        <w:pStyle w:val="190"/>
        <w:spacing w:line="360" w:lineRule="auto"/>
        <w:rPr>
          <w:rFonts w:ascii="宋体" w:cs="宋体"/>
          <w:color w:val="auto"/>
          <w:sz w:val="24"/>
          <w:szCs w:val="24"/>
          <w:highlight w:val="none"/>
        </w:rPr>
      </w:pPr>
    </w:p>
    <w:p w14:paraId="3454EF1A">
      <w:pPr>
        <w:pStyle w:val="190"/>
        <w:spacing w:line="360" w:lineRule="auto"/>
        <w:rPr>
          <w:rFonts w:hint="eastAsia" w:ascii="宋体" w:cs="宋体"/>
          <w:color w:val="auto"/>
          <w:sz w:val="24"/>
          <w:szCs w:val="24"/>
          <w:highlight w:val="none"/>
          <w:lang w:val="zh-TW"/>
        </w:rPr>
      </w:pPr>
      <w:r>
        <w:rPr>
          <w:rFonts w:hint="eastAsia" w:ascii="宋体" w:hAnsi="宋体" w:cs="宋体"/>
          <w:color w:val="auto"/>
          <w:sz w:val="24"/>
          <w:szCs w:val="24"/>
          <w:highlight w:val="none"/>
          <w:lang w:val="zh-TW" w:eastAsia="zh-CN"/>
        </w:rPr>
        <w:t>南京交通职业技术学院</w:t>
      </w:r>
      <w:r>
        <w:rPr>
          <w:rFonts w:hint="eastAsia" w:ascii="宋体" w:hAnsi="宋体" w:cs="宋体"/>
          <w:color w:val="auto"/>
          <w:sz w:val="24"/>
          <w:szCs w:val="24"/>
          <w:highlight w:val="none"/>
          <w:lang w:val="zh-TW" w:eastAsia="zh-TW"/>
        </w:rPr>
        <w:t>：</w:t>
      </w:r>
    </w:p>
    <w:p w14:paraId="20E883B5">
      <w:pPr>
        <w:pStyle w:val="190"/>
        <w:spacing w:line="360" w:lineRule="auto"/>
        <w:ind w:firstLine="480"/>
        <w:rPr>
          <w:rFonts w:ascii="宋体" w:cs="宋体"/>
          <w:color w:val="auto"/>
          <w:sz w:val="24"/>
          <w:szCs w:val="24"/>
          <w:highlight w:val="none"/>
        </w:rPr>
      </w:pPr>
      <w:r>
        <w:rPr>
          <w:rFonts w:hint="eastAsia" w:ascii="宋体" w:hAnsi="宋体" w:cs="宋体"/>
          <w:color w:val="auto"/>
          <w:sz w:val="24"/>
          <w:szCs w:val="24"/>
          <w:highlight w:val="none"/>
          <w:lang w:val="zh-TW" w:eastAsia="zh-TW"/>
        </w:rPr>
        <w:t>我单位（供应商名称）</w:t>
      </w:r>
      <w:r>
        <w:rPr>
          <w:rFonts w:hint="eastAsia" w:ascii="宋体" w:hAnsi="宋体" w:cs="宋体"/>
          <w:color w:val="auto"/>
          <w:sz w:val="24"/>
          <w:szCs w:val="24"/>
          <w:highlight w:val="none"/>
          <w:u w:val="single"/>
          <w:lang w:val="zh-TW"/>
        </w:rPr>
        <w:t xml:space="preserve">           </w:t>
      </w:r>
      <w:r>
        <w:rPr>
          <w:rFonts w:hint="eastAsia" w:ascii="宋体" w:hAnsi="宋体" w:cs="宋体"/>
          <w:color w:val="auto"/>
          <w:sz w:val="24"/>
          <w:szCs w:val="24"/>
          <w:highlight w:val="none"/>
          <w:lang w:val="zh-TW" w:eastAsia="zh-TW"/>
        </w:rPr>
        <w:t>郑重声明：</w:t>
      </w:r>
    </w:p>
    <w:p w14:paraId="40BCDFCD">
      <w:pPr>
        <w:pStyle w:val="190"/>
        <w:spacing w:line="360" w:lineRule="auto"/>
        <w:ind w:firstLine="480"/>
        <w:rPr>
          <w:rFonts w:ascii="宋体" w:cs="宋体"/>
          <w:color w:val="auto"/>
          <w:sz w:val="24"/>
          <w:szCs w:val="24"/>
          <w:highlight w:val="none"/>
        </w:rPr>
      </w:pPr>
      <w:r>
        <w:rPr>
          <w:rFonts w:hint="eastAsia" w:ascii="宋体" w:hAnsi="宋体" w:cs="宋体"/>
          <w:color w:val="auto"/>
          <w:sz w:val="24"/>
          <w:szCs w:val="24"/>
          <w:highlight w:val="none"/>
          <w:lang w:val="zh-TW" w:eastAsia="zh-TW"/>
        </w:rPr>
        <w:t>参加政府采购活动前</w:t>
      </w:r>
      <w:r>
        <w:rPr>
          <w:rFonts w:ascii="宋体" w:hAnsi="宋体" w:cs="宋体"/>
          <w:color w:val="auto"/>
          <w:sz w:val="24"/>
          <w:szCs w:val="24"/>
          <w:highlight w:val="none"/>
        </w:rPr>
        <w:t>3</w:t>
      </w:r>
      <w:r>
        <w:rPr>
          <w:rFonts w:hint="eastAsia" w:ascii="宋体" w:hAnsi="宋体" w:cs="宋体"/>
          <w:color w:val="auto"/>
          <w:sz w:val="24"/>
          <w:szCs w:val="24"/>
          <w:highlight w:val="none"/>
          <w:lang w:val="zh-TW" w:eastAsia="zh-TW"/>
        </w:rPr>
        <w:t>年内在经营活动中</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TW" w:eastAsia="zh-TW"/>
        </w:rPr>
        <w:t>（在下划线上如实填写：有或没有）重大违法记录。</w:t>
      </w:r>
    </w:p>
    <w:p w14:paraId="0DC22AB2">
      <w:pPr>
        <w:pStyle w:val="190"/>
        <w:spacing w:line="360" w:lineRule="auto"/>
        <w:ind w:firstLine="360"/>
        <w:rPr>
          <w:rFonts w:ascii="宋体" w:cs="宋体"/>
          <w:color w:val="auto"/>
          <w:sz w:val="24"/>
          <w:szCs w:val="24"/>
          <w:highlight w:val="none"/>
          <w:lang w:val="zh-TW" w:eastAsia="zh-TW"/>
        </w:rPr>
      </w:pPr>
      <w:r>
        <w:rPr>
          <w:rFonts w:hint="eastAsia" w:ascii="宋体" w:hAnsi="宋体" w:cs="宋体"/>
          <w:color w:val="auto"/>
          <w:sz w:val="24"/>
          <w:szCs w:val="24"/>
          <w:highlight w:val="none"/>
          <w:lang w:val="zh-TW" w:eastAsia="zh-TW"/>
        </w:rPr>
        <w:t>（说明：政府采购法第二十二条第一款第五项所称重大违法记录，是指供应商因违法经营受到刑事处罚或者责令停产停业、吊销许可证或者执照、较大数额罚款等行政处罚。）</w:t>
      </w:r>
    </w:p>
    <w:p w14:paraId="5DF63E2C">
      <w:pPr>
        <w:pStyle w:val="190"/>
        <w:spacing w:line="360" w:lineRule="auto"/>
        <w:rPr>
          <w:rFonts w:ascii="宋体" w:cs="宋体"/>
          <w:color w:val="auto"/>
          <w:sz w:val="24"/>
          <w:szCs w:val="24"/>
          <w:highlight w:val="none"/>
        </w:rPr>
      </w:pPr>
    </w:p>
    <w:p w14:paraId="6381A30A">
      <w:pPr>
        <w:pStyle w:val="190"/>
        <w:spacing w:line="360" w:lineRule="auto"/>
        <w:rPr>
          <w:rFonts w:ascii="宋体" w:cs="宋体"/>
          <w:color w:val="auto"/>
          <w:sz w:val="24"/>
          <w:szCs w:val="24"/>
          <w:highlight w:val="none"/>
        </w:rPr>
      </w:pPr>
    </w:p>
    <w:p w14:paraId="2CDE4949">
      <w:pPr>
        <w:pStyle w:val="190"/>
        <w:shd w:val="clear" w:color="auto" w:fill="FFFFFF"/>
        <w:spacing w:line="360" w:lineRule="auto"/>
        <w:ind w:firstLine="2160"/>
        <w:jc w:val="right"/>
        <w:rPr>
          <w:rFonts w:ascii="宋体" w:cs="宋体"/>
          <w:color w:val="auto"/>
          <w:sz w:val="24"/>
          <w:szCs w:val="24"/>
          <w:highlight w:val="none"/>
        </w:rPr>
      </w:pPr>
      <w:r>
        <w:rPr>
          <w:rFonts w:hint="eastAsia" w:ascii="宋体" w:hAnsi="宋体" w:cs="宋体"/>
          <w:color w:val="auto"/>
          <w:sz w:val="24"/>
          <w:szCs w:val="24"/>
          <w:highlight w:val="none"/>
        </w:rPr>
        <w:t>投标人（加盖电子公章）</w:t>
      </w:r>
      <w:r>
        <w:rPr>
          <w:rFonts w:hint="eastAsia" w:ascii="宋体" w:hAnsi="宋体" w:cs="宋体"/>
          <w:color w:val="auto"/>
          <w:sz w:val="24"/>
          <w:szCs w:val="24"/>
          <w:highlight w:val="none"/>
          <w:lang w:val="zh-TW" w:eastAsia="zh-TW"/>
        </w:rPr>
        <w:t>：</w:t>
      </w:r>
      <w:r>
        <w:rPr>
          <w:rFonts w:ascii="宋体" w:cs="宋体"/>
          <w:color w:val="auto"/>
          <w:sz w:val="24"/>
          <w:szCs w:val="24"/>
          <w:highlight w:val="none"/>
          <w:u w:val="single"/>
        </w:rPr>
        <w:t>                      </w:t>
      </w:r>
    </w:p>
    <w:p w14:paraId="5C9E9D6F">
      <w:pPr>
        <w:pStyle w:val="190"/>
        <w:shd w:val="clear" w:color="auto" w:fill="FFFFFF"/>
        <w:spacing w:line="360" w:lineRule="auto"/>
        <w:jc w:val="right"/>
        <w:rPr>
          <w:rFonts w:ascii="宋体" w:cs="宋体"/>
          <w:color w:val="auto"/>
          <w:sz w:val="24"/>
          <w:szCs w:val="24"/>
          <w:highlight w:val="none"/>
          <w:u w:val="single"/>
        </w:rPr>
      </w:pPr>
      <w:r>
        <w:rPr>
          <w:rFonts w:hint="eastAsia" w:ascii="宋体" w:hAnsi="宋体" w:cs="宋体"/>
          <w:color w:val="auto"/>
          <w:sz w:val="24"/>
          <w:szCs w:val="24"/>
          <w:highlight w:val="none"/>
          <w:lang w:val="zh-TW" w:eastAsia="zh-TW"/>
        </w:rPr>
        <w:t>授权代表（签字）：</w:t>
      </w:r>
      <w:r>
        <w:rPr>
          <w:rFonts w:ascii="宋体" w:cs="宋体"/>
          <w:color w:val="auto"/>
          <w:sz w:val="24"/>
          <w:szCs w:val="24"/>
          <w:highlight w:val="none"/>
          <w:u w:val="single"/>
        </w:rPr>
        <w:t>                      </w:t>
      </w:r>
    </w:p>
    <w:p w14:paraId="70E7EE4F">
      <w:pPr>
        <w:spacing w:line="360" w:lineRule="auto"/>
        <w:jc w:val="right"/>
        <w:rPr>
          <w:rFonts w:ascii="宋体" w:hAnsi="宋体"/>
          <w:b/>
          <w:bCs/>
          <w:color w:val="auto"/>
          <w:highlight w:val="none"/>
          <w:lang w:eastAsia="zh-CN"/>
        </w:rPr>
      </w:pPr>
      <w:r>
        <w:rPr>
          <w:rFonts w:hint="eastAsia" w:ascii="宋体" w:hAnsi="宋体" w:cs="宋体"/>
          <w:color w:val="auto"/>
          <w:highlight w:val="none"/>
          <w:lang w:val="zh-TW" w:eastAsia="zh-TW"/>
        </w:rPr>
        <w:t>日期：</w:t>
      </w:r>
      <w:r>
        <w:rPr>
          <w:rFonts w:ascii="宋体" w:hAnsi="宋体" w:cs="宋体"/>
          <w:color w:val="auto"/>
          <w:highlight w:val="none"/>
          <w:u w:val="single"/>
          <w:lang w:val="zh-TW" w:eastAsia="zh-TW"/>
        </w:rPr>
        <w:t>             </w:t>
      </w:r>
    </w:p>
    <w:p w14:paraId="33B7AF55">
      <w:pPr>
        <w:pStyle w:val="190"/>
        <w:shd w:val="clear" w:color="auto" w:fill="FFFFFF"/>
        <w:spacing w:line="360" w:lineRule="auto"/>
        <w:ind w:right="480"/>
        <w:jc w:val="center"/>
        <w:rPr>
          <w:color w:val="auto"/>
          <w:sz w:val="24"/>
          <w:szCs w:val="24"/>
          <w:highlight w:val="none"/>
          <w:lang w:val="zh-TW"/>
        </w:rPr>
      </w:pPr>
    </w:p>
    <w:p w14:paraId="0F866137">
      <w:pPr>
        <w:pStyle w:val="190"/>
        <w:rPr>
          <w:color w:val="auto"/>
          <w:sz w:val="24"/>
          <w:szCs w:val="24"/>
          <w:highlight w:val="none"/>
          <w:lang w:val="zh-TW"/>
        </w:rPr>
      </w:pPr>
    </w:p>
    <w:p w14:paraId="2CE46DFA">
      <w:pPr>
        <w:pStyle w:val="190"/>
        <w:rPr>
          <w:color w:val="auto"/>
          <w:sz w:val="24"/>
          <w:szCs w:val="24"/>
          <w:highlight w:val="none"/>
          <w:lang w:val="zh-TW"/>
        </w:rPr>
      </w:pPr>
    </w:p>
    <w:p w14:paraId="01E60894">
      <w:pPr>
        <w:pStyle w:val="190"/>
        <w:rPr>
          <w:color w:val="auto"/>
          <w:sz w:val="24"/>
          <w:szCs w:val="24"/>
          <w:highlight w:val="none"/>
          <w:lang w:val="zh-TW"/>
        </w:rPr>
      </w:pPr>
    </w:p>
    <w:p w14:paraId="37F4E90A">
      <w:pPr>
        <w:pStyle w:val="190"/>
        <w:rPr>
          <w:color w:val="auto"/>
          <w:sz w:val="24"/>
          <w:szCs w:val="24"/>
          <w:highlight w:val="none"/>
          <w:lang w:val="zh-TW"/>
        </w:rPr>
      </w:pPr>
    </w:p>
    <w:p w14:paraId="07F0AE12">
      <w:pPr>
        <w:pStyle w:val="190"/>
        <w:rPr>
          <w:color w:val="auto"/>
          <w:sz w:val="24"/>
          <w:szCs w:val="24"/>
          <w:highlight w:val="none"/>
          <w:lang w:val="zh-TW"/>
        </w:rPr>
      </w:pPr>
    </w:p>
    <w:p w14:paraId="41A2F296">
      <w:pPr>
        <w:pStyle w:val="190"/>
        <w:rPr>
          <w:color w:val="auto"/>
          <w:sz w:val="24"/>
          <w:szCs w:val="24"/>
          <w:highlight w:val="none"/>
          <w:lang w:val="zh-TW"/>
        </w:rPr>
      </w:pPr>
    </w:p>
    <w:p w14:paraId="5E147601">
      <w:pPr>
        <w:pStyle w:val="190"/>
        <w:rPr>
          <w:color w:val="auto"/>
          <w:sz w:val="24"/>
          <w:szCs w:val="24"/>
          <w:highlight w:val="none"/>
          <w:lang w:val="zh-TW"/>
        </w:rPr>
      </w:pPr>
    </w:p>
    <w:p w14:paraId="406E61A9">
      <w:pPr>
        <w:pStyle w:val="190"/>
        <w:rPr>
          <w:color w:val="auto"/>
          <w:sz w:val="24"/>
          <w:szCs w:val="24"/>
          <w:highlight w:val="none"/>
          <w:lang w:val="zh-TW"/>
        </w:rPr>
      </w:pPr>
    </w:p>
    <w:p w14:paraId="6ABC1444">
      <w:pPr>
        <w:pStyle w:val="190"/>
        <w:rPr>
          <w:color w:val="auto"/>
          <w:sz w:val="24"/>
          <w:szCs w:val="24"/>
          <w:highlight w:val="none"/>
          <w:lang w:val="zh-TW"/>
        </w:rPr>
      </w:pPr>
    </w:p>
    <w:p w14:paraId="6584950B">
      <w:pPr>
        <w:pStyle w:val="190"/>
        <w:rPr>
          <w:color w:val="auto"/>
          <w:sz w:val="24"/>
          <w:szCs w:val="24"/>
          <w:highlight w:val="none"/>
          <w:lang w:val="zh-TW"/>
        </w:rPr>
      </w:pPr>
    </w:p>
    <w:p w14:paraId="391A4752">
      <w:pPr>
        <w:pStyle w:val="228"/>
        <w:spacing w:before="26"/>
        <w:rPr>
          <w:rFonts w:hint="eastAsia"/>
          <w:b/>
          <w:bCs/>
          <w:color w:val="auto"/>
          <w:highlight w:val="none"/>
          <w:lang w:val="zh-TW" w:eastAsia="zh-TW"/>
        </w:rPr>
      </w:pPr>
    </w:p>
    <w:p w14:paraId="248E73DB">
      <w:pPr>
        <w:pStyle w:val="228"/>
        <w:spacing w:before="26"/>
        <w:rPr>
          <w:rFonts w:hint="eastAsia"/>
          <w:b/>
          <w:bCs/>
          <w:color w:val="auto"/>
          <w:highlight w:val="none"/>
          <w:lang w:val="zh-TW" w:eastAsia="zh-TW"/>
        </w:rPr>
      </w:pPr>
    </w:p>
    <w:p w14:paraId="07937A02">
      <w:pPr>
        <w:pStyle w:val="228"/>
        <w:spacing w:before="26"/>
        <w:rPr>
          <w:rFonts w:hint="eastAsia"/>
          <w:b/>
          <w:bCs/>
          <w:color w:val="auto"/>
          <w:highlight w:val="none"/>
          <w:lang w:val="zh-TW" w:eastAsia="zh-TW"/>
        </w:rPr>
      </w:pPr>
    </w:p>
    <w:p w14:paraId="4E2EF702">
      <w:pPr>
        <w:pStyle w:val="228"/>
        <w:spacing w:before="26"/>
        <w:rPr>
          <w:rFonts w:hint="eastAsia"/>
          <w:b/>
          <w:bCs/>
          <w:color w:val="auto"/>
          <w:highlight w:val="none"/>
          <w:lang w:val="zh-TW" w:eastAsia="zh-TW"/>
        </w:rPr>
      </w:pPr>
    </w:p>
    <w:p w14:paraId="254126C3">
      <w:pPr>
        <w:pStyle w:val="228"/>
        <w:spacing w:before="26"/>
        <w:rPr>
          <w:rFonts w:hint="eastAsia"/>
          <w:b/>
          <w:bCs/>
          <w:color w:val="auto"/>
          <w:highlight w:val="none"/>
          <w:lang w:val="zh-TW" w:eastAsia="zh-TW"/>
        </w:rPr>
      </w:pPr>
    </w:p>
    <w:p w14:paraId="6829E4C5">
      <w:pPr>
        <w:pStyle w:val="228"/>
        <w:spacing w:before="26"/>
        <w:rPr>
          <w:b/>
          <w:bCs/>
          <w:color w:val="auto"/>
          <w:highlight w:val="none"/>
          <w:lang w:val="zh-TW" w:eastAsia="zh-CN"/>
        </w:rPr>
      </w:pPr>
      <w:r>
        <w:rPr>
          <w:rFonts w:hint="eastAsia"/>
          <w:b/>
          <w:bCs/>
          <w:color w:val="auto"/>
          <w:highlight w:val="none"/>
          <w:lang w:val="zh-TW" w:eastAsia="zh-TW"/>
        </w:rPr>
        <w:t>附件十：具备履行合同所必需的设备和专业技术能力的声明格式</w:t>
      </w:r>
    </w:p>
    <w:p w14:paraId="247A8026">
      <w:pPr>
        <w:pStyle w:val="228"/>
        <w:spacing w:before="26"/>
        <w:jc w:val="center"/>
        <w:rPr>
          <w:b/>
          <w:color w:val="auto"/>
          <w:highlight w:val="none"/>
          <w:lang w:eastAsia="zh-CN"/>
        </w:rPr>
      </w:pPr>
      <w:r>
        <w:rPr>
          <w:rFonts w:hint="eastAsia"/>
          <w:b/>
          <w:bCs/>
          <w:color w:val="auto"/>
          <w:highlight w:val="none"/>
          <w:lang w:val="zh-TW" w:eastAsia="zh-TW"/>
        </w:rPr>
        <w:t>具备履行合同所必需的设备和专业技术能力</w:t>
      </w:r>
    </w:p>
    <w:p w14:paraId="657887D4">
      <w:pPr>
        <w:pStyle w:val="190"/>
        <w:spacing w:line="360" w:lineRule="auto"/>
        <w:rPr>
          <w:rFonts w:ascii="宋体" w:cs="宋体"/>
          <w:color w:val="auto"/>
          <w:sz w:val="24"/>
          <w:szCs w:val="24"/>
          <w:highlight w:val="none"/>
          <w:lang w:val="zh-TW" w:eastAsia="zh-TW"/>
        </w:rPr>
      </w:pPr>
      <w:r>
        <w:rPr>
          <w:rFonts w:hint="eastAsia" w:ascii="宋体" w:hAnsi="宋体" w:cs="宋体"/>
          <w:color w:val="auto"/>
          <w:sz w:val="24"/>
          <w:szCs w:val="24"/>
          <w:highlight w:val="none"/>
          <w:lang w:val="zh-TW" w:eastAsia="zh-CN"/>
        </w:rPr>
        <w:t>南京交通职业技术学院</w:t>
      </w:r>
      <w:r>
        <w:rPr>
          <w:rFonts w:hint="eastAsia" w:ascii="宋体" w:hAnsi="宋体" w:cs="宋体"/>
          <w:color w:val="auto"/>
          <w:sz w:val="24"/>
          <w:szCs w:val="24"/>
          <w:highlight w:val="none"/>
          <w:lang w:val="zh-TW" w:eastAsia="zh-TW"/>
        </w:rPr>
        <w:t>：</w:t>
      </w:r>
      <w:r>
        <w:rPr>
          <w:rFonts w:hint="eastAsia" w:ascii="宋体" w:hAnsi="宋体" w:cs="宋体"/>
          <w:color w:val="auto"/>
          <w:sz w:val="24"/>
          <w:szCs w:val="24"/>
          <w:highlight w:val="none"/>
        </w:rPr>
        <w:t xml:space="preserve"> </w:t>
      </w:r>
    </w:p>
    <w:p w14:paraId="4F106AAC">
      <w:pPr>
        <w:widowControl w:val="0"/>
        <w:spacing w:before="26" w:after="120" w:line="360" w:lineRule="auto"/>
        <w:ind w:firstLine="480"/>
        <w:jc w:val="both"/>
        <w:rPr>
          <w:rFonts w:ascii="宋体" w:hAnsi="宋体" w:cs="宋体"/>
          <w:color w:val="auto"/>
          <w:highlight w:val="none"/>
          <w:lang w:eastAsia="zh-CN"/>
        </w:rPr>
      </w:pPr>
      <w:r>
        <w:rPr>
          <w:rFonts w:hint="eastAsia" w:ascii="宋体" w:hAnsi="宋体" w:cs="宋体"/>
          <w:color w:val="auto"/>
          <w:highlight w:val="none"/>
          <w:lang w:eastAsia="zh-CN"/>
        </w:rPr>
        <w:t>我单位</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（供应商名称）郑重声明：</w:t>
      </w:r>
    </w:p>
    <w:p w14:paraId="3855EA26">
      <w:pPr>
        <w:widowControl w:val="0"/>
        <w:spacing w:before="26" w:after="120" w:line="360" w:lineRule="auto"/>
        <w:jc w:val="both"/>
        <w:rPr>
          <w:rFonts w:ascii="宋体" w:hAnsi="宋体" w:cs="宋体"/>
          <w:color w:val="auto"/>
          <w:highlight w:val="none"/>
          <w:lang w:eastAsia="zh-CN"/>
        </w:rPr>
      </w:pPr>
      <w:r>
        <w:rPr>
          <w:rFonts w:hint="eastAsia" w:ascii="宋体" w:hAnsi="宋体" w:cs="宋体"/>
          <w:color w:val="auto"/>
          <w:highlight w:val="none"/>
          <w:lang w:eastAsia="zh-CN"/>
        </w:rPr>
        <w:t>我公司具备履行本项采购合同所必需的设备和专业技术能力，为履行本项采购合同我单位具备如下主要设备和主要专业技术能力：</w:t>
      </w:r>
    </w:p>
    <w:p w14:paraId="703C040D">
      <w:pPr>
        <w:widowControl w:val="0"/>
        <w:spacing w:before="26" w:after="120" w:line="360" w:lineRule="auto"/>
        <w:jc w:val="both"/>
        <w:rPr>
          <w:rFonts w:ascii="宋体" w:hAnsi="宋体" w:cs="宋体"/>
          <w:color w:val="auto"/>
          <w:highlight w:val="none"/>
          <w:u w:val="single"/>
          <w:lang w:eastAsia="zh-CN"/>
        </w:rPr>
      </w:pPr>
      <w:r>
        <w:rPr>
          <w:rFonts w:hint="eastAsia" w:ascii="宋体" w:hAnsi="宋体" w:cs="宋体"/>
          <w:color w:val="auto"/>
          <w:highlight w:val="none"/>
          <w:lang w:eastAsia="zh-CN"/>
        </w:rPr>
        <w:t>主要设备有：</w:t>
      </w:r>
      <w:r>
        <w:rPr>
          <w:rFonts w:hint="eastAsia" w:ascii="宋体" w:hAnsi="宋体" w:cs="宋体"/>
          <w:color w:val="auto"/>
          <w:highlight w:val="none"/>
          <w:u w:val="single"/>
          <w:lang w:eastAsia="zh-CN"/>
        </w:rPr>
        <w:t xml:space="preserve">                          ( 如有 )</w:t>
      </w:r>
    </w:p>
    <w:p w14:paraId="4F17672E">
      <w:pPr>
        <w:widowControl w:val="0"/>
        <w:spacing w:before="26" w:after="120" w:line="360" w:lineRule="auto"/>
        <w:jc w:val="both"/>
        <w:rPr>
          <w:rFonts w:ascii="宋体" w:hAnsi="宋体" w:cs="宋体"/>
          <w:color w:val="auto"/>
          <w:highlight w:val="none"/>
          <w:lang w:eastAsia="zh-CN"/>
        </w:rPr>
      </w:pPr>
      <w:r>
        <w:rPr>
          <w:rFonts w:hint="eastAsia" w:ascii="宋体" w:hAnsi="宋体" w:cs="宋体"/>
          <w:color w:val="auto"/>
          <w:highlight w:val="none"/>
          <w:lang w:eastAsia="zh-CN"/>
        </w:rPr>
        <w:t>主要专业技术能力有：</w:t>
      </w:r>
      <w:r>
        <w:rPr>
          <w:rFonts w:hint="eastAsia" w:ascii="宋体" w:hAnsi="宋体" w:cs="宋体"/>
          <w:color w:val="auto"/>
          <w:highlight w:val="none"/>
          <w:u w:val="single"/>
          <w:lang w:eastAsia="zh-CN"/>
        </w:rPr>
        <w:t xml:space="preserve">                   ( 如有 )</w:t>
      </w:r>
    </w:p>
    <w:p w14:paraId="0D53E141">
      <w:pPr>
        <w:pStyle w:val="191"/>
        <w:spacing w:before="0" w:after="0" w:line="360" w:lineRule="auto"/>
        <w:jc w:val="left"/>
        <w:rPr>
          <w:color w:val="auto"/>
          <w:sz w:val="24"/>
          <w:szCs w:val="24"/>
          <w:highlight w:val="none"/>
          <w:lang w:eastAsia="zh-TW"/>
        </w:rPr>
      </w:pPr>
    </w:p>
    <w:p w14:paraId="4A903EA0">
      <w:pPr>
        <w:pStyle w:val="190"/>
        <w:shd w:val="clear" w:color="auto" w:fill="FFFFFF"/>
        <w:spacing w:line="360" w:lineRule="auto"/>
        <w:jc w:val="right"/>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zh-TW"/>
        </w:rPr>
        <w:t xml:space="preserve">         </w:t>
      </w:r>
    </w:p>
    <w:p w14:paraId="588E9A64">
      <w:pPr>
        <w:pStyle w:val="190"/>
        <w:shd w:val="clear" w:color="auto" w:fill="FFFFFF"/>
        <w:spacing w:line="360" w:lineRule="auto"/>
        <w:jc w:val="right"/>
        <w:rPr>
          <w:rFonts w:hint="eastAsia" w:ascii="宋体" w:hAnsi="宋体" w:cs="宋体"/>
          <w:color w:val="auto"/>
          <w:sz w:val="24"/>
          <w:szCs w:val="24"/>
          <w:highlight w:val="none"/>
          <w:lang w:val="zh-TW"/>
        </w:rPr>
      </w:pPr>
    </w:p>
    <w:p w14:paraId="643B8BAE">
      <w:pPr>
        <w:pStyle w:val="190"/>
        <w:shd w:val="clear" w:color="auto" w:fill="FFFFFF"/>
        <w:spacing w:line="360" w:lineRule="auto"/>
        <w:jc w:val="right"/>
        <w:rPr>
          <w:rFonts w:hint="eastAsia" w:ascii="宋体" w:hAnsi="宋体" w:cs="宋体"/>
          <w:color w:val="auto"/>
          <w:sz w:val="24"/>
          <w:szCs w:val="24"/>
          <w:highlight w:val="none"/>
          <w:lang w:val="zh-TW"/>
        </w:rPr>
      </w:pPr>
    </w:p>
    <w:p w14:paraId="1A4BAEA9">
      <w:pPr>
        <w:pStyle w:val="190"/>
        <w:shd w:val="clear" w:color="auto" w:fill="FFFFFF"/>
        <w:spacing w:line="360" w:lineRule="auto"/>
        <w:jc w:val="right"/>
        <w:rPr>
          <w:rFonts w:hint="eastAsia" w:ascii="宋体" w:hAnsi="宋体" w:cs="宋体"/>
          <w:color w:val="auto"/>
          <w:sz w:val="24"/>
          <w:szCs w:val="24"/>
          <w:highlight w:val="none"/>
          <w:lang w:val="zh-TW"/>
        </w:rPr>
      </w:pPr>
    </w:p>
    <w:p w14:paraId="6F6EFFBA">
      <w:pPr>
        <w:pStyle w:val="190"/>
        <w:shd w:val="clear" w:color="auto" w:fill="FFFFFF"/>
        <w:spacing w:line="360" w:lineRule="auto"/>
        <w:jc w:val="right"/>
        <w:rPr>
          <w:rFonts w:ascii="宋体" w:cs="宋体"/>
          <w:color w:val="auto"/>
          <w:sz w:val="24"/>
          <w:szCs w:val="24"/>
          <w:highlight w:val="none"/>
        </w:rPr>
      </w:pPr>
      <w:r>
        <w:rPr>
          <w:rFonts w:hint="eastAsia" w:ascii="宋体" w:hAnsi="宋体" w:cs="宋体"/>
          <w:color w:val="auto"/>
          <w:sz w:val="24"/>
          <w:szCs w:val="24"/>
          <w:highlight w:val="none"/>
          <w:lang w:val="zh-TW" w:eastAsia="zh-TW"/>
        </w:rPr>
        <w:t>投标单位（加盖电子公章）：</w:t>
      </w:r>
      <w:r>
        <w:rPr>
          <w:rFonts w:ascii="宋体" w:cs="宋体"/>
          <w:color w:val="auto"/>
          <w:sz w:val="24"/>
          <w:szCs w:val="24"/>
          <w:highlight w:val="none"/>
          <w:u w:val="single"/>
        </w:rPr>
        <w:t>                      </w:t>
      </w:r>
    </w:p>
    <w:p w14:paraId="508D9785">
      <w:pPr>
        <w:pStyle w:val="190"/>
        <w:shd w:val="clear" w:color="auto" w:fill="FFFFFF"/>
        <w:spacing w:line="360" w:lineRule="auto"/>
        <w:jc w:val="right"/>
        <w:rPr>
          <w:rFonts w:ascii="宋体" w:cs="宋体"/>
          <w:color w:val="auto"/>
          <w:sz w:val="24"/>
          <w:szCs w:val="24"/>
          <w:highlight w:val="none"/>
          <w:u w:val="single"/>
        </w:rPr>
      </w:pPr>
      <w:r>
        <w:rPr>
          <w:rFonts w:hint="eastAsia" w:ascii="宋体" w:hAnsi="宋体" w:cs="宋体"/>
          <w:color w:val="auto"/>
          <w:sz w:val="24"/>
          <w:szCs w:val="24"/>
          <w:highlight w:val="none"/>
          <w:lang w:val="zh-TW" w:eastAsia="zh-TW"/>
        </w:rPr>
        <w:t>授权代表（签字）：</w:t>
      </w:r>
      <w:r>
        <w:rPr>
          <w:rFonts w:ascii="宋体" w:cs="宋体"/>
          <w:color w:val="auto"/>
          <w:sz w:val="24"/>
          <w:szCs w:val="24"/>
          <w:highlight w:val="none"/>
          <w:u w:val="single"/>
        </w:rPr>
        <w:t>                      </w:t>
      </w:r>
    </w:p>
    <w:p w14:paraId="1B7659D3">
      <w:pPr>
        <w:spacing w:line="360" w:lineRule="auto"/>
        <w:jc w:val="right"/>
        <w:rPr>
          <w:rFonts w:ascii="宋体" w:hAnsi="宋体"/>
          <w:b/>
          <w:bCs/>
          <w:color w:val="auto"/>
          <w:highlight w:val="none"/>
          <w:lang w:eastAsia="zh-CN"/>
        </w:rPr>
      </w:pPr>
      <w:r>
        <w:rPr>
          <w:rFonts w:hint="eastAsia" w:ascii="宋体" w:hAnsi="宋体" w:cs="宋体"/>
          <w:color w:val="auto"/>
          <w:highlight w:val="none"/>
          <w:lang w:val="zh-TW" w:eastAsia="zh-TW"/>
        </w:rPr>
        <w:t>日期：</w:t>
      </w:r>
      <w:r>
        <w:rPr>
          <w:rFonts w:ascii="宋体" w:hAnsi="宋体" w:cs="宋体"/>
          <w:color w:val="auto"/>
          <w:highlight w:val="none"/>
          <w:u w:val="single"/>
          <w:lang w:val="zh-TW" w:eastAsia="zh-TW"/>
        </w:rPr>
        <w:t>             </w:t>
      </w:r>
    </w:p>
    <w:p w14:paraId="6597F64E">
      <w:pPr>
        <w:pStyle w:val="191"/>
        <w:spacing w:before="0" w:after="0" w:line="360" w:lineRule="auto"/>
        <w:jc w:val="left"/>
        <w:rPr>
          <w:color w:val="auto"/>
          <w:sz w:val="24"/>
          <w:szCs w:val="24"/>
          <w:highlight w:val="none"/>
          <w:lang w:val="zh-TW" w:eastAsia="zh-TW"/>
        </w:rPr>
      </w:pPr>
      <w:r>
        <w:rPr>
          <w:rFonts w:ascii="宋体" w:hAnsi="宋体" w:cs="宋体"/>
          <w:color w:val="auto"/>
          <w:sz w:val="24"/>
          <w:szCs w:val="24"/>
          <w:highlight w:val="none"/>
          <w:lang w:val="zh-TW" w:eastAsia="zh-TW"/>
        </w:rPr>
        <w:br w:type="page" w:clear="all"/>
      </w:r>
      <w:r>
        <w:rPr>
          <w:rFonts w:hint="eastAsia" w:ascii="宋体" w:hAnsi="宋体" w:cs="宋体"/>
          <w:color w:val="auto"/>
          <w:sz w:val="24"/>
          <w:szCs w:val="24"/>
          <w:highlight w:val="none"/>
          <w:lang w:val="zh-TW" w:eastAsia="zh-TW"/>
        </w:rPr>
        <w:t>附件十</w:t>
      </w:r>
      <w:r>
        <w:rPr>
          <w:rFonts w:hint="eastAsia" w:ascii="宋体" w:hAnsi="宋体" w:cs="宋体"/>
          <w:color w:val="auto"/>
          <w:sz w:val="24"/>
          <w:szCs w:val="24"/>
          <w:highlight w:val="none"/>
          <w:lang w:val="zh-TW" w:eastAsia="zh-CN"/>
        </w:rPr>
        <w:t>一</w:t>
      </w:r>
      <w:r>
        <w:rPr>
          <w:rFonts w:hint="eastAsia" w:ascii="宋体" w:hAnsi="宋体" w:cs="宋体"/>
          <w:color w:val="auto"/>
          <w:sz w:val="24"/>
          <w:szCs w:val="24"/>
          <w:highlight w:val="none"/>
          <w:lang w:val="zh-TW" w:eastAsia="zh-TW"/>
        </w:rPr>
        <w:t>：资格证明文件</w:t>
      </w:r>
    </w:p>
    <w:p w14:paraId="2B8ABD41">
      <w:pPr>
        <w:spacing w:line="324" w:lineRule="auto"/>
        <w:ind w:firstLine="482"/>
        <w:rPr>
          <w:rFonts w:hint="eastAsia" w:ascii="宋体" w:hAnsi="宋体" w:cs="宋体"/>
          <w:color w:val="auto"/>
          <w:highlight w:val="none"/>
          <w:lang w:eastAsia="zh-CN"/>
        </w:rPr>
      </w:pPr>
      <w:r>
        <w:rPr>
          <w:rFonts w:hint="eastAsia" w:ascii="宋体" w:hAnsi="宋体" w:cs="宋体"/>
          <w:color w:val="auto"/>
          <w:highlight w:val="none"/>
          <w:lang w:eastAsia="zh-CN"/>
        </w:rPr>
        <w:t>（一）满足《中华人民共和国政府采购法》第二十二条规定：</w:t>
      </w:r>
    </w:p>
    <w:p w14:paraId="6CFFA825">
      <w:pPr>
        <w:spacing w:line="324" w:lineRule="auto"/>
        <w:ind w:firstLine="482"/>
        <w:rPr>
          <w:rFonts w:hint="eastAsia" w:ascii="宋体" w:hAnsi="宋体" w:cs="宋体"/>
          <w:color w:val="auto"/>
          <w:highlight w:val="none"/>
          <w:lang w:eastAsia="zh-CN"/>
        </w:rPr>
      </w:pPr>
      <w:r>
        <w:rPr>
          <w:rFonts w:hint="eastAsia" w:ascii="宋体" w:hAnsi="宋体" w:cs="宋体"/>
          <w:color w:val="auto"/>
          <w:highlight w:val="none"/>
          <w:lang w:eastAsia="zh-CN"/>
        </w:rPr>
        <w:t xml:space="preserve">1.具有独立承担民事责任的能力。（提供法人或者其他组织的营业执照；供应商为自然人的，提供其身份证）；说明：提供法人或者其他组织的营业执照电子件；供应商为自然人的，提供其身份证正、反面电子件；  </w:t>
      </w:r>
    </w:p>
    <w:p w14:paraId="11A78BE4">
      <w:pPr>
        <w:spacing w:line="324" w:lineRule="auto"/>
        <w:ind w:firstLine="482"/>
        <w:rPr>
          <w:rFonts w:hint="eastAsia" w:ascii="宋体" w:hAnsi="宋体" w:cs="宋体"/>
          <w:color w:val="auto"/>
          <w:highlight w:val="none"/>
          <w:lang w:eastAsia="zh-CN"/>
        </w:rPr>
      </w:pPr>
      <w:r>
        <w:rPr>
          <w:rFonts w:hint="eastAsia" w:ascii="宋体" w:hAnsi="宋体" w:cs="宋体"/>
          <w:color w:val="auto"/>
          <w:highlight w:val="none"/>
          <w:lang w:eastAsia="zh-CN"/>
        </w:rPr>
        <w:t>2.具有良好的商业信誉和健全的财务会计制度。（提供以下三种材料的任意一种，扫描件加盖公章）：</w:t>
      </w:r>
    </w:p>
    <w:p w14:paraId="2E4A4A28">
      <w:pPr>
        <w:spacing w:line="324" w:lineRule="auto"/>
        <w:ind w:firstLine="482"/>
        <w:rPr>
          <w:rFonts w:hint="eastAsia" w:ascii="宋体" w:hAnsi="宋体" w:cs="宋体"/>
          <w:color w:val="auto"/>
          <w:highlight w:val="none"/>
          <w:lang w:eastAsia="zh-CN"/>
        </w:rPr>
      </w:pPr>
      <w:r>
        <w:rPr>
          <w:rFonts w:hint="eastAsia" w:ascii="宋体" w:hAnsi="宋体" w:cs="宋体"/>
          <w:color w:val="auto"/>
          <w:highlight w:val="none"/>
          <w:lang w:eastAsia="zh-CN"/>
        </w:rPr>
        <w:t>①2024年度或202</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年度的经第三方会计师事务所审计的财务报告扫描件（包括报告及报表等内容，并由注册会计师签名、盖章以及会计师事务所盖章）；</w:t>
      </w:r>
    </w:p>
    <w:p w14:paraId="57A86B4B">
      <w:pPr>
        <w:spacing w:line="324" w:lineRule="auto"/>
        <w:ind w:firstLine="482"/>
        <w:rPr>
          <w:rFonts w:hint="eastAsia" w:ascii="宋体" w:hAnsi="宋体" w:cs="宋体"/>
          <w:color w:val="auto"/>
          <w:highlight w:val="none"/>
          <w:lang w:eastAsia="zh-CN"/>
        </w:rPr>
      </w:pPr>
      <w:r>
        <w:rPr>
          <w:rFonts w:hint="eastAsia" w:ascii="宋体" w:hAnsi="宋体" w:cs="宋体"/>
          <w:color w:val="auto"/>
          <w:highlight w:val="none"/>
          <w:lang w:eastAsia="zh-CN"/>
        </w:rPr>
        <w:t>②提交投标文件截止日前六个月内（2025年11月—2026年4月）基本开户银行出具的资信证明；</w:t>
      </w:r>
    </w:p>
    <w:p w14:paraId="3E3F5758">
      <w:pPr>
        <w:spacing w:line="324" w:lineRule="auto"/>
        <w:ind w:firstLine="482"/>
        <w:rPr>
          <w:rFonts w:hint="eastAsia" w:ascii="宋体" w:hAnsi="宋体" w:cs="宋体"/>
          <w:color w:val="auto"/>
          <w:highlight w:val="none"/>
          <w:lang w:eastAsia="zh-CN"/>
        </w:rPr>
      </w:pPr>
      <w:r>
        <w:rPr>
          <w:rFonts w:hint="eastAsia" w:ascii="宋体" w:hAnsi="宋体" w:cs="宋体"/>
          <w:color w:val="auto"/>
          <w:highlight w:val="none"/>
          <w:lang w:eastAsia="zh-CN"/>
        </w:rPr>
        <w:t xml:space="preserve">③提交投标文件截止时间前六个月内（2025年11月—2026年4月）任意一个月的财务状况记录（至少包括资产负债表和损益表，并加盖公章） </w:t>
      </w:r>
    </w:p>
    <w:p w14:paraId="5C372E29">
      <w:pPr>
        <w:spacing w:line="324" w:lineRule="auto"/>
        <w:ind w:firstLine="482"/>
        <w:rPr>
          <w:rFonts w:hint="eastAsia" w:ascii="宋体" w:hAnsi="宋体" w:cs="宋体"/>
          <w:color w:val="auto"/>
          <w:highlight w:val="none"/>
          <w:lang w:eastAsia="zh-CN"/>
        </w:rPr>
      </w:pPr>
      <w:r>
        <w:rPr>
          <w:rFonts w:hint="eastAsia" w:ascii="宋体" w:hAnsi="宋体" w:cs="宋体"/>
          <w:color w:val="auto"/>
          <w:highlight w:val="none"/>
          <w:lang w:eastAsia="zh-CN"/>
        </w:rPr>
        <w:t>3.具有履行合同所必需的设备和专业技术能力。（提供书面声明加盖公章）</w:t>
      </w:r>
    </w:p>
    <w:p w14:paraId="488643DB">
      <w:pPr>
        <w:spacing w:line="324" w:lineRule="auto"/>
        <w:ind w:firstLine="482"/>
        <w:rPr>
          <w:rFonts w:hint="eastAsia" w:ascii="宋体" w:hAnsi="宋体" w:cs="宋体"/>
          <w:color w:val="auto"/>
          <w:highlight w:val="none"/>
          <w:lang w:eastAsia="zh-CN"/>
        </w:rPr>
      </w:pPr>
      <w:r>
        <w:rPr>
          <w:rFonts w:hint="eastAsia" w:ascii="宋体" w:hAnsi="宋体" w:cs="宋体"/>
          <w:color w:val="auto"/>
          <w:highlight w:val="none"/>
          <w:lang w:eastAsia="zh-CN"/>
        </w:rPr>
        <w:t>4.有依法缴纳税收和社会保障资金的良好记录。（提供投标文件截止时间前六个月内（2025年11月—2026年4月）至少一个月依法缴纳税收和社会保障资金的相关资料，复印件加盖公章）</w:t>
      </w:r>
    </w:p>
    <w:p w14:paraId="20116271">
      <w:pPr>
        <w:spacing w:line="324" w:lineRule="auto"/>
        <w:ind w:firstLine="482"/>
        <w:rPr>
          <w:rFonts w:hint="eastAsia" w:ascii="宋体" w:hAnsi="宋体" w:cs="宋体"/>
          <w:color w:val="auto"/>
          <w:highlight w:val="none"/>
          <w:lang w:eastAsia="zh-CN"/>
        </w:rPr>
      </w:pPr>
      <w:r>
        <w:rPr>
          <w:rFonts w:hint="eastAsia" w:ascii="宋体" w:hAnsi="宋体" w:cs="宋体"/>
          <w:color w:val="auto"/>
          <w:highlight w:val="none"/>
          <w:lang w:eastAsia="zh-CN"/>
        </w:rPr>
        <w:t>5.参加采购活动前三年内，在经营活动中没有重大违法记录。（提供书面声明加盖公章）</w:t>
      </w:r>
    </w:p>
    <w:p w14:paraId="4C495F2A">
      <w:pPr>
        <w:spacing w:line="324" w:lineRule="auto"/>
        <w:ind w:firstLine="482"/>
        <w:rPr>
          <w:rFonts w:hint="eastAsia" w:ascii="宋体" w:hAnsi="宋体" w:cs="宋体"/>
          <w:color w:val="auto"/>
          <w:highlight w:val="none"/>
          <w:lang w:eastAsia="zh-CN"/>
        </w:rPr>
      </w:pPr>
      <w:r>
        <w:rPr>
          <w:rFonts w:hint="eastAsia" w:ascii="宋体" w:hAnsi="宋体" w:cs="宋体"/>
          <w:color w:val="auto"/>
          <w:highlight w:val="none"/>
          <w:lang w:eastAsia="zh-CN"/>
        </w:rPr>
        <w:t>6.法律、行政法规规定的其他条件。</w:t>
      </w:r>
    </w:p>
    <w:p w14:paraId="379D97B1">
      <w:pPr>
        <w:spacing w:line="324" w:lineRule="auto"/>
        <w:ind w:firstLine="482"/>
        <w:rPr>
          <w:rFonts w:hint="eastAsia" w:ascii="宋体" w:hAnsi="宋体" w:cs="宋体"/>
          <w:b/>
          <w:bCs/>
          <w:color w:val="auto"/>
          <w:highlight w:val="none"/>
          <w:lang w:eastAsia="zh-CN"/>
        </w:rPr>
      </w:pPr>
      <w:r>
        <w:rPr>
          <w:rFonts w:hint="eastAsia" w:ascii="宋体" w:hAnsi="宋体" w:cs="宋体"/>
          <w:b/>
          <w:bCs/>
          <w:color w:val="auto"/>
          <w:highlight w:val="none"/>
          <w:lang w:eastAsia="zh-CN"/>
        </w:rPr>
        <w:t>2.落实政府采购政策需要满足的资格条件：</w:t>
      </w:r>
    </w:p>
    <w:p w14:paraId="09C35AF0">
      <w:pPr>
        <w:spacing w:line="360" w:lineRule="auto"/>
        <w:ind w:firstLine="480"/>
        <w:rPr>
          <w:rFonts w:ascii="宋体" w:hAnsi="宋体" w:cs="Arial"/>
          <w:color w:val="auto"/>
          <w:highlight w:val="none"/>
          <w:lang w:eastAsia="zh-CN"/>
        </w:rPr>
      </w:pPr>
      <w:r>
        <w:rPr>
          <w:rFonts w:hint="eastAsia" w:ascii="宋体" w:hAnsi="宋体" w:cs="宋体"/>
          <w:color w:val="auto"/>
          <w:highlight w:val="none"/>
          <w:lang w:eastAsia="zh-CN"/>
        </w:rPr>
        <w:t>本项目按照采用以下第</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1</w:t>
      </w:r>
      <w:r>
        <w:rPr>
          <w:rFonts w:hint="eastAsia" w:ascii="宋体" w:hAnsi="宋体" w:cs="宋体"/>
          <w:color w:val="auto"/>
          <w:highlight w:val="none"/>
          <w:u w:val="single"/>
          <w:lang w:eastAsia="zh-CN"/>
        </w:rPr>
        <w:t>）</w:t>
      </w:r>
      <w:r>
        <w:rPr>
          <w:rFonts w:hint="eastAsia" w:ascii="宋体" w:hAnsi="宋体" w:cs="宋体"/>
          <w:color w:val="auto"/>
          <w:highlight w:val="none"/>
          <w:lang w:eastAsia="zh-CN"/>
        </w:rPr>
        <w:t>种方式落实政府采购促进中小企业发展的要求：</w:t>
      </w:r>
    </w:p>
    <w:p w14:paraId="5B494177">
      <w:pPr>
        <w:spacing w:line="360" w:lineRule="auto"/>
        <w:ind w:firstLine="480"/>
        <w:rPr>
          <w:rFonts w:ascii="宋体" w:hAnsi="宋体" w:cs="宋体"/>
          <w:color w:val="auto"/>
          <w:highlight w:val="none"/>
          <w:lang w:eastAsia="zh-CN"/>
        </w:rPr>
      </w:pPr>
      <w:r>
        <w:rPr>
          <w:rFonts w:hint="eastAsia" w:ascii="宋体" w:hAnsi="宋体" w:cs="宋体"/>
          <w:color w:val="auto"/>
          <w:highlight w:val="none"/>
          <w:lang w:eastAsia="zh-CN"/>
        </w:rPr>
        <w:t>（1）本项目整体专门面向中小企业采购；</w:t>
      </w:r>
    </w:p>
    <w:p w14:paraId="7244F136">
      <w:pPr>
        <w:spacing w:line="360" w:lineRule="auto"/>
        <w:ind w:firstLine="480"/>
        <w:rPr>
          <w:rFonts w:ascii="宋体" w:hAnsi="宋体" w:cs="宋体"/>
          <w:color w:val="auto"/>
          <w:highlight w:val="none"/>
          <w:lang w:eastAsia="zh-CN"/>
        </w:rPr>
      </w:pPr>
      <w:r>
        <w:rPr>
          <w:rFonts w:hint="eastAsia" w:ascii="宋体" w:hAnsi="宋体" w:cs="宋体"/>
          <w:color w:val="auto"/>
          <w:highlight w:val="none"/>
          <w:lang w:eastAsia="zh-CN"/>
        </w:rPr>
        <w:t>（2）本项目整体专门面向小微企业采购；</w:t>
      </w:r>
    </w:p>
    <w:p w14:paraId="7157FF25">
      <w:pPr>
        <w:spacing w:line="360" w:lineRule="auto"/>
        <w:ind w:firstLine="480"/>
        <w:rPr>
          <w:rFonts w:ascii="宋体" w:hAnsi="宋体" w:cs="宋体"/>
          <w:color w:val="auto"/>
          <w:highlight w:val="none"/>
          <w:lang w:eastAsia="zh-CN"/>
        </w:rPr>
      </w:pPr>
      <w:r>
        <w:rPr>
          <w:rFonts w:hint="eastAsia" w:ascii="宋体" w:hAnsi="宋体" w:cs="宋体"/>
          <w:color w:val="auto"/>
          <w:highlight w:val="none"/>
          <w:lang w:eastAsia="zh-CN"/>
        </w:rPr>
        <w:t>（3）本项目通过以下第</w:t>
      </w:r>
      <w:r>
        <w:rPr>
          <w:rFonts w:hint="eastAsia" w:ascii="宋体" w:hAnsi="宋体" w:cs="宋体"/>
          <w:color w:val="auto"/>
          <w:highlight w:val="none"/>
          <w:u w:val="single"/>
          <w:lang w:eastAsia="zh-CN"/>
        </w:rPr>
        <w:t xml:space="preserve"> </w:t>
      </w:r>
      <w:r>
        <w:rPr>
          <w:rFonts w:ascii="宋体" w:hAnsi="宋体" w:cs="宋体"/>
          <w:color w:val="auto"/>
          <w:highlight w:val="none"/>
          <w:u w:val="single"/>
          <w:lang w:eastAsia="zh-CN"/>
        </w:rPr>
        <w:t xml:space="preserve">/ </w:t>
      </w:r>
      <w:r>
        <w:rPr>
          <w:rFonts w:hint="eastAsia" w:ascii="宋体" w:hAnsi="宋体" w:cs="宋体"/>
          <w:color w:val="auto"/>
          <w:highlight w:val="none"/>
          <w:lang w:eastAsia="zh-CN"/>
        </w:rPr>
        <w:t>种方式预留部分采购份额，面向中小企业采购：</w:t>
      </w:r>
    </w:p>
    <w:p w14:paraId="4830CD3A">
      <w:pPr>
        <w:spacing w:line="360" w:lineRule="auto"/>
        <w:ind w:firstLine="480"/>
        <w:rPr>
          <w:rFonts w:ascii="宋体" w:hAnsi="宋体" w:cs="宋体"/>
          <w:color w:val="auto"/>
          <w:highlight w:val="none"/>
          <w:lang w:eastAsia="zh-CN"/>
        </w:rPr>
      </w:pPr>
      <w:r>
        <w:rPr>
          <w:rFonts w:hint="eastAsia" w:ascii="宋体" w:hAnsi="宋体" w:cs="宋体"/>
          <w:color w:val="auto"/>
          <w:highlight w:val="none"/>
          <w:lang w:eastAsia="zh-CN"/>
        </w:rPr>
        <w:t>①本项目要求供应商以联合体形式参加，中小企业合同金额应当达到的比例为</w:t>
      </w:r>
      <w:r>
        <w:rPr>
          <w:rFonts w:hint="eastAsia" w:ascii="宋体" w:hAnsi="宋体" w:cs="宋体"/>
          <w:color w:val="auto"/>
          <w:highlight w:val="none"/>
          <w:u w:val="single"/>
          <w:lang w:eastAsia="zh-CN"/>
        </w:rPr>
        <w:t xml:space="preserve"> </w:t>
      </w:r>
      <w:r>
        <w:rPr>
          <w:rFonts w:ascii="宋体" w:hAnsi="宋体" w:cs="宋体"/>
          <w:color w:val="auto"/>
          <w:highlight w:val="none"/>
          <w:u w:val="single"/>
          <w:lang w:eastAsia="zh-CN"/>
        </w:rPr>
        <w:t xml:space="preserve">/ </w:t>
      </w:r>
      <w:r>
        <w:rPr>
          <w:rFonts w:hint="eastAsia" w:ascii="宋体" w:hAnsi="宋体" w:cs="宋体"/>
          <w:color w:val="auto"/>
          <w:highlight w:val="none"/>
          <w:lang w:eastAsia="zh-CN"/>
        </w:rPr>
        <w:t>%；</w:t>
      </w:r>
    </w:p>
    <w:p w14:paraId="4374A0F1">
      <w:pPr>
        <w:spacing w:line="360" w:lineRule="auto"/>
        <w:ind w:firstLine="480"/>
        <w:rPr>
          <w:rFonts w:ascii="宋体" w:hAnsi="宋体" w:cs="宋体"/>
          <w:color w:val="auto"/>
          <w:highlight w:val="none"/>
          <w:lang w:eastAsia="zh-CN"/>
        </w:rPr>
      </w:pPr>
      <w:r>
        <w:rPr>
          <w:rFonts w:hint="eastAsia" w:ascii="宋体" w:hAnsi="宋体" w:cs="宋体"/>
          <w:color w:val="auto"/>
          <w:highlight w:val="none"/>
          <w:lang w:eastAsia="zh-CN"/>
        </w:rPr>
        <w:t>②本项目要求供应商进行合同分包，中小企业合同金额应当达到的比例为</w:t>
      </w:r>
      <w:r>
        <w:rPr>
          <w:rFonts w:hint="eastAsia" w:ascii="宋体" w:hAnsi="宋体" w:cs="宋体"/>
          <w:color w:val="auto"/>
          <w:highlight w:val="none"/>
          <w:u w:val="single"/>
          <w:lang w:eastAsia="zh-CN"/>
        </w:rPr>
        <w:t xml:space="preserve"> </w:t>
      </w:r>
      <w:r>
        <w:rPr>
          <w:rFonts w:ascii="宋体" w:hAnsi="宋体" w:cs="宋体"/>
          <w:color w:val="auto"/>
          <w:highlight w:val="none"/>
          <w:u w:val="single"/>
          <w:lang w:eastAsia="zh-CN"/>
        </w:rPr>
        <w:t xml:space="preserve">/ </w:t>
      </w:r>
      <w:r>
        <w:rPr>
          <w:rFonts w:hint="eastAsia" w:ascii="宋体" w:hAnsi="宋体" w:cs="宋体"/>
          <w:color w:val="auto"/>
          <w:highlight w:val="none"/>
          <w:lang w:eastAsia="zh-CN"/>
        </w:rPr>
        <w:t>%。</w:t>
      </w:r>
    </w:p>
    <w:p w14:paraId="4A13955F">
      <w:pPr>
        <w:spacing w:line="360" w:lineRule="auto"/>
        <w:ind w:firstLine="480"/>
        <w:rPr>
          <w:rFonts w:ascii="宋体" w:hAnsi="宋体" w:cs="宋体"/>
          <w:color w:val="auto"/>
          <w:highlight w:val="none"/>
          <w:lang w:eastAsia="zh-CN"/>
        </w:rPr>
      </w:pPr>
      <w:r>
        <w:rPr>
          <w:rFonts w:hint="eastAsia" w:ascii="宋体" w:hAnsi="宋体" w:cs="宋体"/>
          <w:color w:val="auto"/>
          <w:highlight w:val="none"/>
          <w:lang w:eastAsia="zh-CN"/>
        </w:rPr>
        <w:t>（4）本项目为非预留份额专门面向中小企业的采购项目或采购包，执行价格扣除优惠政策，详见“第五章评标办法与评分标准”。</w:t>
      </w:r>
    </w:p>
    <w:p w14:paraId="20AEFABB">
      <w:pPr>
        <w:spacing w:line="324"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（2）</w:t>
      </w:r>
      <w:r>
        <w:rPr>
          <w:rFonts w:hint="eastAsia" w:ascii="宋体" w:hAnsi="宋体" w:cs="宋体"/>
          <w:color w:val="auto"/>
          <w:highlight w:val="none"/>
          <w:lang w:val="zh-CN" w:eastAsia="zh-CN"/>
        </w:rPr>
        <w:t>本项目采购标的对应的中小企业划分标准所属行业为：</w:t>
      </w:r>
      <w:r>
        <w:rPr>
          <w:rFonts w:hint="eastAsia" w:ascii="宋体" w:hAnsi="宋体" w:cs="宋体"/>
          <w:color w:val="auto"/>
          <w:highlight w:val="none"/>
          <w:lang w:eastAsia="zh-CN"/>
        </w:rPr>
        <w:t>建筑业</w:t>
      </w:r>
      <w:r>
        <w:rPr>
          <w:rFonts w:hint="eastAsia" w:ascii="宋体" w:hAnsi="宋体" w:cs="宋体"/>
          <w:color w:val="auto"/>
          <w:highlight w:val="none"/>
          <w:lang w:val="zh-CN" w:eastAsia="zh-CN"/>
        </w:rPr>
        <w:t>。</w:t>
      </w:r>
    </w:p>
    <w:p w14:paraId="744BFDF4">
      <w:pPr>
        <w:widowControl w:val="0"/>
        <w:tabs>
          <w:tab w:val="left" w:pos="562"/>
          <w:tab w:val="left" w:pos="3372"/>
          <w:tab w:val="left" w:pos="3653"/>
        </w:tabs>
        <w:spacing w:line="360" w:lineRule="auto"/>
        <w:ind w:firstLine="482"/>
        <w:rPr>
          <w:rFonts w:hint="eastAsia" w:ascii="宋体" w:hAnsi="宋体" w:cs="宋体"/>
          <w:b/>
          <w:bCs/>
          <w:color w:val="auto"/>
          <w:highlight w:val="none"/>
          <w:lang w:eastAsia="zh-CN"/>
        </w:rPr>
      </w:pPr>
      <w:r>
        <w:rPr>
          <w:rFonts w:hint="eastAsia" w:ascii="宋体" w:hAnsi="宋体" w:cs="宋体"/>
          <w:b/>
          <w:bCs/>
          <w:color w:val="auto"/>
          <w:highlight w:val="none"/>
          <w:lang w:eastAsia="zh-CN"/>
        </w:rPr>
        <w:t>3.本项目的特定资格要求：</w:t>
      </w:r>
    </w:p>
    <w:p w14:paraId="7D7990B0">
      <w:pPr>
        <w:pStyle w:val="302"/>
        <w:rPr>
          <w:rFonts w:hint="eastAsia" w:eastAsia="宋体"/>
          <w:bCs/>
          <w:color w:val="auto"/>
          <w:highlight w:val="none"/>
          <w:lang w:eastAsia="zh-CN"/>
        </w:rPr>
      </w:pPr>
      <w:r>
        <w:rPr>
          <w:rFonts w:hint="eastAsia"/>
          <w:bCs/>
          <w:color w:val="auto"/>
          <w:highlight w:val="none"/>
        </w:rPr>
        <w:t>（</w:t>
      </w:r>
      <w:r>
        <w:rPr>
          <w:bCs/>
          <w:color w:val="auto"/>
          <w:highlight w:val="none"/>
        </w:rPr>
        <w:t>1</w:t>
      </w:r>
      <w:r>
        <w:rPr>
          <w:rFonts w:hint="eastAsia"/>
          <w:bCs/>
          <w:color w:val="auto"/>
          <w:highlight w:val="none"/>
        </w:rPr>
        <w:t>）供应商资质证书类别及等级要求：具有</w:t>
      </w:r>
      <w:r>
        <w:rPr>
          <w:rFonts w:hint="eastAsia"/>
          <w:bCs/>
          <w:color w:val="auto"/>
          <w:highlight w:val="none"/>
          <w:lang w:val="en-US" w:eastAsia="zh-CN"/>
        </w:rPr>
        <w:t>建筑</w:t>
      </w:r>
      <w:r>
        <w:rPr>
          <w:rFonts w:hint="eastAsia" w:cs="Arial"/>
          <w:color w:val="auto"/>
          <w:highlight w:val="none"/>
        </w:rPr>
        <w:t>工程施工总承包三级</w:t>
      </w:r>
      <w:r>
        <w:rPr>
          <w:rFonts w:hint="eastAsia"/>
          <w:bCs/>
          <w:color w:val="auto"/>
          <w:highlight w:val="none"/>
        </w:rPr>
        <w:t>及以上资质证书，并同时具备安全生产许可证。（提供有效的资质证书、安全生产许可证扫描件加盖供应商电子公章）</w:t>
      </w:r>
      <w:r>
        <w:rPr>
          <w:rFonts w:hint="eastAsia"/>
          <w:bCs/>
          <w:color w:val="auto"/>
          <w:highlight w:val="none"/>
          <w:lang w:eastAsia="zh-CN"/>
        </w:rPr>
        <w:t>。</w:t>
      </w:r>
    </w:p>
    <w:p w14:paraId="61E4F83E">
      <w:pPr>
        <w:pStyle w:val="302"/>
        <w:rPr>
          <w:rFonts w:hint="eastAsia"/>
          <w:color w:val="auto"/>
          <w:highlight w:val="none"/>
        </w:rPr>
      </w:pPr>
      <w:r>
        <w:rPr>
          <w:rFonts w:hint="eastAsia"/>
          <w:bCs/>
          <w:color w:val="auto"/>
          <w:highlight w:val="none"/>
        </w:rPr>
        <w:t>（</w:t>
      </w:r>
      <w:r>
        <w:rPr>
          <w:bCs/>
          <w:color w:val="auto"/>
          <w:highlight w:val="none"/>
        </w:rPr>
        <w:t>2</w:t>
      </w:r>
      <w:r>
        <w:rPr>
          <w:rFonts w:hint="eastAsia"/>
          <w:bCs/>
          <w:color w:val="auto"/>
          <w:highlight w:val="none"/>
        </w:rPr>
        <w:t>）项目负责人资格要求：具备注册建造师建筑工程专业二级及以上，并同时具有安全生产考核合格证书（</w:t>
      </w:r>
      <w:r>
        <w:rPr>
          <w:bCs/>
          <w:color w:val="auto"/>
          <w:highlight w:val="none"/>
        </w:rPr>
        <w:t>B</w:t>
      </w:r>
      <w:r>
        <w:rPr>
          <w:rFonts w:hint="eastAsia"/>
          <w:bCs/>
          <w:color w:val="auto"/>
          <w:highlight w:val="none"/>
        </w:rPr>
        <w:t>类）。（提供有效的注册建造师证书和安全生产考核合格证书扫描件加盖供应商电子公章，同时需提供</w:t>
      </w:r>
      <w:r>
        <w:rPr>
          <w:rFonts w:hint="eastAsia"/>
          <w:color w:val="auto"/>
          <w:highlight w:val="none"/>
        </w:rPr>
        <w:t>供应商</w:t>
      </w:r>
      <w:r>
        <w:rPr>
          <w:rFonts w:hint="eastAsia"/>
          <w:bCs/>
          <w:color w:val="auto"/>
          <w:highlight w:val="none"/>
        </w:rPr>
        <w:t>与投标项目负责人签订的有效劳动合同和</w:t>
      </w:r>
      <w:r>
        <w:rPr>
          <w:rFonts w:hint="eastAsia" w:cs="宋体" w:asciiTheme="minorEastAsia" w:hAnsiTheme="minorEastAsia"/>
          <w:color w:val="auto"/>
          <w:szCs w:val="21"/>
          <w:highlight w:val="none"/>
          <w:lang w:val="zh-CN"/>
        </w:rPr>
        <w:t>近</w:t>
      </w:r>
      <w:r>
        <w:rPr>
          <w:rFonts w:hint="eastAsia" w:cs="宋体" w:asciiTheme="minorEastAsia" w:hAnsiTheme="minorEastAsia"/>
          <w:color w:val="auto"/>
          <w:szCs w:val="21"/>
          <w:highlight w:val="none"/>
          <w:lang w:val="en-US" w:eastAsia="zh-CN"/>
        </w:rPr>
        <w:t>六</w:t>
      </w:r>
      <w:r>
        <w:rPr>
          <w:rFonts w:hint="eastAsia" w:cs="宋体" w:asciiTheme="minorEastAsia" w:hAnsiTheme="minorEastAsia"/>
          <w:color w:val="auto"/>
          <w:szCs w:val="21"/>
          <w:highlight w:val="none"/>
          <w:lang w:val="zh-CN"/>
        </w:rPr>
        <w:t>个月任意一个月</w:t>
      </w:r>
      <w:r>
        <w:rPr>
          <w:rFonts w:hint="eastAsia"/>
          <w:bCs/>
          <w:color w:val="auto"/>
          <w:highlight w:val="none"/>
          <w:lang w:eastAsia="zh-CN"/>
        </w:rPr>
        <w:t>（2025年11月—2026年4月）</w:t>
      </w:r>
      <w:r>
        <w:rPr>
          <w:rFonts w:hint="eastAsia"/>
          <w:bCs/>
          <w:color w:val="auto"/>
          <w:highlight w:val="none"/>
        </w:rPr>
        <w:t>供应商为其缴纳的由劳动和社会保障部门出具的社会保险缴纳单据凭证扫描件并加盖供应商电子公章（须明确缴费月份、个人姓名、缴费单位，并有社保机构公章或社保中心参保缴费证明电子专用章。如供应商为事业编制性质的单位，可提供由机关事业单位社会保险基金部门盖章的相关证明）</w:t>
      </w:r>
      <w:r>
        <w:rPr>
          <w:rFonts w:hint="eastAsia"/>
          <w:color w:val="auto"/>
          <w:highlight w:val="none"/>
        </w:rPr>
        <w:t>。</w:t>
      </w:r>
    </w:p>
    <w:p w14:paraId="34AF2968">
      <w:pPr>
        <w:spacing w:line="360" w:lineRule="auto"/>
        <w:ind w:firstLine="452"/>
        <w:rPr>
          <w:rFonts w:hint="eastAsia"/>
          <w:color w:val="auto"/>
          <w:highlight w:val="none"/>
        </w:rPr>
      </w:pPr>
      <w:r>
        <w:rPr>
          <w:rFonts w:hint="eastAsia" w:ascii="宋体" w:hAnsi="宋体" w:eastAsia="宋体" w:cs="宋体"/>
          <w:color w:val="auto"/>
          <w:spacing w:val="8"/>
          <w:szCs w:val="21"/>
          <w:highlight w:val="none"/>
        </w:rPr>
        <w:t>根据关于全面实行一级建造师电子注册证书的通知(建办市〔2021〕40号)和省住房和城乡建设厅关于我省二级建造师、二级造价工程师、二级注册建筑师、二级注册结构工程师注册证书电子证照换发的公告(〔2023〕26号)要求，注册证书应当符合相关文件规定，否则供应商将自行承担资格审查不通过等相应后果。</w:t>
      </w:r>
    </w:p>
    <w:p w14:paraId="2E3CA5DD">
      <w:pPr>
        <w:pStyle w:val="302"/>
        <w:rPr>
          <w:bCs/>
          <w:color w:val="auto"/>
          <w:highlight w:val="none"/>
        </w:rPr>
      </w:pPr>
      <w:r>
        <w:rPr>
          <w:rFonts w:hint="eastAsia"/>
          <w:bCs/>
          <w:color w:val="auto"/>
          <w:highlight w:val="none"/>
        </w:rPr>
        <w:t>（3）项目负责人必须满足下列条件（符合并提供加盖供应商电子公章的承诺书）：</w:t>
      </w:r>
    </w:p>
    <w:p w14:paraId="341ED396">
      <w:pPr>
        <w:pStyle w:val="302"/>
        <w:rPr>
          <w:bCs/>
          <w:color w:val="auto"/>
          <w:highlight w:val="none"/>
        </w:rPr>
      </w:pPr>
      <w:r>
        <w:rPr>
          <w:bCs/>
          <w:color w:val="auto"/>
          <w:highlight w:val="none"/>
        </w:rPr>
        <w:t>a.</w:t>
      </w:r>
      <w:r>
        <w:rPr>
          <w:rFonts w:hint="eastAsia"/>
          <w:bCs/>
          <w:color w:val="auto"/>
          <w:highlight w:val="none"/>
        </w:rPr>
        <w:t>项目负责人不得同时在两个或者两个以上单位受聘或者执业（包括但不仅限于以下两种情形）：①同时在两个及以上单位签订劳动合同或缴纳社会保险；②将本人执（职）业资格证书同时注册在两个及以上单位；</w:t>
      </w:r>
    </w:p>
    <w:p w14:paraId="0DF041C9">
      <w:pPr>
        <w:pStyle w:val="302"/>
        <w:rPr>
          <w:bCs/>
          <w:color w:val="auto"/>
          <w:highlight w:val="none"/>
        </w:rPr>
      </w:pPr>
      <w:r>
        <w:rPr>
          <w:bCs/>
          <w:color w:val="auto"/>
          <w:highlight w:val="none"/>
        </w:rPr>
        <w:t>b.</w:t>
      </w:r>
      <w:r>
        <w:rPr>
          <w:rFonts w:hint="eastAsia"/>
          <w:bCs/>
          <w:color w:val="auto"/>
          <w:highlight w:val="none"/>
        </w:rPr>
        <w:t>项目负责人是非变更后无在建工程，或项目负责人是变更后无在建工程（必须原合同工期已满且变更备案之日已满</w:t>
      </w:r>
      <w:r>
        <w:rPr>
          <w:bCs/>
          <w:color w:val="auto"/>
          <w:highlight w:val="none"/>
        </w:rPr>
        <w:t>6</w:t>
      </w:r>
      <w:r>
        <w:rPr>
          <w:rFonts w:hint="eastAsia"/>
          <w:bCs/>
          <w:color w:val="auto"/>
          <w:highlight w:val="none"/>
        </w:rPr>
        <w:t>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62D5641E">
      <w:pPr>
        <w:widowControl w:val="0"/>
        <w:tabs>
          <w:tab w:val="left" w:pos="562"/>
          <w:tab w:val="left" w:pos="3372"/>
          <w:tab w:val="left" w:pos="3653"/>
        </w:tabs>
        <w:spacing w:line="360" w:lineRule="auto"/>
        <w:ind w:firstLine="480"/>
        <w:rPr>
          <w:rFonts w:ascii="宋体" w:hAnsi="宋体"/>
          <w:bCs/>
          <w:color w:val="auto"/>
          <w:highlight w:val="none"/>
          <w:lang w:eastAsia="zh-CN"/>
        </w:rPr>
      </w:pPr>
      <w:r>
        <w:rPr>
          <w:rFonts w:ascii="宋体" w:hAnsi="宋体"/>
          <w:bCs/>
          <w:color w:val="auto"/>
          <w:highlight w:val="none"/>
          <w:lang w:eastAsia="zh-CN"/>
        </w:rPr>
        <w:t>c.</w:t>
      </w:r>
      <w:r>
        <w:rPr>
          <w:rFonts w:hint="eastAsia"/>
          <w:color w:val="auto"/>
          <w:highlight w:val="none"/>
          <w:lang w:eastAsia="zh-CN"/>
        </w:rPr>
        <w:t xml:space="preserve"> </w:t>
      </w:r>
      <w:r>
        <w:rPr>
          <w:rFonts w:hint="eastAsia" w:ascii="宋体" w:hAnsi="宋体"/>
          <w:bCs/>
          <w:color w:val="auto"/>
          <w:highlight w:val="none"/>
          <w:lang w:eastAsia="zh-CN"/>
        </w:rPr>
        <w:t>项目负责人无行贿犯罪行为记录；或者有行贿犯罪行为记录，但自记录之日起已超过5年的。</w:t>
      </w:r>
    </w:p>
    <w:p w14:paraId="264D16A9">
      <w:pPr>
        <w:widowControl w:val="0"/>
        <w:tabs>
          <w:tab w:val="left" w:pos="562"/>
          <w:tab w:val="left" w:pos="3372"/>
          <w:tab w:val="left" w:pos="3653"/>
        </w:tabs>
        <w:spacing w:line="360" w:lineRule="auto"/>
        <w:ind w:firstLine="482"/>
        <w:rPr>
          <w:rFonts w:hint="eastAsia" w:ascii="宋体" w:hAnsi="宋体" w:cs="宋体"/>
          <w:b/>
          <w:bCs/>
          <w:color w:val="auto"/>
          <w:highlight w:val="none"/>
          <w:lang w:eastAsia="zh-CN"/>
        </w:rPr>
      </w:pPr>
      <w:r>
        <w:rPr>
          <w:rFonts w:hint="eastAsia" w:ascii="宋体" w:hAnsi="宋体" w:cs="宋体"/>
          <w:b/>
          <w:bCs/>
          <w:color w:val="auto"/>
          <w:highlight w:val="none"/>
          <w:lang w:eastAsia="zh-CN"/>
        </w:rPr>
        <w:t>4.拒绝下述供应商参加本次采购活动：</w:t>
      </w:r>
    </w:p>
    <w:p w14:paraId="42C26EE9">
      <w:pPr>
        <w:widowControl w:val="0"/>
        <w:tabs>
          <w:tab w:val="left" w:pos="562"/>
          <w:tab w:val="left" w:pos="3372"/>
          <w:tab w:val="left" w:pos="3653"/>
        </w:tabs>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（1）供应商单位负责人为同一人或者存在直接控股、管理关系的不同供应商，不得参加同一合同项下的采购活动。</w:t>
      </w:r>
      <w:r>
        <w:rPr>
          <w:rFonts w:hint="eastAsia"/>
          <w:bCs/>
          <w:color w:val="auto"/>
          <w:highlight w:val="none"/>
        </w:rPr>
        <w:t>（符合并提供加盖供应商电子公章的承诺书）</w:t>
      </w:r>
    </w:p>
    <w:p w14:paraId="21C6747D">
      <w:pPr>
        <w:widowControl w:val="0"/>
        <w:tabs>
          <w:tab w:val="left" w:pos="562"/>
          <w:tab w:val="left" w:pos="3372"/>
          <w:tab w:val="left" w:pos="3653"/>
        </w:tabs>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（2）凡为采购项目提供整体设计、规范编制或者项目管理、监理、检测等服务的供应商，不得再参加本项目的采购活动。</w:t>
      </w:r>
      <w:r>
        <w:rPr>
          <w:rFonts w:hint="eastAsia"/>
          <w:bCs/>
          <w:color w:val="auto"/>
          <w:highlight w:val="none"/>
        </w:rPr>
        <w:t>（符合并提供加盖供应商电子公章的承诺书）</w:t>
      </w:r>
    </w:p>
    <w:p w14:paraId="79601BAF">
      <w:pPr>
        <w:widowControl w:val="0"/>
        <w:tabs>
          <w:tab w:val="left" w:pos="562"/>
          <w:tab w:val="left" w:pos="3372"/>
          <w:tab w:val="left" w:pos="3653"/>
        </w:tabs>
        <w:spacing w:line="360" w:lineRule="auto"/>
        <w:ind w:firstLine="480"/>
        <w:rPr>
          <w:rFonts w:ascii="宋体" w:hAnsi="宋体" w:cs="宋体"/>
          <w:b/>
          <w:color w:val="auto"/>
          <w:highlight w:val="none"/>
          <w:lang w:eastAsia="zh-CN"/>
        </w:rPr>
      </w:pPr>
      <w:r>
        <w:rPr>
          <w:rFonts w:hint="eastAsia" w:ascii="宋体" w:hAnsi="宋体"/>
          <w:bCs/>
          <w:color w:val="auto"/>
          <w:highlight w:val="none"/>
          <w:lang w:eastAsia="zh-CN"/>
        </w:rPr>
        <w:t>（3）被列入失信被执行人、重大税收违法案件当事人名单、政府采购严重违法失信行为记录名单及其他不符合《中华人民共和国政府采购法》第二十二条规定条件的供应商参与政府采购活动。</w:t>
      </w:r>
      <w:r>
        <w:rPr>
          <w:rFonts w:ascii="宋体" w:hAnsi="宋体" w:cs="宋体"/>
          <w:b/>
          <w:color w:val="auto"/>
          <w:highlight w:val="none"/>
          <w:lang w:eastAsia="zh-CN"/>
        </w:rPr>
        <w:t xml:space="preserve"> </w:t>
      </w:r>
      <w:r>
        <w:rPr>
          <w:rFonts w:hint="eastAsia"/>
          <w:bCs/>
          <w:color w:val="auto"/>
          <w:highlight w:val="none"/>
        </w:rPr>
        <w:t>（符合并提供加盖供应商电子公章的承诺书）</w:t>
      </w:r>
    </w:p>
    <w:p w14:paraId="3FF44D30">
      <w:pPr>
        <w:spacing w:line="360" w:lineRule="auto"/>
        <w:rPr>
          <w:rFonts w:ascii="宋体" w:hAnsi="宋体"/>
          <w:color w:val="auto"/>
          <w:highlight w:val="none"/>
          <w:lang w:eastAsia="zh-CN"/>
        </w:rPr>
      </w:pPr>
      <w:r>
        <w:rPr>
          <w:color w:val="auto"/>
          <w:highlight w:val="none"/>
          <w:lang w:eastAsia="zh-CN"/>
        </w:rPr>
        <w:br w:type="page" w:clear="all"/>
      </w:r>
      <w:r>
        <w:rPr>
          <w:rFonts w:ascii="宋体" w:hAnsi="宋体"/>
          <w:b/>
          <w:bCs/>
          <w:color w:val="auto"/>
          <w:highlight w:val="none"/>
          <w:lang w:eastAsia="zh-CN"/>
        </w:rPr>
        <w:t>单位负责人、公司控股关系及公司管理关系释义：</w:t>
      </w:r>
    </w:p>
    <w:p w14:paraId="399AD3D1">
      <w:pPr>
        <w:widowControl w:val="0"/>
        <w:spacing w:line="360" w:lineRule="auto"/>
        <w:ind w:firstLine="420"/>
        <w:jc w:val="both"/>
        <w:rPr>
          <w:rFonts w:ascii="宋体" w:hAnsi="宋体"/>
          <w:color w:val="auto"/>
          <w:highlight w:val="none"/>
          <w:lang w:eastAsia="zh-CN"/>
        </w:rPr>
      </w:pPr>
      <w:r>
        <w:rPr>
          <w:rFonts w:hint="eastAsia" w:ascii="宋体" w:hAnsi="宋体" w:cs="宋体"/>
          <w:b/>
          <w:bCs/>
          <w:color w:val="auto"/>
          <w:highlight w:val="none"/>
          <w:lang w:eastAsia="zh-CN"/>
        </w:rPr>
        <w:t>①</w:t>
      </w:r>
      <w:r>
        <w:rPr>
          <w:rFonts w:ascii="宋体" w:hAnsi="宋体"/>
          <w:b/>
          <w:bCs/>
          <w:color w:val="auto"/>
          <w:highlight w:val="none"/>
          <w:lang w:eastAsia="zh-CN"/>
        </w:rPr>
        <w:t>单位负责人：</w:t>
      </w:r>
      <w:r>
        <w:rPr>
          <w:rFonts w:ascii="宋体" w:hAnsi="宋体"/>
          <w:color w:val="auto"/>
          <w:highlight w:val="none"/>
          <w:lang w:eastAsia="zh-CN"/>
        </w:rPr>
        <w:t xml:space="preserve">是指 </w:t>
      </w:r>
      <w:r>
        <w:rPr>
          <w:rFonts w:ascii="宋体" w:hAnsi="宋体"/>
          <w:b/>
          <w:bCs/>
          <w:color w:val="auto"/>
          <w:highlight w:val="none"/>
          <w:lang w:eastAsia="zh-CN"/>
        </w:rPr>
        <w:t xml:space="preserve">A </w:t>
      </w:r>
      <w:r>
        <w:rPr>
          <w:rFonts w:ascii="宋体" w:hAnsi="宋体"/>
          <w:b/>
          <w:bCs/>
          <w:color w:val="auto"/>
          <w:highlight w:val="none"/>
          <w:u w:val="single"/>
          <w:lang w:eastAsia="zh-CN"/>
        </w:rPr>
        <w:t>单位法定代表人</w:t>
      </w:r>
      <w:r>
        <w:rPr>
          <w:rFonts w:ascii="宋体" w:hAnsi="宋体"/>
          <w:color w:val="auto"/>
          <w:highlight w:val="none"/>
          <w:lang w:eastAsia="zh-CN"/>
        </w:rPr>
        <w:t xml:space="preserve">或者 </w:t>
      </w:r>
      <w:r>
        <w:rPr>
          <w:rFonts w:ascii="宋体" w:hAnsi="宋体"/>
          <w:b/>
          <w:bCs/>
          <w:color w:val="auto"/>
          <w:highlight w:val="none"/>
          <w:lang w:eastAsia="zh-CN"/>
        </w:rPr>
        <w:t xml:space="preserve">B </w:t>
      </w:r>
      <w:r>
        <w:rPr>
          <w:rFonts w:ascii="宋体" w:hAnsi="宋体"/>
          <w:b/>
          <w:bCs/>
          <w:color w:val="auto"/>
          <w:highlight w:val="none"/>
          <w:u w:val="single"/>
          <w:lang w:eastAsia="zh-CN"/>
        </w:rPr>
        <w:t>法律、行政法规规定代表单位行使职</w:t>
      </w:r>
      <w:r>
        <w:rPr>
          <w:rFonts w:ascii="宋体" w:hAnsi="宋体"/>
          <w:b/>
          <w:bCs/>
          <w:color w:val="auto"/>
          <w:highlight w:val="none"/>
          <w:lang w:eastAsia="zh-CN"/>
        </w:rPr>
        <w:t xml:space="preserve"> </w:t>
      </w:r>
      <w:r>
        <w:rPr>
          <w:rFonts w:ascii="宋体" w:hAnsi="宋体"/>
          <w:b/>
          <w:bCs/>
          <w:color w:val="auto"/>
          <w:highlight w:val="none"/>
          <w:u w:val="single"/>
          <w:lang w:eastAsia="zh-CN"/>
        </w:rPr>
        <w:t>权的主要负责人。</w:t>
      </w:r>
    </w:p>
    <w:p w14:paraId="62BCC06A">
      <w:pPr>
        <w:widowControl w:val="0"/>
        <w:spacing w:line="360" w:lineRule="auto"/>
        <w:ind w:firstLine="420"/>
        <w:jc w:val="both"/>
        <w:rPr>
          <w:rFonts w:ascii="宋体" w:hAnsi="宋体"/>
          <w:color w:val="auto"/>
          <w:highlight w:val="none"/>
          <w:lang w:eastAsia="zh-CN"/>
        </w:rPr>
      </w:pPr>
      <w:r>
        <w:rPr>
          <w:rFonts w:ascii="宋体" w:hAnsi="宋体"/>
          <w:b/>
          <w:bCs/>
          <w:color w:val="auto"/>
          <w:highlight w:val="none"/>
          <w:lang w:eastAsia="zh-CN"/>
        </w:rPr>
        <w:t>A：所谓法定代表人：</w:t>
      </w:r>
      <w:r>
        <w:rPr>
          <w:rFonts w:ascii="宋体" w:hAnsi="宋体"/>
          <w:color w:val="auto"/>
          <w:highlight w:val="none"/>
          <w:lang w:eastAsia="zh-CN"/>
        </w:rPr>
        <w:t>是指由法律或者法人组织章程规定，代表法人对外行使民事 权利、履行民事义务的负责人。如《公司法》规定，公司法定代表人依照公司章程的规 定由董事长、执行董事或者经理担任；《中华人民共和国全民所有制工业企业法》（以 下简称《全民所有制工业企业法》）规定，厂长是企业的法定代表人；国家机关的最高 行政官员是机关法人的法定代表人等。</w:t>
      </w:r>
    </w:p>
    <w:p w14:paraId="7C899DEF">
      <w:pPr>
        <w:widowControl w:val="0"/>
        <w:spacing w:line="360" w:lineRule="auto"/>
        <w:ind w:firstLine="420"/>
        <w:jc w:val="both"/>
        <w:rPr>
          <w:rFonts w:ascii="宋体" w:hAnsi="宋体"/>
          <w:color w:val="auto"/>
          <w:highlight w:val="none"/>
          <w:lang w:eastAsia="zh-CN"/>
        </w:rPr>
      </w:pPr>
      <w:r>
        <w:rPr>
          <w:rFonts w:ascii="宋体" w:hAnsi="宋体"/>
          <w:b/>
          <w:bCs/>
          <w:color w:val="auto"/>
          <w:highlight w:val="none"/>
          <w:lang w:eastAsia="zh-CN"/>
        </w:rPr>
        <w:t>B：所谓法律、行政法规规定代表单位行使职权的主要负责人：</w:t>
      </w:r>
      <w:r>
        <w:rPr>
          <w:rFonts w:ascii="宋体" w:hAnsi="宋体"/>
          <w:color w:val="auto"/>
          <w:highlight w:val="none"/>
          <w:lang w:eastAsia="zh-CN"/>
        </w:rPr>
        <w:t>是指除法定代表人 以外，法律、行政法规规定的代表单位行使职权的主要负责人。如个人独资企业的投资 人，代表合伙企业执行合伙企业事务的合伙人等。</w:t>
      </w:r>
    </w:p>
    <w:p w14:paraId="2459A4FE">
      <w:pPr>
        <w:widowControl w:val="0"/>
        <w:spacing w:line="360" w:lineRule="auto"/>
        <w:ind w:firstLine="420"/>
        <w:jc w:val="both"/>
        <w:rPr>
          <w:rFonts w:ascii="宋体" w:hAnsi="宋体"/>
          <w:color w:val="auto"/>
          <w:highlight w:val="none"/>
          <w:lang w:eastAsia="zh-CN"/>
        </w:rPr>
      </w:pPr>
    </w:p>
    <w:p w14:paraId="4EB47B1A">
      <w:pPr>
        <w:widowControl w:val="0"/>
        <w:spacing w:line="360" w:lineRule="auto"/>
        <w:ind w:firstLine="420"/>
        <w:jc w:val="both"/>
        <w:rPr>
          <w:rFonts w:ascii="宋体" w:hAnsi="宋体"/>
          <w:color w:val="auto"/>
          <w:highlight w:val="none"/>
          <w:lang w:eastAsia="zh-CN"/>
        </w:rPr>
      </w:pPr>
      <w:r>
        <w:rPr>
          <w:rFonts w:hint="eastAsia" w:ascii="宋体" w:hAnsi="宋体" w:cs="宋体"/>
          <w:b/>
          <w:bCs/>
          <w:color w:val="auto"/>
          <w:highlight w:val="none"/>
          <w:lang w:eastAsia="zh-CN"/>
        </w:rPr>
        <w:t>②</w:t>
      </w:r>
      <w:r>
        <w:rPr>
          <w:rFonts w:ascii="宋体" w:hAnsi="宋体"/>
          <w:b/>
          <w:bCs/>
          <w:color w:val="auto"/>
          <w:highlight w:val="none"/>
          <w:lang w:eastAsia="zh-CN"/>
        </w:rPr>
        <w:t>控股关系：</w:t>
      </w:r>
      <w:r>
        <w:rPr>
          <w:rFonts w:ascii="宋体" w:hAnsi="宋体"/>
          <w:color w:val="auto"/>
          <w:highlight w:val="none"/>
          <w:lang w:eastAsia="zh-CN"/>
        </w:rPr>
        <w:t>政府采购法实施条例所谓控股关系是指单位或个人股东的控股关系。 控股的含义：根据《中华人民共和国公司法》第二百一十六条规定：“本法相关用语的 含义：</w:t>
      </w:r>
      <w:r>
        <w:rPr>
          <w:rFonts w:ascii="宋体" w:hAnsi="宋体"/>
          <w:b/>
          <w:bCs/>
          <w:color w:val="auto"/>
          <w:highlight w:val="none"/>
          <w:lang w:eastAsia="zh-CN"/>
        </w:rPr>
        <w:t xml:space="preserve">（二）控股股东，是指 A </w:t>
      </w:r>
      <w:r>
        <w:rPr>
          <w:rFonts w:ascii="宋体" w:hAnsi="宋体"/>
          <w:b/>
          <w:bCs/>
          <w:color w:val="auto"/>
          <w:highlight w:val="none"/>
          <w:u w:val="single"/>
          <w:lang w:eastAsia="zh-CN"/>
        </w:rPr>
        <w:t>其出资额占有限责任公司资本总额百分之五十以上或者 其持有的股份占股份有限公司股本总额百分之五十以上的股东</w:t>
      </w:r>
      <w:r>
        <w:rPr>
          <w:rFonts w:ascii="宋体" w:hAnsi="宋体"/>
          <w:b/>
          <w:bCs/>
          <w:color w:val="auto"/>
          <w:highlight w:val="none"/>
          <w:lang w:eastAsia="zh-CN"/>
        </w:rPr>
        <w:t xml:space="preserve">；B </w:t>
      </w:r>
      <w:r>
        <w:rPr>
          <w:rFonts w:ascii="宋体" w:hAnsi="宋体"/>
          <w:b/>
          <w:bCs/>
          <w:color w:val="auto"/>
          <w:highlight w:val="none"/>
          <w:u w:val="single"/>
          <w:lang w:eastAsia="zh-CN"/>
        </w:rPr>
        <w:t>出资额或者持有股份</w:t>
      </w:r>
      <w:r>
        <w:rPr>
          <w:rFonts w:ascii="宋体" w:hAnsi="宋体"/>
          <w:b/>
          <w:bCs/>
          <w:color w:val="auto"/>
          <w:highlight w:val="none"/>
          <w:lang w:eastAsia="zh-CN"/>
        </w:rPr>
        <w:t xml:space="preserve"> </w:t>
      </w:r>
      <w:r>
        <w:rPr>
          <w:rFonts w:ascii="宋体" w:hAnsi="宋体"/>
          <w:b/>
          <w:bCs/>
          <w:color w:val="auto"/>
          <w:highlight w:val="none"/>
          <w:u w:val="single"/>
          <w:lang w:eastAsia="zh-CN"/>
        </w:rPr>
        <w:t>的比例虽然不足百分之五十，但依其出资额或者持有的股份所享有的表决权已足以对股</w:t>
      </w:r>
      <w:r>
        <w:rPr>
          <w:rFonts w:ascii="宋体" w:hAnsi="宋体"/>
          <w:b/>
          <w:bCs/>
          <w:color w:val="auto"/>
          <w:highlight w:val="none"/>
          <w:lang w:eastAsia="zh-CN"/>
        </w:rPr>
        <w:t xml:space="preserve"> </w:t>
      </w:r>
      <w:r>
        <w:rPr>
          <w:rFonts w:ascii="宋体" w:hAnsi="宋体"/>
          <w:b/>
          <w:bCs/>
          <w:color w:val="auto"/>
          <w:highlight w:val="none"/>
          <w:u w:val="single"/>
          <w:lang w:eastAsia="zh-CN"/>
        </w:rPr>
        <w:t>东会、股东大会的决议产生重大影响的股东</w:t>
      </w:r>
      <w:r>
        <w:rPr>
          <w:rFonts w:ascii="宋体" w:hAnsi="宋体"/>
          <w:color w:val="auto"/>
          <w:highlight w:val="none"/>
          <w:lang w:eastAsia="zh-CN"/>
        </w:rPr>
        <w:t>”。实践中，一般对 A 所述情形称为绝对控 股，B 所述情形称为相对控股，政府采购法实施条例所称“控股”包括绝对控股和相对 控股。</w:t>
      </w:r>
    </w:p>
    <w:p w14:paraId="5A898734">
      <w:pPr>
        <w:widowControl w:val="0"/>
        <w:spacing w:line="360" w:lineRule="auto"/>
        <w:ind w:firstLine="420"/>
        <w:jc w:val="both"/>
        <w:rPr>
          <w:rFonts w:ascii="宋体" w:hAnsi="宋体"/>
          <w:color w:val="auto"/>
          <w:highlight w:val="none"/>
          <w:lang w:eastAsia="zh-CN"/>
        </w:rPr>
      </w:pPr>
      <w:r>
        <w:rPr>
          <w:rFonts w:hint="eastAsia" w:ascii="宋体" w:hAnsi="宋体" w:cs="宋体"/>
          <w:b/>
          <w:bCs/>
          <w:color w:val="auto"/>
          <w:highlight w:val="none"/>
          <w:lang w:eastAsia="zh-CN"/>
        </w:rPr>
        <w:t>③</w:t>
      </w:r>
      <w:r>
        <w:rPr>
          <w:rFonts w:ascii="宋体" w:hAnsi="宋体"/>
          <w:b/>
          <w:bCs/>
          <w:color w:val="auto"/>
          <w:highlight w:val="none"/>
          <w:lang w:eastAsia="zh-CN"/>
        </w:rPr>
        <w:t>管理关系：</w:t>
      </w:r>
      <w:r>
        <w:rPr>
          <w:rFonts w:ascii="宋体" w:hAnsi="宋体"/>
          <w:color w:val="auto"/>
          <w:highlight w:val="none"/>
          <w:lang w:eastAsia="zh-CN"/>
        </w:rPr>
        <w:t>政府采购法实施条例所谓管理关系是指不具有出资持股关系的其他 单位之间存在的管理与被管理关系，如一些上下级关系的事业单位和团体组织。</w:t>
      </w:r>
    </w:p>
    <w:p w14:paraId="1BE898A7">
      <w:pPr>
        <w:shd w:val="clear" w:color="auto" w:fill="FFFFFF"/>
        <w:spacing w:line="360" w:lineRule="auto"/>
        <w:ind w:right="633"/>
        <w:rPr>
          <w:rFonts w:ascii="宋体" w:hAnsi="宋体"/>
          <w:b/>
          <w:color w:val="auto"/>
          <w:highlight w:val="none"/>
          <w:lang w:eastAsia="zh-CN"/>
        </w:rPr>
      </w:pPr>
    </w:p>
    <w:p w14:paraId="4F9C33E1">
      <w:pPr>
        <w:ind w:firstLine="420"/>
        <w:jc w:val="both"/>
        <w:rPr>
          <w:color w:val="auto"/>
          <w:highlight w:val="none"/>
          <w:lang w:eastAsia="zh-CN"/>
        </w:rPr>
      </w:pPr>
    </w:p>
    <w:p w14:paraId="5C000CB9">
      <w:pPr>
        <w:pStyle w:val="40"/>
        <w:rPr>
          <w:color w:val="auto"/>
          <w:sz w:val="24"/>
          <w:szCs w:val="24"/>
          <w:highlight w:val="none"/>
          <w:lang w:eastAsia="zh-CN"/>
        </w:rPr>
      </w:pPr>
    </w:p>
    <w:p w14:paraId="4DC7CFD9">
      <w:pPr>
        <w:pStyle w:val="190"/>
        <w:rPr>
          <w:color w:val="auto"/>
          <w:sz w:val="24"/>
          <w:szCs w:val="24"/>
          <w:highlight w:val="none"/>
        </w:rPr>
      </w:pPr>
    </w:p>
    <w:p w14:paraId="12A14AE6">
      <w:pPr>
        <w:pStyle w:val="190"/>
        <w:rPr>
          <w:rFonts w:ascii="Cambria" w:hAnsi="Cambria" w:cs="Cambria"/>
          <w:b/>
          <w:bCs/>
          <w:color w:val="auto"/>
          <w:sz w:val="24"/>
          <w:szCs w:val="24"/>
          <w:highlight w:val="none"/>
        </w:rPr>
      </w:pPr>
    </w:p>
    <w:p w14:paraId="6027E745">
      <w:pPr>
        <w:pStyle w:val="191"/>
        <w:spacing w:before="0" w:after="0" w:line="360" w:lineRule="auto"/>
        <w:jc w:val="left"/>
        <w:rPr>
          <w:rFonts w:ascii="宋体" w:hAnsi="宋体"/>
          <w:b w:val="0"/>
          <w:color w:val="auto"/>
          <w:sz w:val="24"/>
          <w:szCs w:val="24"/>
          <w:highlight w:val="none"/>
          <w:lang w:eastAsia="zh-CN"/>
        </w:rPr>
      </w:pPr>
      <w:r>
        <w:rPr>
          <w:b w:val="0"/>
          <w:color w:val="auto"/>
          <w:sz w:val="24"/>
          <w:szCs w:val="24"/>
          <w:highlight w:val="none"/>
          <w:lang w:val="zh-CN" w:eastAsia="zh-CN"/>
        </w:rPr>
        <w:br w:type="page" w:clear="all"/>
      </w:r>
      <w:r>
        <w:rPr>
          <w:rFonts w:hint="eastAsia" w:ascii="宋体" w:hAnsi="宋体" w:cs="宋体"/>
          <w:color w:val="auto"/>
          <w:sz w:val="24"/>
          <w:szCs w:val="24"/>
          <w:highlight w:val="none"/>
          <w:lang w:val="zh-TW" w:eastAsia="zh-CN"/>
        </w:rPr>
        <w:t>附件</w:t>
      </w:r>
      <w:r>
        <w:rPr>
          <w:rFonts w:hint="eastAsia" w:ascii="宋体" w:hAnsi="宋体" w:cs="宋体"/>
          <w:color w:val="auto"/>
          <w:sz w:val="24"/>
          <w:szCs w:val="24"/>
          <w:highlight w:val="none"/>
          <w:lang w:val="zh-TW" w:eastAsia="zh-TW"/>
        </w:rPr>
        <w:t>十二</w:t>
      </w:r>
      <w:r>
        <w:rPr>
          <w:rFonts w:hint="eastAsia" w:ascii="宋体" w:hAnsi="宋体" w:cs="宋体"/>
          <w:color w:val="auto"/>
          <w:sz w:val="24"/>
          <w:szCs w:val="24"/>
          <w:highlight w:val="none"/>
          <w:lang w:val="zh-TW" w:eastAsia="zh-CN"/>
        </w:rPr>
        <w:t xml:space="preserve"> </w:t>
      </w:r>
      <w:r>
        <w:rPr>
          <w:rFonts w:hint="eastAsia" w:ascii="宋体" w:hAnsi="宋体" w:cs="宋体"/>
          <w:color w:val="auto"/>
          <w:sz w:val="24"/>
          <w:szCs w:val="24"/>
          <w:highlight w:val="none"/>
          <w:lang w:val="zh-TW" w:eastAsia="zh-TW"/>
        </w:rPr>
        <w:t>中小企业声明函</w:t>
      </w:r>
    </w:p>
    <w:p w14:paraId="627F847E">
      <w:pPr>
        <w:pStyle w:val="228"/>
        <w:spacing w:line="360" w:lineRule="auto"/>
        <w:jc w:val="center"/>
        <w:outlineLvl w:val="0"/>
        <w:rPr>
          <w:rFonts w:cs="宋体"/>
          <w:color w:val="auto"/>
          <w:sz w:val="36"/>
          <w:szCs w:val="36"/>
          <w:highlight w:val="none"/>
          <w:lang w:eastAsia="zh-CN"/>
        </w:rPr>
      </w:pPr>
      <w:bookmarkStart w:id="215" w:name="_Toc9716"/>
      <w:r>
        <w:rPr>
          <w:rFonts w:hint="eastAsia" w:cs="宋体"/>
          <w:b/>
          <w:bCs/>
          <w:color w:val="auto"/>
          <w:spacing w:val="2"/>
          <w:sz w:val="36"/>
          <w:szCs w:val="36"/>
          <w:highlight w:val="none"/>
          <w:lang w:eastAsia="zh-CN"/>
        </w:rPr>
        <w:t>中小</w:t>
      </w:r>
      <w:r>
        <w:rPr>
          <w:rFonts w:hint="eastAsia" w:cs="宋体"/>
          <w:b/>
          <w:bCs/>
          <w:color w:val="auto"/>
          <w:sz w:val="36"/>
          <w:szCs w:val="36"/>
          <w:highlight w:val="none"/>
          <w:lang w:eastAsia="zh-CN"/>
        </w:rPr>
        <w:t>企</w:t>
      </w:r>
      <w:r>
        <w:rPr>
          <w:rFonts w:hint="eastAsia" w:cs="宋体"/>
          <w:b/>
          <w:bCs/>
          <w:color w:val="auto"/>
          <w:spacing w:val="2"/>
          <w:sz w:val="36"/>
          <w:szCs w:val="36"/>
          <w:highlight w:val="none"/>
          <w:lang w:eastAsia="zh-CN"/>
        </w:rPr>
        <w:t>业声</w:t>
      </w:r>
      <w:r>
        <w:rPr>
          <w:rFonts w:hint="eastAsia" w:cs="宋体"/>
          <w:b/>
          <w:bCs/>
          <w:color w:val="auto"/>
          <w:sz w:val="36"/>
          <w:szCs w:val="36"/>
          <w:highlight w:val="none"/>
          <w:lang w:eastAsia="zh-CN"/>
        </w:rPr>
        <w:t>明</w:t>
      </w:r>
      <w:r>
        <w:rPr>
          <w:rFonts w:hint="eastAsia" w:cs="宋体"/>
          <w:b/>
          <w:bCs/>
          <w:color w:val="auto"/>
          <w:spacing w:val="2"/>
          <w:sz w:val="36"/>
          <w:szCs w:val="36"/>
          <w:highlight w:val="none"/>
          <w:lang w:eastAsia="zh-CN"/>
        </w:rPr>
        <w:t>函（</w:t>
      </w:r>
      <w:r>
        <w:rPr>
          <w:rFonts w:hint="eastAsia" w:cs="宋体"/>
          <w:b/>
          <w:bCs/>
          <w:color w:val="auto"/>
          <w:sz w:val="36"/>
          <w:szCs w:val="36"/>
          <w:highlight w:val="none"/>
          <w:lang w:eastAsia="zh-CN"/>
        </w:rPr>
        <w:t>工程）</w:t>
      </w:r>
      <w:bookmarkEnd w:id="215"/>
    </w:p>
    <w:p w14:paraId="7BF24415">
      <w:pPr>
        <w:spacing w:line="360" w:lineRule="auto"/>
        <w:ind w:firstLine="42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本公司（联合体）郑重声明，根据《政府采购促进中小企业发展管理办法》（财库﹝</w:t>
      </w:r>
      <w:r>
        <w:rPr>
          <w:rFonts w:ascii="宋体" w:hAnsi="宋体" w:cs="Calibri"/>
          <w:color w:val="auto"/>
          <w:sz w:val="21"/>
          <w:szCs w:val="21"/>
          <w:highlight w:val="none"/>
          <w:lang w:eastAsia="zh-CN"/>
        </w:rPr>
        <w:t>2020</w:t>
      </w:r>
      <w:r>
        <w:rPr>
          <w:rFonts w:hint="eastAsia" w:ascii="宋体" w:hAnsi="宋体" w:cs="宋体"/>
          <w:color w:val="auto"/>
          <w:sz w:val="21"/>
          <w:szCs w:val="21"/>
          <w:highlight w:val="none"/>
          <w:lang w:eastAsia="zh-CN"/>
        </w:rPr>
        <w:t>﹞</w:t>
      </w:r>
      <w:r>
        <w:rPr>
          <w:rFonts w:ascii="宋体" w:hAnsi="宋体" w:cs="Calibri"/>
          <w:color w:val="auto"/>
          <w:sz w:val="21"/>
          <w:szCs w:val="21"/>
          <w:highlight w:val="none"/>
          <w:lang w:eastAsia="zh-CN"/>
        </w:rPr>
        <w:t xml:space="preserve">46 </w:t>
      </w:r>
      <w:r>
        <w:rPr>
          <w:rFonts w:hint="eastAsia" w:ascii="宋体" w:hAnsi="宋体" w:cs="宋体"/>
          <w:color w:val="auto"/>
          <w:sz w:val="21"/>
          <w:szCs w:val="21"/>
          <w:highlight w:val="none"/>
          <w:lang w:eastAsia="zh-CN"/>
        </w:rPr>
        <w:t>号）的规定，本公司（联合体）参加</w:t>
      </w:r>
      <w:r>
        <w:rPr>
          <w:rFonts w:hint="eastAsia" w:ascii="宋体" w:hAnsi="宋体" w:cs="宋体"/>
          <w:color w:val="auto"/>
          <w:sz w:val="21"/>
          <w:szCs w:val="21"/>
          <w:highlight w:val="none"/>
          <w:u w:val="single"/>
          <w:lang w:eastAsia="zh-CN"/>
        </w:rPr>
        <w:t>（单位名称）</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u w:val="single"/>
          <w:lang w:eastAsia="zh-CN"/>
        </w:rPr>
        <w:t>（项目名称、分包号）</w:t>
      </w:r>
      <w:r>
        <w:rPr>
          <w:rFonts w:hint="eastAsia" w:ascii="宋体" w:hAnsi="宋体" w:cs="宋体"/>
          <w:color w:val="auto"/>
          <w:sz w:val="21"/>
          <w:szCs w:val="21"/>
          <w:highlight w:val="none"/>
          <w:lang w:eastAsia="zh-CN"/>
        </w:rPr>
        <w:t>采购活动，工程的施工单位全部为符合政策要求的中小企业。相关企业（含联合体中的中小企业、签订分包意向协议的中小企业）的具体情况如下：</w:t>
      </w:r>
    </w:p>
    <w:p w14:paraId="245D6A55">
      <w:pPr>
        <w:spacing w:line="360" w:lineRule="auto"/>
        <w:ind w:firstLine="420"/>
        <w:rPr>
          <w:rFonts w:ascii="宋体" w:hAnsi="宋体" w:cs="宋体"/>
          <w:color w:val="auto"/>
          <w:sz w:val="21"/>
          <w:szCs w:val="21"/>
          <w:highlight w:val="none"/>
          <w:lang w:eastAsia="zh-CN"/>
        </w:rPr>
      </w:pPr>
      <w:r>
        <w:rPr>
          <w:rFonts w:ascii="宋体" w:hAnsi="宋体" w:cs="Calibri"/>
          <w:color w:val="auto"/>
          <w:sz w:val="21"/>
          <w:szCs w:val="21"/>
          <w:highlight w:val="none"/>
          <w:lang w:eastAsia="zh-CN"/>
        </w:rPr>
        <w:t xml:space="preserve">1. </w:t>
      </w:r>
      <w:r>
        <w:rPr>
          <w:rFonts w:hint="eastAsia" w:ascii="宋体" w:hAnsi="宋体" w:cs="宋体"/>
          <w:color w:val="auto"/>
          <w:sz w:val="21"/>
          <w:szCs w:val="21"/>
          <w:highlight w:val="none"/>
          <w:u w:val="single"/>
          <w:lang w:eastAsia="zh-CN"/>
        </w:rPr>
        <w:t>（标的名称）</w:t>
      </w:r>
      <w:r>
        <w:rPr>
          <w:rFonts w:hint="eastAsia" w:ascii="宋体" w:hAnsi="宋体" w:cs="宋体"/>
          <w:color w:val="auto"/>
          <w:sz w:val="21"/>
          <w:szCs w:val="21"/>
          <w:highlight w:val="none"/>
          <w:lang w:eastAsia="zh-CN"/>
        </w:rPr>
        <w:t>，属于</w:t>
      </w:r>
      <w:r>
        <w:rPr>
          <w:rFonts w:hint="eastAsia" w:ascii="宋体" w:hAnsi="宋体" w:cs="宋体"/>
          <w:color w:val="auto"/>
          <w:sz w:val="21"/>
          <w:szCs w:val="21"/>
          <w:highlight w:val="none"/>
          <w:u w:val="single"/>
          <w:lang w:eastAsia="zh-CN"/>
        </w:rPr>
        <w:t>（采购文件中明确的所属行业）</w:t>
      </w:r>
      <w:r>
        <w:rPr>
          <w:rFonts w:hint="eastAsia" w:ascii="宋体" w:hAnsi="宋体" w:cs="宋体"/>
          <w:color w:val="auto"/>
          <w:sz w:val="21"/>
          <w:szCs w:val="21"/>
          <w:highlight w:val="none"/>
          <w:lang w:eastAsia="zh-CN"/>
        </w:rPr>
        <w:t>；</w:t>
      </w:r>
      <w:r>
        <w:rPr>
          <w:rFonts w:ascii="宋体" w:hAnsi="宋体" w:cs="宋体"/>
          <w:color w:val="auto"/>
          <w:sz w:val="21"/>
          <w:szCs w:val="21"/>
          <w:highlight w:val="none"/>
          <w:lang w:eastAsia="zh-CN"/>
        </w:rPr>
        <w:t xml:space="preserve"> </w:t>
      </w:r>
      <w:r>
        <w:rPr>
          <w:rFonts w:hint="eastAsia" w:ascii="宋体" w:hAnsi="宋体" w:cs="宋体"/>
          <w:color w:val="auto"/>
          <w:sz w:val="21"/>
          <w:szCs w:val="21"/>
          <w:highlight w:val="none"/>
          <w:lang w:eastAsia="zh-CN"/>
        </w:rPr>
        <w:t>承建（承接）企业为</w:t>
      </w:r>
      <w:r>
        <w:rPr>
          <w:rFonts w:hint="eastAsia" w:ascii="宋体" w:hAnsi="宋体" w:cs="宋体"/>
          <w:color w:val="auto"/>
          <w:sz w:val="21"/>
          <w:szCs w:val="21"/>
          <w:highlight w:val="none"/>
          <w:u w:val="single"/>
          <w:lang w:eastAsia="zh-CN"/>
        </w:rPr>
        <w:t>（企业名称）</w:t>
      </w:r>
      <w:r>
        <w:rPr>
          <w:rFonts w:hint="eastAsia" w:ascii="宋体" w:hAnsi="宋体" w:cs="宋体"/>
          <w:color w:val="auto"/>
          <w:sz w:val="21"/>
          <w:szCs w:val="21"/>
          <w:highlight w:val="none"/>
          <w:lang w:eastAsia="zh-CN"/>
        </w:rPr>
        <w:t>，从</w:t>
      </w:r>
    </w:p>
    <w:p w14:paraId="3AAF9CB9">
      <w:pPr>
        <w:spacing w:line="360" w:lineRule="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业人员</w:t>
      </w:r>
      <w:r>
        <w:rPr>
          <w:rFonts w:ascii="宋体" w:hAnsi="宋体" w:cs="宋体"/>
          <w:color w:val="auto"/>
          <w:sz w:val="21"/>
          <w:szCs w:val="21"/>
          <w:highlight w:val="none"/>
          <w:lang w:eastAsia="zh-CN"/>
        </w:rPr>
        <w:t xml:space="preserve"> </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lang w:eastAsia="zh-CN"/>
        </w:rPr>
        <w:t>人，营业收入为</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lang w:eastAsia="zh-CN"/>
        </w:rPr>
        <w:t>万元，资产总额为</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lang w:eastAsia="zh-CN"/>
        </w:rPr>
        <w:t>万元</w:t>
      </w:r>
      <w:r>
        <w:rPr>
          <w:rFonts w:hint="eastAsia" w:ascii="宋体" w:hAnsi="宋体" w:cs="Calibri"/>
          <w:color w:val="auto"/>
          <w:sz w:val="21"/>
          <w:szCs w:val="21"/>
          <w:highlight w:val="none"/>
          <w:vertAlign w:val="superscript"/>
          <w:lang w:eastAsia="zh-CN"/>
        </w:rPr>
        <w:t>【1】</w:t>
      </w:r>
      <w:r>
        <w:rPr>
          <w:rFonts w:hint="eastAsia" w:ascii="宋体" w:hAnsi="宋体" w:cs="宋体"/>
          <w:color w:val="auto"/>
          <w:sz w:val="21"/>
          <w:szCs w:val="21"/>
          <w:highlight w:val="none"/>
          <w:lang w:eastAsia="zh-CN"/>
        </w:rPr>
        <w:t>，属于</w:t>
      </w:r>
      <w:r>
        <w:rPr>
          <w:rFonts w:hint="eastAsia" w:ascii="宋体" w:hAnsi="宋体" w:cs="宋体"/>
          <w:color w:val="auto"/>
          <w:sz w:val="21"/>
          <w:szCs w:val="21"/>
          <w:highlight w:val="none"/>
          <w:u w:val="single"/>
          <w:lang w:eastAsia="zh-CN"/>
        </w:rPr>
        <w:t>（中型企业、</w:t>
      </w:r>
      <w:r>
        <w:rPr>
          <w:rFonts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eastAsia="zh-CN"/>
        </w:rPr>
        <w:t>小型企业、微型企业）</w:t>
      </w:r>
      <w:r>
        <w:rPr>
          <w:rFonts w:hint="eastAsia" w:ascii="宋体" w:hAnsi="宋体" w:cs="宋体"/>
          <w:color w:val="auto"/>
          <w:sz w:val="21"/>
          <w:szCs w:val="21"/>
          <w:highlight w:val="none"/>
          <w:lang w:eastAsia="zh-CN"/>
        </w:rPr>
        <w:t>；</w:t>
      </w:r>
    </w:p>
    <w:p w14:paraId="41C1CC97">
      <w:pPr>
        <w:spacing w:line="360" w:lineRule="auto"/>
        <w:ind w:firstLine="525"/>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p>
    <w:p w14:paraId="665B08D3">
      <w:pPr>
        <w:spacing w:line="360" w:lineRule="auto"/>
        <w:ind w:firstLine="525"/>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以上企业，不属于大企业的分支机构，不存在控股股东为大企业的情形，也不存在与大企业的负责人为同一人的情</w:t>
      </w:r>
      <w:r>
        <w:rPr>
          <w:rFonts w:ascii="宋体" w:hAnsi="宋体" w:cs="宋体"/>
          <w:color w:val="auto"/>
          <w:sz w:val="21"/>
          <w:szCs w:val="21"/>
          <w:highlight w:val="none"/>
          <w:lang w:eastAsia="zh-CN"/>
        </w:rPr>
        <w:t xml:space="preserve"> </w:t>
      </w:r>
      <w:r>
        <w:rPr>
          <w:rFonts w:hint="eastAsia" w:ascii="宋体" w:hAnsi="宋体" w:cs="宋体"/>
          <w:color w:val="auto"/>
          <w:sz w:val="21"/>
          <w:szCs w:val="21"/>
          <w:highlight w:val="none"/>
          <w:lang w:eastAsia="zh-CN"/>
        </w:rPr>
        <w:t>形。</w:t>
      </w:r>
    </w:p>
    <w:p w14:paraId="7CEAEF2E">
      <w:pPr>
        <w:spacing w:line="360" w:lineRule="auto"/>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本企业对上述声明内容的真实性负责。如有虚假，将依法承担相应责任。</w:t>
      </w:r>
    </w:p>
    <w:p w14:paraId="7A54A482">
      <w:pPr>
        <w:spacing w:line="360" w:lineRule="auto"/>
        <w:ind w:right="420"/>
        <w:jc w:val="right"/>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企业名称（加盖电子公章）：</w:t>
      </w:r>
    </w:p>
    <w:p w14:paraId="0C6F5073">
      <w:pPr>
        <w:spacing w:line="360" w:lineRule="auto"/>
        <w:ind w:right="840" w:firstLine="7140"/>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日</w:t>
      </w:r>
      <w:r>
        <w:rPr>
          <w:rFonts w:ascii="宋体" w:hAnsi="宋体" w:cs="宋体"/>
          <w:color w:val="auto"/>
          <w:sz w:val="21"/>
          <w:szCs w:val="21"/>
          <w:highlight w:val="none"/>
          <w:lang w:eastAsia="zh-CN"/>
        </w:rPr>
        <w:t xml:space="preserve"> </w:t>
      </w:r>
      <w:r>
        <w:rPr>
          <w:rFonts w:hint="eastAsia" w:ascii="宋体" w:hAnsi="宋体" w:cs="宋体"/>
          <w:color w:val="auto"/>
          <w:sz w:val="21"/>
          <w:szCs w:val="21"/>
          <w:highlight w:val="none"/>
          <w:lang w:eastAsia="zh-CN"/>
        </w:rPr>
        <w:t>期：</w:t>
      </w:r>
    </w:p>
    <w:p w14:paraId="3262D3FD">
      <w:pPr>
        <w:pStyle w:val="302"/>
        <w:ind w:left="440"/>
        <w:rPr>
          <w:color w:val="auto"/>
          <w:highlight w:val="none"/>
          <w:u w:val="single"/>
        </w:rPr>
      </w:pPr>
      <w:r>
        <w:rPr>
          <w:rFonts w:hint="eastAsia"/>
          <w:color w:val="auto"/>
          <w:highlight w:val="none"/>
          <w:u w:val="single"/>
        </w:rPr>
        <w:t xml:space="preserve">                                  </w:t>
      </w:r>
    </w:p>
    <w:p w14:paraId="75E14D20">
      <w:pPr>
        <w:pStyle w:val="302"/>
        <w:ind w:left="440" w:firstLine="420"/>
        <w:rPr>
          <w:b/>
          <w:bCs/>
          <w:color w:val="auto"/>
          <w:sz w:val="21"/>
          <w:szCs w:val="21"/>
          <w:highlight w:val="none"/>
        </w:rPr>
      </w:pPr>
      <w:r>
        <w:rPr>
          <w:rFonts w:hint="eastAsia"/>
          <w:color w:val="auto"/>
          <w:sz w:val="21"/>
          <w:szCs w:val="21"/>
          <w:highlight w:val="none"/>
        </w:rPr>
        <w:t>注：</w:t>
      </w:r>
      <w:r>
        <w:rPr>
          <w:rFonts w:hint="eastAsia" w:cs="Calibri"/>
          <w:color w:val="auto"/>
          <w:sz w:val="21"/>
          <w:szCs w:val="21"/>
          <w:highlight w:val="none"/>
        </w:rPr>
        <w:t>【1】</w:t>
      </w:r>
      <w:r>
        <w:rPr>
          <w:rFonts w:cs="Calibri"/>
          <w:color w:val="auto"/>
          <w:sz w:val="21"/>
          <w:szCs w:val="21"/>
          <w:highlight w:val="none"/>
        </w:rPr>
        <w:t xml:space="preserve"> </w:t>
      </w:r>
      <w:r>
        <w:rPr>
          <w:rFonts w:hint="eastAsia"/>
          <w:color w:val="auto"/>
          <w:sz w:val="21"/>
          <w:szCs w:val="21"/>
          <w:highlight w:val="none"/>
        </w:rPr>
        <w:t>从业人员、营业收入、资产总额填报上一年度数据，无上一年度数据的新成立企业可不填报。</w:t>
      </w:r>
    </w:p>
    <w:p w14:paraId="0EC35CF8">
      <w:pPr>
        <w:pStyle w:val="302"/>
        <w:ind w:left="440" w:firstLine="562"/>
        <w:rPr>
          <w:rFonts w:hint="eastAsia" w:cs="Calibri"/>
          <w:color w:val="auto"/>
          <w:sz w:val="21"/>
          <w:szCs w:val="21"/>
          <w:highlight w:val="none"/>
        </w:rPr>
      </w:pPr>
      <w:r>
        <w:rPr>
          <w:rFonts w:hint="eastAsia"/>
          <w:b/>
          <w:bCs/>
          <w:color w:val="auto"/>
          <w:sz w:val="28"/>
          <w:highlight w:val="none"/>
        </w:rPr>
        <w:t xml:space="preserve">  </w:t>
      </w:r>
      <w:r>
        <w:rPr>
          <w:rFonts w:hint="eastAsia" w:cs="Calibri"/>
          <w:color w:val="auto"/>
          <w:sz w:val="21"/>
          <w:szCs w:val="21"/>
          <w:highlight w:val="none"/>
        </w:rPr>
        <w:t>【2】采购标的对应的中小企业划分标准所属行业：建筑业。</w:t>
      </w:r>
    </w:p>
    <w:p w14:paraId="481D0709">
      <w:pPr>
        <w:shd w:val="clear" w:color="auto" w:fill="FFFFFF"/>
        <w:spacing w:line="360" w:lineRule="auto"/>
        <w:ind w:right="633"/>
        <w:jc w:val="center"/>
        <w:rPr>
          <w:rFonts w:ascii="宋体" w:hAnsi="宋体"/>
          <w:color w:val="auto"/>
          <w:sz w:val="21"/>
          <w:highlight w:val="none"/>
          <w:lang w:val="zh-CN" w:eastAsia="zh-CN"/>
        </w:rPr>
      </w:pPr>
      <w:r>
        <w:rPr>
          <w:rFonts w:ascii="宋体" w:hAnsi="宋体"/>
          <w:color w:val="auto"/>
          <w:sz w:val="21"/>
          <w:highlight w:val="none"/>
          <w:lang w:val="zh-CN" w:eastAsia="zh-CN"/>
        </w:rPr>
        <w:br w:type="page" w:clear="all"/>
      </w:r>
      <w:r>
        <w:rPr>
          <w:rFonts w:hint="eastAsia" w:ascii="宋体" w:hAnsi="宋体"/>
          <w:color w:val="auto"/>
          <w:sz w:val="21"/>
          <w:highlight w:val="none"/>
          <w:lang w:val="zh-CN" w:eastAsia="zh-CN"/>
        </w:rPr>
        <w:t>中小企业划型标准规定</w:t>
      </w:r>
    </w:p>
    <w:p w14:paraId="16DB8330">
      <w:pPr>
        <w:shd w:val="clear" w:color="auto" w:fill="FFFFFF"/>
        <w:spacing w:line="360" w:lineRule="auto"/>
        <w:ind w:right="633"/>
        <w:jc w:val="center"/>
        <w:rPr>
          <w:rFonts w:ascii="宋体" w:hAnsi="宋体"/>
          <w:color w:val="auto"/>
          <w:sz w:val="21"/>
          <w:highlight w:val="none"/>
          <w:lang w:val="zh-CN" w:eastAsia="zh-CN"/>
        </w:rPr>
      </w:pPr>
      <w:r>
        <w:rPr>
          <w:rFonts w:hint="eastAsia" w:ascii="宋体" w:hAnsi="宋体"/>
          <w:color w:val="auto"/>
          <w:sz w:val="21"/>
          <w:highlight w:val="none"/>
          <w:lang w:val="zh-CN" w:eastAsia="zh-CN"/>
        </w:rPr>
        <w:t>工信部联企业〔2011〕300号</w:t>
      </w:r>
    </w:p>
    <w:p w14:paraId="26968F27">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一、根据《中华人民共和国中小企业促进法》和《国务院关于进一步促进中小企业发展的若干意见》（国发〔2009〕36号)，制定本规定。</w:t>
      </w:r>
    </w:p>
    <w:p w14:paraId="1EA78DAF">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二、中小企业划分为中型、小型、微型三种类型，具体标准根据企业从业人员、营业收入、资产总额等指标，结合行业特点制定。</w:t>
      </w:r>
    </w:p>
    <w:p w14:paraId="5D34FF47">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2363808">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四、各行业划型标准为：</w:t>
      </w:r>
    </w:p>
    <w:p w14:paraId="383558DA">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（一）农、林、牧、渔业。营业收入20000万元以下的为中小微型企业。其中，营业收入500万元及以上的为中型企业，营业收入50万元及以上的为小型企业，营业收入50万元以下的为微型企业。</w:t>
      </w:r>
    </w:p>
    <w:p w14:paraId="6A7F6823">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1A1B650">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0D54331">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7662E4F">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177241C">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F13C59F">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7FC3056">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A7F46A4">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F25BB03">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9D69CC">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52B45C7">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439BCAB">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660CB3A">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FD924C7">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8C6E9EF">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（十六）其他未列明行业。从业人员300人以下的为中小微型企业。其中，从业人员100人及以上的为中型企业；从业人员10人及以上的为小型企业；从业人员10人以下的为微型企业。</w:t>
      </w:r>
    </w:p>
    <w:p w14:paraId="08271A73">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五、企业类型的划分以统计部门的统计数据为依据。</w:t>
      </w:r>
    </w:p>
    <w:p w14:paraId="1FFD00DA">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六、本规定适用于在中华人民共和国境内依法设立的各类所有制和各种组织形式的企业。个体工商户和本规定以外的行业，参照本规定进行划型。</w:t>
      </w:r>
    </w:p>
    <w:p w14:paraId="7DB6F68B">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4C1596C0">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八、本规定由工业和信息化部、国家统计局会同有关部门根据《国民经济行业分类》修订情况和企业发展变化情况适时修订。</w:t>
      </w:r>
    </w:p>
    <w:p w14:paraId="1E03A31A">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九、本规定由工业和信息化部、国家统计局会同有关部门负责解释。</w:t>
      </w:r>
    </w:p>
    <w:p w14:paraId="03983AF5">
      <w:pPr>
        <w:shd w:val="clear" w:color="auto" w:fill="FFFFFF"/>
        <w:spacing w:line="360" w:lineRule="auto"/>
        <w:ind w:right="633"/>
        <w:rPr>
          <w:rFonts w:ascii="宋体" w:hAnsi="宋体"/>
          <w:color w:val="auto"/>
          <w:sz w:val="21"/>
          <w:highlight w:val="none"/>
          <w:lang w:val="zh-CN" w:eastAsia="zh-CN"/>
        </w:rPr>
      </w:pPr>
      <w:r>
        <w:rPr>
          <w:rFonts w:hint="eastAsia" w:ascii="宋体" w:hAnsi="宋体"/>
          <w:color w:val="auto"/>
          <w:sz w:val="21"/>
          <w:highlight w:val="none"/>
          <w:lang w:val="zh-CN" w:eastAsia="zh-CN"/>
        </w:rPr>
        <w:t>十、本规定自发布之日起执行，原国家经贸委、原国家计委、财政部和国家统计局2003年颁布的《中小企业标准暂行规定》国经贸中小企[2003]143号同时废止。</w:t>
      </w:r>
    </w:p>
    <w:p w14:paraId="4332DFC8">
      <w:pPr>
        <w:pStyle w:val="228"/>
        <w:spacing w:line="360" w:lineRule="auto"/>
        <w:rPr>
          <w:rFonts w:hint="eastAsia"/>
          <w:b/>
          <w:color w:val="auto"/>
          <w:highlight w:val="none"/>
          <w:lang w:val="zh-CN" w:eastAsia="zh-CN"/>
        </w:rPr>
      </w:pPr>
    </w:p>
    <w:p w14:paraId="2BFFF75A">
      <w:pPr>
        <w:spacing w:line="240" w:lineRule="atLeast"/>
        <w:jc w:val="both"/>
        <w:rPr>
          <w:b/>
          <w:color w:val="auto"/>
          <w:highlight w:val="none"/>
          <w:lang w:val="zh-CN" w:eastAsia="zh-CN"/>
        </w:rPr>
      </w:pPr>
      <w:r>
        <w:rPr>
          <w:b/>
          <w:color w:val="auto"/>
          <w:highlight w:val="none"/>
          <w:lang w:val="zh-CN" w:eastAsia="zh-CN"/>
        </w:rPr>
        <w:t>附件十</w:t>
      </w:r>
      <w:r>
        <w:rPr>
          <w:rFonts w:hint="eastAsia"/>
          <w:b/>
          <w:color w:val="auto"/>
          <w:highlight w:val="none"/>
          <w:lang w:val="zh-CN" w:eastAsia="zh-CN"/>
        </w:rPr>
        <w:t>三</w:t>
      </w:r>
      <w:r>
        <w:rPr>
          <w:b/>
          <w:color w:val="auto"/>
          <w:highlight w:val="none"/>
          <w:lang w:val="zh-CN" w:eastAsia="zh-CN"/>
        </w:rPr>
        <w:t>、服务承诺</w:t>
      </w:r>
    </w:p>
    <w:p w14:paraId="0FB010EF">
      <w:pPr>
        <w:spacing w:line="240" w:lineRule="atLeast"/>
        <w:jc w:val="center"/>
        <w:rPr>
          <w:rFonts w:ascii="黑体" w:hAnsi="宋体" w:eastAsia="黑体" w:cs="宋体"/>
          <w:color w:val="auto"/>
          <w:sz w:val="36"/>
          <w:szCs w:val="36"/>
          <w:highlight w:val="none"/>
          <w:lang w:val="zh-CN"/>
        </w:rPr>
      </w:pPr>
    </w:p>
    <w:p w14:paraId="634587C3">
      <w:pPr>
        <w:ind w:firstLine="480"/>
        <w:rPr>
          <w:rFonts w:ascii="Calibri" w:hAnsi="Calibri" w:eastAsia="宋体" w:cs="Times New Roman"/>
          <w:color w:val="auto"/>
          <w:szCs w:val="21"/>
          <w:highlight w:val="none"/>
        </w:rPr>
      </w:pPr>
      <w:r>
        <w:rPr>
          <w:rFonts w:hint="eastAsia" w:ascii="宋体" w:hAnsi="Calibri" w:eastAsia="宋体" w:cs="宋体"/>
          <w:color w:val="auto"/>
          <w:szCs w:val="21"/>
          <w:highlight w:val="none"/>
          <w:lang w:val="zh-CN"/>
        </w:rPr>
        <w:t>我公司就</w:t>
      </w:r>
      <w:r>
        <w:rPr>
          <w:rFonts w:ascii="宋体" w:hAnsi="Calibri" w:eastAsia="宋体" w:cs="宋体"/>
          <w:color w:val="auto"/>
          <w:szCs w:val="21"/>
          <w:highlight w:val="none"/>
          <w:lang w:val="zh-CN"/>
        </w:rPr>
        <w:t>“</w:t>
      </w:r>
      <w:r>
        <w:rPr>
          <w:rFonts w:hint="eastAsia" w:ascii="宋体" w:hAnsi="Calibri" w:eastAsia="宋体" w:cs="宋体"/>
          <w:color w:val="auto"/>
          <w:szCs w:val="21"/>
          <w:highlight w:val="none"/>
          <w:lang w:val="zh-CN"/>
        </w:rPr>
        <w:t>项目编号为“”的</w:t>
      </w:r>
      <w:r>
        <w:rPr>
          <w:rFonts w:hint="eastAsia" w:ascii="宋体" w:cs="宋体"/>
          <w:color w:val="auto"/>
          <w:szCs w:val="21"/>
          <w:highlight w:val="none"/>
          <w:lang w:val="zh-CN"/>
        </w:rPr>
        <w:t>（项目名称）</w:t>
      </w:r>
      <w:r>
        <w:rPr>
          <w:rFonts w:hint="eastAsia" w:ascii="宋体" w:hAnsi="Calibri" w:eastAsia="宋体" w:cs="宋体"/>
          <w:color w:val="auto"/>
          <w:szCs w:val="21"/>
          <w:highlight w:val="none"/>
          <w:lang w:val="zh-CN"/>
        </w:rPr>
        <w:t>采购质量保证及服务承诺如下：</w:t>
      </w:r>
    </w:p>
    <w:p w14:paraId="5920E5C7">
      <w:pPr>
        <w:ind w:firstLine="360"/>
        <w:jc w:val="center"/>
        <w:rPr>
          <w:rFonts w:ascii="Calibri" w:hAnsi="Calibri" w:eastAsia="宋体" w:cs="Times New Roman"/>
          <w:color w:val="auto"/>
          <w:szCs w:val="21"/>
          <w:highlight w:val="none"/>
        </w:rPr>
      </w:pPr>
    </w:p>
    <w:p w14:paraId="0B67F152">
      <w:pPr>
        <w:ind w:firstLine="480"/>
        <w:jc w:val="center"/>
        <w:rPr>
          <w:rFonts w:ascii="宋体" w:hAnsi="Calibri" w:eastAsia="宋体" w:cs="宋体"/>
          <w:color w:val="auto"/>
          <w:szCs w:val="21"/>
          <w:highlight w:val="none"/>
          <w:lang w:val="zh-CN"/>
        </w:rPr>
      </w:pPr>
      <w:r>
        <w:rPr>
          <w:rFonts w:hint="eastAsia" w:ascii="宋体" w:hAnsi="Calibri" w:eastAsia="宋体" w:cs="宋体"/>
          <w:color w:val="auto"/>
          <w:szCs w:val="21"/>
          <w:highlight w:val="none"/>
          <w:lang w:val="zh-CN"/>
        </w:rPr>
        <w:t>（</w:t>
      </w:r>
      <w:r>
        <w:rPr>
          <w:rFonts w:hint="eastAsia" w:ascii="宋体" w:hAnsi="Calibri" w:eastAsia="宋体" w:cs="宋体"/>
          <w:color w:val="auto"/>
          <w:szCs w:val="21"/>
          <w:highlight w:val="none"/>
        </w:rPr>
        <w:t>供应商</w:t>
      </w:r>
      <w:r>
        <w:rPr>
          <w:rFonts w:hint="eastAsia" w:ascii="宋体" w:hAnsi="Calibri" w:eastAsia="宋体" w:cs="宋体"/>
          <w:color w:val="auto"/>
          <w:szCs w:val="21"/>
          <w:highlight w:val="none"/>
          <w:lang w:val="zh-CN"/>
        </w:rPr>
        <w:t>自拟）</w:t>
      </w:r>
    </w:p>
    <w:p w14:paraId="4A26D483">
      <w:pPr>
        <w:ind w:firstLine="480"/>
        <w:jc w:val="center"/>
        <w:rPr>
          <w:rFonts w:ascii="宋体" w:hAnsi="Calibri" w:eastAsia="宋体" w:cs="宋体"/>
          <w:color w:val="auto"/>
          <w:szCs w:val="21"/>
          <w:highlight w:val="none"/>
          <w:lang w:val="zh-CN"/>
        </w:rPr>
      </w:pPr>
    </w:p>
    <w:p w14:paraId="14A383B5">
      <w:pPr>
        <w:ind w:firstLine="480"/>
        <w:jc w:val="center"/>
        <w:rPr>
          <w:rFonts w:ascii="宋体" w:hAnsi="Calibri" w:eastAsia="宋体" w:cs="宋体"/>
          <w:color w:val="auto"/>
          <w:szCs w:val="21"/>
          <w:highlight w:val="none"/>
          <w:lang w:val="zh-CN"/>
        </w:rPr>
      </w:pPr>
    </w:p>
    <w:p w14:paraId="416A1A36">
      <w:pPr>
        <w:pStyle w:val="15"/>
        <w:spacing w:after="0"/>
        <w:ind w:firstLine="210"/>
        <w:jc w:val="right"/>
        <w:rPr>
          <w:rFonts w:ascii="宋体" w:hAnsi="宋体"/>
          <w:color w:val="auto"/>
          <w:szCs w:val="21"/>
          <w:highlight w:val="none"/>
        </w:rPr>
      </w:pPr>
      <w:r>
        <w:rPr>
          <w:rFonts w:hint="eastAsia" w:ascii="宋体" w:hAnsi="宋体" w:cs="宋体"/>
          <w:color w:val="auto"/>
          <w:szCs w:val="21"/>
          <w:highlight w:val="none"/>
          <w:lang w:val="zh-CN"/>
        </w:rPr>
        <w:t>供应商名称</w:t>
      </w:r>
      <w:r>
        <w:rPr>
          <w:rFonts w:hint="eastAsia" w:ascii="宋体" w:hAnsi="宋体"/>
          <w:color w:val="auto"/>
          <w:szCs w:val="21"/>
          <w:highlight w:val="none"/>
        </w:rPr>
        <w:t xml:space="preserve">（盖章）：               </w:t>
      </w:r>
    </w:p>
    <w:p w14:paraId="080D83A7">
      <w:pPr>
        <w:pStyle w:val="15"/>
        <w:spacing w:after="0"/>
        <w:ind w:firstLine="210"/>
        <w:jc w:val="right"/>
        <w:rPr>
          <w:rFonts w:ascii="宋体" w:hAnsi="宋体"/>
          <w:color w:val="auto"/>
          <w:szCs w:val="21"/>
          <w:highlight w:val="none"/>
        </w:rPr>
      </w:pPr>
    </w:p>
    <w:p w14:paraId="098AD50E">
      <w:pPr>
        <w:pStyle w:val="15"/>
        <w:spacing w:after="0"/>
        <w:ind w:right="105" w:firstLine="210"/>
        <w:jc w:val="right"/>
        <w:rPr>
          <w:rFonts w:ascii="宋体" w:hAnsi="宋体"/>
          <w:color w:val="auto"/>
          <w:szCs w:val="21"/>
          <w:highlight w:val="none"/>
        </w:rPr>
      </w:pPr>
      <w:r>
        <w:rPr>
          <w:rFonts w:hint="eastAsia" w:ascii="宋体" w:hAnsi="宋体"/>
          <w:color w:val="auto"/>
          <w:szCs w:val="21"/>
          <w:highlight w:val="none"/>
        </w:rPr>
        <w:t>日    期：        年    月   日</w:t>
      </w:r>
    </w:p>
    <w:p w14:paraId="3D47DA4C">
      <w:pPr>
        <w:pStyle w:val="228"/>
        <w:spacing w:line="360" w:lineRule="auto"/>
        <w:ind w:firstLine="420"/>
        <w:rPr>
          <w:b/>
          <w:color w:val="auto"/>
          <w:highlight w:val="none"/>
          <w:lang w:val="zh-CN" w:eastAsia="zh-CN"/>
        </w:rPr>
      </w:pPr>
    </w:p>
    <w:p w14:paraId="14AF0D90">
      <w:pPr>
        <w:pStyle w:val="228"/>
        <w:spacing w:line="360" w:lineRule="auto"/>
        <w:rPr>
          <w:rFonts w:ascii="宋体" w:hAnsi="宋体"/>
          <w:b/>
          <w:color w:val="auto"/>
          <w:highlight w:val="none"/>
          <w:lang w:val="zh-CN" w:eastAsia="zh-CN"/>
        </w:rPr>
      </w:pPr>
      <w:r>
        <w:rPr>
          <w:rFonts w:hint="eastAsia" w:ascii="宋体" w:hAnsi="宋体"/>
          <w:b/>
          <w:color w:val="auto"/>
          <w:highlight w:val="none"/>
          <w:lang w:val="en-US" w:eastAsia="zh-CN"/>
        </w:rPr>
        <w:t>附件十四、</w:t>
      </w:r>
      <w:r>
        <w:rPr>
          <w:rFonts w:ascii="宋体" w:hAnsi="宋体"/>
          <w:b/>
          <w:color w:val="auto"/>
          <w:highlight w:val="none"/>
          <w:lang w:val="zh-CN" w:eastAsia="zh-CN"/>
        </w:rPr>
        <w:t>其他</w:t>
      </w:r>
    </w:p>
    <w:p w14:paraId="24CB060E">
      <w:pPr>
        <w:shd w:val="clear" w:color="auto" w:fill="FFFFFF"/>
        <w:spacing w:line="360" w:lineRule="auto"/>
        <w:ind w:right="633"/>
        <w:rPr>
          <w:rFonts w:ascii="宋体" w:hAnsi="宋体"/>
          <w:color w:val="auto"/>
          <w:highlight w:val="none"/>
          <w:lang w:val="zh-CN" w:eastAsia="zh-CN"/>
        </w:rPr>
      </w:pPr>
      <w:r>
        <w:rPr>
          <w:rFonts w:ascii="宋体" w:hAnsi="宋体"/>
          <w:color w:val="auto"/>
          <w:highlight w:val="none"/>
          <w:lang w:val="zh-CN" w:eastAsia="zh-CN"/>
        </w:rPr>
        <w:t>（各投标人根据采购文件规定的打分细则</w:t>
      </w:r>
      <w:r>
        <w:rPr>
          <w:rFonts w:hint="eastAsia" w:ascii="宋体" w:hAnsi="宋体"/>
          <w:color w:val="auto"/>
          <w:highlight w:val="none"/>
          <w:lang w:val="en-US" w:eastAsia="zh-CN"/>
        </w:rPr>
        <w:t>或相关承诺</w:t>
      </w:r>
      <w:r>
        <w:rPr>
          <w:rFonts w:ascii="宋体" w:hAnsi="宋体"/>
          <w:color w:val="auto"/>
          <w:highlight w:val="none"/>
          <w:lang w:val="zh-CN" w:eastAsia="zh-CN"/>
        </w:rPr>
        <w:t>对应提供相关证明材料等，格式自拟）</w:t>
      </w:r>
    </w:p>
    <w:p w14:paraId="5E151493">
      <w:pPr>
        <w:shd w:val="clear" w:color="auto" w:fill="FFFFFF"/>
        <w:spacing w:line="360" w:lineRule="auto"/>
        <w:ind w:right="633"/>
        <w:rPr>
          <w:rFonts w:ascii="宋体" w:hAnsi="宋体"/>
          <w:b/>
          <w:color w:val="auto"/>
          <w:highlight w:val="none"/>
          <w:lang w:val="zh-CN" w:eastAsia="zh-CN"/>
        </w:rPr>
      </w:pPr>
    </w:p>
    <w:p w14:paraId="467A2F49">
      <w:pPr>
        <w:pStyle w:val="190"/>
        <w:rPr>
          <w:rFonts w:hint="eastAsia" w:ascii="Cambria" w:hAnsi="Cambria" w:cs="Cambria"/>
          <w:b/>
          <w:bCs/>
          <w:color w:val="auto"/>
          <w:sz w:val="24"/>
          <w:szCs w:val="24"/>
          <w:highlight w:val="none"/>
        </w:rPr>
      </w:pPr>
    </w:p>
    <w:p w14:paraId="7DF61F09">
      <w:pPr>
        <w:ind w:firstLine="241"/>
        <w:jc w:val="both"/>
        <w:rPr>
          <w:rFonts w:ascii="宋体" w:cs="宋体"/>
          <w:b/>
          <w:bCs/>
          <w:color w:val="auto"/>
          <w:highlight w:val="none"/>
          <w:lang w:val="zh-TW" w:eastAsia="zh-CN"/>
        </w:rPr>
      </w:pPr>
      <w:r>
        <w:rPr>
          <w:rFonts w:ascii="宋体" w:hAnsi="宋体"/>
          <w:b/>
          <w:color w:val="auto"/>
          <w:highlight w:val="none"/>
          <w:lang w:val="zh-CN" w:eastAsia="zh-CN"/>
        </w:rPr>
        <w:t>附件十</w:t>
      </w:r>
      <w:r>
        <w:rPr>
          <w:rFonts w:hint="eastAsia" w:ascii="宋体" w:hAnsi="宋体"/>
          <w:b/>
          <w:color w:val="auto"/>
          <w:highlight w:val="none"/>
          <w:lang w:val="en-US" w:eastAsia="zh-CN"/>
        </w:rPr>
        <w:t>五</w:t>
      </w:r>
      <w:r>
        <w:rPr>
          <w:rFonts w:hint="eastAsia" w:ascii="宋体" w:hAnsi="宋体"/>
          <w:b/>
          <w:color w:val="auto"/>
          <w:highlight w:val="none"/>
          <w:lang w:val="zh-CN" w:eastAsia="zh-CN"/>
        </w:rPr>
        <w:t>、</w:t>
      </w:r>
      <w:r>
        <w:rPr>
          <w:rFonts w:hint="eastAsia" w:ascii="宋体" w:hAnsi="宋体" w:cs="宋体"/>
          <w:b/>
          <w:bCs/>
          <w:color w:val="auto"/>
          <w:highlight w:val="none"/>
          <w:lang w:val="zh-TW" w:eastAsia="zh-CN"/>
        </w:rPr>
        <w:t>施工组织设计</w:t>
      </w:r>
    </w:p>
    <w:p w14:paraId="425C643C">
      <w:pPr>
        <w:pStyle w:val="190"/>
        <w:shd w:val="clear" w:color="auto" w:fill="FFFFFF"/>
        <w:spacing w:line="360" w:lineRule="auto"/>
        <w:ind w:right="633"/>
        <w:rPr>
          <w:rFonts w:hint="eastAsia" w:ascii="宋体" w:hAnsi="宋体" w:cs="宋体"/>
          <w:bCs/>
          <w:color w:val="auto"/>
          <w:sz w:val="24"/>
          <w:szCs w:val="24"/>
          <w:highlight w:val="none"/>
          <w:lang w:val="zh-TW" w:eastAsia="zh-TW"/>
        </w:rPr>
      </w:pPr>
      <w:r>
        <w:rPr>
          <w:rFonts w:hint="eastAsia" w:ascii="宋体" w:hAnsi="宋体" w:cs="宋体"/>
          <w:bCs/>
          <w:color w:val="auto"/>
          <w:sz w:val="24"/>
          <w:szCs w:val="24"/>
          <w:highlight w:val="none"/>
          <w:lang w:val="zh-TW" w:eastAsia="zh-TW"/>
        </w:rPr>
        <w:t>（技术部分应根据采购人对项目的要求、评标标准的要求及项目本身的特点编写）</w:t>
      </w:r>
    </w:p>
    <w:sectPr>
      <w:pgSz w:w="11900" w:h="16840"/>
      <w:pgMar w:top="1123" w:right="1179" w:bottom="1123" w:left="1179" w:header="720" w:footer="720" w:gutter="0"/>
      <w:pgNumType w:fmt="decimal"/>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Arial Unicode MS">
    <w:altName w:val="Arial"/>
    <w:panose1 w:val="020B0604020202020204"/>
    <w:charset w:val="00"/>
    <w:family w:val="auto"/>
    <w:pitch w:val="default"/>
    <w:sig w:usb0="00000000" w:usb1="00000000" w:usb2="00000000" w:usb3="00000000" w:csb0="00000000" w:csb1="00000000"/>
  </w:font>
  <w:font w:name="..ì.">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Microsoft YaHei UI">
    <w:panose1 w:val="020B0503020204020204"/>
    <w:charset w:val="86"/>
    <w:family w:val="auto"/>
    <w:pitch w:val="default"/>
    <w:sig w:usb0="80000287" w:usb1="2ACF3C50" w:usb2="00000016" w:usb3="00000000" w:csb0="0004001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monospace">
    <w:altName w:val="DejaVu Math TeX Gyre"/>
    <w:panose1 w:val="020B0503020202020204"/>
    <w:charset w:val="00"/>
    <w:family w:val="auto"/>
    <w:pitch w:val="default"/>
    <w:sig w:usb0="00000000" w:usb1="00000000" w:usb2="00000000" w:usb3="00000000" w:csb0="00000000" w:csb1="00000000"/>
  </w:font>
  <w:font w:name="Helvetica Neue">
    <w:altName w:val="Times New Roman"/>
    <w:panose1 w:val="020B0503020202020204"/>
    <w:charset w:val="00"/>
    <w:family w:val="auto"/>
    <w:pitch w:val="default"/>
    <w:sig w:usb0="00000000" w:usb1="00000000" w:usb2="00000000" w:usb3="00000000" w:csb0="00000000" w:csb1="00000000"/>
  </w:font>
  <w:font w:name="Ari">
    <w:altName w:val="Segoe Print"/>
    <w:panose1 w:val="020B060602020203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
    <w:altName w:val="DejaVu Math TeX Gyre"/>
    <w:panose1 w:val="020B0503020202020204"/>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PMingLiUfalt">
    <w:altName w:val="DejaVu Math TeX Gyre"/>
    <w:panose1 w:val="020B0503020202020204"/>
    <w:charset w:val="00"/>
    <w:family w:val="auto"/>
    <w:pitch w:val="default"/>
    <w:sig w:usb0="00000000" w:usb1="00000000" w:usb2="00000000" w:usb3="00000000" w:csb0="00000000" w:csb1="00000000"/>
  </w:font>
  <w:font w:name="KNLe">
    <w:altName w:val="DejaVu Math TeX Gyre"/>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7bkn_gb2312">
    <w:altName w:val="DejaVu Math TeX Gyre"/>
    <w:panose1 w:val="020B0503020202020204"/>
    <w:charset w:val="00"/>
    <w:family w:val="auto"/>
    <w:pitch w:val="default"/>
    <w:sig w:usb0="00000000" w:usb1="00000000" w:usb2="00000000" w:usb3="00000000" w:csb0="00000000" w:csb1="00000000"/>
  </w:font>
  <w:font w:name=";*NDVPKN">
    <w:altName w:val="DejaVu Math TeX Gyre"/>
    <w:panose1 w:val="020B0503020202020204"/>
    <w:charset w:val="00"/>
    <w:family w:val="auto"/>
    <w:pitch w:val="default"/>
    <w:sig w:usb0="00000000" w:usb1="00000000" w:usb2="00000000" w:usb3="00000000" w:csb0="00000000" w:csb1="00000000"/>
  </w:font>
  <w:font w:name=":ZLe">
    <w:altName w:val="DejaVu Math TeX Gyre"/>
    <w:panose1 w:val="020B0503020202020204"/>
    <w:charset w:val="00"/>
    <w:family w:val="auto"/>
    <w:pitch w:val="default"/>
    <w:sig w:usb0="00000000" w:usb1="00000000" w:usb2="00000000" w:usb3="00000000" w:csb0="00000000" w:csb1="00000000"/>
  </w:font>
  <w:font w:name="*ndvpkn">
    <w:altName w:val="DejaVu Math TeX Gyre"/>
    <w:panose1 w:val="020B0503020202020204"/>
    <w:charset w:val="00"/>
    <w:family w:val="auto"/>
    <w:pitch w:val="default"/>
    <w:sig w:usb0="00000000" w:usb1="00000000" w:usb2="00000000" w:usb3="00000000" w:csb0="00000000"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华文细黑">
    <w:altName w:val="微软雅黑"/>
    <w:panose1 w:val="02010600040101010101"/>
    <w:charset w:val="00"/>
    <w:family w:val="auto"/>
    <w:pitch w:val="default"/>
    <w:sig w:usb0="00000000" w:usb1="00000000" w:usb2="00000000" w:usb3="00000000" w:csb0="00000000" w:csb1="00000000"/>
  </w:font>
  <w:font w:name="创艺简黑体">
    <w:altName w:val="黑体"/>
    <w:panose1 w:val="020B0503020202020204"/>
    <w:charset w:val="00"/>
    <w:family w:val="auto"/>
    <w:pitch w:val="default"/>
    <w:sig w:usb0="00000000" w:usb1="00000000" w:usb2="00000000" w:usb3="00000000" w:csb0="00000000" w:csb1="00000000"/>
  </w:font>
  <w:font w:name="金山简魏碑">
    <w:altName w:val="DejaVu Math TeX Gyre"/>
    <w:panose1 w:val="020B0503020202020204"/>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华文中宋">
    <w:altName w:val="宋体"/>
    <w:panose1 w:val="02010600040101010101"/>
    <w:charset w:val="00"/>
    <w:family w:val="auto"/>
    <w:pitch w:val="default"/>
    <w:sig w:usb0="00000000" w:usb1="00000000" w:usb2="00000000" w:usb3="00000000" w:csb0="00000000" w:csb1="00000000"/>
  </w:font>
  <w:font w:name="KSOF6398537F">
    <w:panose1 w:val="020B0604020202020204"/>
    <w:charset w:val="86"/>
    <w:family w:val="auto"/>
    <w:pitch w:val="default"/>
    <w:sig w:usb0="00000001" w:usb1="00000000" w:usb2="00000000" w:usb3="00000000" w:csb0="003E0001" w:csb1="00000000"/>
  </w:font>
  <w:font w:name="KSOF987E8EC0">
    <w:panose1 w:val="020B0704020202020204"/>
    <w:charset w:val="86"/>
    <w:family w:val="auto"/>
    <w:pitch w:val="default"/>
    <w:sig w:usb0="00000001" w:usb1="00000000" w:usb2="00000000" w:usb3="00000000" w:csb0="003E0001" w:csb1="00000000"/>
  </w:font>
  <w:font w:name="Arial">
    <w:panose1 w:val="020B0604020202020204"/>
    <w:charset w:val="00"/>
    <w:family w:val="auto"/>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85FCD">
    <w:pPr>
      <w:pStyle w:val="24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79CAC">
                          <w:pPr>
                            <w:pStyle w:val="21"/>
                            <w:rPr>
                              <w:sz w:val="22"/>
                              <w:szCs w:val="22"/>
                            </w:rPr>
                          </w:pPr>
                          <w:r>
                            <w:rPr>
                              <w:sz w:val="22"/>
                              <w:szCs w:val="22"/>
                            </w:rPr>
                            <w:t xml:space="preserve">第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rPr>
                              <w:sz w:val="22"/>
                              <w:szCs w:val="22"/>
                            </w:rPr>
                            <w:t xml:space="preserve"> 页 共 </w:t>
                          </w:r>
                          <w:r>
                            <w:rPr>
                              <w:sz w:val="22"/>
                              <w:szCs w:val="22"/>
                            </w:rPr>
                            <w:fldChar w:fldCharType="begin"/>
                          </w:r>
                          <w:r>
                            <w:rPr>
                              <w:sz w:val="22"/>
                              <w:szCs w:val="22"/>
                            </w:rPr>
                            <w:instrText xml:space="preserve"> NUMPAGES  \* MERGEFORMAT </w:instrText>
                          </w:r>
                          <w:r>
                            <w:rPr>
                              <w:sz w:val="22"/>
                              <w:szCs w:val="22"/>
                            </w:rPr>
                            <w:fldChar w:fldCharType="separate"/>
                          </w:r>
                          <w:r>
                            <w:rPr>
                              <w:sz w:val="22"/>
                              <w:szCs w:val="22"/>
                            </w:rPr>
                            <w:t>95</w:t>
                          </w:r>
                          <w:r>
                            <w:rPr>
                              <w:sz w:val="22"/>
                              <w:szCs w:val="22"/>
                            </w:rPr>
                            <w:fldChar w:fldCharType="end"/>
                          </w:r>
                          <w:r>
                            <w:rPr>
                              <w:sz w:val="22"/>
                              <w:szCs w:val="2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579CAC">
                    <w:pPr>
                      <w:pStyle w:val="21"/>
                      <w:rPr>
                        <w:sz w:val="22"/>
                        <w:szCs w:val="22"/>
                      </w:rPr>
                    </w:pPr>
                    <w:r>
                      <w:rPr>
                        <w:sz w:val="22"/>
                        <w:szCs w:val="22"/>
                      </w:rPr>
                      <w:t xml:space="preserve">第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rPr>
                        <w:sz w:val="22"/>
                        <w:szCs w:val="22"/>
                      </w:rPr>
                      <w:t xml:space="preserve"> 页 共 </w:t>
                    </w:r>
                    <w:r>
                      <w:rPr>
                        <w:sz w:val="22"/>
                        <w:szCs w:val="22"/>
                      </w:rPr>
                      <w:fldChar w:fldCharType="begin"/>
                    </w:r>
                    <w:r>
                      <w:rPr>
                        <w:sz w:val="22"/>
                        <w:szCs w:val="22"/>
                      </w:rPr>
                      <w:instrText xml:space="preserve"> NUMPAGES  \* MERGEFORMAT </w:instrText>
                    </w:r>
                    <w:r>
                      <w:rPr>
                        <w:sz w:val="22"/>
                        <w:szCs w:val="22"/>
                      </w:rPr>
                      <w:fldChar w:fldCharType="separate"/>
                    </w:r>
                    <w:r>
                      <w:rPr>
                        <w:sz w:val="22"/>
                        <w:szCs w:val="22"/>
                      </w:rPr>
                      <w:t>95</w:t>
                    </w:r>
                    <w:r>
                      <w:rPr>
                        <w:sz w:val="22"/>
                        <w:szCs w:val="22"/>
                      </w:rPr>
                      <w:fldChar w:fldCharType="end"/>
                    </w:r>
                    <w:r>
                      <w:rPr>
                        <w:sz w:val="22"/>
                        <w:szCs w:val="22"/>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8F829">
    <w:pPr>
      <w:pStyle w:val="24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B556F">
                          <w:pPr>
                            <w:pStyle w:val="21"/>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0B556F">
                    <w:pPr>
                      <w:pStyle w:val="21"/>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BAD92">
    <w:pPr>
      <w:pStyle w:val="190"/>
      <w:spacing w:line="360" w:lineRule="auto"/>
      <w:ind w:right="8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32ACD">
    <w:pPr>
      <w:pStyle w:val="249"/>
    </w:pPr>
  </w:p>
  <w:p w14:paraId="00962220">
    <w:pPr>
      <w:pStyle w:val="249"/>
    </w:pPr>
  </w:p>
  <w:p w14:paraId="15D95CC6">
    <w:pPr>
      <w:pStyle w:val="249"/>
    </w:pPr>
  </w:p>
  <w:p w14:paraId="77B12502">
    <w:pPr>
      <w:pStyle w:val="249"/>
    </w:pPr>
  </w:p>
  <w:p w14:paraId="41FC3731">
    <w:pPr>
      <w:pStyle w:val="249"/>
    </w:pPr>
  </w:p>
  <w:p w14:paraId="63C26250">
    <w:pPr>
      <w:pStyle w:val="249"/>
    </w:pPr>
  </w:p>
  <w:p w14:paraId="41831E27">
    <w:pPr>
      <w:pStyle w:val="190"/>
      <w:spacing w:line="360" w:lineRule="auto"/>
      <w:ind w:right="800"/>
      <w:jc w:val="center"/>
    </w:pPr>
    <w:r>
      <w:rPr>
        <w:rFonts w:hint="eastAsia"/>
      </w:rPr>
      <w:t>汉中门校区15栋及10栋学生宿舍整体改造项目公开招标文件</w:t>
    </w:r>
  </w:p>
  <w:p w14:paraId="68FEE136">
    <w:pPr>
      <w:pStyle w:val="249"/>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82B1">
    <w:pPr>
      <w:pStyle w:val="30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E2466"/>
    <w:multiLevelType w:val="singleLevel"/>
    <w:tmpl w:val="A5CE2466"/>
    <w:lvl w:ilvl="0" w:tentative="0">
      <w:start w:val="1"/>
      <w:numFmt w:val="decimal"/>
      <w:suff w:val="space"/>
      <w:lvlText w:val="%1."/>
      <w:lvlJc w:val="left"/>
    </w:lvl>
  </w:abstractNum>
  <w:abstractNum w:abstractNumId="1">
    <w:nsid w:val="B5E306ED"/>
    <w:multiLevelType w:val="multilevel"/>
    <w:tmpl w:val="B5E306ED"/>
    <w:lvl w:ilvl="0" w:tentative="0">
      <w:start w:val="1"/>
      <w:numFmt w:val="decimal"/>
      <w:suff w:val="space"/>
      <w:lvlText w:val="18.%1"/>
      <w:lvlJc w:val="left"/>
      <w:pPr>
        <w:ind w:left="0" w:firstLine="482"/>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F205925"/>
    <w:multiLevelType w:val="multilevel"/>
    <w:tmpl w:val="BF205925"/>
    <w:lvl w:ilvl="0" w:tentative="0">
      <w:start w:val="1"/>
      <w:numFmt w:val="decimal"/>
      <w:suff w:val="nothing"/>
      <w:lvlText w:val="（%1）"/>
      <w:lvlJc w:val="left"/>
      <w:pPr>
        <w:ind w:left="0" w:firstLine="48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CF092B84"/>
    <w:multiLevelType w:val="multilevel"/>
    <w:tmpl w:val="CF092B84"/>
    <w:lvl w:ilvl="0" w:tentative="0">
      <w:start w:val="1"/>
      <w:numFmt w:val="decimal"/>
      <w:suff w:val="nothing"/>
      <w:lvlText w:val="（%1）"/>
      <w:lvlJc w:val="left"/>
      <w:pPr>
        <w:ind w:left="0" w:firstLine="48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0053208E"/>
    <w:multiLevelType w:val="multilevel"/>
    <w:tmpl w:val="0053208E"/>
    <w:lvl w:ilvl="0" w:tentative="0">
      <w:start w:val="6"/>
      <w:numFmt w:val="japaneseCounting"/>
      <w:lvlText w:val="%1、"/>
      <w:lvlJc w:val="left"/>
      <w:pPr>
        <w:ind w:left="992" w:hanging="510"/>
      </w:p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5">
    <w:nsid w:val="03D62ECE"/>
    <w:multiLevelType w:val="multilevel"/>
    <w:tmpl w:val="03D62ECE"/>
    <w:lvl w:ilvl="0" w:tentative="0">
      <w:start w:val="1"/>
      <w:numFmt w:val="decimal"/>
      <w:suff w:val="space"/>
      <w:lvlText w:val="19.2.%1"/>
      <w:lvlJc w:val="left"/>
      <w:pPr>
        <w:ind w:left="0" w:firstLine="48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53C895EC"/>
    <w:multiLevelType w:val="singleLevel"/>
    <w:tmpl w:val="53C895EC"/>
    <w:lvl w:ilvl="0" w:tentative="0">
      <w:start w:val="3"/>
      <w:numFmt w:val="decimal"/>
      <w:suff w:val="nothing"/>
      <w:lvlText w:val="%1、"/>
      <w:lvlJc w:val="left"/>
      <w:pPr>
        <w:ind w:left="0" w:firstLine="0"/>
      </w:pPr>
    </w:lvl>
  </w:abstractNum>
  <w:abstractNum w:abstractNumId="7">
    <w:nsid w:val="71B05E2A"/>
    <w:multiLevelType w:val="singleLevel"/>
    <w:tmpl w:val="71B05E2A"/>
    <w:lvl w:ilvl="0" w:tentative="0">
      <w:start w:val="2"/>
      <w:numFmt w:val="decimal"/>
      <w:suff w:val="nothing"/>
      <w:lvlText w:val="（%1）"/>
      <w:lvlJc w:val="left"/>
    </w:lvl>
  </w:abstractNum>
  <w:num w:numId="1">
    <w:abstractNumId w:val="4"/>
  </w:num>
  <w:num w:numId="2">
    <w:abstractNumId w:val="0"/>
  </w:num>
  <w:num w:numId="3">
    <w:abstractNumId w:val="3"/>
  </w:num>
  <w:num w:numId="4">
    <w:abstractNumId w:val="2"/>
  </w:num>
  <w:num w:numId="5">
    <w:abstractNumId w:val="1"/>
  </w:num>
  <w:num w:numId="6">
    <w:abstractNumId w:val="5"/>
  </w:num>
  <w:num w:numId="7">
    <w:abstractNumId w:val="7"/>
  </w:num>
  <w:num w:numId="8">
    <w:abstractNumId w:val="6"/>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82F57"/>
    <w:rsid w:val="01457570"/>
    <w:rsid w:val="03B15A3A"/>
    <w:rsid w:val="05E355AA"/>
    <w:rsid w:val="072C5B43"/>
    <w:rsid w:val="106D213E"/>
    <w:rsid w:val="14335CE2"/>
    <w:rsid w:val="149C34F4"/>
    <w:rsid w:val="182A4A78"/>
    <w:rsid w:val="18C51786"/>
    <w:rsid w:val="193A3F99"/>
    <w:rsid w:val="196842EC"/>
    <w:rsid w:val="1A034D1B"/>
    <w:rsid w:val="1BC849BD"/>
    <w:rsid w:val="1D0E3C83"/>
    <w:rsid w:val="1DE81558"/>
    <w:rsid w:val="20E9190B"/>
    <w:rsid w:val="21A250B6"/>
    <w:rsid w:val="221B63A0"/>
    <w:rsid w:val="27C83A0B"/>
    <w:rsid w:val="28221B0A"/>
    <w:rsid w:val="2A015C84"/>
    <w:rsid w:val="2ABC6A0C"/>
    <w:rsid w:val="2BCD38A0"/>
    <w:rsid w:val="2FF86C56"/>
    <w:rsid w:val="31AC7296"/>
    <w:rsid w:val="35960ECB"/>
    <w:rsid w:val="36F85069"/>
    <w:rsid w:val="39162FC5"/>
    <w:rsid w:val="434E28DE"/>
    <w:rsid w:val="45292D4E"/>
    <w:rsid w:val="459B6B77"/>
    <w:rsid w:val="48B23EC9"/>
    <w:rsid w:val="48C02E8F"/>
    <w:rsid w:val="4C0A3A46"/>
    <w:rsid w:val="4D4C0167"/>
    <w:rsid w:val="4F973E38"/>
    <w:rsid w:val="50674E17"/>
    <w:rsid w:val="519E7208"/>
    <w:rsid w:val="52712103"/>
    <w:rsid w:val="527E0EE4"/>
    <w:rsid w:val="532239F1"/>
    <w:rsid w:val="53737E8A"/>
    <w:rsid w:val="54580761"/>
    <w:rsid w:val="56DB6F23"/>
    <w:rsid w:val="57015120"/>
    <w:rsid w:val="57AF08A8"/>
    <w:rsid w:val="61D007BD"/>
    <w:rsid w:val="63F11311"/>
    <w:rsid w:val="64403F1A"/>
    <w:rsid w:val="65F67215"/>
    <w:rsid w:val="6C6C2747"/>
    <w:rsid w:val="6CB24BF6"/>
    <w:rsid w:val="79445C97"/>
    <w:rsid w:val="79F34472"/>
    <w:rsid w:val="7A3A460E"/>
    <w:rsid w:val="7AF33058"/>
    <w:rsid w:val="7C6B04FF"/>
    <w:rsid w:val="7E1865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40"/>
    <w:qFormat/>
    <w:uiPriority w:val="0"/>
    <w:rPr>
      <w:rFonts w:hint="default" w:ascii="Times New Roman" w:hAnsi="Times New Roman" w:eastAsia="宋体" w:cs="Times New Roman"/>
      <w:sz w:val="24"/>
      <w:szCs w:val="24"/>
      <w:lang w:val="en-US" w:eastAsia="en-US" w:bidi="ar-SA"/>
    </w:rPr>
  </w:style>
  <w:style w:type="paragraph" w:styleId="2">
    <w:name w:val="heading 1"/>
    <w:basedOn w:val="1"/>
    <w:qFormat/>
    <w:uiPriority w:val="1"/>
    <w:pPr>
      <w:widowControl w:val="0"/>
      <w:ind w:left="39"/>
      <w:outlineLvl w:val="0"/>
    </w:pPr>
    <w:rPr>
      <w:rFonts w:ascii="宋体" w:cs="宋体"/>
      <w:b/>
      <w:bCs/>
      <w:sz w:val="21"/>
      <w:szCs w:val="21"/>
      <w:lang w:eastAsia="zh-CN"/>
    </w:rPr>
  </w:style>
  <w:style w:type="paragraph" w:styleId="3">
    <w:name w:val="heading 2"/>
    <w:basedOn w:val="1"/>
    <w:next w:val="1"/>
    <w:link w:val="42"/>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3"/>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4"/>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5"/>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6"/>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7"/>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8"/>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9"/>
    <w:unhideWhenUsed/>
    <w:qFormat/>
    <w:uiPriority w:val="9"/>
    <w:pPr>
      <w:keepNext/>
      <w:keepLines/>
      <w:spacing w:before="320" w:after="200"/>
      <w:outlineLvl w:val="8"/>
    </w:pPr>
    <w:rPr>
      <w:rFonts w:ascii="Arial" w:hAnsi="Arial" w:eastAsia="Arial" w:cs="Arial"/>
      <w:i/>
      <w:iCs/>
      <w:sz w:val="21"/>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Normal Indent"/>
    <w:basedOn w:val="1"/>
    <w:qFormat/>
    <w:uiPriority w:val="99"/>
    <w:rPr>
      <w:szCs w:val="20"/>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semiHidden/>
    <w:unhideWhenUsed/>
    <w:qFormat/>
    <w:uiPriority w:val="99"/>
    <w:pPr>
      <w:jc w:val="left"/>
    </w:pPr>
  </w:style>
  <w:style w:type="paragraph" w:styleId="15">
    <w:name w:val="Body Text"/>
    <w:basedOn w:val="1"/>
    <w:qFormat/>
    <w:uiPriority w:val="0"/>
    <w:pPr>
      <w:spacing w:after="120"/>
    </w:pPr>
    <w:rPr>
      <w:rFonts w:ascii="Times New Roman" w:hAnsi="Times New Roman" w:eastAsia="宋体" w:cs="Times New Roman"/>
      <w:szCs w:val="24"/>
    </w:r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Plain Text"/>
    <w:basedOn w:val="1"/>
    <w:unhideWhenUsed/>
    <w:qFormat/>
    <w:uiPriority w:val="0"/>
    <w:rPr>
      <w:rFonts w:ascii="宋体" w:hAnsi="Courier New"/>
      <w:szCs w:val="21"/>
    </w:rPr>
  </w:style>
  <w:style w:type="paragraph" w:styleId="19">
    <w:name w:val="toc 8"/>
    <w:basedOn w:val="1"/>
    <w:next w:val="1"/>
    <w:unhideWhenUsed/>
    <w:qFormat/>
    <w:uiPriority w:val="39"/>
    <w:pPr>
      <w:spacing w:after="57"/>
      <w:ind w:left="1984" w:right="0" w:firstLine="0"/>
    </w:pPr>
  </w:style>
  <w:style w:type="paragraph" w:styleId="20">
    <w:name w:val="endnote text"/>
    <w:basedOn w:val="1"/>
    <w:link w:val="187"/>
    <w:semiHidden/>
    <w:unhideWhenUsed/>
    <w:qFormat/>
    <w:uiPriority w:val="99"/>
    <w:pPr>
      <w:spacing w:after="0" w:line="240" w:lineRule="auto"/>
    </w:pPr>
    <w:rPr>
      <w:sz w:val="20"/>
    </w:rPr>
  </w:style>
  <w:style w:type="paragraph" w:styleId="21">
    <w:name w:val="footer"/>
    <w:basedOn w:val="1"/>
    <w:link w:val="60"/>
    <w:unhideWhenUsed/>
    <w:qFormat/>
    <w:uiPriority w:val="99"/>
    <w:pPr>
      <w:tabs>
        <w:tab w:val="center" w:pos="7143"/>
        <w:tab w:val="right" w:pos="14287"/>
      </w:tabs>
      <w:spacing w:after="0" w:line="240" w:lineRule="auto"/>
    </w:pPr>
  </w:style>
  <w:style w:type="paragraph" w:styleId="22">
    <w:name w:val="header"/>
    <w:basedOn w:val="1"/>
    <w:link w:val="58"/>
    <w:unhideWhenUsed/>
    <w:qFormat/>
    <w:uiPriority w:val="99"/>
    <w:pPr>
      <w:tabs>
        <w:tab w:val="center" w:pos="7143"/>
        <w:tab w:val="right" w:pos="14287"/>
      </w:tabs>
      <w:spacing w:after="0" w:line="240" w:lineRule="auto"/>
    </w:pPr>
  </w:style>
  <w:style w:type="paragraph" w:styleId="23">
    <w:name w:val="toc 1"/>
    <w:basedOn w:val="1"/>
    <w:next w:val="1"/>
    <w:unhideWhenUsed/>
    <w:qFormat/>
    <w:uiPriority w:val="39"/>
    <w:pPr>
      <w:spacing w:after="57"/>
      <w:ind w:left="0" w:right="0" w:firstLine="0"/>
    </w:pPr>
  </w:style>
  <w:style w:type="paragraph" w:styleId="24">
    <w:name w:val="toc 4"/>
    <w:basedOn w:val="1"/>
    <w:next w:val="1"/>
    <w:unhideWhenUsed/>
    <w:qFormat/>
    <w:uiPriority w:val="39"/>
    <w:pPr>
      <w:spacing w:after="57"/>
      <w:ind w:left="850" w:right="0" w:firstLine="0"/>
    </w:pPr>
  </w:style>
  <w:style w:type="paragraph" w:styleId="25">
    <w:name w:val="Subtitle"/>
    <w:basedOn w:val="1"/>
    <w:next w:val="1"/>
    <w:link w:val="53"/>
    <w:qFormat/>
    <w:uiPriority w:val="11"/>
    <w:pPr>
      <w:spacing w:before="200" w:after="200"/>
    </w:pPr>
    <w:rPr>
      <w:sz w:val="24"/>
      <w:szCs w:val="24"/>
    </w:rPr>
  </w:style>
  <w:style w:type="paragraph" w:styleId="26">
    <w:name w:val="footnote text"/>
    <w:basedOn w:val="1"/>
    <w:link w:val="186"/>
    <w:semiHidden/>
    <w:unhideWhenUsed/>
    <w:qFormat/>
    <w:uiPriority w:val="99"/>
    <w:pPr>
      <w:spacing w:after="40" w:line="240" w:lineRule="auto"/>
    </w:pPr>
    <w:rPr>
      <w:sz w:val="18"/>
    </w:rPr>
  </w:style>
  <w:style w:type="paragraph" w:styleId="27">
    <w:name w:val="toc 6"/>
    <w:basedOn w:val="1"/>
    <w:next w:val="1"/>
    <w:unhideWhenUsed/>
    <w:qFormat/>
    <w:uiPriority w:val="39"/>
    <w:pPr>
      <w:spacing w:after="57"/>
      <w:ind w:left="1417" w:right="0" w:firstLine="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57"/>
      <w:ind w:left="283" w:right="0" w:firstLine="0"/>
    </w:pPr>
  </w:style>
  <w:style w:type="paragraph" w:styleId="30">
    <w:name w:val="toc 9"/>
    <w:basedOn w:val="1"/>
    <w:next w:val="1"/>
    <w:unhideWhenUsed/>
    <w:qFormat/>
    <w:uiPriority w:val="39"/>
    <w:pPr>
      <w:spacing w:after="57"/>
      <w:ind w:left="2268" w:right="0" w:firstLine="0"/>
    </w:pPr>
  </w:style>
  <w:style w:type="paragraph" w:styleId="31">
    <w:name w:val="Normal (Web)"/>
    <w:basedOn w:val="1"/>
    <w:semiHidden/>
    <w:unhideWhenUsed/>
    <w:qFormat/>
    <w:uiPriority w:val="0"/>
    <w:pPr>
      <w:spacing w:beforeAutospacing="1" w:afterAutospacing="1"/>
      <w:jc w:val="left"/>
    </w:pPr>
    <w:rPr>
      <w:rFonts w:cs="Times New Roman"/>
      <w:sz w:val="24"/>
    </w:rPr>
  </w:style>
  <w:style w:type="paragraph" w:styleId="32">
    <w:name w:val="Title"/>
    <w:basedOn w:val="1"/>
    <w:next w:val="1"/>
    <w:link w:val="52"/>
    <w:qFormat/>
    <w:uiPriority w:val="10"/>
    <w:pPr>
      <w:spacing w:before="300" w:after="200"/>
      <w:contextualSpacing/>
    </w:pPr>
    <w:rPr>
      <w:sz w:val="48"/>
      <w:szCs w:val="48"/>
    </w:rPr>
  </w:style>
  <w:style w:type="table" w:styleId="34">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Strong"/>
    <w:basedOn w:val="35"/>
    <w:qFormat/>
    <w:uiPriority w:val="0"/>
    <w:rPr>
      <w:b/>
    </w:rPr>
  </w:style>
  <w:style w:type="character" w:styleId="37">
    <w:name w:val="endnote reference"/>
    <w:semiHidden/>
    <w:unhideWhenUsed/>
    <w:qFormat/>
    <w:uiPriority w:val="99"/>
    <w:rPr>
      <w:vertAlign w:val="superscript"/>
    </w:rPr>
  </w:style>
  <w:style w:type="character" w:styleId="38">
    <w:name w:val="Hyperlink"/>
    <w:unhideWhenUsed/>
    <w:qFormat/>
    <w:uiPriority w:val="99"/>
    <w:rPr>
      <w:color w:val="0000FF" w:themeColor="hyperlink"/>
      <w:u w:val="single"/>
      <w14:textFill>
        <w14:solidFill>
          <w14:schemeClr w14:val="hlink"/>
        </w14:solidFill>
      </w14:textFill>
    </w:rPr>
  </w:style>
  <w:style w:type="character" w:styleId="39">
    <w:name w:val="footnote reference"/>
    <w:unhideWhenUsed/>
    <w:qFormat/>
    <w:uiPriority w:val="99"/>
    <w:rPr>
      <w:vertAlign w:val="superscript"/>
    </w:rPr>
  </w:style>
  <w:style w:type="paragraph" w:customStyle="1" w:styleId="40">
    <w:name w:val="标题 411"/>
    <w:basedOn w:val="1"/>
    <w:next w:val="1"/>
    <w:link w:val="200"/>
    <w:qFormat/>
    <w:uiPriority w:val="0"/>
    <w:pPr>
      <w:keepNext/>
      <w:keepLines/>
      <w:spacing w:before="280" w:after="290" w:line="376" w:lineRule="auto"/>
      <w:outlineLvl w:val="3"/>
    </w:pPr>
    <w:rPr>
      <w:rFonts w:ascii="Cambria" w:hAnsi="Cambria"/>
      <w:b/>
      <w:bCs/>
      <w:sz w:val="28"/>
      <w:szCs w:val="28"/>
    </w:rPr>
  </w:style>
  <w:style w:type="character" w:customStyle="1" w:styleId="41">
    <w:name w:val="Heading 1 Char"/>
    <w:qFormat/>
    <w:uiPriority w:val="9"/>
    <w:rPr>
      <w:rFonts w:ascii="Arial" w:hAnsi="Arial" w:eastAsia="Arial" w:cs="Arial"/>
      <w:sz w:val="40"/>
      <w:szCs w:val="40"/>
    </w:rPr>
  </w:style>
  <w:style w:type="character" w:customStyle="1" w:styleId="42">
    <w:name w:val="Heading 2 Char"/>
    <w:link w:val="3"/>
    <w:qFormat/>
    <w:uiPriority w:val="9"/>
    <w:rPr>
      <w:rFonts w:ascii="Arial" w:hAnsi="Arial" w:eastAsia="Arial" w:cs="Arial"/>
      <w:sz w:val="34"/>
    </w:rPr>
  </w:style>
  <w:style w:type="character" w:customStyle="1" w:styleId="43">
    <w:name w:val="Heading 3 Char"/>
    <w:link w:val="4"/>
    <w:qFormat/>
    <w:uiPriority w:val="9"/>
    <w:rPr>
      <w:rFonts w:ascii="Arial" w:hAnsi="Arial" w:eastAsia="Arial" w:cs="Arial"/>
      <w:sz w:val="30"/>
      <w:szCs w:val="30"/>
    </w:rPr>
  </w:style>
  <w:style w:type="character" w:customStyle="1" w:styleId="44">
    <w:name w:val="Heading 4 Char"/>
    <w:link w:val="5"/>
    <w:qFormat/>
    <w:uiPriority w:val="9"/>
    <w:rPr>
      <w:rFonts w:ascii="Arial" w:hAnsi="Arial" w:eastAsia="Arial" w:cs="Arial"/>
      <w:b/>
      <w:bCs/>
      <w:sz w:val="26"/>
      <w:szCs w:val="26"/>
    </w:rPr>
  </w:style>
  <w:style w:type="character" w:customStyle="1" w:styleId="45">
    <w:name w:val="Heading 5 Char"/>
    <w:link w:val="6"/>
    <w:qFormat/>
    <w:uiPriority w:val="9"/>
    <w:rPr>
      <w:rFonts w:ascii="Arial" w:hAnsi="Arial" w:eastAsia="Arial" w:cs="Arial"/>
      <w:b/>
      <w:bCs/>
      <w:sz w:val="24"/>
      <w:szCs w:val="24"/>
    </w:rPr>
  </w:style>
  <w:style w:type="character" w:customStyle="1" w:styleId="46">
    <w:name w:val="Heading 6 Char"/>
    <w:link w:val="7"/>
    <w:qFormat/>
    <w:uiPriority w:val="9"/>
    <w:rPr>
      <w:rFonts w:ascii="Arial" w:hAnsi="Arial" w:eastAsia="Arial" w:cs="Arial"/>
      <w:b/>
      <w:bCs/>
      <w:sz w:val="22"/>
      <w:szCs w:val="22"/>
    </w:rPr>
  </w:style>
  <w:style w:type="character" w:customStyle="1" w:styleId="47">
    <w:name w:val="Heading 7 Char"/>
    <w:link w:val="8"/>
    <w:qFormat/>
    <w:uiPriority w:val="9"/>
    <w:rPr>
      <w:rFonts w:ascii="Arial" w:hAnsi="Arial" w:eastAsia="Arial" w:cs="Arial"/>
      <w:b/>
      <w:bCs/>
      <w:i/>
      <w:iCs/>
      <w:sz w:val="22"/>
      <w:szCs w:val="22"/>
    </w:rPr>
  </w:style>
  <w:style w:type="character" w:customStyle="1" w:styleId="48">
    <w:name w:val="Heading 8 Char"/>
    <w:link w:val="9"/>
    <w:qFormat/>
    <w:uiPriority w:val="9"/>
    <w:rPr>
      <w:rFonts w:ascii="Arial" w:hAnsi="Arial" w:eastAsia="Arial" w:cs="Arial"/>
      <w:i/>
      <w:iCs/>
      <w:sz w:val="22"/>
      <w:szCs w:val="22"/>
    </w:rPr>
  </w:style>
  <w:style w:type="character" w:customStyle="1" w:styleId="49">
    <w:name w:val="Heading 9 Char"/>
    <w:link w:val="10"/>
    <w:qFormat/>
    <w:uiPriority w:val="9"/>
    <w:rPr>
      <w:rFonts w:ascii="Arial" w:hAnsi="Arial" w:eastAsia="Arial" w:cs="Arial"/>
      <w:i/>
      <w:iCs/>
      <w:sz w:val="21"/>
      <w:szCs w:val="21"/>
    </w:rPr>
  </w:style>
  <w:style w:type="paragraph" w:styleId="50">
    <w:name w:val="List Paragraph"/>
    <w:basedOn w:val="1"/>
    <w:qFormat/>
    <w:uiPriority w:val="34"/>
    <w:pPr>
      <w:ind w:left="720"/>
      <w:contextualSpacing/>
    </w:pPr>
  </w:style>
  <w:style w:type="paragraph" w:styleId="51">
    <w:name w:val="No Spacing"/>
    <w:qFormat/>
    <w:uiPriority w:val="1"/>
    <w:pPr>
      <w:spacing w:before="0" w:after="0" w:line="240" w:lineRule="auto"/>
    </w:pPr>
    <w:rPr>
      <w:rFonts w:hint="default" w:ascii="Times New Roman" w:hAnsi="Times New Roman" w:eastAsia="宋体" w:cs="Times New Roman"/>
    </w:rPr>
  </w:style>
  <w:style w:type="character" w:customStyle="1" w:styleId="52">
    <w:name w:val="Title Char"/>
    <w:link w:val="32"/>
    <w:qFormat/>
    <w:uiPriority w:val="10"/>
    <w:rPr>
      <w:sz w:val="48"/>
      <w:szCs w:val="48"/>
    </w:rPr>
  </w:style>
  <w:style w:type="character" w:customStyle="1" w:styleId="53">
    <w:name w:val="Subtitle Char"/>
    <w:link w:val="25"/>
    <w:qFormat/>
    <w:uiPriority w:val="11"/>
    <w:rPr>
      <w:sz w:val="24"/>
      <w:szCs w:val="24"/>
    </w:rPr>
  </w:style>
  <w:style w:type="paragraph" w:styleId="54">
    <w:name w:val="Quote"/>
    <w:basedOn w:val="1"/>
    <w:next w:val="1"/>
    <w:link w:val="55"/>
    <w:qFormat/>
    <w:uiPriority w:val="29"/>
    <w:pPr>
      <w:ind w:left="720" w:right="720"/>
    </w:pPr>
    <w:rPr>
      <w:i/>
    </w:rPr>
  </w:style>
  <w:style w:type="character" w:customStyle="1" w:styleId="55">
    <w:name w:val="Quote Char"/>
    <w:link w:val="54"/>
    <w:qFormat/>
    <w:uiPriority w:val="29"/>
    <w:rPr>
      <w:i/>
    </w:rPr>
  </w:style>
  <w:style w:type="paragraph" w:styleId="56">
    <w:name w:val="Intense Quote"/>
    <w:basedOn w:val="1"/>
    <w:next w:val="1"/>
    <w:link w:val="5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7">
    <w:name w:val="Intense Quote Char"/>
    <w:link w:val="56"/>
    <w:qFormat/>
    <w:uiPriority w:val="30"/>
    <w:rPr>
      <w:i/>
    </w:rPr>
  </w:style>
  <w:style w:type="character" w:customStyle="1" w:styleId="58">
    <w:name w:val="Header Char"/>
    <w:link w:val="22"/>
    <w:qFormat/>
    <w:uiPriority w:val="99"/>
  </w:style>
  <w:style w:type="character" w:customStyle="1" w:styleId="59">
    <w:name w:val="Footer Char"/>
    <w:link w:val="21"/>
    <w:qFormat/>
    <w:uiPriority w:val="99"/>
  </w:style>
  <w:style w:type="character" w:customStyle="1" w:styleId="60">
    <w:name w:val="Caption Char"/>
    <w:link w:val="21"/>
    <w:qFormat/>
    <w:uiPriority w:val="99"/>
  </w:style>
  <w:style w:type="table" w:customStyle="1" w:styleId="61">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2">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3">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4">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8">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9">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0">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1">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2">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3">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4">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3">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0">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1">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2">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3">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4">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5">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6">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7">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8">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9">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0">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1">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2">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9">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0">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1">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2">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3">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4">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5">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6">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7">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8">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9">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0">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1">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2">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3">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4">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5">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6">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7">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8">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9">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0">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1">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2">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3">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4">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5">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6">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7">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8">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9">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0">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1">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2">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3">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4">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5">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6">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7">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8">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9">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0">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1">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2">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9">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0">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1">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2">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3">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4">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5">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3">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4">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5">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6">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7">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8">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9">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0">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1">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2">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3">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4">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5">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6">
    <w:name w:val="Footnote Text Char"/>
    <w:link w:val="26"/>
    <w:qFormat/>
    <w:uiPriority w:val="99"/>
    <w:rPr>
      <w:sz w:val="18"/>
    </w:rPr>
  </w:style>
  <w:style w:type="character" w:customStyle="1" w:styleId="187">
    <w:name w:val="Endnote Text Char"/>
    <w:link w:val="20"/>
    <w:qFormat/>
    <w:uiPriority w:val="99"/>
    <w:rPr>
      <w:sz w:val="20"/>
    </w:rPr>
  </w:style>
  <w:style w:type="paragraph" w:customStyle="1" w:styleId="188">
    <w:name w:val="TOC Heading"/>
    <w:unhideWhenUsed/>
    <w:qFormat/>
    <w:uiPriority w:val="39"/>
    <w:rPr>
      <w:rFonts w:hint="default" w:ascii="Times New Roman" w:hAnsi="Times New Roman" w:eastAsia="宋体" w:cs="Times New Roman"/>
    </w:rPr>
  </w:style>
  <w:style w:type="paragraph" w:customStyle="1" w:styleId="189">
    <w:name w:val="标题 111"/>
    <w:basedOn w:val="1"/>
    <w:next w:val="190"/>
    <w:link w:val="201"/>
    <w:qFormat/>
    <w:uiPriority w:val="0"/>
    <w:pPr>
      <w:keepNext/>
      <w:keepLines/>
      <w:spacing w:before="340" w:after="330" w:line="578" w:lineRule="auto"/>
      <w:outlineLvl w:val="0"/>
    </w:pPr>
    <w:rPr>
      <w:b/>
      <w:bCs/>
      <w:sz w:val="44"/>
      <w:szCs w:val="44"/>
    </w:rPr>
  </w:style>
  <w:style w:type="paragraph" w:customStyle="1" w:styleId="190">
    <w:name w:val="正文 A"/>
    <w:qFormat/>
    <w:uiPriority w:val="0"/>
    <w:rPr>
      <w:rFonts w:hint="default" w:ascii="Arial Unicode MS" w:hAnsi="Arial Unicode MS" w:eastAsia="宋体" w:cs="Arial Unicode MS"/>
      <w:color w:val="000000"/>
      <w:lang w:val="en-US" w:eastAsia="zh-CN" w:bidi="ar-SA"/>
    </w:rPr>
  </w:style>
  <w:style w:type="paragraph" w:customStyle="1" w:styleId="191">
    <w:name w:val="标题 211"/>
    <w:basedOn w:val="1"/>
    <w:next w:val="1"/>
    <w:link w:val="202"/>
    <w:qFormat/>
    <w:uiPriority w:val="0"/>
    <w:pPr>
      <w:keepNext/>
      <w:keepLines/>
      <w:widowControl w:val="0"/>
      <w:spacing w:before="260" w:after="260" w:line="416" w:lineRule="auto"/>
      <w:jc w:val="both"/>
      <w:outlineLvl w:val="1"/>
    </w:pPr>
    <w:rPr>
      <w:rFonts w:ascii="Cambria" w:hAnsi="Cambria"/>
      <w:b/>
      <w:bCs/>
      <w:sz w:val="32"/>
      <w:szCs w:val="32"/>
    </w:rPr>
  </w:style>
  <w:style w:type="paragraph" w:customStyle="1" w:styleId="192">
    <w:name w:val="标题 311"/>
    <w:basedOn w:val="1"/>
    <w:next w:val="1"/>
    <w:link w:val="203"/>
    <w:qFormat/>
    <w:uiPriority w:val="0"/>
    <w:pPr>
      <w:widowControl w:val="0"/>
      <w:outlineLvl w:val="2"/>
    </w:pPr>
    <w:rPr>
      <w:rFonts w:ascii="黑体" w:hAnsi="黑体" w:eastAsia="黑体"/>
      <w:sz w:val="32"/>
      <w:szCs w:val="32"/>
    </w:rPr>
  </w:style>
  <w:style w:type="paragraph" w:customStyle="1" w:styleId="193">
    <w:name w:val="标题 511"/>
    <w:basedOn w:val="1"/>
    <w:next w:val="1"/>
    <w:link w:val="204"/>
    <w:qFormat/>
    <w:uiPriority w:val="0"/>
    <w:pPr>
      <w:widowControl w:val="0"/>
      <w:spacing w:beforeAutospacing="1" w:afterAutospacing="1" w:line="360" w:lineRule="auto"/>
      <w:ind w:firstLine="964"/>
      <w:outlineLvl w:val="4"/>
    </w:pPr>
    <w:rPr>
      <w:rFonts w:ascii="宋体" w:hAnsi="宋体"/>
      <w:b/>
      <w:sz w:val="20"/>
      <w:szCs w:val="20"/>
    </w:rPr>
  </w:style>
  <w:style w:type="paragraph" w:customStyle="1" w:styleId="194">
    <w:name w:val="标题 61"/>
    <w:basedOn w:val="1"/>
    <w:next w:val="1"/>
    <w:link w:val="205"/>
    <w:qFormat/>
    <w:uiPriority w:val="0"/>
    <w:pPr>
      <w:keepNext/>
      <w:keepLines/>
      <w:widowControl w:val="0"/>
      <w:spacing w:before="240" w:after="64" w:line="320" w:lineRule="auto"/>
      <w:jc w:val="both"/>
      <w:outlineLvl w:val="5"/>
    </w:pPr>
    <w:rPr>
      <w:rFonts w:ascii="Cambria" w:hAnsi="Cambria"/>
      <w:b/>
      <w:bCs/>
      <w:lang w:val="zh-CN" w:bidi="zh-CN"/>
    </w:rPr>
  </w:style>
  <w:style w:type="paragraph" w:customStyle="1" w:styleId="195">
    <w:name w:val="标题 71"/>
    <w:basedOn w:val="1"/>
    <w:next w:val="1"/>
    <w:link w:val="206"/>
    <w:qFormat/>
    <w:uiPriority w:val="0"/>
    <w:pPr>
      <w:keepNext/>
      <w:keepLines/>
      <w:widowControl w:val="0"/>
      <w:spacing w:before="240" w:after="64" w:line="320" w:lineRule="auto"/>
      <w:jc w:val="both"/>
      <w:outlineLvl w:val="6"/>
    </w:pPr>
    <w:rPr>
      <w:b/>
      <w:bCs/>
      <w:lang w:val="zh-CN" w:bidi="zh-CN"/>
    </w:rPr>
  </w:style>
  <w:style w:type="paragraph" w:customStyle="1" w:styleId="196">
    <w:name w:val="标题 81"/>
    <w:basedOn w:val="1"/>
    <w:next w:val="1"/>
    <w:link w:val="207"/>
    <w:qFormat/>
    <w:uiPriority w:val="0"/>
    <w:pPr>
      <w:keepNext/>
      <w:keepLines/>
      <w:widowControl w:val="0"/>
      <w:spacing w:before="240" w:after="64" w:line="320" w:lineRule="auto"/>
      <w:jc w:val="both"/>
      <w:outlineLvl w:val="7"/>
    </w:pPr>
    <w:rPr>
      <w:rFonts w:ascii="Cambria" w:hAnsi="Cambria"/>
      <w:lang w:val="zh-CN" w:bidi="zh-CN"/>
    </w:rPr>
  </w:style>
  <w:style w:type="paragraph" w:customStyle="1" w:styleId="197">
    <w:name w:val="标题 91"/>
    <w:basedOn w:val="1"/>
    <w:next w:val="1"/>
    <w:link w:val="208"/>
    <w:qFormat/>
    <w:uiPriority w:val="0"/>
    <w:pPr>
      <w:keepNext/>
      <w:keepLines/>
      <w:widowControl w:val="0"/>
      <w:spacing w:before="240" w:after="64" w:line="320" w:lineRule="auto"/>
      <w:jc w:val="both"/>
      <w:outlineLvl w:val="8"/>
    </w:pPr>
    <w:rPr>
      <w:rFonts w:ascii="Cambria" w:hAnsi="Cambria"/>
      <w:sz w:val="21"/>
      <w:szCs w:val="21"/>
      <w:lang w:val="zh-CN" w:bidi="zh-CN"/>
    </w:rPr>
  </w:style>
  <w:style w:type="character" w:customStyle="1" w:styleId="198">
    <w:name w:val="默认段落字体1"/>
    <w:link w:val="1"/>
    <w:unhideWhenUsed/>
    <w:qFormat/>
    <w:uiPriority w:val="1"/>
  </w:style>
  <w:style w:type="table" w:customStyle="1" w:styleId="199">
    <w:name w:val="普通表格1"/>
    <w:unhideWhenUsed/>
    <w:qFormat/>
    <w:uiPriority w:val="99"/>
  </w:style>
  <w:style w:type="character" w:customStyle="1" w:styleId="200">
    <w:name w:val="标题 4 字符1"/>
    <w:link w:val="40"/>
    <w:qFormat/>
    <w:uiPriority w:val="0"/>
    <w:rPr>
      <w:rFonts w:ascii="Cambria" w:hAnsi="Cambria" w:eastAsia="宋体" w:cs="Times New Roman"/>
      <w:b/>
      <w:bCs/>
      <w:sz w:val="28"/>
      <w:szCs w:val="28"/>
      <w:lang w:eastAsia="en-US"/>
    </w:rPr>
  </w:style>
  <w:style w:type="character" w:customStyle="1" w:styleId="201">
    <w:name w:val="标题 1 字符1"/>
    <w:link w:val="189"/>
    <w:qFormat/>
    <w:uiPriority w:val="0"/>
    <w:rPr>
      <w:rFonts w:cs="Times New Roman"/>
      <w:b/>
      <w:bCs/>
      <w:sz w:val="44"/>
      <w:szCs w:val="44"/>
      <w:lang w:eastAsia="en-US"/>
    </w:rPr>
  </w:style>
  <w:style w:type="character" w:customStyle="1" w:styleId="202">
    <w:name w:val="标题 2 字符1"/>
    <w:link w:val="191"/>
    <w:qFormat/>
    <w:uiPriority w:val="0"/>
    <w:rPr>
      <w:rFonts w:ascii="Cambria" w:hAnsi="Cambria" w:eastAsia="宋体" w:cs="Times New Roman"/>
      <w:b/>
      <w:bCs/>
      <w:sz w:val="32"/>
      <w:szCs w:val="32"/>
      <w:lang w:eastAsia="en-US"/>
    </w:rPr>
  </w:style>
  <w:style w:type="character" w:customStyle="1" w:styleId="203">
    <w:name w:val="标题 3 字符1"/>
    <w:link w:val="192"/>
    <w:qFormat/>
    <w:uiPriority w:val="0"/>
    <w:rPr>
      <w:rFonts w:ascii="黑体" w:hAnsi="黑体" w:eastAsia="黑体"/>
      <w:sz w:val="32"/>
      <w:szCs w:val="32"/>
      <w:lang w:eastAsia="en-US"/>
    </w:rPr>
  </w:style>
  <w:style w:type="character" w:customStyle="1" w:styleId="204">
    <w:name w:val="标题 5 字符1"/>
    <w:link w:val="193"/>
    <w:qFormat/>
    <w:uiPriority w:val="0"/>
    <w:rPr>
      <w:rFonts w:ascii="宋体" w:hAnsi="宋体"/>
      <w:b/>
    </w:rPr>
  </w:style>
  <w:style w:type="character" w:customStyle="1" w:styleId="205">
    <w:name w:val="标题 6 字符"/>
    <w:link w:val="194"/>
    <w:qFormat/>
    <w:uiPriority w:val="0"/>
    <w:rPr>
      <w:rFonts w:ascii="Cambria" w:hAnsi="Cambria"/>
      <w:b/>
      <w:bCs/>
      <w:sz w:val="24"/>
      <w:szCs w:val="24"/>
      <w:lang w:val="zh-CN" w:bidi="zh-CN"/>
    </w:rPr>
  </w:style>
  <w:style w:type="character" w:customStyle="1" w:styleId="206">
    <w:name w:val="标题 7 字符"/>
    <w:link w:val="195"/>
    <w:qFormat/>
    <w:uiPriority w:val="0"/>
    <w:rPr>
      <w:b/>
      <w:bCs/>
      <w:sz w:val="24"/>
      <w:szCs w:val="24"/>
      <w:lang w:val="zh-CN" w:bidi="zh-CN"/>
    </w:rPr>
  </w:style>
  <w:style w:type="character" w:customStyle="1" w:styleId="207">
    <w:name w:val="标题 8 字符"/>
    <w:link w:val="196"/>
    <w:qFormat/>
    <w:uiPriority w:val="0"/>
    <w:rPr>
      <w:rFonts w:ascii="Cambria" w:hAnsi="Cambria"/>
      <w:sz w:val="24"/>
      <w:szCs w:val="24"/>
      <w:lang w:val="zh-CN" w:bidi="zh-CN"/>
    </w:rPr>
  </w:style>
  <w:style w:type="character" w:customStyle="1" w:styleId="208">
    <w:name w:val="标题 9 字符"/>
    <w:link w:val="197"/>
    <w:qFormat/>
    <w:uiPriority w:val="0"/>
    <w:rPr>
      <w:rFonts w:ascii="Cambria" w:hAnsi="Cambria"/>
      <w:sz w:val="21"/>
      <w:szCs w:val="21"/>
      <w:lang w:val="zh-CN" w:bidi="zh-CN"/>
    </w:rPr>
  </w:style>
  <w:style w:type="paragraph" w:customStyle="1" w:styleId="209">
    <w:name w:val="列表 31"/>
    <w:basedOn w:val="1"/>
    <w:qFormat/>
    <w:uiPriority w:val="99"/>
    <w:pPr>
      <w:widowControl w:val="0"/>
      <w:ind w:left="1260" w:hanging="420"/>
      <w:jc w:val="both"/>
    </w:pPr>
    <w:rPr>
      <w:sz w:val="21"/>
      <w:szCs w:val="20"/>
      <w:lang w:eastAsia="zh-CN"/>
    </w:rPr>
  </w:style>
  <w:style w:type="paragraph" w:customStyle="1" w:styleId="210">
    <w:name w:val="目录 71"/>
    <w:basedOn w:val="1"/>
    <w:next w:val="1"/>
    <w:qFormat/>
    <w:uiPriority w:val="0"/>
    <w:pPr>
      <w:widowControl w:val="0"/>
      <w:ind w:left="1260"/>
    </w:pPr>
    <w:rPr>
      <w:sz w:val="18"/>
      <w:szCs w:val="20"/>
      <w:lang w:eastAsia="zh-CN"/>
    </w:rPr>
  </w:style>
  <w:style w:type="paragraph" w:customStyle="1" w:styleId="211">
    <w:name w:val="注释标题1"/>
    <w:basedOn w:val="212"/>
    <w:next w:val="212"/>
    <w:link w:val="213"/>
    <w:qFormat/>
    <w:uiPriority w:val="0"/>
    <w:rPr>
      <w:rFonts w:ascii="..ì." w:hAnsi="Times New Roman" w:eastAsia="..ì." w:cs="Times New Roman"/>
    </w:rPr>
  </w:style>
  <w:style w:type="paragraph" w:customStyle="1" w:styleId="212">
    <w:name w:val="Default"/>
    <w:qFormat/>
    <w:uiPriority w:val="0"/>
    <w:pPr>
      <w:widowControl w:val="0"/>
    </w:pPr>
    <w:rPr>
      <w:rFonts w:hint="default" w:ascii="宋体" w:hAnsi="宋体" w:eastAsia="宋体" w:cs="宋体"/>
      <w:color w:val="000000"/>
      <w:sz w:val="24"/>
      <w:szCs w:val="24"/>
      <w:lang w:val="en-US" w:eastAsia="zh-CN" w:bidi="ar-SA"/>
    </w:rPr>
  </w:style>
  <w:style w:type="character" w:customStyle="1" w:styleId="213">
    <w:name w:val="注释标题 字符"/>
    <w:link w:val="211"/>
    <w:qFormat/>
    <w:uiPriority w:val="0"/>
    <w:rPr>
      <w:rFonts w:ascii="..ì." w:eastAsia="..ì." w:cs="宋体"/>
      <w:color w:val="000000"/>
      <w:sz w:val="24"/>
      <w:szCs w:val="24"/>
    </w:rPr>
  </w:style>
  <w:style w:type="paragraph" w:customStyle="1" w:styleId="214">
    <w:name w:val="索引 81"/>
    <w:basedOn w:val="1"/>
    <w:next w:val="1"/>
    <w:qFormat/>
    <w:uiPriority w:val="99"/>
    <w:pPr>
      <w:widowControl w:val="0"/>
      <w:ind w:left="2940"/>
      <w:jc w:val="both"/>
    </w:pPr>
    <w:rPr>
      <w:sz w:val="21"/>
      <w:szCs w:val="20"/>
      <w:lang w:eastAsia="zh-CN"/>
    </w:rPr>
  </w:style>
  <w:style w:type="paragraph" w:customStyle="1" w:styleId="215">
    <w:name w:val="正文缩进1"/>
    <w:basedOn w:val="1"/>
    <w:link w:val="216"/>
    <w:qFormat/>
    <w:uiPriority w:val="99"/>
    <w:pPr>
      <w:widowControl w:val="0"/>
      <w:spacing w:line="360" w:lineRule="atLeast"/>
      <w:ind w:firstLine="420"/>
      <w:jc w:val="both"/>
    </w:pPr>
    <w:rPr>
      <w:rFonts w:ascii="Arial Unicode MS" w:hAnsi="Arial Unicode MS"/>
      <w:color w:val="000000"/>
      <w:sz w:val="21"/>
      <w:szCs w:val="21"/>
    </w:rPr>
  </w:style>
  <w:style w:type="character" w:customStyle="1" w:styleId="216">
    <w:name w:val="正文缩进 字符"/>
    <w:link w:val="215"/>
    <w:qFormat/>
    <w:uiPriority w:val="0"/>
    <w:rPr>
      <w:rFonts w:ascii="Arial Unicode MS" w:hAnsi="Arial Unicode MS" w:cs="Arial Unicode MS"/>
      <w:color w:val="000000"/>
      <w:sz w:val="21"/>
      <w:szCs w:val="21"/>
    </w:rPr>
  </w:style>
  <w:style w:type="paragraph" w:customStyle="1" w:styleId="217">
    <w:name w:val="题注1"/>
    <w:basedOn w:val="1"/>
    <w:next w:val="1"/>
    <w:qFormat/>
    <w:uiPriority w:val="0"/>
    <w:pPr>
      <w:widowControl w:val="0"/>
      <w:jc w:val="both"/>
    </w:pPr>
    <w:rPr>
      <w:rFonts w:ascii="Cambria" w:hAnsi="Cambria" w:eastAsia="黑体"/>
      <w:sz w:val="20"/>
      <w:szCs w:val="22"/>
      <w:lang w:eastAsia="zh-CN"/>
    </w:rPr>
  </w:style>
  <w:style w:type="paragraph" w:customStyle="1" w:styleId="218">
    <w:name w:val="索引 51"/>
    <w:basedOn w:val="1"/>
    <w:next w:val="1"/>
    <w:qFormat/>
    <w:uiPriority w:val="99"/>
    <w:pPr>
      <w:widowControl w:val="0"/>
      <w:ind w:left="1680"/>
      <w:jc w:val="both"/>
    </w:pPr>
    <w:rPr>
      <w:sz w:val="21"/>
      <w:szCs w:val="20"/>
      <w:lang w:eastAsia="zh-CN"/>
    </w:rPr>
  </w:style>
  <w:style w:type="paragraph" w:customStyle="1" w:styleId="219">
    <w:name w:val="文档结构图1"/>
    <w:basedOn w:val="1"/>
    <w:link w:val="220"/>
    <w:unhideWhenUsed/>
    <w:qFormat/>
    <w:uiPriority w:val="0"/>
    <w:pPr>
      <w:widowControl w:val="0"/>
      <w:jc w:val="both"/>
    </w:pPr>
    <w:rPr>
      <w:rFonts w:ascii="Microsoft YaHei UI" w:eastAsia="Microsoft YaHei UI"/>
      <w:sz w:val="18"/>
      <w:szCs w:val="18"/>
    </w:rPr>
  </w:style>
  <w:style w:type="character" w:customStyle="1" w:styleId="220">
    <w:name w:val="文档结构图 字符1"/>
    <w:link w:val="219"/>
    <w:qFormat/>
    <w:uiPriority w:val="0"/>
    <w:rPr>
      <w:rFonts w:ascii="Microsoft YaHei UI" w:eastAsia="Microsoft YaHei UI"/>
      <w:sz w:val="18"/>
      <w:szCs w:val="18"/>
    </w:rPr>
  </w:style>
  <w:style w:type="paragraph" w:customStyle="1" w:styleId="221">
    <w:name w:val="批注文字1"/>
    <w:basedOn w:val="1"/>
    <w:link w:val="222"/>
    <w:qFormat/>
    <w:uiPriority w:val="99"/>
  </w:style>
  <w:style w:type="character" w:customStyle="1" w:styleId="222">
    <w:name w:val="批注文字 字符2"/>
    <w:link w:val="221"/>
    <w:qFormat/>
    <w:uiPriority w:val="99"/>
    <w:rPr>
      <w:rFonts w:cs="Times New Roman"/>
      <w:sz w:val="24"/>
      <w:szCs w:val="24"/>
      <w:lang w:eastAsia="en-US"/>
    </w:rPr>
  </w:style>
  <w:style w:type="paragraph" w:customStyle="1" w:styleId="223">
    <w:name w:val="索引 61"/>
    <w:basedOn w:val="1"/>
    <w:next w:val="1"/>
    <w:qFormat/>
    <w:uiPriority w:val="99"/>
    <w:pPr>
      <w:widowControl w:val="0"/>
      <w:ind w:left="2100"/>
      <w:jc w:val="both"/>
    </w:pPr>
    <w:rPr>
      <w:sz w:val="21"/>
      <w:szCs w:val="20"/>
      <w:lang w:eastAsia="zh-CN"/>
    </w:rPr>
  </w:style>
  <w:style w:type="paragraph" w:customStyle="1" w:styleId="224">
    <w:name w:val="称呼1"/>
    <w:basedOn w:val="1"/>
    <w:next w:val="1"/>
    <w:link w:val="225"/>
    <w:qFormat/>
    <w:uiPriority w:val="0"/>
    <w:pPr>
      <w:widowControl w:val="0"/>
      <w:jc w:val="both"/>
    </w:pPr>
    <w:rPr>
      <w:rFonts w:ascii="楷体_GB2312" w:hAnsi="宋体" w:eastAsia="楷体_GB2312" w:cs="宋体"/>
      <w:sz w:val="28"/>
      <w:szCs w:val="22"/>
      <w:lang w:val="zh-CN" w:bidi="zh-CN"/>
    </w:rPr>
  </w:style>
  <w:style w:type="character" w:customStyle="1" w:styleId="225">
    <w:name w:val="称呼 字符"/>
    <w:link w:val="224"/>
    <w:qFormat/>
    <w:uiPriority w:val="0"/>
    <w:rPr>
      <w:rFonts w:ascii="楷体_GB2312" w:hAnsi="宋体" w:eastAsia="楷体_GB2312" w:cs="宋体"/>
      <w:sz w:val="28"/>
      <w:szCs w:val="22"/>
      <w:lang w:val="zh-CN" w:bidi="zh-CN"/>
    </w:rPr>
  </w:style>
  <w:style w:type="paragraph" w:customStyle="1" w:styleId="226">
    <w:name w:val="正文文本 31"/>
    <w:basedOn w:val="1"/>
    <w:link w:val="227"/>
    <w:qFormat/>
    <w:uiPriority w:val="0"/>
    <w:pPr>
      <w:widowControl w:val="0"/>
      <w:spacing w:line="360" w:lineRule="auto"/>
      <w:ind w:firstLine="964"/>
    </w:pPr>
    <w:rPr>
      <w:rFonts w:ascii="宋体"/>
    </w:rPr>
  </w:style>
  <w:style w:type="character" w:customStyle="1" w:styleId="227">
    <w:name w:val="正文文本 3 字符"/>
    <w:link w:val="226"/>
    <w:qFormat/>
    <w:uiPriority w:val="0"/>
    <w:rPr>
      <w:rFonts w:ascii="宋体"/>
      <w:sz w:val="24"/>
      <w:szCs w:val="24"/>
    </w:rPr>
  </w:style>
  <w:style w:type="paragraph" w:customStyle="1" w:styleId="228">
    <w:name w:val="正文文本1"/>
    <w:basedOn w:val="1"/>
    <w:link w:val="229"/>
    <w:qFormat/>
    <w:uiPriority w:val="0"/>
    <w:pPr>
      <w:tabs>
        <w:tab w:val="left" w:pos="993"/>
        <w:tab w:val="left" w:pos="1134"/>
      </w:tabs>
      <w:spacing w:line="500" w:lineRule="exact"/>
      <w:jc w:val="both"/>
    </w:pPr>
  </w:style>
  <w:style w:type="character" w:customStyle="1" w:styleId="229">
    <w:name w:val="正文文本 字符1"/>
    <w:link w:val="228"/>
    <w:qFormat/>
    <w:uiPriority w:val="0"/>
    <w:rPr>
      <w:rFonts w:cs="Times New Roman"/>
      <w:sz w:val="24"/>
      <w:szCs w:val="24"/>
      <w:lang w:eastAsia="en-US"/>
    </w:rPr>
  </w:style>
  <w:style w:type="paragraph" w:customStyle="1" w:styleId="230">
    <w:name w:val="正文文本缩进11"/>
    <w:basedOn w:val="1"/>
    <w:next w:val="1"/>
    <w:link w:val="231"/>
    <w:qFormat/>
    <w:uiPriority w:val="0"/>
    <w:pPr>
      <w:widowControl w:val="0"/>
      <w:spacing w:after="120" w:line="360" w:lineRule="auto"/>
      <w:ind w:left="420" w:firstLine="964"/>
    </w:pPr>
  </w:style>
  <w:style w:type="character" w:customStyle="1" w:styleId="231">
    <w:name w:val="正文文本缩进 字符"/>
    <w:link w:val="230"/>
    <w:qFormat/>
    <w:uiPriority w:val="0"/>
    <w:rPr>
      <w:sz w:val="24"/>
      <w:szCs w:val="24"/>
    </w:rPr>
  </w:style>
  <w:style w:type="paragraph" w:customStyle="1" w:styleId="232">
    <w:name w:val="文本块1"/>
    <w:basedOn w:val="1"/>
    <w:unhideWhenUsed/>
    <w:qFormat/>
    <w:uiPriority w:val="99"/>
    <w:pPr>
      <w:widowControl w:val="0"/>
      <w:spacing w:after="120" w:line="360" w:lineRule="auto"/>
      <w:ind w:left="1440" w:right="1440" w:firstLine="964"/>
    </w:pPr>
    <w:rPr>
      <w:lang w:eastAsia="zh-CN"/>
    </w:rPr>
  </w:style>
  <w:style w:type="paragraph" w:customStyle="1" w:styleId="233">
    <w:name w:val="索引 41"/>
    <w:basedOn w:val="1"/>
    <w:next w:val="1"/>
    <w:unhideWhenUsed/>
    <w:qFormat/>
    <w:uiPriority w:val="0"/>
    <w:pPr>
      <w:widowControl w:val="0"/>
      <w:ind w:left="600"/>
      <w:jc w:val="both"/>
    </w:pPr>
    <w:rPr>
      <w:rFonts w:ascii="Verdana" w:hAnsi="Verdana"/>
      <w:sz w:val="21"/>
      <w:szCs w:val="20"/>
      <w:lang w:eastAsia="zh-CN"/>
    </w:rPr>
  </w:style>
  <w:style w:type="paragraph" w:customStyle="1" w:styleId="234">
    <w:name w:val="目录 51"/>
    <w:basedOn w:val="1"/>
    <w:next w:val="1"/>
    <w:qFormat/>
    <w:uiPriority w:val="0"/>
    <w:pPr>
      <w:widowControl w:val="0"/>
      <w:ind w:left="840"/>
    </w:pPr>
    <w:rPr>
      <w:sz w:val="18"/>
      <w:szCs w:val="20"/>
      <w:lang w:eastAsia="zh-CN"/>
    </w:rPr>
  </w:style>
  <w:style w:type="paragraph" w:customStyle="1" w:styleId="235">
    <w:name w:val="目录 31"/>
    <w:basedOn w:val="1"/>
    <w:next w:val="1"/>
    <w:qFormat/>
    <w:uiPriority w:val="39"/>
    <w:pPr>
      <w:widowControl w:val="0"/>
      <w:ind w:left="840"/>
      <w:jc w:val="both"/>
    </w:pPr>
    <w:rPr>
      <w:rFonts w:ascii="Calibri" w:hAnsi="Calibri"/>
      <w:sz w:val="21"/>
      <w:szCs w:val="22"/>
      <w:lang w:eastAsia="zh-CN"/>
    </w:rPr>
  </w:style>
  <w:style w:type="paragraph" w:customStyle="1" w:styleId="236">
    <w:name w:val="纯文本11"/>
    <w:basedOn w:val="1"/>
    <w:link w:val="237"/>
    <w:qFormat/>
    <w:uiPriority w:val="0"/>
    <w:pPr>
      <w:widowControl w:val="0"/>
      <w:jc w:val="both"/>
    </w:pPr>
    <w:rPr>
      <w:rFonts w:ascii="宋体" w:hAnsi="Courier New"/>
      <w:sz w:val="21"/>
      <w:szCs w:val="21"/>
    </w:rPr>
  </w:style>
  <w:style w:type="character" w:customStyle="1" w:styleId="237">
    <w:name w:val="纯文本 字符2"/>
    <w:link w:val="236"/>
    <w:qFormat/>
    <w:uiPriority w:val="0"/>
    <w:rPr>
      <w:rFonts w:ascii="宋体" w:hAnsi="Courier New" w:cs="Courier New"/>
      <w:sz w:val="21"/>
      <w:szCs w:val="21"/>
      <w:lang w:eastAsia="en-US"/>
    </w:rPr>
  </w:style>
  <w:style w:type="paragraph" w:customStyle="1" w:styleId="238">
    <w:name w:val="目录 81"/>
    <w:basedOn w:val="1"/>
    <w:next w:val="1"/>
    <w:qFormat/>
    <w:uiPriority w:val="0"/>
    <w:pPr>
      <w:widowControl w:val="0"/>
      <w:ind w:left="1470"/>
    </w:pPr>
    <w:rPr>
      <w:sz w:val="18"/>
      <w:szCs w:val="20"/>
      <w:lang w:eastAsia="zh-CN"/>
    </w:rPr>
  </w:style>
  <w:style w:type="paragraph" w:customStyle="1" w:styleId="239">
    <w:name w:val="索引 31"/>
    <w:basedOn w:val="1"/>
    <w:next w:val="1"/>
    <w:qFormat/>
    <w:uiPriority w:val="99"/>
    <w:pPr>
      <w:widowControl w:val="0"/>
      <w:ind w:left="840"/>
      <w:jc w:val="both"/>
    </w:pPr>
    <w:rPr>
      <w:sz w:val="21"/>
      <w:szCs w:val="20"/>
      <w:lang w:eastAsia="zh-CN"/>
    </w:rPr>
  </w:style>
  <w:style w:type="paragraph" w:customStyle="1" w:styleId="240">
    <w:name w:val="日期1"/>
    <w:basedOn w:val="1"/>
    <w:next w:val="1"/>
    <w:link w:val="241"/>
    <w:qFormat/>
    <w:uiPriority w:val="0"/>
    <w:pPr>
      <w:widowControl w:val="0"/>
      <w:ind w:left="100"/>
      <w:jc w:val="both"/>
    </w:pPr>
    <w:rPr>
      <w:rFonts w:ascii="Calibri" w:hAnsi="Calibri"/>
      <w:sz w:val="21"/>
    </w:rPr>
  </w:style>
  <w:style w:type="character" w:customStyle="1" w:styleId="241">
    <w:name w:val="日期 字符2"/>
    <w:link w:val="240"/>
    <w:qFormat/>
    <w:uiPriority w:val="0"/>
    <w:rPr>
      <w:rFonts w:ascii="Calibri" w:hAnsi="Calibri"/>
      <w:sz w:val="21"/>
      <w:szCs w:val="24"/>
      <w:lang w:eastAsia="en-US"/>
    </w:rPr>
  </w:style>
  <w:style w:type="paragraph" w:customStyle="1" w:styleId="242">
    <w:name w:val="正文文本缩进 21"/>
    <w:basedOn w:val="1"/>
    <w:link w:val="243"/>
    <w:qFormat/>
    <w:uiPriority w:val="0"/>
    <w:pPr>
      <w:widowControl w:val="0"/>
      <w:spacing w:after="120" w:line="480" w:lineRule="auto"/>
      <w:ind w:left="420" w:firstLine="964"/>
    </w:pPr>
  </w:style>
  <w:style w:type="character" w:customStyle="1" w:styleId="243">
    <w:name w:val="正文文本缩进 2 字符"/>
    <w:link w:val="242"/>
    <w:qFormat/>
    <w:uiPriority w:val="0"/>
    <w:rPr>
      <w:sz w:val="24"/>
      <w:szCs w:val="24"/>
    </w:rPr>
  </w:style>
  <w:style w:type="paragraph" w:customStyle="1" w:styleId="244">
    <w:name w:val="批注框文本1"/>
    <w:basedOn w:val="1"/>
    <w:link w:val="245"/>
    <w:qFormat/>
    <w:uiPriority w:val="0"/>
    <w:rPr>
      <w:sz w:val="18"/>
      <w:szCs w:val="18"/>
    </w:rPr>
  </w:style>
  <w:style w:type="character" w:customStyle="1" w:styleId="245">
    <w:name w:val="批注框文本 字符1"/>
    <w:link w:val="244"/>
    <w:qFormat/>
    <w:uiPriority w:val="0"/>
    <w:rPr>
      <w:rFonts w:cs="Times New Roman"/>
      <w:sz w:val="18"/>
      <w:szCs w:val="18"/>
      <w:lang w:eastAsia="en-US"/>
    </w:rPr>
  </w:style>
  <w:style w:type="paragraph" w:customStyle="1" w:styleId="246">
    <w:name w:val="页脚1"/>
    <w:basedOn w:val="1"/>
    <w:link w:val="247"/>
    <w:qFormat/>
    <w:uiPriority w:val="99"/>
    <w:pPr>
      <w:tabs>
        <w:tab w:val="center" w:pos="4153"/>
        <w:tab w:val="right" w:pos="8306"/>
      </w:tabs>
    </w:pPr>
    <w:rPr>
      <w:sz w:val="18"/>
      <w:szCs w:val="18"/>
    </w:rPr>
  </w:style>
  <w:style w:type="character" w:customStyle="1" w:styleId="247">
    <w:name w:val="页脚 字符1"/>
    <w:link w:val="246"/>
    <w:qFormat/>
    <w:uiPriority w:val="99"/>
    <w:rPr>
      <w:rFonts w:cs="Times New Roman"/>
      <w:sz w:val="18"/>
      <w:szCs w:val="18"/>
      <w:lang w:eastAsia="en-US"/>
    </w:rPr>
  </w:style>
  <w:style w:type="paragraph" w:customStyle="1" w:styleId="248">
    <w:name w:val="寄信人地址1"/>
    <w:basedOn w:val="1"/>
    <w:unhideWhenUsed/>
    <w:qFormat/>
    <w:uiPriority w:val="0"/>
    <w:pPr>
      <w:widowControl w:val="0"/>
      <w:spacing w:line="360" w:lineRule="auto"/>
      <w:ind w:firstLine="964"/>
    </w:pPr>
    <w:rPr>
      <w:rFonts w:ascii="Arial" w:hAnsi="Arial" w:cs="Arial"/>
      <w:szCs w:val="20"/>
      <w:lang w:eastAsia="zh-CN"/>
    </w:rPr>
  </w:style>
  <w:style w:type="paragraph" w:customStyle="1" w:styleId="249">
    <w:name w:val="页眉1"/>
    <w:basedOn w:val="1"/>
    <w:link w:val="250"/>
    <w:qFormat/>
    <w:uiPriority w:val="99"/>
    <w:pPr>
      <w:pBdr>
        <w:bottom w:val="single" w:color="000000" w:sz="6" w:space="1"/>
      </w:pBdr>
      <w:tabs>
        <w:tab w:val="center" w:pos="4153"/>
        <w:tab w:val="right" w:pos="8306"/>
      </w:tabs>
      <w:jc w:val="center"/>
    </w:pPr>
    <w:rPr>
      <w:sz w:val="18"/>
      <w:szCs w:val="18"/>
    </w:rPr>
  </w:style>
  <w:style w:type="character" w:customStyle="1" w:styleId="250">
    <w:name w:val="页眉 字符1"/>
    <w:link w:val="249"/>
    <w:qFormat/>
    <w:uiPriority w:val="99"/>
    <w:rPr>
      <w:rFonts w:cs="Times New Roman"/>
      <w:sz w:val="18"/>
      <w:szCs w:val="18"/>
      <w:lang w:eastAsia="en-US"/>
    </w:rPr>
  </w:style>
  <w:style w:type="paragraph" w:customStyle="1" w:styleId="251">
    <w:name w:val="目录 11"/>
    <w:basedOn w:val="1"/>
    <w:next w:val="1"/>
    <w:qFormat/>
    <w:uiPriority w:val="39"/>
    <w:pPr>
      <w:widowControl w:val="0"/>
      <w:spacing w:before="271"/>
    </w:pPr>
    <w:rPr>
      <w:rFonts w:ascii="宋体" w:hAnsi="宋体"/>
      <w:b/>
      <w:bCs/>
    </w:rPr>
  </w:style>
  <w:style w:type="paragraph" w:customStyle="1" w:styleId="252">
    <w:name w:val="目录 41"/>
    <w:basedOn w:val="1"/>
    <w:next w:val="1"/>
    <w:qFormat/>
    <w:uiPriority w:val="0"/>
    <w:pPr>
      <w:widowControl w:val="0"/>
      <w:ind w:left="630"/>
    </w:pPr>
    <w:rPr>
      <w:sz w:val="18"/>
      <w:szCs w:val="20"/>
      <w:lang w:eastAsia="zh-CN"/>
    </w:rPr>
  </w:style>
  <w:style w:type="paragraph" w:customStyle="1" w:styleId="253">
    <w:name w:val="索引标题1"/>
    <w:basedOn w:val="1"/>
    <w:next w:val="254"/>
    <w:qFormat/>
    <w:uiPriority w:val="99"/>
    <w:pPr>
      <w:widowControl w:val="0"/>
      <w:jc w:val="both"/>
    </w:pPr>
    <w:rPr>
      <w:sz w:val="21"/>
      <w:szCs w:val="20"/>
      <w:lang w:eastAsia="zh-CN"/>
    </w:rPr>
  </w:style>
  <w:style w:type="paragraph" w:customStyle="1" w:styleId="254">
    <w:name w:val="索引 11"/>
    <w:basedOn w:val="1"/>
    <w:next w:val="1"/>
    <w:unhideWhenUsed/>
    <w:qFormat/>
    <w:uiPriority w:val="0"/>
  </w:style>
  <w:style w:type="paragraph" w:customStyle="1" w:styleId="255">
    <w:name w:val="副标题1"/>
    <w:basedOn w:val="1"/>
    <w:next w:val="1"/>
    <w:link w:val="256"/>
    <w:qFormat/>
    <w:uiPriority w:val="0"/>
    <w:pPr>
      <w:widowControl w:val="0"/>
      <w:spacing w:before="240" w:after="60" w:line="312" w:lineRule="auto"/>
      <w:jc w:val="center"/>
      <w:outlineLvl w:val="1"/>
    </w:pPr>
    <w:rPr>
      <w:rFonts w:ascii="Cambria" w:hAnsi="Cambria" w:cs="宋体"/>
      <w:b/>
      <w:bCs/>
      <w:sz w:val="32"/>
      <w:szCs w:val="32"/>
      <w:lang w:val="zh-CN" w:bidi="zh-CN"/>
    </w:rPr>
  </w:style>
  <w:style w:type="character" w:customStyle="1" w:styleId="256">
    <w:name w:val="副标题 字符"/>
    <w:link w:val="255"/>
    <w:qFormat/>
    <w:uiPriority w:val="0"/>
    <w:rPr>
      <w:rFonts w:ascii="Cambria" w:hAnsi="Cambria" w:cs="宋体"/>
      <w:b/>
      <w:bCs/>
      <w:sz w:val="32"/>
      <w:szCs w:val="32"/>
      <w:lang w:val="zh-CN" w:bidi="zh-CN"/>
    </w:rPr>
  </w:style>
  <w:style w:type="paragraph" w:customStyle="1" w:styleId="257">
    <w:name w:val="脚注文本1"/>
    <w:basedOn w:val="1"/>
    <w:link w:val="258"/>
    <w:qFormat/>
    <w:uiPriority w:val="99"/>
    <w:pPr>
      <w:widowControl w:val="0"/>
    </w:pPr>
    <w:rPr>
      <w:sz w:val="18"/>
      <w:szCs w:val="18"/>
    </w:rPr>
  </w:style>
  <w:style w:type="character" w:customStyle="1" w:styleId="258">
    <w:name w:val="脚注文本 字符"/>
    <w:link w:val="257"/>
    <w:qFormat/>
    <w:uiPriority w:val="99"/>
    <w:rPr>
      <w:sz w:val="18"/>
      <w:szCs w:val="18"/>
    </w:rPr>
  </w:style>
  <w:style w:type="paragraph" w:customStyle="1" w:styleId="259">
    <w:name w:val="目录 61"/>
    <w:basedOn w:val="1"/>
    <w:next w:val="1"/>
    <w:qFormat/>
    <w:uiPriority w:val="0"/>
    <w:pPr>
      <w:widowControl w:val="0"/>
      <w:ind w:left="1050"/>
    </w:pPr>
    <w:rPr>
      <w:sz w:val="18"/>
      <w:szCs w:val="20"/>
      <w:lang w:eastAsia="zh-CN"/>
    </w:rPr>
  </w:style>
  <w:style w:type="paragraph" w:customStyle="1" w:styleId="260">
    <w:name w:val="正文文本缩进 31"/>
    <w:basedOn w:val="1"/>
    <w:link w:val="261"/>
    <w:qFormat/>
    <w:uiPriority w:val="0"/>
    <w:pPr>
      <w:widowControl w:val="0"/>
      <w:ind w:left="645" w:firstLine="645"/>
      <w:jc w:val="both"/>
    </w:pPr>
    <w:rPr>
      <w:rFonts w:ascii="宋体" w:hAnsi="宋体"/>
      <w:sz w:val="16"/>
      <w:szCs w:val="16"/>
      <w:lang w:val="zh-CN" w:bidi="zh-CN"/>
    </w:rPr>
  </w:style>
  <w:style w:type="character" w:customStyle="1" w:styleId="261">
    <w:name w:val="正文文本缩进 3 字符"/>
    <w:link w:val="260"/>
    <w:qFormat/>
    <w:uiPriority w:val="0"/>
    <w:rPr>
      <w:rFonts w:ascii="宋体" w:hAnsi="宋体"/>
      <w:sz w:val="16"/>
      <w:szCs w:val="16"/>
      <w:lang w:val="zh-CN" w:bidi="zh-CN"/>
    </w:rPr>
  </w:style>
  <w:style w:type="paragraph" w:customStyle="1" w:styleId="262">
    <w:name w:val="索引 71"/>
    <w:basedOn w:val="1"/>
    <w:next w:val="1"/>
    <w:qFormat/>
    <w:uiPriority w:val="99"/>
    <w:pPr>
      <w:widowControl w:val="0"/>
      <w:ind w:left="2520"/>
      <w:jc w:val="both"/>
    </w:pPr>
    <w:rPr>
      <w:sz w:val="21"/>
      <w:szCs w:val="20"/>
      <w:lang w:eastAsia="zh-CN"/>
    </w:rPr>
  </w:style>
  <w:style w:type="paragraph" w:customStyle="1" w:styleId="263">
    <w:name w:val="索引 91"/>
    <w:basedOn w:val="1"/>
    <w:next w:val="1"/>
    <w:qFormat/>
    <w:uiPriority w:val="99"/>
    <w:pPr>
      <w:widowControl w:val="0"/>
      <w:ind w:left="3360"/>
      <w:jc w:val="both"/>
    </w:pPr>
    <w:rPr>
      <w:sz w:val="21"/>
      <w:szCs w:val="20"/>
      <w:lang w:eastAsia="zh-CN"/>
    </w:rPr>
  </w:style>
  <w:style w:type="paragraph" w:customStyle="1" w:styleId="264">
    <w:name w:val="图表目录1"/>
    <w:basedOn w:val="1"/>
    <w:next w:val="1"/>
    <w:qFormat/>
    <w:uiPriority w:val="99"/>
    <w:pPr>
      <w:widowControl w:val="0"/>
      <w:ind w:left="840" w:hanging="420"/>
      <w:jc w:val="both"/>
    </w:pPr>
    <w:rPr>
      <w:sz w:val="21"/>
      <w:szCs w:val="20"/>
      <w:lang w:eastAsia="zh-CN"/>
    </w:rPr>
  </w:style>
  <w:style w:type="paragraph" w:customStyle="1" w:styleId="265">
    <w:name w:val="目录 21"/>
    <w:basedOn w:val="1"/>
    <w:next w:val="1"/>
    <w:qFormat/>
    <w:uiPriority w:val="39"/>
    <w:pPr>
      <w:widowControl w:val="0"/>
      <w:spacing w:before="151"/>
      <w:ind w:left="327"/>
    </w:pPr>
    <w:rPr>
      <w:rFonts w:ascii="宋体" w:hAnsi="宋体"/>
    </w:rPr>
  </w:style>
  <w:style w:type="paragraph" w:customStyle="1" w:styleId="266">
    <w:name w:val="目录 91"/>
    <w:basedOn w:val="1"/>
    <w:next w:val="1"/>
    <w:qFormat/>
    <w:uiPriority w:val="0"/>
    <w:pPr>
      <w:widowControl w:val="0"/>
      <w:ind w:left="1680"/>
    </w:pPr>
    <w:rPr>
      <w:sz w:val="18"/>
      <w:szCs w:val="20"/>
      <w:lang w:eastAsia="zh-CN"/>
    </w:rPr>
  </w:style>
  <w:style w:type="paragraph" w:customStyle="1" w:styleId="267">
    <w:name w:val="正文文本 21"/>
    <w:basedOn w:val="1"/>
    <w:link w:val="268"/>
    <w:qFormat/>
    <w:uiPriority w:val="0"/>
    <w:pPr>
      <w:widowControl w:val="0"/>
      <w:spacing w:after="120" w:line="480" w:lineRule="auto"/>
      <w:ind w:firstLine="964"/>
    </w:pPr>
  </w:style>
  <w:style w:type="character" w:customStyle="1" w:styleId="268">
    <w:name w:val="正文文本 2 字符"/>
    <w:link w:val="267"/>
    <w:qFormat/>
    <w:uiPriority w:val="0"/>
    <w:rPr>
      <w:sz w:val="24"/>
      <w:szCs w:val="24"/>
    </w:rPr>
  </w:style>
  <w:style w:type="paragraph" w:customStyle="1" w:styleId="269">
    <w:name w:val="HTML 预设格式1"/>
    <w:basedOn w:val="1"/>
    <w:link w:val="27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0" w:lineRule="atLeast"/>
    </w:pPr>
    <w:rPr>
      <w:rFonts w:ascii="Arial" w:hAnsi="Arial"/>
      <w:sz w:val="11"/>
      <w:szCs w:val="11"/>
    </w:rPr>
  </w:style>
  <w:style w:type="character" w:customStyle="1" w:styleId="270">
    <w:name w:val="HTML 预设格式 字符1"/>
    <w:link w:val="269"/>
    <w:qFormat/>
    <w:uiPriority w:val="99"/>
    <w:rPr>
      <w:rFonts w:ascii="Arial" w:hAnsi="Arial"/>
      <w:sz w:val="11"/>
      <w:szCs w:val="11"/>
      <w:lang w:eastAsia="en-US"/>
    </w:rPr>
  </w:style>
  <w:style w:type="paragraph" w:customStyle="1" w:styleId="271">
    <w:name w:val="普通(网站)1"/>
    <w:basedOn w:val="1"/>
    <w:link w:val="272"/>
    <w:unhideWhenUsed/>
    <w:qFormat/>
    <w:uiPriority w:val="0"/>
    <w:pPr>
      <w:spacing w:before="100" w:beforeAutospacing="1" w:after="100" w:afterAutospacing="1"/>
    </w:pPr>
    <w:rPr>
      <w:rFonts w:ascii="宋体" w:hAnsi="宋体"/>
      <w:szCs w:val="22"/>
    </w:rPr>
  </w:style>
  <w:style w:type="character" w:customStyle="1" w:styleId="272">
    <w:name w:val="普通(网站) 字符"/>
    <w:link w:val="271"/>
    <w:qFormat/>
    <w:uiPriority w:val="99"/>
    <w:rPr>
      <w:rFonts w:ascii="宋体" w:hAnsi="宋体"/>
      <w:sz w:val="24"/>
      <w:szCs w:val="22"/>
    </w:rPr>
  </w:style>
  <w:style w:type="paragraph" w:customStyle="1" w:styleId="273">
    <w:name w:val="索引 21"/>
    <w:basedOn w:val="1"/>
    <w:next w:val="1"/>
    <w:qFormat/>
    <w:uiPriority w:val="99"/>
    <w:pPr>
      <w:widowControl w:val="0"/>
      <w:ind w:left="420"/>
      <w:jc w:val="both"/>
    </w:pPr>
    <w:rPr>
      <w:sz w:val="21"/>
      <w:szCs w:val="20"/>
      <w:lang w:eastAsia="zh-CN"/>
    </w:rPr>
  </w:style>
  <w:style w:type="paragraph" w:customStyle="1" w:styleId="274">
    <w:name w:val="标题1"/>
    <w:basedOn w:val="1"/>
    <w:next w:val="190"/>
    <w:link w:val="275"/>
    <w:qFormat/>
    <w:uiPriority w:val="0"/>
    <w:pPr>
      <w:widowControl w:val="0"/>
      <w:spacing w:before="240" w:after="60"/>
      <w:jc w:val="center"/>
      <w:outlineLvl w:val="0"/>
    </w:pPr>
    <w:rPr>
      <w:rFonts w:ascii="Cambria" w:hAnsi="Cambria"/>
      <w:b/>
      <w:bCs/>
      <w:sz w:val="32"/>
      <w:szCs w:val="32"/>
    </w:rPr>
  </w:style>
  <w:style w:type="character" w:customStyle="1" w:styleId="275">
    <w:name w:val="标题 字符1"/>
    <w:link w:val="274"/>
    <w:qFormat/>
    <w:uiPriority w:val="0"/>
    <w:rPr>
      <w:rFonts w:ascii="Cambria" w:hAnsi="Cambria" w:cs="Times New Roman"/>
      <w:b/>
      <w:bCs/>
      <w:sz w:val="32"/>
      <w:szCs w:val="32"/>
      <w:lang w:eastAsia="en-US"/>
    </w:rPr>
  </w:style>
  <w:style w:type="paragraph" w:customStyle="1" w:styleId="276">
    <w:name w:val="批注主题1"/>
    <w:basedOn w:val="221"/>
    <w:next w:val="221"/>
    <w:link w:val="277"/>
    <w:qFormat/>
    <w:uiPriority w:val="0"/>
    <w:rPr>
      <w:b/>
      <w:bCs/>
    </w:rPr>
  </w:style>
  <w:style w:type="character" w:customStyle="1" w:styleId="277">
    <w:name w:val="批注主题 字符1"/>
    <w:link w:val="276"/>
    <w:qFormat/>
    <w:uiPriority w:val="0"/>
    <w:rPr>
      <w:rFonts w:cs="Times New Roman"/>
      <w:b/>
      <w:bCs/>
      <w:sz w:val="24"/>
      <w:szCs w:val="24"/>
      <w:lang w:eastAsia="en-US"/>
    </w:rPr>
  </w:style>
  <w:style w:type="paragraph" w:customStyle="1" w:styleId="278">
    <w:name w:val="正文首行缩进1"/>
    <w:basedOn w:val="228"/>
    <w:link w:val="279"/>
    <w:qFormat/>
    <w:uiPriority w:val="99"/>
    <w:pPr>
      <w:widowControl w:val="0"/>
      <w:tabs>
        <w:tab w:val="clear" w:pos="993"/>
        <w:tab w:val="clear" w:pos="1134"/>
      </w:tabs>
      <w:spacing w:after="120" w:line="240" w:lineRule="auto"/>
      <w:ind w:firstLine="420"/>
      <w:jc w:val="left"/>
    </w:pPr>
    <w:rPr>
      <w:rFonts w:ascii="宋体" w:hAnsi="宋体" w:eastAsia="Calibri"/>
      <w:sz w:val="22"/>
      <w:szCs w:val="22"/>
    </w:rPr>
  </w:style>
  <w:style w:type="character" w:customStyle="1" w:styleId="279">
    <w:name w:val="正文文本首行缩进 字符1"/>
    <w:link w:val="278"/>
    <w:qFormat/>
    <w:uiPriority w:val="99"/>
    <w:rPr>
      <w:rFonts w:ascii="宋体" w:hAnsi="宋体" w:eastAsia="Calibri"/>
      <w:sz w:val="22"/>
      <w:szCs w:val="22"/>
      <w:lang w:eastAsia="en-US"/>
    </w:rPr>
  </w:style>
  <w:style w:type="paragraph" w:customStyle="1" w:styleId="280">
    <w:name w:val="正文首行缩进 211"/>
    <w:basedOn w:val="230"/>
    <w:link w:val="281"/>
    <w:qFormat/>
    <w:uiPriority w:val="99"/>
    <w:pPr>
      <w:ind w:firstLine="420"/>
    </w:pPr>
  </w:style>
  <w:style w:type="character" w:customStyle="1" w:styleId="281">
    <w:name w:val="正文文本首行缩进 2 字符"/>
    <w:link w:val="280"/>
    <w:qFormat/>
    <w:uiPriority w:val="99"/>
  </w:style>
  <w:style w:type="table" w:customStyle="1" w:styleId="282">
    <w:name w:val="网格型1111"/>
    <w:basedOn w:val="199"/>
    <w:qFormat/>
    <w:uiPriority w:val="99"/>
    <w:pPr>
      <w:widowControl w:val="0"/>
      <w:jc w:val="both"/>
    </w:pPr>
  </w:style>
  <w:style w:type="character" w:customStyle="1" w:styleId="283">
    <w:name w:val="要点1"/>
    <w:link w:val="1"/>
    <w:qFormat/>
    <w:uiPriority w:val="0"/>
    <w:rPr>
      <w:b/>
      <w:bCs/>
    </w:rPr>
  </w:style>
  <w:style w:type="character" w:customStyle="1" w:styleId="284">
    <w:name w:val="页码11"/>
    <w:link w:val="1"/>
    <w:qFormat/>
    <w:uiPriority w:val="0"/>
    <w:rPr>
      <w:rFonts w:cs="Times New Roman"/>
    </w:rPr>
  </w:style>
  <w:style w:type="character" w:customStyle="1" w:styleId="285">
    <w:name w:val="已访问的超链接1"/>
    <w:link w:val="1"/>
    <w:unhideWhenUsed/>
    <w:qFormat/>
    <w:uiPriority w:val="0"/>
    <w:rPr>
      <w:color w:val="954F72"/>
      <w:u w:val="single"/>
    </w:rPr>
  </w:style>
  <w:style w:type="character" w:customStyle="1" w:styleId="286">
    <w:name w:val="强调1"/>
    <w:link w:val="1"/>
    <w:qFormat/>
    <w:uiPriority w:val="0"/>
    <w:rPr>
      <w:i/>
      <w:iCs/>
    </w:rPr>
  </w:style>
  <w:style w:type="character" w:customStyle="1" w:styleId="287">
    <w:name w:val="HTML 定义1"/>
    <w:link w:val="1"/>
    <w:qFormat/>
    <w:uiPriority w:val="0"/>
  </w:style>
  <w:style w:type="character" w:customStyle="1" w:styleId="288">
    <w:name w:val="HTML 打字机1"/>
    <w:link w:val="1"/>
    <w:qFormat/>
    <w:uiPriority w:val="0"/>
    <w:rPr>
      <w:rFonts w:ascii="monospace" w:hAnsi="monospace" w:eastAsia="monospace" w:cs="monospace"/>
      <w:sz w:val="20"/>
    </w:rPr>
  </w:style>
  <w:style w:type="character" w:customStyle="1" w:styleId="289">
    <w:name w:val="HTML 缩写1"/>
    <w:link w:val="1"/>
    <w:qFormat/>
    <w:uiPriority w:val="0"/>
  </w:style>
  <w:style w:type="character" w:customStyle="1" w:styleId="290">
    <w:name w:val="HTML 变量1"/>
    <w:link w:val="1"/>
    <w:qFormat/>
    <w:uiPriority w:val="0"/>
  </w:style>
  <w:style w:type="character" w:customStyle="1" w:styleId="291">
    <w:name w:val="超链接1"/>
    <w:link w:val="1"/>
    <w:qFormat/>
    <w:uiPriority w:val="99"/>
    <w:rPr>
      <w:rFonts w:cs="Times New Roman"/>
      <w:u w:val="single"/>
    </w:rPr>
  </w:style>
  <w:style w:type="character" w:customStyle="1" w:styleId="292">
    <w:name w:val="HTML 代码1"/>
    <w:link w:val="1"/>
    <w:qFormat/>
    <w:uiPriority w:val="0"/>
    <w:rPr>
      <w:rFonts w:ascii="monospace" w:hAnsi="monospace" w:eastAsia="monospace" w:cs="monospace"/>
      <w:sz w:val="20"/>
    </w:rPr>
  </w:style>
  <w:style w:type="character" w:customStyle="1" w:styleId="293">
    <w:name w:val="批注引用1"/>
    <w:link w:val="1"/>
    <w:qFormat/>
    <w:uiPriority w:val="0"/>
    <w:rPr>
      <w:rFonts w:cs="Times New Roman"/>
      <w:sz w:val="21"/>
      <w:szCs w:val="21"/>
    </w:rPr>
  </w:style>
  <w:style w:type="character" w:customStyle="1" w:styleId="294">
    <w:name w:val="HTML 引文1"/>
    <w:link w:val="1"/>
    <w:qFormat/>
    <w:uiPriority w:val="0"/>
  </w:style>
  <w:style w:type="character" w:customStyle="1" w:styleId="295">
    <w:name w:val="脚注引用1"/>
    <w:link w:val="1"/>
    <w:qFormat/>
    <w:uiPriority w:val="99"/>
    <w:rPr>
      <w:vertAlign w:val="superscript"/>
    </w:rPr>
  </w:style>
  <w:style w:type="character" w:customStyle="1" w:styleId="296">
    <w:name w:val="HTML 键盘1"/>
    <w:link w:val="1"/>
    <w:qFormat/>
    <w:uiPriority w:val="0"/>
    <w:rPr>
      <w:rFonts w:ascii="monospace" w:hAnsi="monospace" w:eastAsia="monospace" w:cs="monospace"/>
      <w:sz w:val="20"/>
    </w:rPr>
  </w:style>
  <w:style w:type="character" w:customStyle="1" w:styleId="297">
    <w:name w:val="HTML 样本1"/>
    <w:link w:val="1"/>
    <w:qFormat/>
    <w:uiPriority w:val="0"/>
    <w:rPr>
      <w:rFonts w:ascii="monospace" w:hAnsi="monospace" w:eastAsia="monospace" w:cs="monospace"/>
      <w:b/>
      <w:bCs/>
      <w:color w:val="E89428"/>
      <w:sz w:val="24"/>
      <w:szCs w:val="24"/>
    </w:rPr>
  </w:style>
  <w:style w:type="paragraph" w:customStyle="1" w:styleId="298">
    <w:name w:val="NormalIndent1"/>
    <w:basedOn w:val="1"/>
    <w:link w:val="299"/>
    <w:qFormat/>
    <w:uiPriority w:val="0"/>
    <w:pPr>
      <w:ind w:firstLine="420"/>
      <w:jc w:val="both"/>
    </w:pPr>
    <w:rPr>
      <w:sz w:val="21"/>
    </w:rPr>
  </w:style>
  <w:style w:type="character" w:customStyle="1" w:styleId="299">
    <w:name w:val="UserStyle_1"/>
    <w:link w:val="298"/>
    <w:qFormat/>
    <w:uiPriority w:val="0"/>
    <w:rPr>
      <w:sz w:val="21"/>
      <w:szCs w:val="24"/>
    </w:rPr>
  </w:style>
  <w:style w:type="paragraph" w:customStyle="1" w:styleId="300">
    <w:name w:val="列表段落"/>
    <w:basedOn w:val="1"/>
    <w:link w:val="301"/>
    <w:qFormat/>
    <w:uiPriority w:val="1"/>
    <w:pPr>
      <w:widowControl w:val="0"/>
      <w:ind w:firstLine="420"/>
      <w:jc w:val="both"/>
    </w:pPr>
    <w:rPr>
      <w:sz w:val="21"/>
      <w:lang w:eastAsia="zh-CN"/>
    </w:rPr>
  </w:style>
  <w:style w:type="character" w:customStyle="1" w:styleId="301">
    <w:name w:val="列表段落 字符"/>
    <w:link w:val="300"/>
    <w:qFormat/>
    <w:uiPriority w:val="1"/>
    <w:rPr>
      <w:sz w:val="21"/>
      <w:szCs w:val="24"/>
    </w:rPr>
  </w:style>
  <w:style w:type="paragraph" w:customStyle="1" w:styleId="302">
    <w:name w:val="首行缩进"/>
    <w:qFormat/>
    <w:uiPriority w:val="99"/>
    <w:pPr>
      <w:widowControl w:val="0"/>
      <w:spacing w:line="360" w:lineRule="auto"/>
      <w:ind w:firstLine="480"/>
    </w:pPr>
    <w:rPr>
      <w:rFonts w:hint="default" w:ascii="宋体" w:hAnsi="宋体" w:eastAsia="宋体" w:cs="宋体"/>
      <w:color w:val="000000"/>
      <w:sz w:val="24"/>
      <w:szCs w:val="24"/>
      <w:lang w:val="en-US" w:eastAsia="zh-CN" w:bidi="ar-SA"/>
    </w:rPr>
  </w:style>
  <w:style w:type="table" w:customStyle="1" w:styleId="303">
    <w:name w:val="Table Normal1"/>
    <w:qFormat/>
    <w:uiPriority w:val="99"/>
    <w:rPr>
      <w:lang w:val="en-US" w:eastAsia="zh-CN" w:bidi="ar-SA"/>
    </w:rPr>
  </w:style>
  <w:style w:type="paragraph" w:customStyle="1" w:styleId="304">
    <w:name w:val="列表段落1"/>
    <w:qFormat/>
    <w:uiPriority w:val="99"/>
    <w:pPr>
      <w:ind w:firstLine="420"/>
    </w:pPr>
    <w:rPr>
      <w:rFonts w:hint="default" w:ascii="Times New Roman" w:hAnsi="Times New Roman" w:eastAsia="宋体" w:cs="Arial Unicode MS"/>
      <w:color w:val="000000"/>
      <w:lang w:val="en-US" w:eastAsia="zh-CN" w:bidi="ar-SA"/>
    </w:rPr>
  </w:style>
  <w:style w:type="paragraph" w:customStyle="1" w:styleId="305">
    <w:name w:val="页眉与页脚"/>
    <w:qFormat/>
    <w:uiPriority w:val="99"/>
    <w:pPr>
      <w:tabs>
        <w:tab w:val="right" w:pos="9020"/>
      </w:tabs>
    </w:pPr>
    <w:rPr>
      <w:rFonts w:hint="default" w:ascii="Helvetica Neue" w:hAnsi="Helvetica Neue" w:eastAsia="宋体" w:cs="Helvetica Neue"/>
      <w:color w:val="000000"/>
      <w:sz w:val="24"/>
      <w:szCs w:val="24"/>
      <w:lang w:val="en-US" w:eastAsia="zh-CN" w:bidi="ar-SA"/>
    </w:rPr>
  </w:style>
  <w:style w:type="paragraph" w:customStyle="1" w:styleId="306">
    <w:name w:val="正文（绿盟科技）"/>
    <w:qFormat/>
    <w:uiPriority w:val="0"/>
    <w:pPr>
      <w:spacing w:line="300" w:lineRule="auto"/>
    </w:pPr>
    <w:rPr>
      <w:rFonts w:hint="default" w:ascii="Arial" w:hAnsi="Arial" w:eastAsia="宋体" w:cs="Arial Unicode MS"/>
      <w:color w:val="000000"/>
      <w:sz w:val="21"/>
      <w:szCs w:val="21"/>
      <w:lang w:val="en-US" w:eastAsia="zh-CN" w:bidi="ar-SA"/>
    </w:rPr>
  </w:style>
  <w:style w:type="paragraph" w:customStyle="1" w:styleId="307">
    <w:name w:val="正文_0_1"/>
    <w:qFormat/>
    <w:uiPriority w:val="0"/>
    <w:pPr>
      <w:widowControl w:val="0"/>
      <w:jc w:val="both"/>
    </w:pPr>
    <w:rPr>
      <w:rFonts w:hint="default" w:ascii="Calibri" w:hAnsi="Calibri" w:eastAsia="宋体" w:cs="Calibri"/>
      <w:color w:val="000000"/>
      <w:sz w:val="21"/>
      <w:szCs w:val="21"/>
      <w:lang w:val="en-US" w:eastAsia="zh-CN" w:bidi="ar-SA"/>
    </w:rPr>
  </w:style>
  <w:style w:type="paragraph" w:customStyle="1" w:styleId="308">
    <w:name w:val="无间隔"/>
    <w:qFormat/>
    <w:uiPriority w:val="0"/>
    <w:rPr>
      <w:rFonts w:hint="default" w:ascii="Times New Roman" w:hAnsi="Times New Roman" w:eastAsia="宋体" w:cs="Times New Roman"/>
      <w:sz w:val="24"/>
      <w:szCs w:val="24"/>
      <w:lang w:val="en-US" w:eastAsia="en-US" w:bidi="ar-SA"/>
    </w:rPr>
  </w:style>
  <w:style w:type="paragraph" w:customStyle="1" w:styleId="309">
    <w:name w:val="修订1"/>
    <w:qFormat/>
    <w:uiPriority w:val="0"/>
    <w:rPr>
      <w:rFonts w:hint="default" w:ascii="Times New Roman" w:hAnsi="Times New Roman" w:eastAsia="宋体" w:cs="Times New Roman"/>
      <w:sz w:val="24"/>
      <w:szCs w:val="24"/>
      <w:lang w:val="en-US" w:eastAsia="en-US" w:bidi="ar-SA"/>
    </w:rPr>
  </w:style>
  <w:style w:type="paragraph" w:customStyle="1" w:styleId="310">
    <w:name w:val="纯文本1"/>
    <w:basedOn w:val="1"/>
    <w:qFormat/>
    <w:uiPriority w:val="99"/>
    <w:rPr>
      <w:rFonts w:ascii="Ari"/>
      <w:sz w:val="20"/>
      <w:szCs w:val="20"/>
    </w:rPr>
  </w:style>
  <w:style w:type="paragraph" w:customStyle="1" w:styleId="311">
    <w:name w:val="正文1"/>
    <w:link w:val="312"/>
    <w:qFormat/>
    <w:uiPriority w:val="99"/>
    <w:pPr>
      <w:widowControl w:val="0"/>
      <w:jc w:val="both"/>
    </w:pPr>
    <w:rPr>
      <w:rFonts w:hint="default" w:ascii="Calibri" w:hAnsi="Calibri" w:eastAsia="宋体" w:cs="Times New Roman"/>
      <w:lang w:val="en-US" w:eastAsia="zh-CN" w:bidi="ar-SA"/>
    </w:rPr>
  </w:style>
  <w:style w:type="character" w:customStyle="1" w:styleId="312">
    <w:name w:val="Normal Char"/>
    <w:link w:val="311"/>
    <w:qFormat/>
    <w:uiPriority w:val="99"/>
    <w:rPr>
      <w:rFonts w:ascii="Calibri" w:hAnsi="Calibri"/>
      <w:lang w:val="en-US" w:eastAsia="zh-CN" w:bidi="ar-SA"/>
    </w:rPr>
  </w:style>
  <w:style w:type="table" w:customStyle="1" w:styleId="313">
    <w:name w:val="网格型1"/>
    <w:basedOn w:val="199"/>
    <w:qFormat/>
    <w:uiPriority w:val="39"/>
  </w:style>
  <w:style w:type="character" w:customStyle="1" w:styleId="314">
    <w:name w:val="NormalCharacter1"/>
    <w:link w:val="1"/>
    <w:qFormat/>
    <w:uiPriority w:val="0"/>
  </w:style>
  <w:style w:type="character" w:customStyle="1" w:styleId="315">
    <w:name w:val="无"/>
    <w:link w:val="1"/>
    <w:qFormat/>
    <w:uiPriority w:val="99"/>
  </w:style>
  <w:style w:type="character" w:customStyle="1" w:styleId="316">
    <w:name w:val="纯文本 Char1"/>
    <w:link w:val="1"/>
    <w:qFormat/>
    <w:uiPriority w:val="99"/>
    <w:rPr>
      <w:rFonts w:ascii="宋体" w:hAnsi="Courier New" w:cs="Courier New"/>
      <w:sz w:val="21"/>
      <w:szCs w:val="21"/>
      <w:lang w:eastAsia="en-US"/>
    </w:rPr>
  </w:style>
  <w:style w:type="paragraph" w:customStyle="1" w:styleId="317">
    <w:name w:val="Table Paragraph"/>
    <w:basedOn w:val="1"/>
    <w:qFormat/>
    <w:uiPriority w:val="1"/>
    <w:pPr>
      <w:widowControl w:val="0"/>
    </w:pPr>
    <w:rPr>
      <w:sz w:val="21"/>
      <w:szCs w:val="22"/>
    </w:rPr>
  </w:style>
  <w:style w:type="paragraph" w:customStyle="1" w:styleId="318">
    <w:name w:val="列出段落1"/>
    <w:qFormat/>
    <w:uiPriority w:val="34"/>
    <w:pPr>
      <w:widowControl w:val="0"/>
      <w:pBdr>
        <w:top w:val="none" w:color="FFFFFF" w:sz="0" w:space="31"/>
        <w:left w:val="none" w:color="FFFFFF" w:sz="0" w:space="31"/>
        <w:bottom w:val="none" w:color="FFFFFF" w:sz="0" w:space="31"/>
        <w:right w:val="none" w:color="FFFFFF" w:sz="0" w:space="31"/>
      </w:pBdr>
    </w:pPr>
    <w:rPr>
      <w:rFonts w:hint="default" w:ascii="Arial Unicode MS" w:hAnsi="Arial Unicode MS" w:eastAsia="宋体" w:cs="Arial Unicode MS"/>
      <w:color w:val="000000"/>
      <w:sz w:val="22"/>
      <w:szCs w:val="22"/>
      <w:shd w:val="clear" w:color="FFFFFF" w:fill="FFFFFF"/>
      <w:lang w:val="en-US" w:eastAsia="zh-CN" w:bidi="ar-SA"/>
    </w:rPr>
  </w:style>
  <w:style w:type="paragraph" w:customStyle="1" w:styleId="319">
    <w:name w:val="Normal_26"/>
    <w:qFormat/>
    <w:uiPriority w:val="0"/>
    <w:pPr>
      <w:spacing w:before="120" w:after="240"/>
      <w:jc w:val="both"/>
    </w:pPr>
    <w:rPr>
      <w:rFonts w:hint="default" w:ascii="Times New Roman" w:hAnsi="Times New Roman" w:eastAsia="Times New Roman" w:cs="Times New Roman"/>
      <w:sz w:val="22"/>
      <w:szCs w:val="22"/>
      <w:lang w:val="en-US" w:eastAsia="en-US" w:bidi="ar-SA"/>
    </w:rPr>
  </w:style>
  <w:style w:type="paragraph" w:customStyle="1" w:styleId="320">
    <w:name w:val="普通正文"/>
    <w:basedOn w:val="1"/>
    <w:qFormat/>
    <w:uiPriority w:val="0"/>
    <w:pPr>
      <w:widowControl w:val="0"/>
      <w:spacing w:before="120" w:after="120" w:line="360" w:lineRule="auto"/>
      <w:ind w:firstLine="480"/>
    </w:pPr>
    <w:rPr>
      <w:rFonts w:ascii="Arial" w:hAnsi="Arial"/>
      <w:lang w:eastAsia="zh-CN"/>
    </w:rPr>
  </w:style>
  <w:style w:type="table" w:customStyle="1" w:styleId="321">
    <w:name w:val="Table Normal"/>
    <w:unhideWhenUsed/>
    <w:qFormat/>
    <w:uiPriority w:val="2"/>
    <w:rPr>
      <w:lang w:val="en-US" w:eastAsia="zh-CN" w:bidi="ar-SA"/>
    </w:rPr>
  </w:style>
  <w:style w:type="character" w:customStyle="1" w:styleId="322">
    <w:name w:val="标题 2 字符"/>
    <w:link w:val="1"/>
    <w:semiHidden/>
    <w:qFormat/>
    <w:uiPriority w:val="9"/>
    <w:rPr>
      <w:rFonts w:ascii="等线 Light" w:hAnsi="等线 Light" w:eastAsia="等线 Light" w:cs="Times New Roman"/>
      <w:b/>
      <w:bCs/>
      <w:sz w:val="32"/>
      <w:szCs w:val="32"/>
      <w:lang w:eastAsia="en-US"/>
    </w:rPr>
  </w:style>
  <w:style w:type="character" w:customStyle="1" w:styleId="323">
    <w:name w:val="标题 4 字符"/>
    <w:link w:val="1"/>
    <w:semiHidden/>
    <w:qFormat/>
    <w:uiPriority w:val="9"/>
    <w:rPr>
      <w:rFonts w:ascii="等线 Light" w:hAnsi="等线 Light" w:eastAsia="等线 Light" w:cs="Times New Roman"/>
      <w:b/>
      <w:bCs/>
      <w:sz w:val="28"/>
      <w:szCs w:val="28"/>
      <w:lang w:eastAsia="en-US"/>
    </w:rPr>
  </w:style>
  <w:style w:type="character" w:customStyle="1" w:styleId="324">
    <w:name w:val="p21"/>
    <w:link w:val="1"/>
    <w:qFormat/>
    <w:uiPriority w:val="0"/>
    <w:rPr>
      <w:sz w:val="9"/>
      <w:szCs w:val="9"/>
    </w:rPr>
  </w:style>
  <w:style w:type="character" w:customStyle="1" w:styleId="325">
    <w:name w:val="HTML 预设格式 字符"/>
    <w:link w:val="1"/>
    <w:qFormat/>
    <w:uiPriority w:val="99"/>
    <w:rPr>
      <w:rFonts w:ascii="Courier New" w:hAnsi="Courier New" w:eastAsia="Calibri" w:cs="Courier New"/>
      <w:lang w:eastAsia="en-US"/>
    </w:rPr>
  </w:style>
  <w:style w:type="character" w:customStyle="1" w:styleId="326">
    <w:name w:val="文档结构图 字符"/>
    <w:link w:val="1"/>
    <w:qFormat/>
    <w:uiPriority w:val="99"/>
    <w:rPr>
      <w:rFonts w:ascii="Microsoft YaHei UI" w:eastAsia="Microsoft YaHei UI"/>
      <w:sz w:val="18"/>
      <w:szCs w:val="18"/>
      <w:lang w:eastAsia="en-US"/>
    </w:rPr>
  </w:style>
  <w:style w:type="character" w:customStyle="1" w:styleId="327">
    <w:name w:val="批注框文本 字符"/>
    <w:link w:val="1"/>
    <w:semiHidden/>
    <w:qFormat/>
    <w:uiPriority w:val="99"/>
    <w:rPr>
      <w:rFonts w:ascii="Times New Roman" w:hAnsi="Times New Roman" w:eastAsia="Calibri" w:cs="Times New Roman"/>
      <w:sz w:val="18"/>
      <w:szCs w:val="18"/>
      <w:lang w:eastAsia="en-US"/>
    </w:rPr>
  </w:style>
  <w:style w:type="character" w:customStyle="1" w:styleId="328">
    <w:name w:val="标题 字符"/>
    <w:link w:val="1"/>
    <w:qFormat/>
    <w:uiPriority w:val="10"/>
    <w:rPr>
      <w:rFonts w:ascii="等线 Light" w:hAnsi="等线 Light" w:eastAsia="等线 Light" w:cs="Times New Roman"/>
      <w:b/>
      <w:bCs/>
      <w:sz w:val="32"/>
      <w:szCs w:val="32"/>
      <w:lang w:eastAsia="en-US"/>
    </w:rPr>
  </w:style>
  <w:style w:type="character" w:customStyle="1" w:styleId="329">
    <w:name w:val="纯文本 Char_0"/>
    <w:link w:val="330"/>
    <w:qFormat/>
    <w:uiPriority w:val="99"/>
    <w:rPr>
      <w:rFonts w:ascii="宋体" w:hAnsi="Courier New"/>
      <w:szCs w:val="21"/>
    </w:rPr>
  </w:style>
  <w:style w:type="paragraph" w:customStyle="1" w:styleId="330">
    <w:name w:val="纯文本_0"/>
    <w:basedOn w:val="331"/>
    <w:link w:val="329"/>
    <w:unhideWhenUsed/>
    <w:qFormat/>
    <w:uiPriority w:val="99"/>
    <w:rPr>
      <w:rFonts w:ascii="宋体" w:hAnsi="Courier New" w:cs="Times New Roman"/>
      <w:szCs w:val="21"/>
    </w:rPr>
  </w:style>
  <w:style w:type="paragraph" w:customStyle="1" w:styleId="331">
    <w:name w:val="正文_1_0"/>
    <w:qFormat/>
    <w:uiPriority w:val="0"/>
    <w:pPr>
      <w:widowControl w:val="0"/>
      <w:jc w:val="both"/>
    </w:pPr>
    <w:rPr>
      <w:rFonts w:hint="default" w:ascii="Calibri" w:hAnsi="Calibri" w:eastAsia="宋体" w:cs="Calibri"/>
      <w:lang w:val="en-US" w:eastAsia="zh-CN" w:bidi="ar-SA"/>
    </w:rPr>
  </w:style>
  <w:style w:type="character" w:customStyle="1" w:styleId="332">
    <w:name w:val="ca-10"/>
    <w:link w:val="1"/>
    <w:qFormat/>
    <w:uiPriority w:val="0"/>
    <w:rPr>
      <w:rFonts w:eastAsia="Times New Roman"/>
    </w:rPr>
  </w:style>
  <w:style w:type="character" w:customStyle="1" w:styleId="333">
    <w:name w:val="批注文字 Char1"/>
    <w:link w:val="1"/>
    <w:qFormat/>
    <w:uiPriority w:val="0"/>
    <w:rPr>
      <w:rFonts w:eastAsia="Calibri"/>
      <w:sz w:val="22"/>
      <w:szCs w:val="22"/>
      <w:lang w:eastAsia="en-US"/>
    </w:rPr>
  </w:style>
  <w:style w:type="character" w:customStyle="1" w:styleId="334">
    <w:name w:val="批注主题 字符"/>
    <w:link w:val="1"/>
    <w:qFormat/>
    <w:uiPriority w:val="99"/>
    <w:rPr>
      <w:rFonts w:eastAsia="Calibri"/>
      <w:b/>
      <w:bCs/>
      <w:sz w:val="22"/>
      <w:szCs w:val="22"/>
      <w:lang w:eastAsia="en-US"/>
    </w:rPr>
  </w:style>
  <w:style w:type="character" w:customStyle="1" w:styleId="335">
    <w:name w:val="apple-converted-space"/>
    <w:link w:val="1"/>
    <w:qFormat/>
    <w:uiPriority w:val="0"/>
    <w:rPr>
      <w:rFonts w:eastAsia="Times New Roman"/>
    </w:rPr>
  </w:style>
  <w:style w:type="character" w:customStyle="1" w:styleId="336">
    <w:name w:val="ca-2"/>
    <w:link w:val="1"/>
    <w:qFormat/>
    <w:uiPriority w:val="0"/>
    <w:rPr>
      <w:rFonts w:eastAsia="Times New Roman"/>
    </w:rPr>
  </w:style>
  <w:style w:type="character" w:customStyle="1" w:styleId="337">
    <w:name w:val="标题3 Char_0"/>
    <w:link w:val="338"/>
    <w:qFormat/>
    <w:uiPriority w:val="0"/>
    <w:rPr>
      <w:rFonts w:ascii="黑体" w:hAnsi="黑体" w:eastAsia="黑体"/>
      <w:b/>
      <w:sz w:val="32"/>
      <w:szCs w:val="32"/>
    </w:rPr>
  </w:style>
  <w:style w:type="paragraph" w:customStyle="1" w:styleId="338">
    <w:name w:val="标题3_0"/>
    <w:basedOn w:val="339"/>
    <w:link w:val="337"/>
    <w:qFormat/>
    <w:uiPriority w:val="0"/>
    <w:pPr>
      <w:jc w:val="center"/>
      <w:outlineLvl w:val="2"/>
    </w:pPr>
    <w:rPr>
      <w:rFonts w:ascii="黑体" w:hAnsi="黑体" w:eastAsia="黑体" w:cs="Times New Roman"/>
      <w:b/>
      <w:sz w:val="32"/>
      <w:szCs w:val="32"/>
    </w:rPr>
  </w:style>
  <w:style w:type="paragraph" w:customStyle="1" w:styleId="339">
    <w:name w:val="正文_1"/>
    <w:qFormat/>
    <w:uiPriority w:val="0"/>
    <w:pPr>
      <w:widowControl w:val="0"/>
      <w:jc w:val="both"/>
    </w:pPr>
    <w:rPr>
      <w:rFonts w:hint="default" w:ascii="Calibri" w:hAnsi="Calibri" w:eastAsia="宋体" w:cs="Calibri"/>
      <w:szCs w:val="24"/>
      <w:lang w:val="en-US" w:eastAsia="zh-CN" w:bidi="ar-SA"/>
    </w:rPr>
  </w:style>
  <w:style w:type="character" w:customStyle="1" w:styleId="340">
    <w:name w:val="正文文本 字符"/>
    <w:link w:val="1"/>
    <w:semiHidden/>
    <w:qFormat/>
    <w:uiPriority w:val="99"/>
    <w:rPr>
      <w:rFonts w:ascii="Times New Roman" w:hAnsi="Times New Roman" w:eastAsia="Calibri" w:cs="Times New Roman"/>
      <w:sz w:val="22"/>
      <w:lang w:eastAsia="en-US"/>
    </w:rPr>
  </w:style>
  <w:style w:type="character" w:customStyle="1" w:styleId="341">
    <w:name w:val="标题3 Char"/>
    <w:link w:val="342"/>
    <w:qFormat/>
    <w:uiPriority w:val="0"/>
    <w:rPr>
      <w:rFonts w:ascii="黑体" w:hAnsi="黑体" w:eastAsia="黑体"/>
      <w:b/>
      <w:sz w:val="32"/>
      <w:szCs w:val="32"/>
    </w:rPr>
  </w:style>
  <w:style w:type="paragraph" w:customStyle="1" w:styleId="342">
    <w:name w:val="标题3"/>
    <w:basedOn w:val="1"/>
    <w:link w:val="341"/>
    <w:qFormat/>
    <w:uiPriority w:val="0"/>
    <w:pPr>
      <w:pageBreakBefore/>
      <w:widowControl w:val="0"/>
      <w:jc w:val="center"/>
      <w:outlineLvl w:val="2"/>
    </w:pPr>
    <w:rPr>
      <w:rFonts w:ascii="黑体" w:hAnsi="黑体" w:eastAsia="黑体"/>
      <w:b/>
      <w:sz w:val="32"/>
      <w:szCs w:val="32"/>
    </w:rPr>
  </w:style>
  <w:style w:type="character" w:customStyle="1" w:styleId="343">
    <w:name w:val="批注主题 Char1"/>
    <w:link w:val="1"/>
    <w:qFormat/>
    <w:uiPriority w:val="0"/>
    <w:rPr>
      <w:rFonts w:eastAsia="Calibri"/>
      <w:b/>
      <w:bCs/>
      <w:sz w:val="22"/>
      <w:szCs w:val="22"/>
      <w:lang w:eastAsia="en-US"/>
    </w:rPr>
  </w:style>
  <w:style w:type="character" w:customStyle="1" w:styleId="344">
    <w:name w:val="标题 1 字符"/>
    <w:link w:val="1"/>
    <w:qFormat/>
    <w:uiPriority w:val="9"/>
    <w:rPr>
      <w:rFonts w:ascii="Times New Roman" w:hAnsi="Times New Roman" w:eastAsia="Calibri" w:cs="Times New Roman"/>
      <w:b/>
      <w:bCs/>
      <w:sz w:val="44"/>
      <w:szCs w:val="44"/>
      <w:lang w:eastAsia="en-US"/>
    </w:rPr>
  </w:style>
  <w:style w:type="character" w:customStyle="1" w:styleId="345">
    <w:name w:val="正文文本首行缩进 字符"/>
    <w:link w:val="1"/>
    <w:semiHidden/>
    <w:qFormat/>
    <w:uiPriority w:val="99"/>
    <w:rPr>
      <w:rFonts w:ascii="Times New Roman" w:hAnsi="Times New Roman" w:eastAsia="Calibri" w:cs="Times New Roman"/>
      <w:sz w:val="22"/>
      <w:szCs w:val="24"/>
      <w:lang w:eastAsia="en-US"/>
    </w:rPr>
  </w:style>
  <w:style w:type="character" w:customStyle="1" w:styleId="346">
    <w:name w:val="批注文字 字符"/>
    <w:link w:val="1"/>
    <w:qFormat/>
    <w:uiPriority w:val="99"/>
    <w:rPr>
      <w:rFonts w:ascii="Times New Roman" w:hAnsi="Times New Roman" w:eastAsia="Calibri" w:cs="Times New Roman"/>
      <w:sz w:val="22"/>
      <w:lang w:eastAsia="en-US"/>
    </w:rPr>
  </w:style>
  <w:style w:type="character" w:customStyle="1" w:styleId="347">
    <w:name w:val="标题 3 字符"/>
    <w:link w:val="1"/>
    <w:semiHidden/>
    <w:qFormat/>
    <w:uiPriority w:val="9"/>
    <w:rPr>
      <w:rFonts w:ascii="Times New Roman" w:hAnsi="Times New Roman" w:eastAsia="Calibri" w:cs="Times New Roman"/>
      <w:b/>
      <w:bCs/>
      <w:sz w:val="32"/>
      <w:szCs w:val="32"/>
      <w:lang w:eastAsia="en-US"/>
    </w:rPr>
  </w:style>
  <w:style w:type="character" w:customStyle="1" w:styleId="348">
    <w:name w:val="批注框文本 Char1"/>
    <w:link w:val="1"/>
    <w:qFormat/>
    <w:uiPriority w:val="0"/>
    <w:rPr>
      <w:rFonts w:eastAsia="Calibri"/>
      <w:sz w:val="18"/>
      <w:szCs w:val="18"/>
      <w:lang w:eastAsia="en-US"/>
    </w:rPr>
  </w:style>
  <w:style w:type="character" w:customStyle="1" w:styleId="349">
    <w:name w:val="日期 字符"/>
    <w:link w:val="1"/>
    <w:qFormat/>
    <w:uiPriority w:val="99"/>
    <w:rPr>
      <w:rFonts w:eastAsia="Calibri"/>
      <w:sz w:val="22"/>
      <w:szCs w:val="22"/>
      <w:lang w:eastAsia="en-US"/>
    </w:rPr>
  </w:style>
  <w:style w:type="character" w:customStyle="1" w:styleId="350">
    <w:name w:val="页眉 字符"/>
    <w:link w:val="1"/>
    <w:semiHidden/>
    <w:qFormat/>
    <w:uiPriority w:val="99"/>
    <w:rPr>
      <w:rFonts w:ascii="Times New Roman" w:hAnsi="Times New Roman" w:eastAsia="Calibri" w:cs="Times New Roman"/>
      <w:sz w:val="18"/>
      <w:szCs w:val="18"/>
      <w:lang w:eastAsia="en-US"/>
    </w:rPr>
  </w:style>
  <w:style w:type="character" w:customStyle="1" w:styleId="351">
    <w:name w:val="页脚 字符"/>
    <w:link w:val="1"/>
    <w:semiHidden/>
    <w:qFormat/>
    <w:uiPriority w:val="99"/>
    <w:rPr>
      <w:rFonts w:ascii="Times New Roman" w:hAnsi="Times New Roman" w:eastAsia="Calibri" w:cs="Times New Roman"/>
      <w:sz w:val="18"/>
      <w:szCs w:val="18"/>
      <w:lang w:eastAsia="en-US"/>
    </w:rPr>
  </w:style>
  <w:style w:type="paragraph" w:customStyle="1" w:styleId="352">
    <w:name w:val="Plain Text_0"/>
    <w:basedOn w:val="331"/>
    <w:qFormat/>
    <w:uiPriority w:val="0"/>
    <w:rPr>
      <w:rFonts w:ascii="宋体" w:hAnsi="Courier New" w:eastAsia="Times New Roman" w:cs="Courier New"/>
      <w:szCs w:val="21"/>
    </w:rPr>
  </w:style>
  <w:style w:type="paragraph" w:customStyle="1" w:styleId="353">
    <w:name w:val="contentarticle"/>
    <w:basedOn w:val="1"/>
    <w:qFormat/>
    <w:uiPriority w:val="0"/>
    <w:pPr>
      <w:spacing w:before="100" w:beforeAutospacing="1" w:after="100" w:afterAutospacing="1"/>
    </w:pPr>
    <w:rPr>
      <w:rFonts w:ascii="宋体" w:hAnsi="宋体" w:cs="宋体"/>
      <w:szCs w:val="22"/>
      <w:lang w:eastAsia="zh-CN"/>
    </w:rPr>
  </w:style>
  <w:style w:type="paragraph" w:customStyle="1" w:styleId="354">
    <w:name w:val="修订2"/>
    <w:unhideWhenUsed/>
    <w:qFormat/>
    <w:uiPriority w:val="99"/>
    <w:rPr>
      <w:rFonts w:hint="default" w:ascii="Calibri" w:hAnsi="Calibri" w:eastAsia="Calibri" w:cs="Calibri"/>
      <w:sz w:val="22"/>
      <w:szCs w:val="22"/>
      <w:lang w:val="en-US" w:eastAsia="en-US" w:bidi="ar-SA"/>
    </w:rPr>
  </w:style>
  <w:style w:type="paragraph" w:customStyle="1" w:styleId="355">
    <w:name w:val="图标题"/>
    <w:basedOn w:val="1"/>
    <w:qFormat/>
    <w:uiPriority w:val="0"/>
    <w:pPr>
      <w:widowControl w:val="0"/>
      <w:spacing w:line="360" w:lineRule="auto"/>
      <w:jc w:val="center"/>
    </w:pPr>
    <w:rPr>
      <w:rFonts w:ascii="Calibri" w:hAnsi="Calibri" w:cs="Calibri"/>
      <w:b/>
      <w:szCs w:val="20"/>
      <w:lang w:eastAsia="zh-CN"/>
    </w:rPr>
  </w:style>
  <w:style w:type="paragraph" w:customStyle="1" w:styleId="356">
    <w:name w:val="_Style 29"/>
    <w:basedOn w:val="1"/>
    <w:next w:val="1"/>
    <w:qFormat/>
    <w:uiPriority w:val="39"/>
    <w:pPr>
      <w:widowControl w:val="0"/>
      <w:ind w:left="840"/>
      <w:jc w:val="both"/>
    </w:pPr>
    <w:rPr>
      <w:rFonts w:ascii="Calibri" w:hAnsi="Calibri" w:cs="Calibri"/>
      <w:sz w:val="21"/>
      <w:szCs w:val="22"/>
      <w:lang w:eastAsia="zh-CN"/>
    </w:rPr>
  </w:style>
  <w:style w:type="paragraph" w:customStyle="1" w:styleId="357">
    <w:name w:val="正文2"/>
    <w:link w:val="358"/>
    <w:qFormat/>
    <w:uiPriority w:val="0"/>
    <w:pPr>
      <w:widowControl w:val="0"/>
      <w:jc w:val="both"/>
    </w:pPr>
    <w:rPr>
      <w:rFonts w:hint="default" w:ascii="Calibri" w:hAnsi="Calibri" w:eastAsia="宋体" w:cs="Calibri"/>
      <w:lang w:val="en-US" w:eastAsia="zh-CN" w:bidi="ar-SA"/>
    </w:rPr>
  </w:style>
  <w:style w:type="character" w:customStyle="1" w:styleId="358">
    <w:name w:val="正文2 Char Char"/>
    <w:link w:val="357"/>
    <w:qFormat/>
    <w:uiPriority w:val="0"/>
    <w:rPr>
      <w:rFonts w:ascii="Calibri" w:hAnsi="Calibri" w:cs="Calibri"/>
      <w:lang w:val="en-US" w:eastAsia="zh-CN" w:bidi="ar-SA"/>
    </w:rPr>
  </w:style>
  <w:style w:type="paragraph" w:customStyle="1" w:styleId="359">
    <w:name w:val="Normal_0"/>
    <w:qFormat/>
    <w:uiPriority w:val="0"/>
    <w:pPr>
      <w:widowControl w:val="0"/>
      <w:jc w:val="both"/>
    </w:pPr>
    <w:rPr>
      <w:rFonts w:hint="default" w:ascii="Calibri" w:hAnsi="Calibri" w:eastAsia="宋体" w:cs="Calibri"/>
      <w:lang w:val="en-US" w:eastAsia="zh-CN" w:bidi="ar-SA"/>
    </w:rPr>
  </w:style>
  <w:style w:type="paragraph" w:customStyle="1" w:styleId="360">
    <w:name w:val="pa-15"/>
    <w:basedOn w:val="331"/>
    <w:qFormat/>
    <w:uiPriority w:val="0"/>
    <w:pPr>
      <w:widowControl/>
      <w:spacing w:before="100" w:beforeAutospacing="1" w:after="100" w:afterAutospacing="1"/>
      <w:jc w:val="left"/>
    </w:pPr>
    <w:rPr>
      <w:rFonts w:ascii="宋体" w:hAnsi="宋体" w:eastAsia="Times New Roman" w:cs="宋体"/>
      <w:sz w:val="24"/>
      <w:szCs w:val="24"/>
    </w:rPr>
  </w:style>
  <w:style w:type="paragraph" w:customStyle="1" w:styleId="361">
    <w:name w:val="正文_0_0_0_0"/>
    <w:qFormat/>
    <w:uiPriority w:val="0"/>
    <w:pPr>
      <w:widowControl w:val="0"/>
      <w:jc w:val="both"/>
    </w:pPr>
    <w:rPr>
      <w:rFonts w:hint="default" w:ascii="Calibri" w:hAnsi="Calibri" w:eastAsia="宋体" w:cs="Calibri"/>
      <w:lang w:val="en-US" w:eastAsia="zh-CN" w:bidi="ar-SA"/>
    </w:rPr>
  </w:style>
  <w:style w:type="paragraph" w:customStyle="1" w:styleId="362">
    <w:name w:val="正文_2"/>
    <w:qFormat/>
    <w:uiPriority w:val="0"/>
    <w:pPr>
      <w:widowControl w:val="0"/>
      <w:spacing w:after="200" w:line="276" w:lineRule="auto"/>
    </w:pPr>
    <w:rPr>
      <w:rFonts w:hint="default" w:ascii="Calibri" w:hAnsi="Calibri" w:eastAsia="宋体" w:cs="Calibri"/>
      <w:lang w:val="en-US" w:eastAsia="zh-CN" w:bidi="ar-SA"/>
    </w:rPr>
  </w:style>
  <w:style w:type="paragraph" w:customStyle="1" w:styleId="363">
    <w:name w:val="pa-13"/>
    <w:basedOn w:val="331"/>
    <w:qFormat/>
    <w:uiPriority w:val="0"/>
    <w:pPr>
      <w:widowControl/>
      <w:spacing w:before="100" w:beforeAutospacing="1" w:after="100" w:afterAutospacing="1"/>
      <w:jc w:val="left"/>
    </w:pPr>
    <w:rPr>
      <w:rFonts w:ascii="宋体" w:hAnsi="宋体" w:eastAsia="Times New Roman" w:cs="宋体"/>
      <w:sz w:val="24"/>
      <w:szCs w:val="24"/>
    </w:rPr>
  </w:style>
  <w:style w:type="paragraph" w:customStyle="1" w:styleId="364">
    <w:name w:val="TOC 标题1"/>
    <w:basedOn w:val="189"/>
    <w:next w:val="1"/>
    <w:qFormat/>
    <w:uiPriority w:val="39"/>
    <w:pPr>
      <w:spacing w:before="480" w:after="0" w:line="276" w:lineRule="auto"/>
      <w:jc w:val="center"/>
      <w:outlineLvl w:val="9"/>
    </w:pPr>
    <w:rPr>
      <w:rFonts w:ascii="Cambria" w:hAnsi="Cambria" w:cs="Calibri"/>
      <w:color w:val="365F91"/>
      <w:sz w:val="28"/>
      <w:szCs w:val="28"/>
      <w:lang w:eastAsia="en-US"/>
    </w:rPr>
  </w:style>
  <w:style w:type="paragraph" w:customStyle="1" w:styleId="365">
    <w:name w:val="正文3"/>
    <w:qFormat/>
    <w:uiPriority w:val="0"/>
    <w:pPr>
      <w:widowControl w:val="0"/>
      <w:jc w:val="both"/>
    </w:pPr>
    <w:rPr>
      <w:rFonts w:hint="default" w:ascii="Calibri" w:hAnsi="Calibri" w:eastAsia="宋体" w:cs="Calibri"/>
      <w:lang w:val="en-US" w:eastAsia="zh-CN" w:bidi="ar-SA"/>
    </w:rPr>
  </w:style>
  <w:style w:type="paragraph" w:customStyle="1" w:styleId="366">
    <w:name w:val="样式 标题 3 + (中文) 黑体 小四 非加粗 段前: 7.8 磅 段后: 0 磅 行距: 固定值 20 磅"/>
    <w:basedOn w:val="192"/>
    <w:qFormat/>
    <w:uiPriority w:val="0"/>
    <w:pPr>
      <w:keepNext/>
      <w:keepLines/>
      <w:spacing w:line="400" w:lineRule="exact"/>
      <w:jc w:val="both"/>
    </w:pPr>
    <w:rPr>
      <w:rFonts w:ascii="Times New Roman" w:hAnsi="Times New Roman" w:cs="宋体"/>
      <w:sz w:val="24"/>
      <w:szCs w:val="20"/>
    </w:rPr>
  </w:style>
  <w:style w:type="paragraph" w:customStyle="1" w:styleId="367">
    <w:name w:val="pa-16"/>
    <w:basedOn w:val="331"/>
    <w:qFormat/>
    <w:uiPriority w:val="0"/>
    <w:pPr>
      <w:widowControl/>
      <w:spacing w:before="100" w:beforeAutospacing="1" w:after="100" w:afterAutospacing="1"/>
      <w:jc w:val="left"/>
    </w:pPr>
    <w:rPr>
      <w:rFonts w:ascii="宋体" w:hAnsi="宋体" w:eastAsia="Times New Roman" w:cs="宋体"/>
      <w:sz w:val="24"/>
      <w:szCs w:val="24"/>
    </w:rPr>
  </w:style>
  <w:style w:type="paragraph" w:customStyle="1" w:styleId="368">
    <w:name w:val="正文文本缩进 22"/>
    <w:basedOn w:val="331"/>
    <w:qFormat/>
    <w:uiPriority w:val="0"/>
    <w:pPr>
      <w:spacing w:after="120" w:line="480" w:lineRule="auto"/>
      <w:ind w:left="420"/>
    </w:pPr>
    <w:rPr>
      <w:rFonts w:eastAsia="Times New Roman"/>
      <w:szCs w:val="24"/>
    </w:rPr>
  </w:style>
  <w:style w:type="paragraph" w:customStyle="1" w:styleId="369">
    <w:name w:val="正文1_2"/>
    <w:qFormat/>
    <w:uiPriority w:val="0"/>
    <w:pPr>
      <w:widowControl w:val="0"/>
      <w:jc w:val="both"/>
    </w:pPr>
    <w:rPr>
      <w:rFonts w:hint="default" w:ascii="Calibri" w:hAnsi="Calibri" w:eastAsia="宋体" w:cs="Calibri"/>
      <w:lang w:val="en-US" w:eastAsia="zh-CN" w:bidi="ar-SA"/>
    </w:rPr>
  </w:style>
  <w:style w:type="paragraph" w:customStyle="1" w:styleId="370">
    <w:name w:val="t_black_12_b"/>
    <w:basedOn w:val="1"/>
    <w:qFormat/>
    <w:uiPriority w:val="0"/>
    <w:rPr>
      <w:rFonts w:ascii="宋体" w:hAnsi="宋体" w:cs="宋体"/>
      <w:b/>
      <w:bCs/>
      <w:color w:val="212121"/>
      <w:sz w:val="9"/>
      <w:szCs w:val="9"/>
      <w:lang w:eastAsia="zh-CN"/>
    </w:rPr>
  </w:style>
  <w:style w:type="paragraph" w:customStyle="1" w:styleId="371">
    <w:name w:val="正文_0_2"/>
    <w:qFormat/>
    <w:uiPriority w:val="0"/>
    <w:pPr>
      <w:widowControl w:val="0"/>
      <w:jc w:val="both"/>
    </w:pPr>
    <w:rPr>
      <w:rFonts w:hint="default" w:ascii="Calibri" w:hAnsi="Calibri" w:eastAsia="宋体" w:cs="Calibri"/>
      <w:szCs w:val="24"/>
      <w:lang w:val="en-US" w:eastAsia="zh-CN" w:bidi="ar-SA"/>
    </w:rPr>
  </w:style>
  <w:style w:type="paragraph" w:customStyle="1" w:styleId="372">
    <w:name w:val="pa-14"/>
    <w:basedOn w:val="331"/>
    <w:qFormat/>
    <w:uiPriority w:val="0"/>
    <w:pPr>
      <w:widowControl/>
      <w:spacing w:before="100" w:beforeAutospacing="1" w:after="100" w:afterAutospacing="1"/>
      <w:jc w:val="left"/>
    </w:pPr>
    <w:rPr>
      <w:rFonts w:ascii="宋体" w:hAnsi="宋体" w:eastAsia="Times New Roman" w:cs="宋体"/>
      <w:sz w:val="24"/>
      <w:szCs w:val="24"/>
    </w:rPr>
  </w:style>
  <w:style w:type="paragraph" w:customStyle="1" w:styleId="373">
    <w:name w:val="0"/>
    <w:basedOn w:val="228"/>
    <w:qFormat/>
    <w:uiPriority w:val="0"/>
    <w:pPr>
      <w:widowControl w:val="0"/>
      <w:tabs>
        <w:tab w:val="clear" w:pos="993"/>
        <w:tab w:val="clear" w:pos="1134"/>
      </w:tabs>
      <w:spacing w:line="360" w:lineRule="auto"/>
      <w:ind w:firstLine="560"/>
      <w:jc w:val="left"/>
    </w:pPr>
    <w:rPr>
      <w:rFonts w:ascii="Times New Roman" w:hAnsi="Times New Roman" w:cs="Calibri"/>
      <w:color w:val="000000"/>
      <w:lang w:val="zh-CN"/>
    </w:rPr>
  </w:style>
  <w:style w:type="paragraph" w:customStyle="1" w:styleId="374">
    <w:name w:val="正文_0"/>
    <w:qFormat/>
    <w:uiPriority w:val="0"/>
    <w:pPr>
      <w:widowControl w:val="0"/>
      <w:jc w:val="both"/>
    </w:pPr>
    <w:rPr>
      <w:rFonts w:hint="default" w:ascii="Calibri" w:hAnsi="Calibri" w:eastAsia="宋体" w:cs="Calibri"/>
      <w:sz w:val="21"/>
      <w:szCs w:val="24"/>
      <w:lang w:val="en-US" w:eastAsia="zh-CN" w:bidi="ar-SA"/>
    </w:rPr>
  </w:style>
  <w:style w:type="table" w:customStyle="1" w:styleId="375">
    <w:name w:val="网格型11"/>
    <w:basedOn w:val="199"/>
    <w:qFormat/>
    <w:uiPriority w:val="0"/>
    <w:rPr>
      <w:rFonts w:ascii="Calibri" w:hAnsi="Calibri" w:cs="Calibri"/>
    </w:rPr>
  </w:style>
  <w:style w:type="table" w:customStyle="1" w:styleId="376">
    <w:name w:val="网格型2"/>
    <w:basedOn w:val="199"/>
    <w:qFormat/>
    <w:uiPriority w:val="0"/>
  </w:style>
  <w:style w:type="paragraph" w:customStyle="1" w:styleId="377">
    <w:name w:val="Normal_1"/>
    <w:qFormat/>
    <w:uiPriority w:val="0"/>
    <w:pPr>
      <w:widowControl w:val="0"/>
      <w:jc w:val="both"/>
    </w:pPr>
    <w:rPr>
      <w:rFonts w:hint="default" w:ascii="Calibri" w:hAnsi="Calibri" w:eastAsia="宋体" w:cs="Times New Roman"/>
      <w:lang w:val="en-US" w:eastAsia="zh-CN" w:bidi="ar-SA"/>
    </w:rPr>
  </w:style>
  <w:style w:type="paragraph" w:customStyle="1" w:styleId="378">
    <w:name w:val="qualifications"/>
    <w:basedOn w:val="1"/>
    <w:qFormat/>
    <w:uiPriority w:val="0"/>
    <w:pPr>
      <w:ind w:firstLine="480"/>
    </w:pPr>
    <w:rPr>
      <w:rFonts w:ascii="Arial" w:hAnsi="Arial" w:eastAsia="Arial" w:cs="Arial"/>
      <w:color w:val="000000"/>
      <w:sz w:val="21"/>
      <w:lang w:eastAsia="zh-CN"/>
    </w:rPr>
  </w:style>
  <w:style w:type="paragraph" w:customStyle="1" w:styleId="379">
    <w:name w:val="_Style 59"/>
    <w:basedOn w:val="1"/>
    <w:semiHidden/>
    <w:qFormat/>
    <w:uiPriority w:val="0"/>
    <w:pPr>
      <w:widowControl w:val="0"/>
      <w:jc w:val="both"/>
    </w:pPr>
    <w:rPr>
      <w:sz w:val="21"/>
      <w:lang w:eastAsia="zh-CN"/>
    </w:rPr>
  </w:style>
  <w:style w:type="paragraph" w:customStyle="1" w:styleId="380">
    <w:name w:val="正文（文本）"/>
    <w:qFormat/>
    <w:uiPriority w:val="0"/>
    <w:pPr>
      <w:widowControl w:val="0"/>
      <w:spacing w:line="360" w:lineRule="auto"/>
      <w:jc w:val="center"/>
    </w:pPr>
    <w:rPr>
      <w:rFonts w:hint="default" w:ascii="Calibri" w:hAnsi="宋体" w:eastAsia="宋体" w:cs="Times New Roman"/>
      <w:sz w:val="28"/>
      <w:szCs w:val="28"/>
      <w:lang w:val="en-US" w:eastAsia="zh-CN" w:bidi="ar-SA"/>
    </w:rPr>
  </w:style>
  <w:style w:type="character" w:customStyle="1" w:styleId="381">
    <w:name w:val="B正文 Char"/>
    <w:link w:val="382"/>
    <w:qFormat/>
    <w:uiPriority w:val="0"/>
    <w:rPr>
      <w:sz w:val="28"/>
      <w:szCs w:val="24"/>
    </w:rPr>
  </w:style>
  <w:style w:type="paragraph" w:customStyle="1" w:styleId="382">
    <w:name w:val="B正文"/>
    <w:basedOn w:val="1"/>
    <w:link w:val="381"/>
    <w:qFormat/>
    <w:uiPriority w:val="0"/>
    <w:pPr>
      <w:widowControl w:val="0"/>
      <w:spacing w:line="500" w:lineRule="exact"/>
      <w:ind w:firstLine="560"/>
      <w:jc w:val="both"/>
    </w:pPr>
    <w:rPr>
      <w:sz w:val="28"/>
    </w:rPr>
  </w:style>
  <w:style w:type="character" w:customStyle="1" w:styleId="383">
    <w:name w:val="font31"/>
    <w:link w:val="1"/>
    <w:qFormat/>
    <w:uiPriority w:val="99"/>
    <w:rPr>
      <w:rFonts w:ascii="宋体" w:hAnsi="宋体" w:eastAsia="宋体" w:cs="宋体"/>
      <w:color w:val="000000"/>
      <w:sz w:val="21"/>
      <w:szCs w:val="21"/>
      <w:u w:val="none"/>
    </w:rPr>
  </w:style>
  <w:style w:type="character" w:customStyle="1" w:styleId="384">
    <w:name w:val="font01"/>
    <w:link w:val="1"/>
    <w:qFormat/>
    <w:uiPriority w:val="99"/>
    <w:rPr>
      <w:rFonts w:ascii="宋体" w:hAnsi="宋体" w:eastAsia="宋体" w:cs="宋体"/>
      <w:color w:val="000000"/>
      <w:sz w:val="22"/>
      <w:szCs w:val="22"/>
      <w:u w:val="none"/>
    </w:rPr>
  </w:style>
  <w:style w:type="character" w:customStyle="1" w:styleId="385">
    <w:name w:val="纯文本 字符1"/>
    <w:link w:val="1"/>
    <w:qFormat/>
    <w:uiPriority w:val="99"/>
    <w:rPr>
      <w:rFonts w:ascii="宋体" w:hAnsi="宋体" w:eastAsia="宋体"/>
      <w:color w:val="000000"/>
      <w:sz w:val="24"/>
      <w:lang w:val="en-US" w:eastAsia="zh-CN"/>
    </w:rPr>
  </w:style>
  <w:style w:type="character" w:customStyle="1" w:styleId="386">
    <w:name w:val="未处理的提及1"/>
    <w:link w:val="1"/>
    <w:qFormat/>
    <w:uiPriority w:val="99"/>
    <w:rPr>
      <w:rFonts w:cs="Times New Roman"/>
      <w:color w:val="605E5C"/>
      <w:shd w:val="clear" w:color="auto" w:fill="E1DFDD"/>
    </w:rPr>
  </w:style>
  <w:style w:type="character" w:customStyle="1" w:styleId="387">
    <w:name w:val="列出段落 字符"/>
    <w:link w:val="388"/>
    <w:qFormat/>
    <w:uiPriority w:val="99"/>
    <w:rPr>
      <w:sz w:val="24"/>
    </w:rPr>
  </w:style>
  <w:style w:type="paragraph" w:customStyle="1" w:styleId="388">
    <w:name w:val="列出段落2"/>
    <w:basedOn w:val="1"/>
    <w:link w:val="387"/>
    <w:qFormat/>
    <w:uiPriority w:val="99"/>
    <w:pPr>
      <w:widowControl w:val="0"/>
      <w:spacing w:line="360" w:lineRule="auto"/>
      <w:ind w:firstLine="420"/>
    </w:pPr>
    <w:rPr>
      <w:szCs w:val="20"/>
    </w:rPr>
  </w:style>
  <w:style w:type="character" w:customStyle="1" w:styleId="389">
    <w:name w:val="black1"/>
    <w:link w:val="1"/>
    <w:qFormat/>
    <w:uiPriority w:val="99"/>
    <w:rPr>
      <w:rFonts w:ascii="??" w:hAnsi="??"/>
      <w:color w:val="333333"/>
      <w:sz w:val="18"/>
      <w:u w:val="none"/>
    </w:rPr>
  </w:style>
  <w:style w:type="character" w:customStyle="1" w:styleId="390">
    <w:name w:val="flNote Char"/>
    <w:link w:val="391"/>
    <w:qFormat/>
    <w:uiPriority w:val="99"/>
    <w:rPr>
      <w:rFonts w:ascii="Arial" w:eastAsia="黑体"/>
      <w:sz w:val="30"/>
    </w:rPr>
  </w:style>
  <w:style w:type="paragraph" w:customStyle="1" w:styleId="391">
    <w:name w:val="flNote"/>
    <w:basedOn w:val="1"/>
    <w:link w:val="390"/>
    <w:qFormat/>
    <w:uiPriority w:val="99"/>
    <w:pPr>
      <w:widowControl w:val="0"/>
      <w:spacing w:before="320" w:after="160" w:line="360" w:lineRule="atLeast"/>
      <w:jc w:val="center"/>
    </w:pPr>
    <w:rPr>
      <w:rFonts w:ascii="Arial" w:eastAsia="黑体"/>
      <w:sz w:val="30"/>
      <w:szCs w:val="20"/>
    </w:rPr>
  </w:style>
  <w:style w:type="character" w:customStyle="1" w:styleId="392">
    <w:name w:val="op-map-singlepoint-info-right1"/>
    <w:link w:val="1"/>
    <w:qFormat/>
    <w:uiPriority w:val="99"/>
    <w:rPr>
      <w:rFonts w:cs="Times New Roman"/>
    </w:rPr>
  </w:style>
  <w:style w:type="character" w:customStyle="1" w:styleId="393">
    <w:name w:val="页码1"/>
    <w:link w:val="1"/>
    <w:qFormat/>
    <w:uiPriority w:val="99"/>
    <w:rPr>
      <w:rFonts w:cs="Times New Roman"/>
    </w:rPr>
  </w:style>
  <w:style w:type="character" w:customStyle="1" w:styleId="394">
    <w:name w:val="font11"/>
    <w:link w:val="1"/>
    <w:qFormat/>
    <w:uiPriority w:val="99"/>
    <w:rPr>
      <w:rFonts w:ascii="宋体" w:hAnsi="宋体" w:eastAsia="宋体" w:cs="宋体"/>
      <w:color w:val="000000"/>
      <w:sz w:val="21"/>
      <w:szCs w:val="21"/>
      <w:u w:val="none"/>
    </w:rPr>
  </w:style>
  <w:style w:type="paragraph" w:customStyle="1" w:styleId="395">
    <w:name w:val="TOC 标题11"/>
    <w:basedOn w:val="189"/>
    <w:next w:val="1"/>
    <w:qFormat/>
    <w:uiPriority w:val="0"/>
    <w:pPr>
      <w:spacing w:before="480" w:after="0" w:line="276" w:lineRule="auto"/>
      <w:jc w:val="center"/>
      <w:outlineLvl w:val="9"/>
    </w:pPr>
    <w:rPr>
      <w:rFonts w:ascii="Calibri Light" w:hAnsi="Calibri Light" w:cs="Times New Roman"/>
      <w:color w:val="2E74B5"/>
      <w:sz w:val="28"/>
      <w:szCs w:val="28"/>
    </w:rPr>
  </w:style>
  <w:style w:type="paragraph" w:customStyle="1" w:styleId="396">
    <w:name w:val="标准 正文 QJJ"/>
    <w:basedOn w:val="1"/>
    <w:qFormat/>
    <w:uiPriority w:val="99"/>
    <w:pPr>
      <w:widowControl w:val="0"/>
      <w:spacing w:line="520" w:lineRule="exact"/>
      <w:ind w:firstLine="480"/>
      <w:jc w:val="both"/>
    </w:pPr>
    <w:rPr>
      <w:rFonts w:ascii="宋体" w:hAnsi="Arial" w:cs="宋体"/>
      <w:lang w:eastAsia="zh-CN"/>
    </w:rPr>
  </w:style>
  <w:style w:type="paragraph" w:customStyle="1" w:styleId="397">
    <w:name w:val="1册标题3"/>
    <w:basedOn w:val="1"/>
    <w:next w:val="1"/>
    <w:qFormat/>
    <w:uiPriority w:val="99"/>
    <w:pPr>
      <w:widowControl w:val="0"/>
      <w:jc w:val="center"/>
    </w:pPr>
    <w:rPr>
      <w:rFonts w:ascii="宋体" w:hAnsi="宋体"/>
      <w:color w:val="000000"/>
      <w:sz w:val="21"/>
      <w:szCs w:val="21"/>
      <w:lang w:eastAsia="zh-CN"/>
    </w:rPr>
  </w:style>
  <w:style w:type="paragraph" w:customStyle="1" w:styleId="398">
    <w:name w:val="p16"/>
    <w:basedOn w:val="1"/>
    <w:qFormat/>
    <w:uiPriority w:val="99"/>
    <w:pPr>
      <w:spacing w:before="100" w:after="100" w:line="360" w:lineRule="auto"/>
      <w:ind w:firstLine="964"/>
    </w:pPr>
    <w:rPr>
      <w:rFonts w:ascii="Verdana" w:hAnsi="Verdana" w:cs="宋体"/>
      <w:sz w:val="18"/>
      <w:szCs w:val="18"/>
      <w:lang w:eastAsia="zh-CN"/>
    </w:rPr>
  </w:style>
  <w:style w:type="paragraph" w:customStyle="1" w:styleId="399">
    <w:name w:val="Body 2"/>
    <w:basedOn w:val="1"/>
    <w:qFormat/>
    <w:uiPriority w:val="99"/>
    <w:pPr>
      <w:spacing w:after="240" w:line="360" w:lineRule="auto"/>
      <w:ind w:left="720" w:firstLine="964"/>
    </w:pPr>
    <w:rPr>
      <w:rFonts w:eastAsia="PMingLiUfalt"/>
      <w:sz w:val="21"/>
      <w:szCs w:val="22"/>
      <w:lang w:val="en-GB"/>
    </w:rPr>
  </w:style>
  <w:style w:type="paragraph" w:customStyle="1" w:styleId="400">
    <w:name w:val="列出段落3"/>
    <w:basedOn w:val="1"/>
    <w:qFormat/>
    <w:uiPriority w:val="34"/>
    <w:pPr>
      <w:widowControl w:val="0"/>
      <w:spacing w:line="360" w:lineRule="auto"/>
      <w:ind w:firstLine="420"/>
    </w:pPr>
    <w:rPr>
      <w:lang w:eastAsia="zh-CN"/>
    </w:rPr>
  </w:style>
  <w:style w:type="paragraph" w:customStyle="1" w:styleId="401">
    <w:name w:val="HLegal 2"/>
    <w:basedOn w:val="1"/>
    <w:qFormat/>
    <w:uiPriority w:val="99"/>
    <w:pPr>
      <w:tabs>
        <w:tab w:val="left" w:pos="0"/>
        <w:tab w:val="left" w:pos="648"/>
        <w:tab w:val="left" w:pos="720"/>
        <w:tab w:val="left" w:pos="926"/>
        <w:tab w:val="left" w:pos="1209"/>
        <w:tab w:val="left" w:pos="1440"/>
      </w:tabs>
      <w:spacing w:after="240" w:line="360" w:lineRule="auto"/>
      <w:ind w:left="720" w:hanging="720"/>
    </w:pPr>
    <w:rPr>
      <w:rFonts w:ascii="Arial" w:hAnsi="Arial" w:eastAsia="PMingLiUfalt" w:cs="Arial"/>
      <w:sz w:val="21"/>
      <w:szCs w:val="22"/>
      <w:lang w:val="en-GB"/>
    </w:rPr>
  </w:style>
  <w:style w:type="paragraph" w:customStyle="1" w:styleId="402">
    <w:name w:val="HLegal 3"/>
    <w:basedOn w:val="1"/>
    <w:qFormat/>
    <w:uiPriority w:val="99"/>
    <w:pPr>
      <w:tabs>
        <w:tab w:val="left" w:pos="648"/>
        <w:tab w:val="left" w:pos="926"/>
      </w:tabs>
      <w:spacing w:after="240" w:line="360" w:lineRule="auto"/>
      <w:ind w:firstLine="964"/>
    </w:pPr>
    <w:rPr>
      <w:rFonts w:ascii="Arial" w:hAnsi="Arial" w:eastAsia="PMingLiUfalt" w:cs="Arial"/>
      <w:sz w:val="21"/>
      <w:szCs w:val="22"/>
      <w:lang w:val="en-GB"/>
    </w:rPr>
  </w:style>
  <w:style w:type="table" w:customStyle="1" w:styleId="403">
    <w:name w:val="网格型111"/>
    <w:qFormat/>
    <w:uiPriority w:val="99"/>
    <w:rPr>
      <w:rFonts w:ascii="Calibri" w:hAnsi="Calibri"/>
      <w:lang w:val="en-US" w:eastAsia="zh-CN" w:bidi="ar-SA"/>
    </w:rPr>
  </w:style>
  <w:style w:type="character" w:customStyle="1" w:styleId="404">
    <w:name w:val="未处理的提及2"/>
    <w:link w:val="1"/>
    <w:unhideWhenUsed/>
    <w:qFormat/>
    <w:uiPriority w:val="99"/>
    <w:rPr>
      <w:color w:val="605E5C"/>
      <w:shd w:val="clear" w:color="auto" w:fill="E1DFDD"/>
    </w:rPr>
  </w:style>
  <w:style w:type="character" w:customStyle="1" w:styleId="405">
    <w:name w:val="批注文字 字符1"/>
    <w:link w:val="1"/>
    <w:qFormat/>
    <w:uiPriority w:val="0"/>
    <w:rPr>
      <w:sz w:val="21"/>
    </w:rPr>
  </w:style>
  <w:style w:type="paragraph" w:customStyle="1" w:styleId="406">
    <w:name w:val="正文内容"/>
    <w:basedOn w:val="1"/>
    <w:qFormat/>
    <w:uiPriority w:val="5"/>
    <w:pPr>
      <w:widowControl w:val="0"/>
      <w:spacing w:line="360" w:lineRule="auto"/>
      <w:ind w:firstLine="200"/>
    </w:pPr>
    <w:rPr>
      <w:lang w:val="zh-CN" w:eastAsia="zh-CN"/>
    </w:rPr>
  </w:style>
  <w:style w:type="character" w:customStyle="1" w:styleId="407">
    <w:name w:val="p121"/>
    <w:link w:val="1"/>
    <w:qFormat/>
    <w:uiPriority w:val="0"/>
    <w:rPr>
      <w:rFonts w:cs="Times New Roman"/>
    </w:rPr>
  </w:style>
  <w:style w:type="paragraph" w:customStyle="1" w:styleId="408">
    <w:name w:val="表格文字"/>
    <w:basedOn w:val="1"/>
    <w:qFormat/>
    <w:uiPriority w:val="0"/>
    <w:pPr>
      <w:widowControl w:val="0"/>
      <w:spacing w:before="25" w:after="25" w:line="360" w:lineRule="auto"/>
      <w:ind w:firstLine="964"/>
    </w:pPr>
    <w:rPr>
      <w:bCs/>
      <w:spacing w:val="10"/>
      <w:lang w:eastAsia="zh-CN"/>
    </w:rPr>
  </w:style>
  <w:style w:type="paragraph" w:customStyle="1" w:styleId="409">
    <w:name w:val="rvps1"/>
    <w:basedOn w:val="1"/>
    <w:qFormat/>
    <w:uiPriority w:val="0"/>
    <w:pPr>
      <w:widowControl w:val="0"/>
      <w:spacing w:line="360" w:lineRule="auto"/>
      <w:ind w:firstLine="964"/>
      <w:jc w:val="center"/>
    </w:pPr>
    <w:rPr>
      <w:lang w:eastAsia="zh-CN"/>
    </w:rPr>
  </w:style>
  <w:style w:type="character" w:customStyle="1" w:styleId="410">
    <w:name w:val="rvts135"/>
    <w:link w:val="1"/>
    <w:qFormat/>
    <w:uiPriority w:val="0"/>
    <w:rPr>
      <w:rFonts w:ascii="KNLe" w:hAnsi="KNLe"/>
      <w:b/>
      <w:bCs/>
      <w:sz w:val="44"/>
      <w:szCs w:val="44"/>
    </w:rPr>
  </w:style>
  <w:style w:type="character" w:customStyle="1" w:styleId="411">
    <w:name w:val="rvts18"/>
    <w:link w:val="1"/>
    <w:qFormat/>
    <w:uiPriority w:val="0"/>
    <w:rPr>
      <w:rFonts w:ascii="Times New Roman" w:hAnsi="Times New Roman" w:cs="Times New Roman"/>
      <w:color w:val="000000"/>
      <w:sz w:val="24"/>
      <w:szCs w:val="24"/>
      <w:u w:val="single"/>
    </w:rPr>
  </w:style>
  <w:style w:type="character" w:customStyle="1" w:styleId="412">
    <w:name w:val="rvts21"/>
    <w:link w:val="1"/>
    <w:qFormat/>
    <w:uiPriority w:val="0"/>
    <w:rPr>
      <w:rFonts w:ascii="KNLe" w:hAnsi="KNLe"/>
      <w:color w:val="000000"/>
    </w:rPr>
  </w:style>
  <w:style w:type="character" w:customStyle="1" w:styleId="413">
    <w:name w:val="tab3"/>
    <w:link w:val="1"/>
    <w:qFormat/>
    <w:uiPriority w:val="0"/>
  </w:style>
  <w:style w:type="character" w:customStyle="1" w:styleId="414">
    <w:name w:val="rvts74"/>
    <w:link w:val="1"/>
    <w:qFormat/>
    <w:uiPriority w:val="0"/>
    <w:rPr>
      <w:rFonts w:ascii="KNLe" w:hAnsi="KNLe"/>
      <w:color w:val="000000"/>
      <w:sz w:val="24"/>
      <w:u w:val="single"/>
    </w:rPr>
  </w:style>
  <w:style w:type="character" w:customStyle="1" w:styleId="415">
    <w:name w:val="标题 1 Char1"/>
    <w:link w:val="1"/>
    <w:qFormat/>
    <w:uiPriority w:val="9"/>
    <w:rPr>
      <w:rFonts w:ascii="宋体" w:hAnsi="宋体" w:eastAsia="宋体" w:cs="宋体"/>
      <w:sz w:val="27"/>
      <w:szCs w:val="27"/>
      <w:lang w:eastAsia="en-US"/>
    </w:rPr>
  </w:style>
  <w:style w:type="table" w:customStyle="1" w:styleId="416">
    <w:name w:val="网格型3"/>
    <w:basedOn w:val="199"/>
    <w:qFormat/>
    <w:uiPriority w:val="99"/>
    <w:rPr>
      <w:rFonts w:cs="Calibri"/>
    </w:rPr>
  </w:style>
  <w:style w:type="character" w:customStyle="1" w:styleId="417">
    <w:name w:val="Plain Text Char1"/>
    <w:link w:val="1"/>
    <w:semiHidden/>
    <w:qFormat/>
    <w:uiPriority w:val="99"/>
    <w:rPr>
      <w:rFonts w:ascii="宋体" w:hAnsi="Courier New" w:cs="Courier New"/>
      <w:szCs w:val="21"/>
      <w:lang w:eastAsia="en-US"/>
    </w:rPr>
  </w:style>
  <w:style w:type="character" w:customStyle="1" w:styleId="418">
    <w:name w:val="Date Char1"/>
    <w:link w:val="1"/>
    <w:semiHidden/>
    <w:qFormat/>
    <w:uiPriority w:val="99"/>
    <w:rPr>
      <w:rFonts w:ascii="宋体" w:hAnsi="宋体" w:cs="宋体"/>
      <w:sz w:val="22"/>
      <w:lang w:eastAsia="en-US"/>
    </w:rPr>
  </w:style>
  <w:style w:type="table" w:customStyle="1" w:styleId="419">
    <w:name w:val="Table Normal11"/>
    <w:semiHidden/>
    <w:qFormat/>
    <w:uiPriority w:val="99"/>
    <w:pPr>
      <w:widowControl w:val="0"/>
    </w:pPr>
    <w:rPr>
      <w:rFonts w:cs="Calibri"/>
      <w:sz w:val="22"/>
      <w:szCs w:val="22"/>
      <w:lang w:val="en-US" w:eastAsia="en-US" w:bidi="ar-SA"/>
    </w:rPr>
  </w:style>
  <w:style w:type="paragraph" w:customStyle="1" w:styleId="420">
    <w:name w:val="列出段落4"/>
    <w:basedOn w:val="1"/>
    <w:qFormat/>
    <w:uiPriority w:val="99"/>
    <w:pPr>
      <w:widowControl w:val="0"/>
    </w:pPr>
    <w:rPr>
      <w:rFonts w:ascii="宋体" w:hAnsi="宋体" w:cs="宋体"/>
      <w:sz w:val="21"/>
      <w:szCs w:val="22"/>
    </w:rPr>
  </w:style>
  <w:style w:type="paragraph" w:customStyle="1" w:styleId="421">
    <w:name w:val="p0"/>
    <w:basedOn w:val="1"/>
    <w:qFormat/>
    <w:uiPriority w:val="99"/>
    <w:pPr>
      <w:spacing w:before="100" w:beforeAutospacing="1" w:after="100" w:afterAutospacing="1"/>
    </w:pPr>
    <w:rPr>
      <w:rFonts w:ascii="宋体" w:hAnsi="宋体" w:cs="宋体"/>
      <w:lang w:eastAsia="zh-CN"/>
    </w:rPr>
  </w:style>
  <w:style w:type="paragraph" w:customStyle="1" w:styleId="422">
    <w:name w:val="格式３"/>
    <w:basedOn w:val="1"/>
    <w:qFormat/>
    <w:uiPriority w:val="0"/>
    <w:pPr>
      <w:widowControl w:val="0"/>
      <w:spacing w:line="420" w:lineRule="exact"/>
      <w:ind w:left="600" w:hanging="600"/>
      <w:jc w:val="both"/>
    </w:pPr>
    <w:rPr>
      <w:rFonts w:ascii="宋体" w:hAnsi="宋体" w:cs="宋体"/>
      <w:color w:val="000000"/>
      <w:lang w:eastAsia="zh-CN"/>
    </w:rPr>
  </w:style>
  <w:style w:type="paragraph" w:customStyle="1" w:styleId="423">
    <w:name w:val="TOC 标题2"/>
    <w:basedOn w:val="189"/>
    <w:next w:val="1"/>
    <w:qFormat/>
    <w:uiPriority w:val="99"/>
    <w:pPr>
      <w:spacing w:before="240" w:after="0" w:line="259" w:lineRule="auto"/>
      <w:jc w:val="center"/>
      <w:outlineLvl w:val="9"/>
    </w:pPr>
    <w:rPr>
      <w:rFonts w:ascii="Cambria" w:hAnsi="Cambria" w:cs="Cambria"/>
      <w:b w:val="0"/>
      <w:bCs w:val="0"/>
      <w:color w:val="365F91"/>
      <w:sz w:val="32"/>
      <w:szCs w:val="32"/>
    </w:rPr>
  </w:style>
  <w:style w:type="character" w:customStyle="1" w:styleId="424">
    <w:name w:val="Unresolved Mention"/>
    <w:link w:val="1"/>
    <w:semiHidden/>
    <w:qFormat/>
    <w:uiPriority w:val="99"/>
    <w:rPr>
      <w:color w:val="000000"/>
      <w:shd w:val="clear" w:color="auto" w:fill="auto"/>
    </w:rPr>
  </w:style>
  <w:style w:type="character" w:customStyle="1" w:styleId="425">
    <w:name w:val="日期 字符1"/>
    <w:link w:val="1"/>
    <w:semiHidden/>
    <w:qFormat/>
    <w:uiPriority w:val="99"/>
    <w:rPr>
      <w:rFonts w:ascii="宋体" w:hAnsi="宋体" w:eastAsia="宋体" w:cs="宋体"/>
    </w:rPr>
  </w:style>
  <w:style w:type="character" w:customStyle="1" w:styleId="426">
    <w:name w:val="标题 5 字符"/>
    <w:link w:val="1"/>
    <w:semiHidden/>
    <w:qFormat/>
    <w:uiPriority w:val="0"/>
    <w:rPr>
      <w:rFonts w:ascii="宋体" w:hAnsi="宋体" w:cs="宋体"/>
      <w:b/>
      <w:bCs/>
      <w:sz w:val="28"/>
      <w:szCs w:val="28"/>
      <w:lang w:eastAsia="en-US"/>
    </w:rPr>
  </w:style>
  <w:style w:type="character" w:customStyle="1" w:styleId="427">
    <w:name w:val="t1"/>
    <w:link w:val="1"/>
    <w:qFormat/>
    <w:uiPriority w:val="0"/>
  </w:style>
  <w:style w:type="paragraph" w:customStyle="1" w:styleId="428">
    <w:name w:val="_Style 250"/>
    <w:basedOn w:val="1"/>
    <w:next w:val="420"/>
    <w:qFormat/>
    <w:uiPriority w:val="99"/>
    <w:pPr>
      <w:widowControl w:val="0"/>
      <w:ind w:firstLine="420"/>
      <w:jc w:val="both"/>
    </w:pPr>
    <w:rPr>
      <w:rFonts w:ascii="Calibri" w:hAnsi="Calibri" w:cs="宋体"/>
      <w:sz w:val="21"/>
      <w:szCs w:val="22"/>
    </w:rPr>
  </w:style>
  <w:style w:type="paragraph" w:customStyle="1" w:styleId="429">
    <w:name w:val="WPSOffice手动目录 1"/>
    <w:qFormat/>
    <w:uiPriority w:val="0"/>
    <w:rPr>
      <w:rFonts w:hint="default" w:ascii="Times New Roman" w:hAnsi="Times New Roman" w:eastAsia="宋体" w:cs="Times New Roman"/>
      <w:lang w:val="en-US" w:eastAsia="zh-CN" w:bidi="ar-SA"/>
    </w:rPr>
  </w:style>
  <w:style w:type="paragraph" w:customStyle="1" w:styleId="430">
    <w:name w:val="WPSOffice手动目录 2"/>
    <w:qFormat/>
    <w:uiPriority w:val="0"/>
    <w:pPr>
      <w:ind w:left="200"/>
    </w:pPr>
    <w:rPr>
      <w:rFonts w:hint="default" w:ascii="Times New Roman" w:hAnsi="Times New Roman" w:eastAsia="宋体" w:cs="Times New Roman"/>
      <w:lang w:val="en-US" w:eastAsia="zh-CN" w:bidi="ar-SA"/>
    </w:rPr>
  </w:style>
  <w:style w:type="character" w:customStyle="1" w:styleId="431">
    <w:name w:val="标题 3 Char1"/>
    <w:link w:val="1"/>
    <w:qFormat/>
    <w:uiPriority w:val="0"/>
    <w:rPr>
      <w:rFonts w:ascii="Times New Roman" w:hAnsi="Times New Roman" w:eastAsia="宋体" w:cs="Times New Roman"/>
      <w:b/>
      <w:bCs/>
      <w:sz w:val="32"/>
      <w:szCs w:val="32"/>
      <w:lang w:val="zh-CN" w:bidi="zh-CN"/>
    </w:rPr>
  </w:style>
  <w:style w:type="character" w:customStyle="1" w:styleId="432">
    <w:name w:val="访问过的超链接1"/>
    <w:link w:val="1"/>
    <w:qFormat/>
    <w:uiPriority w:val="99"/>
    <w:rPr>
      <w:color w:val="800080"/>
      <w:u w:val="none"/>
    </w:rPr>
  </w:style>
  <w:style w:type="character" w:customStyle="1" w:styleId="433">
    <w:name w:val="Heading #2|1_"/>
    <w:link w:val="434"/>
    <w:qFormat/>
    <w:uiPriority w:val="0"/>
    <w:rPr>
      <w:rFonts w:ascii="宋体" w:hAnsi="宋体" w:cs="宋体"/>
      <w:sz w:val="36"/>
      <w:szCs w:val="36"/>
      <w:u w:val="single"/>
      <w:lang w:val="zh-TW" w:eastAsia="zh-TW" w:bidi="zh-TW"/>
    </w:rPr>
  </w:style>
  <w:style w:type="paragraph" w:customStyle="1" w:styleId="434">
    <w:name w:val="Heading #2|1"/>
    <w:basedOn w:val="1"/>
    <w:link w:val="433"/>
    <w:qFormat/>
    <w:uiPriority w:val="0"/>
    <w:pPr>
      <w:widowControl w:val="0"/>
      <w:spacing w:after="200" w:line="738" w:lineRule="exact"/>
      <w:jc w:val="center"/>
      <w:outlineLvl w:val="1"/>
    </w:pPr>
    <w:rPr>
      <w:rFonts w:ascii="宋体" w:hAnsi="宋体" w:cs="宋体"/>
      <w:sz w:val="36"/>
      <w:szCs w:val="36"/>
      <w:u w:val="single"/>
      <w:lang w:val="zh-TW" w:eastAsia="zh-TW" w:bidi="zh-TW"/>
    </w:rPr>
  </w:style>
  <w:style w:type="character" w:customStyle="1" w:styleId="435">
    <w:name w:val="Header or footer|2_"/>
    <w:link w:val="436"/>
    <w:qFormat/>
    <w:uiPriority w:val="0"/>
    <w:rPr>
      <w:lang w:val="zh-TW" w:eastAsia="zh-TW" w:bidi="zh-TW"/>
    </w:rPr>
  </w:style>
  <w:style w:type="paragraph" w:customStyle="1" w:styleId="436">
    <w:name w:val="Header or footer|2"/>
    <w:basedOn w:val="1"/>
    <w:link w:val="435"/>
    <w:qFormat/>
    <w:uiPriority w:val="0"/>
    <w:pPr>
      <w:widowControl w:val="0"/>
    </w:pPr>
    <w:rPr>
      <w:sz w:val="20"/>
      <w:szCs w:val="20"/>
      <w:lang w:val="zh-TW" w:eastAsia="zh-TW" w:bidi="zh-TW"/>
    </w:rPr>
  </w:style>
  <w:style w:type="character" w:customStyle="1" w:styleId="437">
    <w:name w:val="Body text|5_"/>
    <w:link w:val="438"/>
    <w:qFormat/>
    <w:uiPriority w:val="0"/>
    <w:rPr>
      <w:rFonts w:ascii="Calibri" w:hAnsi="Calibri"/>
      <w:sz w:val="21"/>
      <w:szCs w:val="22"/>
    </w:rPr>
  </w:style>
  <w:style w:type="paragraph" w:customStyle="1" w:styleId="438">
    <w:name w:val="Body text|5"/>
    <w:basedOn w:val="1"/>
    <w:link w:val="437"/>
    <w:qFormat/>
    <w:uiPriority w:val="0"/>
    <w:pPr>
      <w:widowControl w:val="0"/>
    </w:pPr>
    <w:rPr>
      <w:rFonts w:ascii="Calibri" w:hAnsi="Calibri"/>
      <w:sz w:val="21"/>
      <w:szCs w:val="22"/>
    </w:rPr>
  </w:style>
  <w:style w:type="character" w:customStyle="1" w:styleId="439">
    <w:name w:val="Body text|2_"/>
    <w:link w:val="440"/>
    <w:qFormat/>
    <w:uiPriority w:val="0"/>
    <w:rPr>
      <w:rFonts w:ascii="宋体" w:hAnsi="宋体" w:cs="宋体"/>
      <w:lang w:val="zh-TW" w:eastAsia="zh-TW" w:bidi="zh-TW"/>
    </w:rPr>
  </w:style>
  <w:style w:type="paragraph" w:customStyle="1" w:styleId="440">
    <w:name w:val="Body text|2"/>
    <w:basedOn w:val="1"/>
    <w:link w:val="439"/>
    <w:qFormat/>
    <w:uiPriority w:val="0"/>
    <w:pPr>
      <w:widowControl w:val="0"/>
      <w:spacing w:line="415" w:lineRule="auto"/>
      <w:ind w:firstLine="400"/>
    </w:pPr>
    <w:rPr>
      <w:rFonts w:ascii="宋体" w:hAnsi="宋体" w:cs="宋体"/>
      <w:sz w:val="20"/>
      <w:szCs w:val="20"/>
      <w:lang w:val="zh-TW" w:eastAsia="zh-TW" w:bidi="zh-TW"/>
    </w:rPr>
  </w:style>
  <w:style w:type="character" w:customStyle="1" w:styleId="441">
    <w:name w:val="Picture caption|1_"/>
    <w:link w:val="442"/>
    <w:qFormat/>
    <w:uiPriority w:val="0"/>
    <w:rPr>
      <w:rFonts w:ascii="宋体" w:hAnsi="宋体" w:cs="宋体"/>
      <w:lang w:val="zh-TW" w:eastAsia="zh-TW" w:bidi="zh-TW"/>
    </w:rPr>
  </w:style>
  <w:style w:type="paragraph" w:customStyle="1" w:styleId="442">
    <w:name w:val="Picture caption|1"/>
    <w:basedOn w:val="1"/>
    <w:link w:val="441"/>
    <w:qFormat/>
    <w:uiPriority w:val="0"/>
    <w:pPr>
      <w:widowControl w:val="0"/>
    </w:pPr>
    <w:rPr>
      <w:rFonts w:ascii="宋体" w:hAnsi="宋体" w:cs="宋体"/>
      <w:sz w:val="20"/>
      <w:szCs w:val="20"/>
      <w:lang w:val="zh-TW" w:eastAsia="zh-TW" w:bidi="zh-TW"/>
    </w:rPr>
  </w:style>
  <w:style w:type="character" w:customStyle="1" w:styleId="443">
    <w:name w:val="Heading #1|1_"/>
    <w:link w:val="444"/>
    <w:qFormat/>
    <w:uiPriority w:val="0"/>
    <w:rPr>
      <w:rFonts w:ascii="宋体" w:hAnsi="宋体" w:cs="宋体"/>
      <w:sz w:val="42"/>
      <w:szCs w:val="42"/>
      <w:lang w:val="zh-TW" w:eastAsia="zh-TW" w:bidi="zh-TW"/>
    </w:rPr>
  </w:style>
  <w:style w:type="paragraph" w:customStyle="1" w:styleId="444">
    <w:name w:val="Heading #1|1"/>
    <w:basedOn w:val="1"/>
    <w:link w:val="443"/>
    <w:qFormat/>
    <w:uiPriority w:val="0"/>
    <w:pPr>
      <w:widowControl w:val="0"/>
      <w:spacing w:after="180"/>
      <w:jc w:val="center"/>
      <w:outlineLvl w:val="0"/>
    </w:pPr>
    <w:rPr>
      <w:rFonts w:ascii="宋体" w:hAnsi="宋体" w:cs="宋体"/>
      <w:sz w:val="42"/>
      <w:szCs w:val="42"/>
      <w:lang w:val="zh-TW" w:eastAsia="zh-TW" w:bidi="zh-TW"/>
    </w:rPr>
  </w:style>
  <w:style w:type="character" w:customStyle="1" w:styleId="445">
    <w:name w:val="Heading #3|1_"/>
    <w:link w:val="446"/>
    <w:qFormat/>
    <w:uiPriority w:val="0"/>
    <w:rPr>
      <w:rFonts w:ascii="宋体" w:hAnsi="宋体" w:cs="宋体"/>
      <w:b/>
      <w:bCs/>
      <w:sz w:val="26"/>
      <w:szCs w:val="26"/>
      <w:lang w:val="zh-TW" w:eastAsia="zh-TW" w:bidi="zh-TW"/>
    </w:rPr>
  </w:style>
  <w:style w:type="paragraph" w:customStyle="1" w:styleId="446">
    <w:name w:val="Heading #3|1"/>
    <w:basedOn w:val="1"/>
    <w:link w:val="445"/>
    <w:qFormat/>
    <w:uiPriority w:val="0"/>
    <w:pPr>
      <w:widowControl w:val="0"/>
      <w:spacing w:after="460" w:line="497" w:lineRule="exact"/>
      <w:jc w:val="center"/>
      <w:outlineLvl w:val="2"/>
    </w:pPr>
    <w:rPr>
      <w:rFonts w:ascii="宋体" w:hAnsi="宋体" w:cs="宋体"/>
      <w:b/>
      <w:bCs/>
      <w:sz w:val="26"/>
      <w:szCs w:val="26"/>
      <w:lang w:val="zh-TW" w:eastAsia="zh-TW" w:bidi="zh-TW"/>
    </w:rPr>
  </w:style>
  <w:style w:type="character" w:customStyle="1" w:styleId="447">
    <w:name w:val="Heading #4|1_"/>
    <w:link w:val="448"/>
    <w:qFormat/>
    <w:uiPriority w:val="0"/>
    <w:rPr>
      <w:rFonts w:ascii="宋体" w:hAnsi="宋体" w:cs="宋体"/>
      <w:sz w:val="26"/>
      <w:szCs w:val="26"/>
      <w:lang w:val="zh-TW" w:eastAsia="zh-TW" w:bidi="zh-TW"/>
    </w:rPr>
  </w:style>
  <w:style w:type="paragraph" w:customStyle="1" w:styleId="448">
    <w:name w:val="Heading #4|1"/>
    <w:basedOn w:val="1"/>
    <w:link w:val="447"/>
    <w:qFormat/>
    <w:uiPriority w:val="0"/>
    <w:pPr>
      <w:widowControl w:val="0"/>
      <w:spacing w:after="100" w:line="497" w:lineRule="exact"/>
      <w:outlineLvl w:val="3"/>
    </w:pPr>
    <w:rPr>
      <w:rFonts w:ascii="宋体" w:hAnsi="宋体" w:cs="宋体"/>
      <w:sz w:val="26"/>
      <w:szCs w:val="26"/>
      <w:lang w:val="zh-TW" w:eastAsia="zh-TW" w:bidi="zh-TW"/>
    </w:rPr>
  </w:style>
  <w:style w:type="character" w:customStyle="1" w:styleId="449">
    <w:name w:val="Header or footer|1_"/>
    <w:link w:val="450"/>
    <w:qFormat/>
    <w:uiPriority w:val="0"/>
    <w:rPr>
      <w:sz w:val="17"/>
      <w:szCs w:val="17"/>
      <w:lang w:val="zh-TW" w:eastAsia="zh-TW" w:bidi="zh-TW"/>
    </w:rPr>
  </w:style>
  <w:style w:type="paragraph" w:customStyle="1" w:styleId="450">
    <w:name w:val="Header or footer|1"/>
    <w:basedOn w:val="1"/>
    <w:link w:val="449"/>
    <w:qFormat/>
    <w:uiPriority w:val="0"/>
    <w:pPr>
      <w:widowControl w:val="0"/>
    </w:pPr>
    <w:rPr>
      <w:sz w:val="17"/>
      <w:szCs w:val="17"/>
      <w:lang w:val="zh-TW" w:eastAsia="zh-TW" w:bidi="zh-TW"/>
    </w:rPr>
  </w:style>
  <w:style w:type="character" w:customStyle="1" w:styleId="451">
    <w:name w:val="Other|1_"/>
    <w:link w:val="452"/>
    <w:qFormat/>
    <w:uiPriority w:val="0"/>
    <w:rPr>
      <w:rFonts w:ascii="宋体" w:hAnsi="宋体" w:cs="宋体"/>
      <w:lang w:val="zh-TW" w:eastAsia="zh-TW" w:bidi="zh-TW"/>
    </w:rPr>
  </w:style>
  <w:style w:type="paragraph" w:customStyle="1" w:styleId="452">
    <w:name w:val="Other|1"/>
    <w:basedOn w:val="1"/>
    <w:link w:val="451"/>
    <w:qFormat/>
    <w:uiPriority w:val="0"/>
    <w:pPr>
      <w:widowControl w:val="0"/>
      <w:spacing w:line="415" w:lineRule="auto"/>
      <w:ind w:firstLine="400"/>
    </w:pPr>
    <w:rPr>
      <w:rFonts w:ascii="宋体" w:hAnsi="宋体" w:cs="宋体"/>
      <w:sz w:val="20"/>
      <w:szCs w:val="20"/>
      <w:lang w:val="zh-TW" w:eastAsia="zh-TW" w:bidi="zh-TW"/>
    </w:rPr>
  </w:style>
  <w:style w:type="character" w:customStyle="1" w:styleId="453">
    <w:name w:val="Body text|1_"/>
    <w:link w:val="454"/>
    <w:qFormat/>
    <w:uiPriority w:val="0"/>
    <w:rPr>
      <w:rFonts w:ascii="宋体" w:hAnsi="宋体" w:cs="宋体"/>
      <w:lang w:val="zh-TW" w:eastAsia="zh-TW" w:bidi="zh-TW"/>
    </w:rPr>
  </w:style>
  <w:style w:type="paragraph" w:customStyle="1" w:styleId="454">
    <w:name w:val="Body text|1"/>
    <w:basedOn w:val="1"/>
    <w:link w:val="453"/>
    <w:qFormat/>
    <w:uiPriority w:val="0"/>
    <w:pPr>
      <w:widowControl w:val="0"/>
      <w:spacing w:line="425" w:lineRule="exact"/>
    </w:pPr>
    <w:rPr>
      <w:rFonts w:ascii="宋体" w:hAnsi="宋体" w:cs="宋体"/>
      <w:sz w:val="20"/>
      <w:szCs w:val="20"/>
      <w:lang w:val="zh-TW" w:eastAsia="zh-TW" w:bidi="zh-TW"/>
    </w:rPr>
  </w:style>
  <w:style w:type="character" w:customStyle="1" w:styleId="455">
    <w:name w:val="Body text|3_"/>
    <w:link w:val="456"/>
    <w:qFormat/>
    <w:uiPriority w:val="0"/>
    <w:rPr>
      <w:rFonts w:ascii="宋体" w:hAnsi="宋体" w:cs="宋体"/>
      <w:sz w:val="32"/>
      <w:szCs w:val="32"/>
      <w:lang w:val="zh-TW" w:eastAsia="zh-TW" w:bidi="zh-TW"/>
    </w:rPr>
  </w:style>
  <w:style w:type="paragraph" w:customStyle="1" w:styleId="456">
    <w:name w:val="Body text|3"/>
    <w:basedOn w:val="1"/>
    <w:link w:val="455"/>
    <w:qFormat/>
    <w:uiPriority w:val="0"/>
    <w:pPr>
      <w:widowControl w:val="0"/>
      <w:spacing w:after="560"/>
      <w:jc w:val="center"/>
    </w:pPr>
    <w:rPr>
      <w:rFonts w:ascii="宋体" w:hAnsi="宋体" w:cs="宋体"/>
      <w:sz w:val="32"/>
      <w:szCs w:val="32"/>
      <w:lang w:val="zh-TW" w:eastAsia="zh-TW" w:bidi="zh-TW"/>
    </w:rPr>
  </w:style>
  <w:style w:type="character" w:customStyle="1" w:styleId="457">
    <w:name w:val="Body text|4_"/>
    <w:link w:val="458"/>
    <w:qFormat/>
    <w:uiPriority w:val="0"/>
    <w:rPr>
      <w:rFonts w:ascii="宋体" w:hAnsi="宋体" w:cs="宋体"/>
      <w:sz w:val="28"/>
      <w:szCs w:val="28"/>
      <w:lang w:val="zh-TW" w:eastAsia="zh-TW" w:bidi="zh-TW"/>
    </w:rPr>
  </w:style>
  <w:style w:type="paragraph" w:customStyle="1" w:styleId="458">
    <w:name w:val="Body text|4"/>
    <w:basedOn w:val="1"/>
    <w:link w:val="457"/>
    <w:qFormat/>
    <w:uiPriority w:val="0"/>
    <w:pPr>
      <w:widowControl w:val="0"/>
      <w:spacing w:after="1100"/>
    </w:pPr>
    <w:rPr>
      <w:rFonts w:ascii="宋体" w:hAnsi="宋体" w:cs="宋体"/>
      <w:sz w:val="28"/>
      <w:szCs w:val="28"/>
      <w:lang w:val="zh-TW" w:eastAsia="zh-TW" w:bidi="zh-TW"/>
    </w:rPr>
  </w:style>
  <w:style w:type="character" w:customStyle="1" w:styleId="459">
    <w:name w:val="Table caption|1_"/>
    <w:link w:val="460"/>
    <w:qFormat/>
    <w:uiPriority w:val="0"/>
    <w:rPr>
      <w:rFonts w:ascii="宋体" w:hAnsi="宋体" w:cs="宋体"/>
      <w:lang w:val="zh-TW" w:eastAsia="zh-TW" w:bidi="zh-TW"/>
    </w:rPr>
  </w:style>
  <w:style w:type="paragraph" w:customStyle="1" w:styleId="460">
    <w:name w:val="Table caption|1"/>
    <w:basedOn w:val="1"/>
    <w:link w:val="459"/>
    <w:qFormat/>
    <w:uiPriority w:val="0"/>
    <w:pPr>
      <w:widowControl w:val="0"/>
    </w:pPr>
    <w:rPr>
      <w:rFonts w:ascii="宋体" w:hAnsi="宋体" w:cs="宋体"/>
      <w:sz w:val="20"/>
      <w:szCs w:val="20"/>
      <w:lang w:val="zh-TW" w:eastAsia="zh-TW" w:bidi="zh-TW"/>
    </w:rPr>
  </w:style>
  <w:style w:type="character" w:customStyle="1" w:styleId="461">
    <w:name w:val="Body text|6_"/>
    <w:link w:val="462"/>
    <w:qFormat/>
    <w:uiPriority w:val="0"/>
    <w:rPr>
      <w:rFonts w:ascii="宋体" w:hAnsi="宋体" w:cs="宋体"/>
      <w:sz w:val="84"/>
      <w:szCs w:val="84"/>
      <w:lang w:val="zh-TW" w:eastAsia="zh-TW" w:bidi="zh-TW"/>
    </w:rPr>
  </w:style>
  <w:style w:type="paragraph" w:customStyle="1" w:styleId="462">
    <w:name w:val="Body text|6"/>
    <w:basedOn w:val="1"/>
    <w:link w:val="461"/>
    <w:qFormat/>
    <w:uiPriority w:val="0"/>
    <w:pPr>
      <w:widowControl w:val="0"/>
      <w:spacing w:after="2420"/>
      <w:jc w:val="center"/>
    </w:pPr>
    <w:rPr>
      <w:rFonts w:ascii="宋体" w:hAnsi="宋体" w:cs="宋体"/>
      <w:sz w:val="84"/>
      <w:szCs w:val="84"/>
      <w:lang w:val="zh-TW" w:eastAsia="zh-TW" w:bidi="zh-TW"/>
    </w:rPr>
  </w:style>
  <w:style w:type="paragraph" w:customStyle="1" w:styleId="463">
    <w:name w:val="无间隔1"/>
    <w:qFormat/>
    <w:uiPriority w:val="0"/>
    <w:pPr>
      <w:widowControl w:val="0"/>
      <w:jc w:val="both"/>
    </w:pPr>
    <w:rPr>
      <w:rFonts w:hint="default" w:ascii="Times New Roman" w:hAnsi="Times New Roman" w:eastAsia="微软雅黑" w:cs="Times New Roman"/>
      <w:sz w:val="24"/>
      <w:szCs w:val="22"/>
      <w:lang w:val="en-US" w:eastAsia="zh-CN" w:bidi="ar-SA"/>
    </w:rPr>
  </w:style>
  <w:style w:type="character" w:customStyle="1" w:styleId="464">
    <w:name w:val="正文文本 Char Char"/>
    <w:link w:val="1"/>
    <w:qFormat/>
    <w:uiPriority w:val="0"/>
    <w:rPr>
      <w:rFonts w:cs="Times New Roman"/>
      <w:sz w:val="20"/>
      <w:szCs w:val="20"/>
    </w:rPr>
  </w:style>
  <w:style w:type="character" w:customStyle="1" w:styleId="465">
    <w:name w:val="标题 4 Char_0"/>
    <w:link w:val="466"/>
    <w:qFormat/>
    <w:uiPriority w:val="0"/>
    <w:rPr>
      <w:rFonts w:ascii="Arial" w:hAnsi="Arial" w:eastAsia="黑体"/>
      <w:b/>
      <w:bCs/>
      <w:sz w:val="28"/>
      <w:szCs w:val="28"/>
    </w:rPr>
  </w:style>
  <w:style w:type="paragraph" w:customStyle="1" w:styleId="466">
    <w:name w:val="标题 4_0"/>
    <w:basedOn w:val="374"/>
    <w:next w:val="374"/>
    <w:link w:val="465"/>
    <w:qFormat/>
    <w:uiPriority w:val="0"/>
    <w:pPr>
      <w:keepNext/>
      <w:keepLines/>
      <w:spacing w:before="280" w:after="290" w:line="376" w:lineRule="auto"/>
      <w:outlineLvl w:val="3"/>
    </w:pPr>
    <w:rPr>
      <w:rFonts w:ascii="Arial" w:hAnsi="Arial" w:eastAsia="黑体" w:cs="Times New Roman"/>
      <w:b/>
      <w:bCs/>
      <w:sz w:val="28"/>
      <w:szCs w:val="28"/>
    </w:rPr>
  </w:style>
  <w:style w:type="character" w:customStyle="1" w:styleId="467">
    <w:name w:val="文档结构图 Char2"/>
    <w:link w:val="1"/>
    <w:qFormat/>
    <w:uiPriority w:val="99"/>
    <w:rPr>
      <w:rFonts w:ascii="宋体" w:hAnsi="Calibri" w:eastAsia="宋体" w:cs="Times New Roman"/>
      <w:sz w:val="18"/>
      <w:szCs w:val="18"/>
    </w:rPr>
  </w:style>
  <w:style w:type="character" w:customStyle="1" w:styleId="468">
    <w:name w:val="infodetail1"/>
    <w:link w:val="1"/>
    <w:qFormat/>
    <w:uiPriority w:val="0"/>
    <w:rPr>
      <w:sz w:val="21"/>
      <w:szCs w:val="21"/>
    </w:rPr>
  </w:style>
  <w:style w:type="character" w:customStyle="1" w:styleId="469">
    <w:name w:val="layui-layer-tabnow"/>
    <w:link w:val="1"/>
    <w:qFormat/>
    <w:uiPriority w:val="0"/>
    <w:rPr>
      <w:shd w:val="clear" w:color="auto" w:fill="FFFFFF"/>
    </w:rPr>
  </w:style>
  <w:style w:type="character" w:customStyle="1" w:styleId="470">
    <w:name w:val="first-child"/>
    <w:link w:val="1"/>
    <w:qFormat/>
    <w:uiPriority w:val="0"/>
  </w:style>
  <w:style w:type="character" w:customStyle="1" w:styleId="471">
    <w:name w:val="textcontents"/>
    <w:link w:val="1"/>
    <w:qFormat/>
    <w:uiPriority w:val="0"/>
    <w:rPr>
      <w:rFonts w:cs="Times New Roman"/>
    </w:rPr>
  </w:style>
  <w:style w:type="character" w:customStyle="1" w:styleId="472">
    <w:name w:val="纯文本 Char2"/>
    <w:link w:val="1"/>
    <w:qFormat/>
    <w:uiPriority w:val="99"/>
    <w:rPr>
      <w:rFonts w:ascii="宋体" w:hAnsi="Courier New" w:eastAsia="宋体" w:cs="Courier New"/>
      <w:sz w:val="21"/>
      <w:szCs w:val="21"/>
      <w:lang w:val="zh-CN" w:eastAsia="zh-CN" w:bidi="zh-CN"/>
    </w:rPr>
  </w:style>
  <w:style w:type="character" w:customStyle="1" w:styleId="473">
    <w:name w:val="rvts45"/>
    <w:link w:val="1"/>
    <w:qFormat/>
    <w:uiPriority w:val="0"/>
    <w:rPr>
      <w:rFonts w:ascii="KNLe" w:hAnsi="KNLe"/>
      <w:color w:val="000000"/>
      <w:spacing w:val="16"/>
      <w:sz w:val="24"/>
      <w:szCs w:val="24"/>
    </w:rPr>
  </w:style>
  <w:style w:type="character" w:customStyle="1" w:styleId="474">
    <w:name w:val="日期 Char1"/>
    <w:link w:val="1"/>
    <w:qFormat/>
    <w:uiPriority w:val="0"/>
    <w:rPr>
      <w:rFonts w:ascii="宋体" w:hAnsi="宋体" w:eastAsia="宋体" w:cs="宋体"/>
      <w:lang w:val="zh-CN" w:eastAsia="zh-CN" w:bidi="zh-CN"/>
    </w:rPr>
  </w:style>
  <w:style w:type="character" w:customStyle="1" w:styleId="475">
    <w:name w:val="标题4 Char Char"/>
    <w:link w:val="476"/>
    <w:qFormat/>
    <w:uiPriority w:val="0"/>
    <w:rPr>
      <w:rFonts w:ascii="Arial" w:hAnsi="Arial"/>
      <w:b/>
      <w:bCs/>
      <w:sz w:val="24"/>
      <w:szCs w:val="32"/>
    </w:rPr>
  </w:style>
  <w:style w:type="paragraph" w:customStyle="1" w:styleId="476">
    <w:name w:val="标题4"/>
    <w:basedOn w:val="191"/>
    <w:next w:val="233"/>
    <w:link w:val="475"/>
    <w:qFormat/>
    <w:uiPriority w:val="0"/>
    <w:pPr>
      <w:spacing w:line="413" w:lineRule="auto"/>
    </w:pPr>
    <w:rPr>
      <w:rFonts w:ascii="Arial" w:hAnsi="Arial"/>
      <w:sz w:val="24"/>
    </w:rPr>
  </w:style>
  <w:style w:type="character" w:customStyle="1" w:styleId="477">
    <w:name w:val="rvts119"/>
    <w:link w:val="1"/>
    <w:qFormat/>
    <w:uiPriority w:val="0"/>
    <w:rPr>
      <w:rFonts w:ascii="7bkn_gb2312" w:hAnsi="7bkn_gb2312"/>
      <w:sz w:val="30"/>
      <w:szCs w:val="30"/>
      <w:u w:val="single"/>
    </w:rPr>
  </w:style>
  <w:style w:type="character" w:customStyle="1" w:styleId="478">
    <w:name w:val="明显引用 Char3"/>
    <w:link w:val="1"/>
    <w:qFormat/>
    <w:uiPriority w:val="30"/>
    <w:rPr>
      <w:rFonts w:ascii="宋体" w:hAnsi="宋体" w:eastAsia="宋体" w:cs="宋体"/>
      <w:b/>
      <w:bCs/>
      <w:i/>
      <w:iCs/>
      <w:color w:val="4F81BD"/>
      <w:lang w:val="zh-CN" w:eastAsia="zh-CN" w:bidi="zh-CN"/>
    </w:rPr>
  </w:style>
  <w:style w:type="character" w:customStyle="1" w:styleId="479">
    <w:name w:val="rvts62"/>
    <w:link w:val="1"/>
    <w:qFormat/>
    <w:uiPriority w:val="0"/>
    <w:rPr>
      <w:rFonts w:ascii=";*NDVPKN" w:hAnsi=";*NDVPKN"/>
      <w:b/>
      <w:bCs/>
      <w:sz w:val="72"/>
      <w:szCs w:val="72"/>
    </w:rPr>
  </w:style>
  <w:style w:type="character" w:customStyle="1" w:styleId="480">
    <w:name w:val="rvts16"/>
    <w:link w:val="1"/>
    <w:qFormat/>
    <w:uiPriority w:val="0"/>
    <w:rPr>
      <w:rFonts w:ascii="KNLe" w:hAnsi="KNLe"/>
      <w:color w:val="000000"/>
      <w:sz w:val="24"/>
      <w:szCs w:val="24"/>
      <w:u w:val="single"/>
    </w:rPr>
  </w:style>
  <w:style w:type="character" w:customStyle="1" w:styleId="481">
    <w:name w:val="rvts90"/>
    <w:link w:val="1"/>
    <w:qFormat/>
    <w:uiPriority w:val="0"/>
    <w:rPr>
      <w:rFonts w:ascii="KNLe" w:hAnsi="KNLe"/>
      <w:color w:val="000000"/>
      <w:sz w:val="24"/>
      <w:szCs w:val="24"/>
      <w:u w:val="single"/>
    </w:rPr>
  </w:style>
  <w:style w:type="character" w:customStyle="1" w:styleId="482">
    <w:name w:val="rvts11"/>
    <w:link w:val="1"/>
    <w:qFormat/>
    <w:uiPriority w:val="0"/>
    <w:rPr>
      <w:rFonts w:ascii="KNLe" w:hAnsi="KNLe"/>
      <w:sz w:val="24"/>
      <w:szCs w:val="24"/>
      <w:u w:val="single"/>
    </w:rPr>
  </w:style>
  <w:style w:type="character" w:customStyle="1" w:styleId="483">
    <w:name w:val="纯文本 字符"/>
    <w:link w:val="1"/>
    <w:qFormat/>
    <w:uiPriority w:val="99"/>
    <w:rPr>
      <w:rFonts w:ascii="宋体" w:hAnsi="宋体" w:eastAsia="宋体"/>
      <w:color w:val="000000"/>
      <w:sz w:val="24"/>
      <w:szCs w:val="24"/>
      <w:lang w:val="en-US" w:eastAsia="zh-CN" w:bidi="ar-SA"/>
    </w:rPr>
  </w:style>
  <w:style w:type="character" w:customStyle="1" w:styleId="484">
    <w:name w:val="rvts142"/>
    <w:link w:val="1"/>
    <w:qFormat/>
    <w:uiPriority w:val="0"/>
    <w:rPr>
      <w:rFonts w:ascii="KNLe" w:hAnsi="KNLe"/>
      <w:color w:val="FF0000"/>
      <w:u w:val="single"/>
      <w:shd w:val="clear" w:color="auto" w:fill="FFFF00"/>
    </w:rPr>
  </w:style>
  <w:style w:type="character" w:customStyle="1" w:styleId="485">
    <w:name w:val="rvts10"/>
    <w:link w:val="1"/>
    <w:qFormat/>
    <w:uiPriority w:val="0"/>
    <w:rPr>
      <w:rFonts w:ascii="KNLe" w:hAnsi="KNLe"/>
      <w:b/>
      <w:bCs/>
      <w:color w:val="000000"/>
      <w:sz w:val="28"/>
      <w:szCs w:val="28"/>
    </w:rPr>
  </w:style>
  <w:style w:type="character" w:customStyle="1" w:styleId="486">
    <w:name w:val="书籍标题1"/>
    <w:link w:val="1"/>
    <w:qFormat/>
    <w:uiPriority w:val="0"/>
    <w:rPr>
      <w:b/>
      <w:bCs/>
      <w:smallCaps/>
      <w:spacing w:val="5"/>
    </w:rPr>
  </w:style>
  <w:style w:type="character" w:customStyle="1" w:styleId="487">
    <w:name w:val="rvts40"/>
    <w:link w:val="1"/>
    <w:qFormat/>
    <w:uiPriority w:val="0"/>
    <w:rPr>
      <w:rFonts w:ascii="KNLe" w:hAnsi="KNLe"/>
      <w:b/>
      <w:bCs/>
      <w:spacing w:val="16"/>
      <w:sz w:val="24"/>
      <w:szCs w:val="24"/>
    </w:rPr>
  </w:style>
  <w:style w:type="character" w:customStyle="1" w:styleId="488">
    <w:name w:val="rvts58"/>
    <w:link w:val="1"/>
    <w:qFormat/>
    <w:uiPriority w:val="0"/>
    <w:rPr>
      <w:rFonts w:ascii="KNLe" w:hAnsi="KNLe"/>
      <w:spacing w:val="16"/>
      <w:sz w:val="24"/>
      <w:szCs w:val="24"/>
    </w:rPr>
  </w:style>
  <w:style w:type="character" w:customStyle="1" w:styleId="489">
    <w:name w:val="页脚 Char1"/>
    <w:link w:val="1"/>
    <w:qFormat/>
    <w:uiPriority w:val="99"/>
    <w:rPr>
      <w:rFonts w:ascii="Calibri" w:hAnsi="Calibri" w:eastAsia="宋体" w:cs="Times New Roman"/>
      <w:sz w:val="18"/>
      <w:szCs w:val="18"/>
    </w:rPr>
  </w:style>
  <w:style w:type="character" w:customStyle="1" w:styleId="490">
    <w:name w:val="副标题 Char3"/>
    <w:link w:val="1"/>
    <w:qFormat/>
    <w:uiPriority w:val="11"/>
    <w:rPr>
      <w:rFonts w:ascii="Cambria" w:hAnsi="Cambria" w:eastAsia="宋体" w:cs="Times New Roman"/>
      <w:b/>
      <w:bCs/>
      <w:sz w:val="32"/>
      <w:szCs w:val="32"/>
      <w:lang w:val="zh-CN" w:eastAsia="zh-CN" w:bidi="zh-CN"/>
    </w:rPr>
  </w:style>
  <w:style w:type="character" w:customStyle="1" w:styleId="491">
    <w:name w:val="标题 1 Char_0"/>
    <w:link w:val="492"/>
    <w:qFormat/>
    <w:uiPriority w:val="0"/>
    <w:rPr>
      <w:b/>
      <w:bCs/>
      <w:sz w:val="44"/>
      <w:szCs w:val="44"/>
    </w:rPr>
  </w:style>
  <w:style w:type="paragraph" w:customStyle="1" w:styleId="492">
    <w:name w:val="标题 1_0"/>
    <w:basedOn w:val="374"/>
    <w:next w:val="374"/>
    <w:link w:val="491"/>
    <w:qFormat/>
    <w:uiPriority w:val="0"/>
    <w:pPr>
      <w:keepNext/>
      <w:keepLines/>
      <w:spacing w:before="340" w:after="330" w:line="578" w:lineRule="auto"/>
      <w:outlineLvl w:val="0"/>
    </w:pPr>
    <w:rPr>
      <w:rFonts w:ascii="Times New Roman" w:hAnsi="Times New Roman" w:cs="Times New Roman"/>
      <w:b/>
      <w:bCs/>
      <w:sz w:val="44"/>
      <w:szCs w:val="44"/>
    </w:rPr>
  </w:style>
  <w:style w:type="character" w:customStyle="1" w:styleId="493">
    <w:name w:val="明显引用 Char1"/>
    <w:link w:val="1"/>
    <w:qFormat/>
    <w:uiPriority w:val="99"/>
    <w:rPr>
      <w:b/>
      <w:bCs/>
      <w:i/>
      <w:iCs/>
      <w:color w:val="4F81BD"/>
      <w:sz w:val="21"/>
    </w:rPr>
  </w:style>
  <w:style w:type="character" w:customStyle="1" w:styleId="494">
    <w:name w:val="正文文本 3 Char1"/>
    <w:link w:val="1"/>
    <w:qFormat/>
    <w:uiPriority w:val="0"/>
    <w:rPr>
      <w:sz w:val="16"/>
      <w:szCs w:val="16"/>
    </w:rPr>
  </w:style>
  <w:style w:type="character" w:customStyle="1" w:styleId="495">
    <w:name w:val="rvts101"/>
    <w:link w:val="1"/>
    <w:qFormat/>
    <w:uiPriority w:val="0"/>
    <w:rPr>
      <w:rFonts w:ascii="Times New Roman" w:hAnsi="Times New Roman" w:cs="Times New Roman"/>
      <w:sz w:val="28"/>
      <w:szCs w:val="28"/>
      <w:u w:val="none"/>
    </w:rPr>
  </w:style>
  <w:style w:type="character" w:customStyle="1" w:styleId="496">
    <w:name w:val="rvts92"/>
    <w:link w:val="1"/>
    <w:qFormat/>
    <w:uiPriority w:val="0"/>
    <w:rPr>
      <w:rFonts w:ascii="KNLe" w:hAnsi="KNLe"/>
      <w:color w:val="000000"/>
      <w:sz w:val="24"/>
      <w:szCs w:val="24"/>
      <w:u w:val="single"/>
    </w:rPr>
  </w:style>
  <w:style w:type="character" w:customStyle="1" w:styleId="497">
    <w:name w:val="rvts13"/>
    <w:link w:val="1"/>
    <w:qFormat/>
    <w:uiPriority w:val="0"/>
    <w:rPr>
      <w:rFonts w:ascii="KNLe" w:hAnsi="KNLe"/>
      <w:b/>
      <w:bCs/>
      <w:sz w:val="22"/>
      <w:szCs w:val="22"/>
      <w:u w:val="single"/>
    </w:rPr>
  </w:style>
  <w:style w:type="character" w:customStyle="1" w:styleId="498">
    <w:name w:val="正文文本缩进 3 Char1"/>
    <w:link w:val="1"/>
    <w:qFormat/>
    <w:uiPriority w:val="99"/>
    <w:rPr>
      <w:rFonts w:ascii="宋体" w:hAnsi="宋体" w:eastAsia="宋体" w:cs="宋体"/>
      <w:sz w:val="16"/>
      <w:szCs w:val="16"/>
      <w:lang w:val="zh-CN" w:eastAsia="zh-CN" w:bidi="zh-CN"/>
    </w:rPr>
  </w:style>
  <w:style w:type="character" w:customStyle="1" w:styleId="499">
    <w:name w:val="标题5 Char Char"/>
    <w:link w:val="500"/>
    <w:qFormat/>
    <w:uiPriority w:val="0"/>
    <w:rPr>
      <w:rFonts w:ascii="Arial" w:hAnsi="Arial"/>
      <w:b/>
      <w:bCs/>
      <w:sz w:val="24"/>
      <w:szCs w:val="32"/>
    </w:rPr>
  </w:style>
  <w:style w:type="paragraph" w:customStyle="1" w:styleId="500">
    <w:name w:val="标题5"/>
    <w:basedOn w:val="192"/>
    <w:link w:val="499"/>
    <w:qFormat/>
    <w:uiPriority w:val="0"/>
    <w:pPr>
      <w:keepNext/>
      <w:keepLines/>
      <w:spacing w:before="260" w:after="260" w:line="413" w:lineRule="auto"/>
      <w:jc w:val="both"/>
    </w:pPr>
    <w:rPr>
      <w:rFonts w:ascii="Arial" w:hAnsi="Arial" w:eastAsia="宋体"/>
      <w:b/>
      <w:bCs/>
      <w:sz w:val="24"/>
    </w:rPr>
  </w:style>
  <w:style w:type="character" w:customStyle="1" w:styleId="501">
    <w:name w:val="引用 Char3"/>
    <w:link w:val="1"/>
    <w:qFormat/>
    <w:uiPriority w:val="29"/>
    <w:rPr>
      <w:rFonts w:ascii="宋体" w:hAnsi="宋体" w:eastAsia="宋体" w:cs="宋体"/>
      <w:i/>
      <w:iCs/>
      <w:color w:val="000000"/>
      <w:lang w:val="zh-CN" w:eastAsia="zh-CN" w:bidi="zh-CN"/>
    </w:rPr>
  </w:style>
  <w:style w:type="character" w:customStyle="1" w:styleId="502">
    <w:name w:val="rvts60"/>
    <w:link w:val="1"/>
    <w:qFormat/>
    <w:uiPriority w:val="0"/>
    <w:rPr>
      <w:rFonts w:ascii="Times New Roman" w:hAnsi="Times New Roman" w:cs="Times New Roman"/>
      <w:sz w:val="32"/>
      <w:szCs w:val="32"/>
    </w:rPr>
  </w:style>
  <w:style w:type="character" w:customStyle="1" w:styleId="503">
    <w:name w:val="rvts130"/>
    <w:link w:val="1"/>
    <w:qFormat/>
    <w:uiPriority w:val="0"/>
    <w:rPr>
      <w:rFonts w:ascii="7bkn_gb2312" w:hAnsi="7bkn_gb2312"/>
      <w:color w:val="000000"/>
      <w:sz w:val="28"/>
      <w:szCs w:val="28"/>
    </w:rPr>
  </w:style>
  <w:style w:type="character" w:customStyle="1" w:styleId="504">
    <w:name w:val="明显参考1"/>
    <w:link w:val="1"/>
    <w:qFormat/>
    <w:uiPriority w:val="0"/>
    <w:rPr>
      <w:b/>
      <w:bCs/>
      <w:smallCaps/>
      <w:color w:val="C0504D"/>
      <w:spacing w:val="5"/>
      <w:u w:val="single"/>
    </w:rPr>
  </w:style>
  <w:style w:type="character" w:customStyle="1" w:styleId="505">
    <w:name w:val="批注主题 Char3"/>
    <w:link w:val="1"/>
    <w:qFormat/>
    <w:uiPriority w:val="99"/>
    <w:rPr>
      <w:rFonts w:ascii="宋体" w:hAnsi="宋体" w:eastAsia="宋体" w:cs="宋体"/>
      <w:b/>
      <w:bCs/>
      <w:sz w:val="21"/>
      <w:lang w:val="zh-CN" w:eastAsia="zh-CN" w:bidi="zh-CN"/>
    </w:rPr>
  </w:style>
  <w:style w:type="character" w:customStyle="1" w:styleId="506">
    <w:name w:val="不明显参考1"/>
    <w:link w:val="1"/>
    <w:qFormat/>
    <w:uiPriority w:val="0"/>
    <w:rPr>
      <w:smallCaps/>
      <w:color w:val="C0504D"/>
      <w:u w:val="single"/>
    </w:rPr>
  </w:style>
  <w:style w:type="character" w:customStyle="1" w:styleId="507">
    <w:name w:val="rvts42"/>
    <w:link w:val="1"/>
    <w:qFormat/>
    <w:uiPriority w:val="0"/>
    <w:rPr>
      <w:rFonts w:ascii="KNLe" w:hAnsi="KNLe"/>
      <w:color w:val="000000"/>
      <w:spacing w:val="16"/>
      <w:sz w:val="24"/>
      <w:szCs w:val="24"/>
    </w:rPr>
  </w:style>
  <w:style w:type="character" w:customStyle="1" w:styleId="508">
    <w:name w:val="标题 3 Char_0"/>
    <w:link w:val="509"/>
    <w:qFormat/>
    <w:uiPriority w:val="0"/>
    <w:rPr>
      <w:b/>
      <w:bCs/>
      <w:sz w:val="32"/>
      <w:szCs w:val="32"/>
    </w:rPr>
  </w:style>
  <w:style w:type="paragraph" w:customStyle="1" w:styleId="509">
    <w:name w:val="标题 3_0"/>
    <w:basedOn w:val="374"/>
    <w:next w:val="374"/>
    <w:link w:val="508"/>
    <w:qFormat/>
    <w:uiPriority w:val="0"/>
    <w:pPr>
      <w:keepNext/>
      <w:keepLines/>
      <w:spacing w:before="260" w:after="260" w:line="416" w:lineRule="auto"/>
      <w:outlineLvl w:val="2"/>
    </w:pPr>
    <w:rPr>
      <w:rFonts w:ascii="Times New Roman" w:hAnsi="Times New Roman" w:cs="Times New Roman"/>
      <w:b/>
      <w:bCs/>
      <w:sz w:val="32"/>
      <w:szCs w:val="32"/>
    </w:rPr>
  </w:style>
  <w:style w:type="character" w:customStyle="1" w:styleId="510">
    <w:name w:val="HTML 预设格式 Char1"/>
    <w:link w:val="1"/>
    <w:qFormat/>
    <w:uiPriority w:val="99"/>
    <w:rPr>
      <w:rFonts w:ascii="Courier New" w:hAnsi="Courier New" w:eastAsia="宋体" w:cs="Courier New"/>
      <w:sz w:val="20"/>
      <w:szCs w:val="20"/>
      <w:lang w:val="zh-CN" w:eastAsia="zh-CN" w:bidi="zh-CN"/>
    </w:rPr>
  </w:style>
  <w:style w:type="character" w:customStyle="1" w:styleId="511">
    <w:name w:val="rvts118"/>
    <w:link w:val="1"/>
    <w:qFormat/>
    <w:uiPriority w:val="0"/>
    <w:rPr>
      <w:rFonts w:ascii="Times New Roman" w:hAnsi="Times New Roman" w:cs="Times New Roman"/>
      <w:color w:val="FF0000"/>
      <w:sz w:val="30"/>
      <w:szCs w:val="30"/>
      <w:u w:val="single"/>
    </w:rPr>
  </w:style>
  <w:style w:type="character" w:customStyle="1" w:styleId="512">
    <w:name w:val="明显强调1"/>
    <w:link w:val="1"/>
    <w:qFormat/>
    <w:uiPriority w:val="0"/>
    <w:rPr>
      <w:b/>
      <w:bCs/>
      <w:i/>
      <w:iCs/>
      <w:color w:val="4F81BD"/>
    </w:rPr>
  </w:style>
  <w:style w:type="character" w:customStyle="1" w:styleId="513">
    <w:name w:val="rvts49"/>
    <w:link w:val="1"/>
    <w:qFormat/>
    <w:uiPriority w:val="0"/>
    <w:rPr>
      <w:rFonts w:ascii="KNLe" w:hAnsi="KNLe"/>
      <w:color w:val="000000"/>
      <w:spacing w:val="16"/>
      <w:sz w:val="24"/>
      <w:szCs w:val="24"/>
    </w:rPr>
  </w:style>
  <w:style w:type="character" w:customStyle="1" w:styleId="514">
    <w:name w:val="rvts20"/>
    <w:link w:val="1"/>
    <w:qFormat/>
    <w:uiPriority w:val="0"/>
    <w:rPr>
      <w:rFonts w:ascii="Verdana" w:hAnsi="Verdana"/>
      <w:color w:val="000000"/>
      <w:sz w:val="22"/>
      <w:szCs w:val="22"/>
      <w:u w:val="single"/>
    </w:rPr>
  </w:style>
  <w:style w:type="character" w:customStyle="1" w:styleId="515">
    <w:name w:val="rvts94"/>
    <w:link w:val="1"/>
    <w:qFormat/>
    <w:uiPriority w:val="0"/>
    <w:rPr>
      <w:rFonts w:ascii="Times New Roman" w:hAnsi="Times New Roman" w:cs="Times New Roman"/>
      <w:b/>
      <w:bCs/>
      <w:color w:val="000000"/>
      <w:sz w:val="28"/>
      <w:szCs w:val="28"/>
      <w:u w:val="single"/>
    </w:rPr>
  </w:style>
  <w:style w:type="character" w:customStyle="1" w:styleId="516">
    <w:name w:val="rvts36"/>
    <w:link w:val="1"/>
    <w:qFormat/>
    <w:uiPriority w:val="0"/>
    <w:rPr>
      <w:rFonts w:ascii="KNLe" w:hAnsi="KNLe"/>
      <w:b/>
      <w:bCs/>
      <w:spacing w:val="16"/>
      <w:sz w:val="24"/>
      <w:szCs w:val="24"/>
    </w:rPr>
  </w:style>
  <w:style w:type="character" w:customStyle="1" w:styleId="517">
    <w:name w:val="访问过的超链接11"/>
    <w:link w:val="1"/>
    <w:qFormat/>
    <w:uiPriority w:val="99"/>
    <w:rPr>
      <w:color w:val="800080"/>
      <w:u w:val="single"/>
    </w:rPr>
  </w:style>
  <w:style w:type="character" w:customStyle="1" w:styleId="518">
    <w:name w:val="rvts43"/>
    <w:link w:val="1"/>
    <w:qFormat/>
    <w:uiPriority w:val="0"/>
    <w:rPr>
      <w:rFonts w:ascii="KNLe" w:hAnsi="KNLe"/>
      <w:color w:val="000000"/>
      <w:spacing w:val="16"/>
      <w:sz w:val="24"/>
      <w:szCs w:val="24"/>
    </w:rPr>
  </w:style>
  <w:style w:type="character" w:customStyle="1" w:styleId="519">
    <w:name w:val="标题 2 Char_0"/>
    <w:link w:val="520"/>
    <w:qFormat/>
    <w:uiPriority w:val="0"/>
    <w:rPr>
      <w:rFonts w:ascii="Cambria" w:hAnsi="Cambria"/>
      <w:b/>
      <w:bCs/>
      <w:sz w:val="32"/>
      <w:szCs w:val="32"/>
    </w:rPr>
  </w:style>
  <w:style w:type="paragraph" w:customStyle="1" w:styleId="520">
    <w:name w:val="标题 2_0"/>
    <w:basedOn w:val="374"/>
    <w:next w:val="374"/>
    <w:link w:val="519"/>
    <w:qFormat/>
    <w:uiPriority w:val="0"/>
    <w:pPr>
      <w:keepNext/>
      <w:keepLines/>
      <w:spacing w:before="260" w:after="260" w:line="416" w:lineRule="auto"/>
      <w:outlineLvl w:val="1"/>
    </w:pPr>
    <w:rPr>
      <w:rFonts w:ascii="Cambria" w:hAnsi="Cambria" w:cs="Times New Roman"/>
      <w:b/>
      <w:bCs/>
      <w:sz w:val="32"/>
      <w:szCs w:val="32"/>
    </w:rPr>
  </w:style>
  <w:style w:type="character" w:customStyle="1" w:styleId="521">
    <w:name w:val="rvts39"/>
    <w:link w:val="1"/>
    <w:qFormat/>
    <w:uiPriority w:val="0"/>
    <w:rPr>
      <w:rFonts w:ascii="KNLe" w:hAnsi="KNLe"/>
      <w:b/>
      <w:bCs/>
      <w:color w:val="000000"/>
      <w:spacing w:val="16"/>
      <w:sz w:val="24"/>
      <w:szCs w:val="24"/>
    </w:rPr>
  </w:style>
  <w:style w:type="character" w:customStyle="1" w:styleId="522">
    <w:name w:val="bookmark"/>
    <w:link w:val="1"/>
    <w:qFormat/>
    <w:uiPriority w:val="0"/>
  </w:style>
  <w:style w:type="character" w:customStyle="1" w:styleId="523">
    <w:name w:val="rvts33"/>
    <w:link w:val="1"/>
    <w:qFormat/>
    <w:uiPriority w:val="0"/>
    <w:rPr>
      <w:rFonts w:ascii="KNLe" w:hAnsi="KNLe"/>
      <w:b/>
      <w:bCs/>
      <w:color w:val="000000"/>
      <w:spacing w:val="16"/>
      <w:sz w:val="24"/>
      <w:szCs w:val="24"/>
    </w:rPr>
  </w:style>
  <w:style w:type="character" w:customStyle="1" w:styleId="524">
    <w:name w:val="rvts72"/>
    <w:link w:val="1"/>
    <w:qFormat/>
    <w:uiPriority w:val="0"/>
    <w:rPr>
      <w:rFonts w:ascii="KNLe" w:hAnsi="KNLe"/>
      <w:color w:val="000000"/>
      <w:sz w:val="24"/>
      <w:szCs w:val="24"/>
    </w:rPr>
  </w:style>
  <w:style w:type="character" w:customStyle="1" w:styleId="525">
    <w:name w:val="rvts50"/>
    <w:link w:val="1"/>
    <w:qFormat/>
    <w:uiPriority w:val="0"/>
    <w:rPr>
      <w:rFonts w:ascii="KNLe" w:hAnsi="KNLe"/>
      <w:color w:val="000000"/>
      <w:spacing w:val="16"/>
      <w:sz w:val="24"/>
      <w:szCs w:val="24"/>
    </w:rPr>
  </w:style>
  <w:style w:type="character" w:customStyle="1" w:styleId="526">
    <w:name w:val="rvts28"/>
    <w:link w:val="1"/>
    <w:qFormat/>
    <w:uiPriority w:val="0"/>
    <w:rPr>
      <w:rFonts w:ascii="KNLe" w:hAnsi="KNLe"/>
      <w:color w:val="000000"/>
      <w:u w:val="single"/>
    </w:rPr>
  </w:style>
  <w:style w:type="character" w:customStyle="1" w:styleId="527">
    <w:name w:val="副标题 Char1"/>
    <w:link w:val="1"/>
    <w:qFormat/>
    <w:uiPriority w:val="11"/>
    <w:rPr>
      <w:rFonts w:ascii="Cambria" w:hAnsi="Cambria" w:cs="Times New Roman"/>
      <w:b/>
      <w:bCs/>
      <w:sz w:val="32"/>
      <w:szCs w:val="32"/>
    </w:rPr>
  </w:style>
  <w:style w:type="character" w:customStyle="1" w:styleId="528">
    <w:name w:val="页眉 Char1"/>
    <w:link w:val="1"/>
    <w:qFormat/>
    <w:uiPriority w:val="99"/>
    <w:rPr>
      <w:rFonts w:ascii="Calibri" w:hAnsi="Calibri" w:eastAsia="宋体" w:cs="Times New Roman"/>
      <w:sz w:val="18"/>
      <w:szCs w:val="18"/>
    </w:rPr>
  </w:style>
  <w:style w:type="character" w:customStyle="1" w:styleId="529">
    <w:name w:val="rvts129"/>
    <w:link w:val="1"/>
    <w:qFormat/>
    <w:uiPriority w:val="0"/>
    <w:rPr>
      <w:rFonts w:hint="eastAsia" w:ascii="Arial Unicode MS" w:hAnsi="Arial Unicode MS" w:eastAsia="Arial Unicode MS" w:cs="Arial Unicode MS"/>
      <w:color w:val="000000"/>
      <w:sz w:val="30"/>
      <w:szCs w:val="30"/>
    </w:rPr>
  </w:style>
  <w:style w:type="character" w:customStyle="1" w:styleId="530">
    <w:name w:val="正文文本缩进 Char1"/>
    <w:link w:val="1"/>
    <w:qFormat/>
    <w:uiPriority w:val="99"/>
    <w:rPr>
      <w:rFonts w:ascii="宋体" w:hAnsi="宋体" w:eastAsia="宋体" w:cs="宋体"/>
      <w:lang w:val="zh-CN" w:eastAsia="zh-CN" w:bidi="zh-CN"/>
    </w:rPr>
  </w:style>
  <w:style w:type="character" w:customStyle="1" w:styleId="531">
    <w:name w:val="rvts25"/>
    <w:link w:val="1"/>
    <w:qFormat/>
    <w:uiPriority w:val="0"/>
    <w:rPr>
      <w:rFonts w:ascii="Calibri" w:hAnsi="Calibri"/>
      <w:sz w:val="22"/>
      <w:szCs w:val="22"/>
      <w:u w:val="single"/>
    </w:rPr>
  </w:style>
  <w:style w:type="character" w:customStyle="1" w:styleId="532">
    <w:name w:val="rvts46"/>
    <w:link w:val="1"/>
    <w:qFormat/>
    <w:uiPriority w:val="0"/>
    <w:rPr>
      <w:rFonts w:ascii="KNLe" w:hAnsi="KNLe"/>
      <w:color w:val="000000"/>
      <w:spacing w:val="16"/>
      <w:sz w:val="24"/>
      <w:szCs w:val="24"/>
    </w:rPr>
  </w:style>
  <w:style w:type="character" w:customStyle="1" w:styleId="533">
    <w:name w:val="rvts66"/>
    <w:link w:val="1"/>
    <w:qFormat/>
    <w:uiPriority w:val="0"/>
    <w:rPr>
      <w:rFonts w:ascii="KNLe" w:hAnsi="KNLe"/>
      <w:b/>
      <w:bCs/>
      <w:sz w:val="32"/>
      <w:szCs w:val="32"/>
    </w:rPr>
  </w:style>
  <w:style w:type="character" w:customStyle="1" w:styleId="534">
    <w:name w:val="rvts41"/>
    <w:link w:val="1"/>
    <w:qFormat/>
    <w:uiPriority w:val="0"/>
    <w:rPr>
      <w:rFonts w:ascii="KNLe" w:hAnsi="KNLe"/>
      <w:color w:val="000000"/>
      <w:spacing w:val="16"/>
      <w:sz w:val="24"/>
      <w:szCs w:val="24"/>
    </w:rPr>
  </w:style>
  <w:style w:type="character" w:customStyle="1" w:styleId="535">
    <w:name w:val="rvts117"/>
    <w:link w:val="1"/>
    <w:qFormat/>
    <w:uiPriority w:val="0"/>
    <w:rPr>
      <w:rFonts w:ascii="7bkn_gb2312" w:hAnsi="7bkn_gb2312"/>
      <w:color w:val="FF0000"/>
      <w:sz w:val="30"/>
      <w:szCs w:val="30"/>
      <w:u w:val="single"/>
    </w:rPr>
  </w:style>
  <w:style w:type="character" w:customStyle="1" w:styleId="536">
    <w:name w:val="称呼 Char1"/>
    <w:link w:val="1"/>
    <w:qFormat/>
    <w:uiPriority w:val="0"/>
  </w:style>
  <w:style w:type="character" w:customStyle="1" w:styleId="537">
    <w:name w:val="rvts52"/>
    <w:link w:val="1"/>
    <w:qFormat/>
    <w:uiPriority w:val="0"/>
    <w:rPr>
      <w:rFonts w:ascii="KNLe" w:hAnsi="KNLe"/>
      <w:b/>
      <w:bCs/>
      <w:sz w:val="22"/>
      <w:szCs w:val="22"/>
      <w:u w:val="single"/>
    </w:rPr>
  </w:style>
  <w:style w:type="character" w:customStyle="1" w:styleId="538">
    <w:name w:val="rvts47"/>
    <w:link w:val="1"/>
    <w:qFormat/>
    <w:uiPriority w:val="0"/>
    <w:rPr>
      <w:rFonts w:ascii="KNLe" w:hAnsi="KNLe"/>
      <w:color w:val="000000"/>
      <w:spacing w:val="16"/>
      <w:sz w:val="24"/>
      <w:szCs w:val="24"/>
    </w:rPr>
  </w:style>
  <w:style w:type="character" w:customStyle="1" w:styleId="539">
    <w:name w:val="文档结构图 Char1"/>
    <w:link w:val="1"/>
    <w:qFormat/>
    <w:uiPriority w:val="0"/>
    <w:rPr>
      <w:rFonts w:ascii="宋体" w:hAnsi="Calibri" w:eastAsia="宋体" w:cs="Times New Roman"/>
      <w:sz w:val="18"/>
      <w:szCs w:val="18"/>
    </w:rPr>
  </w:style>
  <w:style w:type="character" w:customStyle="1" w:styleId="540">
    <w:name w:val="font161"/>
    <w:link w:val="1"/>
    <w:qFormat/>
    <w:uiPriority w:val="0"/>
    <w:rPr>
      <w:b/>
      <w:sz w:val="32"/>
    </w:rPr>
  </w:style>
  <w:style w:type="character" w:customStyle="1" w:styleId="541">
    <w:name w:val="rvts143"/>
    <w:link w:val="1"/>
    <w:qFormat/>
    <w:uiPriority w:val="0"/>
    <w:rPr>
      <w:rFonts w:ascii="KNLe" w:hAnsi="KNLe"/>
      <w:shd w:val="clear" w:color="auto" w:fill="FFFF00"/>
    </w:rPr>
  </w:style>
  <w:style w:type="character" w:customStyle="1" w:styleId="542">
    <w:name w:val="rvts91"/>
    <w:link w:val="1"/>
    <w:qFormat/>
    <w:uiPriority w:val="0"/>
    <w:rPr>
      <w:rFonts w:ascii="KNLe" w:hAnsi="KNLe"/>
      <w:color w:val="000000"/>
      <w:sz w:val="24"/>
      <w:szCs w:val="24"/>
    </w:rPr>
  </w:style>
  <w:style w:type="character" w:customStyle="1" w:styleId="543">
    <w:name w:val="rvts89"/>
    <w:link w:val="1"/>
    <w:qFormat/>
    <w:uiPriority w:val="0"/>
    <w:rPr>
      <w:rFonts w:ascii="KNLe" w:hAnsi="KNLe"/>
      <w:color w:val="000000"/>
      <w:sz w:val="24"/>
      <w:szCs w:val="24"/>
    </w:rPr>
  </w:style>
  <w:style w:type="character" w:customStyle="1" w:styleId="544">
    <w:name w:val="rvts109"/>
    <w:link w:val="1"/>
    <w:qFormat/>
    <w:uiPriority w:val="0"/>
    <w:rPr>
      <w:rFonts w:ascii="7bkn_gb2312" w:hAnsi="7bkn_gb2312"/>
      <w:b/>
      <w:bCs/>
      <w:color w:val="000000"/>
      <w:sz w:val="30"/>
      <w:szCs w:val="30"/>
    </w:rPr>
  </w:style>
  <w:style w:type="character" w:customStyle="1" w:styleId="545">
    <w:name w:val="rvts23"/>
    <w:link w:val="1"/>
    <w:qFormat/>
    <w:uiPriority w:val="0"/>
    <w:rPr>
      <w:color w:val="000000"/>
      <w:sz w:val="24"/>
      <w:szCs w:val="24"/>
    </w:rPr>
  </w:style>
  <w:style w:type="character" w:customStyle="1" w:styleId="546">
    <w:name w:val="para_small"/>
    <w:link w:val="1"/>
    <w:qFormat/>
    <w:uiPriority w:val="99"/>
    <w:rPr>
      <w:rFonts w:cs="Times New Roman"/>
    </w:rPr>
  </w:style>
  <w:style w:type="character" w:customStyle="1" w:styleId="547">
    <w:name w:val="rvts110"/>
    <w:link w:val="1"/>
    <w:qFormat/>
    <w:uiPriority w:val="0"/>
    <w:rPr>
      <w:rFonts w:ascii="Times New Roman" w:hAnsi="Times New Roman" w:cs="Times New Roman"/>
      <w:b/>
      <w:bCs/>
      <w:color w:val="000000"/>
      <w:sz w:val="30"/>
      <w:szCs w:val="30"/>
      <w:u w:val="single"/>
    </w:rPr>
  </w:style>
  <w:style w:type="character" w:customStyle="1" w:styleId="548">
    <w:name w:val="正文文本 Char2"/>
    <w:link w:val="1"/>
    <w:qFormat/>
    <w:uiPriority w:val="99"/>
    <w:rPr>
      <w:rFonts w:ascii="Calibri" w:hAnsi="Calibri" w:eastAsia="宋体" w:cs="Times New Roman"/>
    </w:rPr>
  </w:style>
  <w:style w:type="character" w:customStyle="1" w:styleId="549">
    <w:name w:val="rvts138"/>
    <w:link w:val="1"/>
    <w:qFormat/>
    <w:uiPriority w:val="0"/>
    <w:rPr>
      <w:rFonts w:ascii="KNLe" w:hAnsi="KNLe"/>
      <w:b/>
      <w:bCs/>
      <w:color w:val="000000"/>
      <w:u w:val="single"/>
    </w:rPr>
  </w:style>
  <w:style w:type="character" w:customStyle="1" w:styleId="550">
    <w:name w:val="rvts86"/>
    <w:link w:val="1"/>
    <w:qFormat/>
    <w:uiPriority w:val="0"/>
    <w:rPr>
      <w:rFonts w:ascii="KNLe" w:hAnsi="KNLe"/>
      <w:sz w:val="24"/>
      <w:szCs w:val="24"/>
      <w:u w:val="single"/>
    </w:rPr>
  </w:style>
  <w:style w:type="character" w:customStyle="1" w:styleId="551">
    <w:name w:val="rvts15"/>
    <w:link w:val="1"/>
    <w:qFormat/>
    <w:uiPriority w:val="0"/>
    <w:rPr>
      <w:rFonts w:ascii="KNLe" w:hAnsi="KNLe"/>
      <w:color w:val="000000"/>
      <w:sz w:val="24"/>
      <w:szCs w:val="24"/>
    </w:rPr>
  </w:style>
  <w:style w:type="character" w:customStyle="1" w:styleId="552">
    <w:name w:val="页眉 Char2"/>
    <w:link w:val="1"/>
    <w:qFormat/>
    <w:uiPriority w:val="0"/>
    <w:rPr>
      <w:rFonts w:eastAsia="宋体" w:cs="Times New Roman"/>
      <w:sz w:val="18"/>
      <w:lang w:val="en-US" w:eastAsia="zh-CN" w:bidi="ar-SA"/>
    </w:rPr>
  </w:style>
  <w:style w:type="character" w:customStyle="1" w:styleId="553">
    <w:name w:val="rvts19"/>
    <w:link w:val="1"/>
    <w:qFormat/>
    <w:uiPriority w:val="0"/>
    <w:rPr>
      <w:rFonts w:ascii="KNLe" w:hAnsi="KNLe"/>
      <w:color w:val="000000"/>
      <w:sz w:val="22"/>
      <w:szCs w:val="22"/>
      <w:u w:val="single"/>
    </w:rPr>
  </w:style>
  <w:style w:type="character" w:customStyle="1" w:styleId="554">
    <w:name w:val="批注框文本 Char3"/>
    <w:link w:val="1"/>
    <w:qFormat/>
    <w:uiPriority w:val="99"/>
    <w:rPr>
      <w:rFonts w:ascii="宋体" w:hAnsi="宋体" w:eastAsia="宋体" w:cs="宋体"/>
      <w:sz w:val="18"/>
      <w:szCs w:val="18"/>
      <w:lang w:val="zh-CN" w:eastAsia="zh-CN" w:bidi="zh-CN"/>
    </w:rPr>
  </w:style>
  <w:style w:type="character" w:customStyle="1" w:styleId="555">
    <w:name w:val="标题 Char3"/>
    <w:link w:val="1"/>
    <w:qFormat/>
    <w:uiPriority w:val="10"/>
    <w:rPr>
      <w:rFonts w:ascii="Cambria" w:hAnsi="Cambria" w:eastAsia="宋体" w:cs="Times New Roman"/>
      <w:b/>
      <w:bCs/>
      <w:sz w:val="32"/>
      <w:szCs w:val="32"/>
      <w:lang w:val="zh-CN" w:eastAsia="zh-CN" w:bidi="zh-CN"/>
    </w:rPr>
  </w:style>
  <w:style w:type="character" w:customStyle="1" w:styleId="556">
    <w:name w:val="rvts162"/>
    <w:link w:val="1"/>
    <w:qFormat/>
    <w:uiPriority w:val="0"/>
    <w:rPr>
      <w:rFonts w:ascii="KNLe" w:hAnsi="KNLe"/>
      <w:color w:val="000000"/>
      <w:shd w:val="clear" w:color="auto" w:fill="FFFF00"/>
    </w:rPr>
  </w:style>
  <w:style w:type="character" w:customStyle="1" w:styleId="557">
    <w:name w:val="标题 Char Char"/>
    <w:link w:val="1"/>
    <w:qFormat/>
    <w:uiPriority w:val="0"/>
    <w:rPr>
      <w:rFonts w:ascii="Cambria" w:hAnsi="Cambria" w:eastAsia="宋体" w:cs="Times New Roman"/>
      <w:b/>
      <w:bCs/>
      <w:sz w:val="32"/>
      <w:szCs w:val="32"/>
    </w:rPr>
  </w:style>
  <w:style w:type="character" w:customStyle="1" w:styleId="558">
    <w:name w:val="rvts14"/>
    <w:link w:val="1"/>
    <w:qFormat/>
    <w:uiPriority w:val="0"/>
    <w:rPr>
      <w:rFonts w:ascii="Times New Roman" w:hAnsi="Times New Roman" w:cs="Times New Roman"/>
      <w:color w:val="000000"/>
      <w:sz w:val="24"/>
      <w:szCs w:val="24"/>
    </w:rPr>
  </w:style>
  <w:style w:type="character" w:customStyle="1" w:styleId="559">
    <w:name w:val="rvts151"/>
    <w:link w:val="1"/>
    <w:qFormat/>
    <w:uiPriority w:val="0"/>
    <w:rPr>
      <w:rFonts w:ascii="KNLe" w:hAnsi="KNLe"/>
      <w:color w:val="FF0000"/>
    </w:rPr>
  </w:style>
  <w:style w:type="character" w:customStyle="1" w:styleId="560">
    <w:name w:val="rvts103"/>
    <w:link w:val="1"/>
    <w:qFormat/>
    <w:uiPriority w:val="0"/>
    <w:rPr>
      <w:rFonts w:ascii="Times New Roman" w:hAnsi="Times New Roman" w:cs="Times New Roman"/>
      <w:sz w:val="30"/>
      <w:szCs w:val="30"/>
    </w:rPr>
  </w:style>
  <w:style w:type="character" w:customStyle="1" w:styleId="561">
    <w:name w:val="rvts121"/>
    <w:link w:val="1"/>
    <w:qFormat/>
    <w:uiPriority w:val="0"/>
    <w:rPr>
      <w:rFonts w:ascii=":ZLe" w:hAnsi=":ZLe"/>
      <w:b/>
      <w:bCs/>
      <w:color w:val="000000"/>
      <w:sz w:val="32"/>
      <w:szCs w:val="32"/>
    </w:rPr>
  </w:style>
  <w:style w:type="character" w:customStyle="1" w:styleId="562">
    <w:name w:val="二级目录 Char Char"/>
    <w:link w:val="563"/>
    <w:qFormat/>
    <w:uiPriority w:val="0"/>
    <w:rPr>
      <w:b/>
      <w:sz w:val="30"/>
      <w:szCs w:val="28"/>
      <w:lang w:val="en-US" w:eastAsia="en-US" w:bidi="ar-SA"/>
    </w:rPr>
  </w:style>
  <w:style w:type="paragraph" w:customStyle="1" w:styleId="563">
    <w:name w:val="二级目录"/>
    <w:next w:val="1"/>
    <w:link w:val="562"/>
    <w:qFormat/>
    <w:uiPriority w:val="0"/>
    <w:pPr>
      <w:tabs>
        <w:tab w:val="left" w:pos="720"/>
      </w:tabs>
      <w:ind w:left="567" w:hanging="567"/>
      <w:outlineLvl w:val="1"/>
    </w:pPr>
    <w:rPr>
      <w:rFonts w:hint="default" w:ascii="Times New Roman" w:hAnsi="Times New Roman" w:eastAsia="宋体" w:cs="Times New Roman"/>
      <w:b/>
      <w:sz w:val="30"/>
      <w:szCs w:val="28"/>
      <w:lang w:val="en-US" w:eastAsia="en-US" w:bidi="ar-SA"/>
    </w:rPr>
  </w:style>
  <w:style w:type="character" w:customStyle="1" w:styleId="564">
    <w:name w:val="rvts161"/>
    <w:link w:val="1"/>
    <w:qFormat/>
    <w:uiPriority w:val="0"/>
    <w:rPr>
      <w:rFonts w:ascii="KNLe" w:hAnsi="KNLe"/>
      <w:color w:val="000000"/>
      <w:u w:val="single"/>
      <w:shd w:val="clear" w:color="auto" w:fill="FFFF00"/>
    </w:rPr>
  </w:style>
  <w:style w:type="character" w:customStyle="1" w:styleId="565">
    <w:name w:val="rvts102"/>
    <w:link w:val="1"/>
    <w:qFormat/>
    <w:uiPriority w:val="0"/>
    <w:rPr>
      <w:rFonts w:ascii="Times New Roman" w:hAnsi="Times New Roman" w:cs="Times New Roman"/>
      <w:spacing w:val="33"/>
      <w:sz w:val="28"/>
      <w:szCs w:val="28"/>
      <w:u w:val="none"/>
    </w:rPr>
  </w:style>
  <w:style w:type="character" w:customStyle="1" w:styleId="566">
    <w:name w:val="rvts128"/>
    <w:link w:val="1"/>
    <w:qFormat/>
    <w:uiPriority w:val="0"/>
    <w:rPr>
      <w:rFonts w:ascii="Times New Roman" w:hAnsi="Times New Roman" w:cs="Times New Roman"/>
      <w:sz w:val="30"/>
      <w:szCs w:val="30"/>
      <w:u w:val="single"/>
    </w:rPr>
  </w:style>
  <w:style w:type="character" w:customStyle="1" w:styleId="567">
    <w:name w:val="日期 Char2"/>
    <w:link w:val="1"/>
    <w:qFormat/>
    <w:uiPriority w:val="99"/>
    <w:rPr>
      <w:rFonts w:ascii="Calibri" w:hAnsi="Calibri" w:eastAsia="宋体" w:cs="Times New Roman"/>
    </w:rPr>
  </w:style>
  <w:style w:type="character" w:customStyle="1" w:styleId="568">
    <w:name w:val="rvts54"/>
    <w:link w:val="1"/>
    <w:qFormat/>
    <w:uiPriority w:val="0"/>
    <w:rPr>
      <w:rFonts w:ascii="Times New Roman" w:hAnsi="Times New Roman" w:cs="Times New Roman"/>
      <w:b/>
      <w:bCs/>
      <w:sz w:val="36"/>
      <w:szCs w:val="36"/>
    </w:rPr>
  </w:style>
  <w:style w:type="character" w:customStyle="1" w:styleId="569">
    <w:name w:val="rvts31"/>
    <w:link w:val="1"/>
    <w:qFormat/>
    <w:uiPriority w:val="0"/>
    <w:rPr>
      <w:rFonts w:ascii="KNLe" w:hAnsi="KNLe"/>
      <w:b/>
      <w:bCs/>
    </w:rPr>
  </w:style>
  <w:style w:type="character" w:customStyle="1" w:styleId="570">
    <w:name w:val="rvts56"/>
    <w:link w:val="1"/>
    <w:qFormat/>
    <w:uiPriority w:val="0"/>
    <w:rPr>
      <w:rFonts w:ascii="KNLe" w:hAnsi="KNLe"/>
      <w:color w:val="000000"/>
      <w:sz w:val="30"/>
      <w:szCs w:val="30"/>
    </w:rPr>
  </w:style>
  <w:style w:type="character" w:customStyle="1" w:styleId="571">
    <w:name w:val="rvts27"/>
    <w:link w:val="1"/>
    <w:qFormat/>
    <w:uiPriority w:val="0"/>
    <w:rPr>
      <w:rFonts w:ascii="KNLe" w:hAnsi="KNLe"/>
      <w:b/>
      <w:bCs/>
      <w:sz w:val="24"/>
      <w:szCs w:val="24"/>
    </w:rPr>
  </w:style>
  <w:style w:type="character" w:customStyle="1" w:styleId="572">
    <w:name w:val="rvts63"/>
    <w:link w:val="1"/>
    <w:qFormat/>
    <w:uiPriority w:val="0"/>
    <w:rPr>
      <w:rFonts w:ascii=";*NDVPKN" w:hAnsi=";*NDVPKN"/>
      <w:b/>
      <w:bCs/>
      <w:sz w:val="52"/>
      <w:szCs w:val="52"/>
    </w:rPr>
  </w:style>
  <w:style w:type="character" w:customStyle="1" w:styleId="573">
    <w:name w:val="15"/>
    <w:link w:val="1"/>
    <w:qFormat/>
    <w:uiPriority w:val="0"/>
    <w:rPr>
      <w:rFonts w:ascii="Times New Roman" w:hAnsi="Times New Roman" w:cs="Times New Roman"/>
      <w:color w:val="0000FF"/>
      <w:u w:val="single"/>
    </w:rPr>
  </w:style>
  <w:style w:type="character" w:customStyle="1" w:styleId="574">
    <w:name w:val="rvts116"/>
    <w:link w:val="1"/>
    <w:qFormat/>
    <w:uiPriority w:val="0"/>
    <w:rPr>
      <w:rFonts w:ascii="Times New Roman" w:hAnsi="Times New Roman" w:cs="Times New Roman"/>
      <w:color w:val="000000"/>
      <w:sz w:val="30"/>
      <w:szCs w:val="30"/>
    </w:rPr>
  </w:style>
  <w:style w:type="character" w:customStyle="1" w:styleId="575">
    <w:name w:val="rvts32"/>
    <w:link w:val="1"/>
    <w:qFormat/>
    <w:uiPriority w:val="0"/>
    <w:rPr>
      <w:rFonts w:ascii="KNLe" w:hAnsi="KNLe"/>
      <w:b/>
      <w:bCs/>
      <w:color w:val="000000"/>
      <w:spacing w:val="16"/>
      <w:sz w:val="24"/>
      <w:szCs w:val="24"/>
    </w:rPr>
  </w:style>
  <w:style w:type="character" w:customStyle="1" w:styleId="576">
    <w:name w:val="文档结构图 Char3"/>
    <w:link w:val="1"/>
    <w:qFormat/>
    <w:uiPriority w:val="99"/>
    <w:rPr>
      <w:rFonts w:ascii="宋体" w:hAnsi="宋体" w:eastAsia="宋体" w:cs="宋体"/>
      <w:sz w:val="18"/>
      <w:szCs w:val="18"/>
      <w:lang w:val="zh-CN" w:eastAsia="zh-CN" w:bidi="zh-CN"/>
    </w:rPr>
  </w:style>
  <w:style w:type="character" w:customStyle="1" w:styleId="577">
    <w:name w:val="标题 5 Char_0"/>
    <w:link w:val="578"/>
    <w:qFormat/>
    <w:uiPriority w:val="0"/>
    <w:rPr>
      <w:rFonts w:ascii="Calibri" w:hAnsi="Calibri"/>
      <w:b/>
      <w:bCs/>
      <w:sz w:val="28"/>
      <w:szCs w:val="28"/>
    </w:rPr>
  </w:style>
  <w:style w:type="paragraph" w:customStyle="1" w:styleId="578">
    <w:name w:val="标题 5_0"/>
    <w:basedOn w:val="374"/>
    <w:next w:val="374"/>
    <w:link w:val="577"/>
    <w:qFormat/>
    <w:uiPriority w:val="0"/>
    <w:pPr>
      <w:keepNext/>
      <w:keepLines/>
      <w:spacing w:before="280" w:after="290" w:line="372" w:lineRule="auto"/>
      <w:outlineLvl w:val="4"/>
    </w:pPr>
    <w:rPr>
      <w:rFonts w:cs="Times New Roman"/>
      <w:b/>
      <w:bCs/>
      <w:sz w:val="28"/>
      <w:szCs w:val="28"/>
    </w:rPr>
  </w:style>
  <w:style w:type="character" w:customStyle="1" w:styleId="579">
    <w:name w:val="正文文本 Char_0"/>
    <w:link w:val="580"/>
    <w:qFormat/>
    <w:uiPriority w:val="0"/>
    <w:rPr>
      <w:szCs w:val="24"/>
    </w:rPr>
  </w:style>
  <w:style w:type="paragraph" w:customStyle="1" w:styleId="580">
    <w:name w:val="正文文本_0"/>
    <w:basedOn w:val="374"/>
    <w:link w:val="579"/>
    <w:qFormat/>
    <w:uiPriority w:val="0"/>
    <w:pPr>
      <w:spacing w:after="120"/>
    </w:pPr>
    <w:rPr>
      <w:rFonts w:ascii="Times New Roman" w:hAnsi="Times New Roman" w:cs="Times New Roman"/>
      <w:sz w:val="20"/>
    </w:rPr>
  </w:style>
  <w:style w:type="character" w:customStyle="1" w:styleId="581">
    <w:name w:val="rvts141"/>
    <w:link w:val="1"/>
    <w:qFormat/>
    <w:uiPriority w:val="0"/>
    <w:rPr>
      <w:rFonts w:ascii="KNLe" w:hAnsi="KNLe"/>
      <w:color w:val="FF0000"/>
    </w:rPr>
  </w:style>
  <w:style w:type="character" w:customStyle="1" w:styleId="582">
    <w:name w:val="rvts84"/>
    <w:link w:val="1"/>
    <w:qFormat/>
    <w:uiPriority w:val="0"/>
    <w:rPr>
      <w:rFonts w:ascii="KNLe" w:hAnsi="KNLe"/>
      <w:color w:val="000000"/>
      <w:spacing w:val="-16"/>
      <w:sz w:val="24"/>
      <w:szCs w:val="24"/>
    </w:rPr>
  </w:style>
  <w:style w:type="character" w:customStyle="1" w:styleId="583">
    <w:name w:val="页脚 Char2"/>
    <w:link w:val="1"/>
    <w:qFormat/>
    <w:uiPriority w:val="99"/>
    <w:rPr>
      <w:rFonts w:eastAsia="宋体" w:cs="Times New Roman"/>
      <w:sz w:val="18"/>
      <w:lang w:val="en-US" w:eastAsia="zh-CN" w:bidi="ar-SA"/>
    </w:rPr>
  </w:style>
  <w:style w:type="character" w:customStyle="1" w:styleId="584">
    <w:name w:val="正文文本 Char1"/>
    <w:link w:val="1"/>
    <w:qFormat/>
    <w:uiPriority w:val="0"/>
    <w:rPr>
      <w:rFonts w:ascii="Calibri" w:hAnsi="Calibri" w:eastAsia="宋体" w:cs="Times New Roman"/>
    </w:rPr>
  </w:style>
  <w:style w:type="character" w:customStyle="1" w:styleId="585">
    <w:name w:val="rvts17"/>
    <w:link w:val="1"/>
    <w:qFormat/>
    <w:uiPriority w:val="0"/>
    <w:rPr>
      <w:rFonts w:ascii="KNLe" w:hAnsi="KNLe"/>
      <w:color w:val="000000"/>
      <w:sz w:val="24"/>
      <w:szCs w:val="24"/>
      <w:u w:val="single"/>
    </w:rPr>
  </w:style>
  <w:style w:type="character" w:customStyle="1" w:styleId="586">
    <w:name w:val="rvts29"/>
    <w:link w:val="1"/>
    <w:qFormat/>
    <w:uiPriority w:val="0"/>
    <w:rPr>
      <w:rFonts w:ascii="KNLe" w:hAnsi="KNLe"/>
      <w:b/>
      <w:bCs/>
      <w:color w:val="000000"/>
      <w:spacing w:val="16"/>
      <w:sz w:val="24"/>
      <w:szCs w:val="24"/>
    </w:rPr>
  </w:style>
  <w:style w:type="character" w:customStyle="1" w:styleId="587">
    <w:name w:val="rvts150"/>
    <w:link w:val="1"/>
    <w:qFormat/>
    <w:uiPriority w:val="0"/>
    <w:rPr>
      <w:rFonts w:ascii="KNLe" w:hAnsi="KNLe"/>
      <w:b/>
      <w:bCs/>
      <w:color w:val="000000"/>
    </w:rPr>
  </w:style>
  <w:style w:type="character" w:customStyle="1" w:styleId="588">
    <w:name w:val="正文文本 2 Char1"/>
    <w:link w:val="1"/>
    <w:qFormat/>
    <w:uiPriority w:val="99"/>
    <w:rPr>
      <w:rFonts w:ascii="宋体" w:hAnsi="宋体" w:eastAsia="宋体" w:cs="宋体"/>
      <w:lang w:val="zh-CN" w:eastAsia="zh-CN" w:bidi="zh-CN"/>
    </w:rPr>
  </w:style>
  <w:style w:type="character" w:customStyle="1" w:styleId="589">
    <w:name w:val="rvts30"/>
    <w:link w:val="1"/>
    <w:qFormat/>
    <w:uiPriority w:val="0"/>
    <w:rPr>
      <w:rFonts w:ascii="Times New Roman" w:hAnsi="Times New Roman" w:cs="Times New Roman"/>
    </w:rPr>
  </w:style>
  <w:style w:type="character" w:customStyle="1" w:styleId="590">
    <w:name w:val="引用 Char2"/>
    <w:link w:val="1"/>
    <w:qFormat/>
    <w:uiPriority w:val="29"/>
    <w:rPr>
      <w:i/>
      <w:iCs/>
      <w:color w:val="000000"/>
      <w:sz w:val="21"/>
    </w:rPr>
  </w:style>
  <w:style w:type="character" w:customStyle="1" w:styleId="591">
    <w:name w:val="rvts5"/>
    <w:link w:val="1"/>
    <w:qFormat/>
    <w:uiPriority w:val="0"/>
    <w:rPr>
      <w:color w:val="008000"/>
      <w:u w:val="single"/>
    </w:rPr>
  </w:style>
  <w:style w:type="character" w:customStyle="1" w:styleId="592">
    <w:name w:val="正文首行缩进 Char1"/>
    <w:link w:val="1"/>
    <w:qFormat/>
    <w:uiPriority w:val="0"/>
    <w:rPr>
      <w:rFonts w:ascii="宋体" w:hAnsi="宋体" w:eastAsia="宋体" w:cs="宋体"/>
      <w:sz w:val="24"/>
      <w:szCs w:val="24"/>
      <w:lang w:val="zh-CN" w:eastAsia="zh-CN" w:bidi="zh-CN"/>
    </w:rPr>
  </w:style>
  <w:style w:type="character" w:customStyle="1" w:styleId="593">
    <w:name w:val="rvts59"/>
    <w:link w:val="1"/>
    <w:qFormat/>
    <w:uiPriority w:val="0"/>
    <w:rPr>
      <w:rFonts w:ascii="7bkn_gb2312" w:hAnsi="7bkn_gb2312"/>
      <w:sz w:val="32"/>
      <w:szCs w:val="32"/>
    </w:rPr>
  </w:style>
  <w:style w:type="character" w:customStyle="1" w:styleId="594">
    <w:name w:val="rvts38"/>
    <w:link w:val="1"/>
    <w:qFormat/>
    <w:uiPriority w:val="0"/>
    <w:rPr>
      <w:rFonts w:ascii="KNLe" w:hAnsi="KNLe"/>
      <w:b/>
      <w:bCs/>
      <w:color w:val="000000"/>
      <w:spacing w:val="16"/>
      <w:sz w:val="24"/>
      <w:szCs w:val="24"/>
    </w:rPr>
  </w:style>
  <w:style w:type="character" w:customStyle="1" w:styleId="595">
    <w:name w:val="rvts37"/>
    <w:link w:val="1"/>
    <w:qFormat/>
    <w:uiPriority w:val="0"/>
    <w:rPr>
      <w:rFonts w:ascii="KNLe" w:hAnsi="KNLe"/>
      <w:b/>
      <w:bCs/>
      <w:color w:val="000000"/>
      <w:spacing w:val="16"/>
      <w:sz w:val="24"/>
      <w:szCs w:val="24"/>
    </w:rPr>
  </w:style>
  <w:style w:type="character" w:customStyle="1" w:styleId="596">
    <w:name w:val="批注主题 Char2"/>
    <w:link w:val="1"/>
    <w:qFormat/>
    <w:uiPriority w:val="99"/>
    <w:rPr>
      <w:b/>
      <w:bCs/>
      <w:sz w:val="21"/>
    </w:rPr>
  </w:style>
  <w:style w:type="character" w:customStyle="1" w:styleId="597">
    <w:name w:val="批注框文本 Char2"/>
    <w:link w:val="1"/>
    <w:qFormat/>
    <w:uiPriority w:val="99"/>
    <w:rPr>
      <w:rFonts w:ascii="Calibri" w:hAnsi="Calibri" w:eastAsia="宋体" w:cs="Times New Roman"/>
      <w:sz w:val="18"/>
      <w:szCs w:val="18"/>
    </w:rPr>
  </w:style>
  <w:style w:type="character" w:customStyle="1" w:styleId="598">
    <w:name w:val="rvts24"/>
    <w:link w:val="1"/>
    <w:qFormat/>
    <w:uiPriority w:val="0"/>
    <w:rPr>
      <w:rFonts w:ascii="KNLe" w:hAnsi="KNLe"/>
      <w:b/>
      <w:bCs/>
      <w:sz w:val="24"/>
      <w:szCs w:val="24"/>
    </w:rPr>
  </w:style>
  <w:style w:type="character" w:customStyle="1" w:styleId="599">
    <w:name w:val="正文文本 3 Char2"/>
    <w:link w:val="1"/>
    <w:qFormat/>
    <w:uiPriority w:val="99"/>
    <w:rPr>
      <w:rFonts w:ascii="宋体" w:hAnsi="宋体" w:eastAsia="宋体" w:cs="宋体"/>
      <w:sz w:val="16"/>
      <w:szCs w:val="16"/>
      <w:lang w:val="zh-CN" w:eastAsia="zh-CN" w:bidi="zh-CN"/>
    </w:rPr>
  </w:style>
  <w:style w:type="character" w:customStyle="1" w:styleId="600">
    <w:name w:val="称呼 Char2"/>
    <w:link w:val="1"/>
    <w:qFormat/>
    <w:uiPriority w:val="99"/>
    <w:rPr>
      <w:rFonts w:ascii="宋体" w:hAnsi="宋体" w:eastAsia="宋体" w:cs="宋体"/>
      <w:lang w:val="zh-CN" w:eastAsia="zh-CN" w:bidi="zh-CN"/>
    </w:rPr>
  </w:style>
  <w:style w:type="character" w:customStyle="1" w:styleId="601">
    <w:name w:val="point_normal1"/>
    <w:link w:val="1"/>
    <w:qFormat/>
    <w:uiPriority w:val="99"/>
    <w:rPr>
      <w:rFonts w:ascii="Arial" w:hAnsi="Arial" w:cs="Arial"/>
      <w:sz w:val="18"/>
      <w:szCs w:val="18"/>
    </w:rPr>
  </w:style>
  <w:style w:type="character" w:customStyle="1" w:styleId="602">
    <w:name w:val="rvts111"/>
    <w:link w:val="1"/>
    <w:qFormat/>
    <w:uiPriority w:val="0"/>
    <w:rPr>
      <w:rFonts w:ascii="KNLe" w:hAnsi="KNLe"/>
      <w:color w:val="0D6FFF"/>
      <w:sz w:val="24"/>
      <w:szCs w:val="24"/>
      <w:u w:val="single"/>
    </w:rPr>
  </w:style>
  <w:style w:type="character" w:customStyle="1" w:styleId="603">
    <w:name w:val="引用 Char"/>
    <w:link w:val="1"/>
    <w:qFormat/>
    <w:uiPriority w:val="0"/>
    <w:rPr>
      <w:i/>
      <w:iCs/>
      <w:color w:val="000000"/>
    </w:rPr>
  </w:style>
  <w:style w:type="paragraph" w:customStyle="1" w:styleId="604">
    <w:name w:val="引用"/>
    <w:basedOn w:val="1"/>
    <w:next w:val="1"/>
    <w:link w:val="605"/>
    <w:qFormat/>
    <w:uiPriority w:val="99"/>
    <w:rPr>
      <w:i/>
      <w:iCs/>
      <w:color w:val="000000"/>
    </w:rPr>
  </w:style>
  <w:style w:type="character" w:customStyle="1" w:styleId="605">
    <w:name w:val="引用 字符"/>
    <w:link w:val="604"/>
    <w:semiHidden/>
    <w:qFormat/>
    <w:uiPriority w:val="99"/>
    <w:rPr>
      <w:i/>
      <w:iCs/>
      <w:color w:val="000000"/>
      <w:sz w:val="24"/>
      <w:szCs w:val="24"/>
      <w:lang w:eastAsia="en-US"/>
    </w:rPr>
  </w:style>
  <w:style w:type="paragraph" w:customStyle="1" w:styleId="606">
    <w:name w:val="引用1"/>
    <w:basedOn w:val="1"/>
    <w:next w:val="1"/>
    <w:qFormat/>
    <w:uiPriority w:val="0"/>
    <w:pPr>
      <w:widowControl w:val="0"/>
      <w:jc w:val="both"/>
    </w:pPr>
    <w:rPr>
      <w:rFonts w:ascii="Calibri" w:hAnsi="Calibri"/>
      <w:i/>
      <w:iCs/>
      <w:color w:val="000000"/>
      <w:sz w:val="21"/>
      <w:szCs w:val="22"/>
      <w:lang w:eastAsia="zh-CN"/>
    </w:rPr>
  </w:style>
  <w:style w:type="character" w:customStyle="1" w:styleId="607">
    <w:name w:val="引用 Char1"/>
    <w:link w:val="1"/>
    <w:qFormat/>
    <w:uiPriority w:val="99"/>
    <w:rPr>
      <w:rFonts w:ascii="Times New Roman" w:hAnsi="Times New Roman" w:eastAsia="Times New Roman" w:cs="Times New Roman"/>
      <w:i/>
      <w:iCs/>
      <w:color w:val="000000"/>
      <w:sz w:val="24"/>
      <w:szCs w:val="24"/>
      <w:lang w:eastAsia="en-US" w:bidi="en-US"/>
    </w:rPr>
  </w:style>
  <w:style w:type="character" w:customStyle="1" w:styleId="608">
    <w:name w:val="标题 2 Char Char"/>
    <w:link w:val="1"/>
    <w:qFormat/>
    <w:uiPriority w:val="0"/>
    <w:rPr>
      <w:rFonts w:ascii="Cambria" w:hAnsi="Cambria" w:eastAsia="宋体" w:cs="Times New Roman"/>
      <w:b/>
      <w:bCs/>
      <w:sz w:val="32"/>
      <w:szCs w:val="32"/>
      <w:lang w:val="zh-CN" w:eastAsia="zh-CN" w:bidi="zh-CN"/>
    </w:rPr>
  </w:style>
  <w:style w:type="character" w:customStyle="1" w:styleId="609">
    <w:name w:val="rvts140"/>
    <w:link w:val="1"/>
    <w:qFormat/>
    <w:uiPriority w:val="0"/>
    <w:rPr>
      <w:rFonts w:ascii="KNLe" w:hAnsi="KNLe"/>
      <w:b/>
      <w:bCs/>
    </w:rPr>
  </w:style>
  <w:style w:type="character" w:customStyle="1" w:styleId="610">
    <w:name w:val="正文文本缩进 2 Char1"/>
    <w:link w:val="1"/>
    <w:qFormat/>
    <w:uiPriority w:val="99"/>
    <w:rPr>
      <w:rFonts w:ascii="宋体" w:hAnsi="宋体" w:eastAsia="宋体" w:cs="宋体"/>
      <w:lang w:val="zh-CN" w:eastAsia="zh-CN" w:bidi="zh-CN"/>
    </w:rPr>
  </w:style>
  <w:style w:type="character" w:customStyle="1" w:styleId="611">
    <w:name w:val="rvts12"/>
    <w:link w:val="1"/>
    <w:qFormat/>
    <w:uiPriority w:val="0"/>
    <w:rPr>
      <w:rFonts w:ascii="Verdana" w:hAnsi="Verdana"/>
      <w:sz w:val="22"/>
      <w:szCs w:val="22"/>
    </w:rPr>
  </w:style>
  <w:style w:type="character" w:customStyle="1" w:styleId="612">
    <w:name w:val="rvts34"/>
    <w:link w:val="1"/>
    <w:qFormat/>
    <w:uiPriority w:val="0"/>
    <w:rPr>
      <w:rFonts w:ascii="KNLe" w:hAnsi="KNLe"/>
      <w:spacing w:val="16"/>
      <w:sz w:val="24"/>
      <w:szCs w:val="24"/>
    </w:rPr>
  </w:style>
  <w:style w:type="character" w:customStyle="1" w:styleId="613">
    <w:name w:val="不明显强调1"/>
    <w:link w:val="1"/>
    <w:qFormat/>
    <w:uiPriority w:val="0"/>
    <w:rPr>
      <w:i/>
      <w:iCs/>
      <w:color w:val="808080"/>
    </w:rPr>
  </w:style>
  <w:style w:type="character" w:customStyle="1" w:styleId="614">
    <w:name w:val="标题 Char1"/>
    <w:link w:val="1"/>
    <w:qFormat/>
    <w:uiPriority w:val="10"/>
    <w:rPr>
      <w:rFonts w:ascii="Cambria" w:hAnsi="Cambria" w:eastAsia="宋体" w:cs="Times New Roman"/>
      <w:b/>
      <w:bCs/>
      <w:sz w:val="32"/>
      <w:szCs w:val="32"/>
    </w:rPr>
  </w:style>
  <w:style w:type="character" w:customStyle="1" w:styleId="615">
    <w:name w:val="超链接_0"/>
    <w:link w:val="1"/>
    <w:qFormat/>
    <w:uiPriority w:val="99"/>
    <w:rPr>
      <w:rFonts w:ascii="Calibri" w:hAnsi="Calibri"/>
      <w:color w:val="0000FF"/>
      <w:u w:val="single"/>
    </w:rPr>
  </w:style>
  <w:style w:type="character" w:customStyle="1" w:styleId="616">
    <w:name w:val="rvts160"/>
    <w:link w:val="1"/>
    <w:qFormat/>
    <w:uiPriority w:val="0"/>
    <w:rPr>
      <w:rFonts w:ascii="KNLe" w:hAnsi="KNLe"/>
      <w:color w:val="000000"/>
      <w:u w:val="single"/>
      <w:shd w:val="clear" w:color="auto" w:fill="FFFF00"/>
    </w:rPr>
  </w:style>
  <w:style w:type="character" w:customStyle="1" w:styleId="617">
    <w:name w:val="rvts148"/>
    <w:link w:val="1"/>
    <w:qFormat/>
    <w:uiPriority w:val="0"/>
    <w:rPr>
      <w:rFonts w:ascii="KNLe" w:hAnsi="KNLe"/>
      <w:b/>
      <w:bCs/>
      <w:color w:val="0000FF"/>
      <w:u w:val="single"/>
    </w:rPr>
  </w:style>
  <w:style w:type="character" w:customStyle="1" w:styleId="618">
    <w:name w:val="rvts106"/>
    <w:link w:val="1"/>
    <w:qFormat/>
    <w:uiPriority w:val="0"/>
    <w:rPr>
      <w:rFonts w:ascii="Times New Roman" w:hAnsi="Times New Roman" w:cs="Times New Roman"/>
      <w:color w:val="0000FF"/>
      <w:u w:val="single"/>
    </w:rPr>
  </w:style>
  <w:style w:type="character" w:customStyle="1" w:styleId="619">
    <w:name w:val="rvts134"/>
    <w:link w:val="1"/>
    <w:qFormat/>
    <w:uiPriority w:val="0"/>
    <w:rPr>
      <w:rFonts w:ascii="*ndvpkn" w:hAnsi="*ndvpkn"/>
      <w:b/>
      <w:bCs/>
      <w:sz w:val="44"/>
      <w:szCs w:val="44"/>
    </w:rPr>
  </w:style>
  <w:style w:type="character" w:customStyle="1" w:styleId="620">
    <w:name w:val="rvts153"/>
    <w:link w:val="1"/>
    <w:qFormat/>
    <w:uiPriority w:val="0"/>
    <w:rPr>
      <w:rFonts w:ascii="KNLe" w:hAnsi="KNLe"/>
      <w:shd w:val="clear" w:color="auto" w:fill="FFFF00"/>
    </w:rPr>
  </w:style>
  <w:style w:type="character" w:customStyle="1" w:styleId="621">
    <w:name w:val="rvts44"/>
    <w:link w:val="1"/>
    <w:qFormat/>
    <w:uiPriority w:val="0"/>
    <w:rPr>
      <w:rFonts w:ascii="KNLe" w:hAnsi="KNLe"/>
      <w:color w:val="000000"/>
      <w:spacing w:val="16"/>
      <w:sz w:val="24"/>
      <w:szCs w:val="24"/>
    </w:rPr>
  </w:style>
  <w:style w:type="character" w:customStyle="1" w:styleId="622">
    <w:name w:val="rvts149"/>
    <w:link w:val="1"/>
    <w:qFormat/>
    <w:uiPriority w:val="0"/>
    <w:rPr>
      <w:rFonts w:ascii="KNLe" w:hAnsi="KNLe"/>
      <w:b/>
      <w:bCs/>
      <w:color w:val="000000"/>
      <w:u w:val="single"/>
    </w:rPr>
  </w:style>
  <w:style w:type="character" w:customStyle="1" w:styleId="623">
    <w:name w:val="rvts22"/>
    <w:link w:val="1"/>
    <w:qFormat/>
    <w:uiPriority w:val="0"/>
    <w:rPr>
      <w:rFonts w:ascii="KNLe" w:hAnsi="KNLe"/>
      <w:sz w:val="24"/>
      <w:szCs w:val="24"/>
    </w:rPr>
  </w:style>
  <w:style w:type="character" w:customStyle="1" w:styleId="624">
    <w:name w:val="rvts57"/>
    <w:link w:val="1"/>
    <w:qFormat/>
    <w:uiPriority w:val="0"/>
    <w:rPr>
      <w:rFonts w:ascii="KNLe" w:hAnsi="KNLe"/>
      <w:spacing w:val="16"/>
      <w:sz w:val="24"/>
      <w:szCs w:val="24"/>
    </w:rPr>
  </w:style>
  <w:style w:type="character" w:customStyle="1" w:styleId="625">
    <w:name w:val="明显引用 Char2"/>
    <w:link w:val="1"/>
    <w:qFormat/>
    <w:uiPriority w:val="30"/>
    <w:rPr>
      <w:b/>
      <w:bCs/>
      <w:i/>
      <w:iCs/>
      <w:color w:val="4F81BD"/>
      <w:sz w:val="21"/>
    </w:rPr>
  </w:style>
  <w:style w:type="character" w:customStyle="1" w:styleId="626">
    <w:name w:val="rvts88"/>
    <w:link w:val="1"/>
    <w:qFormat/>
    <w:uiPriority w:val="0"/>
    <w:rPr>
      <w:rFonts w:ascii="KNLe" w:hAnsi="KNLe"/>
      <w:b/>
      <w:bCs/>
      <w:color w:val="000000"/>
      <w:sz w:val="28"/>
      <w:szCs w:val="28"/>
    </w:rPr>
  </w:style>
  <w:style w:type="character" w:customStyle="1" w:styleId="627">
    <w:name w:val="rvts108"/>
    <w:link w:val="1"/>
    <w:qFormat/>
    <w:uiPriority w:val="0"/>
    <w:rPr>
      <w:rFonts w:ascii="Times New Roman" w:hAnsi="Times New Roman" w:cs="Times New Roman"/>
      <w:b/>
      <w:bCs/>
      <w:sz w:val="28"/>
      <w:szCs w:val="28"/>
    </w:rPr>
  </w:style>
  <w:style w:type="character" w:customStyle="1" w:styleId="628">
    <w:name w:val="rvts35"/>
    <w:link w:val="1"/>
    <w:qFormat/>
    <w:uiPriority w:val="0"/>
    <w:rPr>
      <w:rFonts w:ascii="KNLe" w:hAnsi="KNLe"/>
      <w:b/>
      <w:bCs/>
      <w:color w:val="000000"/>
      <w:spacing w:val="16"/>
      <w:sz w:val="24"/>
      <w:szCs w:val="24"/>
    </w:rPr>
  </w:style>
  <w:style w:type="character" w:customStyle="1" w:styleId="629">
    <w:name w:val="rvts48"/>
    <w:link w:val="1"/>
    <w:qFormat/>
    <w:uiPriority w:val="0"/>
    <w:rPr>
      <w:rFonts w:ascii="KNLe" w:hAnsi="KNLe"/>
      <w:color w:val="000000"/>
      <w:spacing w:val="16"/>
      <w:sz w:val="24"/>
      <w:szCs w:val="24"/>
    </w:rPr>
  </w:style>
  <w:style w:type="character" w:customStyle="1" w:styleId="630">
    <w:name w:val="rvts68"/>
    <w:link w:val="1"/>
    <w:qFormat/>
    <w:uiPriority w:val="0"/>
    <w:rPr>
      <w:rFonts w:ascii="KNLe" w:hAnsi="KNLe"/>
      <w:sz w:val="24"/>
      <w:szCs w:val="24"/>
      <w:u w:val="single"/>
    </w:rPr>
  </w:style>
  <w:style w:type="character" w:customStyle="1" w:styleId="631">
    <w:name w:val="rvts26"/>
    <w:link w:val="1"/>
    <w:qFormat/>
    <w:uiPriority w:val="0"/>
    <w:rPr>
      <w:rFonts w:ascii="KNLe" w:hAnsi="KNLe"/>
      <w:color w:val="000000"/>
      <w:sz w:val="22"/>
      <w:szCs w:val="22"/>
      <w:u w:val="single"/>
    </w:rPr>
  </w:style>
  <w:style w:type="character" w:customStyle="1" w:styleId="632">
    <w:name w:val="16"/>
    <w:link w:val="1"/>
    <w:qFormat/>
    <w:uiPriority w:val="0"/>
    <w:rPr>
      <w:rFonts w:ascii="Cambria" w:hAnsi="Cambria"/>
      <w:b/>
      <w:bCs/>
      <w:sz w:val="32"/>
      <w:szCs w:val="32"/>
    </w:rPr>
  </w:style>
  <w:style w:type="character" w:customStyle="1" w:styleId="633">
    <w:name w:val="明显引用 Char"/>
    <w:link w:val="1"/>
    <w:qFormat/>
    <w:uiPriority w:val="0"/>
    <w:rPr>
      <w:b/>
      <w:bCs/>
      <w:i/>
      <w:iCs/>
      <w:color w:val="4F81BD"/>
    </w:rPr>
  </w:style>
  <w:style w:type="paragraph" w:customStyle="1" w:styleId="634">
    <w:name w:val="明显引用"/>
    <w:basedOn w:val="1"/>
    <w:next w:val="1"/>
    <w:link w:val="635"/>
    <w:qFormat/>
    <w:uiPriority w:val="99"/>
    <w:pPr>
      <w:pBdr>
        <w:bottom w:val="single" w:color="4F81BD" w:sz="4" w:space="4"/>
      </w:pBdr>
      <w:spacing w:before="200" w:after="280"/>
      <w:ind w:left="936" w:right="936"/>
    </w:pPr>
    <w:rPr>
      <w:b/>
      <w:bCs/>
      <w:i/>
      <w:iCs/>
      <w:color w:val="4F81BD"/>
    </w:rPr>
  </w:style>
  <w:style w:type="character" w:customStyle="1" w:styleId="635">
    <w:name w:val="明显引用 字符"/>
    <w:link w:val="634"/>
    <w:semiHidden/>
    <w:qFormat/>
    <w:uiPriority w:val="99"/>
    <w:rPr>
      <w:b/>
      <w:bCs/>
      <w:i/>
      <w:iCs/>
      <w:color w:val="4F81BD"/>
      <w:sz w:val="24"/>
      <w:szCs w:val="24"/>
      <w:lang w:eastAsia="en-US"/>
    </w:rPr>
  </w:style>
  <w:style w:type="paragraph" w:customStyle="1" w:styleId="636">
    <w:name w:val="明显引用1"/>
    <w:basedOn w:val="1"/>
    <w:next w:val="1"/>
    <w:qFormat/>
    <w:uiPriority w:val="0"/>
    <w:pPr>
      <w:widowControl w:val="0"/>
      <w:pBdr>
        <w:bottom w:val="single" w:color="4F81BD" w:sz="4" w:space="4"/>
      </w:pBdr>
      <w:spacing w:before="200" w:after="280"/>
      <w:ind w:left="936" w:right="936"/>
      <w:jc w:val="both"/>
    </w:pPr>
    <w:rPr>
      <w:rFonts w:ascii="Calibri" w:hAnsi="Calibri"/>
      <w:b/>
      <w:bCs/>
      <w:i/>
      <w:iCs/>
      <w:color w:val="4F81BD"/>
      <w:sz w:val="21"/>
      <w:szCs w:val="22"/>
      <w:lang w:eastAsia="zh-CN"/>
    </w:rPr>
  </w:style>
  <w:style w:type="character" w:customStyle="1" w:styleId="637">
    <w:name w:val="明显引用 Char4"/>
    <w:link w:val="1"/>
    <w:qFormat/>
    <w:uiPriority w:val="99"/>
    <w:rPr>
      <w:rFonts w:ascii="Times New Roman" w:hAnsi="Times New Roman" w:eastAsia="Times New Roman" w:cs="Times New Roman"/>
      <w:b/>
      <w:bCs/>
      <w:i/>
      <w:iCs/>
      <w:color w:val="4F81BD"/>
      <w:sz w:val="24"/>
      <w:szCs w:val="24"/>
      <w:lang w:eastAsia="en-US" w:bidi="en-US"/>
    </w:rPr>
  </w:style>
  <w:style w:type="character" w:customStyle="1" w:styleId="638">
    <w:name w:val="注释标题 Char2"/>
    <w:link w:val="1"/>
    <w:qFormat/>
    <w:uiPriority w:val="99"/>
    <w:rPr>
      <w:rFonts w:ascii="宋体" w:hAnsi="宋体" w:eastAsia="宋体" w:cs="宋体"/>
      <w:lang w:val="zh-CN" w:eastAsia="zh-CN" w:bidi="zh-CN"/>
    </w:rPr>
  </w:style>
  <w:style w:type="character" w:customStyle="1" w:styleId="639">
    <w:name w:val="rvts98"/>
    <w:link w:val="1"/>
    <w:qFormat/>
    <w:uiPriority w:val="0"/>
    <w:rPr>
      <w:rFonts w:ascii="Times New Roman" w:hAnsi="Times New Roman" w:cs="Times New Roman"/>
      <w:b/>
      <w:bCs/>
      <w:sz w:val="44"/>
      <w:szCs w:val="44"/>
    </w:rPr>
  </w:style>
  <w:style w:type="character" w:customStyle="1" w:styleId="640">
    <w:name w:val="rvts9"/>
    <w:link w:val="1"/>
    <w:qFormat/>
    <w:uiPriority w:val="0"/>
    <w:rPr>
      <w:rFonts w:ascii="KNLe" w:hAnsi="KNLe"/>
    </w:rPr>
  </w:style>
  <w:style w:type="character" w:customStyle="1" w:styleId="641">
    <w:name w:val="批注文字 Char2"/>
    <w:link w:val="1"/>
    <w:qFormat/>
    <w:uiPriority w:val="99"/>
    <w:rPr>
      <w:sz w:val="21"/>
    </w:rPr>
  </w:style>
  <w:style w:type="character" w:customStyle="1" w:styleId="642">
    <w:name w:val="副标题 Char2"/>
    <w:link w:val="1"/>
    <w:qFormat/>
    <w:uiPriority w:val="11"/>
    <w:rPr>
      <w:rFonts w:ascii="Cambria" w:hAnsi="Cambria" w:cs="Times New Roman"/>
      <w:b/>
      <w:bCs/>
      <w:sz w:val="32"/>
      <w:szCs w:val="32"/>
    </w:rPr>
  </w:style>
  <w:style w:type="character" w:customStyle="1" w:styleId="643">
    <w:name w:val="rvts133"/>
    <w:link w:val="1"/>
    <w:qFormat/>
    <w:uiPriority w:val="0"/>
    <w:rPr>
      <w:rFonts w:ascii="7bkn_gb2312" w:hAnsi="7bkn_gb2312"/>
      <w:color w:val="000000"/>
      <w:sz w:val="32"/>
      <w:szCs w:val="32"/>
    </w:rPr>
  </w:style>
  <w:style w:type="character" w:customStyle="1" w:styleId="644">
    <w:name w:val="注释标题 Char Char"/>
    <w:link w:val="1"/>
    <w:qFormat/>
    <w:uiPriority w:val="0"/>
    <w:rPr>
      <w:rFonts w:ascii="..ì." w:eastAsia="..ì."/>
      <w:sz w:val="24"/>
    </w:rPr>
  </w:style>
  <w:style w:type="character" w:customStyle="1" w:styleId="645">
    <w:name w:val="rvts7"/>
    <w:link w:val="1"/>
    <w:qFormat/>
    <w:uiPriority w:val="0"/>
    <w:rPr>
      <w:rFonts w:ascii=":ZLe" w:hAnsi=":ZLe"/>
      <w:sz w:val="32"/>
      <w:szCs w:val="32"/>
    </w:rPr>
  </w:style>
  <w:style w:type="character" w:customStyle="1" w:styleId="646">
    <w:name w:val="rvts112"/>
    <w:link w:val="1"/>
    <w:qFormat/>
    <w:uiPriority w:val="0"/>
    <w:rPr>
      <w:rFonts w:ascii="KNLe" w:hAnsi="KNLe"/>
      <w:color w:val="0D6FFF"/>
      <w:sz w:val="24"/>
      <w:szCs w:val="24"/>
      <w:u w:val="single"/>
    </w:rPr>
  </w:style>
  <w:style w:type="paragraph" w:customStyle="1" w:styleId="647">
    <w:name w:val="Char1"/>
    <w:basedOn w:val="1"/>
    <w:qFormat/>
    <w:uiPriority w:val="0"/>
    <w:pPr>
      <w:spacing w:after="160" w:line="240" w:lineRule="exact"/>
    </w:pPr>
    <w:rPr>
      <w:rFonts w:ascii="Verdana" w:hAnsi="Verdana" w:eastAsia="仿宋_GB2312"/>
      <w:szCs w:val="20"/>
    </w:rPr>
  </w:style>
  <w:style w:type="paragraph" w:customStyle="1" w:styleId="648">
    <w:name w:val="font6"/>
    <w:basedOn w:val="1"/>
    <w:qFormat/>
    <w:uiPriority w:val="0"/>
    <w:pPr>
      <w:spacing w:before="100" w:beforeAutospacing="1" w:after="100" w:afterAutospacing="1"/>
    </w:pPr>
    <w:rPr>
      <w:rFonts w:ascii="宋体" w:hAnsi="宋体" w:cs="宋体"/>
      <w:color w:val="000000"/>
      <w:sz w:val="20"/>
      <w:szCs w:val="20"/>
      <w:lang w:eastAsia="zh-CN"/>
    </w:rPr>
  </w:style>
  <w:style w:type="paragraph" w:customStyle="1" w:styleId="649">
    <w:name w:val="标题 51"/>
    <w:basedOn w:val="1"/>
    <w:qFormat/>
    <w:uiPriority w:val="1"/>
    <w:pPr>
      <w:widowControl w:val="0"/>
      <w:ind w:left="332"/>
      <w:outlineLvl w:val="5"/>
    </w:pPr>
    <w:rPr>
      <w:rFonts w:ascii="微软雅黑" w:hAnsi="微软雅黑" w:eastAsia="微软雅黑" w:cs="微软雅黑"/>
      <w:b/>
      <w:bCs/>
      <w:lang w:val="zh-CN" w:eastAsia="zh-CN" w:bidi="zh-CN"/>
    </w:rPr>
  </w:style>
  <w:style w:type="paragraph" w:customStyle="1" w:styleId="650">
    <w:name w:val="Char Char Char1 Char"/>
    <w:basedOn w:val="1"/>
    <w:qFormat/>
    <w:uiPriority w:val="0"/>
    <w:pPr>
      <w:widowControl w:val="0"/>
      <w:jc w:val="both"/>
    </w:pPr>
    <w:rPr>
      <w:rFonts w:ascii="Tahoma" w:hAnsi="Tahoma"/>
      <w:szCs w:val="20"/>
      <w:lang w:eastAsia="zh-CN"/>
    </w:rPr>
  </w:style>
  <w:style w:type="paragraph" w:customStyle="1" w:styleId="651">
    <w:name w:val="空半行"/>
    <w:basedOn w:val="1"/>
    <w:qFormat/>
    <w:uiPriority w:val="0"/>
    <w:pPr>
      <w:widowControl w:val="0"/>
      <w:spacing w:line="120" w:lineRule="exact"/>
      <w:jc w:val="both"/>
    </w:pPr>
    <w:rPr>
      <w:rFonts w:ascii="Calibri" w:hAnsi="Calibri" w:eastAsia="仿宋_GB2312"/>
      <w:color w:val="FFFFFF"/>
      <w:sz w:val="30"/>
      <w:szCs w:val="22"/>
      <w:lang w:eastAsia="zh-CN"/>
    </w:rPr>
  </w:style>
  <w:style w:type="paragraph" w:customStyle="1" w:styleId="652">
    <w:name w:val="格式1"/>
    <w:basedOn w:val="1"/>
    <w:qFormat/>
    <w:uiPriority w:val="0"/>
    <w:pPr>
      <w:widowControl w:val="0"/>
      <w:jc w:val="center"/>
    </w:pPr>
    <w:rPr>
      <w:rFonts w:ascii="黑体" w:hAnsi="宋体" w:eastAsia="黑体"/>
      <w:b/>
      <w:bCs/>
      <w:color w:val="000000"/>
      <w:sz w:val="32"/>
      <w:szCs w:val="20"/>
      <w:lang w:eastAsia="zh-CN"/>
    </w:rPr>
  </w:style>
  <w:style w:type="paragraph" w:customStyle="1" w:styleId="653">
    <w:name w:val="Char2"/>
    <w:basedOn w:val="1"/>
    <w:qFormat/>
    <w:uiPriority w:val="0"/>
    <w:pPr>
      <w:widowControl w:val="0"/>
      <w:jc w:val="both"/>
    </w:pPr>
    <w:rPr>
      <w:sz w:val="21"/>
      <w:szCs w:val="20"/>
      <w:lang w:eastAsia="zh-CN"/>
    </w:rPr>
  </w:style>
  <w:style w:type="paragraph" w:customStyle="1" w:styleId="654">
    <w:name w:val="xl113"/>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Arial" w:hAnsi="Arial" w:cs="Arial"/>
      <w:b/>
      <w:bCs/>
      <w:color w:val="000000"/>
      <w:sz w:val="20"/>
      <w:szCs w:val="20"/>
      <w:lang w:eastAsia="zh-CN"/>
    </w:rPr>
  </w:style>
  <w:style w:type="paragraph" w:customStyle="1" w:styleId="655">
    <w:name w:val="WangHui"/>
    <w:basedOn w:val="1"/>
    <w:qFormat/>
    <w:uiPriority w:val="0"/>
    <w:pPr>
      <w:widowControl w:val="0"/>
      <w:jc w:val="both"/>
    </w:pPr>
    <w:rPr>
      <w:rFonts w:ascii="仿宋_GB2312" w:eastAsia="仿宋_GB2312"/>
      <w:sz w:val="28"/>
      <w:szCs w:val="20"/>
      <w:lang w:eastAsia="zh-CN"/>
    </w:rPr>
  </w:style>
  <w:style w:type="paragraph" w:customStyle="1" w:styleId="656">
    <w:name w:val="正文_0_0_0"/>
    <w:qFormat/>
    <w:uiPriority w:val="0"/>
    <w:pPr>
      <w:widowControl w:val="0"/>
      <w:jc w:val="both"/>
    </w:pPr>
    <w:rPr>
      <w:rFonts w:hint="default" w:ascii="Times New Roman" w:hAnsi="Times New Roman" w:eastAsia="宋体" w:cs="Times New Roman"/>
      <w:lang w:val="en-US" w:eastAsia="zh-CN" w:bidi="ar-SA"/>
    </w:rPr>
  </w:style>
  <w:style w:type="paragraph" w:customStyle="1" w:styleId="657">
    <w:name w:val="Char11"/>
    <w:basedOn w:val="1"/>
    <w:qFormat/>
    <w:uiPriority w:val="0"/>
    <w:pPr>
      <w:widowControl w:val="0"/>
      <w:tabs>
        <w:tab w:val="left" w:pos="360"/>
      </w:tabs>
      <w:jc w:val="both"/>
    </w:pPr>
    <w:rPr>
      <w:lang w:eastAsia="zh-CN"/>
    </w:rPr>
  </w:style>
  <w:style w:type="paragraph" w:customStyle="1" w:styleId="658">
    <w:name w:val="tableau"/>
    <w:basedOn w:val="1"/>
    <w:qFormat/>
    <w:uiPriority w:val="99"/>
    <w:pPr>
      <w:spacing w:before="20" w:after="20"/>
      <w:jc w:val="center"/>
    </w:pPr>
    <w:rPr>
      <w:rFonts w:ascii="Arial" w:hAnsi="Arial"/>
      <w:sz w:val="16"/>
      <w:szCs w:val="20"/>
    </w:rPr>
  </w:style>
  <w:style w:type="paragraph" w:customStyle="1" w:styleId="659">
    <w:name w:val="目录 4_0"/>
    <w:basedOn w:val="374"/>
    <w:next w:val="374"/>
    <w:qFormat/>
    <w:uiPriority w:val="39"/>
  </w:style>
  <w:style w:type="paragraph" w:customStyle="1" w:styleId="660">
    <w:name w:val="Char Char Char1 Char Char Char Char"/>
    <w:basedOn w:val="1"/>
    <w:qFormat/>
    <w:uiPriority w:val="0"/>
    <w:pPr>
      <w:widowControl w:val="0"/>
      <w:jc w:val="both"/>
    </w:pPr>
    <w:rPr>
      <w:rFonts w:ascii="Tahoma" w:hAnsi="Tahoma"/>
      <w:szCs w:val="20"/>
      <w:lang w:eastAsia="zh-CN"/>
    </w:rPr>
  </w:style>
  <w:style w:type="paragraph" w:customStyle="1" w:styleId="661">
    <w:name w:val="msolistparagraph"/>
    <w:basedOn w:val="1"/>
    <w:qFormat/>
    <w:uiPriority w:val="99"/>
    <w:pPr>
      <w:widowControl w:val="0"/>
      <w:ind w:firstLine="420"/>
      <w:jc w:val="both"/>
    </w:pPr>
    <w:rPr>
      <w:rFonts w:ascii="Calibri" w:hAnsi="Calibri"/>
      <w:sz w:val="21"/>
      <w:szCs w:val="22"/>
      <w:lang w:eastAsia="zh-CN"/>
    </w:rPr>
  </w:style>
  <w:style w:type="paragraph" w:customStyle="1" w:styleId="662">
    <w:name w:val="retrait3"/>
    <w:basedOn w:val="1"/>
    <w:qFormat/>
    <w:uiPriority w:val="99"/>
    <w:pPr>
      <w:spacing w:before="20" w:after="20"/>
      <w:ind w:left="851"/>
    </w:pPr>
    <w:rPr>
      <w:rFonts w:ascii="Arial" w:hAnsi="Arial"/>
      <w:szCs w:val="20"/>
      <w:lang w:eastAsia="zh-CN"/>
    </w:rPr>
  </w:style>
  <w:style w:type="paragraph" w:customStyle="1" w:styleId="663">
    <w:name w:val="Char Char Char Char Char Char Char Char Char Char Char Char Char1"/>
    <w:basedOn w:val="1"/>
    <w:qFormat/>
    <w:uiPriority w:val="0"/>
    <w:pPr>
      <w:spacing w:after="160" w:line="240" w:lineRule="exact"/>
      <w:jc w:val="both"/>
    </w:pPr>
    <w:rPr>
      <w:rFonts w:cs="Arial"/>
      <w:sz w:val="22"/>
      <w:szCs w:val="20"/>
    </w:rPr>
  </w:style>
  <w:style w:type="paragraph" w:customStyle="1" w:styleId="664">
    <w:name w:val="丁华标题1"/>
    <w:basedOn w:val="189"/>
    <w:next w:val="665"/>
    <w:qFormat/>
    <w:uiPriority w:val="99"/>
    <w:pPr>
      <w:widowControl w:val="0"/>
      <w:tabs>
        <w:tab w:val="left" w:pos="567"/>
      </w:tabs>
    </w:pPr>
    <w:rPr>
      <w:rFonts w:ascii="Times New Roman" w:hAnsi="Times New Roman" w:eastAsia="黑体" w:cs="Times New Roman"/>
      <w:b w:val="0"/>
      <w:bCs w:val="0"/>
      <w:color w:val="000000"/>
      <w:sz w:val="32"/>
      <w:szCs w:val="20"/>
      <w:lang w:val="zh-CN" w:bidi="zh-CN"/>
    </w:rPr>
  </w:style>
  <w:style w:type="paragraph" w:customStyle="1" w:styleId="665">
    <w:name w:val="丁华正文"/>
    <w:basedOn w:val="260"/>
    <w:qFormat/>
    <w:uiPriority w:val="99"/>
    <w:pPr>
      <w:spacing w:line="360" w:lineRule="auto"/>
      <w:ind w:left="0" w:firstLine="510"/>
    </w:pPr>
    <w:rPr>
      <w:sz w:val="24"/>
    </w:rPr>
  </w:style>
  <w:style w:type="paragraph" w:customStyle="1" w:styleId="666">
    <w:name w:val="_Style 34"/>
    <w:next w:val="1"/>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667">
    <w:name w:val="标题 31"/>
    <w:basedOn w:val="1"/>
    <w:qFormat/>
    <w:uiPriority w:val="1"/>
    <w:pPr>
      <w:widowControl w:val="0"/>
      <w:jc w:val="center"/>
      <w:outlineLvl w:val="3"/>
    </w:pPr>
    <w:rPr>
      <w:rFonts w:ascii="宋体" w:hAnsi="宋体" w:cs="宋体"/>
      <w:sz w:val="32"/>
      <w:szCs w:val="32"/>
      <w:lang w:val="zh-CN" w:eastAsia="zh-CN" w:bidi="zh-CN"/>
    </w:rPr>
  </w:style>
  <w:style w:type="paragraph" w:customStyle="1" w:styleId="668">
    <w:name w:val="font7"/>
    <w:basedOn w:val="1"/>
    <w:qFormat/>
    <w:uiPriority w:val="0"/>
    <w:pPr>
      <w:spacing w:before="100" w:beforeAutospacing="1" w:after="100" w:afterAutospacing="1"/>
    </w:pPr>
    <w:rPr>
      <w:rFonts w:ascii="Arial" w:hAnsi="Arial" w:cs="Arial"/>
      <w:color w:val="000000"/>
      <w:sz w:val="20"/>
      <w:szCs w:val="20"/>
      <w:lang w:eastAsia="zh-CN"/>
    </w:rPr>
  </w:style>
  <w:style w:type="paragraph" w:customStyle="1" w:styleId="669">
    <w:name w:val="Char Char Char"/>
    <w:basedOn w:val="219"/>
    <w:qFormat/>
    <w:uiPriority w:val="99"/>
    <w:pPr>
      <w:shd w:val="clear" w:color="auto" w:fill="000080"/>
      <w:spacing w:line="436" w:lineRule="exact"/>
    </w:pPr>
    <w:rPr>
      <w:rFonts w:ascii="宋体" w:hAnsi="宋体" w:eastAsia="宋体"/>
      <w:sz w:val="2"/>
      <w:szCs w:val="24"/>
      <w:shd w:val="clear" w:color="auto" w:fill="000080"/>
      <w:lang w:val="zh-CN" w:bidi="zh-CN"/>
    </w:rPr>
  </w:style>
  <w:style w:type="paragraph" w:customStyle="1" w:styleId="670">
    <w:name w:val="xl117"/>
    <w:basedOn w:val="1"/>
    <w:qFormat/>
    <w:uiPriority w:val="0"/>
    <w:pPr>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rFonts w:ascii="宋体" w:hAnsi="宋体" w:cs="宋体"/>
      <w:b/>
      <w:bCs/>
      <w:color w:val="000000"/>
      <w:sz w:val="20"/>
      <w:szCs w:val="20"/>
      <w:lang w:eastAsia="zh-CN"/>
    </w:rPr>
  </w:style>
  <w:style w:type="paragraph" w:customStyle="1" w:styleId="671">
    <w:name w:val="正文 + 行距: 固定值 20 磅"/>
    <w:basedOn w:val="1"/>
    <w:qFormat/>
    <w:uiPriority w:val="0"/>
    <w:pPr>
      <w:widowControl w:val="0"/>
      <w:spacing w:line="400" w:lineRule="exact"/>
      <w:ind w:firstLine="716"/>
      <w:jc w:val="both"/>
    </w:pPr>
    <w:rPr>
      <w:rFonts w:ascii="Calibri" w:hAnsi="Calibri"/>
      <w:sz w:val="21"/>
      <w:szCs w:val="22"/>
      <w:lang w:eastAsia="zh-CN"/>
    </w:rPr>
  </w:style>
  <w:style w:type="paragraph" w:customStyle="1" w:styleId="672">
    <w:name w:val="Char"/>
    <w:basedOn w:val="1"/>
    <w:qFormat/>
    <w:uiPriority w:val="0"/>
    <w:pPr>
      <w:widowControl w:val="0"/>
      <w:jc w:val="both"/>
    </w:pPr>
    <w:rPr>
      <w:rFonts w:ascii="Tahoma" w:hAnsi="Tahoma" w:cs="仿宋_GB2312"/>
      <w:szCs w:val="28"/>
      <w:lang w:eastAsia="zh-CN"/>
    </w:rPr>
  </w:style>
  <w:style w:type="paragraph" w:customStyle="1" w:styleId="673">
    <w:name w:val="标题 21"/>
    <w:basedOn w:val="1"/>
    <w:qFormat/>
    <w:uiPriority w:val="1"/>
    <w:pPr>
      <w:widowControl w:val="0"/>
      <w:ind w:left="652"/>
      <w:outlineLvl w:val="2"/>
    </w:pPr>
    <w:rPr>
      <w:rFonts w:ascii="宋体" w:hAnsi="宋体" w:cs="宋体"/>
      <w:sz w:val="36"/>
      <w:szCs w:val="36"/>
      <w:lang w:val="zh-CN" w:eastAsia="zh-CN" w:bidi="zh-CN"/>
    </w:rPr>
  </w:style>
  <w:style w:type="paragraph" w:customStyle="1" w:styleId="674">
    <w:name w:val="xl116"/>
    <w:basedOn w:val="1"/>
    <w:qFormat/>
    <w:uiPriority w:val="0"/>
    <w:pPr>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rFonts w:ascii="宋体" w:hAnsi="宋体" w:cs="宋体"/>
      <w:color w:val="000000"/>
      <w:sz w:val="20"/>
      <w:szCs w:val="20"/>
      <w:lang w:eastAsia="zh-CN"/>
    </w:rPr>
  </w:style>
  <w:style w:type="paragraph" w:customStyle="1" w:styleId="675">
    <w:name w:val="模板正文"/>
    <w:basedOn w:val="1"/>
    <w:qFormat/>
    <w:uiPriority w:val="0"/>
    <w:pPr>
      <w:widowControl w:val="0"/>
      <w:spacing w:before="120" w:line="360" w:lineRule="auto"/>
      <w:ind w:firstLine="200"/>
      <w:jc w:val="both"/>
    </w:pPr>
    <w:rPr>
      <w:rFonts w:eastAsia="仿宋_GB2312"/>
      <w:szCs w:val="21"/>
      <w:lang w:eastAsia="zh-CN"/>
    </w:rPr>
  </w:style>
  <w:style w:type="paragraph" w:customStyle="1" w:styleId="676">
    <w:name w:val="1"/>
    <w:basedOn w:val="1"/>
    <w:next w:val="1"/>
    <w:qFormat/>
    <w:uiPriority w:val="0"/>
    <w:pPr>
      <w:widowControl w:val="0"/>
      <w:jc w:val="both"/>
    </w:pPr>
    <w:rPr>
      <w:rFonts w:ascii="Calibri" w:hAnsi="Calibri"/>
      <w:sz w:val="21"/>
      <w:szCs w:val="22"/>
      <w:lang w:eastAsia="zh-CN"/>
    </w:rPr>
  </w:style>
  <w:style w:type="paragraph" w:customStyle="1" w:styleId="677">
    <w:name w:val="Char Char Char Char Char Char1"/>
    <w:basedOn w:val="1"/>
    <w:qFormat/>
    <w:uiPriority w:val="0"/>
    <w:pPr>
      <w:spacing w:after="160" w:line="240" w:lineRule="exact"/>
    </w:pPr>
    <w:rPr>
      <w:rFonts w:ascii="Arial" w:hAnsi="Arial" w:eastAsia="Times New Roman" w:cs="Verdana"/>
      <w:b/>
      <w:sz w:val="21"/>
      <w:szCs w:val="20"/>
    </w:rPr>
  </w:style>
  <w:style w:type="paragraph" w:customStyle="1" w:styleId="678">
    <w:name w:val="段落"/>
    <w:basedOn w:val="1"/>
    <w:qFormat/>
    <w:uiPriority w:val="99"/>
    <w:pPr>
      <w:widowControl w:val="0"/>
      <w:spacing w:line="460" w:lineRule="exact"/>
      <w:ind w:firstLine="480"/>
      <w:jc w:val="both"/>
    </w:pPr>
    <w:rPr>
      <w:szCs w:val="20"/>
      <w:lang w:eastAsia="zh-CN"/>
    </w:rPr>
  </w:style>
  <w:style w:type="paragraph" w:customStyle="1" w:styleId="679">
    <w:name w:val="样式 标题 1 + 黑体 三号 非加粗 居中 段前: 6 磅 段后: 6 磅 行距: 固定值 20 磅"/>
    <w:basedOn w:val="189"/>
    <w:qFormat/>
    <w:uiPriority w:val="0"/>
    <w:pPr>
      <w:widowControl w:val="0"/>
      <w:spacing w:line="400" w:lineRule="exact"/>
      <w:jc w:val="center"/>
    </w:pPr>
    <w:rPr>
      <w:rFonts w:ascii="黑体" w:hAnsi="黑体" w:eastAsia="黑体" w:cs="Times New Roman"/>
      <w:b w:val="0"/>
      <w:bCs w:val="0"/>
      <w:color w:val="000000"/>
      <w:sz w:val="32"/>
      <w:szCs w:val="20"/>
      <w:lang w:val="zh-CN" w:bidi="zh-CN"/>
    </w:rPr>
  </w:style>
  <w:style w:type="paragraph" w:customStyle="1" w:styleId="680">
    <w:name w:val="Blockquote"/>
    <w:basedOn w:val="1"/>
    <w:qFormat/>
    <w:uiPriority w:val="0"/>
    <w:pPr>
      <w:widowControl w:val="0"/>
      <w:spacing w:before="100" w:after="100"/>
      <w:ind w:left="360" w:right="360"/>
    </w:pPr>
    <w:rPr>
      <w:rFonts w:ascii="Calibri" w:hAnsi="Calibri"/>
      <w:szCs w:val="22"/>
      <w:lang w:eastAsia="zh-CN"/>
    </w:rPr>
  </w:style>
  <w:style w:type="paragraph" w:customStyle="1" w:styleId="681">
    <w:name w:val="表格"/>
    <w:basedOn w:val="1"/>
    <w:qFormat/>
    <w:uiPriority w:val="0"/>
    <w:pPr>
      <w:widowControl w:val="0"/>
      <w:jc w:val="center"/>
    </w:pPr>
    <w:rPr>
      <w:rFonts w:ascii="华文细黑" w:hAnsi="华文细黑"/>
      <w:sz w:val="21"/>
      <w:szCs w:val="22"/>
      <w:lang w:eastAsia="zh-CN"/>
    </w:rPr>
  </w:style>
  <w:style w:type="paragraph" w:customStyle="1" w:styleId="682">
    <w:name w:val="默认段落字体 Para Char Char Char Char Char Char Char"/>
    <w:basedOn w:val="1"/>
    <w:qFormat/>
    <w:uiPriority w:val="0"/>
    <w:pPr>
      <w:widowControl w:val="0"/>
      <w:jc w:val="both"/>
    </w:pPr>
    <w:rPr>
      <w:sz w:val="21"/>
      <w:szCs w:val="20"/>
      <w:lang w:eastAsia="zh-CN"/>
    </w:rPr>
  </w:style>
  <w:style w:type="paragraph" w:customStyle="1" w:styleId="683">
    <w:name w:val="Bullets L1"/>
    <w:basedOn w:val="1"/>
    <w:qFormat/>
    <w:uiPriority w:val="99"/>
    <w:pPr>
      <w:tabs>
        <w:tab w:val="left" w:pos="360"/>
      </w:tabs>
      <w:spacing w:before="60" w:after="60"/>
    </w:pPr>
    <w:rPr>
      <w:rFonts w:ascii="Arial" w:hAnsi="Arial"/>
      <w:sz w:val="20"/>
      <w:szCs w:val="20"/>
      <w:lang w:eastAsia="zh-CN"/>
    </w:rPr>
  </w:style>
  <w:style w:type="paragraph" w:customStyle="1" w:styleId="684">
    <w:name w:val="修订11"/>
    <w:qFormat/>
    <w:uiPriority w:val="99"/>
    <w:rPr>
      <w:rFonts w:hint="default" w:ascii="Times New Roman" w:hAnsi="Times New Roman" w:eastAsia="宋体" w:cs="Times New Roman"/>
      <w:lang w:val="en-US" w:eastAsia="zh-CN" w:bidi="ar-SA"/>
    </w:rPr>
  </w:style>
  <w:style w:type="paragraph" w:customStyle="1" w:styleId="685">
    <w:name w:val="xl31"/>
    <w:basedOn w:val="1"/>
    <w:qFormat/>
    <w:uiPriority w:val="0"/>
    <w:pPr>
      <w:pBdr>
        <w:left w:val="single" w:color="000000" w:sz="4" w:space="0"/>
        <w:bottom w:val="single" w:color="000000" w:sz="4" w:space="0"/>
      </w:pBdr>
      <w:spacing w:before="100" w:beforeAutospacing="1" w:after="100" w:afterAutospacing="1"/>
      <w:jc w:val="center"/>
    </w:pPr>
    <w:rPr>
      <w:rFonts w:ascii="宋体" w:hAnsi="宋体"/>
      <w:lang w:eastAsia="zh-CN"/>
    </w:rPr>
  </w:style>
  <w:style w:type="paragraph" w:customStyle="1" w:styleId="686">
    <w:name w:val="正文_3"/>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687">
    <w:name w:val="xl25"/>
    <w:basedOn w:val="1"/>
    <w:qFormat/>
    <w:uiPriority w:val="0"/>
    <w:pPr>
      <w:pBdr>
        <w:right w:val="single" w:color="000000" w:sz="4" w:space="0"/>
      </w:pBdr>
      <w:spacing w:before="100" w:beforeAutospacing="1" w:after="100" w:afterAutospacing="1"/>
      <w:jc w:val="center"/>
    </w:pPr>
    <w:rPr>
      <w:sz w:val="21"/>
      <w:szCs w:val="21"/>
      <w:lang w:eastAsia="zh-CN"/>
    </w:rPr>
  </w:style>
  <w:style w:type="paragraph" w:customStyle="1" w:styleId="688">
    <w:name w:val="pbj1"/>
    <w:basedOn w:val="1"/>
    <w:qFormat/>
    <w:uiPriority w:val="0"/>
    <w:rPr>
      <w:rFonts w:ascii="宋体" w:hAnsi="宋体" w:cs="宋体"/>
      <w:lang w:eastAsia="zh-CN"/>
    </w:rPr>
  </w:style>
  <w:style w:type="paragraph" w:customStyle="1" w:styleId="689">
    <w:name w:val="Blockquote_0"/>
    <w:basedOn w:val="374"/>
    <w:qFormat/>
    <w:uiPriority w:val="0"/>
  </w:style>
  <w:style w:type="paragraph" w:customStyle="1" w:styleId="690">
    <w:name w:val="标题6"/>
    <w:basedOn w:val="193"/>
    <w:qFormat/>
    <w:uiPriority w:val="99"/>
    <w:pPr>
      <w:keepNext/>
      <w:keepLines/>
      <w:tabs>
        <w:tab w:val="left" w:pos="420"/>
      </w:tabs>
      <w:spacing w:beforeAutospacing="0" w:afterAutospacing="0" w:line="240" w:lineRule="auto"/>
      <w:ind w:firstLine="0"/>
      <w:jc w:val="both"/>
    </w:pPr>
    <w:rPr>
      <w:rFonts w:ascii="Times New Roman" w:hAnsi="Times New Roman"/>
      <w:b w:val="0"/>
      <w:bCs/>
      <w:sz w:val="24"/>
      <w:szCs w:val="28"/>
      <w:lang w:val="zh-CN" w:bidi="zh-CN"/>
    </w:rPr>
  </w:style>
  <w:style w:type="paragraph" w:customStyle="1" w:styleId="691">
    <w:name w:val="Char Char Char Char Char Char"/>
    <w:basedOn w:val="1"/>
    <w:qFormat/>
    <w:uiPriority w:val="0"/>
    <w:pPr>
      <w:spacing w:after="160" w:line="240" w:lineRule="exact"/>
    </w:pPr>
    <w:rPr>
      <w:rFonts w:ascii="Arial" w:hAnsi="Arial" w:eastAsia="Times New Roman" w:cs="Verdana"/>
      <w:b/>
      <w:sz w:val="21"/>
      <w:szCs w:val="20"/>
    </w:rPr>
  </w:style>
  <w:style w:type="paragraph" w:customStyle="1" w:styleId="692">
    <w:name w:val="Char Char Char Char Char Char Char Char Char Char Char1 Char Char Char1"/>
    <w:basedOn w:val="1"/>
    <w:qFormat/>
    <w:uiPriority w:val="99"/>
    <w:pPr>
      <w:widowControl w:val="0"/>
      <w:ind w:firstLine="200"/>
    </w:pPr>
    <w:rPr>
      <w:rFonts w:ascii="Tahoma" w:hAnsi="Tahoma"/>
      <w:lang w:eastAsia="zh-CN"/>
    </w:rPr>
  </w:style>
  <w:style w:type="paragraph" w:customStyle="1" w:styleId="693">
    <w:name w:val="论文正文"/>
    <w:basedOn w:val="242"/>
    <w:qFormat/>
    <w:uiPriority w:val="99"/>
    <w:pPr>
      <w:spacing w:after="0" w:line="360" w:lineRule="auto"/>
      <w:ind w:left="0" w:firstLine="200"/>
    </w:pPr>
    <w:rPr>
      <w:rFonts w:ascii="宋体" w:hAnsi="宋体"/>
      <w:sz w:val="28"/>
      <w:lang w:val="zh-CN" w:bidi="zh-CN"/>
    </w:rPr>
  </w:style>
  <w:style w:type="paragraph" w:customStyle="1" w:styleId="694">
    <w:name w:val="xl112"/>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Arial" w:hAnsi="Arial" w:cs="Arial"/>
      <w:color w:val="000000"/>
      <w:sz w:val="20"/>
      <w:szCs w:val="20"/>
      <w:lang w:eastAsia="zh-CN"/>
    </w:rPr>
  </w:style>
  <w:style w:type="paragraph" w:customStyle="1" w:styleId="695">
    <w:name w:val="样式 标题 1 + 非加粗 黑色"/>
    <w:basedOn w:val="189"/>
    <w:qFormat/>
    <w:uiPriority w:val="0"/>
    <w:pPr>
      <w:widowControl w:val="0"/>
      <w:tabs>
        <w:tab w:val="left" w:pos="600"/>
      </w:tabs>
      <w:jc w:val="center"/>
    </w:pPr>
    <w:rPr>
      <w:rFonts w:ascii="Times New Roman" w:hAnsi="Times New Roman" w:cs="Times New Roman"/>
      <w:bCs w:val="0"/>
      <w:sz w:val="48"/>
      <w:lang w:val="zh-CN" w:bidi="zh-CN"/>
    </w:rPr>
  </w:style>
  <w:style w:type="paragraph" w:customStyle="1" w:styleId="696">
    <w:name w:val="xl11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b/>
      <w:bCs/>
      <w:color w:val="000000"/>
      <w:sz w:val="20"/>
      <w:szCs w:val="20"/>
      <w:lang w:eastAsia="zh-CN"/>
    </w:rPr>
  </w:style>
  <w:style w:type="paragraph" w:customStyle="1" w:styleId="697">
    <w:name w:val="样式 标题 2 + Times New Roman 四号 非加粗 段前: 5 磅 段后: 0 磅 行距: 固定值 20..._0"/>
    <w:basedOn w:val="1"/>
    <w:qFormat/>
    <w:uiPriority w:val="0"/>
    <w:pPr>
      <w:keepNext/>
      <w:keepLines/>
      <w:widowControl w:val="0"/>
      <w:spacing w:before="100" w:line="360" w:lineRule="auto"/>
      <w:jc w:val="both"/>
      <w:outlineLvl w:val="1"/>
    </w:pPr>
    <w:rPr>
      <w:rFonts w:eastAsia="Times New Roman" w:cs="宋体"/>
      <w:sz w:val="28"/>
      <w:szCs w:val="20"/>
      <w:lang w:eastAsia="zh-CN"/>
    </w:rPr>
  </w:style>
  <w:style w:type="paragraph" w:customStyle="1" w:styleId="698">
    <w:name w:val="xl11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sz w:val="20"/>
      <w:szCs w:val="20"/>
      <w:lang w:eastAsia="zh-CN"/>
    </w:rPr>
  </w:style>
  <w:style w:type="paragraph" w:customStyle="1" w:styleId="699">
    <w:name w:val="Char Char Char Char Char Char Char Char Char Char Char Char Char"/>
    <w:basedOn w:val="219"/>
    <w:qFormat/>
    <w:uiPriority w:val="0"/>
    <w:pPr>
      <w:shd w:val="clear" w:color="auto" w:fill="000080"/>
    </w:pPr>
    <w:rPr>
      <w:rFonts w:ascii="Tahoma" w:hAnsi="Tahoma" w:eastAsia="宋体"/>
      <w:sz w:val="24"/>
      <w:szCs w:val="24"/>
      <w:shd w:val="clear" w:color="auto" w:fill="000080"/>
      <w:lang w:val="zh-CN" w:bidi="zh-CN"/>
    </w:rPr>
  </w:style>
  <w:style w:type="paragraph" w:customStyle="1" w:styleId="700">
    <w:name w:val="样式3"/>
    <w:basedOn w:val="1"/>
    <w:qFormat/>
    <w:uiPriority w:val="0"/>
    <w:pPr>
      <w:widowControl w:val="0"/>
      <w:tabs>
        <w:tab w:val="left" w:pos="560"/>
        <w:tab w:val="left" w:pos="1120"/>
      </w:tabs>
      <w:spacing w:line="480" w:lineRule="atLeast"/>
      <w:jc w:val="both"/>
    </w:pPr>
    <w:rPr>
      <w:rFonts w:eastAsia="创艺简黑体"/>
      <w:b/>
      <w:sz w:val="28"/>
      <w:szCs w:val="20"/>
      <w:lang w:eastAsia="zh-CN"/>
    </w:rPr>
  </w:style>
  <w:style w:type="paragraph" w:customStyle="1" w:styleId="701">
    <w:name w:val="Char Char2 Char Char"/>
    <w:basedOn w:val="219"/>
    <w:qFormat/>
    <w:uiPriority w:val="99"/>
    <w:pPr>
      <w:shd w:val="clear" w:color="auto" w:fill="000080"/>
      <w:spacing w:line="436" w:lineRule="exact"/>
    </w:pPr>
    <w:rPr>
      <w:rFonts w:ascii="Tahoma" w:hAnsi="Tahoma" w:eastAsia="宋体"/>
      <w:sz w:val="24"/>
      <w:szCs w:val="22"/>
      <w:shd w:val="clear" w:color="auto" w:fill="000080"/>
      <w:lang w:val="zh-CN" w:bidi="zh-CN"/>
    </w:rPr>
  </w:style>
  <w:style w:type="paragraph" w:customStyle="1" w:styleId="702">
    <w:name w:val="标题 41"/>
    <w:basedOn w:val="1"/>
    <w:qFormat/>
    <w:uiPriority w:val="1"/>
    <w:pPr>
      <w:widowControl w:val="0"/>
      <w:spacing w:line="337" w:lineRule="exact"/>
      <w:ind w:left="3401"/>
      <w:outlineLvl w:val="4"/>
    </w:pPr>
    <w:rPr>
      <w:rFonts w:ascii="微软雅黑" w:hAnsi="微软雅黑" w:eastAsia="微软雅黑" w:cs="微软雅黑"/>
      <w:b/>
      <w:bCs/>
      <w:sz w:val="26"/>
      <w:szCs w:val="26"/>
      <w:lang w:val="zh-CN" w:eastAsia="zh-CN" w:bidi="zh-CN"/>
    </w:rPr>
  </w:style>
  <w:style w:type="paragraph" w:customStyle="1" w:styleId="703">
    <w:name w:val="xl10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sz w:val="20"/>
      <w:szCs w:val="20"/>
      <w:lang w:eastAsia="zh-CN"/>
    </w:rPr>
  </w:style>
  <w:style w:type="paragraph" w:customStyle="1" w:styleId="704">
    <w:name w:val="样式 标题 2 + Times New Roman 四号 非加粗 段前: 5 磅 段后: 0 磅 行距: 固定值 20..."/>
    <w:basedOn w:val="191"/>
    <w:next w:val="1"/>
    <w:qFormat/>
    <w:uiPriority w:val="0"/>
    <w:pPr>
      <w:spacing w:before="100" w:after="0" w:line="400" w:lineRule="exact"/>
    </w:pPr>
    <w:rPr>
      <w:rFonts w:ascii="Times New Roman" w:hAnsi="Times New Roman" w:eastAsia="黑体" w:cs="Times New Roman"/>
      <w:b w:val="0"/>
      <w:bCs w:val="0"/>
      <w:color w:val="000000"/>
      <w:sz w:val="28"/>
      <w:szCs w:val="20"/>
      <w:lang w:val="zh-CN" w:bidi="zh-CN"/>
    </w:rPr>
  </w:style>
  <w:style w:type="paragraph" w:customStyle="1" w:styleId="705">
    <w:name w:val="6'"/>
    <w:basedOn w:val="1"/>
    <w:qFormat/>
    <w:uiPriority w:val="0"/>
    <w:pPr>
      <w:widowControl w:val="0"/>
      <w:spacing w:line="320" w:lineRule="exact"/>
      <w:jc w:val="center"/>
    </w:pPr>
    <w:rPr>
      <w:rFonts w:ascii="Calibri" w:hAnsi="Calibri"/>
      <w:spacing w:val="20"/>
      <w:sz w:val="21"/>
      <w:szCs w:val="22"/>
      <w:lang w:eastAsia="zh-CN"/>
    </w:rPr>
  </w:style>
  <w:style w:type="paragraph" w:customStyle="1" w:styleId="706">
    <w:name w:val="Char Char Char1 Char Char Char Char Char Char Char"/>
    <w:basedOn w:val="1"/>
    <w:qFormat/>
    <w:uiPriority w:val="0"/>
    <w:pPr>
      <w:widowControl w:val="0"/>
      <w:jc w:val="both"/>
    </w:pPr>
    <w:rPr>
      <w:rFonts w:ascii="Tahoma" w:hAnsi="Tahoma"/>
      <w:szCs w:val="20"/>
      <w:lang w:eastAsia="zh-CN"/>
    </w:rPr>
  </w:style>
  <w:style w:type="paragraph" w:customStyle="1" w:styleId="707">
    <w:name w:val="目录 3_0"/>
    <w:basedOn w:val="374"/>
    <w:next w:val="374"/>
    <w:qFormat/>
    <w:uiPriority w:val="39"/>
  </w:style>
  <w:style w:type="paragraph" w:customStyle="1" w:styleId="708">
    <w:name w:val="标题 11"/>
    <w:basedOn w:val="1"/>
    <w:qFormat/>
    <w:uiPriority w:val="0"/>
    <w:pPr>
      <w:widowControl w:val="0"/>
      <w:spacing w:line="572" w:lineRule="exact"/>
      <w:ind w:left="2883" w:right="3180"/>
      <w:jc w:val="center"/>
      <w:outlineLvl w:val="1"/>
    </w:pPr>
    <w:rPr>
      <w:rFonts w:ascii="微软雅黑" w:hAnsi="微软雅黑" w:eastAsia="微软雅黑" w:cs="微软雅黑"/>
      <w:b/>
      <w:bCs/>
      <w:sz w:val="36"/>
      <w:szCs w:val="36"/>
      <w:lang w:val="zh-CN" w:eastAsia="zh-CN" w:bidi="zh-CN"/>
    </w:rPr>
  </w:style>
  <w:style w:type="paragraph" w:customStyle="1" w:styleId="709">
    <w:name w:val="表格1"/>
    <w:basedOn w:val="1"/>
    <w:qFormat/>
    <w:uiPriority w:val="99"/>
    <w:pPr>
      <w:widowControl w:val="0"/>
      <w:jc w:val="both"/>
    </w:pPr>
    <w:rPr>
      <w:rFonts w:ascii="宋体"/>
      <w:sz w:val="21"/>
      <w:szCs w:val="21"/>
      <w:lang w:eastAsia="zh-CN"/>
    </w:rPr>
  </w:style>
  <w:style w:type="paragraph" w:customStyle="1" w:styleId="710">
    <w:name w:val="Char Char Char Char1"/>
    <w:basedOn w:val="1"/>
    <w:qFormat/>
    <w:uiPriority w:val="0"/>
    <w:pPr>
      <w:widowControl w:val="0"/>
      <w:jc w:val="both"/>
    </w:pPr>
    <w:rPr>
      <w:sz w:val="21"/>
      <w:szCs w:val="20"/>
      <w:lang w:eastAsia="zh-CN"/>
    </w:rPr>
  </w:style>
  <w:style w:type="paragraph" w:customStyle="1" w:styleId="711">
    <w:name w:val="xl10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lang w:eastAsia="zh-CN"/>
    </w:rPr>
  </w:style>
  <w:style w:type="paragraph" w:customStyle="1" w:styleId="712">
    <w:name w:val="丁华标题2"/>
    <w:basedOn w:val="191"/>
    <w:next w:val="665"/>
    <w:qFormat/>
    <w:uiPriority w:val="99"/>
    <w:pPr>
      <w:tabs>
        <w:tab w:val="left" w:pos="567"/>
        <w:tab w:val="left" w:pos="1004"/>
      </w:tabs>
      <w:spacing w:before="120" w:after="120" w:line="415" w:lineRule="auto"/>
      <w:ind w:left="2335" w:hanging="601"/>
      <w:jc w:val="left"/>
    </w:pPr>
    <w:rPr>
      <w:rFonts w:ascii="Arial" w:hAnsi="Arial" w:eastAsia="黑体" w:cs="Times New Roman"/>
      <w:b w:val="0"/>
      <w:color w:val="000000"/>
      <w:sz w:val="28"/>
      <w:szCs w:val="20"/>
      <w:lang w:val="zh-CN" w:bidi="zh-CN"/>
    </w:rPr>
  </w:style>
  <w:style w:type="paragraph" w:customStyle="1" w:styleId="713">
    <w:name w:val="xl11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sz w:val="20"/>
      <w:szCs w:val="20"/>
      <w:lang w:eastAsia="zh-CN"/>
    </w:rPr>
  </w:style>
  <w:style w:type="paragraph" w:customStyle="1" w:styleId="714">
    <w:name w:val="Item Step in Table"/>
    <w:qFormat/>
    <w:uiPriority w:val="99"/>
    <w:pPr>
      <w:tabs>
        <w:tab w:val="left" w:pos="397"/>
      </w:tabs>
      <w:spacing w:before="40" w:after="40"/>
      <w:jc w:val="both"/>
    </w:pPr>
    <w:rPr>
      <w:rFonts w:hint="default" w:ascii="Arial" w:hAnsi="Arial" w:eastAsia="宋体" w:cs="Arial"/>
      <w:sz w:val="18"/>
      <w:szCs w:val="18"/>
      <w:lang w:val="en-US" w:eastAsia="zh-CN" w:bidi="ar-SA"/>
    </w:rPr>
  </w:style>
  <w:style w:type="paragraph" w:customStyle="1" w:styleId="715">
    <w:name w:val="丁华标题3"/>
    <w:basedOn w:val="712"/>
    <w:next w:val="665"/>
    <w:qFormat/>
    <w:uiPriority w:val="99"/>
    <w:pPr>
      <w:tabs>
        <w:tab w:val="left" w:pos="1470"/>
        <w:tab w:val="left" w:pos="1980"/>
      </w:tabs>
      <w:spacing w:after="0"/>
      <w:ind w:left="1980" w:hanging="420"/>
      <w:outlineLvl w:val="2"/>
    </w:pPr>
    <w:rPr>
      <w:sz w:val="24"/>
    </w:rPr>
  </w:style>
  <w:style w:type="paragraph" w:customStyle="1" w:styleId="716">
    <w:name w:val="样式"/>
    <w:basedOn w:val="1"/>
    <w:next w:val="228"/>
    <w:qFormat/>
    <w:uiPriority w:val="99"/>
    <w:pPr>
      <w:widowControl w:val="0"/>
      <w:jc w:val="both"/>
    </w:pPr>
    <w:rPr>
      <w:rFonts w:ascii="楷体_GB2312" w:hAnsi="Arial" w:eastAsia="楷体_GB2312"/>
      <w:sz w:val="28"/>
      <w:szCs w:val="20"/>
      <w:lang w:eastAsia="zh-CN"/>
    </w:rPr>
  </w:style>
  <w:style w:type="paragraph" w:customStyle="1" w:styleId="717">
    <w:name w:val="font5"/>
    <w:basedOn w:val="1"/>
    <w:qFormat/>
    <w:uiPriority w:val="0"/>
    <w:pPr>
      <w:spacing w:before="100" w:beforeAutospacing="1" w:after="100" w:afterAutospacing="1"/>
    </w:pPr>
    <w:rPr>
      <w:rFonts w:ascii="宋体" w:hAnsi="宋体" w:cs="宋体"/>
      <w:sz w:val="18"/>
      <w:szCs w:val="18"/>
      <w:lang w:eastAsia="zh-CN"/>
    </w:rPr>
  </w:style>
  <w:style w:type="paragraph" w:customStyle="1" w:styleId="718">
    <w:name w:val="_Style 36"/>
    <w:next w:val="1"/>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719">
    <w:name w:val="Char Char Char Char Char Char Char"/>
    <w:basedOn w:val="1"/>
    <w:qFormat/>
    <w:uiPriority w:val="0"/>
    <w:pPr>
      <w:widowControl w:val="0"/>
      <w:spacing w:line="360" w:lineRule="auto"/>
      <w:jc w:val="both"/>
    </w:pPr>
    <w:rPr>
      <w:szCs w:val="20"/>
      <w:lang w:eastAsia="zh-CN"/>
    </w:rPr>
  </w:style>
  <w:style w:type="paragraph" w:customStyle="1" w:styleId="720">
    <w:name w:val="目录 5_0"/>
    <w:basedOn w:val="374"/>
    <w:next w:val="374"/>
    <w:qFormat/>
    <w:uiPriority w:val="39"/>
  </w:style>
  <w:style w:type="paragraph" w:customStyle="1" w:styleId="721">
    <w:name w:val="List Paragraph1"/>
    <w:basedOn w:val="1"/>
    <w:qFormat/>
    <w:uiPriority w:val="99"/>
    <w:pPr>
      <w:widowControl w:val="0"/>
      <w:ind w:firstLine="420"/>
      <w:jc w:val="both"/>
    </w:pPr>
    <w:rPr>
      <w:sz w:val="21"/>
      <w:lang w:eastAsia="zh-CN"/>
    </w:rPr>
  </w:style>
  <w:style w:type="paragraph" w:customStyle="1" w:styleId="722">
    <w:name w:val="xl107"/>
    <w:basedOn w:val="1"/>
    <w:qFormat/>
    <w:uiPriority w:val="0"/>
    <w:pPr>
      <w:spacing w:before="100" w:beforeAutospacing="1" w:after="100" w:afterAutospacing="1"/>
    </w:pPr>
    <w:rPr>
      <w:rFonts w:ascii="Arial" w:hAnsi="Arial" w:cs="Arial"/>
      <w:sz w:val="20"/>
      <w:szCs w:val="20"/>
      <w:lang w:eastAsia="zh-CN"/>
    </w:rPr>
  </w:style>
  <w:style w:type="paragraph" w:customStyle="1" w:styleId="723">
    <w:name w:val="xl11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lang w:eastAsia="zh-CN"/>
    </w:rPr>
  </w:style>
  <w:style w:type="paragraph" w:customStyle="1" w:styleId="724">
    <w:name w:val="默认段落字体 Para Char"/>
    <w:basedOn w:val="1"/>
    <w:qFormat/>
    <w:uiPriority w:val="0"/>
    <w:pPr>
      <w:widowControl w:val="0"/>
      <w:jc w:val="both"/>
    </w:pPr>
    <w:rPr>
      <w:lang w:eastAsia="zh-CN"/>
    </w:rPr>
  </w:style>
  <w:style w:type="character" w:customStyle="1" w:styleId="725">
    <w:name w:val="标题 2 Char1"/>
    <w:link w:val="1"/>
    <w:qFormat/>
    <w:uiPriority w:val="0"/>
    <w:rPr>
      <w:rFonts w:ascii="Cambria" w:hAnsi="Cambria" w:eastAsia="宋体" w:cs="Times New Roman"/>
      <w:b/>
      <w:bCs/>
      <w:sz w:val="32"/>
      <w:szCs w:val="32"/>
      <w:lang w:val="zh-CN"/>
    </w:rPr>
  </w:style>
  <w:style w:type="character" w:customStyle="1" w:styleId="726">
    <w:name w:val="标题 Char2"/>
    <w:link w:val="1"/>
    <w:qFormat/>
    <w:uiPriority w:val="0"/>
    <w:rPr>
      <w:rFonts w:ascii="Cambria" w:hAnsi="Cambria" w:cs="Times New Roman"/>
      <w:b/>
      <w:bCs/>
      <w:sz w:val="32"/>
      <w:szCs w:val="32"/>
    </w:rPr>
  </w:style>
  <w:style w:type="character" w:customStyle="1" w:styleId="727">
    <w:name w:val="二级目录 Char"/>
    <w:link w:val="1"/>
    <w:qFormat/>
    <w:uiPriority w:val="99"/>
    <w:rPr>
      <w:b/>
      <w:sz w:val="30"/>
      <w:szCs w:val="28"/>
      <w:lang w:eastAsia="en-US"/>
    </w:rPr>
  </w:style>
  <w:style w:type="character" w:customStyle="1" w:styleId="728">
    <w:name w:val="正文2 Char"/>
    <w:link w:val="1"/>
    <w:qFormat/>
    <w:uiPriority w:val="0"/>
    <w:rPr>
      <w:sz w:val="24"/>
    </w:rPr>
  </w:style>
  <w:style w:type="paragraph" w:customStyle="1" w:styleId="729">
    <w:name w:val="Char Char Char Char"/>
    <w:basedOn w:val="219"/>
    <w:qFormat/>
    <w:uiPriority w:val="0"/>
    <w:pPr>
      <w:shd w:val="clear" w:color="auto" w:fill="000080"/>
      <w:spacing w:line="360" w:lineRule="auto"/>
    </w:pPr>
    <w:rPr>
      <w:rFonts w:ascii="Tahoma" w:hAnsi="Tahoma" w:eastAsia="宋体"/>
      <w:sz w:val="24"/>
      <w:szCs w:val="24"/>
    </w:rPr>
  </w:style>
  <w:style w:type="character" w:customStyle="1" w:styleId="730">
    <w:name w:val="注释标题 Char1"/>
    <w:link w:val="1"/>
    <w:qFormat/>
    <w:uiPriority w:val="0"/>
    <w:rPr>
      <w:rFonts w:ascii="..ì." w:eastAsia="..ì."/>
      <w:sz w:val="24"/>
    </w:rPr>
  </w:style>
  <w:style w:type="character" w:customStyle="1" w:styleId="731">
    <w:name w:val="纯文本 Char Char"/>
    <w:link w:val="1"/>
    <w:qFormat/>
    <w:uiPriority w:val="0"/>
    <w:rPr>
      <w:rFonts w:ascii="宋体" w:hAnsi="Courier New" w:eastAsia="宋体" w:cs="金山简魏碑"/>
      <w:sz w:val="21"/>
      <w:szCs w:val="21"/>
      <w:lang w:val="en-US" w:eastAsia="zh-CN" w:bidi="ar-SA"/>
    </w:rPr>
  </w:style>
  <w:style w:type="paragraph" w:customStyle="1" w:styleId="732">
    <w:name w:val="1 Char"/>
    <w:basedOn w:val="1"/>
    <w:qFormat/>
    <w:uiPriority w:val="0"/>
    <w:pPr>
      <w:widowControl w:val="0"/>
      <w:jc w:val="both"/>
    </w:pPr>
    <w:rPr>
      <w:rFonts w:ascii="Tahoma" w:hAnsi="Tahoma"/>
      <w:szCs w:val="20"/>
      <w:lang w:eastAsia="zh-CN"/>
    </w:rPr>
  </w:style>
  <w:style w:type="character" w:customStyle="1" w:styleId="733">
    <w:name w:val="批注文字 Char Char"/>
    <w:link w:val="1"/>
    <w:qFormat/>
    <w:uiPriority w:val="0"/>
    <w:rPr>
      <w:rFonts w:ascii="宋体" w:hAnsi="Times New Roman" w:eastAsia="宋体" w:cs="Times New Roman"/>
      <w:sz w:val="28"/>
      <w:szCs w:val="20"/>
    </w:rPr>
  </w:style>
  <w:style w:type="character" w:customStyle="1" w:styleId="734">
    <w:name w:val="正文文本 Char3"/>
    <w:link w:val="1"/>
    <w:qFormat/>
    <w:uiPriority w:val="0"/>
    <w:rPr>
      <w:rFonts w:ascii="宋体" w:hAnsi="宋体" w:eastAsia="宋体" w:cs="宋体"/>
      <w:sz w:val="24"/>
      <w:szCs w:val="24"/>
      <w:lang w:val="zh-CN" w:eastAsia="zh-CN" w:bidi="zh-CN"/>
    </w:rPr>
  </w:style>
  <w:style w:type="paragraph" w:customStyle="1" w:styleId="735">
    <w:name w:val="修订21"/>
    <w:semiHidden/>
    <w:qFormat/>
    <w:uiPriority w:val="99"/>
    <w:rPr>
      <w:rFonts w:hint="default" w:ascii="Times New Roman" w:hAnsi="Times New Roman" w:eastAsia="Times New Roman" w:cs="Times New Roman"/>
      <w:color w:val="000000"/>
      <w:sz w:val="24"/>
      <w:szCs w:val="24"/>
      <w:lang w:val="en-US" w:eastAsia="en-US" w:bidi="en-US"/>
    </w:rPr>
  </w:style>
  <w:style w:type="paragraph" w:customStyle="1" w:styleId="736">
    <w:name w:val="修订3"/>
    <w:unhideWhenUsed/>
    <w:qFormat/>
    <w:uiPriority w:val="99"/>
    <w:rPr>
      <w:rFonts w:hint="default" w:ascii="Times New Roman" w:hAnsi="Times New Roman" w:eastAsia="Times New Roman" w:cs="Times New Roman"/>
      <w:color w:val="000000"/>
      <w:sz w:val="24"/>
      <w:szCs w:val="24"/>
      <w:lang w:val="en-US" w:eastAsia="en-US" w:bidi="en-US"/>
    </w:rPr>
  </w:style>
  <w:style w:type="paragraph" w:customStyle="1" w:styleId="737">
    <w:name w:val="正文首行缩进 21"/>
    <w:basedOn w:val="738"/>
    <w:qFormat/>
    <w:uiPriority w:val="0"/>
    <w:pPr>
      <w:ind w:firstLine="420"/>
    </w:pPr>
  </w:style>
  <w:style w:type="paragraph" w:customStyle="1" w:styleId="738">
    <w:name w:val="正文文本缩进1"/>
    <w:basedOn w:val="1"/>
    <w:qFormat/>
    <w:uiPriority w:val="0"/>
    <w:pPr>
      <w:ind w:left="420"/>
    </w:pPr>
  </w:style>
  <w:style w:type="paragraph" w:customStyle="1" w:styleId="739">
    <w:name w:val="修订"/>
    <w:unhideWhenUsed/>
    <w:qFormat/>
    <w:uiPriority w:val="99"/>
    <w:rPr>
      <w:rFonts w:hint="default" w:ascii="Times New Roman" w:hAnsi="Times New Roman" w:eastAsia="宋体" w:cs="Times New Roman"/>
      <w:sz w:val="24"/>
      <w:szCs w:val="24"/>
      <w:lang w:val="en-US" w:eastAsia="en-US" w:bidi="ar-SA"/>
    </w:rPr>
  </w:style>
  <w:style w:type="character" w:customStyle="1" w:styleId="740">
    <w:name w:val="正文文本缩进 2 字符1"/>
    <w:link w:val="1"/>
    <w:qFormat/>
    <w:uiPriority w:val="0"/>
    <w:rPr>
      <w:rFonts w:ascii="Calibri" w:hAnsi="Calibri" w:eastAsia="Calibri" w:cs="Times New Roman"/>
      <w:sz w:val="22"/>
      <w:szCs w:val="22"/>
      <w:lang w:eastAsia="en-US"/>
    </w:rPr>
  </w:style>
  <w:style w:type="paragraph" w:customStyle="1" w:styleId="741">
    <w:name w:val="招标"/>
    <w:basedOn w:val="1"/>
    <w:qFormat/>
    <w:uiPriority w:val="0"/>
    <w:pPr>
      <w:widowControl w:val="0"/>
      <w:spacing w:line="400" w:lineRule="exact"/>
      <w:ind w:firstLine="420"/>
    </w:pPr>
    <w:rPr>
      <w:rFonts w:ascii="宋体" w:hAnsi="宋体"/>
      <w:sz w:val="21"/>
      <w:lang w:eastAsia="zh-CN"/>
    </w:rPr>
  </w:style>
  <w:style w:type="paragraph" w:customStyle="1" w:styleId="742">
    <w:name w:val="标题2，章节第二层"/>
    <w:basedOn w:val="1"/>
    <w:next w:val="743"/>
    <w:qFormat/>
    <w:uiPriority w:val="0"/>
    <w:pPr>
      <w:tabs>
        <w:tab w:val="left" w:pos="630"/>
        <w:tab w:val="left" w:pos="992"/>
      </w:tabs>
      <w:spacing w:before="312" w:after="312" w:line="300" w:lineRule="auto"/>
      <w:ind w:left="992" w:hanging="567"/>
      <w:outlineLvl w:val="1"/>
    </w:pPr>
    <w:rPr>
      <w:rFonts w:ascii="Arial" w:hAnsi="Arial" w:eastAsia="黑体"/>
      <w:sz w:val="28"/>
      <w:lang w:val="zh-CN"/>
    </w:rPr>
  </w:style>
  <w:style w:type="paragraph" w:customStyle="1" w:styleId="743">
    <w:name w:val="正文格式"/>
    <w:basedOn w:val="1"/>
    <w:qFormat/>
    <w:uiPriority w:val="0"/>
    <w:pPr>
      <w:widowControl/>
      <w:spacing w:line="360" w:lineRule="auto"/>
      <w:ind w:left="178" w:right="44" w:hanging="178"/>
      <w:jc w:val="left"/>
    </w:pPr>
    <w:rPr>
      <w:rFonts w:ascii="宋体" w:hAnsi="宋体"/>
      <w:bCs/>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Ho</Company>
  <Pages>95</Pages>
  <Words>26766</Words>
  <Characters>28111</Characters>
  <TotalTime>17</TotalTime>
  <ScaleCrop>false</ScaleCrop>
  <LinksUpToDate>false</LinksUpToDate>
  <CharactersWithSpaces>28839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2026-04-17T02:09:00Z</dcterms:created>
  <dc:creator>FUN</dc:creator>
  <cp:lastModifiedBy>小明明</cp:lastModifiedBy>
  <dcterms:modified xsi:type="dcterms:W3CDTF">2026-04-30T09:16:00Z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eyJoZGlkIjoiZWQ0NTcyNmEzODU1ODk2MGE3ODNkMjJiNmY0MWY5ZTciLCJ1c2VySWQiOiI0NTEyMTAyODMifQ==</vt:lpwstr>
  </property>
  <property fmtid="{D5CDD505-2E9C-101B-9397-08002B2CF9AE}" pid="3" name="KSOProductBuildVer">
    <vt:lpwstr>2052-12.1.0.25865</vt:lpwstr>
  </property>
  <property fmtid="{D5CDD505-2E9C-101B-9397-08002B2CF9AE}" pid="4" name="ICV">
    <vt:lpwstr>1F8F66F463F049ED9974AF714B7E1950_13</vt:lpwstr>
  </property>
</Properties>
</file>