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jc w:val="center"/>
        <w:spacing w:before="120" w:after="120" w:line="360" w:lineRule="auto"/>
        <w:rPr>
          <w:rFonts w:hint="eastAsia" w:ascii="Arial" w:hAnsi="Arial" w:eastAsia="黑体"/>
          <w:b/>
          <w:bCs/>
          <w:color w:val="000000"/>
          <w:sz w:val="84"/>
          <w:szCs w:val="84"/>
          <w:highlight w:val="none"/>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84"/>
          <w:highlight w:val="none"/>
        </w:rPr>
      </w:r>
      <w:r/>
    </w:p>
    <w:p>
      <w:pPr>
        <w:ind w:firstLine="964"/>
        <w:jc w:val="center"/>
        <w:spacing w:before="120" w:after="120" w:line="360" w:lineRule="auto"/>
        <w:rPr>
          <w:rFonts w:ascii="Arial" w:hAnsi="Arial" w:eastAsia="宋体"/>
          <w:sz w:val="40"/>
          <w:szCs w:val="40"/>
          <w:lang w:val="en-US" w:eastAsia="zh-CN"/>
        </w:rPr>
      </w:pPr>
      <w:r>
        <w:rPr>
          <w:rFonts w:hint="eastAsia" w:ascii="Arial" w:hAnsi="Arial"/>
          <w:b/>
          <w:bCs/>
          <w:sz w:val="40"/>
          <w:szCs w:val="32"/>
          <w:highlight w:val="none"/>
        </w:rPr>
        <w:t xml:space="preserve">更正稿</w:t>
      </w:r>
      <w:r>
        <w:rPr>
          <w:rFonts w:ascii="Arial" w:hAnsi="Arial" w:eastAsia="宋体"/>
          <w:b/>
          <w:bCs/>
          <w:sz w:val="40"/>
          <w:szCs w:val="40"/>
          <w:lang w:val="en-US" w:eastAsia="zh-CN"/>
        </w:rPr>
        <w:t xml:space="preserve">（</w:t>
      </w:r>
      <w:r>
        <w:rPr>
          <w:rFonts w:ascii="Arial" w:hAnsi="Arial" w:eastAsia="宋体"/>
          <w:b/>
          <w:bCs/>
          <w:sz w:val="40"/>
          <w:szCs w:val="40"/>
          <w:lang w:val="en-US" w:eastAsia="zh-CN"/>
        </w:rPr>
        <w:t xml:space="preserve">三</w:t>
      </w:r>
      <w:r>
        <w:rPr>
          <w:rFonts w:ascii="Arial" w:hAnsi="Arial" w:eastAsia="宋体"/>
          <w:b/>
          <w:bCs/>
          <w:sz w:val="40"/>
          <w:szCs w:val="40"/>
          <w:lang w:val="en-US" w:eastAsia="zh-CN"/>
        </w:rPr>
      </w:r>
      <w:r>
        <w:rPr>
          <w:rFonts w:ascii="Arial" w:hAnsi="Arial" w:eastAsia="宋体"/>
          <w:b/>
          <w:bCs/>
          <w:sz w:val="40"/>
          <w:szCs w:val="40"/>
          <w:lang w:val="en-US" w:eastAsia="zh-CN"/>
        </w:rPr>
        <w:t xml:space="preserve">）</w:t>
      </w:r>
      <w:r>
        <w:rPr>
          <w:sz w:val="24"/>
          <w:szCs w:val="28"/>
        </w:rPr>
      </w:r>
      <w:r/>
    </w:p>
    <w:p>
      <w:pPr>
        <w:ind w:firstLine="964"/>
        <w:spacing w:before="120" w:after="120" w:line="360" w:lineRule="auto"/>
        <w:rPr>
          <w:rFonts w:ascii="Arial" w:hAnsi="Arial" w:eastAsia="宋体"/>
          <w:lang w:val="en-US" w:eastAsia="zh-CN"/>
        </w:rPr>
      </w:pPr>
      <w:r>
        <w:rPr>
          <w:rFonts w:hint="eastAsia" w:ascii="Arial" w:hAnsi="Arial" w:eastAsia="黑体"/>
          <w:b/>
          <w:bCs/>
          <w:color w:val="000000"/>
          <w:sz w:val="84"/>
          <w:szCs w:val="24"/>
          <w:highlight w:val="none"/>
        </w:rPr>
      </w:r>
      <w:r>
        <w:rPr>
          <w:rFonts w:ascii="Arial" w:hAnsi="Arial" w:eastAsia="宋体"/>
          <w:b/>
          <w:bCs/>
          <w:sz w:val="32"/>
          <w:szCs w:val="32"/>
          <w:lang w:val="en-US" w:eastAsia="zh-CN"/>
        </w:rPr>
      </w:r>
      <w:r/>
    </w:p>
    <w:p>
      <w:pPr>
        <w:ind w:firstLine="964"/>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项目名称：宿迁学院新校区图书馆密集书架项目</w:t>
      </w:r>
      <w:r/>
    </w:p>
    <w:p>
      <w:pPr>
        <w:ind w:firstLine="964"/>
        <w:spacing w:before="120" w:after="120" w:line="360" w:lineRule="auto"/>
        <w:rPr>
          <w:rFonts w:hint="eastAsia" w:ascii="Arial" w:hAnsi="Arial"/>
          <w:b/>
          <w:bCs/>
          <w:sz w:val="32"/>
          <w:szCs w:val="32"/>
          <w:highlight w:val="none"/>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：JSZC-320000-SCZX-G2026-0081</w:t>
      </w:r>
      <w:r/>
    </w:p>
    <w:p>
      <w:pPr>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3</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513029200"/>
      <w:r/>
      <w:bookmarkStart w:id="3" w:name="_Toc523127445"/>
      <w:r/>
      <w:bookmarkStart w:id="4" w:name="_Toc479757206"/>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18</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35</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46</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52</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受宿迁学院的委托，江苏省政府采购中心就宿迁学院新校区图书馆密集书架项目(JSZC-320000-SCZX-G2026-0081)项目进行公开招标采购，欢迎符合条件的供应商投标。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宿迁学院新校区图书馆密集书架项目</w:t>
      </w:r>
      <w:r>
        <w:rPr>
          <w:rFonts w:hint="eastAsia" w:ascii="宋体" w:hAnsi="宋体"/>
          <w:color w:val="000000"/>
          <w:sz w:val="24"/>
          <w:szCs w:val="24"/>
        </w:rPr>
        <w:t xml:space="preserve"> 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4</w:t>
      </w:r>
      <w:r>
        <w:rPr>
          <w:rFonts w:hint="eastAsia" w:ascii="宋体" w:hAnsi="宋体"/>
          <w:bCs/>
          <w:color w:val="000000"/>
          <w:sz w:val="24"/>
          <w:szCs w:val="24"/>
          <w:u w:val="single"/>
        </w:rPr>
        <w:t xml:space="preserve"> 月 20</w:t>
      </w:r>
      <w:r>
        <w:rPr>
          <w:rFonts w:hint="eastAsia" w:ascii="宋体" w:hAnsi="宋体"/>
          <w:bCs/>
          <w:color w:val="000000"/>
          <w:sz w:val="24"/>
          <w:szCs w:val="24"/>
          <w:u w:val="single"/>
        </w:rPr>
        <w:t xml:space="preserve">日 </w:t>
      </w:r>
      <w:r>
        <w:rPr>
          <w:rFonts w:hint="eastAsia" w:ascii="宋体" w:hAnsi="宋体"/>
          <w:bCs/>
          <w:color w:val="000000"/>
          <w:sz w:val="24"/>
          <w:szCs w:val="24"/>
          <w:u w:val="single"/>
          <w:lang w:val="en-US" w:eastAsia="zh-CN"/>
        </w:rPr>
        <w:t xml:space="preserve"> 14</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rFonts w:ascii="Times New Roman" w:hAnsi="Times New Roman"/>
          <w:b/>
          <w:bCs/>
          <w:color w:val="000000"/>
          <w:sz w:val="32"/>
          <w:szCs w:val="32"/>
        </w:rPr>
        <w:outlineLvl w:val="2"/>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JSZC-320000-SCZX-G2026-0081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2.项目名称：宿迁学院新校区图书馆密集书架项目</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2800" w:type="dxa"/>
            <w:vAlign w:val="top"/>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255</w:t>
            </w:r>
            <w:r/>
          </w:p>
        </w:tc>
      </w:tr>
    </w:tbl>
    <w:p>
      <w:pPr>
        <w:ind w:firstLine="480"/>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4.最高限价</w:t>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313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最高限价（人民币：万元）</w:t>
            </w:r>
            <w:r/>
          </w:p>
        </w:tc>
      </w:tr>
      <w:tr>
        <w:trPr/>
        <w:tc>
          <w:tcPr>
            <w:tcW w:w="1148"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135" w:type="dxa"/>
            <w:vAlign w:val="top"/>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255</w:t>
            </w:r>
            <w:r/>
          </w:p>
        </w:tc>
      </w:tr>
    </w:tbl>
    <w:p>
      <w:pPr>
        <w:numPr>
          <w:ilvl w:val="0"/>
          <w:numId w:val="5"/>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w:t>
      </w:r>
      <w:r/>
    </w:p>
    <w:p>
      <w:pPr>
        <w:numPr>
          <w:ilvl w:val="0"/>
          <w:numId w:val="0"/>
        </w:numPr>
        <w:spacing w:line="400" w:lineRule="exact"/>
        <w:rPr>
          <w:rFonts w:ascii="宋体" w:hAnsi="宋体"/>
          <w:color w:val="000000"/>
          <w:sz w:val="24"/>
          <w:szCs w:val="24"/>
          <w:highlight w:val="none"/>
          <w:u w:val="single"/>
        </w:rPr>
      </w:pPr>
      <w:r>
        <w:rPr>
          <w:rFonts w:hint="eastAsia" w:ascii="宋体" w:hAnsi="宋体"/>
          <w:color w:val="000000"/>
          <w:sz w:val="24"/>
          <w:szCs w:val="24"/>
          <w:highlight w:val="none"/>
          <w:lang w:val="en-US" w:eastAsia="zh-CN"/>
        </w:rPr>
        <w:t xml:space="preserve">    宿迁学院新校区图书馆密集书库共有五个，分别为西北裙楼一层（吊顶后层高3.7米）、东北裙楼一至四层（一楼吊顶后层高3.7米，二至四楼吊顶后层高3.1米），共1500平方米左右，用于密集存储读者不经常借阅的纸本文献，是图书馆馆藏建设的重要基础设施。为了适应图书馆功能需求，需采购一批手动型密集书架，设计要求总体积不小于2700立方米，总计容纳图书110万册以上（以书的厚度为2.5厘米测算）。</w:t>
      </w:r>
      <w:r>
        <w:rPr>
          <w:rFonts w:hint="eastAsia" w:ascii="宋体" w:hAnsi="宋体" w:cs="宋体"/>
          <w:color w:val="000000"/>
          <w:sz w:val="24"/>
          <w:szCs w:val="24"/>
          <w:highlight w:val="none"/>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6.合同履行期限：合同签订生效后，具体安装时间以采购人书面正式通知为准，交货验收、安装调试必须在接到采购人正式通知后50天内完成。</w:t>
      </w:r>
      <w:r/>
    </w:p>
    <w:p>
      <w:pPr>
        <w:ind w:firstLine="496"/>
        <w:keepLines/>
        <w:keepNext/>
        <w:spacing w:before="156" w:after="156" w:line="360" w:lineRule="auto"/>
        <w:rPr>
          <w:rFonts w:ascii="Times New Roman" w:hAnsi="Times New Roman"/>
          <w:b/>
          <w:bCs/>
          <w:color w:val="000000"/>
          <w:sz w:val="32"/>
          <w:szCs w:val="32"/>
        </w:rPr>
        <w:outlineLvl w:val="2"/>
      </w:pPr>
      <w:r/>
      <w:bookmarkStart w:id="12" w:name="_Toc38985264"/>
      <w:r/>
      <w:bookmarkStart w:id="13" w:name="_Toc28359080"/>
      <w:r/>
      <w:bookmarkStart w:id="14" w:name="_Toc35393791"/>
      <w:r/>
      <w:bookmarkStart w:id="15" w:name="_Toc35393622"/>
      <w:r/>
      <w:bookmarkStart w:id="16" w:name="_Toc28359003"/>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28359081"/>
      <w:r/>
      <w:bookmarkStart w:id="18" w:name="_Toc35393623"/>
      <w:r/>
      <w:bookmarkStart w:id="19" w:name="_Toc28359004"/>
      <w:r/>
      <w:bookmarkStart w:id="20" w:name="_Toc35393792"/>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2024或2025</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2967"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w:t>
            </w:r>
            <w:r/>
          </w:p>
        </w:tc>
      </w:tr>
    </w:tbl>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vAlign w:val="top"/>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w:t>
            </w:r>
            <w:r/>
          </w:p>
        </w:tc>
      </w:tr>
    </w:tbl>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rFonts w:ascii="Times New Roman" w:hAnsi="Times New Roman"/>
          <w:b/>
          <w:bCs/>
          <w:color w:val="000000"/>
          <w:sz w:val="32"/>
          <w:szCs w:val="32"/>
        </w:rPr>
        <w:outlineLvl w:val="2"/>
      </w:pPr>
      <w:r/>
      <w:bookmarkStart w:id="22" w:name="_Toc28359005"/>
      <w:r/>
      <w:bookmarkStart w:id="23" w:name="_Toc28359082"/>
      <w:r/>
      <w:bookmarkStart w:id="24" w:name="_Toc35393624"/>
      <w:r/>
      <w:bookmarkStart w:id="25" w:name="_Toc35393793"/>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4</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20</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14</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rFonts w:ascii="Times New Roman" w:hAnsi="Times New Roman"/>
          <w:b/>
          <w:bCs/>
          <w:color w:val="000000"/>
          <w:sz w:val="32"/>
          <w:szCs w:val="32"/>
        </w:rPr>
        <w:outlineLvl w:val="2"/>
      </w:pPr>
      <w:r/>
      <w:bookmarkStart w:id="27" w:name="_Toc28359084"/>
      <w:r/>
      <w:bookmarkStart w:id="28" w:name="_Toc35393625"/>
      <w:r/>
      <w:bookmarkStart w:id="29" w:name="_Toc28359007"/>
      <w:r/>
      <w:bookmarkStart w:id="30" w:name="_Toc35393794"/>
      <w:r/>
      <w:bookmarkStart w:id="31" w:name="_Toc3898526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56" w:after="156" w:line="400" w:lineRule="exact"/>
        <w:rPr>
          <w:rFonts w:ascii="Times New Roman" w:hAnsi="Times New Roman"/>
          <w:b/>
          <w:bCs/>
          <w:color w:val="000000"/>
          <w:sz w:val="32"/>
          <w:szCs w:val="32"/>
        </w:rPr>
        <w:outlineLvl w:val="2"/>
      </w:pPr>
      <w:r/>
      <w:bookmarkStart w:id="32" w:name="_Toc38985268"/>
      <w:r/>
      <w:bookmarkStart w:id="33" w:name="_Toc35393626"/>
      <w:r/>
      <w:bookmarkStart w:id="34" w:name="_Toc35393795"/>
      <w:r>
        <w:rPr>
          <w:rFonts w:hint="eastAsia" w:ascii="Times New Roman" w:hAnsi="Times New Roman"/>
          <w:b/>
          <w:bCs/>
          <w:color w:val="000000"/>
          <w:sz w:val="32"/>
          <w:szCs w:val="32"/>
        </w:rPr>
        <w:t xml:space="preserve">六、其他补充事宜</w:t>
      </w:r>
      <w:bookmarkEnd w:id="32"/>
      <w:r/>
      <w:bookmarkEnd w:id="33"/>
      <w:r/>
      <w:bookmarkEnd w:id="34"/>
      <w:r/>
      <w:r/>
    </w:p>
    <w:p>
      <w:pPr>
        <w:ind w:firstLine="496"/>
        <w:keepLines/>
        <w:keepNext/>
        <w:spacing w:before="156" w:after="156" w:line="400" w:lineRule="exact"/>
        <w:rPr>
          <w:rFonts w:hint="eastAsia" w:ascii="宋体" w:hAnsi="宋体" w:cs="宋体"/>
          <w:color w:val="000000"/>
          <w:sz w:val="24"/>
          <w:szCs w:val="24"/>
        </w:rPr>
        <w:outlineLvl w:val="2"/>
      </w:pPr>
      <w:r/>
      <w:bookmarkStart w:id="35" w:name="_Toc35393796"/>
      <w:r/>
      <w:bookmarkStart w:id="36" w:name="_Toc28359085"/>
      <w:r/>
      <w:bookmarkStart w:id="37" w:name="_Toc38985269"/>
      <w:r/>
      <w:bookmarkStart w:id="38" w:name="_Toc35393627"/>
      <w:r/>
      <w:bookmarkStart w:id="39" w:name="_Toc28359008"/>
      <w:r>
        <w:rPr>
          <w:rFonts w:hint="eastAsia" w:ascii="宋体" w:hAnsi="宋体" w:cs="宋体"/>
          <w:color w:val="000000"/>
          <w:sz w:val="24"/>
          <w:szCs w:val="24"/>
        </w:rPr>
        <w:t xml:space="preserve">本项目组织集中现场勘察。投标人根据项目需要自行勘察现场,因未勘察现场或勘察工作不详细的供应商中标后，不得以不完全了解现场情况为理由而向采购人提出任何索赔或其他要求，对此采购人不承担任何责任并将不作任何答复。</w:t>
      </w:r>
      <w:r/>
    </w:p>
    <w:p>
      <w:pPr>
        <w:ind w:firstLine="496"/>
        <w:keepLines/>
        <w:keepNext/>
        <w:spacing w:before="156" w:after="156" w:line="400" w:lineRule="exact"/>
        <w:rPr>
          <w:rFonts w:hint="default" w:ascii="宋体" w:hAnsi="宋体" w:eastAsia="宋体" w:cs="宋体"/>
          <w:color w:val="000000"/>
          <w:sz w:val="24"/>
          <w:szCs w:val="24"/>
          <w:highlight w:val="none"/>
          <w:lang w:val="en-US" w:eastAsia="zh-CN"/>
        </w:rPr>
        <w:outlineLvl w:val="2"/>
      </w:pPr>
      <w:r>
        <w:rPr>
          <w:rFonts w:hint="eastAsia" w:ascii="宋体" w:hAnsi="宋体" w:cs="宋体"/>
          <w:color w:val="000000"/>
          <w:sz w:val="24"/>
          <w:szCs w:val="24"/>
          <w:highlight w:val="none"/>
        </w:rPr>
        <w:t xml:space="preserve">统一勘察集中时间：2026年</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月30</w:t>
      </w:r>
      <w:r>
        <w:rPr>
          <w:rFonts w:hint="eastAsia" w:ascii="宋体" w:hAnsi="宋体" w:cs="宋体"/>
          <w:color w:val="000000"/>
          <w:sz w:val="24"/>
          <w:szCs w:val="24"/>
          <w:highlight w:val="none"/>
        </w:rPr>
        <w:t xml:space="preserve">日上午10点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过时不候</w:t>
      </w:r>
      <w:r/>
    </w:p>
    <w:p>
      <w:pPr>
        <w:ind w:firstLine="496"/>
        <w:keepLines/>
        <w:keepNext/>
        <w:spacing w:before="156" w:after="156" w:line="400" w:lineRule="exact"/>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地点：宿迁学院新校区图书馆</w:t>
      </w:r>
      <w:r/>
    </w:p>
    <w:p>
      <w:pPr>
        <w:ind w:firstLine="496"/>
        <w:keepLines/>
        <w:keepNext/>
        <w:spacing w:before="156" w:after="156" w:line="400" w:lineRule="exact"/>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联系人：</w:t>
      </w:r>
      <w:r>
        <w:rPr>
          <w:rFonts w:hint="eastAsia" w:ascii="宋体" w:hAnsi="宋体"/>
          <w:b w:val="0"/>
          <w:bCs w:val="0"/>
          <w:color w:val="auto"/>
          <w:sz w:val="24"/>
          <w:szCs w:val="21"/>
          <w:highlight w:val="none"/>
        </w:rPr>
        <w:t xml:space="preserve">何经理 </w:t>
      </w:r>
      <w:r>
        <w:rPr>
          <w:rFonts w:hint="eastAsia" w:ascii="宋体" w:hAnsi="宋体" w:cs="宋体"/>
          <w:color w:val="000000"/>
          <w:sz w:val="24"/>
          <w:szCs w:val="24"/>
          <w:highlight w:val="none"/>
        </w:rPr>
        <w:t xml:space="preserve">    </w:t>
      </w:r>
      <w:r/>
    </w:p>
    <w:p>
      <w:pPr>
        <w:ind w:firstLine="496"/>
        <w:keepLines/>
        <w:keepNext/>
        <w:spacing w:before="156" w:after="156" w:line="400" w:lineRule="exact"/>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联系电话：</w:t>
      </w:r>
      <w:r>
        <w:rPr>
          <w:rFonts w:hint="eastAsia" w:ascii="宋体" w:hAnsi="宋体"/>
          <w:b w:val="0"/>
          <w:bCs w:val="0"/>
          <w:color w:val="auto"/>
          <w:sz w:val="24"/>
          <w:szCs w:val="21"/>
          <w:highlight w:val="none"/>
        </w:rPr>
        <w:t xml:space="preserve">17834962845</w:t>
      </w:r>
      <w:r/>
    </w:p>
    <w:p>
      <w:pPr>
        <w:ind w:firstLine="496"/>
        <w:keepLines/>
        <w:keepNext/>
        <w:spacing w:before="156" w:after="156" w:line="40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宿迁学院</w:t>
      </w:r>
      <w:r>
        <w:rPr>
          <w:rFonts w:hint="eastAsia" w:ascii="宋体" w:hAnsi="宋体"/>
          <w:color w:val="000000"/>
          <w:sz w:val="24"/>
          <w:szCs w:val="24"/>
          <w:highlight w:val="none"/>
          <w:u w:val="single"/>
        </w:rPr>
        <w:t xml:space="preserve">　　　　　　　　　</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江苏省宿迁市黄河南路399号　　　　　</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刘老师</w:t>
      </w:r>
      <w:r>
        <w:rPr>
          <w:rFonts w:hint="eastAsia" w:ascii="宋体" w:hAnsi="宋体"/>
          <w:color w:val="000000"/>
          <w:sz w:val="24"/>
          <w:szCs w:val="24"/>
          <w:highlight w:val="none"/>
          <w:u w:val="single"/>
        </w:rPr>
        <w:t xml:space="preserve">                  </w:t>
      </w:r>
      <w:r/>
    </w:p>
    <w:p>
      <w:pPr>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13905247017</w:t>
      </w:r>
      <w:r>
        <w:rPr>
          <w:rFonts w:hint="eastAsia" w:ascii="宋体" w:hAnsi="宋体"/>
          <w:color w:val="000000"/>
          <w:sz w:val="24"/>
          <w:szCs w:val="24"/>
          <w:highlight w:val="none"/>
          <w:u w:val="single"/>
        </w:rPr>
        <w:t xml:space="preserve">　　　　　　　 </w:t>
      </w:r>
      <w:bookmarkStart w:id="40" w:name="_Toc28359009"/>
      <w:r/>
      <w:bookmarkStart w:id="41" w:name="_Toc28359086"/>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
    </w:p>
    <w:p>
      <w:pPr>
        <w:ind w:firstLine="720"/>
        <w:spacing w:line="400" w:lineRule="exact"/>
        <w:rPr>
          <w:rFonts w:ascii="宋体" w:hAnsi="宋体"/>
          <w:color w:val="000000"/>
          <w:sz w:val="24"/>
          <w:szCs w:val="24"/>
          <w:highlight w:val="none"/>
        </w:rPr>
      </w:pPr>
      <w:r/>
      <w:bookmarkStart w:id="42" w:name="OLE_LINK10"/>
      <w:r>
        <w:rPr>
          <w:rFonts w:hint="eastAsia" w:ascii="宋体" w:hAnsi="宋体"/>
          <w:color w:val="000000"/>
          <w:sz w:val="24"/>
          <w:szCs w:val="24"/>
          <w:highlight w:val="none"/>
        </w:rPr>
        <w:t xml:space="preserve">地　  址：  </w:t>
      </w:r>
      <w:r>
        <w:rPr>
          <w:rFonts w:hint="eastAsia" w:ascii="宋体" w:hAnsi="宋体"/>
          <w:color w:val="000000"/>
          <w:sz w:val="24"/>
          <w:szCs w:val="24"/>
          <w:highlight w:val="none"/>
          <w:u w:val="single"/>
        </w:rPr>
        <w:t xml:space="preserve">南京市汉中门大街145号省政务中心二期3楼南区</w:t>
      </w:r>
      <w:r/>
    </w:p>
    <w:p>
      <w:pPr>
        <w:ind w:firstLine="720"/>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 系 人：  </w:t>
      </w:r>
      <w:r>
        <w:rPr>
          <w:rFonts w:hint="eastAsia" w:ascii="宋体" w:hAnsi="宋体"/>
          <w:color w:val="000000"/>
          <w:sz w:val="24"/>
          <w:szCs w:val="24"/>
          <w:highlight w:val="none"/>
          <w:u w:val="single"/>
        </w:rPr>
        <w:t xml:space="preserve">     唐雪菲   </w:t>
      </w:r>
      <w:r>
        <w:rPr>
          <w:rFonts w:hint="eastAsia" w:ascii="宋体" w:hAnsi="宋体"/>
          <w:color w:val="000000"/>
          <w:sz w:val="24"/>
          <w:szCs w:val="24"/>
          <w:highlight w:val="none"/>
          <w:u w:val="single"/>
          <w:lang w:val="en-US" w:eastAsia="zh-CN"/>
        </w:rPr>
        <w:t xml:space="preserve">郑荔</w:t>
      </w:r>
      <w:r>
        <w:rPr>
          <w:rFonts w:hint="eastAsia" w:ascii="宋体" w:hAnsi="宋体"/>
          <w:color w:val="000000"/>
          <w:sz w:val="24"/>
          <w:szCs w:val="24"/>
          <w:highlight w:val="none"/>
          <w:u w:val="single"/>
        </w:rPr>
        <w:t xml:space="preserve">   </w:t>
      </w:r>
      <w:r/>
    </w:p>
    <w:p>
      <w:pPr>
        <w:ind w:firstLine="720"/>
        <w:spacing w:line="4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联系方式：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025-</w:t>
      </w:r>
      <w:r>
        <w:rPr>
          <w:rFonts w:hint="eastAsia" w:ascii="宋体" w:hAnsi="宋体"/>
          <w:color w:val="000000"/>
          <w:sz w:val="24"/>
          <w:szCs w:val="24"/>
          <w:highlight w:val="none"/>
          <w:u w:val="single"/>
        </w:rPr>
        <w:t xml:space="preserve">83668562 </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836685</w:t>
      </w:r>
      <w:r>
        <w:rPr>
          <w:rFonts w:hint="eastAsia" w:ascii="宋体" w:hAnsi="宋体"/>
          <w:color w:val="000000"/>
          <w:sz w:val="24"/>
          <w:szCs w:val="24"/>
          <w:highlight w:val="none"/>
          <w:u w:val="single"/>
          <w:lang w:val="en-US" w:eastAsia="zh-CN"/>
        </w:rPr>
        <w:t xml:space="preserve">35</w:t>
      </w:r>
      <w:r>
        <w:rPr>
          <w:rFonts w:hint="eastAsia" w:ascii="宋体" w:hAnsi="宋体"/>
          <w:color w:val="000000"/>
          <w:sz w:val="24"/>
          <w:szCs w:val="24"/>
          <w:highlight w:val="none"/>
          <w:u w:val="single"/>
        </w:rPr>
        <w:t xml:space="preserve">　   </w:t>
      </w:r>
      <w:bookmarkEnd w:id="42"/>
      <w:r/>
      <w:r/>
    </w:p>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3"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3"/>
      <w:r/>
      <w:bookmarkStart w:id="44" w:name="_Toc120614213"/>
      <w:r/>
      <w:bookmarkStart w:id="45" w:name="_Toc20823274"/>
      <w:r/>
      <w:bookmarkStart w:id="46" w:name="_Toc513029202"/>
      <w:r/>
      <w:bookmarkStart w:id="47" w:name="_Toc16938518"/>
      <w:r>
        <w:rPr>
          <w:rFonts w:hint="eastAsia" w:ascii="黑体" w:hAnsi="Arial" w:eastAsia="黑体" w:cs="Arial"/>
          <w:b/>
          <w:bCs/>
          <w:color w:val="000000"/>
          <w:sz w:val="44"/>
          <w:szCs w:val="44"/>
        </w:rPr>
        <w:t xml:space="preserve">投标人须知</w:t>
      </w:r>
      <w:bookmarkEnd w:id="44"/>
      <w:r/>
      <w:bookmarkEnd w:id="45"/>
      <w:r/>
      <w:bookmarkEnd w:id="46"/>
      <w:r/>
      <w:bookmarkEnd w:id="47"/>
      <w:r/>
      <w:r/>
    </w:p>
    <w:p>
      <w:pPr>
        <w:ind w:firstLine="496"/>
        <w:keepLines/>
        <w:keepNext/>
        <w:spacing w:before="156" w:after="156" w:line="400" w:lineRule="exact"/>
        <w:rPr>
          <w:rFonts w:hint="eastAsia" w:ascii="Times New Roman" w:hAnsi="Times New Roman"/>
          <w:b/>
          <w:bCs/>
          <w:color w:val="000000"/>
          <w:sz w:val="32"/>
          <w:szCs w:val="32"/>
        </w:rPr>
        <w:outlineLvl w:val="2"/>
      </w:pPr>
      <w:r/>
      <w:bookmarkStart w:id="48" w:name="_Toc16938519"/>
      <w:r/>
      <w:bookmarkStart w:id="49" w:name="_Toc20823275"/>
      <w:r/>
      <w:bookmarkStart w:id="50" w:name="_Toc120614214"/>
      <w:r/>
      <w:bookmarkStart w:id="51" w:name="_Toc513029203"/>
      <w:r>
        <w:rPr>
          <w:rFonts w:hint="eastAsia" w:ascii="Times New Roman" w:hAnsi="Times New Roman"/>
          <w:b/>
          <w:bCs/>
          <w:color w:val="000000"/>
          <w:sz w:val="32"/>
          <w:szCs w:val="32"/>
        </w:rPr>
        <w:t xml:space="preserve">一、总则</w:t>
      </w:r>
      <w:bookmarkEnd w:id="48"/>
      <w:r/>
      <w:bookmarkEnd w:id="49"/>
      <w:r/>
      <w:bookmarkEnd w:id="50"/>
      <w:r/>
      <w:bookmarkEnd w:id="51"/>
      <w:r/>
      <w:r/>
    </w:p>
    <w:p>
      <w:pPr>
        <w:ind w:firstLine="420"/>
        <w:keepLines/>
        <w:keepNext/>
        <w:spacing w:line="400" w:lineRule="exact"/>
        <w:rPr>
          <w:rFonts w:hint="eastAsia" w:ascii="Arial" w:hAnsi="Arial" w:eastAsia="黑体" w:cs="Arial"/>
          <w:color w:val="000000"/>
          <w:sz w:val="28"/>
          <w:szCs w:val="28"/>
        </w:rPr>
        <w:outlineLvl w:val="3"/>
      </w:pPr>
      <w:r/>
      <w:bookmarkStart w:id="52" w:name="_Hlt16619475"/>
      <w:r/>
      <w:bookmarkEnd w:id="52"/>
      <w:r/>
      <w:bookmarkStart w:id="53" w:name="_Toc458694821"/>
      <w:r/>
      <w:bookmarkStart w:id="54" w:name="_Toc513029204"/>
      <w:r/>
      <w:bookmarkStart w:id="55" w:name="_Toc20823276"/>
      <w:r/>
      <w:bookmarkStart w:id="56" w:name="_Toc16938520"/>
      <w:r>
        <w:rPr>
          <w:rFonts w:hint="eastAsia" w:ascii="Arial" w:hAnsi="Arial" w:eastAsia="黑体" w:cs="Arial"/>
          <w:color w:val="000000"/>
          <w:sz w:val="28"/>
          <w:szCs w:val="28"/>
        </w:rPr>
        <w:t xml:space="preserve">1</w:t>
      </w:r>
      <w:bookmarkEnd w:id="53"/>
      <w:r>
        <w:rPr>
          <w:rFonts w:hint="eastAsia" w:ascii="Arial" w:hAnsi="Arial" w:eastAsia="黑体" w:cs="Arial"/>
          <w:color w:val="000000"/>
          <w:sz w:val="28"/>
          <w:szCs w:val="28"/>
        </w:rPr>
        <w:t xml:space="preserve">、招标方式</w:t>
      </w:r>
      <w:bookmarkEnd w:id="54"/>
      <w:r/>
      <w:bookmarkEnd w:id="55"/>
      <w:r/>
      <w:bookmarkEnd w:id="56"/>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7" w:name="_Toc16938521"/>
      <w:r/>
      <w:bookmarkStart w:id="58" w:name="_Toc20823277"/>
      <w:r/>
      <w:bookmarkStart w:id="59" w:name="_Toc513029205"/>
      <w:r>
        <w:rPr>
          <w:rFonts w:hint="eastAsia" w:ascii="Arial" w:hAnsi="Arial" w:eastAsia="黑体" w:cs="Arial"/>
          <w:color w:val="000000"/>
          <w:sz w:val="28"/>
          <w:szCs w:val="28"/>
        </w:rPr>
        <w:t xml:space="preserve">2、合格的投标人</w:t>
      </w:r>
      <w:bookmarkEnd w:id="57"/>
      <w:r/>
      <w:bookmarkEnd w:id="58"/>
      <w:r/>
      <w:bookmarkEnd w:id="59"/>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lang w:eastAsia="zh-CN"/>
        </w:rPr>
        <w:outlineLvl w:val="3"/>
      </w:pPr>
      <w:r/>
      <w:bookmarkStart w:id="60" w:name="_Toc513029206"/>
      <w:r/>
      <w:bookmarkStart w:id="61" w:name="_Toc20823278"/>
      <w:r/>
      <w:bookmarkStart w:id="62" w:name="_Toc16938522"/>
      <w:r>
        <w:rPr>
          <w:rFonts w:hint="eastAsia" w:ascii="Arial" w:hAnsi="Arial" w:eastAsia="黑体" w:cs="Arial"/>
          <w:color w:val="000000"/>
          <w:sz w:val="28"/>
          <w:szCs w:val="28"/>
        </w:rPr>
        <w:t xml:space="preserve">3、适用法律</w:t>
      </w:r>
      <w:bookmarkEnd w:id="60"/>
      <w:r/>
      <w:bookmarkEnd w:id="61"/>
      <w:r/>
      <w:bookmarkEnd w:id="62"/>
      <w:r>
        <w:rPr>
          <w:rFonts w:hint="eastAsia" w:ascii="Arial" w:hAnsi="Arial" w:eastAsia="黑体" w:cs="Arial"/>
          <w:color w:val="000000"/>
          <w:sz w:val="28"/>
          <w:szCs w:val="28"/>
          <w:lang w:eastAsia="zh-CN"/>
        </w:rPr>
        <w:t xml:space="preserve">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3" w:name="_Toc513029207"/>
      <w:r/>
      <w:bookmarkStart w:id="64" w:name="_Toc462564067"/>
      <w:r/>
      <w:bookmarkStart w:id="65" w:name="_Toc16938523"/>
      <w:r/>
      <w:bookmarkStart w:id="66" w:name="_Toc20823279"/>
      <w:r>
        <w:rPr>
          <w:rFonts w:hint="eastAsia" w:ascii="Arial" w:hAnsi="Arial" w:eastAsia="黑体" w:cs="Arial"/>
          <w:color w:val="000000"/>
          <w:sz w:val="28"/>
          <w:szCs w:val="28"/>
        </w:rPr>
        <w:t xml:space="preserve">4、投标费用</w:t>
      </w:r>
      <w:bookmarkEnd w:id="63"/>
      <w:r/>
      <w:bookmarkEnd w:id="64"/>
      <w:r/>
      <w:bookmarkEnd w:id="65"/>
      <w:r/>
      <w:bookmarkEnd w:id="66"/>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ascii="Times New Roman" w:hAnsi="Times New Roman"/>
          <w:b/>
          <w:bCs/>
          <w:color w:val="000000"/>
          <w:sz w:val="32"/>
          <w:szCs w:val="32"/>
        </w:rPr>
        <w:outlineLvl w:val="2"/>
      </w:pPr>
      <w:r/>
      <w:bookmarkStart w:id="67" w:name="_Toc16938525"/>
      <w:r/>
      <w:bookmarkStart w:id="68" w:name="_Toc513029209"/>
      <w:r/>
      <w:bookmarkStart w:id="69" w:name="_Toc20823281"/>
      <w:r/>
      <w:bookmarkStart w:id="70" w:name="_Toc120614215"/>
      <w:r>
        <w:rPr>
          <w:rFonts w:hint="eastAsia" w:ascii="Times New Roman" w:hAnsi="Times New Roman"/>
          <w:b/>
          <w:bCs/>
          <w:color w:val="000000"/>
          <w:sz w:val="32"/>
          <w:szCs w:val="32"/>
        </w:rPr>
        <w:t xml:space="preserve">二、招标文件</w:t>
      </w:r>
      <w:bookmarkEnd w:id="67"/>
      <w:r/>
      <w:bookmarkEnd w:id="68"/>
      <w:r/>
      <w:bookmarkEnd w:id="69"/>
      <w:r/>
      <w:bookmarkEnd w:id="70"/>
      <w:r/>
      <w:r/>
    </w:p>
    <w:p>
      <w:pPr>
        <w:ind w:firstLine="420"/>
        <w:keepLines/>
        <w:keepNext/>
        <w:spacing w:line="400" w:lineRule="exact"/>
        <w:rPr>
          <w:rFonts w:hint="eastAsia" w:ascii="Arial" w:hAnsi="Arial" w:eastAsia="黑体" w:cs="Arial"/>
          <w:color w:val="000000"/>
          <w:sz w:val="28"/>
          <w:szCs w:val="28"/>
        </w:rPr>
        <w:outlineLvl w:val="3"/>
      </w:pPr>
      <w:r/>
      <w:bookmarkStart w:id="71" w:name="_Toc513029210"/>
      <w:r/>
      <w:bookmarkStart w:id="72" w:name="_Toc16938526"/>
      <w:r/>
      <w:bookmarkStart w:id="73" w:name="_Toc20823282"/>
      <w:r>
        <w:rPr>
          <w:rFonts w:hint="eastAsia" w:ascii="Arial" w:hAnsi="Arial" w:eastAsia="黑体" w:cs="Arial"/>
          <w:color w:val="000000"/>
          <w:sz w:val="28"/>
          <w:szCs w:val="28"/>
        </w:rPr>
        <w:t xml:space="preserve">6、招标文件构成</w:t>
      </w:r>
      <w:bookmarkEnd w:id="71"/>
      <w:r/>
      <w:bookmarkEnd w:id="72"/>
      <w:r/>
      <w:bookmarkEnd w:id="73"/>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4" w:name="_Toc16938528"/>
      <w:r/>
      <w:bookmarkStart w:id="75" w:name="_Toc20823284"/>
      <w:r/>
      <w:bookmarkStart w:id="76" w:name="_Toc513029212"/>
      <w:r/>
      <w:bookmarkStart w:id="77"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4"/>
      <w:r/>
      <w:bookmarkEnd w:id="75"/>
      <w:r/>
      <w:bookmarkEnd w:id="76"/>
      <w:r/>
      <w:bookmarkEnd w:id="77"/>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78" w:name="_Toc120614216"/>
      <w:r/>
      <w:bookmarkStart w:id="79" w:name="_Toc20823285"/>
      <w:r/>
      <w:bookmarkStart w:id="80" w:name="_Toc462564072"/>
      <w:r/>
      <w:bookmarkStart w:id="81" w:name="_Toc16938529"/>
      <w:r/>
      <w:bookmarkStart w:id="82" w:name="_Toc513029213"/>
      <w:r>
        <w:rPr>
          <w:rFonts w:hint="eastAsia" w:ascii="Times New Roman" w:hAnsi="Times New Roman"/>
          <w:b/>
          <w:bCs/>
          <w:color w:val="000000"/>
          <w:sz w:val="32"/>
          <w:szCs w:val="32"/>
        </w:rPr>
        <w:t xml:space="preserve">三、投标文件的编制</w:t>
      </w:r>
      <w:bookmarkEnd w:id="78"/>
      <w:r/>
      <w:bookmarkEnd w:id="79"/>
      <w:r/>
      <w:bookmarkEnd w:id="80"/>
      <w:r/>
      <w:bookmarkEnd w:id="81"/>
      <w:r/>
      <w:bookmarkEnd w:id="82"/>
      <w:r/>
      <w:r/>
    </w:p>
    <w:p>
      <w:pPr>
        <w:ind w:firstLine="560"/>
        <w:keepLines/>
        <w:keepNext/>
        <w:spacing w:line="400" w:lineRule="exact"/>
        <w:rPr>
          <w:rFonts w:hint="eastAsia" w:ascii="Arial" w:hAnsi="Arial" w:eastAsia="黑体" w:cs="Arial"/>
          <w:b/>
          <w:color w:val="000000"/>
          <w:sz w:val="28"/>
          <w:szCs w:val="28"/>
        </w:rPr>
        <w:outlineLvl w:val="3"/>
      </w:pPr>
      <w:r/>
      <w:bookmarkStart w:id="83" w:name="_Toc20823286"/>
      <w:r/>
      <w:bookmarkStart w:id="84" w:name="_Toc462564073"/>
      <w:r/>
      <w:bookmarkStart w:id="85" w:name="_Toc513029214"/>
      <w:r/>
      <w:bookmarkStart w:id="86"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3"/>
      <w:r/>
      <w:bookmarkEnd w:id="84"/>
      <w:r/>
      <w:bookmarkEnd w:id="85"/>
      <w:r/>
      <w:bookmarkEnd w:id="86"/>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7" w:name="_Toc513029215"/>
      <w:r/>
      <w:bookmarkStart w:id="88" w:name="_Toc16938531"/>
      <w:r/>
      <w:bookmarkStart w:id="89" w:name="_Toc462564074"/>
      <w:r/>
      <w:bookmarkStart w:id="90"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7"/>
      <w:r/>
      <w:bookmarkEnd w:id="88"/>
      <w:r/>
      <w:bookmarkEnd w:id="89"/>
      <w:r/>
      <w:bookmarkEnd w:id="90"/>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1" w:name="_Hlt26954838"/>
      <w:r/>
      <w:bookmarkEnd w:id="91"/>
      <w:r/>
      <w:bookmarkStart w:id="92" w:name="_Hlt26668975"/>
      <w:r/>
      <w:bookmarkEnd w:id="92"/>
      <w:r/>
      <w:bookmarkStart w:id="93" w:name="_Hlt26670360"/>
      <w:r/>
      <w:bookmarkEnd w:id="93"/>
      <w:r/>
      <w:bookmarkStart w:id="94" w:name="_Toc49090509"/>
      <w:r/>
      <w:bookmarkStart w:id="95" w:name="_Toc14577357"/>
      <w:r/>
      <w:bookmarkStart w:id="96" w:name="_Toc513029219"/>
      <w:r/>
      <w:bookmarkStart w:id="97" w:name="_Toc513029216"/>
      <w:r/>
      <w:bookmarkStart w:id="98" w:name="_Toc49090507"/>
      <w:r/>
      <w:bookmarkStart w:id="99" w:name="_Toc14577354"/>
      <w:r/>
      <w:bookmarkStart w:id="100" w:name="_Toc49090508"/>
      <w:r/>
      <w:bookmarkStart w:id="101"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4"/>
      <w:r/>
      <w:bookmarkEnd w:id="95"/>
      <w:r/>
      <w:bookmarkEnd w:id="96"/>
      <w:r/>
      <w:bookmarkEnd w:id="97"/>
      <w:r/>
      <w:bookmarkEnd w:id="98"/>
      <w:r/>
      <w:bookmarkEnd w:id="99"/>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0"/>
      <w:r/>
      <w:bookmarkEnd w:id="101"/>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2" w:name="_Hlt26954840"/>
      <w:r/>
      <w:bookmarkEnd w:id="102"/>
      <w:r>
        <w:rPr>
          <w:rFonts w:hint="eastAsia" w:ascii="宋体" w:hAnsi="宋体"/>
          <w:sz w:val="24"/>
          <w:szCs w:val="21"/>
        </w:rPr>
        <w:t xml:space="preserve">标人按照招标文件规定格式填报投标分项报价表</w:t>
      </w:r>
      <w:bookmarkStart w:id="103" w:name="_Hlt26670399"/>
      <w:r/>
      <w:bookmarkEnd w:id="103"/>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4" w:name="_Hlt26670482"/>
      <w:r/>
      <w:bookmarkEnd w:id="104"/>
      <w:r/>
      <w:bookmarkStart w:id="105" w:name="_Hlt26670486"/>
      <w:r/>
      <w:bookmarkEnd w:id="105"/>
      <w:r/>
      <w:bookmarkStart w:id="106" w:name="_Hlt26954731"/>
      <w:r/>
      <w:bookmarkEnd w:id="106"/>
      <w:r/>
      <w:bookmarkStart w:id="107" w:name="_Hlt26954848"/>
      <w:r/>
      <w:bookmarkEnd w:id="107"/>
      <w:r/>
      <w:bookmarkStart w:id="108" w:name="_Hlt26954846"/>
      <w:r/>
      <w:bookmarkEnd w:id="108"/>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09" w:name="_Toc14577359"/>
      <w:r/>
      <w:bookmarkStart w:id="110"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09"/>
      <w:r/>
      <w:bookmarkEnd w:id="110"/>
      <w:r/>
      <w:r/>
    </w:p>
    <w:p>
      <w:pPr>
        <w:ind w:firstLine="420"/>
        <w:keepLines/>
        <w:keepNext/>
        <w:spacing w:line="400" w:lineRule="exact"/>
        <w:rPr>
          <w:rFonts w:hint="eastAsia" w:ascii="Arial" w:hAnsi="Arial" w:eastAsia="黑体" w:cs="Arial"/>
          <w:color w:val="000000"/>
          <w:sz w:val="28"/>
          <w:szCs w:val="28"/>
        </w:rPr>
        <w:outlineLvl w:val="3"/>
      </w:pPr>
      <w:r/>
      <w:bookmarkStart w:id="111" w:name="_Toc49090511"/>
      <w:r/>
      <w:bookmarkStart w:id="112"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1"/>
      <w:r/>
      <w:bookmarkEnd w:id="112"/>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ascii="Times New Roman" w:hAnsi="Times New Roman"/>
          <w:b/>
          <w:bCs/>
          <w:color w:val="000000"/>
          <w:sz w:val="32"/>
          <w:szCs w:val="32"/>
        </w:rPr>
        <w:outlineLvl w:val="2"/>
      </w:pPr>
      <w:r/>
      <w:bookmarkStart w:id="113" w:name="_Hlt26954852"/>
      <w:r/>
      <w:bookmarkEnd w:id="113"/>
      <w:r/>
      <w:bookmarkStart w:id="114" w:name="_Hlt26954739"/>
      <w:r/>
      <w:bookmarkEnd w:id="114"/>
      <w:r/>
      <w:bookmarkStart w:id="115" w:name="_Toc120614217"/>
      <w:r/>
      <w:bookmarkStart w:id="116" w:name="_Toc16938540"/>
      <w:r/>
      <w:bookmarkStart w:id="117" w:name="_Toc513029224"/>
      <w:r/>
      <w:bookmarkStart w:id="118" w:name="_Toc20823296"/>
      <w:r>
        <w:rPr>
          <w:rFonts w:hint="eastAsia" w:ascii="Times New Roman" w:hAnsi="Times New Roman"/>
          <w:b/>
          <w:bCs/>
          <w:color w:val="000000"/>
          <w:sz w:val="32"/>
          <w:szCs w:val="32"/>
        </w:rPr>
        <w:t xml:space="preserve">四、投标文件的递交</w:t>
      </w:r>
      <w:bookmarkEnd w:id="115"/>
      <w:r/>
      <w:bookmarkEnd w:id="116"/>
      <w:r/>
      <w:bookmarkEnd w:id="117"/>
      <w:r/>
      <w:bookmarkEnd w:id="118"/>
      <w:r/>
      <w:r/>
    </w:p>
    <w:p>
      <w:pPr>
        <w:ind w:firstLine="420"/>
        <w:keepLines/>
        <w:keepNext/>
        <w:spacing w:line="400" w:lineRule="exact"/>
        <w:rPr>
          <w:rFonts w:hint="eastAsia" w:ascii="黑体" w:hAnsi="Arial" w:eastAsia="黑体" w:cs="Arial"/>
          <w:color w:val="000000"/>
          <w:sz w:val="28"/>
          <w:szCs w:val="28"/>
        </w:rPr>
        <w:outlineLvl w:val="3"/>
      </w:pPr>
      <w:r/>
      <w:bookmarkStart w:id="119" w:name="_Toc16938541"/>
      <w:r/>
      <w:bookmarkStart w:id="120" w:name="_Toc513029225"/>
      <w:r/>
      <w:bookmarkStart w:id="121" w:name="_Toc462564084"/>
      <w:r/>
      <w:bookmarkStart w:id="122"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9"/>
      <w:r/>
      <w:bookmarkEnd w:id="120"/>
      <w:r/>
      <w:bookmarkEnd w:id="121"/>
      <w:r/>
      <w:bookmarkEnd w:id="122"/>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3" w:name="_Toc20823298"/>
      <w:r/>
      <w:bookmarkStart w:id="124" w:name="_Toc513029226"/>
      <w:r/>
      <w:bookmarkStart w:id="125" w:name="_Toc16938542"/>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3"/>
      <w:r/>
      <w:bookmarkEnd w:id="124"/>
      <w:r/>
      <w:bookmarkEnd w:id="125"/>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6" w:name="_Toc513029227"/>
      <w:r/>
      <w:bookmarkStart w:id="127" w:name="_Toc20823299"/>
      <w:r/>
      <w:bookmarkStart w:id="128"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6"/>
      <w:r/>
      <w:bookmarkEnd w:id="127"/>
      <w:r/>
      <w:bookmarkEnd w:id="128"/>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29" w:name="_Toc513029228"/>
      <w:r/>
      <w:bookmarkStart w:id="130" w:name="_Toc16938544"/>
      <w:r/>
      <w:bookmarkStart w:id="131"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9"/>
      <w:r/>
      <w:bookmarkEnd w:id="130"/>
      <w:r/>
      <w:bookmarkEnd w:id="131"/>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32" w:name="_Toc120614218"/>
      <w:r/>
      <w:bookmarkStart w:id="133" w:name="_Toc16938545"/>
      <w:r/>
      <w:bookmarkStart w:id="134" w:name="_Toc20823301"/>
      <w:r/>
      <w:bookmarkStart w:id="135" w:name="_Toc513029229"/>
      <w:r>
        <w:rPr>
          <w:rFonts w:hint="eastAsia" w:ascii="Times New Roman" w:hAnsi="Times New Roman"/>
          <w:b/>
          <w:bCs/>
          <w:color w:val="000000"/>
          <w:sz w:val="32"/>
          <w:szCs w:val="32"/>
        </w:rPr>
        <w:t xml:space="preserve">五、开标与评标</w:t>
      </w:r>
      <w:bookmarkEnd w:id="132"/>
      <w:r/>
      <w:bookmarkEnd w:id="133"/>
      <w:r/>
      <w:bookmarkEnd w:id="134"/>
      <w:r/>
      <w:bookmarkEnd w:id="135"/>
      <w:r/>
      <w:r/>
    </w:p>
    <w:p>
      <w:pPr>
        <w:ind w:firstLine="420"/>
        <w:keepLines/>
        <w:keepNext/>
        <w:spacing w:line="400" w:lineRule="exact"/>
        <w:rPr>
          <w:rFonts w:hint="eastAsia" w:ascii="Arial" w:hAnsi="Arial" w:eastAsia="黑体" w:cs="Arial"/>
          <w:color w:val="000000"/>
          <w:sz w:val="28"/>
          <w:szCs w:val="28"/>
        </w:rPr>
        <w:outlineLvl w:val="3"/>
      </w:pPr>
      <w:r/>
      <w:bookmarkStart w:id="136" w:name="_Toc20823302"/>
      <w:r/>
      <w:bookmarkStart w:id="137" w:name="_Toc16938546"/>
      <w:r/>
      <w:bookmarkStart w:id="138"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6"/>
      <w:r/>
      <w:bookmarkEnd w:id="137"/>
      <w:r/>
      <w:bookmarkEnd w:id="138"/>
      <w:r/>
      <w:r/>
    </w:p>
    <w:p>
      <w:pPr>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39" w:name="_Toc20823303"/>
      <w:r/>
      <w:bookmarkStart w:id="140" w:name="_Toc513029231"/>
      <w:r/>
      <w:bookmarkStart w:id="141"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9"/>
      <w:r/>
      <w:bookmarkEnd w:id="140"/>
      <w:r/>
      <w:bookmarkEnd w:id="141"/>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2" w:name="_Toc20823304"/>
      <w:r/>
      <w:bookmarkStart w:id="143" w:name="_Toc513029232"/>
      <w:r/>
      <w:bookmarkStart w:id="144"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2"/>
      <w:r/>
      <w:bookmarkEnd w:id="143"/>
      <w:r/>
      <w:bookmarkEnd w:id="144"/>
      <w:r/>
      <w:r/>
    </w:p>
    <w:p>
      <w:pPr>
        <w:ind w:firstLine="480"/>
        <w:spacing w:line="400" w:lineRule="exact"/>
        <w:rPr>
          <w:rFonts w:ascii="宋体" w:hAnsi="宋体"/>
          <w:color w:val="000000"/>
          <w:sz w:val="24"/>
          <w:szCs w:val="24"/>
        </w:rPr>
      </w:pPr>
      <w:r/>
      <w:bookmarkStart w:id="145" w:name="_Toc20823305"/>
      <w:r/>
      <w:bookmarkStart w:id="146" w:name="_Toc513029233"/>
      <w:r/>
      <w:bookmarkStart w:id="147"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5"/>
      <w:r/>
      <w:bookmarkEnd w:id="146"/>
      <w:r/>
      <w:bookmarkEnd w:id="147"/>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8" w:name="_Toc20823306"/>
      <w:r/>
      <w:bookmarkStart w:id="149" w:name="_Toc16938550"/>
      <w:r/>
      <w:bookmarkStart w:id="150"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25.8 异常低价投标审查</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25.8.1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（1）投标报价低于全部通过符合性审查供应商投标报价平均值</w:t>
      </w:r>
      <w:r>
        <w:rPr>
          <w:rFonts w:hint="eastAsia" w:ascii="方正魏碑_GBK" w:hAnsi="方正魏碑_GBK" w:eastAsia="方正魏碑_GBK" w:cs="方正魏碑_GBK"/>
          <w:color w:val="auto"/>
          <w:sz w:val="24"/>
          <w:szCs w:val="21"/>
          <w:u w:val="single"/>
        </w:rPr>
        <w:t xml:space="preserve">50%</w:t>
      </w:r>
      <w:r>
        <w:rPr>
          <w:rFonts w:hint="eastAsia" w:ascii="方正魏碑_GBK" w:hAnsi="方正魏碑_GBK" w:eastAsia="方正魏碑_GBK" w:cs="方正魏碑_GBK"/>
          <w:color w:val="auto"/>
          <w:sz w:val="24"/>
          <w:szCs w:val="21"/>
        </w:rPr>
        <w:t xml:space="preserve">的，即投标报价&lt;全部通过符合性审查供应商投标报价平均值×</w:t>
      </w:r>
      <w:r>
        <w:rPr>
          <w:rFonts w:hint="eastAsia" w:ascii="方正魏碑_GBK" w:hAnsi="方正魏碑_GBK" w:eastAsia="方正魏碑_GBK" w:cs="方正魏碑_GBK"/>
          <w:color w:val="auto"/>
          <w:sz w:val="24"/>
          <w:szCs w:val="21"/>
          <w:u w:val="single"/>
        </w:rPr>
        <w:t xml:space="preserve">50%</w:t>
      </w:r>
      <w:r>
        <w:rPr>
          <w:rFonts w:hint="eastAsia" w:ascii="方正魏碑_GBK" w:hAnsi="方正魏碑_GBK" w:eastAsia="方正魏碑_GBK" w:cs="方正魏碑_GBK"/>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（2）投标报价低于通过符合性审查的次低报价供应商投标报价</w:t>
      </w:r>
      <w:r>
        <w:rPr>
          <w:rFonts w:hint="eastAsia" w:ascii="方正魏碑_GBK" w:hAnsi="方正魏碑_GBK" w:eastAsia="方正魏碑_GBK" w:cs="方正魏碑_GBK"/>
          <w:color w:val="auto"/>
          <w:sz w:val="24"/>
          <w:szCs w:val="21"/>
          <w:u w:val="single"/>
        </w:rPr>
        <w:t xml:space="preserve">50%</w:t>
      </w:r>
      <w:r>
        <w:rPr>
          <w:rFonts w:hint="eastAsia" w:ascii="方正魏碑_GBK" w:hAnsi="方正魏碑_GBK" w:eastAsia="方正魏碑_GBK" w:cs="方正魏碑_GBK"/>
          <w:color w:val="auto"/>
          <w:sz w:val="24"/>
          <w:szCs w:val="21"/>
        </w:rPr>
        <w:t xml:space="preserve">的，即投标报价&lt;通过符合性审查的次低报价供应商投标报价×</w:t>
      </w:r>
      <w:r>
        <w:rPr>
          <w:rFonts w:hint="eastAsia" w:ascii="方正魏碑_GBK" w:hAnsi="方正魏碑_GBK" w:eastAsia="方正魏碑_GBK" w:cs="方正魏碑_GBK"/>
          <w:color w:val="auto"/>
          <w:sz w:val="24"/>
          <w:szCs w:val="21"/>
          <w:u w:val="single"/>
        </w:rPr>
        <w:t xml:space="preserve">50%</w:t>
      </w:r>
      <w:r>
        <w:rPr>
          <w:rFonts w:hint="eastAsia" w:ascii="方正魏碑_GBK" w:hAnsi="方正魏碑_GBK" w:eastAsia="方正魏碑_GBK" w:cs="方正魏碑_GBK"/>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lang w:eastAsia="zh-CN"/>
        </w:rPr>
      </w:pPr>
      <w:r>
        <w:rPr>
          <w:rFonts w:hint="eastAsia" w:ascii="方正魏碑_GBK" w:hAnsi="方正魏碑_GBK" w:eastAsia="方正魏碑_GBK" w:cs="方正魏碑_GBK"/>
          <w:color w:val="auto"/>
          <w:sz w:val="24"/>
          <w:szCs w:val="21"/>
          <w:lang w:eastAsia="zh-CN"/>
        </w:rPr>
        <w:t xml:space="preserve">（</w:t>
      </w:r>
      <w:r>
        <w:rPr>
          <w:rFonts w:hint="eastAsia" w:ascii="方正魏碑_GBK" w:hAnsi="方正魏碑_GBK" w:eastAsia="方正魏碑_GBK" w:cs="方正魏碑_GBK"/>
          <w:color w:val="auto"/>
          <w:sz w:val="24"/>
          <w:szCs w:val="21"/>
          <w:lang w:val="en-US" w:eastAsia="zh-CN"/>
        </w:rPr>
        <w:t xml:space="preserve">3</w:t>
      </w:r>
      <w:r>
        <w:rPr>
          <w:rFonts w:hint="eastAsia" w:ascii="方正魏碑_GBK" w:hAnsi="方正魏碑_GBK" w:eastAsia="方正魏碑_GBK" w:cs="方正魏碑_GBK"/>
          <w:color w:val="auto"/>
          <w:sz w:val="24"/>
          <w:szCs w:val="21"/>
          <w:lang w:eastAsia="zh-CN"/>
        </w:rPr>
        <w:t xml:space="preserve">）投标报价低于采购项目最高限价</w:t>
      </w:r>
      <w:r>
        <w:rPr>
          <w:rFonts w:hint="eastAsia" w:ascii="方正魏碑_GBK" w:hAnsi="方正魏碑_GBK" w:eastAsia="方正魏碑_GBK" w:cs="方正魏碑_GBK"/>
          <w:color w:val="auto"/>
          <w:sz w:val="24"/>
          <w:szCs w:val="21"/>
          <w:u w:val="single"/>
          <w:lang w:eastAsia="zh-CN"/>
        </w:rPr>
        <w:t xml:space="preserve">45%</w:t>
      </w:r>
      <w:r>
        <w:rPr>
          <w:rFonts w:hint="eastAsia" w:ascii="方正魏碑_GBK" w:hAnsi="方正魏碑_GBK" w:eastAsia="方正魏碑_GBK" w:cs="方正魏碑_GBK"/>
          <w:color w:val="auto"/>
          <w:sz w:val="24"/>
          <w:szCs w:val="21"/>
          <w:lang w:eastAsia="zh-CN"/>
        </w:rPr>
        <w:t xml:space="preserve">的，即投标报价&lt;采购项目最高限价×</w:t>
      </w:r>
      <w:r>
        <w:rPr>
          <w:rFonts w:hint="eastAsia" w:ascii="方正魏碑_GBK" w:hAnsi="方正魏碑_GBK" w:eastAsia="方正魏碑_GBK" w:cs="方正魏碑_GBK"/>
          <w:color w:val="auto"/>
          <w:sz w:val="24"/>
          <w:szCs w:val="21"/>
          <w:u w:val="single"/>
          <w:lang w:eastAsia="zh-CN"/>
        </w:rPr>
        <w:t xml:space="preserve">45%</w:t>
      </w:r>
      <w:r>
        <w:rPr>
          <w:rFonts w:hint="eastAsia" w:ascii="方正魏碑_GBK" w:hAnsi="方正魏碑_GBK" w:eastAsia="方正魏碑_GBK" w:cs="方正魏碑_GBK"/>
          <w:color w:val="auto"/>
          <w:sz w:val="24"/>
          <w:szCs w:val="21"/>
          <w:lang w:eastAsia="zh-CN"/>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w:t>
      </w:r>
      <w:r>
        <w:rPr>
          <w:rFonts w:hint="eastAsia" w:ascii="方正魏碑_GBK" w:hAnsi="方正魏碑_GBK" w:eastAsia="方正魏碑_GBK" w:cs="方正魏碑_GBK"/>
          <w:color w:val="auto"/>
          <w:sz w:val="24"/>
          <w:szCs w:val="21"/>
          <w:lang w:val="en-US" w:eastAsia="zh-CN"/>
        </w:rPr>
        <w:t xml:space="preserve">4</w:t>
      </w:r>
      <w:r>
        <w:rPr>
          <w:rFonts w:hint="eastAsia" w:ascii="方正魏碑_GBK" w:hAnsi="方正魏碑_GBK" w:eastAsia="方正魏碑_GBK" w:cs="方正魏碑_GBK"/>
          <w:color w:val="auto"/>
          <w:sz w:val="24"/>
          <w:szCs w:val="21"/>
        </w:rPr>
        <w:t xml:space="preserve">）</w:t>
      </w:r>
      <w:r>
        <w:rPr>
          <w:rFonts w:hint="eastAsia" w:ascii="方正魏碑_GBK" w:hAnsi="方正魏碑_GBK" w:eastAsia="方正魏碑_GBK" w:cs="方正魏碑_GBK"/>
          <w:color w:val="auto"/>
          <w:sz w:val="24"/>
          <w:szCs w:val="21"/>
          <w:lang w:eastAsia="zh-CN"/>
        </w:rPr>
        <w:t xml:space="preserve">评标</w:t>
      </w:r>
      <w:r>
        <w:rPr>
          <w:rFonts w:hint="eastAsia" w:ascii="方正魏碑_GBK" w:hAnsi="方正魏碑_GBK" w:eastAsia="方正魏碑_GBK" w:cs="方正魏碑_GBK"/>
          <w:color w:val="auto"/>
          <w:sz w:val="24"/>
          <w:szCs w:val="21"/>
        </w:rPr>
        <w:t xml:space="preserve">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auto"/>
          <w:sz w:val="24"/>
          <w:szCs w:val="21"/>
          <w:lang w:val="en-US" w:eastAsia="zh-CN"/>
        </w:rPr>
      </w:pPr>
      <w:r>
        <w:rPr>
          <w:rFonts w:hint="eastAsia" w:ascii="方正魏碑_GBK" w:hAnsi="方正魏碑_GBK" w:eastAsia="方正魏碑_GBK" w:cs="方正魏碑_GBK"/>
          <w:color w:val="auto"/>
          <w:sz w:val="24"/>
          <w:szCs w:val="21"/>
        </w:rPr>
        <w:t xml:space="preserve">25.8.2 </w:t>
      </w:r>
      <w:r>
        <w:rPr>
          <w:rFonts w:hint="eastAsia" w:ascii="方正魏碑_GBK" w:hAnsi="方正魏碑_GBK" w:eastAsia="方正魏碑_GBK" w:cs="方正魏碑_GBK"/>
          <w:color w:val="auto"/>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auto"/>
          <w:sz w:val="24"/>
          <w:szCs w:val="21"/>
          <w:lang w:val="en-US" w:eastAsia="zh-CN"/>
        </w:rPr>
      </w:pPr>
      <w:r>
        <w:rPr>
          <w:rFonts w:hint="eastAsia" w:ascii="方正魏碑_GBK" w:hAnsi="方正魏碑_GBK" w:eastAsia="方正魏碑_GBK" w:cs="方正魏碑_GBK"/>
          <w:color w:val="auto"/>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8"/>
      <w:r/>
      <w:bookmarkEnd w:id="149"/>
      <w:r/>
      <w:bookmarkEnd w:id="150"/>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1" w:name="_Toc513029235"/>
      <w:r/>
      <w:bookmarkStart w:id="152" w:name="_Toc16938551"/>
      <w:r/>
      <w:bookmarkStart w:id="153"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p>
    <w:p>
      <w:pPr>
        <w:ind w:left="478"/>
        <w:spacing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p>
    <w:p>
      <w:pPr>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54" w:name="_Toc120614219"/>
      <w:r>
        <w:rPr>
          <w:rFonts w:hint="eastAsia" w:ascii="Times New Roman" w:hAnsi="Times New Roman"/>
          <w:b/>
          <w:bCs/>
          <w:color w:val="000000"/>
          <w:sz w:val="32"/>
          <w:szCs w:val="32"/>
        </w:rPr>
        <w:t xml:space="preserve">六、</w:t>
      </w:r>
      <w:bookmarkEnd w:id="151"/>
      <w:r/>
      <w:bookmarkEnd w:id="152"/>
      <w:r/>
      <w:bookmarkEnd w:id="153"/>
      <w:r>
        <w:rPr>
          <w:rFonts w:hint="eastAsia" w:ascii="Times New Roman" w:hAnsi="Times New Roman"/>
          <w:b/>
          <w:bCs/>
          <w:color w:val="000000"/>
          <w:sz w:val="32"/>
          <w:szCs w:val="32"/>
        </w:rPr>
        <w:t xml:space="preserve">定标</w:t>
      </w:r>
      <w:bookmarkEnd w:id="154"/>
      <w:r/>
      <w:r/>
    </w:p>
    <w:p>
      <w:pPr>
        <w:ind w:firstLine="600"/>
        <w:keepLines/>
        <w:keepNext/>
        <w:spacing w:line="400" w:lineRule="exact"/>
        <w:rPr>
          <w:rFonts w:hint="eastAsia" w:ascii="黑体" w:hAnsi="宋体" w:eastAsia="黑体"/>
          <w:bCs/>
          <w:color w:val="000000"/>
          <w:sz w:val="30"/>
          <w:szCs w:val="30"/>
        </w:rPr>
        <w:outlineLvl w:val="3"/>
      </w:pPr>
      <w:r/>
      <w:bookmarkStart w:id="155" w:name="_Toc513029238"/>
      <w:r/>
      <w:bookmarkStart w:id="156" w:name="_Toc20823310"/>
      <w:r/>
      <w:bookmarkStart w:id="157"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5"/>
      <w:r>
        <w:rPr>
          <w:rFonts w:hint="eastAsia" w:ascii="黑体" w:hAnsi="宋体" w:eastAsia="黑体"/>
          <w:bCs/>
          <w:color w:val="000000"/>
          <w:sz w:val="30"/>
          <w:szCs w:val="30"/>
        </w:rPr>
        <w:t xml:space="preserve">确定</w:t>
      </w:r>
      <w:bookmarkEnd w:id="156"/>
      <w:r/>
      <w:bookmarkEnd w:id="157"/>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8"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8"/>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w:t>
      </w:r>
      <w:r>
        <w:rPr>
          <w:rFonts w:ascii="宋体" w:hAnsi="宋体"/>
          <w:sz w:val="24"/>
          <w:szCs w:val="24"/>
        </w:rPr>
        <w:t xml:space="preserve">28.</w:t>
      </w:r>
      <w:r>
        <w:rPr>
          <w:rFonts w:hint="eastAsia" w:ascii="宋体" w:hAnsi="宋体"/>
          <w:sz w:val="24"/>
          <w:szCs w:val="24"/>
        </w:rPr>
        <w:t xml:space="preserve">4 </w:t>
      </w:r>
      <w:r>
        <w:rPr>
          <w:rFonts w:hint="eastAsia" w:ascii="宋体" w:hAnsi="宋体"/>
          <w:color w:val="000000"/>
          <w:sz w:val="24"/>
          <w:szCs w:val="24"/>
        </w:rPr>
        <w:t xml:space="preserve">条款的规定向采购中心或采购人提出质疑。上述应知其权益受到损害之日，是指：</w:t>
      </w:r>
      <w:r>
        <w:rPr>
          <w:rFonts w:hint="eastAsia" w:ascii="宋体" w:hAnsi="宋体"/>
          <w:color w:val="000000"/>
          <w:sz w:val="24"/>
          <w:szCs w:val="24"/>
        </w:rPr>
      </w:r>
      <w:r/>
    </w:p>
    <w:p>
      <w:pPr>
        <w:ind w:firstLine="480"/>
        <w:jc w:val="left"/>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t xml:space="preserve">采购人联系地址：江苏省宿迁市黄河南路399号宿迁学院图书馆，联系电话：13905247017。</w:t>
      </w:r>
      <w:r>
        <w:rPr>
          <w:rFonts w:hint="eastAsia" w:ascii="宋体" w:hAnsi="宋体"/>
          <w:sz w:val="24"/>
          <w:szCs w:val="24"/>
        </w:rPr>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rPr>
        <w:outlineLvl w:val="2"/>
      </w:pPr>
      <w:r/>
      <w:bookmarkStart w:id="159" w:name="_Toc120614220"/>
      <w:r/>
      <w:bookmarkStart w:id="160" w:name="_Toc20823308"/>
      <w:r/>
      <w:bookmarkStart w:id="161" w:name="_Toc16938552"/>
      <w:r/>
      <w:bookmarkStart w:id="162" w:name="_Toc513029236"/>
      <w:r>
        <w:rPr>
          <w:rFonts w:hint="eastAsia" w:ascii="Times New Roman" w:hAnsi="Times New Roman"/>
          <w:b/>
          <w:bCs/>
          <w:color w:val="000000"/>
          <w:sz w:val="32"/>
          <w:szCs w:val="32"/>
        </w:rPr>
        <w:t xml:space="preserve">七、授予合同</w:t>
      </w:r>
      <w:bookmarkEnd w:id="159"/>
      <w:r/>
      <w:bookmarkEnd w:id="160"/>
      <w:r/>
      <w:bookmarkEnd w:id="161"/>
      <w:r/>
      <w:bookmarkEnd w:id="162"/>
      <w:r/>
      <w:r/>
    </w:p>
    <w:p>
      <w:pPr>
        <w:ind w:firstLine="600"/>
        <w:keepLines/>
        <w:keepNext/>
        <w:spacing w:line="400" w:lineRule="exact"/>
        <w:rPr>
          <w:rFonts w:hint="eastAsia" w:ascii="黑体" w:hAnsi="宋体" w:eastAsia="黑体"/>
          <w:bCs/>
          <w:color w:val="000000"/>
          <w:sz w:val="30"/>
          <w:szCs w:val="30"/>
        </w:rPr>
        <w:outlineLvl w:val="3"/>
      </w:pPr>
      <w:r/>
      <w:bookmarkStart w:id="163" w:name="_Toc513029237"/>
      <w:r/>
      <w:bookmarkStart w:id="164" w:name="_Toc20823309"/>
      <w:r/>
      <w:bookmarkStart w:id="165"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3"/>
      <w:r/>
      <w:bookmarkEnd w:id="164"/>
      <w:r/>
      <w:bookmarkEnd w:id="165"/>
      <w:r/>
      <w:r/>
    </w:p>
    <w:p>
      <w:pPr>
        <w:ind w:firstLine="600"/>
        <w:keepLines/>
        <w:keepNext/>
        <w:spacing w:line="400" w:lineRule="exact"/>
        <w:rPr>
          <w:rFonts w:ascii="黑体" w:hAnsi="宋体" w:eastAsia="黑体"/>
          <w:bCs/>
          <w:color w:val="000000"/>
          <w:sz w:val="30"/>
          <w:szCs w:val="30"/>
        </w:rPr>
        <w:outlineLvl w:val="3"/>
      </w:pPr>
      <w:r/>
      <w:bookmarkStart w:id="166" w:name="_Toc20823314"/>
      <w:r/>
      <w:bookmarkStart w:id="167" w:name="_Toc513029242"/>
      <w:r/>
      <w:bookmarkStart w:id="168" w:name="_Toc479757207"/>
      <w:r/>
      <w:bookmarkStart w:id="169" w:name="_Toc120614221"/>
      <w:r/>
      <w:bookmarkStart w:id="170"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6"/>
      <w:r/>
      <w:bookmarkEnd w:id="167"/>
      <w:r/>
      <w:bookmarkEnd w:id="168"/>
      <w:r/>
      <w:bookmarkEnd w:id="169"/>
      <w:r/>
      <w:bookmarkEnd w:id="170"/>
      <w:r>
        <w:rPr>
          <w:rFonts w:hint="eastAsia" w:ascii="黑体" w:hAnsi="Times New Roman"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71" w:name="_Toc16938559"/>
      <w:r/>
      <w:bookmarkStart w:id="172" w:name="_Toc20823315"/>
      <w:r/>
      <w:bookmarkStart w:id="173" w:name="_Toc513029243"/>
      <w:r/>
      <w:bookmarkStart w:id="174" w:name="_Toc3995"/>
      <w:r/>
      <w:bookmarkStart w:id="175" w:name="_Hlt16619350"/>
      <w:r/>
      <w:bookmarkStart w:id="176" w:name="_Toc120614244"/>
      <w:r/>
      <w:bookmarkStart w:id="177" w:name="_Toc20823346"/>
      <w:r/>
      <w:bookmarkStart w:id="178" w:name="_Toc16938590"/>
      <w:r/>
      <w:bookmarkStart w:id="179" w:name="_Toc462564139"/>
      <w:r/>
      <w:bookmarkStart w:id="180" w:name="_Toc479757211"/>
      <w:r/>
      <w:r/>
    </w:p>
    <w:p>
      <w:pPr>
        <w:spacing w:line="500" w:lineRule="exact"/>
        <w:rPr>
          <w:rFonts w:hint="eastAsia" w:ascii="宋体" w:hAnsi="宋体"/>
          <w:bCs/>
          <w:color w:val="000000"/>
          <w:sz w:val="24"/>
          <w:szCs w:val="24"/>
        </w:rPr>
      </w:pPr>
      <w:r>
        <w:rPr>
          <w:rFonts w:hint="eastAsia" w:ascii="宋体" w:hAnsi="宋体"/>
          <w:bCs/>
          <w:color w:val="000000"/>
          <w:sz w:val="24"/>
          <w:szCs w:val="24"/>
        </w:rPr>
      </w:r>
      <w:bookmarkEnd w:id="171"/>
      <w:r/>
      <w:bookmarkEnd w:id="172"/>
      <w:r/>
      <w:bookmarkEnd w:id="173"/>
      <w:r/>
      <w:bookmarkEnd w:id="174"/>
      <w:r/>
      <w:r/>
    </w:p>
    <w:p>
      <w:pPr>
        <w:pStyle w:val="94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4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14"/>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914"/>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45"/>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0"/>
        <w:spacing w:line="400" w:lineRule="exact"/>
        <w:rPr>
          <w:rFonts w:ascii="宋体" w:hAnsi="宋体"/>
          <w:b/>
          <w:szCs w:val="21"/>
        </w:rPr>
      </w:pPr>
      <w:r>
        <w:rPr>
          <w:rFonts w:hint="eastAsia" w:ascii="宋体" w:hAnsi="宋体"/>
          <w:b/>
          <w:szCs w:val="21"/>
        </w:rPr>
        <w:t xml:space="preserve">项目信息</w:t>
      </w:r>
      <w:r/>
    </w:p>
    <w:p>
      <w:pPr>
        <w:pStyle w:val="945"/>
        <w:numPr>
          <w:ilvl w:val="0"/>
          <w:numId w:val="7"/>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45"/>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p>
    <w:p>
      <w:pPr>
        <w:pStyle w:val="945"/>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2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2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2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2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2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2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2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2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2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2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25"/>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2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2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2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2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93"/>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2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2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中标价的10%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2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2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993"/>
        <w:rPr>
          <w:lang w:eastAsia="zh-CN"/>
        </w:rPr>
      </w:pPr>
      <w:r>
        <w:rPr>
          <w:lang w:eastAsia="zh-CN"/>
        </w:rPr>
      </w:r>
      <w:r/>
    </w:p>
    <w:tbl>
      <w:tblPr>
        <w:tblStyle w:val="73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4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14"/>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2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50"/>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50"/>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2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2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2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2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2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2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2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2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2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3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2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943"/>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43"/>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bookmarkEnd w:id="175"/>
      <w:r/>
      <w:bookmarkEnd w:id="176"/>
      <w:r/>
      <w:bookmarkEnd w:id="177"/>
      <w:r/>
      <w:bookmarkEnd w:id="178"/>
      <w:r/>
      <w:r/>
    </w:p>
    <w:p>
      <w:pPr>
        <w:ind w:firstLine="880"/>
        <w:jc w:val="center"/>
        <w:spacing w:before="120" w:after="120" w:line="0" w:lineRule="atLeast"/>
        <w:rPr>
          <w:rFonts w:hint="eastAsia" w:ascii="宋体" w:hAnsi="宋体" w:cs="Courier New"/>
          <w:color w:val="000000"/>
          <w:sz w:val="24"/>
          <w:szCs w:val="24"/>
        </w:rPr>
      </w:pPr>
      <w:r/>
      <w:bookmarkStart w:id="181" w:name="_Toc49090575"/>
      <w:r/>
      <w:bookmarkStart w:id="182" w:name="_Toc120614281"/>
      <w:r/>
      <w:bookmarkStart w:id="183" w:name="_Toc26554093"/>
      <w:r>
        <w:rPr>
          <w:rFonts w:hint="eastAsia" w:ascii="黑体" w:hAnsi="Courier New" w:eastAsia="黑体" w:cs="Courier New"/>
          <w:bCs/>
          <w:color w:val="000000"/>
          <w:sz w:val="44"/>
          <w:szCs w:val="21"/>
        </w:rPr>
        <w:t xml:space="preserve">第四章 采购需求</w:t>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Align w:val="top"/>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W w:w="54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vAlign w:val="top"/>
            <w:textDirection w:val="lrTb"/>
            <w:noWrap w:val="false"/>
          </w:tcPr>
          <w:p>
            <w:pPr>
              <w:jc w:val="center"/>
              <w:spacing w:line="0" w:lineRule="atLeast"/>
              <w:tabs>
                <w:tab w:val="left" w:pos="2020" w:leader="none"/>
              </w:tabs>
              <w:rPr>
                <w:rFonts w:hint="default" w:ascii="宋体" w:hAnsi="宋体" w:eastAsia="宋体"/>
                <w:sz w:val="24"/>
                <w:szCs w:val="24"/>
                <w:lang w:val="en-US" w:eastAsia="zh-CN"/>
              </w:rPr>
            </w:pPr>
            <w:r>
              <w:rPr>
                <w:rFonts w:hint="eastAsia" w:ascii="宋体" w:hAnsi="宋体"/>
                <w:sz w:val="24"/>
                <w:szCs w:val="24"/>
                <w:lang w:val="en-US" w:eastAsia="zh-CN"/>
              </w:rPr>
              <w:t xml:space="preserve">密集书架</w:t>
            </w:r>
            <w:r/>
          </w:p>
        </w:tc>
        <w:tc>
          <w:tcPr>
            <w:tcW w:w="2852" w:type="dxa"/>
            <w:vAlign w:val="top"/>
            <w:textDirection w:val="lrTb"/>
            <w:noWrap w:val="false"/>
          </w:tcPr>
          <w:p>
            <w:pPr>
              <w:jc w:val="center"/>
              <w:spacing w:line="0" w:lineRule="atLeast"/>
              <w:tabs>
                <w:tab w:val="left" w:pos="2020" w:leader="none"/>
              </w:tabs>
              <w:rPr>
                <w:rFonts w:hint="default" w:ascii="宋体" w:hAnsi="宋体" w:eastAsia="宋体"/>
                <w:sz w:val="24"/>
                <w:szCs w:val="24"/>
                <w:lang w:val="en-US" w:eastAsia="zh-CN"/>
              </w:rPr>
            </w:pPr>
            <w:r>
              <w:rPr>
                <w:rFonts w:hint="eastAsia" w:ascii="宋体" w:hAnsi="宋体" w:eastAsia="宋体" w:cs="Times New Roman"/>
                <w:sz w:val="24"/>
                <w:szCs w:val="24"/>
                <w:lang w:val="en-US" w:eastAsia="zh-CN"/>
              </w:rPr>
              <w:t xml:space="preserve">工业</w:t>
            </w:r>
            <w:r/>
          </w:p>
        </w:tc>
      </w:tr>
    </w:tbl>
    <w:p>
      <w:pPr>
        <w:spacing w:line="0" w:lineRule="atLeast"/>
        <w:rPr>
          <w:rFonts w:hint="eastAsia" w:ascii="宋体" w:hAnsi="宋体"/>
          <w:sz w:val="24"/>
          <w:szCs w:val="24"/>
          <w:highlight w:val="yellow"/>
        </w:rPr>
      </w:pPr>
      <w:r>
        <w:rPr>
          <w:rFonts w:hint="eastAsia" w:ascii="宋体" w:hAnsi="宋体"/>
          <w:sz w:val="24"/>
          <w:szCs w:val="24"/>
          <w:highlight w:val="yellow"/>
        </w:rPr>
      </w:r>
      <w:r/>
    </w:p>
    <w:p>
      <w:pPr>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p>
    <w:p>
      <w:pPr>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p>
    <w:p>
      <w:pPr>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0" w:lineRule="atLeast"/>
        <w:widowControl w:val="off"/>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p>
    <w:p>
      <w:pPr>
        <w:pStyle w:val="758"/>
        <w:ind w:left="0" w:right="0"/>
        <w:jc w:val="center"/>
        <w:keepLines w:val="0"/>
        <w:keepNext w:val="0"/>
        <w:spacing w:before="0" w:beforeAutospacing="0" w:after="0" w:afterAutospacing="0" w:line="0" w:lineRule="atLeast"/>
        <w:widowControl w:val="off"/>
        <w:tabs>
          <w:tab w:val="left" w:pos="540" w:leader="none"/>
        </w:tabs>
        <w:rPr>
          <w:rFonts w:hint="eastAsia" w:ascii="宋体" w:hAnsi="宋体" w:eastAsia="宋体" w:cs="宋体"/>
          <w:b/>
          <w:bCs/>
          <w:color w:val="000000"/>
          <w:sz w:val="30"/>
          <w:szCs w:val="3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rPr>
      </w:r>
      <w:r/>
    </w:p>
    <w:p>
      <w:pPr>
        <w:pStyle w:val="758"/>
        <w:ind w:left="0" w:right="0"/>
        <w:jc w:val="center"/>
        <w:keepLines w:val="0"/>
        <w:keepNext w:val="0"/>
        <w:spacing w:before="0" w:beforeAutospacing="0" w:after="0" w:afterAutospacing="0" w:line="0" w:lineRule="atLeast"/>
        <w:widowControl w:val="off"/>
        <w:tabs>
          <w:tab w:val="left" w:pos="54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rPr>
        <w:t xml:space="preserve">宿迁学院新校区图书馆密集书架技术参数</w:t>
      </w:r>
      <w:r/>
    </w:p>
    <w:tbl>
      <w:tblPr>
        <w:tblStyle w:val="73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5"/>
        <w:gridCol w:w="6903"/>
      </w:tblGrid>
      <w:tr>
        <w:trPr>
          <w:jc w:val="center"/>
          <w:tblCellSpacing w:w="0" w:type="dxa"/>
          <w:trHeight w:val="337"/>
        </w:trPr>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75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pStyle w:val="75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参数</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75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手动</w:t>
            </w:r>
            <w:r/>
          </w:p>
          <w:p>
            <w:pPr>
              <w:pStyle w:val="75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密集</w:t>
            </w:r>
            <w:r/>
          </w:p>
          <w:p>
            <w:pPr>
              <w:pStyle w:val="75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书架</w:t>
            </w:r>
            <w:r/>
          </w:p>
        </w:tc>
        <w:tc>
          <w:tcPr>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pStyle w:val="758"/>
              <w:keepLines w:val="0"/>
              <w:keepNext w:val="0"/>
              <w:spacing w:before="0" w:beforeAutospacing="0" w:after="0" w:afterAutospacing="0"/>
              <w:widowControl w:val="off"/>
              <w:rPr>
                <w:i/>
                <w:iCs/>
                <w:u w:val="single"/>
              </w:rPr>
              <w:pBdr>
                <w:top w:val="none" w:color="auto" w:sz="0" w:space="0"/>
                <w:left w:val="none" w:color="auto" w:sz="0" w:space="0"/>
                <w:bottom w:val="none" w:color="auto" w:sz="0" w:space="0"/>
                <w:right w:val="none" w:color="auto" w:sz="0" w:space="0"/>
                <w:between w:val="none" w:color="auto" w:sz="0" w:space="0"/>
              </w:pBdr>
              <w:suppressLineNumbers w:val="0"/>
            </w:pPr>
            <w:r/>
            <w:bookmarkStart w:id="184" w:name="_Hlk216963847"/>
            <w:r>
              <w:rPr>
                <w:rFonts w:hint="eastAsia" w:ascii="宋体" w:hAnsi="宋体" w:eastAsia="宋体" w:cs="宋体"/>
                <w:i/>
                <w:iCs/>
                <w:color w:val="000000"/>
                <w:sz w:val="24"/>
                <w:szCs w:val="24"/>
                <w:u w:val="single"/>
              </w:rPr>
              <w:t xml:space="preserve">密集书库设计要求：</w:t>
            </w:r>
            <w:bookmarkEnd w:id="184"/>
            <w:r/>
            <w:r/>
          </w:p>
          <w:p>
            <w:pPr>
              <w:pStyle w:val="758"/>
              <w:keepLines w:val="0"/>
              <w:keepNext w:val="0"/>
              <w:spacing w:before="0" w:beforeAutospacing="0" w:after="0" w:afterAutospacing="0"/>
              <w:widowControl w:val="off"/>
              <w:rPr>
                <w:i/>
                <w:iCs/>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总体积：≥2700立方米</w:t>
            </w:r>
            <w:r/>
          </w:p>
          <w:p>
            <w:pPr>
              <w:pStyle w:val="758"/>
              <w:keepLines w:val="0"/>
              <w:keepNext w:val="0"/>
              <w:spacing w:before="0" w:beforeAutospacing="0" w:after="0" w:afterAutospacing="0"/>
              <w:widowControl w:val="off"/>
              <w:rPr>
                <w:i/>
                <w:iCs/>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u w:val="single"/>
              </w:rPr>
              <w:t xml:space="preserve">总计容纳图书：≥110万册（以书的厚度为2.5厘米测算）</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备注：中标供应商的设计方案应结合现场条件进行深化设计，深化设计内容必须得到采购人确认后方可实施。</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架体参数：</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1</w:t>
            </w:r>
            <w:r>
              <w:rPr>
                <w:rFonts w:hint="eastAsia" w:ascii="宋体" w:hAnsi="宋体" w:eastAsia="宋体" w:cs="宋体"/>
                <w:color w:val="000000"/>
                <w:sz w:val="24"/>
                <w:szCs w:val="24"/>
              </w:rPr>
              <w:t xml:space="preserve">.轨道：由轨道座和导轨组成，轨道座采用厚度≥3.0mm优质热轧钢板</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导轨采用20*20mm实心方钢，轨道表面</w:t>
            </w: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t xml:space="preserve">镀锌处理工艺。</w:t>
            </w:r>
            <w:r/>
          </w:p>
          <w:p>
            <w:pPr>
              <w:jc w:val="left"/>
              <w:keepLines w:val="0"/>
              <w:keepNext w:val="0"/>
              <w:widowControl/>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2.底盘：厚度≥3.0mm优质热轧钢板，成型高度≥120mm。</w:t>
            </w:r>
            <w:r>
              <w:rPr>
                <w:rFonts w:hint="eastAsia" w:ascii="宋体" w:hAnsi="宋体" w:eastAsia="宋体" w:cs="宋体"/>
                <w:color w:val="000000"/>
                <w:sz w:val="24"/>
                <w:szCs w:val="24"/>
                <w:lang w:val="en-US" w:eastAsia="zh-CN" w:bidi="ar"/>
              </w:rPr>
              <w:t xml:space="preserve">底盘采用整体式底盘，分段焊接后整体组装</w:t>
            </w:r>
            <w:r>
              <w:rPr>
                <w:rFonts w:hint="eastAsia" w:ascii="宋体" w:hAnsi="宋体" w:eastAsia="宋体" w:cs="宋体"/>
                <w:color w:val="000000"/>
                <w:sz w:val="24"/>
                <w:szCs w:val="24"/>
              </w:rPr>
              <w:t xml:space="preserve">。</w:t>
            </w:r>
            <w:r/>
          </w:p>
          <w:p>
            <w:pPr>
              <w:pStyle w:val="758"/>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3.立柱：厚度≥1.5mm优质冷轧钢板，立柱尺寸：</w:t>
            </w:r>
            <w:r>
              <w:rPr>
                <w:rFonts w:hint="eastAsia" w:ascii="宋体" w:hAnsi="宋体"/>
                <w:color w:val="000000"/>
                <w:sz w:val="24"/>
                <w:szCs w:val="24"/>
                <w:vertAlign w:val="baseline"/>
                <w:lang w:val="en-US" w:eastAsia="zh-CN"/>
              </w:rPr>
              <w:t xml:space="preserve">正面≥50mm，侧面≥39mm</w:t>
            </w: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采用</w:t>
            </w:r>
            <w:r>
              <w:rPr>
                <w:rFonts w:hint="eastAsia" w:ascii="宋体" w:hAnsi="宋体" w:eastAsia="宋体" w:cs="宋体"/>
                <w:color w:val="000000"/>
                <w:sz w:val="24"/>
                <w:szCs w:val="24"/>
              </w:rPr>
              <w:t xml:space="preserve">一体成型工艺，设计为半敞开式</w:t>
            </w:r>
            <w:r>
              <w:rPr>
                <w:rFonts w:hint="eastAsia" w:cs="宋体"/>
                <w:color w:val="000000"/>
                <w:sz w:val="24"/>
                <w:szCs w:val="24"/>
                <w:lang w:eastAsia="zh-CN"/>
              </w:rPr>
              <w:t xml:space="preserve">，侧面设有</w:t>
            </w:r>
            <w:r>
              <w:rPr>
                <w:rFonts w:hint="eastAsia" w:cs="宋体"/>
                <w:color w:val="000000"/>
                <w:sz w:val="24"/>
                <w:szCs w:val="24"/>
                <w:lang w:val="en-US" w:eastAsia="zh-CN"/>
              </w:rPr>
              <w:t xml:space="preserve">挂</w:t>
            </w:r>
            <w:r>
              <w:rPr>
                <w:rFonts w:hint="eastAsia" w:cs="宋体"/>
                <w:color w:val="000000"/>
                <w:sz w:val="24"/>
                <w:szCs w:val="24"/>
                <w:lang w:eastAsia="zh-CN"/>
              </w:rPr>
              <w:t xml:space="preserve">孔，</w:t>
            </w:r>
            <w:r>
              <w:rPr>
                <w:rFonts w:hint="eastAsia" w:ascii="宋体" w:hAnsi="宋体" w:eastAsia="宋体" w:cs="宋体"/>
                <w:color w:val="000000"/>
                <w:sz w:val="24"/>
                <w:szCs w:val="24"/>
              </w:rPr>
              <w:t xml:space="preserve">每根立柱必须插入底盘，并与底盘牢固连接，采用压筋工艺。</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4.侧板：厚度≥1.2mm优质冷轧钢板，前侧板采用上、中、下三段式组合，正面设有标签框。</w:t>
            </w:r>
            <w:r/>
          </w:p>
          <w:p>
            <w:pPr>
              <w:pStyle w:val="758"/>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5.搁板：厚度≥1.2mm优质冷轧钢板，成型厚度≥25mm，采用整体板材</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采用压筋工艺，冲压应无脱层、裂缝。</w:t>
            </w:r>
            <w:r/>
          </w:p>
          <w:p>
            <w:pPr>
              <w:pStyle w:val="758"/>
              <w:keepLines w:val="0"/>
              <w:keepNext w:val="0"/>
              <w:spacing w:before="0" w:beforeAutospacing="0" w:after="0" w:afterAutospacing="0"/>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6.挂板：厚度≥1.2mm优质冷轧钢板，一体成型，采用压筋工艺。</w:t>
            </w:r>
            <w:r/>
          </w:p>
          <w:p>
            <w:pPr>
              <w:pStyle w:val="758"/>
              <w:numPr>
                <w:ilvl w:val="0"/>
                <w:numId w:val="13"/>
              </w:numP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顶板：厚度≥1.0mm优质冷轧钢板。</w:t>
            </w:r>
            <w:r/>
          </w:p>
          <w:p>
            <w:pPr>
              <w:pStyle w:val="758"/>
              <w:numPr>
                <w:ilvl w:val="0"/>
                <w:numId w:val="0"/>
              </w:numP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8.分搁棒</w:t>
            </w:r>
            <w:r>
              <w:rPr>
                <w:rFonts w:hint="eastAsia" w:cs="宋体"/>
                <w:color w:val="000000"/>
                <w:sz w:val="24"/>
                <w:szCs w:val="24"/>
                <w:lang w:eastAsia="zh-CN"/>
              </w:rPr>
              <w:t xml:space="preserve">（挡棒）</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厚度</w:t>
            </w:r>
            <w:r>
              <w:rPr>
                <w:rFonts w:hint="eastAsia" w:ascii="宋体" w:hAnsi="宋体" w:eastAsia="宋体" w:cs="宋体"/>
                <w:color w:val="000000"/>
                <w:sz w:val="24"/>
                <w:szCs w:val="24"/>
              </w:rPr>
              <w:t xml:space="preserve">≥1.0mm优质冷轧钢板。</w:t>
            </w:r>
            <w:r/>
          </w:p>
          <w:p>
            <w:pPr>
              <w:pStyle w:val="758"/>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9.门板：厚度≥1.0mm优质冷轧钢板。</w:t>
            </w:r>
            <w:r/>
          </w:p>
          <w:p>
            <w:pPr>
              <w:pStyle w:val="758"/>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10.门面锁具：三级管理锁，开关方便、定位准确，锁具损坏等情况下，能够直接更换锁具，不需用电钻、钳子、螺丝刀等工具。</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11.摇手柄：手柄可折叠</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可避免通道障碍，密集架处于动或不动状态时，摇柄自行停于垂直位置。使用过程中不会产生声响及噪声；在满负载情况下能保持轻便、灵活、平稳，无失灵现象。</w:t>
            </w:r>
            <w:r/>
          </w:p>
          <w:p>
            <w:pPr>
              <w:pStyle w:val="758"/>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12.传动系统：链轮采用45#钢，经锻压加工成型，回火去除应力，加工车、滚齿、插键槽、去毛齿、齿部经高频淬火HRC60-62</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链条采用摩托车链条采用Φ8.5，节距12.7±3mm；滚轮采用铸铁制造；中轴和短轴采用Φ20mm 45#冷拉实心轴；底盘轴承安装采用P204E级轴承。</w:t>
            </w:r>
            <w:r/>
          </w:p>
          <w:p>
            <w:pPr>
              <w:pStyle w:val="758"/>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13.颜色要求：密集书架颜色按采购</w:t>
            </w:r>
            <w:r>
              <w:rPr>
                <w:rFonts w:hint="eastAsia" w:cs="宋体"/>
                <w:color w:val="000000"/>
                <w:sz w:val="24"/>
                <w:szCs w:val="24"/>
                <w:lang w:val="en-US" w:eastAsia="zh-CN"/>
              </w:rPr>
              <w:t xml:space="preserve">人</w:t>
            </w:r>
            <w:r>
              <w:rPr>
                <w:rFonts w:hint="eastAsia" w:ascii="宋体" w:hAnsi="宋体" w:eastAsia="宋体" w:cs="宋体"/>
                <w:color w:val="000000"/>
                <w:sz w:val="24"/>
                <w:szCs w:val="24"/>
              </w:rPr>
              <w:t xml:space="preserve">要求，表面喷涂为亚光静电抗菌喷塑粉(灰白色或米色)，喷涂无死角。</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1</w:t>
            </w:r>
            <w:r>
              <w:rPr>
                <w:rFonts w:hint="eastAsia" w:cs="宋体"/>
                <w:color w:val="000000"/>
                <w:sz w:val="24"/>
                <w:szCs w:val="24"/>
                <w:lang w:val="en-US" w:eastAsia="zh-CN"/>
              </w:rPr>
              <w:t xml:space="preserve">4</w:t>
            </w:r>
            <w:r>
              <w:rPr>
                <w:rFonts w:hint="eastAsia" w:ascii="宋体" w:hAnsi="宋体" w:eastAsia="宋体" w:cs="宋体"/>
                <w:color w:val="000000"/>
                <w:sz w:val="24"/>
                <w:szCs w:val="24"/>
              </w:rPr>
              <w:t xml:space="preserve">.轨道采用埋入地面式轨道安装。轨道座上沿与装修地面齐平，垫层坚固平整，利于手推车的运行。导轨安装平行度偏差不大于1mm/m，全长偏差不大于2mm，两根轨道的水平高度偏差不大于1.0mm，导轨对接处高低差不大于0.3mm。</w:t>
            </w:r>
            <w:r/>
          </w:p>
          <w:p>
            <w:pPr>
              <w:numPr>
                <w:ilvl w:val="0"/>
                <w:numId w:val="14"/>
              </w:numPr>
              <w:jc w:val="left"/>
              <w:keepLines w:val="0"/>
              <w:keepNext w:val="0"/>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手动密集架整体性能要求</w:t>
            </w:r>
            <w:r/>
          </w:p>
          <w:p>
            <w:pPr>
              <w:numPr>
                <w:ilvl w:val="0"/>
                <w:numId w:val="0"/>
              </w:numPr>
              <w:jc w:val="left"/>
              <w:keepLines w:val="0"/>
              <w:keepNext w:val="0"/>
              <w:widowControl/>
              <w:rPr>
                <w:rFonts w:hint="default" w:eastAsia="宋体"/>
                <w:lang w:val="en-US" w:eastAsia="zh-CN"/>
              </w:rPr>
              <w:suppressLineNumbers w:val="0"/>
            </w:pPr>
            <w:r>
              <w:rPr>
                <w:rFonts w:hint="eastAsia" w:ascii="宋体" w:hAnsi="宋体" w:eastAsia="宋体" w:cs="宋体"/>
                <w:b/>
                <w:bCs/>
                <w:color w:val="000000"/>
                <w:sz w:val="24"/>
                <w:szCs w:val="24"/>
              </w:rPr>
              <w:t xml:space="preserve">须提供具有CMA标识的检测报告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检测报告</w:t>
            </w:r>
            <w:r>
              <w:rPr>
                <w:rFonts w:hint="eastAsia" w:ascii="宋体" w:hAnsi="宋体" w:eastAsia="宋体" w:cs="宋体"/>
                <w:color w:val="000000"/>
                <w:sz w:val="24"/>
                <w:szCs w:val="24"/>
                <w:lang w:val="en-US" w:eastAsia="zh-CN"/>
              </w:rPr>
              <w:t xml:space="preserve">至少包括以下项目：</w:t>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①外观：各零部件表面应光滑、平整</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不应有尖角和突起。焊接件应焊接牢固</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焊痕光滑平整。涂层表面应平整光滑</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色泽均匀一致</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不应有流挂、起粒、皱皮、露底、剥落、伤痕等缺陷。电镀件镀层应明亮</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外露部位不应有烧焦、起泡、针孔、裂纹、花斑、明显划痕和毛刺等缺陷。</w:t>
            </w:r>
            <w:r/>
          </w:p>
          <w:p>
            <w:pPr>
              <w:pStyle w:val="758"/>
              <w:keepLines w:val="0"/>
              <w:keepNext w:val="0"/>
              <w:spacing w:before="0" w:beforeAutospacing="0" w:after="0" w:afterAutospacing="0"/>
              <w:widowControl w:val="off"/>
              <w:rPr>
                <w:rFonts w:hint="eastAsia"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②表面涂层理化性能：硬度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0.6；</w:t>
            </w:r>
            <w:r>
              <w:rPr>
                <w:rFonts w:hint="eastAsia" w:ascii="宋体" w:hAnsi="宋体" w:eastAsia="宋体" w:cs="宋体"/>
                <w:color w:val="000000"/>
                <w:sz w:val="24"/>
                <w:szCs w:val="24"/>
              </w:rPr>
              <w:t xml:space="preserve">冲击强度</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冲击高度</w:t>
            </w:r>
            <w:r>
              <w:rPr>
                <w:rFonts w:hint="eastAsia" w:cs="宋体"/>
                <w:color w:val="000000"/>
                <w:sz w:val="24"/>
                <w:szCs w:val="24"/>
                <w:lang w:val="en-US" w:eastAsia="zh-CN"/>
              </w:rPr>
              <w:t xml:space="preserve">5</w:t>
            </w:r>
            <w:r>
              <w:rPr>
                <w:rFonts w:hint="eastAsia" w:ascii="宋体" w:hAnsi="宋体" w:eastAsia="宋体" w:cs="宋体"/>
                <w:color w:val="000000"/>
                <w:sz w:val="24"/>
                <w:szCs w:val="24"/>
              </w:rPr>
              <w:t xml:space="preserve">0</w:t>
            </w:r>
            <w:r>
              <w:rPr>
                <w:rFonts w:hint="eastAsia" w:cs="宋体"/>
                <w:color w:val="000000"/>
                <w:sz w:val="24"/>
                <w:szCs w:val="24"/>
                <w:lang w:val="en-US" w:eastAsia="zh-CN"/>
              </w:rPr>
              <w:t xml:space="preserve">cm，</w:t>
            </w:r>
            <w:r>
              <w:rPr>
                <w:rFonts w:hint="eastAsia" w:ascii="宋体" w:hAnsi="宋体" w:eastAsia="宋体" w:cs="宋体"/>
                <w:color w:val="000000"/>
                <w:sz w:val="24"/>
                <w:szCs w:val="24"/>
              </w:rPr>
              <w:t xml:space="preserve">应无剥落、裂纹、皱纹</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附着力</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应不低于2级；耐腐蚀</w:t>
            </w:r>
            <w:r>
              <w:rPr>
                <w:rFonts w:hint="eastAsia" w:cs="宋体"/>
                <w:color w:val="000000"/>
                <w:sz w:val="24"/>
                <w:szCs w:val="24"/>
                <w:lang w:eastAsia="zh-CN"/>
              </w:rPr>
              <w:t xml:space="preserve">：</w:t>
            </w:r>
            <w:r>
              <w:rPr>
                <w:rFonts w:hint="eastAsia" w:cs="宋体"/>
                <w:color w:val="000000"/>
                <w:sz w:val="24"/>
                <w:szCs w:val="24"/>
                <w:lang w:val="en-US" w:eastAsia="zh-CN"/>
              </w:rPr>
              <w:t xml:space="preserve">2</w:t>
            </w:r>
            <w:r>
              <w:rPr>
                <w:rFonts w:hint="eastAsia" w:ascii="宋体" w:hAnsi="宋体" w:eastAsia="宋体" w:cs="宋体"/>
                <w:color w:val="000000"/>
                <w:sz w:val="24"/>
                <w:szCs w:val="24"/>
              </w:rPr>
              <w:t xml:space="preserve">00h内</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观察在溶液中样板上划道两侧3mm以外</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应无气泡产生，</w:t>
            </w:r>
            <w:r>
              <w:rPr>
                <w:rFonts w:hint="eastAsia" w:cs="宋体"/>
                <w:color w:val="000000"/>
                <w:sz w:val="24"/>
                <w:szCs w:val="24"/>
                <w:lang w:val="en-US" w:eastAsia="zh-CN"/>
              </w:rPr>
              <w:t xml:space="preserve">2</w:t>
            </w:r>
            <w:r>
              <w:rPr>
                <w:rFonts w:hint="eastAsia" w:ascii="宋体" w:hAnsi="宋体" w:eastAsia="宋体" w:cs="宋体"/>
                <w:color w:val="000000"/>
                <w:sz w:val="24"/>
                <w:szCs w:val="24"/>
              </w:rPr>
              <w:t xml:space="preserve">00h后</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检查样板上划道两侧3mm 外</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应无锈迹、剥落、起皱、变色和失光等现象</w:t>
            </w:r>
            <w:r>
              <w:rPr>
                <w:rFonts w:hint="eastAsia"/>
                <w:lang w:eastAsia="zh-CN"/>
              </w:rPr>
              <w:t xml:space="preserve">。</w:t>
            </w:r>
            <w:r/>
          </w:p>
          <w:p>
            <w:pPr>
              <w:pStyle w:val="758"/>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default" w:ascii="宋体" w:hAnsi="宋体" w:eastAsia="宋体" w:cs="宋体"/>
                <w:color w:val="000000"/>
                <w:sz w:val="24"/>
                <w:szCs w:val="24"/>
              </w:rPr>
              <w:t xml:space="preserve">③</w:t>
            </w:r>
            <w:r>
              <w:rPr>
                <w:rFonts w:hint="eastAsia" w:ascii="宋体" w:hAnsi="宋体" w:eastAsia="宋体" w:cs="宋体"/>
                <w:color w:val="000000"/>
                <w:sz w:val="24"/>
                <w:szCs w:val="24"/>
              </w:rPr>
              <w:t xml:space="preserve">载重运行：在全静载荷的情况下进行运行试验，架体应运动自如，不得有阻滞现象</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手柄摇力应不大</w:t>
            </w:r>
            <w:r>
              <w:rPr>
                <w:rFonts w:hint="eastAsia" w:cs="宋体"/>
                <w:color w:val="000000"/>
                <w:sz w:val="24"/>
                <w:szCs w:val="24"/>
                <w:lang w:val="en-US" w:eastAsia="zh-CN"/>
              </w:rPr>
              <w:t xml:space="preserve">于</w:t>
            </w:r>
            <w:r>
              <w:rPr>
                <w:rFonts w:hint="eastAsia" w:ascii="宋体" w:hAnsi="宋体" w:eastAsia="宋体" w:cs="宋体"/>
                <w:color w:val="000000"/>
                <w:sz w:val="24"/>
                <w:szCs w:val="24"/>
              </w:rPr>
              <w:t xml:space="preserve">11.8N。</w:t>
            </w:r>
            <w:r/>
          </w:p>
          <w:p>
            <w:pPr>
              <w:pStyle w:val="758"/>
              <w:keepLines w:val="0"/>
              <w:keepNext w:val="0"/>
              <w:spacing w:before="0" w:beforeAutospacing="0" w:after="0" w:afterAutospacing="0"/>
              <w:widowControl w:val="off"/>
              <w:rPr>
                <w:rFonts w:hint="eastAsia" w:ascii="宋体" w:hAnsi="宋体" w:eastAsia="宋体" w:cs="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lang w:val="en-US" w:eastAsia="zh-CN"/>
              </w:rPr>
              <w:fldChar w:fldCharType="begin"/>
            </w:r>
            <w:r>
              <w:rPr>
                <w:rFonts w:hint="eastAsia" w:ascii="宋体" w:hAnsi="宋体" w:eastAsia="宋体" w:cs="宋体"/>
                <w:lang w:val="en-US" w:eastAsia="zh-CN"/>
              </w:rPr>
              <w:instrText xml:space="preserve"> = 4 \* GB3 \* MERGEFORMAT </w:instrText>
            </w:r>
            <w:r>
              <w:rPr>
                <w:rFonts w:hint="eastAsia" w:ascii="宋体" w:hAnsi="宋体" w:eastAsia="宋体" w:cs="宋体"/>
                <w:lang w:val="en-US" w:eastAsia="zh-CN"/>
              </w:rPr>
              <w:fldChar w:fldCharType="separate"/>
            </w:r>
            <w:r>
              <w:rPr>
                <w:rFonts w:hint="eastAsia" w:ascii="宋体" w:hAnsi="宋体" w:eastAsia="宋体" w:cs="宋体"/>
                <w:lang w:val="en-US" w:eastAsia="zh-CN"/>
              </w:rPr>
              <w:t xml:space="preserve">④</w:t>
            </w:r>
            <w:r>
              <w:rPr>
                <w:rFonts w:hint="eastAsia" w:ascii="宋体" w:hAnsi="宋体" w:eastAsia="宋体" w:cs="宋体"/>
                <w:lang w:val="en-US" w:eastAsia="zh-CN"/>
              </w:rPr>
              <w:fldChar w:fldCharType="end"/>
            </w:r>
            <w:r>
              <w:rPr>
                <w:rFonts w:hint="eastAsia" w:ascii="宋体" w:hAnsi="宋体" w:eastAsia="宋体" w:cs="宋体"/>
                <w:lang w:val="en-US" w:eastAsia="zh-CN"/>
              </w:rPr>
              <w:t xml:space="preserve">搁板静载荷：搁板经静载荷试验后，不得有裂缝，最大挠度应不大于3.0mm，残余变形量应不大于0.30mm。</w:t>
            </w:r>
            <w:r/>
          </w:p>
          <w:p>
            <w:pPr>
              <w:pStyle w:val="758"/>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宋体"/>
                <w:color w:val="000000"/>
                <w:sz w:val="24"/>
                <w:szCs w:val="24"/>
              </w:rPr>
              <w:t xml:space="preserve">1</w:t>
            </w:r>
            <w:r>
              <w:rPr>
                <w:rFonts w:hint="eastAsia" w:cs="宋体"/>
                <w:color w:val="000000"/>
                <w:sz w:val="24"/>
                <w:szCs w:val="24"/>
                <w:lang w:val="en-US" w:eastAsia="zh-CN"/>
              </w:rPr>
              <w:t xml:space="preserve">6</w:t>
            </w:r>
            <w:r>
              <w:rPr>
                <w:rFonts w:hint="eastAsia" w:ascii="宋体" w:hAnsi="宋体" w:eastAsia="宋体" w:cs="宋体"/>
                <w:color w:val="000000"/>
                <w:sz w:val="24"/>
                <w:szCs w:val="24"/>
              </w:rPr>
              <w:t xml:space="preserve">.其他性能要求：支持后期改造成电动型、智能型密集架；全部钣金件必须经过酸洗、除锈、磷化等必须的工序处理。所有标准件及紧固件均需镀锌处理。密集架按照密集库房走向科学布局，设备布置整洁美观，结构合理，稳定可靠，层距可自行调节；具有限位装置、防倾倒装置、防鼠、防尘、防光、防高温、防火、防盗、防潮、安全锁、密封条等必须的功能。</w:t>
            </w:r>
            <w:r/>
          </w:p>
        </w:tc>
      </w:tr>
    </w:tbl>
    <w:p>
      <w:pPr>
        <w:pStyle w:val="758"/>
        <w:ind w:left="0" w:firstLine="480"/>
        <w:jc w:val="both"/>
        <w:keepLines w:val="0"/>
        <w:keepNext w:val="0"/>
        <w:spacing w:before="0" w:beforeAutospacing="0" w:after="0" w:afterAutospacing="0"/>
        <w:widowControl w:val="off"/>
        <w:tabs>
          <w:tab w:val="left" w:pos="54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注：密集书架轨道要开槽嵌入安装，开槽费用、施工安全等由中标</w:t>
      </w:r>
      <w:r>
        <w:rPr>
          <w:rFonts w:hint="eastAsia" w:cs="宋体"/>
          <w:color w:val="000000"/>
          <w:sz w:val="24"/>
          <w:szCs w:val="24"/>
          <w:lang w:val="en-US" w:eastAsia="zh-CN"/>
        </w:rPr>
        <w:t xml:space="preserve">人</w:t>
      </w:r>
      <w:r>
        <w:rPr>
          <w:rFonts w:hint="eastAsia" w:ascii="宋体" w:hAnsi="宋体" w:eastAsia="宋体" w:cs="宋体"/>
          <w:color w:val="000000"/>
          <w:sz w:val="24"/>
          <w:szCs w:val="24"/>
        </w:rPr>
        <w:t xml:space="preserve">负责；具体位置摆放自行设计，符合消防要求，中间通道1.7米以上。密集库房一楼吊顶后层高3.7米，二至四楼吊顶后层高3.1米。密集库房平面图纸尺寸如下：</w:t>
      </w:r>
      <w:r/>
    </w:p>
    <w:p>
      <w:pPr>
        <w:pStyle w:val="75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2"/>
          <w:szCs w:val="22"/>
        </w:rPr>
        <mc:AlternateContent>
          <mc:Choice Requires="wpg">
            <w:drawing>
              <wp:inline xmlns:wp="http://schemas.openxmlformats.org/drawingml/2006/wordprocessingDrawing" distT="0" distB="0" distL="0" distR="0">
                <wp:extent cx="5991225" cy="620077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r/>
                      </pic:nvPicPr>
                      <pic:blipFill>
                        <a:blip r:embed="rId13"/>
                        <a:stretch/>
                      </pic:blipFill>
                      <pic:spPr bwMode="auto">
                        <a:xfrm>
                          <a:off x="0" y="0"/>
                          <a:ext cx="5991225" cy="6200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1.8pt;height:488.2pt;mso-wrap-distance-left:0.0pt;mso-wrap-distance-top:0.0pt;mso-wrap-distance-right:0.0pt;mso-wrap-distance-bottom:0.0pt;" stroked="f">
                <v:path textboxrect="0,0,0,0"/>
                <v:imagedata r:id="rId13" o:title=""/>
              </v:shape>
            </w:pict>
          </mc:Fallback>
        </mc:AlternateContent>
      </w:r>
      <w:r>
        <w:rPr>
          <w:rFonts w:hint="default" w:ascii="Calibri" w:hAnsi="Calibri" w:cs="Calibri"/>
          <w:color w:val="000000"/>
          <w:sz w:val="22"/>
          <w:szCs w:val="22"/>
        </w:rPr>
        <mc:AlternateContent>
          <mc:Choice Requires="wpg">
            <w:drawing>
              <wp:inline xmlns:wp="http://schemas.openxmlformats.org/drawingml/2006/wordprocessingDrawing" distT="0" distB="0" distL="0" distR="0">
                <wp:extent cx="6229350" cy="6296025"/>
                <wp:effectExtent l="0" t="0" r="0" b="9525"/>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7"/>
                        <pic:cNvPicPr>
                          <a:picLocks noChangeAspect="1"/>
                        </pic:cNvPicPr>
                        <pic:nvPr/>
                      </pic:nvPicPr>
                      <pic:blipFill>
                        <a:blip r:embed="rId14"/>
                        <a:stretch/>
                      </pic:blipFill>
                      <pic:spPr bwMode="auto">
                        <a:xfrm>
                          <a:off x="0" y="0"/>
                          <a:ext cx="6229350" cy="6296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90.5pt;height:495.8pt;mso-wrap-distance-left:0.0pt;mso-wrap-distance-top:0.0pt;mso-wrap-distance-right:0.0pt;mso-wrap-distance-bottom:0.0pt;" stroked="f">
                <v:path textboxrect="0,0,0,0"/>
                <v:imagedata r:id="rId14" o:title=""/>
              </v:shape>
            </w:pict>
          </mc:Fallback>
        </mc:AlternateContent>
      </w:r>
      <w:r>
        <w:rPr>
          <w:rFonts w:hint="default" w:ascii="Calibri" w:hAnsi="Calibri" w:cs="Calibri"/>
          <w:color w:val="000000"/>
          <w:sz w:val="22"/>
          <w:szCs w:val="22"/>
        </w:rPr>
        <mc:AlternateContent>
          <mc:Choice Requires="wpg">
            <w:drawing>
              <wp:inline xmlns:wp="http://schemas.openxmlformats.org/drawingml/2006/wordprocessingDrawing" distT="0" distB="0" distL="0" distR="0">
                <wp:extent cx="6153150" cy="6238875"/>
                <wp:effectExtent l="0" t="0" r="0" b="9525"/>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r/>
                      </pic:nvPicPr>
                      <pic:blipFill>
                        <a:blip r:embed="rId15"/>
                        <a:stretch/>
                      </pic:blipFill>
                      <pic:spPr bwMode="auto">
                        <a:xfrm>
                          <a:off x="0" y="0"/>
                          <a:ext cx="6153149" cy="62388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4.5pt;height:491.2pt;mso-wrap-distance-left:0.0pt;mso-wrap-distance-top:0.0pt;mso-wrap-distance-right:0.0pt;mso-wrap-distance-bottom:0.0pt;" stroked="f">
                <v:path textboxrect="0,0,0,0"/>
                <v:imagedata r:id="rId15" o:title=""/>
              </v:shape>
            </w:pict>
          </mc:Fallback>
        </mc:AlternateContent>
      </w:r>
      <w:r>
        <w:rPr>
          <w:rFonts w:hint="default" w:ascii="Calibri" w:hAnsi="Calibri" w:cs="Calibri"/>
          <w:color w:val="000000"/>
          <w:sz w:val="22"/>
          <w:szCs w:val="22"/>
        </w:rPr>
        <mc:AlternateContent>
          <mc:Choice Requires="wpg">
            <w:drawing>
              <wp:inline xmlns:wp="http://schemas.openxmlformats.org/drawingml/2006/wordprocessingDrawing" distT="0" distB="0" distL="0" distR="0">
                <wp:extent cx="6076950" cy="6086475"/>
                <wp:effectExtent l="0" t="0" r="0" b="9525"/>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r/>
                      </pic:nvPicPr>
                      <pic:blipFill>
                        <a:blip r:embed="rId16"/>
                        <a:stretch/>
                      </pic:blipFill>
                      <pic:spPr bwMode="auto">
                        <a:xfrm>
                          <a:off x="0" y="0"/>
                          <a:ext cx="6076950" cy="60864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8.5pt;height:479.2pt;mso-wrap-distance-left:0.0pt;mso-wrap-distance-top:0.0pt;mso-wrap-distance-right:0.0pt;mso-wrap-distance-bottom:0.0pt;" stroked="f">
                <v:path textboxrect="0,0,0,0"/>
                <v:imagedata r:id="rId16" o:title=""/>
              </v:shape>
            </w:pict>
          </mc:Fallback>
        </mc:AlternateContent>
      </w:r>
      <w:r>
        <w:rPr>
          <w:rFonts w:hint="default" w:ascii="Calibri" w:hAnsi="Calibri" w:cs="Calibri"/>
          <w:color w:val="000000"/>
          <w:sz w:val="22"/>
          <w:szCs w:val="22"/>
        </w:rPr>
        <mc:AlternateContent>
          <mc:Choice Requires="wpg">
            <w:drawing>
              <wp:inline xmlns:wp="http://schemas.openxmlformats.org/drawingml/2006/wordprocessingDrawing" distT="0" distB="0" distL="0" distR="0">
                <wp:extent cx="6353175" cy="6400800"/>
                <wp:effectExtent l="0" t="0" r="9525" b="0"/>
                <wp:docPr id="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r/>
                      </pic:nvPicPr>
                      <pic:blipFill>
                        <a:blip r:embed="rId17"/>
                        <a:stretch/>
                      </pic:blipFill>
                      <pic:spPr bwMode="auto">
                        <a:xfrm>
                          <a:off x="0" y="0"/>
                          <a:ext cx="6353175" cy="64008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00.2pt;height:504.0pt;mso-wrap-distance-left:0.0pt;mso-wrap-distance-top:0.0pt;mso-wrap-distance-right:0.0pt;mso-wrap-distance-bottom:0.0pt;" stroked="f">
                <v:path textboxrect="0,0,0,0"/>
                <v:imagedata r:id="rId17" o:title=""/>
              </v:shape>
            </w:pict>
          </mc:Fallback>
        </mc:AlternateContent>
      </w:r>
      <w:r/>
    </w:p>
    <w:p>
      <w:pPr>
        <w:pStyle w:val="758"/>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spacing w:line="0" w:lineRule="atLeast"/>
        <w:rPr>
          <w:rFonts w:hint="eastAsia" w:ascii="宋体" w:hAnsi="宋体"/>
          <w:b/>
          <w:bCs/>
          <w:sz w:val="24"/>
          <w:szCs w:val="24"/>
        </w:rPr>
      </w:pPr>
      <w:r>
        <w:rPr>
          <w:rFonts w:hint="eastAsia" w:ascii="宋体" w:hAnsi="宋体"/>
          <w:b/>
          <w:bCs/>
          <w:sz w:val="24"/>
          <w:szCs w:val="24"/>
        </w:rPr>
      </w:r>
      <w:r/>
    </w:p>
    <w:p>
      <w:pPr>
        <w:spacing w:line="0" w:lineRule="atLeast"/>
        <w:rPr>
          <w:rFonts w:ascii="宋体" w:hAnsi="宋体"/>
          <w:b/>
          <w:bCs/>
          <w:sz w:val="24"/>
          <w:szCs w:val="24"/>
        </w:rPr>
      </w:pPr>
      <w:r>
        <w:rPr>
          <w:rFonts w:hint="eastAsia" w:ascii="宋体" w:hAnsi="宋体"/>
          <w:b/>
          <w:bCs/>
          <w:sz w:val="24"/>
          <w:szCs w:val="24"/>
          <w:lang w:eastAsia="zh-CN"/>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spacing w:line="0" w:lineRule="atLeast"/>
        <w:rPr>
          <w:rFonts w:hint="eastAsia" w:ascii="宋体" w:hAnsi="宋体"/>
          <w:b w:val="0"/>
          <w:bCs w:val="0"/>
          <w:color w:val="auto"/>
          <w:sz w:val="24"/>
          <w:szCs w:val="21"/>
        </w:rPr>
      </w:pPr>
      <w:r>
        <w:rPr>
          <w:rFonts w:hint="eastAsia" w:ascii="宋体" w:hAnsi="宋体"/>
          <w:b w:val="0"/>
          <w:bCs w:val="0"/>
          <w:color w:val="auto"/>
          <w:sz w:val="24"/>
          <w:szCs w:val="21"/>
        </w:rPr>
        <w:t xml:space="preserve">（一）交付时间：签订合同后根据宿迁学院新校区图书馆交付进度生产安装完毕。</w:t>
      </w:r>
      <w:r/>
    </w:p>
    <w:p>
      <w:pPr>
        <w:spacing w:line="0" w:lineRule="atLeast"/>
        <w:rPr>
          <w:rFonts w:hint="eastAsia" w:ascii="宋体" w:hAnsi="宋体"/>
          <w:b w:val="0"/>
          <w:bCs w:val="0"/>
          <w:color w:val="auto"/>
          <w:sz w:val="24"/>
          <w:szCs w:val="21"/>
        </w:rPr>
      </w:pPr>
      <w:r>
        <w:rPr>
          <w:rFonts w:hint="eastAsia" w:ascii="宋体" w:hAnsi="宋体"/>
          <w:b w:val="0"/>
          <w:bCs w:val="0"/>
          <w:color w:val="auto"/>
          <w:sz w:val="24"/>
          <w:szCs w:val="21"/>
        </w:rPr>
        <w:t xml:space="preserve">注：若采购</w:t>
      </w:r>
      <w:r>
        <w:rPr>
          <w:rFonts w:hint="eastAsia" w:ascii="宋体" w:hAnsi="宋体"/>
          <w:b w:val="0"/>
          <w:bCs w:val="0"/>
          <w:color w:val="auto"/>
          <w:sz w:val="24"/>
          <w:szCs w:val="21"/>
          <w:lang w:val="en-US" w:eastAsia="zh-CN"/>
        </w:rPr>
        <w:t xml:space="preserve">人</w:t>
      </w:r>
      <w:r>
        <w:rPr>
          <w:rFonts w:hint="eastAsia" w:ascii="宋体" w:hAnsi="宋体"/>
          <w:b w:val="0"/>
          <w:bCs w:val="0"/>
          <w:color w:val="auto"/>
          <w:sz w:val="24"/>
          <w:szCs w:val="21"/>
        </w:rPr>
        <w:t xml:space="preserve">地点不具备安装条件，具体安装时间以采购</w:t>
      </w:r>
      <w:r>
        <w:rPr>
          <w:rFonts w:hint="eastAsia" w:ascii="宋体" w:hAnsi="宋体"/>
          <w:b w:val="0"/>
          <w:bCs w:val="0"/>
          <w:color w:val="auto"/>
          <w:sz w:val="24"/>
          <w:szCs w:val="21"/>
          <w:lang w:val="en-US" w:eastAsia="zh-CN"/>
        </w:rPr>
        <w:t xml:space="preserve">人</w:t>
      </w:r>
      <w:r>
        <w:rPr>
          <w:rFonts w:hint="eastAsia" w:ascii="宋体" w:hAnsi="宋体"/>
          <w:b w:val="0"/>
          <w:bCs w:val="0"/>
          <w:color w:val="auto"/>
          <w:sz w:val="24"/>
          <w:szCs w:val="21"/>
        </w:rPr>
        <w:t xml:space="preserve">书面正式通知为准，交货验收、安装调试必须在接到采购</w:t>
      </w:r>
      <w:r>
        <w:rPr>
          <w:rFonts w:hint="eastAsia" w:ascii="宋体" w:hAnsi="宋体"/>
          <w:b w:val="0"/>
          <w:bCs w:val="0"/>
          <w:color w:val="auto"/>
          <w:sz w:val="24"/>
          <w:szCs w:val="21"/>
          <w:lang w:val="en-US" w:eastAsia="zh-CN"/>
        </w:rPr>
        <w:t xml:space="preserve">人</w:t>
      </w:r>
      <w:r>
        <w:rPr>
          <w:rFonts w:hint="eastAsia" w:ascii="宋体" w:hAnsi="宋体"/>
          <w:b w:val="0"/>
          <w:bCs w:val="0"/>
          <w:color w:val="auto"/>
          <w:sz w:val="24"/>
          <w:szCs w:val="21"/>
        </w:rPr>
        <w:t xml:space="preserve">正式通知后</w:t>
      </w:r>
      <w:r>
        <w:rPr>
          <w:rFonts w:hint="eastAsia" w:ascii="宋体" w:hAnsi="宋体"/>
          <w:b w:val="0"/>
          <w:bCs w:val="0"/>
          <w:color w:val="auto"/>
          <w:sz w:val="24"/>
          <w:szCs w:val="21"/>
          <w:lang w:val="en-US" w:eastAsia="zh-CN"/>
        </w:rPr>
        <w:t xml:space="preserve">5</w:t>
      </w:r>
      <w:r>
        <w:rPr>
          <w:rFonts w:hint="eastAsia" w:ascii="宋体" w:hAnsi="宋体"/>
          <w:b w:val="0"/>
          <w:bCs w:val="0"/>
          <w:color w:val="auto"/>
          <w:sz w:val="24"/>
          <w:szCs w:val="21"/>
        </w:rPr>
        <w:t xml:space="preserve">0天内完成。</w:t>
      </w:r>
      <w:r/>
    </w:p>
    <w:p>
      <w:pPr>
        <w:spacing w:line="0" w:lineRule="atLeast"/>
        <w:rPr>
          <w:rFonts w:hint="eastAsia" w:ascii="宋体" w:hAnsi="宋体"/>
          <w:b w:val="0"/>
          <w:bCs w:val="0"/>
          <w:color w:val="auto"/>
          <w:sz w:val="24"/>
          <w:szCs w:val="21"/>
        </w:rPr>
      </w:pPr>
      <w:r>
        <w:rPr>
          <w:rFonts w:hint="eastAsia" w:ascii="宋体" w:hAnsi="宋体"/>
          <w:b w:val="0"/>
          <w:bCs w:val="0"/>
          <w:color w:val="auto"/>
          <w:sz w:val="24"/>
          <w:szCs w:val="21"/>
        </w:rPr>
        <w:t xml:space="preserve">（二）交付地点：宿迁学院新校区图书馆指定地点。</w:t>
      </w:r>
      <w:r/>
    </w:p>
    <w:p>
      <w:pPr>
        <w:spacing w:line="0" w:lineRule="atLeast"/>
        <w:rPr>
          <w:rFonts w:hint="eastAsia" w:ascii="宋体" w:hAnsi="宋体"/>
          <w:b w:val="0"/>
          <w:bCs w:val="0"/>
          <w:color w:val="auto"/>
          <w:sz w:val="24"/>
          <w:szCs w:val="21"/>
        </w:rPr>
      </w:pPr>
      <w:r>
        <w:rPr>
          <w:rFonts w:hint="eastAsia" w:ascii="宋体" w:hAnsi="宋体"/>
          <w:b w:val="0"/>
          <w:bCs w:val="0"/>
          <w:color w:val="auto"/>
          <w:sz w:val="24"/>
          <w:szCs w:val="21"/>
        </w:rPr>
        <w:t xml:space="preserve">（三）付款方式：</w:t>
      </w:r>
      <w:r/>
    </w:p>
    <w:p>
      <w:pPr>
        <w:ind w:firstLine="480"/>
        <w:spacing w:line="0" w:lineRule="atLeast"/>
        <w:rPr>
          <w:rFonts w:hint="eastAsia" w:ascii="宋体" w:hAnsi="宋体"/>
          <w:b w:val="0"/>
          <w:bCs w:val="0"/>
          <w:color w:val="auto"/>
          <w:sz w:val="24"/>
          <w:szCs w:val="21"/>
        </w:rPr>
      </w:pPr>
      <w:r>
        <w:rPr>
          <w:rFonts w:hint="eastAsia" w:ascii="宋体" w:hAnsi="宋体"/>
          <w:b w:val="0"/>
          <w:bCs w:val="0"/>
          <w:color w:val="auto"/>
          <w:sz w:val="24"/>
          <w:szCs w:val="21"/>
        </w:rPr>
        <w:t xml:space="preserve">履约保证金：中标人于合同签订前向采购人交纳中标价的10%作为合同的履约保证金。项目验收合格后将履约保证金无息退还给中标人。项目验收合格后支付合同总金额全额。</w:t>
      </w:r>
      <w:r/>
    </w:p>
    <w:p>
      <w:pPr>
        <w:pStyle w:val="743"/>
        <w:numPr>
          <w:ilvl w:val="0"/>
          <w:numId w:val="0"/>
        </w:numPr>
        <w:ind w:right="0"/>
        <w:jc w:val="both"/>
        <w:keepLines w:val="0"/>
        <w:keepNext w:val="0"/>
        <w:pageBreakBefore w:val="0"/>
        <w:spacing w:before="0" w:line="360" w:lineRule="exact"/>
        <w:widowControl w:val="off"/>
        <w:rPr>
          <w:rFonts w:hint="eastAsia" w:ascii="宋体" w:hAnsi="宋体" w:eastAsia="宋体" w:cs="Times New Roman"/>
          <w:b w:val="0"/>
          <w:bCs w:val="0"/>
          <w:i/>
          <w:iCs/>
          <w:color w:val="auto"/>
          <w:sz w:val="24"/>
          <w:szCs w:val="21"/>
          <w:u w:val="single"/>
          <w:lang w:val="en-US" w:eastAsia="zh-CN" w:bidi="ar-SA"/>
        </w:rPr>
      </w:pPr>
      <w:r>
        <w:rPr>
          <w:rFonts w:hint="eastAsia" w:ascii="宋体" w:hAnsi="宋体" w:eastAsia="宋体" w:cs="Times New Roman"/>
          <w:b w:val="0"/>
          <w:bCs w:val="0"/>
          <w:color w:val="auto"/>
          <w:sz w:val="24"/>
          <w:szCs w:val="21"/>
          <w:lang w:val="en-US" w:eastAsia="zh-CN" w:bidi="ar-SA"/>
        </w:rPr>
        <w:t xml:space="preserve">（四）</w:t>
      </w:r>
      <w:r>
        <w:rPr>
          <w:rFonts w:hint="eastAsia" w:ascii="宋体" w:hAnsi="宋体" w:eastAsia="宋体" w:cs="Times New Roman"/>
          <w:b w:val="0"/>
          <w:bCs w:val="0"/>
          <w:i/>
          <w:iCs/>
          <w:color w:val="auto"/>
          <w:sz w:val="24"/>
          <w:szCs w:val="21"/>
          <w:u w:val="single"/>
          <w:lang w:val="en-US" w:eastAsia="zh-CN" w:bidi="ar-SA"/>
        </w:rPr>
        <w:t xml:space="preserve">质量保证期（简称“质保期”）为五年，货物的质保期从货物经采购人验收合格之日起计算，中标人按照合同约定履行质保服务责任。质保期内，对提供的产品提供包退、包换、包修“三包”服务。（供应商应提供承诺书，格式自拟，并加盖公章）</w:t>
      </w:r>
      <w:r/>
    </w:p>
    <w:p>
      <w:pPr>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（五）有关产品质量的认证证书要求</w:t>
      </w:r>
      <w:r/>
    </w:p>
    <w:p>
      <w:pPr>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质量管理体系认证证书，认证产品名称或认证单元须包含“密集架”。</w:t>
      </w:r>
      <w:r/>
    </w:p>
    <w:p>
      <w:pPr>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节能产品认证证书，认证产品名称或认证单元须包含“密集架”。</w:t>
      </w:r>
      <w:r/>
    </w:p>
    <w:p>
      <w:pPr>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环境标志产品认证证书，认证产品名称或认证单元须包含“密集架”。</w:t>
      </w:r>
      <w:r/>
    </w:p>
    <w:p>
      <w:pPr>
        <w:numPr>
          <w:ilvl w:val="0"/>
          <w:numId w:val="15"/>
        </w:numPr>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设备要求 </w:t>
      </w:r>
      <w:r/>
    </w:p>
    <w:p>
      <w:pPr>
        <w:numPr>
          <w:ilvl w:val="0"/>
          <w:numId w:val="0"/>
        </w:numPr>
        <w:ind w:firstLine="480"/>
        <w:spacing w:line="0" w:lineRule="atLeast"/>
        <w:rPr>
          <w:rFonts w:hint="eastAsia" w:ascii="宋体" w:hAnsi="宋体" w:eastAsia="宋体" w:cs="Times New Roman"/>
          <w:b w:val="0"/>
          <w:bCs w:val="0"/>
          <w:color w:val="auto"/>
          <w:sz w:val="24"/>
          <w:szCs w:val="21"/>
          <w:lang w:val="en-US" w:eastAsia="zh-CN"/>
        </w:rPr>
      </w:pPr>
      <w:r>
        <w:rPr>
          <w:rFonts w:hint="eastAsia" w:ascii="宋体" w:hAnsi="宋体" w:eastAsia="宋体" w:cs="Times New Roman"/>
          <w:color w:val="auto"/>
          <w:sz w:val="24"/>
          <w:szCs w:val="24"/>
        </w:rPr>
        <w:t xml:space="preserve">所投产品制造商需提供</w:t>
      </w:r>
      <w:r>
        <w:rPr>
          <w:rFonts w:hint="eastAsia" w:ascii="宋体" w:hAnsi="宋体" w:cs="Times New Roman"/>
          <w:color w:val="auto"/>
          <w:sz w:val="24"/>
          <w:szCs w:val="24"/>
          <w:lang w:val="en-US" w:eastAsia="zh-CN"/>
        </w:rPr>
        <w:t xml:space="preserve">自有</w:t>
      </w:r>
      <w:r>
        <w:rPr>
          <w:rFonts w:hint="eastAsia" w:ascii="宋体" w:hAnsi="宋体" w:eastAsia="宋体" w:cs="Times New Roman"/>
          <w:color w:val="auto"/>
          <w:sz w:val="24"/>
          <w:szCs w:val="24"/>
        </w:rPr>
        <w:t xml:space="preserve">的生产设备：激光切割设备、焊接机器人（多功能机器人焊接）、压力机、全自动喷涂生产线、数控冲床、数控折弯机、数控剪板机</w:t>
      </w:r>
      <w:r>
        <w:rPr>
          <w:rFonts w:hint="eastAsia" w:ascii="宋体" w:hAnsi="宋体" w:eastAsia="宋体" w:cs="Times New Roman"/>
          <w:b w:val="0"/>
          <w:bCs w:val="0"/>
          <w:color w:val="auto"/>
          <w:sz w:val="24"/>
          <w:szCs w:val="21"/>
          <w:lang w:val="en-US" w:eastAsia="zh-CN"/>
        </w:rPr>
        <w:t xml:space="preserve">。</w:t>
      </w:r>
      <w:r/>
    </w:p>
    <w:p>
      <w:pPr>
        <w:numPr>
          <w:ilvl w:val="0"/>
          <w:numId w:val="15"/>
        </w:numPr>
        <w:ind w:left="0" w:firstLine="0"/>
        <w:spacing w:line="0" w:lineRule="atLeast"/>
        <w:rPr>
          <w:rFonts w:hint="default" w:ascii="宋体" w:hAnsi="宋体" w:eastAsia="宋体" w:cs="Times New Roman"/>
          <w:b w:val="0"/>
          <w:bCs w:val="0"/>
          <w:color w:val="auto"/>
          <w:sz w:val="24"/>
          <w:szCs w:val="21"/>
          <w:lang w:val="en-US" w:eastAsia="zh-CN"/>
        </w:rPr>
      </w:pPr>
      <w:r>
        <w:rPr>
          <w:rFonts w:hint="eastAsia" w:ascii="宋体" w:hAnsi="宋体" w:eastAsia="宋体" w:cs="Times New Roman"/>
          <w:b w:val="0"/>
          <w:bCs w:val="0"/>
          <w:color w:val="auto"/>
          <w:sz w:val="24"/>
          <w:szCs w:val="21"/>
          <w:lang w:val="en-US" w:eastAsia="zh-CN"/>
        </w:rPr>
        <w:t xml:space="preserve">业绩要求：</w:t>
      </w:r>
      <w:r>
        <w:rPr>
          <w:rFonts w:hint="default" w:ascii="宋体" w:hAnsi="宋体" w:eastAsia="宋体" w:cs="Times New Roman"/>
          <w:b w:val="0"/>
          <w:bCs w:val="0"/>
          <w:color w:val="auto"/>
          <w:sz w:val="24"/>
          <w:szCs w:val="21"/>
          <w:lang w:val="en-US" w:eastAsia="zh-CN"/>
        </w:rPr>
        <w:t xml:space="preserve">投标人提供自2024年1月1日起，以合同签订时间为准，密集书架类似项目合同，每提供一个</w:t>
      </w:r>
      <w:r>
        <w:rPr>
          <w:rFonts w:hint="eastAsia" w:ascii="宋体" w:hAnsi="宋体" w:eastAsia="宋体" w:cs="Times New Roman"/>
          <w:b w:val="0"/>
          <w:bCs w:val="0"/>
          <w:color w:val="auto"/>
          <w:sz w:val="24"/>
          <w:szCs w:val="21"/>
          <w:lang w:val="en-US" w:eastAsia="zh-CN"/>
        </w:rPr>
        <w:t xml:space="preserve">有效</w:t>
      </w:r>
      <w:r>
        <w:rPr>
          <w:rFonts w:hint="default" w:ascii="宋体" w:hAnsi="宋体" w:eastAsia="宋体" w:cs="Times New Roman"/>
          <w:b w:val="0"/>
          <w:bCs w:val="0"/>
          <w:color w:val="auto"/>
          <w:sz w:val="24"/>
          <w:szCs w:val="21"/>
          <w:lang w:val="en-US" w:eastAsia="zh-CN"/>
        </w:rPr>
        <w:t xml:space="preserve">合同得2分，最多得8分。（提供合同原件扫描件或复印件附于响应文件指定位置，且业绩合同中主要内容、标的、金额等清晰可见，否则该业绩不得分；未提供或提供不全的不得分。）</w:t>
      </w:r>
      <w:r/>
    </w:p>
    <w:p>
      <w:pPr>
        <w:numPr>
          <w:ilvl w:val="0"/>
          <w:numId w:val="15"/>
        </w:numPr>
        <w:ind w:left="0" w:firstLine="0"/>
        <w:spacing w:line="0" w:lineRule="atLeast"/>
        <w:rPr>
          <w:rFonts w:hint="default" w:ascii="宋体" w:hAnsi="宋体" w:eastAsia="宋体" w:cs="Times New Roman"/>
          <w:b w:val="0"/>
          <w:bCs w:val="0"/>
          <w:color w:val="auto"/>
          <w:sz w:val="24"/>
          <w:szCs w:val="21"/>
          <w:lang w:val="en-US" w:eastAsia="zh-CN"/>
        </w:rPr>
      </w:pPr>
      <w:r>
        <w:rPr>
          <w:rFonts w:hint="default" w:ascii="宋体" w:hAnsi="宋体" w:eastAsia="宋体" w:cs="Times New Roman"/>
          <w:b w:val="0"/>
          <w:bCs w:val="0"/>
          <w:color w:val="auto"/>
          <w:sz w:val="24"/>
          <w:szCs w:val="21"/>
          <w:lang w:val="en-US" w:eastAsia="zh-CN"/>
        </w:rPr>
        <w:t xml:space="preserve">报价要求</w:t>
      </w:r>
      <w:r/>
    </w:p>
    <w:p>
      <w:pPr>
        <w:numPr>
          <w:ilvl w:val="0"/>
          <w:numId w:val="0"/>
        </w:numPr>
        <w:ind w:firstLine="480"/>
        <w:spacing w:line="0" w:lineRule="atLeast"/>
        <w:rPr>
          <w:rFonts w:hint="default" w:ascii="宋体" w:hAnsi="宋体" w:eastAsia="宋体" w:cs="Times New Roman"/>
          <w:b w:val="0"/>
          <w:bCs w:val="0"/>
          <w:color w:val="auto"/>
          <w:sz w:val="24"/>
          <w:szCs w:val="21"/>
          <w:lang w:val="en-US" w:eastAsia="zh-CN"/>
        </w:rPr>
      </w:pPr>
      <w:r>
        <w:rPr>
          <w:rFonts w:hint="default" w:ascii="宋体" w:hAnsi="宋体" w:eastAsia="宋体" w:cs="Times New Roman"/>
          <w:b w:val="0"/>
          <w:bCs w:val="0"/>
          <w:color w:val="auto"/>
          <w:sz w:val="24"/>
          <w:szCs w:val="21"/>
          <w:lang w:val="en-US" w:eastAsia="zh-CN"/>
        </w:rPr>
        <w:t xml:space="preserve">本项目报投标总报价，总报价包括完成本项目所需的产品费、设计费、包装费、运输费、保险费、轨道开槽费用、安装调试费、税金、培训费、</w:t>
      </w:r>
      <w:r>
        <w:rPr>
          <w:rFonts w:hint="eastAsia" w:ascii="宋体" w:hAnsi="宋体" w:eastAsia="宋体" w:cs="Times New Roman"/>
          <w:b w:val="0"/>
          <w:bCs w:val="0"/>
          <w:color w:val="auto"/>
          <w:sz w:val="24"/>
          <w:szCs w:val="21"/>
          <w:lang w:val="en-US" w:eastAsia="zh-CN"/>
        </w:rPr>
        <w:t xml:space="preserve">检测费、</w:t>
      </w:r>
      <w:r>
        <w:rPr>
          <w:rFonts w:hint="default" w:ascii="宋体" w:hAnsi="宋体" w:eastAsia="宋体" w:cs="Times New Roman"/>
          <w:b w:val="0"/>
          <w:bCs w:val="0"/>
          <w:color w:val="auto"/>
          <w:sz w:val="24"/>
          <w:szCs w:val="21"/>
          <w:lang w:val="en-US" w:eastAsia="zh-CN"/>
        </w:rPr>
        <w:t xml:space="preserve">验收费</w:t>
      </w:r>
      <w:r>
        <w:rPr>
          <w:rFonts w:hint="eastAsia" w:ascii="宋体" w:hAnsi="宋体" w:eastAsia="宋体" w:cs="Times New Roman"/>
          <w:b w:val="0"/>
          <w:bCs w:val="0"/>
          <w:color w:val="auto"/>
          <w:sz w:val="24"/>
          <w:szCs w:val="21"/>
          <w:lang w:val="en-US" w:eastAsia="zh-CN"/>
        </w:rPr>
        <w:t xml:space="preserve">用</w:t>
      </w:r>
      <w:r>
        <w:rPr>
          <w:rFonts w:hint="default" w:ascii="宋体" w:hAnsi="宋体" w:eastAsia="宋体" w:cs="Times New Roman"/>
          <w:b w:val="0"/>
          <w:bCs w:val="0"/>
          <w:color w:val="auto"/>
          <w:sz w:val="24"/>
          <w:szCs w:val="21"/>
          <w:lang w:val="en-US" w:eastAsia="zh-CN"/>
        </w:rPr>
        <w:t xml:space="preserve">及其他不可预见费等全部费用。采购人后期不再追加任何费用，请各投标人综合考虑后谨慎报价。</w:t>
      </w:r>
      <w:r/>
    </w:p>
    <w:p>
      <w:pPr>
        <w:spacing w:line="0" w:lineRule="atLeas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五、整体项目实施方案要求</w:t>
      </w:r>
      <w:r/>
    </w:p>
    <w:p>
      <w:pPr>
        <w:ind w:firstLine="480"/>
        <w:spacing w:line="0" w:lineRule="atLeas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1"/>
          <w:lang w:val="en-US" w:eastAsia="zh-CN"/>
        </w:rPr>
        <w:t xml:space="preserve">投标人针对本项目采购需求制定项目实施方案，提供的方案至少包括（1）质量保证措施及保障团队；（2）安全保证措施及保障团队；（3）技术保障措施及保障团队方案；（4）工期保证措施及保障团队体系；方案需全面详实、逻辑清晰，明确各环节保障措施、责任分工及团队配置，全方位规避安装、工期、质量等潜在风险，确保密集书架安装规范、运行顺畅，实现项目顺利实施、按期交付、质量达标，全面满足采购人使用需求。</w:t>
      </w:r>
      <w:r/>
      <w:r>
        <w:rPr>
          <w:rFonts w:hint="eastAsia" w:ascii="宋体" w:hAnsi="宋体" w:eastAsia="宋体" w:cs="Times New Roman"/>
          <w:b/>
          <w:bCs/>
          <w:sz w:val="24"/>
          <w:szCs w:val="24"/>
          <w:highlight w:val="none"/>
          <w:lang w:eastAsia="zh-CN"/>
        </w:rPr>
      </w:r>
      <w:r>
        <w:rPr>
          <w:rFonts w:hint="eastAsia" w:ascii="宋体" w:hAnsi="宋体" w:eastAsia="宋体" w:cs="Times New Roman"/>
          <w:b/>
          <w:bCs/>
          <w:sz w:val="24"/>
          <w:szCs w:val="24"/>
          <w:highlight w:val="none"/>
          <w:lang w:eastAsia="zh-CN"/>
        </w:rPr>
      </w:r>
      <w:r>
        <w:rPr>
          <w:rFonts w:hint="eastAsia" w:ascii="宋体" w:hAnsi="宋体" w:eastAsia="宋体" w:cs="Times New Roman"/>
          <w:b w:val="0"/>
          <w:bCs w:val="0"/>
          <w:color w:val="auto"/>
          <w:sz w:val="24"/>
          <w:szCs w:val="24"/>
          <w:highlight w:val="none"/>
          <w:lang w:val="en-US" w:eastAsia="zh-CN"/>
        </w:rPr>
      </w:r>
    </w:p>
    <w:p>
      <w:pPr>
        <w:spacing w:line="0" w:lineRule="atLeast"/>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lang w:val="en-US" w:eastAsia="zh-CN"/>
        </w:rPr>
        <w:t xml:space="preserve">六、</w:t>
      </w:r>
      <w:r>
        <w:rPr>
          <w:rFonts w:hint="eastAsia" w:ascii="宋体" w:hAnsi="宋体" w:eastAsia="宋体" w:cs="Times New Roman"/>
          <w:b/>
          <w:bCs/>
          <w:sz w:val="24"/>
          <w:szCs w:val="24"/>
          <w:lang w:eastAsia="zh-CN"/>
        </w:rPr>
        <w:t xml:space="preserve">售后服务</w:t>
      </w:r>
      <w:r>
        <w:rPr>
          <w:rFonts w:hint="eastAsia" w:ascii="宋体" w:hAnsi="宋体" w:eastAsia="宋体" w:cs="Times New Roman"/>
          <w:b/>
          <w:bCs/>
          <w:sz w:val="24"/>
          <w:szCs w:val="24"/>
          <w:lang w:val="en-US" w:eastAsia="zh-CN"/>
        </w:rPr>
        <w:t xml:space="preserve">方案</w:t>
      </w:r>
      <w:r>
        <w:rPr>
          <w:rFonts w:hint="eastAsia" w:ascii="宋体" w:hAnsi="宋体" w:eastAsia="宋体" w:cs="Times New Roman"/>
          <w:b/>
          <w:bCs/>
          <w:sz w:val="24"/>
          <w:szCs w:val="24"/>
          <w:lang w:eastAsia="zh-CN"/>
        </w:rPr>
        <w:t xml:space="preserve">要求</w:t>
      </w:r>
      <w:r/>
    </w:p>
    <w:p>
      <w:pPr>
        <w:ind w:firstLine="480"/>
        <w:spacing w:line="0" w:lineRule="atLeast"/>
        <w:rPr>
          <w:rFonts w:hint="eastAsia" w:ascii="宋体" w:hAnsi="宋体" w:eastAsia="宋体" w:cs="Times New Roman"/>
          <w:b/>
          <w:bCs/>
          <w:color w:val="auto"/>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投标人提交售后服务承诺。投标人须承诺以下内容：“质保期内，因产品质量不良造成的损坏，中标人免费上门维修、更换。中标人必须有可靠的售后服务保障，当发生故障时，中标人必须在接到通知后</w:t>
      </w:r>
      <w:r>
        <w:rPr>
          <w:rFonts w:hint="eastAsia" w:ascii="宋体" w:hAnsi="宋体" w:eastAsia="宋体" w:cs="Times New Roman"/>
          <w:b w:val="0"/>
          <w:bCs w:val="0"/>
          <w:color w:val="auto"/>
          <w:sz w:val="24"/>
          <w:szCs w:val="24"/>
          <w:lang w:val="en-US" w:eastAsia="zh-CN"/>
        </w:rPr>
        <w:t xml:space="preserve">48</w:t>
      </w:r>
      <w:r>
        <w:rPr>
          <w:rFonts w:hint="eastAsia" w:ascii="宋体" w:hAnsi="宋体" w:eastAsia="宋体" w:cs="Times New Roman"/>
          <w:b w:val="0"/>
          <w:bCs w:val="0"/>
          <w:color w:val="auto"/>
          <w:sz w:val="24"/>
          <w:szCs w:val="24"/>
          <w:lang w:val="en-US" w:eastAsia="zh-CN"/>
        </w:rPr>
        <w:t xml:space="preserve">小时内到达采购单位。质保期内发生与保修相关的一切费用由供应商承担；实行售后跟踪服务，质保期内定期回访。质保期内，如采购人发现货物存在质量问题或出现故障，有权要求中标人进行免费维修或退换，中标人应在采购人指定的期限内完成维修或退换货物，并承担修理、退换的全部费用，由此给采购人造成损失的，中标人应负责赔偿。在原货物经维修恢复正常使用前，或新更换的货物经采购人验收合格前，如有需要，中标人应向采购人提供主要参数不低于原货物的替代货物并保证其正常运行，以尽量减少采购人的损失。质保期内，由于中标人维修或退换货物，而造成</w:t>
      </w:r>
      <w:r>
        <w:rPr>
          <w:rFonts w:hint="eastAsia" w:ascii="宋体" w:hAnsi="宋体" w:eastAsia="宋体" w:cs="Times New Roman"/>
          <w:b w:val="0"/>
          <w:bCs w:val="0"/>
          <w:color w:val="auto"/>
          <w:sz w:val="24"/>
          <w:szCs w:val="24"/>
          <w:lang w:val="en-US" w:eastAsia="zh-CN"/>
        </w:rPr>
        <w:t xml:space="preserve">货物不得不停止使用，货物保修期应依照停止使用的实际时间加以延长。如有需要，中标人应向采购人提供延长货物保修期的售后服务承诺书。质保期满后，如有零部件出现故障，且属于寿命异常问题（明显短于该零部件正常寿命）的，由中标人负责免费更换及维修。质保期满后，应采购人要求，中标人应参考市场价格，以优惠方式向采购人提供必须的零配件，</w:t>
      </w:r>
      <w:r>
        <w:rPr>
          <w:rFonts w:hint="eastAsia" w:ascii="宋体" w:hAnsi="宋体" w:eastAsia="宋体" w:cs="Times New Roman"/>
          <w:b w:val="0"/>
          <w:bCs w:val="0"/>
          <w:color w:val="auto"/>
          <w:sz w:val="24"/>
          <w:szCs w:val="24"/>
          <w:lang w:val="en-US" w:eastAsia="zh-CN"/>
        </w:rPr>
        <w:t xml:space="preserve">如有约定则以约定为准。</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b/>
          <w:bCs/>
          <w:color w:val="auto"/>
          <w:sz w:val="24"/>
          <w:szCs w:val="24"/>
          <w:lang w:val="en-US" w:eastAsia="zh-CN"/>
        </w:rPr>
        <w:t xml:space="preserve">上述承诺须提供承诺书，并加盖投标供应商公章。</w:t>
      </w:r>
      <w:r>
        <w:rPr>
          <w:rFonts w:hint="eastAsia" w:ascii="宋体" w:hAnsi="宋体" w:eastAsia="宋体" w:cs="Times New Roman"/>
          <w:b/>
          <w:bCs/>
          <w:color w:val="auto"/>
          <w:sz w:val="24"/>
          <w:szCs w:val="24"/>
          <w:lang w:val="en-US" w:eastAsia="zh-CN"/>
        </w:rPr>
      </w:r>
    </w:p>
    <w:p>
      <w:pPr>
        <w:ind w:firstLine="480"/>
        <w:spacing w:line="0" w:lineRule="atLeast"/>
        <w:rPr>
          <w:rFonts w:hint="eastAsia" w:ascii="宋体" w:hAnsi="宋体" w:eastAsia="宋体" w:cs="Times New Roman"/>
          <w:b w:val="0"/>
          <w:bCs w:val="0"/>
          <w:color w:val="auto"/>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lang w:val="en-US" w:eastAsia="zh-CN"/>
        </w:rPr>
        <w:t xml:space="preserve">投标人针对本项目采购需求制定售后服务方案，提供的方案至少包括</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）售后服务体系；</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lang w:val="en-US" w:eastAsia="zh-CN"/>
        </w:rPr>
        <w:t xml:space="preserve">）服务内容；（</w:t>
      </w:r>
      <w:r>
        <w:rPr>
          <w:rFonts w:hint="eastAsia" w:ascii="宋体" w:hAnsi="宋体" w:eastAsia="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lang w:val="en-US" w:eastAsia="zh-CN"/>
        </w:rPr>
        <w:t xml:space="preserve">）响应时间；（</w:t>
      </w:r>
      <w:r>
        <w:rPr>
          <w:rFonts w:hint="eastAsia"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）售后服务人员安排；（</w:t>
      </w:r>
      <w:r>
        <w:rPr>
          <w:rFonts w:hint="eastAsia" w:ascii="宋体" w:hAnsi="宋体" w:eastAsia="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）技术培训计划；方案需全面详实、安排合理得当、满足本次采购的要求、保证项目的顺利实施。</w:t>
      </w:r>
      <w:r>
        <w:rPr>
          <w:rFonts w:hint="eastAsia" w:ascii="宋体" w:hAnsi="宋体" w:eastAsia="宋体" w:cs="Times New Roman"/>
          <w:b w:val="0"/>
          <w:bCs w:val="0"/>
          <w:color w:val="auto"/>
          <w:sz w:val="24"/>
          <w:szCs w:val="24"/>
          <w:lang w:val="en-US" w:eastAsia="zh-CN"/>
        </w:rPr>
      </w:r>
      <w:r>
        <w:rPr>
          <w:rFonts w:hint="eastAsia" w:ascii="宋体" w:hAnsi="宋体"/>
          <w:b w:val="0"/>
          <w:bCs w:val="0"/>
          <w:color w:val="auto"/>
          <w:sz w:val="24"/>
          <w:szCs w:val="21"/>
        </w:rPr>
      </w:r>
      <w:r/>
      <w:r>
        <w:rPr>
          <w:rFonts w:hint="eastAsia" w:ascii="宋体" w:hAnsi="宋体" w:eastAsia="宋体" w:cs="Times New Roman"/>
          <w:b w:val="0"/>
          <w:bCs w:val="0"/>
          <w:color w:val="auto"/>
          <w:sz w:val="24"/>
          <w:szCs w:val="24"/>
          <w:lang w:val="en-US" w:eastAsia="zh-CN"/>
          <w14:ligatures w14:val="none"/>
        </w:rPr>
      </w:r>
    </w:p>
    <w:p>
      <w:pPr>
        <w:spacing w:line="0" w:lineRule="atLeast"/>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lang w:eastAsia="zh-CN"/>
        </w:rPr>
        <w:t xml:space="preserve">验收要求</w:t>
      </w:r>
      <w:r/>
    </w:p>
    <w:p>
      <w:pPr>
        <w:ind w:firstLine="480"/>
        <w:spacing w:line="0" w:lineRule="atLeast"/>
        <w:rPr>
          <w:rFonts w:hint="eastAsia" w:ascii="宋体" w:hAnsi="宋体"/>
          <w:color w:val="auto"/>
          <w:sz w:val="24"/>
          <w:szCs w:val="24"/>
        </w:rPr>
      </w:pPr>
      <w:r>
        <w:rPr>
          <w:rFonts w:hint="eastAsia" w:ascii="宋体" w:hAnsi="宋体"/>
          <w:color w:val="000000"/>
          <w:sz w:val="24"/>
          <w:szCs w:val="24"/>
        </w:rPr>
        <w:t xml:space="preserve">货物制造完毕经出厂检验合格后方能发货，并提供货物合格证书。货物表面涂漆颜色由招标人和中标人商定。货物的安装按照国标、部标以及有关标准执行，严格执行安装现场的消防安全规范。中标人负责将货物运输至交货地点，并支付由此所发生的一切运杂费用，包括但不限于运输费、保险费、装卸费等。货物抵达交货地点后，采购人就货物质量、规格和数量进行初步检验。如果发现货物的包装损坏、不符合包装要求或货物的质量、型号、规格和数量等与合同不符</w:t>
      </w:r>
      <w:r>
        <w:rPr>
          <w:rFonts w:hint="eastAsia" w:ascii="宋体" w:hAnsi="宋体"/>
          <w:color w:val="auto"/>
          <w:sz w:val="24"/>
          <w:szCs w:val="24"/>
        </w:rPr>
        <w:t xml:space="preserve">，采购人有权拒收货物。中标人应在采购人指定的时间内重新向采购人交付货物，如果重新交付的货物仍与合同约定不符，采购人有权解除合同。中标人认为已经达到验收条件并准备齐验收所需文件和提供详细的验收方案后，向采购人提出验收申请，采购人认为中标人满足验收条件后组织完成验收。货物验收由采购人组织专家组和中标人联合在采购人指定地点进行</w:t>
      </w:r>
      <w:r>
        <w:rPr>
          <w:rFonts w:hint="eastAsia" w:ascii="宋体" w:hAnsi="宋体"/>
          <w:color w:val="auto"/>
          <w:sz w:val="24"/>
          <w:szCs w:val="24"/>
        </w:rPr>
        <w:t xml:space="preserve">，验收时间由采购人确定。采购人有权要求中标人所投货物验收时，要对所抽检样品进行破坏性试验，若抽样产品在验收中出现不符合技术参数要求，此类产品全部退货。中标人未派人参加的，视为认可验收结果。货物的验收标准按照本合同及采购文件中列明的数量、 技术参数、规格、性能指标等执行。货物验收合格后，采购人按合同约定向中标人付款，中标人同时承担起货物的售后服务责任。验收不合格，采购人有权要求中标人重新提供货物，或有权解除合同。中标人应在采购人指定的期限内重新提供货物，并承担因此而发生的全部费用，赔偿由此给采购人造成的损失。</w:t>
      </w:r>
      <w:r>
        <w:rPr>
          <w:rFonts w:hint="eastAsia" w:ascii="宋体" w:hAnsi="宋体"/>
          <w:color w:val="auto"/>
          <w:sz w:val="24"/>
          <w:szCs w:val="24"/>
          <w:lang w:val="en-US" w:eastAsia="zh-CN"/>
        </w:rPr>
        <w:t xml:space="preserve">验收产生的一切费用由中标人承担。</w:t>
      </w:r>
      <w:r/>
    </w:p>
    <w:p>
      <w:pPr>
        <w:spacing w:line="0" w:lineRule="atLeast"/>
        <w:rPr>
          <w:rFonts w:hint="eastAsia"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八、样品要求</w:t>
      </w:r>
      <w:r/>
    </w:p>
    <w:p>
      <w:pPr>
        <w:spacing w:line="0" w:lineRule="atLeas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1.本项目需要提供样品，中标人的样品由采购人负责保管、封存，并作为履约验收的参考。未中标人的样品予以退还。</w:t>
      </w:r>
      <w:r/>
    </w:p>
    <w:p>
      <w:pPr>
        <w:spacing w:line="0" w:lineRule="atLeas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2.供应商递交如下样品，所提供的样品的规格、材料、做工工艺等等需满足招标文件的技术要求:</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1235"/>
        <w:gridCol w:w="2769"/>
        <w:gridCol w:w="3590"/>
      </w:tblGrid>
      <w:tr>
        <w:trPr>
          <w:trHeight w:val="572"/>
        </w:trPr>
        <w:tc>
          <w:tcPr>
            <w:tcW w:w="1019"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序号</w:t>
            </w:r>
            <w:r/>
          </w:p>
        </w:tc>
        <w:tc>
          <w:tcPr>
            <w:tcW w:w="1373"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样品名称</w:t>
            </w:r>
            <w:r/>
          </w:p>
        </w:tc>
        <w:tc>
          <w:tcPr>
            <w:tcW w:w="3073"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样品参考尺寸</w:t>
            </w:r>
            <w:r/>
          </w:p>
        </w:tc>
        <w:tc>
          <w:tcPr>
            <w:tcW w:w="4102"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样品要求</w:t>
            </w:r>
            <w:r/>
          </w:p>
        </w:tc>
      </w:tr>
      <w:tr>
        <w:trPr/>
        <w:tc>
          <w:tcPr>
            <w:tcW w:w="1019" w:type="dxa"/>
            <w:vAlign w:val="center"/>
            <w:textDirection w:val="lrTb"/>
            <w:noWrap w:val="false"/>
          </w:tcPr>
          <w:p>
            <w:pPr>
              <w:jc w:val="center"/>
              <w:spacing w:after="0" w:line="0" w:lineRule="atLeast"/>
              <w:rPr>
                <w:rFonts w:hint="default"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1</w:t>
            </w:r>
            <w:r/>
          </w:p>
        </w:tc>
        <w:tc>
          <w:tcPr>
            <w:tcW w:w="1373"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底盘</w:t>
            </w:r>
            <w:r/>
          </w:p>
        </w:tc>
        <w:tc>
          <w:tcPr>
            <w:tcW w:w="3073" w:type="dxa"/>
            <w:vAlign w:val="center"/>
            <w:textDirection w:val="lrTb"/>
            <w:noWrap w:val="false"/>
          </w:tcPr>
          <w:p>
            <w:pPr>
              <w:jc w:val="left"/>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厚度≥3.0mm，</w:t>
            </w:r>
            <w:r>
              <w:rPr>
                <w:rFonts w:hint="eastAsia" w:ascii="宋体" w:hAnsi="宋体" w:eastAsia="宋体" w:cs="宋体"/>
                <w:sz w:val="24"/>
                <w:szCs w:val="24"/>
              </w:rPr>
              <w:t xml:space="preserve">成型</w:t>
            </w:r>
            <w:r>
              <w:rPr>
                <w:rFonts w:hint="eastAsia" w:ascii="宋体" w:hAnsi="宋体"/>
                <w:color w:val="000000"/>
                <w:sz w:val="24"/>
                <w:szCs w:val="24"/>
                <w:vertAlign w:val="baseline"/>
                <w:lang w:val="en-US" w:eastAsia="zh-CN"/>
              </w:rPr>
              <w:t xml:space="preserve">高度≥120mm</w:t>
            </w:r>
            <w:r/>
          </w:p>
        </w:tc>
        <w:tc>
          <w:tcPr>
            <w:tcW w:w="4102" w:type="dxa"/>
            <w:vAlign w:val="center"/>
            <w:textDirection w:val="lrTb"/>
            <w:noWrap w:val="false"/>
          </w:tcPr>
          <w:p>
            <w:pPr>
              <w:jc w:val="left"/>
              <w:spacing w:after="0" w:line="0" w:lineRule="atLeast"/>
              <w:rPr>
                <w:rFonts w:hint="eastAsia" w:ascii="宋体" w:hAnsi="宋体" w:eastAsia="宋体" w:cs="宋体"/>
                <w:color w:val="000000"/>
                <w:sz w:val="24"/>
                <w:szCs w:val="24"/>
                <w:lang w:val="en-US" w:eastAsia="zh-CN" w:bidi="ar"/>
              </w:rPr>
            </w:pPr>
            <w:r>
              <w:rPr>
                <w:rFonts w:hint="eastAsia" w:ascii="宋体" w:hAnsi="宋体"/>
                <w:color w:val="000000"/>
                <w:sz w:val="24"/>
                <w:szCs w:val="24"/>
                <w:vertAlign w:val="baseline"/>
                <w:lang w:val="en-US" w:eastAsia="zh-CN"/>
              </w:rPr>
              <w:t xml:space="preserve">外观造型要求：</w:t>
            </w:r>
            <w:r>
              <w:rPr>
                <w:rFonts w:ascii="宋体" w:hAnsi="宋体" w:eastAsia="宋体" w:cs="宋体"/>
                <w:sz w:val="24"/>
                <w:szCs w:val="24"/>
              </w:rPr>
              <w:t xml:space="preserve">整体平直规整。</w:t>
            </w:r>
            <w:r/>
          </w:p>
          <w:p>
            <w:pPr>
              <w:jc w:val="left"/>
              <w:spacing w:after="0" w:line="0" w:lineRule="atLeas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p>
            <w:pPr>
              <w:jc w:val="left"/>
              <w:spacing w:after="0" w:line="0" w:lineRule="atLeast"/>
              <w:rPr>
                <w:rFonts w:hint="eastAsia" w:ascii="宋体" w:hAnsi="宋体" w:eastAsia="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工艺要求：</w:t>
            </w:r>
            <w:r>
              <w:rPr>
                <w:rFonts w:ascii="宋体" w:hAnsi="宋体" w:eastAsia="宋体" w:cs="宋体"/>
                <w:sz w:val="24"/>
                <w:szCs w:val="24"/>
              </w:rPr>
              <w:t xml:space="preserve">焊缝均匀牢固，静电喷塑。</w:t>
            </w:r>
            <w:r/>
          </w:p>
        </w:tc>
      </w:tr>
      <w:tr>
        <w:trPr/>
        <w:tc>
          <w:tcPr>
            <w:tcW w:w="1019" w:type="dxa"/>
            <w:vAlign w:val="center"/>
            <w:textDirection w:val="lrTb"/>
            <w:noWrap w:val="false"/>
          </w:tcPr>
          <w:p>
            <w:pPr>
              <w:jc w:val="center"/>
              <w:spacing w:after="0" w:line="0" w:lineRule="atLeast"/>
              <w:rPr>
                <w:rFonts w:hint="default"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2</w:t>
            </w:r>
            <w:r/>
          </w:p>
        </w:tc>
        <w:tc>
          <w:tcPr>
            <w:tcW w:w="1373"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立柱</w:t>
            </w:r>
            <w:r/>
          </w:p>
        </w:tc>
        <w:tc>
          <w:tcPr>
            <w:tcW w:w="3073" w:type="dxa"/>
            <w:vAlign w:val="center"/>
            <w:textDirection w:val="lrTb"/>
            <w:noWrap w:val="false"/>
          </w:tcPr>
          <w:p>
            <w:pPr>
              <w:jc w:val="left"/>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厚度≥1.5mm，立柱尺寸：正面≥50mm，侧面≥39mm</w:t>
            </w:r>
            <w:r/>
          </w:p>
        </w:tc>
        <w:tc>
          <w:tcPr>
            <w:tcW w:w="4102" w:type="dxa"/>
            <w:vAlign w:val="center"/>
            <w:textDirection w:val="lrTb"/>
            <w:noWrap w:val="false"/>
          </w:tcPr>
          <w:p>
            <w:pPr>
              <w:jc w:val="left"/>
              <w:spacing w:after="0" w:line="0" w:lineRule="atLeast"/>
              <w:rPr>
                <w:rFonts w:ascii="宋体" w:hAnsi="宋体" w:eastAsia="宋体" w:cs="宋体"/>
                <w:sz w:val="24"/>
                <w:szCs w:val="24"/>
              </w:rPr>
            </w:pPr>
            <w:r>
              <w:rPr>
                <w:rFonts w:hint="eastAsia" w:ascii="宋体" w:hAnsi="宋体" w:eastAsia="宋体" w:cs="宋体"/>
                <w:color w:val="000000"/>
                <w:sz w:val="24"/>
                <w:szCs w:val="24"/>
                <w:lang w:val="en-US" w:eastAsia="zh-CN" w:bidi="ar"/>
              </w:rPr>
              <w:t xml:space="preserve">外观造型要求</w:t>
            </w:r>
            <w:r>
              <w:rPr>
                <w:rFonts w:hint="eastAsia" w:ascii="宋体" w:hAnsi="宋体"/>
                <w:color w:val="000000"/>
                <w:sz w:val="24"/>
                <w:szCs w:val="24"/>
                <w:vertAlign w:val="baseline"/>
                <w:lang w:val="en-US" w:eastAsia="zh-CN"/>
              </w:rPr>
              <w:t xml:space="preserve">：</w:t>
            </w:r>
            <w:r>
              <w:rPr>
                <w:rFonts w:ascii="宋体" w:hAnsi="宋体" w:eastAsia="宋体" w:cs="宋体"/>
                <w:sz w:val="24"/>
                <w:szCs w:val="24"/>
              </w:rPr>
              <w:t xml:space="preserve">外形规整竖直，</w:t>
            </w:r>
            <w:r>
              <w:rPr>
                <w:rFonts w:hint="eastAsia" w:ascii="宋体" w:hAnsi="宋体" w:eastAsia="宋体" w:cs="宋体"/>
                <w:color w:val="000000"/>
                <w:sz w:val="24"/>
                <w:szCs w:val="24"/>
              </w:rPr>
              <w:t xml:space="preserve">设计为半敞开式</w:t>
            </w:r>
            <w:r>
              <w:rPr>
                <w:rFonts w:hint="eastAsia" w:cs="宋体"/>
                <w:color w:val="000000"/>
                <w:sz w:val="24"/>
                <w:szCs w:val="24"/>
                <w:lang w:eastAsia="zh-CN"/>
              </w:rPr>
              <w:t xml:space="preserve">，侧面设有</w:t>
            </w:r>
            <w:r>
              <w:rPr>
                <w:rFonts w:hint="eastAsia" w:cs="宋体"/>
                <w:color w:val="000000"/>
                <w:sz w:val="24"/>
                <w:szCs w:val="24"/>
                <w:lang w:val="en-US" w:eastAsia="zh-CN"/>
              </w:rPr>
              <w:t xml:space="preserve">挂</w:t>
            </w:r>
            <w:r>
              <w:rPr>
                <w:rFonts w:hint="eastAsia" w:cs="宋体"/>
                <w:color w:val="000000"/>
                <w:sz w:val="24"/>
                <w:szCs w:val="24"/>
                <w:lang w:eastAsia="zh-CN"/>
              </w:rPr>
              <w:t xml:space="preserve">孔，</w:t>
            </w:r>
            <w:r>
              <w:rPr>
                <w:rFonts w:ascii="宋体" w:hAnsi="宋体" w:eastAsia="宋体" w:cs="宋体"/>
                <w:sz w:val="24"/>
                <w:szCs w:val="24"/>
              </w:rPr>
              <w:t xml:space="preserve">表面光滑，色泽均匀。</w:t>
            </w:r>
            <w:r/>
          </w:p>
          <w:p>
            <w:pPr>
              <w:jc w:val="left"/>
              <w:spacing w:after="0"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left"/>
              <w:spacing w:after="0" w:line="0" w:lineRule="atLeast"/>
              <w:rPr>
                <w:rFonts w:hint="eastAsia" w:ascii="宋体" w:hAnsi="宋体"/>
                <w:color w:val="000000"/>
                <w:sz w:val="24"/>
                <w:szCs w:val="24"/>
                <w:vertAlign w:val="baseline"/>
                <w:lang w:val="en-US" w:eastAsia="zh-CN"/>
              </w:rPr>
            </w:pPr>
            <w:r>
              <w:rPr>
                <w:rFonts w:hint="eastAsia" w:ascii="宋体" w:hAnsi="宋体" w:eastAsia="宋体" w:cs="宋体"/>
                <w:color w:val="000000"/>
                <w:sz w:val="24"/>
                <w:szCs w:val="24"/>
                <w:lang w:val="en-US" w:eastAsia="zh-CN" w:bidi="ar"/>
              </w:rPr>
              <w:t xml:space="preserve">工艺要求：一体成型，</w:t>
            </w:r>
            <w:r>
              <w:rPr>
                <w:rFonts w:hint="eastAsia" w:ascii="宋体" w:hAnsi="宋体" w:eastAsia="宋体" w:cs="宋体"/>
                <w:sz w:val="24"/>
                <w:szCs w:val="24"/>
              </w:rPr>
              <w:t xml:space="preserve">采用压筋工艺，</w:t>
            </w:r>
            <w:r>
              <w:rPr>
                <w:rFonts w:ascii="宋体" w:hAnsi="宋体" w:eastAsia="宋体" w:cs="宋体"/>
                <w:sz w:val="24"/>
                <w:szCs w:val="24"/>
              </w:rPr>
              <w:t xml:space="preserve">挂孔均匀排列，静电喷塑</w:t>
            </w:r>
            <w:r>
              <w:rPr>
                <w:rFonts w:hint="eastAsia" w:ascii="宋体" w:hAnsi="宋体" w:eastAsia="宋体" w:cs="宋体"/>
                <w:color w:val="000000"/>
                <w:sz w:val="24"/>
                <w:szCs w:val="24"/>
              </w:rPr>
              <w:t xml:space="preserve">。</w:t>
            </w:r>
            <w:r/>
          </w:p>
        </w:tc>
      </w:tr>
      <w:tr>
        <w:trPr/>
        <w:tc>
          <w:tcPr>
            <w:tcW w:w="1019" w:type="dxa"/>
            <w:vAlign w:val="center"/>
            <w:textDirection w:val="lrTb"/>
            <w:noWrap w:val="false"/>
          </w:tcPr>
          <w:p>
            <w:pPr>
              <w:jc w:val="center"/>
              <w:spacing w:after="0" w:line="0" w:lineRule="atLeast"/>
              <w:rPr>
                <w:rFonts w:hint="default"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3</w:t>
            </w:r>
            <w:r/>
          </w:p>
        </w:tc>
        <w:tc>
          <w:tcPr>
            <w:tcW w:w="1373"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搁板</w:t>
            </w:r>
            <w:r/>
          </w:p>
        </w:tc>
        <w:tc>
          <w:tcPr>
            <w:tcW w:w="3073" w:type="dxa"/>
            <w:vAlign w:val="center"/>
            <w:textDirection w:val="lrTb"/>
            <w:noWrap w:val="false"/>
          </w:tcPr>
          <w:p>
            <w:pPr>
              <w:jc w:val="left"/>
              <w:spacing w:after="0" w:line="0" w:lineRule="atLeast"/>
              <w:rPr>
                <w:rFonts w:hint="eastAsia" w:ascii="宋体" w:hAnsi="宋体" w:eastAsia="宋体"/>
                <w:color w:val="000000"/>
                <w:sz w:val="24"/>
                <w:szCs w:val="24"/>
                <w:vertAlign w:val="baseline"/>
                <w:lang w:val="en-US" w:eastAsia="zh-CN"/>
              </w:rPr>
            </w:pPr>
            <w:r>
              <w:rPr>
                <w:rFonts w:hint="eastAsia" w:ascii="宋体" w:hAnsi="宋体" w:eastAsia="宋体" w:cs="宋体"/>
                <w:color w:val="000000"/>
                <w:sz w:val="24"/>
                <w:szCs w:val="24"/>
              </w:rPr>
              <w:t xml:space="preserve">厚度≥1.2mm，成型厚度≥25mm</w:t>
            </w:r>
            <w:r/>
          </w:p>
        </w:tc>
        <w:tc>
          <w:tcPr>
            <w:tcW w:w="4102" w:type="dxa"/>
            <w:vAlign w:val="center"/>
            <w:textDirection w:val="lrTb"/>
            <w:noWrap w:val="false"/>
          </w:tcPr>
          <w:p>
            <w:pPr>
              <w:pStyle w:val="758"/>
              <w:jc w:val="left"/>
              <w:keepLines w:val="0"/>
              <w:keepNext w:val="0"/>
              <w:spacing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Times New Roman"/>
                <w:color w:val="000000"/>
                <w:sz w:val="24"/>
                <w:szCs w:val="24"/>
                <w:vertAlign w:val="baseline"/>
                <w:lang w:val="en-US" w:eastAsia="zh-CN"/>
              </w:rPr>
              <w:t xml:space="preserve">外观造型要求</w:t>
            </w:r>
            <w:r>
              <w:rPr>
                <w:rFonts w:hint="eastAsia" w:ascii="宋体" w:hAnsi="宋体"/>
                <w:color w:val="000000"/>
                <w:sz w:val="24"/>
                <w:szCs w:val="24"/>
                <w:vertAlign w:val="baseline"/>
                <w:lang w:val="en-US" w:eastAsia="zh-CN"/>
              </w:rPr>
              <w:t xml:space="preserve">：</w:t>
            </w:r>
            <w:r>
              <w:rPr>
                <w:rFonts w:ascii="宋体" w:hAnsi="宋体" w:eastAsia="宋体" w:cs="宋体"/>
                <w:sz w:val="24"/>
                <w:szCs w:val="24"/>
              </w:rPr>
              <w:t xml:space="preserve">板面平整，表面光滑，色泽均匀。</w:t>
            </w:r>
            <w:r/>
          </w:p>
          <w:p>
            <w:pPr>
              <w:jc w:val="left"/>
              <w:keepLines w:val="0"/>
              <w:keepNext w:val="0"/>
              <w:spacing w:after="0" w:line="240" w:lineRule="auto"/>
              <w:widowControl/>
              <w:rPr>
                <w:rFonts w:hint="eastAsia" w:ascii="宋体" w:hAnsi="宋体" w:eastAsia="宋体" w:cs="Times New Roman"/>
                <w:color w:val="000000"/>
                <w:sz w:val="24"/>
                <w:szCs w:val="24"/>
                <w:vertAlign w:val="baseline"/>
                <w:lang w:val="en-US" w:eastAsia="zh-CN"/>
              </w:rPr>
              <w:suppressLineNumbers w:val="0"/>
            </w:pPr>
            <w:r>
              <w:rPr>
                <w:rFonts w:hint="eastAsia" w:ascii="宋体" w:hAnsi="宋体" w:eastAsia="宋体" w:cs="Times New Roman"/>
                <w:color w:val="000000"/>
                <w:sz w:val="24"/>
                <w:szCs w:val="24"/>
                <w:vertAlign w:val="baseline"/>
                <w:lang w:val="en-US" w:eastAsia="zh-CN"/>
              </w:rPr>
              <w:t xml:space="preserve">工艺要求</w:t>
            </w:r>
            <w:r>
              <w:rPr>
                <w:rFonts w:hint="eastAsia" w:ascii="宋体" w:hAnsi="宋体"/>
                <w:color w:val="000000"/>
                <w:sz w:val="24"/>
                <w:szCs w:val="24"/>
                <w:vertAlign w:val="baseline"/>
                <w:lang w:val="en-US" w:eastAsia="zh-CN"/>
              </w:rPr>
              <w:t xml:space="preserve">：</w:t>
            </w:r>
            <w:r>
              <w:rPr>
                <w:rFonts w:ascii="宋体" w:hAnsi="宋体" w:eastAsia="宋体" w:cs="宋体"/>
                <w:sz w:val="24"/>
                <w:szCs w:val="24"/>
              </w:rPr>
              <w:t xml:space="preserve">一体成型</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val="en-US" w:eastAsia="zh-CN" w:bidi="ar"/>
              </w:rPr>
              <w:t xml:space="preserve">采用压筋工艺</w:t>
            </w:r>
            <w:r>
              <w:rPr>
                <w:rFonts w:ascii="宋体" w:hAnsi="宋体" w:eastAsia="宋体" w:cs="宋体"/>
                <w:sz w:val="24"/>
                <w:szCs w:val="24"/>
              </w:rPr>
              <w:t xml:space="preserve">，静电喷塑。</w:t>
            </w:r>
            <w:r/>
          </w:p>
        </w:tc>
      </w:tr>
      <w:tr>
        <w:trPr/>
        <w:tc>
          <w:tcPr>
            <w:tcW w:w="1019" w:type="dxa"/>
            <w:vAlign w:val="center"/>
            <w:textDirection w:val="lrTb"/>
            <w:noWrap w:val="false"/>
          </w:tcPr>
          <w:p>
            <w:pPr>
              <w:jc w:val="center"/>
              <w:spacing w:after="0" w:line="0" w:lineRule="atLeast"/>
              <w:rPr>
                <w:rFonts w:hint="default"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4</w:t>
            </w:r>
            <w:r/>
          </w:p>
        </w:tc>
        <w:tc>
          <w:tcPr>
            <w:tcW w:w="1373" w:type="dxa"/>
            <w:vAlign w:val="center"/>
            <w:textDirection w:val="lrTb"/>
            <w:noWrap w:val="false"/>
          </w:tcPr>
          <w:p>
            <w:pPr>
              <w:jc w:val="center"/>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挂板</w:t>
            </w:r>
            <w:r/>
          </w:p>
        </w:tc>
        <w:tc>
          <w:tcPr>
            <w:tcW w:w="3073" w:type="dxa"/>
            <w:vAlign w:val="center"/>
            <w:textDirection w:val="lrTb"/>
            <w:noWrap w:val="false"/>
          </w:tcPr>
          <w:p>
            <w:pPr>
              <w:jc w:val="left"/>
              <w:spacing w:after="0" w:line="0" w:lineRule="atLeast"/>
              <w:rPr>
                <w:rFonts w:hint="eastAsia" w:ascii="宋体" w:hAnsi="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厚度≥1.2mm</w:t>
            </w:r>
            <w:r/>
          </w:p>
        </w:tc>
        <w:tc>
          <w:tcPr>
            <w:tcW w:w="4102" w:type="dxa"/>
            <w:vAlign w:val="center"/>
            <w:textDirection w:val="lrTb"/>
            <w:noWrap w:val="false"/>
          </w:tcPr>
          <w:p>
            <w:pPr>
              <w:pStyle w:val="758"/>
              <w:jc w:val="left"/>
              <w:keepLines w:val="0"/>
              <w:keepNext w:val="0"/>
              <w:spacing w:line="240" w:lineRule="auto"/>
              <w:widowControl/>
              <w:rPr>
                <w:rFonts w:hint="eastAsia" w:ascii="宋体" w:hAnsi="宋体" w:eastAsia="宋体" w:cs="Times New Roman"/>
                <w:color w:val="000000"/>
                <w:sz w:val="24"/>
                <w:szCs w:val="24"/>
                <w:vertAlign w:val="baseline"/>
                <w:lang w:val="en-US" w:eastAsia="zh-CN"/>
              </w:rPr>
              <w:suppressLineNumbers w:val="0"/>
            </w:pPr>
            <w:r>
              <w:rPr>
                <w:rFonts w:hint="eastAsia" w:ascii="宋体" w:hAnsi="宋体" w:eastAsia="宋体" w:cs="Times New Roman"/>
                <w:color w:val="000000"/>
                <w:sz w:val="24"/>
                <w:szCs w:val="24"/>
                <w:vertAlign w:val="baseline"/>
                <w:lang w:val="en-US" w:eastAsia="zh-CN"/>
              </w:rPr>
              <w:t xml:space="preserve">外观造型要求</w:t>
            </w:r>
            <w:r>
              <w:rPr>
                <w:rFonts w:hint="eastAsia" w:ascii="宋体" w:hAnsi="宋体"/>
                <w:color w:val="000000"/>
                <w:sz w:val="24"/>
                <w:szCs w:val="24"/>
                <w:vertAlign w:val="baseline"/>
                <w:lang w:val="en-US" w:eastAsia="zh-CN"/>
              </w:rPr>
              <w:t xml:space="preserve">：</w:t>
            </w:r>
            <w:r>
              <w:rPr>
                <w:rFonts w:ascii="宋体" w:hAnsi="宋体" w:eastAsia="宋体" w:cs="宋体"/>
                <w:sz w:val="24"/>
                <w:szCs w:val="24"/>
              </w:rPr>
              <w:t xml:space="preserve">外形规整，表面光滑，色泽均匀。</w:t>
            </w:r>
            <w:r/>
          </w:p>
          <w:p>
            <w:pPr>
              <w:jc w:val="left"/>
              <w:spacing w:after="0" w:line="0" w:lineRule="atLeast"/>
              <w:rPr>
                <w:rFonts w:hint="eastAsia" w:ascii="宋体" w:hAnsi="宋体" w:eastAsia="宋体" w:cs="Times New Roman"/>
                <w:color w:val="000000"/>
                <w:sz w:val="24"/>
                <w:szCs w:val="24"/>
                <w:vertAlign w:val="baseline"/>
                <w:lang w:val="en-US" w:eastAsia="zh-CN"/>
              </w:rPr>
            </w:pPr>
            <w:r>
              <w:rPr>
                <w:rFonts w:hint="eastAsia" w:ascii="宋体" w:hAnsi="宋体" w:eastAsia="宋体" w:cs="Times New Roman"/>
                <w:color w:val="000000"/>
                <w:sz w:val="24"/>
                <w:szCs w:val="24"/>
                <w:vertAlign w:val="baseline"/>
                <w:lang w:val="en-US" w:eastAsia="zh-CN"/>
              </w:rPr>
              <w:t xml:space="preserve">工艺要求</w:t>
            </w:r>
            <w:r>
              <w:rPr>
                <w:rFonts w:hint="eastAsia" w:ascii="宋体" w:hAnsi="宋体"/>
                <w:color w:val="000000"/>
                <w:sz w:val="24"/>
                <w:szCs w:val="24"/>
                <w:vertAlign w:val="baseline"/>
                <w:lang w:val="en-US" w:eastAsia="zh-CN"/>
              </w:rPr>
              <w:t xml:space="preserve">：</w:t>
            </w:r>
            <w:r>
              <w:rPr>
                <w:rFonts w:ascii="宋体" w:hAnsi="宋体" w:eastAsia="宋体" w:cs="宋体"/>
                <w:sz w:val="24"/>
                <w:szCs w:val="24"/>
              </w:rPr>
              <w:t xml:space="preserve">一体成型</w:t>
            </w:r>
            <w:r>
              <w:rPr>
                <w:rFonts w:hint="eastAsia" w:ascii="宋体" w:hAnsi="宋体"/>
                <w:color w:val="000000"/>
                <w:sz w:val="24"/>
                <w:szCs w:val="24"/>
                <w:vertAlign w:val="baseline"/>
                <w:lang w:val="en-US" w:eastAsia="zh-CN"/>
              </w:rPr>
              <w:t xml:space="preserve">，采用压筋工艺，</w:t>
            </w:r>
            <w:r>
              <w:rPr>
                <w:rFonts w:ascii="宋体" w:hAnsi="宋体" w:eastAsia="宋体" w:cs="宋体"/>
                <w:sz w:val="24"/>
                <w:szCs w:val="24"/>
              </w:rPr>
              <w:t xml:space="preserve">静电喷塑</w:t>
            </w:r>
            <w:r>
              <w:rPr>
                <w:rFonts w:hint="eastAsia" w:ascii="宋体" w:hAnsi="宋体" w:eastAsia="宋体" w:cs="宋体"/>
                <w:sz w:val="24"/>
                <w:szCs w:val="24"/>
                <w:lang w:eastAsia="zh-CN"/>
              </w:rPr>
              <w:t xml:space="preserve">。</w:t>
            </w:r>
            <w:r/>
          </w:p>
        </w:tc>
      </w:tr>
    </w:tbl>
    <w:p>
      <w:pPr>
        <w:spacing w:line="0" w:lineRule="atLeas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spacing w:line="0" w:lineRule="atLeast"/>
        <w:rPr>
          <w:rFonts w:hint="eastAsia" w:ascii="宋体" w:hAnsi="宋体"/>
          <w:b/>
          <w:color w:val="000000"/>
          <w:sz w:val="24"/>
          <w:szCs w:val="24"/>
        </w:rPr>
      </w:pPr>
      <w:r>
        <w:rPr>
          <w:rFonts w:hint="eastAsia" w:ascii="宋体" w:hAnsi="宋体"/>
          <w:b/>
          <w:color w:val="000000"/>
          <w:sz w:val="24"/>
          <w:szCs w:val="24"/>
          <w:lang w:val="en-US" w:eastAsia="zh-CN"/>
        </w:rPr>
        <w:t xml:space="preserve">九</w:t>
      </w:r>
      <w:r>
        <w:rPr>
          <w:rFonts w:ascii="宋体" w:hAnsi="宋体"/>
          <w:b/>
          <w:color w:val="000000"/>
          <w:sz w:val="24"/>
          <w:szCs w:val="24"/>
        </w:rPr>
        <w:t xml:space="preserve">、其他要求</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p>
    <w:p>
      <w:pPr>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p>
    <w:tbl>
      <w:tblPr>
        <w:tblStyle w:val="73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密集书架</w:t>
            </w:r>
            <w:r/>
          </w:p>
        </w:tc>
      </w:tr>
    </w:tbl>
    <w:p>
      <w:pPr>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p>
    <w:tbl>
      <w:tblPr>
        <w:tblStyle w:val="73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eastAsia" w:ascii="宋体" w:hAnsi="宋体"/>
                <w:szCs w:val="21"/>
              </w:rPr>
            </w:pPr>
            <w:r>
              <w:rPr>
                <w:rFonts w:hint="eastAsia" w:ascii="宋体" w:hAnsi="宋体"/>
                <w:szCs w:val="21"/>
              </w:rPr>
              <w:t xml:space="preserve">否</w:t>
            </w:r>
            <w:r/>
          </w:p>
        </w:tc>
      </w:tr>
    </w:tbl>
    <w:p>
      <w:pPr>
        <w:spacing w:line="0" w:lineRule="atLeast"/>
        <w:rPr>
          <w:rFonts w:hint="eastAsia" w:ascii="宋体" w:hAnsi="宋体"/>
          <w:color w:val="auto"/>
          <w:sz w:val="24"/>
          <w:szCs w:val="24"/>
          <w:highlight w:val="none"/>
        </w:rPr>
      </w:pPr>
      <w:r>
        <w:rPr>
          <w:rFonts w:hint="eastAsia" w:ascii="宋体" w:hAnsi="宋体"/>
          <w:sz w:val="24"/>
          <w:szCs w:val="24"/>
          <w:highlight w:val="none"/>
        </w:rPr>
        <w:t xml:space="preserve">4.样品管理</w:t>
      </w:r>
      <w:r/>
    </w:p>
    <w:p>
      <w:pPr>
        <w:ind w:firstLine="482"/>
        <w:spacing w:line="440" w:lineRule="exact"/>
        <w:rPr>
          <w:rFonts w:ascii="宋体" w:hAnsi="宋体"/>
          <w:b/>
          <w:color w:val="000000"/>
          <w:sz w:val="24"/>
          <w:szCs w:val="21"/>
        </w:rPr>
      </w:pPr>
      <w:r>
        <w:rPr>
          <w:rFonts w:hint="eastAsia" w:ascii="宋体" w:hAnsi="宋体"/>
          <w:color w:val="000000"/>
          <w:sz w:val="24"/>
          <w:szCs w:val="24"/>
          <w:lang w:val="en-US" w:eastAsia="zh-CN"/>
        </w:rPr>
        <w:t xml:space="preserve">4.1</w:t>
      </w:r>
      <w:r>
        <w:rPr>
          <w:rFonts w:hint="eastAsia" w:ascii="宋体" w:hAnsi="宋体"/>
          <w:color w:val="000000"/>
          <w:sz w:val="24"/>
          <w:szCs w:val="24"/>
        </w:rPr>
        <w:t xml:space="preserve">样品递交时间：</w:t>
      </w:r>
      <w:r>
        <w:rPr>
          <w:rFonts w:hint="eastAsia" w:ascii="宋体" w:hAnsi="宋体"/>
          <w:b/>
          <w:color w:val="000000"/>
          <w:sz w:val="24"/>
          <w:szCs w:val="21"/>
        </w:rPr>
        <w:t xml:space="preserve">2026年</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月20</w:t>
      </w:r>
      <w:r>
        <w:rPr>
          <w:rFonts w:hint="eastAsia" w:ascii="宋体" w:hAnsi="宋体"/>
          <w:b/>
          <w:color w:val="000000"/>
          <w:sz w:val="24"/>
          <w:szCs w:val="21"/>
        </w:rPr>
        <w:t xml:space="preserve">日</w:t>
      </w:r>
      <w:r>
        <w:rPr>
          <w:rFonts w:hint="eastAsia" w:ascii="宋体" w:hAnsi="宋体"/>
          <w:b/>
          <w:color w:val="000000"/>
          <w:sz w:val="24"/>
          <w:szCs w:val="21"/>
          <w:lang w:val="en-US" w:eastAsia="zh-CN"/>
        </w:rPr>
        <w:t xml:space="preserve">上</w:t>
      </w:r>
      <w:r>
        <w:rPr>
          <w:rFonts w:hint="eastAsia" w:ascii="宋体" w:hAnsi="宋体"/>
          <w:b/>
          <w:color w:val="000000"/>
          <w:sz w:val="24"/>
          <w:szCs w:val="21"/>
          <w:lang w:val="en-US" w:eastAsia="zh-CN"/>
        </w:rPr>
        <w:t xml:space="preserve">午9</w:t>
      </w:r>
      <w:r>
        <w:rPr>
          <w:rFonts w:hint="eastAsia" w:ascii="宋体" w:hAnsi="宋体"/>
          <w:b/>
          <w:color w:val="000000"/>
          <w:sz w:val="24"/>
          <w:szCs w:val="21"/>
        </w:rPr>
        <w:t xml:space="preserve">:</w:t>
      </w:r>
      <w:r>
        <w:rPr>
          <w:rFonts w:hint="eastAsia" w:ascii="宋体" w:hAnsi="宋体"/>
          <w:b/>
          <w:color w:val="000000"/>
          <w:sz w:val="24"/>
          <w:szCs w:val="21"/>
          <w:lang w:val="en-US" w:eastAsia="zh-CN"/>
        </w:rPr>
        <w:t xml:space="preserve">00</w:t>
      </w:r>
      <w:r>
        <w:rPr>
          <w:rFonts w:hint="eastAsia" w:ascii="宋体" w:hAnsi="宋体"/>
          <w:b/>
          <w:color w:val="000000"/>
          <w:sz w:val="24"/>
          <w:szCs w:val="21"/>
        </w:rPr>
        <w:t xml:space="preserve">起至</w:t>
      </w:r>
      <w:r>
        <w:rPr>
          <w:rFonts w:hint="eastAsia" w:ascii="宋体" w:hAnsi="宋体"/>
          <w:b/>
          <w:color w:val="000000"/>
          <w:sz w:val="24"/>
          <w:szCs w:val="21"/>
          <w:lang w:val="en-US" w:eastAsia="zh-CN"/>
        </w:rPr>
        <w:t xml:space="preserve">11:00</w:t>
      </w:r>
      <w:r>
        <w:rPr>
          <w:rFonts w:ascii="宋体" w:hAnsi="宋体" w:cs="宋体"/>
          <w:b/>
          <w:color w:val="000000"/>
          <w:sz w:val="24"/>
        </w:rPr>
        <w:t xml:space="preserve">止，</w:t>
      </w:r>
      <w:r>
        <w:rPr>
          <w:rFonts w:ascii="宋体" w:hAnsi="宋体" w:cs="宋体"/>
          <w:color w:val="000000"/>
          <w:sz w:val="24"/>
        </w:rPr>
        <w:t xml:space="preserve">在此期间</w:t>
      </w:r>
      <w:r>
        <w:rPr>
          <w:rFonts w:hint="eastAsia" w:ascii="宋体" w:hAnsi="宋体" w:cs="宋体"/>
          <w:color w:val="000000" w:themeColor="text1"/>
          <w:sz w:val="24"/>
          <w:highlight w:val="none"/>
          <w14:textFill>
            <w14:solidFill>
              <w14:schemeClr w14:val="tx1"/>
            </w14:solidFill>
          </w14:textFill>
        </w:rPr>
        <w:t xml:space="preserve">之前</w:t>
      </w:r>
      <w:r>
        <w:rPr>
          <w:rFonts w:ascii="宋体" w:hAnsi="宋体" w:cs="宋体"/>
          <w:color w:val="000000"/>
          <w:sz w:val="24"/>
        </w:rPr>
        <w:t xml:space="preserve">样品由投标人自行保管。公证处不接收在样品递交截止时间后递交的样品。</w:t>
      </w:r>
      <w:r/>
    </w:p>
    <w:p>
      <w:pPr>
        <w:ind w:firstLine="420"/>
        <w:keepLines w:val="0"/>
        <w:keepNext w:val="0"/>
        <w:pageBreakBefore w:val="0"/>
        <w:spacing w:line="0" w:lineRule="atLeast"/>
        <w:widowControl w:val="off"/>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提醒：建议各投标人考虑交通拥堵或其他突发情况，预留足够样品送达时间，尽量在时间一期间送达样品，避免因样品送达逾期被拒绝接收。</w:t>
      </w:r>
      <w:r/>
    </w:p>
    <w:p>
      <w:pPr>
        <w:ind w:firstLine="480"/>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4.2</w:t>
      </w:r>
      <w:r>
        <w:rPr>
          <w:rFonts w:hint="eastAsia" w:ascii="宋体" w:hAnsi="宋体"/>
          <w:color w:val="000000"/>
          <w:sz w:val="24"/>
          <w:szCs w:val="24"/>
        </w:rPr>
        <w:t xml:space="preserve">样品递交地点：</w:t>
      </w:r>
      <w:r>
        <w:rPr>
          <w:rFonts w:hint="eastAsia" w:ascii="宋体" w:hAnsi="宋体"/>
          <w:b/>
          <w:bCs/>
          <w:color w:val="000000"/>
          <w:sz w:val="24"/>
          <w:szCs w:val="21"/>
        </w:rPr>
        <w:t xml:space="preserve">南京市建邺区汉中门大街145号省政务服务中心二期西五门4楼4601。</w:t>
      </w:r>
      <w:r/>
    </w:p>
    <w:p>
      <w:pPr>
        <w:ind w:firstLine="480"/>
        <w:spacing w:line="0" w:lineRule="atLeast"/>
        <w:rPr>
          <w:rFonts w:ascii="宋体" w:hAnsi="宋体"/>
          <w:color w:val="000000"/>
          <w:sz w:val="24"/>
          <w:szCs w:val="24"/>
        </w:rPr>
      </w:pPr>
      <w:r>
        <w:rPr>
          <w:rFonts w:hint="eastAsia" w:ascii="宋体" w:hAnsi="宋体"/>
          <w:color w:val="000000"/>
          <w:sz w:val="24"/>
          <w:szCs w:val="24"/>
          <w:lang w:val="en-US" w:eastAsia="zh-CN"/>
        </w:rPr>
        <w:t xml:space="preserve">4.3</w:t>
      </w:r>
      <w:r>
        <w:rPr>
          <w:rFonts w:hint="eastAsia" w:ascii="宋体" w:hAnsi="宋体"/>
          <w:color w:val="000000"/>
          <w:sz w:val="24"/>
          <w:szCs w:val="24"/>
        </w:rPr>
        <w:t xml:space="preserve">样品接收人/退还人：南京市公证处</w:t>
      </w:r>
      <w:r>
        <w:rPr>
          <w:rFonts w:hint="eastAsia" w:ascii="宋体" w:hAnsi="宋体"/>
          <w:b/>
          <w:bCs/>
          <w:color w:val="000000"/>
          <w:sz w:val="24"/>
          <w:szCs w:val="21"/>
        </w:rPr>
        <w:t xml:space="preserve">朱老师</w:t>
      </w:r>
      <w:r>
        <w:rPr>
          <w:rFonts w:hint="eastAsia" w:ascii="宋体" w:hAnsi="宋体"/>
          <w:color w:val="000000"/>
          <w:sz w:val="24"/>
          <w:szCs w:val="24"/>
        </w:rPr>
        <w:t xml:space="preserve">；联系方式：</w:t>
      </w:r>
      <w:r>
        <w:rPr>
          <w:rFonts w:hint="eastAsia" w:ascii="宋体" w:hAnsi="宋体"/>
          <w:b/>
          <w:bCs/>
          <w:color w:val="000000"/>
          <w:sz w:val="24"/>
          <w:szCs w:val="21"/>
        </w:rPr>
        <w:t xml:space="preserve">18851755656、18851755658</w:t>
      </w:r>
      <w:r>
        <w:rPr>
          <w:rFonts w:hint="eastAsia" w:ascii="宋体" w:hAnsi="宋体"/>
          <w:color w:val="000000"/>
          <w:sz w:val="24"/>
          <w:szCs w:val="24"/>
        </w:rPr>
        <w:t xml:space="preserve">。</w:t>
      </w:r>
      <w:r/>
    </w:p>
    <w:p>
      <w:pPr>
        <w:ind w:firstLine="480"/>
        <w:spacing w:line="0" w:lineRule="atLeast"/>
        <w:rPr>
          <w:rFonts w:hint="eastAsia" w:ascii="宋体" w:hAnsi="宋体" w:eastAsia="宋体" w:cs="Times New Roman"/>
          <w:sz w:val="24"/>
          <w:szCs w:val="21"/>
          <w:lang w:eastAsia="zh-CN"/>
        </w:rPr>
      </w:pPr>
      <w:r>
        <w:rPr>
          <w:rFonts w:hint="eastAsia"/>
          <w:color w:val="000000"/>
          <w:sz w:val="24"/>
          <w:szCs w:val="24"/>
          <w:lang w:val="en-US" w:eastAsia="zh-CN"/>
        </w:rPr>
        <w:t xml:space="preserve">4.4</w:t>
      </w:r>
      <w:r>
        <w:rPr>
          <w:rFonts w:hint="eastAsia" w:ascii="宋体" w:hAnsi="宋体"/>
          <w:b/>
          <w:bCs/>
          <w:color w:val="000000"/>
          <w:sz w:val="24"/>
          <w:szCs w:val="24"/>
        </w:rPr>
        <w:t xml:space="preserve">供应商提交的样品不得含有供应商名称。</w:t>
      </w:r>
      <w:r/>
    </w:p>
    <w:p>
      <w:pPr>
        <w:ind w:firstLine="480"/>
        <w:jc w:val="left"/>
        <w:spacing w:line="431" w:lineRule="exact"/>
        <w:rPr>
          <w:rFonts w:hint="eastAsia" w:ascii="宋体" w:hAnsi="宋体"/>
          <w:sz w:val="24"/>
          <w:szCs w:val="24"/>
        </w:rPr>
      </w:pPr>
      <w:r>
        <w:rPr>
          <w:rFonts w:hint="eastAsia" w:ascii="宋体" w:hAnsi="宋体" w:cs="宋体"/>
          <w:color w:val="000000"/>
          <w:sz w:val="24"/>
          <w:highlight w:val="none"/>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spacing w:line="0" w:lineRule="atLeast"/>
        <w:rPr>
          <w:rFonts w:ascii="宋体" w:hAnsi="宋体"/>
          <w:sz w:val="24"/>
          <w:szCs w:val="24"/>
        </w:rPr>
      </w:pPr>
      <w:r>
        <w:rPr>
          <w:rFonts w:hint="eastAsia" w:ascii="宋体" w:hAnsi="宋体"/>
          <w:sz w:val="24"/>
          <w:szCs w:val="24"/>
        </w:rPr>
        <w:t xml:space="preserve">4.5供应商递交/取回样品时将进行登记，并由样品递交人/取回人签字确认。</w:t>
      </w:r>
      <w:r/>
    </w:p>
    <w:p>
      <w:pPr>
        <w:ind w:firstLine="480"/>
        <w:spacing w:line="0" w:lineRule="atLeast"/>
        <w:rPr>
          <w:rFonts w:ascii="宋体" w:hAnsi="宋体"/>
          <w:sz w:val="24"/>
          <w:szCs w:val="24"/>
        </w:rPr>
      </w:pPr>
      <w:r>
        <w:rPr>
          <w:rFonts w:hint="eastAsia" w:ascii="宋体" w:hAnsi="宋体"/>
          <w:sz w:val="24"/>
          <w:szCs w:val="24"/>
        </w:rPr>
        <w:t xml:space="preserve">4.6供应商递交/取回样品时，不得破坏或损毁其他供应商的样品，也不得对其他供应商的样品拍照、录像。</w:t>
      </w:r>
      <w:r/>
    </w:p>
    <w:p>
      <w:pPr>
        <w:ind w:firstLine="480"/>
        <w:spacing w:line="0" w:lineRule="atLeast"/>
        <w:rPr>
          <w:rFonts w:ascii="宋体" w:hAnsi="宋体"/>
          <w:sz w:val="24"/>
          <w:szCs w:val="24"/>
        </w:rPr>
      </w:pPr>
      <w:r>
        <w:rPr>
          <w:rFonts w:hint="eastAsia" w:ascii="宋体" w:hAnsi="宋体"/>
          <w:sz w:val="24"/>
          <w:szCs w:val="24"/>
        </w:rPr>
        <w:t xml:space="preserve">4.7 中标（成交）供应商递交的样品由采购人负责保管、封存并作为履约验收的依据，不再退还中标（成交）供应商。未中标（成交）供应商递交的样品在采购结果公告期结束后5个工作日内，由南京市公证处通知未中标（成交）供应商自行取回，逾期未取回，视同供应商放弃样品所有权，由采购人、采购中心自行处置。</w:t>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ff0000"/>
          <w:sz w:val="24"/>
          <w:szCs w:val="24"/>
        </w:rPr>
      </w:pPr>
      <w:r>
        <w:rPr>
          <w:rFonts w:hint="eastAsia" w:ascii="宋体" w:hAnsi="宋体"/>
          <w:color w:val="ff0000"/>
          <w:sz w:val="24"/>
          <w:szCs w:val="24"/>
        </w:rPr>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t xml:space="preserve">第五章  评标方法与评标标准</w:t>
      </w:r>
      <w:r/>
    </w:p>
    <w:p>
      <w:pPr>
        <w:rPr>
          <w:rFonts w:hint="eastAsia" w:ascii="Times New Roman" w:hAnsi="Times New Roman"/>
          <w:color w:val="000000"/>
          <w:szCs w:val="21"/>
        </w:rPr>
      </w:pPr>
      <w:r>
        <w:rPr>
          <w:rFonts w:hint="eastAsia"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73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4325" w:type="dxa"/>
            <w:vAlign w:val="top"/>
            <w:textDirection w:val="lrTb"/>
            <w:noWrap w:val="false"/>
          </w:tcPr>
          <w:p>
            <w:pPr>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41"/>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7、采购本国产品的支持政策</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u w:val="single"/>
          <w:lang w:val="en-US" w:eastAsia="zh-CN"/>
        </w:rPr>
        <w:t xml:space="preserve">20%</w:t>
      </w:r>
      <w:r>
        <w:rPr>
          <w:rFonts w:hint="eastAsia" w:ascii="宋体" w:hAnsi="宋体" w:eastAsia="宋体" w:cs="宋体"/>
          <w:color w:val="auto"/>
          <w:sz w:val="24"/>
          <w:szCs w:val="24"/>
          <w:lang w:val="en-US" w:eastAsia="zh-CN"/>
        </w:rPr>
        <w:t xml:space="preserve">的价格扣除，用扣除后的价格参与评审。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lang w:val="en-US" w:eastAsia="zh-CN"/>
        </w:rPr>
        <w:t xml:space="preserve">80%</w:t>
      </w:r>
      <w:r>
        <w:rPr>
          <w:rFonts w:hint="eastAsia" w:ascii="宋体" w:hAnsi="宋体" w:eastAsia="宋体" w:cs="宋体"/>
          <w:color w:val="auto"/>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lang w:val="en-US" w:eastAsia="zh-CN"/>
        </w:rPr>
        <w:t xml:space="preserve">20%</w:t>
      </w:r>
      <w:r>
        <w:rPr>
          <w:rFonts w:hint="eastAsia" w:ascii="宋体" w:hAnsi="宋体" w:eastAsia="宋体" w:cs="宋体"/>
          <w:color w:val="auto"/>
          <w:sz w:val="24"/>
          <w:szCs w:val="24"/>
          <w:lang w:val="en-US" w:eastAsia="zh-CN"/>
        </w:rPr>
        <w:t xml:space="preserve">的价格扣除，用扣除后的价格参与评审。供应商未填写比例数值，或比例数值</w:t>
      </w:r>
      <w:r>
        <w:rPr>
          <w:rFonts w:hint="eastAsia" w:ascii="宋体" w:hAnsi="宋体" w:eastAsia="宋体" w:cs="宋体"/>
          <w:color w:val="auto"/>
          <w:sz w:val="24"/>
          <w:szCs w:val="24"/>
          <w:u w:val="none"/>
          <w:lang w:val="en-US" w:eastAsia="zh-CN"/>
        </w:rPr>
        <w:t xml:space="preserve">不足</w:t>
      </w:r>
      <w:r>
        <w:rPr>
          <w:rFonts w:hint="eastAsia" w:ascii="宋体" w:hAnsi="宋体" w:eastAsia="宋体" w:cs="宋体"/>
          <w:color w:val="auto"/>
          <w:sz w:val="24"/>
          <w:szCs w:val="24"/>
          <w:u w:val="single"/>
          <w:lang w:val="en-US" w:eastAsia="zh-CN"/>
        </w:rPr>
        <w:t xml:space="preserve">80%</w:t>
      </w:r>
      <w:r>
        <w:rPr>
          <w:rFonts w:hint="eastAsia" w:ascii="宋体" w:hAnsi="宋体" w:eastAsia="宋体" w:cs="宋体"/>
          <w:color w:val="auto"/>
          <w:sz w:val="24"/>
          <w:szCs w:val="24"/>
          <w:lang w:val="en-US" w:eastAsia="zh-CN"/>
        </w:rPr>
        <w:t xml:space="preserve">的，将不享受本国产品价格评审优惠</w:t>
      </w:r>
      <w:r>
        <w:rPr>
          <w:rFonts w:hint="eastAsia" w:ascii="宋体" w:hAnsi="宋体" w:eastAsia="宋体" w:cs="宋体"/>
          <w:color w:val="auto"/>
          <w:sz w:val="24"/>
          <w:szCs w:val="24"/>
        </w:rPr>
        <w:t xml:space="preserve">。</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7.3 </w:t>
      </w:r>
      <w:r>
        <w:rPr>
          <w:rFonts w:hint="eastAsia" w:ascii="宋体" w:hAnsi="宋体" w:eastAsia="宋体" w:cs="宋体"/>
          <w:color w:val="auto"/>
          <w:sz w:val="24"/>
          <w:szCs w:val="24"/>
        </w:rPr>
        <w:t xml:space="preserve">供应商需按照</w:t>
      </w:r>
      <w:r>
        <w:rPr>
          <w:rFonts w:hint="eastAsia" w:ascii="宋体" w:hAnsi="宋体" w:eastAsia="宋体" w:cs="宋体"/>
          <w:color w:val="auto"/>
          <w:sz w:val="24"/>
          <w:szCs w:val="24"/>
          <w:lang w:eastAsia="zh-CN"/>
        </w:rPr>
        <w:t xml:space="preserve">招标</w:t>
      </w:r>
      <w:r>
        <w:rPr>
          <w:rFonts w:hint="eastAsia" w:ascii="宋体" w:hAnsi="宋体" w:eastAsia="宋体" w:cs="宋体"/>
          <w:color w:val="auto"/>
          <w:sz w:val="24"/>
          <w:szCs w:val="24"/>
        </w:rPr>
        <w:t xml:space="preserve">文件的要求提供《关于符合本国产品标准的声明函》</w:t>
      </w:r>
      <w:r>
        <w:rPr>
          <w:rFonts w:hint="eastAsia" w:ascii="宋体" w:hAnsi="宋体" w:eastAsia="宋体" w:cs="宋体"/>
          <w:color w:val="auto"/>
          <w:sz w:val="24"/>
          <w:szCs w:val="24"/>
          <w:lang w:eastAsia="zh-CN"/>
        </w:rPr>
        <w:t xml:space="preserve">（以下简称《声明函》），如不提供</w:t>
      </w:r>
      <w:r>
        <w:rPr>
          <w:rFonts w:hint="eastAsia" w:ascii="宋体" w:hAnsi="宋体" w:eastAsia="宋体" w:cs="宋体"/>
          <w:color w:val="auto"/>
          <w:sz w:val="24"/>
          <w:szCs w:val="24"/>
          <w:lang w:val="en-US" w:eastAsia="zh-CN"/>
        </w:rPr>
        <w:t xml:space="preserve">将不享受本国产品价格评审优惠</w:t>
      </w:r>
      <w:r>
        <w:rPr>
          <w:rFonts w:hint="eastAsia" w:ascii="宋体" w:hAnsi="宋体" w:eastAsia="宋体" w:cs="宋体"/>
          <w:color w:val="auto"/>
          <w:sz w:val="24"/>
          <w:szCs w:val="24"/>
        </w:rPr>
        <w:t xml:space="preserve">。</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7.4 供应商需在《声明函》中逐一、准确填写产品名称、厂名、生产厂址三项信息（</w:t>
      </w:r>
      <w:r>
        <w:rPr>
          <w:rFonts w:hint="eastAsia" w:ascii="宋体" w:hAnsi="宋体" w:eastAsia="宋体" w:cs="宋体"/>
          <w:color w:val="auto"/>
          <w:sz w:val="24"/>
          <w:szCs w:val="24"/>
          <w:lang w:val="en-US" w:eastAsia="zh-CN"/>
        </w:rPr>
        <w:t xml:space="preserve">《声明函》中标注</w:t>
      </w:r>
      <w:r>
        <w:rPr>
          <w:rFonts w:hint="eastAsia" w:ascii="宋体" w:hAnsi="宋体" w:eastAsia="宋体" w:cs="宋体"/>
          <w:color w:val="auto"/>
          <w:sz w:val="24"/>
          <w:szCs w:val="24"/>
          <w:u w:val="single"/>
          <w:lang w:val="en-US" w:eastAsia="zh-CN"/>
        </w:rPr>
        <w:t xml:space="preserve">“  /  ”</w:t>
      </w:r>
      <w:r>
        <w:rPr>
          <w:rFonts w:hint="eastAsia" w:ascii="宋体" w:hAnsi="宋体" w:eastAsia="宋体" w:cs="宋体"/>
          <w:color w:val="auto"/>
          <w:sz w:val="24"/>
          <w:szCs w:val="24"/>
          <w:lang w:val="en-US" w:eastAsia="zh-CN"/>
        </w:rPr>
        <w:t xml:space="preserve">的地方无需填写</w:t>
      </w:r>
      <w:r>
        <w:rPr>
          <w:rFonts w:hint="eastAsia" w:ascii="宋体" w:hAnsi="宋体" w:eastAsia="宋体" w:cs="宋体"/>
          <w:color w:val="auto"/>
          <w:sz w:val="24"/>
          <w:szCs w:val="24"/>
        </w:rPr>
        <w:t xml:space="preserve">），三项信息中任意一项未填写的视为该项产品不符合本国产品标准，不享受本国产品价格评审优惠。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auto"/>
          <w:sz w:val="24"/>
          <w:szCs w:val="24"/>
          <w:u w:val="none"/>
          <w:lang w:eastAsia="zh-CN"/>
        </w:rPr>
        <w:t xml:space="preserve">和招标文件</w:t>
      </w:r>
      <w:r>
        <w:rPr>
          <w:rFonts w:hint="eastAsia" w:ascii="宋体" w:hAnsi="宋体" w:eastAsia="宋体" w:cs="宋体"/>
          <w:b w:val="0"/>
          <w:bCs w:val="0"/>
          <w:color w:val="auto"/>
          <w:sz w:val="24"/>
          <w:szCs w:val="24"/>
          <w:u w:val="none"/>
        </w:rPr>
        <w:t xml:space="preserve">规定的，供应商提供的相关产品视为不符合本国产品标准。</w:t>
      </w:r>
      <w:r/>
    </w:p>
    <w:p>
      <w:pPr>
        <w:ind w:firstLine="560"/>
        <w:jc w:val="left"/>
        <w:spacing w:before="120" w:after="120" w:line="400" w:lineRule="exact"/>
        <w:rPr>
          <w:rFonts w:hint="eastAsia" w:ascii="方正魏碑_GBK" w:hAnsi="方正魏碑_GBK" w:eastAsia="方正魏碑_GBK" w:cs="方正魏碑_GBK"/>
          <w:color w:val="ff0000"/>
          <w:sz w:val="28"/>
          <w:szCs w:val="28"/>
          <w:lang w:val="en-US" w:eastAsia="zh-CN"/>
        </w:rPr>
      </w:pPr>
      <w:r>
        <w:rPr>
          <w:rFonts w:hint="eastAsia" w:ascii="方正魏碑_GBK" w:hAnsi="方正魏碑_GBK" w:eastAsia="方正魏碑_GBK" w:cs="方正魏碑_GBK"/>
          <w:color w:val="ff0000"/>
          <w:sz w:val="28"/>
          <w:szCs w:val="28"/>
          <w:lang w:val="en-US" w:eastAsia="zh-CN"/>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p>
    <w:tbl>
      <w:tblPr>
        <w:tblStyle w:val="739"/>
        <w:tblW w:w="9433" w:type="dxa"/>
        <w:tblCellSpacing w:w="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571"/>
        <w:gridCol w:w="2017"/>
        <w:gridCol w:w="1143"/>
        <w:gridCol w:w="5702"/>
      </w:tblGrid>
      <w:tr>
        <w:trPr>
          <w:tblCellSpacing w:w="0" w:type="dxa"/>
          <w:trHeight w:val="598"/>
        </w:trPr>
        <w:tc>
          <w:tcPr>
            <w:shd w:val="clear" w:color="auto" w:fill="auto"/>
            <w:tcW w:w="571" w:type="dxa"/>
            <w:vAlign w:val="center"/>
            <w:textDirection w:val="lrTb"/>
            <w:noWrap w:val="false"/>
          </w:tcPr>
          <w:p>
            <w:pPr>
              <w:pStyle w:val="758"/>
              <w:jc w:val="center"/>
              <w:keepLines w:val="0"/>
              <w:keepNext w:val="0"/>
              <w:spacing w:before="0" w:beforeAutospacing="0" w:after="0" w:afterAutospacing="0" w:line="0" w:lineRule="atLeast"/>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序号</w:t>
            </w:r>
            <w:r/>
          </w:p>
        </w:tc>
        <w:tc>
          <w:tcPr>
            <w:shd w:val="clear" w:color="auto" w:fill="auto"/>
            <w:tcW w:w="2017" w:type="dxa"/>
            <w:vAlign w:val="center"/>
            <w:textDirection w:val="lrTb"/>
            <w:noWrap w:val="false"/>
          </w:tcPr>
          <w:p>
            <w:pPr>
              <w:pStyle w:val="758"/>
              <w:jc w:val="center"/>
              <w:keepLines w:val="0"/>
              <w:keepNext w:val="0"/>
              <w:spacing w:before="0" w:beforeAutospacing="0" w:after="0" w:afterAutospacing="0" w:line="0" w:lineRule="atLeast"/>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评分项目</w:t>
            </w:r>
            <w:r/>
          </w:p>
        </w:tc>
        <w:tc>
          <w:tcPr>
            <w:shd w:val="clear" w:color="auto" w:fill="ffffff"/>
            <w:tcW w:w="1143" w:type="dxa"/>
            <w:vAlign w:val="center"/>
            <w:textDirection w:val="lrTb"/>
            <w:noWrap w:val="false"/>
          </w:tcPr>
          <w:p>
            <w:pPr>
              <w:pStyle w:val="758"/>
              <w:ind w:right="2"/>
              <w:jc w:val="center"/>
              <w:keepLines w:val="0"/>
              <w:keepNext w:val="0"/>
              <w:spacing w:before="0" w:beforeAutospacing="0" w:after="0" w:afterAutospacing="0" w:line="0" w:lineRule="atLeast"/>
              <w:widowControl w:val="off"/>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color w:val="auto"/>
                <w:sz w:val="24"/>
                <w:szCs w:val="24"/>
                <w:lang w:val="en-US" w:eastAsia="zh-CN" w:bidi="ar-SA"/>
              </w:rPr>
              <w:t xml:space="preserve">分值</w:t>
            </w:r>
            <w:r/>
          </w:p>
        </w:tc>
        <w:tc>
          <w:tcPr>
            <w:shd w:val="clear" w:color="auto" w:fill="ffffff"/>
            <w:tcW w:w="5702" w:type="dxa"/>
            <w:vAlign w:val="center"/>
            <w:textDirection w:val="lrTb"/>
            <w:noWrap w:val="false"/>
          </w:tcPr>
          <w:p>
            <w:pPr>
              <w:pStyle w:val="758"/>
              <w:jc w:val="center"/>
              <w:keepLines w:val="0"/>
              <w:keepNext w:val="0"/>
              <w:spacing w:before="0" w:beforeAutospacing="0" w:after="0" w:afterAutospacing="0" w:line="0" w:lineRule="atLeast"/>
              <w:widowControl w:val="off"/>
              <w:rPr>
                <w:rFonts w:hint="eastAsia"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auto"/>
                <w:sz w:val="24"/>
                <w:szCs w:val="24"/>
                <w:lang w:val="en-US" w:eastAsia="zh-CN" w:bidi="ar-SA"/>
              </w:rPr>
              <w:t xml:space="preserve">评分标准</w:t>
            </w:r>
            <w:r/>
          </w:p>
        </w:tc>
      </w:tr>
      <w:tr>
        <w:trPr>
          <w:tblCellSpacing w:w="0" w:type="dxa"/>
          <w:trHeight w:val="912"/>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投标报价</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30</w:t>
            </w:r>
            <w:r>
              <w:rPr>
                <w:rFonts w:hint="eastAsia" w:ascii="宋体" w:hAnsi="宋体" w:eastAsia="宋体" w:cs="Times New Roman"/>
                <w:color w:val="auto"/>
                <w:sz w:val="24"/>
                <w:szCs w:val="24"/>
                <w:lang w:val="en-US" w:eastAsia="zh-CN"/>
              </w:rPr>
              <w:t xml:space="preserve">分</w:t>
            </w:r>
            <w:r/>
          </w:p>
        </w:tc>
        <w:tc>
          <w:tcPr>
            <w:shd w:val="clear" w:color="auto" w:fill="ffffff"/>
            <w:tcW w:w="5702" w:type="dxa"/>
            <w:vAlign w:val="center"/>
            <w:textDirection w:val="lrTb"/>
            <w:noWrap w:val="false"/>
          </w:tcPr>
          <w:p>
            <w:pPr>
              <w:jc w:val="left"/>
              <w:spacing w:line="360" w:lineRule="auto"/>
              <w:rPr>
                <w:rFonts w:hint="default" w:ascii="宋体" w:hAnsi="宋体" w:eastAsia="宋体" w:cs="Times New Roman"/>
                <w:color w:val="auto"/>
                <w:sz w:val="24"/>
                <w:szCs w:val="24"/>
                <w:lang w:val="en-US" w:eastAsia="zh-CN"/>
              </w:rPr>
            </w:pPr>
            <w:r>
              <w:rPr>
                <w:rFonts w:hint="eastAsia" w:ascii="宋体" w:hAnsi="宋体" w:cs="宋体"/>
                <w:color w:val="auto"/>
                <w:sz w:val="24"/>
                <w:szCs w:val="24"/>
              </w:rPr>
              <w:t xml:space="preserve">价格分采用低价优先法计算，即满足采购文件要求且投标价格最低的供应商投标报价为评标基准价，其价格分为满分3</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分，其它投标人的价格分统一按照以下公式计算</w:t>
            </w:r>
            <w:bookmarkStart w:id="194" w:name="_GoBack"/>
            <w:r/>
            <w:bookmarkEnd w:id="194"/>
            <w:r>
              <w:rPr>
                <w:rFonts w:hint="eastAsia" w:ascii="宋体" w:hAnsi="宋体" w:cs="宋体"/>
                <w:color w:val="auto"/>
                <w:sz w:val="24"/>
                <w:szCs w:val="24"/>
              </w:rPr>
              <w:t xml:space="preserve">：投标报价得分=（评标基准价/该投标人的投标报价）×3</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保留小数点后2位。</w:t>
            </w:r>
            <w:r/>
          </w:p>
        </w:tc>
      </w:tr>
      <w:tr>
        <w:trPr>
          <w:tblCellSpacing w:w="0" w:type="dxa"/>
          <w:trHeight w:val="912"/>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2</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技术参数响应</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31分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对</w:t>
            </w:r>
            <w:r>
              <w:rPr>
                <w:rFonts w:hint="eastAsia" w:ascii="宋体" w:hAnsi="宋体" w:eastAsia="宋体" w:cs="Times New Roman"/>
                <w:color w:val="auto"/>
                <w:sz w:val="24"/>
                <w:szCs w:val="24"/>
                <w:lang w:val="en-US" w:eastAsia="zh-CN"/>
              </w:rPr>
              <w:t xml:space="preserve">第四章采购需求“三、技术要求”中架体参数评分</w:t>
            </w:r>
            <w:r>
              <w:rPr>
                <w:rFonts w:hint="eastAsia" w:ascii="宋体" w:hAnsi="宋体" w:eastAsia="宋体" w:cs="Times New Roman"/>
                <w:color w:val="auto"/>
                <w:sz w:val="24"/>
                <w:szCs w:val="24"/>
              </w:rPr>
              <w:t xml:space="preserve">：</w:t>
            </w:r>
            <w:r/>
          </w:p>
          <w:p>
            <w:pPr>
              <w:jc w:val="left"/>
              <w:spacing w:line="360" w:lineRule="auto"/>
              <w:rPr>
                <w:rFonts w:hint="eastAsia" w:ascii="宋体" w:hAnsi="宋体" w:cs="宋体"/>
                <w:sz w:val="24"/>
                <w:szCs w:val="24"/>
                <w:highlight w:val="none"/>
              </w:rPr>
            </w:pPr>
            <w:r>
              <w:rPr>
                <w:rFonts w:hint="eastAsia" w:ascii="宋体" w:hAnsi="宋体" w:eastAsia="宋体" w:cs="Times New Roman"/>
                <w:color w:val="auto"/>
                <w:sz w:val="24"/>
                <w:szCs w:val="24"/>
              </w:rPr>
              <w:t xml:space="preserve">完全满足或优于招标文件技术参数要求的得</w:t>
            </w:r>
            <w:r>
              <w:rPr>
                <w:rFonts w:hint="eastAsia" w:ascii="宋体" w:hAnsi="宋体" w:eastAsia="宋体" w:cs="Times New Roman"/>
                <w:color w:val="auto"/>
                <w:sz w:val="24"/>
                <w:szCs w:val="24"/>
                <w:lang w:val="en-US" w:eastAsia="zh-CN"/>
              </w:rPr>
              <w:t xml:space="preserve">31</w:t>
            </w:r>
            <w:r>
              <w:rPr>
                <w:rFonts w:hint="eastAsia" w:ascii="宋体" w:hAnsi="宋体" w:eastAsia="宋体" w:cs="Times New Roman"/>
                <w:color w:val="auto"/>
                <w:sz w:val="24"/>
                <w:szCs w:val="24"/>
              </w:rPr>
              <w:t xml:space="preserve">分，其中，带</w:t>
            </w:r>
            <w:r>
              <w:rPr>
                <w:rFonts w:ascii="Arial" w:hAnsi="Arial" w:eastAsia="宋体" w:cs="Arial"/>
                <w:i w:val="0"/>
                <w:iCs w:val="0"/>
                <w:caps w:val="0"/>
                <w:color w:val="222222"/>
                <w:spacing w:val="0"/>
                <w:sz w:val="24"/>
                <w:szCs w:val="24"/>
                <w:shd w:val="clear" w:color="auto" w:fill="ffffff"/>
              </w:rPr>
              <w:t xml:space="preserve">▲</w:t>
            </w:r>
            <w:r>
              <w:rPr>
                <w:rFonts w:hint="eastAsia" w:ascii="宋体" w:hAnsi="宋体" w:eastAsia="宋体" w:cs="Times New Roman"/>
                <w:color w:val="auto"/>
                <w:sz w:val="24"/>
                <w:szCs w:val="24"/>
              </w:rPr>
              <w:t xml:space="preserve">的重要指标每存在一</w:t>
            </w:r>
            <w:r>
              <w:rPr>
                <w:rFonts w:hint="eastAsia" w:ascii="宋体" w:hAnsi="宋体" w:cs="Times New Roman"/>
                <w:color w:val="auto"/>
                <w:sz w:val="24"/>
                <w:szCs w:val="24"/>
                <w:lang w:val="en-US" w:eastAsia="zh-CN"/>
              </w:rPr>
              <w:t xml:space="preserve">项</w:t>
            </w:r>
            <w:r>
              <w:rPr>
                <w:rFonts w:hint="eastAsia" w:ascii="宋体" w:hAnsi="宋体" w:eastAsia="宋体" w:cs="Times New Roman"/>
                <w:color w:val="auto"/>
                <w:sz w:val="24"/>
                <w:szCs w:val="24"/>
              </w:rPr>
              <w:t xml:space="preserve">负偏离扣2分，一</w:t>
            </w:r>
            <w:r>
              <w:rPr>
                <w:rFonts w:hint="eastAsia" w:ascii="宋体" w:hAnsi="宋体" w:eastAsia="宋体" w:cs="Times New Roman"/>
                <w:color w:val="auto"/>
                <w:sz w:val="24"/>
                <w:szCs w:val="24"/>
                <w:highlight w:val="none"/>
              </w:rPr>
              <w:t xml:space="preserve">般指标每存</w:t>
            </w:r>
            <w:r>
              <w:rPr>
                <w:rFonts w:hint="eastAsia" w:ascii="宋体" w:hAnsi="宋体" w:cs="Times New Roman"/>
                <w:color w:val="auto"/>
                <w:sz w:val="24"/>
                <w:szCs w:val="24"/>
                <w:highlight w:val="none"/>
                <w:lang w:val="en-US" w:eastAsia="zh-CN"/>
              </w:rPr>
              <w:t xml:space="preserve">在一项</w:t>
            </w:r>
            <w:r>
              <w:rPr>
                <w:rFonts w:hint="eastAsia" w:ascii="宋体" w:hAnsi="宋体" w:eastAsia="宋体" w:cs="Times New Roman"/>
                <w:color w:val="auto"/>
                <w:sz w:val="24"/>
                <w:szCs w:val="24"/>
                <w:highlight w:val="none"/>
              </w:rPr>
              <w:t xml:space="preserve">负偏离扣1分，扣完为止。</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带</w:t>
            </w:r>
            <w:r>
              <w:rPr>
                <w:rFonts w:ascii="Arial" w:hAnsi="Arial" w:eastAsia="宋体" w:cs="Arial"/>
                <w:i w:val="0"/>
                <w:iCs w:val="0"/>
                <w:caps w:val="0"/>
                <w:color w:val="222222"/>
                <w:spacing w:val="0"/>
                <w:sz w:val="24"/>
                <w:szCs w:val="24"/>
                <w:highlight w:val="none"/>
                <w:shd w:val="clear" w:color="auto" w:fill="ffffff"/>
              </w:rPr>
              <w:t xml:space="preserve">▲</w:t>
            </w:r>
            <w:r>
              <w:rPr>
                <w:rFonts w:hint="eastAsia" w:ascii="宋体" w:hAnsi="宋体" w:eastAsia="宋体" w:cs="Times New Roman"/>
                <w:color w:val="auto"/>
                <w:sz w:val="24"/>
                <w:szCs w:val="24"/>
                <w:highlight w:val="none"/>
              </w:rPr>
              <w:t xml:space="preserve">的重要指标</w:t>
            </w:r>
            <w:r>
              <w:rPr>
                <w:rFonts w:hint="eastAsia" w:ascii="Arial" w:hAnsi="Arial" w:cs="Arial"/>
                <w:i w:val="0"/>
                <w:iCs w:val="0"/>
                <w:caps w:val="0"/>
                <w:color w:val="222222"/>
                <w:spacing w:val="0"/>
                <w:sz w:val="24"/>
                <w:szCs w:val="24"/>
                <w:highlight w:val="none"/>
                <w:shd w:val="clear" w:color="auto" w:fill="ffffff"/>
                <w:lang w:val="en-US" w:eastAsia="zh-CN"/>
              </w:rPr>
              <w:t xml:space="preserve">共计12项，一般指标共计7项，</w:t>
            </w:r>
            <w:r>
              <w:rPr>
                <w:rFonts w:hint="eastAsia" w:ascii="宋体" w:hAnsi="宋体" w:cs="宋体"/>
                <w:sz w:val="24"/>
                <w:szCs w:val="24"/>
                <w:highlight w:val="none"/>
              </w:rPr>
              <w:t xml:space="preserve">投标人需按照本招标文件的项目需求，</w:t>
            </w:r>
            <w:r>
              <w:rPr>
                <w:rFonts w:hint="eastAsia" w:ascii="宋体" w:hAnsi="宋体" w:cs="宋体"/>
                <w:sz w:val="24"/>
                <w:szCs w:val="24"/>
                <w:highlight w:val="none"/>
                <w:lang w:val="en-US" w:eastAsia="zh-CN"/>
              </w:rPr>
              <w:t xml:space="preserve">填写</w:t>
            </w:r>
            <w:r>
              <w:rPr>
                <w:rFonts w:ascii="宋体" w:hAnsi="宋体"/>
                <w:sz w:val="24"/>
                <w:szCs w:val="24"/>
                <w:highlight w:val="none"/>
              </w:rPr>
              <w:t xml:space="preserve">“</w:t>
            </w:r>
            <w:r>
              <w:rPr>
                <w:rFonts w:hint="eastAsia" w:ascii="宋体" w:hAnsi="宋体" w:cs="宋体"/>
                <w:sz w:val="24"/>
                <w:szCs w:val="24"/>
                <w:highlight w:val="none"/>
              </w:rPr>
              <w:t xml:space="preserve">技术参数响应及偏离表</w:t>
            </w:r>
            <w:r>
              <w:rPr>
                <w:rFonts w:ascii="宋体" w:hAnsi="宋体"/>
                <w:sz w:val="24"/>
                <w:szCs w:val="24"/>
                <w:highlight w:val="none"/>
              </w:rPr>
              <w:t xml:space="preserve">”</w:t>
            </w:r>
            <w:r>
              <w:rPr>
                <w:rFonts w:hint="eastAsia" w:ascii="宋体" w:hAnsi="宋体" w:cs="宋体"/>
                <w:sz w:val="24"/>
                <w:szCs w:val="24"/>
                <w:highlight w:val="none"/>
              </w:rPr>
              <w:t xml:space="preserve">）</w:t>
            </w:r>
            <w:r/>
          </w:p>
          <w:p>
            <w:pPr>
              <w:jc w:val="left"/>
              <w:spacing w:line="360" w:lineRule="auto"/>
              <w:rPr>
                <w:rFonts w:hint="eastAsia" w:ascii="宋体" w:hAnsi="宋体" w:cs="宋体"/>
                <w:sz w:val="24"/>
                <w:szCs w:val="24"/>
                <w:lang w:val="en-US" w:eastAsia="zh-CN"/>
              </w:rPr>
            </w:pPr>
            <w:r>
              <w:rPr>
                <w:rFonts w:hint="eastAsia" w:ascii="宋体" w:hAnsi="宋体" w:eastAsia="宋体" w:cs="Times New Roman"/>
                <w:color w:val="auto"/>
                <w:sz w:val="24"/>
                <w:szCs w:val="24"/>
                <w:highlight w:val="none"/>
                <w:lang w:val="en-US" w:eastAsia="zh-CN"/>
              </w:rPr>
              <w:t xml:space="preserve">注：按文件要求</w:t>
            </w:r>
            <w:r>
              <w:rPr>
                <w:rFonts w:hint="eastAsia" w:ascii="宋体" w:hAnsi="宋体" w:eastAsia="宋体" w:cs="Times New Roman"/>
                <w:color w:val="auto"/>
                <w:sz w:val="24"/>
                <w:szCs w:val="24"/>
                <w:highlight w:val="none"/>
              </w:rPr>
              <w:t xml:space="preserve">须提供具有CMA标识</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rPr>
              <w:t xml:space="preserve">检测报告</w:t>
            </w:r>
            <w:r>
              <w:rPr>
                <w:rFonts w:hint="eastAsia" w:ascii="宋体" w:hAnsi="宋体" w:eastAsia="宋体" w:cs="Times New Roman"/>
                <w:color w:val="auto"/>
                <w:sz w:val="24"/>
                <w:szCs w:val="24"/>
                <w:highlight w:val="none"/>
                <w:lang w:val="en-US" w:eastAsia="zh-CN"/>
              </w:rPr>
              <w:t xml:space="preserve">的参数</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检测报告上的送检产品制造商和所投产</w:t>
            </w:r>
            <w:r>
              <w:rPr>
                <w:rFonts w:hint="eastAsia" w:ascii="宋体" w:hAnsi="宋体" w:eastAsia="宋体" w:cs="Times New Roman"/>
                <w:color w:val="auto"/>
                <w:sz w:val="24"/>
                <w:szCs w:val="24"/>
                <w:lang w:val="en-US" w:eastAsia="zh-CN"/>
              </w:rPr>
              <w:t xml:space="preserve">品制造商名称必须一致，否则不认可。如有部件名称不一致但功能相近，由评标委员会认定，即可得分。</w:t>
            </w:r>
            <w:r/>
          </w:p>
        </w:tc>
      </w:tr>
      <w:tr>
        <w:trPr>
          <w:tblCellSpacing w:w="0" w:type="dxa"/>
          <w:trHeight w:val="1182"/>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企业业绩</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投标人提供自2024年1月1日起，以合同签订时间为准，密集书架类似项目合同，每提供一个</w:t>
            </w:r>
            <w:r>
              <w:rPr>
                <w:rFonts w:hint="eastAsia" w:ascii="宋体" w:hAnsi="宋体" w:eastAsia="宋体" w:cs="Times New Roman"/>
                <w:color w:val="auto"/>
                <w:sz w:val="24"/>
                <w:szCs w:val="24"/>
                <w:lang w:val="en-US" w:eastAsia="zh-CN"/>
              </w:rPr>
              <w:t xml:space="preserve">有效</w:t>
            </w:r>
            <w:r>
              <w:rPr>
                <w:rFonts w:hint="eastAsia" w:ascii="宋体" w:hAnsi="宋体" w:eastAsia="宋体" w:cs="Times New Roman"/>
                <w:color w:val="auto"/>
                <w:sz w:val="24"/>
                <w:szCs w:val="24"/>
              </w:rPr>
              <w:t xml:space="preserve">合同得</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分，最多得</w:t>
            </w:r>
            <w:r>
              <w:rPr>
                <w:rFonts w:hint="eastAsia" w:ascii="宋体" w:hAnsi="宋体" w:eastAsia="宋体" w:cs="Times New Roman"/>
                <w:color w:val="auto"/>
                <w:sz w:val="24"/>
                <w:szCs w:val="24"/>
                <w:lang w:val="en-US" w:eastAsia="zh-CN"/>
              </w:rPr>
              <w:t xml:space="preserve">8</w:t>
            </w:r>
            <w:r>
              <w:rPr>
                <w:rFonts w:hint="eastAsia" w:ascii="宋体" w:hAnsi="宋体" w:eastAsia="宋体" w:cs="Times New Roman"/>
                <w:color w:val="auto"/>
                <w:sz w:val="24"/>
                <w:szCs w:val="24"/>
              </w:rPr>
              <w:t xml:space="preserve">分。（提供合同原件扫描件</w:t>
            </w:r>
            <w:r>
              <w:rPr>
                <w:rFonts w:hint="eastAsia" w:ascii="宋体" w:hAnsi="宋体" w:eastAsia="宋体" w:cs="Times New Roman"/>
                <w:color w:val="auto"/>
                <w:sz w:val="24"/>
                <w:szCs w:val="24"/>
                <w:lang w:val="en-US" w:eastAsia="zh-CN"/>
              </w:rPr>
              <w:t xml:space="preserve">或复印件</w:t>
            </w:r>
            <w:r>
              <w:rPr>
                <w:rFonts w:hint="eastAsia" w:ascii="宋体" w:hAnsi="宋体" w:eastAsia="宋体" w:cs="Times New Roman"/>
                <w:color w:val="auto"/>
                <w:sz w:val="24"/>
                <w:szCs w:val="24"/>
              </w:rPr>
              <w:t xml:space="preserve">附于响应文件指定位置，且业绩合同中主要内容、标的、金额等清晰可见，否则该业绩不得分；未提供或提供不全的不得分。）</w:t>
            </w:r>
            <w:r/>
          </w:p>
        </w:tc>
      </w:tr>
      <w:tr>
        <w:trPr>
          <w:tblCellSpacing w:w="0" w:type="dxa"/>
          <w:trHeight w:val="544"/>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样品</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val="en-US" w:eastAsia="zh-CN"/>
              </w:rPr>
              <w:t xml:space="preserve">0分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评审委员会根据投标人所提供样品进行评审。样品为：</w:t>
            </w:r>
            <w:r>
              <w:rPr>
                <w:rFonts w:hint="eastAsia" w:ascii="宋体" w:hAnsi="宋体" w:eastAsia="宋体" w:cs="Times New Roman"/>
                <w:color w:val="auto"/>
                <w:sz w:val="24"/>
                <w:szCs w:val="24"/>
                <w:lang w:val="en-US" w:eastAsia="zh-CN"/>
              </w:rPr>
              <w:t xml:space="preserve">底盘</w:t>
            </w:r>
            <w:r>
              <w:rPr>
                <w:rFonts w:hint="eastAsia" w:ascii="宋体" w:hAnsi="宋体" w:eastAsia="宋体" w:cs="Times New Roman"/>
                <w:color w:val="auto"/>
                <w:sz w:val="24"/>
                <w:szCs w:val="24"/>
              </w:rPr>
              <w:t xml:space="preserve">、立柱、搁板、挂板，共4项，每项</w:t>
            </w:r>
            <w:r>
              <w:rPr>
                <w:rFonts w:hint="eastAsia" w:ascii="宋体" w:hAnsi="宋体" w:eastAsia="宋体" w:cs="Times New Roman"/>
                <w:color w:val="auto"/>
                <w:sz w:val="24"/>
                <w:szCs w:val="24"/>
                <w:lang w:val="en-US" w:eastAsia="zh-CN"/>
              </w:rPr>
              <w:t xml:space="preserve">2.5</w:t>
            </w:r>
            <w:r>
              <w:rPr>
                <w:rFonts w:hint="eastAsia" w:ascii="宋体" w:hAnsi="宋体" w:eastAsia="宋体" w:cs="Times New Roman"/>
                <w:color w:val="auto"/>
                <w:sz w:val="24"/>
                <w:szCs w:val="24"/>
              </w:rPr>
              <w:t xml:space="preserve">分。</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b/>
                <w:bCs/>
                <w:color w:val="auto"/>
                <w:sz w:val="24"/>
                <w:szCs w:val="24"/>
                <w:lang w:val="en-US" w:eastAsia="zh-CN"/>
              </w:rPr>
              <w:t xml:space="preserve">4.1 底盘（外观：1分，工艺：1</w:t>
            </w:r>
            <w:r>
              <w:rPr>
                <w:rFonts w:hint="eastAsia" w:ascii="宋体" w:hAnsi="宋体" w:eastAsia="宋体" w:cs="Times New Roman"/>
                <w:b/>
                <w:bCs/>
                <w:color w:val="auto"/>
                <w:sz w:val="24"/>
                <w:szCs w:val="24"/>
              </w:rPr>
              <w:t xml:space="preserve">.5分</w:t>
            </w:r>
            <w:r>
              <w:rPr>
                <w:rFonts w:hint="eastAsia" w:ascii="宋体" w:hAnsi="宋体" w:eastAsia="宋体" w:cs="Times New Roman"/>
                <w:b/>
                <w:bCs/>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：按照项目需求进行制作小样，评标委员会对投标人提供的小样外观造型、</w:t>
            </w:r>
            <w:r>
              <w:rPr>
                <w:rFonts w:hint="eastAsia" w:ascii="宋体" w:hAnsi="宋体" w:eastAsia="宋体" w:cs="Times New Roman"/>
                <w:color w:val="auto"/>
                <w:sz w:val="24"/>
                <w:szCs w:val="24"/>
              </w:rPr>
              <w:t xml:space="preserve">工艺等方面</w:t>
            </w:r>
            <w:r>
              <w:rPr>
                <w:rFonts w:hint="eastAsia" w:ascii="宋体" w:hAnsi="宋体" w:eastAsia="宋体" w:cs="Times New Roman"/>
                <w:color w:val="auto"/>
                <w:sz w:val="24"/>
                <w:szCs w:val="24"/>
                <w:lang w:val="en-US" w:eastAsia="zh-CN"/>
              </w:rPr>
              <w:t xml:space="preserve">进行评审：</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4.1.1外观造型要求：优于招标文件要求得1分，符合招标文件要求得0.5分，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4.1.2工艺要求：优于招标文件要求得1.5分，符合招标文件要求得1分，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b/>
                <w:bCs/>
                <w:color w:val="auto"/>
                <w:sz w:val="24"/>
                <w:szCs w:val="24"/>
                <w:lang w:val="en-US" w:eastAsia="zh-CN"/>
              </w:rPr>
              <w:t xml:space="preserve">4.2</w:t>
            </w:r>
            <w:r>
              <w:rPr>
                <w:rFonts w:hint="eastAsia" w:ascii="宋体" w:hAnsi="宋体" w:eastAsia="宋体" w:cs="Times New Roman"/>
                <w:b/>
                <w:bCs/>
                <w:color w:val="auto"/>
                <w:sz w:val="24"/>
                <w:szCs w:val="24"/>
              </w:rPr>
              <w:t xml:space="preserve">立柱</w:t>
            </w:r>
            <w:r>
              <w:rPr>
                <w:rFonts w:hint="eastAsia" w:ascii="宋体" w:hAnsi="宋体" w:eastAsia="宋体" w:cs="Times New Roman"/>
                <w:b/>
                <w:bCs/>
                <w:color w:val="auto"/>
                <w:sz w:val="24"/>
                <w:szCs w:val="24"/>
                <w:lang w:val="en-US" w:eastAsia="zh-CN"/>
              </w:rPr>
              <w:t xml:space="preserve">（外观：1分，工艺：1</w:t>
            </w:r>
            <w:r>
              <w:rPr>
                <w:rFonts w:hint="eastAsia" w:ascii="宋体" w:hAnsi="宋体" w:eastAsia="宋体" w:cs="Times New Roman"/>
                <w:b/>
                <w:bCs/>
                <w:color w:val="auto"/>
                <w:sz w:val="24"/>
                <w:szCs w:val="24"/>
              </w:rPr>
              <w:t xml:space="preserve">.5分</w:t>
            </w:r>
            <w:r>
              <w:rPr>
                <w:rFonts w:hint="eastAsia" w:ascii="宋体" w:hAnsi="宋体" w:eastAsia="宋体" w:cs="Times New Roman"/>
                <w:b/>
                <w:bCs/>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：按照项目需求进行制作小样，评标委员会对投标人提供的小样外观造型、</w:t>
            </w:r>
            <w:r>
              <w:rPr>
                <w:rFonts w:hint="eastAsia" w:ascii="宋体" w:hAnsi="宋体" w:eastAsia="宋体" w:cs="Times New Roman"/>
                <w:color w:val="auto"/>
                <w:sz w:val="24"/>
                <w:szCs w:val="24"/>
              </w:rPr>
              <w:t xml:space="preserve">工艺等方面</w:t>
            </w:r>
            <w:r>
              <w:rPr>
                <w:rFonts w:hint="eastAsia" w:ascii="宋体" w:hAnsi="宋体" w:eastAsia="宋体" w:cs="Times New Roman"/>
                <w:color w:val="auto"/>
                <w:sz w:val="24"/>
                <w:szCs w:val="24"/>
                <w:lang w:val="en-US" w:eastAsia="zh-CN"/>
              </w:rPr>
              <w:t xml:space="preserve">进行评审：</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4.2.1外观造型要求：优于招标文件要求得1分，符合招标文件要求得0.5分，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4.2.2工艺要求：优于招标文件要求得1.5分，符合招标文件要求得1分，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b/>
                <w:bCs/>
                <w:color w:val="auto"/>
                <w:sz w:val="24"/>
                <w:szCs w:val="24"/>
                <w:lang w:val="en-US" w:eastAsia="zh-CN"/>
              </w:rPr>
              <w:t xml:space="preserve">4.3</w:t>
            </w:r>
            <w:r>
              <w:rPr>
                <w:rFonts w:hint="eastAsia" w:ascii="宋体" w:hAnsi="宋体" w:eastAsia="宋体" w:cs="Times New Roman"/>
                <w:b/>
                <w:bCs/>
                <w:color w:val="auto"/>
                <w:sz w:val="24"/>
                <w:szCs w:val="24"/>
              </w:rPr>
              <w:t xml:space="preserve">搁板</w:t>
            </w:r>
            <w:r>
              <w:rPr>
                <w:rFonts w:hint="eastAsia" w:ascii="宋体" w:hAnsi="宋体" w:eastAsia="宋体" w:cs="Times New Roman"/>
                <w:b/>
                <w:bCs/>
                <w:color w:val="auto"/>
                <w:sz w:val="24"/>
                <w:szCs w:val="24"/>
                <w:lang w:val="en-US" w:eastAsia="zh-CN"/>
              </w:rPr>
              <w:t xml:space="preserve">（外观：1分，工艺：1</w:t>
            </w:r>
            <w:r>
              <w:rPr>
                <w:rFonts w:hint="eastAsia" w:ascii="宋体" w:hAnsi="宋体" w:eastAsia="宋体" w:cs="Times New Roman"/>
                <w:b/>
                <w:bCs/>
                <w:color w:val="auto"/>
                <w:sz w:val="24"/>
                <w:szCs w:val="24"/>
              </w:rPr>
              <w:t xml:space="preserve">.5分</w:t>
            </w:r>
            <w:r>
              <w:rPr>
                <w:rFonts w:hint="eastAsia" w:ascii="宋体" w:hAnsi="宋体" w:eastAsia="宋体" w:cs="Times New Roman"/>
                <w:b/>
                <w:bCs/>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：按照项目需求进行制作小样，评标委员会对投标人提供的小样外观造型、</w:t>
            </w:r>
            <w:r>
              <w:rPr>
                <w:rFonts w:hint="eastAsia" w:ascii="宋体" w:hAnsi="宋体" w:eastAsia="宋体" w:cs="Times New Roman"/>
                <w:color w:val="auto"/>
                <w:sz w:val="24"/>
                <w:szCs w:val="24"/>
              </w:rPr>
              <w:t xml:space="preserve">工艺等方面</w:t>
            </w:r>
            <w:r>
              <w:rPr>
                <w:rFonts w:hint="eastAsia" w:ascii="宋体" w:hAnsi="宋体" w:eastAsia="宋体" w:cs="Times New Roman"/>
                <w:color w:val="auto"/>
                <w:sz w:val="24"/>
                <w:szCs w:val="24"/>
                <w:lang w:val="en-US" w:eastAsia="zh-CN"/>
              </w:rPr>
              <w:t xml:space="preserve">进行评审：</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4.3.1外观造型要求：优于招标文件要求得1分，符合招标文件要求得0.5分，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4.3.2工艺要求：优于招标文件要求得1.5分，符合招标文件要求得1分，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b/>
                <w:bCs/>
                <w:color w:val="auto"/>
                <w:sz w:val="24"/>
                <w:szCs w:val="24"/>
                <w:lang w:val="en-US" w:eastAsia="zh-CN"/>
              </w:rPr>
              <w:t xml:space="preserve">4.4</w:t>
            </w:r>
            <w:r>
              <w:rPr>
                <w:rFonts w:hint="eastAsia" w:ascii="宋体" w:hAnsi="宋体" w:eastAsia="宋体" w:cs="Times New Roman"/>
                <w:b/>
                <w:bCs/>
                <w:color w:val="auto"/>
                <w:sz w:val="24"/>
                <w:szCs w:val="24"/>
              </w:rPr>
              <w:t xml:space="preserve">挂板</w:t>
            </w:r>
            <w:r>
              <w:rPr>
                <w:rFonts w:hint="eastAsia" w:ascii="宋体" w:hAnsi="宋体" w:eastAsia="宋体" w:cs="Times New Roman"/>
                <w:b/>
                <w:bCs/>
                <w:color w:val="auto"/>
                <w:sz w:val="24"/>
                <w:szCs w:val="24"/>
                <w:lang w:val="en-US" w:eastAsia="zh-CN"/>
              </w:rPr>
              <w:t xml:space="preserve">（外观：1分，工艺：1</w:t>
            </w:r>
            <w:r>
              <w:rPr>
                <w:rFonts w:hint="eastAsia" w:ascii="宋体" w:hAnsi="宋体" w:eastAsia="宋体" w:cs="Times New Roman"/>
                <w:b/>
                <w:bCs/>
                <w:color w:val="auto"/>
                <w:sz w:val="24"/>
                <w:szCs w:val="24"/>
              </w:rPr>
              <w:t xml:space="preserve">.5分</w:t>
            </w:r>
            <w:r>
              <w:rPr>
                <w:rFonts w:hint="eastAsia" w:ascii="宋体" w:hAnsi="宋体" w:eastAsia="宋体" w:cs="Times New Roman"/>
                <w:b/>
                <w:bCs/>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：按照项目需求进行制作小样，评标委员会对投标人提供的小样外观造型、</w:t>
            </w:r>
            <w:r>
              <w:rPr>
                <w:rFonts w:hint="eastAsia" w:ascii="宋体" w:hAnsi="宋体" w:eastAsia="宋体" w:cs="Times New Roman"/>
                <w:color w:val="auto"/>
                <w:sz w:val="24"/>
                <w:szCs w:val="24"/>
              </w:rPr>
              <w:t xml:space="preserve">工艺等方面</w:t>
            </w:r>
            <w:r>
              <w:rPr>
                <w:rFonts w:hint="eastAsia" w:ascii="宋体" w:hAnsi="宋体" w:eastAsia="宋体" w:cs="Times New Roman"/>
                <w:color w:val="auto"/>
                <w:sz w:val="24"/>
                <w:szCs w:val="24"/>
                <w:lang w:val="en-US" w:eastAsia="zh-CN"/>
              </w:rPr>
              <w:t xml:space="preserve">进行评审：</w:t>
            </w:r>
            <w:r/>
          </w:p>
          <w:p>
            <w:pPr>
              <w:jc w:val="left"/>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4.4.1外观造型要求：优于招标文件要求得1分，符合招标文件要求得0.5分，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4.4.2工艺要求：优于招标文件要求得1.5分，符合招标文件要求得1分，</w:t>
            </w:r>
            <w:r>
              <w:rPr>
                <w:rFonts w:hint="eastAsia" w:ascii="宋体" w:hAnsi="宋体" w:eastAsia="宋体" w:cs="Times New Roman"/>
                <w:color w:val="auto"/>
                <w:sz w:val="24"/>
                <w:szCs w:val="24"/>
              </w:rPr>
              <w:t xml:space="preserve">未按要求提供样品</w:t>
            </w:r>
            <w:r>
              <w:rPr>
                <w:rFonts w:hint="eastAsia" w:ascii="宋体" w:hAnsi="宋体" w:eastAsia="宋体" w:cs="Times New Roman"/>
                <w:color w:val="auto"/>
                <w:sz w:val="24"/>
                <w:szCs w:val="24"/>
                <w:lang w:val="en-US" w:eastAsia="zh-CN"/>
              </w:rPr>
              <w:t xml:space="preserve">或提供样品不全的不得分。</w:t>
            </w:r>
            <w:r/>
          </w:p>
        </w:tc>
      </w:tr>
      <w:tr>
        <w:trPr>
          <w:tblCellSpacing w:w="0" w:type="dxa"/>
          <w:trHeight w:val="1162"/>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生产设备</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所投产品制造商需提供</w:t>
            </w:r>
            <w:r>
              <w:rPr>
                <w:rFonts w:hint="eastAsia" w:ascii="宋体" w:hAnsi="宋体" w:cs="Times New Roman"/>
                <w:color w:val="auto"/>
                <w:sz w:val="24"/>
                <w:szCs w:val="24"/>
                <w:lang w:val="en-US" w:eastAsia="zh-CN"/>
              </w:rPr>
              <w:t xml:space="preserve">自有</w:t>
            </w:r>
            <w:r>
              <w:rPr>
                <w:rFonts w:hint="eastAsia" w:ascii="宋体" w:hAnsi="宋体" w:eastAsia="宋体" w:cs="Times New Roman"/>
                <w:color w:val="auto"/>
                <w:sz w:val="24"/>
                <w:szCs w:val="24"/>
              </w:rPr>
              <w:t xml:space="preserve">的生产设备：激光切割设备、焊接机器人（多功能机器人焊接）、压力机、全自动喷涂生产线、数控冲床、数控折弯机、数控剪板机，每提供一</w:t>
            </w:r>
            <w:r>
              <w:rPr>
                <w:rFonts w:hint="eastAsia" w:ascii="宋体" w:hAnsi="宋体" w:eastAsia="宋体" w:cs="Times New Roman"/>
                <w:color w:val="auto"/>
                <w:sz w:val="24"/>
                <w:szCs w:val="24"/>
                <w:lang w:val="en-US" w:eastAsia="zh-CN"/>
              </w:rPr>
              <w:t xml:space="preserve">项得</w:t>
            </w:r>
            <w:r>
              <w:rPr>
                <w:rFonts w:hint="eastAsia" w:ascii="宋体" w:hAnsi="宋体" w:eastAsia="宋体" w:cs="Times New Roman"/>
                <w:color w:val="auto"/>
                <w:sz w:val="24"/>
                <w:szCs w:val="24"/>
              </w:rPr>
              <w:t xml:space="preserve">1分，</w:t>
            </w:r>
            <w:r>
              <w:rPr>
                <w:rFonts w:hint="eastAsia" w:ascii="宋体" w:hAnsi="宋体" w:eastAsia="宋体" w:cs="Times New Roman"/>
                <w:color w:val="auto"/>
                <w:sz w:val="24"/>
                <w:szCs w:val="24"/>
                <w:lang w:val="en-US" w:eastAsia="zh-CN"/>
              </w:rPr>
              <w:t xml:space="preserve">同一种生产设备不可重复得分，</w:t>
            </w:r>
            <w:r>
              <w:rPr>
                <w:rFonts w:hint="eastAsia" w:ascii="宋体" w:hAnsi="宋体" w:eastAsia="宋体" w:cs="Times New Roman"/>
                <w:color w:val="auto"/>
                <w:sz w:val="24"/>
                <w:szCs w:val="24"/>
              </w:rPr>
              <w:t xml:space="preserve">本项最高得</w:t>
            </w: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分。</w:t>
            </w:r>
            <w:r/>
          </w:p>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注：需提供设备生产车间实景照片、设备照片、设备清单及生产设备购置发票（发票需清晰可见相应内容），缺一不可。如所提供设备名称与本项要求不完全一致，但功能符合本项要求，且提供相应功能证明材料并满足上述材料要求</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由评标委员会认定，即</w:t>
            </w:r>
            <w:r>
              <w:rPr>
                <w:rFonts w:hint="eastAsia" w:ascii="宋体" w:hAnsi="宋体" w:eastAsia="宋体" w:cs="Times New Roman"/>
                <w:color w:val="auto"/>
                <w:sz w:val="24"/>
                <w:szCs w:val="24"/>
              </w:rPr>
              <w:t xml:space="preserve">可得分。</w:t>
            </w:r>
            <w:r/>
          </w:p>
        </w:tc>
      </w:tr>
      <w:tr>
        <w:trPr>
          <w:tblCellSpacing w:w="0" w:type="dxa"/>
          <w:trHeight w:val="302"/>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企业证书</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6.1</w:t>
            </w:r>
            <w:r>
              <w:rPr>
                <w:rFonts w:hint="eastAsia" w:ascii="宋体" w:hAnsi="宋体" w:eastAsia="宋体" w:cs="Times New Roman"/>
                <w:color w:val="auto"/>
                <w:sz w:val="24"/>
                <w:szCs w:val="24"/>
              </w:rPr>
              <w:t xml:space="preserve">投标供应商具</w:t>
            </w:r>
            <w:r>
              <w:rPr>
                <w:rFonts w:hint="eastAsia" w:ascii="宋体" w:hAnsi="宋体" w:eastAsia="宋体" w:cs="Times New Roman"/>
                <w:color w:val="auto"/>
                <w:sz w:val="24"/>
                <w:szCs w:val="24"/>
                <w:lang w:val="en-US" w:eastAsia="zh-CN"/>
              </w:rPr>
              <w:t xml:space="preserve">备</w:t>
            </w:r>
            <w:r>
              <w:rPr>
                <w:rFonts w:hint="eastAsia" w:ascii="宋体" w:hAnsi="宋体" w:eastAsia="宋体" w:cs="Times New Roman"/>
                <w:color w:val="auto"/>
                <w:sz w:val="24"/>
                <w:szCs w:val="24"/>
              </w:rPr>
              <w:t xml:space="preserve">有效期内的质量管理体系(</w:t>
            </w:r>
            <w:r>
              <w:rPr>
                <w:rFonts w:hint="eastAsia" w:ascii="宋体" w:hAnsi="宋体" w:eastAsia="宋体" w:cs="Times New Roman"/>
                <w:color w:val="auto"/>
                <w:sz w:val="24"/>
                <w:szCs w:val="24"/>
                <w:lang w:val="en-US" w:eastAsia="zh-CN"/>
              </w:rPr>
              <w:t xml:space="preserve">ISO9001</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得2</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提供证书复印件加盖公章，未提供的不得分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w:t>
            </w:r>
            <w:r/>
          </w:p>
        </w:tc>
      </w:tr>
      <w:tr>
        <w:trPr>
          <w:tblCellSpacing w:w="0" w:type="dxa"/>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项目实施方案</w:t>
            </w:r>
            <w:r/>
          </w:p>
        </w:tc>
        <w:tc>
          <w:tcPr>
            <w:shd w:val="clear" w:color="auto" w:fill="ffffff"/>
            <w:tcW w:w="1143" w:type="dxa"/>
            <w:vAlign w:val="center"/>
            <w:textDirection w:val="lrTb"/>
            <w:noWrap w:val="false"/>
          </w:tcPr>
          <w:p>
            <w:pPr>
              <w:jc w:val="center"/>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投标人根据招标文件“第四部分-</w:t>
            </w:r>
            <w:r>
              <w:rPr>
                <w:rFonts w:hint="eastAsia" w:ascii="宋体" w:hAnsi="宋体" w:eastAsia="宋体" w:cs="Times New Roman"/>
                <w:color w:val="auto"/>
                <w:sz w:val="24"/>
                <w:szCs w:val="24"/>
                <w:lang w:val="en-US" w:eastAsia="zh-CN"/>
              </w:rPr>
              <w:t xml:space="preserve">五</w:t>
            </w:r>
            <w:r>
              <w:rPr>
                <w:rFonts w:hint="eastAsia" w:ascii="宋体" w:hAnsi="宋体" w:eastAsia="宋体" w:cs="Times New Roman"/>
                <w:color w:val="auto"/>
                <w:sz w:val="24"/>
                <w:szCs w:val="24"/>
              </w:rPr>
              <w:t xml:space="preserve">、整体项目实施</w:t>
            </w:r>
            <w:r>
              <w:rPr>
                <w:rFonts w:hint="eastAsia" w:ascii="宋体" w:hAnsi="宋体" w:eastAsia="宋体" w:cs="Times New Roman"/>
                <w:color w:val="auto"/>
                <w:sz w:val="24"/>
                <w:szCs w:val="24"/>
                <w:lang w:val="en-US" w:eastAsia="zh-CN"/>
              </w:rPr>
              <w:t xml:space="preserve">方案</w:t>
            </w:r>
            <w:r>
              <w:rPr>
                <w:rFonts w:hint="eastAsia" w:ascii="宋体" w:hAnsi="宋体" w:eastAsia="宋体" w:cs="Times New Roman"/>
                <w:color w:val="auto"/>
                <w:sz w:val="24"/>
                <w:szCs w:val="24"/>
              </w:rPr>
              <w:t xml:space="preserve">要求”制定项目实施方案，评标委员会根据投标人提供的项目实施方案进行打分</w:t>
            </w:r>
            <w:r>
              <w:rPr>
                <w:rFonts w:hint="eastAsia" w:ascii="宋体" w:hAnsi="宋体" w:eastAsia="宋体" w:cs="Times New Roman"/>
                <w:color w:val="auto"/>
                <w:sz w:val="24"/>
                <w:szCs w:val="24"/>
                <w:lang w:eastAsia="zh-CN"/>
              </w:rPr>
              <w:t xml:space="preserve">。</w:t>
            </w:r>
            <w:r/>
          </w:p>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优于招标文件要求的得</w:t>
            </w: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eastAsia="zh-CN"/>
              </w:rPr>
              <w:t xml:space="preserve">；</w:t>
            </w:r>
            <w:r/>
          </w:p>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符合招标文件要求的得</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eastAsia="zh-CN"/>
              </w:rPr>
              <w:t xml:space="preserve">；</w:t>
            </w:r>
            <w:r/>
          </w:p>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不符合招标文件要求或未提供</w:t>
            </w:r>
            <w:r>
              <w:rPr>
                <w:rFonts w:hint="eastAsia" w:ascii="宋体" w:hAnsi="宋体" w:eastAsia="宋体" w:cs="Times New Roman"/>
                <w:color w:val="auto"/>
                <w:sz w:val="24"/>
                <w:szCs w:val="24"/>
                <w:lang w:val="en-US" w:eastAsia="zh-CN"/>
              </w:rPr>
              <w:t xml:space="preserve">的</w:t>
            </w:r>
            <w:r>
              <w:rPr>
                <w:rFonts w:hint="eastAsia" w:ascii="宋体" w:hAnsi="宋体" w:eastAsia="宋体" w:cs="Times New Roman"/>
                <w:color w:val="auto"/>
                <w:sz w:val="24"/>
                <w:szCs w:val="24"/>
              </w:rPr>
              <w:t xml:space="preserve">不得分。</w:t>
            </w:r>
            <w:r/>
          </w:p>
        </w:tc>
      </w:tr>
      <w:tr>
        <w:trPr>
          <w:tblCellSpacing w:w="0" w:type="dxa"/>
          <w:trHeight w:val="1224"/>
        </w:trPr>
        <w:tc>
          <w:tcPr>
            <w:shd w:val="clear" w:color="auto" w:fill="ffffff"/>
            <w:tcW w:w="571"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售后服务方案</w:t>
            </w:r>
            <w:r/>
          </w:p>
        </w:tc>
        <w:tc>
          <w:tcPr>
            <w:shd w:val="clear" w:color="auto" w:fill="ffffff"/>
            <w:tcW w:w="1143" w:type="dxa"/>
            <w:vAlign w:val="center"/>
            <w:textDirection w:val="lrTb"/>
            <w:noWrap w:val="false"/>
          </w:tcPr>
          <w:p>
            <w:pPr>
              <w:jc w:val="center"/>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投标人根据招标文件“第四部分-</w:t>
            </w:r>
            <w:r>
              <w:rPr>
                <w:rFonts w:hint="eastAsia" w:ascii="宋体" w:hAnsi="宋体" w:eastAsia="宋体" w:cs="Times New Roman"/>
                <w:color w:val="auto"/>
                <w:sz w:val="24"/>
                <w:szCs w:val="24"/>
                <w:lang w:val="en-US" w:eastAsia="zh-CN"/>
              </w:rPr>
              <w:t xml:space="preserve">六</w:t>
            </w:r>
            <w:r>
              <w:rPr>
                <w:rFonts w:hint="eastAsia" w:ascii="宋体" w:hAnsi="宋体" w:eastAsia="宋体" w:cs="Times New Roman"/>
                <w:color w:val="auto"/>
                <w:sz w:val="24"/>
                <w:szCs w:val="24"/>
              </w:rPr>
              <w:t xml:space="preserve">、售后服务</w:t>
            </w:r>
            <w:r>
              <w:rPr>
                <w:rFonts w:hint="eastAsia" w:ascii="宋体" w:hAnsi="宋体" w:eastAsia="宋体" w:cs="Times New Roman"/>
                <w:color w:val="auto"/>
                <w:sz w:val="24"/>
                <w:szCs w:val="24"/>
                <w:lang w:val="en-US" w:eastAsia="zh-CN"/>
              </w:rPr>
              <w:t xml:space="preserve">方案</w:t>
            </w:r>
            <w:r>
              <w:rPr>
                <w:rFonts w:hint="eastAsia" w:ascii="宋体" w:hAnsi="宋体" w:eastAsia="宋体" w:cs="Times New Roman"/>
                <w:color w:val="auto"/>
                <w:sz w:val="24"/>
                <w:szCs w:val="24"/>
              </w:rPr>
              <w:t xml:space="preserve">要求”制定售后服务方案，评标委员会根据投标人提供的售后服务方案进行打分</w:t>
            </w:r>
            <w:r>
              <w:rPr>
                <w:rFonts w:hint="eastAsia" w:ascii="宋体" w:hAnsi="宋体" w:eastAsia="宋体" w:cs="Times New Roman"/>
                <w:color w:val="auto"/>
                <w:sz w:val="24"/>
                <w:szCs w:val="24"/>
                <w:lang w:eastAsia="zh-CN"/>
              </w:rPr>
              <w:t xml:space="preserve">。</w:t>
            </w:r>
            <w:r/>
          </w:p>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优于招标文件要求的得</w:t>
            </w: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eastAsia="zh-CN"/>
              </w:rPr>
              <w:t xml:space="preserve">；</w:t>
            </w:r>
            <w:r/>
          </w:p>
          <w:p>
            <w:pPr>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符合招标文件要求的得</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分</w:t>
            </w:r>
            <w:r>
              <w:rPr>
                <w:rFonts w:hint="eastAsia" w:ascii="宋体" w:hAnsi="宋体" w:eastAsia="宋体" w:cs="Times New Roman"/>
                <w:color w:val="auto"/>
                <w:sz w:val="24"/>
                <w:szCs w:val="24"/>
                <w:lang w:eastAsia="zh-CN"/>
              </w:rPr>
              <w:t xml:space="preserve">；</w:t>
            </w:r>
            <w:r/>
          </w:p>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不符合招标文件要求或未提供</w:t>
            </w:r>
            <w:r>
              <w:rPr>
                <w:rFonts w:hint="eastAsia" w:ascii="宋体" w:hAnsi="宋体" w:eastAsia="宋体" w:cs="Times New Roman"/>
                <w:color w:val="auto"/>
                <w:sz w:val="24"/>
                <w:szCs w:val="24"/>
                <w:lang w:val="en-US" w:eastAsia="zh-CN"/>
              </w:rPr>
              <w:t xml:space="preserve">的</w:t>
            </w:r>
            <w:r>
              <w:rPr>
                <w:rFonts w:hint="eastAsia" w:ascii="宋体" w:hAnsi="宋体" w:eastAsia="宋体" w:cs="Times New Roman"/>
                <w:color w:val="auto"/>
                <w:sz w:val="24"/>
                <w:szCs w:val="24"/>
              </w:rPr>
              <w:t xml:space="preserve">不得分。</w:t>
            </w:r>
            <w:r/>
          </w:p>
        </w:tc>
      </w:tr>
      <w:tr>
        <w:trPr>
          <w:tblCellSpacing w:w="0" w:type="dxa"/>
          <w:trHeight w:val="1858"/>
        </w:trPr>
        <w:tc>
          <w:tcPr>
            <w:shd w:val="clear" w:color="auto" w:fill="ffffff"/>
            <w:tcW w:w="571" w:type="dxa"/>
            <w:vAlign w:val="center"/>
            <w:textDirection w:val="lrTb"/>
            <w:noWrap w:val="false"/>
          </w:tcPr>
          <w:p>
            <w:pPr>
              <w:jc w:val="center"/>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9</w:t>
            </w:r>
            <w:r/>
          </w:p>
        </w:tc>
        <w:tc>
          <w:tcPr>
            <w:shd w:val="clear" w:color="auto" w:fill="ffffff"/>
            <w:tcW w:w="2017" w:type="dxa"/>
            <w:vAlign w:val="center"/>
            <w:textDirection w:val="lrTb"/>
            <w:noWrap w:val="false"/>
          </w:tcPr>
          <w:p>
            <w:pPr>
              <w:jc w:val="center"/>
              <w:spacing w:line="360" w:lineRule="auto"/>
              <w:rPr>
                <w:rFonts w:hint="eastAsia" w:ascii="宋体" w:hAnsi="宋体" w:eastAsia="宋体" w:cs="Times New Roman"/>
                <w:color w:val="auto"/>
                <w:sz w:val="24"/>
                <w:szCs w:val="24"/>
              </w:rPr>
            </w:pPr>
            <w:r>
              <w:rPr>
                <w:rFonts w:hint="eastAsia" w:ascii="宋体" w:hAnsi="宋体"/>
                <w:color w:val="000000"/>
                <w:sz w:val="24"/>
                <w:szCs w:val="24"/>
              </w:rPr>
              <w:t xml:space="preserve">节能环保</w:t>
            </w:r>
            <w:r/>
          </w:p>
        </w:tc>
        <w:tc>
          <w:tcPr>
            <w:shd w:val="clear" w:color="auto" w:fill="ffffff"/>
            <w:tcW w:w="1143" w:type="dxa"/>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color w:val="000000"/>
                <w:sz w:val="24"/>
                <w:szCs w:val="24"/>
              </w:rPr>
              <w:t xml:space="preserve">2分</w:t>
            </w:r>
            <w:r/>
          </w:p>
        </w:tc>
        <w:tc>
          <w:tcPr>
            <w:shd w:val="clear" w:color="auto" w:fill="ffffff"/>
            <w:tcW w:w="5702" w:type="dxa"/>
            <w:vAlign w:val="center"/>
            <w:textDirection w:val="lrTb"/>
            <w:noWrap w:val="false"/>
          </w:tcPr>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9.1</w:t>
            </w:r>
            <w:r>
              <w:rPr>
                <w:rFonts w:hint="eastAsia" w:ascii="宋体" w:hAnsi="宋体" w:eastAsia="宋体" w:cs="Times New Roman"/>
                <w:color w:val="auto"/>
                <w:sz w:val="24"/>
                <w:szCs w:val="24"/>
              </w:rPr>
              <w:t xml:space="preserve">投标产品属于财政部、国家发改委公布的“节能产品品目清单”范围内的，投标人提供国家确定的认证机构出具的、处于有效期之内的该节能产品认证证书复印件的，有1个得0.5分，最多得1分。</w:t>
            </w:r>
            <w:r/>
          </w:p>
          <w:p>
            <w:pPr>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9.2</w:t>
            </w:r>
            <w:r>
              <w:rPr>
                <w:rFonts w:hint="eastAsia" w:ascii="宋体" w:hAnsi="宋体" w:eastAsia="宋体" w:cs="Times New Roman"/>
                <w:color w:val="auto"/>
                <w:sz w:val="24"/>
                <w:szCs w:val="24"/>
              </w:rPr>
              <w:t xml:space="preserve">产品属于财政部、生态环境部公布的“环境标志产品品目清单”范围内的，投标人提供国家确定的认证机构出具的、处于有效期内的该投标产品环境标志产品认证证书复印件的，有1个得0.5分，最多得1分。</w:t>
            </w:r>
            <w:r/>
          </w:p>
        </w:tc>
      </w:tr>
    </w:tbl>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pStyle w:val="758"/>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8"/>
        <w:ind w:left="0" w:right="0" w:firstLine="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ff0000"/>
          <w:sz w:val="28"/>
          <w:szCs w:val="28"/>
          <w:highlight w:val="yellow"/>
        </w:rPr>
        <w:suppressLineNumbers w:val="0"/>
      </w:pPr>
      <w:r>
        <w:rPr>
          <w:rFonts w:hint="eastAsia" w:ascii="方正魏碑_GBK" w:hAnsi="方正魏碑_GBK" w:eastAsia="方正魏碑_GBK" w:cs="方正魏碑_GBK"/>
          <w:color w:val="ff0000"/>
          <w:sz w:val="28"/>
          <w:szCs w:val="28"/>
          <w:highlight w:val="yellow"/>
        </w:rPr>
      </w:r>
      <w:r/>
    </w:p>
    <w:p>
      <w:pPr>
        <w:ind w:firstLine="480"/>
        <w:spacing w:before="120" w:after="120" w:line="300" w:lineRule="exact"/>
        <w:rPr>
          <w:rFonts w:hint="eastAsia" w:ascii="宋体" w:hAnsi="宋体"/>
          <w:color w:val="000000"/>
          <w:sz w:val="24"/>
          <w:szCs w:val="24"/>
        </w:rPr>
      </w:pPr>
      <w:r>
        <w:rPr>
          <w:rFonts w:hint="eastAsia" w:ascii="宋体" w:hAnsi="宋体"/>
          <w:color w:val="000000"/>
          <w:sz w:val="24"/>
          <w:szCs w:val="24"/>
        </w:rPr>
      </w:r>
      <w:r/>
    </w:p>
    <w:p>
      <w:pPr>
        <w:ind w:firstLine="480"/>
        <w:spacing w:before="120" w:after="120" w:line="300" w:lineRule="exact"/>
        <w:rPr>
          <w:rFonts w:hint="eastAsia" w:ascii="宋体" w:hAnsi="宋体"/>
          <w:color w:val="000000"/>
          <w:sz w:val="24"/>
          <w:szCs w:val="24"/>
        </w:rPr>
      </w:pPr>
      <w:r>
        <w:rPr>
          <w:rFonts w:hint="eastAsia" w:ascii="宋体" w:hAnsi="宋体"/>
          <w:color w:val="000000"/>
          <w:sz w:val="24"/>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1"/>
      <w:r/>
      <w:bookmarkEnd w:id="182"/>
      <w:r/>
      <w:bookmarkEnd w:id="183"/>
      <w:r>
        <w:rPr>
          <w:rFonts w:hint="eastAsia" w:ascii="黑体" w:hAnsi="Times New Roman" w:eastAsia="黑体"/>
          <w:bCs/>
          <w:color w:val="000000"/>
          <w:sz w:val="44"/>
          <w:szCs w:val="28"/>
        </w:rPr>
        <w:t xml:space="preserve">文件格式</w:t>
      </w:r>
      <w:r/>
    </w:p>
    <w:p>
      <w:pPr>
        <w:jc w:val="center"/>
        <w:rPr>
          <w:rFonts w:hint="eastAsia" w:ascii="宋体" w:hAnsi="宋体"/>
          <w:b/>
          <w:color w:val="000000"/>
          <w:sz w:val="72"/>
          <w:szCs w:val="21"/>
        </w:rPr>
      </w:pPr>
      <w:r/>
      <w:bookmarkStart w:id="185" w:name="_Hlt26671244"/>
      <w:r/>
      <w:bookmarkEnd w:id="185"/>
      <w:r/>
      <w:bookmarkStart w:id="186" w:name="_Hlt26955039"/>
      <w:r/>
      <w:bookmarkEnd w:id="186"/>
      <w:r/>
      <w:bookmarkStart w:id="187" w:name="_Toc49090576"/>
      <w:r/>
      <w:bookmarkStart w:id="188" w:name="_Toc120614282"/>
      <w:r/>
      <w:bookmarkStart w:id="189"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ascii="宋体" w:hAnsi="宋体"/>
          <w:b/>
          <w:sz w:val="24"/>
          <w:szCs w:val="21"/>
        </w:rPr>
      </w:pPr>
      <w:r>
        <w:rPr>
          <w:rFonts w:ascii="宋体" w:hAnsi="宋体"/>
          <w:b/>
          <w:sz w:val="24"/>
          <w:szCs w:val="21"/>
        </w:rPr>
      </w:r>
      <w:r/>
    </w:p>
    <w:p>
      <w:pPr>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lang w:val="en-US" w:eastAsia="zh-CN"/>
        </w:rPr>
      </w:pPr>
      <w:r>
        <w:rPr>
          <w:rFonts w:hint="eastAsia" w:ascii="宋体" w:hAnsi="宋体"/>
          <w:b/>
          <w:sz w:val="24"/>
          <w:szCs w:val="24"/>
          <w:lang w:val="en-US" w:eastAsia="zh-CN"/>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3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p>
        </w:tc>
      </w:tr>
      <w:tr>
        <w:trPr>
          <w:cantSplit/>
          <w:trHeight w:val="767"/>
        </w:trPr>
        <w:tc>
          <w:tcPr>
            <w:gridSpan w:val="10"/>
            <w:tcW w:w="9263" w:type="dxa"/>
            <w:vAlign w:val="top"/>
            <w:textDirection w:val="lrTb"/>
            <w:noWrap w:val="false"/>
          </w:tcPr>
          <w:p>
            <w:pPr>
              <w:pStyle w:val="974"/>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24"/>
          <w:szCs w:val="24"/>
        </w:rPr>
      </w:pPr>
      <w:r>
        <w:rPr>
          <w:rFonts w:hint="eastAsia" w:ascii="方正黑体_GBK" w:hAnsi="宋体" w:eastAsia="方正黑体_GBK"/>
          <w:b/>
          <w:sz w:val="24"/>
          <w:szCs w:val="24"/>
          <w:lang w:val="en-US" w:eastAsia="zh-CN"/>
        </w:rPr>
        <w:t xml:space="preserve">4</w:t>
      </w:r>
      <w:r>
        <w:rPr>
          <w:rFonts w:hint="eastAsia" w:ascii="方正黑体_GBK" w:hAnsi="宋体" w:eastAsia="方正黑体_GBK"/>
          <w:b/>
          <w:sz w:val="24"/>
          <w:szCs w:val="24"/>
        </w:rPr>
        <w:t xml:space="preserve">.投标人需认真填写本报价表，尤其注意规格型号的准确填写。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1" w:name="_Hlt26955070"/>
      <w:r/>
      <w:bookmarkEnd w:id="191"/>
      <w:r/>
      <w:bookmarkStart w:id="192" w:name="_格式3__银行出具的资信证明"/>
      <w:r/>
      <w:bookmarkEnd w:id="192"/>
      <w:r/>
      <w:bookmarkStart w:id="193" w:name="_Hlt26671380"/>
      <w:r/>
      <w:bookmarkEnd w:id="193"/>
      <w:r>
        <w:rPr>
          <w:rFonts w:hint="eastAsia" w:ascii="Times New Roman" w:hAnsi="Times New Roman"/>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p>
    <w:p>
      <w:pPr>
        <w:pStyle w:val="974"/>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86"/>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86"/>
          <w:rFonts w:hint="eastAsia" w:ascii="宋体" w:hAnsi="宋体" w:eastAsia="宋体" w:cs="宋体"/>
          <w:i w:val="0"/>
          <w:iCs w:val="0"/>
          <w:caps w:val="0"/>
          <w:color w:val="000000"/>
          <w:spacing w:val="0"/>
          <w:sz w:val="24"/>
          <w:szCs w:val="24"/>
          <w:u w:val="single"/>
          <w:shd w:val="clear" w:color="auto" w:fill="ffffff"/>
        </w:rPr>
        <w:t xml:space="preserve">（厂名）</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8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7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86"/>
          <w:rFonts w:hint="eastAsia" w:ascii="宋体" w:hAnsi="宋体" w:eastAsia="宋体" w:cs="宋体"/>
          <w:i w:val="0"/>
          <w:iCs w:val="0"/>
          <w:caps w:val="0"/>
          <w:color w:val="000000"/>
          <w:spacing w:val="0"/>
          <w:sz w:val="24"/>
          <w:szCs w:val="24"/>
          <w:u w:val="single"/>
          <w:shd w:val="clear" w:color="auto" w:fill="ffffff"/>
        </w:rPr>
        <w:t xml:space="preserve">（产品名称</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86"/>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86"/>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8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7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p>
    <w:p>
      <w:pPr>
        <w:pStyle w:val="97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p>
    <w:p>
      <w:pPr>
        <w:pStyle w:val="97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74"/>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974"/>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pStyle w:val="97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p>
    <w:p>
      <w:pPr>
        <w:pStyle w:val="97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79"/>
      <w:r/>
      <w:bookmarkEnd w:id="180"/>
      <w:r/>
      <w:bookmarkEnd w:id="190"/>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r>
      <w:r/>
    </w:p>
    <w:p>
      <w:pPr>
        <w:spacing w:line="400" w:lineRule="exact"/>
        <w:rPr>
          <w:rFonts w:hint="eastAsia" w:ascii="宋体" w:hAnsi="宋体"/>
          <w:b/>
          <w:color w:val="000000"/>
          <w:sz w:val="24"/>
          <w:szCs w:val="24"/>
        </w:rPr>
      </w:pPr>
      <w:r>
        <w:rPr>
          <w:rFonts w:hint="eastAsia" w:ascii="宋体" w:hAnsi="宋体"/>
          <w:b/>
          <w:color w:val="000000"/>
          <w:sz w:val="24"/>
          <w:szCs w:val="24"/>
        </w:rPr>
      </w:r>
      <w:r/>
    </w:p>
    <w:p>
      <w:pPr>
        <w:spacing w:line="400" w:lineRule="exact"/>
        <w:rPr>
          <w:rFonts w:hint="eastAsia" w:ascii="宋体" w:hAnsi="宋体"/>
          <w:b/>
          <w:color w:val="000000"/>
          <w:sz w:val="24"/>
          <w:szCs w:val="24"/>
        </w:rPr>
      </w:pPr>
      <w:r>
        <w:rPr>
          <w:rFonts w:hint="eastAsia" w:ascii="宋体" w:hAnsi="宋体"/>
          <w:b/>
          <w:color w:val="000000"/>
          <w:sz w:val="24"/>
          <w:szCs w:val="24"/>
        </w:rPr>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w:fldChar w:fldCharType="begin"/>
    </w:r>
    <w:r>
      <w:instrText xml:space="preserve">PAGE   \* MERGEFORMAT</w:instrText>
    </w:r>
    <w:r>
      <w:fldChar w:fldCharType="separate"/>
    </w:r>
    <w:r>
      <w:rPr>
        <w:lang w:val="zh-CN"/>
      </w:rPr>
      <w:t xml:space="preserve">19</w:t>
    </w:r>
    <w:r>
      <w:fldChar w:fldCharType="end"/>
    </w:r>
    <w:r/>
  </w:p>
  <w:p>
    <w:pPr>
      <w:pStyle w:val="9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Fonts w:ascii="宋体" w:hAnsi="宋体"/>
      </w:rPr>
      <w:framePr w:wrap="around" w:vAnchor="text" w:hAnchor="margin" w:xAlign="center" w:y="1"/>
    </w:pPr>
    <w:r>
      <w:rPr>
        <w:rFonts w:ascii="宋体" w:hAnsi="宋体"/>
      </w:rPr>
      <w:fldChar w:fldCharType="begin"/>
    </w:r>
    <w:r>
      <w:rPr>
        <w:rStyle w:val="984"/>
        <w:rFonts w:ascii="宋体" w:hAnsi="宋体"/>
      </w:rPr>
      <w:instrText xml:space="preserve">PAGE  </w:instrText>
    </w:r>
    <w:r>
      <w:rPr>
        <w:rFonts w:ascii="宋体" w:hAnsi="宋体"/>
      </w:rPr>
      <w:fldChar w:fldCharType="separate"/>
    </w:r>
    <w:r>
      <w:rPr>
        <w:rStyle w:val="984"/>
        <w:rFonts w:ascii="宋体" w:hAnsi="宋体"/>
      </w:rPr>
      <w:t xml:space="preserve">22</w:t>
    </w:r>
    <w:r>
      <w:rPr>
        <w:rFonts w:ascii="宋体" w:hAnsi="宋体"/>
      </w:rPr>
      <w:fldChar w:fldCharType="end"/>
    </w:r>
    <w:r/>
  </w:p>
  <w:p>
    <w:pPr>
      <w:pStyle w:val="959"/>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9"/>
      <w:isLgl w:val="false"/>
      <w:suff w:val="nothing"/>
      <w:lvlText w:val=""/>
      <w:lvlJc w:val="left"/>
      <w:pPr>
        <w:ind w:left="0" w:firstLine="0"/>
      </w:pPr>
      <w:rPr>
        <w:rFonts w:hint="eastAsia"/>
      </w:rPr>
    </w:lvl>
    <w:lvl w:ilvl="6">
      <w:start w:val="1"/>
      <w:numFmt w:val="decimal"/>
      <w:pStyle w:val="920"/>
      <w:isLgl w:val="false"/>
      <w:suff w:val="nothing"/>
      <w:lvlText w:val=""/>
      <w:lvlJc w:val="left"/>
      <w:pPr>
        <w:ind w:left="0" w:firstLine="0"/>
      </w:pPr>
      <w:rPr>
        <w:rFonts w:hint="eastAsia"/>
      </w:rPr>
    </w:lvl>
    <w:lvl w:ilvl="7">
      <w:start w:val="1"/>
      <w:numFmt w:val="decimal"/>
      <w:pStyle w:val="921"/>
      <w:isLgl w:val="false"/>
      <w:suff w:val="nothing"/>
      <w:lvlText w:val=""/>
      <w:lvlJc w:val="left"/>
      <w:pPr>
        <w:ind w:left="0" w:firstLine="0"/>
      </w:pPr>
      <w:rPr>
        <w:rFonts w:hint="eastAsia"/>
      </w:rPr>
    </w:lvl>
    <w:lvl w:ilvl="8">
      <w:start w:val="1"/>
      <w:numFmt w:val="decimal"/>
      <w:pStyle w:val="922"/>
      <w:isLgl w:val="false"/>
      <w:suff w:val="nothing"/>
      <w:lvlText w:val=""/>
      <w:lvlJc w:val="left"/>
      <w:pPr>
        <w:ind w:left="0" w:firstLine="0"/>
      </w:pPr>
      <w:rPr>
        <w:rFonts w:hint="eastAsia"/>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3"/>
  </w:num>
  <w:num w:numId="4">
    <w:abstractNumId w:val="4"/>
  </w:num>
  <w:num w:numId="5">
    <w:abstractNumId w:val="1"/>
  </w:num>
  <w:num w:numId="6">
    <w:abstractNumId w:val="2"/>
  </w:num>
  <w:num w:numId="7">
    <w:abstractNumId w:val="10"/>
  </w:num>
  <w:num w:numId="8">
    <w:abstractNumId w:val="11"/>
  </w:num>
  <w:num w:numId="9">
    <w:abstractNumId w:val="14"/>
  </w:num>
  <w:num w:numId="10">
    <w:abstractNumId w:val="9"/>
  </w:num>
  <w:num w:numId="11">
    <w:abstractNumId w:val="0"/>
  </w:num>
  <w:num w:numId="12">
    <w:abstractNumId w:val="12"/>
  </w:num>
  <w:num w:numId="13">
    <w:abstractNumId w:val="6"/>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98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9">
    <w:name w:val="Heading 1"/>
    <w:basedOn w:val="728"/>
    <w:next w:val="728"/>
    <w:link w:val="765"/>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66"/>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67"/>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6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69"/>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70"/>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72"/>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73"/>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right="0" w:firstLine="0"/>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annotation text"/>
    <w:basedOn w:val="728"/>
    <w:uiPriority w:val="0"/>
    <w:unhideWhenUsed/>
    <w:qFormat/>
    <w:pPr>
      <w:jc w:val="left"/>
    </w:pPr>
  </w:style>
  <w:style w:type="paragraph" w:styleId="743">
    <w:name w:val="Body Text"/>
    <w:basedOn w:val="728"/>
    <w:next w:val="728"/>
    <w:uiPriority w:val="0"/>
    <w:qFormat/>
    <w:rPr>
      <w:rFonts w:ascii="楷体_GB2312" w:hAnsi="Arial" w:eastAsia="楷体_GB2312" w:cs="Times New Roman"/>
      <w:sz w:val="28"/>
      <w:szCs w:val="28"/>
    </w:rPr>
  </w:style>
  <w:style w:type="paragraph" w:styleId="744">
    <w:name w:val="toc 5"/>
    <w:basedOn w:val="728"/>
    <w:next w:val="728"/>
    <w:uiPriority w:val="39"/>
    <w:unhideWhenUsed/>
    <w:qFormat/>
    <w:pPr>
      <w:ind w:left="1134" w:right="0" w:firstLine="0"/>
      <w:spacing w:after="57"/>
    </w:pPr>
  </w:style>
  <w:style w:type="paragraph" w:styleId="745">
    <w:name w:val="toc 3"/>
    <w:basedOn w:val="728"/>
    <w:next w:val="728"/>
    <w:uiPriority w:val="39"/>
    <w:unhideWhenUsed/>
    <w:qFormat/>
    <w:pPr>
      <w:ind w:left="567" w:right="0" w:firstLine="0"/>
      <w:spacing w:after="57"/>
    </w:pPr>
  </w:style>
  <w:style w:type="paragraph" w:styleId="746">
    <w:name w:val="toc 8"/>
    <w:basedOn w:val="728"/>
    <w:next w:val="728"/>
    <w:uiPriority w:val="39"/>
    <w:unhideWhenUsed/>
    <w:qFormat/>
    <w:pPr>
      <w:ind w:left="1984" w:right="0" w:firstLine="0"/>
      <w:spacing w:after="57"/>
    </w:pPr>
  </w:style>
  <w:style w:type="paragraph" w:styleId="747">
    <w:name w:val="endnote text"/>
    <w:basedOn w:val="728"/>
    <w:link w:val="911"/>
    <w:uiPriority w:val="99"/>
    <w:semiHidden/>
    <w:unhideWhenUsed/>
    <w:qFormat/>
    <w:pPr>
      <w:spacing w:after="0" w:line="240" w:lineRule="auto"/>
    </w:pPr>
    <w:rPr>
      <w:sz w:val="20"/>
    </w:rPr>
  </w:style>
  <w:style w:type="paragraph" w:styleId="748">
    <w:name w:val="Footer"/>
    <w:basedOn w:val="728"/>
    <w:link w:val="784"/>
    <w:uiPriority w:val="99"/>
    <w:unhideWhenUsed/>
    <w:qFormat/>
    <w:pPr>
      <w:spacing w:after="0" w:line="240" w:lineRule="auto"/>
      <w:tabs>
        <w:tab w:val="center" w:pos="7143" w:leader="none"/>
        <w:tab w:val="right" w:pos="14287" w:leader="none"/>
      </w:tabs>
    </w:pPr>
  </w:style>
  <w:style w:type="paragraph" w:styleId="749">
    <w:name w:val="Header"/>
    <w:basedOn w:val="728"/>
    <w:link w:val="782"/>
    <w:uiPriority w:val="99"/>
    <w:unhideWhenUsed/>
    <w:qFormat/>
    <w:pPr>
      <w:spacing w:after="0" w:line="240" w:lineRule="auto"/>
      <w:tabs>
        <w:tab w:val="center" w:pos="7143" w:leader="none"/>
        <w:tab w:val="right" w:pos="14287" w:leader="none"/>
      </w:tabs>
    </w:pPr>
  </w:style>
  <w:style w:type="paragraph" w:styleId="750">
    <w:name w:val="toc 1"/>
    <w:basedOn w:val="728"/>
    <w:next w:val="728"/>
    <w:uiPriority w:val="39"/>
    <w:unhideWhenUsed/>
    <w:qFormat/>
    <w:pPr>
      <w:ind w:left="0" w:right="0" w:firstLine="0"/>
      <w:spacing w:after="57"/>
    </w:pPr>
  </w:style>
  <w:style w:type="paragraph" w:styleId="751">
    <w:name w:val="toc 4"/>
    <w:basedOn w:val="728"/>
    <w:next w:val="728"/>
    <w:uiPriority w:val="39"/>
    <w:unhideWhenUsed/>
    <w:qFormat/>
    <w:pPr>
      <w:ind w:left="850" w:right="0" w:firstLine="0"/>
      <w:spacing w:after="57"/>
    </w:pPr>
  </w:style>
  <w:style w:type="paragraph" w:styleId="752">
    <w:name w:val="Subtitle"/>
    <w:basedOn w:val="728"/>
    <w:next w:val="728"/>
    <w:link w:val="777"/>
    <w:uiPriority w:val="11"/>
    <w:qFormat/>
    <w:pPr>
      <w:spacing w:before="200" w:after="200"/>
    </w:pPr>
    <w:rPr>
      <w:sz w:val="24"/>
      <w:szCs w:val="24"/>
    </w:rPr>
  </w:style>
  <w:style w:type="paragraph" w:styleId="753">
    <w:name w:val="footnote text"/>
    <w:basedOn w:val="728"/>
    <w:link w:val="910"/>
    <w:uiPriority w:val="99"/>
    <w:semiHidden/>
    <w:unhideWhenUsed/>
    <w:qFormat/>
    <w:pPr>
      <w:spacing w:after="40" w:line="240" w:lineRule="auto"/>
    </w:pPr>
    <w:rPr>
      <w:sz w:val="18"/>
    </w:rPr>
  </w:style>
  <w:style w:type="paragraph" w:styleId="754">
    <w:name w:val="toc 6"/>
    <w:basedOn w:val="728"/>
    <w:next w:val="728"/>
    <w:uiPriority w:val="39"/>
    <w:unhideWhenUsed/>
    <w:qFormat/>
    <w:pPr>
      <w:ind w:left="1417" w:right="0" w:firstLine="0"/>
      <w:spacing w:after="57"/>
    </w:pPr>
  </w:style>
  <w:style w:type="paragraph" w:styleId="755">
    <w:name w:val="table of figures"/>
    <w:basedOn w:val="728"/>
    <w:next w:val="728"/>
    <w:uiPriority w:val="99"/>
    <w:unhideWhenUsed/>
    <w:qFormat/>
    <w:pPr>
      <w:spacing w:after="0" w:afterAutospacing="0"/>
    </w:pPr>
  </w:style>
  <w:style w:type="paragraph" w:styleId="756">
    <w:name w:val="toc 2"/>
    <w:basedOn w:val="728"/>
    <w:next w:val="728"/>
    <w:uiPriority w:val="39"/>
    <w:unhideWhenUsed/>
    <w:qFormat/>
    <w:pPr>
      <w:ind w:left="283" w:right="0" w:firstLine="0"/>
      <w:spacing w:after="57"/>
    </w:pPr>
  </w:style>
  <w:style w:type="paragraph" w:styleId="757">
    <w:name w:val="toc 9"/>
    <w:basedOn w:val="728"/>
    <w:next w:val="728"/>
    <w:uiPriority w:val="39"/>
    <w:unhideWhenUsed/>
    <w:qFormat/>
    <w:pPr>
      <w:ind w:left="2268" w:right="0" w:firstLine="0"/>
      <w:spacing w:after="57"/>
    </w:pPr>
  </w:style>
  <w:style w:type="paragraph" w:styleId="758">
    <w:name w:val="Normal (Web)"/>
    <w:basedOn w:val="728"/>
    <w:uiPriority w:val="99"/>
    <w:qFormat/>
    <w:pPr>
      <w:jc w:val="left"/>
      <w:spacing w:before="100" w:beforeAutospacing="1" w:after="100" w:afterAutospacing="1"/>
      <w:widowControl/>
    </w:pPr>
    <w:rPr>
      <w:rFonts w:ascii="宋体" w:hAnsi="宋体" w:eastAsia="宋体" w:cs="宋体"/>
      <w:sz w:val="24"/>
      <w:szCs w:val="24"/>
    </w:rPr>
  </w:style>
  <w:style w:type="paragraph" w:styleId="759">
    <w:name w:val="Title"/>
    <w:basedOn w:val="728"/>
    <w:next w:val="728"/>
    <w:link w:val="776"/>
    <w:uiPriority w:val="10"/>
    <w:qFormat/>
    <w:pPr>
      <w:contextualSpacing/>
      <w:spacing w:before="300" w:after="200"/>
    </w:pPr>
    <w:rPr>
      <w:sz w:val="48"/>
      <w:szCs w:val="48"/>
    </w:rPr>
  </w:style>
  <w:style w:type="table" w:styleId="7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page number"/>
    <w:uiPriority w:val="0"/>
    <w:qFormat/>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character" w:styleId="765" w:customStyle="1">
    <w:name w:val="Heading 1 Char"/>
    <w:link w:val="729"/>
    <w:uiPriority w:val="9"/>
    <w:qFormat/>
    <w:rPr>
      <w:rFonts w:ascii="Arial" w:hAnsi="Arial" w:eastAsia="Arial" w:cs="Arial"/>
      <w:sz w:val="40"/>
      <w:szCs w:val="40"/>
    </w:rPr>
  </w:style>
  <w:style w:type="character" w:styleId="766" w:customStyle="1">
    <w:name w:val="Heading 2 Char"/>
    <w:link w:val="730"/>
    <w:uiPriority w:val="9"/>
    <w:qFormat/>
    <w:rPr>
      <w:rFonts w:ascii="Arial" w:hAnsi="Arial" w:eastAsia="Arial" w:cs="Arial"/>
      <w:sz w:val="34"/>
    </w:rPr>
  </w:style>
  <w:style w:type="character" w:styleId="767" w:customStyle="1">
    <w:name w:val="Heading 3 Char"/>
    <w:link w:val="731"/>
    <w:uiPriority w:val="9"/>
    <w:qFormat/>
    <w:rPr>
      <w:rFonts w:ascii="Arial" w:hAnsi="Arial" w:eastAsia="Arial" w:cs="Arial"/>
      <w:sz w:val="30"/>
      <w:szCs w:val="30"/>
    </w:rPr>
  </w:style>
  <w:style w:type="character" w:styleId="768" w:customStyle="1">
    <w:name w:val="Heading 4 Char"/>
    <w:link w:val="732"/>
    <w:uiPriority w:val="9"/>
    <w:qFormat/>
    <w:rPr>
      <w:rFonts w:ascii="Arial" w:hAnsi="Arial" w:eastAsia="Arial" w:cs="Arial"/>
      <w:b/>
      <w:bCs/>
      <w:sz w:val="26"/>
      <w:szCs w:val="26"/>
    </w:rPr>
  </w:style>
  <w:style w:type="character" w:styleId="769" w:customStyle="1">
    <w:name w:val="Heading 5 Char"/>
    <w:link w:val="733"/>
    <w:uiPriority w:val="9"/>
    <w:qFormat/>
    <w:rPr>
      <w:rFonts w:ascii="Arial" w:hAnsi="Arial" w:eastAsia="Arial" w:cs="Arial"/>
      <w:b/>
      <w:bCs/>
      <w:sz w:val="24"/>
      <w:szCs w:val="24"/>
    </w:rPr>
  </w:style>
  <w:style w:type="character" w:styleId="770" w:customStyle="1">
    <w:name w:val="Heading 6 Char"/>
    <w:link w:val="734"/>
    <w:uiPriority w:val="9"/>
    <w:qFormat/>
    <w:rPr>
      <w:rFonts w:ascii="Arial" w:hAnsi="Arial" w:eastAsia="Arial" w:cs="Arial"/>
      <w:b/>
      <w:bCs/>
      <w:sz w:val="22"/>
      <w:szCs w:val="22"/>
    </w:rPr>
  </w:style>
  <w:style w:type="character" w:styleId="771" w:customStyle="1">
    <w:name w:val="Heading 7 Char"/>
    <w:link w:val="735"/>
    <w:uiPriority w:val="9"/>
    <w:qFormat/>
    <w:rPr>
      <w:rFonts w:ascii="Arial" w:hAnsi="Arial" w:eastAsia="Arial" w:cs="Arial"/>
      <w:b/>
      <w:bCs/>
      <w:i/>
      <w:iCs/>
      <w:sz w:val="22"/>
      <w:szCs w:val="22"/>
    </w:rPr>
  </w:style>
  <w:style w:type="character" w:styleId="772" w:customStyle="1">
    <w:name w:val="Heading 8 Char"/>
    <w:link w:val="736"/>
    <w:uiPriority w:val="9"/>
    <w:qFormat/>
    <w:rPr>
      <w:rFonts w:ascii="Arial" w:hAnsi="Arial" w:eastAsia="Arial" w:cs="Arial"/>
      <w:i/>
      <w:iCs/>
      <w:sz w:val="22"/>
      <w:szCs w:val="22"/>
    </w:rPr>
  </w:style>
  <w:style w:type="character" w:styleId="773" w:customStyle="1">
    <w:name w:val="Heading 9 Char"/>
    <w:link w:val="737"/>
    <w:uiPriority w:val="9"/>
    <w:qFormat/>
    <w:rPr>
      <w:rFonts w:ascii="Arial" w:hAnsi="Arial" w:eastAsia="Arial" w:cs="Arial"/>
      <w:i/>
      <w:iCs/>
      <w:sz w:val="21"/>
      <w:szCs w:val="21"/>
    </w:rPr>
  </w:style>
  <w:style w:type="paragraph" w:styleId="774">
    <w:name w:val="List Paragraph"/>
    <w:basedOn w:val="728"/>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link w:val="759"/>
    <w:uiPriority w:val="10"/>
    <w:qFormat/>
    <w:rPr>
      <w:sz w:val="48"/>
      <w:szCs w:val="48"/>
    </w:rPr>
  </w:style>
  <w:style w:type="character" w:styleId="777" w:customStyle="1">
    <w:name w:val="Subtitle Char"/>
    <w:link w:val="752"/>
    <w:uiPriority w:val="11"/>
    <w:qFormat/>
    <w:rPr>
      <w:sz w:val="24"/>
      <w:szCs w:val="24"/>
    </w:rPr>
  </w:style>
  <w:style w:type="paragraph" w:styleId="778">
    <w:name w:val="Quote"/>
    <w:basedOn w:val="728"/>
    <w:next w:val="728"/>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8"/>
    <w:next w:val="728"/>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link w:val="749"/>
    <w:uiPriority w:val="99"/>
    <w:qFormat/>
  </w:style>
  <w:style w:type="character" w:styleId="783" w:customStyle="1">
    <w:name w:val="Footer Char"/>
    <w:link w:val="748"/>
    <w:uiPriority w:val="99"/>
    <w:qFormat/>
  </w:style>
  <w:style w:type="character" w:styleId="784" w:customStyle="1">
    <w:name w:val="Caption Char"/>
    <w:link w:val="748"/>
    <w:uiPriority w:val="99"/>
    <w:qFormat/>
  </w:style>
  <w:style w:type="table" w:styleId="7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link w:val="753"/>
    <w:uiPriority w:val="99"/>
    <w:qFormat/>
    <w:rPr>
      <w:sz w:val="18"/>
    </w:rPr>
  </w:style>
  <w:style w:type="character" w:styleId="911" w:customStyle="1">
    <w:name w:val="Endnote Text Char"/>
    <w:link w:val="747"/>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标题 11"/>
    <w:basedOn w:val="728"/>
    <w:next w:val="728"/>
    <w:link w:val="925"/>
    <w:uiPriority w:val="0"/>
    <w:qFormat/>
    <w:pPr>
      <w:jc w:val="center"/>
      <w:keepNext/>
      <w:outlineLvl w:val="0"/>
    </w:pPr>
    <w:rPr>
      <w:rFonts w:ascii="楷体_GB2312" w:hAnsi="Times New Roman" w:eastAsia="楷体_GB2312" w:cs="Times New Roman"/>
      <w:sz w:val="28"/>
      <w:szCs w:val="28"/>
    </w:rPr>
  </w:style>
  <w:style w:type="paragraph" w:styleId="914" w:customStyle="1">
    <w:name w:val="标题 21"/>
    <w:basedOn w:val="728"/>
    <w:next w:val="915"/>
    <w:link w:val="92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5" w:customStyle="1">
    <w:name w:val="正文缩进1"/>
    <w:basedOn w:val="728"/>
    <w:link w:val="927"/>
    <w:uiPriority w:val="0"/>
    <w:qFormat/>
    <w:pPr>
      <w:ind w:firstLine="420"/>
    </w:pPr>
    <w:rPr>
      <w:szCs w:val="21"/>
    </w:rPr>
  </w:style>
  <w:style w:type="paragraph" w:styleId="916" w:customStyle="1">
    <w:name w:val="标题 31"/>
    <w:basedOn w:val="728"/>
    <w:next w:val="915"/>
    <w:link w:val="9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7" w:customStyle="1">
    <w:name w:val="标题 41"/>
    <w:basedOn w:val="728"/>
    <w:next w:val="915"/>
    <w:link w:val="929"/>
    <w:uiPriority w:val="0"/>
    <w:qFormat/>
    <w:pPr>
      <w:keepLines/>
      <w:keepNext/>
      <w:spacing w:before="280" w:after="290" w:line="376" w:lineRule="auto"/>
      <w:outlineLvl w:val="3"/>
    </w:pPr>
    <w:rPr>
      <w:rFonts w:ascii="Arial" w:hAnsi="Arial" w:eastAsia="黑体" w:cs="Arial"/>
      <w:b/>
      <w:bCs/>
      <w:sz w:val="28"/>
      <w:szCs w:val="28"/>
    </w:rPr>
  </w:style>
  <w:style w:type="paragraph" w:styleId="918" w:customStyle="1">
    <w:name w:val="标题 51"/>
    <w:basedOn w:val="728"/>
    <w:next w:val="915"/>
    <w:link w:val="930"/>
    <w:uiPriority w:val="0"/>
    <w:qFormat/>
    <w:pPr>
      <w:keepNext/>
      <w:outlineLvl w:val="4"/>
    </w:pPr>
    <w:rPr>
      <w:rFonts w:ascii="宋体" w:hAnsi="Times New Roman" w:eastAsia="宋体" w:cs="Times New Roman"/>
      <w:color w:val="000000"/>
      <w:sz w:val="28"/>
      <w:szCs w:val="28"/>
    </w:rPr>
  </w:style>
  <w:style w:type="paragraph" w:styleId="919" w:customStyle="1">
    <w:name w:val="标题 61"/>
    <w:basedOn w:val="728"/>
    <w:next w:val="728"/>
    <w:link w:val="93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0" w:customStyle="1">
    <w:name w:val="标题 71"/>
    <w:basedOn w:val="728"/>
    <w:next w:val="728"/>
    <w:link w:val="93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1" w:customStyle="1">
    <w:name w:val="标题 81"/>
    <w:basedOn w:val="728"/>
    <w:next w:val="728"/>
    <w:link w:val="93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2" w:customStyle="1">
    <w:name w:val="标题 91"/>
    <w:basedOn w:val="728"/>
    <w:next w:val="728"/>
    <w:link w:val="93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3" w:customStyle="1">
    <w:name w:val="默认段落字体1"/>
    <w:link w:val="728"/>
    <w:uiPriority w:val="1"/>
    <w:unhideWhenUsed/>
    <w:qFormat/>
  </w:style>
  <w:style w:type="table" w:styleId="924" w:customStyle="1">
    <w:name w:val="普通表格1"/>
    <w:uiPriority w:val="99"/>
    <w:unhideWhenUsed/>
    <w:qFormat/>
    <w:tblPr/>
  </w:style>
  <w:style w:type="character" w:styleId="925" w:customStyle="1">
    <w:name w:val="标题 1 Char"/>
    <w:link w:val="913"/>
    <w:uiPriority w:val="0"/>
    <w:qFormat/>
    <w:rPr>
      <w:rFonts w:ascii="楷体_GB2312" w:hAnsi="Times New Roman" w:eastAsia="楷体_GB2312" w:cs="Times New Roman"/>
      <w:sz w:val="28"/>
      <w:szCs w:val="28"/>
    </w:rPr>
  </w:style>
  <w:style w:type="character" w:styleId="926" w:customStyle="1">
    <w:name w:val="标题 2 Char"/>
    <w:link w:val="914"/>
    <w:uiPriority w:val="0"/>
    <w:qFormat/>
    <w:rPr>
      <w:rFonts w:ascii="Arial" w:hAnsi="Arial" w:eastAsia="幼圆" w:cs="Arial"/>
      <w:b/>
      <w:bCs/>
      <w:sz w:val="44"/>
      <w:szCs w:val="44"/>
    </w:rPr>
  </w:style>
  <w:style w:type="character" w:styleId="927" w:customStyle="1">
    <w:name w:val="正文缩进 Char"/>
    <w:link w:val="915"/>
    <w:uiPriority w:val="0"/>
    <w:qFormat/>
    <w:rPr>
      <w:szCs w:val="21"/>
    </w:rPr>
  </w:style>
  <w:style w:type="character" w:styleId="928" w:customStyle="1">
    <w:name w:val="标题 3 Char"/>
    <w:link w:val="916"/>
    <w:uiPriority w:val="0"/>
    <w:qFormat/>
    <w:rPr>
      <w:rFonts w:ascii="Times New Roman" w:hAnsi="Times New Roman" w:eastAsia="宋体" w:cs="Times New Roman"/>
      <w:b/>
      <w:bCs/>
      <w:sz w:val="32"/>
      <w:szCs w:val="32"/>
    </w:rPr>
  </w:style>
  <w:style w:type="character" w:styleId="929" w:customStyle="1">
    <w:name w:val="标题 4 Char"/>
    <w:link w:val="917"/>
    <w:uiPriority w:val="0"/>
    <w:qFormat/>
    <w:rPr>
      <w:rFonts w:ascii="Arial" w:hAnsi="Arial" w:eastAsia="黑体" w:cs="Arial"/>
      <w:b/>
      <w:bCs/>
      <w:sz w:val="28"/>
      <w:szCs w:val="28"/>
    </w:rPr>
  </w:style>
  <w:style w:type="character" w:styleId="930" w:customStyle="1">
    <w:name w:val="标题 5 Char"/>
    <w:link w:val="918"/>
    <w:uiPriority w:val="0"/>
    <w:qFormat/>
    <w:rPr>
      <w:rFonts w:ascii="宋体" w:hAnsi="Times New Roman" w:eastAsia="宋体" w:cs="Times New Roman"/>
      <w:color w:val="000000"/>
      <w:sz w:val="28"/>
      <w:szCs w:val="28"/>
    </w:rPr>
  </w:style>
  <w:style w:type="character" w:styleId="931" w:customStyle="1">
    <w:name w:val="标题 6 Char"/>
    <w:link w:val="919"/>
    <w:uiPriority w:val="0"/>
    <w:qFormat/>
    <w:rPr>
      <w:rFonts w:ascii="Arial" w:hAnsi="Arial" w:eastAsia="黑体" w:cs="Times New Roman"/>
      <w:b/>
      <w:bCs/>
      <w:sz w:val="24"/>
      <w:szCs w:val="24"/>
    </w:rPr>
  </w:style>
  <w:style w:type="character" w:styleId="932" w:customStyle="1">
    <w:name w:val="标题 7 Char"/>
    <w:link w:val="920"/>
    <w:uiPriority w:val="0"/>
    <w:qFormat/>
    <w:rPr>
      <w:rFonts w:ascii="Times New Roman" w:hAnsi="Times New Roman" w:eastAsia="宋体" w:cs="Times New Roman"/>
      <w:b/>
      <w:bCs/>
      <w:sz w:val="24"/>
      <w:szCs w:val="24"/>
    </w:rPr>
  </w:style>
  <w:style w:type="character" w:styleId="933" w:customStyle="1">
    <w:name w:val="标题 8 Char"/>
    <w:link w:val="921"/>
    <w:uiPriority w:val="0"/>
    <w:qFormat/>
    <w:rPr>
      <w:rFonts w:ascii="Arial" w:hAnsi="Arial" w:eastAsia="黑体" w:cs="Times New Roman"/>
      <w:sz w:val="24"/>
      <w:szCs w:val="24"/>
    </w:rPr>
  </w:style>
  <w:style w:type="character" w:styleId="934" w:customStyle="1">
    <w:name w:val="标题 9 Char"/>
    <w:link w:val="922"/>
    <w:uiPriority w:val="0"/>
    <w:qFormat/>
    <w:rPr>
      <w:rFonts w:ascii="Arial" w:hAnsi="Arial" w:eastAsia="黑体" w:cs="Times New Roman"/>
      <w:szCs w:val="21"/>
    </w:rPr>
  </w:style>
  <w:style w:type="paragraph" w:styleId="935" w:customStyle="1">
    <w:name w:val="列表 31"/>
    <w:basedOn w:val="728"/>
    <w:uiPriority w:val="0"/>
    <w:qFormat/>
    <w:pPr>
      <w:ind w:left="100" w:hanging="200"/>
    </w:pPr>
    <w:rPr>
      <w:rFonts w:ascii="Times New Roman" w:hAnsi="Times New Roman" w:eastAsia="宋体" w:cs="Times New Roman"/>
      <w:szCs w:val="21"/>
    </w:rPr>
  </w:style>
  <w:style w:type="paragraph" w:styleId="936" w:customStyle="1">
    <w:name w:val="目录 71"/>
    <w:basedOn w:val="728"/>
    <w:next w:val="728"/>
    <w:uiPriority w:val="0"/>
    <w:semiHidden/>
    <w:qFormat/>
    <w:pPr>
      <w:ind w:left="1260"/>
      <w:jc w:val="left"/>
    </w:pPr>
    <w:rPr>
      <w:rFonts w:ascii="Times New Roman" w:hAnsi="Times New Roman" w:eastAsia="宋体" w:cs="Times New Roman"/>
      <w:szCs w:val="21"/>
    </w:rPr>
  </w:style>
  <w:style w:type="paragraph" w:styleId="937" w:customStyle="1">
    <w:name w:val="文档结构图1"/>
    <w:basedOn w:val="728"/>
    <w:link w:val="938"/>
    <w:uiPriority w:val="0"/>
    <w:semiHidden/>
    <w:qFormat/>
    <w:pPr>
      <w:shd w:val="clear" w:color="auto" w:fill="000080"/>
    </w:pPr>
    <w:rPr>
      <w:rFonts w:ascii="Times New Roman" w:hAnsi="Times New Roman" w:eastAsia="宋体" w:cs="Times New Roman"/>
      <w:szCs w:val="21"/>
    </w:rPr>
  </w:style>
  <w:style w:type="character" w:styleId="938" w:customStyle="1">
    <w:name w:val="文档结构图 Char"/>
    <w:link w:val="937"/>
    <w:uiPriority w:val="0"/>
    <w:semiHidden/>
    <w:qFormat/>
    <w:rPr>
      <w:rFonts w:ascii="Times New Roman" w:hAnsi="Times New Roman" w:eastAsia="宋体" w:cs="Times New Roman"/>
      <w:szCs w:val="21"/>
      <w:shd w:val="clear" w:color="auto" w:fill="000080"/>
    </w:rPr>
  </w:style>
  <w:style w:type="paragraph" w:styleId="939" w:customStyle="1">
    <w:name w:val="批注文字1"/>
    <w:basedOn w:val="728"/>
    <w:link w:val="940"/>
    <w:uiPriority w:val="0"/>
    <w:unhideWhenUsed/>
    <w:qFormat/>
    <w:pPr>
      <w:jc w:val="left"/>
    </w:pPr>
  </w:style>
  <w:style w:type="character" w:styleId="940" w:customStyle="1">
    <w:name w:val="批注文字 Char"/>
    <w:link w:val="939"/>
    <w:uiPriority w:val="99"/>
    <w:semiHidden/>
    <w:qFormat/>
  </w:style>
  <w:style w:type="paragraph" w:styleId="941" w:customStyle="1">
    <w:name w:val="正文文本 31"/>
    <w:basedOn w:val="728"/>
    <w:link w:val="942"/>
    <w:uiPriority w:val="0"/>
    <w:qFormat/>
    <w:rPr>
      <w:rFonts w:ascii="仿宋_GB2312" w:hAnsi="Arial" w:eastAsia="仿宋_GB2312" w:cs="Times New Roman"/>
      <w:sz w:val="32"/>
      <w:szCs w:val="32"/>
    </w:rPr>
  </w:style>
  <w:style w:type="character" w:styleId="942" w:customStyle="1">
    <w:name w:val="正文文本 3 Char"/>
    <w:link w:val="941"/>
    <w:uiPriority w:val="0"/>
    <w:qFormat/>
    <w:rPr>
      <w:rFonts w:ascii="仿宋_GB2312" w:hAnsi="Arial" w:eastAsia="仿宋_GB2312" w:cs="Times New Roman"/>
      <w:sz w:val="32"/>
      <w:szCs w:val="32"/>
    </w:rPr>
  </w:style>
  <w:style w:type="paragraph" w:styleId="943" w:customStyle="1">
    <w:name w:val="正文文本1"/>
    <w:basedOn w:val="728"/>
    <w:link w:val="944"/>
    <w:uiPriority w:val="0"/>
    <w:qFormat/>
    <w:rPr>
      <w:rFonts w:ascii="楷体_GB2312" w:hAnsi="Arial" w:eastAsia="楷体_GB2312" w:cs="Times New Roman"/>
      <w:sz w:val="28"/>
      <w:szCs w:val="28"/>
    </w:rPr>
  </w:style>
  <w:style w:type="character" w:styleId="944" w:customStyle="1">
    <w:name w:val="正文文本 Char"/>
    <w:link w:val="943"/>
    <w:uiPriority w:val="0"/>
    <w:qFormat/>
    <w:rPr>
      <w:rFonts w:ascii="楷体_GB2312" w:hAnsi="Arial" w:eastAsia="楷体_GB2312" w:cs="Times New Roman"/>
      <w:sz w:val="28"/>
      <w:szCs w:val="28"/>
    </w:rPr>
  </w:style>
  <w:style w:type="paragraph" w:styleId="945" w:customStyle="1">
    <w:name w:val="正文文本缩进1"/>
    <w:basedOn w:val="728"/>
    <w:link w:val="946"/>
    <w:uiPriority w:val="0"/>
    <w:unhideWhenUsed/>
    <w:qFormat/>
    <w:pPr>
      <w:ind w:left="420"/>
      <w:spacing w:after="120"/>
    </w:pPr>
  </w:style>
  <w:style w:type="character" w:styleId="946" w:customStyle="1">
    <w:name w:val="正文文本缩进 Char"/>
    <w:link w:val="945"/>
    <w:uiPriority w:val="99"/>
    <w:semiHidden/>
    <w:qFormat/>
  </w:style>
  <w:style w:type="paragraph" w:styleId="947" w:customStyle="1">
    <w:name w:val="列表 21"/>
    <w:basedOn w:val="728"/>
    <w:uiPriority w:val="0"/>
    <w:qFormat/>
    <w:pPr>
      <w:ind w:left="100" w:hanging="200"/>
    </w:pPr>
    <w:rPr>
      <w:rFonts w:ascii="Times New Roman" w:hAnsi="Times New Roman" w:eastAsia="宋体" w:cs="Times New Roman"/>
      <w:szCs w:val="21"/>
    </w:rPr>
  </w:style>
  <w:style w:type="paragraph" w:styleId="948" w:customStyle="1">
    <w:name w:val="目录 51"/>
    <w:basedOn w:val="728"/>
    <w:next w:val="728"/>
    <w:uiPriority w:val="0"/>
    <w:semiHidden/>
    <w:qFormat/>
    <w:pPr>
      <w:ind w:left="840"/>
      <w:jc w:val="left"/>
    </w:pPr>
    <w:rPr>
      <w:rFonts w:ascii="Times New Roman" w:hAnsi="Times New Roman" w:eastAsia="宋体" w:cs="Times New Roman"/>
      <w:szCs w:val="21"/>
    </w:rPr>
  </w:style>
  <w:style w:type="paragraph" w:styleId="949" w:customStyle="1">
    <w:name w:val="目录 31"/>
    <w:basedOn w:val="728"/>
    <w:next w:val="728"/>
    <w:uiPriority w:val="0"/>
    <w:semiHidden/>
    <w:qFormat/>
    <w:pPr>
      <w:ind w:left="420"/>
      <w:jc w:val="left"/>
    </w:pPr>
    <w:rPr>
      <w:rFonts w:ascii="Times New Roman" w:hAnsi="Times New Roman" w:eastAsia="宋体" w:cs="Times New Roman"/>
      <w:i/>
      <w:iCs/>
      <w:szCs w:val="24"/>
    </w:rPr>
  </w:style>
  <w:style w:type="paragraph" w:styleId="950" w:customStyle="1">
    <w:name w:val="纯文本1"/>
    <w:basedOn w:val="728"/>
    <w:link w:val="951"/>
    <w:uiPriority w:val="0"/>
    <w:qFormat/>
    <w:rPr>
      <w:rFonts w:ascii="宋体" w:hAnsi="Courier New" w:eastAsia="宋体" w:cs="Courier New"/>
      <w:szCs w:val="21"/>
    </w:rPr>
  </w:style>
  <w:style w:type="character" w:styleId="951" w:customStyle="1">
    <w:name w:val="纯文本 Char"/>
    <w:link w:val="950"/>
    <w:uiPriority w:val="0"/>
    <w:qFormat/>
    <w:rPr>
      <w:rFonts w:ascii="宋体" w:hAnsi="Courier New" w:eastAsia="宋体" w:cs="Courier New"/>
      <w:szCs w:val="21"/>
    </w:rPr>
  </w:style>
  <w:style w:type="paragraph" w:styleId="952" w:customStyle="1">
    <w:name w:val="目录 81"/>
    <w:basedOn w:val="728"/>
    <w:next w:val="728"/>
    <w:uiPriority w:val="0"/>
    <w:semiHidden/>
    <w:qFormat/>
    <w:pPr>
      <w:ind w:left="1470"/>
      <w:jc w:val="left"/>
    </w:pPr>
    <w:rPr>
      <w:rFonts w:ascii="Times New Roman" w:hAnsi="Times New Roman" w:eastAsia="宋体" w:cs="Times New Roman"/>
      <w:szCs w:val="21"/>
    </w:rPr>
  </w:style>
  <w:style w:type="paragraph" w:styleId="953" w:customStyle="1">
    <w:name w:val="日期1"/>
    <w:basedOn w:val="728"/>
    <w:next w:val="728"/>
    <w:link w:val="954"/>
    <w:uiPriority w:val="0"/>
    <w:qFormat/>
    <w:rPr>
      <w:rFonts w:ascii="Times New Roman" w:hAnsi="Times New Roman" w:eastAsia="宋体" w:cs="Times New Roman"/>
      <w:sz w:val="24"/>
      <w:szCs w:val="24"/>
    </w:rPr>
  </w:style>
  <w:style w:type="character" w:styleId="954" w:customStyle="1">
    <w:name w:val="日期 Char"/>
    <w:link w:val="953"/>
    <w:uiPriority w:val="0"/>
    <w:qFormat/>
    <w:rPr>
      <w:rFonts w:ascii="Times New Roman" w:hAnsi="Times New Roman" w:eastAsia="宋体" w:cs="Times New Roman"/>
      <w:sz w:val="24"/>
      <w:szCs w:val="24"/>
    </w:rPr>
  </w:style>
  <w:style w:type="paragraph" w:styleId="955" w:customStyle="1">
    <w:name w:val="正文文本缩进 21"/>
    <w:basedOn w:val="728"/>
    <w:link w:val="956"/>
    <w:uiPriority w:val="0"/>
    <w:qFormat/>
    <w:pPr>
      <w:ind w:left="630" w:firstLine="645"/>
    </w:pPr>
    <w:rPr>
      <w:rFonts w:ascii="Arial" w:hAnsi="Arial" w:eastAsia="仿宋_GB2312" w:cs="Arial"/>
      <w:sz w:val="32"/>
      <w:szCs w:val="32"/>
    </w:rPr>
  </w:style>
  <w:style w:type="character" w:styleId="956" w:customStyle="1">
    <w:name w:val="正文文本缩进 2 Char"/>
    <w:link w:val="955"/>
    <w:uiPriority w:val="0"/>
    <w:qFormat/>
    <w:rPr>
      <w:rFonts w:ascii="Arial" w:hAnsi="Arial" w:eastAsia="仿宋_GB2312" w:cs="Arial"/>
      <w:sz w:val="32"/>
      <w:szCs w:val="32"/>
    </w:rPr>
  </w:style>
  <w:style w:type="paragraph" w:styleId="957" w:customStyle="1">
    <w:name w:val="批注框文本1"/>
    <w:basedOn w:val="728"/>
    <w:link w:val="958"/>
    <w:uiPriority w:val="0"/>
    <w:semiHidden/>
    <w:qFormat/>
    <w:rPr>
      <w:rFonts w:ascii="Times New Roman" w:hAnsi="Times New Roman" w:eastAsia="宋体" w:cs="Times New Roman"/>
      <w:sz w:val="18"/>
      <w:szCs w:val="18"/>
    </w:rPr>
  </w:style>
  <w:style w:type="character" w:styleId="958" w:customStyle="1">
    <w:name w:val="批注框文本 Char"/>
    <w:link w:val="957"/>
    <w:uiPriority w:val="0"/>
    <w:semiHidden/>
    <w:qFormat/>
    <w:rPr>
      <w:rFonts w:ascii="Times New Roman" w:hAnsi="Times New Roman" w:eastAsia="宋体" w:cs="Times New Roman"/>
      <w:sz w:val="18"/>
      <w:szCs w:val="18"/>
    </w:rPr>
  </w:style>
  <w:style w:type="paragraph" w:styleId="959" w:customStyle="1">
    <w:name w:val="页脚1"/>
    <w:basedOn w:val="728"/>
    <w:link w:val="960"/>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60" w:customStyle="1">
    <w:name w:val="页脚 Char"/>
    <w:link w:val="959"/>
    <w:uiPriority w:val="99"/>
    <w:qFormat/>
    <w:rPr>
      <w:rFonts w:ascii="Times New Roman" w:hAnsi="Times New Roman" w:eastAsia="宋体" w:cs="Times New Roman"/>
      <w:sz w:val="18"/>
      <w:szCs w:val="18"/>
    </w:rPr>
  </w:style>
  <w:style w:type="paragraph" w:styleId="961" w:customStyle="1">
    <w:name w:val="页眉1"/>
    <w:basedOn w:val="728"/>
    <w:link w:val="96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2" w:customStyle="1">
    <w:name w:val="页眉 Char"/>
    <w:link w:val="961"/>
    <w:uiPriority w:val="0"/>
    <w:qFormat/>
    <w:rPr>
      <w:rFonts w:ascii="Times New Roman" w:hAnsi="Times New Roman" w:eastAsia="宋体" w:cs="Times New Roman"/>
      <w:sz w:val="18"/>
      <w:szCs w:val="18"/>
    </w:rPr>
  </w:style>
  <w:style w:type="paragraph" w:styleId="963" w:customStyle="1">
    <w:name w:val="目录 11"/>
    <w:basedOn w:val="728"/>
    <w:next w:val="72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4" w:customStyle="1">
    <w:name w:val="目录 41"/>
    <w:basedOn w:val="728"/>
    <w:next w:val="728"/>
    <w:uiPriority w:val="0"/>
    <w:semiHidden/>
    <w:qFormat/>
    <w:pPr>
      <w:ind w:left="630"/>
      <w:jc w:val="left"/>
    </w:pPr>
    <w:rPr>
      <w:rFonts w:ascii="Times New Roman" w:hAnsi="Times New Roman" w:eastAsia="宋体" w:cs="Times New Roman"/>
      <w:szCs w:val="21"/>
    </w:rPr>
  </w:style>
  <w:style w:type="paragraph" w:styleId="965" w:customStyle="1">
    <w:name w:val="列表1"/>
    <w:basedOn w:val="728"/>
    <w:uiPriority w:val="0"/>
    <w:qFormat/>
    <w:pPr>
      <w:ind w:left="200" w:hanging="200"/>
    </w:pPr>
    <w:rPr>
      <w:rFonts w:ascii="Times New Roman" w:hAnsi="Times New Roman" w:eastAsia="宋体" w:cs="Times New Roman"/>
      <w:szCs w:val="21"/>
    </w:rPr>
  </w:style>
  <w:style w:type="paragraph" w:styleId="966" w:customStyle="1">
    <w:name w:val="目录 61"/>
    <w:basedOn w:val="728"/>
    <w:next w:val="728"/>
    <w:uiPriority w:val="0"/>
    <w:semiHidden/>
    <w:qFormat/>
    <w:pPr>
      <w:ind w:left="1050"/>
      <w:jc w:val="left"/>
    </w:pPr>
    <w:rPr>
      <w:rFonts w:ascii="Times New Roman" w:hAnsi="Times New Roman" w:eastAsia="宋体" w:cs="Times New Roman"/>
      <w:szCs w:val="21"/>
    </w:rPr>
  </w:style>
  <w:style w:type="paragraph" w:styleId="967" w:customStyle="1">
    <w:name w:val="正文文本缩进 31"/>
    <w:basedOn w:val="728"/>
    <w:link w:val="968"/>
    <w:uiPriority w:val="0"/>
    <w:qFormat/>
    <w:pPr>
      <w:ind w:left="645" w:firstLine="645"/>
    </w:pPr>
    <w:rPr>
      <w:rFonts w:ascii="Arial" w:hAnsi="Arial" w:eastAsia="仿宋_GB2312" w:cs="Arial"/>
      <w:color w:val="ffff00"/>
      <w:sz w:val="32"/>
      <w:szCs w:val="32"/>
    </w:rPr>
  </w:style>
  <w:style w:type="character" w:styleId="968" w:customStyle="1">
    <w:name w:val="正文文本缩进 3 Char"/>
    <w:link w:val="967"/>
    <w:uiPriority w:val="0"/>
    <w:qFormat/>
    <w:rPr>
      <w:rFonts w:ascii="Arial" w:hAnsi="Arial" w:eastAsia="仿宋_GB2312" w:cs="Arial"/>
      <w:color w:val="ffff00"/>
      <w:sz w:val="32"/>
      <w:szCs w:val="32"/>
    </w:rPr>
  </w:style>
  <w:style w:type="paragraph" w:styleId="969" w:customStyle="1">
    <w:name w:val="图表目录1"/>
    <w:basedOn w:val="728"/>
    <w:next w:val="728"/>
    <w:uiPriority w:val="0"/>
    <w:semiHidden/>
    <w:qFormat/>
    <w:pPr>
      <w:ind w:left="840" w:hanging="420"/>
    </w:pPr>
    <w:rPr>
      <w:rFonts w:ascii="Times New Roman" w:hAnsi="Times New Roman" w:eastAsia="宋体" w:cs="Times New Roman"/>
      <w:szCs w:val="21"/>
    </w:rPr>
  </w:style>
  <w:style w:type="paragraph" w:styleId="970" w:customStyle="1">
    <w:name w:val="目录 21"/>
    <w:basedOn w:val="728"/>
    <w:next w:val="728"/>
    <w:uiPriority w:val="0"/>
    <w:semiHidden/>
    <w:qFormat/>
    <w:pPr>
      <w:ind w:left="210"/>
      <w:jc w:val="left"/>
    </w:pPr>
    <w:rPr>
      <w:rFonts w:ascii="Times New Roman" w:hAnsi="Times New Roman" w:eastAsia="宋体" w:cs="Times New Roman"/>
      <w:smallCaps/>
      <w:szCs w:val="24"/>
    </w:rPr>
  </w:style>
  <w:style w:type="paragraph" w:styleId="971" w:customStyle="1">
    <w:name w:val="目录 91"/>
    <w:basedOn w:val="728"/>
    <w:next w:val="728"/>
    <w:uiPriority w:val="0"/>
    <w:semiHidden/>
    <w:qFormat/>
    <w:pPr>
      <w:ind w:left="1680"/>
      <w:jc w:val="left"/>
    </w:pPr>
    <w:rPr>
      <w:rFonts w:ascii="Times New Roman" w:hAnsi="Times New Roman" w:eastAsia="宋体" w:cs="Times New Roman"/>
      <w:szCs w:val="21"/>
    </w:rPr>
  </w:style>
  <w:style w:type="paragraph" w:styleId="972" w:customStyle="1">
    <w:name w:val="正文文本 21"/>
    <w:basedOn w:val="728"/>
    <w:link w:val="973"/>
    <w:uiPriority w:val="0"/>
    <w:qFormat/>
    <w:pPr>
      <w:jc w:val="center"/>
      <w:widowControl/>
    </w:pPr>
    <w:rPr>
      <w:rFonts w:ascii="楷体_GB2312" w:hAnsi="Times New Roman" w:eastAsia="楷体_GB2312" w:cs="Times New Roman"/>
      <w:sz w:val="28"/>
      <w:szCs w:val="28"/>
    </w:rPr>
  </w:style>
  <w:style w:type="character" w:styleId="973" w:customStyle="1">
    <w:name w:val="正文文本 2 Char"/>
    <w:link w:val="972"/>
    <w:uiPriority w:val="0"/>
    <w:qFormat/>
    <w:rPr>
      <w:rFonts w:ascii="楷体_GB2312" w:hAnsi="Times New Roman" w:eastAsia="楷体_GB2312" w:cs="Times New Roman"/>
      <w:sz w:val="28"/>
      <w:szCs w:val="28"/>
    </w:rPr>
  </w:style>
  <w:style w:type="paragraph" w:styleId="974" w:customStyle="1">
    <w:name w:val="普通(网站)1"/>
    <w:basedOn w:val="728"/>
    <w:uiPriority w:val="99"/>
    <w:qFormat/>
    <w:pPr>
      <w:jc w:val="left"/>
      <w:spacing w:before="100" w:beforeAutospacing="1" w:after="100" w:afterAutospacing="1"/>
      <w:widowControl/>
    </w:pPr>
    <w:rPr>
      <w:rFonts w:ascii="宋体" w:hAnsi="宋体" w:eastAsia="宋体" w:cs="宋体"/>
      <w:sz w:val="24"/>
      <w:szCs w:val="24"/>
    </w:rPr>
  </w:style>
  <w:style w:type="paragraph" w:styleId="975" w:customStyle="1">
    <w:name w:val="索引 11"/>
    <w:basedOn w:val="728"/>
    <w:next w:val="728"/>
    <w:uiPriority w:val="0"/>
    <w:semiHidden/>
    <w:qFormat/>
    <w:pPr>
      <w:spacing w:line="240" w:lineRule="atLeast"/>
    </w:pPr>
    <w:rPr>
      <w:rFonts w:ascii="Times New Roman" w:hAnsi="Times New Roman" w:eastAsia="宋体" w:cs="Times New Roman"/>
      <w:b/>
      <w:bCs/>
      <w:szCs w:val="21"/>
    </w:rPr>
  </w:style>
  <w:style w:type="paragraph" w:styleId="976" w:customStyle="1">
    <w:name w:val="批注主题1"/>
    <w:basedOn w:val="939"/>
    <w:next w:val="939"/>
    <w:link w:val="977"/>
    <w:uiPriority w:val="0"/>
    <w:semiHidden/>
    <w:qFormat/>
    <w:rPr>
      <w:rFonts w:ascii="Times New Roman" w:hAnsi="Times New Roman" w:eastAsia="宋体" w:cs="Times New Roman"/>
      <w:b/>
      <w:bCs/>
      <w:szCs w:val="21"/>
    </w:rPr>
  </w:style>
  <w:style w:type="character" w:styleId="977" w:customStyle="1">
    <w:name w:val="批注主题 Char"/>
    <w:link w:val="976"/>
    <w:uiPriority w:val="0"/>
    <w:semiHidden/>
    <w:qFormat/>
    <w:rPr>
      <w:rFonts w:ascii="Times New Roman" w:hAnsi="Times New Roman" w:eastAsia="宋体" w:cs="Times New Roman"/>
      <w:b/>
      <w:bCs/>
      <w:szCs w:val="21"/>
    </w:rPr>
  </w:style>
  <w:style w:type="paragraph" w:styleId="978" w:customStyle="1">
    <w:name w:val="正文首行缩进1"/>
    <w:basedOn w:val="728"/>
    <w:link w:val="979"/>
    <w:uiPriority w:val="0"/>
    <w:qFormat/>
    <w:pPr>
      <w:ind w:firstLine="200"/>
      <w:spacing w:line="360" w:lineRule="auto"/>
    </w:pPr>
    <w:rPr>
      <w:rFonts w:ascii="仿宋_GB2312" w:hAnsi="Times New Roman" w:eastAsia="仿宋_GB2312" w:cs="Times New Roman"/>
      <w:sz w:val="30"/>
      <w:szCs w:val="30"/>
    </w:rPr>
  </w:style>
  <w:style w:type="character" w:styleId="979" w:customStyle="1">
    <w:name w:val="正文首行缩进 Char"/>
    <w:link w:val="978"/>
    <w:uiPriority w:val="0"/>
    <w:qFormat/>
    <w:rPr>
      <w:rFonts w:ascii="仿宋_GB2312" w:hAnsi="Times New Roman" w:eastAsia="仿宋_GB2312" w:cs="Times New Roman"/>
      <w:sz w:val="30"/>
      <w:szCs w:val="30"/>
    </w:rPr>
  </w:style>
  <w:style w:type="paragraph" w:styleId="980" w:customStyle="1">
    <w:name w:val="正文首行缩进 21"/>
    <w:basedOn w:val="945"/>
    <w:link w:val="981"/>
    <w:uiPriority w:val="0"/>
    <w:qFormat/>
    <w:pPr>
      <w:ind w:left="0" w:firstLine="420"/>
      <w:spacing w:after="0" w:line="360" w:lineRule="auto"/>
    </w:pPr>
    <w:rPr>
      <w:rFonts w:ascii="宋体" w:hAnsi="宋体" w:eastAsia="宋体" w:cs="Times New Roman"/>
      <w:szCs w:val="20"/>
    </w:rPr>
  </w:style>
  <w:style w:type="character" w:styleId="981" w:customStyle="1">
    <w:name w:val="正文首行缩进 2 Char"/>
    <w:link w:val="980"/>
    <w:uiPriority w:val="0"/>
    <w:qFormat/>
    <w:rPr>
      <w:rFonts w:ascii="宋体" w:hAnsi="宋体" w:eastAsia="宋体" w:cs="Times New Roman"/>
      <w:szCs w:val="20"/>
    </w:rPr>
  </w:style>
  <w:style w:type="table" w:styleId="982" w:customStyle="1">
    <w:name w:val="网格型1"/>
    <w:basedOn w:val="924"/>
    <w:uiPriority w:val="0"/>
    <w:qFormat/>
    <w:pPr>
      <w:jc w:val="both"/>
      <w:widowControl w:val="off"/>
    </w:pPr>
    <w:rPr>
      <w:rFonts w:ascii="Times New Roman" w:hAnsi="Times New Roman" w:eastAsia="宋体" w:cs="Times New Roman"/>
      <w:sz w:val="20"/>
      <w:szCs w:val="20"/>
    </w:rPr>
    <w:tblPr/>
  </w:style>
  <w:style w:type="character" w:styleId="983" w:customStyle="1">
    <w:name w:val="要点1"/>
    <w:basedOn w:val="923"/>
    <w:link w:val="728"/>
    <w:uiPriority w:val="0"/>
    <w:qFormat/>
    <w:rPr>
      <w:b/>
      <w:bCs/>
    </w:rPr>
  </w:style>
  <w:style w:type="character" w:styleId="984" w:customStyle="1">
    <w:name w:val="页码1"/>
    <w:link w:val="728"/>
    <w:uiPriority w:val="0"/>
    <w:qFormat/>
  </w:style>
  <w:style w:type="character" w:styleId="985" w:customStyle="1">
    <w:name w:val="已访问的超链接1"/>
    <w:link w:val="728"/>
    <w:uiPriority w:val="0"/>
    <w:qFormat/>
    <w:rPr>
      <w:color w:val="800080"/>
      <w:u w:val="single"/>
    </w:rPr>
  </w:style>
  <w:style w:type="character" w:styleId="986" w:customStyle="1">
    <w:name w:val="强调1"/>
    <w:basedOn w:val="923"/>
    <w:link w:val="728"/>
    <w:uiPriority w:val="0"/>
    <w:qFormat/>
    <w:rPr>
      <w:i/>
    </w:rPr>
  </w:style>
  <w:style w:type="character" w:styleId="987" w:customStyle="1">
    <w:name w:val="超链接1"/>
    <w:link w:val="728"/>
    <w:uiPriority w:val="0"/>
    <w:qFormat/>
    <w:rPr>
      <w:color w:val="0000ff"/>
      <w:u w:val="single"/>
    </w:rPr>
  </w:style>
  <w:style w:type="character" w:styleId="988" w:customStyle="1">
    <w:name w:val="批注引用1"/>
    <w:link w:val="728"/>
    <w:uiPriority w:val="0"/>
    <w:semiHidden/>
    <w:qFormat/>
    <w:rPr>
      <w:sz w:val="21"/>
      <w:szCs w:val="21"/>
    </w:rPr>
  </w:style>
  <w:style w:type="character" w:styleId="989" w:customStyle="1">
    <w:name w:val="font5 Char"/>
    <w:link w:val="728"/>
    <w:uiPriority w:val="0"/>
    <w:qFormat/>
    <w:rPr>
      <w:rFonts w:ascii="宋体" w:hAnsi="宋体" w:eastAsia="宋体"/>
      <w:sz w:val="28"/>
      <w:szCs w:val="28"/>
      <w:lang w:val="en-US" w:eastAsia="zh-CN" w:bidi="ar-SA"/>
    </w:rPr>
  </w:style>
  <w:style w:type="character" w:styleId="990" w:customStyle="1">
    <w:name w:val="二级目录 Char"/>
    <w:link w:val="991"/>
    <w:uiPriority w:val="0"/>
    <w:qFormat/>
    <w:rPr>
      <w:b/>
      <w:sz w:val="30"/>
      <w:szCs w:val="28"/>
    </w:rPr>
  </w:style>
  <w:style w:type="paragraph" w:styleId="991" w:customStyle="1">
    <w:name w:val="二级目录"/>
    <w:next w:val="728"/>
    <w:link w:val="99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2" w:customStyle="1">
    <w:name w:val="列出段落 Char"/>
    <w:link w:val="993"/>
    <w:uiPriority w:val="0"/>
    <w:qFormat/>
    <w:rPr>
      <w:rFonts w:ascii="Calibri" w:hAnsi="Calibri"/>
      <w:sz w:val="24"/>
      <w:szCs w:val="24"/>
      <w:lang w:eastAsia="en-US" w:bidi="en-US"/>
    </w:rPr>
  </w:style>
  <w:style w:type="paragraph" w:styleId="993" w:customStyle="1">
    <w:name w:val="列出段落1"/>
    <w:basedOn w:val="728"/>
    <w:link w:val="992"/>
    <w:uiPriority w:val="0"/>
    <w:qFormat/>
    <w:pPr>
      <w:contextualSpacing/>
      <w:ind w:left="720"/>
      <w:jc w:val="left"/>
      <w:widowControl/>
    </w:pPr>
    <w:rPr>
      <w:rFonts w:ascii="Calibri" w:hAnsi="Calibri"/>
      <w:sz w:val="24"/>
      <w:szCs w:val="24"/>
      <w:lang w:eastAsia="en-US" w:bidi="en-US"/>
    </w:rPr>
  </w:style>
  <w:style w:type="paragraph" w:styleId="994" w:customStyle="1">
    <w:name w:val="Body Text(ch)"/>
    <w:basedOn w:val="728"/>
    <w:next w:val="943"/>
    <w:uiPriority w:val="0"/>
    <w:qFormat/>
    <w:pPr>
      <w:spacing w:after="120"/>
    </w:pPr>
    <w:rPr>
      <w:rFonts w:ascii="宋体" w:hAnsi="Arial" w:eastAsia="宋体" w:cs="Times New Roman"/>
      <w:bCs/>
      <w:iCs/>
      <w:szCs w:val="24"/>
    </w:rPr>
  </w:style>
  <w:style w:type="paragraph" w:styleId="995" w:customStyle="1">
    <w:name w:val="xl2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customStyle="1">
    <w:name w:val="xl2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customStyle="1">
    <w:name w:val="Char"/>
    <w:basedOn w:val="728"/>
    <w:uiPriority w:val="0"/>
    <w:qFormat/>
    <w:pPr>
      <w:ind w:firstLine="200"/>
      <w:tabs>
        <w:tab w:val="left" w:pos="360" w:leader="none"/>
      </w:tabs>
    </w:pPr>
    <w:rPr>
      <w:rFonts w:ascii="Times New Roman" w:hAnsi="Times New Roman" w:eastAsia="宋体" w:cs="Times New Roman"/>
      <w:sz w:val="28"/>
      <w:szCs w:val="30"/>
    </w:rPr>
  </w:style>
  <w:style w:type="paragraph" w:styleId="998" w:customStyle="1">
    <w:name w:val=" Char"/>
    <w:basedOn w:val="937"/>
    <w:uiPriority w:val="0"/>
    <w:qFormat/>
    <w:rPr>
      <w:rFonts w:ascii="Tahoma" w:hAnsi="Tahoma"/>
      <w:sz w:val="24"/>
      <w:szCs w:val="24"/>
    </w:rPr>
  </w:style>
  <w:style w:type="paragraph" w:styleId="999" w:customStyle="1">
    <w:name w:val="普通正文"/>
    <w:basedOn w:val="728"/>
    <w:uiPriority w:val="0"/>
    <w:qFormat/>
    <w:pPr>
      <w:ind w:firstLine="480"/>
      <w:jc w:val="left"/>
      <w:spacing w:before="120" w:after="120" w:line="360" w:lineRule="auto"/>
    </w:pPr>
    <w:rPr>
      <w:rFonts w:ascii="Arial" w:hAnsi="Arial" w:eastAsia="宋体" w:cs="Times New Roman"/>
      <w:sz w:val="24"/>
      <w:szCs w:val="24"/>
    </w:rPr>
  </w:style>
  <w:style w:type="paragraph" w:styleId="1000" w:customStyle="1">
    <w:name w:val="table_lines"/>
    <w:basedOn w:val="728"/>
    <w:uiPriority w:val="0"/>
    <w:qFormat/>
    <w:pPr>
      <w:jc w:val="left"/>
      <w:widowControl/>
    </w:pPr>
    <w:rPr>
      <w:rFonts w:ascii="Times New Roman" w:hAnsi="Times New Roman" w:eastAsia="宋体" w:cs="Times New Roman"/>
      <w:sz w:val="20"/>
      <w:szCs w:val="20"/>
      <w:lang w:val="de-DE" w:eastAsia="de-DE"/>
    </w:rPr>
  </w:style>
  <w:style w:type="paragraph" w:styleId="100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2" w:customStyle="1">
    <w:name w:val="font7"/>
    <w:basedOn w:val="72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3" w:customStyle="1">
    <w:name w:val=" Char Char Char Char"/>
    <w:basedOn w:val="937"/>
    <w:uiPriority w:val="0"/>
    <w:qFormat/>
    <w:pPr>
      <w:spacing w:line="360" w:lineRule="auto"/>
    </w:pPr>
    <w:rPr>
      <w:rFonts w:ascii="Tahoma" w:hAnsi="Tahoma"/>
      <w:sz w:val="24"/>
      <w:szCs w:val="24"/>
    </w:rPr>
  </w:style>
  <w:style w:type="paragraph" w:styleId="1004" w:customStyle="1">
    <w:name w:val="列出段落"/>
    <w:basedOn w:val="728"/>
    <w:uiPriority w:val="0"/>
    <w:qFormat/>
    <w:pPr>
      <w:contextualSpacing/>
      <w:ind w:left="720"/>
      <w:jc w:val="left"/>
      <w:widowControl/>
    </w:pPr>
    <w:rPr>
      <w:rFonts w:ascii="Calibri" w:hAnsi="Calibri" w:eastAsia="宋体" w:cs="Times New Roman"/>
      <w:sz w:val="24"/>
      <w:szCs w:val="24"/>
      <w:lang w:eastAsia="en-US" w:bidi="en-US"/>
    </w:rPr>
  </w:style>
  <w:style w:type="paragraph" w:styleId="1005" w:customStyle="1">
    <w:name w:val="4"/>
    <w:basedOn w:val="728"/>
    <w:next w:val="967"/>
    <w:uiPriority w:val="0"/>
    <w:qFormat/>
    <w:pPr>
      <w:ind w:firstLine="420"/>
      <w:spacing w:line="360" w:lineRule="auto"/>
    </w:pPr>
    <w:rPr>
      <w:rFonts w:ascii="Times New Roman" w:hAnsi="Times New Roman" w:eastAsia="宋体" w:cs="Times New Roman"/>
      <w:color w:val="ff0000"/>
      <w:sz w:val="24"/>
      <w:szCs w:val="24"/>
    </w:rPr>
  </w:style>
  <w:style w:type="paragraph" w:styleId="1006" w:customStyle="1">
    <w:name w:val="普通 (Web)"/>
    <w:basedOn w:val="728"/>
    <w:uiPriority w:val="0"/>
    <w:qFormat/>
    <w:pPr>
      <w:jc w:val="left"/>
      <w:spacing w:before="100" w:beforeAutospacing="1" w:after="100" w:afterAutospacing="1"/>
      <w:widowControl/>
    </w:pPr>
    <w:rPr>
      <w:rFonts w:ascii="宋体" w:hAnsi="宋体" w:eastAsia="宋体" w:cs="Times New Roman"/>
      <w:sz w:val="24"/>
      <w:szCs w:val="24"/>
    </w:rPr>
  </w:style>
  <w:style w:type="paragraph" w:styleId="1007" w:customStyle="1">
    <w:name w:val=" Char Char Char Char Char Char Char Char Char Char"/>
    <w:basedOn w:val="728"/>
    <w:uiPriority w:val="0"/>
    <w:qFormat/>
    <w:pPr>
      <w:spacing w:line="360" w:lineRule="auto"/>
    </w:pPr>
    <w:rPr>
      <w:rFonts w:ascii="Times New Roman" w:hAnsi="Times New Roman" w:eastAsia="宋体" w:cs="Times New Roman"/>
      <w:sz w:val="24"/>
      <w:szCs w:val="20"/>
    </w:rPr>
  </w:style>
  <w:style w:type="paragraph" w:styleId="1008" w:customStyle="1">
    <w:name w:val="样式1"/>
    <w:basedOn w:val="728"/>
    <w:uiPriority w:val="0"/>
    <w:qFormat/>
    <w:pPr>
      <w:numPr>
        <w:ilvl w:val="0"/>
        <w:numId w:val="3"/>
      </w:numPr>
    </w:pPr>
    <w:rPr>
      <w:rFonts w:ascii="宋体" w:hAnsi="宋体" w:eastAsia="宋体" w:cs="Times New Roman"/>
      <w:szCs w:val="21"/>
    </w:rPr>
  </w:style>
  <w:style w:type="paragraph" w:styleId="1009" w:customStyle="1">
    <w:name w:val="font6"/>
    <w:basedOn w:val="72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10" w:customStyle="1">
    <w:name w:val="xl25"/>
    <w:basedOn w:val="7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customStyle="1">
    <w:name w:val="图标"/>
    <w:basedOn w:val="728"/>
    <w:next w:val="72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2" w:customStyle="1">
    <w:name w:val="标题3"/>
    <w:basedOn w:val="728"/>
    <w:next w:val="728"/>
    <w:uiPriority w:val="0"/>
    <w:qFormat/>
    <w:pPr>
      <w:ind w:firstLine="624"/>
      <w:spacing w:line="590" w:lineRule="atLeast"/>
    </w:pPr>
    <w:rPr>
      <w:rFonts w:ascii="方正黑体_GBK" w:hAnsi="Times New Roman" w:eastAsia="方正黑体_GBK" w:cs="Times New Roman"/>
      <w:sz w:val="32"/>
      <w:szCs w:val="32"/>
    </w:rPr>
  </w:style>
  <w:style w:type="paragraph" w:styleId="1013" w:customStyle="1">
    <w:name w:val="xl24"/>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customStyle="1">
    <w:name w:val="xl29"/>
    <w:basedOn w:val="72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5" w:customStyle="1">
    <w:name w:val="Char Char Char Char Char Char Char Char"/>
    <w:basedOn w:val="728"/>
    <w:uiPriority w:val="0"/>
    <w:qFormat/>
    <w:pPr>
      <w:jc w:val="left"/>
      <w:spacing w:after="160" w:line="240" w:lineRule="exact"/>
      <w:widowControl/>
    </w:pPr>
    <w:rPr>
      <w:rFonts w:ascii="Verdana" w:hAnsi="Verdana" w:eastAsia="宋体" w:cs="Times New Roman"/>
      <w:sz w:val="20"/>
      <w:szCs w:val="20"/>
      <w:lang w:eastAsia="en-US"/>
    </w:rPr>
  </w:style>
  <w:style w:type="paragraph" w:styleId="1016"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7" w:customStyle="1">
    <w:name w:val=" Char Char Char Char Char Char Char Char"/>
    <w:basedOn w:val="728"/>
    <w:uiPriority w:val="0"/>
    <w:qFormat/>
    <w:pPr>
      <w:jc w:val="left"/>
      <w:spacing w:after="160" w:line="240" w:lineRule="exact"/>
      <w:widowControl/>
    </w:pPr>
    <w:rPr>
      <w:rFonts w:ascii="Verdana" w:hAnsi="Verdana" w:eastAsia="宋体" w:cs="Times New Roman"/>
      <w:sz w:val="20"/>
      <w:szCs w:val="20"/>
      <w:lang w:eastAsia="en-US"/>
    </w:rPr>
  </w:style>
  <w:style w:type="paragraph" w:styleId="1018" w:customStyle="1">
    <w:name w:val="xl30"/>
    <w:basedOn w:val="72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9" w:customStyle="1">
    <w:name w:val="Char Char Char Char"/>
    <w:basedOn w:val="937"/>
    <w:uiPriority w:val="0"/>
    <w:qFormat/>
    <w:pPr>
      <w:spacing w:line="360" w:lineRule="auto"/>
    </w:pPr>
    <w:rPr>
      <w:rFonts w:ascii="Tahoma" w:hAnsi="Tahoma"/>
      <w:sz w:val="24"/>
      <w:szCs w:val="24"/>
    </w:rPr>
  </w:style>
  <w:style w:type="paragraph" w:styleId="1020" w:customStyle="1">
    <w:name w:val="table_1stline"/>
    <w:basedOn w:val="72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1" w:customStyle="1">
    <w:name w:val="font5"/>
    <w:basedOn w:val="72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22" w:customStyle="1">
    <w:name w:val="标题1"/>
    <w:basedOn w:val="728"/>
    <w:next w:val="72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18</cp:revision>
  <dcterms:created xsi:type="dcterms:W3CDTF">2023-03-16T02:13:00Z</dcterms:created>
  <dcterms:modified xsi:type="dcterms:W3CDTF">2026-04-03T01:19:03Z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eyJoZGlkIjoiOGVmMTA1MjNlOTllNzE0NjI5OTFmMTAzMjJlOWU3N2QiLCJ1c2VySWQiOiI0Njk1NTcwNzAifQ==</vt:lpwstr>
  </property>
  <property fmtid="{D5CDD505-2E9C-101B-9397-08002B2CF9AE}" pid="3" name="KSOProductBuildVer">
    <vt:lpwstr>2052-12.1.0.25225</vt:lpwstr>
  </property>
  <property fmtid="{D5CDD505-2E9C-101B-9397-08002B2CF9AE}" pid="4" name="ICV">
    <vt:lpwstr>8BCBA28105E84D8AA8C7FB7806284306_13</vt:lpwstr>
  </property>
</Properties>
</file>