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rPr>
      </w:pPr>
      <w:r>
        <w:rPr>
          <w:rFonts w:cs="宋体" w:asciiTheme="minorEastAsia" w:hAnsiTheme="minorEastAsia" w:eastAsiaTheme="minorEastAsia"/>
          <w:b/>
          <w:bCs/>
          <w:spacing w:val="40"/>
          <w:sz w:val="32"/>
          <w:szCs w:val="32"/>
        </w:rPr>
        <w:t xml:space="preserve"> </w:t>
      </w:r>
      <w:r/>
    </w:p>
    <w:p>
      <w:pPr>
        <w:rPr>
          <w:rFonts w:asciiTheme="minorEastAsia" w:hAnsiTheme="minorEastAsia" w:eastAsiaTheme="minorEastAsia"/>
        </w:rPr>
      </w:pPr>
      <w:r>
        <w:rPr>
          <w:rFonts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44"/>
        </w:rPr>
        <w:t xml:space="preserve">江苏省人民医院</w:t>
      </w:r>
      <w:r/>
    </w:p>
    <w:p>
      <w:pPr>
        <w:jc w:val="center"/>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椎间孔镜系统采购项目</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招标文件</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cs="宋体" w:asciiTheme="minorEastAsia" w:hAnsiTheme="minorEastAsia" w:eastAsiaTheme="minorEastAsia"/>
          <w:b/>
          <w:sz w:val="36"/>
        </w:rPr>
        <w:t xml:space="preserve">项目编号：</w:t>
      </w:r>
      <w:r>
        <w:rPr>
          <w:rFonts w:hint="eastAsia" w:cs="宋体" w:asciiTheme="minorEastAsia" w:hAnsiTheme="minorEastAsia" w:eastAsiaTheme="minorEastAsia"/>
          <w:b/>
          <w:sz w:val="36"/>
        </w:rPr>
        <w:t xml:space="preserve">JSZC-320000-SOHO-G2026-0009</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代理机构编号：</w:t>
      </w:r>
      <w:r>
        <w:rPr>
          <w:rFonts w:cs="宋体" w:asciiTheme="minorEastAsia" w:hAnsiTheme="minorEastAsia" w:eastAsiaTheme="minorEastAsia"/>
          <w:b/>
          <w:bCs/>
          <w:sz w:val="36"/>
        </w:rPr>
        <w:t xml:space="preserve">1802-264104101HWZ</w:t>
      </w:r>
      <w:r/>
    </w:p>
    <w:p>
      <w:pPr>
        <w:jc w:val="cente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b/>
          <w:bCs/>
          <w:sz w:val="36"/>
          <w:szCs w:val="32"/>
        </w:rPr>
      </w:pPr>
      <w:r>
        <w:rPr>
          <w:rFonts w:cs="宋体" w:asciiTheme="minorEastAsia" w:hAnsiTheme="minorEastAsia" w:eastAsiaTheme="minorEastAsia"/>
          <w:b/>
          <w:sz w:val="36"/>
        </w:rPr>
        <w:t xml:space="preserve"> </w:t>
      </w:r>
      <w:r>
        <w:rPr>
          <w:rFonts w:hint="eastAsia" w:asciiTheme="minorEastAsia" w:hAnsiTheme="minorEastAsia" w:eastAsiaTheme="minorEastAsia"/>
          <w:b/>
          <w:bCs/>
          <w:sz w:val="36"/>
          <w:szCs w:val="32"/>
        </w:rPr>
        <w:t xml:space="preserve">采购人：江苏省人民医院</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采购代理机构：江苏苏豪创新科技集团有限公司</w:t>
      </w:r>
      <w:r/>
    </w:p>
    <w:p>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 xml:space="preserve">二○二六年四月</w:t>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宋体" w:asciiTheme="minorEastAsia" w:hAnsiTheme="minorEastAsia" w:eastAsiaTheme="minorEastAsia"/>
          <w:b/>
          <w:spacing w:val="40"/>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2"/>
        </w:rPr>
        <w:t xml:space="preserve">目 录</w:t>
      </w:r>
      <w:r/>
    </w:p>
    <w:p>
      <w:pPr>
        <w:pStyle w:val="986"/>
        <w:tabs>
          <w:tab w:val="right" w:pos="8296" w:leader="dot"/>
        </w:tabs>
        <w:rPr>
          <w:rFonts w:asciiTheme="minorEastAsia" w:hAnsiTheme="minorEastAsia" w:eastAsiaTheme="minorEastAsia"/>
          <w:sz w:val="24"/>
        </w:rPr>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hyperlink w:tooltip="#_Toc194500856" w:anchor="_Toc194500856" w:history="1">
        <w:r>
          <w:rPr>
            <w:rStyle w:val="912"/>
            <w:rFonts w:cs="宋体" w:asciiTheme="minorEastAsia" w:hAnsiTheme="minorEastAsia" w:eastAsiaTheme="minorEastAsia"/>
            <w:b/>
            <w:color w:val="auto"/>
            <w:sz w:val="24"/>
          </w:rPr>
          <w:t xml:space="preserve">第一章  投标邀请</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_Toc194500856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hyperlink>
      <w:r/>
      <w:r/>
    </w:p>
    <w:p>
      <w:pPr>
        <w:pStyle w:val="986"/>
        <w:tabs>
          <w:tab w:val="right" w:pos="8296" w:leader="dot"/>
        </w:tabs>
        <w:rPr>
          <w:rFonts w:asciiTheme="minorEastAsia" w:hAnsiTheme="minorEastAsia" w:eastAsiaTheme="minorEastAsia"/>
          <w:sz w:val="24"/>
        </w:rPr>
      </w:pPr>
      <w:r/>
      <w:hyperlink w:tooltip="#_Toc194500865" w:anchor="_Toc194500865" w:history="1">
        <w:r>
          <w:rPr>
            <w:rStyle w:val="912"/>
            <w:rFonts w:cs="宋体" w:asciiTheme="minorEastAsia" w:hAnsiTheme="minorEastAsia" w:eastAsiaTheme="minorEastAsia"/>
            <w:b/>
            <w:color w:val="auto"/>
            <w:sz w:val="24"/>
          </w:rPr>
          <w:t xml:space="preserve">第二章  投标人须知</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_Toc194500865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hyperlink>
      <w:r/>
      <w:r/>
    </w:p>
    <w:p>
      <w:pPr>
        <w:pStyle w:val="986"/>
        <w:tabs>
          <w:tab w:val="right" w:pos="8296" w:leader="dot"/>
        </w:tabs>
        <w:rPr>
          <w:rFonts w:asciiTheme="minorEastAsia" w:hAnsiTheme="minorEastAsia" w:eastAsiaTheme="minorEastAsia"/>
          <w:sz w:val="24"/>
        </w:rPr>
      </w:pPr>
      <w:r/>
      <w:hyperlink w:tooltip="#_Toc194500873" w:anchor="_Toc194500873" w:history="1">
        <w:r>
          <w:rPr>
            <w:rStyle w:val="912"/>
            <w:rFonts w:cs="宋体" w:asciiTheme="minorEastAsia" w:hAnsiTheme="minorEastAsia" w:eastAsiaTheme="minorEastAsia"/>
            <w:b/>
            <w:color w:val="auto"/>
            <w:sz w:val="24"/>
          </w:rPr>
          <w:t xml:space="preserve">第三章  合同文本</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_Toc194500873 \h </w:instrText>
        </w:r>
        <w:r>
          <w:rPr>
            <w:rFonts w:asciiTheme="minorEastAsia" w:hAnsiTheme="minorEastAsia" w:eastAsiaTheme="minorEastAsia"/>
            <w:sz w:val="24"/>
          </w:rPr>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hyperlink>
      <w:r/>
      <w:r/>
    </w:p>
    <w:p>
      <w:pPr>
        <w:pStyle w:val="986"/>
        <w:tabs>
          <w:tab w:val="right" w:pos="8296" w:leader="dot"/>
        </w:tabs>
        <w:rPr>
          <w:rFonts w:asciiTheme="minorEastAsia" w:hAnsiTheme="minorEastAsia" w:eastAsiaTheme="minorEastAsia"/>
          <w:sz w:val="24"/>
        </w:rPr>
      </w:pPr>
      <w:r/>
      <w:hyperlink w:tooltip="#_Toc194500876" w:anchor="_Toc194500876" w:history="1">
        <w:r>
          <w:rPr>
            <w:rStyle w:val="912"/>
            <w:rFonts w:cs="宋体" w:asciiTheme="minorEastAsia" w:hAnsiTheme="minorEastAsia" w:eastAsiaTheme="minorEastAsia"/>
            <w:b/>
            <w:color w:val="auto"/>
            <w:sz w:val="24"/>
          </w:rPr>
          <w:t xml:space="preserve">第四章  采购需求</w:t>
        </w:r>
        <w:r>
          <w:rPr>
            <w:rFonts w:asciiTheme="minorEastAsia" w:hAnsiTheme="minorEastAsia" w:eastAsiaTheme="minorEastAsia"/>
            <w:sz w:val="24"/>
          </w:rPr>
          <w:tab/>
        </w:r>
        <w:r>
          <w:rPr>
            <w:rFonts w:hint="eastAsia" w:asciiTheme="minorEastAsia" w:hAnsiTheme="minorEastAsia" w:eastAsiaTheme="minorEastAsia"/>
            <w:sz w:val="24"/>
          </w:rPr>
          <w:t xml:space="preserve">2</w:t>
        </w:r>
      </w:hyperlink>
      <w:r>
        <w:rPr>
          <w:rFonts w:hint="eastAsia" w:asciiTheme="minorEastAsia" w:hAnsiTheme="minorEastAsia" w:eastAsiaTheme="minorEastAsia"/>
          <w:sz w:val="24"/>
        </w:rPr>
        <w:t xml:space="preserve">9</w:t>
      </w:r>
      <w:r/>
    </w:p>
    <w:p>
      <w:pPr>
        <w:pStyle w:val="986"/>
        <w:tabs>
          <w:tab w:val="right" w:pos="8296" w:leader="dot"/>
        </w:tabs>
        <w:rPr>
          <w:rFonts w:asciiTheme="minorEastAsia" w:hAnsiTheme="minorEastAsia" w:eastAsiaTheme="minorEastAsia"/>
          <w:sz w:val="24"/>
        </w:rPr>
      </w:pPr>
      <w:r/>
      <w:hyperlink w:tooltip="#_Toc194500888" w:anchor="_Toc194500888" w:history="1">
        <w:r>
          <w:rPr>
            <w:rStyle w:val="912"/>
            <w:rFonts w:cs="宋体" w:asciiTheme="minorEastAsia" w:hAnsiTheme="minorEastAsia" w:eastAsiaTheme="minorEastAsia"/>
            <w:b/>
            <w:color w:val="auto"/>
            <w:sz w:val="24"/>
          </w:rPr>
          <w:t xml:space="preserve">第五章  评标方法与评标标准</w:t>
        </w:r>
        <w:r>
          <w:rPr>
            <w:rFonts w:asciiTheme="minorEastAsia" w:hAnsiTheme="minorEastAsia" w:eastAsiaTheme="minorEastAsia"/>
            <w:sz w:val="24"/>
          </w:rPr>
          <w:tab/>
        </w:r>
        <w:r>
          <w:rPr>
            <w:rFonts w:hint="eastAsia" w:asciiTheme="minorEastAsia" w:hAnsiTheme="minorEastAsia" w:eastAsiaTheme="minorEastAsia"/>
            <w:sz w:val="24"/>
          </w:rPr>
          <w:t xml:space="preserve">3</w:t>
        </w:r>
      </w:hyperlink>
      <w:r>
        <w:rPr>
          <w:rFonts w:hint="eastAsia" w:asciiTheme="minorEastAsia" w:hAnsiTheme="minorEastAsia" w:eastAsiaTheme="minorEastAsia"/>
          <w:sz w:val="24"/>
        </w:rPr>
        <w:t xml:space="preserve">9</w:t>
      </w:r>
      <w:r/>
    </w:p>
    <w:p>
      <w:pPr>
        <w:pStyle w:val="986"/>
        <w:tabs>
          <w:tab w:val="right" w:pos="8296" w:leader="dot"/>
        </w:tabs>
        <w:rPr>
          <w:rFonts w:asciiTheme="minorEastAsia" w:hAnsiTheme="minorEastAsia" w:eastAsiaTheme="minorEastAsia"/>
          <w:szCs w:val="22"/>
        </w:rPr>
      </w:pPr>
      <w:r/>
      <w:hyperlink w:tooltip="#_Toc194500892" w:anchor="_Toc194500892" w:history="1">
        <w:r>
          <w:rPr>
            <w:rStyle w:val="912"/>
            <w:rFonts w:cs="宋体" w:asciiTheme="minorEastAsia" w:hAnsiTheme="minorEastAsia" w:eastAsiaTheme="minorEastAsia"/>
            <w:b/>
            <w:color w:val="auto"/>
          </w:rPr>
          <w:t xml:space="preserve">第六章 </w:t>
        </w:r>
        <w:r>
          <w:rPr>
            <w:rStyle w:val="912"/>
            <w:rFonts w:cs="宋体" w:asciiTheme="minorEastAsia" w:hAnsiTheme="minorEastAsia" w:eastAsiaTheme="minorEastAsia"/>
            <w:b/>
            <w:color w:val="auto"/>
            <w:sz w:val="24"/>
          </w:rPr>
          <w:t xml:space="preserve"> </w:t>
        </w:r>
        <w:r>
          <w:rPr>
            <w:rStyle w:val="912"/>
            <w:rFonts w:hint="eastAsia" w:cs="宋体" w:asciiTheme="minorEastAsia" w:hAnsiTheme="minorEastAsia" w:eastAsiaTheme="minorEastAsia"/>
            <w:b/>
            <w:color w:val="auto"/>
            <w:sz w:val="24"/>
          </w:rPr>
          <w:t xml:space="preserve"> </w:t>
        </w:r>
        <w:r>
          <w:rPr>
            <w:rStyle w:val="912"/>
            <w:rFonts w:cs="宋体" w:asciiTheme="minorEastAsia" w:hAnsiTheme="minorEastAsia" w:eastAsiaTheme="minorEastAsia"/>
            <w:b/>
            <w:color w:val="auto"/>
            <w:sz w:val="24"/>
          </w:rPr>
          <w:t xml:space="preserve">投标文件格式</w:t>
        </w:r>
        <w:r>
          <w:rPr>
            <w:rFonts w:asciiTheme="minorEastAsia" w:hAnsiTheme="minorEastAsia" w:eastAsiaTheme="minorEastAsia"/>
          </w:rPr>
          <w:tab/>
        </w:r>
        <w:r>
          <w:rPr>
            <w:rFonts w:hint="eastAsia" w:asciiTheme="minorEastAsia" w:hAnsiTheme="minorEastAsia" w:eastAsiaTheme="minorEastAsia"/>
          </w:rPr>
          <w:t xml:space="preserve">4</w:t>
        </w:r>
      </w:hyperlink>
      <w:r>
        <w:rPr>
          <w:rFonts w:hint="eastAsia" w:asciiTheme="minorEastAsia" w:hAnsiTheme="minorEastAsia" w:eastAsiaTheme="minorEastAsia"/>
        </w:rPr>
        <w:t xml:space="preserve">6</w:t>
      </w:r>
      <w:r/>
    </w:p>
    <w:p>
      <w:pPr>
        <w:pStyle w:val="989"/>
        <w:tabs>
          <w:tab w:val="right" w:pos="8296" w:leader="dot"/>
        </w:tabs>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宋体" w:asciiTheme="minorEastAsia" w:hAnsiTheme="minorEastAsia" w:eastAsiaTheme="minorEastAsia"/>
          <w:b/>
          <w:sz w:val="32"/>
        </w:rPr>
        <w:outlineLvl w:val="0"/>
      </w:pPr>
      <w:r/>
      <w:bookmarkStart w:id="0" w:name="_Toc29132"/>
      <w:r>
        <w:rPr>
          <w:rFonts w:cs="宋体" w:asciiTheme="minorEastAsia" w:hAnsiTheme="minorEastAsia" w:eastAsiaTheme="minorEastAsia"/>
          <w:b/>
          <w:sz w:val="32"/>
        </w:rPr>
        <w:br w:type="page" w:clear="all"/>
      </w:r>
      <w:bookmarkStart w:id="1" w:name="_Toc194500856"/>
      <w:r/>
      <w:bookmarkStart w:id="2" w:name="_Toc15540"/>
      <w:r/>
      <w:bookmarkStart w:id="3" w:name="_Toc23744"/>
      <w:r/>
      <w:bookmarkStart w:id="4" w:name="_Toc12542"/>
      <w:r/>
      <w:bookmarkStart w:id="5" w:name="_Toc32546"/>
      <w:r/>
      <w:bookmarkStart w:id="6" w:name="_Toc32235"/>
      <w:r>
        <w:rPr>
          <w:rFonts w:cs="宋体" w:asciiTheme="minorEastAsia" w:hAnsiTheme="minorEastAsia" w:eastAsiaTheme="minorEastAsia"/>
          <w:b/>
          <w:sz w:val="32"/>
        </w:rPr>
        <w:t xml:space="preserve">第一章  投标邀请</w:t>
      </w:r>
      <w:bookmarkEnd w:id="0"/>
      <w:r/>
      <w:bookmarkEnd w:id="1"/>
      <w:r/>
      <w:bookmarkEnd w:id="2"/>
      <w:r/>
      <w:bookmarkEnd w:id="3"/>
      <w:r/>
      <w:bookmarkEnd w:id="4"/>
      <w:r/>
      <w:bookmarkEnd w:id="5"/>
      <w:r/>
      <w:bookmarkEnd w:id="6"/>
      <w:r/>
      <w:r/>
    </w:p>
    <w:p>
      <w:pPr>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rPr>
        <w:t xml:space="preserve">项目概况：</w:t>
      </w:r>
      <w:r>
        <w:rPr>
          <w:rFonts w:hint="eastAsia" w:cs="宋体" w:asciiTheme="minorEastAsia" w:hAnsiTheme="minorEastAsia" w:eastAsiaTheme="minorEastAsia"/>
          <w:sz w:val="24"/>
        </w:rPr>
        <w:t xml:space="preserve">受[</w:t>
      </w:r>
      <w:r>
        <w:rPr>
          <w:rFonts w:hint="eastAsia" w:cs="宋体" w:asciiTheme="minorEastAsia" w:hAnsiTheme="minorEastAsia" w:eastAsiaTheme="minorEastAsia"/>
          <w:b/>
          <w:bCs/>
          <w:sz w:val="24"/>
        </w:rPr>
        <w:t xml:space="preserve">江苏省人民医院</w:t>
      </w:r>
      <w:r>
        <w:rPr>
          <w:rFonts w:hint="eastAsia" w:cs="宋体" w:asciiTheme="minorEastAsia" w:hAnsiTheme="minorEastAsia" w:eastAsiaTheme="minorEastAsia"/>
          <w:sz w:val="24"/>
        </w:rPr>
        <w:t xml:space="preserve">]的委托，江苏苏豪创新科技集团有限公司就[</w:t>
      </w:r>
      <w:r>
        <w:rPr>
          <w:rFonts w:hint="eastAsia" w:cs="宋体" w:asciiTheme="minorEastAsia" w:hAnsiTheme="minorEastAsia" w:eastAsiaTheme="minorEastAsia"/>
          <w:b/>
          <w:bCs/>
          <w:sz w:val="24"/>
        </w:rPr>
        <w:t xml:space="preserve">椎间孔镜系统采购项目</w:t>
      </w:r>
      <w:r>
        <w:rPr>
          <w:rFonts w:hint="eastAsia" w:cs="宋体" w:asciiTheme="minorEastAsia" w:hAnsiTheme="minorEastAsia" w:eastAsiaTheme="minorEastAsia"/>
          <w:b/>
          <w:bCs/>
          <w:sz w:val="24"/>
        </w:rPr>
        <w:tab/>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b/>
          <w:bCs/>
          <w:sz w:val="24"/>
        </w:rPr>
        <w:t xml:space="preserve">JSZC-320000-SOHO-G2026-0009</w:t>
      </w:r>
      <w:r>
        <w:rPr>
          <w:rFonts w:hint="eastAsia" w:cs="宋体" w:asciiTheme="minorEastAsia" w:hAnsiTheme="minorEastAsia" w:eastAsiaTheme="minorEastAsia"/>
          <w:sz w:val="24"/>
        </w:rPr>
        <w:t xml:space="preserve">]进行公开招标采购，欢迎符合条件的供应商投标。本</w:t>
      </w:r>
      <w:r>
        <w:rPr>
          <w:rFonts w:cs="宋体" w:asciiTheme="minorEastAsia" w:hAnsiTheme="minorEastAsia" w:eastAsiaTheme="minorEastAsia"/>
          <w:sz w:val="24"/>
        </w:rPr>
        <w:t xml:space="preserve">项目的潜在投标人应在</w:t>
      </w:r>
      <w:r>
        <w:rPr>
          <w:rFonts w:cs="宋体" w:asciiTheme="minorEastAsia" w:hAnsiTheme="minorEastAsia" w:eastAsiaTheme="minorEastAsia"/>
          <w:sz w:val="24"/>
          <w:u w:val="single"/>
        </w:rPr>
        <w:t xml:space="preserve">“江苏政府采购网”自行免费下载</w:t>
      </w:r>
      <w:r>
        <w:rPr>
          <w:rFonts w:cs="宋体" w:asciiTheme="minorEastAsia" w:hAnsiTheme="minorEastAsia" w:eastAsiaTheme="minorEastAsia"/>
          <w:sz w:val="24"/>
        </w:rPr>
        <w:t xml:space="preserve">招标文件获取招标文件，并于</w:t>
      </w:r>
      <w:r>
        <w:rPr>
          <w:rFonts w:cs="宋体" w:asciiTheme="minorEastAsia" w:hAnsiTheme="minorEastAsia" w:eastAsiaTheme="minorEastAsia"/>
          <w:b/>
          <w:sz w:val="24"/>
          <w:u w:val="single"/>
        </w:rPr>
        <w:t xml:space="preserve">2026年5月7日9时00分</w:t>
      </w:r>
      <w:r>
        <w:rPr>
          <w:rFonts w:cs="宋体" w:asciiTheme="minorEastAsia" w:hAnsiTheme="minorEastAsia" w:eastAsiaTheme="minorEastAsia"/>
          <w:b/>
          <w:sz w:val="24"/>
          <w:u w:val="single"/>
        </w:rPr>
        <w:t xml:space="preserve">（北京时间）</w:t>
      </w:r>
      <w:r>
        <w:rPr>
          <w:rFonts w:cs="宋体" w:asciiTheme="minorEastAsia" w:hAnsiTheme="minorEastAsia" w:eastAsiaTheme="minorEastAsia"/>
          <w:sz w:val="24"/>
        </w:rPr>
        <w:t xml:space="preserve">前递交投标文件。</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7" w:name="_Toc20970"/>
      <w:r/>
      <w:bookmarkStart w:id="8" w:name="_Toc6703"/>
      <w:r/>
      <w:bookmarkStart w:id="9" w:name="_Toc3958"/>
      <w:r/>
      <w:bookmarkStart w:id="10" w:name="_Toc21703"/>
      <w:r/>
      <w:bookmarkStart w:id="11" w:name="_Toc13758"/>
      <w:r/>
      <w:bookmarkStart w:id="12" w:name="_Toc15960"/>
      <w:r/>
      <w:bookmarkStart w:id="13" w:name="_Toc194500857"/>
      <w:r>
        <w:rPr>
          <w:rFonts w:cs="宋体" w:asciiTheme="minorEastAsia" w:hAnsiTheme="minorEastAsia" w:eastAsiaTheme="minorEastAsia"/>
          <w:b/>
          <w:sz w:val="24"/>
        </w:rPr>
        <w:t xml:space="preserve">一、项目基本情况</w:t>
      </w:r>
      <w:bookmarkEnd w:id="7"/>
      <w:r/>
      <w:bookmarkEnd w:id="8"/>
      <w:r/>
      <w:bookmarkEnd w:id="9"/>
      <w:r/>
      <w:bookmarkEnd w:id="10"/>
      <w:r/>
      <w:bookmarkEnd w:id="11"/>
      <w:r/>
      <w:bookmarkEnd w:id="12"/>
      <w:r/>
      <w:bookmarkEnd w:id="13"/>
      <w:r/>
      <w:r/>
    </w:p>
    <w:p>
      <w:pPr>
        <w:ind w:firstLine="480"/>
        <w:rPr>
          <w:rFonts w:asciiTheme="minorEastAsia" w:hAnsiTheme="minorEastAsia" w:eastAsiaTheme="minorEastAsia"/>
        </w:rPr>
      </w:pPr>
      <w:r>
        <w:rPr>
          <w:rFonts w:cs="宋体" w:asciiTheme="minorEastAsia" w:hAnsiTheme="minorEastAsia" w:eastAsiaTheme="minorEastAsia"/>
          <w:sz w:val="24"/>
        </w:rPr>
        <w:t xml:space="preserve">1、项目编号：</w:t>
      </w:r>
      <w:r>
        <w:rPr>
          <w:rFonts w:hint="eastAsia" w:cs="宋体" w:asciiTheme="minorEastAsia" w:hAnsiTheme="minorEastAsia" w:eastAsiaTheme="minorEastAsia"/>
          <w:sz w:val="24"/>
        </w:rPr>
        <w:t xml:space="preserve">JSZC-320000-SOHO-G2026-0009</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代理机构编号（</w:t>
      </w:r>
      <w:r>
        <w:rPr>
          <w:rFonts w:cs="宋体" w:asciiTheme="minorEastAsia" w:hAnsiTheme="minorEastAsia" w:eastAsiaTheme="minorEastAsia"/>
          <w:sz w:val="24"/>
        </w:rPr>
        <w:t xml:space="preserve">1802-264104101HWZ</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2、项目名称：</w:t>
      </w:r>
      <w:r>
        <w:rPr>
          <w:rFonts w:hint="eastAsia" w:cs="宋体" w:asciiTheme="minorEastAsia" w:hAnsiTheme="minorEastAsia" w:eastAsiaTheme="minorEastAsia"/>
          <w:sz w:val="24"/>
        </w:rPr>
        <w:t xml:space="preserve">江苏省人民医院椎间孔镜系统采购项目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3、预算金额：</w:t>
      </w:r>
      <w:r>
        <w:rPr>
          <w:rFonts w:hint="eastAsia" w:cs="宋体" w:asciiTheme="minorEastAsia" w:hAnsiTheme="minorEastAsia" w:eastAsiaTheme="minorEastAsia"/>
          <w:sz w:val="24"/>
        </w:rPr>
        <w:t xml:space="preserve">360万元</w:t>
      </w:r>
      <w:r>
        <w:rPr>
          <w:rFonts w:cs="宋体" w:asciiTheme="minorEastAsia" w:hAnsiTheme="minorEastAsia" w:eastAsiaTheme="minorEastAsia"/>
          <w:sz w:val="24"/>
        </w:rPr>
        <w:t xml:space="preserve">人民币</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4、最高限价：</w:t>
      </w:r>
      <w:r>
        <w:rPr>
          <w:rFonts w:hint="eastAsia" w:cs="宋体" w:asciiTheme="minorEastAsia" w:hAnsiTheme="minorEastAsia" w:eastAsiaTheme="minorEastAsia"/>
          <w:sz w:val="24"/>
        </w:rPr>
        <w:t xml:space="preserve">360万元</w:t>
      </w:r>
      <w:r>
        <w:rPr>
          <w:rFonts w:cs="宋体" w:asciiTheme="minorEastAsia" w:hAnsiTheme="minorEastAsia" w:eastAsiaTheme="minorEastAsia"/>
          <w:sz w:val="24"/>
        </w:rPr>
        <w:t xml:space="preserve">人民币</w:t>
      </w:r>
      <w:r/>
    </w:p>
    <w:p>
      <w:pPr>
        <w:pStyle w:val="879"/>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采购需求</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409"/>
        <w:gridCol w:w="1276"/>
        <w:gridCol w:w="2552"/>
        <w:gridCol w:w="1701"/>
      </w:tblGrid>
      <w:tr>
        <w:trPr>
          <w:jc w:val="cente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bookmarkStart w:id="14" w:name="_Toc2864"/>
            <w:r/>
            <w:bookmarkStart w:id="15" w:name="_Toc25497"/>
            <w:r/>
            <w:bookmarkStart w:id="16" w:name="_Toc28818"/>
            <w:r/>
            <w:bookmarkStart w:id="17" w:name="_Toc15207"/>
            <w:r/>
            <w:bookmarkStart w:id="18" w:name="_Toc12992"/>
            <w:r/>
            <w:bookmarkStart w:id="19" w:name="_Toc13127"/>
            <w:r/>
            <w:bookmarkStart w:id="20" w:name="_Toc194500858"/>
            <w:r>
              <w:rPr>
                <w:rFonts w:hint="eastAsia"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是否接受进口产品投标</w:t>
            </w: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椎间孔镜系统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2套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人民币360万元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接受</w:t>
            </w:r>
            <w:r/>
          </w:p>
        </w:tc>
      </w:tr>
    </w:tbl>
    <w:p>
      <w:pPr>
        <w:pStyle w:val="879"/>
        <w:ind w:firstLine="480"/>
        <w:rPr>
          <w:rFonts w:asciiTheme="minorEastAsia" w:hAnsiTheme="minorEastAsia" w:eastAsiaTheme="minorEastAsia"/>
          <w:bCs/>
          <w:sz w:val="24"/>
        </w:rPr>
      </w:pPr>
      <w:r>
        <w:rPr>
          <w:rFonts w:hint="eastAsia" w:cs="宋体" w:asciiTheme="minorEastAsia" w:hAnsiTheme="minorEastAsia" w:eastAsiaTheme="minorEastAsia"/>
          <w:sz w:val="24"/>
        </w:rPr>
        <w:t xml:space="preserve">6、合同履行期限：合同生效之日起45天内货物运抵甲方指定的机房</w:t>
      </w:r>
      <w:r>
        <w:rPr>
          <w:rFonts w:hint="eastAsia" w:asciiTheme="minorEastAsia" w:hAnsiTheme="minorEastAsia" w:eastAsiaTheme="minorEastAsia"/>
          <w:bCs/>
          <w:sz w:val="24"/>
        </w:rPr>
        <w:t xml:space="preserve">。</w:t>
      </w:r>
      <w:r/>
    </w:p>
    <w:p>
      <w:pPr>
        <w:pStyle w:val="879"/>
        <w:ind w:firstLine="480"/>
        <w:rPr>
          <w:rFonts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w:t>
      </w:r>
      <w:r>
        <w:rPr>
          <w:rFonts w:hint="eastAsia" w:asciiTheme="minorEastAsia" w:hAnsiTheme="minorEastAsia" w:eastAsiaTheme="minorEastAsia"/>
          <w:bCs/>
          <w:sz w:val="24"/>
        </w:rPr>
        <w:t xml:space="preserve">本项目不接受联合体投标。</w:t>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二、申请人的资格要求</w:t>
      </w:r>
      <w:bookmarkEnd w:id="14"/>
      <w:r/>
      <w:bookmarkEnd w:id="15"/>
      <w:r/>
      <w:bookmarkEnd w:id="16"/>
      <w:r/>
      <w:bookmarkEnd w:id="17"/>
      <w:r/>
      <w:bookmarkEnd w:id="18"/>
      <w:r/>
      <w:bookmarkEnd w:id="19"/>
      <w:r/>
      <w:bookmarkEnd w:id="20"/>
      <w:r/>
      <w:r/>
    </w:p>
    <w:p>
      <w:pPr>
        <w:spacing w:line="360" w:lineRule="auto"/>
        <w:rPr>
          <w:rFonts w:cs="Arial" w:asciiTheme="minorEastAsia" w:hAnsiTheme="minorEastAsia" w:eastAsiaTheme="minorEastAsia"/>
          <w:b/>
          <w:sz w:val="24"/>
        </w:rPr>
      </w:pPr>
      <w:r/>
      <w:bookmarkStart w:id="21" w:name="_Hlk142317588"/>
      <w:r/>
      <w:bookmarkStart w:id="22" w:name="_Toc18420"/>
      <w:r/>
      <w:bookmarkStart w:id="23" w:name="_Toc13350"/>
      <w:r/>
      <w:bookmarkStart w:id="24" w:name="_Toc30744"/>
      <w:r/>
      <w:bookmarkStart w:id="25" w:name="_Toc20002"/>
      <w:r/>
      <w:bookmarkStart w:id="26" w:name="_Toc2540"/>
      <w:r>
        <w:rPr>
          <w:rFonts w:hint="eastAsia" w:cs="Arial" w:asciiTheme="minorEastAsia" w:hAnsiTheme="minorEastAsia" w:eastAsiaTheme="minorEastAsia"/>
          <w:sz w:val="24"/>
        </w:rPr>
        <w:t xml:space="preserve">（一）满足《中华人民共和国政府采购法》第二十二条规定；</w:t>
      </w:r>
      <w:r/>
    </w:p>
    <w:p>
      <w:pPr>
        <w:ind w:firstLine="480"/>
        <w:spacing w:line="360" w:lineRule="auto"/>
        <w:rPr>
          <w:rFonts w:cs="Arial" w:asciiTheme="minorEastAsia" w:hAnsiTheme="minorEastAsia" w:eastAsiaTheme="minorEastAsia"/>
          <w:b/>
          <w:sz w:val="24"/>
        </w:rPr>
      </w:pPr>
      <w:r>
        <w:rPr>
          <w:rFonts w:hint="eastAsia" w:cs="宋体" w:asciiTheme="minorEastAsia" w:hAnsiTheme="minorEastAsia" w:eastAsiaTheme="minorEastAsia"/>
          <w:bCs/>
          <w:sz w:val="24"/>
        </w:rPr>
        <w:t xml:space="preserve">1.</w:t>
      </w:r>
      <w:bookmarkStart w:id="27" w:name="OLE_LINK5"/>
      <w:r>
        <w:rPr>
          <w:rFonts w:hint="eastAsia" w:cs="宋体" w:asciiTheme="minorEastAsia" w:hAnsiTheme="minorEastAsia" w:eastAsiaTheme="minorEastAsia"/>
          <w:bCs/>
          <w:sz w:val="24"/>
        </w:rPr>
        <w:t xml:space="preserve">具有独立承</w:t>
      </w:r>
      <w:r>
        <w:rPr>
          <w:rFonts w:hint="eastAsia" w:cs="Arial" w:asciiTheme="minorEastAsia" w:hAnsiTheme="minorEastAsia" w:eastAsiaTheme="minorEastAsia"/>
          <w:sz w:val="24"/>
        </w:rPr>
        <w:t xml:space="preserve">担民事责任的能力（法人或者其他组织的营业执照等证明文件，自然人的身份证明）</w:t>
      </w:r>
      <w:bookmarkEnd w:id="27"/>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bookmarkStart w:id="28" w:name="OLE_LINK6"/>
      <w:r>
        <w:rPr>
          <w:rFonts w:hint="eastAsia" w:cs="Arial" w:asciiTheme="minorEastAsia" w:hAnsiTheme="minorEastAsia" w:eastAsiaTheme="minorEastAsia"/>
          <w:sz w:val="24"/>
        </w:rPr>
        <w:t xml:space="preserve">具有良好的商业信誉和健全的财务会计制度（提供2024年度或者2025年度的财务报告，至少包含资产负债表、利润表；或投标截止时间前六个月内银行出具的资信证明；成立不满一年无须提供）</w:t>
      </w:r>
      <w:bookmarkEnd w:id="28"/>
      <w:r>
        <w:rPr>
          <w:rFonts w:hint="eastAsia" w:cs="Arial"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w:t>
      </w:r>
      <w:bookmarkStart w:id="29" w:name="OLE_LINK7"/>
      <w:r>
        <w:rPr>
          <w:rFonts w:hint="eastAsia" w:cs="宋体" w:asciiTheme="minorEastAsia" w:hAnsiTheme="minorEastAsia" w:eastAsiaTheme="minorEastAsia"/>
          <w:bCs/>
          <w:sz w:val="24"/>
        </w:rPr>
        <w:t xml:space="preserve">具有履行合同所必需的设备和专业技术能力（提供书面声明）</w:t>
      </w:r>
      <w:bookmarkEnd w:id="29"/>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4.</w:t>
      </w:r>
      <w:bookmarkStart w:id="30" w:name="OLE_LINK8"/>
      <w:r>
        <w:rPr>
          <w:rFonts w:hint="eastAsia" w:cs="宋体" w:asciiTheme="minorEastAsia" w:hAnsiTheme="minorEastAsia" w:eastAsiaTheme="minorEastAsia"/>
          <w:bCs/>
          <w:sz w:val="24"/>
        </w:rPr>
        <w:t xml:space="preserve">有依法缴纳税收和社会保障资金的良好记录（参加本次政府采购活动前6个月内至少一个月缴纳税收及缴纳社会保障资金的证明材料，投标人依法享受缓缴、免缴税收、社会保</w:t>
      </w:r>
      <w:r>
        <w:rPr>
          <w:rFonts w:hint="eastAsia" w:cs="宋体" w:asciiTheme="minorEastAsia" w:hAnsiTheme="minorEastAsia" w:eastAsiaTheme="minorEastAsia"/>
          <w:bCs/>
          <w:sz w:val="24"/>
        </w:rPr>
        <w:t xml:space="preserve">障资金的，需提供证明材料）</w:t>
      </w:r>
      <w:bookmarkEnd w:id="30"/>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5.</w:t>
      </w:r>
      <w:bookmarkStart w:id="31" w:name="OLE_LINK11"/>
      <w:r>
        <w:rPr>
          <w:rFonts w:hint="eastAsia" w:cs="宋体" w:asciiTheme="minorEastAsia" w:hAnsiTheme="minorEastAsia" w:eastAsiaTheme="minorEastAsia"/>
          <w:bCs/>
          <w:sz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sz w:val="24"/>
        </w:rPr>
        <w:t xml:space="preserve">。</w:t>
      </w:r>
      <w:r/>
    </w:p>
    <w:p>
      <w:pPr>
        <w:pStyle w:val="881"/>
        <w:ind w:firstLine="480"/>
        <w:rPr>
          <w:rFonts w:cs="宋体" w:asciiTheme="minorEastAsia" w:hAnsiTheme="minorEastAsia" w:eastAsiaTheme="minorEastAsia"/>
          <w:b/>
          <w:bCs/>
        </w:rPr>
      </w:pPr>
      <w:r>
        <w:rPr>
          <w:rFonts w:hint="eastAsia" w:cs="宋体" w:asciiTheme="minorEastAsia" w:hAnsiTheme="minorEastAsia" w:eastAsiaTheme="minorEastAsia"/>
          <w:bCs/>
        </w:rPr>
        <w:t xml:space="preserve">6.法律、行政法规规定的其他条件。</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（二）落实政府采购政策需满足的资格要求：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2" w:name="OLE_LINK12"/>
      <w:r>
        <w:rPr>
          <w:rFonts w:hint="eastAsia" w:cs="Arial" w:asciiTheme="minorEastAsia" w:hAnsiTheme="minorEastAsia" w:eastAsiaTheme="minorEastAsia"/>
          <w:sz w:val="24"/>
        </w:rPr>
        <w:t xml:space="preserve">本项目属于货物类采购。根据《政府采购促进中小企业发展管理办法》（财库[2020]46号）、</w:t>
      </w:r>
      <w:r>
        <w:rPr>
          <w:rFonts w:hint="eastAsia" w:asciiTheme="minorEastAsia" w:hAnsiTheme="minorEastAsia" w:eastAsiaTheme="minorEastAsia"/>
          <w:bCs/>
          <w:sz w:val="24"/>
        </w:rPr>
        <w:t xml:space="preserve">(苏</w:t>
      </w:r>
      <w:r>
        <w:rPr>
          <w:rFonts w:hint="eastAsia" w:asciiTheme="minorEastAsia" w:hAnsiTheme="minorEastAsia" w:eastAsiaTheme="minorEastAsia"/>
          <w:bCs/>
          <w:sz w:val="24"/>
        </w:rPr>
        <w:t xml:space="preserve">财购[</w:t>
      </w:r>
      <w:r>
        <w:rPr>
          <w:rFonts w:hint="eastAsia" w:asciiTheme="minorEastAsia" w:hAnsiTheme="minorEastAsia" w:eastAsiaTheme="minorEastAsia"/>
          <w:bCs/>
          <w:sz w:val="24"/>
        </w:rPr>
        <w:t xml:space="preserve">20</w:t>
      </w:r>
      <w:r>
        <w:rPr>
          <w:rFonts w:asciiTheme="minorEastAsia" w:hAnsiTheme="minorEastAsia" w:eastAsiaTheme="minorEastAsia"/>
          <w:bCs/>
          <w:sz w:val="24"/>
        </w:rPr>
        <w:t xml:space="preserve">22</w:t>
      </w:r>
      <w:r>
        <w:rPr>
          <w:rFonts w:hint="eastAsia" w:asciiTheme="minorEastAsia" w:hAnsiTheme="minorEastAsia" w:eastAsiaTheme="minorEastAsia"/>
          <w:bCs/>
          <w:sz w:val="24"/>
        </w:rPr>
        <w:t xml:space="preserve">]45号)</w:t>
      </w:r>
      <w:r>
        <w:rPr>
          <w:rFonts w:hint="eastAsia" w:cs="Arial" w:asciiTheme="minorEastAsia" w:hAnsiTheme="minorEastAsia" w:eastAsiaTheme="minorEastAsia"/>
          <w:sz w:val="24"/>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2"/>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2.中小</w:t>
      </w:r>
      <w:r>
        <w:rPr>
          <w:rFonts w:hint="eastAsia" w:cs="Arial" w:asciiTheme="minorEastAsia" w:hAnsiTheme="minorEastAsia" w:eastAsiaTheme="minorEastAsia"/>
          <w:sz w:val="24"/>
        </w:rPr>
        <w:t xml:space="preserve">微企业</w:t>
      </w:r>
      <w:r>
        <w:rPr>
          <w:rFonts w:hint="eastAsia" w:cs="Arial" w:asciiTheme="minorEastAsia" w:hAnsiTheme="minorEastAsia" w:eastAsiaTheme="minorEastAsia"/>
          <w:sz w:val="24"/>
        </w:rPr>
        <w:t xml:space="preserve">划型标准请对照《关于印发中小企业划型标准规定的通知》（工信部联企业〔2011〕300号）（详见格式）。本项目采购标的对应的行业为</w:t>
      </w:r>
      <w:r>
        <w:rPr>
          <w:rFonts w:hint="eastAsia" w:cs="Arial" w:asciiTheme="minorEastAsia" w:hAnsiTheme="minorEastAsia" w:eastAsiaTheme="minorEastAsia"/>
          <w:sz w:val="24"/>
          <w:u w:val="single"/>
        </w:rPr>
        <w:t xml:space="preserve">工业</w:t>
      </w:r>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（三）本项目的特定资格要求：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3" w:name="OLE_LINK14"/>
      <w:r>
        <w:rPr>
          <w:rFonts w:hint="eastAsia" w:cs="Arial" w:asciiTheme="minorEastAsia" w:hAnsiTheme="minorEastAsia" w:eastAsiaTheme="minorEastAsia"/>
          <w:sz w:val="24"/>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w:t>
      </w:r>
      <w:r>
        <w:rPr>
          <w:rFonts w:hint="eastAsia" w:cs="Arial" w:asciiTheme="minorEastAsia" w:hAnsiTheme="minorEastAsia" w:eastAsiaTheme="minorEastAsia"/>
          <w:sz w:val="24"/>
        </w:rPr>
        <w:t xml:space="preserve">如若因</w:t>
      </w:r>
      <w:r>
        <w:rPr>
          <w:rFonts w:hint="eastAsia" w:cs="Arial" w:asciiTheme="minorEastAsia" w:hAnsiTheme="minorEastAsia" w:eastAsiaTheme="minorEastAsia"/>
          <w:sz w:val="24"/>
        </w:rPr>
        <w:t xml:space="preserve">成立时间未进行缴纳社会保障资金的，需提供说明，如被授权人为退休人员，需提供与投标人的劳动关系证明，包括但不限于返聘合同、待遇发放证明等）</w:t>
      </w:r>
      <w:bookmarkEnd w:id="33"/>
      <w:r>
        <w:rPr>
          <w:rFonts w:cs="Arial" w:asciiTheme="minorEastAsia" w:hAnsiTheme="minorEastAsia" w:eastAsiaTheme="minorEastAsia"/>
          <w:sz w:val="24"/>
        </w:rPr>
        <w:t xml:space="preserve">。</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w:t>
      </w:r>
      <w:r>
        <w:rPr>
          <w:rFonts w:hint="eastAsia" w:cs="Arial" w:asciiTheme="minorEastAsia" w:hAnsiTheme="minorEastAsia" w:eastAsiaTheme="minorEastAsia"/>
          <w:szCs w:val="21"/>
        </w:rPr>
        <w:t xml:space="preserve">扫描件并加盖</w:t>
      </w:r>
      <w:r>
        <w:rPr>
          <w:rFonts w:hint="eastAsia" w:cs="Arial" w:asciiTheme="minorEastAsia" w:hAnsiTheme="minorEastAsia" w:eastAsiaTheme="minorEastAsia"/>
          <w:szCs w:val="21"/>
        </w:rPr>
        <w:t xml:space="preserve">电子公章。</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.1投标人须提供有效的医疗器械产品注册证或产品备案凭证，投标时需提供</w:t>
      </w:r>
      <w:r>
        <w:rPr>
          <w:rFonts w:hint="eastAsia" w:cs="Arial" w:asciiTheme="minorEastAsia" w:hAnsiTheme="minorEastAsia" w:eastAsiaTheme="minorEastAsia"/>
          <w:szCs w:val="21"/>
        </w:rPr>
        <w:t xml:space="preserve">扫描件并加盖</w:t>
      </w:r>
      <w:r>
        <w:rPr>
          <w:rFonts w:hint="eastAsia" w:cs="Arial" w:asciiTheme="minorEastAsia" w:hAnsiTheme="minorEastAsia" w:eastAsiaTheme="minorEastAsia"/>
          <w:szCs w:val="21"/>
        </w:rPr>
        <w:t xml:space="preserve">电子公章；</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w:t>
      </w:r>
      <w:r>
        <w:rPr>
          <w:rFonts w:hint="eastAsia" w:cs="Arial" w:asciiTheme="minorEastAsia" w:hAnsiTheme="minorEastAsia" w:eastAsiaTheme="minorEastAsia"/>
          <w:szCs w:val="21"/>
        </w:rPr>
        <w:t xml:space="preserve">扫描件并加盖</w:t>
      </w:r>
      <w:r>
        <w:rPr>
          <w:rFonts w:hint="eastAsia" w:cs="Arial" w:asciiTheme="minorEastAsia" w:hAnsiTheme="minorEastAsia" w:eastAsiaTheme="minorEastAsia"/>
          <w:szCs w:val="21"/>
        </w:rPr>
        <w:t xml:space="preserve">电子公章；</w:t>
      </w:r>
      <w:r/>
    </w:p>
    <w:p>
      <w:pPr>
        <w:pStyle w:val="881"/>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w:t>
      </w:r>
      <w:r>
        <w:rPr>
          <w:rFonts w:hint="eastAsia" w:cs="Arial" w:asciiTheme="minorEastAsia" w:hAnsiTheme="minorEastAsia" w:eastAsiaTheme="minorEastAsia"/>
          <w:szCs w:val="21"/>
        </w:rPr>
        <w:t xml:space="preserve">扫描件并加盖</w:t>
      </w:r>
      <w:r>
        <w:rPr>
          <w:rFonts w:hint="eastAsia" w:cs="Arial" w:asciiTheme="minorEastAsia" w:hAnsiTheme="minorEastAsia" w:eastAsiaTheme="minorEastAsia"/>
          <w:szCs w:val="21"/>
        </w:rPr>
        <w:t xml:space="preserve">电子公章。</w:t>
      </w:r>
      <w:r/>
    </w:p>
    <w:p>
      <w:pPr>
        <w:pStyle w:val="881"/>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w:t>
      </w:r>
      <w:r>
        <w:rPr>
          <w:rFonts w:hint="eastAsia" w:ascii="宋体" w:hAnsi="宋体" w:cs="Arial"/>
          <w:szCs w:val="21"/>
        </w:rPr>
        <w:t xml:space="preserve">本设备</w:t>
      </w:r>
      <w:r>
        <w:rPr>
          <w:rFonts w:hint="eastAsia" w:ascii="宋体" w:hAnsi="宋体" w:cs="Arial"/>
          <w:szCs w:val="21"/>
        </w:rPr>
        <w:t xml:space="preserve">不属于医疗器械的承诺书）并加盖公章。</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.本项目接受进口产品投标，如果投标产品为进口产品，且投标人为代理商的，需提供如下授权文件之一：</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.1制造商出具的授权书并加盖公章，格式自拟。</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.2制造商的国内控股子公司或代理人出具的授权书并加盖公章，格式自拟。</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.3制造商对授权的区域代理商出具的授权书及该区域代理商给投标人出具的授权书。</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.4投标人取得的产品代理证书。</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.拒绝下述供应商参加本次采购活动的情形：</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.1.供应商单位负责人为同一人或者存在直接控股、管理关系的不同供应商，不得参加同一合同项下的政府采购活动。</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.2.凡为采购项目提供整体设计、规范编制或者项目管理、监理、检测等服务的供应商，不得再参加本项目的采购活动。</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5</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拒绝列入失信被执行人、重大税收违法案件当事人名单、政府采购严重违法失信行为记录名单的供应商参与政府采购活动。</w:t>
      </w:r>
      <w:bookmarkEnd w:id="21"/>
      <w:r/>
    </w:p>
    <w:p>
      <w:pPr>
        <w:ind w:firstLine="482"/>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82"/>
        <w:rPr>
          <w:rFonts w:asciiTheme="minorEastAsia" w:hAnsiTheme="minorEastAsia" w:eastAsiaTheme="minorEastAsia"/>
        </w:rPr>
        <w:outlineLvl w:val="1"/>
      </w:pPr>
      <w:r/>
      <w:bookmarkStart w:id="34" w:name="_Toc194500859"/>
      <w:r>
        <w:rPr>
          <w:rFonts w:cs="宋体" w:asciiTheme="minorEastAsia" w:hAnsiTheme="minorEastAsia" w:eastAsiaTheme="minorEastAsia"/>
          <w:b/>
          <w:sz w:val="24"/>
        </w:rPr>
        <w:t xml:space="preserve">三、获取招标文件</w:t>
      </w:r>
      <w:bookmarkEnd w:id="22"/>
      <w:r/>
      <w:bookmarkEnd w:id="23"/>
      <w:r/>
      <w:bookmarkEnd w:id="24"/>
      <w:r/>
      <w:bookmarkEnd w:id="25"/>
      <w:r/>
      <w:bookmarkEnd w:id="26"/>
      <w:r/>
      <w:bookmarkEnd w:id="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1、时间：自招标文件公告发布之日起</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个工作日</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2、方式：在“江苏政府采购网”自行免费下载招标文件。</w:t>
      </w:r>
      <w:r/>
    </w:p>
    <w:p>
      <w:pPr>
        <w:ind w:firstLine="482"/>
        <w:rPr>
          <w:rFonts w:cs="宋体" w:asciiTheme="minorEastAsia" w:hAnsiTheme="minorEastAsia" w:eastAsiaTheme="minorEastAsia"/>
          <w:sz w:val="24"/>
        </w:rPr>
        <w:outlineLvl w:val="1"/>
      </w:pPr>
      <w:r/>
      <w:bookmarkStart w:id="35" w:name="_Toc24030"/>
      <w:r/>
      <w:bookmarkStart w:id="36" w:name="_Toc10585"/>
      <w:r/>
      <w:bookmarkStart w:id="37" w:name="_Toc18367"/>
      <w:r/>
      <w:bookmarkStart w:id="38" w:name="_Toc194500860"/>
      <w:r/>
      <w:bookmarkStart w:id="39" w:name="_Toc14803"/>
      <w:r/>
      <w:bookmarkStart w:id="40" w:name="_Toc6894"/>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四、提交投标文件截止时间、开标时间和地点</w:t>
      </w:r>
      <w:bookmarkEnd w:id="35"/>
      <w:r/>
      <w:bookmarkEnd w:id="36"/>
      <w:r/>
      <w:bookmarkEnd w:id="37"/>
      <w:r/>
      <w:bookmarkEnd w:id="38"/>
      <w:r/>
      <w:bookmarkEnd w:id="39"/>
      <w:r/>
      <w:bookmarkEnd w:id="40"/>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投标文件接收截止时间（北京时间）：</w:t>
      </w:r>
      <w:r>
        <w:rPr>
          <w:rFonts w:cs="宋体" w:asciiTheme="minorEastAsia" w:hAnsiTheme="minorEastAsia" w:eastAsiaTheme="minorEastAsia"/>
          <w:sz w:val="24"/>
          <w:u w:val="single"/>
        </w:rPr>
        <w:t xml:space="preserve">2026年5月7日9时00分</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地点：“苏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”政府采购交易系统网上开标大厅。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41" w:name="_Toc3553"/>
      <w:r/>
      <w:bookmarkStart w:id="42" w:name="_Toc25441"/>
      <w:r/>
      <w:bookmarkStart w:id="43" w:name="_Toc31344"/>
      <w:r/>
      <w:bookmarkStart w:id="44" w:name="_Toc23035"/>
      <w:r/>
      <w:bookmarkStart w:id="45" w:name="_Toc18059"/>
      <w:r/>
      <w:bookmarkStart w:id="46" w:name="_Toc194500861"/>
      <w:r>
        <w:rPr>
          <w:rFonts w:cs="宋体" w:asciiTheme="minorEastAsia" w:hAnsiTheme="minorEastAsia" w:eastAsiaTheme="minorEastAsia"/>
          <w:b/>
          <w:sz w:val="24"/>
        </w:rPr>
        <w:t xml:space="preserve">五、公告期限</w:t>
      </w:r>
      <w:bookmarkEnd w:id="41"/>
      <w:r/>
      <w:bookmarkEnd w:id="42"/>
      <w:r/>
      <w:bookmarkEnd w:id="43"/>
      <w:r/>
      <w:bookmarkEnd w:id="44"/>
      <w:r/>
      <w:bookmarkEnd w:id="45"/>
      <w:r/>
      <w:bookmarkEnd w:id="46"/>
      <w:r/>
      <w:r/>
    </w:p>
    <w:p>
      <w:pPr>
        <w:ind w:firstLine="480"/>
        <w:rPr>
          <w:rFonts w:asciiTheme="minorEastAsia" w:hAnsiTheme="minorEastAsia" w:eastAsiaTheme="minorEastAsia"/>
        </w:rPr>
      </w:pPr>
      <w:r>
        <w:rPr>
          <w:rFonts w:cs="宋体" w:asciiTheme="minorEastAsia" w:hAnsiTheme="minorEastAsia" w:eastAsiaTheme="minorEastAsia"/>
          <w:sz w:val="24"/>
        </w:rPr>
        <w:t xml:space="preserve">招标公告及招标文件公告期限为自本公告发布之日起</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47" w:name="_Toc15186"/>
      <w:r/>
      <w:bookmarkStart w:id="48" w:name="_Toc21684"/>
      <w:r/>
      <w:bookmarkStart w:id="49" w:name="_Toc9343"/>
      <w:r/>
      <w:bookmarkStart w:id="50" w:name="_Toc27337"/>
      <w:r/>
      <w:bookmarkStart w:id="51" w:name="_Toc194500862"/>
      <w:r/>
      <w:bookmarkStart w:id="52" w:name="_Toc9002"/>
      <w:r>
        <w:rPr>
          <w:rFonts w:cs="宋体" w:asciiTheme="minorEastAsia" w:hAnsiTheme="minorEastAsia" w:eastAsiaTheme="minorEastAsia"/>
          <w:b/>
          <w:sz w:val="24"/>
        </w:rPr>
        <w:t xml:space="preserve">六、其他补充事宜</w:t>
      </w:r>
      <w:bookmarkEnd w:id="47"/>
      <w:r/>
      <w:bookmarkEnd w:id="48"/>
      <w:r/>
      <w:bookmarkEnd w:id="49"/>
      <w:r/>
      <w:bookmarkEnd w:id="50"/>
      <w:r/>
      <w:bookmarkEnd w:id="51"/>
      <w:r/>
      <w:bookmarkEnd w:id="52"/>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1、本次采购采用“政府采购管理交易系统（苏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）”，招标、投标、评标和中标结果发布全程电子化，开标方式为不见面开标。供应商应当按照《“苏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”系统供应商操作手册》参加投标活动。如供应商未按要求操作，由此所产生的风险由供应商自行承担。 </w:t>
      </w:r>
      <w:r/>
    </w:p>
    <w:p>
      <w:pPr>
        <w:ind w:firstLine="480"/>
        <w:spacing w:before="161"/>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供应商如确定参加投标，可自行下载采购文件及有关资料，按照《操作手册》进行注册，领取CA和办理</w:t>
      </w:r>
      <w:r>
        <w:rPr>
          <w:rFonts w:cs="宋体" w:asciiTheme="minorEastAsia" w:hAnsiTheme="minorEastAsia" w:eastAsiaTheme="minorEastAsia"/>
          <w:sz w:val="24"/>
        </w:rPr>
        <w:t xml:space="preserve">电子公章</w:t>
      </w:r>
      <w:r>
        <w:rPr>
          <w:rFonts w:cs="宋体" w:asciiTheme="minorEastAsia" w:hAnsiTheme="minorEastAsia" w:eastAsiaTheme="minorEastAsia"/>
          <w:sz w:val="24"/>
        </w:rPr>
        <w:t xml:space="preserve">，并按《操作手册》要求制作、上传电子投标文件。</w:t>
      </w:r>
      <w:r/>
    </w:p>
    <w:p>
      <w:pPr>
        <w:pStyle w:val="915"/>
        <w:ind w:left="0" w:firstLine="48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bookmarkStart w:id="53" w:name="_Hlk142317669"/>
      <w:r>
        <w:rPr>
          <w:rFonts w:hint="eastAsia" w:cs="宋体" w:asciiTheme="minorEastAsia" w:hAnsiTheme="minorEastAsia" w:eastAsiaTheme="minorEastAsia"/>
          <w:sz w:val="24"/>
          <w:szCs w:val="24"/>
        </w:rPr>
        <w:t xml:space="preserve">本项目支持节能环保产品 (财库[2019]9号)、(财库[2019]1</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号)、(财库[2019]1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号)；支持国办发〔2025〕34号、支持中小</w:t>
      </w:r>
      <w:r>
        <w:rPr>
          <w:rFonts w:hint="eastAsia" w:cs="宋体" w:asciiTheme="minorEastAsia" w:hAnsiTheme="minorEastAsia" w:eastAsiaTheme="minorEastAsia"/>
          <w:sz w:val="24"/>
          <w:szCs w:val="24"/>
        </w:rPr>
        <w:t xml:space="preserve">微企业</w:t>
      </w:r>
      <w:r>
        <w:rPr>
          <w:rFonts w:hint="eastAsia" w:cs="宋体" w:asciiTheme="minorEastAsia" w:hAnsiTheme="minorEastAsia" w:eastAsiaTheme="minorEastAsia"/>
          <w:sz w:val="24"/>
          <w:szCs w:val="24"/>
        </w:rPr>
        <w:t xml:space="preserve">(财库[2020]46号)、(苏</w:t>
      </w:r>
      <w:r>
        <w:rPr>
          <w:rFonts w:hint="eastAsia" w:cs="宋体" w:asciiTheme="minorEastAsia" w:hAnsiTheme="minorEastAsia" w:eastAsiaTheme="minorEastAsia"/>
          <w:sz w:val="24"/>
          <w:szCs w:val="24"/>
        </w:rPr>
        <w:t xml:space="preserve">财购[</w:t>
      </w:r>
      <w:r>
        <w:rPr>
          <w:rFonts w:hint="eastAsia" w:cs="宋体" w:asciiTheme="minorEastAsia" w:hAnsiTheme="minorEastAsia" w:eastAsiaTheme="minorEastAsia"/>
          <w:sz w:val="24"/>
          <w:szCs w:val="24"/>
        </w:rPr>
        <w:t xml:space="preserve">20</w:t>
      </w:r>
      <w:r>
        <w:rPr>
          <w:rFonts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]45号)、(工信部联企业[2011]300号)；支持监狱企业(财库[2014]</w:t>
      </w:r>
      <w:r>
        <w:rPr>
          <w:rFonts w:cs="宋体" w:asciiTheme="minorEastAsia" w:hAnsiTheme="minorEastAsia" w:eastAsiaTheme="minorEastAsia"/>
          <w:sz w:val="24"/>
          <w:szCs w:val="24"/>
        </w:rPr>
        <w:t xml:space="preserve">68</w:t>
      </w:r>
      <w:r>
        <w:rPr>
          <w:rFonts w:hint="eastAsia" w:cs="宋体" w:asciiTheme="minorEastAsia" w:hAnsiTheme="minorEastAsia" w:eastAsiaTheme="minorEastAsia"/>
          <w:sz w:val="24"/>
          <w:szCs w:val="24"/>
        </w:rPr>
        <w:t xml:space="preserve">号)；促进残疾人就业(财库[2017]141号)</w:t>
      </w:r>
      <w:bookmarkEnd w:id="53"/>
      <w:r>
        <w:rPr>
          <w:rFonts w:hint="eastAsia" w:cs="宋体" w:asciiTheme="minorEastAsia" w:hAnsiTheme="minorEastAsia" w:eastAsiaTheme="minorEastAsia"/>
          <w:sz w:val="24"/>
          <w:szCs w:val="24"/>
        </w:rPr>
        <w:t xml:space="preserve">等政策。</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、本项目不收取</w:t>
      </w:r>
      <w:r>
        <w:rPr>
          <w:rFonts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保证金。</w:t>
      </w:r>
      <w:r/>
    </w:p>
    <w:p>
      <w:pPr>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54" w:name="_Toc21271"/>
      <w:r/>
      <w:bookmarkStart w:id="55" w:name="_Toc21883"/>
      <w:r/>
      <w:bookmarkStart w:id="56" w:name="_Toc24108"/>
      <w:r/>
      <w:bookmarkStart w:id="57" w:name="_Toc194500863"/>
      <w:r/>
      <w:bookmarkStart w:id="58" w:name="_Toc941"/>
      <w:r>
        <w:rPr>
          <w:rFonts w:cs="宋体" w:asciiTheme="minorEastAsia" w:hAnsiTheme="minorEastAsia" w:eastAsiaTheme="minorEastAsia"/>
          <w:b/>
          <w:sz w:val="24"/>
        </w:rPr>
        <w:t xml:space="preserve">七、对本次招标提出询问，请按以下方式联系</w:t>
      </w:r>
      <w:bookmarkEnd w:id="54"/>
      <w:r/>
      <w:bookmarkEnd w:id="55"/>
      <w:r/>
      <w:bookmarkEnd w:id="56"/>
      <w:r/>
      <w:bookmarkEnd w:id="57"/>
      <w:r/>
      <w:bookmarkEnd w:id="58"/>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1、采购人信息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地址：南京市鼓楼区广州路300号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联系人：陶老师</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联系方式：025- 68306497</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2、采购代理机构信息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地址：南京市雨花台区软件大道</w:t>
      </w:r>
      <w:r>
        <w:rPr>
          <w:rFonts w:hint="eastAsia" w:cs="宋体" w:asciiTheme="minorEastAsia" w:hAnsiTheme="minorEastAsia" w:eastAsiaTheme="minorEastAsia"/>
          <w:sz w:val="24"/>
        </w:rPr>
        <w:t xml:space="preserve">21号苏豪国际</w:t>
      </w:r>
      <w:r>
        <w:rPr>
          <w:rFonts w:hint="eastAsia" w:cs="宋体" w:asciiTheme="minorEastAsia" w:hAnsiTheme="minorEastAsia" w:eastAsiaTheme="minorEastAsia"/>
          <w:sz w:val="24"/>
        </w:rPr>
        <w:t xml:space="preserve">广场北园（</w:t>
      </w:r>
      <w:r>
        <w:rPr>
          <w:rFonts w:hint="eastAsia" w:cs="宋体" w:asciiTheme="minorEastAsia" w:hAnsiTheme="minorEastAsia" w:eastAsiaTheme="minorEastAsia"/>
          <w:sz w:val="24"/>
        </w:rPr>
        <w:t xml:space="preserve">原舜天</w:t>
      </w:r>
      <w:r>
        <w:rPr>
          <w:rFonts w:hint="eastAsia" w:cs="宋体" w:asciiTheme="minorEastAsia" w:hAnsiTheme="minorEastAsia" w:eastAsiaTheme="minorEastAsia"/>
          <w:sz w:val="24"/>
        </w:rPr>
        <w:t xml:space="preserve">集团）C座617室</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联系人：吴志叶、黄琳霖、朱笑青（标</w:t>
      </w:r>
      <w:r>
        <w:rPr>
          <w:rFonts w:hint="eastAsia" w:cs="宋体" w:asciiTheme="minorEastAsia" w:hAnsiTheme="minorEastAsia" w:eastAsiaTheme="minorEastAsia"/>
          <w:sz w:val="24"/>
        </w:rPr>
        <w:t xml:space="preserve">务</w:t>
      </w:r>
      <w:r>
        <w:rPr>
          <w:rFonts w:hint="eastAsia" w:cs="宋体" w:asciiTheme="minorEastAsia" w:hAnsiTheme="minorEastAsia" w:eastAsiaTheme="minorEastAsia"/>
          <w:sz w:val="24"/>
        </w:rPr>
        <w:t xml:space="preserve">助理）</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邮政编码：210012</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3、项目联系方式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rPr>
          <w:rFonts w:hint="eastAsia" w:cs="宋体" w:asciiTheme="minorEastAsia" w:hAnsiTheme="minorEastAsia" w:eastAsiaTheme="minorEastAsia"/>
          <w:sz w:val="24"/>
        </w:rPr>
        <w:t xml:space="preserve">张宁珊、</w:t>
      </w:r>
      <w:r>
        <w:rPr>
          <w:rFonts w:hint="eastAsia" w:cs="宋体" w:asciiTheme="minorEastAsia" w:hAnsiTheme="minorEastAsia" w:eastAsiaTheme="minorEastAsia"/>
          <w:sz w:val="24"/>
        </w:rPr>
        <w:t xml:space="preserve">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邮政编码：210012</w:t>
      </w:r>
      <w:r/>
    </w:p>
    <w:p>
      <w:pPr>
        <w:ind w:firstLine="482"/>
        <w:rPr>
          <w:rFonts w:asciiTheme="minorEastAsia" w:hAnsiTheme="minorEastAsia" w:eastAsiaTheme="minorEastAsia"/>
        </w:rPr>
        <w:outlineLvl w:val="1"/>
      </w:pPr>
      <w:r/>
      <w:bookmarkStart w:id="59" w:name="_Toc194500864"/>
      <w:r/>
      <w:bookmarkStart w:id="60" w:name="_Toc31111"/>
      <w:r/>
      <w:bookmarkStart w:id="61" w:name="_Toc18322"/>
      <w:r/>
      <w:bookmarkStart w:id="62" w:name="_Toc1753"/>
      <w:r/>
      <w:bookmarkStart w:id="63" w:name="_Toc12578"/>
      <w:r>
        <w:rPr>
          <w:rFonts w:cs="宋体" w:asciiTheme="minorEastAsia" w:hAnsiTheme="minorEastAsia" w:eastAsiaTheme="minorEastAsia"/>
          <w:b/>
          <w:sz w:val="24"/>
        </w:rPr>
        <w:t xml:space="preserve">八、其他</w:t>
      </w:r>
      <w:bookmarkEnd w:id="59"/>
      <w:r/>
      <w:bookmarkEnd w:id="60"/>
      <w:r/>
      <w:bookmarkEnd w:id="61"/>
      <w:r/>
      <w:bookmarkEnd w:id="62"/>
      <w:r/>
      <w:bookmarkEnd w:id="6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根据省财政厅《关于更换全省政府采购交易系统C A数字证书和</w:t>
      </w:r>
      <w:r>
        <w:rPr>
          <w:rFonts w:cs="宋体" w:asciiTheme="minorEastAsia" w:hAnsiTheme="minorEastAsia" w:eastAsiaTheme="minorEastAsia"/>
          <w:sz w:val="24"/>
        </w:rPr>
        <w:t xml:space="preserve">电子公章</w:t>
      </w:r>
      <w:r>
        <w:rPr>
          <w:rFonts w:cs="宋体" w:asciiTheme="minorEastAsia" w:hAnsiTheme="minorEastAsia" w:eastAsiaTheme="minorEastAsia"/>
          <w:sz w:val="24"/>
        </w:rPr>
        <w:t xml:space="preserve">的通知》（</w:t>
      </w:r>
      <w:r>
        <w:rPr>
          <w:rFonts w:cs="宋体" w:asciiTheme="minorEastAsia" w:hAnsiTheme="minorEastAsia" w:eastAsiaTheme="minorEastAsia"/>
          <w:sz w:val="24"/>
        </w:rPr>
        <w:t xml:space="preserve">苏财购〔2023〕</w:t>
      </w:r>
      <w:r>
        <w:rPr>
          <w:rFonts w:cs="宋体" w:asciiTheme="minorEastAsia" w:hAnsiTheme="minorEastAsia" w:eastAsiaTheme="minorEastAsia"/>
          <w:sz w:val="24"/>
        </w:rPr>
        <w:t xml:space="preserve">101号），“苏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”政府采购交易系统（以下简称苏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系统）的CA数字证书、</w:t>
      </w:r>
      <w:r>
        <w:rPr>
          <w:rFonts w:cs="宋体" w:asciiTheme="minorEastAsia" w:hAnsiTheme="minorEastAsia" w:eastAsiaTheme="minorEastAsia"/>
          <w:sz w:val="24"/>
        </w:rPr>
        <w:t xml:space="preserve">电子公章</w:t>
      </w:r>
      <w:r>
        <w:rPr>
          <w:rFonts w:cs="宋体" w:asciiTheme="minorEastAsia" w:hAnsiTheme="minorEastAsia" w:eastAsiaTheme="minorEastAsia"/>
          <w:sz w:val="24"/>
        </w:rPr>
        <w:t xml:space="preserve">已更换为江苏省电子政务证书认证中心C A和方正国际软件（北京）有限公司</w:t>
      </w:r>
      <w:r>
        <w:rPr>
          <w:rFonts w:cs="宋体" w:asciiTheme="minorEastAsia" w:hAnsiTheme="minorEastAsia" w:eastAsiaTheme="minorEastAsia"/>
          <w:sz w:val="24"/>
        </w:rPr>
        <w:t xml:space="preserve">电子公章</w:t>
      </w:r>
      <w:r>
        <w:rPr>
          <w:rFonts w:cs="宋体" w:asciiTheme="minorEastAsia" w:hAnsiTheme="minorEastAsia" w:eastAsiaTheme="minorEastAsia"/>
          <w:sz w:val="24"/>
        </w:rPr>
        <w:t xml:space="preserve">。如果投标人通过苏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系统参与政府采购项目，需要更换CA数字证书和</w:t>
      </w:r>
      <w:r>
        <w:rPr>
          <w:rFonts w:cs="宋体" w:asciiTheme="minorEastAsia" w:hAnsiTheme="minorEastAsia" w:eastAsiaTheme="minorEastAsia"/>
          <w:sz w:val="24"/>
        </w:rPr>
        <w:t xml:space="preserve">电子公章</w:t>
      </w:r>
      <w:r>
        <w:rPr>
          <w:rFonts w:cs="宋体" w:asciiTheme="minorEastAsia" w:hAnsiTheme="minorEastAsia" w:eastAsiaTheme="minorEastAsia"/>
          <w:sz w:val="24"/>
        </w:rPr>
        <w:t xml:space="preserve">。具体办理指南和操作手册见链接：</w:t>
      </w:r>
      <w:r>
        <w:rPr>
          <w:rFonts w:cs="宋体" w:asciiTheme="minorEastAsia" w:hAnsiTheme="minorEastAsia" w:eastAsiaTheme="minorEastAsia"/>
        </w:rPr>
        <w:t xml:space="preserve">http://www.ccgp-jiangsu.gov.cn/jiangsu/zlxz/ee/ee3a4bc5a3454aa2b0d9312230633ce9.html。</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领取CA和办理</w:t>
      </w:r>
      <w:r>
        <w:rPr>
          <w:rFonts w:cs="宋体" w:asciiTheme="minorEastAsia" w:hAnsiTheme="minorEastAsia" w:eastAsiaTheme="minorEastAsia"/>
          <w:sz w:val="24"/>
        </w:rPr>
        <w:t xml:space="preserve">电子公章</w:t>
      </w:r>
      <w:r>
        <w:rPr>
          <w:rFonts w:cs="宋体" w:asciiTheme="minorEastAsia" w:hAnsiTheme="minorEastAsia" w:eastAsiaTheme="minorEastAsia"/>
          <w:sz w:val="24"/>
        </w:rPr>
        <w:t xml:space="preserve">具体联系方式见《苏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系统供应商操作手册》（以下简称《操作手册》））、进行注册并按《操作手册》要求制作、上传电子投标文件。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有关本次招标的事项若存在变动或修改，敬请及时关注江苏苏豪创新科技集团有限公司在“江苏政府采购网”发布的更正公告。</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64" w:name="_Toc194500865"/>
      <w:r/>
      <w:bookmarkStart w:id="65" w:name="_Toc23291"/>
      <w:r/>
      <w:bookmarkStart w:id="66" w:name="_Toc3733"/>
      <w:r/>
      <w:bookmarkStart w:id="67" w:name="_Toc10572"/>
      <w:r/>
      <w:bookmarkStart w:id="68" w:name="_Toc16956"/>
      <w:r>
        <w:rPr>
          <w:rFonts w:cs="宋体" w:asciiTheme="minorEastAsia" w:hAnsiTheme="minorEastAsia" w:eastAsiaTheme="minorEastAsia"/>
          <w:b/>
          <w:sz w:val="32"/>
        </w:rPr>
        <w:t xml:space="preserve">第二章  投标人须知</w:t>
      </w:r>
      <w:bookmarkEnd w:id="64"/>
      <w:r/>
      <w:bookmarkEnd w:id="65"/>
      <w:r/>
      <w:bookmarkEnd w:id="66"/>
      <w:r/>
      <w:bookmarkEnd w:id="67"/>
      <w:r/>
      <w:bookmarkEnd w:id="68"/>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69" w:name="_Toc194500866"/>
      <w:r/>
      <w:bookmarkStart w:id="70" w:name="_Toc30225"/>
      <w:r/>
      <w:bookmarkStart w:id="71" w:name="_Toc17900"/>
      <w:r/>
      <w:bookmarkStart w:id="72" w:name="_Toc8913"/>
      <w:r/>
      <w:bookmarkStart w:id="73" w:name="_Toc7747"/>
      <w:r>
        <w:rPr>
          <w:rFonts w:cs="宋体" w:asciiTheme="minorEastAsia" w:hAnsiTheme="minorEastAsia" w:eastAsiaTheme="minorEastAsia"/>
          <w:b/>
          <w:sz w:val="24"/>
        </w:rPr>
        <w:t xml:space="preserve">一、总则</w:t>
      </w:r>
      <w:bookmarkEnd w:id="69"/>
      <w:r/>
      <w:bookmarkEnd w:id="70"/>
      <w:r/>
      <w:bookmarkEnd w:id="71"/>
      <w:r/>
      <w:bookmarkEnd w:id="72"/>
      <w:r/>
      <w:bookmarkEnd w:id="73"/>
      <w:r/>
      <w:r/>
    </w:p>
    <w:p>
      <w:pPr>
        <w:ind w:firstLine="482"/>
        <w:spacing w:before="161"/>
        <w:rPr>
          <w:rFonts w:asciiTheme="minorEastAsia" w:hAnsiTheme="minorEastAsia" w:eastAsiaTheme="minorEastAsia"/>
        </w:rPr>
        <w:outlineLvl w:val="2"/>
      </w:pPr>
      <w:r/>
      <w:bookmarkStart w:id="74" w:name="_Toc1431"/>
      <w:r/>
      <w:bookmarkStart w:id="75" w:name="_Toc19075"/>
      <w:r/>
      <w:bookmarkStart w:id="76" w:name="_Toc27695"/>
      <w:r>
        <w:rPr>
          <w:rFonts w:cs="宋体" w:asciiTheme="minorEastAsia" w:hAnsiTheme="minorEastAsia" w:eastAsiaTheme="minorEastAsia"/>
          <w:b/>
          <w:sz w:val="24"/>
        </w:rPr>
        <w:t xml:space="preserve">1、招标方式</w:t>
      </w:r>
      <w:bookmarkEnd w:id="74"/>
      <w:r/>
      <w:bookmarkEnd w:id="75"/>
      <w:r/>
      <w:bookmarkEnd w:id="7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 本次招标采取公开招标方式，本招标文件仅适用于招标公告中所述项目。</w:t>
      </w:r>
      <w:r/>
    </w:p>
    <w:p>
      <w:pPr>
        <w:ind w:firstLine="482"/>
        <w:spacing w:before="161"/>
        <w:rPr>
          <w:rFonts w:asciiTheme="minorEastAsia" w:hAnsiTheme="minorEastAsia" w:eastAsiaTheme="minorEastAsia"/>
        </w:rPr>
        <w:outlineLvl w:val="2"/>
      </w:pPr>
      <w:r/>
      <w:bookmarkStart w:id="77" w:name="_Toc11513"/>
      <w:r/>
      <w:bookmarkStart w:id="78" w:name="_Toc22410"/>
      <w:r/>
      <w:bookmarkStart w:id="79" w:name="_Toc3856"/>
      <w:r>
        <w:rPr>
          <w:rFonts w:cs="宋体" w:asciiTheme="minorEastAsia" w:hAnsiTheme="minorEastAsia" w:eastAsiaTheme="minorEastAsia"/>
          <w:b/>
          <w:sz w:val="24"/>
        </w:rPr>
        <w:t xml:space="preserve">2、合格的投标人</w:t>
      </w:r>
      <w:bookmarkEnd w:id="77"/>
      <w:r/>
      <w:bookmarkEnd w:id="78"/>
      <w:r/>
      <w:bookmarkEnd w:id="79"/>
      <w:r/>
      <w:r/>
    </w:p>
    <w:p>
      <w:pPr>
        <w:ind w:firstLine="480"/>
        <w:rPr>
          <w:rFonts w:asciiTheme="minorEastAsia" w:hAnsiTheme="minorEastAsia" w:eastAsiaTheme="minorEastAsia"/>
        </w:rPr>
      </w:pPr>
      <w:r>
        <w:rPr>
          <w:rFonts w:cs="宋体" w:asciiTheme="minorEastAsia" w:hAnsiTheme="minorEastAsia" w:eastAsiaTheme="minorEastAsia"/>
          <w:sz w:val="24"/>
        </w:rPr>
        <w:t xml:space="preserve">2.1 满足招标公告中供应商的资格要求的规定。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 满足本文件实质性要求和条件的规定。</w:t>
      </w:r>
      <w:r/>
    </w:p>
    <w:p>
      <w:pPr>
        <w:ind w:firstLine="482"/>
        <w:spacing w:before="161"/>
        <w:rPr>
          <w:rFonts w:asciiTheme="minorEastAsia" w:hAnsiTheme="minorEastAsia" w:eastAsiaTheme="minorEastAsia"/>
        </w:rPr>
        <w:outlineLvl w:val="2"/>
      </w:pPr>
      <w:r/>
      <w:bookmarkStart w:id="80" w:name="_Toc17102"/>
      <w:r/>
      <w:bookmarkStart w:id="81" w:name="_Toc17586"/>
      <w:r/>
      <w:bookmarkStart w:id="82" w:name="_Toc20130"/>
      <w:r>
        <w:rPr>
          <w:rFonts w:cs="宋体" w:asciiTheme="minorEastAsia" w:hAnsiTheme="minorEastAsia" w:eastAsiaTheme="minorEastAsia"/>
          <w:b/>
          <w:sz w:val="24"/>
        </w:rPr>
        <w:t xml:space="preserve">3、适用法律</w:t>
      </w:r>
      <w:bookmarkEnd w:id="80"/>
      <w:r/>
      <w:bookmarkEnd w:id="81"/>
      <w:r/>
      <w:bookmarkEnd w:id="82"/>
      <w:r/>
      <w:r/>
    </w:p>
    <w:p>
      <w:pPr>
        <w:ind w:firstLine="480"/>
        <w:rPr>
          <w:rFonts w:asciiTheme="minorEastAsia" w:hAnsiTheme="minorEastAsia" w:eastAsiaTheme="minorEastAsia"/>
        </w:rPr>
      </w:pPr>
      <w:r>
        <w:rPr>
          <w:rFonts w:cs="宋体" w:asciiTheme="minorEastAsia" w:hAnsiTheme="minorEastAsia" w:eastAsiaTheme="minorEastAsia"/>
          <w:sz w:val="24"/>
        </w:rPr>
        <w:t xml:space="preserve">3.1 本次招标及由此产生的合同受中华人民共和国有关的法律法规制约和保护。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 xml:space="preserve">本项目支持节能环保产品 (财库[2019]9号)、(财库[2019]18号)、(财库[2019]19号)；支持国办发〔2025〕34号、支持中小</w:t>
      </w:r>
      <w:r>
        <w:rPr>
          <w:rFonts w:hint="eastAsia" w:cs="宋体" w:asciiTheme="minorEastAsia" w:hAnsiTheme="minorEastAsia" w:eastAsiaTheme="minorEastAsia"/>
          <w:sz w:val="24"/>
        </w:rPr>
        <w:t xml:space="preserve">微企业</w:t>
      </w:r>
      <w:r>
        <w:rPr>
          <w:rFonts w:hint="eastAsia" w:cs="宋体" w:asciiTheme="minorEastAsia" w:hAnsiTheme="minorEastAsia" w:eastAsiaTheme="minorEastAsia"/>
          <w:sz w:val="24"/>
        </w:rPr>
        <w:t xml:space="preserve">(财库[2020]46号)、(苏</w:t>
      </w:r>
      <w:r>
        <w:rPr>
          <w:rFonts w:hint="eastAsia" w:cs="宋体" w:asciiTheme="minorEastAsia" w:hAnsiTheme="minorEastAsia" w:eastAsiaTheme="minorEastAsia"/>
          <w:sz w:val="24"/>
        </w:rPr>
        <w:t xml:space="preserve">财购[</w:t>
      </w:r>
      <w:r>
        <w:rPr>
          <w:rFonts w:hint="eastAsia" w:cs="宋体" w:asciiTheme="minorEastAsia" w:hAnsiTheme="minorEastAsia" w:eastAsiaTheme="minorEastAsia"/>
          <w:sz w:val="24"/>
        </w:rPr>
        <w:t xml:space="preserve">2022]45号)、(工信部联企业[2011]300号)；支持监狱企业(财库[2014]68号)；促进残疾人就业(财库[2017]141号)等政策。</w:t>
      </w:r>
      <w:r/>
    </w:p>
    <w:p>
      <w:pPr>
        <w:ind w:firstLine="482"/>
        <w:spacing w:before="161"/>
        <w:rPr>
          <w:rFonts w:asciiTheme="minorEastAsia" w:hAnsiTheme="minorEastAsia" w:eastAsiaTheme="minorEastAsia"/>
        </w:rPr>
        <w:outlineLvl w:val="2"/>
      </w:pPr>
      <w:r/>
      <w:bookmarkStart w:id="83" w:name="_Toc15465"/>
      <w:r/>
      <w:bookmarkStart w:id="84" w:name="_Toc30125"/>
      <w:r/>
      <w:bookmarkStart w:id="85" w:name="_Toc19813"/>
      <w:r>
        <w:rPr>
          <w:rFonts w:cs="宋体" w:asciiTheme="minorEastAsia" w:hAnsiTheme="minorEastAsia" w:eastAsiaTheme="minorEastAsia"/>
          <w:b/>
          <w:sz w:val="24"/>
        </w:rPr>
        <w:t xml:space="preserve">4、投标费用</w:t>
      </w:r>
      <w:bookmarkEnd w:id="83"/>
      <w:r/>
      <w:bookmarkEnd w:id="84"/>
      <w:r/>
      <w:bookmarkEnd w:id="85"/>
      <w:r/>
      <w:r/>
    </w:p>
    <w:p>
      <w:pPr>
        <w:ind w:firstLine="480"/>
        <w:rPr>
          <w:rFonts w:asciiTheme="minorEastAsia" w:hAnsiTheme="minorEastAsia" w:eastAsiaTheme="minorEastAsia"/>
        </w:rPr>
      </w:pPr>
      <w:r>
        <w:rPr>
          <w:rFonts w:cs="宋体" w:asciiTheme="minorEastAsia" w:hAnsiTheme="minorEastAsia" w:eastAsiaTheme="minorEastAsia"/>
          <w:sz w:val="24"/>
        </w:rPr>
        <w:t xml:space="preserve">4.1 投标人应自行承担所有与参加投标有关的费用，无论投标过程中的做法和结果如何，</w:t>
      </w:r>
      <w:r>
        <w:rPr>
          <w:rFonts w:cs="宋体" w:asciiTheme="minorEastAsia" w:hAnsiTheme="minorEastAsia" w:eastAsiaTheme="minorEastAsia"/>
          <w:b/>
          <w:sz w:val="24"/>
        </w:rPr>
        <w:t xml:space="preserve">江苏苏豪创新科技集团有限公司（以下简称采购代理机构）</w:t>
      </w:r>
      <w:r>
        <w:rPr>
          <w:rFonts w:cs="宋体" w:asciiTheme="minorEastAsia" w:hAnsiTheme="minorEastAsia" w:eastAsiaTheme="minorEastAsia"/>
          <w:sz w:val="24"/>
        </w:rPr>
        <w:t xml:space="preserve">在任何情况下均无义务和责任承担这些费用。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4.2 本次招标</w:t>
      </w:r>
      <w:r>
        <w:rPr>
          <w:rFonts w:cs="宋体" w:asciiTheme="minorEastAsia" w:hAnsiTheme="minorEastAsia" w:eastAsiaTheme="minorEastAsia"/>
          <w:b/>
          <w:sz w:val="24"/>
        </w:rPr>
        <w:t xml:space="preserve">采购代理机构</w:t>
      </w:r>
      <w:r>
        <w:rPr>
          <w:rFonts w:cs="宋体" w:asciiTheme="minorEastAsia" w:hAnsiTheme="minorEastAsia" w:eastAsiaTheme="minorEastAsia"/>
          <w:sz w:val="24"/>
        </w:rPr>
        <w:t xml:space="preserve">不收取标书工本费。</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4.3 招标服务费收费标准：</w:t>
      </w:r>
      <w:r/>
    </w:p>
    <w:p>
      <w:pPr>
        <w:pStyle w:val="91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本项目中标服务费参照计价格(2002)1980号文《招标代理服务收费管理暂行办法》的40%计取费用，应在领取中标通知书前缴纳。</w:t>
      </w:r>
      <w:r/>
    </w:p>
    <w:p>
      <w:pPr>
        <w:pStyle w:val="91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账户信息：</w:t>
      </w:r>
      <w:r/>
    </w:p>
    <w:p>
      <w:pPr>
        <w:pStyle w:val="91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开户名称：江苏苏豪创新科技集团有限公司</w:t>
      </w:r>
      <w:r/>
    </w:p>
    <w:p>
      <w:pPr>
        <w:pStyle w:val="91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开 户 行：工商银行南京白下支行</w:t>
      </w:r>
      <w:r/>
    </w:p>
    <w:p>
      <w:pPr>
        <w:pStyle w:val="915"/>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账</w:t>
      </w:r>
      <w:r>
        <w:rPr>
          <w:rFonts w:hint="eastAsia" w:cs="宋体" w:asciiTheme="minorEastAsia" w:hAnsiTheme="minorEastAsia" w:eastAsiaTheme="minorEastAsia"/>
          <w:sz w:val="24"/>
          <w:szCs w:val="24"/>
        </w:rPr>
        <w:t xml:space="preserve">  号：4301013119100276117</w:t>
      </w:r>
      <w:r/>
    </w:p>
    <w:p>
      <w:pPr>
        <w:ind w:firstLine="480"/>
        <w:rPr>
          <w:rFonts w:asciiTheme="minorEastAsia" w:hAnsiTheme="minorEastAsia" w:eastAsiaTheme="minorEastAsia"/>
        </w:rPr>
      </w:pPr>
      <w:r>
        <w:rPr>
          <w:rFonts w:asciiTheme="minorEastAsia" w:hAnsiTheme="minorEastAsia" w:eastAsiaTheme="minorEastAsia"/>
        </w:rPr>
      </w:r>
      <w:r/>
    </w:p>
    <w:p>
      <w:pPr>
        <w:ind w:firstLine="482"/>
        <w:spacing w:before="161"/>
        <w:rPr>
          <w:rFonts w:cs="宋体" w:asciiTheme="minorEastAsia" w:hAnsiTheme="minorEastAsia" w:eastAsiaTheme="minorEastAsia"/>
          <w:b/>
          <w:sz w:val="24"/>
        </w:rPr>
        <w:outlineLvl w:val="2"/>
      </w:pPr>
      <w:r/>
      <w:bookmarkStart w:id="86" w:name="_Toc15360"/>
      <w:r/>
      <w:bookmarkStart w:id="87" w:name="_Toc25686"/>
      <w:r/>
      <w:bookmarkStart w:id="88" w:name="_Toc28956"/>
      <w:r>
        <w:rPr>
          <w:rFonts w:cs="宋体" w:asciiTheme="minorEastAsia" w:hAnsiTheme="minorEastAsia" w:eastAsiaTheme="minorEastAsia"/>
          <w:b/>
          <w:sz w:val="24"/>
        </w:rPr>
        <w:t xml:space="preserve">5、招标文件的约束力</w:t>
      </w:r>
      <w:bookmarkEnd w:id="86"/>
      <w:r/>
      <w:bookmarkEnd w:id="87"/>
      <w:r/>
      <w:bookmarkEnd w:id="88"/>
      <w:r/>
      <w:r/>
    </w:p>
    <w:p>
      <w:pPr>
        <w:ind w:firstLine="480"/>
        <w:rPr>
          <w:rFonts w:asciiTheme="minorEastAsia" w:hAnsiTheme="minorEastAsia" w:eastAsiaTheme="minorEastAsia"/>
        </w:rPr>
      </w:pPr>
      <w:r>
        <w:rPr>
          <w:rFonts w:cs="宋体" w:asciiTheme="minorEastAsia" w:hAnsiTheme="minorEastAsia" w:eastAsiaTheme="minorEastAsia"/>
          <w:sz w:val="24"/>
        </w:rPr>
        <w:t xml:space="preserve">5.1 投标人一旦参加本项目采购活动，即被认为接受了本招标文件的规定和约束。</w:t>
      </w:r>
      <w:r/>
    </w:p>
    <w:p>
      <w:pPr>
        <w:ind w:firstLine="482"/>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89" w:name="_Toc3694"/>
      <w:r/>
      <w:bookmarkStart w:id="90" w:name="_Toc30915"/>
      <w:r/>
      <w:bookmarkStart w:id="91" w:name="_Toc194500867"/>
      <w:r/>
      <w:bookmarkStart w:id="92" w:name="_Toc21860"/>
      <w:r/>
      <w:bookmarkStart w:id="93" w:name="_Toc27271"/>
      <w:r>
        <w:rPr>
          <w:rFonts w:cs="宋体" w:asciiTheme="minorEastAsia" w:hAnsiTheme="minorEastAsia" w:eastAsiaTheme="minorEastAsia"/>
          <w:b/>
          <w:sz w:val="24"/>
        </w:rPr>
        <w:t xml:space="preserve">二、招标文件</w:t>
      </w:r>
      <w:bookmarkEnd w:id="89"/>
      <w:r/>
      <w:bookmarkEnd w:id="90"/>
      <w:r/>
      <w:bookmarkEnd w:id="91"/>
      <w:r/>
      <w:bookmarkEnd w:id="92"/>
      <w:r/>
      <w:bookmarkEnd w:id="93"/>
      <w:r/>
      <w:r/>
    </w:p>
    <w:p>
      <w:pPr>
        <w:ind w:firstLine="482"/>
        <w:spacing w:before="161"/>
        <w:rPr>
          <w:rFonts w:asciiTheme="minorEastAsia" w:hAnsiTheme="minorEastAsia" w:eastAsiaTheme="minorEastAsia"/>
        </w:rPr>
        <w:outlineLvl w:val="2"/>
      </w:pPr>
      <w:r/>
      <w:bookmarkStart w:id="94" w:name="_Toc26765"/>
      <w:r/>
      <w:bookmarkStart w:id="95" w:name="_Toc5990"/>
      <w:r/>
      <w:bookmarkStart w:id="96" w:name="_Toc10458"/>
      <w:r>
        <w:rPr>
          <w:rFonts w:cs="宋体" w:asciiTheme="minorEastAsia" w:hAnsiTheme="minorEastAsia" w:eastAsiaTheme="minorEastAsia"/>
          <w:b/>
          <w:sz w:val="24"/>
        </w:rPr>
        <w:t xml:space="preserve">6、招标文件构成</w:t>
      </w:r>
      <w:bookmarkEnd w:id="94"/>
      <w:r/>
      <w:bookmarkEnd w:id="95"/>
      <w:r/>
      <w:bookmarkEnd w:id="96"/>
      <w:r/>
      <w:r/>
    </w:p>
    <w:p>
      <w:pPr>
        <w:ind w:firstLine="480"/>
        <w:rPr>
          <w:rFonts w:asciiTheme="minorEastAsia" w:hAnsiTheme="minorEastAsia" w:eastAsiaTheme="minorEastAsia"/>
        </w:rPr>
      </w:pPr>
      <w:r>
        <w:rPr>
          <w:rFonts w:cs="宋体" w:asciiTheme="minorEastAsia" w:hAnsiTheme="minorEastAsia" w:eastAsiaTheme="minorEastAsia"/>
          <w:sz w:val="24"/>
        </w:rPr>
        <w:t xml:space="preserve">6.1 招标文件由以下部分组成：</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（1）投标邀请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（2）投标人须知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（3）合同文本</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（4）采购需求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（5）评标方法与评标标准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（6）投标文件格式</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请仔细检查招标文件是否齐全，如有</w:t>
      </w:r>
      <w:r>
        <w:rPr>
          <w:rFonts w:cs="宋体" w:asciiTheme="minorEastAsia" w:hAnsiTheme="minorEastAsia" w:eastAsiaTheme="minorEastAsia"/>
          <w:sz w:val="24"/>
        </w:rPr>
        <w:t xml:space="preserve">缺漏请</w:t>
      </w:r>
      <w:r>
        <w:rPr>
          <w:rFonts w:cs="宋体" w:asciiTheme="minorEastAsia" w:hAnsiTheme="minorEastAsia" w:eastAsiaTheme="minorEastAsia"/>
          <w:sz w:val="24"/>
        </w:rPr>
        <w:t xml:space="preserve">立即与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联系解决。</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6.2 投标人应认真阅读招标文件中所有的事项、格式、条款和规范等要求。按招标文件要求和规定编制投标文件，并保证所提供的全部资料的真实性，以使其投标文件对招标文件</w:t>
      </w:r>
      <w:r>
        <w:rPr>
          <w:rFonts w:cs="宋体" w:asciiTheme="minorEastAsia" w:hAnsiTheme="minorEastAsia" w:eastAsiaTheme="minorEastAsia"/>
          <w:sz w:val="24"/>
        </w:rPr>
        <w:t xml:space="preserve">作出</w:t>
      </w:r>
      <w:r>
        <w:rPr>
          <w:rFonts w:cs="宋体" w:asciiTheme="minorEastAsia" w:hAnsiTheme="minorEastAsia" w:eastAsiaTheme="minorEastAsia"/>
          <w:sz w:val="24"/>
        </w:rPr>
        <w:t xml:space="preserve">实质性响应，否则其风险由投标人自行承担。</w:t>
      </w:r>
      <w:r/>
    </w:p>
    <w:p>
      <w:pPr>
        <w:ind w:firstLine="482"/>
        <w:spacing w:before="161"/>
        <w:rPr>
          <w:rFonts w:asciiTheme="minorEastAsia" w:hAnsiTheme="minorEastAsia" w:eastAsiaTheme="minorEastAsia"/>
        </w:rPr>
        <w:outlineLvl w:val="2"/>
      </w:pPr>
      <w:r/>
      <w:bookmarkStart w:id="97" w:name="_Toc25540"/>
      <w:r/>
      <w:bookmarkStart w:id="98" w:name="_Toc9569"/>
      <w:r/>
      <w:bookmarkStart w:id="99" w:name="_Toc24610"/>
      <w:r>
        <w:rPr>
          <w:rFonts w:cs="宋体" w:asciiTheme="minorEastAsia" w:hAnsiTheme="minorEastAsia" w:eastAsiaTheme="minorEastAsia"/>
          <w:b/>
          <w:sz w:val="24"/>
        </w:rPr>
        <w:t xml:space="preserve">7、招标文件的澄清</w:t>
      </w:r>
      <w:bookmarkEnd w:id="97"/>
      <w:r/>
      <w:bookmarkEnd w:id="98"/>
      <w:r/>
      <w:bookmarkEnd w:id="99"/>
      <w:r/>
      <w:r/>
    </w:p>
    <w:p>
      <w:pPr>
        <w:ind w:firstLine="480"/>
        <w:rPr>
          <w:rFonts w:asciiTheme="minorEastAsia" w:hAnsiTheme="minorEastAsia" w:eastAsiaTheme="minorEastAsia"/>
        </w:rPr>
      </w:pPr>
      <w:r>
        <w:rPr>
          <w:rFonts w:cs="宋体" w:asciiTheme="minorEastAsia" w:hAnsiTheme="minorEastAsia" w:eastAsiaTheme="minorEastAsia"/>
          <w:sz w:val="24"/>
        </w:rPr>
        <w:t xml:space="preserve">7.1 任何要求对招标文件进行澄清的投标人，应在投标截止期十日前按招标公告中的通讯地址，以书面形式通知</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00" w:name="_Toc19126"/>
      <w:r/>
      <w:bookmarkStart w:id="101" w:name="_Toc7163"/>
      <w:r/>
      <w:bookmarkStart w:id="102" w:name="_Toc1972"/>
      <w:r>
        <w:rPr>
          <w:rFonts w:cs="宋体" w:asciiTheme="minorEastAsia" w:hAnsiTheme="minorEastAsia" w:eastAsiaTheme="minorEastAsia"/>
          <w:b/>
          <w:sz w:val="24"/>
        </w:rPr>
        <w:t xml:space="preserve">8、招标文件的修改</w:t>
      </w:r>
      <w:bookmarkEnd w:id="100"/>
      <w:r/>
      <w:bookmarkEnd w:id="101"/>
      <w:r/>
      <w:bookmarkEnd w:id="102"/>
      <w:r/>
      <w:r/>
    </w:p>
    <w:p>
      <w:pPr>
        <w:ind w:firstLine="480"/>
        <w:rPr>
          <w:rFonts w:asciiTheme="minorEastAsia" w:hAnsiTheme="minorEastAsia" w:eastAsiaTheme="minorEastAsia"/>
        </w:rPr>
      </w:pPr>
      <w:r>
        <w:rPr>
          <w:rFonts w:cs="宋体" w:asciiTheme="minorEastAsia" w:hAnsiTheme="minorEastAsia" w:eastAsiaTheme="minorEastAsia"/>
          <w:sz w:val="24"/>
        </w:rPr>
        <w:t xml:space="preserve">8.1 在投标截止时间前，</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可以对招标文件进行修改。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有权按照法定的要求推迟投标截止日期和开标日期。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8.3 招标文件的修改将在江苏政府采购网公布，补充文件将作为招标文件的组成部分，并对投标人具有约束力。</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03" w:name="_Toc24051"/>
      <w:r/>
      <w:bookmarkStart w:id="104" w:name="_Toc15833"/>
      <w:r/>
      <w:bookmarkStart w:id="105" w:name="_Toc1447"/>
      <w:r/>
      <w:bookmarkStart w:id="106" w:name="_Toc194500868"/>
      <w:r/>
      <w:bookmarkStart w:id="107" w:name="_Toc17821"/>
      <w:r>
        <w:rPr>
          <w:rFonts w:cs="宋体" w:asciiTheme="minorEastAsia" w:hAnsiTheme="minorEastAsia" w:eastAsiaTheme="minorEastAsia"/>
          <w:b/>
          <w:sz w:val="24"/>
        </w:rPr>
        <w:t xml:space="preserve">三、投标文件的编制</w:t>
      </w:r>
      <w:bookmarkEnd w:id="103"/>
      <w:r/>
      <w:bookmarkEnd w:id="104"/>
      <w:r/>
      <w:bookmarkEnd w:id="105"/>
      <w:r/>
      <w:bookmarkEnd w:id="106"/>
      <w:r/>
      <w:bookmarkEnd w:id="107"/>
      <w:r/>
      <w:r/>
    </w:p>
    <w:p>
      <w:pPr>
        <w:ind w:firstLine="482"/>
        <w:spacing w:before="161"/>
        <w:rPr>
          <w:rFonts w:asciiTheme="minorEastAsia" w:hAnsiTheme="minorEastAsia" w:eastAsiaTheme="minorEastAsia"/>
        </w:rPr>
        <w:outlineLvl w:val="2"/>
      </w:pPr>
      <w:r/>
      <w:bookmarkStart w:id="108" w:name="_Toc24489"/>
      <w:r/>
      <w:bookmarkStart w:id="109" w:name="_Toc55"/>
      <w:r/>
      <w:bookmarkStart w:id="110" w:name="_Toc8441"/>
      <w:r>
        <w:rPr>
          <w:rFonts w:cs="宋体" w:asciiTheme="minorEastAsia" w:hAnsiTheme="minorEastAsia" w:eastAsiaTheme="minorEastAsia"/>
          <w:b/>
          <w:sz w:val="24"/>
        </w:rPr>
        <w:t xml:space="preserve">9、投标文件的语言及度量衡单位</w:t>
      </w:r>
      <w:bookmarkEnd w:id="108"/>
      <w:r/>
      <w:bookmarkEnd w:id="109"/>
      <w:r/>
      <w:bookmarkEnd w:id="110"/>
      <w:r/>
      <w:r/>
    </w:p>
    <w:p>
      <w:pPr>
        <w:ind w:firstLine="480"/>
        <w:rPr>
          <w:rFonts w:asciiTheme="minorEastAsia" w:hAnsiTheme="minorEastAsia" w:eastAsiaTheme="minorEastAsia"/>
        </w:rPr>
      </w:pPr>
      <w:r>
        <w:rPr>
          <w:rFonts w:cs="宋体" w:asciiTheme="minorEastAsia" w:hAnsiTheme="minorEastAsia" w:eastAsiaTheme="minorEastAsia"/>
          <w:sz w:val="24"/>
        </w:rPr>
        <w:t xml:space="preserve">9.1 投标人提交的投标文件以及投标人与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就有关投标的所有来往通知、函件和文件均应使用</w:t>
      </w:r>
      <w:r>
        <w:rPr>
          <w:rFonts w:cs="宋体" w:asciiTheme="minorEastAsia" w:hAnsiTheme="minorEastAsia" w:eastAsiaTheme="minorEastAsia"/>
          <w:b/>
          <w:sz w:val="24"/>
        </w:rPr>
        <w:t xml:space="preserve">简体中文</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9.2 除技术性能另有规定外，投标文件所使用的度量衡单位，均须采用国家法定计量单位。</w:t>
      </w:r>
      <w:r/>
    </w:p>
    <w:p>
      <w:pPr>
        <w:ind w:firstLine="482"/>
        <w:spacing w:before="161"/>
        <w:rPr>
          <w:rFonts w:asciiTheme="minorEastAsia" w:hAnsiTheme="minorEastAsia" w:eastAsiaTheme="minorEastAsia"/>
        </w:rPr>
        <w:outlineLvl w:val="2"/>
      </w:pPr>
      <w:r/>
      <w:bookmarkStart w:id="111" w:name="_Toc31965"/>
      <w:r/>
      <w:bookmarkStart w:id="112" w:name="_Toc11610"/>
      <w:r/>
      <w:bookmarkStart w:id="113" w:name="_Toc17349"/>
      <w:r>
        <w:rPr>
          <w:rFonts w:cs="宋体" w:asciiTheme="minorEastAsia" w:hAnsiTheme="minorEastAsia" w:eastAsiaTheme="minorEastAsia"/>
          <w:b/>
          <w:sz w:val="24"/>
        </w:rPr>
        <w:t xml:space="preserve">10、投标文件构成</w:t>
      </w:r>
      <w:bookmarkEnd w:id="111"/>
      <w:r/>
      <w:bookmarkEnd w:id="112"/>
      <w:r/>
      <w:bookmarkEnd w:id="113"/>
      <w:r/>
      <w:r/>
    </w:p>
    <w:p>
      <w:pPr>
        <w:ind w:firstLine="482"/>
        <w:spacing w:before="161"/>
        <w:rPr>
          <w:rFonts w:cs="宋体" w:asciiTheme="minorEastAsia" w:hAnsiTheme="minorEastAsia" w:eastAsiaTheme="minorEastAsia"/>
          <w:sz w:val="24"/>
        </w:rPr>
        <w:outlineLvl w:val="2"/>
      </w:pPr>
      <w:r/>
      <w:bookmarkStart w:id="114" w:name="_Toc3771"/>
      <w:r/>
      <w:bookmarkStart w:id="115" w:name="_Toc12682"/>
      <w:r/>
      <w:bookmarkStart w:id="116" w:name="_Toc9531"/>
      <w:r>
        <w:rPr>
          <w:rFonts w:hint="eastAsia" w:cs="宋体" w:asciiTheme="minorEastAsia" w:hAnsiTheme="minorEastAsia" w:eastAsiaTheme="minorEastAsia"/>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10.2如标书制作工具中格式和内容与“江苏政府采购网”发布的招标文件不一致，请以“江苏政府采购网”发布的招标文件为准。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11、证明投标人及投标标的符合招标文件规定的文件</w:t>
      </w:r>
      <w:bookmarkEnd w:id="114"/>
      <w:r/>
      <w:bookmarkEnd w:id="115"/>
      <w:r/>
      <w:bookmarkEnd w:id="11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11.1投标人应按照招标文件要求提交证明文件，证明其及投标标的符合招标文件规定。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11.2招标文件对证明文件无明确形式要求的，证明文件可以以文字资料、图纸和数据等形式提交。</w:t>
      </w:r>
      <w:r/>
    </w:p>
    <w:p>
      <w:pPr>
        <w:ind w:firstLine="482"/>
        <w:spacing w:before="161"/>
        <w:rPr>
          <w:rFonts w:asciiTheme="minorEastAsia" w:hAnsiTheme="minorEastAsia" w:eastAsiaTheme="minorEastAsia"/>
        </w:rPr>
        <w:outlineLvl w:val="2"/>
      </w:pPr>
      <w:r/>
      <w:bookmarkStart w:id="117" w:name="_Toc620"/>
      <w:r/>
      <w:bookmarkStart w:id="118" w:name="_Toc2159"/>
      <w:r/>
      <w:bookmarkStart w:id="119" w:name="_Toc9759"/>
      <w:r>
        <w:rPr>
          <w:rFonts w:cs="宋体" w:asciiTheme="minorEastAsia" w:hAnsiTheme="minorEastAsia" w:eastAsiaTheme="minorEastAsia"/>
          <w:b/>
          <w:sz w:val="24"/>
        </w:rPr>
        <w:t xml:space="preserve">12、投标分项报价表</w:t>
      </w:r>
      <w:bookmarkEnd w:id="117"/>
      <w:r/>
      <w:bookmarkEnd w:id="118"/>
      <w:r/>
      <w:bookmarkEnd w:id="119"/>
      <w:r/>
      <w:r/>
    </w:p>
    <w:p>
      <w:pPr>
        <w:ind w:firstLine="480"/>
        <w:rPr>
          <w:rFonts w:asciiTheme="minorEastAsia" w:hAnsiTheme="minorEastAsia" w:eastAsiaTheme="minorEastAsia"/>
        </w:rPr>
      </w:pPr>
      <w:r>
        <w:rPr>
          <w:rFonts w:cs="宋体" w:asciiTheme="minorEastAsia" w:hAnsiTheme="minorEastAsia" w:eastAsiaTheme="minorEastAsia"/>
          <w:sz w:val="24"/>
        </w:rPr>
        <w:t xml:space="preserve">12.1投标人应按照招标文件规定格式填报投标分项报价表。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12.2投标货币。投标文件中的单价和总价无特殊规定的采用人民币报价，以元为单位标注。招标文件中另有规定的按规定执行。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rPr>
        <w:outlineLvl w:val="2"/>
      </w:pPr>
      <w:r/>
      <w:bookmarkStart w:id="120" w:name="_Toc31506"/>
      <w:r/>
      <w:bookmarkStart w:id="121" w:name="_Toc30377"/>
      <w:r/>
      <w:bookmarkStart w:id="122" w:name="_Toc14924"/>
      <w:r>
        <w:rPr>
          <w:rFonts w:cs="宋体" w:asciiTheme="minorEastAsia" w:hAnsiTheme="minorEastAsia" w:eastAsiaTheme="minorEastAsia"/>
          <w:b/>
          <w:sz w:val="24"/>
        </w:rPr>
        <w:t xml:space="preserve">13、</w:t>
      </w:r>
      <w:bookmarkEnd w:id="120"/>
      <w:r/>
      <w:bookmarkEnd w:id="121"/>
      <w:r/>
      <w:bookmarkEnd w:id="122"/>
      <w:r>
        <w:rPr>
          <w:rFonts w:hint="eastAsia" w:cs="宋体" w:asciiTheme="minorEastAsia" w:hAnsiTheme="minorEastAsia" w:eastAsiaTheme="minorEastAsia"/>
          <w:b/>
          <w:sz w:val="24"/>
        </w:rPr>
        <w:t xml:space="preserve">技术、商务条款偏离表</w:t>
      </w:r>
      <w:r/>
    </w:p>
    <w:p>
      <w:pPr>
        <w:ind w:firstLine="482"/>
        <w:spacing w:before="161"/>
        <w:rPr>
          <w:rFonts w:cs="宋体" w:asciiTheme="minorEastAsia" w:hAnsiTheme="minorEastAsia" w:eastAsiaTheme="minorEastAsia"/>
          <w:sz w:val="24"/>
        </w:rPr>
        <w:outlineLvl w:val="2"/>
      </w:pPr>
      <w:r/>
      <w:bookmarkStart w:id="123" w:name="_Toc2687"/>
      <w:r/>
      <w:bookmarkStart w:id="124" w:name="_Toc30054"/>
      <w:r/>
      <w:bookmarkStart w:id="125" w:name="_Toc2012"/>
      <w:r>
        <w:rPr>
          <w:rFonts w:hint="eastAsia" w:cs="宋体" w:asciiTheme="minorEastAsia" w:hAnsiTheme="minorEastAsia" w:eastAsiaTheme="minorEastAsia"/>
          <w:sz w:val="24"/>
        </w:rPr>
        <w:t xml:space="preserve">13.1 投标人需对招标文件中的技术要求与商务要求逐项</w:t>
      </w:r>
      <w:r>
        <w:rPr>
          <w:rFonts w:hint="eastAsia" w:cs="宋体" w:asciiTheme="minorEastAsia" w:hAnsiTheme="minorEastAsia" w:eastAsiaTheme="minorEastAsia"/>
          <w:sz w:val="24"/>
        </w:rPr>
        <w:t xml:space="preserve">作出</w:t>
      </w:r>
      <w:r>
        <w:rPr>
          <w:rFonts w:hint="eastAsia" w:cs="宋体" w:asciiTheme="minorEastAsia" w:hAnsiTheme="minorEastAsia" w:eastAsiaTheme="minorEastAsia"/>
          <w:sz w:val="24"/>
        </w:rPr>
        <w:t xml:space="preserve">响应或偏离，并说明原因。</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13.2 投标人可在投标文件中提供认为需要的其他技术文件或说明。</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14、</w:t>
      </w:r>
      <w:bookmarkEnd w:id="123"/>
      <w:r/>
      <w:bookmarkEnd w:id="124"/>
      <w:r/>
      <w:bookmarkEnd w:id="125"/>
      <w:r>
        <w:rPr>
          <w:rFonts w:hint="eastAsia" w:cs="宋体" w:asciiTheme="minorEastAsia" w:hAnsiTheme="minorEastAsia" w:eastAsiaTheme="minorEastAsia"/>
          <w:b/>
          <w:sz w:val="24"/>
        </w:rPr>
        <w:t xml:space="preserve">服务方案及人员配备等</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14.1投标人需根据招标文件要求提供</w:t>
      </w:r>
      <w:r>
        <w:rPr>
          <w:rFonts w:hint="eastAsia" w:cs="宋体" w:asciiTheme="minorEastAsia" w:hAnsiTheme="minorEastAsia" w:eastAsiaTheme="minorEastAsia"/>
          <w:sz w:val="24"/>
        </w:rPr>
        <w:t xml:space="preserve">相应方案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14.2投标人需根据招标文件要求提供</w:t>
      </w:r>
      <w:r>
        <w:rPr>
          <w:rFonts w:hint="eastAsia" w:cs="宋体" w:asciiTheme="minorEastAsia" w:hAnsiTheme="minorEastAsia" w:eastAsiaTheme="minorEastAsia"/>
          <w:sz w:val="24"/>
        </w:rPr>
        <w:t xml:space="preserve">人员配备方案</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26" w:name="_Toc5756"/>
      <w:r/>
      <w:bookmarkStart w:id="127" w:name="_Toc24671"/>
      <w:r/>
      <w:bookmarkStart w:id="128" w:name="_Toc10014"/>
      <w:r>
        <w:rPr>
          <w:rFonts w:cs="宋体" w:asciiTheme="minorEastAsia" w:hAnsiTheme="minorEastAsia" w:eastAsiaTheme="minorEastAsia"/>
          <w:b/>
          <w:sz w:val="24"/>
        </w:rPr>
        <w:t xml:space="preserve">15、投标函和开标一览表</w:t>
      </w:r>
      <w:bookmarkEnd w:id="126"/>
      <w:r/>
      <w:bookmarkEnd w:id="127"/>
      <w:r/>
      <w:bookmarkEnd w:id="128"/>
      <w:r/>
      <w:r/>
    </w:p>
    <w:p>
      <w:pPr>
        <w:ind w:firstLine="480"/>
        <w:rPr>
          <w:rFonts w:asciiTheme="minorEastAsia" w:hAnsiTheme="minorEastAsia" w:eastAsiaTheme="minorEastAsia"/>
        </w:rPr>
      </w:pPr>
      <w:r>
        <w:rPr>
          <w:rFonts w:cs="宋体" w:asciiTheme="minorEastAsia" w:hAnsiTheme="minorEastAsia" w:eastAsiaTheme="minorEastAsia"/>
          <w:sz w:val="24"/>
        </w:rPr>
        <w:t xml:space="preserve">15.1投标人应按照招标文件中提供的格式完整、正确填写投标函、开标一览表。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rPr>
        <w:outlineLvl w:val="2"/>
      </w:pPr>
      <w:r/>
      <w:bookmarkStart w:id="129" w:name="_Toc997"/>
      <w:r/>
      <w:bookmarkStart w:id="130" w:name="_Toc16777"/>
      <w:r/>
      <w:bookmarkStart w:id="131" w:name="_Toc10636"/>
      <w:r>
        <w:rPr>
          <w:rFonts w:cs="宋体" w:asciiTheme="minorEastAsia" w:hAnsiTheme="minorEastAsia" w:eastAsiaTheme="minorEastAsia"/>
          <w:b/>
          <w:sz w:val="24"/>
        </w:rPr>
        <w:t xml:space="preserve">16、投标有效期</w:t>
      </w:r>
      <w:bookmarkEnd w:id="129"/>
      <w:r/>
      <w:bookmarkEnd w:id="130"/>
      <w:r/>
      <w:bookmarkEnd w:id="131"/>
      <w:r/>
      <w:r/>
    </w:p>
    <w:p>
      <w:pPr>
        <w:ind w:firstLine="480"/>
        <w:rPr>
          <w:rFonts w:asciiTheme="minorEastAsia" w:hAnsiTheme="minorEastAsia" w:eastAsiaTheme="minorEastAsia"/>
        </w:rPr>
      </w:pPr>
      <w:r>
        <w:rPr>
          <w:rFonts w:cs="宋体" w:asciiTheme="minorEastAsia" w:hAnsiTheme="minorEastAsia" w:eastAsiaTheme="minorEastAsia"/>
          <w:sz w:val="24"/>
        </w:rPr>
        <w:t xml:space="preserve">16.1投标有效期为开标之日</w:t>
      </w:r>
      <w:r>
        <w:rPr>
          <w:rFonts w:hint="eastAsia" w:cs="宋体" w:asciiTheme="minorEastAsia" w:hAnsiTheme="minorEastAsia" w:eastAsiaTheme="minorEastAsia"/>
          <w:sz w:val="24"/>
        </w:rPr>
        <w:t xml:space="preserve">起</w:t>
      </w:r>
      <w:r>
        <w:rPr>
          <w:rFonts w:cs="宋体" w:asciiTheme="minorEastAsia" w:hAnsiTheme="minorEastAsia" w:eastAsiaTheme="minorEastAsia"/>
          <w:b/>
          <w:sz w:val="24"/>
          <w:u w:val="single"/>
        </w:rPr>
        <w:t xml:space="preserve">九十（90）天</w:t>
      </w:r>
      <w:r>
        <w:rPr>
          <w:rFonts w:cs="宋体" w:asciiTheme="minorEastAsia" w:hAnsiTheme="minorEastAsia" w:eastAsiaTheme="minorEastAsia"/>
          <w:sz w:val="24"/>
        </w:rPr>
        <w:t xml:space="preserve">。投标有效期比规定短的将被视为未实质性响应招标文件而予以拒绝。</w:t>
      </w:r>
      <w:r/>
    </w:p>
    <w:p>
      <w:pPr>
        <w:ind w:firstLine="482"/>
        <w:spacing w:before="161"/>
        <w:rPr>
          <w:rFonts w:asciiTheme="minorEastAsia" w:hAnsiTheme="minorEastAsia" w:eastAsiaTheme="minorEastAsia"/>
        </w:rPr>
        <w:outlineLvl w:val="2"/>
      </w:pPr>
      <w:r/>
      <w:bookmarkStart w:id="132" w:name="_Toc11883"/>
      <w:r/>
      <w:bookmarkStart w:id="133" w:name="_Toc4897"/>
      <w:r/>
      <w:bookmarkStart w:id="134" w:name="_Toc4091"/>
      <w:r>
        <w:rPr>
          <w:rFonts w:cs="宋体" w:asciiTheme="minorEastAsia" w:hAnsiTheme="minorEastAsia" w:eastAsiaTheme="minorEastAsia"/>
          <w:b/>
          <w:sz w:val="24"/>
        </w:rPr>
        <w:t xml:space="preserve">17、投标有效期的延长</w:t>
      </w:r>
      <w:bookmarkEnd w:id="132"/>
      <w:r/>
      <w:bookmarkEnd w:id="133"/>
      <w:r/>
      <w:bookmarkEnd w:id="1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17.1在特殊情况下，</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的这一要求</w:t>
      </w:r>
      <w:r>
        <w:rPr>
          <w:rFonts w:cs="宋体" w:asciiTheme="minorEastAsia" w:hAnsiTheme="minorEastAsia" w:eastAsiaTheme="minorEastAsia"/>
          <w:sz w:val="24"/>
        </w:rPr>
        <w:t xml:space="preserve">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35" w:name="_Toc20024"/>
      <w:r/>
      <w:bookmarkStart w:id="136" w:name="_Toc9926"/>
      <w:r/>
      <w:bookmarkStart w:id="137" w:name="_Toc194500869"/>
      <w:r/>
      <w:bookmarkStart w:id="138" w:name="_Toc23862"/>
      <w:r/>
      <w:bookmarkStart w:id="139" w:name="_Toc17032"/>
      <w:r>
        <w:rPr>
          <w:rFonts w:cs="宋体" w:asciiTheme="minorEastAsia" w:hAnsiTheme="minorEastAsia" w:eastAsiaTheme="minorEastAsia"/>
          <w:b/>
          <w:sz w:val="24"/>
        </w:rPr>
        <w:t xml:space="preserve">四、投标文件的递交</w:t>
      </w:r>
      <w:bookmarkEnd w:id="135"/>
      <w:r/>
      <w:bookmarkEnd w:id="136"/>
      <w:r/>
      <w:bookmarkEnd w:id="137"/>
      <w:r/>
      <w:bookmarkEnd w:id="138"/>
      <w:r/>
      <w:bookmarkEnd w:id="139"/>
      <w:r/>
      <w:r/>
    </w:p>
    <w:p>
      <w:pPr>
        <w:ind w:firstLine="482"/>
        <w:spacing w:before="161"/>
        <w:rPr>
          <w:rFonts w:asciiTheme="minorEastAsia" w:hAnsiTheme="minorEastAsia" w:eastAsiaTheme="minorEastAsia"/>
        </w:rPr>
        <w:outlineLvl w:val="2"/>
      </w:pPr>
      <w:r/>
      <w:bookmarkStart w:id="140" w:name="_Toc2169"/>
      <w:r/>
      <w:bookmarkStart w:id="141" w:name="_Toc23420"/>
      <w:r/>
      <w:bookmarkStart w:id="142" w:name="_Toc3515"/>
      <w:r>
        <w:rPr>
          <w:rFonts w:cs="宋体" w:asciiTheme="minorEastAsia" w:hAnsiTheme="minorEastAsia" w:eastAsiaTheme="minorEastAsia"/>
          <w:b/>
          <w:sz w:val="24"/>
        </w:rPr>
        <w:t xml:space="preserve">18、电子投标文件的递交</w:t>
      </w:r>
      <w:bookmarkEnd w:id="140"/>
      <w:r/>
      <w:bookmarkEnd w:id="141"/>
      <w:r/>
      <w:bookmarkEnd w:id="142"/>
      <w:r/>
      <w:r/>
    </w:p>
    <w:p>
      <w:pPr>
        <w:ind w:firstLine="480"/>
        <w:rPr>
          <w:rFonts w:asciiTheme="minorEastAsia" w:hAnsiTheme="minorEastAsia" w:eastAsiaTheme="minorEastAsia"/>
        </w:rPr>
      </w:pPr>
      <w:r>
        <w:rPr>
          <w:rFonts w:cs="宋体" w:asciiTheme="minorEastAsia" w:hAnsiTheme="minorEastAsia" w:eastAsiaTheme="minorEastAsia"/>
          <w:sz w:val="24"/>
        </w:rPr>
        <w:t xml:space="preserve">18.1投标人应当按照《操作手册》规定，在投标截止时间</w:t>
      </w:r>
      <w:r>
        <w:rPr>
          <w:rFonts w:cs="宋体" w:asciiTheme="minorEastAsia" w:hAnsiTheme="minorEastAsia" w:eastAsiaTheme="minorEastAsia"/>
          <w:sz w:val="24"/>
        </w:rPr>
        <w:t xml:space="preserve">前制作</w:t>
      </w:r>
      <w:r>
        <w:rPr>
          <w:rFonts w:cs="宋体" w:asciiTheme="minorEastAsia" w:hAnsiTheme="minorEastAsia" w:eastAsiaTheme="minorEastAsia"/>
          <w:sz w:val="24"/>
        </w:rPr>
        <w:t xml:space="preserve">并上传电子投标文件。</w:t>
      </w:r>
      <w:r/>
    </w:p>
    <w:p>
      <w:pPr>
        <w:ind w:firstLine="482"/>
        <w:spacing w:before="161"/>
        <w:rPr>
          <w:rFonts w:asciiTheme="minorEastAsia" w:hAnsiTheme="minorEastAsia" w:eastAsiaTheme="minorEastAsia"/>
        </w:rPr>
        <w:outlineLvl w:val="2"/>
      </w:pPr>
      <w:r/>
      <w:bookmarkStart w:id="143" w:name="_Toc12413"/>
      <w:r/>
      <w:bookmarkStart w:id="144" w:name="_Toc5011"/>
      <w:r/>
      <w:bookmarkStart w:id="145" w:name="_Toc15219"/>
      <w:r>
        <w:rPr>
          <w:rFonts w:cs="宋体" w:asciiTheme="minorEastAsia" w:hAnsiTheme="minorEastAsia" w:eastAsiaTheme="minorEastAsia"/>
          <w:b/>
          <w:sz w:val="24"/>
        </w:rPr>
        <w:t xml:space="preserve">19、投标截止日期</w:t>
      </w:r>
      <w:bookmarkEnd w:id="143"/>
      <w:r/>
      <w:bookmarkEnd w:id="144"/>
      <w:r/>
      <w:bookmarkEnd w:id="145"/>
      <w:r/>
      <w:r/>
    </w:p>
    <w:p>
      <w:pPr>
        <w:ind w:firstLine="480"/>
        <w:rPr>
          <w:rFonts w:asciiTheme="minorEastAsia" w:hAnsiTheme="minorEastAsia" w:eastAsiaTheme="minorEastAsia"/>
        </w:rPr>
      </w:pPr>
      <w:r>
        <w:rPr>
          <w:rFonts w:cs="宋体" w:asciiTheme="minorEastAsia" w:hAnsiTheme="minorEastAsia" w:eastAsiaTheme="minorEastAsia"/>
          <w:sz w:val="24"/>
        </w:rPr>
        <w:t xml:space="preserve">19.1投标人上传电子投标文件的时间不得迟于招标公告中规定的投标截止时间。</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rPr>
        <w:outlineLvl w:val="2"/>
      </w:pPr>
      <w:r/>
      <w:bookmarkStart w:id="146" w:name="_Toc14611"/>
      <w:r/>
      <w:bookmarkStart w:id="147" w:name="_Toc7348"/>
      <w:r/>
      <w:bookmarkStart w:id="148" w:name="_Toc2267"/>
      <w:r>
        <w:rPr>
          <w:rFonts w:cs="宋体" w:asciiTheme="minorEastAsia" w:hAnsiTheme="minorEastAsia" w:eastAsiaTheme="minorEastAsia"/>
          <w:b/>
          <w:sz w:val="24"/>
        </w:rPr>
        <w:t xml:space="preserve">20、投标文件的拒收</w:t>
      </w:r>
      <w:bookmarkEnd w:id="146"/>
      <w:r/>
      <w:bookmarkEnd w:id="147"/>
      <w:r/>
      <w:bookmarkEnd w:id="148"/>
      <w:r/>
      <w:r/>
    </w:p>
    <w:p>
      <w:pPr>
        <w:ind w:firstLine="480"/>
        <w:rPr>
          <w:rFonts w:asciiTheme="minorEastAsia" w:hAnsiTheme="minorEastAsia" w:eastAsiaTheme="minorEastAsia"/>
        </w:rPr>
      </w:pPr>
      <w:r>
        <w:rPr>
          <w:rFonts w:cs="宋体" w:asciiTheme="minorEastAsia" w:hAnsiTheme="minorEastAsia" w:eastAsiaTheme="minorEastAsia"/>
          <w:sz w:val="24"/>
        </w:rPr>
        <w:t xml:space="preserve">20.1 采购代理机构拒绝接收在其规定的投标截止时间后上传的任何投标文件。</w:t>
      </w:r>
      <w:r/>
    </w:p>
    <w:p>
      <w:pPr>
        <w:ind w:firstLine="482"/>
        <w:spacing w:before="161"/>
        <w:rPr>
          <w:rFonts w:asciiTheme="minorEastAsia" w:hAnsiTheme="minorEastAsia" w:eastAsiaTheme="minorEastAsia"/>
        </w:rPr>
        <w:outlineLvl w:val="2"/>
      </w:pPr>
      <w:r/>
      <w:bookmarkStart w:id="149" w:name="_Toc11769"/>
      <w:r/>
      <w:bookmarkStart w:id="150" w:name="_Toc27685"/>
      <w:r/>
      <w:bookmarkStart w:id="151" w:name="_Toc5294"/>
      <w:r>
        <w:rPr>
          <w:rFonts w:cs="宋体" w:asciiTheme="minorEastAsia" w:hAnsiTheme="minorEastAsia" w:eastAsiaTheme="minorEastAsia"/>
          <w:b/>
          <w:sz w:val="24"/>
        </w:rPr>
        <w:t xml:space="preserve">21、投标文件的撤回和修改</w:t>
      </w:r>
      <w:bookmarkEnd w:id="149"/>
      <w:r/>
      <w:bookmarkEnd w:id="150"/>
      <w:r/>
      <w:bookmarkEnd w:id="151"/>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 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21.1.1 电子投标文件的撤回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投标人可在投标截止时间前，撤回其电子投标文件，具体操作方法见《操作手册》。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21.1.2 投标人撤回电子投标文件，则认为其不再参与本项目投标活动。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 投标文件的修改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21.2.1投标人可在投标截止时间前，对其电子投标文件进行修改，具体操作方法见《操作手册》。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21.2.2 在投标截止时间之后，投标人不得对其电子投标文件作任何修改。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21.3 在投标截止时间至招标文件中规定的投标有效期满之间的这段时间内，投标人不得撤回其投标。</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52" w:name="_Toc29449"/>
      <w:r/>
      <w:bookmarkStart w:id="153" w:name="_Toc19690"/>
      <w:r/>
      <w:bookmarkStart w:id="154" w:name="_Toc24542"/>
      <w:r/>
      <w:bookmarkStart w:id="155" w:name="_Toc23795"/>
      <w:r/>
      <w:bookmarkStart w:id="156" w:name="_Toc194500870"/>
      <w:r>
        <w:rPr>
          <w:rFonts w:cs="宋体" w:asciiTheme="minorEastAsia" w:hAnsiTheme="minorEastAsia" w:eastAsiaTheme="minorEastAsia"/>
          <w:b/>
          <w:sz w:val="24"/>
        </w:rPr>
        <w:t xml:space="preserve">五、开标与评标</w:t>
      </w:r>
      <w:bookmarkEnd w:id="152"/>
      <w:r/>
      <w:bookmarkEnd w:id="153"/>
      <w:r/>
      <w:bookmarkEnd w:id="154"/>
      <w:r/>
      <w:bookmarkEnd w:id="155"/>
      <w:r/>
      <w:bookmarkEnd w:id="156"/>
      <w:r/>
      <w:r/>
    </w:p>
    <w:p>
      <w:pPr>
        <w:ind w:firstLine="482"/>
        <w:spacing w:before="161"/>
        <w:rPr>
          <w:rFonts w:asciiTheme="minorEastAsia" w:hAnsiTheme="minorEastAsia" w:eastAsiaTheme="minorEastAsia"/>
        </w:rPr>
        <w:outlineLvl w:val="2"/>
      </w:pPr>
      <w:r/>
      <w:bookmarkStart w:id="157" w:name="_Toc832"/>
      <w:r/>
      <w:bookmarkStart w:id="158" w:name="_Toc27136"/>
      <w:r/>
      <w:bookmarkStart w:id="159" w:name="_Toc31936"/>
      <w:r>
        <w:rPr>
          <w:rFonts w:cs="宋体" w:asciiTheme="minorEastAsia" w:hAnsiTheme="minorEastAsia" w:eastAsiaTheme="minorEastAsia"/>
          <w:b/>
          <w:sz w:val="24"/>
        </w:rPr>
        <w:t xml:space="preserve">22、开标</w:t>
      </w:r>
      <w:bookmarkEnd w:id="157"/>
      <w:r/>
      <w:bookmarkEnd w:id="158"/>
      <w:r/>
      <w:bookmarkEnd w:id="159"/>
      <w:r/>
      <w:r/>
    </w:p>
    <w:p>
      <w:pPr>
        <w:ind w:firstLine="480"/>
        <w:rPr>
          <w:rFonts w:asciiTheme="minorEastAsia" w:hAnsiTheme="minorEastAsia" w:eastAsiaTheme="minorEastAsia"/>
        </w:rPr>
      </w:pPr>
      <w:r>
        <w:rPr>
          <w:rFonts w:cs="宋体" w:asciiTheme="minorEastAsia" w:hAnsiTheme="minorEastAsia" w:eastAsiaTheme="minorEastAsia"/>
          <w:sz w:val="24"/>
        </w:rPr>
        <w:t xml:space="preserve">22.1 采购代理机构将在招标公告中规定的时间和地点组织公开开标。投标人应当按照</w:t>
      </w:r>
      <w:r>
        <w:rPr>
          <w:rFonts w:cs="宋体" w:asciiTheme="minorEastAsia" w:hAnsiTheme="minorEastAsia" w:eastAsiaTheme="minorEastAsia"/>
          <w:sz w:val="24"/>
        </w:rPr>
        <w:t xml:space="preserve">《操作手册》规定，参加开标活动和在苏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系统规定的时间内对投标文件进行解密。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22.2 开标仪式由采购代理机构组织。苏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系统将自动对项目进行开标，并宣布各投标人名称和投标价格。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22.3 投标人在开标过程中涉及到的投标文件解密、开标结果确认等工作，应按照《操作手册》规定执行。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22.4 投标人如果对开标过程和开标记录有疑义，应当根据《操作手册》规定提出，如苏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系统中《开标记录表》宣布后5分钟内未提出的，视同认可开标结果。</w:t>
      </w:r>
      <w:r/>
    </w:p>
    <w:p>
      <w:pPr>
        <w:ind w:firstLine="482"/>
        <w:spacing w:before="161"/>
        <w:rPr>
          <w:rFonts w:asciiTheme="minorEastAsia" w:hAnsiTheme="minorEastAsia" w:eastAsiaTheme="minorEastAsia"/>
        </w:rPr>
        <w:outlineLvl w:val="2"/>
      </w:pPr>
      <w:r/>
      <w:bookmarkStart w:id="160" w:name="_Toc8566"/>
      <w:r/>
      <w:bookmarkStart w:id="161" w:name="_Toc17534"/>
      <w:r/>
      <w:bookmarkStart w:id="162" w:name="_Toc18519"/>
      <w:r>
        <w:rPr>
          <w:rFonts w:cs="宋体" w:asciiTheme="minorEastAsia" w:hAnsiTheme="minorEastAsia" w:eastAsiaTheme="minorEastAsia"/>
          <w:b/>
          <w:sz w:val="24"/>
        </w:rPr>
        <w:t xml:space="preserve">23、评标委员会</w:t>
      </w:r>
      <w:bookmarkEnd w:id="160"/>
      <w:r/>
      <w:bookmarkEnd w:id="161"/>
      <w:r/>
      <w:bookmarkEnd w:id="162"/>
      <w:r/>
      <w:r/>
    </w:p>
    <w:p>
      <w:pPr>
        <w:ind w:firstLine="480"/>
        <w:rPr>
          <w:rFonts w:asciiTheme="minorEastAsia" w:hAnsiTheme="minorEastAsia" w:eastAsiaTheme="minorEastAsia"/>
        </w:rPr>
      </w:pPr>
      <w:r>
        <w:rPr>
          <w:rFonts w:cs="宋体" w:asciiTheme="minorEastAsia" w:hAnsiTheme="minorEastAsia" w:eastAsiaTheme="minorEastAsia"/>
          <w:sz w:val="24"/>
        </w:rPr>
        <w:t xml:space="preserve">23.1开标后，采购代理机构将立即组织评标委员会（以下简称评委会）进行评标。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23.2 评委会由采购人代表和有关技术、经济等方面的专家组成，</w:t>
      </w:r>
      <w:r>
        <w:rPr>
          <w:rFonts w:cs="宋体" w:asciiTheme="minorEastAsia" w:hAnsiTheme="minorEastAsia" w:eastAsiaTheme="minorEastAsia"/>
          <w:sz w:val="24"/>
        </w:rPr>
        <w:t xml:space="preserve">且人员</w:t>
      </w:r>
      <w:r>
        <w:rPr>
          <w:rFonts w:cs="宋体" w:asciiTheme="minorEastAsia" w:hAnsiTheme="minorEastAsia" w:eastAsiaTheme="minorEastAsia"/>
          <w:sz w:val="24"/>
        </w:rPr>
        <w:t xml:space="preserve">构成符合政府采购有关规定。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23.3评委会独立工作，负责评审所有投标文件并确定中标候选人。</w:t>
      </w:r>
      <w:r/>
    </w:p>
    <w:p>
      <w:pPr>
        <w:ind w:firstLine="482"/>
        <w:spacing w:before="161"/>
        <w:rPr>
          <w:rFonts w:asciiTheme="minorEastAsia" w:hAnsiTheme="minorEastAsia" w:eastAsiaTheme="minorEastAsia"/>
        </w:rPr>
        <w:outlineLvl w:val="2"/>
      </w:pPr>
      <w:r/>
      <w:bookmarkStart w:id="163" w:name="_Toc4363"/>
      <w:r/>
      <w:bookmarkStart w:id="164" w:name="_Toc28337"/>
      <w:r/>
      <w:bookmarkStart w:id="165" w:name="_Toc18807"/>
      <w:r>
        <w:rPr>
          <w:rFonts w:cs="宋体" w:asciiTheme="minorEastAsia" w:hAnsiTheme="minorEastAsia" w:eastAsiaTheme="minorEastAsia"/>
          <w:b/>
          <w:sz w:val="24"/>
        </w:rPr>
        <w:t xml:space="preserve">24．评标过程的保密与公正</w:t>
      </w:r>
      <w:bookmarkEnd w:id="163"/>
      <w:r/>
      <w:bookmarkEnd w:id="164"/>
      <w:r/>
      <w:bookmarkEnd w:id="165"/>
      <w:r/>
      <w:r/>
    </w:p>
    <w:p>
      <w:pPr>
        <w:ind w:firstLine="480"/>
        <w:rPr>
          <w:rFonts w:asciiTheme="minorEastAsia" w:hAnsiTheme="minorEastAsia" w:eastAsiaTheme="minorEastAsia"/>
        </w:rPr>
      </w:pPr>
      <w:r>
        <w:rPr>
          <w:rFonts w:cs="宋体" w:asciiTheme="minorEastAsia" w:hAnsiTheme="minorEastAsia" w:eastAsiaTheme="minorEastAsia"/>
          <w:sz w:val="24"/>
        </w:rPr>
        <w:t xml:space="preserve">24.1 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24.2 在评标过程中，投标人不得以任何行为影响评标过程，否则其投标文件将被作为无效投标文件。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24.3 采购代理机构和评标委员会不向未中标的投标人解释未中标原因，也不公布评标过程中的相关细节。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24.4 采用综合评分法的项目，未中标的投标人可于中标结果公告期限届满之日起通过苏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系统查看自己的评审得分及排序情况。</w:t>
      </w:r>
      <w:r/>
    </w:p>
    <w:p>
      <w:pPr>
        <w:ind w:firstLine="482"/>
        <w:spacing w:before="161"/>
        <w:rPr>
          <w:rFonts w:asciiTheme="minorEastAsia" w:hAnsiTheme="minorEastAsia" w:eastAsiaTheme="minorEastAsia"/>
        </w:rPr>
        <w:outlineLvl w:val="2"/>
      </w:pPr>
      <w:r/>
      <w:bookmarkStart w:id="166" w:name="_Toc3225"/>
      <w:r/>
      <w:bookmarkStart w:id="167" w:name="_Toc16416"/>
      <w:r/>
      <w:bookmarkStart w:id="168" w:name="_Toc17272"/>
      <w:r>
        <w:rPr>
          <w:rFonts w:cs="宋体" w:asciiTheme="minorEastAsia" w:hAnsiTheme="minorEastAsia" w:eastAsiaTheme="minorEastAsia"/>
          <w:b/>
          <w:sz w:val="24"/>
        </w:rPr>
        <w:t xml:space="preserve">25．投标文件的澄清</w:t>
      </w:r>
      <w:bookmarkEnd w:id="166"/>
      <w:r/>
      <w:bookmarkEnd w:id="167"/>
      <w:r/>
      <w:bookmarkEnd w:id="168"/>
      <w:r/>
      <w:r/>
    </w:p>
    <w:p>
      <w:pPr>
        <w:ind w:firstLine="480"/>
        <w:rPr>
          <w:rFonts w:asciiTheme="minorEastAsia" w:hAnsiTheme="minorEastAsia" w:eastAsiaTheme="minorEastAsia"/>
        </w:rPr>
      </w:pPr>
      <w:r>
        <w:rPr>
          <w:rFonts w:cs="宋体" w:asciiTheme="minorEastAsia" w:hAnsiTheme="minorEastAsia" w:eastAsiaTheme="minorEastAsia"/>
          <w:sz w:val="24"/>
        </w:rPr>
        <w:t xml:space="preserve">25.1评标期间，评委会对投标文件中含义不明确、同类问题表述不一致或者有明显文字和计算错误的内容 ，有权要求投标人</w:t>
      </w:r>
      <w:r>
        <w:rPr>
          <w:rFonts w:cs="宋体" w:asciiTheme="minorEastAsia" w:hAnsiTheme="minorEastAsia" w:eastAsiaTheme="minorEastAsia"/>
          <w:sz w:val="24"/>
        </w:rPr>
        <w:t xml:space="preserve">作出</w:t>
      </w:r>
      <w:r>
        <w:rPr>
          <w:rFonts w:cs="宋体" w:asciiTheme="minorEastAsia" w:hAnsiTheme="minorEastAsia" w:eastAsiaTheme="minorEastAsia"/>
          <w:sz w:val="24"/>
        </w:rPr>
        <w:t xml:space="preserve">必要的澄清、说明或者补正。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投标人的澄清、说明或者补正不得超出投标文件的范围或者改变投标文件的实质性内容。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评标委员会并非对每个投标人都做澄清要求。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25.2需要供应商进行澄清、说明和补正的，评委会将通过苏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系统向供应商发出“澄清要求函”，接到“澄清要求函”的投标人应当按照要求在苏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系统中提交“澄清响应函”并加盖CA电子公章。澄清、说明和补正的内容作为投标文件的补充部分，具体操作方式见《操作手册》。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25.3 接到评委会澄清、说明和补正要求的投标人如未按规定做出澄清、说明和补正，</w:t>
      </w:r>
      <w:r>
        <w:rPr>
          <w:rFonts w:cs="宋体" w:asciiTheme="minorEastAsia" w:hAnsiTheme="minorEastAsia" w:eastAsiaTheme="minorEastAsia"/>
          <w:sz w:val="24"/>
        </w:rPr>
        <w:t xml:space="preserve">其风险由投标人自行承担。</w:t>
      </w:r>
      <w:r/>
    </w:p>
    <w:p>
      <w:pPr>
        <w:ind w:firstLine="482"/>
        <w:spacing w:before="161"/>
        <w:rPr>
          <w:rFonts w:asciiTheme="minorEastAsia" w:hAnsiTheme="minorEastAsia" w:eastAsiaTheme="minorEastAsia"/>
        </w:rPr>
        <w:outlineLvl w:val="2"/>
      </w:pPr>
      <w:r/>
      <w:bookmarkStart w:id="169" w:name="_Toc6592"/>
      <w:r/>
      <w:bookmarkStart w:id="170" w:name="_Toc27739"/>
      <w:r/>
      <w:bookmarkStart w:id="171" w:name="_Toc16586"/>
      <w:r>
        <w:rPr>
          <w:rFonts w:cs="宋体" w:asciiTheme="minorEastAsia" w:hAnsiTheme="minorEastAsia" w:eastAsiaTheme="minorEastAsia"/>
          <w:b/>
          <w:sz w:val="24"/>
        </w:rPr>
        <w:t xml:space="preserve">26、对投标文件的初审</w:t>
      </w:r>
      <w:bookmarkEnd w:id="169"/>
      <w:r/>
      <w:bookmarkEnd w:id="170"/>
      <w:r/>
      <w:bookmarkEnd w:id="171"/>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 投标文件初审分为资格审查和符合性审查。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26.1.1 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26.1.2 符合性审查：依据招标文件的规定，由评委会从投标文件的有效性、完整性和对招标文件的响应程度进行审查，以确定是否对招标文件的实质性要求</w:t>
      </w:r>
      <w:r>
        <w:rPr>
          <w:rFonts w:cs="宋体" w:asciiTheme="minorEastAsia" w:hAnsiTheme="minorEastAsia" w:eastAsiaTheme="minorEastAsia"/>
          <w:sz w:val="24"/>
        </w:rPr>
        <w:t xml:space="preserve">作出</w:t>
      </w:r>
      <w:r>
        <w:rPr>
          <w:rFonts w:cs="宋体" w:asciiTheme="minorEastAsia" w:hAnsiTheme="minorEastAsia" w:eastAsiaTheme="minorEastAsia"/>
          <w:sz w:val="24"/>
        </w:rPr>
        <w:t xml:space="preserve">响应。</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26.1.3 未通过资格审查或符合性审查的投标人，采购代理机构将在苏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cs="宋体" w:asciiTheme="minorEastAsia" w:hAnsiTheme="minorEastAsia" w:eastAsiaTheme="minorEastAsia"/>
          <w:sz w:val="24"/>
        </w:rPr>
        <w:t xml:space="preserve">作出</w:t>
      </w:r>
      <w:r>
        <w:rPr>
          <w:rFonts w:cs="宋体" w:asciiTheme="minorEastAsia" w:hAnsiTheme="minorEastAsia" w:eastAsiaTheme="minorEastAsia"/>
          <w:sz w:val="24"/>
        </w:rPr>
        <w:t xml:space="preserve">结论。评委决定投标文件的</w:t>
      </w:r>
      <w:r>
        <w:rPr>
          <w:rFonts w:cs="宋体" w:asciiTheme="minorEastAsia" w:hAnsiTheme="minorEastAsia" w:eastAsiaTheme="minorEastAsia"/>
          <w:sz w:val="24"/>
        </w:rPr>
        <w:t xml:space="preserve">响应性只根据</w:t>
      </w:r>
      <w:r>
        <w:rPr>
          <w:rFonts w:cs="宋体" w:asciiTheme="minorEastAsia" w:hAnsiTheme="minorEastAsia" w:eastAsiaTheme="minorEastAsia"/>
          <w:sz w:val="24"/>
        </w:rPr>
        <w:t xml:space="preserve">投标文件本身的内容，而不寻求外部的证据。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26.4评委会将对确定为实质性响应的投标进行进一步审核，看其是否有计算上或累加上的算术错误，修正错误的原则如下：</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（1）投标文件中开标一览表内容与投标文件中相应内容不一致的，以开标一览表为准。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（2）大写金额和小写金额不一致的，以大写金额为准。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（3）单价金额小数点或者百分比有明显错位的，以开标一览表的总价为准，并修改单价。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（4）总价金额与按单价汇总金额不一致的，以单价金额计算结果为准。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同时出现两种以上错误的，按照前款规定的顺序修正。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26.5评委会将按上述修正错误的方法调整投标文件中的投标报价，并通过苏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系统告</w:t>
      </w:r>
      <w:r>
        <w:rPr>
          <w:rFonts w:cs="宋体" w:asciiTheme="minorEastAsia" w:hAnsiTheme="minorEastAsia" w:eastAsiaTheme="minorEastAsia"/>
          <w:sz w:val="24"/>
        </w:rPr>
        <w:t xml:space="preserve">知投标人，调整后的价格应对投标人具有约束力。如果投标人不接受修正后的价格，则其投标将被拒绝。</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26.7投标人在开、评标全过程中应保持通讯畅通，及时登录苏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系统查阅、答复相关信息，并安排专人与采购代理机构及评标委员会联系。</w:t>
      </w:r>
      <w:r/>
    </w:p>
    <w:p>
      <w:pPr>
        <w:ind w:firstLine="482"/>
        <w:spacing w:before="161"/>
        <w:rPr>
          <w:rFonts w:asciiTheme="minorEastAsia" w:hAnsiTheme="minorEastAsia" w:eastAsiaTheme="minorEastAsia"/>
        </w:rPr>
        <w:outlineLvl w:val="2"/>
      </w:pPr>
      <w:r/>
      <w:bookmarkStart w:id="172" w:name="_Toc21676"/>
      <w:r/>
      <w:bookmarkStart w:id="173" w:name="_Toc5175"/>
      <w:r/>
      <w:bookmarkStart w:id="174" w:name="_Toc24173"/>
      <w:r>
        <w:rPr>
          <w:rFonts w:cs="宋体" w:asciiTheme="minorEastAsia" w:hAnsiTheme="minorEastAsia" w:eastAsiaTheme="minorEastAsia"/>
          <w:b/>
          <w:sz w:val="24"/>
        </w:rPr>
        <w:t xml:space="preserve">27、无效投标条款</w:t>
      </w:r>
      <w:r>
        <w:rPr>
          <w:rFonts w:cs="宋体" w:asciiTheme="minorEastAsia" w:hAnsiTheme="minorEastAsia" w:eastAsiaTheme="minorEastAsia"/>
          <w:b/>
          <w:sz w:val="24"/>
        </w:rPr>
        <w:t xml:space="preserve">和废标条款</w:t>
      </w:r>
      <w:bookmarkEnd w:id="172"/>
      <w:r/>
      <w:bookmarkEnd w:id="173"/>
      <w:r/>
      <w:bookmarkEnd w:id="174"/>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 无效投标条款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27.1.1投标人在苏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系统规定的时间内未成功解密电子投标文件的。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27.1.2投标人未按照招标文件要求上传电子投标文件的。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27.1.3同一投标人提交两个（含两个）以上不同的投标报价的。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27.1.4投标人不具备招标文件中规定资格要求的。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27.1.5投标人的报价超过了采购预算或最高限价的。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27.1.6未通过符合性审查的。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27.1.7不符合招标文件中规定的实质性要求和条件的。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27.1.8</w:t>
      </w:r>
      <w:r>
        <w:rPr>
          <w:rFonts w:hint="eastAsia" w:cs="宋体" w:asciiTheme="minorEastAsia" w:hAnsiTheme="minorEastAsia" w:eastAsiaTheme="minorEastAsia"/>
          <w:b/>
          <w:sz w:val="24"/>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27.1.9投标文件含有采购人不能接受的附加条件的。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27.1.10</w:t>
      </w:r>
      <w:r>
        <w:rPr>
          <w:rFonts w:hint="eastAsia" w:cs="宋体" w:asciiTheme="minorEastAsia" w:hAnsiTheme="minorEastAsia" w:eastAsiaTheme="minorEastAsia"/>
          <w:sz w:val="24"/>
        </w:rPr>
        <w:t xml:space="preserve">评审过程中出现下列情形之一的，评审委员会应当启动异常低价投标（响应）审查程序：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（1）投标（响应）报价低于全部通过符合性审查供应商投标（响应）报价平均值50%的，即投标（响应）报价＜全部通过符合性审查供应商投标（响应）报价平均值×50%；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（2）投标（响应）报价低于通过符合性审查的次低报价供应商投标（响应）报价50%的，</w:t>
      </w:r>
      <w:r>
        <w:rPr>
          <w:rFonts w:hint="eastAsia" w:cs="宋体" w:asciiTheme="minorEastAsia" w:hAnsiTheme="minorEastAsia" w:eastAsiaTheme="minorEastAsia"/>
          <w:sz w:val="24"/>
        </w:rPr>
        <w:t xml:space="preserve">即投标（响应）报价＜通过符合性审查的次低报价供应商投标（响应）报价×50%；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（3）投标（响应）报价低于采购项目最高限价45%的，即投标（响应）报价＜采购项目最高限价×45%；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（4）评审委员会基于专业判断，认为供应商报价过低，有可能影响产品质量或者不能诚信履约的其他情形。</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启动异常低价投标（响应）审查后，评审委员会应当通过苏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系统要求相关供应商在评标现场合理的时间内，提供项目具体成本测算等与报价合理性相关的书面说明及相关证明材料，对投标（响应）价格</w:t>
      </w:r>
      <w:r>
        <w:rPr>
          <w:rFonts w:hint="eastAsia" w:cs="宋体" w:asciiTheme="minorEastAsia" w:hAnsiTheme="minorEastAsia" w:eastAsiaTheme="minorEastAsia"/>
          <w:sz w:val="24"/>
        </w:rPr>
        <w:t xml:space="preserve">作出</w:t>
      </w:r>
      <w:r>
        <w:rPr>
          <w:rFonts w:hint="eastAsia" w:cs="宋体" w:asciiTheme="minorEastAsia" w:hAnsiTheme="minorEastAsia" w:eastAsiaTheme="minorEastAsia"/>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27.1.11本项目采购产品被财政部、</w:t>
      </w:r>
      <w:r>
        <w:rPr>
          <w:rFonts w:cs="宋体" w:asciiTheme="minorEastAsia" w:hAnsiTheme="minorEastAsia" w:eastAsiaTheme="minorEastAsia"/>
          <w:sz w:val="24"/>
        </w:rPr>
        <w:t xml:space="preserve">国家发改委</w:t>
      </w:r>
      <w:r>
        <w:rPr>
          <w:rFonts w:cs="宋体" w:asciiTheme="minorEastAsia" w:hAnsiTheme="minorEastAsia" w:eastAsiaTheme="minorEastAsia"/>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27.1.12投标文件未按照招标文件要求加盖CA电子公章的。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27.1.13其他法律、法规及本招标文件规定的属无效投标的情形。</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w:t>
      </w:r>
      <w:r>
        <w:rPr>
          <w:rFonts w:cs="宋体" w:asciiTheme="minorEastAsia" w:hAnsiTheme="minorEastAsia" w:eastAsiaTheme="minorEastAsia"/>
          <w:sz w:val="24"/>
        </w:rPr>
        <w:t xml:space="preserve">废标条款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27.2.1符合专业条件的供应商或者对招标文件作实质响应的供应商不足三家的。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27.2.2出现影响采购公正的违法、违规行为的。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27.2.3因重大变故，采购任务取消的。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27.2.4评标委员会认定招标文件存在歧义、重大缺陷导致评审工作无法进行。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27.2.5因苏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系统系统故障原因造成开标不成功的。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27.3投标截止时间结束后参加投标的供应商不足三家的处理：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27.3.1如出现投标截止时间结束后参加投标的供应商或者在评标期间对招标文件做出实质响应的供应商不足三家情况，按政府采购相关规定执行。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75" w:name="_Toc27408"/>
      <w:r/>
      <w:bookmarkStart w:id="176" w:name="_Toc1840"/>
      <w:r/>
      <w:bookmarkStart w:id="177" w:name="_Toc5966"/>
      <w:r/>
      <w:bookmarkStart w:id="178" w:name="_Toc16229"/>
      <w:r/>
      <w:bookmarkStart w:id="179" w:name="_Toc194500871"/>
      <w:r>
        <w:rPr>
          <w:rFonts w:cs="宋体" w:asciiTheme="minorEastAsia" w:hAnsiTheme="minorEastAsia" w:eastAsiaTheme="minorEastAsia"/>
          <w:b/>
          <w:sz w:val="24"/>
        </w:rPr>
        <w:t xml:space="preserve">六、定标</w:t>
      </w:r>
      <w:bookmarkEnd w:id="175"/>
      <w:r/>
      <w:bookmarkEnd w:id="176"/>
      <w:r/>
      <w:bookmarkEnd w:id="177"/>
      <w:r/>
      <w:bookmarkEnd w:id="178"/>
      <w:r/>
      <w:bookmarkEnd w:id="179"/>
      <w:r/>
      <w:r/>
    </w:p>
    <w:p>
      <w:pPr>
        <w:ind w:firstLine="482"/>
        <w:spacing w:before="161"/>
        <w:rPr>
          <w:rFonts w:asciiTheme="minorEastAsia" w:hAnsiTheme="minorEastAsia" w:eastAsiaTheme="minorEastAsia"/>
        </w:rPr>
        <w:outlineLvl w:val="2"/>
      </w:pPr>
      <w:r/>
      <w:bookmarkStart w:id="180" w:name="_Toc7238"/>
      <w:r/>
      <w:bookmarkStart w:id="181" w:name="_Toc12070"/>
      <w:r/>
      <w:bookmarkStart w:id="182" w:name="_Toc6136"/>
      <w:r>
        <w:rPr>
          <w:rFonts w:cs="宋体" w:asciiTheme="minorEastAsia" w:hAnsiTheme="minorEastAsia" w:eastAsiaTheme="minorEastAsia"/>
          <w:b/>
          <w:sz w:val="24"/>
        </w:rPr>
        <w:t xml:space="preserve">28、确定中标单位</w:t>
      </w:r>
      <w:bookmarkEnd w:id="180"/>
      <w:r/>
      <w:bookmarkEnd w:id="181"/>
      <w:r/>
      <w:bookmarkEnd w:id="182"/>
      <w:r/>
      <w:r/>
    </w:p>
    <w:p>
      <w:pPr>
        <w:ind w:firstLine="480"/>
        <w:rPr>
          <w:rFonts w:asciiTheme="minorEastAsia" w:hAnsiTheme="minorEastAsia" w:eastAsiaTheme="minorEastAsia"/>
        </w:rPr>
      </w:pPr>
      <w:r>
        <w:rPr>
          <w:rFonts w:cs="宋体" w:asciiTheme="minorEastAsia" w:hAnsiTheme="minorEastAsia" w:eastAsiaTheme="minorEastAsia"/>
          <w:sz w:val="24"/>
        </w:rPr>
        <w:t xml:space="preserve">28.1中标候选人的选取原则和数量见招标文件第五章规定。 </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28.2 采购人应根据评委会推荐的中标候选人确定中标人。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28.3 采购代理机构将在“江苏政府采购网”发布中标公告，公告期限为1个工作日。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 若有充分证据证明，中标人出现下列情况之一的，一经查实，将被取消中标资格：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28.4.1 提供虚假材料谋取中标的。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28.4.2 向采购人、采购代理机构行贿或者提供其他不正当利益的。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28.4.3 属于本文件规定的无效条件，但在评标过程中又未被评委会发现的。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28.4.4 与采购人或者其他供应商恶意串通的。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28.4.5 采取不正当手段诋毁、排挤其他供应商的。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w:t>
      </w:r>
      <w:r>
        <w:rPr>
          <w:rFonts w:asciiTheme="minorEastAsia" w:hAnsiTheme="minorEastAsia" w:eastAsiaTheme="minorEastAsia"/>
        </w:rPr>
        <w:t xml:space="preserve"> </w:t>
      </w:r>
      <w:r>
        <w:rPr>
          <w:rFonts w:cs="宋体" w:asciiTheme="minorEastAsia" w:hAnsiTheme="minorEastAsia" w:eastAsiaTheme="minorEastAsia"/>
          <w:sz w:val="24"/>
        </w:rPr>
        <w:t xml:space="preserve">有下列情形之一的，视为投标人串通投标，投标无效：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28.5.1 不同投标人的投标文件由同一单位或者个人编制；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28.5.2 不同投标人委托同一单位或者个人办理投标事宜；</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28.5.3 不同投标人的投标文件载明的项目管理成员或者联系人员为同一人；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28.5.4 不同投标人的投标文件异常一致或者投标报价呈规律性差异；</w:t>
      </w:r>
      <w:r/>
    </w:p>
    <w:p>
      <w:pPr>
        <w:ind w:firstLine="482"/>
        <w:spacing w:before="161"/>
        <w:rPr>
          <w:rFonts w:asciiTheme="minorEastAsia" w:hAnsiTheme="minorEastAsia" w:eastAsiaTheme="minorEastAsia"/>
        </w:rPr>
        <w:outlineLvl w:val="2"/>
      </w:pPr>
      <w:r/>
      <w:bookmarkStart w:id="183" w:name="_Toc20091"/>
      <w:r/>
      <w:bookmarkStart w:id="184" w:name="_Toc22100"/>
      <w:r/>
      <w:bookmarkStart w:id="185" w:name="_Toc23187"/>
      <w:r>
        <w:rPr>
          <w:rFonts w:cs="宋体" w:asciiTheme="minorEastAsia" w:hAnsiTheme="minorEastAsia" w:eastAsiaTheme="minorEastAsia"/>
          <w:b/>
          <w:sz w:val="24"/>
        </w:rPr>
        <w:t xml:space="preserve">29、质疑处理</w:t>
      </w:r>
      <w:bookmarkEnd w:id="183"/>
      <w:r/>
      <w:bookmarkEnd w:id="184"/>
      <w:r/>
      <w:bookmarkEnd w:id="185"/>
      <w:r/>
      <w:r/>
    </w:p>
    <w:p>
      <w:pPr>
        <w:ind w:firstLine="480"/>
        <w:rPr>
          <w:rFonts w:asciiTheme="minorEastAsia" w:hAnsiTheme="minorEastAsia" w:eastAsiaTheme="minorEastAsia"/>
        </w:rPr>
      </w:pPr>
      <w:r>
        <w:rPr>
          <w:rFonts w:cs="宋体" w:asciiTheme="minorEastAsia" w:hAnsiTheme="minorEastAsia" w:eastAsiaTheme="minorEastAsia"/>
          <w:sz w:val="24"/>
        </w:rPr>
        <w:t xml:space="preserve">29.1 提出质疑的供应商应当是参与所质疑项目采购活动的供应商。潜在供应</w:t>
      </w:r>
      <w:r>
        <w:rPr>
          <w:rFonts w:cs="宋体" w:asciiTheme="minorEastAsia" w:hAnsiTheme="minorEastAsia" w:eastAsiaTheme="minorEastAsia"/>
          <w:sz w:val="24"/>
        </w:rPr>
        <w:t xml:space="preserve">商依法</w:t>
      </w:r>
      <w:r>
        <w:rPr>
          <w:rFonts w:cs="宋体" w:asciiTheme="minorEastAsia" w:hAnsiTheme="minorEastAsia" w:eastAsiaTheme="minorEastAsia"/>
          <w:sz w:val="24"/>
        </w:rPr>
        <w:t xml:space="preserve">获取其可质疑的采购文件的，可以对采购文件提出质疑。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asciiTheme="minorEastAsia" w:hAnsiTheme="minorEastAsia" w:eastAsiaTheme="minorEastAsia"/>
        </w:rPr>
      </w:pPr>
      <w:r>
        <w:rPr>
          <w:rFonts w:cs="宋体" w:asciiTheme="minorEastAsia" w:hAnsiTheme="minorEastAsia" w:eastAsiaTheme="minorEastAsia"/>
          <w:sz w:val="24"/>
        </w:rPr>
        <w:t xml:space="preserve">29.2.1对可以质疑的采购文件提出质疑的，为收到采购文件之日或者采购文件公告期限届满之日；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29.2.2对采购过程提出质疑的，为各采购程序环节结束之日；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29.2.3对中标或者成交结果提出质疑的，为中标或者成交结果公告期限届满之日。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cs="宋体" w:asciiTheme="minorEastAsia" w:hAnsiTheme="minorEastAsia" w:eastAsiaTheme="minorEastAsia"/>
          <w:sz w:val="24"/>
        </w:rPr>
        <w:t xml:space="preserve">作出</w:t>
      </w:r>
      <w:r>
        <w:rPr>
          <w:rFonts w:cs="宋体" w:asciiTheme="minorEastAsia" w:hAnsiTheme="minorEastAsia" w:eastAsiaTheme="minorEastAsia"/>
          <w:sz w:val="24"/>
        </w:rPr>
        <w:t xml:space="preserve">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29.3 质疑</w:t>
      </w:r>
      <w:r>
        <w:rPr>
          <w:rFonts w:cs="宋体" w:asciiTheme="minorEastAsia" w:hAnsiTheme="minorEastAsia" w:eastAsiaTheme="minorEastAsia"/>
          <w:sz w:val="24"/>
        </w:rPr>
        <w:t xml:space="preserve">函必须</w:t>
      </w:r>
      <w:r>
        <w:rPr>
          <w:rFonts w:cs="宋体" w:asciiTheme="minorEastAsia" w:hAnsiTheme="minorEastAsia" w:eastAsiaTheme="minorEastAsia"/>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29.4 供应商（含潜在供应商）对与本项目有关的所有询问、质疑均请向</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提出，由</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负责答复。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采购代理机构只接收以纸质原件形式送达的质疑,建议供应商尽量通过邮寄方式提交质</w:t>
      </w:r>
      <w:r>
        <w:rPr>
          <w:rFonts w:cs="宋体" w:asciiTheme="minorEastAsia" w:hAnsiTheme="minorEastAsia" w:eastAsiaTheme="minorEastAsia"/>
          <w:sz w:val="24"/>
        </w:rPr>
        <w:t xml:space="preserve">疑（不接受未填写快递运单的快件）。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采购代理机构质疑接收人：</w:t>
      </w:r>
      <w:r>
        <w:rPr>
          <w:rFonts w:hint="eastAsia" w:cs="宋体" w:asciiTheme="minorEastAsia" w:hAnsiTheme="minorEastAsia" w:eastAsiaTheme="minorEastAsia"/>
          <w:sz w:val="24"/>
        </w:rPr>
        <w:t xml:space="preserve">黄琳霖</w:t>
      </w:r>
      <w:r>
        <w:rPr>
          <w:rFonts w:cs="宋体" w:asciiTheme="minorEastAsia" w:hAnsiTheme="minorEastAsia" w:eastAsiaTheme="minorEastAsia"/>
          <w:sz w:val="24"/>
        </w:rPr>
        <w:t xml:space="preserve">，联系地址：南京市雨花台区软件大道</w:t>
      </w:r>
      <w:r>
        <w:rPr>
          <w:rFonts w:cs="宋体" w:asciiTheme="minorEastAsia" w:hAnsiTheme="minorEastAsia" w:eastAsiaTheme="minorEastAsia"/>
          <w:sz w:val="24"/>
        </w:rPr>
        <w:t xml:space="preserve">21号</w:t>
      </w:r>
      <w:r>
        <w:rPr>
          <w:rFonts w:hint="eastAsia" w:cs="宋体" w:asciiTheme="minorEastAsia" w:hAnsiTheme="minorEastAsia" w:eastAsiaTheme="minorEastAsia"/>
          <w:sz w:val="24"/>
        </w:rPr>
        <w:t xml:space="preserve">苏豪国际</w:t>
      </w:r>
      <w:r>
        <w:rPr>
          <w:rFonts w:hint="eastAsia" w:cs="宋体" w:asciiTheme="minorEastAsia" w:hAnsiTheme="minorEastAsia" w:eastAsiaTheme="minorEastAsia"/>
          <w:sz w:val="24"/>
        </w:rPr>
        <w:t xml:space="preserve">广场（北园）</w:t>
      </w:r>
      <w:r>
        <w:rPr>
          <w:rFonts w:cs="宋体" w:asciiTheme="minorEastAsia" w:hAnsiTheme="minorEastAsia" w:eastAsiaTheme="minorEastAsia"/>
          <w:sz w:val="24"/>
        </w:rPr>
        <w:t xml:space="preserve">C座</w:t>
      </w:r>
      <w:r>
        <w:rPr>
          <w:rFonts w:hint="eastAsia" w:cs="宋体" w:asciiTheme="minorEastAsia" w:hAnsiTheme="minorEastAsia" w:eastAsiaTheme="minorEastAsia"/>
          <w:sz w:val="24"/>
        </w:rPr>
        <w:t xml:space="preserve">617</w:t>
      </w:r>
      <w:r>
        <w:rPr>
          <w:rFonts w:cs="宋体" w:asciiTheme="minorEastAsia" w:hAnsiTheme="minorEastAsia" w:eastAsiaTheme="minorEastAsia"/>
          <w:sz w:val="24"/>
        </w:rPr>
        <w:t xml:space="preserve">室，联系电话：025-52875968。</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 以下情形的质疑不予受理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29.5.1 内容不符合《政府采购质疑和投诉办法》第十二条规定的质疑。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29.5.2 超出政府采购法定期限的质疑。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29.5.3 以传真、电子邮件等方式递交的非原件形式的质疑。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29.5.4 未参加投标活动的供应商或在投标活动中自身权益未受到损害的供应商所提出的质疑。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29.5.5供应商组成联合体参加投标，联合体中任何一方或多方未按要求签字、盖章、加盖公章的质疑。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rPr>
        <w:outlineLvl w:val="2"/>
      </w:pPr>
      <w:r/>
      <w:bookmarkStart w:id="186" w:name="_Toc2273"/>
      <w:r/>
      <w:bookmarkStart w:id="187" w:name="_Toc4655"/>
      <w:r/>
      <w:bookmarkStart w:id="188" w:name="_Toc12870"/>
      <w:r>
        <w:rPr>
          <w:rFonts w:cs="宋体" w:asciiTheme="minorEastAsia" w:hAnsiTheme="minorEastAsia" w:eastAsiaTheme="minorEastAsia"/>
          <w:b/>
          <w:sz w:val="24"/>
        </w:rPr>
        <w:t xml:space="preserve">30、中标通知书</w:t>
      </w:r>
      <w:bookmarkEnd w:id="186"/>
      <w:r/>
      <w:bookmarkEnd w:id="187"/>
      <w:r/>
      <w:bookmarkEnd w:id="188"/>
      <w:r/>
      <w:r/>
    </w:p>
    <w:p>
      <w:pPr>
        <w:ind w:firstLine="480"/>
        <w:rPr>
          <w:rFonts w:asciiTheme="minorEastAsia" w:hAnsiTheme="minorEastAsia" w:eastAsiaTheme="minorEastAsia"/>
        </w:rPr>
      </w:pPr>
      <w:r>
        <w:rPr>
          <w:rFonts w:cs="宋体" w:asciiTheme="minorEastAsia" w:hAnsiTheme="minorEastAsia" w:eastAsiaTheme="minorEastAsia"/>
          <w:sz w:val="24"/>
        </w:rPr>
        <w:t xml:space="preserve">30.l中标结果确定后，采购代理机构将向中标人发出中标通知书。请中标人在中标结果公告届满之日起30日内,使用CA数字证书登录苏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系统及时下载中标通知书。因系统存储空间有限，自中标结果公告届满之日起30日后，苏</w:t>
      </w:r>
      <w:r>
        <w:rPr>
          <w:rFonts w:cs="宋体" w:asciiTheme="minorEastAsia" w:hAnsiTheme="minorEastAsia" w:eastAsiaTheme="minorEastAsia"/>
          <w:sz w:val="24"/>
        </w:rPr>
        <w:t xml:space="preserve">采云</w:t>
      </w:r>
      <w:r>
        <w:rPr>
          <w:rFonts w:cs="宋体" w:asciiTheme="minorEastAsia" w:hAnsiTheme="minorEastAsia" w:eastAsiaTheme="minorEastAsia"/>
          <w:sz w:val="24"/>
        </w:rPr>
        <w:t xml:space="preserve">系统不再保证提供下载中标通知书服务,因未及时下载而造成的不利后果由中标人自行承担。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89" w:name="_Toc29831"/>
      <w:r/>
      <w:bookmarkStart w:id="190" w:name="_Toc844"/>
      <w:r/>
      <w:bookmarkStart w:id="191" w:name="_Toc4070"/>
      <w:r/>
      <w:bookmarkStart w:id="192" w:name="_Toc19341"/>
      <w:r/>
      <w:bookmarkStart w:id="193" w:name="_Toc194500872"/>
      <w:r>
        <w:rPr>
          <w:rFonts w:cs="宋体" w:asciiTheme="minorEastAsia" w:hAnsiTheme="minorEastAsia" w:eastAsiaTheme="minorEastAsia"/>
          <w:b/>
          <w:sz w:val="24"/>
        </w:rPr>
        <w:t xml:space="preserve">七、授予合同</w:t>
      </w:r>
      <w:bookmarkEnd w:id="189"/>
      <w:r/>
      <w:bookmarkEnd w:id="190"/>
      <w:r/>
      <w:bookmarkEnd w:id="191"/>
      <w:r/>
      <w:bookmarkEnd w:id="192"/>
      <w:r/>
      <w:bookmarkEnd w:id="193"/>
      <w:r/>
      <w:r/>
    </w:p>
    <w:p>
      <w:pPr>
        <w:ind w:firstLine="482"/>
        <w:spacing w:before="161"/>
        <w:rPr>
          <w:rFonts w:asciiTheme="minorEastAsia" w:hAnsiTheme="minorEastAsia" w:eastAsiaTheme="minorEastAsia"/>
        </w:rPr>
        <w:outlineLvl w:val="2"/>
      </w:pPr>
      <w:r/>
      <w:bookmarkStart w:id="194" w:name="_Toc23447"/>
      <w:r/>
      <w:bookmarkStart w:id="195" w:name="_Toc22036"/>
      <w:r/>
      <w:bookmarkStart w:id="196" w:name="_Toc6645"/>
      <w:r>
        <w:rPr>
          <w:rFonts w:cs="宋体" w:asciiTheme="minorEastAsia" w:hAnsiTheme="minorEastAsia" w:eastAsiaTheme="minorEastAsia"/>
          <w:b/>
          <w:sz w:val="24"/>
        </w:rPr>
        <w:t xml:space="preserve">31. 签订合同</w:t>
      </w:r>
      <w:bookmarkEnd w:id="194"/>
      <w:r/>
      <w:bookmarkEnd w:id="195"/>
      <w:r/>
      <w:bookmarkEnd w:id="196"/>
      <w:r/>
      <w:r/>
    </w:p>
    <w:p>
      <w:pPr>
        <w:ind w:firstLine="480"/>
        <w:rPr>
          <w:rFonts w:asciiTheme="minorEastAsia" w:hAnsiTheme="minorEastAsia" w:eastAsiaTheme="minorEastAsia"/>
        </w:rPr>
      </w:pPr>
      <w:r>
        <w:rPr>
          <w:rFonts w:cs="宋体" w:asciiTheme="minorEastAsia" w:hAnsiTheme="minorEastAsia" w:eastAsiaTheme="minorEastAsia"/>
          <w:sz w:val="24"/>
        </w:rPr>
        <w:t xml:space="preserve">31.l中标人应当在中标通知书发出之日起三十日内，按照招标文件确定的事项与采购人签订政府采购合同。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31.2招标文件、中标人的投标文件及招标过程中有关澄清、承诺文件均应作为合同附件。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31.3 签订合同后，</w:t>
      </w:r>
      <w:r>
        <w:rPr>
          <w:rFonts w:cs="宋体" w:asciiTheme="minorEastAsia" w:hAnsiTheme="minorEastAsia" w:eastAsiaTheme="minorEastAsia"/>
          <w:b/>
          <w:i/>
          <w:sz w:val="24"/>
          <w:u w:val="single"/>
        </w:rPr>
        <w:t xml:space="preserve">中标人不得将合同标的进行转包</w:t>
      </w:r>
      <w:r>
        <w:rPr>
          <w:rFonts w:cs="宋体" w:asciiTheme="minorEastAsia" w:hAnsiTheme="minorEastAsia" w:eastAsiaTheme="minorEastAsia"/>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rPr>
        <w:outlineLvl w:val="2"/>
      </w:pPr>
      <w:r/>
      <w:bookmarkStart w:id="197" w:name="_Toc30929"/>
      <w:r/>
      <w:bookmarkStart w:id="198" w:name="_Toc24477"/>
      <w:r/>
      <w:bookmarkStart w:id="199" w:name="_Toc23130"/>
      <w:r>
        <w:rPr>
          <w:rFonts w:cs="宋体" w:asciiTheme="minorEastAsia" w:hAnsiTheme="minorEastAsia" w:eastAsiaTheme="minorEastAsia"/>
          <w:b/>
          <w:sz w:val="24"/>
        </w:rPr>
        <w:t xml:space="preserve">32、货物（包含与货物相关的服务）的追加</w:t>
      </w:r>
      <w:bookmarkEnd w:id="197"/>
      <w:r/>
      <w:bookmarkEnd w:id="198"/>
      <w:r/>
      <w:bookmarkEnd w:id="199"/>
      <w:r/>
      <w:r/>
    </w:p>
    <w:p>
      <w:pPr>
        <w:ind w:firstLine="480"/>
        <w:rPr>
          <w:rFonts w:asciiTheme="minorEastAsia" w:hAnsiTheme="minorEastAsia" w:eastAsiaTheme="minorEastAsia"/>
        </w:rPr>
      </w:pPr>
      <w:r>
        <w:rPr>
          <w:rFonts w:cs="宋体" w:asciiTheme="minorEastAsia" w:hAnsiTheme="minorEastAsia" w:eastAsiaTheme="minorEastAsia"/>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asciiTheme="minorEastAsia" w:hAnsiTheme="minorEastAsia" w:eastAsiaTheme="minorEastAsia"/>
        </w:rPr>
        <w:outlineLvl w:val="2"/>
      </w:pPr>
      <w:r/>
      <w:bookmarkStart w:id="200" w:name="_Toc24472"/>
      <w:r/>
      <w:bookmarkStart w:id="201" w:name="_Toc11563"/>
      <w:r/>
      <w:bookmarkStart w:id="202" w:name="_Toc29652"/>
      <w:r>
        <w:rPr>
          <w:rFonts w:cs="宋体" w:asciiTheme="minorEastAsia" w:hAnsiTheme="minorEastAsia" w:eastAsiaTheme="minorEastAsia"/>
          <w:b/>
          <w:sz w:val="24"/>
        </w:rPr>
        <w:t xml:space="preserve">33、政府采购履约资金扶持政策</w:t>
      </w:r>
      <w:bookmarkEnd w:id="200"/>
      <w:r/>
      <w:bookmarkEnd w:id="201"/>
      <w:r/>
      <w:bookmarkEnd w:id="202"/>
      <w:r/>
      <w:r/>
    </w:p>
    <w:p>
      <w:pPr>
        <w:ind w:firstLine="480"/>
        <w:rPr>
          <w:rFonts w:asciiTheme="minorEastAsia" w:hAnsiTheme="minorEastAsia" w:eastAsiaTheme="minorEastAsia"/>
        </w:rPr>
      </w:pPr>
      <w:r>
        <w:rPr>
          <w:rFonts w:cs="宋体" w:asciiTheme="minorEastAsia" w:hAnsiTheme="minorEastAsia" w:eastAsiaTheme="minorEastAsia"/>
          <w:sz w:val="24"/>
        </w:rPr>
        <w:t xml:space="preserve">中标供应商可凭政府采购合同办理融资贷款，详情请见江苏政府采购网“政采贷”专栏。</w:t>
      </w:r>
      <w:r/>
    </w:p>
    <w:p>
      <w:pPr>
        <w:ind w:firstLine="420"/>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03" w:name="_Toc27875"/>
      <w:r/>
      <w:bookmarkStart w:id="204" w:name="_Toc29753"/>
      <w:r/>
      <w:bookmarkStart w:id="205" w:name="_Toc14206"/>
      <w:r/>
      <w:bookmarkStart w:id="206" w:name="_Toc194500873"/>
      <w:r/>
      <w:bookmarkStart w:id="207" w:name="_Toc30958"/>
      <w:r>
        <w:rPr>
          <w:rFonts w:cs="宋体" w:asciiTheme="minorEastAsia" w:hAnsiTheme="minorEastAsia" w:eastAsiaTheme="minorEastAsia"/>
          <w:b/>
          <w:sz w:val="32"/>
        </w:rPr>
        <w:t xml:space="preserve">第三章  合同文本</w:t>
      </w:r>
      <w:bookmarkEnd w:id="203"/>
      <w:r/>
      <w:bookmarkEnd w:id="204"/>
      <w:r/>
      <w:bookmarkEnd w:id="205"/>
      <w:r/>
      <w:bookmarkEnd w:id="206"/>
      <w:r/>
      <w:bookmarkEnd w:id="207"/>
      <w:r/>
      <w:r/>
    </w:p>
    <w:p>
      <w:pPr>
        <w:spacing w:line="360" w:lineRule="auto"/>
        <w:rPr>
          <w:rFonts w:asciiTheme="minorEastAsia" w:hAnsiTheme="minorEastAsia" w:eastAsiaTheme="minorEastAsia"/>
          <w:b/>
          <w:bCs/>
        </w:rPr>
      </w:pPr>
      <w:r>
        <w:rPr>
          <w:rFonts w:hint="eastAsia" w:asciiTheme="minorEastAsia" w:hAnsiTheme="minorEastAsia" w:eastAsiaTheme="minorEastAsia"/>
          <w:bCs/>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rPr>
          <w:rFonts w:asciiTheme="minorEastAsia" w:hAnsiTheme="minorEastAsia" w:eastAsiaTheme="minorEastAsia"/>
          <w:sz w:val="48"/>
        </w:rPr>
      </w:pPr>
      <w:r/>
      <w:bookmarkStart w:id="208" w:name="_Toc190947100"/>
      <w:r>
        <w:rPr>
          <w:rFonts w:hint="eastAsia" w:asciiTheme="minorEastAsia" w:hAnsiTheme="minorEastAsia" w:eastAsiaTheme="minorEastAsia"/>
          <w:sz w:val="48"/>
        </w:rPr>
        <w:t xml:space="preserve">合  同</w:t>
      </w:r>
      <w:bookmarkEnd w:id="208"/>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甲方：江苏省人民医院</w:t>
      </w:r>
      <w:r/>
    </w:p>
    <w:p>
      <w:pP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ab/>
        <w:t xml:space="preserve">经公开招标（项目编号：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）及甲、乙双方协商，就乙方销售给甲方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设备，特订立本合同。</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984"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（小写）： </w:t>
            </w:r>
            <w:r/>
          </w:p>
        </w:tc>
      </w:tr>
    </w:tbl>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设备详细配置清单见乙方的投标文件及承诺书（项目编号：                 ）。</w:t>
      </w:r>
      <w:r/>
    </w:p>
    <w:p>
      <w:pPr>
        <w:numPr>
          <w:ilvl w:val="0"/>
          <w:numId w:val="4"/>
        </w:numPr>
        <w:spacing w:after="0"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付款方式：</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交货期及交货地点：</w:t>
      </w:r>
      <w:r>
        <w:rPr>
          <w:rFonts w:hint="eastAsia" w:cs="宋体" w:asciiTheme="minorEastAsia" w:hAnsiTheme="minorEastAsia" w:eastAsiaTheme="minorEastAsia"/>
          <w:sz w:val="24"/>
        </w:rPr>
        <w:t xml:space="preserve">合同生效之日起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天之内货物运抵甲方指定的医院机房。</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五、上述设备免费保修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w:t>
      </w:r>
      <w:r>
        <w:rPr>
          <w:rFonts w:hint="eastAsia" w:asciiTheme="minorEastAsia" w:hAnsiTheme="minorEastAsia" w:eastAsiaTheme="minorEastAsia"/>
          <w:sz w:val="24"/>
        </w:rPr>
        <w:t xml:space="preserve">月。并确保设备保修期内开机率为9</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%，如设备故障停机率超过</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%（一年按</w:t>
      </w:r>
      <w:r>
        <w:rPr>
          <w:rFonts w:asciiTheme="minorEastAsia" w:hAnsiTheme="minorEastAsia" w:eastAsiaTheme="minorEastAsia"/>
          <w:sz w:val="24"/>
        </w:rPr>
        <w:t xml:space="preserve">365</w:t>
      </w:r>
      <w:r>
        <w:rPr>
          <w:rFonts w:hint="eastAsia" w:asciiTheme="minorEastAsia" w:hAnsiTheme="minorEastAsia" w:eastAsiaTheme="minorEastAsia"/>
          <w:sz w:val="24"/>
        </w:rPr>
        <w:t xml:space="preserve">天计算，每年</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天），每超过一天，保修期延长14天。保修期外乙方对</w:t>
      </w:r>
      <w:r>
        <w:rPr>
          <w:rFonts w:hint="eastAsia" w:asciiTheme="minorEastAsia" w:hAnsiTheme="minorEastAsia" w:eastAsiaTheme="minorEastAsia"/>
          <w:sz w:val="24"/>
        </w:rPr>
        <w:t xml:space="preserve">本设备</w:t>
      </w:r>
      <w:r>
        <w:rPr>
          <w:rFonts w:hint="eastAsia" w:asciiTheme="minorEastAsia" w:hAnsiTheme="minorEastAsia" w:eastAsiaTheme="minorEastAsia"/>
          <w:sz w:val="24"/>
        </w:rPr>
        <w:t xml:space="preserve">终身负责维修。</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八、乙方保证向甲方提供的设备满足中国国家标准或相关行业标准。根据国家规定，如需要提供3</w:t>
      </w:r>
      <w:r>
        <w:rPr>
          <w:rFonts w:asciiTheme="minorEastAsia" w:hAnsiTheme="minorEastAsia" w:eastAsiaTheme="minorEastAsia"/>
          <w:sz w:val="24"/>
        </w:rPr>
        <w:t xml:space="preserve">C</w:t>
      </w:r>
      <w:r>
        <w:rPr>
          <w:rFonts w:hint="eastAsia" w:asciiTheme="minorEastAsia" w:hAnsiTheme="minorEastAsia" w:eastAsiaTheme="minorEastAsia"/>
          <w:sz w:val="24"/>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九、乙方所供设备如验收不合格，根据甲方的要求，乙方必须无条件换货或退货，由此引起的一切损失由乙方承担。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十一、特别提</w:t>
      </w:r>
      <w:r>
        <w:rPr>
          <w:rFonts w:hint="eastAsia" w:asciiTheme="minorEastAsia" w:hAnsiTheme="minorEastAsia" w:eastAsiaTheme="minorEastAsia"/>
          <w:sz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十二、服务条款：</w:t>
      </w:r>
      <w:r/>
    </w:p>
    <w:p>
      <w:pPr>
        <w:jc w:val="left"/>
        <w:spacing w:line="360" w:lineRule="auto"/>
        <w:widowControl/>
        <w:rPr>
          <w:rFonts w:asciiTheme="minorEastAsia" w:hAnsiTheme="minorEastAsia" w:eastAsiaTheme="minorEastAsia"/>
          <w:b/>
          <w:sz w:val="24"/>
          <w:u w:val="single"/>
        </w:rPr>
      </w:pPr>
      <w:r>
        <w:rPr>
          <w:rFonts w:hint="eastAsia" w:asciiTheme="minorEastAsia" w:hAnsiTheme="minorEastAsia" w:eastAsiaTheme="minorEastAsia"/>
          <w:sz w:val="24"/>
        </w:rPr>
        <w:t xml:space="preserve">1乙方免费提前为甲方提供设备安装图纸，并充分协助甲方做好机房的准备工作（如必要的话）。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7.如设备软件升级，乙方负责免费软件升级。</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8.乙方免费提供全套技术资料（维修说明书包括详细电路图、操作说明书及光盘），如技术资料不全，甲方有权不支付货款。</w:t>
      </w:r>
      <w:r/>
    </w:p>
    <w:p>
      <w:pPr>
        <w:ind w:left="509" w:hanging="509"/>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10.如乙方提供的设备设有维修软件密码，乙方保证无条件地为甲方永久免费打开。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11.项目编号：的招投标文件及有关附件是本合同不可分割的组成部分，与本合同具有同等法律效力。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rPr>
      </w:pPr>
      <w:r/>
      <w:bookmarkStart w:id="209" w:name="_Hlk183025105"/>
      <w:r/>
      <w:bookmarkStart w:id="210" w:name="_Hlk183025405"/>
      <w:r>
        <w:rPr>
          <w:rFonts w:hint="eastAsia" w:asciiTheme="minorEastAsia" w:hAnsiTheme="minorEastAsia" w:eastAsiaTheme="minorEastAsia"/>
          <w:sz w:val="24"/>
        </w:rPr>
        <w:t xml:space="preserve">13.本合同履约过程中，如发生任何争议，双方协商解决；如不能协商解决，由合同签署地法院管辖。</w:t>
      </w:r>
      <w:bookmarkEnd w:id="209"/>
      <w:r/>
    </w:p>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本合同一式四份，自双方签字盖章之日起生效，甲方执三份，乙方执一份。</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合同签署地点:南京市鼓楼区。</w:t>
      </w:r>
      <w:r/>
    </w:p>
    <w:p>
      <w:pPr>
        <w:rPr>
          <w:rFonts w:asciiTheme="minorEastAsia" w:hAnsiTheme="minorEastAsia" w:eastAsiaTheme="minorEastAsia"/>
          <w:sz w:val="24"/>
        </w:rPr>
      </w:pPr>
      <w:r/>
      <w:bookmarkStart w:id="211" w:name="_Hlk183025115"/>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以下无正文——</w:t>
      </w:r>
      <w:r>
        <w:rPr>
          <w:rFonts w:hint="eastAsia" w:asciiTheme="minorEastAsia" w:hAnsiTheme="minorEastAsia" w:eastAsiaTheme="minorEastAsia"/>
          <w:sz w:val="24"/>
        </w:rPr>
        <w:t xml:space="preserve">————————————</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甲方（盖章）：江苏省人民医院              乙方（盖章）：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地址：江苏省南京市鼓楼区广州路300号      地址：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法定代表人（或授权人）：                  法定代表人（或授权人）：</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部门负责人：                              开户行名称：</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                                          开户行账号：</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经办人:                                   经办人:    </w:t>
      </w:r>
      <w:r/>
    </w:p>
    <w:p>
      <w:pPr>
        <w:pStyle w:val="904"/>
        <w:spacing w:before="0" w:beforeAutospacing="0" w:after="0" w:afterAutospacing="0"/>
        <w:rPr>
          <w:rFonts w:asciiTheme="minorEastAsia" w:hAnsiTheme="minorEastAsia" w:eastAsiaTheme="minorEastAsia"/>
          <w:b/>
          <w:szCs w:val="21"/>
        </w:rPr>
      </w:pPr>
      <w:r>
        <w:rPr>
          <w:rFonts w:hint="eastAsia" w:asciiTheme="minorEastAsia" w:hAnsiTheme="minorEastAsia" w:eastAsiaTheme="minorEastAsia"/>
        </w:rPr>
        <w:t xml:space="preserve">签订日期：____年__ 月__日                 签订日期：____年__月__</w:t>
      </w:r>
      <w:bookmarkEnd w:id="211"/>
      <w:r>
        <w:rPr>
          <w:rFonts w:hint="eastAsia" w:asciiTheme="minorEastAsia" w:hAnsiTheme="minorEastAsia" w:eastAsiaTheme="minorEastAsia"/>
        </w:rPr>
        <w:t xml:space="preserve">日。</w:t>
      </w:r>
      <w:bookmarkStart w:id="212" w:name="_Toc6234"/>
      <w:r/>
      <w:bookmarkStart w:id="213" w:name="_Toc30396"/>
      <w:r/>
      <w:bookmarkStart w:id="214" w:name="_Toc305"/>
      <w:r/>
      <w:bookmarkStart w:id="215" w:name="_Toc22859"/>
      <w:r/>
      <w:bookmarkStart w:id="216" w:name="_Toc194500876"/>
      <w:r/>
      <w:bookmarkEnd w:id="210"/>
      <w:r/>
      <w:r/>
    </w:p>
    <w:p>
      <w:pPr>
        <w:rPr>
          <w:rFonts w:asciiTheme="minorEastAsia" w:hAnsiTheme="minorEastAsia" w:eastAsiaTheme="minorEastAsia"/>
        </w:rPr>
      </w:pPr>
      <w:r>
        <w:rPr>
          <w:rFonts w:hint="eastAsia" w:asciiTheme="minorEastAsia" w:hAnsiTheme="minorEastAsia" w:eastAsiaTheme="minorEastAsia"/>
          <w:b/>
          <w:bCs/>
          <w:sz w:val="32"/>
          <w:szCs w:val="32"/>
        </w:rPr>
        <w:br w:type="page" w:clear="all"/>
      </w:r>
      <w:r/>
    </w:p>
    <w:p>
      <w:pPr>
        <w:jc w:val="left"/>
        <w:spacing w:line="20" w:lineRule="exact"/>
        <w:rPr>
          <w:rFonts w:asciiTheme="minorEastAsia" w:hAnsiTheme="minorEastAsia" w:eastAsiaTheme="minorEastAsia"/>
          <w:b/>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rPr>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第四章  采购需求</w:t>
      </w:r>
      <w:bookmarkEnd w:id="212"/>
      <w:r/>
      <w:bookmarkEnd w:id="213"/>
      <w:r/>
      <w:bookmarkEnd w:id="214"/>
      <w:r/>
      <w:bookmarkEnd w:id="215"/>
      <w:r/>
      <w:bookmarkEnd w:id="216"/>
      <w:r/>
      <w:r/>
    </w:p>
    <w:p>
      <w:pPr>
        <w:jc w:val="left"/>
        <w:spacing w:line="360" w:lineRule="auto"/>
        <w:rPr>
          <w:rFonts w:asciiTheme="minorEastAsia" w:hAnsiTheme="minorEastAsia" w:eastAsiaTheme="minorEastAsia"/>
          <w:sz w:val="28"/>
          <w:szCs w:val="32"/>
        </w:rPr>
      </w:pPr>
      <w:r/>
      <w:bookmarkStart w:id="217" w:name="_Toc26554093"/>
      <w:r/>
      <w:bookmarkStart w:id="218" w:name="_Toc5953"/>
      <w:r/>
      <w:bookmarkStart w:id="219" w:name="_Toc49090575"/>
      <w:r>
        <w:rPr>
          <w:rFonts w:hint="eastAsia" w:asciiTheme="minorEastAsia" w:hAnsiTheme="minorEastAsia" w:eastAsiaTheme="minorEastAsia"/>
          <w:sz w:val="28"/>
          <w:szCs w:val="32"/>
        </w:rPr>
        <w:t xml:space="preserve">一、货物需求一览表 </w:t>
      </w:r>
      <w:r/>
    </w:p>
    <w:tbl>
      <w:tblPr>
        <w:tblW w:w="540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793"/>
        <w:gridCol w:w="1465"/>
        <w:gridCol w:w="994"/>
        <w:gridCol w:w="1417"/>
        <w:gridCol w:w="4285"/>
      </w:tblGrid>
      <w:tr>
        <w:trPr>
          <w:jc w:val="center"/>
          <w:trHeight w:val="1004"/>
        </w:trPr>
        <w:tc>
          <w:tcPr>
            <w:tcW w:w="44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序号</w:t>
            </w:r>
            <w:r/>
          </w:p>
        </w:tc>
        <w:tc>
          <w:tcPr>
            <w:tcW w:w="818"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货物名称</w:t>
            </w:r>
            <w:r/>
          </w:p>
        </w:tc>
        <w:tc>
          <w:tcPr>
            <w:tcW w:w="555"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数量</w:t>
            </w:r>
            <w:r/>
          </w:p>
        </w:tc>
        <w:tc>
          <w:tcPr>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最高限价</w:t>
            </w:r>
            <w:r/>
          </w:p>
        </w:tc>
        <w:tc>
          <w:tcPr>
            <w:tcW w:w="2393"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交货地点</w:t>
            </w:r>
            <w:r/>
          </w:p>
        </w:tc>
      </w:tr>
      <w:tr>
        <w:trPr>
          <w:jc w:val="center"/>
          <w:trHeight w:val="951"/>
        </w:trPr>
        <w:tc>
          <w:tcPr>
            <w:tcW w:w="443"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tcW w:w="818" w:type="pct"/>
            <w:vAlign w:val="center"/>
            <w:textDirection w:val="lrTb"/>
            <w:noWrap w:val="false"/>
          </w:tcPr>
          <w:p>
            <w:pPr>
              <w:pStyle w:val="879"/>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椎间孔镜系统</w:t>
            </w:r>
            <w:r/>
          </w:p>
        </w:tc>
        <w:tc>
          <w:tcPr>
            <w:tcW w:w="555" w:type="pct"/>
            <w:vAlign w:val="center"/>
            <w:textDirection w:val="lrTb"/>
            <w:noWrap w:val="false"/>
          </w:tcPr>
          <w:p>
            <w:pPr>
              <w:jc w:val="cente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2套</w:t>
            </w:r>
            <w:r/>
          </w:p>
        </w:tc>
        <w:tc>
          <w:tcPr>
            <w:shd w:val="clear" w:color="auto" w:fill="ffffff" w:themeFill="background1"/>
            <w:tcW w:w="791" w:type="pct"/>
            <w:vAlign w:val="center"/>
            <w:textDirection w:val="lrTb"/>
            <w:noWrap w:val="false"/>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360万元</w:t>
            </w:r>
            <w:r/>
          </w:p>
        </w:tc>
        <w:tc>
          <w:tcPr>
            <w:shd w:val="clear" w:color="auto" w:fill="ffffff" w:themeFill="background1"/>
            <w:tcW w:w="2393" w:type="pct"/>
            <w:vAlign w:val="center"/>
            <w:textDirection w:val="lrTb"/>
            <w:noWrap w:val="false"/>
          </w:tcPr>
          <w:p>
            <w:pPr>
              <w:rPr>
                <w:rFonts w:asciiTheme="minorEastAsia" w:hAnsiTheme="minorEastAsia" w:eastAsiaTheme="minorEastAsia"/>
                <w:bCs/>
                <w:sz w:val="24"/>
              </w:rPr>
            </w:pPr>
            <w:r>
              <w:rPr>
                <w:rFonts w:hint="eastAsia" w:asciiTheme="minorEastAsia" w:hAnsiTheme="minorEastAsia" w:eastAsiaTheme="minorEastAsia"/>
                <w:bCs/>
                <w:sz w:val="24"/>
              </w:rPr>
              <w:t xml:space="preserve">江苏省人民医院</w:t>
            </w:r>
            <w:r>
              <w:rPr>
                <w:rFonts w:hint="eastAsia" w:asciiTheme="minorEastAsia" w:hAnsiTheme="minorEastAsia" w:eastAsiaTheme="minorEastAsia"/>
                <w:bCs/>
                <w:sz w:val="24"/>
              </w:rPr>
              <w:t xml:space="preserve">雨花院区</w:t>
            </w:r>
            <w:r>
              <w:rPr>
                <w:rFonts w:hint="eastAsia" w:asciiTheme="minorEastAsia" w:hAnsiTheme="minorEastAsia" w:eastAsiaTheme="minorEastAsia"/>
                <w:bCs/>
                <w:sz w:val="24"/>
              </w:rPr>
              <w:t xml:space="preserve">指定地点(本项目不集中组织踏勘，供应商可联系采购人自行前往，中标后,中标供应商不得以现场情况未了解清楚为由向采购人提出提升投标报价或其他任何要求)。</w:t>
            </w:r>
            <w:r/>
          </w:p>
        </w:tc>
      </w:tr>
    </w:tbl>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32"/>
        </w:rPr>
      </w:pPr>
      <w:r>
        <w:rPr>
          <w:rFonts w:hint="eastAsia" w:asciiTheme="minorEastAsia" w:hAnsiTheme="minorEastAsia" w:eastAsiaTheme="minorEastAsia"/>
          <w:sz w:val="28"/>
          <w:szCs w:val="32"/>
        </w:rPr>
        <w:t xml:space="preserve">二、技术、商务要求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（一）技术要求：</w:t>
      </w:r>
      <w:r>
        <w:rPr>
          <w:rFonts w:asciiTheme="minorEastAsia" w:hAnsiTheme="minorEastAsia" w:eastAsiaTheme="minorEastAsia"/>
          <w:b/>
          <w:bCs/>
          <w:sz w:val="24"/>
        </w:rPr>
        <w:t xml:space="preserve"> </w:t>
      </w:r>
      <w:r/>
    </w:p>
    <w:tbl>
      <w:tblPr>
        <w:tblW w:w="8582"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68"/>
        <w:gridCol w:w="3545"/>
        <w:gridCol w:w="2155"/>
        <w:gridCol w:w="850"/>
        <w:gridCol w:w="964"/>
      </w:tblGrid>
      <w:tr>
        <w:trPr>
          <w:cantSplit/>
        </w:trPr>
        <w:tc>
          <w:tcPr>
            <w:tcW w:w="1068" w:type="dxa"/>
            <w:textDirection w:val="lrTb"/>
            <w:noWrap w:val="false"/>
          </w:tcPr>
          <w:p>
            <w:pPr>
              <w:rPr>
                <w:b/>
              </w:rPr>
            </w:pPr>
            <w:r/>
            <w:bookmarkStart w:id="220" w:name="_Hlk179981170"/>
            <w:r/>
            <w:bookmarkEnd w:id="217"/>
            <w:r/>
            <w:bookmarkEnd w:id="218"/>
            <w:r/>
            <w:bookmarkEnd w:id="219"/>
            <w:r>
              <w:rPr>
                <w:rFonts w:hint="eastAsia"/>
                <w:b/>
              </w:rPr>
              <w:t xml:space="preserve">序号</w:t>
            </w:r>
            <w:r/>
          </w:p>
        </w:tc>
        <w:tc>
          <w:tcPr>
            <w:tcW w:w="3545" w:type="dxa"/>
            <w:textDirection w:val="lrTb"/>
            <w:noWrap w:val="false"/>
          </w:tcPr>
          <w:p>
            <w:pPr>
              <w:rPr>
                <w:b/>
              </w:rPr>
            </w:pPr>
            <w:r>
              <w:rPr>
                <w:rFonts w:hint="eastAsia"/>
                <w:b/>
              </w:rPr>
              <w:t xml:space="preserve">招标要求</w:t>
            </w:r>
            <w:r/>
          </w:p>
        </w:tc>
        <w:tc>
          <w:tcPr>
            <w:tcW w:w="2155" w:type="dxa"/>
            <w:textDirection w:val="lrTb"/>
            <w:noWrap w:val="false"/>
          </w:tcPr>
          <w:p>
            <w:pPr>
              <w:rPr>
                <w:b/>
              </w:rPr>
            </w:pPr>
            <w:r>
              <w:rPr>
                <w:rFonts w:hint="eastAsia"/>
                <w:b/>
              </w:rPr>
              <w:t xml:space="preserve">具体参数</w:t>
            </w:r>
            <w:r/>
          </w:p>
        </w:tc>
        <w:tc>
          <w:tcPr>
            <w:tcW w:w="850" w:type="dxa"/>
            <w:textDirection w:val="lrTb"/>
            <w:noWrap w:val="false"/>
          </w:tcPr>
          <w:p>
            <w:pPr>
              <w:rPr>
                <w:b/>
              </w:rPr>
            </w:pPr>
            <w:r>
              <w:rPr>
                <w:rFonts w:hint="eastAsia"/>
                <w:b/>
              </w:rPr>
              <w:t xml:space="preserve">投标方参数</w:t>
            </w:r>
            <w:r/>
          </w:p>
        </w:tc>
        <w:tc>
          <w:tcPr>
            <w:tcW w:w="964" w:type="dxa"/>
            <w:textDirection w:val="lrTb"/>
            <w:noWrap w:val="false"/>
          </w:tcPr>
          <w:p>
            <w:pPr>
              <w:rPr>
                <w:b/>
              </w:rPr>
            </w:pPr>
            <w:r>
              <w:rPr>
                <w:rFonts w:hint="eastAsia"/>
                <w:b/>
              </w:rPr>
              <w:t xml:space="preserve">偏离及说明</w:t>
            </w:r>
            <w:r/>
          </w:p>
        </w:tc>
      </w:tr>
      <w:tr>
        <w:trPr>
          <w:cantSplit/>
        </w:trPr>
        <w:tc>
          <w:tcPr>
            <w:tcW w:w="1068" w:type="dxa"/>
            <w:textDirection w:val="lrTb"/>
            <w:noWrap w:val="false"/>
          </w:tcPr>
          <w:p>
            <w:r>
              <w:rPr>
                <w:rFonts w:hint="eastAsia"/>
              </w:rPr>
              <w:t xml:space="preserve">一</w:t>
            </w:r>
            <w:r/>
          </w:p>
        </w:tc>
        <w:tc>
          <w:tcPr>
            <w:tcW w:w="3545" w:type="dxa"/>
            <w:textDirection w:val="lrTb"/>
            <w:noWrap w:val="false"/>
          </w:tcPr>
          <w:p>
            <w:pPr>
              <w:rPr>
                <w:b/>
              </w:rPr>
            </w:pPr>
            <w:r>
              <w:rPr>
                <w:rFonts w:hint="eastAsia"/>
                <w:b/>
              </w:rPr>
              <w:t xml:space="preserve">设备概况</w:t>
            </w:r>
            <w:r/>
          </w:p>
        </w:tc>
        <w:tc>
          <w:tcPr>
            <w:tcW w:w="2155" w:type="dxa"/>
            <w:textDirection w:val="lrTb"/>
            <w:noWrap w:val="false"/>
          </w:tcPr>
          <w:p>
            <w:r/>
            <w:r/>
          </w:p>
        </w:tc>
        <w:tc>
          <w:tcPr>
            <w:tcW w:w="850" w:type="dxa"/>
            <w:textDirection w:val="lrTb"/>
            <w:noWrap w:val="false"/>
          </w:tcPr>
          <w:p>
            <w:r/>
            <w:r/>
          </w:p>
        </w:tc>
        <w:tc>
          <w:tcPr>
            <w:tcW w:w="964" w:type="dxa"/>
            <w:textDirection w:val="lrTb"/>
            <w:noWrap w:val="false"/>
          </w:tcPr>
          <w:p>
            <w:r/>
            <w:r/>
          </w:p>
        </w:tc>
      </w:tr>
      <w:tr>
        <w:trPr>
          <w:cantSplit/>
        </w:trPr>
        <w:tc>
          <w:tcPr>
            <w:tcW w:w="1068" w:type="dxa"/>
            <w:textDirection w:val="lrTb"/>
            <w:noWrap w:val="false"/>
          </w:tcPr>
          <w:p>
            <w:r>
              <w:rPr>
                <w:rFonts w:hint="eastAsia"/>
              </w:rPr>
              <w:t xml:space="preserve">1.1</w:t>
            </w:r>
            <w:r/>
          </w:p>
        </w:tc>
        <w:tc>
          <w:tcPr>
            <w:tcW w:w="3545" w:type="dxa"/>
            <w:textDirection w:val="lrTb"/>
            <w:noWrap w:val="false"/>
          </w:tcPr>
          <w:p>
            <w:pPr>
              <w:rPr>
                <w:u w:val="single"/>
              </w:rPr>
            </w:pPr>
            <w:r>
              <w:rPr>
                <w:rFonts w:hint="eastAsia"/>
              </w:rPr>
              <w:t xml:space="preserve">名称：</w:t>
            </w:r>
            <w:r>
              <w:rPr>
                <w:rFonts w:hint="eastAsia"/>
              </w:rPr>
              <w:t xml:space="preserve"> </w:t>
            </w:r>
            <w:r>
              <w:rPr>
                <w:rFonts w:hint="eastAsia"/>
              </w:rPr>
              <w:t xml:space="preserve">椎间孔镜系统</w:t>
            </w:r>
            <w:r/>
          </w:p>
        </w:tc>
        <w:tc>
          <w:tcPr>
            <w:tcW w:w="2155" w:type="dxa"/>
            <w:textDirection w:val="lrTb"/>
            <w:noWrap w:val="false"/>
          </w:tcPr>
          <w:p>
            <w:r>
              <w:rPr>
                <w:rFonts w:hint="eastAsia"/>
              </w:rPr>
              <w:t xml:space="preserve">要求各供应商提供目前符合技术参数的同机型的最新型号机器，并列出详细配置清单和分项报价。</w:t>
            </w:r>
            <w:r/>
          </w:p>
        </w:tc>
        <w:tc>
          <w:tcPr>
            <w:tcW w:w="850" w:type="dxa"/>
            <w:textDirection w:val="lrTb"/>
            <w:noWrap w:val="false"/>
          </w:tcPr>
          <w:p>
            <w:r/>
            <w:r/>
          </w:p>
        </w:tc>
        <w:tc>
          <w:tcPr>
            <w:tcW w:w="964" w:type="dxa"/>
            <w:textDirection w:val="lrTb"/>
            <w:noWrap w:val="false"/>
          </w:tcPr>
          <w:p>
            <w:r/>
            <w:r/>
          </w:p>
        </w:tc>
      </w:tr>
      <w:tr>
        <w:trPr>
          <w:cantSplit/>
        </w:trPr>
        <w:tc>
          <w:tcPr>
            <w:tcW w:w="1068" w:type="dxa"/>
            <w:textDirection w:val="lrTb"/>
            <w:noWrap w:val="false"/>
          </w:tcPr>
          <w:p>
            <w:r>
              <w:rPr>
                <w:rFonts w:hint="eastAsia"/>
              </w:rPr>
              <w:t xml:space="preserve">1.2</w:t>
            </w:r>
            <w:r/>
          </w:p>
        </w:tc>
        <w:tc>
          <w:tcPr>
            <w:tcW w:w="3545" w:type="dxa"/>
            <w:textDirection w:val="lrTb"/>
            <w:noWrap w:val="false"/>
          </w:tcPr>
          <w:p>
            <w:r>
              <w:rPr>
                <w:rFonts w:hint="eastAsia"/>
              </w:rPr>
              <w:t xml:space="preserve">生产地</w:t>
            </w:r>
            <w:r/>
          </w:p>
        </w:tc>
        <w:tc>
          <w:tcPr>
            <w:tcW w:w="2155" w:type="dxa"/>
            <w:textDirection w:val="lrTb"/>
            <w:noWrap w:val="false"/>
          </w:tcPr>
          <w:p>
            <w:pPr>
              <w:rPr>
                <w:u w:val="single"/>
              </w:rPr>
            </w:pPr>
            <w:r>
              <w:rPr>
                <w:rFonts w:hint="eastAsia"/>
              </w:rPr>
              <w:t xml:space="preserve">提供</w:t>
            </w:r>
            <w:r/>
          </w:p>
        </w:tc>
        <w:tc>
          <w:tcPr>
            <w:tcW w:w="850" w:type="dxa"/>
            <w:textDirection w:val="lrTb"/>
            <w:noWrap w:val="false"/>
          </w:tcPr>
          <w:p>
            <w:r/>
            <w:r/>
          </w:p>
        </w:tc>
        <w:tc>
          <w:tcPr>
            <w:tcW w:w="964" w:type="dxa"/>
            <w:textDirection w:val="lrTb"/>
            <w:noWrap w:val="false"/>
          </w:tcPr>
          <w:p>
            <w:r/>
            <w:r/>
          </w:p>
        </w:tc>
      </w:tr>
      <w:tr>
        <w:trPr>
          <w:cantSplit/>
        </w:trPr>
        <w:tc>
          <w:tcPr>
            <w:tcW w:w="1068" w:type="dxa"/>
            <w:textDirection w:val="lrTb"/>
            <w:noWrap w:val="false"/>
          </w:tcPr>
          <w:p>
            <w:r>
              <w:rPr>
                <w:rFonts w:hint="eastAsia"/>
              </w:rPr>
              <w:t xml:space="preserve">1.3</w:t>
            </w:r>
            <w:r/>
          </w:p>
        </w:tc>
        <w:tc>
          <w:tcPr>
            <w:tcW w:w="3545" w:type="dxa"/>
            <w:textDirection w:val="lrTb"/>
            <w:noWrap w:val="false"/>
          </w:tcPr>
          <w:p>
            <w:r>
              <w:rPr>
                <w:rFonts w:hint="eastAsia"/>
              </w:rPr>
              <w:t xml:space="preserve">数量</w:t>
            </w:r>
            <w:r/>
          </w:p>
        </w:tc>
        <w:tc>
          <w:tcPr>
            <w:tcW w:w="2155" w:type="dxa"/>
            <w:textDirection w:val="lrTb"/>
            <w:noWrap w:val="false"/>
          </w:tcPr>
          <w:p>
            <w:r>
              <w:rPr>
                <w:rFonts w:hint="eastAsia"/>
              </w:rPr>
              <w:t xml:space="preserve">贰套</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rFonts w:hint="eastAsia"/>
                <w:szCs w:val="21"/>
              </w:rPr>
              <w:t xml:space="preserve">二</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b/>
                <w:szCs w:val="21"/>
              </w:rPr>
            </w:pPr>
            <w:r>
              <w:rPr>
                <w:rFonts w:hint="eastAsia"/>
                <w:b/>
                <w:szCs w:val="21"/>
              </w:rPr>
              <w:t xml:space="preserve">主要技术参数</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szCs w:val="21"/>
              </w:rPr>
            </w:pPr>
            <w:r>
              <w:rPr>
                <w:szCs w:val="21"/>
              </w:rPr>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Cs/>
                <w:szCs w:val="21"/>
              </w:rPr>
              <w:t xml:space="preserve">★</w:t>
            </w:r>
            <w:r>
              <w:rPr>
                <w:b/>
                <w:szCs w:val="21"/>
              </w:rPr>
              <w:t xml:space="preserve">2.1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b/>
                <w:szCs w:val="21"/>
              </w:rPr>
            </w:pPr>
            <w:r>
              <w:rPr>
                <w:rFonts w:hint="eastAsia"/>
                <w:b/>
                <w:szCs w:val="21"/>
              </w:rPr>
              <w:t xml:space="preserve">设备用途：</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szCs w:val="21"/>
              </w:rPr>
            </w:pPr>
            <w:r>
              <w:rPr>
                <w:rFonts w:hint="eastAsia"/>
                <w:szCs w:val="21"/>
              </w:rPr>
              <w:t xml:space="preserve">内窥镜摄像系统用于在内窥镜手术中，将体内手术区域视频放大成像；内窥镜用于提供脊柱检查和治疗时的图像</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b/>
                <w:szCs w:val="21"/>
              </w:rPr>
              <w:t xml:space="preserve">2.2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bookmarkStart w:id="221" w:name="OLE_LINK13"/>
            <w:r>
              <w:rPr>
                <w:rFonts w:hint="eastAsia" w:ascii="宋体" w:hAnsi="宋体"/>
                <w:b/>
                <w:szCs w:val="32"/>
              </w:rPr>
              <w:t xml:space="preserve">椎间孔镜摄像系统</w:t>
            </w:r>
            <w:bookmarkEnd w:id="221"/>
            <w:r>
              <w:rPr>
                <w:rFonts w:hint="eastAsia" w:ascii="宋体" w:hAnsi="宋体"/>
                <w:b/>
                <w:szCs w:val="32"/>
              </w:rPr>
              <w:t xml:space="preserve">技术参数及功能要求：</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
                <w:szCs w:val="21"/>
              </w:rPr>
            </w:pPr>
            <w:r>
              <w:rPr>
                <w:rFonts w:ascii="Calibri" w:hAnsi="Calibri"/>
                <w:b/>
                <w:szCs w:val="21"/>
              </w:rPr>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主机输出分辨率≥1920×1080 </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主机支持2倍电子缩放功能</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主机具备一键白平衡功能</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可调影像参数</w:t>
            </w:r>
            <w:bookmarkStart w:id="222" w:name="OLE_LINK1"/>
            <w:r>
              <w:rPr>
                <w:rFonts w:hint="eastAsia" w:ascii="宋体" w:hAnsi="宋体"/>
                <w:bCs/>
                <w:szCs w:val="32"/>
              </w:rPr>
              <w:t xml:space="preserve">≥</w:t>
            </w:r>
            <w:bookmarkEnd w:id="222"/>
            <w:r>
              <w:rPr>
                <w:rFonts w:hint="eastAsia" w:ascii="宋体" w:hAnsi="宋体"/>
                <w:bCs/>
                <w:szCs w:val="32"/>
              </w:rPr>
              <w:t xml:space="preserve">8种</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cs="Arial Unicode MS"/>
                <w:szCs w:val="21"/>
              </w:rPr>
            </w:pPr>
            <w:r>
              <w:rPr>
                <w:rFonts w:hint="eastAsia" w:ascii="宋体" w:hAnsi="宋体" w:cs="Arial Unicode MS"/>
                <w:szCs w:val="21"/>
              </w:rPr>
              <w:t xml:space="preserve">可预设手术模式</w:t>
            </w:r>
            <w:r>
              <w:rPr>
                <w:rFonts w:hint="eastAsia" w:ascii="宋体" w:hAnsi="宋体"/>
                <w:bCs/>
                <w:szCs w:val="32"/>
              </w:rPr>
              <w:t xml:space="preserve">≥8种</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摄像头CMOS传感器数量≥3个</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2.2.7</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摄像头按键≥2个</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说明切换方式</w:t>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2.2.8</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cs="Arial Unicode MS"/>
                <w:szCs w:val="21"/>
              </w:rPr>
              <w:t xml:space="preserve">摄像头支持高温高压灭菌</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2.2.9</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显示器屏幕尺寸≥32英寸，分辨率≥3840*2160</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2.2.10</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支持画中画功能</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2.2.11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光源为LED光源，寿命≥20000小时</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2.2.12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光源光通量≥500lm</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b/>
                <w:szCs w:val="21"/>
              </w:rPr>
              <w:t xml:space="preserve">2.3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bookmarkStart w:id="223" w:name="OLE_LINK15"/>
            <w:r>
              <w:rPr>
                <w:rFonts w:hint="eastAsia" w:ascii="宋体" w:hAnsi="宋体"/>
                <w:b/>
                <w:szCs w:val="32"/>
              </w:rPr>
              <w:t xml:space="preserve">手术动力系统</w:t>
            </w:r>
            <w:bookmarkEnd w:id="223"/>
            <w:r>
              <w:rPr>
                <w:rFonts w:hint="eastAsia" w:ascii="宋体" w:hAnsi="宋体"/>
                <w:b/>
                <w:szCs w:val="32"/>
              </w:rPr>
              <w:t xml:space="preserve">技术参数及功能要求：</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ascii="Calibri" w:hAnsi="Calibri"/>
                <w:bCs/>
                <w:szCs w:val="21"/>
              </w:rPr>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2.3.1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动力手柄转速</w:t>
            </w:r>
            <w:bookmarkStart w:id="224" w:name="OLE_LINK2"/>
            <w:r>
              <w:rPr>
                <w:rFonts w:hint="eastAsia" w:ascii="宋体" w:hAnsi="宋体"/>
                <w:bCs/>
                <w:szCs w:val="32"/>
              </w:rPr>
              <w:t xml:space="preserve">≥</w:t>
            </w:r>
            <w:bookmarkEnd w:id="224"/>
            <w:r>
              <w:rPr>
                <w:rFonts w:hint="eastAsia" w:ascii="宋体" w:hAnsi="宋体"/>
                <w:bCs/>
                <w:szCs w:val="32"/>
              </w:rPr>
              <w:t xml:space="preserve">20000r/min，具有正反转功能</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2.3.2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动力手柄支持高温高压消毒和低温等离子灭菌</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b/>
                <w:szCs w:val="21"/>
              </w:rPr>
              <w:t xml:space="preserve">2.4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bookmarkStart w:id="225" w:name="OLE_LINK16"/>
            <w:r>
              <w:rPr>
                <w:rFonts w:hint="eastAsia" w:ascii="宋体" w:hAnsi="宋体"/>
                <w:b/>
                <w:szCs w:val="32"/>
              </w:rPr>
              <w:t xml:space="preserve">等离子射频系统</w:t>
            </w:r>
            <w:bookmarkEnd w:id="225"/>
            <w:r>
              <w:rPr>
                <w:rFonts w:hint="eastAsia" w:ascii="宋体" w:hAnsi="宋体"/>
                <w:b/>
                <w:szCs w:val="32"/>
              </w:rPr>
              <w:t xml:space="preserve">技术参数及功能要求：</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
                <w:szCs w:val="21"/>
              </w:rPr>
            </w:pPr>
            <w:r>
              <w:rPr>
                <w:rFonts w:ascii="Calibri" w:hAnsi="Calibri"/>
                <w:b/>
                <w:szCs w:val="21"/>
              </w:rPr>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bCs/>
                <w:szCs w:val="21"/>
              </w:rPr>
              <w:t xml:space="preserve">2.4.1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Cs/>
                <w:szCs w:val="32"/>
              </w:rPr>
              <w:t xml:space="preserve">单</w:t>
            </w:r>
            <w:r>
              <w:rPr>
                <w:rFonts w:hint="eastAsia" w:ascii="宋体" w:hAnsi="宋体"/>
                <w:bCs/>
                <w:szCs w:val="32"/>
              </w:rPr>
              <w:t xml:space="preserve">极</w:t>
            </w:r>
            <w:r>
              <w:rPr>
                <w:rFonts w:hint="eastAsia" w:ascii="宋体" w:hAnsi="宋体"/>
                <w:bCs/>
                <w:szCs w:val="32"/>
              </w:rPr>
              <w:t xml:space="preserve">电切输出功率≥70W</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2.4.2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单极电凝输出功率≥45W</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2.4.3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双</w:t>
            </w:r>
            <w:r>
              <w:rPr>
                <w:rFonts w:hint="eastAsia" w:ascii="宋体" w:hAnsi="宋体"/>
                <w:bCs/>
                <w:szCs w:val="32"/>
              </w:rPr>
              <w:t xml:space="preserve">极</w:t>
            </w:r>
            <w:r>
              <w:rPr>
                <w:rFonts w:hint="eastAsia" w:ascii="宋体" w:hAnsi="宋体"/>
                <w:bCs/>
                <w:szCs w:val="32"/>
              </w:rPr>
              <w:t xml:space="preserve">模式输出功率</w:t>
            </w:r>
            <w:bookmarkStart w:id="226" w:name="OLE_LINK3"/>
            <w:r>
              <w:rPr>
                <w:rFonts w:hint="eastAsia" w:ascii="宋体" w:hAnsi="宋体"/>
                <w:bCs/>
                <w:szCs w:val="32"/>
              </w:rPr>
              <w:t xml:space="preserve">≥</w:t>
            </w:r>
            <w:bookmarkEnd w:id="226"/>
            <w:r>
              <w:rPr>
                <w:rFonts w:hint="eastAsia" w:ascii="宋体" w:hAnsi="宋体"/>
                <w:bCs/>
                <w:szCs w:val="32"/>
              </w:rPr>
              <w:t xml:space="preserve">35W</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b/>
                <w:szCs w:val="21"/>
              </w:rPr>
              <w:t xml:space="preserve">2.5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bookmarkStart w:id="227" w:name="OLE_LINK17"/>
            <w:r>
              <w:rPr>
                <w:rFonts w:hint="eastAsia" w:ascii="宋体" w:hAnsi="宋体"/>
                <w:b/>
                <w:szCs w:val="32"/>
              </w:rPr>
              <w:t xml:space="preserve">大通道脊柱内窥镜手术系统</w:t>
            </w:r>
            <w:bookmarkEnd w:id="227"/>
            <w:r>
              <w:rPr>
                <w:rFonts w:hint="eastAsia" w:ascii="宋体" w:hAnsi="宋体"/>
                <w:b/>
                <w:szCs w:val="32"/>
              </w:rPr>
              <w:t xml:space="preserve">技术参数及功能要求：</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
                <w:szCs w:val="21"/>
              </w:rPr>
            </w:pPr>
            <w:r>
              <w:rPr>
                <w:rFonts w:ascii="Calibri" w:hAnsi="Calibri"/>
                <w:b/>
                <w:szCs w:val="21"/>
              </w:rPr>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bCs/>
                <w:szCs w:val="21"/>
              </w:rPr>
              <w:t xml:space="preserve">2.5.1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内窥镜视向角≥30°、视场角≥80°</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bCs/>
                <w:szCs w:val="21"/>
              </w:rPr>
              <w:t xml:space="preserve">2.5.2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内窥镜工作通道直径≥7mm</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2.5.3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内窥镜外径≤10mm</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2.5.4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内窥镜工作长度≥139mm</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2.5.5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内窥镜光学工作距离≥25mm</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bookmarkStart w:id="228" w:name="OLE_LINK4"/>
            <w:r>
              <w:rPr>
                <w:rFonts w:hint="eastAsia"/>
                <w:bCs/>
                <w:szCs w:val="21"/>
              </w:rPr>
              <w:t xml:space="preserve">提供</w:t>
            </w:r>
            <w:bookmarkEnd w:id="228"/>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2.5.6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内窥镜中心角分辨力≥2.6C/（°）</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2.5.7</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器械包</w:t>
            </w:r>
            <w:r>
              <w:rPr>
                <w:rFonts w:hint="eastAsia" w:ascii="宋体" w:hAnsi="宋体" w:cs="宋体"/>
              </w:rPr>
              <w:t xml:space="preserve">包含完成脊柱内窥镜手术所需全套器械</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b/>
                <w:szCs w:val="21"/>
              </w:rPr>
              <w:t xml:space="preserve">2.6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
                <w:szCs w:val="32"/>
              </w:rPr>
              <w:t xml:space="preserve">小通道脊柱内窥镜手术系统技术参数及功能要求：</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
                <w:szCs w:val="21"/>
              </w:rPr>
            </w:pPr>
            <w:r>
              <w:rPr>
                <w:rFonts w:ascii="Calibri" w:hAnsi="Calibri"/>
                <w:b/>
                <w:szCs w:val="21"/>
              </w:rPr>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bCs/>
                <w:szCs w:val="21"/>
              </w:rPr>
              <w:t xml:space="preserve">2.6.1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内窥镜视向角≥30°、视场角≥80°</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Height w:val="90"/>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rFonts w:hint="eastAsia"/>
                <w:bCs/>
                <w:szCs w:val="21"/>
              </w:rPr>
              <w:t xml:space="preserve">▲</w:t>
            </w:r>
            <w:r>
              <w:rPr>
                <w:bCs/>
                <w:szCs w:val="21"/>
              </w:rPr>
              <w:t xml:space="preserve">2.6.2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内窥镜工作通道直径≥3.7mm</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2.6.3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内窥镜外径≤7mm</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2.6.4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内窥镜工作长度≥180mm</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2.6.5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内窥镜光学工作距离≥25mm</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2.6.6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内窥镜中心角分辨力≥2.6C/（°）</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Cs/>
                <w:szCs w:val="21"/>
              </w:rPr>
            </w:pPr>
            <w:r>
              <w:rPr>
                <w:bCs/>
                <w:szCs w:val="21"/>
              </w:rPr>
              <w:t xml:space="preserve">2.6.7</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器械包</w:t>
            </w:r>
            <w:r>
              <w:rPr>
                <w:rFonts w:hint="eastAsia" w:ascii="宋体" w:hAnsi="宋体" w:cs="宋体"/>
              </w:rPr>
              <w:t xml:space="preserve">包含完成脊柱内窥镜手术所需全套器械</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bCs/>
                <w:szCs w:val="21"/>
              </w:rPr>
            </w:pPr>
            <w:r>
              <w:rPr>
                <w:rFonts w:hint="eastAsia"/>
                <w:bCs/>
                <w:szCs w:val="21"/>
              </w:rPr>
              <w:t xml:space="preserve">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b/>
                <w:szCs w:val="21"/>
              </w:rPr>
            </w:pPr>
            <w:r>
              <w:rPr>
                <w:rFonts w:hint="eastAsia"/>
                <w:b/>
                <w:szCs w:val="21"/>
              </w:rPr>
              <w:t xml:space="preserve">三</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21"/>
              </w:rPr>
            </w:pPr>
            <w:r>
              <w:rPr>
                <w:rFonts w:hint="eastAsia" w:cs="Arial"/>
                <w:b/>
              </w:rPr>
              <w:t xml:space="preserve">配置要求</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ascii="Calibri" w:hAnsi="Calibri"/>
                <w:szCs w:val="21"/>
              </w:rPr>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b/>
                <w:szCs w:val="32"/>
              </w:rPr>
              <w:t xml:space="preserve">椎间孔镜摄像系统</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套</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3.1.1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摄像主机</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台</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3.1.2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摄像头</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根，要求与主机同品牌</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3.1.3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光源主机</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台，要求与主机同品牌</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3.1.4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导光束（长度≥300cm，直径≥4.5mm）</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根，要求与主机同品牌</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3.1.5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医用显示器及配套附件</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套</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3.1.6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影像工作站</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台</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b/>
                <w:szCs w:val="32"/>
              </w:rPr>
              <w:t xml:space="preserve">手术动力系统</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套</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3.2.1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动力主机</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台</w:t>
            </w:r>
            <w:r>
              <w:rPr>
                <w:szCs w:val="21"/>
              </w:rPr>
              <w:t xml:space="preserve"> </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3.2.2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磨削手柄</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4</w:t>
            </w:r>
            <w:r>
              <w:rPr>
                <w:rFonts w:hint="eastAsia"/>
                <w:szCs w:val="21"/>
              </w:rPr>
              <w:t xml:space="preserve">个</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3.2.3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脚踏开关</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台</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3.2.4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灭菌器械盒</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4</w:t>
            </w:r>
            <w:r>
              <w:rPr>
                <w:rFonts w:hint="eastAsia"/>
                <w:szCs w:val="21"/>
              </w:rPr>
              <w:t xml:space="preserve">个</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3.2.5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其他附件</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按需提供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b/>
                <w:szCs w:val="32"/>
              </w:rPr>
              <w:t xml:space="preserve">等离子射频系统</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套</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3.3.1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主机</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台</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3.3.2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脚踏开关</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2</w:t>
            </w:r>
            <w:r>
              <w:rPr>
                <w:rFonts w:hint="eastAsia"/>
                <w:szCs w:val="21"/>
              </w:rPr>
              <w:t xml:space="preserve">台</w:t>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3.4</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bookmarkStart w:id="229" w:name="OLE_LINK18"/>
            <w:r>
              <w:rPr>
                <w:rFonts w:hint="eastAsia" w:ascii="宋体" w:hAnsi="宋体"/>
                <w:b/>
                <w:szCs w:val="32"/>
              </w:rPr>
              <w:t xml:space="preserve">大通道脊柱内窥镜手术系统</w:t>
            </w:r>
            <w:bookmarkEnd w:id="229"/>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3</w:t>
            </w:r>
            <w:r>
              <w:rPr>
                <w:rFonts w:hint="eastAsia"/>
                <w:szCs w:val="21"/>
              </w:rPr>
              <w:t xml:space="preserve">套</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3.4.1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bookmarkStart w:id="230" w:name="OLE_LINK19"/>
            <w:r>
              <w:rPr>
                <w:rFonts w:hint="eastAsia" w:ascii="宋体" w:hAnsi="宋体"/>
                <w:bCs/>
                <w:szCs w:val="32"/>
              </w:rPr>
              <w:t xml:space="preserve">大通道内窥镜</w:t>
            </w:r>
            <w:bookmarkEnd w:id="230"/>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3</w:t>
            </w:r>
            <w:r>
              <w:rPr>
                <w:rFonts w:hint="eastAsia"/>
                <w:szCs w:val="21"/>
              </w:rPr>
              <w:t xml:space="preserve">根，注明品牌型号</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3.4.2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Cs/>
                <w:szCs w:val="32"/>
              </w:rPr>
              <w:t xml:space="preserve">大通道器械包（含消毒盒）</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3</w:t>
            </w:r>
            <w:r>
              <w:rPr>
                <w:rFonts w:hint="eastAsia"/>
                <w:szCs w:val="21"/>
              </w:rPr>
              <w:t xml:space="preserve">套，注明品牌型号，器械数量和型号按需提供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w:t>
            </w:r>
            <w:r>
              <w:rPr>
                <w:rFonts w:hint="eastAsia"/>
                <w:szCs w:val="21"/>
              </w:rPr>
              <w:t xml:space="preserve">.4.3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szCs w:val="21"/>
              </w:rPr>
              <w:t xml:space="preserve">灭菌器械盒</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szCs w:val="21"/>
              </w:rPr>
            </w:pPr>
            <w:r>
              <w:rPr>
                <w:rFonts w:hint="eastAsia"/>
                <w:szCs w:val="21"/>
              </w:rPr>
              <w:t xml:space="preserve">3</w:t>
            </w:r>
            <w:r>
              <w:rPr>
                <w:rFonts w:hint="eastAsia"/>
                <w:szCs w:val="21"/>
              </w:rPr>
              <w:t xml:space="preserve">个</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3.5</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b/>
                <w:szCs w:val="32"/>
              </w:rPr>
              <w:t xml:space="preserve">小通道脊柱内窥镜手术系统</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szCs w:val="21"/>
              </w:rPr>
              <w:t xml:space="preserve">3</w:t>
            </w:r>
            <w:r>
              <w:rPr>
                <w:rFonts w:hint="eastAsia"/>
                <w:szCs w:val="21"/>
              </w:rPr>
              <w:t xml:space="preserve">套</w:t>
            </w:r>
            <w:r/>
          </w:p>
        </w:tc>
        <w:tc>
          <w:tcPr>
            <w:tcW w:w="850" w:type="dxa"/>
            <w:textDirection w:val="lrTb"/>
            <w:noWrap w:val="false"/>
          </w:tcPr>
          <w:p>
            <w:pPr>
              <w:rPr>
                <w:b/>
              </w:rPr>
            </w:pPr>
            <w:r>
              <w:rPr>
                <w:b/>
              </w:rPr>
            </w:r>
            <w:r/>
          </w:p>
        </w:tc>
        <w:tc>
          <w:tcPr>
            <w:tcW w:w="964" w:type="dxa"/>
            <w:textDirection w:val="lrTb"/>
            <w:noWrap w:val="false"/>
          </w:tcPr>
          <w:p>
            <w:pPr>
              <w:rPr>
                <w:b/>
              </w:rPr>
            </w:pPr>
            <w:r>
              <w:rPr>
                <w:b/>
              </w:rPr>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3.5.1</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Cs/>
                <w:szCs w:val="32"/>
              </w:rPr>
              <w:t xml:space="preserve">小通道内窥镜</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3</w:t>
            </w:r>
            <w:r>
              <w:rPr>
                <w:rFonts w:hint="eastAsia"/>
                <w:szCs w:val="21"/>
              </w:rPr>
              <w:t xml:space="preserve">根，注明品牌型号</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3.5.2</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
                <w:szCs w:val="32"/>
              </w:rPr>
            </w:pPr>
            <w:r>
              <w:rPr>
                <w:rFonts w:hint="eastAsia" w:ascii="宋体" w:hAnsi="宋体"/>
                <w:bCs/>
                <w:szCs w:val="32"/>
              </w:rPr>
              <w:t xml:space="preserve">小通道器械包（含消毒盒）</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rFonts w:ascii="Calibri" w:hAnsi="Calibri"/>
                <w:szCs w:val="21"/>
              </w:rPr>
            </w:pPr>
            <w:r>
              <w:rPr>
                <w:rFonts w:hint="eastAsia"/>
                <w:szCs w:val="21"/>
              </w:rPr>
              <w:t xml:space="preserve">3</w:t>
            </w:r>
            <w:r>
              <w:rPr>
                <w:rFonts w:hint="eastAsia"/>
                <w:szCs w:val="21"/>
              </w:rPr>
              <w:t xml:space="preserve">套，注明品牌型号，器械数量和型号按需提供</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w:t>
            </w:r>
            <w:r>
              <w:rPr>
                <w:rFonts w:hint="eastAsia"/>
                <w:szCs w:val="21"/>
              </w:rPr>
              <w:t xml:space="preserve">.5.3</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bCs/>
                <w:szCs w:val="32"/>
              </w:rPr>
            </w:pPr>
            <w:r>
              <w:rPr>
                <w:rFonts w:hint="eastAsia" w:ascii="宋体" w:hAnsi="宋体"/>
                <w:szCs w:val="21"/>
              </w:rPr>
              <w:t xml:space="preserve">灭菌器械盒</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szCs w:val="21"/>
              </w:rPr>
            </w:pPr>
            <w:r>
              <w:rPr>
                <w:rFonts w:hint="eastAsia"/>
                <w:szCs w:val="21"/>
              </w:rPr>
              <w:t xml:space="preserve">3</w:t>
            </w:r>
            <w:r>
              <w:rPr>
                <w:rFonts w:hint="eastAsia"/>
                <w:szCs w:val="21"/>
              </w:rPr>
              <w:t xml:space="preserve">个</w:t>
            </w:r>
            <w:r/>
          </w:p>
        </w:tc>
        <w:tc>
          <w:tcPr>
            <w:tcW w:w="850" w:type="dxa"/>
            <w:textDirection w:val="lrTb"/>
            <w:noWrap w:val="false"/>
          </w:tcPr>
          <w:p>
            <w:r/>
            <w:r/>
          </w:p>
        </w:tc>
        <w:tc>
          <w:tcPr>
            <w:tcW w:w="964"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1068" w:type="dxa"/>
            <w:textDirection w:val="lrTb"/>
            <w:noWrap w:val="false"/>
          </w:tcPr>
          <w:p>
            <w:pPr>
              <w:rPr>
                <w:szCs w:val="21"/>
              </w:rPr>
            </w:pPr>
            <w:r>
              <w:rPr>
                <w:szCs w:val="21"/>
              </w:rPr>
              <w:t xml:space="preserve">3</w:t>
            </w:r>
            <w:r>
              <w:rPr>
                <w:rFonts w:hint="eastAsia"/>
                <w:szCs w:val="21"/>
              </w:rPr>
              <w:t xml:space="preserve">.6</w:t>
            </w:r>
            <w:r/>
          </w:p>
        </w:tc>
        <w:tc>
          <w:tcPr>
            <w:tcBorders>
              <w:top w:val="single" w:color="auto" w:sz="4" w:space="0"/>
              <w:left w:val="single" w:color="auto" w:sz="4" w:space="0"/>
              <w:bottom w:val="single" w:color="auto" w:sz="4" w:space="0"/>
              <w:right w:val="single" w:color="auto" w:sz="4" w:space="0"/>
            </w:tcBorders>
            <w:tcW w:w="3545" w:type="dxa"/>
            <w:textDirection w:val="lrTb"/>
            <w:noWrap w:val="false"/>
          </w:tcPr>
          <w:p>
            <w:pPr>
              <w:rPr>
                <w:rFonts w:ascii="宋体" w:hAnsi="宋体"/>
                <w:szCs w:val="21"/>
              </w:rPr>
            </w:pPr>
            <w:r>
              <w:rPr>
                <w:rFonts w:hint="eastAsia" w:ascii="宋体" w:hAnsi="宋体"/>
                <w:szCs w:val="21"/>
              </w:rPr>
              <w:t xml:space="preserve">其他优惠条件</w:t>
            </w:r>
            <w:r/>
          </w:p>
        </w:tc>
        <w:tc>
          <w:tcPr>
            <w:tcBorders>
              <w:top w:val="single" w:color="auto" w:sz="4" w:space="0"/>
              <w:left w:val="single" w:color="auto" w:sz="4" w:space="0"/>
              <w:bottom w:val="single" w:color="auto" w:sz="4" w:space="0"/>
              <w:right w:val="single" w:color="auto" w:sz="4" w:space="0"/>
            </w:tcBorders>
            <w:tcW w:w="2155" w:type="dxa"/>
            <w:textDirection w:val="lrTb"/>
            <w:noWrap w:val="false"/>
          </w:tcPr>
          <w:p>
            <w:pPr>
              <w:rPr>
                <w:szCs w:val="21"/>
              </w:rPr>
            </w:pPr>
            <w:r>
              <w:rPr>
                <w:rFonts w:hint="eastAsia"/>
                <w:szCs w:val="21"/>
              </w:rPr>
              <w:t xml:space="preserve">如有，请列出</w:t>
            </w:r>
            <w:r/>
          </w:p>
        </w:tc>
        <w:tc>
          <w:tcPr>
            <w:tcW w:w="850" w:type="dxa"/>
            <w:textDirection w:val="lrTb"/>
            <w:noWrap w:val="false"/>
          </w:tcPr>
          <w:p>
            <w:r/>
            <w:r/>
          </w:p>
        </w:tc>
        <w:tc>
          <w:tcPr>
            <w:tcW w:w="964" w:type="dxa"/>
            <w:textDirection w:val="lrTb"/>
            <w:noWrap w:val="false"/>
          </w:tcPr>
          <w:p>
            <w:r/>
            <w:r/>
          </w:p>
        </w:tc>
      </w:tr>
    </w:tbl>
    <w:p>
      <w:pPr>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bCs/>
          <w:sz w:val="24"/>
          <w:lang w:val="zh-CN"/>
        </w:rPr>
      </w:pPr>
      <w:r>
        <w:rPr>
          <w:rFonts w:hint="eastAsia" w:asciiTheme="minorEastAsia" w:hAnsiTheme="minorEastAsia" w:eastAsiaTheme="minorEastAsia"/>
          <w:sz w:val="24"/>
          <w:lang w:val="zh-CN"/>
        </w:rPr>
        <w:t xml:space="preserve">（二）商务要求</w:t>
      </w:r>
      <w:r>
        <w:rPr>
          <w:rFonts w:hint="eastAsia" w:asciiTheme="minorEastAsia" w:hAnsiTheme="minorEastAsia" w:eastAsiaTheme="minorEastAsia"/>
          <w:bCs/>
          <w:sz w:val="24"/>
          <w:lang w:val="zh-CN"/>
        </w:rPr>
        <w:t xml:space="preserve">：</w:t>
      </w:r>
      <w:r>
        <w:rPr>
          <w:rFonts w:asciiTheme="minorEastAsia" w:hAnsiTheme="minorEastAsia" w:eastAsiaTheme="minorEastAsia"/>
          <w:bCs/>
          <w:sz w:val="24"/>
          <w:lang w:val="zh-CN"/>
        </w:rPr>
        <w:t xml:space="preserve"> </w:t>
      </w:r>
      <w:r/>
    </w:p>
    <w:p>
      <w:pPr>
        <w:spacing w:line="360" w:lineRule="auto"/>
        <w:rPr>
          <w:rFonts w:cs="宋体" w:asciiTheme="minorEastAsia" w:hAnsiTheme="minorEastAsia" w:eastAsiaTheme="minorEastAsia"/>
          <w:b/>
          <w:bCs/>
          <w:sz w:val="24"/>
          <w:szCs w:val="21"/>
        </w:rPr>
      </w:pPr>
      <w:r/>
      <w:bookmarkStart w:id="231" w:name="_Hlk183025149"/>
      <w:r/>
      <w:bookmarkStart w:id="232" w:name="_Hlk183025379"/>
      <w:r/>
      <w:bookmarkStart w:id="233" w:name="_Hlk179555667"/>
      <w:r>
        <w:rPr>
          <w:rFonts w:hint="eastAsia" w:cs="宋体" w:asciiTheme="minorEastAsia" w:hAnsiTheme="minorEastAsia" w:eastAsiaTheme="minorEastAsia"/>
          <w:bCs/>
          <w:sz w:val="24"/>
          <w:szCs w:val="21"/>
        </w:rPr>
        <w:t xml:space="preserve">（甲方：江苏省人民医院   乙方：设备供应商）</w:t>
      </w:r>
      <w:r/>
    </w:p>
    <w:p>
      <w:pPr>
        <w:numPr>
          <w:ilvl w:val="0"/>
          <w:numId w:val="5"/>
        </w:numPr>
        <w:spacing w:line="360" w:lineRule="auto"/>
        <w:rPr>
          <w:rFonts w:asciiTheme="minorEastAsia" w:hAnsiTheme="minorEastAsia" w:eastAsiaTheme="minorEastAsia"/>
          <w:bCs/>
          <w:sz w:val="24"/>
        </w:rPr>
      </w:pPr>
      <w:r>
        <w:rPr>
          <w:rFonts w:hint="eastAsia" w:cs="宋体" w:asciiTheme="minorEastAsia" w:hAnsiTheme="minorEastAsia" w:eastAsiaTheme="minorEastAsia"/>
          <w:bCs/>
          <w:sz w:val="24"/>
          <w:szCs w:val="21"/>
        </w:rPr>
        <w:t xml:space="preserve">★付款方式：设备验收合格后，由乙方开具发票，凭甲方开具的验收报告支付货款的90%，验收合格满一年且无任何质量问题，支付10%余尾款。</w:t>
      </w:r>
      <w:r>
        <w:rPr>
          <w:rFonts w:asciiTheme="minorEastAsia" w:hAnsiTheme="minorEastAsia" w:eastAsiaTheme="minorEastAsia"/>
          <w:bCs/>
          <w:sz w:val="24"/>
        </w:rPr>
        <w:t xml:space="preserve"> </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税：</w:t>
      </w:r>
      <w:r>
        <w:rPr>
          <w:rFonts w:hint="eastAsia" w:asciiTheme="minorEastAsia" w:hAnsiTheme="minorEastAsia" w:eastAsiaTheme="minorEastAsia"/>
          <w:bCs/>
          <w:sz w:val="24"/>
        </w:rPr>
        <w:t xml:space="preserve">本项目执行中相关的一切税费均由乙方负担。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交货</w:t>
      </w:r>
      <w:r>
        <w:rPr>
          <w:rFonts w:hint="eastAsia" w:asciiTheme="minorEastAsia" w:hAnsiTheme="minorEastAsia" w:eastAsiaTheme="minorEastAsia"/>
          <w:bCs/>
          <w:sz w:val="24"/>
        </w:rPr>
        <w:t xml:space="preserve">期（含安装调试）：</w:t>
      </w:r>
      <w:r>
        <w:rPr>
          <w:rFonts w:hint="eastAsia" w:cs="宋体" w:asciiTheme="minorEastAsia" w:hAnsiTheme="minorEastAsia" w:eastAsiaTheme="minorEastAsia"/>
          <w:sz w:val="24"/>
        </w:rPr>
        <w:t xml:space="preserve">合同生效之日起45天内货物运抵甲方指定的机</w:t>
      </w:r>
      <w:r>
        <w:rPr>
          <w:rFonts w:hint="eastAsia" w:cs="宋体" w:asciiTheme="minorEastAsia" w:hAnsiTheme="minorEastAsia" w:eastAsiaTheme="minorEastAsia"/>
          <w:sz w:val="24"/>
        </w:rPr>
        <w:t xml:space="preserve">房。</w:t>
      </w:r>
      <w:r>
        <w:rPr>
          <w:rFonts w:hint="eastAsia" w:asciiTheme="minorEastAsia" w:hAnsiTheme="minorEastAsia" w:eastAsiaTheme="minorEastAsia"/>
          <w:bCs/>
          <w:sz w:val="24"/>
        </w:rPr>
        <w:t xml:space="preserve">乙方逾期交付货物的，每逾期一天，乙方向甲方偿付货款总额5‰的滞纳金，如逾期交货达10天，甲方有权解除合同。</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4、★质保期要求：整机叁年，并承诺中标后提供原厂质保函或保修合同（提供承诺函）；</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4.1.在质保期内设备免费保修，并确保设备保修期内开机率不低于95%，如设备故障停机率超过5%（一年按365天计算，每年18天），每超过1天，保修期延长14天。</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4.2.质保期外乙方或生产厂家承诺对</w:t>
      </w:r>
      <w:r>
        <w:rPr>
          <w:rFonts w:hint="eastAsia" w:asciiTheme="minorEastAsia" w:hAnsiTheme="minorEastAsia" w:eastAsiaTheme="minorEastAsia"/>
          <w:bCs/>
          <w:sz w:val="24"/>
        </w:rPr>
        <w:t xml:space="preserve">本设备</w:t>
      </w:r>
      <w:r>
        <w:rPr>
          <w:rFonts w:hint="eastAsia" w:asciiTheme="minorEastAsia" w:hAnsiTheme="minorEastAsia" w:eastAsiaTheme="minorEastAsia"/>
          <w:bCs/>
          <w:sz w:val="24"/>
        </w:rPr>
        <w:t xml:space="preserve">终身负责维修。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4.3.</w:t>
      </w:r>
      <w:r>
        <w:rPr>
          <w:rFonts w:hint="eastAsia" w:asciiTheme="minorEastAsia" w:hAnsiTheme="minorEastAsia" w:eastAsiaTheme="minorEastAsia"/>
          <w:bCs/>
          <w:sz w:val="24"/>
        </w:rPr>
        <w:t xml:space="preserve">所有第三</w:t>
      </w:r>
      <w:r>
        <w:rPr>
          <w:rFonts w:hint="eastAsia" w:asciiTheme="minorEastAsia" w:hAnsiTheme="minorEastAsia" w:eastAsiaTheme="minorEastAsia"/>
          <w:bCs/>
          <w:sz w:val="24"/>
        </w:rPr>
        <w:t xml:space="preserve">方产品免费质保期需单独列出，如无特殊说明均视为和投标主机享有相同质保期。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、实施方案</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5.1.</w:t>
      </w:r>
      <w:r>
        <w:rPr>
          <w:rFonts w:asciiTheme="minorEastAsia" w:hAnsiTheme="minorEastAsia" w:eastAsiaTheme="minorEastAsia"/>
          <w:bCs/>
          <w:sz w:val="24"/>
        </w:rPr>
        <w:t xml:space="preserve">安装要求：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（2）所提供设备应符合中国电网制式要求；应说明最小安装面积和特殊要求（如地板抬高、专用机房等）；需免费提供配电箱到设备所需的电源线和地线；需免费提供安装设备所需的顶、</w:t>
      </w:r>
      <w:r>
        <w:rPr>
          <w:rFonts w:hint="eastAsia" w:asciiTheme="minorEastAsia" w:hAnsiTheme="minorEastAsia" w:eastAsiaTheme="minorEastAsia"/>
          <w:bCs/>
          <w:sz w:val="24"/>
        </w:rPr>
        <w:t xml:space="preserve">地结构</w:t>
      </w:r>
      <w:r>
        <w:rPr>
          <w:rFonts w:hint="eastAsia" w:asciiTheme="minorEastAsia" w:hAnsiTheme="minorEastAsia" w:eastAsiaTheme="minorEastAsia"/>
          <w:bCs/>
          <w:sz w:val="24"/>
        </w:rPr>
        <w:t xml:space="preserve">件和相关附件。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（6）本项目所采购产品如需与其他系统对接时，必须免费提供技术支持。</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（7）负责维修设备的人员要求严格遵守甲方的规章制度、工作程序及标准。</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5.2.</w:t>
      </w:r>
      <w:r>
        <w:rPr>
          <w:rFonts w:asciiTheme="minorEastAsia" w:hAnsiTheme="minorEastAsia" w:eastAsiaTheme="minorEastAsia"/>
          <w:bCs/>
          <w:sz w:val="24"/>
        </w:rPr>
        <w:t xml:space="preserve">验收要求</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5.3.售后服务</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（2）注明维修配件的仓库地址。承诺产品的备件送达期限为国内2天、国外4天。如所提供设备停产后，备件供应期限为10年。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（4）提供设备免费保养，保修期内一年至少2次设备现场维护保养。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（5）如乙方提供的设备设有维修软件密码，免费提供维修密码,并保证无条件地为甲方永久免费打开。</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（6）系统软件终身免费升级。</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（7）质保期最后一年更换的配件，从更换之日起享有一年的免费质保期。</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（8）维修配件供应停产后需保证10年。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（10）维修完成后，只收取配件成本费，免收人工费和其它工时杂费。</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6、培训计划</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7、应急响应方案：</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（1）乙方或生产厂家需提供本地化服务方案，至少包括：设有维修站和维修工程师，提供7*24小时维修服务客服电话。</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（2）请提供详细的</w:t>
      </w:r>
      <w:r>
        <w:rPr>
          <w:rFonts w:asciiTheme="minorEastAsia" w:hAnsiTheme="minorEastAsia" w:eastAsiaTheme="minorEastAsia"/>
          <w:bCs/>
          <w:sz w:val="24"/>
        </w:rPr>
        <w:t xml:space="preserve">应急响应方案</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8、配件耗材情况：</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（1）列出配置清单及分项报价，并提供订货号。进口产品需提供主机及部件的详细报关和商检单据。</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（2）列出保修期内不能免费提供的耗材等清单和价格，未列出的视为免费保修范围内产品。</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（3）列出保修期外主要配件和耗材的清单和价格及质保期。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项目报价要求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所有投标价格均为人民币报价。包括产品费用、实施费用、安装调试费用等所有费用。报价表格式见“第六章 投标文件参考格式”</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10</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项目其他要求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（2）招标文件中要求的软件和各项功能如需硬件或其他技术支持的，必须列明且免费提供。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（3）乙方在偏离的条款中也应列明该条款里乙方所能提供的最优配置。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（4）列明投标产品的品牌、产地、规格型号、产品总价、分项报价、配置清单（提供订货号）（包括标准件及所有选购件，若为</w:t>
      </w:r>
      <w:r>
        <w:rPr>
          <w:rFonts w:hint="eastAsia" w:asciiTheme="minorEastAsia" w:hAnsiTheme="minorEastAsia" w:eastAsiaTheme="minorEastAsia"/>
          <w:bCs/>
          <w:sz w:val="24"/>
        </w:rPr>
        <w:t xml:space="preserve">选购件请单独</w:t>
      </w:r>
      <w:r>
        <w:rPr>
          <w:rFonts w:hint="eastAsia" w:asciiTheme="minorEastAsia" w:hAnsiTheme="minorEastAsia" w:eastAsiaTheme="minorEastAsia"/>
          <w:bCs/>
          <w:sz w:val="24"/>
        </w:rPr>
        <w:t xml:space="preserve">报价，并注明是否包含在总价中）、技术参数及原厂技术参数、设备彩页。</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（6）所有附属设备、第三方产品或加配设备如需要注册证，必须提供。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（7）提供</w:t>
      </w:r>
      <w:r>
        <w:rPr>
          <w:rFonts w:hint="eastAsia" w:asciiTheme="minorEastAsia" w:hAnsiTheme="minorEastAsia" w:eastAsiaTheme="minorEastAsia"/>
          <w:bCs/>
          <w:sz w:val="24"/>
        </w:rPr>
        <w:t xml:space="preserve">设备出保后</w:t>
      </w:r>
      <w:r>
        <w:rPr>
          <w:rFonts w:hint="eastAsia" w:asciiTheme="minorEastAsia" w:hAnsiTheme="minorEastAsia" w:eastAsiaTheme="minorEastAsia"/>
          <w:bCs/>
          <w:sz w:val="24"/>
        </w:rPr>
        <w:t xml:space="preserve">的年保修合同价格。各供应商自拟格式，并加盖公章。</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（9）其他未提及事项必须符合法律法规及相关政策文件等规定。</w:t>
      </w:r>
      <w:r/>
    </w:p>
    <w:p>
      <w:pPr>
        <w:spacing w:line="360" w:lineRule="auto"/>
        <w:rPr>
          <w:rFonts w:asciiTheme="minorEastAsia" w:hAnsiTheme="minorEastAsia" w:eastAsiaTheme="minorEastAsia"/>
          <w:b/>
          <w:bCs/>
        </w:rPr>
        <w:pBdr>
          <w:bottom w:val="single" w:color="auto" w:sz="6" w:space="1"/>
        </w:pBdr>
      </w:pPr>
      <w:r>
        <w:rPr>
          <w:rFonts w:asciiTheme="minorEastAsia" w:hAnsiTheme="minorEastAsia" w:eastAsiaTheme="minorEastAsia"/>
          <w:b/>
          <w:bCs/>
        </w:rPr>
      </w:r>
      <w:r/>
    </w:p>
    <w:p>
      <w:pPr>
        <w:pStyle w:val="881"/>
        <w:spacing w:line="360" w:lineRule="auto"/>
        <w:rPr>
          <w:rFonts w:cs="宋体" w:asciiTheme="minorEastAsia" w:hAnsiTheme="minorEastAsia" w:eastAsiaTheme="minorEastAsia"/>
          <w:b/>
          <w:bCs/>
        </w:rPr>
      </w:pPr>
      <w:r>
        <w:rPr>
          <w:rFonts w:hint="eastAsia" w:cs="宋体" w:asciiTheme="minorEastAsia" w:hAnsiTheme="minorEastAsia" w:eastAsiaTheme="minorEastAsia"/>
        </w:rPr>
        <w:t xml:space="preserve">注：上述“商务要求”需在商务要求偏离表中逐条响应。</w:t>
      </w:r>
      <w:bookmarkEnd w:id="220"/>
      <w:bookmarkEnd w:id="231"/>
      <w:bookmarkEnd w:id="232"/>
      <w:bookmarkEnd w:id="233"/>
      <w:r/>
    </w:p>
    <w:p>
      <w:pPr>
        <w:rPr>
          <w:rFonts w:asciiTheme="minorEastAsia" w:hAnsiTheme="minorEastAsia" w:eastAsiaTheme="minorEastAsia"/>
        </w:rPr>
      </w:pPr>
      <w:r>
        <w:rPr>
          <w:rFonts w:asciiTheme="minorEastAsia" w:hAnsiTheme="minorEastAsia" w:eastAsiaTheme="minorEastAsia"/>
        </w:rPr>
      </w:r>
      <w:r/>
    </w:p>
    <w:p>
      <w:pPr>
        <w:pStyle w:val="915"/>
        <w:rPr>
          <w:rFonts w:asciiTheme="minorEastAsia" w:hAnsiTheme="minorEastAsia" w:eastAsiaTheme="minorEastAsia"/>
        </w:rPr>
      </w:pPr>
      <w:r>
        <w:rPr>
          <w:rFonts w:asciiTheme="minorEastAsia" w:hAnsiTheme="minorEastAsia" w:eastAsiaTheme="minorEastAsia"/>
        </w:rPr>
      </w:r>
      <w:r/>
    </w:p>
    <w:p>
      <w:pPr>
        <w:tabs>
          <w:tab w:val="left" w:pos="851" w:leader="none"/>
          <w:tab w:val="left" w:pos="1276" w:leader="none"/>
          <w:tab w:val="left" w:pos="1418" w:leader="none"/>
        </w:tabs>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34" w:name="_Toc675"/>
      <w:r/>
      <w:bookmarkStart w:id="235" w:name="_Toc26095"/>
      <w:r/>
      <w:bookmarkStart w:id="236" w:name="_Toc15487"/>
      <w:r/>
      <w:bookmarkStart w:id="237" w:name="_Toc194500888"/>
      <w:r/>
      <w:bookmarkStart w:id="238" w:name="_Toc1170"/>
      <w:r>
        <w:rPr>
          <w:rFonts w:cs="宋体" w:asciiTheme="minorEastAsia" w:hAnsiTheme="minorEastAsia" w:eastAsiaTheme="minorEastAsia"/>
          <w:b/>
          <w:sz w:val="32"/>
        </w:rPr>
        <w:t xml:space="preserve">第五章  评标方法与评标标准</w:t>
      </w:r>
      <w:bookmarkEnd w:id="234"/>
      <w:r/>
      <w:bookmarkEnd w:id="235"/>
      <w:r/>
      <w:bookmarkEnd w:id="236"/>
      <w:r/>
      <w:bookmarkEnd w:id="237"/>
      <w:r/>
      <w:bookmarkEnd w:id="238"/>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采用综合评分法的，评标结果按评审后得分由高到低顺序排列。得分相同的，按投标报价由低到高顺序排列。得分且投标报价相同的并列。投标文件满足招标文件全部实质性要求，</w:t>
      </w:r>
      <w:r>
        <w:rPr>
          <w:rFonts w:cs="宋体" w:asciiTheme="minorEastAsia" w:hAnsiTheme="minorEastAsia" w:eastAsiaTheme="minorEastAsia"/>
          <w:sz w:val="24"/>
        </w:rPr>
        <w:t xml:space="preserve">且按照</w:t>
      </w:r>
      <w:r>
        <w:rPr>
          <w:rFonts w:cs="宋体" w:asciiTheme="minorEastAsia" w:hAnsiTheme="minorEastAsia" w:eastAsiaTheme="minorEastAsia"/>
          <w:sz w:val="24"/>
        </w:rPr>
        <w:t xml:space="preserve">评审因素的量化指标评审得分最高的投标人为排名第一的中标候选人。本项目选取</w:t>
      </w:r>
      <w:r>
        <w:rPr>
          <w:rFonts w:cs="Arial"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239" w:name="_Toc6416"/>
      <w:r/>
      <w:bookmarkStart w:id="240" w:name="_Toc194500889"/>
      <w:r/>
      <w:bookmarkStart w:id="241" w:name="_Toc22996"/>
      <w:r/>
      <w:bookmarkStart w:id="242" w:name="_Toc26336"/>
      <w:r/>
      <w:bookmarkStart w:id="243" w:name="_Toc27458"/>
      <w:r>
        <w:rPr>
          <w:rFonts w:cs="宋体" w:asciiTheme="minorEastAsia" w:hAnsiTheme="minorEastAsia" w:eastAsiaTheme="minorEastAsia"/>
          <w:b/>
          <w:sz w:val="24"/>
        </w:rPr>
        <w:t xml:space="preserve">政府采购政策功能落实</w:t>
      </w:r>
      <w:bookmarkEnd w:id="239"/>
      <w:r/>
      <w:bookmarkEnd w:id="240"/>
      <w:r/>
      <w:bookmarkEnd w:id="241"/>
      <w:r/>
      <w:bookmarkEnd w:id="242"/>
      <w:r/>
      <w:bookmarkEnd w:id="243"/>
      <w:r/>
      <w:r/>
    </w:p>
    <w:p>
      <w:pPr>
        <w:ind w:firstLine="480"/>
        <w:rPr>
          <w:rFonts w:asciiTheme="minorEastAsia" w:hAnsiTheme="minorEastAsia" w:eastAsiaTheme="minorEastAsia"/>
        </w:rPr>
      </w:pPr>
      <w:r>
        <w:rPr>
          <w:rFonts w:cs="宋体" w:asciiTheme="minorEastAsia" w:hAnsiTheme="minorEastAsia" w:eastAsiaTheme="minorEastAsia"/>
          <w:sz w:val="24"/>
        </w:rPr>
        <w:t xml:space="preserve">1、小微型企业价格扣除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（1）本项目对小型和微型企业产品给予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的扣除价格，用扣除后的价格参与评审。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（2）供应商需按照采购文件的要求提供相应的《小微企业声明函》。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（3）企业标准请参照《关于印发中小企业划型标准规定的通知》（工信部联企业[2011]300号）文件规定自行填写。</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2、残疾人福利单位价格扣除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（1）本项目对残疾人福利性单位视同小型、微型企业，给予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（2）残疾人福利单位需按照采购文件的要求提供《残疾人福利性单位声明函》。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（3）残疾人福利单位标准请参照《关于促进残疾人就业政府采购政策的通知》（财库〔2017〕141号）。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3、监狱和戒毒企业价格扣除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（1）本项目对监狱和戒毒企业（简称监狱企业）视同小型、微型企业，给予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（3）监狱企业标准请参照《关于政府采购支持监狱企业发展有关问题的通知》（财库[2014]68号）。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4、残疾人福利单位、监狱企业属于小型、微型企业的，不重复享受政策。</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sz w:val="24"/>
          <w:u w:val="single"/>
        </w:rPr>
        <w:t xml:space="preserve">4%</w:t>
      </w:r>
      <w:r>
        <w:rPr>
          <w:rFonts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6、联合体各方均为小型、微型企业（残疾人福利单位、监狱企业）的，联合体享受</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7、采购本国产品的支持政策</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供应商需在《声明函》中逐一、</w:t>
      </w:r>
      <w:r>
        <w:rPr>
          <w:rFonts w:cs="宋体" w:asciiTheme="minorEastAsia" w:hAnsiTheme="minorEastAsia" w:eastAsiaTheme="minorEastAsia"/>
          <w:sz w:val="24"/>
        </w:rPr>
        <w:t xml:space="preserve">准确</w:t>
      </w:r>
      <w:r>
        <w:rPr>
          <w:rFonts w:hint="eastAsia" w:cs="宋体" w:asciiTheme="minorEastAsia" w:hAnsiTheme="minorEastAsia" w:eastAsiaTheme="minorEastAsia"/>
          <w:sz w:val="24"/>
        </w:rPr>
        <w:t xml:space="preserve">填写产品名称、厂名、生产厂址三项信息（《声明函》中用</w:t>
      </w:r>
      <w:r>
        <w:rPr>
          <w:rFonts w:hint="eastAsia" w:cs="宋体" w:asciiTheme="minorEastAsia" w:hAnsiTheme="minorEastAsia" w:eastAsiaTheme="minorEastAsia"/>
          <w:sz w:val="24"/>
        </w:rPr>
        <w:t xml:space="preserve">斜线划除的</w:t>
      </w:r>
      <w:r>
        <w:rPr>
          <w:rFonts w:hint="eastAsia" w:cs="宋体" w:asciiTheme="minorEastAsia" w:hAnsiTheme="minorEastAsia" w:eastAsiaTheme="minorEastAsia"/>
          <w:sz w:val="24"/>
        </w:rPr>
        <w:t xml:space="preserve">地方无需填写），三</w:t>
      </w:r>
      <w:r>
        <w:rPr>
          <w:rFonts w:cs="宋体" w:asciiTheme="minorEastAsia" w:hAnsiTheme="minorEastAsia" w:eastAsiaTheme="minorEastAsia"/>
          <w:sz w:val="24"/>
        </w:rPr>
        <w:t xml:space="preserve">项信息中</w:t>
      </w:r>
      <w:r>
        <w:rPr>
          <w:rFonts w:hint="eastAsia" w:cs="宋体" w:asciiTheme="minorEastAsia" w:hAnsiTheme="minorEastAsia" w:eastAsiaTheme="minorEastAsia"/>
          <w:sz w:val="24"/>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 评标过程中，如发现供应商在《声明函》内容</w:t>
      </w:r>
      <w:r>
        <w:rPr>
          <w:rFonts w:cs="宋体" w:asciiTheme="minorEastAsia" w:hAnsiTheme="minorEastAsia" w:eastAsiaTheme="minorEastAsia"/>
          <w:sz w:val="24"/>
        </w:rPr>
        <w:t xml:space="preserve">含义不明确、同类事项与投</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响应</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文件</w:t>
      </w:r>
      <w:r>
        <w:rPr>
          <w:rFonts w:cs="宋体" w:asciiTheme="minorEastAsia" w:hAnsiTheme="minorEastAsia" w:eastAsiaTheme="minorEastAsia"/>
          <w:sz w:val="24"/>
        </w:rPr>
        <w:t xml:space="preserve">表述不一致或者有</w:t>
      </w:r>
      <w:r>
        <w:rPr>
          <w:rFonts w:hint="eastAsia" w:cs="宋体" w:asciiTheme="minorEastAsia" w:hAnsiTheme="minorEastAsia" w:eastAsiaTheme="minorEastAsia"/>
          <w:sz w:val="24"/>
        </w:rPr>
        <w:t xml:space="preserve">明显</w:t>
      </w:r>
      <w:r>
        <w:rPr>
          <w:rFonts w:cs="宋体" w:asciiTheme="minorEastAsia" w:hAnsiTheme="minorEastAsia" w:eastAsiaTheme="minorEastAsia"/>
          <w:sz w:val="24"/>
        </w:rPr>
        <w:t xml:space="preserve">文字错误等情况的</w:t>
      </w:r>
      <w:r>
        <w:rPr>
          <w:rFonts w:hint="eastAsia" w:cs="宋体" w:asciiTheme="minorEastAsia" w:hAnsiTheme="minorEastAsia" w:eastAsiaTheme="minorEastAsia"/>
          <w:sz w:val="24"/>
        </w:rPr>
        <w:t xml:space="preserve">，评标委员会应当以书面形式要求供应商</w:t>
      </w:r>
      <w:r>
        <w:rPr>
          <w:rFonts w:hint="eastAsia" w:cs="宋体" w:asciiTheme="minorEastAsia" w:hAnsiTheme="minorEastAsia" w:eastAsiaTheme="minorEastAsia"/>
          <w:sz w:val="24"/>
        </w:rPr>
        <w:t xml:space="preserve">作出</w:t>
      </w:r>
      <w:r>
        <w:rPr>
          <w:rFonts w:hint="eastAsia" w:cs="宋体" w:asciiTheme="minorEastAsia" w:hAnsiTheme="minorEastAsia" w:eastAsiaTheme="minorEastAsia"/>
          <w:sz w:val="24"/>
        </w:rPr>
        <w:t xml:space="preserve">必要的澄清、说明或者补正。经澄清、说明或者补正的《声明函》仍然不符合《国务院办公厅关于在政府采购中实施本国产品</w:t>
      </w:r>
      <w:r>
        <w:rPr>
          <w:rFonts w:hint="eastAsia" w:cs="宋体" w:asciiTheme="minorEastAsia" w:hAnsiTheme="minorEastAsia" w:eastAsiaTheme="minorEastAsia"/>
          <w:sz w:val="24"/>
        </w:rPr>
        <w:t xml:space="preserve">标准及相关政策的通知》（国办发〔2025〕34号）和招标文件规定的，供应商提供的相关产品视为不符合本国产品标准。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7.6</w:t>
      </w:r>
      <w:r>
        <w:rPr>
          <w:rFonts w:hint="eastAsia" w:cs="宋体" w:asciiTheme="minorEastAsia" w:hAnsiTheme="minorEastAsia" w:eastAsiaTheme="minorEastAsia"/>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7.7</w:t>
      </w:r>
      <w:r>
        <w:rPr>
          <w:rFonts w:hint="eastAsia" w:cs="宋体" w:asciiTheme="minorEastAsia" w:hAnsiTheme="minorEastAsia" w:eastAsiaTheme="minorEastAsia"/>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spacing w:line="360" w:lineRule="auto"/>
        <w:rPr>
          <w:rFonts w:cs="宋体" w:asciiTheme="minorEastAsia" w:hAnsiTheme="minorEastAsia" w:eastAsiaTheme="minorEastAsia"/>
          <w:b/>
          <w:sz w:val="24"/>
        </w:rPr>
        <w:outlineLvl w:val="1"/>
      </w:pPr>
      <w:r/>
      <w:bookmarkStart w:id="244" w:name="_Toc194500890"/>
      <w:r/>
      <w:bookmarkStart w:id="245" w:name="_Toc21141"/>
      <w:r/>
      <w:bookmarkStart w:id="246" w:name="_Toc7136"/>
      <w:r/>
      <w:bookmarkStart w:id="247" w:name="_Toc24524"/>
      <w:r/>
      <w:bookmarkStart w:id="248" w:name="_Toc21053"/>
      <w:r>
        <w:rPr>
          <w:rFonts w:cs="宋体" w:asciiTheme="minorEastAsia" w:hAnsiTheme="minorEastAsia" w:eastAsiaTheme="minorEastAsia"/>
          <w:b/>
          <w:sz w:val="24"/>
        </w:rPr>
        <w:t xml:space="preserve">符合性审查内容</w:t>
      </w:r>
      <w:bookmarkEnd w:id="244"/>
      <w:r/>
      <w:bookmarkEnd w:id="245"/>
      <w:r/>
      <w:bookmarkEnd w:id="246"/>
      <w:r/>
      <w:bookmarkEnd w:id="247"/>
      <w:r/>
      <w:bookmarkEnd w:id="248"/>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 xml:space="preserve">报价要求：不得超过最高限价</w:t>
      </w:r>
      <w:r>
        <w:rPr>
          <w:rFonts w:hint="eastAsia" w:cs="宋体" w:asciiTheme="minorEastAsia" w:hAnsiTheme="minorEastAsia" w:eastAsiaTheme="minorEastAsia"/>
          <w:iCs/>
          <w:sz w:val="24"/>
        </w:rPr>
        <w:t xml:space="preserve">。</w:t>
      </w:r>
      <w:r/>
    </w:p>
    <w:p>
      <w:pPr>
        <w:ind w:left="420"/>
        <w:jc w:val="left"/>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商务要求：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《第六章投标文件格式》中“投标文件构成”有实质性缺漏的；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投标函中注明的投标有效期少于招标文件要求；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出现备选投标方案的；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出现采购人不能接受的附加条件的；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投标文件出现法律、法规和招标文件规定的其他无效情形；</w:t>
      </w:r>
      <w:r/>
    </w:p>
    <w:p>
      <w:pPr>
        <w:ind w:firstLine="480"/>
        <w:jc w:val="left"/>
        <w:spacing w:before="120"/>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技术要求：</w:t>
      </w:r>
      <w:r/>
    </w:p>
    <w:p>
      <w:pPr>
        <w:pStyle w:val="915"/>
      </w:pPr>
      <w:r/>
      <w:r/>
    </w:p>
    <w:p>
      <w:pPr>
        <w:ind w:firstLine="48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3.1《技术要求响应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中，加注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的，表格没有按照</w:t>
      </w:r>
      <w:r>
        <w:rPr>
          <w:rFonts w:cs="宋体" w:asciiTheme="minorEastAsia" w:hAnsiTheme="minorEastAsia" w:eastAsiaTheme="minorEastAsia"/>
          <w:sz w:val="24"/>
        </w:rPr>
        <w:t xml:space="preserve">招标文件要求点对点应答的</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3.2《</w:t>
      </w:r>
      <w:r>
        <w:rPr>
          <w:rFonts w:hint="eastAsia" w:cs="宋体" w:asciiTheme="minorEastAsia" w:hAnsiTheme="minorEastAsia" w:eastAsiaTheme="minorEastAsia"/>
          <w:sz w:val="24"/>
        </w:rPr>
        <w:t xml:space="preserve">商务</w:t>
      </w:r>
      <w:r>
        <w:rPr>
          <w:rFonts w:cs="宋体" w:asciiTheme="minorEastAsia" w:hAnsiTheme="minorEastAsia" w:eastAsiaTheme="minorEastAsia"/>
          <w:sz w:val="24"/>
        </w:rPr>
        <w:t xml:space="preserve">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偏离表》中，</w:t>
      </w:r>
      <w:r>
        <w:rPr>
          <w:rFonts w:hint="eastAsia" w:cs="宋体" w:asciiTheme="minorEastAsia" w:hAnsiTheme="minorEastAsia" w:eastAsiaTheme="minorEastAsia"/>
          <w:sz w:val="24"/>
        </w:rPr>
        <w:t xml:space="preserve">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w:t>
      </w:r>
      <w:r/>
    </w:p>
    <w:p>
      <w:pPr>
        <w:pStyle w:val="915"/>
        <w:ind w:left="42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《投标分项报价表》没有按照招标文件要求填写的。</w:t>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br w:type="page" w:clear="all"/>
      </w:r>
      <w:bookmarkStart w:id="249" w:name="_Toc194500891"/>
      <w:r/>
      <w:bookmarkStart w:id="250" w:name="_Toc12524"/>
      <w:r/>
      <w:bookmarkStart w:id="251" w:name="_Toc7929"/>
      <w:r/>
      <w:bookmarkStart w:id="252" w:name="_Toc10103"/>
      <w:r/>
      <w:bookmarkStart w:id="253" w:name="_Toc20891"/>
      <w:r>
        <w:rPr>
          <w:rFonts w:cs="宋体" w:asciiTheme="minorEastAsia" w:hAnsiTheme="minorEastAsia" w:eastAsiaTheme="minorEastAsia"/>
          <w:b/>
          <w:sz w:val="24"/>
        </w:rPr>
        <w:t xml:space="preserve">评分方法和评标标准</w:t>
      </w:r>
      <w:bookmarkEnd w:id="249"/>
      <w:r>
        <w:rPr>
          <w:rFonts w:cs="宋体" w:asciiTheme="minorEastAsia" w:hAnsiTheme="minorEastAsia" w:eastAsiaTheme="minorEastAsia"/>
          <w:b/>
          <w:sz w:val="24"/>
        </w:rPr>
        <w:t xml:space="preserve"> </w:t>
      </w:r>
      <w:bookmarkEnd w:id="250"/>
      <w:r/>
      <w:bookmarkEnd w:id="251"/>
      <w:r/>
      <w:bookmarkEnd w:id="252"/>
      <w:r/>
      <w:bookmarkEnd w:id="253"/>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680"/>
        <w:gridCol w:w="867"/>
        <w:gridCol w:w="5743"/>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bCs/>
                <w:sz w:val="24"/>
              </w:rPr>
              <w:t xml:space="preserve">满足招标文件要求且投标价格最低的投标报价为评标基准价，其价格分为满</w:t>
            </w:r>
            <w:r/>
          </w:p>
          <w:p>
            <w:pPr>
              <w:jc w:val="left"/>
              <w:spacing w:line="360" w:lineRule="auto"/>
              <w:widowControl/>
              <w:rPr>
                <w:rFonts w:hAnsi="宋体" w:cs="宋体"/>
                <w:b/>
                <w:bCs/>
                <w:sz w:val="24"/>
              </w:rPr>
            </w:pPr>
            <w:r>
              <w:rPr>
                <w:rFonts w:hint="eastAsia" w:hAnsi="宋体" w:cs="宋体"/>
                <w:bCs/>
                <w:sz w:val="24"/>
              </w:rPr>
              <w:t xml:space="preserve">分</w:t>
            </w:r>
            <w:r>
              <w:rPr>
                <w:rFonts w:hint="eastAsia" w:hAnsi="宋体" w:cs="宋体"/>
                <w:bCs/>
                <w:sz w:val="24"/>
              </w:rPr>
              <w:t xml:space="preserve">30</w:t>
            </w:r>
            <w:r>
              <w:rPr>
                <w:rFonts w:hint="eastAsia" w:hAnsi="宋体" w:cs="宋体"/>
                <w:bCs/>
                <w:sz w:val="24"/>
              </w:rPr>
              <w:t xml:space="preserve">分，其他投标人的价格</w:t>
            </w:r>
            <w:r>
              <w:rPr>
                <w:rFonts w:hint="eastAsia" w:hAnsi="宋体" w:cs="宋体"/>
                <w:bCs/>
                <w:sz w:val="24"/>
              </w:rPr>
              <w:t xml:space="preserve">分按照</w:t>
            </w:r>
            <w:r>
              <w:rPr>
                <w:rFonts w:hint="eastAsia" w:hAnsi="宋体" w:cs="宋体"/>
                <w:bCs/>
                <w:sz w:val="24"/>
              </w:rPr>
              <w:t xml:space="preserve">下列公式计算：投标报价得分</w:t>
            </w:r>
            <w:r>
              <w:rPr>
                <w:rFonts w:hint="eastAsia" w:hAnsi="宋体" w:cs="宋体"/>
                <w:bCs/>
                <w:sz w:val="24"/>
              </w:rPr>
              <w:t xml:space="preserve">=</w:t>
            </w:r>
            <w:r>
              <w:rPr>
                <w:rFonts w:hint="eastAsia" w:hAnsi="宋体" w:cs="宋体"/>
                <w:bCs/>
                <w:sz w:val="24"/>
              </w:rPr>
              <w:t xml:space="preserve">（评标基准价</w:t>
            </w:r>
            <w:r>
              <w:rPr>
                <w:rFonts w:hint="eastAsia" w:hAnsi="宋体" w:cs="宋体"/>
                <w:bCs/>
                <w:sz w:val="24"/>
              </w:rPr>
              <w:t xml:space="preserve">/</w:t>
            </w:r>
            <w:r>
              <w:rPr>
                <w:rFonts w:hint="eastAsia" w:hAnsi="宋体" w:cs="宋体"/>
                <w:bCs/>
                <w:sz w:val="24"/>
              </w:rPr>
              <w:t xml:space="preserve">投标报价）×</w:t>
            </w:r>
            <w:r>
              <w:rPr>
                <w:rFonts w:hint="eastAsia" w:hAnsi="宋体" w:cs="宋体"/>
                <w:bCs/>
                <w:sz w:val="24"/>
              </w:rPr>
              <w:t xml:space="preserve">30</w:t>
            </w:r>
            <w:r>
              <w:rPr>
                <w:rFonts w:hint="eastAsia" w:hAnsi="宋体" w:cs="宋体"/>
                <w:bCs/>
                <w:sz w:val="24"/>
              </w:rPr>
              <w:t xml:space="preserve">，即满足招标文件要求且投标价格最低的得</w:t>
            </w:r>
            <w:r>
              <w:rPr>
                <w:rFonts w:hint="eastAsia" w:hAnsi="宋体" w:cs="宋体"/>
                <w:bCs/>
                <w:sz w:val="24"/>
              </w:rPr>
              <w:t xml:space="preserve">30</w:t>
            </w:r>
            <w:r>
              <w:rPr>
                <w:rFonts w:hint="eastAsia" w:hAnsi="宋体" w:cs="宋体"/>
                <w:bCs/>
                <w:sz w:val="24"/>
              </w:rPr>
              <w:t xml:space="preserve">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sz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5</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所投产品（同品牌同</w:t>
            </w:r>
            <w:r>
              <w:rPr>
                <w:rFonts w:hint="eastAsia" w:cs="宋体" w:asciiTheme="minorEastAsia" w:hAnsiTheme="minorEastAsia" w:eastAsiaTheme="minorEastAsia"/>
                <w:bCs/>
                <w:sz w:val="24"/>
              </w:rPr>
              <w:t xml:space="preserve">类型</w:t>
            </w:r>
            <w:bookmarkStart w:id="254" w:name="_GoBack"/>
            <w:r/>
            <w:bookmarkEnd w:id="254"/>
            <w:r>
              <w:rPr>
                <w:rFonts w:hint="eastAsia" w:cs="宋体" w:asciiTheme="minorEastAsia" w:hAnsiTheme="minorEastAsia" w:eastAsiaTheme="minorEastAsia"/>
                <w:bCs/>
                <w:sz w:val="24"/>
              </w:rPr>
              <w:t xml:space="preserve">）自202</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年1月1日至投标截止时间（以合同签订时间为准）有销售业绩。未提供或未按要求提供不得分。</w:t>
            </w:r>
            <w:r/>
          </w:p>
          <w:p>
            <w:pPr>
              <w:jc w:val="left"/>
              <w:spacing w:line="360" w:lineRule="auto"/>
              <w:widowControl/>
              <w:rPr>
                <w:rFonts w:hAnsi="宋体" w:cs="宋体"/>
                <w:b/>
                <w:bCs/>
                <w:sz w:val="24"/>
              </w:rPr>
            </w:pPr>
            <w:r>
              <w:rPr>
                <w:rFonts w:hint="eastAsia" w:cs="宋体" w:asciiTheme="minorEastAsia" w:hAnsiTheme="minorEastAsia" w:eastAsiaTheme="minorEastAsia"/>
                <w:bCs/>
                <w:sz w:val="24"/>
              </w:rPr>
              <w:t xml:space="preserve">每提供一份业绩合同得1分（每份业绩需提供完整合同文件等材料作为佐证材料；如买方名称、供货品牌/型号、合同金额、数量、签订时间等信息缺失，则视作无效业绩），最高得</w:t>
            </w:r>
            <w:r>
              <w:rPr>
                <w:rFonts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评委根据投标文件中的《技术要求响应/偏离表》结合投标文件提供的佐证材料等进行评审：满足招标文件第四章采购需求之“技术要求”项下全</w:t>
            </w:r>
            <w:r>
              <w:rPr>
                <w:rFonts w:hint="eastAsia" w:cs="宋体" w:asciiTheme="minorEastAsia" w:hAnsiTheme="minorEastAsia" w:eastAsiaTheme="minorEastAsia"/>
                <w:bCs/>
                <w:sz w:val="24"/>
              </w:rPr>
              <w:t xml:space="preserve">部内容的，得</w:t>
            </w:r>
            <w:r>
              <w:rPr>
                <w:rFonts w:cs="宋体" w:asciiTheme="minorEastAsia" w:hAnsiTheme="minorEastAsia" w:eastAsiaTheme="minorEastAsia"/>
                <w:bCs/>
                <w:sz w:val="24"/>
              </w:rPr>
              <w:t xml:space="preserve">30</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其中：</w:t>
            </w:r>
            <w:r/>
          </w:p>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rPr>
              <w:t xml:space="preserve">▲指标为重要参数，</w:t>
            </w:r>
            <w:r>
              <w:rPr>
                <w:rFonts w:hint="eastAsia" w:cs="宋体" w:asciiTheme="minorEastAsia" w:hAnsiTheme="minorEastAsia" w:eastAsiaTheme="minorEastAsia"/>
                <w:bCs/>
                <w:sz w:val="24"/>
              </w:rPr>
              <w:t xml:space="preserve">负偏离一项扣4分；</w:t>
            </w:r>
            <w:r/>
          </w:p>
          <w:p>
            <w:pPr>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普通参数负偏离一项扣</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
                <w:bCs/>
                <w:sz w:val="24"/>
              </w:rPr>
            </w:pPr>
            <w:r>
              <w:rPr>
                <w:rFonts w:hint="eastAsia" w:asciiTheme="minorEastAsia" w:hAnsiTheme="minorEastAsia" w:eastAsiaTheme="minorEastAsia"/>
                <w:sz w:val="24"/>
              </w:rPr>
              <w:t xml:space="preserve">★指标负偏离视为无效投标。</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缺漏项视为负偏离，正偏离不加分，扣完为止。</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Ansi="宋体" w:cs="宋体"/>
                <w:b/>
                <w:bCs/>
                <w:sz w:val="24"/>
              </w:rPr>
            </w:pPr>
            <w:r>
              <w:rPr>
                <w:rFonts w:hint="eastAsia" w:cs="宋体" w:asciiTheme="minorEastAsia" w:hAnsiTheme="minorEastAsia" w:eastAsiaTheme="minorEastAsia"/>
                <w:bCs/>
                <w:sz w:val="24"/>
              </w:rPr>
              <w:t xml:space="preserve">2.如果投标人提供虚假材料，一经查实，视为放弃中标资格。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6</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bCs/>
                <w:sz w:val="24"/>
              </w:rPr>
              <w:t xml:space="preserve">投标人质保期满足招标文件第四</w:t>
            </w:r>
            <w:r>
              <w:rPr>
                <w:rFonts w:hint="eastAsia" w:hAnsi="宋体"/>
                <w:bCs/>
                <w:sz w:val="24"/>
              </w:rPr>
              <w:t xml:space="preserve">章项目</w:t>
            </w:r>
            <w:r>
              <w:rPr>
                <w:rFonts w:hint="eastAsia" w:hAnsi="宋体"/>
                <w:bCs/>
                <w:sz w:val="24"/>
              </w:rPr>
              <w:t xml:space="preserve">需求之</w:t>
            </w:r>
            <w:r>
              <w:rPr>
                <w:rFonts w:hint="eastAsia" w:hAnsi="宋体"/>
                <w:bCs/>
                <w:sz w:val="24"/>
              </w:rPr>
              <w:t xml:space="preserve"> </w:t>
            </w:r>
            <w:r>
              <w:rPr>
                <w:rFonts w:hint="eastAsia" w:hAnsi="宋体"/>
                <w:bCs/>
                <w:sz w:val="24"/>
              </w:rPr>
              <w:t xml:space="preserve">“商务要求”基本质保期要求的得</w:t>
            </w:r>
            <w:r>
              <w:rPr>
                <w:rFonts w:hint="eastAsia" w:hAnsi="宋体"/>
                <w:bCs/>
                <w:sz w:val="24"/>
              </w:rPr>
              <w:t xml:space="preserve">3</w:t>
            </w:r>
            <w:r>
              <w:rPr>
                <w:rFonts w:hint="eastAsia" w:hAnsi="宋体"/>
                <w:bCs/>
                <w:sz w:val="24"/>
              </w:rPr>
              <w:t xml:space="preserve">分，在满足招标文件规定的免费质保期基础上，每增加一年制造商提供的免费质保期加</w:t>
            </w:r>
            <w:r>
              <w:rPr>
                <w:rFonts w:hint="eastAsia" w:hAnsi="宋体"/>
                <w:bCs/>
                <w:sz w:val="24"/>
              </w:rPr>
              <w:t xml:space="preserve">1.5</w:t>
            </w:r>
            <w:r>
              <w:rPr>
                <w:rFonts w:hint="eastAsia" w:hAnsi="宋体"/>
                <w:bCs/>
                <w:sz w:val="24"/>
              </w:rPr>
              <w:t xml:space="preserve">分，最多加</w:t>
            </w:r>
            <w:r>
              <w:rPr>
                <w:rFonts w:hint="eastAsia" w:hAnsi="宋体"/>
                <w:bCs/>
                <w:sz w:val="24"/>
              </w:rPr>
              <w:t xml:space="preserve">3</w:t>
            </w:r>
            <w:r>
              <w:rPr>
                <w:rFonts w:hint="eastAsia" w:hAnsi="宋体"/>
                <w:bCs/>
                <w:sz w:val="24"/>
              </w:rPr>
              <w:t xml:space="preserve">分，本项最高得</w:t>
            </w:r>
            <w:r>
              <w:rPr>
                <w:rFonts w:hint="eastAsia" w:hAnsi="宋体"/>
                <w:bCs/>
                <w:sz w:val="24"/>
              </w:rPr>
              <w:t xml:space="preserve">6</w:t>
            </w:r>
            <w:r>
              <w:rPr>
                <w:rFonts w:hint="eastAsia" w:hAnsi="宋体"/>
                <w:bCs/>
                <w:sz w:val="24"/>
              </w:rPr>
              <w:t xml:space="preserve">分。</w:t>
            </w:r>
            <w:r>
              <w:rPr>
                <w:rFonts w:hint="eastAsia" w:hAnsi="宋体"/>
                <w:sz w:val="24"/>
              </w:rPr>
              <w:t xml:space="preserve">（投标人在投标时需提供承诺书，承诺签订合同前提供制造商出具的</w:t>
            </w:r>
            <w:r>
              <w:rPr>
                <w:rFonts w:hint="eastAsia" w:hAnsi="宋体" w:cs="宋体"/>
                <w:sz w:val="24"/>
              </w:rPr>
              <w:t xml:space="preserve">质保函或保修合同</w:t>
            </w:r>
            <w:r>
              <w:rPr>
                <w:rFonts w:hint="eastAsia" w:hAnsi="宋体"/>
                <w:sz w:val="24"/>
              </w:rPr>
              <w:t xml:space="preserve">，</w:t>
            </w:r>
            <w:r>
              <w:rPr>
                <w:rFonts w:hint="eastAsia" w:hAnsi="宋体"/>
                <w:sz w:val="24"/>
              </w:rPr>
              <w:t xml:space="preserve">若合同</w:t>
            </w:r>
            <w:r>
              <w:rPr>
                <w:rFonts w:hint="eastAsia" w:hAnsi="宋体"/>
                <w:sz w:val="24"/>
              </w:rPr>
              <w:t xml:space="preserve">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14</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sz w:val="24"/>
              </w:rPr>
              <w:t xml:space="preserve">1</w:t>
            </w:r>
            <w:r>
              <w:rPr>
                <w:rFonts w:hint="eastAsia" w:hAnsi="宋体" w:cs="宋体"/>
                <w:sz w:val="24"/>
              </w:rPr>
              <w:t xml:space="preserve">、实施方案（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针对投标人提供的关于交货、安装、调试等项目实施方案综合打分。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方案内容全面，详细合理，针对性强，技术保障措施完善，得</w:t>
            </w:r>
            <w:r>
              <w:rPr>
                <w:rFonts w:hint="eastAsia" w:hAnsi="宋体" w:cs="宋体"/>
                <w:bCs/>
                <w:sz w:val="24"/>
              </w:rPr>
              <w:t xml:space="preserve">7</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方案内容较全面合理，针对性一般，技术保障措施较为完善，得</w:t>
            </w:r>
            <w:r>
              <w:rPr>
                <w:rFonts w:hint="eastAsia" w:hAnsi="宋体" w:cs="宋体"/>
                <w:bCs/>
                <w:sz w:val="24"/>
              </w:rPr>
              <w:t xml:space="preserve">4</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方案内容简单，未突出重点，技术保障措施一般，得</w:t>
            </w:r>
            <w:r>
              <w:rPr>
                <w:rFonts w:hint="eastAsia" w:hAnsi="宋体" w:cs="宋体"/>
                <w:bCs/>
                <w:sz w:val="24"/>
              </w:rPr>
              <w:t xml:space="preserve">1</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、培训计划（</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根据提供培训计划的内容、方式、时间、人次数等综合评分。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培训计划实用，方式多样，安排合理得</w:t>
            </w:r>
            <w:r>
              <w:rPr>
                <w:rFonts w:hint="eastAsia" w:hAnsi="宋体" w:cs="宋体"/>
                <w:bCs/>
                <w:sz w:val="24"/>
              </w:rPr>
              <w:t xml:space="preserve">7</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培训计划较实用，方式较多样，安排较合理得</w:t>
            </w:r>
            <w:r>
              <w:rPr>
                <w:rFonts w:hint="eastAsia" w:hAnsi="宋体" w:cs="宋体"/>
                <w:bCs/>
                <w:sz w:val="24"/>
              </w:rPr>
              <w:t xml:space="preserve">4</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培训计划简单，形式单一，得</w:t>
            </w:r>
            <w:r>
              <w:rPr>
                <w:rFonts w:hint="eastAsia" w:hAnsi="宋体" w:cs="宋体"/>
                <w:bCs/>
                <w:sz w:val="24"/>
              </w:rPr>
              <w:t xml:space="preserve">1</w:t>
            </w:r>
            <w:r>
              <w:rPr>
                <w:rFonts w:hint="eastAsia" w:hAnsi="宋体" w:cs="宋体"/>
                <w:bCs/>
                <w:sz w:val="24"/>
              </w:rPr>
              <w:t xml:space="preserve">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int="eastAsia" w:hAnsi="宋体" w:cs="宋体"/>
                <w:sz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int="eastAsia" w:hAnsi="宋体" w:cs="宋体"/>
                <w:bCs/>
                <w:sz w:val="24"/>
              </w:rPr>
              <w:t xml:space="preserve">14</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Ansi="宋体" w:cs="宋体"/>
                <w:b/>
                <w:bCs/>
                <w:sz w:val="24"/>
              </w:rPr>
            </w:pPr>
            <w:r>
              <w:rPr>
                <w:rFonts w:hint="eastAsia" w:hAnsi="宋体" w:cs="宋体"/>
                <w:sz w:val="24"/>
              </w:rPr>
              <w:t xml:space="preserve">1</w:t>
            </w:r>
            <w:r>
              <w:rPr>
                <w:rFonts w:hint="eastAsia" w:hAnsi="宋体" w:cs="宋体"/>
                <w:sz w:val="24"/>
              </w:rPr>
              <w:t xml:space="preserve">、应急响应方案（</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根据对维修设备的响应和应急故障修</w:t>
            </w:r>
            <w:r>
              <w:rPr>
                <w:rFonts w:hint="eastAsia" w:hAnsi="宋体" w:cs="宋体"/>
                <w:bCs/>
                <w:sz w:val="24"/>
              </w:rPr>
              <w:t xml:space="preserve">复方案</w:t>
            </w:r>
            <w:r>
              <w:rPr>
                <w:rFonts w:hint="eastAsia" w:hAnsi="宋体" w:cs="宋体"/>
                <w:bCs/>
                <w:sz w:val="24"/>
              </w:rPr>
              <w:t xml:space="preserve">等综合评分。</w:t>
            </w:r>
            <w:r/>
          </w:p>
          <w:p>
            <w:pPr>
              <w:spacing w:line="360" w:lineRule="auto"/>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维修响应速度快，维修方案全面可行性强，应急故障修</w:t>
            </w:r>
            <w:r>
              <w:rPr>
                <w:rFonts w:hint="eastAsia" w:hAnsi="宋体" w:cs="宋体"/>
                <w:bCs/>
                <w:sz w:val="24"/>
              </w:rPr>
              <w:t xml:space="preserve">复方案</w:t>
            </w:r>
            <w:r>
              <w:rPr>
                <w:rFonts w:hint="eastAsia" w:hAnsi="宋体" w:cs="宋体"/>
                <w:bCs/>
                <w:sz w:val="24"/>
              </w:rPr>
              <w:t xml:space="preserve">完善得</w:t>
            </w:r>
            <w:r>
              <w:rPr>
                <w:rFonts w:hint="eastAsia" w:hAnsi="宋体" w:cs="宋体"/>
                <w:bCs/>
                <w:sz w:val="24"/>
              </w:rPr>
              <w:t xml:space="preserve">7</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维修响应较快，维修方案较全面，可行性较强，应急故障修</w:t>
            </w:r>
            <w:r>
              <w:rPr>
                <w:rFonts w:hint="eastAsia" w:hAnsi="宋体" w:cs="宋体"/>
                <w:bCs/>
                <w:sz w:val="24"/>
              </w:rPr>
              <w:t xml:space="preserve">复方案</w:t>
            </w:r>
            <w:r>
              <w:rPr>
                <w:rFonts w:hint="eastAsia" w:hAnsi="宋体" w:cs="宋体"/>
                <w:bCs/>
                <w:sz w:val="24"/>
              </w:rPr>
              <w:t xml:space="preserve">较完善得</w:t>
            </w:r>
            <w:r>
              <w:rPr>
                <w:rFonts w:hint="eastAsia" w:hAnsi="宋体" w:cs="宋体"/>
                <w:bCs/>
                <w:sz w:val="24"/>
              </w:rPr>
              <w:t xml:space="preserve">4</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维修响应一般，维修方案简单，应急故障修</w:t>
            </w:r>
            <w:r>
              <w:rPr>
                <w:rFonts w:hint="eastAsia" w:hAnsi="宋体" w:cs="宋体"/>
                <w:bCs/>
                <w:sz w:val="24"/>
              </w:rPr>
              <w:t xml:space="preserve">复方案</w:t>
            </w:r>
            <w:r>
              <w:rPr>
                <w:rFonts w:hint="eastAsia" w:hAnsi="宋体" w:cs="宋体"/>
                <w:bCs/>
                <w:sz w:val="24"/>
              </w:rPr>
              <w:t xml:space="preserve">一般得</w:t>
            </w:r>
            <w:r>
              <w:rPr>
                <w:rFonts w:hint="eastAsia" w:hAnsi="宋体" w:cs="宋体"/>
                <w:bCs/>
                <w:sz w:val="24"/>
              </w:rPr>
              <w:t xml:space="preserve">1</w:t>
            </w:r>
            <w:r>
              <w:rPr>
                <w:rFonts w:hint="eastAsia" w:hAnsi="宋体" w:cs="宋体"/>
                <w:bCs/>
                <w:sz w:val="24"/>
              </w:rPr>
              <w:t xml:space="preserve">分。</w:t>
            </w:r>
            <w:r/>
          </w:p>
          <w:p>
            <w:pPr>
              <w:spacing w:line="360" w:lineRule="auto"/>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w:t>
            </w:r>
            <w:r>
              <w:rPr>
                <w:rFonts w:hint="eastAsia" w:hAnsi="宋体" w:cs="宋体"/>
                <w:sz w:val="24"/>
              </w:rPr>
              <w:t xml:space="preserve">、配件</w:t>
            </w:r>
            <w:r>
              <w:rPr>
                <w:rFonts w:hint="eastAsia" w:hAnsi="宋体" w:cs="宋体"/>
                <w:sz w:val="24"/>
              </w:rPr>
              <w:t xml:space="preserve">/</w:t>
            </w:r>
            <w:r>
              <w:rPr>
                <w:rFonts w:hint="eastAsia" w:hAnsi="宋体" w:cs="宋体"/>
                <w:sz w:val="24"/>
              </w:rPr>
              <w:t xml:space="preserve">耗材情况（</w:t>
            </w:r>
            <w:r>
              <w:rPr>
                <w:rFonts w:hint="eastAsia" w:hAnsi="宋体" w:cs="宋体"/>
                <w:sz w:val="24"/>
              </w:rPr>
              <w:t xml:space="preserve">7</w:t>
            </w:r>
            <w:r>
              <w:rPr>
                <w:rFonts w:hint="eastAsia" w:hAnsi="宋体" w:cs="宋体"/>
                <w:sz w:val="24"/>
              </w:rPr>
              <w:t xml:space="preserve">分）：</w:t>
            </w:r>
            <w:r>
              <w:rPr>
                <w:rFonts w:hint="eastAsia" w:hAnsi="宋体" w:cs="宋体"/>
                <w:bCs/>
                <w:sz w:val="24"/>
              </w:rPr>
              <w:t xml:space="preserve">根据所投产品列出保修期外主要配件</w:t>
            </w:r>
            <w:r>
              <w:rPr>
                <w:rFonts w:hint="eastAsia" w:hAnsi="宋体" w:cs="宋体"/>
                <w:bCs/>
                <w:sz w:val="24"/>
              </w:rPr>
              <w:t xml:space="preserve">/</w:t>
            </w:r>
            <w:r>
              <w:rPr>
                <w:rFonts w:hint="eastAsia" w:hAnsi="宋体" w:cs="宋体"/>
                <w:bCs/>
                <w:sz w:val="24"/>
              </w:rPr>
              <w:t xml:space="preserve">耗材的清单和价格，评委根据配件</w:t>
            </w:r>
            <w:r>
              <w:rPr>
                <w:rFonts w:hint="eastAsia" w:hAnsi="宋体" w:cs="宋体"/>
                <w:bCs/>
                <w:sz w:val="24"/>
              </w:rPr>
              <w:t xml:space="preserve">/</w:t>
            </w:r>
            <w:r>
              <w:rPr>
                <w:rFonts w:hint="eastAsia" w:hAnsi="宋体" w:cs="宋体"/>
                <w:bCs/>
                <w:sz w:val="24"/>
              </w:rPr>
              <w:t xml:space="preserve">耗材的质量品质、价格等综合评分。</w:t>
            </w:r>
            <w:r/>
          </w:p>
          <w:p>
            <w:pPr>
              <w:pStyle w:val="881"/>
              <w:rPr>
                <w:rFonts w:ascii="宋体" w:hAnsi="宋体" w:cs="宋体"/>
                <w:b/>
                <w:bCs/>
              </w:rPr>
            </w:pPr>
            <w:r>
              <w:rPr>
                <w:rFonts w:hint="eastAsia" w:ascii="宋体" w:hAnsi="宋体" w:cs="宋体"/>
                <w:bCs/>
              </w:rPr>
              <w:t xml:space="preserve">a</w:t>
            </w:r>
            <w:r>
              <w:rPr>
                <w:rFonts w:ascii="宋体" w:hAnsi="宋体" w:cs="宋体"/>
                <w:bCs/>
              </w:rPr>
              <w:t xml:space="preserve">.</w:t>
            </w:r>
            <w:r>
              <w:rPr>
                <w:rFonts w:hint="eastAsia" w:ascii="宋体" w:hAnsi="宋体" w:cs="宋体"/>
                <w:bCs/>
              </w:rPr>
              <w:t xml:space="preserve">提供的清单完整、适应性强、配套性高、价格最优惠得</w:t>
            </w:r>
            <w:r>
              <w:rPr>
                <w:rFonts w:ascii="宋体" w:hAnsi="宋体" w:cs="宋体"/>
                <w:bCs/>
              </w:rPr>
              <w:t xml:space="preserve">7</w:t>
            </w:r>
            <w:r>
              <w:rPr>
                <w:rFonts w:hint="eastAsia" w:ascii="宋体" w:hAnsi="宋体" w:cs="宋体"/>
                <w:bCs/>
              </w:rPr>
              <w:t xml:space="preserve">分；</w:t>
            </w:r>
            <w:r/>
          </w:p>
          <w:p>
            <w:pPr>
              <w:pStyle w:val="881"/>
              <w:rPr>
                <w:rFonts w:ascii="宋体" w:hAnsi="宋体" w:cs="宋体"/>
                <w:b/>
                <w:bCs/>
              </w:rPr>
            </w:pPr>
            <w:r>
              <w:rPr>
                <w:rFonts w:hint="eastAsia" w:ascii="宋体" w:hAnsi="宋体" w:cs="宋体"/>
                <w:bCs/>
              </w:rPr>
              <w:t xml:space="preserve">b</w:t>
            </w:r>
            <w:r>
              <w:rPr>
                <w:rFonts w:ascii="宋体" w:hAnsi="宋体" w:cs="宋体"/>
                <w:bCs/>
              </w:rPr>
              <w:t xml:space="preserve">.</w:t>
            </w:r>
            <w:r>
              <w:rPr>
                <w:rFonts w:hint="eastAsia" w:ascii="宋体" w:hAnsi="宋体" w:cs="宋体"/>
                <w:bCs/>
              </w:rPr>
              <w:t xml:space="preserve">提供的清单完整度一般、适应性一般、配套一般、价格较优惠得</w:t>
            </w:r>
            <w:r>
              <w:rPr>
                <w:rFonts w:ascii="宋体" w:hAnsi="宋体" w:cs="宋体"/>
                <w:bCs/>
              </w:rPr>
              <w:t xml:space="preserve">4</w:t>
            </w:r>
            <w:r>
              <w:rPr>
                <w:rFonts w:hint="eastAsia" w:ascii="宋体" w:hAnsi="宋体" w:cs="宋体"/>
                <w:bCs/>
              </w:rPr>
              <w:t xml:space="preserve">分；</w:t>
            </w:r>
            <w:r/>
          </w:p>
          <w:p>
            <w:pPr>
              <w:pStyle w:val="881"/>
              <w:rPr>
                <w:rFonts w:ascii="宋体" w:hAnsi="宋体" w:cs="宋体"/>
                <w:b/>
                <w:bCs/>
              </w:rPr>
            </w:pPr>
            <w:r>
              <w:rPr>
                <w:rFonts w:hint="eastAsia" w:ascii="宋体" w:hAnsi="宋体" w:cs="宋体"/>
                <w:bCs/>
              </w:rPr>
              <w:t xml:space="preserve">c</w:t>
            </w:r>
            <w:r>
              <w:rPr>
                <w:rFonts w:ascii="宋体" w:hAnsi="宋体" w:cs="宋体"/>
                <w:bCs/>
              </w:rPr>
              <w:t xml:space="preserve">.</w:t>
            </w:r>
            <w:r>
              <w:rPr>
                <w:rFonts w:hint="eastAsia" w:ascii="宋体" w:hAnsi="宋体" w:cs="宋体"/>
                <w:bCs/>
              </w:rPr>
              <w:t xml:space="preserve">提供的清单笼统、配套不完善、价格优惠力度低得1分；</w:t>
            </w:r>
            <w:r/>
          </w:p>
          <w:p>
            <w:pPr>
              <w:pStyle w:val="881"/>
              <w:rPr>
                <w:rFonts w:ascii="宋体" w:hAnsi="宋体" w:cs="宋体"/>
                <w:b/>
                <w:bCs/>
              </w:rPr>
            </w:pPr>
            <w:r>
              <w:rPr>
                <w:rFonts w:hint="eastAsia" w:ascii="宋体" w:hAnsi="宋体" w:cs="宋体"/>
                <w:bCs/>
              </w:rPr>
              <w:t xml:space="preserve">d.未提供的不得分。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Cs/>
                <w:sz w:val="24"/>
              </w:rPr>
              <w:t xml:space="preserve">0.5</w:t>
            </w:r>
            <w:r>
              <w:rPr>
                <w:rFonts w:hint="eastAsia" w:hAnsi="宋体" w:cs="宋体"/>
                <w:bCs/>
                <w:sz w:val="24"/>
              </w:rPr>
              <w:t xml:space="preserve">分，没有不得分。提供认证证书</w:t>
            </w:r>
            <w:r>
              <w:rPr>
                <w:rFonts w:hint="eastAsia" w:hAnsi="宋体" w:cs="宋体"/>
                <w:bCs/>
                <w:sz w:val="24"/>
              </w:rPr>
              <w:t xml:space="preserve">扫描件</w:t>
            </w:r>
            <w:r>
              <w:rPr>
                <w:rFonts w:hint="eastAsia" w:hAnsi="宋体" w:cs="宋体"/>
                <w:bCs/>
                <w:sz w:val="24"/>
              </w:rPr>
              <w:t xml:space="preserve">，否则不得分。</w:t>
            </w:r>
            <w:r/>
          </w:p>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Cs/>
                <w:sz w:val="24"/>
              </w:rPr>
              <w:t xml:space="preserve">0.5</w:t>
            </w:r>
            <w:r>
              <w:rPr>
                <w:rFonts w:hint="eastAsia" w:hAnsi="宋体" w:cs="宋体"/>
                <w:bCs/>
                <w:sz w:val="24"/>
              </w:rPr>
              <w:t xml:space="preserve">分，没有不得分。提供认证证书</w:t>
            </w:r>
            <w:r>
              <w:rPr>
                <w:rFonts w:hint="eastAsia" w:hAnsi="宋体" w:cs="宋体"/>
                <w:bCs/>
                <w:sz w:val="24"/>
              </w:rPr>
              <w:t xml:space="preserve">扫描件</w:t>
            </w:r>
            <w:r>
              <w:rPr>
                <w:rFonts w:hint="eastAsia" w:hAnsi="宋体" w:cs="宋体"/>
                <w:bCs/>
                <w:sz w:val="24"/>
              </w:rPr>
              <w:t xml:space="preserve">，否则不得分。</w:t>
            </w:r>
            <w:r/>
          </w:p>
          <w:p>
            <w:pPr>
              <w:spacing w:line="360" w:lineRule="auto"/>
              <w:rPr>
                <w:rFonts w:hAnsi="宋体" w:cs="宋体"/>
                <w:sz w:val="24"/>
              </w:rPr>
            </w:pPr>
            <w:r>
              <w:rPr>
                <w:rFonts w:hint="eastAsia" w:hAnsi="宋体" w:cs="宋体"/>
                <w:sz w:val="24"/>
              </w:rPr>
              <w:t xml:space="preserve">特别说明：投标人需提供环境标志产品证书</w:t>
            </w:r>
            <w:r>
              <w:rPr>
                <w:rFonts w:hint="eastAsia" w:hAnsi="宋体" w:cs="宋体"/>
                <w:sz w:val="24"/>
              </w:rPr>
              <w:t xml:space="preserve">/</w:t>
            </w:r>
            <w:r>
              <w:rPr>
                <w:rFonts w:hint="eastAsia" w:hAnsi="宋体" w:cs="宋体"/>
                <w:sz w:val="24"/>
              </w:rPr>
              <w:t xml:space="preserve">节能产品证书并标识出产品型号，如未提供，将不予认可。</w:t>
            </w:r>
            <w:r/>
          </w:p>
        </w:tc>
      </w:tr>
    </w:tbl>
    <w:p>
      <w:pPr>
        <w:pStyle w:val="915"/>
        <w:rPr>
          <w:rFonts w:asciiTheme="minorEastAsia" w:hAnsiTheme="minorEastAsia" w:eastAsiaTheme="minorEastAsia"/>
        </w:rPr>
      </w:pPr>
      <w:r>
        <w:rPr>
          <w:rFonts w:asciiTheme="minorEastAsia" w:hAnsiTheme="minorEastAsia" w:eastAsiaTheme="minorEastAsia"/>
        </w:rPr>
      </w:r>
      <w:r/>
    </w:p>
    <w:p>
      <w:pPr>
        <w:jc w:val="center"/>
        <w:rPr>
          <w:rFonts w:cs="宋体" w:asciiTheme="minorEastAsia" w:hAnsiTheme="minorEastAsia" w:eastAsiaTheme="minorEastAsia"/>
          <w:b/>
          <w:sz w:val="32"/>
        </w:rPr>
        <w:outlineLvl w:val="0"/>
      </w:pPr>
      <w:r>
        <w:rPr>
          <w:rFonts w:hint="eastAsia" w:asciiTheme="minorEastAsia" w:hAnsiTheme="minorEastAsia" w:eastAsiaTheme="minorEastAsia"/>
          <w:szCs w:val="22"/>
        </w:rPr>
        <w:br w:type="page" w:clear="all"/>
      </w:r>
      <w:bookmarkStart w:id="255" w:name="_Toc17279"/>
      <w:r/>
      <w:bookmarkStart w:id="256" w:name="_Toc7507"/>
      <w:r/>
      <w:bookmarkStart w:id="257" w:name="_Toc194500892"/>
      <w:r/>
      <w:bookmarkStart w:id="258" w:name="_Toc29985"/>
      <w:r/>
      <w:bookmarkStart w:id="259" w:name="_Toc32166"/>
      <w:r>
        <w:rPr>
          <w:rFonts w:cs="宋体" w:asciiTheme="minorEastAsia" w:hAnsiTheme="minorEastAsia" w:eastAsiaTheme="minorEastAsia"/>
          <w:b/>
          <w:sz w:val="32"/>
        </w:rPr>
        <w:t xml:space="preserve">第六章  投标文件格式</w:t>
      </w:r>
      <w:bookmarkEnd w:id="255"/>
      <w:r/>
      <w:bookmarkEnd w:id="256"/>
      <w:r/>
      <w:bookmarkEnd w:id="257"/>
      <w:r/>
      <w:bookmarkEnd w:id="258"/>
      <w:r/>
      <w:bookmarkEnd w:id="259"/>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投  标  文  件</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tbl>
      <w:tblPr>
        <w:tblW w:w="0" w:type="auto"/>
        <w:tblInd w:w="-108" w:type="dxa"/>
        <w:tblLook w:val="04A0" w:firstRow="1" w:lastRow="0" w:firstColumn="1" w:lastColumn="0" w:noHBand="0" w:noVBand="1"/>
      </w:tblPr>
      <w:tblGrid>
        <w:gridCol w:w="2763"/>
        <w:gridCol w:w="5645"/>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rPr>
            </w:pPr>
            <w:r>
              <w:rPr>
                <w:rFonts w:cs="宋体" w:asciiTheme="minorEastAsia" w:hAnsiTheme="minorEastAsia" w:eastAsiaTheme="minorEastAsia"/>
                <w:b/>
                <w:sz w:val="32"/>
              </w:rPr>
              <w:t xml:space="preserve">江苏省人民医院</w:t>
            </w:r>
            <w:r>
              <w:rPr>
                <w:rFonts w:hint="eastAsia" w:cs="宋体" w:asciiTheme="minorEastAsia" w:hAnsiTheme="minorEastAsia" w:eastAsiaTheme="minorEastAsia"/>
                <w:b/>
                <w:sz w:val="32"/>
              </w:rPr>
              <w:t xml:space="preserve">椎间孔镜系统采购项目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b/>
                <w:sz w:val="32"/>
              </w:rPr>
              <w:t xml:space="preserve">JSZC-320000-SOHO-G2026-0009</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hint="eastAsia" w:cs="宋体" w:asciiTheme="minorEastAsia" w:hAnsiTheme="minorEastAsia" w:eastAsiaTheme="minorEastAsia"/>
                <w:b/>
                <w:sz w:val="32"/>
              </w:rPr>
              <w:t xml:space="preserve">代理机构编号</w:t>
            </w:r>
            <w:r>
              <w:rPr>
                <w:rFonts w:cs="宋体" w:asciiTheme="minorEastAsia" w:hAnsiTheme="minorEastAsia" w:eastAsiaTheme="minorEastAsia"/>
                <w:b/>
                <w:sz w:val="32"/>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lang w:eastAsia="en-US"/>
              </w:rPr>
            </w:pPr>
            <w:r>
              <w:rPr>
                <w:rFonts w:cs="宋体" w:asciiTheme="minorEastAsia" w:hAnsiTheme="minorEastAsia" w:eastAsiaTheme="minorEastAsia"/>
                <w:b/>
                <w:bCs/>
                <w:sz w:val="36"/>
              </w:rPr>
              <w:t xml:space="preserve">1802-264104101HWZ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6"/>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cs="宋体" w:asciiTheme="minorEastAsia" w:hAnsiTheme="minorEastAsia" w:eastAsiaTheme="minorEastAsia"/>
                <w:b/>
                <w:sz w:val="36"/>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日期</w:t>
            </w:r>
            <w:r>
              <w:rPr>
                <w:rFonts w:cs="宋体" w:asciiTheme="minorEastAsia" w:hAnsiTheme="minorEastAsia" w:eastAsiaTheme="minorEastAsia"/>
                <w:b/>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2026年XX月XX日</w:t>
            </w:r>
            <w:r/>
          </w:p>
        </w:tc>
      </w:tr>
    </w:tbl>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spacing w:line="439" w:lineRule="atLeast"/>
        <w:rPr>
          <w:rFonts w:asciiTheme="minorEastAsia" w:hAnsiTheme="minorEastAsia" w:eastAsiaTheme="minorEastAsia"/>
        </w:rPr>
      </w:pPr>
      <w:r>
        <w:rPr>
          <w:rFonts w:cs="宋体" w:asciiTheme="minorEastAsia" w:hAnsiTheme="minorEastAsia" w:eastAsiaTheme="minorEastAsia"/>
          <w:b/>
          <w:sz w:val="32"/>
        </w:rPr>
        <w:t xml:space="preserve">投标文件目录</w:t>
      </w:r>
      <w:r/>
    </w:p>
    <w:p>
      <w:pPr>
        <w:ind w:firstLine="321"/>
        <w:jc w:val="center"/>
        <w:spacing w:line="85" w:lineRule="atLeast"/>
        <w:rPr>
          <w:rFonts w:asciiTheme="minorEastAsia" w:hAnsiTheme="minorEastAsia" w:eastAsiaTheme="minorEastAsia"/>
        </w:rPr>
      </w:pPr>
      <w:r>
        <w:rPr>
          <w:rFonts w:cs="宋体" w:asciiTheme="minorEastAsia" w:hAnsiTheme="minorEastAsia" w:eastAsiaTheme="minorEastAsia"/>
          <w:b/>
          <w:sz w:val="32"/>
        </w:rPr>
        <w:t xml:space="preserve"> </w:t>
      </w:r>
      <w:r/>
    </w:p>
    <w:p>
      <w:pPr>
        <w:ind w:firstLine="240"/>
        <w:spacing w:line="85" w:lineRule="atLeast"/>
        <w:rPr>
          <w:rFonts w:cs="宋体" w:asciiTheme="minorEastAsia" w:hAnsiTheme="minorEastAsia" w:eastAsiaTheme="minorEastAsia"/>
          <w:sz w:val="24"/>
        </w:rPr>
      </w:pPr>
      <w:r/>
      <w:bookmarkStart w:id="260" w:name="_Toc194500893"/>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通用资格要求</w:t>
      </w:r>
      <w:bookmarkEnd w:id="260"/>
      <w:r/>
      <w:r/>
    </w:p>
    <w:p>
      <w:pPr>
        <w:ind w:firstLine="240"/>
        <w:spacing w:line="85" w:lineRule="atLeast"/>
        <w:rPr>
          <w:rFonts w:cs="宋体" w:asciiTheme="minorEastAsia" w:hAnsiTheme="minorEastAsia" w:eastAsiaTheme="minorEastAsia"/>
          <w:sz w:val="24"/>
        </w:rPr>
      </w:pPr>
      <w:r/>
      <w:bookmarkStart w:id="261" w:name="_Toc194500894"/>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特定资格要求</w:t>
      </w:r>
      <w:bookmarkEnd w:id="261"/>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w:t>
      </w:r>
      <w:r>
        <w:rPr>
          <w:rFonts w:cs="宋体" w:asciiTheme="minorEastAsia" w:hAnsiTheme="minorEastAsia" w:eastAsiaTheme="minorEastAsia"/>
          <w:sz w:val="24"/>
        </w:rPr>
        <w:t xml:space="preserve">、法定代表人授权书</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四</w:t>
      </w:r>
      <w:r>
        <w:rPr>
          <w:rFonts w:cs="宋体" w:asciiTheme="minorEastAsia" w:hAnsiTheme="minorEastAsia" w:eastAsiaTheme="minorEastAsia"/>
          <w:sz w:val="24"/>
        </w:rPr>
        <w:t xml:space="preserve">、投标函</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、小</w:t>
      </w:r>
      <w:r>
        <w:rPr>
          <w:rFonts w:cs="宋体" w:asciiTheme="minorEastAsia" w:hAnsiTheme="minorEastAsia" w:eastAsiaTheme="minorEastAsia"/>
          <w:sz w:val="24"/>
        </w:rPr>
        <w:t xml:space="preserve">微企业</w:t>
      </w:r>
      <w:r>
        <w:rPr>
          <w:rFonts w:cs="宋体" w:asciiTheme="minorEastAsia" w:hAnsiTheme="minorEastAsia" w:eastAsiaTheme="minorEastAsia"/>
          <w:sz w:val="24"/>
        </w:rPr>
        <w:t xml:space="preserve">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、残疾人福利性单位声明函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关于符合本国产品标准的声明函（如适用）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八</w:t>
      </w:r>
      <w:r>
        <w:rPr>
          <w:rFonts w:cs="宋体" w:asciiTheme="minorEastAsia" w:hAnsiTheme="minorEastAsia" w:eastAsiaTheme="minorEastAsia"/>
          <w:sz w:val="24"/>
        </w:rPr>
        <w:t xml:space="preserve">、投标分项报价表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九</w:t>
      </w:r>
      <w:r>
        <w:rPr>
          <w:rFonts w:cs="宋体" w:asciiTheme="minorEastAsia" w:hAnsiTheme="minorEastAsia" w:eastAsiaTheme="minorEastAsia"/>
          <w:sz w:val="24"/>
        </w:rPr>
        <w:t xml:space="preserve">、开标一览表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十</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技术、商务条款偏离表</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十一、服务</w:t>
      </w:r>
      <w:r>
        <w:rPr>
          <w:rFonts w:cs="宋体" w:asciiTheme="minorEastAsia" w:hAnsiTheme="minorEastAsia" w:eastAsiaTheme="minorEastAsia"/>
          <w:sz w:val="24"/>
        </w:rPr>
        <w:t xml:space="preserve">方案</w:t>
      </w:r>
      <w:r/>
    </w:p>
    <w:p>
      <w:pPr>
        <w:ind w:firstLine="240"/>
        <w:spacing w:line="85" w:lineRule="atLeast"/>
        <w:rPr>
          <w:rFonts w:cs="宋体" w:asciiTheme="minorEastAsia" w:hAnsiTheme="minorEastAsia" w:eastAsiaTheme="minorEastAsia"/>
        </w:rPr>
      </w:pPr>
      <w:r>
        <w:rPr>
          <w:rFonts w:hint="eastAsia" w:cs="宋体" w:asciiTheme="minorEastAsia" w:hAnsiTheme="minorEastAsia" w:eastAsiaTheme="minorEastAsia"/>
          <w:sz w:val="24"/>
        </w:rPr>
        <w:t xml:space="preserve">十二</w:t>
      </w:r>
      <w:r>
        <w:rPr>
          <w:rFonts w:cs="宋体" w:asciiTheme="minorEastAsia" w:hAnsiTheme="minorEastAsia" w:eastAsiaTheme="minorEastAsia"/>
          <w:sz w:val="24"/>
        </w:rPr>
        <w:t xml:space="preserve">、投标人认为需要提供的其它资料</w:t>
      </w:r>
      <w:r>
        <w:rPr>
          <w:rFonts w:hint="eastAsia" w:cs="宋体" w:asciiTheme="minorEastAsia" w:hAnsiTheme="minorEastAsia" w:eastAsiaTheme="minorEastAsia"/>
          <w:sz w:val="22"/>
        </w:rPr>
        <w:t xml:space="preserve">（如有）</w:t>
      </w:r>
      <w:r/>
    </w:p>
    <w:p>
      <w:pPr>
        <w:ind w:firstLine="240"/>
        <w:spacing w:line="85" w:lineRule="atLeast"/>
        <w:rPr>
          <w:rFonts w:cs="宋体" w:asciiTheme="minorEastAsia" w:hAnsiTheme="minorEastAsia" w:eastAsiaTheme="minorEastAsia"/>
        </w:rPr>
      </w:pPr>
      <w:r>
        <w:rPr>
          <w:rFonts w:cs="宋体"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cs="宋体" w:asciiTheme="minorEastAsia" w:hAnsiTheme="minorEastAsia" w:eastAsiaTheme="minorEastAsia"/>
        </w:rPr>
        <w:br w:type="page" w:clear="all"/>
      </w:r>
      <w:bookmarkStart w:id="262" w:name="_Toc30"/>
      <w:r>
        <w:rPr>
          <w:rFonts w:hint="eastAsia" w:cs="宋体" w:asciiTheme="minorEastAsia" w:hAnsiTheme="minorEastAsia" w:eastAsiaTheme="minorEastAsia"/>
          <w:sz w:val="32"/>
        </w:rPr>
        <w:t xml:space="preserve">一、</w:t>
      </w:r>
      <w:r>
        <w:rPr>
          <w:rFonts w:cs="宋体" w:asciiTheme="minorEastAsia" w:hAnsiTheme="minorEastAsia" w:eastAsiaTheme="minorEastAsia"/>
          <w:sz w:val="32"/>
        </w:rPr>
        <w:t xml:space="preserve">通用资格要求</w:t>
      </w:r>
      <w:r/>
    </w:p>
    <w:p>
      <w:pPr>
        <w:pStyle w:val="1044"/>
        <w:ind w:firstLine="0"/>
        <w:spacing w:line="85" w:lineRule="atLeast"/>
        <w:rPr>
          <w:rFonts w:cs="宋体" w:asciiTheme="minorEastAsia" w:hAnsiTheme="minorEastAsia" w:eastAsiaTheme="minorEastAsia"/>
          <w:iCs/>
          <w:sz w:val="28"/>
          <w:szCs w:val="21"/>
        </w:rPr>
        <w:outlineLvl w:val="1"/>
      </w:pPr>
      <w:r>
        <w:rPr>
          <w:rFonts w:cs="宋体" w:asciiTheme="minorEastAsia" w:hAnsiTheme="minorEastAsia" w:eastAsiaTheme="minorEastAsia"/>
          <w:iCs/>
          <w:sz w:val="28"/>
          <w:szCs w:val="21"/>
        </w:rPr>
        <w:t xml:space="preserve">1.</w:t>
      </w:r>
      <w:r>
        <w:rPr>
          <w:rFonts w:hint="eastAsia" w:cs="宋体" w:asciiTheme="minorEastAsia" w:hAnsiTheme="minorEastAsia" w:eastAsiaTheme="minorEastAsia"/>
          <w:iCs/>
          <w:sz w:val="28"/>
          <w:szCs w:val="21"/>
        </w:rPr>
        <w:t xml:space="preserve">具有独立承担民事责任的能力</w:t>
      </w:r>
      <w:bookmarkEnd w:id="262"/>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具有独立承担民事责任的能力（法人或者其他组织的营业执照等证明文件，自然人的身份证明）</w:t>
      </w:r>
      <w:r>
        <w:rPr>
          <w:rFonts w:cs="宋体" w:asciiTheme="minorEastAsia" w:hAnsiTheme="minorEastAsia" w:eastAsiaTheme="minorEastAsia"/>
          <w:sz w:val="24"/>
        </w:rPr>
        <w:t xml:space="preserve"> </w:t>
      </w:r>
      <w:r/>
    </w:p>
    <w:p>
      <w:pPr>
        <w:pStyle w:val="915"/>
        <w:rPr>
          <w:rFonts w:asciiTheme="minorEastAsia" w:hAnsiTheme="minorEastAsia" w:eastAsiaTheme="minorEastAsia"/>
        </w:rPr>
      </w:pPr>
      <w:r>
        <w:rPr>
          <w:rFonts w:asciiTheme="minorEastAsia" w:hAnsiTheme="minorEastAsia" w:eastAsiaTheme="minorEastAsia"/>
        </w:rPr>
      </w:r>
      <w:r/>
    </w:p>
    <w:p>
      <w:pPr>
        <w:spacing w:line="85" w:lineRule="atLeast"/>
        <w:rPr>
          <w:rFonts w:asciiTheme="minorEastAsia" w:hAnsiTheme="minorEastAsia" w:eastAsiaTheme="minorEastAsia"/>
          <w:iCs/>
          <w:sz w:val="20"/>
          <w:szCs w:val="22"/>
        </w:rPr>
        <w:outlineLvl w:val="1"/>
      </w:pPr>
      <w:r/>
      <w:bookmarkStart w:id="263" w:name="_Toc32"/>
      <w:r>
        <w:rPr>
          <w:rFonts w:cs="宋体" w:asciiTheme="minorEastAsia" w:hAnsiTheme="minorEastAsia" w:eastAsiaTheme="minorEastAsia"/>
          <w:iCs/>
          <w:sz w:val="28"/>
          <w:szCs w:val="22"/>
        </w:rPr>
        <w:t xml:space="preserve">2.</w:t>
      </w:r>
      <w:bookmarkStart w:id="264" w:name="_Toc31"/>
      <w:r>
        <w:rPr>
          <w:rFonts w:hint="eastAsia" w:cs="宋体" w:asciiTheme="minorEastAsia" w:hAnsiTheme="minorEastAsia" w:eastAsiaTheme="minorEastAsia"/>
          <w:iCs/>
          <w:sz w:val="28"/>
          <w:szCs w:val="22"/>
        </w:rPr>
        <w:t xml:space="preserve">具有良好的商业信誉和健全的财务会计制度</w:t>
      </w:r>
      <w:bookmarkEnd w:id="264"/>
      <w:r/>
      <w:bookmarkEnd w:id="263"/>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提供2024年度或者2025年度的财务报告，至少包含资产负债表、利润表；或投标截止时间前六个月内银行出具的资信证明；成立不满一年无须提供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r/>
    </w:p>
    <w:p>
      <w:pPr>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bookmarkStart w:id="265" w:name="_Toc33"/>
      <w:r>
        <w:rPr>
          <w:rFonts w:cs="宋体" w:asciiTheme="minorEastAsia" w:hAnsiTheme="minorEastAsia" w:eastAsiaTheme="minorEastAsia"/>
          <w:iCs/>
          <w:sz w:val="28"/>
          <w:szCs w:val="22"/>
        </w:rPr>
        <w:t xml:space="preserve">3.具备履行合同所必需的设备和专业技术能力</w:t>
      </w:r>
      <w:bookmarkEnd w:id="265"/>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spacing w:line="85" w:lineRule="atLeast"/>
        <w:rPr>
          <w:rFonts w:cs="宋体" w:asciiTheme="minorEastAsia" w:hAnsiTheme="minorEastAsia" w:eastAsiaTheme="minorEastAsia"/>
          <w:sz w:val="32"/>
        </w:rPr>
      </w:pPr>
      <w:r>
        <w:rPr>
          <w:rFonts w:cs="宋体" w:asciiTheme="minorEastAsia" w:hAnsiTheme="minorEastAsia" w:eastAsiaTheme="minorEastAsia"/>
          <w:sz w:val="32"/>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5.</w:t>
      </w:r>
      <w:r>
        <w:rPr>
          <w:rFonts w:hint="eastAsia" w:cs="宋体" w:asciiTheme="minorEastAsia" w:hAnsiTheme="minorEastAsia" w:eastAsiaTheme="minorEastAsia"/>
          <w:iCs/>
          <w:sz w:val="28"/>
          <w:szCs w:val="22"/>
        </w:rPr>
        <w:t xml:space="preserve">有依法缴纳税收和社会保障资金的良好记录</w:t>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参加本次政府采购活动前6个月内至少一个月缴纳税收及缴纳社会保障资金的证明材料，投标人依法享受缓缴、免缴税收、社会保障资金的，需提供证明材料。</w:t>
      </w:r>
      <w:r/>
    </w:p>
    <w:p>
      <w:pPr>
        <w:pStyle w:val="881"/>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6.</w:t>
      </w:r>
      <w:r>
        <w:rPr>
          <w:rFonts w:hint="eastAsia" w:cs="宋体" w:asciiTheme="minorEastAsia" w:hAnsiTheme="minorEastAsia" w:eastAsiaTheme="minorEastAsia"/>
          <w:iCs/>
          <w:sz w:val="28"/>
          <w:szCs w:val="22"/>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spacing w:line="85" w:lineRule="atLeast"/>
        <w:rPr>
          <w:rFonts w:asciiTheme="minorEastAsia" w:hAnsiTheme="minorEastAsia" w:eastAsiaTheme="minorEastAsia"/>
        </w:rPr>
      </w:pPr>
      <w:r>
        <w:rPr>
          <w:rFonts w:cs="宋体" w:asciiTheme="minorEastAsia" w:hAnsiTheme="minorEastAsia" w:eastAsiaTheme="minorEastAsia"/>
          <w:b/>
          <w:sz w:val="24"/>
        </w:rPr>
        <w:t xml:space="preserve">   </w:t>
      </w:r>
      <w:r>
        <w:rPr>
          <w:rFonts w:cs="宋体" w:asciiTheme="minorEastAsia" w:hAnsiTheme="minorEastAsia" w:eastAsiaTheme="minorEastAsia"/>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ind w:firstLine="240"/>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7.</w:t>
      </w:r>
      <w:r>
        <w:rPr>
          <w:rFonts w:hint="eastAsia" w:cs="宋体" w:asciiTheme="minorEastAsia" w:hAnsiTheme="minorEastAsia" w:eastAsiaTheme="minorEastAsia"/>
          <w:iCs/>
          <w:sz w:val="28"/>
          <w:szCs w:val="22"/>
        </w:rPr>
        <w:t xml:space="preserve">法律、行政法规规定的其他条件（如有）</w:t>
      </w:r>
      <w:r/>
    </w:p>
    <w:p>
      <w:pPr>
        <w:pStyle w:val="881"/>
        <w:rPr>
          <w:rFonts w:asciiTheme="minorEastAsia" w:hAnsiTheme="minorEastAsia" w:eastAsiaTheme="minorEastAsia"/>
        </w:rPr>
      </w:pPr>
      <w:r>
        <w:rPr>
          <w:rFonts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w:t>
      </w:r>
      <w:r>
        <w:rPr>
          <w:rFonts w:hint="eastAsia" w:cs="Arial" w:asciiTheme="minorEastAsia" w:hAnsiTheme="minorEastAsia" w:eastAsiaTheme="minorEastAsia"/>
          <w:sz w:val="24"/>
        </w:rPr>
        <w:t xml:space="preserve">如若因</w:t>
      </w:r>
      <w:r>
        <w:rPr>
          <w:rFonts w:hint="eastAsia" w:cs="Arial" w:asciiTheme="minorEastAsia" w:hAnsiTheme="minorEastAsia" w:eastAsiaTheme="minorEastAsia"/>
          <w:sz w:val="24"/>
        </w:rPr>
        <w:t xml:space="preserve">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rPr>
        <w:t xml:space="preserve">。</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w:t>
      </w:r>
      <w:r>
        <w:rPr>
          <w:rFonts w:hint="eastAsia" w:cs="Arial" w:asciiTheme="minorEastAsia" w:hAnsiTheme="minorEastAsia" w:eastAsiaTheme="minorEastAsia"/>
          <w:szCs w:val="21"/>
        </w:rPr>
        <w:t xml:space="preserve">扫描件并加盖</w:t>
      </w:r>
      <w:r>
        <w:rPr>
          <w:rFonts w:hint="eastAsia" w:cs="Arial" w:asciiTheme="minorEastAsia" w:hAnsiTheme="minorEastAsia" w:eastAsiaTheme="minorEastAsia"/>
          <w:szCs w:val="21"/>
        </w:rPr>
        <w:t xml:space="preserve">电子公章。</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w:t>
      </w:r>
      <w:r>
        <w:rPr>
          <w:rFonts w:hint="eastAsia" w:cs="Arial" w:asciiTheme="minorEastAsia" w:hAnsiTheme="minorEastAsia" w:eastAsiaTheme="minorEastAsia"/>
          <w:szCs w:val="21"/>
        </w:rPr>
        <w:t xml:space="preserve">提供</w:t>
      </w:r>
      <w:r>
        <w:rPr>
          <w:rFonts w:hint="eastAsia" w:cs="Arial" w:asciiTheme="minorEastAsia" w:hAnsiTheme="minorEastAsia" w:eastAsiaTheme="minorEastAsia"/>
          <w:szCs w:val="21"/>
        </w:rPr>
        <w:t xml:space="preserve">扫描件并加盖</w:t>
      </w:r>
      <w:r>
        <w:rPr>
          <w:rFonts w:hint="eastAsia" w:cs="Arial" w:asciiTheme="minorEastAsia" w:hAnsiTheme="minorEastAsia" w:eastAsiaTheme="minorEastAsia"/>
          <w:szCs w:val="21"/>
        </w:rPr>
        <w:t xml:space="preserve">电子公章；</w:t>
      </w:r>
      <w:r/>
    </w:p>
    <w:p>
      <w:pPr>
        <w:pStyle w:val="88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w:t>
      </w:r>
      <w:r>
        <w:rPr>
          <w:rFonts w:hint="eastAsia" w:cs="Arial" w:asciiTheme="minorEastAsia" w:hAnsiTheme="minorEastAsia" w:eastAsiaTheme="minorEastAsia"/>
          <w:szCs w:val="21"/>
        </w:rPr>
        <w:t xml:space="preserve">扫描件并加盖</w:t>
      </w:r>
      <w:r>
        <w:rPr>
          <w:rFonts w:hint="eastAsia" w:cs="Arial" w:asciiTheme="minorEastAsia" w:hAnsiTheme="minorEastAsia" w:eastAsiaTheme="minorEastAsia"/>
          <w:szCs w:val="21"/>
        </w:rPr>
        <w:t xml:space="preserve">电子公章；</w:t>
      </w:r>
      <w:r/>
    </w:p>
    <w:p>
      <w:pPr>
        <w:pStyle w:val="881"/>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w:t>
      </w:r>
      <w:r>
        <w:rPr>
          <w:rFonts w:hint="eastAsia" w:cs="Arial" w:asciiTheme="minorEastAsia" w:hAnsiTheme="minorEastAsia" w:eastAsiaTheme="minorEastAsia"/>
          <w:szCs w:val="21"/>
        </w:rPr>
        <w:t xml:space="preserve">扫描件并加盖</w:t>
      </w:r>
      <w:r>
        <w:rPr>
          <w:rFonts w:hint="eastAsia" w:cs="Arial" w:asciiTheme="minorEastAsia" w:hAnsiTheme="minorEastAsia" w:eastAsiaTheme="minorEastAsia"/>
          <w:szCs w:val="21"/>
        </w:rPr>
        <w:t xml:space="preserve">电子公章。</w:t>
      </w:r>
      <w:r/>
    </w:p>
    <w:p>
      <w:pPr>
        <w:pStyle w:val="881"/>
        <w:ind w:firstLine="480"/>
        <w:spacing w:line="360" w:lineRule="auto"/>
        <w:rPr>
          <w:rFonts w:ascii="宋体" w:hAnsi="宋体" w:cs="Arial"/>
          <w:b/>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w:t>
      </w:r>
      <w:r>
        <w:rPr>
          <w:rFonts w:hint="eastAsia" w:ascii="宋体" w:hAnsi="宋体" w:cs="Arial"/>
          <w:szCs w:val="21"/>
        </w:rPr>
        <w:t xml:space="preserve">本设备</w:t>
      </w:r>
      <w:r>
        <w:rPr>
          <w:rFonts w:hint="eastAsia" w:ascii="宋体" w:hAnsi="宋体" w:cs="Arial"/>
          <w:szCs w:val="21"/>
        </w:rPr>
        <w:t xml:space="preserve">不属于医疗器械的承诺书）并加盖公章。</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.本项目接受进口产品投标，如果投标产品为进口产品，且投标人为代理商的，需提供如下授权文件之一：</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.1制造商出具的授权书并加盖公章，格式自拟。</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.2制造商的国内控股子公司或代理人出具的授权书并加盖公章，格式自拟。</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.3制造商对授权的区域代理商出具的授权书及该区域代理商给投标人出具的授权书。</w:t>
      </w:r>
      <w:r/>
    </w:p>
    <w:p>
      <w:pPr>
        <w:pStyle w:val="88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.4投标人取得的产品代理证书。</w:t>
      </w:r>
      <w:r/>
    </w:p>
    <w:p>
      <w:pPr>
        <w:pStyle w:val="881"/>
        <w:rPr>
          <w:rFonts w:asciiTheme="minorEastAsia" w:hAnsiTheme="minorEastAsia" w:eastAsiaTheme="minorEastAsia"/>
        </w:rPr>
      </w:pPr>
      <w:r>
        <w:rPr>
          <w:rFonts w:asciiTheme="minorEastAsia" w:hAnsiTheme="minorEastAsia" w:eastAsiaTheme="minorEastAsia"/>
        </w:rPr>
      </w:r>
      <w:r/>
    </w:p>
    <w:p>
      <w:pPr>
        <w:jc w:val="center"/>
        <w:spacing w:line="85"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66" w:name="_Toc9256"/>
      <w:r/>
      <w:bookmarkStart w:id="267" w:name="_Toc12196"/>
      <w:r/>
      <w:bookmarkStart w:id="268" w:name="_Toc13661"/>
      <w:r/>
      <w:bookmarkStart w:id="269" w:name="_Toc20769"/>
      <w:r/>
      <w:bookmarkStart w:id="270" w:name="_Toc194500895"/>
      <w:r>
        <w:rPr>
          <w:rFonts w:hint="eastAsia" w:cs="宋体" w:asciiTheme="minorEastAsia" w:hAnsiTheme="minorEastAsia" w:eastAsiaTheme="minorEastAsia"/>
          <w:sz w:val="32"/>
        </w:rPr>
        <w:t xml:space="preserve">三</w:t>
      </w:r>
      <w:r>
        <w:rPr>
          <w:rFonts w:cs="宋体" w:asciiTheme="minorEastAsia" w:hAnsiTheme="minorEastAsia" w:eastAsiaTheme="minorEastAsia"/>
          <w:sz w:val="32"/>
        </w:rPr>
        <w:t xml:space="preserve">、法定代表人授权书</w:t>
      </w:r>
      <w:bookmarkEnd w:id="266"/>
      <w:r/>
      <w:bookmarkEnd w:id="267"/>
      <w:r/>
      <w:bookmarkEnd w:id="268"/>
      <w:r/>
      <w:bookmarkEnd w:id="269"/>
      <w:r/>
      <w:bookmarkEnd w:id="270"/>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本授权委托书声明：我（姓名）系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代理人无权转委托，特此委托。</w:t>
      </w:r>
      <w:r/>
    </w:p>
    <w:p>
      <w:pPr>
        <w:spacing w:line="500" w:lineRule="exact"/>
        <w:rPr>
          <w:rFonts w:asciiTheme="minorEastAsia" w:hAnsiTheme="minorEastAsia" w:eastAsiaTheme="minorEastAsia"/>
          <w:b/>
          <w:sz w:val="24"/>
        </w:rPr>
      </w:pPr>
      <w:r>
        <w:rPr>
          <w:rFonts w:hint="eastAsia" w:asciiTheme="minorEastAsia" w:hAnsiTheme="minorEastAsia" w:eastAsiaTheme="minorEastAsia"/>
          <w:bCs/>
          <w:sz w:val="24"/>
        </w:rPr>
        <w:t xml:space="preserve">授权单位名称：（加盖CA电子公章）</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2、需提供被授权人近6个月内（截止到开标时间）至少1个月的投标人为其缴纳社会保障资金记录，如法定代表人签署文件则无需出具。投标人依法享受缓缴、免缴社会保障资金的提供证明材料，</w:t>
      </w:r>
      <w:r>
        <w:rPr>
          <w:rFonts w:hint="eastAsia" w:asciiTheme="minorEastAsia" w:hAnsiTheme="minorEastAsia" w:eastAsiaTheme="minorEastAsia"/>
          <w:bCs/>
          <w:sz w:val="24"/>
        </w:rPr>
        <w:t xml:space="preserve">如若因</w:t>
      </w:r>
      <w:r>
        <w:rPr>
          <w:rFonts w:hint="eastAsia" w:asciiTheme="minorEastAsia" w:hAnsiTheme="minorEastAsia" w:eastAsiaTheme="minorEastAsia"/>
          <w:bCs/>
          <w:sz w:val="24"/>
        </w:rPr>
        <w:t xml:space="preserve">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98" w:lineRule="atLeast"/>
        <w:rPr>
          <w:rFonts w:cs="宋体" w:asciiTheme="minorEastAsia" w:hAnsiTheme="minorEastAsia" w:eastAsiaTheme="minorEastAsia"/>
          <w:sz w:val="24"/>
        </w:rPr>
        <w:outlineLvl w:val="1"/>
      </w:pPr>
      <w:r>
        <w:rPr>
          <w:rFonts w:asciiTheme="minorEastAsia" w:hAnsiTheme="minorEastAsia" w:eastAsiaTheme="minorEastAsia"/>
        </w:rPr>
        <w:br w:type="page" w:clear="all"/>
      </w:r>
      <w:bookmarkStart w:id="271" w:name="_Toc14585"/>
      <w:r/>
      <w:bookmarkStart w:id="272" w:name="_Toc194500896"/>
      <w:r/>
      <w:bookmarkStart w:id="273" w:name="_Toc25072"/>
      <w:r/>
      <w:bookmarkStart w:id="274" w:name="_Toc30352"/>
      <w:r/>
      <w:bookmarkStart w:id="275" w:name="_Toc28523"/>
      <w:r>
        <w:rPr>
          <w:rFonts w:hint="eastAsia" w:cs="宋体" w:asciiTheme="minorEastAsia" w:hAnsiTheme="minorEastAsia" w:eastAsiaTheme="minorEastAsia"/>
          <w:sz w:val="32"/>
        </w:rPr>
        <w:t xml:space="preserve">四</w:t>
      </w:r>
      <w:r>
        <w:rPr>
          <w:rFonts w:cs="宋体" w:asciiTheme="minorEastAsia" w:hAnsiTheme="minorEastAsia" w:eastAsiaTheme="minorEastAsia"/>
          <w:sz w:val="32"/>
        </w:rPr>
        <w:t xml:space="preserve">、投标函</w:t>
      </w:r>
      <w:bookmarkEnd w:id="271"/>
      <w:r/>
      <w:bookmarkEnd w:id="272"/>
      <w:r/>
      <w:bookmarkEnd w:id="273"/>
      <w:r/>
      <w:bookmarkEnd w:id="274"/>
      <w:r/>
      <w:bookmarkEnd w:id="275"/>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致：江苏苏豪创新科技集团有限公司</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根据贵方为</w:t>
      </w:r>
      <w:r>
        <w:rPr>
          <w:rFonts w:hint="eastAsia" w:asciiTheme="minorEastAsia" w:hAnsiTheme="minorEastAsia" w:eastAsiaTheme="minorEastAsia"/>
          <w:i/>
          <w:iCs/>
          <w:sz w:val="24"/>
          <w:u w:val="single"/>
        </w:rPr>
        <w:t xml:space="preserve">（项目名称）</w:t>
      </w:r>
      <w:r>
        <w:rPr>
          <w:rFonts w:hint="eastAsia" w:asciiTheme="minorEastAsia" w:hAnsiTheme="minorEastAsia" w:eastAsiaTheme="minorEastAsia"/>
          <w:sz w:val="24"/>
        </w:rPr>
        <w:t xml:space="preserve">项目招标采购货物及服务的投标邀请</w:t>
      </w:r>
      <w:r>
        <w:rPr>
          <w:rFonts w:hint="eastAsia" w:asciiTheme="minorEastAsia" w:hAnsiTheme="minorEastAsia" w:eastAsiaTheme="minorEastAsia"/>
          <w:i/>
          <w:iCs/>
          <w:sz w:val="24"/>
          <w:u w:val="single"/>
        </w:rPr>
        <w:t xml:space="preserve">（项目编号：采购代理编号：）</w:t>
      </w:r>
      <w:r>
        <w:rPr>
          <w:rFonts w:hint="eastAsia" w:asciiTheme="minorEastAsia" w:hAnsiTheme="minorEastAsia" w:eastAsiaTheme="minorEastAsia"/>
          <w:sz w:val="24"/>
        </w:rPr>
        <w:t xml:space="preserve">，投标人代表</w:t>
      </w:r>
      <w:r>
        <w:rPr>
          <w:rFonts w:hint="eastAsia" w:asciiTheme="minorEastAsia" w:hAnsiTheme="minorEastAsia" w:eastAsiaTheme="minorEastAsia"/>
          <w:i/>
          <w:iCs/>
          <w:sz w:val="24"/>
          <w:u w:val="single"/>
        </w:rPr>
        <w:t xml:space="preserve">（姓名、职务）</w:t>
      </w:r>
      <w:r>
        <w:rPr>
          <w:rFonts w:hint="eastAsia" w:asciiTheme="minorEastAsia" w:hAnsiTheme="minorEastAsia" w:eastAsiaTheme="minorEastAsia"/>
          <w:sz w:val="24"/>
        </w:rPr>
        <w:t xml:space="preserve">经正式授权并代表投标人</w:t>
      </w:r>
      <w:r>
        <w:rPr>
          <w:rFonts w:hint="eastAsia" w:asciiTheme="minorEastAsia" w:hAnsiTheme="minorEastAsia" w:eastAsiaTheme="minorEastAsia"/>
          <w:i/>
          <w:iCs/>
          <w:sz w:val="24"/>
          <w:u w:val="single"/>
        </w:rPr>
        <w:t xml:space="preserve">（投标人名称、地址）</w:t>
      </w:r>
      <w:r>
        <w:rPr>
          <w:rFonts w:hint="eastAsia" w:asciiTheme="minorEastAsia" w:hAnsiTheme="minorEastAsia" w:eastAsiaTheme="minorEastAsia"/>
          <w:sz w:val="24"/>
        </w:rPr>
        <w:t xml:space="preserve">提交投标文件。</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据此函，签字代表宣布同意如下：</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1、所附投标价格表中规定的应提交和交付的货物及服务的投标总价为</w:t>
      </w:r>
      <w:r>
        <w:rPr>
          <w:rFonts w:hint="eastAsia" w:asciiTheme="minorEastAsia" w:hAnsiTheme="minorEastAsia" w:eastAsiaTheme="minorEastAsia"/>
          <w:i/>
          <w:iCs/>
          <w:sz w:val="24"/>
          <w:u w:val="single"/>
        </w:rPr>
        <w:t xml:space="preserve">（注明币种，并用文字和数字表示的投标总价）</w:t>
      </w:r>
      <w:r>
        <w:rPr>
          <w:rFonts w:hint="eastAsia" w:asciiTheme="minorEastAsia" w:hAnsiTheme="minorEastAsia" w:eastAsiaTheme="minorEastAsia"/>
          <w:sz w:val="24"/>
        </w:rPr>
        <w:t xml:space="preserve">。</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2、投标人将按招标文件的规定履行合同责任和义务。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3、投标人已详细审查全部招标文件，包括有关澄清和修改说明（如果有的话）。我们完全理解并同意放弃对这方面有不明及误解的权力。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4、本投标有效期为自开标日起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w:t>
      </w:r>
      <w:r>
        <w:rPr>
          <w:rFonts w:hint="eastAsia" w:asciiTheme="minorEastAsia" w:hAnsiTheme="minorEastAsia" w:eastAsiaTheme="minorEastAsia"/>
          <w:sz w:val="24"/>
        </w:rPr>
        <w:t xml:space="preserve">日历日。在这期间，本投标文件将始终对我方具有约束力。如果中标，本次招标文件和本投标文件（</w:t>
      </w:r>
      <w:r>
        <w:rPr>
          <w:rFonts w:hint="eastAsia" w:asciiTheme="minorEastAsia" w:hAnsiTheme="minorEastAsia" w:eastAsiaTheme="minorEastAsia"/>
          <w:sz w:val="24"/>
        </w:rPr>
        <w:t xml:space="preserve">含承诺</w:t>
      </w:r>
      <w:r>
        <w:rPr>
          <w:rFonts w:hint="eastAsia" w:asciiTheme="minorEastAsia" w:hAnsiTheme="minorEastAsia" w:eastAsiaTheme="minorEastAsia"/>
          <w:sz w:val="24"/>
        </w:rPr>
        <w:t xml:space="preserve">书）将作为买卖合同的附件。</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5、我方愿意向采购人提供任何与本次招标有关的其他资料。</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6、我方愿意履行自己在投标文件中的全部承诺和责任。</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7、我方愿意遵守招标文件中对投标者的所有规定。</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9、我方完全理解</w:t>
      </w:r>
      <w:r>
        <w:rPr>
          <w:rFonts w:hint="eastAsia" w:asciiTheme="minorEastAsia" w:hAnsiTheme="minorEastAsia" w:eastAsiaTheme="minorEastAsia"/>
          <w:bCs/>
          <w:sz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10、一旦我方中标，我方将按招标文件中规定的金额支付招标服务费。</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11、我方承诺，与采购人聘请的为此项目提供咨询服务的公司及任何附属机构均无关联，我方不是采购人的附属机构。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12、投标人同意提供按照贵方可能要求的与其投标有关的一切数据或资料，完全理解贵方不一定接受最低价的投标或收到的任何投标。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sz w:val="24"/>
          <w:u w:val="single"/>
        </w:rPr>
      </w:pPr>
      <w:r>
        <w:rPr>
          <w:rFonts w:hint="eastAsia" w:asciiTheme="minorEastAsia" w:hAnsiTheme="minorEastAsia" w:eastAsiaTheme="minorEastAsia"/>
          <w:sz w:val="24"/>
        </w:rPr>
        <w:t xml:space="preserve">13、其他说明：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14、与本次投标有关的一切正式往来信函请寄：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asciiTheme="minorEastAsia" w:hAnsiTheme="minorEastAsia" w:eastAsiaTheme="minorEastAsia"/>
          <w:b/>
          <w:sz w:val="24"/>
        </w:rPr>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地址传真：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电话电子函件：</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419"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420" w:firstLine="480"/>
        <w:spacing w:line="24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        期：________年____月____日</w:t>
      </w:r>
      <w:r/>
    </w:p>
    <w:p>
      <w:pPr>
        <w:ind w:left="420" w:firstLine="480"/>
        <w:spacing w:line="240" w:lineRule="auto"/>
        <w:rPr>
          <w:rFonts w:asciiTheme="minorEastAsia" w:hAnsiTheme="minorEastAsia" w:eastAsiaTheme="minorEastAsia"/>
        </w:rPr>
      </w:pPr>
      <w:r>
        <w:rPr>
          <w:rFonts w:hint="eastAsia" w:cs="宋体" w:asciiTheme="minorEastAsia" w:hAnsiTheme="minorEastAsia" w:eastAsiaTheme="minorEastAsia"/>
          <w:sz w:val="24"/>
        </w:rPr>
        <w:t xml:space="preserve">投标人名称：（加盖C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p>
    <w:p>
      <w:pPr>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bookmarkStart w:id="276" w:name="_Toc8595"/>
      <w:r/>
      <w:bookmarkStart w:id="277" w:name="_Toc20288"/>
      <w:r/>
      <w:bookmarkStart w:id="278" w:name="_Toc194500897"/>
      <w:r/>
      <w:bookmarkStart w:id="279" w:name="_Toc27757"/>
      <w:r/>
      <w:bookmarkStart w:id="280" w:name="_Toc8814"/>
      <w:r>
        <w:rPr>
          <w:rFonts w:hint="eastAsia" w:cs="宋体" w:asciiTheme="minorEastAsia" w:hAnsiTheme="minorEastAsia" w:eastAsiaTheme="minorEastAsia"/>
          <w:sz w:val="32"/>
        </w:rPr>
        <w:t xml:space="preserve">五</w:t>
      </w:r>
      <w:r>
        <w:rPr>
          <w:rFonts w:cs="宋体" w:asciiTheme="minorEastAsia" w:hAnsiTheme="minorEastAsia" w:eastAsiaTheme="minorEastAsia"/>
          <w:sz w:val="32"/>
        </w:rPr>
        <w:t xml:space="preserve">、小</w:t>
      </w:r>
      <w:r>
        <w:rPr>
          <w:rFonts w:cs="宋体" w:asciiTheme="minorEastAsia" w:hAnsiTheme="minorEastAsia" w:eastAsiaTheme="minorEastAsia"/>
          <w:sz w:val="32"/>
        </w:rPr>
        <w:t xml:space="preserve">微企业</w:t>
      </w:r>
      <w:r>
        <w:rPr>
          <w:rFonts w:cs="宋体" w:asciiTheme="minorEastAsia" w:hAnsiTheme="minorEastAsia" w:eastAsiaTheme="minorEastAsia"/>
          <w:sz w:val="32"/>
        </w:rPr>
        <w:t xml:space="preserve">声明函（</w:t>
      </w:r>
      <w:r>
        <w:rPr>
          <w:rFonts w:hint="eastAsia" w:cs="宋体" w:asciiTheme="minorEastAsia" w:hAnsiTheme="minorEastAsia" w:eastAsiaTheme="minorEastAsia"/>
          <w:sz w:val="32"/>
        </w:rPr>
        <w:t xml:space="preserve">货物</w:t>
      </w:r>
      <w:r>
        <w:rPr>
          <w:rFonts w:cs="宋体" w:asciiTheme="minorEastAsia" w:hAnsiTheme="minorEastAsia" w:eastAsiaTheme="minorEastAsia"/>
          <w:sz w:val="32"/>
        </w:rPr>
        <w:t xml:space="preserve">）（如适用）</w:t>
      </w:r>
      <w:bookmarkEnd w:id="276"/>
      <w:r/>
      <w:bookmarkEnd w:id="277"/>
      <w:r/>
      <w:bookmarkEnd w:id="278"/>
      <w:r/>
      <w:bookmarkEnd w:id="279"/>
      <w:r/>
      <w:bookmarkEnd w:id="280"/>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本公司（联合体）郑重声明，根据《政府采购促进中小企业发展管理办法》(财库[2020]46号)的规定，本公司（联合体）参加</w:t>
      </w:r>
      <w:r>
        <w:rPr>
          <w:rFonts w:cs="宋体" w:asciiTheme="minorEastAsia" w:hAnsiTheme="minorEastAsia" w:eastAsiaTheme="minorEastAsia"/>
          <w:sz w:val="24"/>
          <w:u w:val="single"/>
        </w:rPr>
        <w:t xml:space="preserve">（单位名称）</w:t>
      </w:r>
      <w:r>
        <w:rPr>
          <w:rFonts w:cs="宋体" w:asciiTheme="minorEastAsia" w:hAnsiTheme="minorEastAsia" w:eastAsiaTheme="minorEastAsia"/>
          <w:sz w:val="24"/>
        </w:rPr>
        <w:t xml:space="preserve">采购编号为</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u w:val="single"/>
        </w:rPr>
        <w:t xml:space="preserve">（项目名称）（分包号：**）</w:t>
      </w:r>
      <w:r>
        <w:rPr>
          <w:rFonts w:cs="宋体" w:asciiTheme="minorEastAsia" w:hAnsiTheme="minorEastAsia" w:eastAsiaTheme="minorEastAsia"/>
          <w:sz w:val="24"/>
        </w:rPr>
        <w:t xml:space="preserve">的采购活动，提供的货物全部由符合政策要求的小</w:t>
      </w:r>
      <w:r>
        <w:rPr>
          <w:rFonts w:cs="宋体" w:asciiTheme="minorEastAsia" w:hAnsiTheme="minorEastAsia" w:eastAsiaTheme="minorEastAsia"/>
          <w:sz w:val="24"/>
        </w:rPr>
        <w:t xml:space="preserve">微企业</w:t>
      </w:r>
      <w:r>
        <w:rPr>
          <w:rFonts w:cs="宋体" w:asciiTheme="minorEastAsia" w:hAnsiTheme="minorEastAsia" w:eastAsiaTheme="minorEastAsia"/>
          <w:sz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工业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企业名称（加盖CA电子公章）：</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日  期：</w:t>
      </w:r>
      <w:r/>
    </w:p>
    <w:p>
      <w:pPr>
        <w:ind w:firstLine="360"/>
        <w:spacing w:line="55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备注1：从业人员、营业收入、资产总额填报上一年度数据，无上</w:t>
      </w:r>
      <w:r>
        <w:rPr>
          <w:rFonts w:cs="宋体" w:asciiTheme="minorEastAsia" w:hAnsiTheme="minorEastAsia" w:eastAsiaTheme="minorEastAsia"/>
          <w:sz w:val="24"/>
        </w:rPr>
        <w:t xml:space="preserve">一</w:t>
      </w:r>
      <w:r>
        <w:rPr>
          <w:rFonts w:cs="宋体" w:asciiTheme="minorEastAsia" w:hAnsiTheme="minorEastAsia" w:eastAsiaTheme="minorEastAsia"/>
          <w:sz w:val="24"/>
        </w:rPr>
        <w:t xml:space="preserve">年度数据的新成立企业可不填报。</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备注2：供应商如不提供此声明函，价格将不做相应扣除。</w:t>
      </w:r>
      <w:r/>
    </w:p>
    <w:p>
      <w:pPr>
        <w:ind w:firstLine="480"/>
        <w:spacing w:line="85" w:lineRule="atLeast"/>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黑体" w:asciiTheme="minorEastAsia" w:hAnsiTheme="minorEastAsia" w:eastAsiaTheme="minorEastAsia"/>
          <w:b/>
          <w:sz w:val="32"/>
        </w:rPr>
        <w:t xml:space="preserve"> </w:t>
      </w:r>
      <w:r/>
    </w:p>
    <w:p>
      <w:pPr>
        <w:jc w:val="center"/>
        <w:spacing w:before="260" w:after="260" w:line="98" w:lineRule="atLeast"/>
        <w:rPr>
          <w:rFonts w:cs="宋体" w:asciiTheme="minorEastAsia" w:hAnsiTheme="minorEastAsia" w:eastAsiaTheme="minorEastAsia"/>
          <w:sz w:val="32"/>
        </w:rPr>
        <w:outlineLvl w:val="1"/>
      </w:pPr>
      <w:r/>
      <w:bookmarkStart w:id="281" w:name="_Toc18122"/>
      <w:r/>
      <w:bookmarkStart w:id="282" w:name="_Toc194500898"/>
      <w:r/>
      <w:bookmarkStart w:id="283" w:name="_Toc3226"/>
      <w:r/>
      <w:bookmarkStart w:id="284" w:name="_Toc31552"/>
      <w:r/>
      <w:bookmarkStart w:id="285" w:name="_Toc12199"/>
      <w:r>
        <w:rPr>
          <w:rFonts w:hint="eastAsia" w:cs="宋体" w:asciiTheme="minorEastAsia" w:hAnsiTheme="minorEastAsia" w:eastAsiaTheme="minorEastAsia"/>
          <w:sz w:val="32"/>
        </w:rPr>
        <w:t xml:space="preserve">六、</w:t>
      </w:r>
      <w:r>
        <w:rPr>
          <w:rFonts w:cs="宋体" w:asciiTheme="minorEastAsia" w:hAnsiTheme="minorEastAsia" w:eastAsiaTheme="minorEastAsia"/>
          <w:sz w:val="32"/>
        </w:rPr>
        <w:t xml:space="preserve">残疾人福利性单位声明函（如适用）</w:t>
      </w:r>
      <w:bookmarkEnd w:id="281"/>
      <w:r/>
      <w:bookmarkEnd w:id="282"/>
      <w:r/>
      <w:bookmarkEnd w:id="283"/>
      <w:r/>
      <w:bookmarkEnd w:id="284"/>
      <w:r/>
      <w:bookmarkEnd w:id="285"/>
      <w:r/>
      <w:r/>
    </w:p>
    <w:p>
      <w:pPr>
        <w:ind w:firstLine="480"/>
        <w:spacing w:line="85" w:lineRule="atLeast"/>
        <w:rPr>
          <w:rFonts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项目（分包号：**）采购活动提供本单位的</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，或者提供其他残疾人福利性单位</w:t>
      </w:r>
      <w:r>
        <w:rPr>
          <w:rFonts w:hint="eastAsia" w:cs="宋体" w:asciiTheme="minorEastAsia" w:hAnsiTheme="minorEastAsia" w:eastAsiaTheme="minorEastAsia"/>
          <w:sz w:val="24"/>
        </w:rPr>
        <w:t xml:space="preserve">提供</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服务</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本单位对上述声明的真实性负责。如有虚假，将依法承担相应责任。</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（备注：1、供应商如不提供此声明函，价格将不做相应扣除。2、中标供应商为残疾人福利单位的，此</w:t>
      </w:r>
      <w:r>
        <w:rPr>
          <w:rFonts w:cs="宋体" w:asciiTheme="minorEastAsia" w:hAnsiTheme="minorEastAsia" w:eastAsiaTheme="minorEastAsia"/>
          <w:sz w:val="24"/>
        </w:rPr>
        <w:t xml:space="preserve">声明函将随</w:t>
      </w:r>
      <w:r>
        <w:rPr>
          <w:rFonts w:cs="宋体" w:asciiTheme="minorEastAsia" w:hAnsiTheme="minorEastAsia" w:eastAsiaTheme="minorEastAsia"/>
          <w:sz w:val="24"/>
        </w:rPr>
        <w:t xml:space="preserve">中标结果同时公告，接受社会监督）</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Pr>
      <w:r>
        <w:rPr>
          <w:rFonts w:cs="宋体" w:asciiTheme="minorEastAsia" w:hAnsiTheme="minorEastAsia" w:eastAsiaTheme="minorEastAsia"/>
          <w:sz w:val="24"/>
        </w:rPr>
        <w:t xml:space="preserve">企业名称（加盖CA电子公章）：</w:t>
      </w:r>
      <w:r/>
    </w:p>
    <w:p>
      <w:pPr>
        <w:jc w:val="center"/>
        <w:rPr>
          <w:rFonts w:asciiTheme="minorEastAsia" w:hAnsiTheme="minorEastAsia" w:eastAsiaTheme="minorEastAsia"/>
        </w:rPr>
      </w:pPr>
      <w:r>
        <w:rPr>
          <w:rFonts w:cs="宋体" w:asciiTheme="minorEastAsia" w:hAnsiTheme="minorEastAsia" w:eastAsiaTheme="minorEastAsia"/>
          <w:sz w:val="24"/>
        </w:rPr>
        <w:t xml:space="preserve">                                                      日  期：</w:t>
      </w:r>
      <w:r/>
    </w:p>
    <w:p>
      <w:pPr>
        <w:jc w:val="left"/>
        <w:spacing w:after="0"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七</w:t>
      </w:r>
      <w:r>
        <w:rPr>
          <w:rFonts w:cs="宋体" w:asciiTheme="minorEastAsia" w:hAnsiTheme="minorEastAsia" w:eastAsiaTheme="minorEastAsia"/>
          <w:sz w:val="32"/>
        </w:rPr>
        <w:t xml:space="preserve">、</w:t>
      </w:r>
      <w:r>
        <w:rPr>
          <w:rFonts w:hint="eastAsia" w:cs="宋体" w:asciiTheme="minorEastAsia" w:hAnsiTheme="minorEastAsia" w:eastAsiaTheme="minorEastAsia"/>
          <w:sz w:val="32"/>
        </w:rPr>
        <w:t xml:space="preserve">关于符合本国产品标准的声明函（如适用）</w:t>
      </w:r>
      <w:r/>
    </w:p>
    <w:p>
      <w:pPr>
        <w:pStyle w:val="904"/>
        <w:ind w:firstLine="420"/>
        <w:spacing w:before="0" w:beforeAutospacing="0" w:after="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1.</w:t>
      </w:r>
      <w:r>
        <w:rPr>
          <w:rStyle w:val="911"/>
          <w:rFonts w:hint="eastAsia" w:cs="方正魏碑_GBK" w:asciiTheme="minorEastAsia" w:hAnsiTheme="minorEastAsia" w:eastAsiaTheme="minorEastAsia"/>
          <w:i w:val="0"/>
          <w:u w:val="single"/>
          <w:shd w:val="clear" w:color="auto" w:fill="ffffff"/>
        </w:rPr>
        <w:t xml:space="preserve">（产品名称1）</w:t>
      </w:r>
      <w:r>
        <w:rPr>
          <w:rStyle w:val="911"/>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911"/>
          <w:rFonts w:hint="eastAsia" w:cs="方正魏碑_GBK" w:asciiTheme="minorEastAsia" w:hAnsiTheme="minorEastAsia" w:eastAsiaTheme="minorEastAsia"/>
          <w:i w:val="0"/>
          <w:u w:val="single"/>
          <w:shd w:val="clear" w:color="auto" w:fill="ffffff"/>
        </w:rPr>
        <w:t xml:space="preserve">（厂名）</w:t>
      </w:r>
      <w:r>
        <w:rPr>
          <w:rStyle w:val="911"/>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911"/>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u w:val="single"/>
          <w:shd w:val="clear" w:color="auto" w:fill="ffffff"/>
        </w:rPr>
        <w:t xml:space="preserve"> </w:t>
      </w:r>
      <w:r>
        <w:rPr>
          <w:rStyle w:val="911"/>
          <w:rFonts w:hint="eastAsia" w:cs="方正魏碑_GBK" w:asciiTheme="minorEastAsia" w:hAnsiTheme="minorEastAsia" w:eastAsiaTheme="minorEastAsia"/>
          <w:i w:val="0"/>
          <w:u w:val="single"/>
          <w:shd w:val="clear" w:color="auto" w:fill="ffffff"/>
        </w:rPr>
        <w:t xml:space="preserve">（产品名称1） </w:t>
      </w:r>
      <w:r>
        <w:rPr>
          <w:rFonts w:hint="eastAsia" w:cs="方正魏碑_GBK" w:asciiTheme="minorEastAsia" w:hAnsiTheme="minorEastAsia" w:eastAsiaTheme="minorEastAsia"/>
          <w:shd w:val="clear" w:color="auto" w:fill="ffffff"/>
        </w:rPr>
        <w:t xml:space="preserve">的中国境内生产的组件成本占比≥</w:t>
      </w:r>
      <w:r>
        <w:rPr>
          <w:rStyle w:val="911"/>
          <w:rFonts w:hint="eastAsia" w:cs="方正魏碑_GBK" w:asciiTheme="minorEastAsia" w:hAnsiTheme="minorEastAsia" w:eastAsiaTheme="minorEastAsia"/>
          <w:i w:val="0"/>
          <w:u w:val="single"/>
          <w:shd w:val="clear" w:color="auto" w:fill="ffffff"/>
        </w:rPr>
        <w:t xml:space="preserve">（规定</w:t>
      </w:r>
      <w:r>
        <w:rPr>
          <w:rStyle w:val="911"/>
          <w:rFonts w:cs="方正魏碑_GBK" w:asciiTheme="minorEastAsia" w:hAnsiTheme="minorEastAsia" w:eastAsiaTheme="minorEastAsia"/>
          <w:i w:val="0"/>
          <w:u w:val="single"/>
          <w:shd w:val="clear" w:color="auto" w:fill="ffffff"/>
        </w:rPr>
        <w:t xml:space="preserve">比例</w:t>
      </w:r>
      <w:r>
        <w:rPr>
          <w:rStyle w:val="911"/>
          <w:rFonts w:hint="eastAsia" w:cs="方正魏碑_GBK" w:asciiTheme="minorEastAsia" w:hAnsiTheme="minorEastAsia" w:eastAsiaTheme="minorEastAsia"/>
          <w:i w:val="0"/>
          <w:u w:val="single"/>
          <w:shd w:val="clear" w:color="auto" w:fill="ffffff"/>
        </w:rPr>
        <w:t xml:space="preserve">）</w:t>
      </w:r>
      <w:r>
        <w:rPr>
          <w:rStyle w:val="911"/>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91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11"/>
          <w:rFonts w:hint="eastAsia" w:cs="方正魏碑_GBK" w:asciiTheme="minorEastAsia" w:hAnsiTheme="minorEastAsia" w:eastAsiaTheme="minorEastAsia"/>
          <w:i w:val="0"/>
          <w:u w:val="single"/>
          <w:shd w:val="clear" w:color="auto" w:fill="ffffff"/>
        </w:rPr>
        <w:t xml:space="preserve">（关键</w:t>
      </w:r>
      <w:r>
        <w:rPr>
          <w:rStyle w:val="911"/>
          <w:rFonts w:cs="方正魏碑_GBK" w:asciiTheme="minorEastAsia" w:hAnsiTheme="minorEastAsia" w:eastAsiaTheme="minorEastAsia"/>
          <w:i w:val="0"/>
          <w:u w:val="single"/>
          <w:shd w:val="clear" w:color="auto" w:fill="ffffff"/>
        </w:rPr>
        <w:t xml:space="preserve">组件</w:t>
      </w:r>
      <w:r>
        <w:rPr>
          <w:rStyle w:val="911"/>
          <w:rFonts w:hint="eastAsia" w:cs="方正魏碑_GBK" w:asciiTheme="minorEastAsia" w:hAnsiTheme="minorEastAsia" w:eastAsiaTheme="minorEastAsia"/>
          <w:i w:val="0"/>
          <w:u w:val="single"/>
          <w:shd w:val="clear" w:color="auto" w:fill="ffffff"/>
        </w:rPr>
        <w:t xml:space="preserve">）</w:t>
      </w:r>
      <w:r>
        <w:rPr>
          <w:rStyle w:val="911"/>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91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11"/>
          <w:rFonts w:hint="eastAsia" w:cs="方正魏碑_GBK" w:asciiTheme="minorEastAsia" w:hAnsiTheme="minorEastAsia" w:eastAsiaTheme="minorEastAsia"/>
          <w:i w:val="0"/>
          <w:u w:val="single"/>
          <w:shd w:val="clear" w:color="auto" w:fill="ffffff"/>
        </w:rPr>
        <w:t xml:space="preserve">（关键工序）</w:t>
      </w:r>
      <w:r>
        <w:rPr>
          <w:rStyle w:val="911"/>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90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2.</w:t>
      </w:r>
      <w:r>
        <w:rPr>
          <w:rStyle w:val="91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，生产厂为</w:t>
      </w:r>
      <w:r>
        <w:rPr>
          <w:rStyle w:val="911"/>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911"/>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91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的中国境内生产的组件成本占比≥</w:t>
      </w:r>
      <w:r>
        <w:rPr>
          <w:rStyle w:val="911"/>
          <w:rFonts w:hint="eastAsia" w:cs="方正魏碑_GBK" w:asciiTheme="minorEastAsia" w:hAnsiTheme="minorEastAsia" w:eastAsiaTheme="minorEastAsia"/>
          <w:i w:val="0"/>
          <w:u w:val="single"/>
          <w:shd w:val="clear" w:color="auto" w:fill="ffffff"/>
        </w:rPr>
        <w:t xml:space="preserve">（规定</w:t>
      </w:r>
      <w:r>
        <w:rPr>
          <w:rStyle w:val="911"/>
          <w:rFonts w:cs="方正魏碑_GBK" w:asciiTheme="minorEastAsia" w:hAnsiTheme="minorEastAsia" w:eastAsiaTheme="minorEastAsia"/>
          <w:i w:val="0"/>
          <w:u w:val="single"/>
          <w:shd w:val="clear" w:color="auto" w:fill="ffffff"/>
        </w:rPr>
        <w:t xml:space="preserve">比例</w:t>
      </w:r>
      <w:r>
        <w:rPr>
          <w:rStyle w:val="911"/>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w:t>
      </w:r>
      <w:r>
        <w:rPr>
          <w:rStyle w:val="91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w:t>
      </w:r>
      <w:r>
        <w:rPr>
          <w:rStyle w:val="911"/>
          <w:rFonts w:hint="eastAsia" w:cs="方正魏碑_GBK" w:asciiTheme="minorEastAsia" w:hAnsiTheme="minorEastAsia" w:eastAsiaTheme="minorEastAsia"/>
          <w:i w:val="0"/>
          <w:u w:val="single"/>
          <w:shd w:val="clear" w:color="auto" w:fill="ffffff"/>
        </w:rPr>
        <w:t xml:space="preserve">（关键</w:t>
      </w:r>
      <w:r>
        <w:rPr>
          <w:rStyle w:val="911"/>
          <w:rFonts w:cs="方正魏碑_GBK" w:asciiTheme="minorEastAsia" w:hAnsiTheme="minorEastAsia" w:eastAsiaTheme="minorEastAsia"/>
          <w:i w:val="0"/>
          <w:u w:val="single"/>
          <w:shd w:val="clear" w:color="auto" w:fill="ffffff"/>
        </w:rPr>
        <w:t xml:space="preserve">组件</w:t>
      </w:r>
      <w:r>
        <w:rPr>
          <w:rStyle w:val="911"/>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在中国境内生产。</w:t>
      </w:r>
      <w:r>
        <w:rPr>
          <w:rStyle w:val="91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11"/>
          <w:rFonts w:hint="eastAsia" w:cs="方正魏碑_GBK" w:asciiTheme="minorEastAsia" w:hAnsiTheme="minorEastAsia" w:eastAsiaTheme="minorEastAsia"/>
          <w:i w:val="0"/>
          <w:u w:val="single"/>
          <w:shd w:val="clear" w:color="auto" w:fill="ffffff"/>
        </w:rPr>
        <w:t xml:space="preserve">（关键工序）</w:t>
      </w:r>
      <w:r>
        <w:rPr>
          <w:rFonts w:hint="eastAsia" w:cs="方正魏碑_GBK" w:asciiTheme="minorEastAsia" w:hAnsiTheme="minorEastAsia" w:eastAsiaTheme="minorEastAsia"/>
          <w:shd w:val="clear" w:color="auto" w:fill="ffffff"/>
        </w:rPr>
        <w:t xml:space="preserve">在中国境内完成。</w:t>
      </w:r>
      <w:r/>
    </w:p>
    <w:p>
      <w:pPr>
        <w:pStyle w:val="90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90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904"/>
        <w:spacing w:before="30" w:beforeAutospacing="0" w:after="30" w:afterAutospacing="0" w:line="360" w:lineRule="auto"/>
        <w:rPr>
          <w:rFonts w:cs="方正魏碑_GBK" w:asciiTheme="minorEastAsia" w:hAnsiTheme="minorEastAsia" w:eastAsiaTheme="minorEastAsia"/>
        </w:rPr>
      </w:pPr>
      <w:r>
        <w:rPr>
          <w:rFonts w:cs="方正魏碑_GBK" w:asciiTheme="minorEastAsia" w:hAnsiTheme="minorEastAsia" w:eastAsiaTheme="minorEastAsia"/>
        </w:rPr>
      </w:r>
      <w:r/>
    </w:p>
    <w:p>
      <w:pPr>
        <w:pStyle w:val="904"/>
        <w:ind w:right="480" w:firstLine="37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公司（单位）名称（盖章）：　        </w:t>
      </w:r>
      <w:r/>
    </w:p>
    <w:p>
      <w:pPr>
        <w:pStyle w:val="904"/>
        <w:jc w:val="center"/>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90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90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1.产品如有型号，请在“产品名称”栏一并填写。</w:t>
      </w:r>
      <w:r/>
    </w:p>
    <w:p>
      <w:pPr>
        <w:pStyle w:val="90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2.生产厂名与厂址应与生产厂营业执照载明的相关信息保持一致。</w:t>
      </w:r>
      <w:r/>
    </w:p>
    <w:p>
      <w:pPr>
        <w:pStyle w:val="90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3.该产品的中国境内生产的组件成本占比相关要求实施前，“规定比例”栏可不填，下同。</w:t>
      </w:r>
      <w:r/>
    </w:p>
    <w:p>
      <w:pPr>
        <w:pStyle w:val="90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4.该产品的关键组件要求实施前，“关键组件”栏可不填，下同。</w:t>
      </w:r>
      <w:r/>
    </w:p>
    <w:p>
      <w:pPr>
        <w:pStyle w:val="90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5.该产品的关键工序要求实施前，“关键工序”栏可不填，下同。</w:t>
      </w:r>
      <w:r/>
    </w:p>
    <w:p>
      <w:pPr>
        <w:pStyle w:val="90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6.用</w:t>
      </w:r>
      <w:r>
        <w:rPr>
          <w:rFonts w:hint="eastAsia" w:cs="方正魏碑_GBK" w:asciiTheme="minorEastAsia" w:hAnsiTheme="minorEastAsia" w:eastAsiaTheme="minorEastAsia"/>
          <w:shd w:val="clear" w:color="auto" w:fill="ffffff"/>
        </w:rPr>
        <w:t xml:space="preserve">斜线划除的</w:t>
      </w:r>
      <w:r>
        <w:rPr>
          <w:rFonts w:hint="eastAsia" w:cs="方正魏碑_GBK" w:asciiTheme="minorEastAsia" w:hAnsiTheme="minorEastAsia" w:eastAsiaTheme="minorEastAsia"/>
          <w:shd w:val="clear" w:color="auto" w:fill="ffffff"/>
        </w:rPr>
        <w:t xml:space="preserve">地方无需填写。</w:t>
      </w:r>
      <w:r/>
    </w:p>
    <w:p>
      <w:pPr>
        <w:pStyle w:val="90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7</w:t>
      </w:r>
      <w:r>
        <w:rPr>
          <w:rFonts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shd w:val="clear" w:color="auto" w:fill="ffffff"/>
        </w:rPr>
        <w:t xml:space="preserve">如word斜线错位，请以下方图片所示为准。</w:t>
      </w:r>
      <w:r/>
    </w:p>
    <w:p>
      <w:pPr>
        <w:pStyle w:val="90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rPr>
        <w:outlineLvl w:val="1"/>
      </w:pPr>
      <w:r>
        <w:rPr>
          <w:rFonts w:asciiTheme="minorEastAsia" w:hAnsiTheme="minorEastAsia" w:eastAsiaTheme="minorEastAsia"/>
        </w:rPr>
        <w:br w:type="page" w:clear="all"/>
      </w:r>
      <w:bookmarkStart w:id="286" w:name="_Toc27826"/>
      <w:r/>
      <w:bookmarkStart w:id="287" w:name="_Toc30853"/>
      <w:r/>
      <w:bookmarkStart w:id="288" w:name="_Toc6380"/>
      <w:r/>
      <w:bookmarkStart w:id="289" w:name="_Toc194500899"/>
      <w:r/>
      <w:bookmarkStart w:id="290" w:name="_Toc6933"/>
      <w:r>
        <w:rPr>
          <w:rFonts w:hint="eastAsia" w:cs="宋体" w:asciiTheme="minorEastAsia" w:hAnsiTheme="minorEastAsia" w:eastAsiaTheme="minorEastAsia"/>
          <w:sz w:val="32"/>
        </w:rPr>
        <w:t xml:space="preserve">八-1投标分项报价表</w:t>
      </w:r>
      <w:bookmarkEnd w:id="286"/>
      <w:r/>
      <w:bookmarkEnd w:id="287"/>
      <w:r/>
      <w:bookmarkEnd w:id="288"/>
      <w:r/>
      <w:bookmarkEnd w:id="289"/>
      <w:r/>
      <w:bookmarkEnd w:id="290"/>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w:t>
      </w:r>
      <w:r>
        <w:rPr>
          <w:rFonts w:hint="eastAsia" w:cs="宋体" w:asciiTheme="minorEastAsia" w:hAnsiTheme="minorEastAsia" w:eastAsiaTheme="minorEastAsia"/>
          <w:sz w:val="24"/>
        </w:rPr>
        <w:t xml:space="preserve">电子公章</w:t>
      </w:r>
      <w:r>
        <w:rPr>
          <w:rFonts w:hint="eastAsia" w:cs="宋体" w:asciiTheme="minorEastAsia" w:hAnsiTheme="minorEastAsia" w:eastAsiaTheme="minorEastAsia"/>
          <w:sz w:val="24"/>
        </w:rPr>
        <w:t xml:space="preserve">）：</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rPr>
          <w:rFonts w:hint="eastAsia" w:cs="宋体" w:asciiTheme="minorEastAsia" w:hAnsiTheme="minorEastAsia" w:eastAsiaTheme="minorEastAsia"/>
          <w:sz w:val="24"/>
        </w:rP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产品</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规格</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 xml:space="preserve">***</w:t>
            </w:r>
            <w:r>
              <w:rPr>
                <w:rFonts w:hint="eastAsia" w:cs="方正魏碑_GBK" w:asciiTheme="minorEastAsia" w:hAnsiTheme="minorEastAsia" w:eastAsiaTheme="minorEastAsia"/>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1.投标报价</w:t>
      </w:r>
      <w:r>
        <w:rPr>
          <w:rFonts w:hint="eastAsia" w:asciiTheme="minorEastAsia" w:hAnsiTheme="minorEastAsia" w:eastAsiaTheme="minorEastAsia"/>
          <w:sz w:val="24"/>
        </w:rPr>
        <w:t xml:space="preserve">采用总</w:t>
      </w:r>
      <w:r>
        <w:rPr>
          <w:rFonts w:hint="eastAsia" w:asciiTheme="minorEastAsia" w:hAnsiTheme="minorEastAsia" w:eastAsiaTheme="minorEastAsia"/>
          <w:sz w:val="24"/>
        </w:rPr>
        <w:t xml:space="preserve">承包方式，“投标总报价”应包括所投货物（包含与货物相关的服务）费用、安装调试费、</w:t>
      </w:r>
      <w:r>
        <w:rPr>
          <w:rFonts w:hint="eastAsia" w:asciiTheme="minorEastAsia" w:hAnsiTheme="minorEastAsia" w:eastAsiaTheme="minorEastAsia"/>
          <w:sz w:val="24"/>
        </w:rPr>
        <w:t xml:space="preserve">测试验</w:t>
      </w:r>
      <w:r>
        <w:rPr>
          <w:rFonts w:hint="eastAsia" w:asciiTheme="minorEastAsia" w:hAnsiTheme="minorEastAsia" w:eastAsiaTheme="minorEastAsia"/>
          <w:sz w:val="24"/>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Theme="minorEastAsia" w:hAnsiTheme="minorEastAsia" w:eastAsiaTheme="minorEastAsia"/>
          <w:sz w:val="24"/>
        </w:rPr>
        <w:t xml:space="preserve">和</w:t>
      </w:r>
      <w:r>
        <w:rPr>
          <w:rFonts w:hint="eastAsia" w:asciiTheme="minorEastAsia" w:hAnsiTheme="minorEastAsia" w:eastAsiaTheme="minorEastAsia"/>
          <w:sz w:val="24"/>
        </w:rPr>
        <w:t xml:space="preserve">。</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cs="Arial" w:asciiTheme="minorEastAsia" w:hAnsiTheme="minorEastAsia" w:eastAsiaTheme="minorEastAsia"/>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4.投标人需认真填写本报价表，尤其注意规格型号的准确填写。</w:t>
      </w:r>
      <w:r>
        <w:rPr>
          <w:rFonts w:cs="Arial" w:asciiTheme="minorEastAsia" w:hAnsiTheme="minorEastAsia" w:eastAsiaTheme="minorEastAsia"/>
          <w:szCs w:val="21"/>
        </w:rPr>
        <w:br w:type="page" w:clear="all"/>
      </w:r>
      <w:r/>
    </w:p>
    <w:p>
      <w:pPr>
        <w:jc w:val="center"/>
        <w:spacing w:before="260" w:line="98"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rPr>
        <w:t xml:space="preserve">八-2配置清单</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w:t>
      </w:r>
      <w:r>
        <w:rPr>
          <w:rFonts w:hint="eastAsia" w:cs="宋体" w:asciiTheme="minorEastAsia" w:hAnsiTheme="minorEastAsia" w:eastAsiaTheme="minorEastAsia"/>
          <w:sz w:val="24"/>
        </w:rPr>
        <w:t xml:space="preserve">电子公章</w:t>
      </w:r>
      <w:r>
        <w:rPr>
          <w:rFonts w:hint="eastAsia" w:cs="宋体" w:asciiTheme="minorEastAsia" w:hAnsiTheme="minorEastAsia" w:eastAsiaTheme="minorEastAsia"/>
          <w:sz w:val="24"/>
        </w:rPr>
        <w:t xml:space="preserve">）：</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原产地</w:t>
            </w:r>
            <w:r>
              <w:rPr>
                <w:rFonts w:hint="eastAsia" w:cs="宋体" w:asciiTheme="minorEastAsia" w:hAnsiTheme="minorEastAsia" w:eastAsiaTheme="minorEastAsia"/>
                <w:szCs w:val="21"/>
              </w:rPr>
              <w:t xml:space="preserve">和</w:t>
            </w:r>
            <w:r/>
          </w:p>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注：表格格式供参考，可自拟格式。</w:t>
      </w:r>
      <w:r/>
    </w:p>
    <w:p>
      <w:pPr>
        <w:rPr>
          <w:rFonts w:cs="宋体" w:asciiTheme="minorEastAsia" w:hAnsiTheme="minorEastAsia" w:eastAsiaTheme="minorEastAsia"/>
          <w:i/>
          <w:sz w:val="32"/>
          <w:u w:val="single"/>
        </w:rPr>
      </w:pPr>
      <w:r/>
      <w:bookmarkStart w:id="291" w:name="_Toc749"/>
      <w:r/>
      <w:bookmarkStart w:id="292" w:name="_Toc723"/>
      <w:r/>
      <w:bookmarkStart w:id="293" w:name="_Toc4392"/>
      <w:r/>
      <w:bookmarkStart w:id="294" w:name="_Toc194500900"/>
      <w:r/>
      <w:bookmarkStart w:id="295" w:name="_Toc22016"/>
      <w:r>
        <w:rPr>
          <w:rFonts w:hint="eastAsia" w:cs="宋体" w:asciiTheme="minorEastAsia" w:hAnsiTheme="minorEastAsia" w:eastAsiaTheme="minorEastAsia"/>
          <w:i/>
          <w:sz w:val="32"/>
          <w:u w:val="single"/>
        </w:rPr>
        <w:br w:type="page" w:clear="all"/>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32"/>
        </w:rPr>
        <w:t xml:space="preserve">九</w:t>
      </w:r>
      <w:r>
        <w:rPr>
          <w:rFonts w:cs="宋体" w:asciiTheme="minorEastAsia" w:hAnsiTheme="minorEastAsia" w:eastAsiaTheme="minorEastAsia"/>
          <w:sz w:val="32"/>
        </w:rPr>
        <w:t xml:space="preserve">、开标一览表</w:t>
      </w:r>
      <w:bookmarkEnd w:id="291"/>
      <w:r/>
      <w:bookmarkEnd w:id="292"/>
      <w:r/>
      <w:bookmarkEnd w:id="293"/>
      <w:r/>
      <w:bookmarkEnd w:id="294"/>
      <w:r/>
      <w:bookmarkEnd w:id="295"/>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w:t>
      </w:r>
      <w:r>
        <w:rPr>
          <w:rFonts w:hint="eastAsia" w:cs="宋体" w:asciiTheme="minorEastAsia" w:hAnsiTheme="minorEastAsia" w:eastAsiaTheme="minorEastAsia"/>
          <w:sz w:val="24"/>
        </w:rPr>
        <w:t xml:space="preserve">电子公章</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ind w:firstLine="480"/>
        <w:rPr>
          <w:rFonts w:cs="Arial" w:asciiTheme="minorEastAsia" w:hAnsiTheme="minorEastAsia" w:eastAsiaTheme="minorEastAsia"/>
          <w:sz w:val="24"/>
        </w:rPr>
      </w:pPr>
      <w:r>
        <w:rPr>
          <w:rFonts w:hint="eastAsia" w:cs="宋体" w:asciiTheme="minorEastAsia" w:hAnsiTheme="minorEastAsia" w:eastAsiaTheme="minorEastAsia"/>
          <w:sz w:val="24"/>
        </w:rPr>
        <w:t xml:space="preserve">招标编号：                                  </w:t>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5"/>
              <w:ind w:firstLine="0"/>
              <w:jc w:val="center"/>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投标总价</w:t>
            </w:r>
            <w:r/>
          </w:p>
        </w:tc>
        <w:tc>
          <w:tcPr>
            <w:tcW w:w="7625" w:type="dxa"/>
            <w:vAlign w:val="center"/>
            <w:textDirection w:val="lrTb"/>
            <w:noWrap w:val="false"/>
          </w:tcPr>
          <w:p>
            <w:pPr>
              <w:pStyle w:val="875"/>
              <w:ind w:firstLine="0"/>
              <w:spacing w:line="440" w:lineRule="exact"/>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          </w:t>
            </w:r>
            <w:r>
              <w:rPr>
                <w:rFonts w:hint="eastAsia" w:cs="Arial" w:asciiTheme="minorEastAsia" w:hAnsiTheme="minorEastAsia" w:eastAsiaTheme="minorEastAsia"/>
                <w:sz w:val="24"/>
                <w:szCs w:val="24"/>
              </w:rPr>
              <w:t xml:space="preserve">   元</w:t>
            </w:r>
            <w:r/>
          </w:p>
          <w:p>
            <w:pPr>
              <w:pStyle w:val="875"/>
              <w:ind w:firstLine="474"/>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875"/>
              <w:ind w:firstLine="0"/>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                </w:t>
            </w:r>
            <w:r>
              <w:rPr>
                <w:rFonts w:hint="eastAsia" w:cs="Arial" w:asciiTheme="minorEastAsia" w:hAnsiTheme="minorEastAsia" w:eastAsiaTheme="minorEastAsia"/>
                <w:sz w:val="24"/>
                <w:szCs w:val="24"/>
              </w:rPr>
              <w:t xml:space="preserve">元</w:t>
            </w:r>
            <w:r>
              <w:rPr>
                <w:rFonts w:cs="Arial" w:asciiTheme="minorEastAsia" w:hAnsiTheme="minorEastAsia" w:eastAsiaTheme="minorEastAsia"/>
                <w:sz w:val="24"/>
                <w:szCs w:val="24"/>
              </w:rPr>
              <w:t xml:space="preserve"> </w:t>
            </w:r>
            <w:r/>
          </w:p>
        </w:tc>
      </w:tr>
    </w:tbl>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br w:type="page" w:clear="all"/>
      </w:r>
      <w:r/>
    </w:p>
    <w:p>
      <w:pPr>
        <w:pStyle w:val="968"/>
        <w:numPr>
          <w:ilvl w:val="0"/>
          <w:numId w:val="8"/>
        </w:numPr>
        <w:jc w:val="center"/>
        <w:rPr>
          <w:rFonts w:cs="宋体" w:asciiTheme="minorEastAsia" w:hAnsiTheme="minorEastAsia" w:eastAsiaTheme="minorEastAsia"/>
          <w:sz w:val="32"/>
        </w:rPr>
        <w:outlineLvl w:val="1"/>
      </w:pPr>
      <w:r/>
      <w:bookmarkStart w:id="296" w:name="_Toc194500901"/>
      <w:r>
        <w:rPr>
          <w:rFonts w:hint="eastAsia" w:cs="宋体" w:asciiTheme="minorEastAsia" w:hAnsiTheme="minorEastAsia" w:eastAsiaTheme="minorEastAsia"/>
          <w:sz w:val="32"/>
        </w:rPr>
        <w:t xml:space="preserve">技术、商务条款偏离表</w:t>
      </w:r>
      <w:bookmarkEnd w:id="296"/>
      <w:r/>
      <w:r/>
    </w:p>
    <w:p>
      <w:pPr>
        <w:ind w:firstLine="281"/>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（根据招标文件第四章第二条技术要求的内容填写，必须点对点应答，逐条进行响应）</w:t>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项目编号：</w:t>
      </w:r>
      <w:r>
        <w:rPr>
          <w:rFonts w:asciiTheme="minorEastAsia" w:hAnsiTheme="minorEastAsia" w:eastAsiaTheme="minorEastAsia"/>
          <w:sz w:val="24"/>
        </w:rPr>
        <w:tab/>
      </w:r>
      <w:r/>
    </w:p>
    <w:p>
      <w:pPr>
        <w:tabs>
          <w:tab w:val="left" w:pos="2187" w:leader="none"/>
        </w:tabs>
        <w:rPr>
          <w:rFonts w:asciiTheme="minorEastAsia" w:hAnsiTheme="minorEastAsia" w:eastAsiaTheme="minorEastAsia"/>
          <w:sz w:val="24"/>
        </w:rPr>
      </w:pPr>
      <w:r>
        <w:rPr>
          <w:rFonts w:hint="eastAsia" w:asciiTheme="minorEastAsia" w:hAnsiTheme="minorEastAsia" w:eastAsiaTheme="minorEastAsia"/>
          <w:sz w:val="24"/>
        </w:rPr>
        <w:t xml:space="preserve">采购代理编号：                 </w:t>
      </w: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证明</w:t>
            </w:r>
            <w:r/>
          </w:p>
          <w:p>
            <w:pPr>
              <w:jc w:val="center"/>
              <w:rPr>
                <w:rFonts w:asciiTheme="minorEastAsia" w:hAnsiTheme="minorEastAsia" w:eastAsiaTheme="minorEastAsia"/>
                <w:sz w:val="24"/>
              </w:rPr>
            </w:pPr>
            <w:r>
              <w:rPr>
                <w:rFonts w:cs="宋体" w:asciiTheme="minorEastAsia" w:hAnsiTheme="minorEastAsia" w:eastAsiaTheme="minorEastAsia"/>
                <w:sz w:val="24"/>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bl>
    <w:p>
      <w:pPr>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 </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sz w:val="24"/>
          <w:szCs w:val="20"/>
        </w:rPr>
      </w:pPr>
      <w:r>
        <w:rPr>
          <w:rFonts w:hint="eastAsia" w:cs="宋体" w:asciiTheme="minorEastAsia" w:hAnsiTheme="minorEastAsia" w:eastAsiaTheme="minorEastAsia"/>
          <w:sz w:val="24"/>
        </w:rPr>
        <w:t xml:space="preserve">2.投标文件中需提供★及▲参数或技术要求中注明需佐证材料参数的技术证明材料，明确标明证明材料所在精确页码，证明材料包括但不限于公开发行的产品彩页、产品说明书或第三方检测机构出具的检测报告等，未按要求提供的，视为负偏离。评标委员会将根据投标人提供的佐证材料评定投标产品对招标文</w:t>
      </w:r>
      <w:r>
        <w:rPr>
          <w:rFonts w:hint="eastAsia" w:cs="宋体" w:asciiTheme="minorEastAsia" w:hAnsiTheme="minorEastAsia" w:eastAsiaTheme="minorEastAsia"/>
          <w:sz w:val="24"/>
        </w:rPr>
        <w:t xml:space="preserve">件技术规格的响应程度。无相关资料证实的，评标委员会有权做负偏离处理。</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w:t>
      </w:r>
      <w:r>
        <w:rPr>
          <w:rFonts w:hint="eastAsia" w:cs="宋体" w:asciiTheme="minorEastAsia" w:hAnsiTheme="minorEastAsia" w:eastAsiaTheme="minorEastAsia"/>
          <w:sz w:val="24"/>
        </w:rPr>
        <w:t xml:space="preserve">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rPr>
          <w:rFonts w:asciiTheme="minorEastAsia" w:hAnsiTheme="minorEastAsia" w:eastAsiaTheme="minorEastAsia"/>
        </w:rPr>
      </w:pPr>
      <w:r/>
      <w:bookmarkStart w:id="297" w:name="_Toc7460"/>
      <w:r/>
      <w:bookmarkStart w:id="298" w:name="_Toc12174"/>
      <w:r/>
      <w:bookmarkStart w:id="299" w:name="_Toc923"/>
      <w:r/>
      <w:bookmarkStart w:id="300" w:name="_Toc1974"/>
      <w:r>
        <w:rPr>
          <w:rFonts w:asciiTheme="minorEastAsia" w:hAnsiTheme="minorEastAsia" w:eastAsiaTheme="minorEastAsia"/>
        </w:rPr>
        <w:br w:type="page" w:clear="all"/>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商务要求响应/偏离表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（根据招标文件第四章第三条商务要求的内容填写，必须点对点应答，逐条进行响应，★条款不允许负偏离）</w:t>
      </w:r>
      <w:r/>
    </w:p>
    <w:p>
      <w:pPr>
        <w:jc w:val="cente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asciiTheme="minorEastAsia" w:hAnsiTheme="minorEastAsia" w:eastAsiaTheme="minorEastAsia"/>
        </w:rPr>
      </w:pPr>
      <w:r>
        <w:rPr>
          <w:rFonts w:hint="eastAsia" w:asciiTheme="minorEastAsia" w:hAnsiTheme="minorEastAsia" w:eastAsiaTheme="minorEastAsia"/>
          <w:sz w:val="24"/>
        </w:rPr>
        <w:t xml:space="preserve">项目编号：</w:t>
      </w: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rPr>
          <w:rFonts w:asciiTheme="minorEastAsia" w:hAnsiTheme="minorEastAsia" w:eastAsiaTheme="minorEastAsia"/>
          <w:sz w:val="24"/>
        </w:rPr>
      </w:pPr>
      <w:r>
        <w:rPr>
          <w:rFonts w:hint="eastAsia" w:asciiTheme="minorEastAsia" w:hAnsiTheme="minorEastAsia" w:eastAsiaTheme="minorEastAsia"/>
          <w:sz w:val="24"/>
        </w:rPr>
        <w:t xml:space="preserve">采购代理编号：                 </w:t>
      </w:r>
      <w:r/>
    </w:p>
    <w:p>
      <w:pPr>
        <w:rPr>
          <w:rFonts w:asciiTheme="minorEastAsia" w:hAnsiTheme="minorEastAsia" w:eastAsiaTheme="minorEastAsia"/>
          <w:sz w:val="24"/>
        </w:rPr>
      </w:pPr>
      <w:r>
        <w:rPr>
          <w:rFonts w:asciiTheme="minorEastAsia" w:hAnsiTheme="minorEastAsia" w:eastAsiaTheme="minorEastAsia"/>
          <w:sz w:val="24"/>
        </w:rPr>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w:t>
      </w:r>
      <w:r>
        <w:rPr>
          <w:rFonts w:hint="eastAsia" w:cs="宋体" w:asciiTheme="minorEastAsia" w:hAnsiTheme="minorEastAsia" w:eastAsiaTheme="minorEastAsia"/>
          <w:sz w:val="24"/>
        </w:rPr>
        <w:t xml:space="preserve">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jc w:val="center"/>
        <w:spacing w:before="260" w:line="98"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301" w:name="_Toc194500902"/>
      <w:r>
        <w:rPr>
          <w:rFonts w:hint="eastAsia" w:cs="宋体" w:asciiTheme="minorEastAsia" w:hAnsiTheme="minorEastAsia" w:eastAsiaTheme="minorEastAsia"/>
          <w:sz w:val="32"/>
        </w:rPr>
        <w:t xml:space="preserve">十一</w:t>
      </w:r>
      <w:r>
        <w:rPr>
          <w:rFonts w:cs="宋体" w:asciiTheme="minorEastAsia" w:hAnsiTheme="minorEastAsia" w:eastAsiaTheme="minorEastAsia"/>
          <w:sz w:val="32"/>
        </w:rPr>
        <w:t xml:space="preserve">、服务方案</w:t>
      </w:r>
      <w:bookmarkEnd w:id="297"/>
      <w:r/>
      <w:bookmarkEnd w:id="298"/>
      <w:r/>
      <w:bookmarkEnd w:id="299"/>
      <w:r/>
      <w:bookmarkEnd w:id="300"/>
      <w:r/>
      <w:bookmarkEnd w:id="301"/>
      <w:r/>
      <w:r/>
    </w:p>
    <w:p>
      <w:pPr>
        <w:ind w:left="420"/>
        <w:jc w:val="center"/>
        <w:rPr>
          <w:rFonts w:asciiTheme="minorEastAsia" w:hAnsiTheme="minorEastAsia" w:eastAsiaTheme="minorEastAsia"/>
        </w:rPr>
      </w:pPr>
      <w:r>
        <w:rPr>
          <w:rFonts w:cs="宋体" w:asciiTheme="minorEastAsia" w:hAnsiTheme="minorEastAsia" w:eastAsiaTheme="minorEastAsia"/>
          <w:sz w:val="24"/>
        </w:rPr>
        <w:t xml:space="preserve">投标人须根据本项目的采购需求及评</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标准的要求编制项目服务方案</w:t>
      </w:r>
      <w:r>
        <w:rPr>
          <w:rFonts w:hint="eastAsia" w:cs="宋体" w:asciiTheme="minorEastAsia" w:hAnsiTheme="minorEastAsia" w:eastAsiaTheme="minorEastAsia"/>
          <w:sz w:val="24"/>
        </w:rPr>
        <w:t xml:space="preserve">按顺序编写</w:t>
      </w:r>
      <w:r>
        <w:rPr>
          <w:rFonts w:cs="宋体" w:asciiTheme="minorEastAsia" w:hAnsiTheme="minorEastAsia" w:eastAsiaTheme="minorEastAsia"/>
          <w:sz w:val="24"/>
        </w:rPr>
        <w:t xml:space="preserve">，格式自拟</w:t>
      </w:r>
      <w:r/>
    </w:p>
    <w:p>
      <w:pPr>
        <w:jc w:val="center"/>
        <w:rPr>
          <w:rFonts w:asciiTheme="minorEastAsia" w:hAnsiTheme="minorEastAsia" w:eastAsiaTheme="minorEastAsia"/>
        </w:rPr>
      </w:pPr>
      <w:r>
        <w:rPr>
          <w:rFonts w:asciiTheme="minorEastAsia" w:hAnsiTheme="minorEastAsia" w:eastAsiaTheme="minorEastAsia"/>
        </w:rPr>
        <w:br w:type="page" w:clear="all"/>
      </w:r>
      <w:bookmarkStart w:id="302" w:name="_Toc4782"/>
      <w:r/>
      <w:bookmarkStart w:id="303" w:name="_Toc24522"/>
      <w:r/>
      <w:bookmarkStart w:id="304" w:name="_Toc773"/>
      <w:r/>
      <w:bookmarkStart w:id="305" w:name="_Toc19560"/>
      <w:r/>
      <w:bookmarkStart w:id="306" w:name="_Toc194500904"/>
      <w:r>
        <w:rPr>
          <w:rFonts w:cs="宋体" w:asciiTheme="minorEastAsia" w:hAnsiTheme="minorEastAsia" w:eastAsiaTheme="minorEastAsia"/>
          <w:sz w:val="32"/>
        </w:rPr>
        <w:t xml:space="preserve">十</w:t>
      </w: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、投标人认为需要提供的其它资料</w:t>
      </w:r>
      <w:bookmarkEnd w:id="302"/>
      <w:r/>
      <w:bookmarkEnd w:id="303"/>
      <w:r/>
      <w:bookmarkEnd w:id="304"/>
      <w:r/>
      <w:bookmarkEnd w:id="305"/>
      <w:r>
        <w:rPr>
          <w:rFonts w:hint="eastAsia" w:cs="宋体" w:asciiTheme="minorEastAsia" w:hAnsiTheme="minorEastAsia" w:eastAsiaTheme="minorEastAsia"/>
          <w:sz w:val="32"/>
        </w:rPr>
        <w:t xml:space="preserve">（如有）</w:t>
      </w:r>
      <w:bookmarkEnd w:id="306"/>
      <w:r/>
      <w:r/>
    </w:p>
    <w:p>
      <w:pPr>
        <w:jc w:val="center"/>
        <w:rPr>
          <w:rFonts w:asciiTheme="minorEastAsia" w:hAnsiTheme="minorEastAsia" w:eastAsiaTheme="minorEastAsia"/>
        </w:rPr>
      </w:pPr>
      <w:r>
        <w:rPr>
          <w:rFonts w:cs="宋体" w:asciiTheme="minorEastAsia" w:hAnsiTheme="minorEastAsia" w:eastAsiaTheme="minorEastAsia"/>
          <w:sz w:val="28"/>
        </w:rPr>
        <w:t xml:space="preserve">（评分或招标文件中要求提供的材料，格式自拟）</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cs="仿宋" w:asciiTheme="minorEastAsia" w:hAnsiTheme="minorEastAsia" w:eastAsiaTheme="minorEastAsia"/>
          <w:b/>
          <w:bCs/>
          <w:sz w:val="32"/>
          <w:szCs w:val="32"/>
        </w:rPr>
      </w:pPr>
      <w:r/>
      <w:bookmarkStart w:id="307" w:name="_Toc17176"/>
      <w:r>
        <w:rPr>
          <w:rFonts w:hint="eastAsia" w:cs="仿宋" w:asciiTheme="minorEastAsia" w:hAnsiTheme="minorEastAsia" w:eastAsiaTheme="minorEastAsia"/>
          <w:b/>
          <w:bCs/>
          <w:sz w:val="32"/>
          <w:szCs w:val="32"/>
        </w:rPr>
        <w:t xml:space="preserve">质疑函范本</w:t>
      </w:r>
      <w:bookmarkEnd w:id="307"/>
      <w:r/>
      <w:r/>
    </w:p>
    <w:p>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质疑事项1：</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质疑事项2</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四、与质疑事项相关的质疑请求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签字(签章)：                   </w:t>
      </w:r>
      <w:r>
        <w:rPr>
          <w:rFonts w:hint="eastAsia" w:asciiTheme="minorEastAsia" w:hAnsiTheme="minorEastAsia" w:eastAsiaTheme="minorEastAsia"/>
          <w:sz w:val="24"/>
        </w:rPr>
        <w:t xml:space="preserve">电子公章</w:t>
      </w:r>
      <w:r>
        <w:rPr>
          <w:rFonts w:hint="eastAsia" w:asciiTheme="minorEastAsia" w:hAnsiTheme="minorEastAsia" w:eastAsiaTheme="minorEastAsia"/>
          <w:sz w:val="24"/>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日期：    </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质疑函制作说明：</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2.质疑供应商若委托代理人进行质疑的，</w:t>
      </w:r>
      <w:r>
        <w:rPr>
          <w:rFonts w:hint="eastAsia" w:asciiTheme="minorEastAsia" w:hAnsiTheme="minorEastAsia" w:eastAsiaTheme="minorEastAsia"/>
          <w:sz w:val="24"/>
        </w:rPr>
        <w:t xml:space="preserve">质疑函应按</w:t>
      </w:r>
      <w:r>
        <w:rPr>
          <w:rFonts w:hint="eastAsia" w:asciiTheme="minorEastAsia" w:hAnsiTheme="minorEastAsia" w:eastAsiaTheme="minorEastAsia"/>
          <w:sz w:val="24"/>
        </w:rPr>
        <w:t xml:space="preserve">要求列明“授权代表”的有关内容，并在附件中提交由质疑</w:t>
      </w:r>
      <w:r>
        <w:rPr>
          <w:rFonts w:hint="eastAsia" w:cs="宋体" w:asciiTheme="minorEastAsia" w:hAnsiTheme="minorEastAsia" w:eastAsiaTheme="minorEastAsia"/>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6.质疑供应商为自然人的，</w:t>
      </w:r>
      <w:r>
        <w:rPr>
          <w:rFonts w:hint="eastAsia" w:asciiTheme="minorEastAsia" w:hAnsiTheme="minorEastAsia" w:eastAsiaTheme="minorEastAsia"/>
          <w:sz w:val="24"/>
        </w:rPr>
        <w:t xml:space="preserve">质疑函应由</w:t>
      </w:r>
      <w:r>
        <w:rPr>
          <w:rFonts w:hint="eastAsia" w:asciiTheme="minorEastAsia" w:hAnsiTheme="minorEastAsia" w:eastAsiaTheme="minorEastAsia"/>
          <w:sz w:val="24"/>
        </w:rPr>
        <w:t xml:space="preserve">本人签字；质疑供应商为法人或者其他组织的，</w:t>
      </w:r>
      <w:r>
        <w:rPr>
          <w:rFonts w:hint="eastAsia" w:asciiTheme="minorEastAsia" w:hAnsiTheme="minorEastAsia" w:eastAsiaTheme="minorEastAsia"/>
          <w:sz w:val="24"/>
        </w:rPr>
        <w:t xml:space="preserve">质疑函应由</w:t>
      </w:r>
      <w:r>
        <w:rPr>
          <w:rFonts w:hint="eastAsia" w:asciiTheme="minorEastAsia" w:hAnsiTheme="minorEastAsia" w:eastAsiaTheme="minorEastAsia"/>
          <w:sz w:val="24"/>
        </w:rPr>
        <w:t xml:space="preserve">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rFonts w:hint="eastAsia"/>
      </w:rPr>
      <w:t xml:space="preserve">第</w:t>
    </w:r>
    <w:r>
      <w:fldChar w:fldCharType="begin"/>
    </w:r>
    <w:r>
      <w:rPr>
        <w:rStyle w:val="910"/>
      </w:rPr>
      <w:instrText xml:space="preserve"> PAGE </w:instrText>
    </w:r>
    <w:r>
      <w:fldChar w:fldCharType="separate"/>
    </w:r>
    <w:r>
      <w:rPr>
        <w:rStyle w:val="910"/>
      </w:rPr>
      <w:t xml:space="preserve">22</w:t>
    </w:r>
    <w:r>
      <w:fldChar w:fldCharType="end"/>
    </w:r>
    <w:r>
      <w:rPr>
        <w:rStyle w:val="910"/>
        <w:rFonts w:hint="eastAsia"/>
      </w:rPr>
      <w:t xml:space="preserve">页，共</w:t>
    </w:r>
    <w:r>
      <w:fldChar w:fldCharType="begin"/>
    </w:r>
    <w:r>
      <w:rPr>
        <w:rStyle w:val="910"/>
      </w:rPr>
      <w:instrText xml:space="preserve"> NUMPAGES </w:instrText>
    </w:r>
    <w:r>
      <w:fldChar w:fldCharType="separate"/>
    </w:r>
    <w:r>
      <w:rPr>
        <w:rStyle w:val="910"/>
      </w:rPr>
      <w:t xml:space="preserve">61</w:t>
    </w:r>
    <w:r>
      <w:fldChar w:fldCharType="end"/>
    </w:r>
    <w:r>
      <w:rPr>
        <w:rStyle w:val="910"/>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rPr>
        <w:rFonts w:hint="eastAsia"/>
      </w:rPr>
      <w:t xml:space="preserve">第</w:t>
    </w:r>
    <w:r>
      <w:fldChar w:fldCharType="begin"/>
    </w:r>
    <w:r>
      <w:rPr>
        <w:rStyle w:val="910"/>
      </w:rPr>
      <w:instrText xml:space="preserve"> PAGE </w:instrText>
    </w:r>
    <w:r>
      <w:fldChar w:fldCharType="separate"/>
    </w:r>
    <w:r>
      <w:rPr>
        <w:rStyle w:val="910"/>
      </w:rPr>
      <w:t xml:space="preserve">1</w:t>
    </w:r>
    <w:r>
      <w:fldChar w:fldCharType="end"/>
    </w:r>
    <w:r>
      <w:rPr>
        <w:rStyle w:val="910"/>
        <w:rFonts w:hint="eastAsia"/>
      </w:rPr>
      <w:t xml:space="preserve">页，共</w:t>
    </w:r>
    <w:r>
      <w:fldChar w:fldCharType="begin"/>
    </w:r>
    <w:r>
      <w:rPr>
        <w:rStyle w:val="910"/>
      </w:rPr>
      <w:instrText xml:space="preserve"> NUMPAGES </w:instrText>
    </w:r>
    <w:r>
      <w:fldChar w:fldCharType="separate"/>
    </w:r>
    <w:r>
      <w:rPr>
        <w:rStyle w:val="910"/>
      </w:rPr>
      <w:t xml:space="preserve">1</w:t>
    </w:r>
    <w:r>
      <w:fldChar w:fldCharType="end"/>
    </w:r>
    <w:r>
      <w:rPr>
        <w:rStyle w:val="910"/>
        <w:rFonts w:hint="eastAsia"/>
      </w:rPr>
      <w:t xml:space="preserve">页</w:t>
    </w:r>
    <w:r/>
  </w:p>
  <w:p>
    <w:pPr>
      <w:pStyle w:val="89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93"/>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1"/>
                          </w:pPr>
                          <w:r>
                            <w:fldChar w:fldCharType="begin"/>
                          </w:r>
                          <w:r>
                            <w:instrText xml:space="preserve"> PAGE  \* MERGEFORMAT </w:instrText>
                          </w:r>
                          <w:r>
                            <w:fldChar w:fldCharType="separate"/>
                          </w:r>
                          <w:r>
                            <w:t xml:space="preserve">46</w:t>
                          </w:r>
                          <w:r>
                            <w:fldChar w:fldCharType="end"/>
                          </w:r>
                          <w:r>
                            <w:t xml:space="preserve"> / </w:t>
                          </w:r>
                          <w:fldSimple w:instr="NUMPAGES \* MERGEFORMAT">
                            <w:r>
                              <w:t xml:space="preserve">61</w:t>
                            </w:r>
                          </w:fldSimple>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1"/>
                    </w:pPr>
                    <w:r>
                      <w:fldChar w:fldCharType="begin"/>
                    </w:r>
                    <w:r>
                      <w:instrText xml:space="preserve"> PAGE  \* MERGEFORMAT </w:instrText>
                    </w:r>
                    <w:r>
                      <w:fldChar w:fldCharType="separate"/>
                    </w:r>
                    <w:r>
                      <w:t xml:space="preserve">46</w:t>
                    </w:r>
                    <w:r>
                      <w:fldChar w:fldCharType="end"/>
                    </w:r>
                    <w:r>
                      <w:t xml:space="preserve"> / </w:t>
                    </w:r>
                    <w:fldSimple w:instr="NUMPAGES \* MERGEFORMAT">
                      <w:r>
                        <w:t xml:space="preserve">61</w:t>
                      </w:r>
                    </w:fldSimple>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Ind w:w="7054" w:type="dxa"/>
      <w:tblLook w:val="04A0" w:firstRow="1" w:lastRow="0" w:firstColumn="1" w:lastColumn="0" w:noHBand="0" w:noVBand="1"/>
    </w:tblPr>
    <w:tblGrid>
      <w:gridCol w:w="1369"/>
      <w:gridCol w:w="1498"/>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94"/>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3"/>
      <w:isLgl w:val="false"/>
      <w:suff w:val="tab"/>
      <w:lvlText w:val="%1.%2."/>
      <w:lvlJc w:val="left"/>
      <w:pPr>
        <w:ind w:left="747" w:hanging="567"/>
        <w:tabs>
          <w:tab w:val="left" w:pos="747" w:leader="none"/>
        </w:tabs>
      </w:pPr>
      <w:rPr>
        <w:rFonts w:cs="Times New Roman"/>
      </w:rPr>
    </w:lvl>
    <w:lvl w:ilvl="2">
      <w:start w:val="1"/>
      <w:numFmt w:val="decimal"/>
      <w:pStyle w:val="864"/>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62"/>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6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7"/>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1" w:default="1">
    <w:name w:val="Normal"/>
    <w:next w:val="874"/>
    <w:qFormat/>
    <w:pPr>
      <w:jc w:val="both"/>
      <w:spacing w:after="160" w:line="278" w:lineRule="auto"/>
      <w:widowControl w:val="off"/>
    </w:pPr>
    <w:rPr>
      <w:sz w:val="21"/>
      <w:szCs w:val="24"/>
    </w:rPr>
  </w:style>
  <w:style w:type="paragraph" w:styleId="862">
    <w:name w:val="Heading 1"/>
    <w:basedOn w:val="861"/>
    <w:next w:val="861"/>
    <w:link w:val="916"/>
    <w:uiPriority w:val="9"/>
    <w:qFormat/>
    <w:pPr>
      <w:numPr>
        <w:numId w:val="1"/>
      </w:numPr>
      <w:keepNext/>
      <w:outlineLvl w:val="0"/>
    </w:pPr>
    <w:rPr>
      <w:rFonts w:eastAsia="黑体"/>
      <w:b/>
      <w:sz w:val="28"/>
      <w:szCs w:val="20"/>
    </w:rPr>
  </w:style>
  <w:style w:type="paragraph" w:styleId="863">
    <w:name w:val="Heading 2"/>
    <w:basedOn w:val="861"/>
    <w:next w:val="861"/>
    <w:link w:val="917"/>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64">
    <w:name w:val="Heading 3"/>
    <w:basedOn w:val="861"/>
    <w:next w:val="875"/>
    <w:link w:val="918"/>
    <w:uiPriority w:val="9"/>
    <w:qFormat/>
    <w:pPr>
      <w:numPr>
        <w:ilvl w:val="2"/>
        <w:numId w:val="2"/>
      </w:numPr>
      <w:jc w:val="center"/>
      <w:keepNext/>
      <w:spacing w:line="400" w:lineRule="exact"/>
      <w:outlineLvl w:val="2"/>
    </w:pPr>
    <w:rPr>
      <w:rFonts w:ascii="仿宋_GB2312" w:eastAsia="仿宋_GB2312"/>
      <w:sz w:val="32"/>
      <w:szCs w:val="20"/>
    </w:rPr>
  </w:style>
  <w:style w:type="paragraph" w:styleId="865">
    <w:name w:val="Heading 4"/>
    <w:basedOn w:val="861"/>
    <w:next w:val="861"/>
    <w:link w:val="919"/>
    <w:uiPriority w:val="9"/>
    <w:qFormat/>
    <w:pPr>
      <w:keepLines/>
      <w:keepNext/>
      <w:spacing w:before="280" w:after="290" w:line="376" w:lineRule="auto"/>
      <w:outlineLvl w:val="3"/>
    </w:pPr>
    <w:rPr>
      <w:rFonts w:ascii="Cambria" w:hAnsi="Cambria"/>
      <w:b/>
      <w:bCs/>
      <w:sz w:val="28"/>
      <w:szCs w:val="28"/>
    </w:rPr>
  </w:style>
  <w:style w:type="paragraph" w:styleId="866">
    <w:name w:val="Heading 5"/>
    <w:basedOn w:val="861"/>
    <w:next w:val="861"/>
    <w:link w:val="920"/>
    <w:uiPriority w:val="9"/>
    <w:qFormat/>
    <w:pPr>
      <w:keepLines/>
      <w:keepNext/>
      <w:spacing w:before="280" w:after="290" w:line="376" w:lineRule="auto"/>
      <w:outlineLvl w:val="4"/>
    </w:pPr>
    <w:rPr>
      <w:b/>
      <w:bCs/>
      <w:sz w:val="28"/>
      <w:szCs w:val="28"/>
    </w:rPr>
  </w:style>
  <w:style w:type="paragraph" w:styleId="867">
    <w:name w:val="Heading 6"/>
    <w:basedOn w:val="861"/>
    <w:next w:val="861"/>
    <w:link w:val="921"/>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22"/>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23"/>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24"/>
    <w:uiPriority w:val="9"/>
    <w:unhideWhenUsed/>
    <w:qFormat/>
    <w:pPr>
      <w:keepLines/>
      <w:keepNext/>
      <w:spacing w:before="320" w:after="200"/>
      <w:outlineLvl w:val="8"/>
    </w:pPr>
    <w:rPr>
      <w:rFonts w:ascii="Arial" w:hAnsi="Arial" w:eastAsia="Arial" w:cs="Arial"/>
      <w:i/>
      <w:iCs/>
      <w:szCs w:val="21"/>
    </w:rPr>
  </w:style>
  <w:style w:type="character" w:styleId="871" w:default="1">
    <w:name w:val="Default Paragraph Font"/>
    <w:uiPriority w:val="1"/>
    <w:semiHidden/>
    <w:unhideWhenUsed/>
  </w:style>
  <w:style w:type="table" w:styleId="872" w:default="1">
    <w:name w:val="Normal Table"/>
    <w:uiPriority w:val="99"/>
    <w:semiHidden/>
    <w:unhideWhenUsed/>
    <w:tblPr>
      <w:tblInd w:w="0" w:type="dxa"/>
      <w:tblCellMar>
        <w:left w:w="108" w:type="dxa"/>
        <w:top w:w="0" w:type="dxa"/>
        <w:right w:w="108" w:type="dxa"/>
        <w:bottom w:w="0" w:type="dxa"/>
      </w:tblCellMar>
    </w:tblPr>
  </w:style>
  <w:style w:type="numbering" w:styleId="873" w:default="1">
    <w:name w:val="No List"/>
    <w:uiPriority w:val="99"/>
    <w:semiHidden/>
    <w:unhideWhenUsed/>
  </w:style>
  <w:style w:type="paragraph" w:styleId="874" w:customStyle="1">
    <w:name w:val="正文文本缩进1"/>
    <w:basedOn w:val="861"/>
    <w:next w:val="861"/>
    <w:unhideWhenUsed/>
    <w:qFormat/>
    <w:pPr>
      <w:ind w:left="420"/>
      <w:spacing w:after="120"/>
    </w:pPr>
  </w:style>
  <w:style w:type="paragraph" w:styleId="875">
    <w:name w:val="Normal Indent"/>
    <w:basedOn w:val="861"/>
    <w:uiPriority w:val="99"/>
    <w:qFormat/>
    <w:pPr>
      <w:ind w:firstLine="420"/>
      <w:jc w:val="left"/>
      <w:widowControl/>
    </w:pPr>
    <w:rPr>
      <w:sz w:val="20"/>
      <w:szCs w:val="20"/>
    </w:rPr>
  </w:style>
  <w:style w:type="paragraph" w:styleId="876">
    <w:name w:val="toc 7"/>
    <w:basedOn w:val="861"/>
    <w:next w:val="861"/>
    <w:uiPriority w:val="39"/>
    <w:unhideWhenUsed/>
    <w:qFormat/>
    <w:pPr>
      <w:ind w:left="1701"/>
      <w:spacing w:after="57"/>
    </w:pPr>
  </w:style>
  <w:style w:type="paragraph" w:styleId="877">
    <w:name w:val="Caption"/>
    <w:basedOn w:val="861"/>
    <w:next w:val="861"/>
    <w:uiPriority w:val="35"/>
    <w:semiHidden/>
    <w:unhideWhenUsed/>
    <w:qFormat/>
    <w:pPr>
      <w:spacing w:line="276" w:lineRule="auto"/>
    </w:pPr>
    <w:rPr>
      <w:b/>
      <w:bCs/>
      <w:color w:val="4f81bd" w:themeColor="accent1"/>
      <w:sz w:val="18"/>
      <w:szCs w:val="18"/>
    </w:rPr>
  </w:style>
  <w:style w:type="paragraph" w:styleId="878">
    <w:name w:val="index 5"/>
    <w:basedOn w:val="861"/>
    <w:next w:val="861"/>
    <w:uiPriority w:val="99"/>
    <w:semiHidden/>
    <w:unhideWhenUsed/>
    <w:pPr>
      <w:ind w:left="800"/>
    </w:pPr>
  </w:style>
  <w:style w:type="paragraph" w:styleId="879">
    <w:name w:val="annotation text"/>
    <w:basedOn w:val="861"/>
    <w:link w:val="925"/>
    <w:uiPriority w:val="99"/>
    <w:unhideWhenUsed/>
    <w:qFormat/>
    <w:pPr>
      <w:jc w:val="left"/>
    </w:pPr>
  </w:style>
  <w:style w:type="paragraph" w:styleId="880">
    <w:name w:val="Body Text 3"/>
    <w:basedOn w:val="861"/>
    <w:link w:val="926"/>
    <w:uiPriority w:val="99"/>
    <w:qFormat/>
    <w:pPr>
      <w:jc w:val="left"/>
      <w:spacing w:line="300" w:lineRule="auto"/>
      <w:widowControl/>
    </w:pPr>
    <w:rPr>
      <w:sz w:val="16"/>
      <w:szCs w:val="16"/>
    </w:rPr>
  </w:style>
  <w:style w:type="paragraph" w:styleId="881">
    <w:name w:val="Body Text"/>
    <w:basedOn w:val="861"/>
    <w:next w:val="861"/>
    <w:link w:val="927"/>
    <w:uiPriority w:val="99"/>
    <w:qFormat/>
    <w:pPr>
      <w:spacing w:after="120"/>
    </w:pPr>
    <w:rPr>
      <w:sz w:val="24"/>
    </w:rPr>
  </w:style>
  <w:style w:type="paragraph" w:styleId="882">
    <w:name w:val="Body Text Indent"/>
    <w:basedOn w:val="861"/>
    <w:link w:val="928"/>
    <w:uiPriority w:val="99"/>
    <w:qFormat/>
    <w:pPr>
      <w:ind w:firstLine="420"/>
    </w:pPr>
    <w:rPr>
      <w:sz w:val="24"/>
      <w:shd w:val="pct10" w:color="auto" w:fill="ffffff"/>
    </w:rPr>
  </w:style>
  <w:style w:type="paragraph" w:styleId="883">
    <w:name w:val="Block Text"/>
    <w:basedOn w:val="861"/>
    <w:uiPriority w:val="99"/>
    <w:qFormat/>
    <w:pPr>
      <w:ind w:left="113" w:right="113"/>
      <w:jc w:val="center"/>
    </w:pPr>
    <w:rPr>
      <w:b/>
      <w:bCs/>
      <w:sz w:val="18"/>
      <w:szCs w:val="20"/>
    </w:rPr>
  </w:style>
  <w:style w:type="paragraph" w:styleId="884">
    <w:name w:val="index 4"/>
    <w:basedOn w:val="861"/>
    <w:next w:val="861"/>
    <w:uiPriority w:val="99"/>
    <w:unhideWhenUsed/>
    <w:qFormat/>
    <w:pPr>
      <w:ind w:left="600"/>
    </w:pPr>
    <w:rPr>
      <w:rFonts w:ascii="Calibri" w:hAnsi="Calibri" w:eastAsia="Arial" w:cs="Arial"/>
      <w:szCs w:val="22"/>
    </w:rPr>
  </w:style>
  <w:style w:type="paragraph" w:styleId="885">
    <w:name w:val="toc 5"/>
    <w:basedOn w:val="861"/>
    <w:next w:val="861"/>
    <w:uiPriority w:val="39"/>
    <w:unhideWhenUsed/>
    <w:qFormat/>
    <w:pPr>
      <w:ind w:left="1134"/>
      <w:spacing w:after="57"/>
    </w:pPr>
  </w:style>
  <w:style w:type="paragraph" w:styleId="886">
    <w:name w:val="toc 3"/>
    <w:basedOn w:val="861"/>
    <w:next w:val="861"/>
    <w:uiPriority w:val="39"/>
    <w:unhideWhenUsed/>
    <w:qFormat/>
    <w:pPr>
      <w:ind w:left="567"/>
      <w:spacing w:after="57"/>
    </w:pPr>
  </w:style>
  <w:style w:type="paragraph" w:styleId="887">
    <w:name w:val="Plain Text"/>
    <w:basedOn w:val="861"/>
    <w:link w:val="929"/>
    <w:uiPriority w:val="99"/>
    <w:qFormat/>
    <w:rPr>
      <w:rFonts w:ascii="宋体" w:hAnsi="Courier New"/>
      <w:szCs w:val="21"/>
    </w:rPr>
  </w:style>
  <w:style w:type="paragraph" w:styleId="888">
    <w:name w:val="toc 8"/>
    <w:basedOn w:val="861"/>
    <w:next w:val="861"/>
    <w:uiPriority w:val="39"/>
    <w:unhideWhenUsed/>
    <w:qFormat/>
    <w:pPr>
      <w:ind w:left="1984"/>
      <w:spacing w:after="57"/>
    </w:pPr>
  </w:style>
  <w:style w:type="paragraph" w:styleId="889">
    <w:name w:val="Date"/>
    <w:basedOn w:val="861"/>
    <w:next w:val="861"/>
    <w:link w:val="930"/>
    <w:uiPriority w:val="99"/>
    <w:qFormat/>
    <w:pPr>
      <w:ind w:left="100"/>
    </w:pPr>
    <w:rPr>
      <w:sz w:val="24"/>
    </w:rPr>
  </w:style>
  <w:style w:type="paragraph" w:styleId="890">
    <w:name w:val="Body Text Indent 2"/>
    <w:basedOn w:val="861"/>
    <w:link w:val="931"/>
    <w:uiPriority w:val="99"/>
    <w:qFormat/>
    <w:pPr>
      <w:ind w:left="420"/>
      <w:spacing w:after="120" w:line="480" w:lineRule="auto"/>
    </w:pPr>
    <w:rPr>
      <w:sz w:val="24"/>
    </w:rPr>
  </w:style>
  <w:style w:type="paragraph" w:styleId="891">
    <w:name w:val="endnote text"/>
    <w:basedOn w:val="861"/>
    <w:link w:val="932"/>
    <w:uiPriority w:val="99"/>
    <w:unhideWhenUsed/>
    <w:qFormat/>
    <w:rPr>
      <w:sz w:val="20"/>
    </w:rPr>
  </w:style>
  <w:style w:type="paragraph" w:styleId="892">
    <w:name w:val="Balloon Text"/>
    <w:basedOn w:val="861"/>
    <w:link w:val="933"/>
    <w:uiPriority w:val="99"/>
    <w:qFormat/>
    <w:rPr>
      <w:sz w:val="18"/>
      <w:szCs w:val="18"/>
    </w:rPr>
  </w:style>
  <w:style w:type="paragraph" w:styleId="893">
    <w:name w:val="Footer"/>
    <w:basedOn w:val="861"/>
    <w:link w:val="934"/>
    <w:uiPriority w:val="99"/>
    <w:qFormat/>
    <w:pPr>
      <w:jc w:val="left"/>
      <w:tabs>
        <w:tab w:val="center" w:pos="4153" w:leader="none"/>
        <w:tab w:val="right" w:pos="8306" w:leader="none"/>
      </w:tabs>
    </w:pPr>
    <w:rPr>
      <w:sz w:val="18"/>
    </w:rPr>
  </w:style>
  <w:style w:type="paragraph" w:styleId="894">
    <w:name w:val="Header"/>
    <w:basedOn w:val="861"/>
    <w:link w:val="935"/>
    <w:uiPriority w:val="99"/>
    <w:qFormat/>
    <w:pPr>
      <w:jc w:val="center"/>
      <w:tabs>
        <w:tab w:val="center" w:pos="4153" w:leader="none"/>
        <w:tab w:val="right" w:pos="8306" w:leader="none"/>
      </w:tabs>
    </w:pPr>
    <w:rPr>
      <w:sz w:val="18"/>
    </w:rPr>
  </w:style>
  <w:style w:type="paragraph" w:styleId="895">
    <w:name w:val="toc 1"/>
    <w:basedOn w:val="861"/>
    <w:next w:val="861"/>
    <w:uiPriority w:val="39"/>
    <w:unhideWhenUsed/>
    <w:qFormat/>
    <w:pPr>
      <w:spacing w:after="57"/>
    </w:pPr>
  </w:style>
  <w:style w:type="paragraph" w:styleId="896">
    <w:name w:val="toc 4"/>
    <w:basedOn w:val="861"/>
    <w:next w:val="861"/>
    <w:uiPriority w:val="39"/>
    <w:unhideWhenUsed/>
    <w:qFormat/>
    <w:pPr>
      <w:ind w:left="850"/>
      <w:spacing w:after="57"/>
    </w:pPr>
  </w:style>
  <w:style w:type="paragraph" w:styleId="897">
    <w:name w:val="Subtitle"/>
    <w:basedOn w:val="861"/>
    <w:next w:val="861"/>
    <w:link w:val="936"/>
    <w:uiPriority w:val="11"/>
    <w:qFormat/>
    <w:pPr>
      <w:spacing w:before="200" w:after="200"/>
    </w:pPr>
    <w:rPr>
      <w:sz w:val="24"/>
    </w:rPr>
  </w:style>
  <w:style w:type="paragraph" w:styleId="898">
    <w:name w:val="footnote text"/>
    <w:basedOn w:val="861"/>
    <w:link w:val="937"/>
    <w:uiPriority w:val="99"/>
    <w:unhideWhenUsed/>
    <w:qFormat/>
    <w:pPr>
      <w:spacing w:after="40"/>
    </w:pPr>
    <w:rPr>
      <w:sz w:val="18"/>
    </w:rPr>
  </w:style>
  <w:style w:type="paragraph" w:styleId="899">
    <w:name w:val="toc 6"/>
    <w:basedOn w:val="861"/>
    <w:next w:val="861"/>
    <w:uiPriority w:val="39"/>
    <w:unhideWhenUsed/>
    <w:qFormat/>
    <w:pPr>
      <w:ind w:left="1417"/>
      <w:spacing w:after="57"/>
    </w:pPr>
  </w:style>
  <w:style w:type="paragraph" w:styleId="900">
    <w:name w:val="Body Text Indent 3"/>
    <w:basedOn w:val="861"/>
    <w:link w:val="938"/>
    <w:uiPriority w:val="99"/>
    <w:qFormat/>
    <w:pPr>
      <w:ind w:firstLine="412"/>
    </w:pPr>
    <w:rPr>
      <w:sz w:val="16"/>
      <w:szCs w:val="16"/>
    </w:rPr>
  </w:style>
  <w:style w:type="paragraph" w:styleId="901">
    <w:name w:val="table of figures"/>
    <w:basedOn w:val="861"/>
    <w:next w:val="861"/>
    <w:uiPriority w:val="99"/>
    <w:unhideWhenUsed/>
    <w:qFormat/>
  </w:style>
  <w:style w:type="paragraph" w:styleId="902">
    <w:name w:val="toc 2"/>
    <w:basedOn w:val="861"/>
    <w:next w:val="861"/>
    <w:uiPriority w:val="39"/>
    <w:unhideWhenUsed/>
    <w:qFormat/>
    <w:pPr>
      <w:ind w:left="283"/>
      <w:spacing w:after="57"/>
    </w:pPr>
  </w:style>
  <w:style w:type="paragraph" w:styleId="903">
    <w:name w:val="toc 9"/>
    <w:basedOn w:val="861"/>
    <w:next w:val="861"/>
    <w:uiPriority w:val="39"/>
    <w:unhideWhenUsed/>
    <w:qFormat/>
    <w:pPr>
      <w:ind w:left="2268"/>
      <w:spacing w:after="57"/>
    </w:pPr>
  </w:style>
  <w:style w:type="paragraph" w:styleId="904">
    <w:name w:val="Normal (Web)"/>
    <w:basedOn w:val="861"/>
    <w:uiPriority w:val="99"/>
    <w:unhideWhenUsed/>
    <w:qFormat/>
    <w:pPr>
      <w:jc w:val="left"/>
      <w:spacing w:before="100" w:beforeAutospacing="1" w:after="100" w:afterAutospacing="1"/>
      <w:widowControl/>
    </w:pPr>
    <w:rPr>
      <w:rFonts w:ascii="宋体" w:hAnsi="宋体" w:cs="宋体"/>
      <w:sz w:val="24"/>
    </w:rPr>
  </w:style>
  <w:style w:type="paragraph" w:styleId="905">
    <w:name w:val="Title"/>
    <w:basedOn w:val="861"/>
    <w:next w:val="861"/>
    <w:link w:val="939"/>
    <w:uiPriority w:val="10"/>
    <w:qFormat/>
    <w:pPr>
      <w:jc w:val="center"/>
      <w:spacing w:before="240" w:after="60"/>
      <w:outlineLvl w:val="0"/>
    </w:pPr>
    <w:rPr>
      <w:rFonts w:ascii="Cambria" w:hAnsi="Cambria" w:eastAsia="Arial" w:cs="Arial"/>
      <w:b/>
      <w:bCs/>
      <w:sz w:val="32"/>
      <w:szCs w:val="32"/>
    </w:rPr>
  </w:style>
  <w:style w:type="paragraph" w:styleId="906">
    <w:name w:val="annotation subject"/>
    <w:basedOn w:val="879"/>
    <w:next w:val="879"/>
    <w:link w:val="940"/>
    <w:uiPriority w:val="99"/>
    <w:unhideWhenUsed/>
    <w:qFormat/>
    <w:rPr>
      <w:b/>
      <w:bCs/>
    </w:rPr>
  </w:style>
  <w:style w:type="table" w:styleId="907">
    <w:name w:val="Table Grid"/>
    <w:basedOn w:val="872"/>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qFormat/>
    <w:rPr>
      <w:b/>
      <w:bCs/>
    </w:rPr>
  </w:style>
  <w:style w:type="character" w:styleId="909">
    <w:name w:val="endnote reference"/>
    <w:uiPriority w:val="99"/>
    <w:unhideWhenUsed/>
    <w:qFormat/>
    <w:rPr>
      <w:vertAlign w:val="superscript"/>
    </w:rPr>
  </w:style>
  <w:style w:type="character" w:styleId="910">
    <w:name w:val="page number"/>
    <w:basedOn w:val="871"/>
    <w:qFormat/>
    <w:rPr>
      <w:rFonts w:cs="Times New Roman"/>
    </w:rPr>
  </w:style>
  <w:style w:type="character" w:styleId="911">
    <w:name w:val="Emphasis"/>
    <w:qFormat/>
    <w:rPr>
      <w:i/>
    </w:rPr>
  </w:style>
  <w:style w:type="character" w:styleId="912">
    <w:name w:val="Hyperlink"/>
    <w:uiPriority w:val="99"/>
    <w:unhideWhenUsed/>
    <w:qFormat/>
    <w:rPr>
      <w:color w:val="0000ff"/>
      <w:u w:val="single"/>
    </w:rPr>
  </w:style>
  <w:style w:type="character" w:styleId="913">
    <w:name w:val="annotation reference"/>
    <w:uiPriority w:val="99"/>
    <w:unhideWhenUsed/>
    <w:qFormat/>
    <w:rPr>
      <w:sz w:val="21"/>
      <w:szCs w:val="21"/>
    </w:rPr>
  </w:style>
  <w:style w:type="character" w:styleId="914">
    <w:name w:val="footnote reference"/>
    <w:uiPriority w:val="99"/>
    <w:unhideWhenUsed/>
    <w:qFormat/>
    <w:rPr>
      <w:vertAlign w:val="superscript"/>
    </w:rPr>
  </w:style>
  <w:style w:type="paragraph" w:styleId="915" w:customStyle="1">
    <w:name w:val="索引 41"/>
    <w:basedOn w:val="861"/>
    <w:next w:val="861"/>
    <w:uiPriority w:val="99"/>
    <w:qFormat/>
    <w:pPr>
      <w:ind w:left="600"/>
    </w:pPr>
    <w:rPr>
      <w:szCs w:val="20"/>
    </w:rPr>
  </w:style>
  <w:style w:type="character" w:styleId="916" w:customStyle="1">
    <w:name w:val="标题 1 字符"/>
    <w:link w:val="862"/>
    <w:uiPriority w:val="9"/>
    <w:qFormat/>
    <w:rPr>
      <w:rFonts w:eastAsia="黑体"/>
      <w:b/>
      <w:sz w:val="28"/>
    </w:rPr>
  </w:style>
  <w:style w:type="character" w:styleId="917" w:customStyle="1">
    <w:name w:val="标题 2 字符"/>
    <w:link w:val="863"/>
    <w:uiPriority w:val="9"/>
    <w:qFormat/>
    <w:rPr>
      <w:rFonts w:ascii="Arial" w:hAnsi="Arial" w:eastAsia="黑体"/>
      <w:sz w:val="24"/>
    </w:rPr>
  </w:style>
  <w:style w:type="character" w:styleId="918" w:customStyle="1">
    <w:name w:val="标题 3 字符"/>
    <w:link w:val="864"/>
    <w:uiPriority w:val="9"/>
    <w:qFormat/>
    <w:rPr>
      <w:rFonts w:ascii="仿宋_GB2312" w:eastAsia="仿宋_GB2312"/>
      <w:sz w:val="32"/>
    </w:rPr>
  </w:style>
  <w:style w:type="character" w:styleId="919" w:customStyle="1">
    <w:name w:val="标题 4 字符"/>
    <w:link w:val="865"/>
    <w:uiPriority w:val="9"/>
    <w:semiHidden/>
    <w:qFormat/>
    <w:rPr>
      <w:rFonts w:ascii="Cambria" w:hAnsi="Cambria" w:eastAsia="宋体" w:cs="Times New Roman"/>
      <w:b/>
      <w:bCs/>
      <w:sz w:val="28"/>
      <w:szCs w:val="28"/>
    </w:rPr>
  </w:style>
  <w:style w:type="character" w:styleId="920" w:customStyle="1">
    <w:name w:val="标题 5 字符"/>
    <w:link w:val="866"/>
    <w:uiPriority w:val="9"/>
    <w:semiHidden/>
    <w:qFormat/>
    <w:rPr>
      <w:rFonts w:cs="Times New Roman"/>
      <w:b/>
      <w:bCs/>
      <w:sz w:val="28"/>
      <w:szCs w:val="28"/>
    </w:rPr>
  </w:style>
  <w:style w:type="character" w:styleId="921" w:customStyle="1">
    <w:name w:val="标题 6 字符"/>
    <w:link w:val="867"/>
    <w:uiPriority w:val="9"/>
    <w:qFormat/>
    <w:rPr>
      <w:rFonts w:ascii="Arial" w:hAnsi="Arial" w:eastAsia="Arial" w:cs="Arial"/>
      <w:b/>
      <w:bCs/>
      <w:sz w:val="22"/>
      <w:szCs w:val="22"/>
    </w:rPr>
  </w:style>
  <w:style w:type="character" w:styleId="922" w:customStyle="1">
    <w:name w:val="标题 7 字符"/>
    <w:link w:val="868"/>
    <w:uiPriority w:val="9"/>
    <w:qFormat/>
    <w:rPr>
      <w:rFonts w:ascii="Arial" w:hAnsi="Arial" w:eastAsia="Arial" w:cs="Arial"/>
      <w:b/>
      <w:bCs/>
      <w:i/>
      <w:iCs/>
      <w:sz w:val="22"/>
      <w:szCs w:val="22"/>
    </w:rPr>
  </w:style>
  <w:style w:type="character" w:styleId="923" w:customStyle="1">
    <w:name w:val="标题 8 字符"/>
    <w:link w:val="869"/>
    <w:uiPriority w:val="9"/>
    <w:qFormat/>
    <w:rPr>
      <w:rFonts w:ascii="Arial" w:hAnsi="Arial" w:eastAsia="Arial" w:cs="Arial"/>
      <w:i/>
      <w:iCs/>
      <w:sz w:val="22"/>
      <w:szCs w:val="22"/>
    </w:rPr>
  </w:style>
  <w:style w:type="character" w:styleId="924" w:customStyle="1">
    <w:name w:val="标题 9 字符"/>
    <w:link w:val="870"/>
    <w:uiPriority w:val="9"/>
    <w:qFormat/>
    <w:rPr>
      <w:rFonts w:ascii="Arial" w:hAnsi="Arial" w:eastAsia="Arial" w:cs="Arial"/>
      <w:i/>
      <w:iCs/>
      <w:sz w:val="21"/>
      <w:szCs w:val="21"/>
    </w:rPr>
  </w:style>
  <w:style w:type="character" w:styleId="925" w:customStyle="1">
    <w:name w:val="批注文字 字符"/>
    <w:link w:val="879"/>
    <w:uiPriority w:val="99"/>
    <w:qFormat/>
    <w:rPr>
      <w:sz w:val="21"/>
      <w:szCs w:val="24"/>
    </w:rPr>
  </w:style>
  <w:style w:type="character" w:styleId="926" w:customStyle="1">
    <w:name w:val="正文文本 3 字符"/>
    <w:link w:val="880"/>
    <w:uiPriority w:val="99"/>
    <w:semiHidden/>
    <w:qFormat/>
    <w:rPr>
      <w:rFonts w:cs="Times New Roman"/>
      <w:sz w:val="16"/>
      <w:szCs w:val="16"/>
    </w:rPr>
  </w:style>
  <w:style w:type="character" w:styleId="927" w:customStyle="1">
    <w:name w:val="正文文本 字符"/>
    <w:link w:val="881"/>
    <w:uiPriority w:val="99"/>
    <w:semiHidden/>
    <w:qFormat/>
    <w:rPr>
      <w:rFonts w:cs="Times New Roman"/>
      <w:sz w:val="24"/>
      <w:szCs w:val="24"/>
    </w:rPr>
  </w:style>
  <w:style w:type="character" w:styleId="928" w:customStyle="1">
    <w:name w:val="正文文本缩进 字符"/>
    <w:link w:val="882"/>
    <w:uiPriority w:val="99"/>
    <w:semiHidden/>
    <w:qFormat/>
    <w:rPr>
      <w:rFonts w:cs="Times New Roman"/>
      <w:sz w:val="24"/>
      <w:szCs w:val="24"/>
    </w:rPr>
  </w:style>
  <w:style w:type="character" w:styleId="929" w:customStyle="1">
    <w:name w:val="纯文本 字符"/>
    <w:link w:val="887"/>
    <w:uiPriority w:val="99"/>
    <w:qFormat/>
    <w:rPr>
      <w:rFonts w:ascii="宋体" w:hAnsi="Courier New" w:eastAsia="宋体" w:cs="Times New Roman"/>
      <w:sz w:val="21"/>
      <w:szCs w:val="21"/>
      <w:lang w:val="en-US" w:eastAsia="zh-CN" w:bidi="ar-SA"/>
    </w:rPr>
  </w:style>
  <w:style w:type="character" w:styleId="930" w:customStyle="1">
    <w:name w:val="日期 字符"/>
    <w:link w:val="889"/>
    <w:uiPriority w:val="99"/>
    <w:semiHidden/>
    <w:qFormat/>
    <w:rPr>
      <w:rFonts w:cs="Times New Roman"/>
      <w:sz w:val="24"/>
      <w:szCs w:val="24"/>
    </w:rPr>
  </w:style>
  <w:style w:type="character" w:styleId="931" w:customStyle="1">
    <w:name w:val="正文文本缩进 2 字符"/>
    <w:link w:val="890"/>
    <w:uiPriority w:val="99"/>
    <w:semiHidden/>
    <w:qFormat/>
    <w:rPr>
      <w:rFonts w:cs="Times New Roman"/>
      <w:sz w:val="24"/>
      <w:szCs w:val="24"/>
    </w:rPr>
  </w:style>
  <w:style w:type="character" w:styleId="932" w:customStyle="1">
    <w:name w:val="尾注文本 字符"/>
    <w:link w:val="891"/>
    <w:uiPriority w:val="99"/>
    <w:qFormat/>
    <w:rPr>
      <w:sz w:val="20"/>
    </w:rPr>
  </w:style>
  <w:style w:type="character" w:styleId="933" w:customStyle="1">
    <w:name w:val="批注框文本 字符"/>
    <w:link w:val="892"/>
    <w:uiPriority w:val="99"/>
    <w:qFormat/>
    <w:rPr>
      <w:rFonts w:cs="Times New Roman"/>
      <w:sz w:val="18"/>
      <w:szCs w:val="18"/>
    </w:rPr>
  </w:style>
  <w:style w:type="character" w:styleId="934" w:customStyle="1">
    <w:name w:val="页脚 字符1"/>
    <w:link w:val="893"/>
    <w:uiPriority w:val="99"/>
    <w:qFormat/>
  </w:style>
  <w:style w:type="character" w:styleId="935" w:customStyle="1">
    <w:name w:val="页眉 字符1"/>
    <w:link w:val="894"/>
    <w:uiPriority w:val="99"/>
    <w:qFormat/>
  </w:style>
  <w:style w:type="character" w:styleId="936" w:customStyle="1">
    <w:name w:val="副标题 字符"/>
    <w:link w:val="897"/>
    <w:uiPriority w:val="11"/>
    <w:qFormat/>
    <w:rPr>
      <w:sz w:val="24"/>
      <w:szCs w:val="24"/>
    </w:rPr>
  </w:style>
  <w:style w:type="character" w:styleId="937" w:customStyle="1">
    <w:name w:val="脚注文本 字符"/>
    <w:link w:val="898"/>
    <w:uiPriority w:val="99"/>
    <w:qFormat/>
    <w:rPr>
      <w:sz w:val="18"/>
    </w:rPr>
  </w:style>
  <w:style w:type="character" w:styleId="938" w:customStyle="1">
    <w:name w:val="正文文本缩进 3 字符"/>
    <w:link w:val="900"/>
    <w:uiPriority w:val="99"/>
    <w:semiHidden/>
    <w:qFormat/>
    <w:rPr>
      <w:rFonts w:cs="Times New Roman"/>
      <w:sz w:val="16"/>
      <w:szCs w:val="16"/>
    </w:rPr>
  </w:style>
  <w:style w:type="character" w:styleId="939" w:customStyle="1">
    <w:name w:val="标题 字符"/>
    <w:link w:val="905"/>
    <w:uiPriority w:val="10"/>
    <w:qFormat/>
    <w:rPr>
      <w:sz w:val="48"/>
      <w:szCs w:val="48"/>
    </w:rPr>
  </w:style>
  <w:style w:type="character" w:styleId="940" w:customStyle="1">
    <w:name w:val="批注主题 字符"/>
    <w:link w:val="906"/>
    <w:uiPriority w:val="99"/>
    <w:semiHidden/>
    <w:qFormat/>
    <w:rPr>
      <w:b/>
      <w:bCs/>
      <w:sz w:val="21"/>
      <w:szCs w:val="24"/>
    </w:rPr>
  </w:style>
  <w:style w:type="table" w:styleId="941" w:customStyle="1">
    <w:name w:val="无格式表格 11"/>
    <w:basedOn w:val="87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无格式表格 21"/>
    <w:basedOn w:val="8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3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customStyle="1">
    <w:name w:val="无格式表格 4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customStyle="1">
    <w:name w:val="无格式表格 51"/>
    <w:basedOn w:val="8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6" w:customStyle="1">
    <w:name w:val="网格表 1 浅色1"/>
    <w:basedOn w:val="87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7" w:customStyle="1">
    <w:name w:val="网格表 21"/>
    <w:basedOn w:val="8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8" w:customStyle="1">
    <w:name w:val="网格表 31"/>
    <w:basedOn w:val="8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网格表 41"/>
    <w:basedOn w:val="87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网格表 5 深色1"/>
    <w:basedOn w:val="8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1" w:customStyle="1">
    <w:name w:val="网格表 6 彩色1"/>
    <w:basedOn w:val="87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2" w:customStyle="1">
    <w:name w:val="网格表 7 彩色1"/>
    <w:basedOn w:val="87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3" w:customStyle="1">
    <w:name w:val="清单表 1 浅色1"/>
    <w:basedOn w:val="87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customStyle="1">
    <w:name w:val="清单表 21"/>
    <w:basedOn w:val="87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5" w:customStyle="1">
    <w:name w:val="清单表 3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清单表 41"/>
    <w:basedOn w:val="8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清单表 5 深色1"/>
    <w:basedOn w:val="87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8" w:customStyle="1">
    <w:name w:val="清单表 6 彩色1"/>
    <w:basedOn w:val="87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9" w:customStyle="1">
    <w:name w:val="清单表 7 彩色1"/>
    <w:basedOn w:val="87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60" w:customStyle="1">
    <w:name w:val="TOC 标题1"/>
    <w:uiPriority w:val="39"/>
    <w:unhideWhenUsed/>
    <w:qFormat/>
    <w:pPr>
      <w:spacing w:after="160" w:line="278" w:lineRule="auto"/>
    </w:pPr>
  </w:style>
  <w:style w:type="paragraph" w:styleId="961" w:customStyle="1">
    <w:name w:val="TOC 标题111"/>
    <w:uiPriority w:val="39"/>
    <w:unhideWhenUsed/>
    <w:qFormat/>
    <w:pPr>
      <w:spacing w:after="160" w:line="278" w:lineRule="auto"/>
    </w:pPr>
  </w:style>
  <w:style w:type="character" w:styleId="962" w:customStyle="1">
    <w:name w:val="Heading 6 Char"/>
    <w:basedOn w:val="871"/>
    <w:uiPriority w:val="9"/>
    <w:qFormat/>
    <w:rPr>
      <w:rFonts w:ascii="Arial" w:hAnsi="Arial" w:eastAsia="Arial" w:cs="Arial"/>
      <w:b/>
      <w:bCs/>
      <w:sz w:val="22"/>
      <w:szCs w:val="22"/>
    </w:rPr>
  </w:style>
  <w:style w:type="character" w:styleId="963" w:customStyle="1">
    <w:name w:val="Heading 7 Char"/>
    <w:basedOn w:val="871"/>
    <w:uiPriority w:val="9"/>
    <w:qFormat/>
    <w:rPr>
      <w:rFonts w:ascii="Arial" w:hAnsi="Arial" w:eastAsia="Arial" w:cs="Arial"/>
      <w:b/>
      <w:bCs/>
      <w:i/>
      <w:iCs/>
      <w:sz w:val="22"/>
      <w:szCs w:val="22"/>
    </w:rPr>
  </w:style>
  <w:style w:type="character" w:styleId="964" w:customStyle="1">
    <w:name w:val="Heading 8 Char"/>
    <w:basedOn w:val="871"/>
    <w:uiPriority w:val="9"/>
    <w:qFormat/>
    <w:rPr>
      <w:rFonts w:ascii="Arial" w:hAnsi="Arial" w:eastAsia="Arial" w:cs="Arial"/>
      <w:i/>
      <w:iCs/>
      <w:sz w:val="22"/>
      <w:szCs w:val="22"/>
    </w:rPr>
  </w:style>
  <w:style w:type="character" w:styleId="965" w:customStyle="1">
    <w:name w:val="Heading 9 Char"/>
    <w:basedOn w:val="871"/>
    <w:uiPriority w:val="9"/>
    <w:qFormat/>
    <w:rPr>
      <w:rFonts w:ascii="Arial" w:hAnsi="Arial" w:eastAsia="Arial" w:cs="Arial"/>
      <w:i/>
      <w:iCs/>
      <w:sz w:val="21"/>
      <w:szCs w:val="21"/>
    </w:rPr>
  </w:style>
  <w:style w:type="character" w:styleId="966" w:customStyle="1">
    <w:name w:val="Header Char"/>
    <w:basedOn w:val="871"/>
    <w:uiPriority w:val="99"/>
    <w:qFormat/>
  </w:style>
  <w:style w:type="character" w:styleId="967" w:customStyle="1">
    <w:name w:val="Caption Char"/>
    <w:uiPriority w:val="99"/>
    <w:qFormat/>
  </w:style>
  <w:style w:type="paragraph" w:styleId="968">
    <w:name w:val="List Paragraph"/>
    <w:basedOn w:val="861"/>
    <w:link w:val="969"/>
    <w:uiPriority w:val="34"/>
    <w:qFormat/>
    <w:pPr>
      <w:contextualSpacing/>
      <w:ind w:left="720"/>
    </w:pPr>
  </w:style>
  <w:style w:type="character" w:styleId="969" w:customStyle="1">
    <w:name w:val="列出段落 字符"/>
    <w:link w:val="968"/>
    <w:uiPriority w:val="34"/>
    <w:qFormat/>
    <w:rPr>
      <w:sz w:val="21"/>
      <w:szCs w:val="24"/>
    </w:rPr>
  </w:style>
  <w:style w:type="paragraph" w:styleId="970">
    <w:name w:val="No Spacing"/>
    <w:uiPriority w:val="99"/>
    <w:qFormat/>
    <w:pPr>
      <w:jc w:val="both"/>
      <w:spacing w:after="160" w:line="278" w:lineRule="auto"/>
      <w:widowControl w:val="off"/>
    </w:pPr>
    <w:rPr>
      <w:sz w:val="21"/>
      <w:szCs w:val="24"/>
    </w:rPr>
  </w:style>
  <w:style w:type="character" w:styleId="971" w:customStyle="1">
    <w:name w:val="Title Char"/>
    <w:uiPriority w:val="10"/>
    <w:qFormat/>
    <w:rPr>
      <w:sz w:val="48"/>
      <w:szCs w:val="48"/>
    </w:rPr>
  </w:style>
  <w:style w:type="character" w:styleId="972" w:customStyle="1">
    <w:name w:val="Subtitle Char"/>
    <w:uiPriority w:val="11"/>
    <w:qFormat/>
    <w:rPr>
      <w:sz w:val="24"/>
      <w:szCs w:val="24"/>
    </w:rPr>
  </w:style>
  <w:style w:type="paragraph" w:styleId="973">
    <w:name w:val="Quote"/>
    <w:basedOn w:val="861"/>
    <w:next w:val="861"/>
    <w:link w:val="974"/>
    <w:uiPriority w:val="29"/>
    <w:qFormat/>
    <w:pPr>
      <w:ind w:left="720" w:right="720"/>
    </w:pPr>
    <w:rPr>
      <w:i/>
    </w:rPr>
  </w:style>
  <w:style w:type="character" w:styleId="974" w:customStyle="1">
    <w:name w:val="引用 字符"/>
    <w:link w:val="973"/>
    <w:uiPriority w:val="29"/>
    <w:qFormat/>
    <w:rPr>
      <w:i/>
    </w:rPr>
  </w:style>
  <w:style w:type="character" w:styleId="975" w:customStyle="1">
    <w:name w:val="Quote Char"/>
    <w:uiPriority w:val="29"/>
    <w:qFormat/>
    <w:rPr>
      <w:i/>
    </w:rPr>
  </w:style>
  <w:style w:type="paragraph" w:styleId="976">
    <w:name w:val="Intense Quote"/>
    <w:basedOn w:val="861"/>
    <w:next w:val="861"/>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字符"/>
    <w:link w:val="976"/>
    <w:uiPriority w:val="30"/>
    <w:qFormat/>
    <w:rPr>
      <w:i/>
    </w:rPr>
  </w:style>
  <w:style w:type="character" w:styleId="978" w:customStyle="1">
    <w:name w:val="Intense Quote Char"/>
    <w:uiPriority w:val="30"/>
    <w:qFormat/>
    <w:rPr>
      <w:i/>
    </w:rPr>
  </w:style>
  <w:style w:type="character" w:styleId="979" w:customStyle="1">
    <w:name w:val="Footnote Text Char"/>
    <w:uiPriority w:val="99"/>
    <w:qFormat/>
    <w:rPr>
      <w:sz w:val="18"/>
    </w:rPr>
  </w:style>
  <w:style w:type="character" w:styleId="980" w:customStyle="1">
    <w:name w:val="Endnote Text Char"/>
    <w:uiPriority w:val="99"/>
    <w:qFormat/>
    <w:rPr>
      <w:sz w:val="20"/>
    </w:rPr>
  </w:style>
  <w:style w:type="paragraph" w:styleId="981" w:customStyle="1">
    <w:name w:val="TOC 标题11"/>
    <w:uiPriority w:val="39"/>
    <w:qFormat/>
    <w:pPr>
      <w:spacing w:after="160" w:line="278" w:lineRule="auto"/>
    </w:pPr>
  </w:style>
  <w:style w:type="paragraph" w:styleId="982" w:customStyle="1">
    <w:name w:val="目录 71"/>
    <w:basedOn w:val="861"/>
    <w:next w:val="861"/>
    <w:uiPriority w:val="39"/>
    <w:unhideWhenUsed/>
    <w:qFormat/>
    <w:pPr>
      <w:ind w:left="1701"/>
      <w:spacing w:after="57"/>
    </w:pPr>
  </w:style>
  <w:style w:type="paragraph" w:styleId="983" w:customStyle="1">
    <w:name w:val="目录 51"/>
    <w:basedOn w:val="861"/>
    <w:next w:val="861"/>
    <w:uiPriority w:val="39"/>
    <w:unhideWhenUsed/>
    <w:qFormat/>
    <w:pPr>
      <w:ind w:left="1134"/>
      <w:spacing w:after="57"/>
    </w:pPr>
  </w:style>
  <w:style w:type="paragraph" w:styleId="984" w:customStyle="1">
    <w:name w:val="目录 31"/>
    <w:basedOn w:val="861"/>
    <w:next w:val="861"/>
    <w:uiPriority w:val="39"/>
    <w:qFormat/>
    <w:pPr>
      <w:ind w:left="840"/>
    </w:pPr>
  </w:style>
  <w:style w:type="paragraph" w:styleId="985" w:customStyle="1">
    <w:name w:val="目录 81"/>
    <w:basedOn w:val="861"/>
    <w:next w:val="861"/>
    <w:uiPriority w:val="39"/>
    <w:unhideWhenUsed/>
    <w:qFormat/>
    <w:pPr>
      <w:ind w:left="1984"/>
      <w:spacing w:after="57"/>
    </w:pPr>
  </w:style>
  <w:style w:type="paragraph" w:styleId="986" w:customStyle="1">
    <w:name w:val="目录 11"/>
    <w:basedOn w:val="861"/>
    <w:next w:val="861"/>
    <w:uiPriority w:val="39"/>
    <w:qFormat/>
  </w:style>
  <w:style w:type="paragraph" w:styleId="987" w:customStyle="1">
    <w:name w:val="目录 41"/>
    <w:basedOn w:val="861"/>
    <w:next w:val="861"/>
    <w:uiPriority w:val="39"/>
    <w:unhideWhenUsed/>
    <w:qFormat/>
    <w:pPr>
      <w:ind w:left="850"/>
      <w:spacing w:after="57"/>
    </w:pPr>
  </w:style>
  <w:style w:type="paragraph" w:styleId="988" w:customStyle="1">
    <w:name w:val="目录 61"/>
    <w:basedOn w:val="861"/>
    <w:next w:val="861"/>
    <w:uiPriority w:val="39"/>
    <w:unhideWhenUsed/>
    <w:qFormat/>
    <w:pPr>
      <w:ind w:left="1417"/>
      <w:spacing w:after="57"/>
    </w:pPr>
  </w:style>
  <w:style w:type="paragraph" w:styleId="989" w:customStyle="1">
    <w:name w:val="目录 21"/>
    <w:basedOn w:val="861"/>
    <w:next w:val="861"/>
    <w:uiPriority w:val="39"/>
    <w:qFormat/>
    <w:pPr>
      <w:ind w:left="420"/>
    </w:pPr>
  </w:style>
  <w:style w:type="paragraph" w:styleId="990" w:customStyle="1">
    <w:name w:val="目录 91"/>
    <w:basedOn w:val="861"/>
    <w:next w:val="861"/>
    <w:uiPriority w:val="39"/>
    <w:unhideWhenUsed/>
    <w:qFormat/>
    <w:pPr>
      <w:ind w:left="2268"/>
      <w:spacing w:after="57"/>
    </w:pPr>
  </w:style>
  <w:style w:type="character" w:styleId="991" w:customStyle="1">
    <w:name w:val="CharAttribute4"/>
    <w:uiPriority w:val="99"/>
    <w:qFormat/>
    <w:rPr>
      <w:rFonts w:ascii="Arial Narrow" w:eastAsia="仿宋_GB2312"/>
      <w:sz w:val="21"/>
    </w:rPr>
  </w:style>
  <w:style w:type="character" w:styleId="992" w:customStyle="1">
    <w:name w:val="mark"/>
    <w:qFormat/>
  </w:style>
  <w:style w:type="character" w:styleId="993">
    <w:name w:val="Placeholder Text"/>
    <w:uiPriority w:val="99"/>
    <w:semiHidden/>
    <w:qFormat/>
    <w:rPr>
      <w:color w:val="808080"/>
    </w:rPr>
  </w:style>
  <w:style w:type="character" w:styleId="994" w:customStyle="1">
    <w:name w:val="Heading 4 Char"/>
    <w:uiPriority w:val="9"/>
    <w:qFormat/>
    <w:rPr>
      <w:rFonts w:ascii="Arial" w:hAnsi="Arial" w:eastAsia="Arial" w:cs="Arial"/>
      <w:b/>
      <w:bCs/>
      <w:sz w:val="26"/>
      <w:szCs w:val="26"/>
    </w:rPr>
  </w:style>
  <w:style w:type="character" w:styleId="995" w:customStyle="1">
    <w:name w:val="bot_zi"/>
    <w:qFormat/>
  </w:style>
  <w:style w:type="character" w:styleId="996" w:customStyle="1">
    <w:name w:val="CharAttribute2"/>
    <w:uiPriority w:val="99"/>
    <w:qFormat/>
    <w:rPr>
      <w:rFonts w:ascii="Times New Roman" w:eastAsia="宋体"/>
      <w:b/>
      <w:sz w:val="21"/>
    </w:rPr>
  </w:style>
  <w:style w:type="character" w:styleId="997" w:customStyle="1">
    <w:name w:val="px121"/>
    <w:uiPriority w:val="99"/>
    <w:qFormat/>
    <w:rPr>
      <w:rFonts w:cs="Times New Roman"/>
      <w:spacing w:val="312"/>
    </w:rPr>
  </w:style>
  <w:style w:type="character" w:styleId="998" w:customStyle="1">
    <w:name w:val="Heading 1 Char"/>
    <w:uiPriority w:val="9"/>
    <w:qFormat/>
    <w:rPr>
      <w:rFonts w:ascii="Arial" w:hAnsi="Arial" w:eastAsia="Arial" w:cs="Arial"/>
      <w:sz w:val="40"/>
      <w:szCs w:val="40"/>
    </w:rPr>
  </w:style>
  <w:style w:type="character" w:styleId="999" w:customStyle="1">
    <w:name w:val="font61"/>
    <w:qFormat/>
    <w:rPr>
      <w:rFonts w:hint="eastAsia" w:ascii="宋体" w:hAnsi="宋体" w:eastAsia="宋体" w:cs="宋体"/>
      <w:color w:val="000000"/>
      <w:sz w:val="24"/>
      <w:szCs w:val="24"/>
      <w:u w:val="none"/>
    </w:rPr>
  </w:style>
  <w:style w:type="character" w:styleId="1000" w:customStyle="1">
    <w:name w:val="页脚 字符"/>
    <w:link w:val="1001"/>
    <w:uiPriority w:val="99"/>
    <w:qFormat/>
    <w:rPr>
      <w:rFonts w:cs="Times New Roman"/>
      <w:sz w:val="18"/>
      <w:szCs w:val="18"/>
    </w:rPr>
  </w:style>
  <w:style w:type="paragraph" w:styleId="1001" w:customStyle="1">
    <w:name w:val="Footer1"/>
    <w:basedOn w:val="861"/>
    <w:link w:val="1000"/>
    <w:qFormat/>
    <w:pPr>
      <w:jc w:val="left"/>
      <w:widowControl/>
      <w:tabs>
        <w:tab w:val="center" w:pos="4153" w:leader="none"/>
        <w:tab w:val="right" w:pos="8306" w:leader="none"/>
      </w:tabs>
    </w:pPr>
    <w:rPr>
      <w:sz w:val="18"/>
      <w:szCs w:val="18"/>
    </w:rPr>
  </w:style>
  <w:style w:type="character" w:styleId="1002" w:customStyle="1">
    <w:name w:val="CharAttribute7"/>
    <w:uiPriority w:val="99"/>
    <w:qFormat/>
    <w:rPr>
      <w:rFonts w:ascii="Times New Roman" w:eastAsia="宋体"/>
      <w:sz w:val="21"/>
    </w:rPr>
  </w:style>
  <w:style w:type="character" w:styleId="1003" w:customStyle="1">
    <w:name w:val="标题一级 Char"/>
    <w:link w:val="1004"/>
    <w:qFormat/>
    <w:rPr>
      <w:rFonts w:ascii="宋体" w:hAnsi="宋体"/>
      <w:b/>
      <w:sz w:val="21"/>
      <w:szCs w:val="21"/>
    </w:rPr>
  </w:style>
  <w:style w:type="paragraph" w:styleId="1004" w:customStyle="1">
    <w:name w:val="标题一级"/>
    <w:basedOn w:val="861"/>
    <w:link w:val="1003"/>
    <w:qFormat/>
    <w:pPr>
      <w:ind w:left="422"/>
    </w:pPr>
    <w:rPr>
      <w:rFonts w:ascii="宋体" w:hAnsi="宋体"/>
      <w:b/>
      <w:szCs w:val="21"/>
    </w:rPr>
  </w:style>
  <w:style w:type="character" w:styleId="1005" w:customStyle="1">
    <w:name w:val="font51"/>
    <w:qFormat/>
    <w:rPr>
      <w:rFonts w:ascii="Calibri" w:hAnsi="Calibri" w:cs="Calibri"/>
      <w:color w:val="000000"/>
      <w:sz w:val="24"/>
      <w:szCs w:val="24"/>
      <w:u w:val="none"/>
    </w:rPr>
  </w:style>
  <w:style w:type="character" w:styleId="1006" w:customStyle="1">
    <w:name w:val="font41"/>
    <w:qFormat/>
    <w:rPr>
      <w:rFonts w:hint="eastAsia" w:ascii="宋体" w:hAnsi="宋体" w:eastAsia="宋体" w:cs="宋体"/>
      <w:color w:val="ff0000"/>
      <w:sz w:val="22"/>
      <w:szCs w:val="22"/>
      <w:u w:val="none"/>
    </w:rPr>
  </w:style>
  <w:style w:type="character" w:styleId="1007" w:customStyle="1">
    <w:name w:val="NormalCharacter1"/>
    <w:semiHidden/>
    <w:qFormat/>
  </w:style>
  <w:style w:type="character" w:styleId="1008" w:customStyle="1">
    <w:name w:val="font31"/>
    <w:basedOn w:val="871"/>
    <w:qFormat/>
    <w:rPr>
      <w:rFonts w:hint="eastAsia" w:ascii="宋体" w:hAnsi="宋体" w:eastAsia="宋体" w:cs="宋体"/>
      <w:color w:val="000000"/>
      <w:sz w:val="24"/>
      <w:szCs w:val="24"/>
      <w:u w:val="none"/>
    </w:rPr>
  </w:style>
  <w:style w:type="character" w:styleId="1009" w:customStyle="1">
    <w:name w:val="Char Char3"/>
    <w:uiPriority w:val="99"/>
    <w:qFormat/>
    <w:rPr>
      <w:rFonts w:ascii="宋体" w:hAnsi="Courier New" w:eastAsia="宋体" w:cs="Times New Roman"/>
      <w:sz w:val="21"/>
      <w:szCs w:val="21"/>
      <w:lang w:val="en-US" w:eastAsia="zh-CN" w:bidi="ar-SA"/>
    </w:rPr>
  </w:style>
  <w:style w:type="character" w:styleId="1010" w:customStyle="1">
    <w:name w:val="CharAttribute9"/>
    <w:uiPriority w:val="99"/>
    <w:qFormat/>
    <w:rPr>
      <w:rFonts w:ascii="Arial" w:eastAsia="宋体"/>
      <w:sz w:val="21"/>
    </w:rPr>
  </w:style>
  <w:style w:type="character" w:styleId="1011" w:customStyle="1">
    <w:name w:val="CharAttribute11"/>
    <w:uiPriority w:val="99"/>
    <w:qFormat/>
    <w:rPr>
      <w:rFonts w:ascii="长城大标宋体" w:eastAsia="Times New Roman"/>
      <w:sz w:val="21"/>
    </w:rPr>
  </w:style>
  <w:style w:type="character" w:styleId="1012" w:customStyle="1">
    <w:name w:val="Heading 2 Char"/>
    <w:uiPriority w:val="9"/>
    <w:qFormat/>
    <w:rPr>
      <w:rFonts w:ascii="Arial" w:hAnsi="Arial" w:eastAsia="Arial" w:cs="Arial"/>
      <w:sz w:val="34"/>
    </w:rPr>
  </w:style>
  <w:style w:type="character" w:styleId="1013" w:customStyle="1">
    <w:name w:val="font01"/>
    <w:qFormat/>
    <w:rPr>
      <w:rFonts w:hint="eastAsia" w:ascii="宋体" w:hAnsi="宋体" w:eastAsia="宋体" w:cs="宋体"/>
      <w:color w:val="000000"/>
      <w:sz w:val="22"/>
      <w:szCs w:val="22"/>
      <w:u w:val="none"/>
    </w:rPr>
  </w:style>
  <w:style w:type="character" w:styleId="1014" w:customStyle="1">
    <w:name w:val="CharAttribute18"/>
    <w:uiPriority w:val="99"/>
    <w:qFormat/>
    <w:rPr>
      <w:rFonts w:ascii="仿宋_GB2312" w:eastAsia="仿宋_GB2312"/>
      <w:sz w:val="24"/>
    </w:rPr>
  </w:style>
  <w:style w:type="character" w:styleId="1015" w:customStyle="1">
    <w:name w:val="bumpedfont20"/>
    <w:qFormat/>
  </w:style>
  <w:style w:type="character" w:styleId="1016" w:customStyle="1">
    <w:name w:val="bumpedfont15"/>
    <w:qFormat/>
  </w:style>
  <w:style w:type="character" w:styleId="1017" w:customStyle="1">
    <w:name w:val="Footer Char"/>
    <w:uiPriority w:val="99"/>
    <w:qFormat/>
  </w:style>
  <w:style w:type="character" w:styleId="1018" w:customStyle="1">
    <w:name w:val="MAICO Bold Zchn"/>
    <w:link w:val="1019"/>
    <w:uiPriority w:val="99"/>
    <w:qFormat/>
    <w:rPr>
      <w:rFonts w:ascii="FrutBold" w:hAnsi="FrutBold" w:cs="Times New Roman"/>
      <w:sz w:val="28"/>
      <w:szCs w:val="28"/>
      <w:lang w:val="en-GB"/>
    </w:rPr>
  </w:style>
  <w:style w:type="paragraph" w:styleId="1019" w:customStyle="1">
    <w:name w:val="MAICO Bold"/>
    <w:basedOn w:val="861"/>
    <w:link w:val="1018"/>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0" w:customStyle="1">
    <w:name w:val="页码1"/>
    <w:qFormat/>
    <w:rPr>
      <w:rFonts w:ascii="Times New Roman" w:hAnsi="Times New Roman" w:eastAsia="宋体" w:cs="Times New Roman"/>
      <w:sz w:val="21"/>
      <w:szCs w:val="24"/>
      <w:lang w:val="en-US" w:eastAsia="zh-CN" w:bidi="ar-SA"/>
    </w:rPr>
  </w:style>
  <w:style w:type="character" w:styleId="1021" w:customStyle="1">
    <w:name w:val="CharAttribute14"/>
    <w:uiPriority w:val="99"/>
    <w:qFormat/>
    <w:rPr>
      <w:rFonts w:ascii="仿宋_GB2312" w:eastAsia="仿宋_GB2312"/>
      <w:sz w:val="21"/>
    </w:rPr>
  </w:style>
  <w:style w:type="character" w:styleId="1022" w:customStyle="1">
    <w:name w:val="页眉 字符"/>
    <w:link w:val="1023"/>
    <w:uiPriority w:val="99"/>
    <w:qFormat/>
    <w:rPr>
      <w:rFonts w:cs="Times New Roman"/>
      <w:sz w:val="18"/>
      <w:szCs w:val="18"/>
    </w:rPr>
  </w:style>
  <w:style w:type="paragraph" w:styleId="1023" w:customStyle="1">
    <w:name w:val="Header1"/>
    <w:basedOn w:val="861"/>
    <w:link w:val="1022"/>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24" w:customStyle="1">
    <w:name w:val="Heading 3 Char"/>
    <w:uiPriority w:val="9"/>
    <w:qFormat/>
    <w:rPr>
      <w:rFonts w:ascii="Arial" w:hAnsi="Arial" w:eastAsia="Arial" w:cs="Arial"/>
      <w:sz w:val="30"/>
      <w:szCs w:val="30"/>
    </w:rPr>
  </w:style>
  <w:style w:type="character" w:styleId="1025" w:customStyle="1">
    <w:name w:val="MAICO light Zchn"/>
    <w:link w:val="1026"/>
    <w:uiPriority w:val="99"/>
    <w:qFormat/>
    <w:rPr>
      <w:rFonts w:ascii="华文仿宋" w:hAnsi="华文仿宋" w:eastAsia="华文仿宋" w:cs="Times New Roman"/>
      <w:b/>
      <w:sz w:val="28"/>
      <w:szCs w:val="28"/>
      <w:lang w:val="en-GB"/>
    </w:rPr>
  </w:style>
  <w:style w:type="paragraph" w:styleId="1026" w:customStyle="1">
    <w:name w:val="MAICO light"/>
    <w:basedOn w:val="861"/>
    <w:link w:val="1025"/>
    <w:uiPriority w:val="99"/>
    <w:qFormat/>
    <w:pPr>
      <w:ind w:firstLine="561"/>
      <w:spacing w:line="360" w:lineRule="auto"/>
      <w:widowControl/>
    </w:pPr>
    <w:rPr>
      <w:rFonts w:ascii="华文仿宋" w:hAnsi="华文仿宋" w:eastAsia="华文仿宋"/>
      <w:b/>
      <w:sz w:val="28"/>
      <w:szCs w:val="28"/>
      <w:lang w:val="en-GB"/>
    </w:rPr>
  </w:style>
  <w:style w:type="character" w:styleId="1027" w:customStyle="1">
    <w:name w:val="font81"/>
    <w:qFormat/>
    <w:rPr>
      <w:rFonts w:ascii="Calibri" w:hAnsi="Calibri" w:cs="Calibri"/>
      <w:color w:val="000000"/>
      <w:sz w:val="22"/>
      <w:szCs w:val="22"/>
      <w:u w:val="none"/>
    </w:rPr>
  </w:style>
  <w:style w:type="character" w:styleId="1028" w:customStyle="1">
    <w:name w:val="CharAttribute12"/>
    <w:uiPriority w:val="99"/>
    <w:qFormat/>
    <w:rPr>
      <w:rFonts w:ascii="Arial Narrow" w:eastAsia="Times New Roman"/>
      <w:sz w:val="21"/>
    </w:rPr>
  </w:style>
  <w:style w:type="character" w:styleId="1029" w:customStyle="1">
    <w:name w:val="font71"/>
    <w:qFormat/>
    <w:rPr>
      <w:rFonts w:hint="eastAsia" w:ascii="宋体" w:hAnsi="宋体" w:eastAsia="宋体" w:cs="宋体"/>
      <w:color w:val="000000"/>
      <w:sz w:val="18"/>
      <w:szCs w:val="18"/>
      <w:u w:val="none"/>
    </w:rPr>
  </w:style>
  <w:style w:type="character" w:styleId="1030" w:customStyle="1">
    <w:name w:val="font11"/>
    <w:basedOn w:val="871"/>
    <w:qFormat/>
    <w:rPr>
      <w:rFonts w:hint="eastAsia" w:ascii="宋体" w:hAnsi="宋体" w:eastAsia="宋体" w:cs="宋体"/>
      <w:color w:val="000000"/>
      <w:sz w:val="21"/>
      <w:szCs w:val="21"/>
      <w:u w:val="none"/>
    </w:rPr>
  </w:style>
  <w:style w:type="character" w:styleId="1031" w:customStyle="1">
    <w:name w:val="font21"/>
    <w:basedOn w:val="871"/>
    <w:qFormat/>
    <w:rPr>
      <w:rFonts w:hint="eastAsia" w:ascii="宋体" w:hAnsi="宋体" w:eastAsia="宋体" w:cs="宋体"/>
      <w:color w:val="0000ff"/>
      <w:sz w:val="21"/>
      <w:szCs w:val="21"/>
      <w:u w:val="none"/>
    </w:rPr>
  </w:style>
  <w:style w:type="character" w:styleId="1032" w:customStyle="1">
    <w:name w:val="Heading 5 Char"/>
    <w:uiPriority w:val="9"/>
    <w:qFormat/>
    <w:rPr>
      <w:rFonts w:ascii="Arial" w:hAnsi="Arial" w:eastAsia="Arial" w:cs="Arial"/>
      <w:b/>
      <w:bCs/>
      <w:sz w:val="24"/>
      <w:szCs w:val="24"/>
    </w:rPr>
  </w:style>
  <w:style w:type="paragraph" w:styleId="1033" w:customStyle="1">
    <w:name w:val="列出段落11"/>
    <w:uiPriority w:val="99"/>
    <w:qFormat/>
    <w:pPr>
      <w:ind w:firstLine="420"/>
      <w:spacing w:after="160" w:line="278" w:lineRule="auto"/>
    </w:pPr>
  </w:style>
  <w:style w:type="paragraph" w:styleId="1034" w:customStyle="1">
    <w:name w:val="ParaAttribute10"/>
    <w:uiPriority w:val="99"/>
    <w:qFormat/>
    <w:pPr>
      <w:ind w:left="491"/>
      <w:jc w:val="both"/>
      <w:spacing w:after="160" w:line="278" w:lineRule="auto"/>
      <w:widowControl w:val="off"/>
    </w:pPr>
    <w:rPr>
      <w:rFonts w:eastAsia="Batang"/>
    </w:rPr>
  </w:style>
  <w:style w:type="paragraph" w:styleId="1035" w:customStyle="1">
    <w:name w:val="页眉1"/>
    <w:basedOn w:val="861"/>
    <w:qFormat/>
    <w:pPr>
      <w:jc w:val="center"/>
      <w:tabs>
        <w:tab w:val="center" w:pos="4153" w:leader="none"/>
        <w:tab w:val="right" w:pos="8306" w:leader="none"/>
      </w:tabs>
      <w:pBdr>
        <w:bottom w:val="single" w:color="000000" w:sz="6" w:space="1"/>
      </w:pBdr>
    </w:pPr>
    <w:rPr>
      <w:sz w:val="18"/>
      <w:szCs w:val="18"/>
    </w:rPr>
  </w:style>
  <w:style w:type="paragraph" w:styleId="1036" w:customStyle="1">
    <w:name w:val="正文文本1"/>
    <w:basedOn w:val="861"/>
    <w:next w:val="861"/>
    <w:qFormat/>
    <w:pPr>
      <w:spacing w:line="60" w:lineRule="auto"/>
    </w:pPr>
    <w:rPr>
      <w:rFonts w:ascii="仿宋_GB2312" w:eastAsia="仿宋_GB2312"/>
      <w:sz w:val="32"/>
    </w:rPr>
  </w:style>
  <w:style w:type="paragraph" w:styleId="1037" w:customStyle="1">
    <w:name w:val="p22"/>
    <w:basedOn w:val="861"/>
    <w:uiPriority w:val="99"/>
    <w:qFormat/>
    <w:pPr>
      <w:ind w:left="720"/>
      <w:jc w:val="left"/>
      <w:spacing w:line="360" w:lineRule="auto"/>
      <w:widowControl/>
    </w:pPr>
    <w:rPr>
      <w:rFonts w:ascii="Verdana" w:hAnsi="Verdana" w:cs="宋体"/>
      <w:sz w:val="24"/>
    </w:rPr>
  </w:style>
  <w:style w:type="paragraph" w:styleId="1038" w:customStyle="1">
    <w:name w:val="列出段落1"/>
    <w:uiPriority w:val="99"/>
    <w:qFormat/>
    <w:pPr>
      <w:ind w:firstLine="420"/>
      <w:spacing w:after="160" w:line="278" w:lineRule="auto"/>
    </w:pPr>
  </w:style>
  <w:style w:type="paragraph" w:styleId="1039"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40" w:customStyle="1">
    <w:name w:val="ParaAttribute22"/>
    <w:uiPriority w:val="99"/>
    <w:qFormat/>
    <w:pPr>
      <w:ind w:left="2340"/>
      <w:jc w:val="both"/>
      <w:spacing w:before="50" w:after="160" w:line="278" w:lineRule="auto"/>
      <w:widowControl w:val="off"/>
    </w:pPr>
    <w:rPr>
      <w:rFonts w:eastAsia="Batang"/>
    </w:rPr>
  </w:style>
  <w:style w:type="paragraph" w:styleId="1041" w:customStyle="1">
    <w:name w:val="页脚1"/>
    <w:basedOn w:val="861"/>
    <w:qFormat/>
    <w:pPr>
      <w:jc w:val="left"/>
      <w:tabs>
        <w:tab w:val="center" w:pos="4153" w:leader="none"/>
        <w:tab w:val="right" w:pos="8306" w:leader="none"/>
      </w:tabs>
    </w:pPr>
    <w:rPr>
      <w:sz w:val="18"/>
      <w:szCs w:val="18"/>
    </w:rPr>
  </w:style>
  <w:style w:type="paragraph" w:styleId="1042" w:customStyle="1">
    <w:name w:val="报告正文"/>
    <w:basedOn w:val="861"/>
    <w:uiPriority w:val="99"/>
    <w:qFormat/>
    <w:pPr>
      <w:ind w:firstLine="567"/>
    </w:pPr>
    <w:rPr>
      <w:rFonts w:ascii="Arial Narrow" w:hAnsi="Arial Narrow" w:eastAsia="仿宋_GB2312"/>
      <w:sz w:val="28"/>
      <w:szCs w:val="20"/>
    </w:rPr>
  </w:style>
  <w:style w:type="paragraph" w:styleId="1043" w:customStyle="1">
    <w:name w:val="s7"/>
    <w:basedOn w:val="861"/>
    <w:qFormat/>
    <w:pPr>
      <w:jc w:val="left"/>
      <w:spacing w:before="100" w:beforeAutospacing="1" w:after="100" w:afterAutospacing="1"/>
      <w:widowControl/>
    </w:pPr>
    <w:rPr>
      <w:rFonts w:ascii="宋体" w:hAnsi="宋体" w:cs="宋体"/>
      <w:sz w:val="24"/>
    </w:rPr>
  </w:style>
  <w:style w:type="paragraph" w:styleId="1044" w:customStyle="1">
    <w:name w:val="列出段落2"/>
    <w:basedOn w:val="861"/>
    <w:uiPriority w:val="34"/>
    <w:qFormat/>
    <w:pPr>
      <w:ind w:firstLine="420"/>
    </w:pPr>
    <w:rPr>
      <w:rFonts w:ascii="Calibri" w:hAnsi="Calibri"/>
      <w:szCs w:val="22"/>
    </w:rPr>
  </w:style>
  <w:style w:type="paragraph" w:styleId="1045" w:customStyle="1">
    <w:name w:val="表格文字"/>
    <w:basedOn w:val="861"/>
    <w:uiPriority w:val="99"/>
    <w:qFormat/>
    <w:pPr>
      <w:spacing w:before="120"/>
    </w:pPr>
    <w:rPr>
      <w:rFonts w:ascii="Arial Narrow" w:hAnsi="Arial Narrow" w:eastAsia="仿宋_GB2312"/>
      <w:sz w:val="24"/>
      <w:szCs w:val="20"/>
    </w:rPr>
  </w:style>
  <w:style w:type="paragraph" w:styleId="1046" w:customStyle="1">
    <w:name w:val="修订1"/>
    <w:uiPriority w:val="99"/>
    <w:unhideWhenUsed/>
    <w:qFormat/>
    <w:pPr>
      <w:spacing w:after="160" w:line="278" w:lineRule="auto"/>
    </w:pPr>
    <w:rPr>
      <w:sz w:val="21"/>
      <w:szCs w:val="24"/>
    </w:rPr>
  </w:style>
  <w:style w:type="paragraph" w:styleId="1047" w:customStyle="1">
    <w:name w:val="Caption1"/>
    <w:basedOn w:val="861"/>
    <w:next w:val="861"/>
    <w:uiPriority w:val="35"/>
    <w:unhideWhenUsed/>
    <w:qFormat/>
    <w:pPr>
      <w:spacing w:line="276" w:lineRule="auto"/>
    </w:pPr>
    <w:rPr>
      <w:b/>
      <w:bCs/>
      <w:color w:val="4f81bd"/>
      <w:sz w:val="18"/>
      <w:szCs w:val="18"/>
    </w:rPr>
  </w:style>
  <w:style w:type="paragraph" w:styleId="1048" w:customStyle="1">
    <w:name w:val="Char"/>
    <w:basedOn w:val="861"/>
    <w:uiPriority w:val="99"/>
    <w:qFormat/>
    <w:rPr>
      <w:sz w:val="30"/>
    </w:rPr>
  </w:style>
  <w:style w:type="paragraph" w:styleId="1049" w:customStyle="1">
    <w:name w:val="s3"/>
    <w:basedOn w:val="861"/>
    <w:qFormat/>
    <w:pPr>
      <w:jc w:val="left"/>
      <w:spacing w:before="100" w:beforeAutospacing="1" w:after="100" w:afterAutospacing="1"/>
      <w:widowControl/>
    </w:pPr>
    <w:rPr>
      <w:rFonts w:ascii="宋体" w:hAnsi="宋体" w:cs="宋体"/>
      <w:sz w:val="24"/>
    </w:rPr>
  </w:style>
  <w:style w:type="paragraph" w:styleId="1050"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51" w:customStyle="1">
    <w:name w:val="样式 标4 + 段前: 0.5 行1"/>
    <w:basedOn w:val="861"/>
    <w:uiPriority w:val="99"/>
    <w:qFormat/>
    <w:pPr>
      <w:tabs>
        <w:tab w:val="left" w:pos="1260" w:leader="none"/>
      </w:tabs>
      <w:outlineLvl w:val="3"/>
    </w:pPr>
    <w:rPr>
      <w:rFonts w:ascii="Arial Narrow" w:hAnsi="Arial Narrow" w:eastAsia="仿宋_GB2312" w:cs="宋体"/>
      <w:sz w:val="28"/>
      <w:szCs w:val="20"/>
    </w:rPr>
  </w:style>
  <w:style w:type="paragraph" w:styleId="1052" w:customStyle="1">
    <w:name w:val="ParaAttribute6"/>
    <w:uiPriority w:val="99"/>
    <w:qFormat/>
    <w:pPr>
      <w:ind w:left="1276"/>
      <w:jc w:val="both"/>
      <w:spacing w:before="50" w:after="160" w:line="278" w:lineRule="auto"/>
      <w:widowControl w:val="off"/>
    </w:pPr>
    <w:rPr>
      <w:rFonts w:eastAsia="Batang"/>
    </w:rPr>
  </w:style>
  <w:style w:type="paragraph" w:styleId="1053" w:customStyle="1">
    <w:name w:val="彩色列表 - 强调文字颜色 11"/>
    <w:basedOn w:val="861"/>
    <w:uiPriority w:val="34"/>
    <w:qFormat/>
    <w:pPr>
      <w:ind w:firstLine="420"/>
    </w:pPr>
    <w:rPr>
      <w:rFonts w:ascii="Calibri" w:hAnsi="Calibri"/>
      <w:szCs w:val="22"/>
    </w:rPr>
  </w:style>
  <w:style w:type="paragraph" w:styleId="1054" w:customStyle="1">
    <w:name w:val="ITB-0"/>
    <w:basedOn w:val="861"/>
    <w:qFormat/>
    <w:pPr>
      <w:jc w:val="center"/>
    </w:pPr>
    <w:rPr>
      <w:b/>
      <w:sz w:val="32"/>
      <w:szCs w:val="20"/>
    </w:rPr>
  </w:style>
  <w:style w:type="paragraph" w:styleId="1055" w:customStyle="1">
    <w:name w:val="Char Char3 Char Char"/>
    <w:basedOn w:val="861"/>
    <w:uiPriority w:val="99"/>
    <w:qFormat/>
    <w:rPr>
      <w:rFonts w:ascii="Tahoma" w:hAnsi="Tahoma"/>
      <w:sz w:val="24"/>
      <w:szCs w:val="20"/>
    </w:rPr>
  </w:style>
  <w:style w:type="paragraph" w:styleId="1056" w:customStyle="1">
    <w:name w:val="Char1"/>
    <w:basedOn w:val="861"/>
    <w:uiPriority w:val="99"/>
    <w:qFormat/>
    <w:rPr>
      <w:sz w:val="24"/>
    </w:rPr>
  </w:style>
  <w:style w:type="paragraph" w:styleId="1057" w:customStyle="1">
    <w:name w:val="ParaAttribute2"/>
    <w:uiPriority w:val="99"/>
    <w:qFormat/>
    <w:pPr>
      <w:jc w:val="both"/>
      <w:spacing w:before="156" w:after="156" w:line="278" w:lineRule="auto"/>
      <w:widowControl w:val="off"/>
    </w:pPr>
    <w:rPr>
      <w:rFonts w:eastAsia="Batang"/>
    </w:rPr>
  </w:style>
  <w:style w:type="paragraph" w:styleId="1058" w:customStyle="1">
    <w:name w:val="List Paragraph1"/>
    <w:basedOn w:val="861"/>
    <w:uiPriority w:val="99"/>
    <w:qFormat/>
    <w:pPr>
      <w:ind w:firstLine="420"/>
    </w:pPr>
    <w:rPr>
      <w:rFonts w:ascii="Calibri" w:hAnsi="Calibri"/>
      <w:szCs w:val="22"/>
    </w:rPr>
  </w:style>
  <w:style w:type="paragraph" w:styleId="1059" w:customStyle="1">
    <w:name w:val="默认段落字体 Para Char Char Char Char"/>
    <w:basedOn w:val="861"/>
    <w:uiPriority w:val="99"/>
    <w:qFormat/>
    <w:rPr>
      <w:szCs w:val="21"/>
    </w:rPr>
  </w:style>
  <w:style w:type="paragraph" w:styleId="1060" w:customStyle="1">
    <w:name w:val="ParaAttribute8"/>
    <w:uiPriority w:val="99"/>
    <w:qFormat/>
    <w:pPr>
      <w:ind w:left="993"/>
      <w:jc w:val="both"/>
      <w:spacing w:before="50" w:after="160" w:line="278" w:lineRule="auto"/>
      <w:widowControl w:val="off"/>
    </w:pPr>
    <w:rPr>
      <w:rFonts w:eastAsia="Batang"/>
    </w:rPr>
  </w:style>
  <w:style w:type="paragraph" w:styleId="1061" w:customStyle="1">
    <w:name w:val="标题二级"/>
    <w:basedOn w:val="861"/>
    <w:qFormat/>
    <w:rPr>
      <w:rFonts w:ascii="宋体" w:hAnsi="宋体"/>
      <w:szCs w:val="21"/>
    </w:rPr>
  </w:style>
  <w:style w:type="paragraph" w:styleId="1062" w:customStyle="1">
    <w:name w:val="段"/>
    <w:basedOn w:val="861"/>
    <w:next w:val="861"/>
    <w:qFormat/>
    <w:pPr>
      <w:ind w:firstLine="200"/>
      <w:widowControl/>
    </w:pPr>
    <w:rPr>
      <w:rFonts w:hint="eastAsia" w:ascii="宋体"/>
      <w:szCs w:val="20"/>
    </w:rPr>
  </w:style>
  <w:style w:type="paragraph" w:styleId="1063" w:customStyle="1">
    <w:name w:val="章标题"/>
    <w:next w:val="861"/>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64" w:customStyle="1">
    <w:name w:val="一级条标题"/>
    <w:basedOn w:val="1063"/>
    <w:next w:val="1062"/>
    <w:qFormat/>
    <w:pPr>
      <w:numPr>
        <w:ilvl w:val="1"/>
        <w:numId w:val="3"/>
      </w:numPr>
      <w:outlineLvl w:val="2"/>
    </w:pPr>
    <w:rPr>
      <w:rFonts w:hAnsi="Times New Roman" w:cs="Arial"/>
      <w:szCs w:val="21"/>
    </w:rPr>
  </w:style>
  <w:style w:type="paragraph" w:styleId="1065" w:customStyle="1">
    <w:name w:val="ParaAttribute7"/>
    <w:uiPriority w:val="99"/>
    <w:qFormat/>
    <w:pPr>
      <w:jc w:val="both"/>
      <w:spacing w:before="50" w:after="160" w:line="278" w:lineRule="auto"/>
      <w:widowControl w:val="off"/>
    </w:pPr>
    <w:rPr>
      <w:rFonts w:eastAsia="Batang"/>
    </w:rPr>
  </w:style>
  <w:style w:type="paragraph" w:styleId="1066" w:customStyle="1">
    <w:name w:val="p0"/>
    <w:qFormat/>
    <w:pPr>
      <w:spacing w:after="160" w:line="278" w:lineRule="auto"/>
    </w:pPr>
    <w:rPr>
      <w:szCs w:val="21"/>
    </w:rPr>
  </w:style>
  <w:style w:type="paragraph" w:styleId="1067" w:customStyle="1">
    <w:name w:val="First Paragraph"/>
    <w:basedOn w:val="881"/>
    <w:next w:val="881"/>
    <w:qFormat/>
  </w:style>
  <w:style w:type="paragraph" w:styleId="1068" w:customStyle="1">
    <w:name w:val="Compact"/>
    <w:basedOn w:val="881"/>
    <w:qFormat/>
    <w:pPr>
      <w:spacing w:before="36" w:after="36"/>
    </w:pPr>
  </w:style>
  <w:style w:type="table" w:styleId="1069" w:customStyle="1">
    <w:name w:val="Bordered &amp; Lined - Accent"/>
    <w:basedOn w:val="872"/>
    <w:uiPriority w:val="99"/>
    <w:qFormat/>
    <w:rPr>
      <w:color w:val="404040"/>
    </w:rPr>
    <w:tblPr/>
  </w:style>
  <w:style w:type="table" w:styleId="1070" w:customStyle="1">
    <w:name w:val="List Table 5 Dark - Accent 4"/>
    <w:basedOn w:val="872"/>
    <w:uiPriority w:val="99"/>
    <w:qFormat/>
    <w:tblPr/>
  </w:style>
  <w:style w:type="table" w:styleId="1071" w:customStyle="1">
    <w:name w:val="Lined - Accent 1"/>
    <w:basedOn w:val="872"/>
    <w:uiPriority w:val="99"/>
    <w:qFormat/>
    <w:rPr>
      <w:color w:val="404040"/>
    </w:rPr>
    <w:tblPr/>
  </w:style>
  <w:style w:type="table" w:styleId="1072" w:customStyle="1">
    <w:name w:val="Bordered - Accent 1"/>
    <w:basedOn w:val="872"/>
    <w:uiPriority w:val="99"/>
    <w:qFormat/>
    <w:tblPr/>
  </w:style>
  <w:style w:type="table" w:styleId="1073" w:customStyle="1">
    <w:name w:val="Grid Table 6 Colorful - Accent 3"/>
    <w:basedOn w:val="872"/>
    <w:uiPriority w:val="99"/>
    <w:qFormat/>
    <w:tblPr/>
  </w:style>
  <w:style w:type="table" w:styleId="1074" w:customStyle="1">
    <w:name w:val="Bordered - Accent 2"/>
    <w:basedOn w:val="872"/>
    <w:uiPriority w:val="99"/>
    <w:qFormat/>
    <w:tblPr/>
  </w:style>
  <w:style w:type="table" w:styleId="1075" w:customStyle="1">
    <w:name w:val="List Table 7 Colorful - Accent 5"/>
    <w:basedOn w:val="872"/>
    <w:uiPriority w:val="99"/>
    <w:qFormat/>
    <w:tblPr/>
  </w:style>
  <w:style w:type="table" w:styleId="1076" w:customStyle="1">
    <w:name w:val="List Table 1 Light - Accent 2"/>
    <w:basedOn w:val="872"/>
    <w:uiPriority w:val="99"/>
    <w:qFormat/>
    <w:tblPr/>
  </w:style>
  <w:style w:type="table" w:styleId="1077" w:customStyle="1">
    <w:name w:val="Grid Table 7 Colorful - Accent 3"/>
    <w:basedOn w:val="872"/>
    <w:uiPriority w:val="99"/>
    <w:qFormat/>
    <w:tblPr/>
  </w:style>
  <w:style w:type="table" w:styleId="1078" w:customStyle="1">
    <w:name w:val="Bordered - Accent 4"/>
    <w:basedOn w:val="872"/>
    <w:uiPriority w:val="99"/>
    <w:qFormat/>
    <w:tblPr/>
  </w:style>
  <w:style w:type="table" w:styleId="1079" w:customStyle="1">
    <w:name w:val="Grid Table 2 - Accent 1"/>
    <w:basedOn w:val="872"/>
    <w:uiPriority w:val="99"/>
    <w:qFormat/>
    <w:tblPr/>
  </w:style>
  <w:style w:type="table" w:styleId="1080" w:customStyle="1">
    <w:name w:val="Bordered &amp; Lined - Accent 6"/>
    <w:basedOn w:val="872"/>
    <w:uiPriority w:val="99"/>
    <w:qFormat/>
    <w:rPr>
      <w:color w:val="404040"/>
    </w:rPr>
    <w:tblPr/>
  </w:style>
  <w:style w:type="table" w:styleId="1081" w:customStyle="1">
    <w:name w:val="Grid Table 1 Light - Accent 5"/>
    <w:basedOn w:val="872"/>
    <w:uiPriority w:val="99"/>
    <w:qFormat/>
    <w:tblPr/>
  </w:style>
  <w:style w:type="table" w:styleId="1082" w:customStyle="1">
    <w:name w:val="Grid Table 5 Dark - Accent 2"/>
    <w:basedOn w:val="872"/>
    <w:uiPriority w:val="99"/>
    <w:qFormat/>
    <w:tblPr/>
  </w:style>
  <w:style w:type="table" w:styleId="1083" w:customStyle="1">
    <w:name w:val="List Table 7 Colorful - Accent 6"/>
    <w:basedOn w:val="872"/>
    <w:uiPriority w:val="99"/>
    <w:qFormat/>
    <w:tblPr/>
  </w:style>
  <w:style w:type="table" w:styleId="1084" w:customStyle="1">
    <w:name w:val="Bordered"/>
    <w:basedOn w:val="872"/>
    <w:uiPriority w:val="99"/>
    <w:qFormat/>
    <w:tblPr/>
  </w:style>
  <w:style w:type="table" w:styleId="1085" w:customStyle="1">
    <w:name w:val="Bordered &amp; Lined - Accent 4"/>
    <w:basedOn w:val="872"/>
    <w:uiPriority w:val="99"/>
    <w:qFormat/>
    <w:rPr>
      <w:color w:val="404040"/>
    </w:rPr>
    <w:tblPr/>
  </w:style>
  <w:style w:type="table" w:styleId="1086" w:customStyle="1">
    <w:name w:val="Grid Table 4 - Accent 3"/>
    <w:basedOn w:val="872"/>
    <w:uiPriority w:val="59"/>
    <w:qFormat/>
    <w:tblPr/>
  </w:style>
  <w:style w:type="table" w:styleId="1087" w:customStyle="1">
    <w:name w:val="List Table 4 - Accent 4"/>
    <w:basedOn w:val="872"/>
    <w:uiPriority w:val="99"/>
    <w:qFormat/>
    <w:tblPr/>
  </w:style>
  <w:style w:type="table" w:styleId="1088" w:customStyle="1">
    <w:name w:val="Grid Table 7 Colorful - Accent 4"/>
    <w:basedOn w:val="872"/>
    <w:uiPriority w:val="99"/>
    <w:qFormat/>
    <w:tblPr/>
  </w:style>
  <w:style w:type="table" w:styleId="1089" w:customStyle="1">
    <w:name w:val="Grid Table 2 - Accent 5"/>
    <w:basedOn w:val="872"/>
    <w:uiPriority w:val="99"/>
    <w:qFormat/>
    <w:tblPr/>
  </w:style>
  <w:style w:type="table" w:styleId="1090" w:customStyle="1">
    <w:name w:val="Bordered - Accent 6"/>
    <w:basedOn w:val="872"/>
    <w:uiPriority w:val="99"/>
    <w:qFormat/>
    <w:tblPr/>
  </w:style>
  <w:style w:type="table" w:styleId="1091" w:customStyle="1">
    <w:name w:val="Grid Table 1 Light - Accent 3"/>
    <w:basedOn w:val="872"/>
    <w:uiPriority w:val="99"/>
    <w:qFormat/>
    <w:tblPr/>
  </w:style>
  <w:style w:type="table" w:styleId="1092" w:customStyle="1">
    <w:name w:val="Grid Table 3 - Accent 2"/>
    <w:basedOn w:val="872"/>
    <w:uiPriority w:val="99"/>
    <w:qFormat/>
    <w:tblPr/>
  </w:style>
  <w:style w:type="table" w:styleId="1093" w:customStyle="1">
    <w:name w:val="Grid Table 5 Dark - Accent 6"/>
    <w:basedOn w:val="872"/>
    <w:uiPriority w:val="99"/>
    <w:qFormat/>
    <w:tblPr/>
  </w:style>
  <w:style w:type="table" w:styleId="1094" w:customStyle="1">
    <w:name w:val="Grid Table 3 - Accent 1"/>
    <w:basedOn w:val="872"/>
    <w:uiPriority w:val="99"/>
    <w:qFormat/>
    <w:tblPr/>
  </w:style>
  <w:style w:type="table" w:styleId="1095" w:customStyle="1">
    <w:name w:val="Bordered &amp; Lined - Accent 2"/>
    <w:basedOn w:val="872"/>
    <w:uiPriority w:val="99"/>
    <w:qFormat/>
    <w:rPr>
      <w:color w:val="404040"/>
    </w:rPr>
    <w:tblPr/>
  </w:style>
  <w:style w:type="table" w:styleId="1096" w:customStyle="1">
    <w:name w:val="Grid Table 3 - Accent 4"/>
    <w:basedOn w:val="872"/>
    <w:uiPriority w:val="99"/>
    <w:qFormat/>
    <w:tblPr/>
  </w:style>
  <w:style w:type="table" w:styleId="1097" w:customStyle="1">
    <w:name w:val="List Table 4 - Accent 2"/>
    <w:basedOn w:val="872"/>
    <w:uiPriority w:val="99"/>
    <w:qFormat/>
    <w:tblPr/>
  </w:style>
  <w:style w:type="table" w:styleId="1098" w:customStyle="1">
    <w:name w:val="List Table 2 - Accent 6"/>
    <w:basedOn w:val="872"/>
    <w:uiPriority w:val="99"/>
    <w:qFormat/>
    <w:tblPr/>
  </w:style>
  <w:style w:type="table" w:styleId="1099" w:customStyle="1">
    <w:name w:val="List Table 3 - Accent 1"/>
    <w:basedOn w:val="872"/>
    <w:uiPriority w:val="99"/>
    <w:qFormat/>
    <w:tblPr/>
  </w:style>
  <w:style w:type="table" w:styleId="1100" w:customStyle="1">
    <w:name w:val="List Table 1 Light - Accent 1"/>
    <w:basedOn w:val="872"/>
    <w:uiPriority w:val="99"/>
    <w:qFormat/>
    <w:tblPr/>
  </w:style>
  <w:style w:type="table" w:styleId="1101" w:customStyle="1">
    <w:name w:val="List Table 5 Dark - Accent 1"/>
    <w:basedOn w:val="872"/>
    <w:uiPriority w:val="99"/>
    <w:qFormat/>
    <w:tblPr/>
  </w:style>
  <w:style w:type="table" w:styleId="1102" w:customStyle="1">
    <w:name w:val="List Table 1 Light - Accent 6"/>
    <w:basedOn w:val="872"/>
    <w:uiPriority w:val="99"/>
    <w:qFormat/>
    <w:tblPr/>
  </w:style>
  <w:style w:type="table" w:styleId="1103" w:customStyle="1">
    <w:name w:val="Grid Table 2 - Accent 3"/>
    <w:basedOn w:val="872"/>
    <w:uiPriority w:val="99"/>
    <w:qFormat/>
    <w:tblPr/>
  </w:style>
  <w:style w:type="table" w:styleId="1104" w:customStyle="1">
    <w:name w:val="List Table 3 - Accent 3"/>
    <w:basedOn w:val="872"/>
    <w:uiPriority w:val="99"/>
    <w:qFormat/>
    <w:tblPr/>
  </w:style>
  <w:style w:type="table" w:styleId="1105" w:customStyle="1">
    <w:name w:val="Grid Table 7 Colorful - Accent 1"/>
    <w:basedOn w:val="872"/>
    <w:uiPriority w:val="99"/>
    <w:qFormat/>
    <w:tblPr/>
  </w:style>
  <w:style w:type="table" w:styleId="1106" w:customStyle="1">
    <w:name w:val="Grid Table 6 Colorful - Accent 4"/>
    <w:basedOn w:val="872"/>
    <w:uiPriority w:val="99"/>
    <w:qFormat/>
    <w:tblPr/>
  </w:style>
  <w:style w:type="table" w:styleId="1107" w:customStyle="1">
    <w:name w:val="Grid Table 5 Dark- Accent 4"/>
    <w:basedOn w:val="872"/>
    <w:uiPriority w:val="99"/>
    <w:qFormat/>
    <w:tblPr/>
  </w:style>
  <w:style w:type="table" w:styleId="1108" w:customStyle="1">
    <w:name w:val="Lined - Accent"/>
    <w:basedOn w:val="872"/>
    <w:uiPriority w:val="99"/>
    <w:qFormat/>
    <w:rPr>
      <w:color w:val="404040"/>
    </w:rPr>
    <w:tblPr/>
  </w:style>
  <w:style w:type="table" w:styleId="1109" w:customStyle="1">
    <w:name w:val="List Table 7 Colorful - Accent 3"/>
    <w:basedOn w:val="872"/>
    <w:uiPriority w:val="99"/>
    <w:qFormat/>
    <w:tblPr/>
  </w:style>
  <w:style w:type="table" w:styleId="1110" w:customStyle="1">
    <w:name w:val="List Table 3 - Accent 4"/>
    <w:basedOn w:val="872"/>
    <w:uiPriority w:val="99"/>
    <w:qFormat/>
    <w:tblPr/>
  </w:style>
  <w:style w:type="table" w:styleId="1111" w:customStyle="1">
    <w:name w:val="List Table 1 Light - Accent 3"/>
    <w:basedOn w:val="872"/>
    <w:uiPriority w:val="99"/>
    <w:qFormat/>
    <w:tblPr/>
  </w:style>
  <w:style w:type="table" w:styleId="1112" w:customStyle="1">
    <w:name w:val="Grid Table 1 Light - Accent 4"/>
    <w:basedOn w:val="872"/>
    <w:uiPriority w:val="99"/>
    <w:qFormat/>
    <w:tblPr/>
  </w:style>
  <w:style w:type="table" w:styleId="1113" w:customStyle="1">
    <w:name w:val="Grid Table 7 Colorful - Accent 5"/>
    <w:basedOn w:val="872"/>
    <w:uiPriority w:val="99"/>
    <w:qFormat/>
    <w:tblPr/>
  </w:style>
  <w:style w:type="table" w:styleId="1114" w:customStyle="1">
    <w:name w:val="List Table 3 - Accent 5"/>
    <w:basedOn w:val="872"/>
    <w:uiPriority w:val="99"/>
    <w:qFormat/>
    <w:tblPr/>
  </w:style>
  <w:style w:type="table" w:styleId="1115" w:customStyle="1">
    <w:name w:val="List Table 2 - Accent 3"/>
    <w:basedOn w:val="872"/>
    <w:uiPriority w:val="99"/>
    <w:qFormat/>
    <w:tblPr/>
  </w:style>
  <w:style w:type="table" w:styleId="1116" w:customStyle="1">
    <w:name w:val="List Table 5 Dark - Accent 2"/>
    <w:basedOn w:val="872"/>
    <w:uiPriority w:val="99"/>
    <w:qFormat/>
    <w:tblPr/>
  </w:style>
  <w:style w:type="table" w:styleId="1117" w:customStyle="1">
    <w:name w:val="List Table 6 Colorful - Accent 3"/>
    <w:basedOn w:val="872"/>
    <w:uiPriority w:val="99"/>
    <w:qFormat/>
    <w:tblPr/>
  </w:style>
  <w:style w:type="table" w:styleId="1118" w:customStyle="1">
    <w:name w:val="Lined - Accent 4"/>
    <w:basedOn w:val="872"/>
    <w:uiPriority w:val="99"/>
    <w:qFormat/>
    <w:rPr>
      <w:color w:val="404040"/>
    </w:rPr>
    <w:tblPr/>
  </w:style>
  <w:style w:type="table" w:styleId="1119" w:customStyle="1">
    <w:name w:val="List Table 2 - Accent 1"/>
    <w:basedOn w:val="872"/>
    <w:uiPriority w:val="99"/>
    <w:qFormat/>
    <w:tblPr/>
  </w:style>
  <w:style w:type="table" w:styleId="1120" w:customStyle="1">
    <w:name w:val="Grid Table 1 Light - Accent 6"/>
    <w:basedOn w:val="872"/>
    <w:uiPriority w:val="99"/>
    <w:qFormat/>
    <w:tblPr/>
  </w:style>
  <w:style w:type="table" w:styleId="1121" w:customStyle="1">
    <w:name w:val="Bordered &amp; Lined - Accent 3"/>
    <w:basedOn w:val="872"/>
    <w:uiPriority w:val="99"/>
    <w:qFormat/>
    <w:rPr>
      <w:color w:val="404040"/>
    </w:rPr>
    <w:tblPr/>
  </w:style>
  <w:style w:type="table" w:styleId="1122" w:customStyle="1">
    <w:name w:val="Grid Table 4 - Accent 1"/>
    <w:basedOn w:val="872"/>
    <w:uiPriority w:val="59"/>
    <w:qFormat/>
    <w:tblPr/>
  </w:style>
  <w:style w:type="table" w:styleId="1123" w:customStyle="1">
    <w:name w:val="Grid Table 6 Colorful - Accent 6"/>
    <w:basedOn w:val="872"/>
    <w:uiPriority w:val="99"/>
    <w:qFormat/>
    <w:tblPr/>
  </w:style>
  <w:style w:type="table" w:styleId="1124" w:customStyle="1">
    <w:name w:val="List Table 3 - Accent 2"/>
    <w:basedOn w:val="872"/>
    <w:uiPriority w:val="99"/>
    <w:qFormat/>
    <w:tblPr/>
  </w:style>
  <w:style w:type="table" w:styleId="1125" w:customStyle="1">
    <w:name w:val="List Table 2 - Accent 5"/>
    <w:basedOn w:val="872"/>
    <w:uiPriority w:val="99"/>
    <w:qFormat/>
    <w:tblPr/>
  </w:style>
  <w:style w:type="table" w:styleId="1126" w:customStyle="1">
    <w:name w:val="List Table 7 Colorful - Accent 2"/>
    <w:basedOn w:val="872"/>
    <w:uiPriority w:val="99"/>
    <w:qFormat/>
    <w:tblPr/>
  </w:style>
  <w:style w:type="table" w:styleId="1127" w:customStyle="1">
    <w:name w:val="List Table 6 Colorful - Accent 6"/>
    <w:basedOn w:val="872"/>
    <w:uiPriority w:val="99"/>
    <w:qFormat/>
    <w:tblPr/>
  </w:style>
  <w:style w:type="table" w:styleId="1128" w:customStyle="1">
    <w:name w:val="List Table 2 - Accent 4"/>
    <w:basedOn w:val="872"/>
    <w:uiPriority w:val="99"/>
    <w:qFormat/>
    <w:tblPr/>
  </w:style>
  <w:style w:type="table" w:styleId="1129" w:customStyle="1">
    <w:name w:val="List Table 4 - Accent 3"/>
    <w:basedOn w:val="872"/>
    <w:uiPriority w:val="99"/>
    <w:qFormat/>
    <w:tblPr/>
  </w:style>
  <w:style w:type="table" w:styleId="1130" w:customStyle="1">
    <w:name w:val="Grid Table 2 - Accent 4"/>
    <w:basedOn w:val="872"/>
    <w:uiPriority w:val="99"/>
    <w:qFormat/>
    <w:tblPr/>
  </w:style>
  <w:style w:type="table" w:styleId="1131" w:customStyle="1">
    <w:name w:val="Bordered - Accent 3"/>
    <w:basedOn w:val="872"/>
    <w:uiPriority w:val="99"/>
    <w:qFormat/>
    <w:tblPr/>
  </w:style>
  <w:style w:type="table" w:styleId="1132" w:customStyle="1">
    <w:name w:val="List Table 5 Dark - Accent 6"/>
    <w:basedOn w:val="872"/>
    <w:uiPriority w:val="99"/>
    <w:qFormat/>
    <w:tblPr/>
  </w:style>
  <w:style w:type="table" w:styleId="1133" w:customStyle="1">
    <w:name w:val="List Table 7 Colorful - Accent 1"/>
    <w:basedOn w:val="872"/>
    <w:uiPriority w:val="99"/>
    <w:qFormat/>
    <w:tblPr/>
  </w:style>
  <w:style w:type="table" w:styleId="1134" w:customStyle="1">
    <w:name w:val="Grid Table 4 - Accent 2"/>
    <w:basedOn w:val="872"/>
    <w:uiPriority w:val="59"/>
    <w:qFormat/>
    <w:tblPr/>
  </w:style>
  <w:style w:type="table" w:styleId="1135" w:customStyle="1">
    <w:name w:val="List Table 5 Dark - Accent 5"/>
    <w:basedOn w:val="872"/>
    <w:uiPriority w:val="99"/>
    <w:qFormat/>
    <w:tblPr/>
  </w:style>
  <w:style w:type="table" w:styleId="1136" w:customStyle="1">
    <w:name w:val="List Table 6 Colorful - Accent 4"/>
    <w:basedOn w:val="872"/>
    <w:uiPriority w:val="99"/>
    <w:qFormat/>
    <w:tblPr/>
  </w:style>
  <w:style w:type="table" w:styleId="1137" w:customStyle="1">
    <w:name w:val="Grid Table 1 Light - Accent 1"/>
    <w:basedOn w:val="872"/>
    <w:uiPriority w:val="99"/>
    <w:qFormat/>
    <w:tblPr/>
  </w:style>
  <w:style w:type="table" w:styleId="1138" w:customStyle="1">
    <w:name w:val="List Table 2 - Accent 2"/>
    <w:basedOn w:val="872"/>
    <w:uiPriority w:val="99"/>
    <w:qFormat/>
    <w:tblPr/>
  </w:style>
  <w:style w:type="table" w:styleId="1139" w:customStyle="1">
    <w:name w:val="Bordered - Accent 5"/>
    <w:basedOn w:val="872"/>
    <w:uiPriority w:val="99"/>
    <w:qFormat/>
    <w:tblPr/>
  </w:style>
  <w:style w:type="table" w:styleId="1140" w:customStyle="1">
    <w:name w:val="Grid Table 7 Colorful - Accent 6"/>
    <w:basedOn w:val="872"/>
    <w:uiPriority w:val="99"/>
    <w:qFormat/>
    <w:tblPr/>
  </w:style>
  <w:style w:type="table" w:styleId="1141" w:customStyle="1">
    <w:name w:val="List Table 5 Dark - Accent 3"/>
    <w:basedOn w:val="872"/>
    <w:uiPriority w:val="99"/>
    <w:qFormat/>
    <w:tblPr/>
  </w:style>
  <w:style w:type="table" w:styleId="1142" w:customStyle="1">
    <w:name w:val="Grid Table 2 - Accent 2"/>
    <w:basedOn w:val="872"/>
    <w:uiPriority w:val="99"/>
    <w:qFormat/>
    <w:tblPr/>
  </w:style>
  <w:style w:type="table" w:styleId="1143" w:customStyle="1">
    <w:name w:val="Lined - Accent 6"/>
    <w:basedOn w:val="872"/>
    <w:uiPriority w:val="99"/>
    <w:qFormat/>
    <w:rPr>
      <w:color w:val="404040"/>
    </w:rPr>
    <w:tblPr/>
  </w:style>
  <w:style w:type="table" w:styleId="1144" w:customStyle="1">
    <w:name w:val="Bordered &amp; Lined - Accent 5"/>
    <w:basedOn w:val="872"/>
    <w:uiPriority w:val="99"/>
    <w:qFormat/>
    <w:rPr>
      <w:color w:val="404040"/>
    </w:rPr>
    <w:tblPr/>
  </w:style>
  <w:style w:type="table" w:styleId="1145" w:customStyle="1">
    <w:name w:val="Grid Table 5 Dark - Accent 5"/>
    <w:basedOn w:val="872"/>
    <w:uiPriority w:val="99"/>
    <w:qFormat/>
    <w:tblPr/>
  </w:style>
  <w:style w:type="table" w:styleId="1146" w:customStyle="1">
    <w:name w:val="List Table 1 Light - Accent 5"/>
    <w:basedOn w:val="872"/>
    <w:uiPriority w:val="99"/>
    <w:qFormat/>
    <w:tblPr/>
  </w:style>
  <w:style w:type="table" w:styleId="1147" w:customStyle="1">
    <w:name w:val="Grid Table 3 - Accent 3"/>
    <w:basedOn w:val="872"/>
    <w:uiPriority w:val="99"/>
    <w:qFormat/>
    <w:tblPr/>
  </w:style>
  <w:style w:type="table" w:styleId="1148" w:customStyle="1">
    <w:name w:val="Grid Table 3 - Accent 5"/>
    <w:basedOn w:val="872"/>
    <w:uiPriority w:val="99"/>
    <w:qFormat/>
    <w:tblPr/>
  </w:style>
  <w:style w:type="table" w:styleId="1149" w:customStyle="1">
    <w:name w:val="网格型1"/>
    <w:basedOn w:val="872"/>
    <w:uiPriority w:val="59"/>
    <w:qFormat/>
    <w:tblPr/>
  </w:style>
  <w:style w:type="table" w:styleId="1150" w:customStyle="1">
    <w:name w:val="Grid Table 6 Colorful - Accent 1"/>
    <w:basedOn w:val="872"/>
    <w:uiPriority w:val="99"/>
    <w:qFormat/>
    <w:tblPr/>
  </w:style>
  <w:style w:type="table" w:styleId="1151" w:customStyle="1">
    <w:name w:val="List Table 3 - Accent 6"/>
    <w:basedOn w:val="872"/>
    <w:uiPriority w:val="99"/>
    <w:qFormat/>
    <w:tblPr/>
  </w:style>
  <w:style w:type="table" w:styleId="1152" w:customStyle="1">
    <w:name w:val="Grid Table 7 Colorful - Accent 2"/>
    <w:basedOn w:val="872"/>
    <w:uiPriority w:val="99"/>
    <w:qFormat/>
    <w:tblPr/>
  </w:style>
  <w:style w:type="table" w:styleId="1153" w:customStyle="1">
    <w:name w:val="Lined - Accent 3"/>
    <w:basedOn w:val="872"/>
    <w:uiPriority w:val="99"/>
    <w:qFormat/>
    <w:rPr>
      <w:color w:val="404040"/>
    </w:rPr>
    <w:tblPr/>
  </w:style>
  <w:style w:type="table" w:styleId="1154" w:customStyle="1">
    <w:name w:val="List Table 1 Light - Accent 4"/>
    <w:basedOn w:val="872"/>
    <w:uiPriority w:val="99"/>
    <w:qFormat/>
    <w:tblPr/>
  </w:style>
  <w:style w:type="table" w:styleId="1155" w:customStyle="1">
    <w:name w:val="Grid Table 2 - Accent 6"/>
    <w:basedOn w:val="872"/>
    <w:uiPriority w:val="99"/>
    <w:qFormat/>
    <w:tblPr/>
  </w:style>
  <w:style w:type="table" w:styleId="1156" w:customStyle="1">
    <w:name w:val="Grid Table 3 - Accent 6"/>
    <w:basedOn w:val="872"/>
    <w:uiPriority w:val="99"/>
    <w:qFormat/>
    <w:tblPr/>
  </w:style>
  <w:style w:type="table" w:styleId="1157" w:customStyle="1">
    <w:name w:val="Table Grid Light"/>
    <w:basedOn w:val="872"/>
    <w:uiPriority w:val="59"/>
    <w:qFormat/>
    <w:tblPr/>
  </w:style>
  <w:style w:type="table" w:styleId="1158" w:customStyle="1">
    <w:name w:val="Grid Table 5 Dark- Accent 1"/>
    <w:basedOn w:val="872"/>
    <w:uiPriority w:val="99"/>
    <w:qFormat/>
    <w:tblPr/>
  </w:style>
  <w:style w:type="table" w:styleId="1159" w:customStyle="1">
    <w:name w:val="Grid Table 5 Dark - Accent 3"/>
    <w:basedOn w:val="872"/>
    <w:uiPriority w:val="99"/>
    <w:qFormat/>
    <w:tblPr/>
  </w:style>
  <w:style w:type="table" w:styleId="1160" w:customStyle="1">
    <w:name w:val="List Table 7 Colorful - Accent 4"/>
    <w:basedOn w:val="872"/>
    <w:uiPriority w:val="99"/>
    <w:qFormat/>
    <w:tblPr/>
  </w:style>
  <w:style w:type="table" w:styleId="1161" w:customStyle="1">
    <w:name w:val="List Table 4 - Accent 1"/>
    <w:basedOn w:val="872"/>
    <w:uiPriority w:val="99"/>
    <w:qFormat/>
    <w:tblPr/>
  </w:style>
  <w:style w:type="table" w:styleId="1162" w:customStyle="1">
    <w:name w:val="List Table 4 - Accent 6"/>
    <w:basedOn w:val="872"/>
    <w:uiPriority w:val="99"/>
    <w:qFormat/>
    <w:tblPr/>
  </w:style>
  <w:style w:type="table" w:styleId="1163" w:customStyle="1">
    <w:name w:val="Grid Table 4 - Accent 4"/>
    <w:basedOn w:val="872"/>
    <w:uiPriority w:val="59"/>
    <w:qFormat/>
    <w:tblPr/>
  </w:style>
  <w:style w:type="table" w:styleId="1164" w:customStyle="1">
    <w:name w:val="List Table 6 Colorful - Accent 5"/>
    <w:basedOn w:val="872"/>
    <w:uiPriority w:val="99"/>
    <w:qFormat/>
    <w:tblPr/>
  </w:style>
  <w:style w:type="table" w:styleId="1165" w:customStyle="1">
    <w:name w:val="Lined - Accent 5"/>
    <w:basedOn w:val="872"/>
    <w:uiPriority w:val="99"/>
    <w:qFormat/>
    <w:rPr>
      <w:color w:val="404040"/>
    </w:rPr>
    <w:tblPr/>
  </w:style>
  <w:style w:type="table" w:styleId="1166" w:customStyle="1">
    <w:name w:val="List Table 6 Colorful - Accent 2"/>
    <w:basedOn w:val="872"/>
    <w:uiPriority w:val="99"/>
    <w:qFormat/>
    <w:tblPr/>
  </w:style>
  <w:style w:type="table" w:styleId="1167" w:customStyle="1">
    <w:name w:val="List Table 6 Colorful - Accent 1"/>
    <w:basedOn w:val="872"/>
    <w:uiPriority w:val="99"/>
    <w:qFormat/>
    <w:tblPr/>
  </w:style>
  <w:style w:type="table" w:styleId="1168" w:customStyle="1">
    <w:name w:val="Grid Table 6 Colorful - Accent 2"/>
    <w:basedOn w:val="872"/>
    <w:uiPriority w:val="99"/>
    <w:qFormat/>
    <w:tblPr/>
  </w:style>
  <w:style w:type="table" w:styleId="1169" w:customStyle="1">
    <w:name w:val="Grid Table 4 - Accent 6"/>
    <w:basedOn w:val="872"/>
    <w:uiPriority w:val="59"/>
    <w:qFormat/>
    <w:tblPr/>
  </w:style>
  <w:style w:type="table" w:styleId="1170" w:customStyle="1">
    <w:name w:val="Grid Table 4 - Accent 5"/>
    <w:basedOn w:val="872"/>
    <w:uiPriority w:val="59"/>
    <w:qFormat/>
    <w:tblPr/>
  </w:style>
  <w:style w:type="table" w:styleId="1171" w:customStyle="1">
    <w:name w:val="List Table 4 - Accent 5"/>
    <w:basedOn w:val="872"/>
    <w:uiPriority w:val="99"/>
    <w:qFormat/>
    <w:tblPr/>
  </w:style>
  <w:style w:type="table" w:styleId="1172" w:customStyle="1">
    <w:name w:val="Grid Table 1 Light - Accent 2"/>
    <w:basedOn w:val="872"/>
    <w:uiPriority w:val="99"/>
    <w:qFormat/>
    <w:tblPr/>
  </w:style>
  <w:style w:type="table" w:styleId="1173" w:customStyle="1">
    <w:name w:val="Grid Table 6 Colorful - Accent 5"/>
    <w:basedOn w:val="872"/>
    <w:uiPriority w:val="99"/>
    <w:qFormat/>
    <w:tblPr/>
  </w:style>
  <w:style w:type="table" w:styleId="1174" w:customStyle="1">
    <w:name w:val="Lined - Accent 2"/>
    <w:basedOn w:val="872"/>
    <w:uiPriority w:val="99"/>
    <w:qFormat/>
    <w:rPr>
      <w:color w:val="404040"/>
    </w:rPr>
    <w:tblPr/>
  </w:style>
  <w:style w:type="table" w:styleId="1175" w:customStyle="1">
    <w:name w:val="Bordered &amp; Lined - Accent 1"/>
    <w:basedOn w:val="872"/>
    <w:uiPriority w:val="99"/>
    <w:qFormat/>
    <w:rPr>
      <w:color w:val="404040"/>
    </w:rPr>
    <w:tblPr/>
  </w:style>
  <w:style w:type="paragraph" w:styleId="1176" w:customStyle="1">
    <w:name w:val="修订2"/>
    <w:hidden/>
    <w:uiPriority w:val="99"/>
    <w:unhideWhenUsed/>
    <w:qFormat/>
    <w:pPr>
      <w:spacing w:after="160" w:line="278" w:lineRule="auto"/>
    </w:pPr>
    <w:rPr>
      <w:sz w:val="21"/>
      <w:szCs w:val="24"/>
    </w:rPr>
  </w:style>
  <w:style w:type="paragraph" w:styleId="1177" w:customStyle="1">
    <w:name w:val="修订3"/>
    <w:hidden/>
    <w:uiPriority w:val="99"/>
    <w:semiHidden/>
    <w:qFormat/>
    <w:pPr>
      <w:spacing w:after="160" w:line="278" w:lineRule="auto"/>
    </w:pPr>
    <w:rPr>
      <w:sz w:val="21"/>
      <w:szCs w:val="24"/>
    </w:rPr>
  </w:style>
  <w:style w:type="paragraph" w:styleId="1178" w:customStyle="1">
    <w:name w:val="彩色列表1"/>
    <w:basedOn w:val="861"/>
    <w:qFormat/>
    <w:pPr>
      <w:ind w:firstLine="420"/>
    </w:pPr>
  </w:style>
  <w:style w:type="paragraph" w:styleId="1179" w:customStyle="1">
    <w:name w:val="修订4"/>
    <w:hidden/>
    <w:uiPriority w:val="99"/>
    <w:unhideWhenUsed/>
    <w:qFormat/>
    <w:pPr>
      <w:spacing w:after="160" w:line="278" w:lineRule="auto"/>
    </w:pPr>
    <w:rPr>
      <w:sz w:val="21"/>
      <w:szCs w:val="24"/>
    </w:rPr>
  </w:style>
  <w:style w:type="table" w:styleId="1180" w:customStyle="1">
    <w:name w:val="Table Normal"/>
    <w:qFormat/>
    <w:tblPr>
      <w:tblCellMar>
        <w:left w:w="0" w:type="dxa"/>
        <w:top w:w="0" w:type="dxa"/>
        <w:right w:w="0" w:type="dxa"/>
        <w:bottom w:w="0" w:type="dxa"/>
      </w:tblCellMar>
    </w:tblPr>
  </w:style>
  <w:style w:type="paragraph" w:styleId="1181"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2A77FFD8-54C2-419F-8574-8452E22D16C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4</cp:revision>
  <dcterms:created xsi:type="dcterms:W3CDTF">2026-04-20T01:16:00Z</dcterms:created>
  <dcterms:modified xsi:type="dcterms:W3CDTF">2026-04-20T02:16:33Z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eyJoZGlkIjoiZDc5YWFlNzI1ZTFiMmE0NzEzNDQyNTM0MzhjOTJiZDMiLCJ1c2VySWQiOiI1MDUxMzI0MzgifQ==</vt:lpwstr>
  </property>
  <property fmtid="{D5CDD505-2E9C-101B-9397-08002B2CF9AE}" pid="3" name="KSOProductBuildVer">
    <vt:lpwstr>2052-12.1.0.25225</vt:lpwstr>
  </property>
  <property fmtid="{D5CDD505-2E9C-101B-9397-08002B2CF9AE}" pid="4" name="ICV">
    <vt:lpwstr>206B222E798E478B8F1E92B3FEDD3E8A_13</vt:lpwstr>
  </property>
</Properties>
</file>