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s="宋体"/>
          <w:color w:val="auto"/>
          <w:highlight w:val="none"/>
        </w:rPr>
      </w:pPr>
      <w:r>
        <w:rPr>
          <w:rFonts w:ascii="宋体" w:hAnsi="宋体" w:cs="宋体"/>
          <w:color w:val="auto"/>
          <w:highlight w:val="none"/>
        </w:rPr>
      </w:r>
      <w:r/>
    </w:p>
    <w:p>
      <w:pPr>
        <w:pStyle w:val="849"/>
        <w:ind w:firstLine="0"/>
        <w:jc w:val="center"/>
        <w:rPr>
          <w:rFonts w:ascii="宋体" w:hAnsi="宋体" w:cs="宋体"/>
          <w:b/>
          <w:bCs/>
          <w:color w:val="auto"/>
          <w:sz w:val="84"/>
          <w:szCs w:val="84"/>
          <w:highlight w:val="none"/>
        </w:rPr>
      </w:pPr>
      <w:r>
        <w:rPr>
          <w:rFonts w:ascii="宋体" w:hAnsi="宋体" w:cs="宋体"/>
          <w:b/>
          <w:bCs/>
          <w:color w:val="auto"/>
          <w:sz w:val="84"/>
          <w:szCs w:val="84"/>
          <w:highlight w:val="none"/>
        </w:rPr>
      </w:r>
      <w:r/>
    </w:p>
    <w:p>
      <w:pPr>
        <w:pStyle w:val="849"/>
        <w:ind w:firstLine="0"/>
        <w:jc w:val="center"/>
        <w:rPr>
          <w:rFonts w:ascii="宋体" w:hAnsi="宋体" w:cs="宋体"/>
          <w:b/>
          <w:bCs/>
          <w:color w:val="auto"/>
          <w:sz w:val="84"/>
          <w:szCs w:val="84"/>
          <w:highlight w:val="none"/>
        </w:rPr>
      </w:pPr>
      <w:r>
        <w:rPr>
          <w:rFonts w:hint="eastAsia" w:ascii="宋体" w:hAnsi="宋体" w:cs="宋体"/>
          <w:b/>
          <w:bCs/>
          <w:color w:val="auto"/>
          <w:sz w:val="96"/>
          <w:szCs w:val="96"/>
          <w:highlight w:val="none"/>
        </w:rPr>
        <w:t xml:space="preserve">招　标　文　件</w:t>
      </w:r>
      <w:r/>
    </w:p>
    <w:p>
      <w:pPr>
        <w:pStyle w:val="849"/>
        <w:ind w:firstLine="0"/>
        <w:jc w:val="center"/>
        <w:rPr>
          <w:rFonts w:ascii="宋体" w:hAnsi="宋体" w:cs="宋体"/>
          <w:b/>
          <w:bCs/>
          <w:color w:val="auto"/>
          <w:sz w:val="36"/>
          <w:szCs w:val="36"/>
          <w:highlight w:val="none"/>
        </w:rPr>
      </w:pPr>
      <w:r>
        <w:rPr>
          <w:rFonts w:ascii="宋体" w:hAnsi="宋体" w:cs="宋体"/>
          <w:b/>
          <w:bCs/>
          <w:color w:val="auto"/>
          <w:sz w:val="36"/>
          <w:szCs w:val="36"/>
          <w:highlight w:val="none"/>
        </w:rPr>
      </w:r>
      <w:r/>
    </w:p>
    <w:p>
      <w:pPr>
        <w:pStyle w:val="849"/>
        <w:ind w:firstLine="0"/>
        <w:jc w:val="center"/>
        <w:rPr>
          <w:rFonts w:ascii="宋体" w:hAnsi="宋体" w:cs="宋体"/>
          <w:b/>
          <w:bCs/>
          <w:color w:val="auto"/>
          <w:sz w:val="36"/>
          <w:szCs w:val="36"/>
          <w:highlight w:val="none"/>
        </w:rPr>
      </w:pPr>
      <w:r>
        <w:rPr>
          <w:rFonts w:ascii="宋体" w:hAnsi="宋体" w:cs="宋体"/>
          <w:b/>
          <w:bCs/>
          <w:color w:val="auto"/>
          <w:sz w:val="36"/>
          <w:szCs w:val="36"/>
          <w:highlight w:val="none"/>
        </w:rPr>
      </w:r>
      <w:r/>
    </w:p>
    <w:p>
      <w:pPr>
        <w:pStyle w:val="849"/>
        <w:ind w:firstLine="0"/>
        <w:jc w:val="center"/>
        <w:rPr>
          <w:rFonts w:ascii="宋体" w:hAnsi="宋体" w:cs="宋体"/>
          <w:b/>
          <w:bCs/>
          <w:color w:val="auto"/>
          <w:sz w:val="36"/>
          <w:szCs w:val="36"/>
          <w:highlight w:val="none"/>
        </w:rPr>
      </w:pPr>
      <w:r>
        <w:rPr>
          <w:rFonts w:ascii="宋体" w:hAnsi="宋体" w:cs="宋体"/>
          <w:b/>
          <w:bCs/>
          <w:color w:val="auto"/>
          <w:sz w:val="36"/>
          <w:szCs w:val="36"/>
          <w:highlight w:val="none"/>
        </w:rPr>
      </w:r>
      <w:r/>
    </w:p>
    <w:p>
      <w:pPr>
        <w:pStyle w:val="849"/>
        <w:ind w:firstLine="0"/>
        <w:jc w:val="center"/>
        <w:spacing w:line="600" w:lineRule="auto"/>
        <w:rPr>
          <w:rFonts w:ascii="宋体" w:hAnsi="宋体" w:cs="宋体"/>
          <w:b/>
          <w:bCs/>
          <w:color w:val="auto"/>
          <w:sz w:val="36"/>
          <w:szCs w:val="36"/>
          <w:highlight w:val="none"/>
        </w:rPr>
      </w:pPr>
      <w:r/>
      <w:bookmarkStart w:id="0" w:name="OLE_LINK18"/>
      <w:r>
        <w:rPr>
          <w:rFonts w:hint="eastAsia" w:ascii="宋体" w:hAnsi="宋体" w:cs="宋体"/>
          <w:b/>
          <w:bCs/>
          <w:color w:val="auto"/>
          <w:sz w:val="36"/>
          <w:szCs w:val="36"/>
          <w:highlight w:val="none"/>
        </w:rPr>
        <w:t xml:space="preserve">项目名称：</w:t>
      </w:r>
      <w:r>
        <w:rPr>
          <w:rFonts w:hint="eastAsia" w:ascii="宋体" w:hAnsi="宋体" w:cs="宋体"/>
          <w:b/>
          <w:bCs/>
          <w:color w:val="auto"/>
          <w:sz w:val="36"/>
          <w:szCs w:val="36"/>
          <w:highlight w:val="none"/>
          <w:lang w:eastAsia="zh-CN"/>
        </w:rPr>
        <w:t xml:space="preserve">全省食用林产品质量安全监测</w:t>
      </w:r>
      <w:r/>
    </w:p>
    <w:p>
      <w:pPr>
        <w:pStyle w:val="849"/>
        <w:ind w:firstLine="0"/>
        <w:jc w:val="center"/>
        <w:spacing w:line="600" w:lineRule="auto"/>
        <w:rPr>
          <w:rFonts w:hint="eastAsia" w:ascii="宋体" w:hAnsi="宋体" w:eastAsia="宋体" w:cs="宋体"/>
          <w:b/>
          <w:bCs/>
          <w:color w:val="auto"/>
          <w:sz w:val="36"/>
          <w:szCs w:val="36"/>
          <w:highlight w:val="none"/>
          <w:lang w:eastAsia="zh-CN"/>
        </w:rPr>
      </w:pPr>
      <w:r>
        <w:rPr>
          <w:rFonts w:hint="eastAsia" w:ascii="宋体" w:hAnsi="宋体" w:cs="宋体"/>
          <w:b/>
          <w:bCs/>
          <w:color w:val="auto"/>
          <w:sz w:val="36"/>
          <w:szCs w:val="36"/>
          <w:highlight w:val="none"/>
        </w:rPr>
        <w:t xml:space="preserve">项目编号：</w:t>
      </w:r>
      <w:r>
        <w:rPr>
          <w:rFonts w:hint="eastAsia" w:ascii="宋体" w:hAnsi="宋体" w:cs="宋体"/>
          <w:b/>
          <w:bCs/>
          <w:color w:val="auto"/>
          <w:sz w:val="36"/>
          <w:szCs w:val="36"/>
          <w:highlight w:val="none"/>
          <w:lang w:eastAsia="zh-CN"/>
        </w:rPr>
        <w:t xml:space="preserve">JSZC-320000-SDCX-G2026-0001</w:t>
      </w:r>
      <w:bookmarkEnd w:id="0"/>
      <w:r/>
    </w:p>
    <w:p>
      <w:pPr>
        <w:pStyle w:val="849"/>
        <w:ind w:firstLine="0"/>
        <w:jc w:val="center"/>
        <w:rPr>
          <w:rFonts w:ascii="宋体" w:hAnsi="宋体" w:cs="宋体"/>
          <w:b/>
          <w:bCs/>
          <w:color w:val="auto"/>
          <w:sz w:val="36"/>
          <w:szCs w:val="36"/>
          <w:highlight w:val="none"/>
        </w:rPr>
      </w:pPr>
      <w:r>
        <w:rPr>
          <w:rFonts w:ascii="宋体" w:hAnsi="宋体" w:cs="宋体"/>
          <w:b/>
          <w:bCs/>
          <w:color w:val="auto"/>
          <w:sz w:val="36"/>
          <w:szCs w:val="36"/>
          <w:highlight w:val="none"/>
        </w:rPr>
      </w:r>
      <w:r/>
    </w:p>
    <w:p>
      <w:pPr>
        <w:pStyle w:val="849"/>
        <w:ind w:firstLine="0"/>
        <w:jc w:val="left"/>
        <w:rPr>
          <w:rFonts w:ascii="宋体" w:hAnsi="宋体" w:cs="宋体"/>
          <w:b/>
          <w:bCs/>
          <w:color w:val="auto"/>
          <w:sz w:val="36"/>
          <w:szCs w:val="36"/>
          <w:highlight w:val="none"/>
        </w:rPr>
      </w:pPr>
      <w:r>
        <w:rPr>
          <w:rFonts w:ascii="宋体" w:hAnsi="宋体" w:cs="宋体"/>
          <w:b/>
          <w:bCs/>
          <w:color w:val="auto"/>
          <w:sz w:val="36"/>
          <w:szCs w:val="36"/>
          <w:highlight w:val="none"/>
        </w:rPr>
      </w:r>
      <w:r/>
    </w:p>
    <w:p>
      <w:pPr>
        <w:pStyle w:val="849"/>
        <w:ind w:firstLine="0"/>
        <w:jc w:val="both"/>
        <w:rPr>
          <w:rFonts w:ascii="宋体" w:hAnsi="宋体" w:cs="宋体"/>
          <w:b/>
          <w:bCs/>
          <w:color w:val="auto"/>
          <w:sz w:val="36"/>
          <w:szCs w:val="36"/>
          <w:highlight w:val="none"/>
        </w:rPr>
      </w:pPr>
      <w:r>
        <w:rPr>
          <w:rFonts w:ascii="宋体" w:hAnsi="宋体" w:cs="宋体"/>
          <w:b/>
          <w:bCs/>
          <w:color w:val="auto"/>
          <w:sz w:val="36"/>
          <w:szCs w:val="36"/>
          <w:highlight w:val="none"/>
        </w:rPr>
      </w:r>
      <w:r/>
    </w:p>
    <w:p>
      <w:pPr>
        <w:pStyle w:val="849"/>
        <w:ind w:firstLine="0"/>
        <w:jc w:val="center"/>
        <w:rPr>
          <w:rFonts w:hint="eastAsia" w:ascii="宋体" w:hAnsi="宋体" w:eastAsia="宋体" w:cs="宋体"/>
          <w:b/>
          <w:bCs/>
          <w:color w:val="auto"/>
          <w:sz w:val="36"/>
          <w:szCs w:val="36"/>
          <w:highlight w:val="none"/>
          <w:lang w:eastAsia="zh-CN"/>
        </w:rPr>
      </w:pPr>
      <w:r>
        <w:rPr>
          <w:rFonts w:hint="eastAsia" w:ascii="宋体" w:hAnsi="宋体" w:cs="宋体"/>
          <w:b/>
          <w:bCs/>
          <w:color w:val="auto"/>
          <w:sz w:val="36"/>
          <w:szCs w:val="36"/>
          <w:highlight w:val="none"/>
        </w:rPr>
        <w:t xml:space="preserve">采 购 人：</w:t>
      </w:r>
      <w:r>
        <w:rPr>
          <w:rFonts w:hint="eastAsia" w:ascii="宋体" w:hAnsi="宋体" w:cs="宋体"/>
          <w:b/>
          <w:bCs/>
          <w:color w:val="auto"/>
          <w:sz w:val="36"/>
          <w:szCs w:val="36"/>
          <w:highlight w:val="none"/>
          <w:lang w:eastAsia="zh-CN"/>
        </w:rPr>
        <w:t xml:space="preserve">江苏省林业局</w:t>
      </w:r>
      <w:r/>
    </w:p>
    <w:p>
      <w:pPr>
        <w:pStyle w:val="849"/>
        <w:ind w:firstLine="0"/>
        <w:jc w:val="center"/>
        <w:rPr>
          <w:rFonts w:hint="eastAsia" w:ascii="宋体" w:hAnsi="宋体" w:eastAsia="宋体" w:cs="宋体"/>
          <w:b/>
          <w:bCs/>
          <w:color w:val="auto"/>
          <w:sz w:val="36"/>
          <w:szCs w:val="36"/>
          <w:highlight w:val="none"/>
          <w:lang w:eastAsia="zh-CN"/>
        </w:rPr>
      </w:pPr>
      <w:r>
        <w:rPr>
          <w:rFonts w:hint="eastAsia" w:ascii="宋体" w:hAnsi="宋体" w:cs="宋体"/>
          <w:b/>
          <w:bCs/>
          <w:color w:val="auto"/>
          <w:sz w:val="36"/>
          <w:szCs w:val="36"/>
          <w:highlight w:val="none"/>
        </w:rPr>
        <w:t xml:space="preserve">代理机构：</w:t>
      </w:r>
      <w:r>
        <w:rPr>
          <w:rFonts w:hint="eastAsia" w:ascii="宋体" w:hAnsi="宋体" w:cs="宋体"/>
          <w:b/>
          <w:bCs/>
          <w:color w:val="auto"/>
          <w:sz w:val="36"/>
          <w:szCs w:val="36"/>
          <w:highlight w:val="none"/>
          <w:lang w:eastAsia="zh-CN"/>
        </w:rPr>
        <w:t xml:space="preserve">江苏达琛鑫项目管理有限公司</w:t>
      </w:r>
      <w:r/>
    </w:p>
    <w:p>
      <w:pPr>
        <w:pStyle w:val="849"/>
        <w:ind w:firstLine="0"/>
        <w:jc w:val="center"/>
        <w:rPr>
          <w:rFonts w:ascii="宋体" w:hAnsi="宋体" w:cs="宋体"/>
          <w:color w:val="auto"/>
          <w:sz w:val="36"/>
          <w:szCs w:val="36"/>
          <w:highlight w:val="none"/>
        </w:rPr>
      </w:pPr>
      <w:r>
        <w:rPr>
          <w:rFonts w:hint="eastAsia" w:ascii="宋体" w:hAnsi="宋体" w:cs="宋体"/>
          <w:b/>
          <w:bCs/>
          <w:color w:val="auto"/>
          <w:sz w:val="36"/>
          <w:szCs w:val="36"/>
          <w:highlight w:val="none"/>
        </w:rPr>
        <w:t xml:space="preserve">二 ○ 二 </w:t>
      </w:r>
      <w:r>
        <w:rPr>
          <w:rFonts w:hint="eastAsia" w:ascii="宋体" w:hAnsi="宋体" w:cs="宋体"/>
          <w:b/>
          <w:bCs/>
          <w:color w:val="auto"/>
          <w:sz w:val="36"/>
          <w:szCs w:val="36"/>
          <w:highlight w:val="none"/>
        </w:rPr>
        <w:tab/>
      </w:r>
      <w:r>
        <w:rPr>
          <w:rFonts w:hint="eastAsia" w:ascii="宋体" w:hAnsi="宋体" w:cs="宋体"/>
          <w:b/>
          <w:bCs/>
          <w:color w:val="auto"/>
          <w:sz w:val="36"/>
          <w:szCs w:val="36"/>
          <w:highlight w:val="none"/>
          <w:lang w:val="en-US" w:eastAsia="zh-CN"/>
        </w:rPr>
        <w:t xml:space="preserve">六</w:t>
      </w:r>
      <w:r>
        <w:rPr>
          <w:rFonts w:hint="eastAsia" w:ascii="宋体" w:hAnsi="宋体" w:cs="宋体"/>
          <w:b/>
          <w:bCs/>
          <w:color w:val="auto"/>
          <w:sz w:val="36"/>
          <w:szCs w:val="36"/>
          <w:highlight w:val="none"/>
        </w:rPr>
        <w:t xml:space="preserve"> 年 </w:t>
      </w:r>
      <w:r>
        <w:rPr>
          <w:rFonts w:hint="eastAsia" w:ascii="宋体" w:hAnsi="宋体" w:cs="宋体"/>
          <w:b/>
          <w:bCs/>
          <w:color w:val="auto"/>
          <w:sz w:val="36"/>
          <w:szCs w:val="36"/>
          <w:highlight w:val="none"/>
          <w:lang w:val="en-US" w:eastAsia="zh-CN"/>
        </w:rPr>
        <w:t xml:space="preserve">三</w:t>
      </w:r>
      <w:r>
        <w:rPr>
          <w:rFonts w:hint="eastAsia" w:ascii="宋体" w:hAnsi="宋体" w:cs="宋体"/>
          <w:b/>
          <w:bCs/>
          <w:color w:val="auto"/>
          <w:sz w:val="36"/>
          <w:szCs w:val="36"/>
          <w:highlight w:val="none"/>
        </w:rPr>
        <w:t xml:space="preserve"> 月</w:t>
      </w:r>
      <w:r/>
      <w:r>
        <w:rPr>
          <w:rFonts w:hint="eastAsia"/>
          <w:b/>
          <w:bCs/>
          <w:color w:val="auto"/>
          <w:sz w:val="36"/>
          <w:szCs w:val="36"/>
          <w:highlight w:val="none"/>
        </w:rPr>
        <w:br w:type="page" w:clear="all"/>
      </w:r>
      <w:r/>
      <w:r>
        <w:rPr>
          <w:rFonts w:ascii="宋体" w:hAnsi="宋体" w:cs="宋体"/>
          <w:color w:val="auto"/>
          <w:sz w:val="36"/>
          <w:szCs w:val="36"/>
          <w:highlight w:val="none"/>
        </w:rPr>
      </w:r>
    </w:p>
    <w:p>
      <w:pPr>
        <w:ind w:firstLine="640"/>
        <w:jc w:val="center"/>
        <w:rPr>
          <w:rFonts w:ascii="宋体" w:hAnsi="宋体" w:cs="宋体"/>
          <w:color w:val="auto"/>
          <w:sz w:val="32"/>
          <w:szCs w:val="32"/>
          <w:highlight w:val="none"/>
        </w:rPr>
      </w:pPr>
      <w:r>
        <w:rPr>
          <w:rFonts w:hint="eastAsia" w:ascii="宋体" w:hAnsi="宋体" w:cs="宋体"/>
          <w:color w:val="auto"/>
          <w:sz w:val="32"/>
          <w:szCs w:val="32"/>
          <w:highlight w:val="none"/>
        </w:rPr>
        <w:t xml:space="preserve">目录</w:t>
      </w:r>
      <w:r/>
    </w:p>
    <w:p>
      <w:pPr>
        <w:pStyle w:val="806"/>
        <w:ind w:firstLine="480"/>
        <w:tabs>
          <w:tab w:val="clear" w:pos="8720" w:leader="none"/>
        </w:tabs>
        <w:rPr>
          <w:color w:val="auto"/>
          <w:highlight w:val="none"/>
        </w:rPr>
      </w:pPr>
      <w:r>
        <w:rPr>
          <w:rFonts w:hint="eastAsia"/>
          <w:color w:val="auto"/>
          <w:highlight w:val="none"/>
        </w:rPr>
        <w:fldChar w:fldCharType="begin"/>
      </w:r>
      <w:r>
        <w:rPr>
          <w:rFonts w:hint="eastAsia"/>
          <w:color w:val="auto"/>
          <w:highlight w:val="none"/>
        </w:rPr>
        <w:instrText xml:space="preserve">TOC \o "1-1" \h \u </w:instrText>
      </w:r>
      <w:r>
        <w:rPr>
          <w:rFonts w:hint="eastAsia"/>
          <w:color w:val="auto"/>
          <w:highlight w:val="none"/>
        </w:rPr>
        <w:fldChar w:fldCharType="separate"/>
      </w:r>
      <w:r>
        <w:rPr>
          <w:color w:val="auto"/>
          <w:highlight w:val="none"/>
        </w:rPr>
        <w:fldChar w:fldCharType="begin"/>
      </w:r>
      <w:r>
        <w:rPr>
          <w:color w:val="auto"/>
          <w:highlight w:val="none"/>
        </w:rPr>
        <w:instrText xml:space="preserve"> HYPERLINK \l "_Toc15884" </w:instrText>
      </w:r>
      <w:r>
        <w:rPr>
          <w:color w:val="auto"/>
          <w:highlight w:val="none"/>
        </w:rPr>
        <w:fldChar w:fldCharType="separate"/>
      </w:r>
      <w:r>
        <w:rPr>
          <w:rFonts w:hint="eastAsia"/>
          <w:bCs/>
          <w:color w:val="auto"/>
          <w:highlight w:val="none"/>
        </w:rPr>
        <w:t xml:space="preserve">第一章  投标邀请（招标公告）</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_Toc15884 \h </w:instrText>
      </w:r>
      <w:r>
        <w:rPr>
          <w:rFonts w:hint="eastAsia"/>
          <w:color w:val="auto"/>
          <w:highlight w:val="none"/>
        </w:rPr>
        <w:fldChar w:fldCharType="separate"/>
      </w:r>
      <w:r>
        <w:rPr>
          <w:rFonts w:hint="eastAsia"/>
          <w:color w:val="auto"/>
          <w:highlight w:val="none"/>
        </w:rPr>
        <w:t xml:space="preserve">1</w:t>
      </w:r>
      <w:r>
        <w:rPr>
          <w:rFonts w:hint="eastAsia"/>
          <w:color w:val="auto"/>
          <w:highlight w:val="none"/>
        </w:rPr>
        <w:fldChar w:fldCharType="end"/>
      </w:r>
      <w:r>
        <w:rPr>
          <w:rFonts w:hint="eastAsia"/>
          <w:color w:val="auto"/>
          <w:highlight w:val="none"/>
        </w:rPr>
        <w:fldChar w:fldCharType="end"/>
      </w:r>
      <w:r/>
    </w:p>
    <w:p>
      <w:pPr>
        <w:pStyle w:val="806"/>
        <w:ind w:firstLine="480"/>
        <w:tabs>
          <w:tab w:val="clear" w:pos="8720" w:leader="none"/>
        </w:tabs>
        <w:rPr>
          <w:color w:val="auto"/>
          <w:highlight w:val="none"/>
        </w:rPr>
      </w:pPr>
      <w:r>
        <w:rPr>
          <w:color w:val="auto"/>
          <w:highlight w:val="none"/>
        </w:rPr>
        <w:fldChar w:fldCharType="begin"/>
      </w:r>
      <w:r>
        <w:rPr>
          <w:color w:val="auto"/>
          <w:highlight w:val="none"/>
        </w:rPr>
        <w:instrText xml:space="preserve"> HYPERLINK \l "_Toc18561" </w:instrText>
      </w:r>
      <w:r>
        <w:rPr>
          <w:color w:val="auto"/>
          <w:highlight w:val="none"/>
        </w:rPr>
        <w:fldChar w:fldCharType="separate"/>
      </w:r>
      <w:r>
        <w:rPr>
          <w:rFonts w:hint="eastAsia"/>
          <w:bCs/>
          <w:color w:val="auto"/>
          <w:highlight w:val="none"/>
        </w:rPr>
        <w:t xml:space="preserve">第二章  投标人须知</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_Toc18561 \h </w:instrText>
      </w:r>
      <w:r>
        <w:rPr>
          <w:rFonts w:hint="eastAsia"/>
          <w:color w:val="auto"/>
          <w:highlight w:val="none"/>
        </w:rPr>
        <w:fldChar w:fldCharType="separate"/>
      </w:r>
      <w:r>
        <w:rPr>
          <w:rFonts w:hint="eastAsia"/>
          <w:color w:val="auto"/>
          <w:highlight w:val="none"/>
        </w:rPr>
        <w:t xml:space="preserve">5</w:t>
      </w:r>
      <w:r>
        <w:rPr>
          <w:rFonts w:hint="eastAsia"/>
          <w:color w:val="auto"/>
          <w:highlight w:val="none"/>
        </w:rPr>
        <w:fldChar w:fldCharType="end"/>
      </w:r>
      <w:r>
        <w:rPr>
          <w:rFonts w:hint="eastAsia"/>
          <w:color w:val="auto"/>
          <w:highlight w:val="none"/>
        </w:rPr>
        <w:fldChar w:fldCharType="end"/>
      </w:r>
      <w:r/>
    </w:p>
    <w:p>
      <w:pPr>
        <w:pStyle w:val="806"/>
        <w:ind w:firstLine="480"/>
        <w:tabs>
          <w:tab w:val="clear" w:pos="8720" w:leader="none"/>
        </w:tabs>
        <w:rPr>
          <w:color w:val="auto"/>
          <w:highlight w:val="none"/>
        </w:rPr>
      </w:pPr>
      <w:r>
        <w:rPr>
          <w:color w:val="auto"/>
          <w:highlight w:val="none"/>
        </w:rPr>
        <w:fldChar w:fldCharType="begin"/>
      </w:r>
      <w:r>
        <w:rPr>
          <w:color w:val="auto"/>
          <w:highlight w:val="none"/>
        </w:rPr>
        <w:instrText xml:space="preserve"> HYPERLINK \l "_Toc26496" </w:instrText>
      </w:r>
      <w:r>
        <w:rPr>
          <w:color w:val="auto"/>
          <w:highlight w:val="none"/>
        </w:rPr>
        <w:fldChar w:fldCharType="separate"/>
      </w:r>
      <w:r>
        <w:rPr>
          <w:rFonts w:hint="eastAsia"/>
          <w:color w:val="auto"/>
          <w:highlight w:val="none"/>
        </w:rPr>
        <w:t xml:space="preserve">第三章  合同条款及格式</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_Toc26496 \h </w:instrText>
      </w:r>
      <w:r>
        <w:rPr>
          <w:rFonts w:hint="eastAsia"/>
          <w:color w:val="auto"/>
          <w:highlight w:val="none"/>
        </w:rPr>
        <w:fldChar w:fldCharType="separate"/>
      </w:r>
      <w:r>
        <w:rPr>
          <w:rFonts w:hint="eastAsia"/>
          <w:color w:val="auto"/>
          <w:highlight w:val="none"/>
        </w:rPr>
        <w:t xml:space="preserve">22</w:t>
      </w:r>
      <w:r>
        <w:rPr>
          <w:rFonts w:hint="eastAsia"/>
          <w:color w:val="auto"/>
          <w:highlight w:val="none"/>
        </w:rPr>
        <w:fldChar w:fldCharType="end"/>
      </w:r>
      <w:r>
        <w:rPr>
          <w:rFonts w:hint="eastAsia"/>
          <w:color w:val="auto"/>
          <w:highlight w:val="none"/>
        </w:rPr>
        <w:fldChar w:fldCharType="end"/>
      </w:r>
      <w:r/>
    </w:p>
    <w:p>
      <w:pPr>
        <w:pStyle w:val="806"/>
        <w:ind w:firstLine="480"/>
        <w:tabs>
          <w:tab w:val="clear" w:pos="8720" w:leader="none"/>
        </w:tabs>
        <w:rPr>
          <w:color w:val="auto"/>
          <w:highlight w:val="none"/>
        </w:rPr>
      </w:pPr>
      <w:r>
        <w:rPr>
          <w:color w:val="auto"/>
          <w:highlight w:val="none"/>
        </w:rPr>
        <w:fldChar w:fldCharType="begin"/>
      </w:r>
      <w:r>
        <w:rPr>
          <w:color w:val="auto"/>
          <w:highlight w:val="none"/>
        </w:rPr>
        <w:instrText xml:space="preserve"> HYPERLINK \l "_Toc20953" </w:instrText>
      </w:r>
      <w:r>
        <w:rPr>
          <w:color w:val="auto"/>
          <w:highlight w:val="none"/>
        </w:rPr>
        <w:fldChar w:fldCharType="separate"/>
      </w:r>
      <w:r>
        <w:rPr>
          <w:rFonts w:hint="eastAsia"/>
          <w:bCs/>
          <w:color w:val="auto"/>
          <w:szCs w:val="44"/>
          <w:highlight w:val="none"/>
        </w:rPr>
        <w:t xml:space="preserve">第四章  项目需求</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_Toc20953 \h </w:instrText>
      </w:r>
      <w:r>
        <w:rPr>
          <w:rFonts w:hint="eastAsia"/>
          <w:color w:val="auto"/>
          <w:highlight w:val="none"/>
        </w:rPr>
        <w:fldChar w:fldCharType="separate"/>
      </w:r>
      <w:r>
        <w:rPr>
          <w:rFonts w:hint="eastAsia"/>
          <w:color w:val="auto"/>
          <w:highlight w:val="none"/>
        </w:rPr>
        <w:t xml:space="preserve">27</w:t>
      </w:r>
      <w:r>
        <w:rPr>
          <w:rFonts w:hint="eastAsia"/>
          <w:color w:val="auto"/>
          <w:highlight w:val="none"/>
        </w:rPr>
        <w:fldChar w:fldCharType="end"/>
      </w:r>
      <w:r>
        <w:rPr>
          <w:rFonts w:hint="eastAsia"/>
          <w:color w:val="auto"/>
          <w:highlight w:val="none"/>
        </w:rPr>
        <w:fldChar w:fldCharType="end"/>
      </w:r>
      <w:r/>
    </w:p>
    <w:p>
      <w:pPr>
        <w:pStyle w:val="806"/>
        <w:ind w:firstLine="480"/>
        <w:tabs>
          <w:tab w:val="clear" w:pos="8720" w:leader="none"/>
        </w:tabs>
        <w:rPr>
          <w:color w:val="auto"/>
          <w:highlight w:val="none"/>
        </w:rPr>
      </w:pPr>
      <w:r>
        <w:rPr>
          <w:color w:val="auto"/>
          <w:highlight w:val="none"/>
        </w:rPr>
        <w:fldChar w:fldCharType="begin"/>
      </w:r>
      <w:r>
        <w:rPr>
          <w:color w:val="auto"/>
          <w:highlight w:val="none"/>
        </w:rPr>
        <w:instrText xml:space="preserve"> HYPERLINK \l "_Toc30075" </w:instrText>
      </w:r>
      <w:r>
        <w:rPr>
          <w:color w:val="auto"/>
          <w:highlight w:val="none"/>
        </w:rPr>
        <w:fldChar w:fldCharType="separate"/>
      </w:r>
      <w:r>
        <w:rPr>
          <w:rFonts w:hint="eastAsia"/>
          <w:color w:val="auto"/>
          <w:highlight w:val="none"/>
        </w:rPr>
        <w:t xml:space="preserve">第五章  评标方法与评标标准</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_Toc30075 \h </w:instrText>
      </w:r>
      <w:r>
        <w:rPr>
          <w:rFonts w:hint="eastAsia"/>
          <w:color w:val="auto"/>
          <w:highlight w:val="none"/>
        </w:rPr>
        <w:fldChar w:fldCharType="separate"/>
      </w:r>
      <w:r>
        <w:rPr>
          <w:rFonts w:hint="eastAsia"/>
          <w:color w:val="auto"/>
          <w:highlight w:val="none"/>
        </w:rPr>
        <w:t xml:space="preserve">37</w:t>
      </w:r>
      <w:r>
        <w:rPr>
          <w:rFonts w:hint="eastAsia"/>
          <w:color w:val="auto"/>
          <w:highlight w:val="none"/>
        </w:rPr>
        <w:fldChar w:fldCharType="end"/>
      </w:r>
      <w:r>
        <w:rPr>
          <w:rFonts w:hint="eastAsia"/>
          <w:color w:val="auto"/>
          <w:highlight w:val="none"/>
        </w:rPr>
        <w:fldChar w:fldCharType="end"/>
      </w:r>
      <w:r/>
    </w:p>
    <w:p>
      <w:pPr>
        <w:pStyle w:val="806"/>
        <w:ind w:firstLine="480"/>
        <w:tabs>
          <w:tab w:val="clear" w:pos="8720" w:leader="none"/>
        </w:tabs>
        <w:rPr>
          <w:color w:val="auto"/>
          <w:highlight w:val="none"/>
        </w:rPr>
      </w:pPr>
      <w:r>
        <w:rPr>
          <w:color w:val="auto"/>
          <w:highlight w:val="none"/>
        </w:rPr>
        <w:fldChar w:fldCharType="begin"/>
      </w:r>
      <w:r>
        <w:rPr>
          <w:color w:val="auto"/>
          <w:highlight w:val="none"/>
        </w:rPr>
        <w:instrText xml:space="preserve"> HYPERLINK \l "_Toc30847" </w:instrText>
      </w:r>
      <w:r>
        <w:rPr>
          <w:color w:val="auto"/>
          <w:highlight w:val="none"/>
        </w:rPr>
        <w:fldChar w:fldCharType="separate"/>
      </w:r>
      <w:r>
        <w:rPr>
          <w:rFonts w:hint="eastAsia"/>
          <w:bCs/>
          <w:color w:val="auto"/>
          <w:szCs w:val="40"/>
          <w:highlight w:val="none"/>
        </w:rPr>
        <w:t xml:space="preserve">第六章  投标文件格式</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_Toc30847 \h </w:instrText>
      </w:r>
      <w:r>
        <w:rPr>
          <w:rFonts w:hint="eastAsia"/>
          <w:color w:val="auto"/>
          <w:highlight w:val="none"/>
        </w:rPr>
        <w:fldChar w:fldCharType="separate"/>
      </w:r>
      <w:r>
        <w:rPr>
          <w:rFonts w:hint="eastAsia"/>
          <w:color w:val="auto"/>
          <w:highlight w:val="none"/>
        </w:rPr>
        <w:t xml:space="preserve">42</w:t>
      </w:r>
      <w:r>
        <w:rPr>
          <w:rFonts w:hint="eastAsia"/>
          <w:color w:val="auto"/>
          <w:highlight w:val="none"/>
        </w:rPr>
        <w:fldChar w:fldCharType="end"/>
      </w:r>
      <w:r>
        <w:rPr>
          <w:rFonts w:hint="eastAsia"/>
          <w:color w:val="auto"/>
          <w:highlight w:val="none"/>
        </w:rPr>
        <w:fldChar w:fldCharType="end"/>
      </w:r>
      <w:r/>
    </w:p>
    <w:p>
      <w:pPr>
        <w:rPr>
          <w:rFonts w:ascii="宋体" w:hAnsi="宋体" w:cs="宋体"/>
          <w:color w:val="auto"/>
          <w:highlight w:val="none"/>
        </w:rPr>
      </w:pPr>
      <w:r>
        <w:rPr>
          <w:rFonts w:hint="eastAsia" w:ascii="宋体" w:hAnsi="宋体" w:cs="宋体"/>
          <w:color w:val="auto"/>
          <w:highlight w:val="none"/>
        </w:rPr>
        <w:fldChar w:fldCharType="end"/>
      </w:r>
      <w:r/>
    </w:p>
    <w:p>
      <w:pPr>
        <w:pStyle w:val="806"/>
        <w:ind w:firstLine="0"/>
        <w:jc w:val="center"/>
        <w:pageBreakBefore/>
        <w:spacing w:before="0" w:after="0" w:line="0" w:lineRule="atLeast"/>
        <w:tabs>
          <w:tab w:val="clear" w:pos="8720" w:leader="none"/>
        </w:tabs>
        <w:rPr>
          <w:color w:val="auto"/>
          <w:sz w:val="40"/>
          <w:highlight w:val="none"/>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440" w:right="1080" w:bottom="1440" w:left="1080" w:header="851" w:footer="992" w:gutter="0"/>
          <w:pgNumType w:start="1"/>
          <w:cols w:num="1" w:sep="0" w:space="720" w:equalWidth="1"/>
          <w:docGrid w:linePitch="360"/>
        </w:sectPr>
        <w:outlineLvl w:val="0"/>
      </w:pPr>
      <w:r>
        <w:rPr>
          <w:color w:val="auto"/>
          <w:sz w:val="40"/>
          <w:highlight w:val="none"/>
        </w:rPr>
      </w:r>
      <w:r/>
    </w:p>
    <w:p>
      <w:pPr>
        <w:pStyle w:val="806"/>
        <w:ind w:firstLine="0"/>
        <w:jc w:val="center"/>
        <w:pageBreakBefore/>
        <w:spacing w:before="0" w:after="0" w:line="0" w:lineRule="atLeast"/>
        <w:tabs>
          <w:tab w:val="clear" w:pos="8720" w:leader="none"/>
        </w:tabs>
        <w:rPr>
          <w:b/>
          <w:bCs/>
          <w:color w:val="auto"/>
          <w:sz w:val="40"/>
          <w:highlight w:val="none"/>
        </w:rPr>
        <w:outlineLvl w:val="0"/>
      </w:pPr>
      <w:r/>
      <w:bookmarkStart w:id="1" w:name="_Toc19432"/>
      <w:r/>
      <w:bookmarkStart w:id="2" w:name="_Toc15884"/>
      <w:r/>
      <w:bookmarkStart w:id="3" w:name="_Toc1225"/>
      <w:r/>
      <w:bookmarkStart w:id="4" w:name="_Toc5560"/>
      <w:r/>
      <w:bookmarkStart w:id="5" w:name="_Toc29297"/>
      <w:r/>
      <w:bookmarkStart w:id="6" w:name="_Toc7300"/>
      <w:r/>
      <w:bookmarkStart w:id="7" w:name="_Toc7725"/>
      <w:r/>
      <w:bookmarkStart w:id="8" w:name="_Toc19635"/>
      <w:r>
        <w:rPr>
          <w:rFonts w:hint="eastAsia"/>
          <w:b/>
          <w:bCs/>
          <w:color w:val="auto"/>
          <w:sz w:val="40"/>
          <w:highlight w:val="none"/>
        </w:rPr>
        <w:t xml:space="preserve">第一章  投标邀请</w:t>
      </w:r>
      <w:bookmarkEnd w:id="1"/>
      <w:r>
        <w:rPr>
          <w:rFonts w:hint="eastAsia"/>
          <w:b/>
          <w:bCs/>
          <w:color w:val="auto"/>
          <w:sz w:val="40"/>
          <w:highlight w:val="none"/>
        </w:rPr>
        <w:t xml:space="preserve">（招标公告）</w:t>
      </w:r>
      <w:bookmarkEnd w:id="2"/>
      <w:r/>
      <w:bookmarkEnd w:id="3"/>
      <w:r/>
      <w:bookmarkEnd w:id="4"/>
      <w:r/>
      <w:bookmarkEnd w:id="5"/>
      <w:r/>
      <w:bookmarkEnd w:id="6"/>
      <w:r/>
      <w:bookmarkEnd w:id="7"/>
      <w:r/>
      <w:bookmarkEnd w:id="8"/>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江苏达琛鑫项目管理有限公司</w:t>
      </w:r>
      <w:r>
        <w:rPr>
          <w:rFonts w:hint="eastAsia" w:ascii="宋体" w:hAnsi="宋体" w:cs="宋体"/>
          <w:color w:val="auto"/>
          <w:sz w:val="24"/>
          <w:szCs w:val="24"/>
          <w:highlight w:val="none"/>
        </w:rPr>
        <w:t xml:space="preserve">受</w:t>
      </w:r>
      <w:r>
        <w:rPr>
          <w:rFonts w:hint="eastAsia" w:ascii="宋体" w:hAnsi="宋体" w:cs="宋体"/>
          <w:b/>
          <w:bCs/>
          <w:color w:val="auto"/>
          <w:sz w:val="24"/>
          <w:szCs w:val="24"/>
          <w:highlight w:val="none"/>
          <w:lang w:eastAsia="zh-CN"/>
        </w:rPr>
        <w:t xml:space="preserve">江苏省林业局</w:t>
      </w:r>
      <w:r>
        <w:rPr>
          <w:rFonts w:hint="eastAsia" w:ascii="宋体" w:hAnsi="宋体" w:cs="宋体"/>
          <w:color w:val="auto"/>
          <w:sz w:val="24"/>
          <w:szCs w:val="24"/>
          <w:highlight w:val="none"/>
        </w:rPr>
        <w:t xml:space="preserve">的委托，就</w:t>
      </w:r>
      <w:r>
        <w:rPr>
          <w:rFonts w:hint="eastAsia" w:ascii="宋体" w:hAnsi="宋体" w:cs="宋体"/>
          <w:b/>
          <w:bCs/>
          <w:color w:val="auto"/>
          <w:sz w:val="24"/>
          <w:szCs w:val="24"/>
          <w:highlight w:val="none"/>
          <w:lang w:eastAsia="zh-CN"/>
        </w:rPr>
        <w:t xml:space="preserve">全省食用林产品质量安全监测</w:t>
      </w:r>
      <w:r>
        <w:rPr>
          <w:rFonts w:hint="eastAsia" w:ascii="宋体" w:hAnsi="宋体" w:cs="宋体"/>
          <w:color w:val="auto"/>
          <w:sz w:val="24"/>
          <w:szCs w:val="24"/>
          <w:highlight w:val="none"/>
        </w:rPr>
        <w:t xml:space="preserve">实施</w:t>
      </w:r>
      <w:r>
        <w:rPr>
          <w:rFonts w:hint="eastAsia" w:ascii="宋体" w:hAnsi="宋体" w:cs="宋体"/>
          <w:b/>
          <w:bCs/>
          <w:color w:val="auto"/>
          <w:sz w:val="24"/>
          <w:szCs w:val="24"/>
          <w:highlight w:val="none"/>
        </w:rPr>
        <w:t xml:space="preserve">公开招标</w:t>
      </w:r>
      <w:r>
        <w:rPr>
          <w:rFonts w:hint="eastAsia" w:ascii="宋体" w:hAnsi="宋体" w:cs="宋体"/>
          <w:color w:val="auto"/>
          <w:sz w:val="24"/>
          <w:szCs w:val="24"/>
          <w:highlight w:val="none"/>
        </w:rPr>
        <w:t xml:space="preserve">采购，兹邀请符合条件的投标人参加投标。</w:t>
      </w:r>
      <w:r/>
    </w:p>
    <w:p>
      <w:pPr>
        <w:ind w:firstLine="480"/>
        <w:rPr>
          <w:rFonts w:ascii="宋体" w:hAnsi="宋体" w:cs="宋体"/>
          <w:b/>
          <w:bCs/>
          <w:color w:val="auto"/>
          <w:sz w:val="24"/>
          <w:szCs w:val="24"/>
          <w:highlight w:val="none"/>
        </w:rPr>
        <w:pBdr>
          <w:top w:val="single" w:color="000000" w:sz="4" w:space="1"/>
          <w:left w:val="single" w:color="000000" w:sz="4" w:space="0"/>
          <w:bottom w:val="single" w:color="000000" w:sz="4" w:space="1"/>
          <w:right w:val="single" w:color="000000" w:sz="4" w:space="4"/>
        </w:pBdr>
      </w:pPr>
      <w:r>
        <w:rPr>
          <w:rFonts w:hint="eastAsia" w:ascii="宋体" w:hAnsi="宋体" w:cs="宋体"/>
          <w:b/>
          <w:bCs/>
          <w:color w:val="auto"/>
          <w:sz w:val="24"/>
          <w:szCs w:val="24"/>
          <w:highlight w:val="none"/>
        </w:rPr>
        <w:t xml:space="preserve">项目概况</w:t>
      </w:r>
      <w:r/>
    </w:p>
    <w:p>
      <w:pPr>
        <w:ind w:firstLine="480"/>
        <w:spacing w:line="360" w:lineRule="auto"/>
        <w:rPr>
          <w:rFonts w:ascii="宋体" w:hAnsi="宋体" w:cs="宋体"/>
          <w:color w:val="auto"/>
          <w:sz w:val="24"/>
          <w:szCs w:val="24"/>
          <w:highlight w:val="none"/>
        </w:rPr>
        <w:pBdr>
          <w:top w:val="single" w:color="000000" w:sz="4" w:space="1"/>
          <w:left w:val="single" w:color="000000" w:sz="4" w:space="0"/>
          <w:bottom w:val="single" w:color="000000" w:sz="4" w:space="1"/>
          <w:right w:val="single" w:color="000000" w:sz="4" w:space="4"/>
        </w:pBdr>
      </w:pPr>
      <w:r>
        <w:rPr>
          <w:rFonts w:hint="eastAsia" w:ascii="宋体" w:hAnsi="宋体" w:cs="宋体"/>
          <w:b/>
          <w:bCs/>
          <w:color w:val="auto"/>
          <w:sz w:val="24"/>
          <w:szCs w:val="24"/>
          <w:highlight w:val="none"/>
          <w:u w:val="single"/>
          <w:lang w:eastAsia="zh-CN"/>
        </w:rPr>
        <w:t xml:space="preserve">全省食用林产品质量安全监测</w:t>
      </w:r>
      <w:r>
        <w:rPr>
          <w:rFonts w:hint="eastAsia" w:ascii="宋体" w:hAnsi="宋体" w:cs="宋体"/>
          <w:color w:val="auto"/>
          <w:sz w:val="24"/>
          <w:szCs w:val="24"/>
          <w:highlight w:val="none"/>
        </w:rPr>
        <w:t xml:space="preserve">的潜在投标人应在</w:t>
      </w:r>
      <w:r>
        <w:rPr>
          <w:rFonts w:hint="eastAsia" w:ascii="宋体" w:hAnsi="宋体" w:cs="宋体"/>
          <w:color w:val="auto"/>
          <w:sz w:val="24"/>
          <w:szCs w:val="24"/>
          <w:highlight w:val="none"/>
          <w:u w:val="single"/>
          <w:lang w:eastAsia="zh-CN"/>
        </w:rPr>
        <w:t xml:space="preserve">南京市秦淮区光华东街6号创意产业园15号楼4F</w:t>
      </w:r>
      <w:r>
        <w:rPr>
          <w:rFonts w:hint="eastAsia" w:ascii="宋体" w:hAnsi="宋体" w:cs="宋体"/>
          <w:color w:val="auto"/>
          <w:sz w:val="24"/>
          <w:szCs w:val="24"/>
          <w:highlight w:val="none"/>
        </w:rPr>
        <w:t xml:space="preserve">获取招标文件，并于</w:t>
      </w:r>
      <w:r>
        <w:rPr>
          <w:rFonts w:hint="eastAsia" w:ascii="宋体" w:hAnsi="宋体" w:cs="宋体"/>
          <w:color w:val="auto"/>
          <w:sz w:val="24"/>
          <w:szCs w:val="24"/>
          <w:highlight w:val="none"/>
          <w:u w:val="single"/>
        </w:rPr>
        <w:t xml:space="preserve">202</w:t>
      </w:r>
      <w:r>
        <w:rPr>
          <w:rFonts w:hint="eastAsia" w:ascii="宋体" w:hAnsi="宋体" w:cs="宋体"/>
          <w:color w:val="auto"/>
          <w:sz w:val="24"/>
          <w:szCs w:val="24"/>
          <w:highlight w:val="none"/>
          <w:u w:val="single"/>
          <w:lang w:val="en-US" w:eastAsia="zh-CN"/>
        </w:rPr>
        <w:t xml:space="preserve">6</w:t>
      </w:r>
      <w:r>
        <w:rPr>
          <w:rFonts w:hint="eastAsia" w:ascii="宋体" w:hAnsi="宋体" w:cs="宋体"/>
          <w:color w:val="auto"/>
          <w:sz w:val="24"/>
          <w:szCs w:val="24"/>
          <w:highlight w:val="none"/>
          <w:u w:val="single"/>
        </w:rPr>
        <w:t xml:space="preserve">年</w:t>
      </w:r>
      <w:r>
        <w:rPr>
          <w:rFonts w:hint="eastAsia" w:ascii="宋体" w:hAnsi="宋体" w:cs="宋体"/>
          <w:color w:val="auto"/>
          <w:sz w:val="24"/>
          <w:szCs w:val="24"/>
          <w:highlight w:val="none"/>
          <w:u w:val="single"/>
          <w:lang w:val="en-US" w:eastAsia="zh-CN"/>
        </w:rPr>
        <w:t xml:space="preserve">4</w:t>
      </w:r>
      <w:r>
        <w:rPr>
          <w:rFonts w:hint="eastAsia" w:ascii="宋体" w:hAnsi="宋体" w:cs="宋体"/>
          <w:color w:val="auto"/>
          <w:sz w:val="24"/>
          <w:szCs w:val="24"/>
          <w:highlight w:val="none"/>
          <w:u w:val="single"/>
        </w:rPr>
        <w:t xml:space="preserve">月</w:t>
      </w:r>
      <w:r>
        <w:rPr>
          <w:rFonts w:hint="eastAsia" w:ascii="宋体" w:hAnsi="宋体" w:cs="宋体"/>
          <w:color w:val="auto"/>
          <w:sz w:val="24"/>
          <w:szCs w:val="24"/>
          <w:highlight w:val="none"/>
          <w:u w:val="single"/>
          <w:lang w:val="en-US" w:eastAsia="zh-CN"/>
        </w:rPr>
        <w:t xml:space="preserve">16</w:t>
      </w:r>
      <w:r>
        <w:rPr>
          <w:rFonts w:hint="eastAsia" w:ascii="宋体" w:hAnsi="宋体" w:cs="宋体"/>
          <w:color w:val="auto"/>
          <w:sz w:val="24"/>
          <w:szCs w:val="24"/>
          <w:highlight w:val="none"/>
          <w:u w:val="single"/>
        </w:rPr>
        <w:t xml:space="preserve">日14点00分</w:t>
      </w:r>
      <w:r>
        <w:rPr>
          <w:rFonts w:hint="eastAsia" w:ascii="宋体" w:hAnsi="宋体" w:cs="宋体"/>
          <w:bCs/>
          <w:color w:val="auto"/>
          <w:sz w:val="24"/>
          <w:szCs w:val="24"/>
          <w:highlight w:val="none"/>
        </w:rPr>
        <w:t xml:space="preserve">（北京时间）前提交投标文件</w:t>
      </w:r>
      <w:r>
        <w:rPr>
          <w:rFonts w:hint="eastAsia" w:ascii="宋体" w:hAnsi="宋体" w:cs="宋体"/>
          <w:color w:val="auto"/>
          <w:sz w:val="24"/>
          <w:szCs w:val="24"/>
          <w:highlight w:val="none"/>
        </w:rPr>
        <w:t xml:space="preserve">。</w:t>
      </w:r>
      <w:r/>
    </w:p>
    <w:p>
      <w:pPr>
        <w:numPr>
          <w:ilvl w:val="0"/>
          <w:numId w:val="3"/>
        </w:numPr>
        <w:ind w:firstLine="480"/>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项目基本概况</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1、项目编号：</w:t>
      </w:r>
      <w:r>
        <w:rPr>
          <w:rFonts w:hint="eastAsia" w:ascii="宋体" w:hAnsi="宋体" w:cs="宋体"/>
          <w:color w:val="auto"/>
          <w:sz w:val="24"/>
          <w:szCs w:val="24"/>
          <w:highlight w:val="none"/>
          <w:lang w:eastAsia="zh-CN"/>
        </w:rPr>
        <w:t xml:space="preserve">JSZC-320000-SDCX-G2026-0001</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2、项目名称：</w:t>
      </w:r>
      <w:r>
        <w:rPr>
          <w:rFonts w:hint="eastAsia" w:ascii="宋体" w:hAnsi="宋体" w:cs="宋体"/>
          <w:color w:val="auto"/>
          <w:sz w:val="24"/>
          <w:szCs w:val="24"/>
          <w:highlight w:val="none"/>
          <w:lang w:eastAsia="zh-CN"/>
        </w:rPr>
        <w:t xml:space="preserve">全省食用林产品质量安全监测</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分包划分：</w:t>
      </w:r>
      <w:r/>
    </w:p>
    <w:p>
      <w:pPr>
        <w:ind w:firstLine="480"/>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分包一：</w:t>
      </w:r>
      <w:r>
        <w:rPr>
          <w:rFonts w:hint="eastAsia" w:ascii="宋体" w:hAnsi="宋体" w:cs="宋体"/>
          <w:color w:val="auto"/>
          <w:sz w:val="24"/>
          <w:szCs w:val="24"/>
          <w:highlight w:val="none"/>
          <w:lang w:eastAsia="zh-CN"/>
        </w:rPr>
        <w:t xml:space="preserve">全省食用林产品质量安全监测（分包一）</w:t>
      </w:r>
      <w:r/>
    </w:p>
    <w:p>
      <w:pPr>
        <w:ind w:firstLine="480"/>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分包二：</w:t>
      </w:r>
      <w:r>
        <w:rPr>
          <w:rFonts w:hint="eastAsia" w:ascii="宋体" w:hAnsi="宋体" w:cs="宋体"/>
          <w:color w:val="auto"/>
          <w:sz w:val="24"/>
          <w:szCs w:val="24"/>
          <w:highlight w:val="none"/>
          <w:lang w:eastAsia="zh-CN"/>
        </w:rPr>
        <w:t xml:space="preserve">全省食用林产品质量安全监测（分包二）</w:t>
      </w:r>
      <w:r/>
    </w:p>
    <w:p>
      <w:pPr>
        <w:ind w:firstLine="480"/>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预算</w:t>
      </w:r>
      <w:r>
        <w:rPr>
          <w:rFonts w:hint="eastAsia" w:ascii="宋体" w:hAnsi="宋体" w:cs="宋体"/>
          <w:color w:val="auto"/>
          <w:sz w:val="24"/>
          <w:szCs w:val="24"/>
          <w:highlight w:val="none"/>
          <w:lang w:val="en-US" w:eastAsia="zh-CN"/>
        </w:rPr>
        <w:t xml:space="preserve">总</w:t>
      </w:r>
      <w:r>
        <w:rPr>
          <w:rFonts w:hint="eastAsia" w:ascii="宋体" w:hAnsi="宋体" w:cs="宋体"/>
          <w:color w:val="auto"/>
          <w:sz w:val="24"/>
          <w:szCs w:val="24"/>
          <w:highlight w:val="none"/>
        </w:rPr>
        <w:t xml:space="preserve">金额：人民币</w:t>
      </w:r>
      <w:bookmarkStart w:id="9" w:name="OLE_LINK5"/>
      <w:r/>
      <w:bookmarkStart w:id="10" w:name="OLE_LINK6"/>
      <w:r>
        <w:rPr>
          <w:rFonts w:hint="eastAsia" w:ascii="宋体" w:hAnsi="宋体" w:cs="宋体"/>
          <w:color w:val="auto"/>
          <w:sz w:val="24"/>
          <w:szCs w:val="24"/>
          <w:highlight w:val="none"/>
          <w:lang w:val="en-US" w:eastAsia="zh-CN"/>
        </w:rPr>
        <w:t xml:space="preserve">320万元整</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分包一：全省食用林产品质量安全监测（分包一），人民币165万元</w:t>
      </w:r>
      <w:bookmarkEnd w:id="9"/>
      <w:r/>
      <w:bookmarkEnd w:id="10"/>
      <w:r>
        <w:rPr>
          <w:rFonts w:hint="eastAsia" w:ascii="宋体" w:hAnsi="宋体" w:cs="宋体"/>
          <w:color w:val="auto"/>
          <w:sz w:val="24"/>
          <w:szCs w:val="24"/>
          <w:highlight w:val="none"/>
          <w:lang w:val="en-US" w:eastAsia="zh-CN"/>
        </w:rPr>
        <w:t xml:space="preserve">；</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分包二：</w:t>
      </w:r>
      <w:r>
        <w:rPr>
          <w:rFonts w:hint="eastAsia" w:ascii="宋体" w:hAnsi="宋体" w:cs="宋体"/>
          <w:color w:val="auto"/>
          <w:sz w:val="24"/>
          <w:szCs w:val="24"/>
          <w:highlight w:val="none"/>
          <w:lang w:eastAsia="zh-CN"/>
        </w:rPr>
        <w:t xml:space="preserve">全省食用林产品质量安全监测（分包二），</w:t>
      </w:r>
      <w:r>
        <w:rPr>
          <w:rFonts w:hint="eastAsia" w:ascii="宋体" w:hAnsi="宋体" w:cs="宋体"/>
          <w:color w:val="auto"/>
          <w:sz w:val="24"/>
          <w:szCs w:val="24"/>
          <w:highlight w:val="none"/>
        </w:rPr>
        <w:t xml:space="preserve">人民币</w:t>
      </w:r>
      <w:r>
        <w:rPr>
          <w:rFonts w:hint="eastAsia" w:ascii="宋体" w:hAnsi="宋体" w:cs="宋体"/>
          <w:color w:val="auto"/>
          <w:sz w:val="24"/>
          <w:szCs w:val="24"/>
          <w:highlight w:val="none"/>
          <w:lang w:val="en-US" w:eastAsia="zh-CN"/>
        </w:rPr>
        <w:t xml:space="preserve">155</w:t>
      </w:r>
      <w:r>
        <w:rPr>
          <w:rFonts w:hint="eastAsia" w:ascii="宋体" w:hAnsi="宋体" w:cs="宋体"/>
          <w:color w:val="auto"/>
          <w:sz w:val="24"/>
          <w:szCs w:val="24"/>
          <w:highlight w:val="none"/>
        </w:rPr>
        <w:t xml:space="preserve">万元</w:t>
      </w:r>
      <w:r>
        <w:rPr>
          <w:rFonts w:hint="eastAsia" w:ascii="宋体" w:hAnsi="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、最高限价：人民币</w:t>
      </w:r>
      <w:r>
        <w:rPr>
          <w:rFonts w:hint="eastAsia" w:ascii="宋体" w:hAnsi="宋体" w:cs="宋体"/>
          <w:color w:val="auto"/>
          <w:sz w:val="24"/>
          <w:szCs w:val="24"/>
          <w:highlight w:val="none"/>
          <w:lang w:val="en-US" w:eastAsia="zh-CN"/>
        </w:rPr>
        <w:t xml:space="preserve">320</w:t>
      </w:r>
      <w:r>
        <w:rPr>
          <w:rFonts w:hint="eastAsia" w:ascii="宋体" w:hAnsi="宋体" w:cs="宋体"/>
          <w:color w:val="auto"/>
          <w:sz w:val="24"/>
          <w:szCs w:val="24"/>
          <w:highlight w:val="none"/>
        </w:rPr>
        <w:t xml:space="preserve">万元</w:t>
      </w:r>
      <w:r>
        <w:rPr>
          <w:rFonts w:hint="eastAsia" w:ascii="宋体" w:hAnsi="宋体" w:cs="宋体"/>
          <w:color w:val="auto"/>
          <w:sz w:val="24"/>
          <w:szCs w:val="24"/>
          <w:highlight w:val="none"/>
          <w:lang w:val="en-US" w:eastAsia="zh-CN"/>
        </w:rPr>
        <w:t xml:space="preserve">整</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分包一：人民币165万元；</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分包二：</w:t>
      </w:r>
      <w:r>
        <w:rPr>
          <w:rFonts w:hint="eastAsia" w:ascii="宋体" w:hAnsi="宋体" w:cs="宋体"/>
          <w:color w:val="auto"/>
          <w:sz w:val="24"/>
          <w:szCs w:val="24"/>
          <w:highlight w:val="none"/>
        </w:rPr>
        <w:t xml:space="preserve">人民币</w:t>
      </w:r>
      <w:r>
        <w:rPr>
          <w:rFonts w:hint="eastAsia" w:ascii="宋体" w:hAnsi="宋体" w:cs="宋体"/>
          <w:color w:val="auto"/>
          <w:sz w:val="24"/>
          <w:szCs w:val="24"/>
          <w:highlight w:val="none"/>
          <w:lang w:val="en-US" w:eastAsia="zh-CN"/>
        </w:rPr>
        <w:t xml:space="preserve">155</w:t>
      </w:r>
      <w:r>
        <w:rPr>
          <w:rFonts w:hint="eastAsia" w:ascii="宋体" w:hAnsi="宋体" w:cs="宋体"/>
          <w:color w:val="auto"/>
          <w:sz w:val="24"/>
          <w:szCs w:val="24"/>
          <w:highlight w:val="none"/>
        </w:rPr>
        <w:t xml:space="preserve">万元</w:t>
      </w:r>
      <w:r>
        <w:rPr>
          <w:rFonts w:hint="eastAsia" w:ascii="宋体" w:hAnsi="宋体" w:cs="宋体"/>
          <w:color w:val="auto"/>
          <w:sz w:val="24"/>
          <w:szCs w:val="24"/>
          <w:highlight w:val="none"/>
          <w:lang w:eastAsia="zh-CN"/>
        </w:rPr>
        <w:t xml:space="preserve">。</w:t>
      </w:r>
      <w:r/>
    </w:p>
    <w:p>
      <w:pPr>
        <w:ind w:firstLine="480"/>
        <w:spacing w:line="360" w:lineRule="auto"/>
        <w:rPr>
          <w:rFonts w:ascii="宋体" w:hAnsi="宋体" w:cs="宋体"/>
          <w:b/>
          <w:bCs/>
          <w:i/>
          <w:iCs/>
          <w:color w:val="auto"/>
          <w:sz w:val="24"/>
          <w:szCs w:val="24"/>
          <w:highlight w:val="none"/>
          <w:u w:val="single"/>
        </w:rPr>
      </w:pPr>
      <w:r>
        <w:rPr>
          <w:rFonts w:hint="eastAsia" w:ascii="宋体" w:hAnsi="宋体" w:cs="宋体"/>
          <w:b/>
          <w:bCs/>
          <w:i/>
          <w:iCs/>
          <w:color w:val="auto"/>
          <w:sz w:val="24"/>
          <w:szCs w:val="24"/>
          <w:highlight w:val="none"/>
          <w:u w:val="single"/>
        </w:rPr>
        <w:t xml:space="preserve">投标报价超过政府采购预算和最高限价的为无效报价，按照无效投标处理。</w:t>
      </w:r>
      <w:r/>
    </w:p>
    <w:p>
      <w:pPr>
        <w:ind w:firstLine="480"/>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、项目需求（简介）：根据《国家林草局关于加强食用林产品质量安全监管工作的通知》（林科发〔2018〕129号）</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《国家林业和草原局办公室关于印发2026—2028年省级食用林产品质量安全监测工作计划的通知》（办科字〔202</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133</w:t>
      </w:r>
      <w:r>
        <w:rPr>
          <w:rFonts w:hint="eastAsia" w:ascii="宋体" w:hAnsi="宋体" w:cs="宋体"/>
          <w:color w:val="auto"/>
          <w:sz w:val="24"/>
          <w:szCs w:val="24"/>
          <w:highlight w:val="none"/>
        </w:rPr>
        <w:t xml:space="preserve">号）等要求</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省林业局</w:t>
      </w:r>
      <w:r>
        <w:rPr>
          <w:rFonts w:hint="eastAsia" w:ascii="宋体" w:hAnsi="宋体" w:cs="宋体"/>
          <w:color w:val="auto"/>
          <w:sz w:val="24"/>
          <w:szCs w:val="24"/>
          <w:highlight w:val="none"/>
          <w:lang w:eastAsia="zh-CN"/>
        </w:rPr>
        <w:t xml:space="preserve">拟</w:t>
      </w:r>
      <w:r>
        <w:rPr>
          <w:rFonts w:hint="eastAsia" w:ascii="宋体" w:hAnsi="宋体" w:cs="宋体"/>
          <w:color w:val="auto"/>
          <w:sz w:val="24"/>
          <w:szCs w:val="24"/>
          <w:highlight w:val="none"/>
        </w:rPr>
        <w:t xml:space="preserve">开展</w:t>
      </w:r>
      <w:r>
        <w:rPr>
          <w:rFonts w:hint="eastAsia" w:ascii="宋体" w:hAnsi="宋体" w:cs="宋体"/>
          <w:color w:val="auto"/>
          <w:sz w:val="24"/>
          <w:szCs w:val="24"/>
          <w:highlight w:val="none"/>
          <w:lang w:val="en-US" w:eastAsia="zh-CN"/>
        </w:rPr>
        <w:t xml:space="preserve">2026年</w:t>
      </w:r>
      <w:r>
        <w:rPr>
          <w:rFonts w:hint="eastAsia" w:ascii="宋体" w:hAnsi="宋体" w:cs="宋体"/>
          <w:color w:val="auto"/>
          <w:sz w:val="24"/>
          <w:szCs w:val="24"/>
          <w:highlight w:val="none"/>
          <w:lang w:eastAsia="zh-CN"/>
        </w:rPr>
        <w:t xml:space="preserve">全省食用林产品质量安全监测</w:t>
      </w:r>
      <w:r>
        <w:rPr>
          <w:rFonts w:hint="eastAsia" w:ascii="宋体" w:hAnsi="宋体" w:cs="宋体"/>
          <w:color w:val="auto"/>
          <w:sz w:val="24"/>
          <w:szCs w:val="24"/>
          <w:highlight w:val="none"/>
        </w:rPr>
        <w:t xml:space="preserve">工作</w:t>
      </w:r>
      <w:r>
        <w:rPr>
          <w:rFonts w:hint="eastAsia" w:ascii="宋体" w:hAnsi="宋体" w:cs="宋体"/>
          <w:color w:val="auto"/>
          <w:sz w:val="24"/>
          <w:szCs w:val="24"/>
          <w:highlight w:val="none"/>
          <w:lang w:eastAsia="zh-CN"/>
        </w:rPr>
        <w:t xml:space="preserve">。</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监测对象主要为生产基地的食用林产品和土壤共1080批次，其中1000批次为生产基地的食用林产品和产地环境（土壤）检测，包括银杏（白果）116批次、板栗156 批次、核桃（含薄壳山核桃）367批次、竹笋130批次、蓝莓48批次，产地环境（土壤）183批次；80批次为林下种植的葛根、金银花、元胡等林源药材产品监测，包括葛根25批次、金银花45批次、元胡10批次</w:t>
      </w:r>
      <w:r>
        <w:rPr>
          <w:rFonts w:hint="eastAsia" w:ascii="宋体" w:hAnsi="宋体" w:cs="宋体"/>
          <w:color w:val="auto"/>
          <w:sz w:val="24"/>
          <w:szCs w:val="24"/>
          <w:highlight w:val="none"/>
        </w:rPr>
        <w:t xml:space="preserve">。</w:t>
      </w:r>
      <w:r/>
    </w:p>
    <w:p>
      <w:pPr>
        <w:ind w:firstLine="480"/>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分包一采购内容为</w:t>
      </w:r>
      <w:r>
        <w:rPr>
          <w:rFonts w:hint="eastAsia" w:ascii="宋体" w:hAnsi="宋体" w:cs="宋体"/>
          <w:color w:val="auto"/>
          <w:sz w:val="24"/>
          <w:szCs w:val="24"/>
          <w:highlight w:val="none"/>
        </w:rPr>
        <w:t xml:space="preserve">：银杏、板栗、竹笋与蓝莓质量安全及产地环境（土壤）监测共计564批次</w:t>
      </w:r>
      <w:r>
        <w:rPr>
          <w:rFonts w:hint="eastAsia" w:ascii="宋体" w:hAnsi="宋体" w:cs="宋体"/>
          <w:color w:val="auto"/>
          <w:sz w:val="24"/>
          <w:szCs w:val="24"/>
          <w:highlight w:val="none"/>
          <w:lang w:eastAsia="zh-CN"/>
        </w:rPr>
        <w:t xml:space="preserve">。</w:t>
      </w:r>
      <w:r/>
    </w:p>
    <w:p>
      <w:pPr>
        <w:ind w:firstLine="480"/>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分包二采购内容为</w:t>
      </w:r>
      <w:r>
        <w:rPr>
          <w:rFonts w:hint="eastAsia" w:ascii="宋体" w:hAnsi="宋体" w:cs="宋体"/>
          <w:color w:val="auto"/>
          <w:sz w:val="24"/>
          <w:szCs w:val="24"/>
          <w:highlight w:val="none"/>
          <w:lang w:eastAsia="zh-CN"/>
        </w:rPr>
        <w:t xml:space="preserve">：核桃（含薄壳山核桃）质量安全及产地环境（土壤）监测及林源药材葛根、金银花、元胡产品监测共计516批次。</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每个</w:t>
      </w:r>
      <w:r>
        <w:rPr>
          <w:rFonts w:hint="eastAsia" w:ascii="宋体" w:hAnsi="宋体" w:cs="宋体"/>
          <w:color w:val="auto"/>
          <w:sz w:val="24"/>
          <w:szCs w:val="24"/>
          <w:highlight w:val="none"/>
          <w:lang w:val="en-US" w:eastAsia="zh-CN"/>
        </w:rPr>
        <w:t xml:space="preserve">分包</w:t>
      </w:r>
      <w:r>
        <w:rPr>
          <w:rFonts w:hint="eastAsia" w:ascii="宋体" w:hAnsi="宋体" w:cs="宋体"/>
          <w:color w:val="auto"/>
          <w:sz w:val="24"/>
          <w:szCs w:val="24"/>
          <w:highlight w:val="none"/>
          <w:lang w:eastAsia="zh-CN"/>
        </w:rPr>
        <w:t xml:space="preserve">各推荐3名中标候选人，同一供应商允许兼投，但不得兼中；若各</w:t>
      </w:r>
      <w:r>
        <w:rPr>
          <w:rFonts w:hint="eastAsia" w:ascii="宋体" w:hAnsi="宋体" w:cs="宋体"/>
          <w:color w:val="auto"/>
          <w:sz w:val="24"/>
          <w:szCs w:val="24"/>
          <w:highlight w:val="none"/>
          <w:lang w:val="en-US" w:eastAsia="zh-CN"/>
        </w:rPr>
        <w:t xml:space="preserve">分包</w:t>
      </w:r>
      <w:r>
        <w:rPr>
          <w:rFonts w:hint="eastAsia" w:ascii="宋体" w:hAnsi="宋体" w:cs="宋体"/>
          <w:color w:val="auto"/>
          <w:sz w:val="24"/>
          <w:szCs w:val="24"/>
          <w:highlight w:val="none"/>
          <w:lang w:eastAsia="zh-CN"/>
        </w:rPr>
        <w:t xml:space="preserve">综合排名为第一的供应商为同一个候选人，则以预算金额最高的</w:t>
      </w:r>
      <w:r>
        <w:rPr>
          <w:rFonts w:hint="eastAsia" w:ascii="宋体" w:hAnsi="宋体" w:cs="宋体"/>
          <w:color w:val="auto"/>
          <w:sz w:val="24"/>
          <w:szCs w:val="24"/>
          <w:highlight w:val="none"/>
          <w:lang w:val="en-US" w:eastAsia="zh-CN"/>
        </w:rPr>
        <w:t xml:space="preserve">分包</w:t>
      </w:r>
      <w:r>
        <w:rPr>
          <w:rFonts w:hint="eastAsia" w:ascii="宋体" w:hAnsi="宋体" w:cs="宋体"/>
          <w:color w:val="auto"/>
          <w:sz w:val="24"/>
          <w:szCs w:val="24"/>
          <w:highlight w:val="none"/>
          <w:lang w:eastAsia="zh-CN"/>
        </w:rPr>
        <w:t xml:space="preserve">为中标候选人。</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服务时间</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TW" w:eastAsia="zh-CN"/>
        </w:rPr>
        <w:t xml:space="preserve">自合同签订之日起至</w:t>
      </w:r>
      <w:r>
        <w:rPr>
          <w:rFonts w:hint="eastAsia" w:ascii="宋体" w:hAnsi="宋体" w:cs="宋体"/>
          <w:color w:val="auto"/>
          <w:sz w:val="24"/>
          <w:szCs w:val="24"/>
          <w:highlight w:val="none"/>
          <w:lang w:val="en-US" w:eastAsia="zh-CN"/>
        </w:rPr>
        <w:t xml:space="preserve">2026年12月15日</w:t>
      </w:r>
      <w:r>
        <w:rPr>
          <w:rFonts w:hint="eastAsia" w:ascii="宋体" w:hAnsi="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、本项目接受联合体：</w:t>
      </w:r>
      <w:r>
        <w:rPr>
          <w:rFonts w:hint="eastAsia" w:ascii="宋体" w:hAnsi="宋体" w:cs="宋体"/>
          <w:color w:val="auto"/>
          <w:sz w:val="24"/>
          <w:szCs w:val="24"/>
          <w:highlight w:val="none"/>
          <w:lang w:val="en-US" w:eastAsia="zh-CN"/>
        </w:rPr>
        <w:t xml:space="preserve">需提供联合体协议书(加盖公章，且须载明联合体牵头人)。</w:t>
      </w:r>
      <w:r/>
    </w:p>
    <w:p>
      <w:pPr>
        <w:ind w:firstLine="480"/>
        <w:spacing w:line="360" w:lineRule="auto"/>
        <w:tabs>
          <w:tab w:val="left" w:pos="7810" w:leader="none"/>
        </w:tabs>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二、申请人的资格要求</w:t>
      </w:r>
      <w:r>
        <w:rPr>
          <w:rFonts w:hint="eastAsia" w:ascii="宋体" w:hAnsi="宋体" w:cs="宋体"/>
          <w:b/>
          <w:bCs/>
          <w:color w:val="auto"/>
          <w:sz w:val="24"/>
          <w:szCs w:val="24"/>
          <w:highlight w:val="none"/>
        </w:rPr>
        <w:tab/>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（一）满足《中华人民共和国政府采购法》第二十二条规定：</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1、具有独立承担民事责任的能力（提供法人或者其他组织的营业执照复印件并加盖公章，或者自然人的身份证明）；</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2、具有良好的商业信誉和健全的财务会计制度（提供202</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年度</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或2024年度</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的财务报告或银行出具的企业资信证明，法人或者其他组织成立未满一年的可提供近半年内任一月的资产负债和利润表）；</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3、具有履行合同所必需的设备和专业技术能力（根据项目需求提供履行合同所必需的设备和专业技术能力的证明材料或声明函）；</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4、有依法缴纳税收和社会保障资金的良好记录（提供参加本次采购活动前依法缴纳税收及社会保险的凭据。依法免缴、迟缴的应提供相应文件证明）；</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5、参加本次采购活动前3年内在经营活动中没有重大违法记录（提供参加本次采购活动前3年内在经营活动中没有重大违法记录的书面声明）；</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6、法律、行政法规规定的其他条件。</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（二）落实政府采购政策需满足的资格要求：本项目不专门面向中小企业采购，执行价格扣除优惠政策，供应商为小微企业的，报价给予</w:t>
      </w:r>
      <w:r>
        <w:rPr>
          <w:rFonts w:hint="eastAsia" w:ascii="宋体" w:hAnsi="宋体" w:cs="宋体"/>
          <w:b/>
          <w:bCs/>
          <w:color w:val="auto"/>
          <w:sz w:val="24"/>
          <w:szCs w:val="24"/>
          <w:highlight w:val="none"/>
        </w:rPr>
        <w:t xml:space="preserve">10%</w:t>
      </w:r>
      <w:r>
        <w:rPr>
          <w:rFonts w:hint="eastAsia" w:ascii="宋体" w:hAnsi="宋体" w:cs="宋体"/>
          <w:color w:val="auto"/>
          <w:sz w:val="24"/>
          <w:szCs w:val="24"/>
          <w:highlight w:val="none"/>
        </w:rPr>
        <w:t xml:space="preserve">的扣除。提供《中小企业声明函》；监狱和戒毒企业视同小型、微型企业，提供由省级以上监狱管理局、戒毒管理局(含新疆生产建设兵团)出具的属于监狱企业的证明文件；残疾人福利性单位视同小型、微型企业，提供《残疾人福利性单位声明函》。</w:t>
      </w:r>
      <w:r/>
    </w:p>
    <w:p>
      <w:pPr>
        <w:ind w:firstLine="480"/>
        <w:spacing w:line="360" w:lineRule="auto"/>
        <w:rPr>
          <w:rFonts w:ascii="宋体" w:hAnsi="宋体" w:cs="宋体"/>
          <w:bCs/>
          <w:color w:val="auto"/>
          <w:sz w:val="24"/>
          <w:szCs w:val="24"/>
          <w:highlight w:val="none"/>
          <w:u w:val="single"/>
        </w:rPr>
      </w:pPr>
      <w:r>
        <w:rPr>
          <w:rFonts w:hint="eastAsia" w:ascii="宋体" w:hAnsi="宋体" w:cs="宋体"/>
          <w:bCs/>
          <w:color w:val="auto"/>
          <w:sz w:val="24"/>
          <w:szCs w:val="24"/>
          <w:highlight w:val="none"/>
        </w:rPr>
        <w:t xml:space="preserve">本项目采购标的对应的中小企业划分标准所属行业为：</w:t>
      </w:r>
      <w:r>
        <w:rPr>
          <w:rFonts w:hint="eastAsia" w:ascii="宋体" w:hAnsi="宋体" w:cs="宋体"/>
          <w:bCs/>
          <w:color w:val="auto"/>
          <w:sz w:val="24"/>
          <w:szCs w:val="24"/>
          <w:highlight w:val="none"/>
          <w:u w:val="single"/>
        </w:rPr>
        <w:t xml:space="preserve">其他未列明行业</w:t>
      </w:r>
      <w:r>
        <w:rPr>
          <w:rFonts w:hint="eastAsia" w:ascii="宋体" w:hAnsi="宋体" w:cs="宋体"/>
          <w:bCs/>
          <w:color w:val="auto"/>
          <w:sz w:val="24"/>
          <w:szCs w:val="24"/>
          <w:highlight w:val="none"/>
        </w:rPr>
        <w:t xml:space="preserve">。</w:t>
      </w:r>
      <w:r/>
    </w:p>
    <w:p>
      <w:pPr>
        <w:numPr>
          <w:ilvl w:val="0"/>
          <w:numId w:val="0"/>
        </w:numPr>
        <w:ind w:firstLine="480"/>
        <w:spacing w:line="360" w:lineRule="auto"/>
        <w:rPr>
          <w:rFonts w:ascii="宋体" w:hAnsi="宋体" w:cs="宋体"/>
          <w:b/>
          <w:bCs/>
          <w:i/>
          <w:iCs/>
          <w:color w:val="auto"/>
          <w:sz w:val="24"/>
          <w:szCs w:val="24"/>
          <w:highlight w:val="none"/>
          <w:u w:val="single"/>
        </w:rPr>
      </w:pPr>
      <w:r>
        <w:rPr>
          <w:rFonts w:hint="eastAsia" w:ascii="宋体" w:hAnsi="宋体" w:eastAsia="宋体" w:cs="宋体"/>
          <w:b w:val="0"/>
          <w:bCs w:val="0"/>
          <w:i w:val="0"/>
          <w:iCs w:val="0"/>
          <w:color w:val="auto"/>
          <w:sz w:val="24"/>
          <w:szCs w:val="24"/>
          <w:u w:val="none"/>
          <w:lang w:val="en-US" w:eastAsia="zh-CN" w:bidi="ar-SA"/>
        </w:rPr>
        <w:t xml:space="preserve">（三）</w:t>
      </w:r>
      <w:r>
        <w:rPr>
          <w:rFonts w:hint="eastAsia" w:ascii="宋体" w:hAnsi="宋体" w:cs="宋体"/>
          <w:color w:val="auto"/>
          <w:sz w:val="24"/>
          <w:szCs w:val="24"/>
          <w:highlight w:val="none"/>
        </w:rPr>
        <w:t xml:space="preserve">其他资格要求：</w:t>
      </w:r>
      <w:r>
        <w:rPr>
          <w:rFonts w:hint="eastAsia" w:ascii="宋体" w:hAnsi="宋体" w:cs="宋体"/>
          <w:b/>
          <w:bCs/>
          <w:color w:val="auto"/>
          <w:sz w:val="24"/>
          <w:szCs w:val="24"/>
          <w:highlight w:val="none"/>
        </w:rPr>
        <w:t xml:space="preserve">具备在有效期内的检验检测机构资质认定证书（CMA）、省级以上农业农村部门颁发的农产品质量安全检验检测机构考核证书（CATL）</w:t>
      </w:r>
      <w:r>
        <w:rPr>
          <w:rFonts w:hint="eastAsia" w:ascii="宋体" w:hAnsi="宋体" w:cs="宋体"/>
          <w:b/>
          <w:bCs/>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lang w:eastAsia="zh-CN"/>
        </w:rPr>
        <w:t xml:space="preserve">）本项目接受联合体投标</w:t>
      </w:r>
      <w:r>
        <w:rPr>
          <w:rFonts w:hint="eastAsia" w:ascii="宋体" w:hAnsi="宋体" w:eastAsia="宋体" w:cs="宋体"/>
          <w:color w:val="auto"/>
          <w:sz w:val="24"/>
          <w:szCs w:val="24"/>
          <w:highlight w:val="none"/>
          <w:lang w:val="en-US" w:eastAsia="zh-CN"/>
        </w:rPr>
        <w:t xml:space="preserve">：</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联合体投标的可由两个以上的自然人、法人或者其他组织组成一个联合体，以一个供应商的身份共同参加政府采购活动，联合体中的各方不得再以独立身份或其他联合体成员身份参与同一项目的政府采购活动，联合体成员存在不良信用记录的，视同联合体存在不良信用记录。联合体投标</w:t>
      </w:r>
      <w:r>
        <w:rPr>
          <w:rFonts w:hint="eastAsia" w:ascii="宋体" w:hAnsi="宋体" w:eastAsia="宋体" w:cs="宋体"/>
          <w:b/>
          <w:bCs/>
          <w:color w:val="auto"/>
          <w:sz w:val="24"/>
          <w:szCs w:val="24"/>
          <w:highlight w:val="none"/>
          <w:lang w:eastAsia="zh-CN"/>
        </w:rPr>
        <w:t xml:space="preserve">需提供联合体协议书（</w:t>
      </w:r>
      <w:r>
        <w:rPr>
          <w:rFonts w:hint="eastAsia" w:ascii="宋体" w:hAnsi="宋体" w:eastAsia="宋体" w:cs="宋体"/>
          <w:b/>
          <w:bCs/>
          <w:color w:val="auto"/>
          <w:sz w:val="24"/>
          <w:szCs w:val="24"/>
          <w:highlight w:val="none"/>
          <w:lang w:val="en-US" w:eastAsia="zh-CN"/>
        </w:rPr>
        <w:t xml:space="preserve">加盖公章，且</w:t>
      </w:r>
      <w:r>
        <w:rPr>
          <w:rFonts w:hint="eastAsia" w:ascii="宋体" w:hAnsi="宋体" w:eastAsia="宋体" w:cs="宋体"/>
          <w:b/>
          <w:bCs/>
          <w:color w:val="auto"/>
          <w:sz w:val="24"/>
          <w:szCs w:val="24"/>
          <w:highlight w:val="none"/>
          <w:lang w:eastAsia="zh-CN"/>
        </w:rPr>
        <w:t xml:space="preserve">须载明联合体牵头人）。</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五</w:t>
      </w:r>
      <w:r>
        <w:rPr>
          <w:rFonts w:hint="eastAsia" w:ascii="宋体" w:hAnsi="宋体" w:cs="宋体"/>
          <w:color w:val="auto"/>
          <w:sz w:val="24"/>
          <w:szCs w:val="24"/>
          <w:highlight w:val="none"/>
        </w:rPr>
        <w:t xml:space="preserve">）拒绝下述投标人参加本次招标活动：</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1、投标人单位负责人为同一人或者存在直接控股、管理关系的不同投标人，不得参加同一合同项下的政府采购活动。</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2、凡为采购项目提供整体设计、规范编制或者项目管理、监理、检测等服务的投标人，不得再参加该采购项目的其他采购活动。</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3、投标人在投标截止日前被“信用中国”网站（www.creditchina.gov.cn）、“中国政府采购网”(www.ccgp.gov.cn)列入失信被执行人、重大税收违法案件当事人名单、政府招标严重违法失信行为记录名单</w:t>
      </w:r>
      <w:r>
        <w:rPr>
          <w:rFonts w:hint="eastAsia" w:ascii="宋体" w:hAnsi="宋体" w:cs="宋体"/>
          <w:bCs/>
          <w:color w:val="auto"/>
          <w:sz w:val="24"/>
          <w:szCs w:val="24"/>
          <w:highlight w:val="none"/>
          <w:lang w:bidi="ar"/>
        </w:rPr>
        <w:t xml:space="preserve">的投标人</w:t>
      </w:r>
      <w:r>
        <w:rPr>
          <w:rFonts w:hint="eastAsia" w:ascii="宋体" w:hAnsi="宋体" w:cs="宋体"/>
          <w:color w:val="auto"/>
          <w:sz w:val="24"/>
          <w:szCs w:val="24"/>
          <w:highlight w:val="none"/>
        </w:rPr>
        <w:t xml:space="preserve">。（提供网页截图）</w:t>
      </w:r>
      <w:r/>
    </w:p>
    <w:p>
      <w:pPr>
        <w:ind w:firstLine="480"/>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三、获取招标文件发布信息及获取要求</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1、招标公告在“江苏政府采购网（http://www.ccgp-jiangsu.gov.cn）”</w:t>
      </w:r>
      <w:r>
        <w:rPr>
          <w:rFonts w:hint="eastAsia" w:ascii="宋体" w:hAnsi="宋体" w:cs="宋体"/>
          <w:color w:val="auto"/>
          <w:sz w:val="24"/>
          <w:szCs w:val="24"/>
          <w:highlight w:val="none"/>
        </w:rPr>
        <w:t xml:space="preserve">发布，</w:t>
      </w:r>
      <w:r>
        <w:rPr>
          <w:rFonts w:hint="eastAsia" w:ascii="宋体" w:hAnsi="宋体" w:cs="宋体"/>
          <w:bCs/>
          <w:color w:val="auto"/>
          <w:sz w:val="24"/>
          <w:highlight w:val="none"/>
        </w:rPr>
        <w:t xml:space="preserve">投标人如确定参加投标，须获取招标文件。</w:t>
      </w:r>
      <w:r/>
    </w:p>
    <w:p>
      <w:pPr>
        <w:ind w:firstLine="480"/>
        <w:jc w:val="left"/>
        <w:spacing w:line="360" w:lineRule="auto"/>
        <w:rPr>
          <w:rFonts w:ascii="宋体" w:hAnsi="宋体" w:cs="宋体"/>
          <w:bCs/>
          <w:color w:val="auto"/>
          <w:sz w:val="24"/>
          <w:highlight w:val="none"/>
        </w:rPr>
      </w:pPr>
      <w:r>
        <w:rPr>
          <w:rFonts w:hint="eastAsia" w:ascii="宋体" w:hAnsi="宋体" w:cs="宋体"/>
          <w:color w:val="auto"/>
          <w:sz w:val="24"/>
          <w:szCs w:val="24"/>
          <w:highlight w:val="none"/>
        </w:rPr>
        <w:t xml:space="preserve">2、招标文件获取时间：</w:t>
      </w:r>
      <w:r>
        <w:rPr>
          <w:rFonts w:hint="eastAsia" w:ascii="宋体" w:hAnsi="宋体" w:cs="宋体"/>
          <w:bCs/>
          <w:color w:val="auto"/>
          <w:sz w:val="24"/>
          <w:highlight w:val="none"/>
        </w:rPr>
        <w:t xml:space="preserve">202</w:t>
      </w:r>
      <w:r>
        <w:rPr>
          <w:rFonts w:hint="eastAsia" w:ascii="宋体" w:hAnsi="宋体" w:cs="宋体"/>
          <w:bCs/>
          <w:color w:val="auto"/>
          <w:sz w:val="24"/>
          <w:highlight w:val="none"/>
          <w:lang w:val="en-US" w:eastAsia="zh-CN"/>
        </w:rPr>
        <w:t xml:space="preserve">6</w:t>
      </w:r>
      <w:r>
        <w:rPr>
          <w:rFonts w:hint="eastAsia" w:ascii="宋体" w:hAnsi="宋体" w:cs="宋体"/>
          <w:bCs/>
          <w:color w:val="auto"/>
          <w:sz w:val="24"/>
          <w:highlight w:val="none"/>
        </w:rPr>
        <w:t xml:space="preserve">年</w:t>
      </w:r>
      <w:r>
        <w:rPr>
          <w:rFonts w:hint="eastAsia" w:ascii="宋体" w:hAnsi="宋体" w:cs="宋体"/>
          <w:bCs/>
          <w:color w:val="auto"/>
          <w:sz w:val="24"/>
          <w:highlight w:val="none"/>
          <w:lang w:val="en-US" w:eastAsia="zh-CN"/>
        </w:rPr>
        <w:t xml:space="preserve">3</w:t>
      </w:r>
      <w:r>
        <w:rPr>
          <w:rFonts w:hint="eastAsia" w:ascii="宋体" w:hAnsi="宋体" w:cs="宋体"/>
          <w:bCs/>
          <w:color w:val="auto"/>
          <w:sz w:val="24"/>
          <w:highlight w:val="none"/>
        </w:rPr>
        <w:t xml:space="preserve">月</w:t>
      </w:r>
      <w:r>
        <w:rPr>
          <w:rFonts w:hint="eastAsia" w:ascii="宋体" w:hAnsi="宋体" w:cs="宋体"/>
          <w:bCs/>
          <w:color w:val="auto"/>
          <w:sz w:val="24"/>
          <w:highlight w:val="none"/>
          <w:lang w:val="en-US" w:eastAsia="zh-CN"/>
        </w:rPr>
        <w:t xml:space="preserve">27</w:t>
      </w:r>
      <w:r>
        <w:rPr>
          <w:rFonts w:hint="eastAsia" w:ascii="宋体" w:hAnsi="宋体" w:cs="宋体"/>
          <w:bCs/>
          <w:color w:val="auto"/>
          <w:sz w:val="24"/>
          <w:highlight w:val="none"/>
        </w:rPr>
        <w:t xml:space="preserve">日起至202</w:t>
      </w:r>
      <w:r>
        <w:rPr>
          <w:rFonts w:hint="eastAsia" w:ascii="宋体" w:hAnsi="宋体" w:cs="宋体"/>
          <w:bCs/>
          <w:color w:val="auto"/>
          <w:sz w:val="24"/>
          <w:highlight w:val="none"/>
          <w:lang w:val="en-US" w:eastAsia="zh-CN"/>
        </w:rPr>
        <w:t xml:space="preserve">6</w:t>
      </w:r>
      <w:r>
        <w:rPr>
          <w:rFonts w:hint="eastAsia" w:ascii="宋体" w:hAnsi="宋体" w:cs="宋体"/>
          <w:bCs/>
          <w:color w:val="auto"/>
          <w:sz w:val="24"/>
          <w:highlight w:val="none"/>
        </w:rPr>
        <w:t xml:space="preserve">年</w:t>
      </w:r>
      <w:r>
        <w:rPr>
          <w:rFonts w:hint="eastAsia" w:ascii="宋体" w:hAnsi="宋体" w:cs="宋体"/>
          <w:bCs/>
          <w:color w:val="auto"/>
          <w:sz w:val="24"/>
          <w:highlight w:val="none"/>
          <w:lang w:val="en-US" w:eastAsia="zh-CN"/>
        </w:rPr>
        <w:t xml:space="preserve">4</w:t>
      </w:r>
      <w:r>
        <w:rPr>
          <w:rFonts w:hint="eastAsia" w:ascii="宋体" w:hAnsi="宋体" w:cs="宋体"/>
          <w:bCs/>
          <w:color w:val="auto"/>
          <w:sz w:val="24"/>
          <w:highlight w:val="none"/>
        </w:rPr>
        <w:t xml:space="preserve">月</w:t>
      </w:r>
      <w:r>
        <w:rPr>
          <w:rFonts w:hint="eastAsia" w:ascii="宋体" w:hAnsi="宋体" w:cs="宋体"/>
          <w:bCs/>
          <w:color w:val="auto"/>
          <w:sz w:val="24"/>
          <w:highlight w:val="none"/>
          <w:lang w:val="en-US" w:eastAsia="zh-CN"/>
        </w:rPr>
        <w:t xml:space="preserve">2</w:t>
      </w:r>
      <w:r>
        <w:rPr>
          <w:rFonts w:hint="eastAsia" w:ascii="宋体" w:hAnsi="宋体" w:cs="宋体"/>
          <w:bCs/>
          <w:color w:val="auto"/>
          <w:sz w:val="24"/>
          <w:highlight w:val="none"/>
        </w:rPr>
        <w:t xml:space="preserve">日每天</w:t>
      </w:r>
      <w:r>
        <w:rPr>
          <w:rFonts w:hint="eastAsia" w:ascii="宋体" w:hAnsi="宋体" w:cs="宋体"/>
          <w:color w:val="auto"/>
          <w:sz w:val="24"/>
          <w:szCs w:val="32"/>
          <w:highlight w:val="none"/>
        </w:rPr>
        <w:t xml:space="preserve">（节假日除外）北京时间</w:t>
      </w:r>
      <w:r>
        <w:rPr>
          <w:rFonts w:hint="eastAsia" w:ascii="宋体" w:hAnsi="宋体" w:cs="宋体"/>
          <w:bCs/>
          <w:color w:val="auto"/>
          <w:sz w:val="24"/>
          <w:highlight w:val="none"/>
        </w:rPr>
        <w:t xml:space="preserve">09:00-12:00、13:30-17:</w:t>
      </w:r>
      <w:r>
        <w:rPr>
          <w:rFonts w:hint="eastAsia" w:ascii="宋体" w:hAnsi="宋体" w:cs="宋体"/>
          <w:bCs/>
          <w:color w:val="auto"/>
          <w:sz w:val="24"/>
          <w:highlight w:val="none"/>
          <w:lang w:val="en-US" w:eastAsia="zh-CN"/>
        </w:rPr>
        <w:t xml:space="preserve">3</w:t>
      </w:r>
      <w:r>
        <w:rPr>
          <w:rFonts w:hint="eastAsia" w:ascii="宋体" w:hAnsi="宋体" w:cs="宋体"/>
          <w:bCs/>
          <w:color w:val="auto"/>
          <w:sz w:val="24"/>
          <w:highlight w:val="none"/>
        </w:rPr>
        <w:t xml:space="preserve">0。</w:t>
      </w:r>
      <w:r/>
    </w:p>
    <w:p>
      <w:pPr>
        <w:ind w:firstLine="480"/>
        <w:spacing w:line="360" w:lineRule="auto"/>
        <w:rPr>
          <w:rFonts w:ascii="宋体" w:hAnsi="宋体" w:cs="宋体"/>
          <w:b/>
          <w:bCs/>
          <w:color w:val="auto"/>
          <w:sz w:val="24"/>
          <w:szCs w:val="32"/>
          <w:highlight w:val="none"/>
        </w:rPr>
      </w:pPr>
      <w:r>
        <w:rPr>
          <w:rFonts w:hint="eastAsia" w:ascii="宋体" w:hAnsi="宋体" w:cs="宋体"/>
          <w:color w:val="auto"/>
          <w:sz w:val="24"/>
          <w:szCs w:val="24"/>
          <w:highlight w:val="none"/>
        </w:rPr>
        <w:t xml:space="preserve">3、</w:t>
      </w:r>
      <w:r>
        <w:rPr>
          <w:rFonts w:hint="eastAsia" w:ascii="宋体" w:hAnsi="宋体" w:cs="宋体"/>
          <w:bCs/>
          <w:color w:val="auto"/>
          <w:sz w:val="24"/>
          <w:highlight w:val="none"/>
        </w:rPr>
        <w:t xml:space="preserve">招标文件</w:t>
      </w:r>
      <w:r>
        <w:rPr>
          <w:rFonts w:hint="eastAsia" w:ascii="宋体" w:hAnsi="宋体" w:cs="宋体"/>
          <w:color w:val="auto"/>
          <w:sz w:val="24"/>
          <w:szCs w:val="24"/>
          <w:highlight w:val="none"/>
        </w:rPr>
        <w:t xml:space="preserve">获取</w:t>
      </w:r>
      <w:r>
        <w:rPr>
          <w:rFonts w:hint="eastAsia" w:ascii="宋体" w:hAnsi="宋体" w:cs="宋体"/>
          <w:bCs/>
          <w:color w:val="auto"/>
          <w:sz w:val="24"/>
          <w:highlight w:val="none"/>
        </w:rPr>
        <w:t xml:space="preserve">地点：</w:t>
      </w:r>
      <w:r>
        <w:rPr>
          <w:rFonts w:hint="eastAsia" w:ascii="宋体" w:hAnsi="宋体" w:cs="宋体"/>
          <w:color w:val="auto"/>
          <w:spacing w:val="-6"/>
          <w:sz w:val="24"/>
          <w:szCs w:val="24"/>
          <w:highlight w:val="none"/>
          <w:lang w:eastAsia="zh-CN"/>
        </w:rPr>
        <w:t xml:space="preserve">南京市秦淮区光华东街6号创意产业园15号楼4F</w:t>
      </w:r>
      <w:r>
        <w:rPr>
          <w:rFonts w:hint="eastAsia" w:ascii="宋体" w:hAnsi="宋体" w:cs="宋体"/>
          <w:color w:val="auto"/>
          <w:spacing w:val="-6"/>
          <w:sz w:val="24"/>
          <w:szCs w:val="24"/>
          <w:highlight w:val="none"/>
        </w:rPr>
        <w:t xml:space="preserve">，</w:t>
      </w:r>
      <w:r>
        <w:rPr>
          <w:rFonts w:hint="eastAsia" w:ascii="宋体" w:hAnsi="宋体" w:cs="宋体"/>
          <w:bCs/>
          <w:color w:val="auto"/>
          <w:sz w:val="24"/>
          <w:highlight w:val="none"/>
          <w:lang w:eastAsia="zh-CN"/>
        </w:rPr>
        <w:t xml:space="preserve">江苏达琛鑫项目管理有限公司</w:t>
      </w:r>
      <w:r>
        <w:rPr>
          <w:rFonts w:hint="eastAsia" w:ascii="宋体" w:hAnsi="宋体" w:cs="宋体"/>
          <w:bCs/>
          <w:color w:val="auto"/>
          <w:sz w:val="24"/>
          <w:highlight w:val="none"/>
        </w:rPr>
        <w:t xml:space="preserve">，联系电话</w:t>
      </w:r>
      <w:r>
        <w:rPr>
          <w:rFonts w:hint="eastAsia" w:ascii="宋体" w:hAnsi="宋体" w:cs="宋体"/>
          <w:bCs/>
          <w:color w:val="auto"/>
          <w:sz w:val="24"/>
          <w:highlight w:val="none"/>
          <w:lang w:eastAsia="zh-CN"/>
        </w:rPr>
        <w:t xml:space="preserve">025-83229277（</w:t>
      </w:r>
      <w:r>
        <w:rPr>
          <w:rFonts w:hint="eastAsia" w:ascii="宋体" w:hAnsi="宋体" w:cs="宋体"/>
          <w:bCs/>
          <w:color w:val="auto"/>
          <w:sz w:val="24"/>
          <w:highlight w:val="none"/>
          <w:lang w:val="en-US" w:eastAsia="zh-CN"/>
        </w:rPr>
        <w:t xml:space="preserve">转8006</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w:t>
      </w:r>
      <w:r/>
    </w:p>
    <w:p>
      <w:pPr>
        <w:ind w:firstLine="480"/>
        <w:spacing w:line="360" w:lineRule="auto"/>
        <w:tabs>
          <w:tab w:val="left" w:pos="7810" w:leader="none"/>
        </w:tabs>
        <w:rPr>
          <w:rFonts w:ascii="宋体" w:hAnsi="宋体" w:cs="宋体"/>
          <w:b/>
          <w:bCs/>
          <w:color w:val="auto"/>
          <w:sz w:val="24"/>
          <w:szCs w:val="24"/>
          <w:highlight w:val="none"/>
        </w:rPr>
      </w:pPr>
      <w:r/>
      <w:bookmarkStart w:id="11" w:name="_Toc14178"/>
      <w:r/>
      <w:bookmarkStart w:id="12" w:name="_Toc24653"/>
      <w:r>
        <w:rPr>
          <w:rFonts w:hint="eastAsia" w:ascii="宋体" w:hAnsi="宋体" w:cs="宋体"/>
          <w:b/>
          <w:bCs/>
          <w:color w:val="auto"/>
          <w:sz w:val="24"/>
          <w:szCs w:val="24"/>
          <w:highlight w:val="none"/>
        </w:rPr>
        <w:t xml:space="preserve">四、提交投标文件截止时间、开标时间和地点</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1、提交投标文件截止时间、开标时间：202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16</w:t>
      </w:r>
      <w:r>
        <w:rPr>
          <w:rFonts w:hint="eastAsia" w:ascii="宋体" w:hAnsi="宋体" w:cs="宋体"/>
          <w:color w:val="auto"/>
          <w:sz w:val="24"/>
          <w:szCs w:val="24"/>
          <w:highlight w:val="none"/>
        </w:rPr>
        <w:t xml:space="preserve">日14：00 分（北京时间）。</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bCs/>
          <w:color w:val="auto"/>
          <w:sz w:val="24"/>
          <w:highlight w:val="none"/>
        </w:rPr>
        <w:t xml:space="preserve">地点：</w:t>
      </w:r>
      <w:r>
        <w:rPr>
          <w:rFonts w:hint="eastAsia" w:ascii="宋体" w:hAnsi="宋体" w:cs="宋体"/>
          <w:color w:val="auto"/>
          <w:spacing w:val="-6"/>
          <w:sz w:val="24"/>
          <w:szCs w:val="24"/>
          <w:highlight w:val="none"/>
          <w:lang w:eastAsia="zh-CN"/>
        </w:rPr>
        <w:t xml:space="preserve">南京市秦淮区光华东街6号创意产业园15号楼3F</w:t>
      </w:r>
      <w:r>
        <w:rPr>
          <w:rFonts w:hint="eastAsia" w:ascii="宋体" w:hAnsi="宋体" w:cs="宋体"/>
          <w:color w:val="auto"/>
          <w:spacing w:val="-6"/>
          <w:sz w:val="24"/>
          <w:szCs w:val="24"/>
          <w:highlight w:val="none"/>
        </w:rPr>
        <w:t xml:space="preserve">会议室</w:t>
      </w:r>
      <w:r>
        <w:rPr>
          <w:rFonts w:hint="eastAsia" w:ascii="宋体" w:hAnsi="宋体" w:cs="宋体"/>
          <w:color w:val="auto"/>
          <w:sz w:val="24"/>
          <w:szCs w:val="24"/>
          <w:highlight w:val="none"/>
        </w:rPr>
        <w:t xml:space="preserve">。</w:t>
      </w:r>
      <w:r/>
    </w:p>
    <w:p>
      <w:pPr>
        <w:ind w:firstLine="480"/>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五、公告期限</w:t>
      </w:r>
      <w:r/>
    </w:p>
    <w:p>
      <w:pPr>
        <w:ind w:firstLine="480"/>
        <w:spacing w:line="360" w:lineRule="auto"/>
        <w:tabs>
          <w:tab w:val="left" w:pos="7810" w:leader="none"/>
        </w:tabs>
        <w:rPr>
          <w:rFonts w:ascii="宋体" w:hAnsi="宋体" w:cs="宋体"/>
          <w:b/>
          <w:bCs/>
          <w:color w:val="auto"/>
          <w:sz w:val="24"/>
          <w:szCs w:val="24"/>
          <w:highlight w:val="none"/>
        </w:rPr>
      </w:pPr>
      <w:r>
        <w:rPr>
          <w:rFonts w:hint="eastAsia" w:ascii="宋体" w:hAnsi="宋体" w:cs="宋体"/>
          <w:color w:val="auto"/>
          <w:sz w:val="24"/>
          <w:szCs w:val="24"/>
          <w:highlight w:val="none"/>
        </w:rPr>
        <w:t xml:space="preserve">本次公开招标公告期限为五个工作日。</w:t>
      </w:r>
      <w:r/>
    </w:p>
    <w:p>
      <w:pPr>
        <w:numPr>
          <w:ilvl w:val="0"/>
          <w:numId w:val="4"/>
        </w:numPr>
        <w:ind w:firstLine="480"/>
        <w:spacing w:line="360" w:lineRule="auto"/>
        <w:tabs>
          <w:tab w:val="left" w:pos="7810" w:leader="none"/>
        </w:tabs>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开启</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1、时间：202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16</w:t>
      </w:r>
      <w:r>
        <w:rPr>
          <w:rFonts w:hint="eastAsia" w:ascii="宋体" w:hAnsi="宋体" w:cs="宋体"/>
          <w:color w:val="auto"/>
          <w:sz w:val="24"/>
          <w:szCs w:val="24"/>
          <w:highlight w:val="none"/>
        </w:rPr>
        <w:t xml:space="preserve">日下午14：00分（北京时间）。</w:t>
      </w:r>
      <w:r/>
    </w:p>
    <w:p>
      <w:pPr>
        <w:ind w:firstLine="480"/>
        <w:spacing w:line="360" w:lineRule="auto"/>
        <w:rPr>
          <w:rFonts w:ascii="宋体" w:hAnsi="宋体" w:cs="宋体"/>
          <w:b/>
          <w:bCs/>
          <w:color w:val="auto"/>
          <w:sz w:val="24"/>
          <w:szCs w:val="24"/>
          <w:highlight w:val="none"/>
        </w:rPr>
      </w:pPr>
      <w:r>
        <w:rPr>
          <w:rFonts w:hint="eastAsia" w:ascii="宋体" w:hAnsi="宋体" w:cs="宋体"/>
          <w:color w:val="auto"/>
          <w:sz w:val="24"/>
          <w:szCs w:val="24"/>
          <w:highlight w:val="none"/>
        </w:rPr>
        <w:t xml:space="preserve">2、地点：</w:t>
      </w:r>
      <w:r>
        <w:rPr>
          <w:rFonts w:hint="eastAsia" w:ascii="宋体" w:hAnsi="宋体" w:cs="宋体"/>
          <w:color w:val="auto"/>
          <w:spacing w:val="-6"/>
          <w:sz w:val="24"/>
          <w:szCs w:val="24"/>
          <w:highlight w:val="none"/>
          <w:lang w:eastAsia="zh-CN"/>
        </w:rPr>
        <w:t xml:space="preserve">南京市秦淮区光华东街6号创意产业园15号楼4F</w:t>
      </w:r>
      <w:r>
        <w:rPr>
          <w:rFonts w:hint="eastAsia" w:ascii="宋体" w:hAnsi="宋体" w:cs="宋体"/>
          <w:color w:val="auto"/>
          <w:sz w:val="24"/>
          <w:szCs w:val="24"/>
          <w:highlight w:val="none"/>
        </w:rPr>
        <w:t xml:space="preserve">会议室。</w:t>
      </w:r>
      <w:r/>
    </w:p>
    <w:p>
      <w:pPr>
        <w:ind w:firstLine="480"/>
        <w:spacing w:line="360" w:lineRule="auto"/>
        <w:tabs>
          <w:tab w:val="left" w:pos="7810" w:leader="none"/>
        </w:tabs>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七、其他补充事宜</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1、本项目代理编号：</w:t>
      </w:r>
      <w:r>
        <w:rPr>
          <w:rFonts w:hint="eastAsia" w:ascii="宋体" w:hAnsi="宋体" w:cs="宋体"/>
          <w:color w:val="auto"/>
          <w:sz w:val="24"/>
          <w:szCs w:val="24"/>
          <w:highlight w:val="none"/>
          <w:lang w:val="en-US" w:eastAsia="zh-CN"/>
        </w:rPr>
        <w:t xml:space="preserve">JSDCX</w:t>
      </w:r>
      <w:r>
        <w:rPr>
          <w:rFonts w:hint="eastAsia" w:ascii="宋体" w:hAnsi="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603191903</w:t>
      </w:r>
      <w:r>
        <w:rPr>
          <w:rFonts w:hint="eastAsia" w:ascii="宋体" w:hAnsi="宋体" w:cs="宋体"/>
          <w:color w:val="auto"/>
          <w:sz w:val="24"/>
          <w:szCs w:val="24"/>
          <w:highlight w:val="none"/>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2、本次招标不收取投标保证金。</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3、现场勘查及答疑：本项目不组织现场勘查。</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请各位供应商领取本次招标文件后，认真阅读各项内容，进行必要的准备，按照招标文件的要求详细填写和编制响应文件，并按以上确定的时间、地点准时参加开标活动。若有关本次招标存在变动或修改，敬请各投标人及时关注</w:t>
      </w:r>
      <w:r>
        <w:rPr>
          <w:rFonts w:hint="eastAsia" w:ascii="宋体" w:hAnsi="宋体" w:cs="宋体"/>
          <w:bCs/>
          <w:color w:val="auto"/>
          <w:sz w:val="24"/>
          <w:highlight w:val="none"/>
        </w:rPr>
        <w:t xml:space="preserve">“江苏政府采购网”</w:t>
      </w:r>
      <w:r>
        <w:rPr>
          <w:rFonts w:hint="eastAsia" w:ascii="宋体" w:hAnsi="宋体" w:cs="宋体"/>
          <w:color w:val="auto"/>
          <w:sz w:val="24"/>
          <w:szCs w:val="24"/>
          <w:highlight w:val="none"/>
        </w:rPr>
        <w:t xml:space="preserve">发布的关于本项目的信息更正公告。</w:t>
      </w:r>
      <w:r/>
    </w:p>
    <w:p>
      <w:pPr>
        <w:ind w:firstLine="480"/>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八、凡对本次采购提出询问，请按以下方式联系。</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72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单位名称：</w:t>
      </w:r>
      <w:r>
        <w:rPr>
          <w:rFonts w:hint="eastAsia" w:ascii="宋体" w:hAnsi="宋体" w:cs="宋体"/>
          <w:color w:val="auto"/>
          <w:sz w:val="24"/>
          <w:szCs w:val="24"/>
          <w:highlight w:val="none"/>
          <w:lang w:eastAsia="zh-CN"/>
        </w:rPr>
        <w:t xml:space="preserve">江苏省林业局</w:t>
      </w:r>
      <w:r/>
    </w:p>
    <w:p>
      <w:pPr>
        <w:ind w:firstLine="72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联系人：</w:t>
      </w:r>
      <w:r>
        <w:rPr>
          <w:rFonts w:hint="eastAsia" w:ascii="宋体" w:hAnsi="宋体" w:cs="宋体"/>
          <w:color w:val="auto"/>
          <w:sz w:val="24"/>
          <w:szCs w:val="24"/>
          <w:highlight w:val="none"/>
          <w:lang w:eastAsia="zh-CN"/>
        </w:rPr>
        <w:t xml:space="preserve">樊向民</w:t>
      </w:r>
      <w:r/>
    </w:p>
    <w:p>
      <w:pPr>
        <w:ind w:firstLine="720"/>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联系方式：025-86275</w:t>
      </w:r>
      <w:r>
        <w:rPr>
          <w:rFonts w:hint="eastAsia" w:ascii="宋体" w:hAnsi="宋体" w:cs="宋体"/>
          <w:color w:val="auto"/>
          <w:sz w:val="24"/>
          <w:szCs w:val="24"/>
          <w:highlight w:val="none"/>
          <w:lang w:val="en-US" w:eastAsia="zh-CN"/>
        </w:rPr>
        <w:t xml:space="preserve">258</w:t>
      </w:r>
      <w:r/>
    </w:p>
    <w:p>
      <w:pPr>
        <w:ind w:firstLine="7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地址：江苏省南京市鼓楼区定淮门大街22号</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2、采购代理机构信息</w:t>
      </w:r>
      <w:r/>
    </w:p>
    <w:p>
      <w:pPr>
        <w:ind w:firstLine="72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单位名称：</w:t>
      </w:r>
      <w:r>
        <w:rPr>
          <w:rFonts w:hint="eastAsia" w:ascii="宋体" w:hAnsi="宋体" w:cs="宋体"/>
          <w:color w:val="auto"/>
          <w:sz w:val="24"/>
          <w:szCs w:val="24"/>
          <w:highlight w:val="none"/>
          <w:lang w:eastAsia="zh-CN"/>
        </w:rPr>
        <w:t xml:space="preserve">江苏达琛鑫项目管理有限公司</w:t>
      </w:r>
      <w:r/>
    </w:p>
    <w:p>
      <w:pPr>
        <w:ind w:firstLine="72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单位地址：</w:t>
      </w:r>
      <w:r>
        <w:rPr>
          <w:rFonts w:hint="eastAsia" w:ascii="宋体" w:hAnsi="宋体" w:cs="宋体"/>
          <w:color w:val="auto"/>
          <w:sz w:val="24"/>
          <w:szCs w:val="24"/>
          <w:highlight w:val="none"/>
          <w:lang w:eastAsia="zh-CN"/>
        </w:rPr>
        <w:t xml:space="preserve">南京市秦淮区光华东街6号创意产业园15号楼4F</w:t>
      </w:r>
      <w:r/>
    </w:p>
    <w:p>
      <w:pPr>
        <w:ind w:firstLine="720"/>
        <w:spacing w:line="360" w:lineRule="auto"/>
        <w:rPr>
          <w:rFonts w:hint="eastAsia" w:ascii="宋体" w:hAnsi="宋体" w:eastAsia="宋体" w:cs="宋体"/>
          <w:color w:val="auto"/>
          <w:sz w:val="24"/>
          <w:szCs w:val="24"/>
          <w:highlight w:val="none"/>
          <w:lang w:eastAsia="zh-CN"/>
        </w:rPr>
      </w:pPr>
      <w:r/>
      <w:bookmarkStart w:id="13" w:name="OLE_LINK22"/>
      <w:r>
        <w:rPr>
          <w:rFonts w:hint="eastAsia" w:ascii="宋体" w:hAnsi="宋体" w:cs="宋体"/>
          <w:color w:val="auto"/>
          <w:sz w:val="24"/>
          <w:szCs w:val="24"/>
          <w:highlight w:val="none"/>
        </w:rPr>
        <w:t xml:space="preserve">联系人：</w:t>
      </w:r>
      <w:r>
        <w:rPr>
          <w:rFonts w:hint="eastAsia" w:ascii="宋体" w:hAnsi="宋体" w:cs="宋体"/>
          <w:color w:val="auto"/>
          <w:sz w:val="24"/>
          <w:szCs w:val="24"/>
          <w:highlight w:val="none"/>
          <w:lang w:eastAsia="zh-CN"/>
        </w:rPr>
        <w:t xml:space="preserve">周工</w:t>
      </w:r>
      <w:r/>
    </w:p>
    <w:p>
      <w:pPr>
        <w:ind w:firstLine="7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lang w:eastAsia="zh-CN"/>
        </w:rPr>
        <w:t xml:space="preserve">025-83229277</w:t>
      </w:r>
      <w:r>
        <w:rPr>
          <w:rFonts w:hint="eastAsia" w:ascii="宋体" w:hAnsi="宋体" w:cs="宋体"/>
          <w:color w:val="auto"/>
          <w:sz w:val="24"/>
          <w:szCs w:val="24"/>
          <w:highlight w:val="none"/>
        </w:rPr>
        <w:t xml:space="preserve">转8006</w:t>
      </w:r>
      <w:bookmarkEnd w:id="13"/>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72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项目联系人：</w:t>
      </w:r>
      <w:bookmarkStart w:id="14" w:name="OLE_LINK23"/>
      <w:r>
        <w:rPr>
          <w:rFonts w:hint="eastAsia" w:ascii="宋体" w:hAnsi="宋体" w:cs="宋体"/>
          <w:color w:val="auto"/>
          <w:sz w:val="24"/>
          <w:szCs w:val="24"/>
          <w:highlight w:val="none"/>
          <w:lang w:eastAsia="zh-CN"/>
        </w:rPr>
        <w:t xml:space="preserve">周工</w:t>
      </w:r>
      <w:r/>
    </w:p>
    <w:p>
      <w:pPr>
        <w:ind w:firstLine="7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电话：</w:t>
      </w:r>
      <w:r>
        <w:rPr>
          <w:rFonts w:hint="eastAsia" w:ascii="宋体" w:hAnsi="宋体" w:cs="宋体"/>
          <w:color w:val="auto"/>
          <w:sz w:val="24"/>
          <w:szCs w:val="24"/>
          <w:highlight w:val="none"/>
          <w:lang w:eastAsia="zh-CN"/>
        </w:rPr>
        <w:t xml:space="preserve">025-83229277</w:t>
      </w:r>
      <w:r>
        <w:rPr>
          <w:rFonts w:hint="eastAsia" w:ascii="宋体" w:hAnsi="宋体" w:cs="宋体"/>
          <w:color w:val="auto"/>
          <w:sz w:val="24"/>
          <w:szCs w:val="24"/>
          <w:highlight w:val="none"/>
        </w:rPr>
        <w:t xml:space="preserve">转8006</w:t>
      </w:r>
      <w:r/>
    </w:p>
    <w:p>
      <w:pPr>
        <w:ind w:firstLine="72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72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72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pStyle w:val="806"/>
        <w:ind w:firstLine="0"/>
        <w:jc w:val="center"/>
        <w:pageBreakBefore/>
        <w:spacing w:before="0" w:after="0" w:line="0" w:lineRule="atLeast"/>
        <w:tabs>
          <w:tab w:val="clear" w:pos="8720" w:leader="none"/>
        </w:tabs>
        <w:rPr>
          <w:b/>
          <w:bCs/>
          <w:color w:val="auto"/>
          <w:sz w:val="40"/>
          <w:highlight w:val="none"/>
        </w:rPr>
        <w:outlineLvl w:val="0"/>
      </w:pPr>
      <w:r/>
      <w:bookmarkStart w:id="15" w:name="_Toc18561"/>
      <w:r>
        <w:rPr>
          <w:rFonts w:hint="eastAsia"/>
          <w:b/>
          <w:bCs/>
          <w:color w:val="auto"/>
          <w:sz w:val="40"/>
          <w:highlight w:val="none"/>
        </w:rPr>
        <w:t xml:space="preserve">第二章  投标人须知</w:t>
      </w:r>
      <w:bookmarkEnd w:id="15"/>
      <w:r/>
      <w:r/>
    </w:p>
    <w:p>
      <w:pPr>
        <w:ind w:firstLine="720"/>
        <w:spacing w:line="360" w:lineRule="auto"/>
        <w:rPr>
          <w:rFonts w:ascii="宋体" w:hAnsi="宋体" w:cs="宋体"/>
          <w:color w:val="auto"/>
          <w:sz w:val="24"/>
          <w:szCs w:val="24"/>
          <w:highlight w:val="none"/>
        </w:rPr>
      </w:pPr>
      <w:r>
        <w:rPr>
          <w:rFonts w:ascii="宋体" w:hAnsi="宋体" w:cs="宋体"/>
          <w:color w:val="auto"/>
          <w:sz w:val="24"/>
          <w:szCs w:val="24"/>
          <w:highlight w:val="none"/>
        </w:rPr>
      </w:r>
      <w:bookmarkEnd w:id="11"/>
      <w:bookmarkEnd w:id="12"/>
      <w:bookmarkEnd w:id="14"/>
      <w:r/>
    </w:p>
    <w:p>
      <w:pPr>
        <w:ind w:firstLine="482"/>
        <w:jc w:val="cente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投标人须知前附表</w:t>
      </w:r>
      <w:r/>
    </w:p>
    <w:tbl>
      <w:tblPr>
        <w:tblStyle w:val="79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9"/>
        <w:gridCol w:w="1512"/>
        <w:gridCol w:w="7691"/>
      </w:tblGrid>
      <w:tr>
        <w:trPr>
          <w:jc w:val="center"/>
          <w:trHeight w:val="567"/>
        </w:trPr>
        <w:tc>
          <w:tcPr>
            <w:tcW w:w="763" w:type="dxa"/>
            <w:vAlign w:val="center"/>
            <w:textDirection w:val="lrTb"/>
            <w:noWrap w:val="false"/>
          </w:tcPr>
          <w:p>
            <w:pPr>
              <w:jc w:val="center"/>
              <w:rPr>
                <w:rFonts w:ascii="宋体" w:hAnsi="宋体" w:cs="宋体"/>
                <w:b/>
                <w:bCs/>
                <w:color w:val="auto"/>
                <w:sz w:val="24"/>
                <w:szCs w:val="24"/>
                <w:highlight w:val="none"/>
              </w:rPr>
            </w:pPr>
            <w:r/>
            <w:bookmarkStart w:id="16" w:name="_Toc14072"/>
            <w:r>
              <w:rPr>
                <w:rFonts w:hint="eastAsia" w:ascii="宋体" w:hAnsi="宋体" w:cs="宋体"/>
                <w:b/>
                <w:bCs/>
                <w:color w:val="auto"/>
                <w:sz w:val="24"/>
                <w:szCs w:val="24"/>
                <w:highlight w:val="none"/>
              </w:rPr>
              <w:t xml:space="preserve">序号</w:t>
            </w:r>
            <w:r/>
          </w:p>
        </w:tc>
        <w:tc>
          <w:tcPr>
            <w:tcW w:w="1523" w:type="dxa"/>
            <w:vAlign w:val="center"/>
            <w:textDirection w:val="lrTb"/>
            <w:noWrap w:val="false"/>
          </w:tcPr>
          <w:p>
            <w:pPr>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项目</w:t>
            </w:r>
            <w:r/>
          </w:p>
        </w:tc>
        <w:tc>
          <w:tcPr>
            <w:tcW w:w="7749" w:type="dxa"/>
            <w:vAlign w:val="center"/>
            <w:textDirection w:val="lrTb"/>
            <w:noWrap w:val="false"/>
          </w:tcPr>
          <w:p>
            <w:pPr>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具  体  内  容</w:t>
            </w:r>
            <w:r/>
          </w:p>
        </w:tc>
      </w:tr>
      <w:tr>
        <w:trPr>
          <w:jc w:val="center"/>
          <w:trHeight w:val="567"/>
        </w:trPr>
        <w:tc>
          <w:tcPr>
            <w:tcW w:w="763"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523"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项目名称</w:t>
            </w:r>
            <w:r/>
          </w:p>
        </w:tc>
        <w:tc>
          <w:tcPr>
            <w:tcW w:w="7749" w:type="dxa"/>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全省食用林产品质量安全监测</w:t>
            </w:r>
            <w:r/>
          </w:p>
        </w:tc>
      </w:tr>
      <w:tr>
        <w:trPr>
          <w:jc w:val="center"/>
          <w:trHeight w:val="567"/>
        </w:trPr>
        <w:tc>
          <w:tcPr>
            <w:tcW w:w="763"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523"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采购方式</w:t>
            </w:r>
            <w:r/>
          </w:p>
        </w:tc>
        <w:tc>
          <w:tcPr>
            <w:tcW w:w="7749" w:type="dxa"/>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公开招标</w:t>
            </w:r>
            <w:r/>
          </w:p>
        </w:tc>
      </w:tr>
      <w:tr>
        <w:trPr>
          <w:jc w:val="center"/>
          <w:trHeight w:val="567"/>
        </w:trPr>
        <w:tc>
          <w:tcPr>
            <w:tcW w:w="763"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1523"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项目编号</w:t>
            </w:r>
            <w:r/>
          </w:p>
        </w:tc>
        <w:tc>
          <w:tcPr>
            <w:tcW w:w="7749" w:type="dxa"/>
            <w:vAlign w:val="center"/>
            <w:textDirection w:val="lrTb"/>
            <w:noWrap w:val="false"/>
          </w:tcPr>
          <w:p>
            <w:pP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JSZC-320000-SDCX-G2026-0001</w:t>
            </w:r>
            <w:r/>
          </w:p>
        </w:tc>
      </w:tr>
      <w:tr>
        <w:trPr>
          <w:jc w:val="center"/>
          <w:trHeight w:val="567"/>
        </w:trPr>
        <w:tc>
          <w:tcPr>
            <w:tcW w:w="763"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1523"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分包号</w:t>
            </w:r>
            <w:r/>
          </w:p>
        </w:tc>
        <w:tc>
          <w:tcPr>
            <w:tcW w:w="7749" w:type="dxa"/>
            <w:vAlign w:val="center"/>
            <w:textDirection w:val="lrTb"/>
            <w:noWrap w:val="false"/>
          </w:tcPr>
          <w:p>
            <w:pPr>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分包一：</w:t>
            </w:r>
            <w:r>
              <w:rPr>
                <w:rFonts w:hint="eastAsia" w:ascii="宋体" w:hAnsi="宋体" w:cs="宋体"/>
                <w:color w:val="auto"/>
                <w:sz w:val="24"/>
                <w:szCs w:val="24"/>
                <w:highlight w:val="none"/>
                <w:lang w:eastAsia="zh-CN"/>
              </w:rPr>
              <w:t xml:space="preserve">全省食用林产品质量安全监测（分包一）</w:t>
            </w:r>
            <w:r/>
          </w:p>
          <w:p>
            <w:pPr>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分包二：</w:t>
            </w:r>
            <w:r>
              <w:rPr>
                <w:rFonts w:hint="eastAsia" w:ascii="宋体" w:hAnsi="宋体" w:cs="宋体"/>
                <w:color w:val="auto"/>
                <w:sz w:val="24"/>
                <w:szCs w:val="24"/>
                <w:highlight w:val="none"/>
                <w:lang w:eastAsia="zh-CN"/>
              </w:rPr>
              <w:t xml:space="preserve">全省食用林产品质量安全监测（分包二）</w:t>
            </w:r>
            <w:r/>
          </w:p>
        </w:tc>
      </w:tr>
      <w:tr>
        <w:trPr>
          <w:jc w:val="center"/>
          <w:trHeight w:val="567"/>
        </w:trPr>
        <w:tc>
          <w:tcPr>
            <w:tcW w:w="763"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1523"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公告</w:t>
            </w:r>
            <w:r/>
          </w:p>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发布媒体</w:t>
            </w:r>
            <w:r/>
          </w:p>
        </w:tc>
        <w:tc>
          <w:tcPr>
            <w:tcW w:w="7749" w:type="dxa"/>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江苏政府采购网</w:t>
            </w:r>
            <w:r/>
          </w:p>
        </w:tc>
      </w:tr>
      <w:tr>
        <w:trPr>
          <w:jc w:val="center"/>
          <w:trHeight w:val="567"/>
        </w:trPr>
        <w:tc>
          <w:tcPr>
            <w:tcW w:w="763"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1523"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采购预算及资金来源</w:t>
            </w:r>
            <w:r/>
          </w:p>
        </w:tc>
        <w:tc>
          <w:tcPr>
            <w:tcW w:w="7749" w:type="dxa"/>
            <w:vAlign w:val="center"/>
            <w:textDirection w:val="lrTb"/>
            <w:noWrap w:val="false"/>
          </w:tcPr>
          <w:p>
            <w:pPr>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rPr>
              <w:t xml:space="preserve">预算</w:t>
            </w:r>
            <w:r>
              <w:rPr>
                <w:rFonts w:hint="eastAsia" w:ascii="宋体" w:hAnsi="宋体" w:cs="宋体"/>
                <w:b/>
                <w:bCs/>
                <w:color w:val="auto"/>
                <w:sz w:val="24"/>
                <w:szCs w:val="24"/>
                <w:highlight w:val="none"/>
                <w:lang w:val="en-US" w:eastAsia="zh-CN"/>
              </w:rPr>
              <w:t xml:space="preserve">总</w:t>
            </w:r>
            <w:r>
              <w:rPr>
                <w:rFonts w:hint="eastAsia" w:ascii="宋体" w:hAnsi="宋体" w:cs="宋体"/>
                <w:b/>
                <w:bCs/>
                <w:color w:val="auto"/>
                <w:sz w:val="24"/>
                <w:szCs w:val="24"/>
                <w:highlight w:val="none"/>
              </w:rPr>
              <w:t xml:space="preserve">金额：人民币</w:t>
            </w:r>
            <w:r>
              <w:rPr>
                <w:rFonts w:hint="eastAsia" w:ascii="宋体" w:hAnsi="宋体" w:cs="宋体"/>
                <w:b/>
                <w:bCs/>
                <w:color w:val="auto"/>
                <w:sz w:val="24"/>
                <w:szCs w:val="24"/>
                <w:highlight w:val="none"/>
                <w:lang w:val="en-US" w:eastAsia="zh-CN"/>
              </w:rPr>
              <w:t xml:space="preserve">320</w:t>
            </w:r>
            <w:r>
              <w:rPr>
                <w:rFonts w:hint="eastAsia" w:ascii="宋体" w:hAnsi="宋体" w:cs="宋体"/>
                <w:b/>
                <w:bCs/>
                <w:color w:val="auto"/>
                <w:sz w:val="24"/>
                <w:szCs w:val="24"/>
                <w:highlight w:val="none"/>
              </w:rPr>
              <w:t xml:space="preserve">万元</w:t>
            </w:r>
            <w:r>
              <w:rPr>
                <w:rFonts w:hint="eastAsia" w:ascii="宋体" w:hAnsi="宋体" w:cs="宋体"/>
                <w:b/>
                <w:bCs/>
                <w:color w:val="auto"/>
                <w:sz w:val="24"/>
                <w:szCs w:val="24"/>
                <w:highlight w:val="none"/>
                <w:lang w:val="en-US" w:eastAsia="zh-CN"/>
              </w:rPr>
              <w:t xml:space="preserve">整</w:t>
            </w:r>
            <w:r/>
          </w:p>
          <w:p>
            <w:pPr>
              <w:ind w:firstLine="24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分包一：全省食用林产品质量安全监测（分包一），人民币165万元；</w:t>
            </w:r>
            <w:r/>
          </w:p>
          <w:p>
            <w:pPr>
              <w:ind w:firstLine="24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分包二：</w:t>
            </w:r>
            <w:r>
              <w:rPr>
                <w:rFonts w:hint="eastAsia" w:ascii="宋体" w:hAnsi="宋体" w:cs="宋体"/>
                <w:color w:val="auto"/>
                <w:sz w:val="24"/>
                <w:szCs w:val="24"/>
                <w:highlight w:val="none"/>
                <w:lang w:eastAsia="zh-CN"/>
              </w:rPr>
              <w:t xml:space="preserve">全省食用林产品质量安全监测（</w:t>
            </w:r>
            <w:r>
              <w:rPr>
                <w:rFonts w:hint="eastAsia" w:ascii="宋体" w:hAnsi="宋体" w:cs="宋体"/>
                <w:color w:val="auto"/>
                <w:sz w:val="24"/>
                <w:szCs w:val="24"/>
                <w:highlight w:val="none"/>
                <w:lang w:val="en-US" w:eastAsia="zh-CN"/>
              </w:rPr>
              <w:t xml:space="preserve">分包二</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人民币</w:t>
            </w:r>
            <w:r>
              <w:rPr>
                <w:rFonts w:hint="eastAsia" w:ascii="宋体" w:hAnsi="宋体" w:cs="宋体"/>
                <w:color w:val="auto"/>
                <w:sz w:val="24"/>
                <w:szCs w:val="24"/>
                <w:highlight w:val="none"/>
                <w:lang w:val="en-US" w:eastAsia="zh-CN"/>
              </w:rPr>
              <w:t xml:space="preserve">155</w:t>
            </w:r>
            <w:r>
              <w:rPr>
                <w:rFonts w:hint="eastAsia" w:ascii="宋体" w:hAnsi="宋体" w:cs="宋体"/>
                <w:color w:val="auto"/>
                <w:sz w:val="24"/>
                <w:szCs w:val="24"/>
                <w:highlight w:val="none"/>
              </w:rPr>
              <w:t xml:space="preserve">万元</w:t>
            </w:r>
            <w:r>
              <w:rPr>
                <w:rFonts w:hint="eastAsia" w:ascii="宋体" w:hAnsi="宋体" w:cs="宋体"/>
                <w:color w:val="auto"/>
                <w:sz w:val="24"/>
                <w:szCs w:val="24"/>
                <w:highlight w:val="none"/>
                <w:lang w:eastAsia="zh-CN"/>
              </w:rPr>
              <w:t xml:space="preserve">。</w:t>
            </w:r>
            <w:r/>
          </w:p>
          <w:p>
            <w:pPr>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rPr>
              <w:t xml:space="preserve">最高限价：人民币</w:t>
            </w:r>
            <w:r>
              <w:rPr>
                <w:rFonts w:hint="eastAsia" w:ascii="宋体" w:hAnsi="宋体" w:cs="宋体"/>
                <w:b/>
                <w:bCs/>
                <w:color w:val="auto"/>
                <w:sz w:val="24"/>
                <w:szCs w:val="24"/>
                <w:highlight w:val="none"/>
                <w:lang w:val="en-US" w:eastAsia="zh-CN"/>
              </w:rPr>
              <w:t xml:space="preserve">320</w:t>
            </w:r>
            <w:r>
              <w:rPr>
                <w:rFonts w:hint="eastAsia" w:ascii="宋体" w:hAnsi="宋体" w:cs="宋体"/>
                <w:b/>
                <w:bCs/>
                <w:color w:val="auto"/>
                <w:sz w:val="24"/>
                <w:szCs w:val="24"/>
                <w:highlight w:val="none"/>
              </w:rPr>
              <w:t xml:space="preserve">万元</w:t>
            </w:r>
            <w:r>
              <w:rPr>
                <w:rFonts w:hint="eastAsia" w:ascii="宋体" w:hAnsi="宋体" w:cs="宋体"/>
                <w:b/>
                <w:bCs/>
                <w:color w:val="auto"/>
                <w:sz w:val="24"/>
                <w:szCs w:val="24"/>
                <w:highlight w:val="none"/>
                <w:lang w:val="en-US" w:eastAsia="zh-CN"/>
              </w:rPr>
              <w:t xml:space="preserve">整</w:t>
            </w:r>
            <w:r/>
          </w:p>
          <w:p>
            <w:pPr>
              <w:ind w:firstLine="240"/>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分包一：人民币165万元；</w:t>
            </w:r>
            <w:r/>
          </w:p>
          <w:p>
            <w:pPr>
              <w:ind w:firstLine="240"/>
              <w:rPr>
                <w:rFonts w:hint="eastAsia" w:ascii="宋体" w:hAnsi="宋体" w:eastAsia="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val="en-US" w:eastAsia="zh-CN"/>
              </w:rPr>
              <w:t xml:space="preserve">分包二：</w:t>
            </w:r>
            <w:r>
              <w:rPr>
                <w:rFonts w:hint="eastAsia" w:ascii="宋体" w:hAnsi="宋体" w:cs="宋体"/>
                <w:b w:val="0"/>
                <w:bCs w:val="0"/>
                <w:color w:val="auto"/>
                <w:sz w:val="24"/>
                <w:szCs w:val="24"/>
                <w:highlight w:val="none"/>
              </w:rPr>
              <w:t xml:space="preserve">人民币</w:t>
            </w:r>
            <w:r>
              <w:rPr>
                <w:rFonts w:hint="eastAsia" w:ascii="宋体" w:hAnsi="宋体" w:cs="宋体"/>
                <w:b w:val="0"/>
                <w:bCs w:val="0"/>
                <w:color w:val="auto"/>
                <w:sz w:val="24"/>
                <w:szCs w:val="24"/>
                <w:highlight w:val="none"/>
                <w:lang w:val="en-US" w:eastAsia="zh-CN"/>
              </w:rPr>
              <w:t xml:space="preserve">155</w:t>
            </w:r>
            <w:r>
              <w:rPr>
                <w:rFonts w:hint="eastAsia" w:ascii="宋体" w:hAnsi="宋体" w:cs="宋体"/>
                <w:b w:val="0"/>
                <w:bCs w:val="0"/>
                <w:color w:val="auto"/>
                <w:sz w:val="24"/>
                <w:szCs w:val="24"/>
                <w:highlight w:val="none"/>
              </w:rPr>
              <w:t xml:space="preserve">万元</w:t>
            </w:r>
            <w:r>
              <w:rPr>
                <w:rFonts w:hint="eastAsia" w:ascii="宋体" w:hAnsi="宋体" w:cs="宋体"/>
                <w:b w:val="0"/>
                <w:bCs w:val="0"/>
                <w:color w:val="auto"/>
                <w:sz w:val="24"/>
                <w:szCs w:val="24"/>
                <w:highlight w:val="none"/>
                <w:lang w:eastAsia="zh-CN"/>
              </w:rPr>
              <w:t xml:space="preserve">。</w:t>
            </w:r>
            <w:r/>
          </w:p>
          <w:p>
            <w:pPr>
              <w:rPr>
                <w:rFonts w:ascii="宋体" w:hAnsi="宋体" w:cs="宋体"/>
                <w:b/>
                <w:bCs/>
                <w:i/>
                <w:iCs/>
                <w:color w:val="auto"/>
                <w:sz w:val="24"/>
                <w:szCs w:val="24"/>
                <w:highlight w:val="none"/>
                <w:u w:val="single"/>
              </w:rPr>
            </w:pPr>
            <w:r>
              <w:rPr>
                <w:rFonts w:hint="eastAsia" w:ascii="宋体" w:hAnsi="宋体" w:cs="宋体"/>
                <w:b/>
                <w:bCs/>
                <w:i/>
                <w:iCs/>
                <w:color w:val="auto"/>
                <w:sz w:val="24"/>
                <w:szCs w:val="24"/>
                <w:highlight w:val="none"/>
                <w:u w:val="single"/>
              </w:rPr>
              <w:t xml:space="preserve">投标报价超过政府采购预算的为无效报价，按照无效投标处理。</w:t>
            </w:r>
            <w:r/>
          </w:p>
          <w:p>
            <w:pPr>
              <w:rPr>
                <w:rFonts w:ascii="宋体" w:hAnsi="宋体" w:cs="宋体"/>
                <w:color w:val="auto"/>
                <w:sz w:val="24"/>
                <w:szCs w:val="24"/>
                <w:highlight w:val="none"/>
              </w:rPr>
            </w:pPr>
            <w:r>
              <w:rPr>
                <w:rFonts w:hint="eastAsia" w:ascii="宋体" w:hAnsi="宋体" w:cs="宋体"/>
                <w:color w:val="auto"/>
                <w:sz w:val="24"/>
                <w:szCs w:val="24"/>
                <w:highlight w:val="none"/>
              </w:rPr>
              <w:t xml:space="preserve">资金来源：财政性资金</w:t>
            </w:r>
            <w:r/>
          </w:p>
        </w:tc>
      </w:tr>
      <w:tr>
        <w:trPr>
          <w:jc w:val="center"/>
          <w:trHeight w:val="567"/>
        </w:trPr>
        <w:tc>
          <w:tcPr>
            <w:tcW w:w="763"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W w:w="1523"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标的所属行业</w:t>
            </w:r>
            <w:r/>
          </w:p>
        </w:tc>
        <w:tc>
          <w:tcPr>
            <w:tcW w:w="7749" w:type="dxa"/>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本项目采购标的对应的中小企业划分标准所属行业为：其他未列明行业</w:t>
            </w:r>
            <w:r/>
          </w:p>
        </w:tc>
      </w:tr>
      <w:tr>
        <w:trPr>
          <w:jc w:val="center"/>
          <w:trHeight w:val="567"/>
        </w:trPr>
        <w:tc>
          <w:tcPr>
            <w:tcW w:w="763"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8</w:t>
            </w:r>
            <w:r/>
          </w:p>
        </w:tc>
        <w:tc>
          <w:tcPr>
            <w:tcW w:w="1523"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代理机构</w:t>
            </w:r>
            <w:r/>
          </w:p>
        </w:tc>
        <w:tc>
          <w:tcPr>
            <w:tcW w:w="7749" w:type="dxa"/>
            <w:vAlign w:val="center"/>
            <w:textDirection w:val="lrTb"/>
            <w:noWrap w:val="false"/>
          </w:tcPr>
          <w:p>
            <w:pP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江苏达琛鑫项目管理有限公司</w:t>
            </w:r>
            <w:r/>
          </w:p>
          <w:p>
            <w:pPr>
              <w:rPr>
                <w:rFonts w:ascii="宋体" w:hAnsi="宋体" w:cs="宋体"/>
                <w:color w:val="auto"/>
                <w:sz w:val="24"/>
                <w:szCs w:val="24"/>
                <w:highlight w:val="none"/>
              </w:rPr>
            </w:pPr>
            <w:r>
              <w:rPr>
                <w:rFonts w:hint="eastAsia" w:ascii="宋体" w:hAnsi="宋体" w:cs="宋体"/>
                <w:color w:val="auto"/>
                <w:sz w:val="24"/>
                <w:szCs w:val="24"/>
                <w:highlight w:val="none"/>
              </w:rPr>
              <w:t xml:space="preserve">联系人：</w:t>
            </w:r>
            <w:r>
              <w:rPr>
                <w:rFonts w:hint="eastAsia" w:ascii="宋体" w:hAnsi="宋体" w:cs="宋体"/>
                <w:color w:val="auto"/>
                <w:sz w:val="24"/>
                <w:szCs w:val="24"/>
                <w:highlight w:val="none"/>
                <w:lang w:eastAsia="zh-CN"/>
              </w:rPr>
              <w:t xml:space="preserve">周工</w:t>
            </w:r>
            <w:r>
              <w:rPr>
                <w:rFonts w:hint="eastAsia" w:ascii="宋体" w:hAnsi="宋体" w:cs="宋体"/>
                <w:color w:val="auto"/>
                <w:sz w:val="24"/>
                <w:szCs w:val="24"/>
                <w:highlight w:val="none"/>
              </w:rPr>
              <w:t xml:space="preserve">     </w:t>
            </w:r>
            <w:r/>
          </w:p>
          <w:p>
            <w:pPr>
              <w:rPr>
                <w:rFonts w:ascii="宋体" w:hAnsi="宋体" w:cs="宋体"/>
                <w:color w:val="auto"/>
                <w:sz w:val="24"/>
                <w:szCs w:val="24"/>
                <w:highlight w:val="none"/>
              </w:rPr>
            </w:pP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lang w:eastAsia="zh-CN"/>
              </w:rPr>
              <w:t xml:space="preserve">025-83229277</w:t>
            </w:r>
            <w:r>
              <w:rPr>
                <w:rFonts w:hint="eastAsia" w:ascii="宋体" w:hAnsi="宋体" w:cs="宋体"/>
                <w:color w:val="auto"/>
                <w:sz w:val="24"/>
                <w:szCs w:val="24"/>
                <w:highlight w:val="none"/>
              </w:rPr>
              <w:t xml:space="preserve">（转8006）</w:t>
            </w:r>
            <w:r/>
          </w:p>
          <w:p>
            <w:pP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地址：</w:t>
            </w:r>
            <w:r>
              <w:rPr>
                <w:rFonts w:hint="eastAsia" w:ascii="宋体" w:hAnsi="宋体" w:cs="宋体"/>
                <w:color w:val="auto"/>
                <w:sz w:val="24"/>
                <w:szCs w:val="24"/>
                <w:highlight w:val="none"/>
                <w:lang w:eastAsia="zh-CN"/>
              </w:rPr>
              <w:t xml:space="preserve">南京市秦淮区光华东街6号创意产业园15号楼4F</w:t>
            </w:r>
            <w:r/>
          </w:p>
        </w:tc>
      </w:tr>
      <w:tr>
        <w:trPr>
          <w:jc w:val="center"/>
          <w:trHeight w:val="567"/>
        </w:trPr>
        <w:tc>
          <w:tcPr>
            <w:tcW w:w="763"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9</w:t>
            </w:r>
            <w:r/>
          </w:p>
        </w:tc>
        <w:tc>
          <w:tcPr>
            <w:tcW w:w="1523"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采购人</w:t>
            </w:r>
            <w:r/>
          </w:p>
        </w:tc>
        <w:tc>
          <w:tcPr>
            <w:tcW w:w="7749" w:type="dxa"/>
            <w:vAlign w:val="center"/>
            <w:textDirection w:val="lrTb"/>
            <w:noWrap w:val="false"/>
          </w:tcPr>
          <w:p>
            <w:pP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单位名称：</w:t>
            </w:r>
            <w:r>
              <w:rPr>
                <w:rFonts w:hint="eastAsia" w:ascii="宋体" w:hAnsi="宋体" w:cs="宋体"/>
                <w:color w:val="auto"/>
                <w:sz w:val="24"/>
                <w:szCs w:val="24"/>
                <w:highlight w:val="none"/>
                <w:lang w:eastAsia="zh-CN"/>
              </w:rPr>
              <w:t xml:space="preserve">江苏省林业局</w:t>
            </w:r>
            <w:r/>
          </w:p>
          <w:p>
            <w:pP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联系人：</w:t>
            </w:r>
            <w:r>
              <w:rPr>
                <w:rFonts w:hint="eastAsia" w:ascii="宋体" w:hAnsi="宋体" w:cs="宋体"/>
                <w:color w:val="auto"/>
                <w:sz w:val="24"/>
                <w:szCs w:val="24"/>
                <w:highlight w:val="none"/>
                <w:lang w:eastAsia="zh-CN"/>
              </w:rPr>
              <w:t xml:space="preserve">樊向民</w:t>
            </w:r>
            <w:r/>
          </w:p>
          <w:p>
            <w:pP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联系方式：025-86275</w:t>
            </w:r>
            <w:r>
              <w:rPr>
                <w:rFonts w:hint="eastAsia" w:ascii="宋体" w:hAnsi="宋体" w:cs="宋体"/>
                <w:color w:val="auto"/>
                <w:sz w:val="24"/>
                <w:szCs w:val="24"/>
                <w:highlight w:val="none"/>
                <w:lang w:val="en-US" w:eastAsia="zh-CN"/>
              </w:rPr>
              <w:t xml:space="preserve">258</w:t>
            </w:r>
            <w:r/>
          </w:p>
          <w:p>
            <w:pPr>
              <w:rPr>
                <w:rFonts w:ascii="宋体" w:hAnsi="宋体" w:cs="宋体"/>
                <w:color w:val="auto"/>
                <w:sz w:val="24"/>
                <w:szCs w:val="24"/>
                <w:highlight w:val="none"/>
              </w:rPr>
            </w:pPr>
            <w:r>
              <w:rPr>
                <w:rFonts w:hint="eastAsia" w:ascii="宋体" w:hAnsi="宋体" w:cs="宋体"/>
                <w:color w:val="auto"/>
                <w:sz w:val="24"/>
                <w:szCs w:val="24"/>
                <w:highlight w:val="none"/>
              </w:rPr>
              <w:t xml:space="preserve">地址：江苏省南京市鼓楼区定淮门大街22号</w:t>
            </w:r>
            <w:r/>
          </w:p>
        </w:tc>
      </w:tr>
      <w:tr>
        <w:trPr>
          <w:jc w:val="center"/>
          <w:trHeight w:val="567"/>
        </w:trPr>
        <w:tc>
          <w:tcPr>
            <w:tcW w:w="763"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10</w:t>
            </w:r>
            <w:r/>
          </w:p>
        </w:tc>
        <w:tc>
          <w:tcPr>
            <w:tcW w:w="1523"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投标</w:t>
            </w:r>
            <w:r/>
          </w:p>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保证金</w:t>
            </w:r>
            <w:r/>
          </w:p>
        </w:tc>
        <w:tc>
          <w:tcPr>
            <w:tcW w:w="7749" w:type="dxa"/>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本项目不收取投标保证金。</w:t>
            </w:r>
            <w:r/>
          </w:p>
        </w:tc>
      </w:tr>
      <w:tr>
        <w:trPr>
          <w:jc w:val="center"/>
          <w:trHeight w:val="567"/>
        </w:trPr>
        <w:tc>
          <w:tcPr>
            <w:tcW w:w="763"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11</w:t>
            </w:r>
            <w:r/>
          </w:p>
        </w:tc>
        <w:tc>
          <w:tcPr>
            <w:tcW w:w="1523"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代理服务费</w:t>
            </w:r>
            <w:r/>
          </w:p>
        </w:tc>
        <w:tc>
          <w:tcPr>
            <w:tcW w:w="7749" w:type="dxa"/>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本次</w:t>
            </w:r>
            <w:r>
              <w:rPr>
                <w:rFonts w:hint="eastAsia" w:ascii="宋体" w:hAnsi="宋体" w:cs="宋体"/>
                <w:color w:val="auto"/>
                <w:sz w:val="24"/>
                <w:szCs w:val="24"/>
                <w:highlight w:val="none"/>
                <w:lang w:val="en-US" w:eastAsia="zh-CN"/>
              </w:rPr>
              <w:t xml:space="preserve">招标</w:t>
            </w:r>
            <w:r>
              <w:rPr>
                <w:rFonts w:hint="eastAsia" w:ascii="宋体" w:hAnsi="宋体" w:cs="宋体"/>
                <w:color w:val="auto"/>
                <w:sz w:val="24"/>
                <w:szCs w:val="24"/>
                <w:highlight w:val="none"/>
              </w:rPr>
              <w:t xml:space="preserve">代理服务费的收取按照苏招协（[2022]002号）《江苏省招标代理服务收费的指导意见》规定的费率按</w:t>
            </w:r>
            <w:r>
              <w:rPr>
                <w:rFonts w:hint="eastAsia" w:ascii="宋体" w:hAnsi="宋体" w:cs="宋体"/>
                <w:color w:val="auto"/>
                <w:sz w:val="24"/>
                <w:szCs w:val="24"/>
                <w:highlight w:val="none"/>
                <w:lang w:val="en-US" w:eastAsia="zh-CN"/>
              </w:rPr>
              <w:t xml:space="preserve">中标</w:t>
            </w:r>
            <w:r>
              <w:rPr>
                <w:rFonts w:hint="eastAsia" w:ascii="宋体" w:hAnsi="宋体" w:cs="宋体"/>
                <w:color w:val="auto"/>
                <w:sz w:val="24"/>
                <w:szCs w:val="24"/>
                <w:highlight w:val="none"/>
              </w:rPr>
              <w:t xml:space="preserve">金额直接计</w:t>
            </w:r>
            <w:r>
              <w:rPr>
                <w:rFonts w:hint="eastAsia" w:ascii="宋体" w:hAnsi="宋体" w:cs="宋体"/>
                <w:color w:val="auto"/>
                <w:sz w:val="24"/>
                <w:szCs w:val="24"/>
                <w:highlight w:val="none"/>
                <w:lang w:eastAsia="zh-CN"/>
              </w:rPr>
              <w:t xml:space="preserve">算</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中标供应商</w:t>
            </w:r>
            <w:r>
              <w:rPr>
                <w:rFonts w:hint="eastAsia" w:ascii="宋体" w:hAnsi="宋体" w:cs="宋体"/>
                <w:color w:val="auto"/>
                <w:sz w:val="24"/>
                <w:szCs w:val="24"/>
                <w:highlight w:val="none"/>
              </w:rPr>
              <w:t xml:space="preserve">领取《</w:t>
            </w:r>
            <w:r>
              <w:rPr>
                <w:rFonts w:hint="eastAsia" w:ascii="宋体" w:hAnsi="宋体" w:cs="宋体"/>
                <w:color w:val="auto"/>
                <w:sz w:val="24"/>
                <w:szCs w:val="24"/>
                <w:highlight w:val="none"/>
                <w:lang w:eastAsia="zh-CN"/>
              </w:rPr>
              <w:t xml:space="preserve">中标</w:t>
            </w:r>
            <w:r>
              <w:rPr>
                <w:rFonts w:hint="eastAsia" w:ascii="宋体" w:hAnsi="宋体" w:cs="宋体"/>
                <w:color w:val="auto"/>
                <w:sz w:val="24"/>
                <w:szCs w:val="24"/>
                <w:highlight w:val="none"/>
              </w:rPr>
              <w:t xml:space="preserve">通知书》</w:t>
            </w:r>
            <w:r>
              <w:rPr>
                <w:rFonts w:hint="eastAsia" w:ascii="宋体" w:hAnsi="宋体" w:cs="宋体"/>
                <w:color w:val="auto"/>
                <w:sz w:val="24"/>
                <w:szCs w:val="24"/>
                <w:highlight w:val="none"/>
                <w:lang w:eastAsia="zh-CN"/>
              </w:rPr>
              <w:t xml:space="preserve">时向代理机构缴纳。</w:t>
            </w:r>
            <w:r>
              <w:rPr>
                <w:rFonts w:hint="eastAsia" w:ascii="宋体" w:hAnsi="宋体" w:cs="宋体"/>
                <w:color w:val="auto"/>
                <w:sz w:val="24"/>
                <w:szCs w:val="24"/>
                <w:highlight w:val="none"/>
              </w:rPr>
              <w:t xml:space="preserve">根据财库〔2018〕2号《政府招标代理机构管理暂行办法》第十五条之规定，凭《</w:t>
            </w:r>
            <w:r>
              <w:rPr>
                <w:rFonts w:hint="eastAsia" w:ascii="宋体" w:hAnsi="宋体" w:cs="宋体"/>
                <w:color w:val="auto"/>
                <w:sz w:val="24"/>
                <w:szCs w:val="24"/>
                <w:highlight w:val="none"/>
                <w:lang w:eastAsia="zh-CN"/>
              </w:rPr>
              <w:t xml:space="preserve">中标</w:t>
            </w:r>
            <w:r>
              <w:rPr>
                <w:rFonts w:hint="eastAsia" w:ascii="宋体" w:hAnsi="宋体" w:cs="宋体"/>
                <w:color w:val="auto"/>
                <w:sz w:val="24"/>
                <w:szCs w:val="24"/>
                <w:highlight w:val="none"/>
              </w:rPr>
              <w:t xml:space="preserve">通知书》与</w:t>
            </w:r>
            <w:r>
              <w:rPr>
                <w:rFonts w:hint="eastAsia" w:ascii="宋体" w:hAnsi="宋体" w:cs="宋体"/>
                <w:color w:val="auto"/>
                <w:sz w:val="24"/>
                <w:szCs w:val="24"/>
                <w:highlight w:val="none"/>
                <w:lang w:val="en-US" w:eastAsia="zh-CN"/>
              </w:rPr>
              <w:t xml:space="preserve">招标人</w:t>
            </w:r>
            <w:r>
              <w:rPr>
                <w:rFonts w:hint="eastAsia" w:ascii="宋体" w:hAnsi="宋体" w:cs="宋体"/>
                <w:color w:val="auto"/>
                <w:sz w:val="24"/>
                <w:szCs w:val="24"/>
                <w:highlight w:val="none"/>
              </w:rPr>
              <w:t xml:space="preserve">签订合同。</w:t>
            </w:r>
            <w:r/>
          </w:p>
        </w:tc>
      </w:tr>
      <w:tr>
        <w:trPr>
          <w:jc w:val="center"/>
          <w:trHeight w:val="567"/>
        </w:trPr>
        <w:tc>
          <w:tcPr>
            <w:tcW w:w="763"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12</w:t>
            </w:r>
            <w:r/>
          </w:p>
        </w:tc>
        <w:tc>
          <w:tcPr>
            <w:tcW w:w="1523"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提交投标文件截止时间、开标时间和地点</w:t>
            </w:r>
            <w:r/>
          </w:p>
        </w:tc>
        <w:tc>
          <w:tcPr>
            <w:tcW w:w="7749" w:type="dxa"/>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接收投标文件时间：202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16</w:t>
            </w:r>
            <w:r>
              <w:rPr>
                <w:rFonts w:hint="eastAsia" w:ascii="宋体" w:hAnsi="宋体" w:cs="宋体"/>
                <w:color w:val="auto"/>
                <w:sz w:val="24"/>
                <w:szCs w:val="24"/>
                <w:highlight w:val="none"/>
              </w:rPr>
              <w:t xml:space="preserve">日下午13:30-14:00分（北京时间）</w:t>
            </w:r>
            <w:r/>
          </w:p>
          <w:p>
            <w:pPr>
              <w:rPr>
                <w:rFonts w:ascii="宋体" w:hAnsi="宋体" w:cs="宋体"/>
                <w:color w:val="auto"/>
                <w:sz w:val="24"/>
                <w:szCs w:val="24"/>
                <w:highlight w:val="none"/>
              </w:rPr>
            </w:pPr>
            <w:r>
              <w:rPr>
                <w:rFonts w:hint="eastAsia" w:ascii="宋体" w:hAnsi="宋体" w:cs="宋体"/>
                <w:color w:val="auto"/>
                <w:sz w:val="24"/>
                <w:szCs w:val="24"/>
                <w:highlight w:val="none"/>
              </w:rPr>
              <w:t xml:space="preserve">接收地点：</w:t>
            </w:r>
            <w:r>
              <w:rPr>
                <w:rFonts w:hint="eastAsia" w:ascii="宋体" w:hAnsi="宋体" w:cs="宋体"/>
                <w:color w:val="auto"/>
                <w:sz w:val="24"/>
                <w:szCs w:val="24"/>
                <w:highlight w:val="none"/>
                <w:lang w:eastAsia="zh-CN"/>
              </w:rPr>
              <w:t xml:space="preserve">南京市秦淮区光华东街6号创意产业园15号楼3F</w:t>
            </w:r>
            <w:r>
              <w:rPr>
                <w:rFonts w:hint="eastAsia" w:ascii="宋体" w:hAnsi="宋体" w:cs="宋体"/>
                <w:color w:val="auto"/>
                <w:sz w:val="24"/>
                <w:szCs w:val="24"/>
                <w:highlight w:val="none"/>
              </w:rPr>
              <w:t xml:space="preserve">会议室</w:t>
            </w:r>
            <w:r/>
          </w:p>
        </w:tc>
      </w:tr>
      <w:tr>
        <w:trPr>
          <w:jc w:val="center"/>
          <w:trHeight w:val="567"/>
        </w:trPr>
        <w:tc>
          <w:tcPr>
            <w:tcW w:w="763"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13</w:t>
            </w:r>
            <w:r/>
          </w:p>
        </w:tc>
        <w:tc>
          <w:tcPr>
            <w:tcW w:w="1523"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投标文件</w:t>
            </w:r>
            <w:r/>
          </w:p>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数量</w:t>
            </w:r>
            <w:r/>
          </w:p>
        </w:tc>
        <w:tc>
          <w:tcPr>
            <w:tcW w:w="7749" w:type="dxa"/>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正本份数：1份</w:t>
            </w:r>
            <w:r/>
          </w:p>
          <w:p>
            <w:pPr>
              <w:rPr>
                <w:rFonts w:ascii="宋体" w:hAnsi="宋体" w:cs="宋体"/>
                <w:color w:val="auto"/>
                <w:sz w:val="24"/>
                <w:szCs w:val="24"/>
                <w:highlight w:val="none"/>
              </w:rPr>
            </w:pPr>
            <w:r>
              <w:rPr>
                <w:rFonts w:hint="eastAsia" w:ascii="宋体" w:hAnsi="宋体" w:cs="宋体"/>
                <w:color w:val="auto"/>
                <w:sz w:val="24"/>
                <w:szCs w:val="24"/>
                <w:highlight w:val="none"/>
              </w:rPr>
              <w:t xml:space="preserve">副本份数：5份  </w:t>
            </w:r>
            <w:r/>
          </w:p>
          <w:p>
            <w:pPr>
              <w:rPr>
                <w:rFonts w:ascii="宋体" w:hAnsi="宋体" w:cs="宋体"/>
                <w:color w:val="auto"/>
                <w:sz w:val="24"/>
                <w:szCs w:val="24"/>
                <w:highlight w:val="none"/>
              </w:rPr>
            </w:pPr>
            <w:r>
              <w:rPr>
                <w:rFonts w:hint="eastAsia" w:ascii="宋体" w:hAnsi="宋体" w:cs="宋体"/>
                <w:color w:val="auto"/>
                <w:sz w:val="24"/>
                <w:szCs w:val="24"/>
                <w:highlight w:val="none"/>
              </w:rPr>
              <w:t xml:space="preserve">电子文档：1份（提供PDF版，封面及签章部分须盖章签字，U盘与正本封装）</w:t>
            </w:r>
            <w:r/>
          </w:p>
        </w:tc>
      </w:tr>
      <w:tr>
        <w:trPr>
          <w:jc w:val="center"/>
          <w:trHeight w:val="567"/>
        </w:trPr>
        <w:tc>
          <w:tcPr>
            <w:tcW w:w="763"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14</w:t>
            </w:r>
            <w:r/>
          </w:p>
        </w:tc>
        <w:tc>
          <w:tcPr>
            <w:tcW w:w="1523"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投标文件开启时间和地点</w:t>
            </w:r>
            <w:r/>
          </w:p>
        </w:tc>
        <w:tc>
          <w:tcPr>
            <w:tcW w:w="7749" w:type="dxa"/>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时间：202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16</w:t>
            </w:r>
            <w:r>
              <w:rPr>
                <w:rFonts w:hint="eastAsia" w:ascii="宋体" w:hAnsi="宋体" w:cs="宋体"/>
                <w:color w:val="auto"/>
                <w:sz w:val="24"/>
                <w:szCs w:val="24"/>
                <w:highlight w:val="none"/>
              </w:rPr>
              <w:t xml:space="preserve">日下午14:00分（北京时间）</w:t>
            </w:r>
            <w:r/>
          </w:p>
          <w:p>
            <w:pPr>
              <w:rPr>
                <w:rFonts w:ascii="宋体" w:hAnsi="宋体" w:cs="宋体"/>
                <w:color w:val="auto"/>
                <w:sz w:val="24"/>
                <w:szCs w:val="24"/>
                <w:highlight w:val="none"/>
              </w:rPr>
            </w:pPr>
            <w:r>
              <w:rPr>
                <w:rFonts w:hint="eastAsia" w:ascii="宋体" w:hAnsi="宋体" w:cs="宋体"/>
                <w:color w:val="auto"/>
                <w:sz w:val="24"/>
                <w:szCs w:val="24"/>
                <w:highlight w:val="none"/>
              </w:rPr>
              <w:t xml:space="preserve">地点：</w:t>
            </w:r>
            <w:r>
              <w:rPr>
                <w:rFonts w:hint="eastAsia" w:ascii="宋体" w:hAnsi="宋体" w:cs="宋体"/>
                <w:color w:val="auto"/>
                <w:sz w:val="24"/>
                <w:szCs w:val="24"/>
                <w:highlight w:val="none"/>
                <w:lang w:eastAsia="zh-CN"/>
              </w:rPr>
              <w:t xml:space="preserve">南京市秦淮区光华东街6号创意产业园15号楼4F</w:t>
            </w:r>
            <w:r>
              <w:rPr>
                <w:rFonts w:hint="eastAsia" w:ascii="宋体" w:hAnsi="宋体" w:cs="宋体"/>
                <w:color w:val="auto"/>
                <w:sz w:val="24"/>
                <w:szCs w:val="24"/>
                <w:highlight w:val="none"/>
              </w:rPr>
              <w:t xml:space="preserve">会议室</w:t>
            </w:r>
            <w:r/>
          </w:p>
        </w:tc>
      </w:tr>
      <w:tr>
        <w:trPr>
          <w:jc w:val="center"/>
          <w:trHeight w:val="567"/>
        </w:trPr>
        <w:tc>
          <w:tcPr>
            <w:tcW w:w="763"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15</w:t>
            </w:r>
            <w:r/>
          </w:p>
        </w:tc>
        <w:tc>
          <w:tcPr>
            <w:tcW w:w="1523"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投标文件有效期</w:t>
            </w:r>
            <w:r/>
          </w:p>
        </w:tc>
        <w:tc>
          <w:tcPr>
            <w:tcW w:w="7749" w:type="dxa"/>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投标文件接收截止时间起九十天，有效期短于此规定的投标文件将作无效投标处理。</w:t>
            </w:r>
            <w:r/>
          </w:p>
        </w:tc>
      </w:tr>
      <w:tr>
        <w:trPr>
          <w:jc w:val="center"/>
          <w:trHeight w:val="567"/>
        </w:trPr>
        <w:tc>
          <w:tcPr>
            <w:tcW w:w="763"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16</w:t>
            </w:r>
            <w:r/>
          </w:p>
        </w:tc>
        <w:tc>
          <w:tcPr>
            <w:tcW w:w="1523"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评标办法</w:t>
            </w:r>
            <w:r/>
          </w:p>
        </w:tc>
        <w:tc>
          <w:tcPr>
            <w:tcW w:w="7749" w:type="dxa"/>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综合评分法</w:t>
            </w:r>
            <w:r/>
          </w:p>
        </w:tc>
      </w:tr>
      <w:tr>
        <w:trPr>
          <w:jc w:val="center"/>
          <w:trHeight w:val="567"/>
        </w:trPr>
        <w:tc>
          <w:tcPr>
            <w:tcW w:w="763"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17</w:t>
            </w:r>
            <w:r/>
          </w:p>
        </w:tc>
        <w:tc>
          <w:tcPr>
            <w:tcW w:w="1523"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报价</w:t>
            </w:r>
            <w:r/>
          </w:p>
        </w:tc>
        <w:tc>
          <w:tcPr>
            <w:tcW w:w="7749" w:type="dxa"/>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1.所有投标响应均以人民币报价。</w:t>
            </w:r>
            <w:r/>
          </w:p>
          <w:p>
            <w:pPr>
              <w:rPr>
                <w:rFonts w:ascii="宋体" w:hAnsi="宋体" w:cs="宋体"/>
                <w:color w:val="auto"/>
                <w:sz w:val="24"/>
                <w:szCs w:val="24"/>
                <w:highlight w:val="none"/>
              </w:rPr>
            </w:pPr>
            <w:r>
              <w:rPr>
                <w:rFonts w:hint="eastAsia" w:ascii="宋体" w:hAnsi="宋体" w:cs="宋体"/>
                <w:color w:val="auto"/>
                <w:sz w:val="24"/>
                <w:szCs w:val="24"/>
                <w:highlight w:val="none"/>
              </w:rPr>
              <w:t xml:space="preserve">2.投标人应按照招标文件规定格式填报报价一览表、报价明细表，在表中标明所提供的每一项产品或服务。每项产品或服务只允许有一个报价，任何有选择的报价或备选方案（每项产品多品牌报价或每项服务多方案报价）将不予接受，招标文件中另有规定的按规定执行。(如有备选配件，备选配件的报价不属于选择的报价)。</w:t>
            </w:r>
            <w:r/>
          </w:p>
        </w:tc>
      </w:tr>
      <w:tr>
        <w:trPr>
          <w:jc w:val="center"/>
          <w:trHeight w:val="567"/>
        </w:trPr>
        <w:tc>
          <w:tcPr>
            <w:tcW w:w="763"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18</w:t>
            </w:r>
            <w:r/>
          </w:p>
        </w:tc>
        <w:tc>
          <w:tcPr>
            <w:tcW w:w="1523"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中标人推荐资格</w:t>
            </w:r>
            <w:r/>
          </w:p>
        </w:tc>
        <w:tc>
          <w:tcPr>
            <w:tcW w:w="7749"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评标小组进行综合评分后按综合评分由高到低推荐三名中标候选供应商，采购人在推荐的候选供应商中按顺序确定一名中标供应商。</w:t>
            </w:r>
            <w:r/>
          </w:p>
          <w:p>
            <w:pPr>
              <w:jc w:val="left"/>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每个</w:t>
            </w:r>
            <w:r>
              <w:rPr>
                <w:rFonts w:hint="eastAsia" w:ascii="宋体" w:hAnsi="宋体" w:cs="宋体"/>
                <w:color w:val="auto"/>
                <w:sz w:val="24"/>
                <w:szCs w:val="24"/>
                <w:highlight w:val="none"/>
                <w:lang w:val="en-US" w:eastAsia="zh-CN"/>
              </w:rPr>
              <w:t xml:space="preserve">分包</w:t>
            </w:r>
            <w:r>
              <w:rPr>
                <w:rFonts w:hint="eastAsia" w:ascii="宋体" w:hAnsi="宋体" w:cs="宋体"/>
                <w:color w:val="auto"/>
                <w:sz w:val="24"/>
                <w:szCs w:val="24"/>
                <w:highlight w:val="none"/>
                <w:lang w:eastAsia="zh-CN"/>
              </w:rPr>
              <w:t xml:space="preserve">各推荐3名中标候选人，同一供应商允许兼投，但不得兼中；若各</w:t>
            </w:r>
            <w:r>
              <w:rPr>
                <w:rFonts w:hint="eastAsia" w:ascii="宋体" w:hAnsi="宋体" w:cs="宋体"/>
                <w:color w:val="auto"/>
                <w:sz w:val="24"/>
                <w:szCs w:val="24"/>
                <w:highlight w:val="none"/>
                <w:lang w:val="en-US" w:eastAsia="zh-CN"/>
              </w:rPr>
              <w:t xml:space="preserve">分包</w:t>
            </w:r>
            <w:r>
              <w:rPr>
                <w:rFonts w:hint="eastAsia" w:ascii="宋体" w:hAnsi="宋体" w:cs="宋体"/>
                <w:color w:val="auto"/>
                <w:sz w:val="24"/>
                <w:szCs w:val="24"/>
                <w:highlight w:val="none"/>
                <w:lang w:eastAsia="zh-CN"/>
              </w:rPr>
              <w:t xml:space="preserve">综合排名为第一的供应商为同一个候选人，则以预算金额最高的</w:t>
            </w:r>
            <w:r>
              <w:rPr>
                <w:rFonts w:hint="eastAsia" w:ascii="宋体" w:hAnsi="宋体" w:cs="宋体"/>
                <w:color w:val="auto"/>
                <w:sz w:val="24"/>
                <w:szCs w:val="24"/>
                <w:highlight w:val="none"/>
                <w:lang w:val="en-US" w:eastAsia="zh-CN"/>
              </w:rPr>
              <w:t xml:space="preserve">分包</w:t>
            </w:r>
            <w:r>
              <w:rPr>
                <w:rFonts w:hint="eastAsia" w:ascii="宋体" w:hAnsi="宋体" w:cs="宋体"/>
                <w:color w:val="auto"/>
                <w:sz w:val="24"/>
                <w:szCs w:val="24"/>
                <w:highlight w:val="none"/>
                <w:lang w:eastAsia="zh-CN"/>
              </w:rPr>
              <w:t xml:space="preserve">为中标候选人。</w:t>
            </w:r>
            <w:r/>
          </w:p>
        </w:tc>
      </w:tr>
      <w:tr>
        <w:trPr>
          <w:jc w:val="center"/>
          <w:trHeight w:val="567"/>
        </w:trPr>
        <w:tc>
          <w:tcPr>
            <w:tcW w:w="763"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19</w:t>
            </w:r>
            <w:r/>
          </w:p>
        </w:tc>
        <w:tc>
          <w:tcPr>
            <w:tcW w:w="1523"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采购合同</w:t>
            </w:r>
            <w:r/>
          </w:p>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签订</w:t>
            </w:r>
            <w:r/>
          </w:p>
        </w:tc>
        <w:tc>
          <w:tcPr>
            <w:tcW w:w="7749" w:type="dxa"/>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合同签订，中标通知书发出后30日内。</w:t>
            </w:r>
            <w:r/>
          </w:p>
        </w:tc>
      </w:tr>
      <w:tr>
        <w:trPr>
          <w:jc w:val="center"/>
          <w:trHeight w:val="567"/>
        </w:trPr>
        <w:tc>
          <w:tcPr>
            <w:tcW w:w="763"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20</w:t>
            </w:r>
            <w:r/>
          </w:p>
        </w:tc>
        <w:tc>
          <w:tcPr>
            <w:tcW w:w="1523"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无效投标</w:t>
            </w:r>
            <w:r/>
          </w:p>
        </w:tc>
        <w:tc>
          <w:tcPr>
            <w:tcW w:w="7749" w:type="dxa"/>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1.未按照招标文件要求密封、签署、盖章的；</w:t>
            </w:r>
            <w:r/>
          </w:p>
          <w:p>
            <w:pPr>
              <w:rPr>
                <w:rFonts w:ascii="宋体" w:hAnsi="宋体" w:cs="宋体"/>
                <w:color w:val="auto"/>
                <w:sz w:val="24"/>
                <w:szCs w:val="24"/>
                <w:highlight w:val="none"/>
              </w:rPr>
            </w:pPr>
            <w:r>
              <w:rPr>
                <w:rFonts w:hint="eastAsia" w:ascii="宋体" w:hAnsi="宋体" w:cs="宋体"/>
                <w:color w:val="auto"/>
                <w:sz w:val="24"/>
                <w:szCs w:val="24"/>
                <w:highlight w:val="none"/>
              </w:rPr>
              <w:t xml:space="preserve">2.投标人在报价时采用选择性报价的；</w:t>
            </w:r>
            <w:r/>
          </w:p>
          <w:p>
            <w:pPr>
              <w:rPr>
                <w:rFonts w:ascii="宋体" w:hAnsi="宋体" w:cs="宋体"/>
                <w:color w:val="auto"/>
                <w:sz w:val="24"/>
                <w:szCs w:val="24"/>
                <w:highlight w:val="none"/>
              </w:rPr>
            </w:pPr>
            <w:r>
              <w:rPr>
                <w:rFonts w:hint="eastAsia" w:ascii="宋体" w:hAnsi="宋体" w:cs="宋体"/>
                <w:color w:val="auto"/>
                <w:sz w:val="24"/>
                <w:szCs w:val="24"/>
                <w:highlight w:val="none"/>
              </w:rPr>
              <w:t xml:space="preserve">3.投标人不具备招标文件中规定资格要求及不符合财政部财库（2016）125号文件规定的；</w:t>
            </w:r>
            <w:r/>
          </w:p>
          <w:p>
            <w:pPr>
              <w:rPr>
                <w:rFonts w:ascii="宋体" w:hAnsi="宋体" w:cs="宋体"/>
                <w:color w:val="auto"/>
                <w:sz w:val="24"/>
                <w:szCs w:val="24"/>
                <w:highlight w:val="none"/>
              </w:rPr>
            </w:pPr>
            <w:r>
              <w:rPr>
                <w:rFonts w:hint="eastAsia" w:ascii="宋体" w:hAnsi="宋体" w:cs="宋体"/>
                <w:color w:val="auto"/>
                <w:sz w:val="24"/>
                <w:szCs w:val="24"/>
                <w:highlight w:val="none"/>
              </w:rPr>
              <w:t xml:space="preserve">4.投标人的报价超过了采购预算的；</w:t>
            </w:r>
            <w:r/>
          </w:p>
          <w:p>
            <w:pPr>
              <w:rPr>
                <w:rFonts w:ascii="宋体" w:hAnsi="宋体" w:cs="宋体"/>
                <w:color w:val="auto"/>
                <w:sz w:val="24"/>
                <w:szCs w:val="24"/>
                <w:highlight w:val="none"/>
              </w:rPr>
            </w:pPr>
            <w:r>
              <w:rPr>
                <w:rFonts w:hint="eastAsia" w:ascii="宋体" w:hAnsi="宋体" w:cs="宋体"/>
                <w:color w:val="auto"/>
                <w:sz w:val="24"/>
                <w:szCs w:val="24"/>
                <w:highlight w:val="none"/>
              </w:rPr>
              <w:t xml:space="preserve">5.未通过符合性检查的；</w:t>
            </w:r>
            <w:r/>
          </w:p>
          <w:p>
            <w:pPr>
              <w:rPr>
                <w:rFonts w:ascii="宋体" w:hAnsi="宋体" w:cs="宋体"/>
                <w:color w:val="auto"/>
                <w:sz w:val="24"/>
                <w:szCs w:val="24"/>
                <w:highlight w:val="none"/>
              </w:rPr>
            </w:pPr>
            <w:r>
              <w:rPr>
                <w:rFonts w:hint="eastAsia" w:ascii="宋体" w:hAnsi="宋体" w:cs="宋体"/>
                <w:color w:val="auto"/>
                <w:sz w:val="24"/>
                <w:szCs w:val="24"/>
                <w:highlight w:val="none"/>
              </w:rPr>
              <w:t xml:space="preserve">6.不符合招标文件中规定的其他实质性要求和条件的（本招标文件中标注为实质性要求的条款或斜体且有下划线部分为实质性要求和条件）；</w:t>
            </w:r>
            <w:r/>
          </w:p>
        </w:tc>
      </w:tr>
      <w:tr>
        <w:trPr>
          <w:jc w:val="center"/>
          <w:trHeight w:val="567"/>
        </w:trPr>
        <w:tc>
          <w:tcPr>
            <w:tcW w:w="763"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21</w:t>
            </w:r>
            <w:r/>
          </w:p>
        </w:tc>
        <w:tc>
          <w:tcPr>
            <w:tcW w:w="1523"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废标</w:t>
            </w:r>
            <w:r/>
          </w:p>
        </w:tc>
        <w:tc>
          <w:tcPr>
            <w:tcW w:w="7749" w:type="dxa"/>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符合专业条件的投标人或者对招标文件作实质响应的投标人不足三家的；</w:t>
            </w:r>
            <w:r/>
          </w:p>
          <w:p>
            <w:pPr>
              <w:rPr>
                <w:rFonts w:ascii="宋体" w:hAnsi="宋体" w:cs="宋体"/>
                <w:color w:val="auto"/>
                <w:sz w:val="24"/>
                <w:szCs w:val="24"/>
                <w:highlight w:val="none"/>
              </w:rPr>
            </w:pPr>
            <w:r>
              <w:rPr>
                <w:rFonts w:hint="eastAsia" w:ascii="宋体" w:hAnsi="宋体" w:cs="宋体"/>
                <w:color w:val="auto"/>
                <w:sz w:val="24"/>
                <w:szCs w:val="24"/>
                <w:highlight w:val="none"/>
              </w:rPr>
              <w:t xml:space="preserve">出现影响采购公正的违法、违规行为的；</w:t>
            </w:r>
            <w:r/>
          </w:p>
          <w:p>
            <w:pPr>
              <w:rPr>
                <w:rFonts w:ascii="宋体" w:hAnsi="宋体" w:cs="宋体"/>
                <w:color w:val="auto"/>
                <w:sz w:val="24"/>
                <w:szCs w:val="24"/>
                <w:highlight w:val="none"/>
              </w:rPr>
            </w:pPr>
            <w:r>
              <w:rPr>
                <w:rFonts w:hint="eastAsia" w:ascii="宋体" w:hAnsi="宋体" w:cs="宋体"/>
                <w:color w:val="auto"/>
                <w:sz w:val="24"/>
                <w:szCs w:val="24"/>
                <w:highlight w:val="none"/>
              </w:rPr>
              <w:t xml:space="preserve">因重大变故，采购任务取消的；</w:t>
            </w:r>
            <w:r/>
          </w:p>
          <w:p>
            <w:pPr>
              <w:rPr>
                <w:rFonts w:ascii="宋体" w:hAnsi="宋体" w:cs="宋体"/>
                <w:color w:val="auto"/>
                <w:sz w:val="24"/>
                <w:szCs w:val="24"/>
                <w:highlight w:val="none"/>
              </w:rPr>
            </w:pPr>
            <w:r>
              <w:rPr>
                <w:rFonts w:hint="eastAsia" w:ascii="宋体" w:hAnsi="宋体" w:cs="宋体"/>
                <w:color w:val="auto"/>
                <w:sz w:val="24"/>
                <w:szCs w:val="24"/>
                <w:highlight w:val="none"/>
              </w:rPr>
              <w:t xml:space="preserve">评标委员会认定招标文件存在歧义、 重大缺陷导致评审工作无法进行。</w:t>
            </w:r>
            <w:r/>
          </w:p>
        </w:tc>
      </w:tr>
      <w:tr>
        <w:trPr>
          <w:jc w:val="center"/>
          <w:trHeight w:val="567"/>
        </w:trPr>
        <w:tc>
          <w:tcPr>
            <w:tcW w:w="763"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22</w:t>
            </w:r>
            <w:r/>
          </w:p>
        </w:tc>
        <w:tc>
          <w:tcPr>
            <w:tcW w:w="1523"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质疑处理</w:t>
            </w:r>
            <w:r/>
          </w:p>
        </w:tc>
        <w:tc>
          <w:tcPr>
            <w:tcW w:w="7749" w:type="dxa"/>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1.参加投标人认为采购文件、采购过程和采购结果使自己的权益受到损害的，可以在知道或应知其权益受到损害之日起七个工作日内，以书面形式向采购代理机构或采购人提出质疑。上述应知其权益受到损害之日，是指：</w:t>
            </w:r>
            <w:r/>
          </w:p>
          <w:p>
            <w:pPr>
              <w:rPr>
                <w:rFonts w:ascii="宋体" w:hAnsi="宋体" w:cs="宋体"/>
                <w:color w:val="auto"/>
                <w:sz w:val="24"/>
                <w:szCs w:val="24"/>
                <w:highlight w:val="none"/>
              </w:rPr>
            </w:pPr>
            <w:r>
              <w:rPr>
                <w:rFonts w:hint="eastAsia" w:ascii="宋体" w:hAnsi="宋体" w:cs="宋体"/>
                <w:color w:val="auto"/>
                <w:sz w:val="24"/>
                <w:szCs w:val="24"/>
                <w:highlight w:val="none"/>
              </w:rPr>
              <w:t xml:space="preserve">1.1对可以质疑的采购文件提出质疑的，为发出采购公告之日起至采购文件公告期限届满之日；</w:t>
            </w:r>
            <w:r/>
          </w:p>
          <w:p>
            <w:pPr>
              <w:rPr>
                <w:rFonts w:ascii="宋体" w:hAnsi="宋体" w:cs="宋体"/>
                <w:color w:val="auto"/>
                <w:sz w:val="24"/>
                <w:szCs w:val="24"/>
                <w:highlight w:val="none"/>
              </w:rPr>
            </w:pPr>
            <w:r>
              <w:rPr>
                <w:rFonts w:hint="eastAsia" w:ascii="宋体" w:hAnsi="宋体" w:cs="宋体"/>
                <w:color w:val="auto"/>
                <w:sz w:val="24"/>
                <w:szCs w:val="24"/>
                <w:highlight w:val="none"/>
              </w:rPr>
              <w:t xml:space="preserve">1.2对采购过程提出质疑的，为各采购程序环节结束之日；</w:t>
            </w:r>
            <w:r/>
          </w:p>
          <w:p>
            <w:pPr>
              <w:rPr>
                <w:rFonts w:ascii="宋体" w:hAnsi="宋体" w:cs="宋体"/>
                <w:color w:val="auto"/>
                <w:sz w:val="24"/>
                <w:szCs w:val="24"/>
                <w:highlight w:val="none"/>
              </w:rPr>
            </w:pPr>
            <w:r>
              <w:rPr>
                <w:rFonts w:hint="eastAsia" w:ascii="宋体" w:hAnsi="宋体" w:cs="宋体"/>
                <w:color w:val="auto"/>
                <w:sz w:val="24"/>
                <w:szCs w:val="24"/>
                <w:highlight w:val="none"/>
              </w:rPr>
              <w:t xml:space="preserve">1.3对中标或者成交结果提出质疑的，为中标或者成交结果公告期限届满之日。</w:t>
            </w:r>
            <w:r/>
          </w:p>
          <w:p>
            <w:pPr>
              <w:rPr>
                <w:rFonts w:ascii="宋体" w:hAnsi="宋体" w:cs="宋体"/>
                <w:color w:val="auto"/>
                <w:sz w:val="24"/>
                <w:szCs w:val="24"/>
                <w:highlight w:val="none"/>
              </w:rPr>
            </w:pPr>
            <w:r>
              <w:rPr>
                <w:rFonts w:hint="eastAsia" w:ascii="宋体" w:hAnsi="宋体" w:cs="宋体"/>
                <w:color w:val="auto"/>
                <w:sz w:val="24"/>
                <w:szCs w:val="24"/>
                <w:highlight w:val="none"/>
              </w:rPr>
              <w:t xml:space="preserve">2.质疑必须按《政府采购法》、《政府采购法实施条例》、中华人民共和国财政部令第94号令《政府采购质疑和投诉办法》的相关规定提交，未按上述要求提交的质疑函（含传真、电子邮件等）采购代理机构可以要求质疑供应商按规定予以修正。</w:t>
            </w:r>
            <w:r/>
          </w:p>
          <w:p>
            <w:pPr>
              <w:rPr>
                <w:rFonts w:ascii="宋体" w:hAnsi="宋体" w:cs="宋体"/>
                <w:color w:val="auto"/>
                <w:sz w:val="24"/>
                <w:szCs w:val="24"/>
                <w:highlight w:val="none"/>
              </w:rPr>
            </w:pPr>
            <w:r>
              <w:rPr>
                <w:rFonts w:hint="eastAsia" w:ascii="宋体" w:hAnsi="宋体" w:cs="宋体"/>
                <w:color w:val="auto"/>
                <w:sz w:val="24"/>
                <w:szCs w:val="24"/>
                <w:highlight w:val="none"/>
              </w:rPr>
              <w:t xml:space="preserve">3.未参加投标活动的投标人或在投标活动中自身权益未受到损害的投标人所提出的质疑不予受理。</w:t>
            </w:r>
            <w:r/>
          </w:p>
          <w:p>
            <w:pPr>
              <w:rPr>
                <w:rFonts w:ascii="宋体" w:hAnsi="宋体" w:cs="宋体"/>
                <w:color w:val="auto"/>
                <w:sz w:val="24"/>
                <w:szCs w:val="24"/>
                <w:highlight w:val="none"/>
              </w:rPr>
            </w:pPr>
            <w:r>
              <w:rPr>
                <w:rFonts w:hint="eastAsia" w:ascii="宋体" w:hAnsi="宋体" w:cs="宋体"/>
                <w:color w:val="auto"/>
                <w:sz w:val="24"/>
                <w:szCs w:val="24"/>
                <w:highlight w:val="none"/>
              </w:rPr>
              <w:t xml:space="preserve">4.提出质疑应当提交质疑函和必要的证明材料。质疑函应当包括下列内容：</w:t>
            </w:r>
            <w:r/>
          </w:p>
          <w:p>
            <w:pPr>
              <w:rPr>
                <w:rFonts w:ascii="宋体" w:hAnsi="宋体" w:cs="宋体"/>
                <w:color w:val="auto"/>
                <w:sz w:val="24"/>
                <w:szCs w:val="24"/>
                <w:highlight w:val="none"/>
              </w:rPr>
            </w:pPr>
            <w:r>
              <w:rPr>
                <w:rFonts w:hint="eastAsia" w:ascii="宋体" w:hAnsi="宋体" w:cs="宋体"/>
                <w:color w:val="auto"/>
                <w:sz w:val="24"/>
                <w:szCs w:val="24"/>
                <w:highlight w:val="none"/>
              </w:rPr>
              <w:t xml:space="preserve">（一）投标人的姓名或者名称、地址、邮编、联系人及联系电话；</w:t>
            </w:r>
            <w:r/>
          </w:p>
          <w:p>
            <w:pPr>
              <w:rPr>
                <w:rFonts w:ascii="宋体" w:hAnsi="宋体" w:cs="宋体"/>
                <w:color w:val="auto"/>
                <w:sz w:val="24"/>
                <w:szCs w:val="24"/>
                <w:highlight w:val="none"/>
              </w:rPr>
            </w:pPr>
            <w:r>
              <w:rPr>
                <w:rFonts w:hint="eastAsia" w:ascii="宋体" w:hAnsi="宋体" w:cs="宋体"/>
                <w:color w:val="auto"/>
                <w:sz w:val="24"/>
                <w:szCs w:val="24"/>
                <w:highlight w:val="none"/>
              </w:rPr>
              <w:t xml:space="preserve">（二）质疑项目的名称、编号；</w:t>
            </w:r>
            <w:r/>
          </w:p>
          <w:p>
            <w:pPr>
              <w:rPr>
                <w:rFonts w:ascii="宋体" w:hAnsi="宋体" w:cs="宋体"/>
                <w:color w:val="auto"/>
                <w:sz w:val="24"/>
                <w:szCs w:val="24"/>
                <w:highlight w:val="none"/>
              </w:rPr>
            </w:pPr>
            <w:r>
              <w:rPr>
                <w:rFonts w:hint="eastAsia" w:ascii="宋体" w:hAnsi="宋体" w:cs="宋体"/>
                <w:color w:val="auto"/>
                <w:sz w:val="24"/>
                <w:szCs w:val="24"/>
                <w:highlight w:val="none"/>
              </w:rPr>
              <w:t xml:space="preserve">（三）具体、明确的质疑事项和与质疑事项相关的请求；</w:t>
            </w:r>
            <w:r/>
          </w:p>
          <w:p>
            <w:pPr>
              <w:rPr>
                <w:rFonts w:ascii="宋体" w:hAnsi="宋体" w:cs="宋体"/>
                <w:color w:val="auto"/>
                <w:sz w:val="24"/>
                <w:szCs w:val="24"/>
                <w:highlight w:val="none"/>
              </w:rPr>
            </w:pPr>
            <w:r>
              <w:rPr>
                <w:rFonts w:hint="eastAsia" w:ascii="宋体" w:hAnsi="宋体" w:cs="宋体"/>
                <w:color w:val="auto"/>
                <w:sz w:val="24"/>
                <w:szCs w:val="24"/>
                <w:highlight w:val="none"/>
              </w:rPr>
              <w:t xml:space="preserve">（四）事实依据；</w:t>
            </w:r>
            <w:r/>
          </w:p>
          <w:p>
            <w:pPr>
              <w:rPr>
                <w:rFonts w:ascii="宋体" w:hAnsi="宋体" w:cs="宋体"/>
                <w:color w:val="auto"/>
                <w:sz w:val="24"/>
                <w:szCs w:val="24"/>
                <w:highlight w:val="none"/>
              </w:rPr>
            </w:pPr>
            <w:r>
              <w:rPr>
                <w:rFonts w:hint="eastAsia" w:ascii="宋体" w:hAnsi="宋体" w:cs="宋体"/>
                <w:color w:val="auto"/>
                <w:sz w:val="24"/>
                <w:szCs w:val="24"/>
                <w:highlight w:val="none"/>
              </w:rPr>
              <w:t xml:space="preserve">（五）必要的法律依据；</w:t>
            </w:r>
            <w:r/>
          </w:p>
          <w:p>
            <w:pPr>
              <w:rPr>
                <w:rFonts w:ascii="宋体" w:hAnsi="宋体" w:cs="宋体"/>
                <w:color w:val="auto"/>
                <w:sz w:val="24"/>
                <w:szCs w:val="24"/>
                <w:highlight w:val="none"/>
              </w:rPr>
            </w:pPr>
            <w:r>
              <w:rPr>
                <w:rFonts w:hint="eastAsia" w:ascii="宋体" w:hAnsi="宋体" w:cs="宋体"/>
                <w:color w:val="auto"/>
                <w:sz w:val="24"/>
                <w:szCs w:val="24"/>
                <w:highlight w:val="none"/>
              </w:rPr>
              <w:t xml:space="preserve">（六）提出质疑的日期。</w:t>
            </w:r>
            <w:r/>
          </w:p>
          <w:p>
            <w:pPr>
              <w:rPr>
                <w:rFonts w:ascii="宋体" w:hAnsi="宋体" w:cs="宋体"/>
                <w:color w:val="auto"/>
                <w:sz w:val="24"/>
                <w:szCs w:val="24"/>
                <w:highlight w:val="none"/>
              </w:rPr>
            </w:pPr>
            <w:r>
              <w:rPr>
                <w:rFonts w:hint="eastAsia" w:ascii="宋体" w:hAnsi="宋体" w:cs="宋体"/>
                <w:color w:val="auto"/>
                <w:sz w:val="24"/>
                <w:szCs w:val="24"/>
                <w:highlight w:val="none"/>
              </w:rPr>
              <w:t xml:space="preserve">投标人为自然人的，应当由本人签字；投标人为法人或者其他组织的，应当由法定代表人、主要负责人，或者其授权代表签字或者盖章，并加盖公章。</w:t>
            </w:r>
            <w:r/>
          </w:p>
          <w:p>
            <w:pPr>
              <w:rPr>
                <w:rFonts w:ascii="宋体" w:hAnsi="宋体" w:cs="宋体"/>
                <w:color w:val="auto"/>
                <w:sz w:val="24"/>
                <w:szCs w:val="24"/>
                <w:highlight w:val="none"/>
              </w:rPr>
            </w:pPr>
            <w:r>
              <w:rPr>
                <w:rFonts w:hint="eastAsia" w:ascii="宋体" w:hAnsi="宋体" w:cs="宋体"/>
                <w:color w:val="auto"/>
                <w:sz w:val="24"/>
                <w:szCs w:val="24"/>
                <w:highlight w:val="none"/>
              </w:rPr>
              <w:t xml:space="preserve">质疑人委托代理质疑的，应当向采购代理机构提交授权委托书，并载明委托代理的具体权限和事项。</w:t>
            </w:r>
            <w:r/>
          </w:p>
          <w:p>
            <w:pPr>
              <w:rPr>
                <w:rFonts w:ascii="宋体" w:hAnsi="宋体" w:cs="宋体"/>
                <w:color w:val="auto"/>
                <w:sz w:val="24"/>
                <w:szCs w:val="24"/>
                <w:highlight w:val="none"/>
              </w:rPr>
            </w:pPr>
            <w:r>
              <w:rPr>
                <w:rFonts w:hint="eastAsia" w:ascii="宋体" w:hAnsi="宋体" w:cs="宋体"/>
                <w:color w:val="auto"/>
                <w:sz w:val="24"/>
                <w:szCs w:val="24"/>
                <w:highlight w:val="none"/>
              </w:rPr>
              <w:t xml:space="preserve">5.采购代理机构收到质疑函后，将对质疑的形式和内容进行审查，如质疑函内容、格式不符合规定，采购代理机构可以告知质疑人进行必要的修改和补正。</w:t>
            </w:r>
            <w:r/>
          </w:p>
          <w:p>
            <w:pPr>
              <w:rPr>
                <w:rFonts w:ascii="宋体" w:hAnsi="宋体" w:cs="宋体"/>
                <w:color w:val="auto"/>
                <w:sz w:val="24"/>
                <w:szCs w:val="24"/>
                <w:highlight w:val="none"/>
              </w:rPr>
            </w:pPr>
            <w:r>
              <w:rPr>
                <w:rFonts w:hint="eastAsia" w:ascii="宋体" w:hAnsi="宋体" w:cs="宋体"/>
                <w:color w:val="auto"/>
                <w:sz w:val="24"/>
                <w:szCs w:val="24"/>
                <w:highlight w:val="none"/>
              </w:rPr>
              <w:t xml:space="preserve">6.质疑人应当在法定质疑期限内进行补正并重新提交质疑函。</w:t>
            </w:r>
            <w:r/>
          </w:p>
          <w:p>
            <w:pPr>
              <w:rPr>
                <w:rFonts w:ascii="宋体" w:hAnsi="宋体" w:cs="宋体"/>
                <w:color w:val="auto"/>
                <w:sz w:val="24"/>
                <w:szCs w:val="24"/>
                <w:highlight w:val="none"/>
              </w:rPr>
            </w:pPr>
            <w:r>
              <w:rPr>
                <w:rFonts w:hint="eastAsia" w:ascii="宋体" w:hAnsi="宋体" w:cs="宋体"/>
                <w:color w:val="auto"/>
                <w:sz w:val="24"/>
                <w:szCs w:val="24"/>
                <w:highlight w:val="none"/>
              </w:rPr>
              <w:t xml:space="preserve">7.采购代理机构应当在收到投标人的书面质疑后七个工作日内作出答复，并以书面形式通知质疑供应商和其他有关供应商，并告知质疑供应商具有投诉的权利。质疑答复的内容不得涉及评审情况与所获知的供应商的商业秘密。</w:t>
            </w:r>
            <w:r/>
          </w:p>
          <w:p>
            <w:pPr>
              <w:rPr>
                <w:rFonts w:ascii="宋体" w:hAnsi="宋体" w:cs="宋体"/>
                <w:color w:val="auto"/>
                <w:sz w:val="24"/>
                <w:szCs w:val="24"/>
                <w:highlight w:val="none"/>
              </w:rPr>
            </w:pPr>
            <w:r>
              <w:rPr>
                <w:rFonts w:hint="eastAsia" w:ascii="宋体" w:hAnsi="宋体" w:cs="宋体"/>
                <w:color w:val="auto"/>
                <w:sz w:val="24"/>
                <w:szCs w:val="24"/>
                <w:highlight w:val="none"/>
              </w:rPr>
              <w:t xml:space="preserve">8.投标人提出书面质疑必须依据事实和法律依据，不得捏造事实进行恶意或虚假质疑。</w:t>
            </w:r>
            <w:r/>
          </w:p>
        </w:tc>
      </w:tr>
      <w:tr>
        <w:trPr>
          <w:jc w:val="center"/>
          <w:trHeight w:val="567"/>
        </w:trPr>
        <w:tc>
          <w:tcPr>
            <w:tcW w:w="763"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23</w:t>
            </w:r>
            <w:r/>
          </w:p>
        </w:tc>
        <w:tc>
          <w:tcPr>
            <w:tcW w:w="1523"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答疑或现场勘查</w:t>
            </w:r>
            <w:r/>
          </w:p>
        </w:tc>
        <w:tc>
          <w:tcPr>
            <w:tcW w:w="7749" w:type="dxa"/>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本项目不统一组织答疑会或现场勘查。</w:t>
            </w:r>
            <w:r/>
          </w:p>
        </w:tc>
      </w:tr>
    </w:tbl>
    <w:p>
      <w:pPr>
        <w:pStyle w:val="789"/>
        <w:numPr>
          <w:ilvl w:val="0"/>
          <w:numId w:val="0"/>
        </w:numPr>
        <w:jc w:val="left"/>
        <w:spacing w:before="0" w:after="0" w:line="480" w:lineRule="exac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一、总则</w:t>
      </w:r>
      <w:bookmarkEnd w:id="16"/>
      <w:r/>
      <w:r/>
    </w:p>
    <w:p>
      <w:pPr>
        <w:pStyle w:val="790"/>
        <w:numPr>
          <w:ilvl w:val="2"/>
          <w:numId w:val="0"/>
        </w:numPr>
        <w:ind w:firstLine="480"/>
        <w:jc w:val="left"/>
        <w:spacing w:before="0" w:after="0" w:line="480" w:lineRule="exact"/>
        <w:tabs>
          <w:tab w:val="left" w:pos="720" w:leader="none"/>
          <w:tab w:val="left" w:pos="794"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1、招标方式</w:t>
      </w:r>
      <w:r/>
    </w:p>
    <w:p>
      <w:pPr>
        <w:ind w:firstLine="480"/>
        <w:jc w:val="left"/>
        <w:spacing w:line="480" w:lineRule="exact"/>
        <w:rPr>
          <w:rFonts w:ascii="宋体" w:hAnsi="宋体" w:cs="宋体"/>
          <w:color w:val="auto"/>
          <w:highlight w:val="none"/>
        </w:rPr>
      </w:pPr>
      <w:r>
        <w:rPr>
          <w:rFonts w:hint="eastAsia" w:ascii="宋体" w:hAnsi="宋体" w:cs="宋体"/>
          <w:color w:val="auto"/>
          <w:sz w:val="24"/>
          <w:szCs w:val="24"/>
          <w:highlight w:val="none"/>
        </w:rPr>
        <w:t xml:space="preserve">1.1 本次招标采取</w:t>
      </w:r>
      <w:r>
        <w:rPr>
          <w:rFonts w:hint="eastAsia" w:ascii="宋体" w:hAnsi="宋体" w:cs="宋体"/>
          <w:b/>
          <w:bCs/>
          <w:color w:val="auto"/>
          <w:sz w:val="24"/>
          <w:szCs w:val="24"/>
          <w:highlight w:val="none"/>
        </w:rPr>
        <w:t xml:space="preserve">公开招标</w:t>
      </w:r>
      <w:r>
        <w:rPr>
          <w:rFonts w:hint="eastAsia" w:ascii="宋体" w:hAnsi="宋体" w:cs="宋体"/>
          <w:color w:val="auto"/>
          <w:sz w:val="24"/>
          <w:szCs w:val="24"/>
          <w:highlight w:val="none"/>
        </w:rPr>
        <w:t xml:space="preserve">方式，本招标文件仅适用于招标公告中所述项目。</w:t>
      </w:r>
      <w:r/>
    </w:p>
    <w:p>
      <w:pPr>
        <w:pStyle w:val="790"/>
        <w:numPr>
          <w:ilvl w:val="2"/>
          <w:numId w:val="0"/>
        </w:numPr>
        <w:ind w:firstLine="480"/>
        <w:jc w:val="left"/>
        <w:spacing w:before="0" w:after="0" w:line="480" w:lineRule="exact"/>
        <w:tabs>
          <w:tab w:val="left" w:pos="720" w:leader="none"/>
          <w:tab w:val="left" w:pos="794"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2、合格的投标人</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2.1满足招标公告中投标人的资格要求的规定。</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2.2 满足本文件实质性条款的规定。</w:t>
      </w:r>
      <w:r/>
    </w:p>
    <w:p>
      <w:pPr>
        <w:pStyle w:val="790"/>
        <w:numPr>
          <w:ilvl w:val="2"/>
          <w:numId w:val="0"/>
        </w:numPr>
        <w:ind w:firstLine="480"/>
        <w:jc w:val="left"/>
        <w:spacing w:before="0" w:after="0" w:line="480" w:lineRule="exact"/>
        <w:tabs>
          <w:tab w:val="left" w:pos="720" w:leader="none"/>
          <w:tab w:val="left" w:pos="794"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3、适用法律</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3.1 </w:t>
      </w:r>
      <w:r>
        <w:rPr>
          <w:rFonts w:hint="eastAsia" w:ascii="宋体" w:hAnsi="宋体" w:cs="宋体"/>
          <w:color w:val="auto"/>
          <w:sz w:val="24"/>
          <w:szCs w:val="24"/>
          <w:highlight w:val="none"/>
          <w:lang w:val="zh-CN"/>
        </w:rPr>
        <w:t xml:space="preserve">《中华人民共和国政府采购法》、《中华人民共和国政府采购法实施条例》、《政府采购货物和服务招标投标管理办法》等有关法律、规章和规定等。</w:t>
      </w:r>
      <w:r/>
    </w:p>
    <w:p>
      <w:pPr>
        <w:pStyle w:val="790"/>
        <w:numPr>
          <w:ilvl w:val="2"/>
          <w:numId w:val="0"/>
        </w:numPr>
        <w:ind w:firstLine="480"/>
        <w:jc w:val="left"/>
        <w:spacing w:before="0" w:after="0" w:line="480" w:lineRule="exact"/>
        <w:tabs>
          <w:tab w:val="left" w:pos="720" w:leader="none"/>
          <w:tab w:val="left" w:pos="794"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4、投标费用</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4.1 投标人应自行承担所有与参加投标有关的费用，无论投标过程中的做法和结果如何，</w:t>
      </w:r>
      <w:r>
        <w:rPr>
          <w:rFonts w:hint="eastAsia" w:ascii="宋体" w:hAnsi="宋体" w:cs="宋体"/>
          <w:color w:val="auto"/>
          <w:sz w:val="24"/>
          <w:szCs w:val="24"/>
          <w:highlight w:val="none"/>
          <w:lang w:eastAsia="zh-CN"/>
        </w:rPr>
        <w:t xml:space="preserve">江苏达琛鑫项目管理有限公司</w:t>
      </w:r>
      <w:r>
        <w:rPr>
          <w:rFonts w:hint="eastAsia" w:ascii="宋体" w:hAnsi="宋体" w:cs="宋体"/>
          <w:color w:val="auto"/>
          <w:sz w:val="24"/>
          <w:szCs w:val="24"/>
          <w:highlight w:val="none"/>
        </w:rPr>
        <w:t xml:space="preserve">（以下简称采购代理机构）在任何情况下均无义务和责任承担这些费用。</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4.2本次招标收取标书费。</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4.3代理服务费：本次</w:t>
      </w:r>
      <w:r>
        <w:rPr>
          <w:rFonts w:hint="eastAsia" w:ascii="宋体" w:hAnsi="宋体" w:cs="宋体"/>
          <w:color w:val="auto"/>
          <w:sz w:val="24"/>
          <w:szCs w:val="24"/>
          <w:highlight w:val="none"/>
          <w:lang w:val="en-US" w:eastAsia="zh-CN"/>
        </w:rPr>
        <w:t xml:space="preserve">招标</w:t>
      </w:r>
      <w:r>
        <w:rPr>
          <w:rFonts w:hint="eastAsia" w:ascii="宋体" w:hAnsi="宋体" w:cs="宋体"/>
          <w:color w:val="auto"/>
          <w:sz w:val="24"/>
          <w:szCs w:val="24"/>
          <w:highlight w:val="none"/>
        </w:rPr>
        <w:t xml:space="preserve">代理服务费的收取按照苏招协（[2022]002号）《江苏省招标代理服务收费的指导意见》规定的费率按</w:t>
      </w:r>
      <w:r>
        <w:rPr>
          <w:rFonts w:hint="eastAsia" w:ascii="宋体" w:hAnsi="宋体" w:cs="宋体"/>
          <w:color w:val="auto"/>
          <w:sz w:val="24"/>
          <w:szCs w:val="24"/>
          <w:highlight w:val="none"/>
          <w:lang w:val="en-US" w:eastAsia="zh-CN"/>
        </w:rPr>
        <w:t xml:space="preserve">中标</w:t>
      </w:r>
      <w:r>
        <w:rPr>
          <w:rFonts w:hint="eastAsia" w:ascii="宋体" w:hAnsi="宋体" w:cs="宋体"/>
          <w:color w:val="auto"/>
          <w:sz w:val="24"/>
          <w:szCs w:val="24"/>
          <w:highlight w:val="none"/>
        </w:rPr>
        <w:t xml:space="preserve">金额直接计</w:t>
      </w:r>
      <w:r>
        <w:rPr>
          <w:rFonts w:hint="eastAsia" w:ascii="宋体" w:hAnsi="宋体" w:cs="宋体"/>
          <w:color w:val="auto"/>
          <w:sz w:val="24"/>
          <w:szCs w:val="24"/>
          <w:highlight w:val="none"/>
          <w:lang w:eastAsia="zh-CN"/>
        </w:rPr>
        <w:t xml:space="preserve">算</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中标供应商</w:t>
      </w:r>
      <w:r>
        <w:rPr>
          <w:rFonts w:hint="eastAsia" w:ascii="宋体" w:hAnsi="宋体" w:cs="宋体"/>
          <w:color w:val="auto"/>
          <w:sz w:val="24"/>
          <w:szCs w:val="24"/>
          <w:highlight w:val="none"/>
        </w:rPr>
        <w:t xml:space="preserve">领取《</w:t>
      </w:r>
      <w:r>
        <w:rPr>
          <w:rFonts w:hint="eastAsia" w:ascii="宋体" w:hAnsi="宋体" w:cs="宋体"/>
          <w:color w:val="auto"/>
          <w:sz w:val="24"/>
          <w:szCs w:val="24"/>
          <w:highlight w:val="none"/>
          <w:lang w:eastAsia="zh-CN"/>
        </w:rPr>
        <w:t xml:space="preserve">中标</w:t>
      </w:r>
      <w:r>
        <w:rPr>
          <w:rFonts w:hint="eastAsia" w:ascii="宋体" w:hAnsi="宋体" w:cs="宋体"/>
          <w:color w:val="auto"/>
          <w:sz w:val="24"/>
          <w:szCs w:val="24"/>
          <w:highlight w:val="none"/>
        </w:rPr>
        <w:t xml:space="preserve">通知书》</w:t>
      </w:r>
      <w:r>
        <w:rPr>
          <w:rFonts w:hint="eastAsia" w:ascii="宋体" w:hAnsi="宋体" w:cs="宋体"/>
          <w:color w:val="auto"/>
          <w:sz w:val="24"/>
          <w:szCs w:val="24"/>
          <w:highlight w:val="none"/>
          <w:lang w:eastAsia="zh-CN"/>
        </w:rPr>
        <w:t xml:space="preserve">时向代理机构缴纳。</w:t>
      </w:r>
      <w:r>
        <w:rPr>
          <w:rFonts w:hint="eastAsia" w:ascii="宋体" w:hAnsi="宋体" w:cs="宋体"/>
          <w:color w:val="auto"/>
          <w:sz w:val="24"/>
          <w:szCs w:val="24"/>
          <w:highlight w:val="none"/>
        </w:rPr>
        <w:t xml:space="preserve">根据财库〔2018〕2号《政府招标代理机构管理暂行办法》第十五条之规定，凭《</w:t>
      </w:r>
      <w:r>
        <w:rPr>
          <w:rFonts w:hint="eastAsia" w:ascii="宋体" w:hAnsi="宋体" w:cs="宋体"/>
          <w:color w:val="auto"/>
          <w:sz w:val="24"/>
          <w:szCs w:val="24"/>
          <w:highlight w:val="none"/>
          <w:lang w:eastAsia="zh-CN"/>
        </w:rPr>
        <w:t xml:space="preserve">中标</w:t>
      </w:r>
      <w:r>
        <w:rPr>
          <w:rFonts w:hint="eastAsia" w:ascii="宋体" w:hAnsi="宋体" w:cs="宋体"/>
          <w:color w:val="auto"/>
          <w:sz w:val="24"/>
          <w:szCs w:val="24"/>
          <w:highlight w:val="none"/>
        </w:rPr>
        <w:t xml:space="preserve">通知书》与</w:t>
      </w:r>
      <w:r>
        <w:rPr>
          <w:rFonts w:hint="eastAsia" w:ascii="宋体" w:hAnsi="宋体" w:cs="宋体"/>
          <w:color w:val="auto"/>
          <w:sz w:val="24"/>
          <w:szCs w:val="24"/>
          <w:highlight w:val="none"/>
          <w:lang w:val="en-US" w:eastAsia="zh-CN"/>
        </w:rPr>
        <w:t xml:space="preserve">招标人</w:t>
      </w:r>
      <w:r>
        <w:rPr>
          <w:rFonts w:hint="eastAsia" w:ascii="宋体" w:hAnsi="宋体" w:cs="宋体"/>
          <w:color w:val="auto"/>
          <w:sz w:val="24"/>
          <w:szCs w:val="24"/>
          <w:highlight w:val="none"/>
        </w:rPr>
        <w:t xml:space="preserve">签订合同。</w:t>
      </w:r>
      <w:r/>
    </w:p>
    <w:p>
      <w:pPr>
        <w:pStyle w:val="790"/>
        <w:numPr>
          <w:ilvl w:val="2"/>
          <w:numId w:val="0"/>
        </w:numPr>
        <w:ind w:firstLine="480"/>
        <w:jc w:val="left"/>
        <w:spacing w:before="0" w:after="0" w:line="480" w:lineRule="exact"/>
        <w:tabs>
          <w:tab w:val="left" w:pos="720" w:leader="none"/>
          <w:tab w:val="left" w:pos="794"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5、招标文件的约束力</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5.1 投标人一旦参加本项目采购活动，即被认为接受了本招标文件的规定和约束</w:t>
      </w:r>
      <w:r>
        <w:rPr>
          <w:rFonts w:hint="eastAsia" w:ascii="宋体" w:hAnsi="宋体" w:cs="宋体"/>
          <w:bCs/>
          <w:color w:val="auto"/>
          <w:sz w:val="24"/>
          <w:highlight w:val="none"/>
        </w:rPr>
        <w:t xml:space="preserve">，并且视为自招标公告期限届满之日起已经知道或应当知道自身权益是否受到了损害</w:t>
      </w:r>
      <w:r>
        <w:rPr>
          <w:rFonts w:hint="eastAsia" w:ascii="宋体" w:hAnsi="宋体" w:cs="宋体"/>
          <w:color w:val="auto"/>
          <w:sz w:val="24"/>
          <w:szCs w:val="24"/>
          <w:highlight w:val="none"/>
        </w:rPr>
        <w:t xml:space="preserve">。</w:t>
      </w:r>
      <w:r/>
    </w:p>
    <w:p>
      <w:pPr>
        <w:pStyle w:val="790"/>
        <w:numPr>
          <w:ilvl w:val="2"/>
          <w:numId w:val="0"/>
        </w:numPr>
        <w:ind w:firstLine="480"/>
        <w:jc w:val="left"/>
        <w:spacing w:before="0" w:after="0" w:line="480" w:lineRule="exact"/>
        <w:tabs>
          <w:tab w:val="left" w:pos="720" w:leader="none"/>
          <w:tab w:val="left" w:pos="794"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6、政策功能</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6.1中小企业政策</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中小企业（含中型、小型、微型企业）应当符合《政府采购促进中小企业发展管理办法》（财库〔2020〕46号,以下简称46号文）第二条、《关于政府采购支持监狱企业发展有关问题的通知》（财库〔2014〕68号）第一条或《关于促进残疾人就业政府采购政策的通知》（财库〔2017〕141号）第一条的规定。本项目对残疾人福利性单位、监狱和戒毒企业（简称监狱企业）视同小型、微型企业。残疾人福利单位、监狱企业属于小型、微型企业的，不重复享受政策。</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（2）中小企业依据46号文规定的政策获取政府采购合同后，小型、微型企业不得分包或转包给大型、中型企业，中型企业不得分包或转包给大型企业。</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（3）政府采购监督检查、投诉处理及政府采购行政处罚中对中小企业的认定，由货物制造商或者工程、服务供应商注册登记所在地的县级以上人民政府中小企业主管部门负责。</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6.2节能产品政策</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根据《财政部、发展改革委、生态环境部、市场监管总局关于调整优化节能产品、环境标志产品政府采购执行机制的通知》（财库〔2019〕9号）和《财政部、发展改革委关于印发节能产品政府采购品目清单的通知》（财库〔2019〕19号），拟采购的产品属于节能产品品目清单范围内的，在技术、服务等指标同等条件下，采购人及其委托的采购代理机构将依据国家确定的认证机构出具的、处于有效期之内的节能产品认证证书，对获得证书的产品实施政府优先采购或强制采购。</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（2）参加政府采购活动的节能产品投标人应当提供国家确定的认证机构出具的、处于有效期之内的节能产品认证证书。</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6.3环境标志产品政策</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根据《财政部、发展改革委、生态环境部、市场监管总局关于调整优化节能产品、环境标志产品政府采购执行机制的通知》（财库〔2019〕9号）和《财政部、生态环境部关于印发环境标志产品政府采购品目清单的通知》（财库〔2019〕18号），拟采购的产品属于环境标志产品品目清单范围内的，在技术、服务等指标同等条件下，采购人及其委托的采购代理机构将依据国家确定的认证机构出具的、处于有效期之内的环境标志产品认证证书，对获得证书的产品实施政府优先采购或强制采购。</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（2）参加政府采购活动的环境标志产品投标人应当提供国家确定的认证机构出具的、处于有效期之内的环境标志产品认证证书。</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6.4进口产品政策</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（1）除招标公告载明接受进口产品参加外，不允许进口产品参加。进口产品认定依照《财政部关于政府采购进口产品管理有关问题的通知》（财办库〔2008〕248号）的规定。</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（2）允许进口产品参加的，满足需求的国内产品可以参加。</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（3）允许进口产品参加的，优先采购向我国企业转让技术、与我国企业签订消化吸收再创新方案的投标人的进口产品。</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6.5未按要求提供相关材料的，不享受相关政策。</w:t>
      </w:r>
      <w:r/>
    </w:p>
    <w:p>
      <w:pPr>
        <w:pStyle w:val="789"/>
        <w:numPr>
          <w:ilvl w:val="0"/>
          <w:numId w:val="0"/>
        </w:numPr>
        <w:jc w:val="left"/>
        <w:spacing w:before="0" w:after="0" w:line="480" w:lineRule="exact"/>
        <w:rPr>
          <w:rFonts w:ascii="宋体" w:hAnsi="宋体" w:eastAsia="宋体" w:cs="宋体"/>
          <w:color w:val="auto"/>
          <w:sz w:val="28"/>
          <w:szCs w:val="28"/>
          <w:highlight w:val="none"/>
        </w:rPr>
      </w:pPr>
      <w:r/>
      <w:bookmarkStart w:id="17" w:name="_Toc9795"/>
      <w:r>
        <w:rPr>
          <w:rFonts w:hint="eastAsia" w:ascii="宋体" w:hAnsi="宋体" w:eastAsia="宋体" w:cs="宋体"/>
          <w:color w:val="auto"/>
          <w:sz w:val="28"/>
          <w:szCs w:val="28"/>
          <w:highlight w:val="none"/>
        </w:rPr>
        <w:t xml:space="preserve">二、招标文件</w:t>
      </w:r>
      <w:bookmarkEnd w:id="17"/>
      <w:r/>
      <w:r/>
    </w:p>
    <w:p>
      <w:pPr>
        <w:pStyle w:val="790"/>
        <w:numPr>
          <w:ilvl w:val="2"/>
          <w:numId w:val="0"/>
        </w:numPr>
        <w:ind w:firstLine="480"/>
        <w:jc w:val="left"/>
        <w:spacing w:before="0" w:after="0" w:line="480" w:lineRule="exact"/>
        <w:tabs>
          <w:tab w:val="left" w:pos="720" w:leader="none"/>
          <w:tab w:val="left" w:pos="794"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7、招标文件构成</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7.1 招标文件有以下部分组成</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（1）投标邀请（招标公告）</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（2）投标人须知</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（3）合同条款及格式</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（4）项目需求</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（5）评标方法与评标标准</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（6）投标文件格式</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请仔细检查招标文件是否齐全，如有缺漏请立即与采购代理机构联系解决。</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7.2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90"/>
        <w:numPr>
          <w:ilvl w:val="2"/>
          <w:numId w:val="0"/>
        </w:numPr>
        <w:ind w:firstLine="480"/>
        <w:jc w:val="left"/>
        <w:spacing w:before="0" w:after="0" w:line="480" w:lineRule="exact"/>
        <w:tabs>
          <w:tab w:val="left" w:pos="720" w:leader="none"/>
          <w:tab w:val="left" w:pos="794"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8、招标文件的澄清</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8.1 任何要求对招标文件进行澄清的投标人，应在投标截止日前按招标公告中的通讯地址，以书面形式通知采购代理机构。</w:t>
      </w:r>
      <w:r/>
    </w:p>
    <w:p>
      <w:pPr>
        <w:pStyle w:val="790"/>
        <w:numPr>
          <w:ilvl w:val="2"/>
          <w:numId w:val="0"/>
        </w:numPr>
        <w:ind w:firstLine="480"/>
        <w:jc w:val="left"/>
        <w:spacing w:before="0" w:after="0" w:line="480" w:lineRule="exact"/>
        <w:tabs>
          <w:tab w:val="left" w:pos="720" w:leader="none"/>
          <w:tab w:val="left" w:pos="794"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9、招标文件的修改</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9.1 在投标截止时间前，招标代理机构可以书面形式修改招标文件，并通知所有已购买招标文件的投标人。如果修改招标文件的修改时间距投标截止时间不足 15 天，且招标文件的修改内容可能影响投标文件编制的，招标代理机构应相应延长投标截止时间，以使修改文件发出时间距投标截止时间至少为15天。</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9.2招标代理机构有权按照法定的要求推迟投标截止时间和开标时间。</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9.3招标文件的修改将在“江苏政府采购网”公布，补充文件将作为招标文件的组成部分，并对投标人具有约束力。</w:t>
      </w:r>
      <w:r/>
    </w:p>
    <w:p>
      <w:pPr>
        <w:pStyle w:val="789"/>
        <w:numPr>
          <w:ilvl w:val="0"/>
          <w:numId w:val="0"/>
        </w:numPr>
        <w:jc w:val="left"/>
        <w:spacing w:before="0" w:after="0" w:line="480" w:lineRule="exact"/>
        <w:rPr>
          <w:rFonts w:ascii="宋体" w:hAnsi="宋体" w:eastAsia="宋体" w:cs="宋体"/>
          <w:color w:val="auto"/>
          <w:sz w:val="28"/>
          <w:szCs w:val="28"/>
          <w:highlight w:val="none"/>
        </w:rPr>
      </w:pPr>
      <w:r/>
      <w:bookmarkStart w:id="18" w:name="_Toc6572"/>
      <w:r>
        <w:rPr>
          <w:rFonts w:hint="eastAsia" w:ascii="宋体" w:hAnsi="宋体" w:eastAsia="宋体" w:cs="宋体"/>
          <w:color w:val="auto"/>
          <w:sz w:val="28"/>
          <w:szCs w:val="28"/>
          <w:highlight w:val="none"/>
        </w:rPr>
        <w:t xml:space="preserve">三、投标文件的编制</w:t>
      </w:r>
      <w:bookmarkEnd w:id="18"/>
      <w:r/>
      <w:r/>
    </w:p>
    <w:p>
      <w:pPr>
        <w:pStyle w:val="790"/>
        <w:numPr>
          <w:ilvl w:val="2"/>
          <w:numId w:val="0"/>
        </w:numPr>
        <w:ind w:firstLine="480"/>
        <w:jc w:val="left"/>
        <w:spacing w:before="0" w:after="0" w:line="480" w:lineRule="exact"/>
        <w:tabs>
          <w:tab w:val="left" w:pos="720" w:leader="none"/>
          <w:tab w:val="left" w:pos="794"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10、投标文件的语言及度量衡单位</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10.1 投标人提交的投标文件以及投标人与采购代理机构就有关投标的所有来往通知、函件和文件均应使用</w:t>
      </w:r>
      <w:r>
        <w:rPr>
          <w:rFonts w:hint="eastAsia" w:ascii="宋体" w:hAnsi="宋体" w:cs="宋体"/>
          <w:b/>
          <w:bCs/>
          <w:color w:val="auto"/>
          <w:sz w:val="24"/>
          <w:szCs w:val="24"/>
          <w:highlight w:val="none"/>
        </w:rPr>
        <w:t xml:space="preserve">简体中文</w:t>
      </w:r>
      <w:r>
        <w:rPr>
          <w:rFonts w:hint="eastAsia" w:ascii="宋体" w:hAnsi="宋体" w:cs="宋体"/>
          <w:color w:val="auto"/>
          <w:sz w:val="24"/>
          <w:szCs w:val="24"/>
          <w:highlight w:val="none"/>
        </w:rPr>
        <w:t xml:space="preserve">。</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10.2 除技术性能另有规定外，投标文件所使用的度量衡单位，均须采用国家法定计量单位。</w:t>
      </w:r>
      <w:r/>
    </w:p>
    <w:p>
      <w:pPr>
        <w:ind w:firstLine="480"/>
        <w:spacing w:line="360" w:lineRule="auto"/>
        <w:rPr>
          <w:rFonts w:ascii="宋体" w:hAnsi="宋体" w:cs="宋体"/>
          <w:b/>
          <w:bCs/>
          <w:iCs/>
          <w:color w:val="auto"/>
          <w:sz w:val="24"/>
          <w:szCs w:val="24"/>
          <w:highlight w:val="none"/>
        </w:rPr>
      </w:pPr>
      <w:r>
        <w:rPr>
          <w:rFonts w:hint="eastAsia" w:ascii="宋体" w:hAnsi="宋体" w:cs="宋体"/>
          <w:color w:val="auto"/>
          <w:sz w:val="24"/>
          <w:szCs w:val="24"/>
          <w:highlight w:val="none"/>
        </w:rPr>
        <w:t xml:space="preserve">10.3 投标文件由商务部分、技术部分、价格部分，以及其他部分组成。投标供应商编写的投标文件应包括资信证明文件、投标配置与分项报价表、供货一览表、技术</w:t>
      </w:r>
      <w:r>
        <w:rPr>
          <w:rFonts w:hint="eastAsia" w:ascii="宋体" w:hAnsi="宋体" w:cs="宋体"/>
          <w:color w:val="auto"/>
          <w:sz w:val="24"/>
          <w:szCs w:val="24"/>
          <w:highlight w:val="none"/>
          <w:lang w:val="en-US" w:eastAsia="zh-CN"/>
        </w:rPr>
        <w:t xml:space="preserve">要求响应</w:t>
      </w:r>
      <w:r>
        <w:rPr>
          <w:rFonts w:hint="eastAsia" w:ascii="宋体" w:hAnsi="宋体" w:cs="宋体"/>
          <w:color w:val="auto"/>
          <w:sz w:val="24"/>
          <w:szCs w:val="24"/>
          <w:highlight w:val="none"/>
        </w:rPr>
        <w:t xml:space="preserve">表、商务</w:t>
      </w:r>
      <w:r>
        <w:rPr>
          <w:rFonts w:hint="eastAsia" w:ascii="宋体" w:hAnsi="宋体" w:cs="宋体"/>
          <w:color w:val="auto"/>
          <w:sz w:val="24"/>
          <w:szCs w:val="24"/>
          <w:highlight w:val="none"/>
          <w:lang w:val="en-US" w:eastAsia="zh-CN"/>
        </w:rPr>
        <w:t xml:space="preserve">要求响应</w:t>
      </w:r>
      <w:r>
        <w:rPr>
          <w:rFonts w:hint="eastAsia" w:ascii="宋体" w:hAnsi="宋体" w:cs="宋体"/>
          <w:color w:val="auto"/>
          <w:sz w:val="24"/>
          <w:szCs w:val="24"/>
          <w:highlight w:val="none"/>
        </w:rPr>
        <w:t xml:space="preserve">表、技术及售后服务承诺书、投标函、报价一览表等部分；供应商应当根据招标文件要求编制投标文件，投标文件应对招标文件提出的要求和条件作出实质性响应，并在《商务</w:t>
      </w:r>
      <w:r>
        <w:rPr>
          <w:rFonts w:hint="eastAsia" w:ascii="宋体" w:hAnsi="宋体" w:cs="宋体"/>
          <w:color w:val="auto"/>
          <w:sz w:val="24"/>
          <w:szCs w:val="24"/>
          <w:highlight w:val="none"/>
          <w:lang w:val="en-US" w:eastAsia="zh-CN"/>
        </w:rPr>
        <w:t xml:space="preserve">要求响应</w:t>
      </w:r>
      <w:r>
        <w:rPr>
          <w:rFonts w:hint="eastAsia" w:ascii="宋体" w:hAnsi="宋体" w:cs="宋体"/>
          <w:color w:val="auto"/>
          <w:sz w:val="24"/>
          <w:szCs w:val="24"/>
          <w:highlight w:val="none"/>
        </w:rPr>
        <w:t xml:space="preserve">表》和《技术</w:t>
      </w:r>
      <w:r>
        <w:rPr>
          <w:rFonts w:hint="eastAsia" w:ascii="宋体" w:hAnsi="宋体" w:cs="宋体"/>
          <w:color w:val="auto"/>
          <w:sz w:val="24"/>
          <w:szCs w:val="24"/>
          <w:highlight w:val="none"/>
          <w:lang w:val="en-US" w:eastAsia="zh-CN"/>
        </w:rPr>
        <w:t xml:space="preserve">要求响应</w:t>
      </w:r>
      <w:r>
        <w:rPr>
          <w:rFonts w:hint="eastAsia" w:ascii="宋体" w:hAnsi="宋体" w:cs="宋体"/>
          <w:color w:val="auto"/>
          <w:sz w:val="24"/>
          <w:szCs w:val="24"/>
          <w:highlight w:val="none"/>
        </w:rPr>
        <w:t xml:space="preserve">表》等处逐条标明满足与否。</w:t>
      </w:r>
      <w:r>
        <w:rPr>
          <w:rFonts w:hint="eastAsia" w:ascii="宋体" w:hAnsi="宋体" w:cs="宋体"/>
          <w:b/>
          <w:bCs/>
          <w:iCs/>
          <w:color w:val="auto"/>
          <w:sz w:val="24"/>
          <w:szCs w:val="24"/>
          <w:highlight w:val="none"/>
        </w:rPr>
        <w:t xml:space="preserve">对带星号（“★”）的技术</w:t>
      </w:r>
      <w:r>
        <w:rPr>
          <w:rFonts w:hint="eastAsia" w:ascii="宋体" w:hAnsi="宋体" w:cs="宋体"/>
          <w:b/>
          <w:bCs/>
          <w:iCs/>
          <w:color w:val="auto"/>
          <w:sz w:val="24"/>
          <w:szCs w:val="24"/>
          <w:highlight w:val="none"/>
          <w:lang w:val="en-US" w:eastAsia="zh-CN"/>
        </w:rPr>
        <w:t xml:space="preserve">要求</w:t>
      </w:r>
      <w:r>
        <w:rPr>
          <w:rFonts w:hint="eastAsia" w:ascii="宋体" w:hAnsi="宋体" w:cs="宋体"/>
          <w:b/>
          <w:bCs/>
          <w:iCs/>
          <w:color w:val="auto"/>
          <w:sz w:val="24"/>
          <w:szCs w:val="24"/>
          <w:highlight w:val="none"/>
        </w:rPr>
        <w:t xml:space="preserve">需按要求在投标文件中提供技术支持资料（如白皮书、彩页、手册、检测报告等），未按要求提供技术支持资料的，评审时做负偏离处理。</w:t>
      </w:r>
      <w:r/>
    </w:p>
    <w:p>
      <w:pPr>
        <w:ind w:firstLine="480"/>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注：投标文件的商务部分</w:t>
      </w:r>
      <w:r/>
    </w:p>
    <w:p>
      <w:pPr>
        <w:ind w:firstLine="480"/>
        <w:spacing w:line="360" w:lineRule="auto"/>
        <w:rPr>
          <w:rFonts w:ascii="宋体" w:hAnsi="宋体" w:cs="宋体"/>
          <w:b/>
          <w:bCs/>
          <w:color w:val="auto"/>
          <w:sz w:val="24"/>
          <w:szCs w:val="24"/>
          <w:highlight w:val="none"/>
        </w:rPr>
      </w:pPr>
      <w:r>
        <w:rPr>
          <w:rFonts w:hint="eastAsia" w:ascii="宋体" w:hAnsi="宋体" w:cs="宋体"/>
          <w:color w:val="auto"/>
          <w:sz w:val="24"/>
          <w:szCs w:val="24"/>
          <w:highlight w:val="none"/>
        </w:rPr>
        <w:t xml:space="preserve">商务部分是证明</w:t>
      </w:r>
      <w:r>
        <w:rPr>
          <w:rFonts w:hint="eastAsia" w:ascii="宋体" w:hAnsi="宋体" w:cs="宋体"/>
          <w:color w:val="auto"/>
          <w:sz w:val="24"/>
          <w:szCs w:val="24"/>
          <w:highlight w:val="none"/>
          <w:lang w:val="en-US" w:eastAsia="zh-CN"/>
        </w:rPr>
        <w:t xml:space="preserve">投标人</w:t>
      </w:r>
      <w:r>
        <w:rPr>
          <w:rFonts w:hint="eastAsia" w:ascii="宋体" w:hAnsi="宋体" w:cs="宋体"/>
          <w:color w:val="auto"/>
          <w:sz w:val="24"/>
          <w:szCs w:val="24"/>
          <w:highlight w:val="none"/>
        </w:rPr>
        <w:t xml:space="preserve">有资格参加投标和中标后有能力履行合同的文件，这些文件应能满足招标的要求，包括但不限于下列文件，</w:t>
      </w:r>
      <w:r>
        <w:rPr>
          <w:rFonts w:hint="eastAsia" w:ascii="宋体" w:hAnsi="宋体" w:cs="宋体"/>
          <w:b/>
          <w:bCs/>
          <w:color w:val="auto"/>
          <w:sz w:val="24"/>
          <w:szCs w:val="24"/>
          <w:highlight w:val="none"/>
        </w:rPr>
        <w:t xml:space="preserve">其中斜体加粗下划线为实质性要求。</w:t>
      </w:r>
      <w:r/>
    </w:p>
    <w:p>
      <w:pPr>
        <w:ind w:firstLine="480"/>
        <w:spacing w:line="360" w:lineRule="auto"/>
        <w:rPr>
          <w:rFonts w:ascii="宋体" w:hAnsi="宋体" w:cs="宋体"/>
          <w:b/>
          <w:bCs/>
          <w:i/>
          <w:iCs/>
          <w:color w:val="auto"/>
          <w:sz w:val="24"/>
          <w:szCs w:val="24"/>
          <w:highlight w:val="none"/>
          <w:u w:val="single"/>
        </w:rPr>
      </w:pPr>
      <w:r>
        <w:rPr>
          <w:rFonts w:hint="eastAsia" w:ascii="宋体" w:hAnsi="宋体" w:cs="宋体"/>
          <w:b/>
          <w:bCs/>
          <w:i/>
          <w:iCs/>
          <w:color w:val="auto"/>
          <w:sz w:val="24"/>
          <w:szCs w:val="24"/>
          <w:highlight w:val="none"/>
          <w:u w:val="single"/>
        </w:rPr>
        <w:t xml:space="preserve">（1） 投标函（投标申请及声明）（格式见附件）；</w:t>
      </w:r>
      <w:r/>
    </w:p>
    <w:p>
      <w:pPr>
        <w:ind w:firstLine="480"/>
        <w:spacing w:line="360" w:lineRule="auto"/>
        <w:rPr>
          <w:rFonts w:ascii="宋体" w:hAnsi="宋体" w:cs="宋体"/>
          <w:b/>
          <w:bCs/>
          <w:i/>
          <w:iCs/>
          <w:color w:val="auto"/>
          <w:sz w:val="24"/>
          <w:szCs w:val="24"/>
          <w:highlight w:val="none"/>
          <w:u w:val="single"/>
        </w:rPr>
      </w:pPr>
      <w:r>
        <w:rPr>
          <w:rFonts w:hint="eastAsia" w:ascii="宋体" w:hAnsi="宋体" w:cs="宋体"/>
          <w:b/>
          <w:bCs/>
          <w:i/>
          <w:iCs/>
          <w:color w:val="auto"/>
          <w:sz w:val="24"/>
          <w:szCs w:val="24"/>
          <w:highlight w:val="none"/>
          <w:u w:val="single"/>
        </w:rPr>
        <w:t xml:space="preserve">（2）法定代表人授权委托书及委托代理人的身份证复印件（格式见附件）；</w:t>
      </w:r>
      <w:r/>
    </w:p>
    <w:p>
      <w:pPr>
        <w:ind w:firstLine="480"/>
        <w:spacing w:line="360" w:lineRule="auto"/>
        <w:rPr>
          <w:rFonts w:ascii="宋体" w:hAnsi="宋体" w:cs="宋体"/>
          <w:b/>
          <w:bCs/>
          <w:i/>
          <w:iCs/>
          <w:color w:val="auto"/>
          <w:sz w:val="24"/>
          <w:szCs w:val="24"/>
          <w:highlight w:val="none"/>
          <w:u w:val="single"/>
        </w:rPr>
      </w:pPr>
      <w:r>
        <w:rPr>
          <w:rFonts w:hint="eastAsia" w:ascii="宋体" w:hAnsi="宋体" w:cs="宋体"/>
          <w:b/>
          <w:bCs/>
          <w:i/>
          <w:iCs/>
          <w:color w:val="auto"/>
          <w:sz w:val="24"/>
          <w:szCs w:val="24"/>
          <w:highlight w:val="none"/>
          <w:u w:val="single"/>
        </w:rPr>
        <w:t xml:space="preserve">（3）《报价一览表》；</w:t>
      </w:r>
      <w:r/>
    </w:p>
    <w:p>
      <w:pPr>
        <w:ind w:firstLine="480"/>
        <w:spacing w:line="360" w:lineRule="auto"/>
        <w:rPr>
          <w:rFonts w:ascii="宋体" w:hAnsi="宋体" w:cs="宋体"/>
          <w:b/>
          <w:bCs/>
          <w:i/>
          <w:iCs/>
          <w:color w:val="auto"/>
          <w:sz w:val="24"/>
          <w:szCs w:val="24"/>
          <w:highlight w:val="none"/>
          <w:u w:val="single"/>
        </w:rPr>
      </w:pPr>
      <w:r>
        <w:rPr>
          <w:rFonts w:hint="eastAsia" w:ascii="宋体" w:hAnsi="宋体" w:cs="宋体"/>
          <w:b/>
          <w:bCs/>
          <w:i/>
          <w:iCs/>
          <w:color w:val="auto"/>
          <w:sz w:val="24"/>
          <w:szCs w:val="24"/>
          <w:highlight w:val="none"/>
          <w:u w:val="single"/>
        </w:rPr>
        <w:t xml:space="preserve">（4）《分项报价明细表》；</w:t>
      </w:r>
      <w:r/>
    </w:p>
    <w:p>
      <w:pPr>
        <w:ind w:firstLine="480"/>
        <w:spacing w:line="360" w:lineRule="auto"/>
        <w:rPr>
          <w:rFonts w:ascii="宋体" w:hAnsi="宋体" w:cs="宋体"/>
          <w:b/>
          <w:bCs/>
          <w:i/>
          <w:iCs/>
          <w:color w:val="auto"/>
          <w:sz w:val="24"/>
          <w:szCs w:val="24"/>
          <w:highlight w:val="none"/>
          <w:u w:val="single"/>
        </w:rPr>
      </w:pPr>
      <w:r>
        <w:rPr>
          <w:rFonts w:hint="eastAsia" w:ascii="宋体" w:hAnsi="宋体" w:cs="宋体"/>
          <w:b/>
          <w:bCs/>
          <w:i/>
          <w:iCs/>
          <w:color w:val="auto"/>
          <w:sz w:val="24"/>
          <w:szCs w:val="24"/>
          <w:highlight w:val="none"/>
          <w:u w:val="single"/>
        </w:rPr>
        <w:t xml:space="preserve">（5）第一章投标邀请中《中华人民共和国政府采购法》规定的资格条件证明文件；</w:t>
      </w:r>
      <w:r/>
    </w:p>
    <w:p>
      <w:pPr>
        <w:ind w:firstLine="480"/>
        <w:spacing w:line="360" w:lineRule="auto"/>
        <w:rPr>
          <w:rFonts w:ascii="宋体" w:hAnsi="宋体" w:cs="宋体"/>
          <w:color w:val="auto"/>
          <w:sz w:val="24"/>
          <w:szCs w:val="24"/>
          <w:highlight w:val="none"/>
        </w:rPr>
      </w:pPr>
      <w:r>
        <w:rPr>
          <w:rFonts w:hint="eastAsia" w:ascii="宋体" w:hAnsi="宋体" w:cs="宋体"/>
          <w:b/>
          <w:bCs/>
          <w:i/>
          <w:iCs/>
          <w:color w:val="auto"/>
          <w:sz w:val="24"/>
          <w:szCs w:val="24"/>
          <w:highlight w:val="none"/>
          <w:u w:val="single"/>
        </w:rPr>
        <w:t xml:space="preserve">（6）第一章投标邀请中采购人根据采购项目的特殊要求规定的特定条件证明文件；</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（7）《商务</w:t>
      </w:r>
      <w:r>
        <w:rPr>
          <w:rFonts w:hint="eastAsia" w:ascii="宋体" w:hAnsi="宋体" w:cs="宋体"/>
          <w:color w:val="auto"/>
          <w:sz w:val="24"/>
          <w:szCs w:val="24"/>
          <w:highlight w:val="none"/>
          <w:lang w:val="en-US" w:eastAsia="zh-CN"/>
        </w:rPr>
        <w:t xml:space="preserve">要求响应</w:t>
      </w:r>
      <w:r>
        <w:rPr>
          <w:rFonts w:hint="eastAsia" w:ascii="宋体" w:hAnsi="宋体" w:cs="宋体"/>
          <w:color w:val="auto"/>
          <w:sz w:val="24"/>
          <w:szCs w:val="24"/>
          <w:highlight w:val="none"/>
        </w:rPr>
        <w:t xml:space="preserve">表》；</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（8）供应商认为需要提供的其他资格证明文件和商务资料等。</w:t>
      </w:r>
      <w:r/>
    </w:p>
    <w:p>
      <w:pPr>
        <w:ind w:firstLine="480"/>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投标文件的技术部分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技术部分是证明投标人提供的货物和服务是合格的、并符合招标文件要求的证明文件，以及对报价明细表中的货物和服务的详细说明，这些文件可以是文字资料、图纸和数据等。若技术性能无特殊说明，则按国家有关部门最新颁布的标准及规范为准；提供的货物和服务如与招标文件要求有不符之处，应说明其差别之所在，并在《</w:t>
      </w:r>
      <w:r>
        <w:rPr>
          <w:rFonts w:hint="eastAsia" w:ascii="宋体" w:hAnsi="宋体" w:cs="宋体"/>
          <w:color w:val="auto"/>
          <w:sz w:val="24"/>
          <w:szCs w:val="24"/>
          <w:highlight w:val="none"/>
          <w:lang w:val="en-US" w:eastAsia="zh-CN"/>
        </w:rPr>
        <w:t xml:space="preserve">服务</w:t>
      </w:r>
      <w:r>
        <w:rPr>
          <w:rFonts w:hint="eastAsia" w:ascii="宋体" w:hAnsi="宋体" w:cs="宋体"/>
          <w:color w:val="auto"/>
          <w:sz w:val="24"/>
          <w:szCs w:val="24"/>
          <w:highlight w:val="none"/>
          <w:lang w:eastAsia="zh-CN"/>
        </w:rPr>
        <w:t xml:space="preserve">要求响应</w:t>
      </w:r>
      <w:r>
        <w:rPr>
          <w:rFonts w:hint="eastAsia" w:ascii="宋体" w:hAnsi="宋体" w:cs="宋体"/>
          <w:color w:val="auto"/>
          <w:sz w:val="24"/>
          <w:szCs w:val="24"/>
          <w:highlight w:val="none"/>
        </w:rPr>
        <w:t xml:space="preserve">表》中逐条予以说明。</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投标文件应按照招标文件要求提供技术资料、文件和有关证明，包括但不限于下列文件，</w:t>
      </w:r>
      <w:r>
        <w:rPr>
          <w:rFonts w:hint="eastAsia" w:ascii="宋体" w:hAnsi="宋体" w:cs="宋体"/>
          <w:b/>
          <w:bCs/>
          <w:color w:val="auto"/>
          <w:sz w:val="24"/>
          <w:szCs w:val="24"/>
          <w:highlight w:val="none"/>
        </w:rPr>
        <w:t xml:space="preserve">其中斜体加粗下划线为实质性要求</w:t>
      </w:r>
      <w:r>
        <w:rPr>
          <w:rFonts w:hint="eastAsia" w:ascii="宋体" w:hAnsi="宋体" w:cs="宋体"/>
          <w:color w:val="auto"/>
          <w:sz w:val="24"/>
          <w:szCs w:val="24"/>
          <w:highlight w:val="none"/>
        </w:rPr>
        <w:t xml:space="preserve">：</w:t>
      </w:r>
      <w:r/>
    </w:p>
    <w:p>
      <w:pPr>
        <w:ind w:firstLine="480"/>
        <w:spacing w:line="360" w:lineRule="auto"/>
        <w:rPr>
          <w:rFonts w:ascii="宋体" w:hAnsi="宋体" w:cs="宋体"/>
          <w:b/>
          <w:bCs/>
          <w:i/>
          <w:iCs/>
          <w:color w:val="auto"/>
          <w:sz w:val="24"/>
          <w:szCs w:val="24"/>
          <w:highlight w:val="none"/>
          <w:u w:val="single"/>
        </w:rPr>
      </w:pPr>
      <w:r>
        <w:rPr>
          <w:rFonts w:hint="eastAsia" w:ascii="宋体" w:hAnsi="宋体" w:cs="宋体"/>
          <w:b/>
          <w:bCs/>
          <w:i/>
          <w:iCs/>
          <w:color w:val="auto"/>
          <w:sz w:val="24"/>
          <w:szCs w:val="24"/>
          <w:highlight w:val="none"/>
          <w:u w:val="single"/>
        </w:rPr>
        <w:t xml:space="preserve">（</w:t>
      </w:r>
      <w:r>
        <w:rPr>
          <w:rFonts w:hint="eastAsia" w:ascii="宋体" w:hAnsi="宋体" w:cs="宋体"/>
          <w:b/>
          <w:bCs/>
          <w:i/>
          <w:iCs/>
          <w:color w:val="auto"/>
          <w:sz w:val="24"/>
          <w:szCs w:val="24"/>
          <w:highlight w:val="none"/>
          <w:u w:val="single"/>
          <w:lang w:val="en-US" w:eastAsia="zh-CN"/>
        </w:rPr>
        <w:t xml:space="preserve">1</w:t>
      </w:r>
      <w:r>
        <w:rPr>
          <w:rFonts w:hint="eastAsia" w:ascii="宋体" w:hAnsi="宋体" w:cs="宋体"/>
          <w:b/>
          <w:bCs/>
          <w:i/>
          <w:iCs/>
          <w:color w:val="auto"/>
          <w:sz w:val="24"/>
          <w:szCs w:val="24"/>
          <w:highlight w:val="none"/>
          <w:u w:val="single"/>
        </w:rPr>
        <w:t xml:space="preserve">）《技术</w:t>
      </w:r>
      <w:r>
        <w:rPr>
          <w:rFonts w:hint="eastAsia" w:ascii="宋体" w:hAnsi="宋体" w:cs="宋体"/>
          <w:b/>
          <w:bCs/>
          <w:i/>
          <w:iCs/>
          <w:color w:val="auto"/>
          <w:sz w:val="24"/>
          <w:szCs w:val="24"/>
          <w:highlight w:val="none"/>
          <w:u w:val="single"/>
          <w:lang w:val="en-US" w:eastAsia="zh-CN"/>
        </w:rPr>
        <w:t xml:space="preserve">要求响应</w:t>
      </w:r>
      <w:r>
        <w:rPr>
          <w:rFonts w:hint="eastAsia" w:ascii="宋体" w:hAnsi="宋体" w:cs="宋体"/>
          <w:b/>
          <w:bCs/>
          <w:i/>
          <w:iCs/>
          <w:color w:val="auto"/>
          <w:sz w:val="24"/>
          <w:szCs w:val="24"/>
          <w:highlight w:val="none"/>
          <w:u w:val="single"/>
        </w:rPr>
        <w:t xml:space="preserve">表》；</w:t>
      </w:r>
      <w:r/>
    </w:p>
    <w:p>
      <w:pPr>
        <w:ind w:firstLine="480"/>
        <w:spacing w:line="360" w:lineRule="auto"/>
        <w:rPr>
          <w:rFonts w:hint="eastAsia" w:ascii="宋体" w:hAnsi="宋体" w:cs="宋体"/>
          <w:b/>
          <w:bCs/>
          <w:i/>
          <w:iCs/>
          <w:color w:val="auto"/>
          <w:sz w:val="24"/>
          <w:szCs w:val="24"/>
          <w:highlight w:val="none"/>
          <w:u w:val="single"/>
          <w:lang w:eastAsia="zh-CN"/>
        </w:rPr>
      </w:pPr>
      <w:r>
        <w:rPr>
          <w:rFonts w:hint="eastAsia" w:ascii="宋体" w:hAnsi="宋体" w:cs="宋体"/>
          <w:b/>
          <w:bCs/>
          <w:i/>
          <w:iCs/>
          <w:color w:val="auto"/>
          <w:sz w:val="24"/>
          <w:szCs w:val="24"/>
          <w:highlight w:val="none"/>
          <w:u w:val="single"/>
        </w:rPr>
        <w:t xml:space="preserve">（</w:t>
      </w:r>
      <w:r>
        <w:rPr>
          <w:rFonts w:hint="eastAsia" w:ascii="宋体" w:hAnsi="宋体" w:cs="宋体"/>
          <w:b/>
          <w:bCs/>
          <w:i/>
          <w:iCs/>
          <w:color w:val="auto"/>
          <w:sz w:val="24"/>
          <w:szCs w:val="24"/>
          <w:highlight w:val="none"/>
          <w:u w:val="single"/>
          <w:lang w:val="en-US" w:eastAsia="zh-CN"/>
        </w:rPr>
        <w:t xml:space="preserve">2</w:t>
      </w:r>
      <w:r>
        <w:rPr>
          <w:rFonts w:hint="eastAsia" w:ascii="宋体" w:hAnsi="宋体" w:cs="宋体"/>
          <w:b/>
          <w:bCs/>
          <w:i/>
          <w:iCs/>
          <w:color w:val="auto"/>
          <w:sz w:val="24"/>
          <w:szCs w:val="24"/>
          <w:highlight w:val="none"/>
          <w:u w:val="single"/>
        </w:rPr>
        <w:t xml:space="preserve">）</w:t>
      </w:r>
      <w:r>
        <w:rPr>
          <w:rFonts w:hint="eastAsia" w:ascii="宋体" w:hAnsi="宋体" w:cs="宋体"/>
          <w:b/>
          <w:bCs/>
          <w:i/>
          <w:iCs/>
          <w:color w:val="auto"/>
          <w:sz w:val="24"/>
          <w:szCs w:val="24"/>
          <w:highlight w:val="none"/>
          <w:u w:val="single"/>
          <w:lang w:val="en-US" w:eastAsia="zh-CN"/>
        </w:rPr>
        <w:t xml:space="preserve">项目实施方案；</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）履约能力及综合实力</w:t>
      </w:r>
      <w:r>
        <w:rPr>
          <w:rFonts w:hint="eastAsia" w:ascii="宋体" w:hAnsi="宋体" w:cs="宋体"/>
          <w:color w:val="auto"/>
          <w:sz w:val="24"/>
          <w:szCs w:val="24"/>
          <w:highlight w:val="none"/>
          <w:lang w:eastAsia="zh-CN"/>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）技术团队配置；</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）供应商认为需要提供的其他技术资料。</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10.4 投标</w:t>
      </w:r>
      <w:r>
        <w:rPr>
          <w:rFonts w:hint="eastAsia" w:ascii="宋体" w:hAnsi="宋体" w:cs="宋体"/>
          <w:color w:val="auto"/>
          <w:sz w:val="24"/>
          <w:szCs w:val="24"/>
          <w:highlight w:val="none"/>
          <w:lang w:val="en-US" w:eastAsia="zh-CN"/>
        </w:rPr>
        <w:t xml:space="preserve">人</w:t>
      </w:r>
      <w:r>
        <w:rPr>
          <w:rFonts w:hint="eastAsia" w:ascii="宋体" w:hAnsi="宋体" w:cs="宋体"/>
          <w:color w:val="auto"/>
          <w:sz w:val="24"/>
          <w:szCs w:val="24"/>
          <w:highlight w:val="none"/>
        </w:rPr>
        <w:t xml:space="preserve">应将投标文件按顺序装订成册，并编制投标文件资料目录。</w:t>
      </w:r>
      <w:r/>
    </w:p>
    <w:p>
      <w:pPr>
        <w:pStyle w:val="790"/>
        <w:numPr>
          <w:ilvl w:val="2"/>
          <w:numId w:val="0"/>
        </w:numPr>
        <w:ind w:firstLine="480"/>
        <w:jc w:val="left"/>
        <w:spacing w:before="0" w:after="0" w:line="480" w:lineRule="exact"/>
        <w:tabs>
          <w:tab w:val="left" w:pos="720" w:leader="none"/>
          <w:tab w:val="left" w:pos="794"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11、证明投标人资格及符合招标文件规定的文件</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11.1投标人应按要求提交资格证明文件及符合招标文件规定的文件。</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11.2投标人应提交证明其有资格参加投标和中标后有能力独立履行合同的文件。</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11.3投标人除必须具有履行合同所需提供的货物以及服务的能力外，还必须具备相应的财务、技术方面的能力。</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11.4投标人应提交根据合同要求提供的证明产品质量合格以及符合招标文件规定的证明文件。</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11.5证明投标人所提供货物与招标文件的要求相一致的文件可以是手册、图纸、文字资料和数据。</w:t>
      </w:r>
      <w:r/>
    </w:p>
    <w:p>
      <w:pPr>
        <w:ind w:firstLine="480"/>
        <w:jc w:val="left"/>
        <w:spacing w:line="480" w:lineRule="exact"/>
        <w:tabs>
          <w:tab w:val="left" w:pos="1035" w:leader="none"/>
        </w:tabs>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12、报价一览表和报价明细表</w:t>
      </w:r>
      <w:r/>
    </w:p>
    <w:p>
      <w:pPr>
        <w:ind w:firstLine="480"/>
        <w:spacing w:line="480" w:lineRule="exact"/>
        <w:tabs>
          <w:tab w:val="left" w:pos="1035" w:leader="none"/>
        </w:tabs>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12.1 </w:t>
      </w:r>
      <w:r>
        <w:rPr>
          <w:rFonts w:hint="eastAsia" w:ascii="宋体" w:hAnsi="宋体" w:cs="宋体"/>
          <w:color w:val="auto"/>
          <w:sz w:val="24"/>
          <w:szCs w:val="24"/>
          <w:highlight w:val="none"/>
          <w:lang w:val="zh-CN"/>
        </w:rPr>
        <w:t xml:space="preserve">投标人应按照招标文件规定格式填报报价一览表、报价明细表，在表中标明所提供的每一项产品或服务。每项产品或服务只允许有一个报价，任何有选择的报价或备选方案（每项产品多品牌报价或每项服务多方案报价）将不予接受，招标文件中另有规定的按规定执行。</w:t>
      </w:r>
      <w:r>
        <w:rPr>
          <w:rFonts w:hint="eastAsia" w:ascii="宋体" w:hAnsi="宋体" w:cs="宋体"/>
          <w:color w:val="auto"/>
          <w:sz w:val="24"/>
          <w:szCs w:val="24"/>
          <w:highlight w:val="none"/>
        </w:rPr>
        <w:t xml:space="preserve">(如有备选配件，备选配件的报价不属于选择的报价)。</w:t>
      </w:r>
      <w:r/>
    </w:p>
    <w:p>
      <w:pPr>
        <w:ind w:firstLine="480"/>
        <w:jc w:val="left"/>
        <w:spacing w:line="480" w:lineRule="exact"/>
        <w:tabs>
          <w:tab w:val="left" w:pos="1035" w:leader="none"/>
        </w:tabs>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12.2 标的物</w:t>
      </w:r>
      <w:r/>
    </w:p>
    <w:p>
      <w:pPr>
        <w:ind w:firstLine="480"/>
        <w:jc w:val="left"/>
        <w:spacing w:line="480" w:lineRule="exact"/>
        <w:tabs>
          <w:tab w:val="left" w:pos="1035" w:leader="none"/>
        </w:tabs>
        <w:rPr>
          <w:rFonts w:ascii="宋体" w:hAnsi="宋体" w:cs="宋体"/>
          <w:color w:val="auto"/>
          <w:sz w:val="24"/>
          <w:szCs w:val="24"/>
          <w:highlight w:val="none"/>
          <w:lang w:val="zh-CN"/>
        </w:rPr>
      </w:pPr>
      <w:r>
        <w:rPr>
          <w:rFonts w:hint="eastAsia" w:ascii="宋体" w:hAnsi="宋体" w:cs="宋体"/>
          <w:color w:val="auto"/>
          <w:sz w:val="24"/>
          <w:szCs w:val="24"/>
          <w:highlight w:val="none"/>
          <w:lang w:eastAsia="zh-CN"/>
        </w:rPr>
        <w:t xml:space="preserve">全省食用林产品质量安全监测</w:t>
      </w:r>
      <w:r>
        <w:rPr>
          <w:rFonts w:hint="eastAsia" w:ascii="宋体" w:hAnsi="宋体" w:cs="宋体"/>
          <w:color w:val="auto"/>
          <w:sz w:val="24"/>
          <w:szCs w:val="24"/>
          <w:highlight w:val="none"/>
        </w:rPr>
        <w:t xml:space="preserve">，详见第四章项目需求</w:t>
      </w:r>
      <w:r>
        <w:rPr>
          <w:rFonts w:hint="eastAsia" w:ascii="宋体" w:hAnsi="宋体" w:cs="宋体"/>
          <w:bCs/>
          <w:color w:val="auto"/>
          <w:sz w:val="24"/>
          <w:highlight w:val="none"/>
        </w:rPr>
        <w:t xml:space="preserve">所述要求</w:t>
      </w:r>
      <w:r>
        <w:rPr>
          <w:rFonts w:hint="eastAsia" w:ascii="宋体" w:hAnsi="宋体" w:cs="宋体"/>
          <w:color w:val="auto"/>
          <w:sz w:val="24"/>
          <w:szCs w:val="24"/>
          <w:highlight w:val="none"/>
          <w:lang w:val="zh-CN"/>
        </w:rPr>
        <w:t xml:space="preserve">。</w:t>
      </w:r>
      <w:r/>
    </w:p>
    <w:p>
      <w:pPr>
        <w:ind w:firstLine="480"/>
        <w:jc w:val="left"/>
        <w:spacing w:line="480" w:lineRule="exact"/>
        <w:tabs>
          <w:tab w:val="left" w:pos="1035" w:leader="none"/>
        </w:tabs>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12.3</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zh-CN"/>
        </w:rPr>
        <w:t xml:space="preserve">有关费用处理</w:t>
      </w:r>
      <w:r/>
    </w:p>
    <w:p>
      <w:pPr>
        <w:ind w:firstLine="480"/>
        <w:jc w:val="left"/>
        <w:spacing w:line="480" w:lineRule="exact"/>
        <w:tabs>
          <w:tab w:val="left" w:pos="1035" w:leader="none"/>
        </w:tabs>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12.3.1货物（工程）类：</w:t>
      </w:r>
      <w:r>
        <w:rPr>
          <w:rFonts w:hint="eastAsia" w:ascii="宋体" w:hAnsi="宋体" w:cs="宋体"/>
          <w:color w:val="auto"/>
          <w:sz w:val="24"/>
          <w:szCs w:val="24"/>
          <w:highlight w:val="none"/>
          <w:lang w:val="zh-CN"/>
        </w:rPr>
        <w:t xml:space="preserve">投标报价采用总承包方式，投标人的报价应包含货物设计、制造、包装、仓储、运输装</w:t>
      </w:r>
      <w:r>
        <w:rPr>
          <w:rFonts w:hint="eastAsia" w:ascii="宋体" w:hAnsi="宋体" w:cs="宋体"/>
          <w:color w:val="auto"/>
          <w:sz w:val="24"/>
          <w:szCs w:val="24"/>
          <w:highlight w:val="none"/>
        </w:rPr>
        <w:t xml:space="preserve">卸</w:t>
      </w:r>
      <w:r>
        <w:rPr>
          <w:rFonts w:hint="eastAsia" w:ascii="宋体" w:hAnsi="宋体" w:cs="宋体"/>
          <w:color w:val="auto"/>
          <w:sz w:val="24"/>
          <w:szCs w:val="24"/>
          <w:highlight w:val="none"/>
          <w:lang w:val="zh-CN"/>
        </w:rPr>
        <w:t xml:space="preserve">、保险、安装、调试及其材料及验收合格之前保管及运行维护费用、保修期内备品备件、专用工具、伴随服务、技术图纸资料、人员培训发生的所有含税费用、支付给员工的工资和国家强制缴纳的各种社会保障资金，国际国内运输保险、报关清关、开证、办理全套免税手续费及其他（如因中美贸易战或其他不可控因素导致的关税增加）等为完成本项目发生的所有费用，招标文件中另有规定的除外。</w:t>
      </w:r>
      <w:r/>
    </w:p>
    <w:p>
      <w:pPr>
        <w:ind w:firstLine="480"/>
        <w:jc w:val="left"/>
        <w:spacing w:line="480" w:lineRule="exact"/>
        <w:tabs>
          <w:tab w:val="left" w:pos="1035" w:leader="none"/>
        </w:tabs>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12.3.2服务类:投标报价采用固定总价方式，投标人的报价应包含完成服务项目必要的工具采购费用和研发费用、成果鉴定或论证费用、支付给员工的工资和国家强制缴纳的各种社会保障资金，全部售后服务等为完成本项目发生的所有费用，招标文件中另有规定的除外。</w:t>
      </w:r>
      <w:r/>
    </w:p>
    <w:p>
      <w:pPr>
        <w:ind w:firstLine="480"/>
        <w:jc w:val="left"/>
        <w:spacing w:line="480" w:lineRule="exact"/>
        <w:tabs>
          <w:tab w:val="left" w:pos="1035" w:leader="none"/>
        </w:tabs>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12.4</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zh-CN"/>
        </w:rPr>
        <w:t xml:space="preserve">其它费用处理</w:t>
      </w:r>
      <w:r/>
    </w:p>
    <w:p>
      <w:pPr>
        <w:ind w:firstLine="480"/>
        <w:jc w:val="left"/>
        <w:spacing w:line="480" w:lineRule="exact"/>
        <w:tabs>
          <w:tab w:val="left" w:pos="1035" w:leader="none"/>
        </w:tabs>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招标文件未列明，而投标人认为需要的其他有关的为完成本项目发生的所有必需的费用也须列入报价。</w:t>
      </w:r>
      <w:r/>
    </w:p>
    <w:p>
      <w:pPr>
        <w:ind w:firstLine="480"/>
        <w:jc w:val="left"/>
        <w:spacing w:line="480" w:lineRule="exact"/>
        <w:tabs>
          <w:tab w:val="left" w:pos="1035" w:leader="none"/>
        </w:tabs>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12.5</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zh-CN"/>
        </w:rPr>
        <w:t xml:space="preserve">投标货币</w:t>
      </w:r>
      <w:r/>
    </w:p>
    <w:p>
      <w:pPr>
        <w:ind w:firstLine="480"/>
        <w:jc w:val="left"/>
        <w:spacing w:line="480" w:lineRule="exact"/>
        <w:tabs>
          <w:tab w:val="left" w:pos="1035" w:leader="none"/>
        </w:tabs>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本项目</w:t>
      </w:r>
      <w:r>
        <w:rPr>
          <w:rFonts w:hint="eastAsia" w:ascii="宋体" w:hAnsi="宋体" w:cs="宋体"/>
          <w:color w:val="auto"/>
          <w:sz w:val="24"/>
          <w:szCs w:val="24"/>
          <w:highlight w:val="none"/>
        </w:rPr>
        <w:t xml:space="preserve">只</w:t>
      </w:r>
      <w:r>
        <w:rPr>
          <w:rFonts w:hint="eastAsia" w:ascii="宋体" w:hAnsi="宋体" w:cs="宋体"/>
          <w:color w:val="auto"/>
          <w:sz w:val="24"/>
          <w:szCs w:val="24"/>
          <w:highlight w:val="none"/>
          <w:lang w:val="zh-CN"/>
        </w:rPr>
        <w:t xml:space="preserve">接受人民币报价，采用其他币种报价的，一律为无效投标。</w:t>
      </w:r>
      <w:r/>
    </w:p>
    <w:p>
      <w:pPr>
        <w:ind w:firstLine="480"/>
        <w:jc w:val="left"/>
        <w:spacing w:line="480" w:lineRule="exact"/>
        <w:tabs>
          <w:tab w:val="left" w:pos="1035" w:leader="none"/>
        </w:tabs>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12.6 报价明细表上的价格应按下列方式分开填写：</w:t>
      </w:r>
      <w:r/>
    </w:p>
    <w:p>
      <w:pPr>
        <w:ind w:firstLine="480"/>
        <w:jc w:val="left"/>
        <w:spacing w:line="480" w:lineRule="exact"/>
        <w:tabs>
          <w:tab w:val="left" w:pos="1035" w:leader="none"/>
        </w:tabs>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12.6.</w:t>
      </w:r>
      <w:r>
        <w:rPr>
          <w:rFonts w:hint="eastAsia" w:ascii="宋体" w:hAnsi="宋体" w:cs="宋体"/>
          <w:color w:val="auto"/>
          <w:sz w:val="24"/>
          <w:szCs w:val="24"/>
          <w:highlight w:val="none"/>
          <w:lang w:val="zh-CN"/>
        </w:rPr>
        <w:t xml:space="preserve">1</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zh-CN"/>
        </w:rPr>
        <w:t xml:space="preserve">项目总价：包括买方需求的服务费或研发费用或货物价格、质量保证费用、培训费用及售后服务费用，项目在指定地点、环境交付、安装、调试、验收所需费用和所有相关税金费用及（因中美贸易战或其他不可控因素导致的关税增加）为完成整个项目所产生的其它所有费用。</w:t>
      </w:r>
      <w:r/>
    </w:p>
    <w:p>
      <w:pPr>
        <w:ind w:firstLine="480"/>
        <w:jc w:val="left"/>
        <w:spacing w:line="480" w:lineRule="exact"/>
        <w:tabs>
          <w:tab w:val="left" w:pos="1035" w:leader="none"/>
        </w:tabs>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12.6.</w:t>
      </w:r>
      <w:r>
        <w:rPr>
          <w:rFonts w:hint="eastAsia" w:ascii="宋体" w:hAnsi="宋体" w:cs="宋体"/>
          <w:color w:val="auto"/>
          <w:sz w:val="24"/>
          <w:szCs w:val="24"/>
          <w:highlight w:val="none"/>
          <w:lang w:val="zh-CN"/>
        </w:rPr>
        <w:t xml:space="preserve">2</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zh-CN"/>
        </w:rPr>
        <w:t xml:space="preserve">项目单价：按投标配置及报价明细表中要求填报。</w:t>
      </w:r>
      <w:r/>
    </w:p>
    <w:p>
      <w:pPr>
        <w:ind w:firstLine="480"/>
        <w:spacing w:line="360" w:lineRule="auto"/>
        <w:tabs>
          <w:tab w:val="left" w:pos="1035" w:leader="none"/>
        </w:tabs>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12.7 </w:t>
      </w:r>
      <w:r>
        <w:rPr>
          <w:rFonts w:hint="eastAsia" w:ascii="宋体" w:hAnsi="宋体" w:cs="宋体"/>
          <w:color w:val="auto"/>
          <w:sz w:val="24"/>
          <w:szCs w:val="24"/>
          <w:highlight w:val="none"/>
          <w:lang w:val="zh-CN"/>
        </w:rPr>
        <w:t xml:space="preserve">供应商的任何错漏、优惠、竞争性报价不得作为减轻责任、减少服务、增加收费、降低质量的理由。</w:t>
      </w:r>
      <w:r/>
    </w:p>
    <w:p>
      <w:pPr>
        <w:ind w:firstLine="480"/>
        <w:jc w:val="left"/>
        <w:spacing w:line="360" w:lineRule="auto"/>
        <w:tabs>
          <w:tab w:val="left" w:pos="1035" w:leader="none"/>
        </w:tabs>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12.8 供应商系小企业（含小型、微型企业），并提供本企业制造的货物、承担的工程或者服务，或者提供其他小企业制造的货物，须在《报价一览表》、《报价明细表》中注明。</w:t>
      </w:r>
      <w:r/>
    </w:p>
    <w:p>
      <w:pPr>
        <w:pStyle w:val="790"/>
        <w:numPr>
          <w:ilvl w:val="2"/>
          <w:numId w:val="0"/>
        </w:numPr>
        <w:ind w:firstLine="480"/>
        <w:jc w:val="left"/>
        <w:spacing w:before="0" w:after="0" w:line="480" w:lineRule="exact"/>
        <w:tabs>
          <w:tab w:val="left" w:pos="720" w:leader="none"/>
          <w:tab w:val="left" w:pos="794"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13、技术参数响应表、商务条款响应表及投标货物或服务的相关说明</w:t>
      </w:r>
      <w:r/>
    </w:p>
    <w:p>
      <w:pPr>
        <w:ind w:firstLine="480"/>
        <w:jc w:val="left"/>
        <w:spacing w:line="480" w:lineRule="exact"/>
        <w:tabs>
          <w:tab w:val="left" w:pos="1035" w:leader="none"/>
        </w:tabs>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13.1 对招标文件中的技术与商务条款要求逐项作出响应或偏离，并说明原因；</w:t>
      </w:r>
      <w:r/>
    </w:p>
    <w:p>
      <w:pPr>
        <w:ind w:firstLine="480"/>
        <w:jc w:val="left"/>
        <w:spacing w:line="480" w:lineRule="exact"/>
        <w:tabs>
          <w:tab w:val="left" w:pos="1035" w:leader="none"/>
        </w:tabs>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13.2 提供参加本项目类似案例简介；</w:t>
      </w:r>
      <w:r/>
    </w:p>
    <w:p>
      <w:pPr>
        <w:ind w:firstLine="480"/>
        <w:jc w:val="left"/>
        <w:spacing w:line="440" w:lineRule="exact"/>
        <w:tabs>
          <w:tab w:val="left" w:pos="1035" w:leader="none"/>
        </w:tabs>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13.3 培训计划；</w:t>
      </w:r>
      <w:r/>
    </w:p>
    <w:p>
      <w:pPr>
        <w:ind w:firstLine="480"/>
        <w:jc w:val="left"/>
        <w:spacing w:line="480" w:lineRule="exact"/>
        <w:tabs>
          <w:tab w:val="left" w:pos="1035" w:leader="none"/>
        </w:tabs>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13.4 详细阐述所投服务或货物的主要组成部分的技术方案，架构、功能设计、实现思路及关键技术;</w:t>
      </w:r>
      <w:r/>
    </w:p>
    <w:p>
      <w:pPr>
        <w:ind w:firstLine="480"/>
        <w:jc w:val="left"/>
        <w:spacing w:line="480" w:lineRule="exact"/>
        <w:tabs>
          <w:tab w:val="left" w:pos="1035" w:leader="none"/>
        </w:tabs>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13.5</w:t>
      </w:r>
      <w:r>
        <w:rPr>
          <w:rFonts w:hint="eastAsia" w:ascii="宋体" w:hAnsi="宋体" w:cs="宋体"/>
          <w:color w:val="auto"/>
          <w:sz w:val="24"/>
          <w:szCs w:val="24"/>
          <w:highlight w:val="none"/>
          <w:lang w:val="zh-CN"/>
        </w:rPr>
        <w:t xml:space="preserve"> 投标人认为需要的其他技术文件或说明。</w:t>
      </w:r>
      <w:r/>
    </w:p>
    <w:p>
      <w:pPr>
        <w:pStyle w:val="790"/>
        <w:numPr>
          <w:ilvl w:val="2"/>
          <w:numId w:val="0"/>
        </w:numPr>
        <w:ind w:firstLine="480"/>
        <w:jc w:val="left"/>
        <w:spacing w:before="0" w:after="0" w:line="480" w:lineRule="exact"/>
        <w:tabs>
          <w:tab w:val="left" w:pos="720" w:leader="none"/>
          <w:tab w:val="left" w:pos="794"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14、服务承诺及售后服务机构、人员的情况介绍</w:t>
      </w:r>
      <w:r/>
    </w:p>
    <w:p>
      <w:pPr>
        <w:ind w:firstLine="480"/>
        <w:jc w:val="left"/>
        <w:spacing w:line="480" w:lineRule="exact"/>
        <w:tabs>
          <w:tab w:val="left" w:pos="1035" w:leader="none"/>
        </w:tabs>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14</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1投标人的服务承诺应按不低于招标文件中商务要求的标准。</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14.2提供投标人有关售后服务的管理制度、售后服务机构的分布情况、售后服务人员的数量、素质、技术水平及售后服务的反应能力。</w:t>
      </w:r>
      <w:r/>
    </w:p>
    <w:p>
      <w:pPr>
        <w:ind w:firstLine="480"/>
        <w:jc w:val="left"/>
        <w:spacing w:line="480" w:lineRule="exact"/>
        <w:tabs>
          <w:tab w:val="left" w:pos="1035" w:leader="none"/>
        </w:tabs>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15、投标函和报价一览表</w:t>
      </w:r>
      <w:r/>
    </w:p>
    <w:p>
      <w:pPr>
        <w:ind w:firstLine="480"/>
        <w:jc w:val="left"/>
        <w:spacing w:line="480" w:lineRule="exact"/>
        <w:rPr>
          <w:rFonts w:ascii="宋体" w:hAnsi="宋体" w:cs="宋体"/>
          <w:b/>
          <w:bCs/>
          <w:i/>
          <w:iCs/>
          <w:color w:val="auto"/>
          <w:sz w:val="24"/>
          <w:szCs w:val="24"/>
          <w:highlight w:val="none"/>
          <w:u w:val="single"/>
        </w:rPr>
      </w:pPr>
      <w:r>
        <w:rPr>
          <w:rFonts w:hint="eastAsia" w:ascii="宋体" w:hAnsi="宋体" w:cs="宋体"/>
          <w:b/>
          <w:bCs/>
          <w:i/>
          <w:iCs/>
          <w:color w:val="auto"/>
          <w:sz w:val="24"/>
          <w:szCs w:val="24"/>
          <w:highlight w:val="none"/>
          <w:u w:val="single"/>
        </w:rPr>
        <w:t xml:space="preserve">15.1 投标人应按照招标文件中提供的格式完整、正确填写投标函、报价一览表。</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15.2 报价一览表中的价格应与投标文件中分项报价明细表中的总价一致，如不一致，不作为无效投标处理，但评标时按报价一览表中价格为准。</w:t>
      </w:r>
      <w:r/>
    </w:p>
    <w:p>
      <w:pPr>
        <w:ind w:firstLine="480"/>
        <w:jc w:val="left"/>
        <w:spacing w:line="480" w:lineRule="exact"/>
        <w:rPr>
          <w:rFonts w:ascii="宋体" w:hAnsi="宋体" w:cs="宋体"/>
          <w:i/>
          <w:iCs/>
          <w:color w:val="auto"/>
          <w:sz w:val="24"/>
          <w:szCs w:val="24"/>
          <w:highlight w:val="none"/>
          <w:u w:val="single"/>
        </w:rPr>
      </w:pPr>
      <w:r>
        <w:rPr>
          <w:rFonts w:hint="eastAsia" w:ascii="宋体" w:hAnsi="宋体" w:cs="宋体"/>
          <w:color w:val="auto"/>
          <w:sz w:val="24"/>
          <w:szCs w:val="24"/>
          <w:highlight w:val="none"/>
        </w:rPr>
        <w:t xml:space="preserve">15.3 </w:t>
      </w:r>
      <w:r>
        <w:rPr>
          <w:rFonts w:hint="eastAsia" w:ascii="宋体" w:hAnsi="宋体" w:cs="宋体"/>
          <w:b/>
          <w:bCs/>
          <w:i/>
          <w:iCs/>
          <w:color w:val="auto"/>
          <w:sz w:val="24"/>
          <w:szCs w:val="24"/>
          <w:highlight w:val="none"/>
          <w:u w:val="single"/>
        </w:rPr>
        <w:t xml:space="preserve">报价一览表必须加盖公章，其中一份必须单独密封在信封中，在投标截止时间前与投标文件分别递交，否则视为无效投标。</w:t>
      </w:r>
      <w:r/>
    </w:p>
    <w:p>
      <w:pPr>
        <w:pStyle w:val="790"/>
        <w:numPr>
          <w:ilvl w:val="2"/>
          <w:numId w:val="0"/>
        </w:numPr>
        <w:ind w:firstLine="480"/>
        <w:jc w:val="left"/>
        <w:spacing w:before="0" w:after="0" w:line="480" w:lineRule="exact"/>
        <w:tabs>
          <w:tab w:val="left" w:pos="720" w:leader="none"/>
          <w:tab w:val="left" w:pos="794"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16、投标保证金</w:t>
      </w:r>
      <w:r/>
    </w:p>
    <w:p>
      <w:pPr>
        <w:pStyle w:val="790"/>
        <w:numPr>
          <w:ilvl w:val="2"/>
          <w:numId w:val="0"/>
        </w:numPr>
        <w:ind w:firstLine="480"/>
        <w:jc w:val="left"/>
        <w:spacing w:before="0" w:after="0" w:line="480" w:lineRule="exact"/>
        <w:tabs>
          <w:tab w:val="left" w:pos="720" w:leader="none"/>
          <w:tab w:val="left" w:pos="794" w:leader="none"/>
        </w:tabs>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16.1本次招标不收取投标保证金。</w:t>
      </w:r>
      <w:r/>
    </w:p>
    <w:p>
      <w:pPr>
        <w:pStyle w:val="790"/>
        <w:numPr>
          <w:ilvl w:val="2"/>
          <w:numId w:val="0"/>
        </w:numPr>
        <w:ind w:firstLine="480"/>
        <w:jc w:val="left"/>
        <w:spacing w:before="0" w:after="0" w:line="480" w:lineRule="exact"/>
        <w:tabs>
          <w:tab w:val="left" w:pos="720" w:leader="none"/>
          <w:tab w:val="left" w:pos="794"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17、投标有效期</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17.1 投标有效期为招标文件中规定的提交投标文件接收截止之日起</w:t>
      </w:r>
      <w:r>
        <w:rPr>
          <w:rFonts w:hint="eastAsia" w:ascii="宋体" w:hAnsi="宋体" w:cs="宋体"/>
          <w:b/>
          <w:bCs/>
          <w:color w:val="auto"/>
          <w:sz w:val="24"/>
          <w:szCs w:val="24"/>
          <w:highlight w:val="none"/>
        </w:rPr>
        <w:t xml:space="preserve">九十天</w:t>
      </w:r>
      <w:r>
        <w:rPr>
          <w:rFonts w:hint="eastAsia" w:ascii="宋体" w:hAnsi="宋体" w:cs="宋体"/>
          <w:color w:val="auto"/>
          <w:sz w:val="24"/>
          <w:szCs w:val="24"/>
          <w:highlight w:val="none"/>
        </w:rPr>
        <w:t xml:space="preserve">。投标文件中承诺的投标有效期应当不少于招标文件中载明的投标有效期。</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17.2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w:t>
      </w:r>
      <w:r/>
    </w:p>
    <w:p>
      <w:pPr>
        <w:pStyle w:val="790"/>
        <w:numPr>
          <w:ilvl w:val="2"/>
          <w:numId w:val="0"/>
        </w:numPr>
        <w:ind w:firstLine="480"/>
        <w:jc w:val="left"/>
        <w:spacing w:before="0" w:after="0" w:line="480" w:lineRule="exact"/>
        <w:tabs>
          <w:tab w:val="left" w:pos="720" w:leader="none"/>
          <w:tab w:val="left" w:pos="794"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18、投标文件份数和签署</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18.1投标人应严格按照招标公告要求的份数准备投标文件，每份投标文件须清楚地标明“正本”或“副本”字样。一旦正本和副本不符，以正本为准。</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18.2投标文件正本中，除采购文件规定的可提交复印件外，其他文件均须提交原件，文字材料需打印或用不褪色墨水书写。</w:t>
      </w:r>
      <w:r>
        <w:rPr>
          <w:rFonts w:hint="eastAsia" w:ascii="宋体" w:hAnsi="宋体" w:cs="宋体"/>
          <w:b/>
          <w:bCs/>
          <w:i/>
          <w:iCs/>
          <w:color w:val="auto"/>
          <w:sz w:val="24"/>
          <w:szCs w:val="24"/>
          <w:highlight w:val="none"/>
          <w:u w:val="single"/>
        </w:rPr>
        <w:t xml:space="preserve">投标文件的正本须经法定代表人或授权代表签署签字和加盖投标人公章。本采购文件所表述（指定）的公章是指法定名称章，不包括合同专用章、业务专用章等印章。否则作无效投标处理。</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18.3 除投标人对错处做必要修改外，投标文件不得行间插字、涂改或增删。如有修改错漏处，必须由投标文件授权签署人签字或盖章。</w:t>
      </w:r>
      <w:r/>
    </w:p>
    <w:p>
      <w:pPr>
        <w:pStyle w:val="789"/>
        <w:numPr>
          <w:ilvl w:val="0"/>
          <w:numId w:val="0"/>
        </w:numPr>
        <w:jc w:val="left"/>
        <w:spacing w:before="0" w:after="0" w:line="480" w:lineRule="exact"/>
        <w:rPr>
          <w:rFonts w:ascii="宋体" w:hAnsi="宋体" w:eastAsia="宋体" w:cs="宋体"/>
          <w:color w:val="auto"/>
          <w:sz w:val="28"/>
          <w:szCs w:val="28"/>
          <w:highlight w:val="none"/>
        </w:rPr>
      </w:pPr>
      <w:r/>
      <w:bookmarkStart w:id="19" w:name="_Toc27142"/>
      <w:r>
        <w:rPr>
          <w:rFonts w:hint="eastAsia" w:ascii="宋体" w:hAnsi="宋体" w:eastAsia="宋体" w:cs="宋体"/>
          <w:color w:val="auto"/>
          <w:sz w:val="28"/>
          <w:szCs w:val="28"/>
          <w:highlight w:val="none"/>
        </w:rPr>
        <w:t xml:space="preserve">四、投标文件的递交</w:t>
      </w:r>
      <w:bookmarkEnd w:id="19"/>
      <w:r/>
      <w:r/>
    </w:p>
    <w:p>
      <w:pPr>
        <w:pStyle w:val="790"/>
        <w:numPr>
          <w:ilvl w:val="2"/>
          <w:numId w:val="0"/>
        </w:numPr>
        <w:ind w:firstLine="480"/>
        <w:jc w:val="left"/>
        <w:spacing w:before="0" w:after="0" w:line="480" w:lineRule="exact"/>
        <w:tabs>
          <w:tab w:val="left" w:pos="720" w:leader="none"/>
          <w:tab w:val="left" w:pos="794"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19、投标文件的密封和标记</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19.1投标人应将投标文件正本和所有副本</w:t>
      </w:r>
      <w:r>
        <w:rPr>
          <w:rFonts w:hint="eastAsia" w:ascii="宋体" w:hAnsi="宋体" w:cs="宋体"/>
          <w:b/>
          <w:bCs/>
          <w:color w:val="auto"/>
          <w:sz w:val="24"/>
          <w:szCs w:val="24"/>
          <w:highlight w:val="none"/>
        </w:rPr>
        <w:t xml:space="preserve">密封装制</w:t>
      </w:r>
      <w:r>
        <w:rPr>
          <w:rFonts w:hint="eastAsia" w:ascii="宋体" w:hAnsi="宋体" w:cs="宋体"/>
          <w:color w:val="auto"/>
          <w:sz w:val="24"/>
          <w:szCs w:val="24"/>
          <w:highlight w:val="none"/>
        </w:rPr>
        <w:t xml:space="preserve">，不论投标人中标与否，投标文件均不退回。</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19.2 密封的投标文件应：</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19.2.1 注明投标人名称，如因标注不清而产生的后果由投标人自负。按招标公告中注明的地址送达；</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19.2.2 注明投标项目名称、标书编号及标段号。</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19.2.3 未按要求密封和加写标记，采购代理机构对误投或过早启封概不负责。对由此造成投标文件提前开封而产生的风险，由投标人承担。</w:t>
      </w:r>
      <w:r/>
    </w:p>
    <w:p>
      <w:pPr>
        <w:ind w:firstLine="480"/>
        <w:jc w:val="left"/>
        <w:spacing w:line="480" w:lineRule="exact"/>
        <w:rPr>
          <w:rFonts w:ascii="宋体" w:hAnsi="宋体" w:cs="宋体"/>
          <w:color w:val="auto"/>
          <w:sz w:val="24"/>
          <w:szCs w:val="24"/>
          <w:highlight w:val="none"/>
        </w:rPr>
      </w:pPr>
      <w:r>
        <w:rPr>
          <w:rFonts w:hint="eastAsia" w:ascii="宋体" w:hAnsi="宋体" w:cs="宋体"/>
          <w:b/>
          <w:bCs/>
          <w:color w:val="auto"/>
          <w:sz w:val="24"/>
          <w:szCs w:val="24"/>
          <w:highlight w:val="none"/>
        </w:rPr>
        <w:t xml:space="preserve">19.2.4</w:t>
      </w:r>
      <w:r>
        <w:rPr>
          <w:rFonts w:hint="eastAsia" w:ascii="宋体" w:hAnsi="宋体" w:cs="宋体"/>
          <w:b/>
          <w:i/>
          <w:iCs/>
          <w:color w:val="auto"/>
          <w:sz w:val="24"/>
          <w:highlight w:val="none"/>
          <w:u w:val="single"/>
        </w:rPr>
        <w:t xml:space="preserve">投标文件的正本和所有的副本均需打印或复印或用不褪色墨水书写并装订成册（建议胶装）</w:t>
      </w:r>
      <w:r>
        <w:rPr>
          <w:rFonts w:hint="eastAsia" w:ascii="宋体" w:hAnsi="宋体" w:cs="宋体"/>
          <w:color w:val="auto"/>
          <w:sz w:val="24"/>
          <w:szCs w:val="24"/>
          <w:highlight w:val="none"/>
        </w:rPr>
        <w:t xml:space="preserve">。</w:t>
      </w:r>
      <w:r/>
    </w:p>
    <w:p>
      <w:pPr>
        <w:pStyle w:val="790"/>
        <w:numPr>
          <w:ilvl w:val="2"/>
          <w:numId w:val="0"/>
        </w:numPr>
        <w:ind w:firstLine="480"/>
        <w:jc w:val="left"/>
        <w:spacing w:before="0" w:after="0" w:line="480" w:lineRule="exact"/>
        <w:tabs>
          <w:tab w:val="left" w:pos="720" w:leader="none"/>
          <w:tab w:val="left" w:pos="794"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20、投标截止时间</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20.1  投标人提交投标文件的时间不得迟于招标公告中规定的截止时间。</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20.2 采购代理机构可以按照规定，通过修改招标文件或书面通知的方式酌情延长投标截止时间，在此情形下，投标人的所有权利和义务以及投标人受制的截止时间均应以延长后新的截止时间为准。</w:t>
      </w:r>
      <w:r/>
    </w:p>
    <w:p>
      <w:pPr>
        <w:pStyle w:val="790"/>
        <w:numPr>
          <w:ilvl w:val="2"/>
          <w:numId w:val="0"/>
        </w:numPr>
        <w:ind w:firstLine="480"/>
        <w:jc w:val="left"/>
        <w:spacing w:before="0" w:after="0" w:line="480" w:lineRule="exact"/>
        <w:tabs>
          <w:tab w:val="left" w:pos="720" w:leader="none"/>
          <w:tab w:val="left" w:pos="794"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21、迟交的投标文件</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21.1 采购代理机构拒绝接收在其规定的投标截止时间后递交的任何投标文件。</w:t>
      </w:r>
      <w:r/>
    </w:p>
    <w:p>
      <w:pPr>
        <w:pStyle w:val="790"/>
        <w:numPr>
          <w:ilvl w:val="2"/>
          <w:numId w:val="0"/>
        </w:numPr>
        <w:ind w:firstLine="480"/>
        <w:jc w:val="left"/>
        <w:spacing w:before="0" w:after="0" w:line="480" w:lineRule="exact"/>
        <w:tabs>
          <w:tab w:val="left" w:pos="720" w:leader="none"/>
          <w:tab w:val="left" w:pos="794"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22、投标文件的修改和撤回</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22.1 投标人在递交投标文件后，可以修改或撤回其投标文件，但这种修改和撤回，必须在规定的投标截止时间前，并以书面形式通知采购代理机构，修改或撤回其投标文件。</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22.2 投标人修改或撤回投标文件并重新提交的，应按规定进行编制、密封、标记和提交并应在封套上加注“修改”字样。上述补充或修改若涉及投标报价，必须注明“最后唯一报价字样，否则将可能被视为有选择的报价。修改文件必须在投标截止时间前送达采购代理机构。                            </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22.3 在投标截止时间之后，投标人不得对其投标文件作任何修改。</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22.4 在投标截止时间至招标文件中规定的投标有效期的期间内，投标人不得撤回其投标否则将承担失信责任。</w:t>
      </w:r>
      <w:r/>
    </w:p>
    <w:p>
      <w:pPr>
        <w:pStyle w:val="789"/>
        <w:numPr>
          <w:ilvl w:val="0"/>
          <w:numId w:val="0"/>
        </w:numPr>
        <w:jc w:val="left"/>
        <w:spacing w:before="0" w:after="0" w:line="480" w:lineRule="exact"/>
        <w:rPr>
          <w:rFonts w:ascii="宋体" w:hAnsi="宋体" w:eastAsia="宋体" w:cs="宋体"/>
          <w:color w:val="auto"/>
          <w:sz w:val="28"/>
          <w:szCs w:val="28"/>
          <w:highlight w:val="none"/>
        </w:rPr>
      </w:pPr>
      <w:r/>
      <w:bookmarkStart w:id="20" w:name="_Toc28134"/>
      <w:r>
        <w:rPr>
          <w:rFonts w:hint="eastAsia" w:ascii="宋体" w:hAnsi="宋体" w:eastAsia="宋体" w:cs="宋体"/>
          <w:color w:val="auto"/>
          <w:sz w:val="28"/>
          <w:szCs w:val="28"/>
          <w:highlight w:val="none"/>
        </w:rPr>
        <w:t xml:space="preserve">五、开标与评标</w:t>
      </w:r>
      <w:bookmarkEnd w:id="20"/>
      <w:r/>
      <w:r/>
    </w:p>
    <w:p>
      <w:pPr>
        <w:pStyle w:val="790"/>
        <w:numPr>
          <w:ilvl w:val="2"/>
          <w:numId w:val="0"/>
        </w:numPr>
        <w:ind w:firstLine="480"/>
        <w:jc w:val="left"/>
        <w:spacing w:before="0" w:after="0" w:line="480" w:lineRule="exact"/>
        <w:tabs>
          <w:tab w:val="left" w:pos="720" w:leader="none"/>
          <w:tab w:val="left" w:pos="794"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23、开标</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23.1 采购代理机构将在招标公告中规定的时间和地点组织公开开标。投标人应委派携带有效证件的代表准时参加，参加开标的代表需签名以证明其出席。</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23.2开标仪式由采购代理机构组织，采购人代表、公证员（必要时）、监管代表、投标人代表等参加。</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23.3按照规定同意撤回的投标将不予开封。</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23.4 开标时请公证人员或投标人代表查验投标文件密封情况，确认无误后，采购代理机构当众拆封宣读每份投标文件中“报价一览表”的内容，未列入报价一览表的内容一律不在开标时宣读。开标时未宣读的投标报价信息，不得在评标时采用。</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23.5 采购代理机构将指定专人负责开标记录并存档备查。</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23.6 </w:t>
      </w:r>
      <w:r>
        <w:rPr>
          <w:rFonts w:hint="eastAsia" w:ascii="宋体" w:hAnsi="宋体" w:cs="宋体"/>
          <w:b/>
          <w:bCs/>
          <w:i/>
          <w:iCs/>
          <w:color w:val="auto"/>
          <w:sz w:val="24"/>
          <w:szCs w:val="24"/>
          <w:highlight w:val="none"/>
          <w:u w:val="single"/>
        </w:rPr>
        <w:t xml:space="preserve">投标人在报价时不允许采用选择性报价，否则将被视为无效投标。</w:t>
      </w:r>
      <w:r/>
    </w:p>
    <w:p>
      <w:pPr>
        <w:pStyle w:val="790"/>
        <w:numPr>
          <w:ilvl w:val="2"/>
          <w:numId w:val="0"/>
        </w:numPr>
        <w:ind w:firstLine="480"/>
        <w:jc w:val="left"/>
        <w:spacing w:before="0" w:after="0" w:line="480" w:lineRule="exact"/>
        <w:tabs>
          <w:tab w:val="left" w:pos="720" w:leader="none"/>
          <w:tab w:val="left" w:pos="794"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24、评标委员会</w:t>
      </w:r>
      <w:r/>
    </w:p>
    <w:p>
      <w:pPr>
        <w:ind w:firstLine="480"/>
        <w:jc w:val="left"/>
        <w:spacing w:line="480" w:lineRule="exact"/>
        <w:rPr>
          <w:rFonts w:ascii="宋体" w:hAnsi="宋体" w:cs="宋体"/>
          <w:b/>
          <w:bCs/>
          <w:color w:val="auto"/>
          <w:sz w:val="24"/>
          <w:szCs w:val="24"/>
          <w:highlight w:val="none"/>
        </w:rPr>
      </w:pPr>
      <w:r>
        <w:rPr>
          <w:rFonts w:hint="eastAsia" w:ascii="宋体" w:hAnsi="宋体" w:cs="宋体"/>
          <w:color w:val="auto"/>
          <w:sz w:val="24"/>
          <w:szCs w:val="24"/>
          <w:highlight w:val="none"/>
        </w:rPr>
        <w:t xml:space="preserve">24.1开标后，采购代理机构将立即组织评标委员会（以下简称评委会）进行评标。</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24.2 评委会由采购人代表和有关技术、经济等方面的专家组成，且人员构成符合政府采购有关规定。</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24.3评委会独立工作，负责评审所有投标文件并确定中标、成交候选人。</w:t>
      </w:r>
      <w:r/>
    </w:p>
    <w:p>
      <w:pPr>
        <w:pStyle w:val="790"/>
        <w:numPr>
          <w:ilvl w:val="2"/>
          <w:numId w:val="0"/>
        </w:numPr>
        <w:ind w:firstLine="480"/>
        <w:jc w:val="left"/>
        <w:spacing w:before="0" w:after="0" w:line="480" w:lineRule="exact"/>
        <w:tabs>
          <w:tab w:val="left" w:pos="720" w:leader="none"/>
          <w:tab w:val="left" w:pos="794"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25．评标过程的保密与公正</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25.1公开开标后，直至向中标的投标人授予合同时止，凡是与审查、澄清、评价和比较投标的有关资料以及授标建议等，采购人、评委、采购代理机构均不得向投标人或与评标无关的其他人员透露。</w:t>
      </w:r>
      <w:r/>
    </w:p>
    <w:p>
      <w:pPr>
        <w:ind w:firstLine="480"/>
        <w:jc w:val="left"/>
        <w:spacing w:line="480" w:lineRule="exact"/>
        <w:rPr>
          <w:rFonts w:ascii="宋体" w:hAnsi="宋体" w:cs="宋体"/>
          <w:color w:val="auto"/>
          <w:sz w:val="24"/>
          <w:szCs w:val="24"/>
          <w:highlight w:val="none"/>
        </w:rPr>
      </w:pPr>
      <w:r>
        <w:rPr>
          <w:rFonts w:hint="eastAsia" w:ascii="宋体" w:hAnsi="宋体" w:cs="宋体"/>
          <w:b/>
          <w:bCs/>
          <w:i/>
          <w:iCs/>
          <w:color w:val="auto"/>
          <w:sz w:val="24"/>
          <w:szCs w:val="24"/>
          <w:highlight w:val="none"/>
          <w:u w:val="single"/>
        </w:rPr>
        <w:t xml:space="preserve">25.2在评标过程中，投标人不得以任何行为影响评标过程，否则其投标文件将被作为无效投标文件</w:t>
      </w:r>
      <w:r>
        <w:rPr>
          <w:rFonts w:hint="eastAsia" w:ascii="宋体" w:hAnsi="宋体" w:cs="宋体"/>
          <w:color w:val="auto"/>
          <w:sz w:val="24"/>
          <w:szCs w:val="24"/>
          <w:highlight w:val="none"/>
        </w:rPr>
        <w:t xml:space="preserve">。</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25.3在评标期间，采购代理机构将设专门人员与投标人联系，对未通过资格审查及符合性审查的投标人，应当告知其未通过的原因。</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25.4 采购代理机构和评标委员会不得向落标的投标人解释未中标原因，也不公布评标过程中的相关细节。</w:t>
      </w:r>
      <w:r/>
    </w:p>
    <w:p>
      <w:pPr>
        <w:pStyle w:val="813"/>
        <w:ind w:firstLine="480"/>
        <w:spacing w:line="360" w:lineRule="auto"/>
        <w:rPr>
          <w:rFonts w:ascii="宋体" w:hAnsi="宋体" w:cs="宋体"/>
          <w:color w:val="auto"/>
          <w:highlight w:val="none"/>
        </w:rPr>
      </w:pPr>
      <w:r>
        <w:rPr>
          <w:rFonts w:hint="eastAsia" w:ascii="宋体" w:hAnsi="宋体" w:cs="宋体"/>
          <w:color w:val="auto"/>
          <w:sz w:val="24"/>
          <w:szCs w:val="24"/>
          <w:highlight w:val="none"/>
        </w:rPr>
        <w:t xml:space="preserve">25.5 采用综合评分法评审的，接到投标人相关询问时，由代理机构工作人员负责告知未中标供应商本人的评审得分与排序。</w:t>
      </w:r>
      <w:r/>
    </w:p>
    <w:p>
      <w:pPr>
        <w:pStyle w:val="790"/>
        <w:numPr>
          <w:ilvl w:val="2"/>
          <w:numId w:val="0"/>
        </w:numPr>
        <w:ind w:firstLine="480"/>
        <w:jc w:val="left"/>
        <w:spacing w:before="0" w:after="0" w:line="480" w:lineRule="exact"/>
        <w:tabs>
          <w:tab w:val="left" w:pos="720" w:leader="none"/>
          <w:tab w:val="left" w:pos="794"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26．投标的澄清</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26.1评标期间，为有助于对投标文件的审查、评价和比较，评委会有权以书面形式要求投标人对其投标文件进行澄清，但并非对每个投标人都作澄清要求。</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26.2接到评委会澄清要求的投标人应派人按评委会通知的时间和地点做出书面澄清，书面澄清的内容须由投标人法人或授权代表签署，并作为投标文件的补充部分，但投标的价格和实质性的内容不得做任何更改。</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26.3 接到评委会澄清要求的投标人如未按规定做出澄清，其风险由投标人自行承担。</w:t>
      </w:r>
      <w:r/>
    </w:p>
    <w:p>
      <w:pPr>
        <w:pStyle w:val="790"/>
        <w:numPr>
          <w:ilvl w:val="2"/>
          <w:numId w:val="0"/>
        </w:numPr>
        <w:ind w:firstLine="480"/>
        <w:jc w:val="left"/>
        <w:spacing w:before="0" w:after="0" w:line="480" w:lineRule="exact"/>
        <w:tabs>
          <w:tab w:val="left" w:pos="720" w:leader="none"/>
          <w:tab w:val="left" w:pos="794"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27、对投标文件的初审</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27.1投标文件初审分为资格性检查和符合性检查。</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资格性检查：依据法律法规和招标文件的规定，对投标文件中的资格证明文件等进行资格性审查同时，将在“信用中国”（www.creditchina.gov.cn）、“中国政府采购网”(www.ccgp.gov.cn)、“国家企业信用公示系统”（www.gsxt.gov.cn）网站对投标人是否被列入失信被执行人、重大税收违法案件当事人名单、政府采购严重失信行为记录名单、经营异常名录信息、严重违法失信企业名单、受到较大数额罚款行政处罚的情况进行查询，以确定投标人是否具备投标资格。查询结果将以网页打印的形式留存并归档。</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符合性检查：依据招标文件的规定，从投标文件的有效性、完整性和对招标文件的响应程度进行审查，以确定是否对招标文件的实质性要求作出响应。</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27.2在详细评标之前，评委会将首先审查每份投标文件是否实质性响应了招标文件的要求。实质性响应的投标应该是与招标文件要求的全部条款、条件和规格相符，没有重大偏离或保留的投标。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二及以上成员的认定。评委决定投标文件的响应性只根据投标文件本身的内容，而不寻求外部的证据。</w:t>
      </w:r>
      <w:r/>
    </w:p>
    <w:p>
      <w:pPr>
        <w:ind w:firstLine="480"/>
        <w:jc w:val="left"/>
        <w:spacing w:line="480" w:lineRule="exact"/>
        <w:rPr>
          <w:rFonts w:ascii="宋体" w:hAnsi="宋体" w:cs="宋体"/>
          <w:b/>
          <w:bCs/>
          <w:i/>
          <w:iCs/>
          <w:color w:val="auto"/>
          <w:sz w:val="24"/>
          <w:szCs w:val="24"/>
          <w:highlight w:val="none"/>
          <w:u w:val="single"/>
        </w:rPr>
      </w:pPr>
      <w:r>
        <w:rPr>
          <w:rFonts w:hint="eastAsia" w:ascii="宋体" w:hAnsi="宋体" w:cs="宋体"/>
          <w:b/>
          <w:bCs/>
          <w:i/>
          <w:iCs/>
          <w:color w:val="auto"/>
          <w:sz w:val="24"/>
          <w:szCs w:val="24"/>
          <w:highlight w:val="none"/>
          <w:u w:val="single"/>
        </w:rPr>
        <w:t xml:space="preserve">27.3如果投标文件实质上没有响应招标文件的要求，评委会将予以拒绝，投标人不得通过修改或撤销不合要求的偏离或保留而使其投标成为实质性响应的投标。</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27.4评委会将对确定为实质性响应的投标进行进一步审核，看其是否有计算上或累加上的算术错误，修正错误的原则如下：</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(1)如果用数字表示的金额和用文字表示的金额不一致时，应以文字表示的金额为准进行修正；</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(2)当单价与数量的乘积和总价不一致时，以单价为准进行修正。只有在评委会认为单价有明显的小数点错误时，才能以标出的总价为准，并修改单价。</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27.5评委会将按上述修正错误的方法调整投标文件中的投标报价，调整后的价格应对投标人具有约束力。如果投标人不接受修正后的价格，则其投标将被拒绝。</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27.6评委会将允许修正投标文件中不构成重大偏离的、微小的、非正规的、不一致的或不规则的地方，但这些修改不能影响任何投标人相应的名次排列。</w:t>
      </w:r>
      <w:r/>
    </w:p>
    <w:p>
      <w:pPr>
        <w:pStyle w:val="790"/>
        <w:numPr>
          <w:ilvl w:val="2"/>
          <w:numId w:val="0"/>
        </w:numPr>
        <w:ind w:firstLine="480"/>
        <w:jc w:val="left"/>
        <w:spacing w:before="0" w:after="0" w:line="480" w:lineRule="exact"/>
        <w:tabs>
          <w:tab w:val="left" w:pos="720" w:leader="none"/>
          <w:tab w:val="left" w:pos="794" w:leader="none"/>
        </w:tabs>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28</w:t>
      </w:r>
      <w:r>
        <w:rPr>
          <w:rFonts w:hint="eastAsia" w:ascii="宋体" w:hAnsi="宋体" w:cs="宋体"/>
          <w:color w:val="auto"/>
          <w:sz w:val="24"/>
          <w:szCs w:val="24"/>
          <w:highlight w:val="none"/>
          <w:lang w:val="zh-CN"/>
        </w:rPr>
        <w:t xml:space="preserve"> 评标方法和标准</w:t>
      </w:r>
      <w:r/>
    </w:p>
    <w:p>
      <w:pPr>
        <w:ind w:firstLine="480"/>
        <w:jc w:val="left"/>
        <w:spacing w:line="480" w:lineRule="exact"/>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28.1</w:t>
      </w:r>
      <w:r>
        <w:rPr>
          <w:rFonts w:hint="eastAsia" w:ascii="宋体" w:hAnsi="宋体" w:cs="宋体"/>
          <w:color w:val="auto"/>
          <w:sz w:val="24"/>
          <w:szCs w:val="24"/>
          <w:highlight w:val="none"/>
          <w:lang w:val="zh-CN"/>
        </w:rPr>
        <w:t xml:space="preserve">采用综合评分法。即在最大限度地满足招标文件实质性要求前提下，按照招标文件中规定的各项因素进行综合评审后，以评标总得分最高的投标人作为中标候选人或者中标</w:t>
      </w:r>
      <w:r>
        <w:rPr>
          <w:rFonts w:hint="eastAsia" w:ascii="宋体" w:hAnsi="宋体" w:cs="宋体"/>
          <w:color w:val="auto"/>
          <w:sz w:val="24"/>
          <w:szCs w:val="24"/>
          <w:highlight w:val="none"/>
        </w:rPr>
        <w:t xml:space="preserve">人</w:t>
      </w:r>
      <w:r>
        <w:rPr>
          <w:rFonts w:hint="eastAsia" w:ascii="宋体" w:hAnsi="宋体" w:cs="宋体"/>
          <w:color w:val="auto"/>
          <w:sz w:val="24"/>
          <w:szCs w:val="24"/>
          <w:highlight w:val="none"/>
          <w:lang w:val="zh-CN"/>
        </w:rPr>
        <w:t xml:space="preserve">的评标方法。</w:t>
      </w:r>
      <w:r/>
    </w:p>
    <w:p>
      <w:pPr>
        <w:ind w:firstLine="480"/>
        <w:jc w:val="left"/>
        <w:spacing w:line="48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w:t>
      </w:r>
      <w:r>
        <w:rPr>
          <w:rFonts w:hint="eastAsia" w:ascii="宋体" w:hAnsi="宋体" w:cs="宋体"/>
          <w:color w:val="auto"/>
          <w:sz w:val="24"/>
          <w:szCs w:val="24"/>
          <w:highlight w:val="none"/>
        </w:rPr>
        <w:t xml:space="preserve">8</w:t>
      </w:r>
      <w:r>
        <w:rPr>
          <w:rFonts w:hint="eastAsia" w:ascii="宋体" w:hAnsi="宋体" w:cs="宋体"/>
          <w:color w:val="auto"/>
          <w:sz w:val="24"/>
          <w:szCs w:val="24"/>
          <w:highlight w:val="none"/>
          <w:lang w:val="zh-CN"/>
        </w:rPr>
        <w:t xml:space="preserve">.2 综合评分的主要因素是：价格、技术或服务水平、售后服务、履约能力等对招标文件响应程度。</w:t>
      </w:r>
      <w:r/>
    </w:p>
    <w:p>
      <w:pPr>
        <w:ind w:firstLine="480"/>
        <w:jc w:val="left"/>
        <w:spacing w:line="480" w:lineRule="exact"/>
        <w:rPr>
          <w:rFonts w:ascii="宋体" w:hAnsi="宋体" w:cs="宋体"/>
          <w:color w:val="auto"/>
          <w:sz w:val="28"/>
          <w:szCs w:val="28"/>
          <w:highlight w:val="none"/>
        </w:rPr>
      </w:pPr>
      <w:r>
        <w:rPr>
          <w:rFonts w:hint="eastAsia" w:ascii="宋体" w:hAnsi="宋体" w:cs="宋体"/>
          <w:color w:val="auto"/>
          <w:sz w:val="24"/>
          <w:szCs w:val="24"/>
          <w:highlight w:val="none"/>
          <w:lang w:val="zh-CN"/>
        </w:rPr>
        <w:t xml:space="preserve">2</w:t>
      </w:r>
      <w:r>
        <w:rPr>
          <w:rFonts w:hint="eastAsia" w:ascii="宋体" w:hAnsi="宋体" w:cs="宋体"/>
          <w:color w:val="auto"/>
          <w:sz w:val="24"/>
          <w:szCs w:val="24"/>
          <w:highlight w:val="none"/>
        </w:rPr>
        <w:t xml:space="preserve">8</w:t>
      </w:r>
      <w:r>
        <w:rPr>
          <w:rFonts w:hint="eastAsia" w:ascii="宋体" w:hAnsi="宋体" w:cs="宋体"/>
          <w:color w:val="auto"/>
          <w:sz w:val="24"/>
          <w:szCs w:val="24"/>
          <w:highlight w:val="none"/>
          <w:lang w:val="zh-CN"/>
        </w:rPr>
        <w:t xml:space="preserve">.3</w:t>
      </w:r>
      <w:r>
        <w:rPr>
          <w:rFonts w:hint="eastAsia" w:ascii="宋体" w:hAnsi="宋体" w:cs="宋体"/>
          <w:color w:val="auto"/>
          <w:sz w:val="24"/>
          <w:szCs w:val="24"/>
          <w:highlight w:val="none"/>
        </w:rPr>
        <w:t xml:space="preserve"> 评分标准详见文件第五章。</w:t>
      </w:r>
      <w:r/>
    </w:p>
    <w:p>
      <w:pPr>
        <w:pStyle w:val="790"/>
        <w:numPr>
          <w:ilvl w:val="2"/>
          <w:numId w:val="0"/>
        </w:numPr>
        <w:ind w:firstLine="480"/>
        <w:jc w:val="left"/>
        <w:spacing w:before="0" w:after="0" w:line="480" w:lineRule="exact"/>
        <w:tabs>
          <w:tab w:val="left" w:pos="720" w:leader="none"/>
          <w:tab w:val="left" w:pos="794"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29、无效投标条款和废标条款</w:t>
      </w:r>
      <w:r/>
    </w:p>
    <w:p>
      <w:pPr>
        <w:ind w:firstLine="480"/>
        <w:jc w:val="left"/>
        <w:spacing w:line="480" w:lineRule="exact"/>
        <w:rPr>
          <w:rFonts w:ascii="宋体" w:hAnsi="宋体" w:cs="宋体"/>
          <w:i/>
          <w:iCs/>
          <w:color w:val="auto"/>
          <w:sz w:val="24"/>
          <w:szCs w:val="24"/>
          <w:highlight w:val="none"/>
          <w:u w:val="single"/>
        </w:rPr>
      </w:pPr>
      <w:r>
        <w:rPr>
          <w:rFonts w:hint="eastAsia" w:ascii="宋体" w:hAnsi="宋体" w:cs="宋体"/>
          <w:color w:val="auto"/>
          <w:sz w:val="24"/>
          <w:szCs w:val="24"/>
          <w:highlight w:val="none"/>
        </w:rPr>
        <w:t xml:space="preserve">29.1无效投标条款</w:t>
      </w:r>
      <w:r/>
    </w:p>
    <w:p>
      <w:pPr>
        <w:ind w:firstLine="36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 29.1.1未按照招标文件要求密封、签署、盖章的；</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29.1.2投标人在报价时采用选择性报价的；</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29.1.3投标人不具备招标文件中规定资格要求及不符合财政部财库（2016）125号文件规定的；</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29.1.4投标人的报价超过了采购预算的；</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29.1.5未通过符合性检查的；</w:t>
      </w:r>
      <w:r/>
    </w:p>
    <w:p>
      <w:pPr>
        <w:ind w:firstLine="36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rPr>
          <w:rFonts w:hint="eastAsia" w:ascii="宋体" w:hAnsi="宋体" w:cs="宋体"/>
          <w:b/>
          <w:bCs/>
          <w:i/>
          <w:iCs/>
          <w:color w:val="auto"/>
          <w:sz w:val="24"/>
          <w:szCs w:val="24"/>
          <w:highlight w:val="none"/>
          <w:u w:val="single"/>
        </w:rPr>
        <w:t xml:space="preserve">29.1.6不符合招标文件中规定的其他实质性要求和条件的（本招标文件中斜体且有下划线部分为实质性要求和条件）；</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29.2废标条款：</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29.2.1符合专业条件的投标人或者对招标文件作实质响应的投标人不足三家的；</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29.2.2出现影响采购公正的违法、违规行为的；</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29.2.3因重大变故，采购任务取消的；</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29.2.4评标委员会认定招标文件存在歧义、重大缺陷导致评审工作无法进行。</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29.3 投标截止时间结束后参加投标的投标人不足三家的处理：</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29.3.1如出现投标截止时间结束后参加投标的投标人或者在评标期间对招标文件做出实质响应的投标人不足三家情况，按财政部第87号令第四十三条的规定执行。</w:t>
      </w:r>
      <w:r/>
    </w:p>
    <w:p>
      <w:pPr>
        <w:pStyle w:val="789"/>
        <w:numPr>
          <w:ilvl w:val="0"/>
          <w:numId w:val="0"/>
        </w:numPr>
        <w:jc w:val="left"/>
        <w:spacing w:before="0" w:after="0" w:line="480" w:lineRule="exact"/>
        <w:rPr>
          <w:rFonts w:ascii="宋体" w:hAnsi="宋体" w:eastAsia="宋体" w:cs="宋体"/>
          <w:color w:val="auto"/>
          <w:sz w:val="28"/>
          <w:szCs w:val="28"/>
          <w:highlight w:val="none"/>
        </w:rPr>
      </w:pPr>
      <w:r/>
      <w:bookmarkStart w:id="21" w:name="_Toc25960"/>
      <w:r>
        <w:rPr>
          <w:rFonts w:hint="eastAsia" w:ascii="宋体" w:hAnsi="宋体" w:eastAsia="宋体" w:cs="宋体"/>
          <w:color w:val="auto"/>
          <w:sz w:val="28"/>
          <w:szCs w:val="28"/>
          <w:highlight w:val="none"/>
        </w:rPr>
        <w:t xml:space="preserve">六、定标</w:t>
      </w:r>
      <w:bookmarkEnd w:id="21"/>
      <w:r/>
      <w:r/>
    </w:p>
    <w:p>
      <w:pPr>
        <w:pStyle w:val="790"/>
        <w:numPr>
          <w:ilvl w:val="2"/>
          <w:numId w:val="0"/>
        </w:numPr>
        <w:ind w:firstLine="480"/>
        <w:jc w:val="left"/>
        <w:spacing w:before="0" w:after="0" w:line="480" w:lineRule="exact"/>
        <w:tabs>
          <w:tab w:val="left" w:pos="720" w:leader="none"/>
          <w:tab w:val="left" w:pos="794"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30、确定中标单位</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30.1评委会根据本招标文件规定评标办法与评标标准向采购人推荐出中标候选人。</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30.2 采购人应根据评委会推荐的中标候选人确定中标人。</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30.3采购代理机构将在“</w:t>
      </w:r>
      <w:r>
        <w:rPr>
          <w:rFonts w:hint="eastAsia" w:ascii="宋体" w:hAnsi="宋体" w:cs="宋体"/>
          <w:bCs/>
          <w:color w:val="auto"/>
          <w:sz w:val="24"/>
          <w:highlight w:val="none"/>
        </w:rPr>
        <w:t xml:space="preserve">江苏政府采购网</w:t>
      </w:r>
      <w:r>
        <w:rPr>
          <w:rFonts w:hint="eastAsia" w:ascii="宋体" w:hAnsi="宋体" w:cs="宋体"/>
          <w:color w:val="auto"/>
          <w:sz w:val="24"/>
          <w:szCs w:val="24"/>
          <w:highlight w:val="none"/>
        </w:rPr>
        <w:t xml:space="preserve">”发布中标公告，公告期限为1个工作日。中标供应商享受中小企业扶持政策的，随中标结果公开中标、成交供应商的《中小企业声明函》。</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30.4若有充分证据证明，中标人出现下列情况之一的，一经查实，将被取消中标资格：</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30.4.1提供虚假材料谋取中标的；</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30.4.2向采购人、采购代理机构行贿或者提供其他不正当利益的；</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30.4.3恶意竞争，投标总报价明显低于其自身合理成本且又无法提供证明的；</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30.4.4属于本文件规定的无效条件，但在评标过程中又未被评委会发现的；</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30.4.5与采购人或者其他投标人恶意串通的；</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30.4.6采取不正当手段诋毁、排挤其他投标人的；</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30.4.7不符合法律、法规的规定的。</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30.5 </w:t>
      </w:r>
      <w:r>
        <w:rPr>
          <w:rFonts w:hint="eastAsia" w:ascii="宋体" w:hAnsi="宋体" w:cs="宋体"/>
          <w:color w:val="auto"/>
          <w:sz w:val="24"/>
          <w:szCs w:val="24"/>
          <w:highlight w:val="none"/>
        </w:rPr>
        <w:t xml:space="preserve">有下列情形之一的，属于恶意串通：</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30.5.1</w:t>
      </w:r>
      <w:r>
        <w:rPr>
          <w:rFonts w:hint="eastAsia" w:ascii="宋体" w:hAnsi="宋体" w:cs="宋体"/>
          <w:color w:val="auto"/>
          <w:sz w:val="24"/>
          <w:szCs w:val="24"/>
          <w:highlight w:val="none"/>
        </w:rPr>
        <w:t xml:space="preserve">投标人直接或者间接从采购人或者采购代理机构处获得其他投标人的相关情况并修改其投标文件或者响应文件；</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30.5.2</w:t>
      </w:r>
      <w:r>
        <w:rPr>
          <w:rFonts w:hint="eastAsia" w:ascii="宋体" w:hAnsi="宋体" w:cs="宋体"/>
          <w:color w:val="auto"/>
          <w:sz w:val="24"/>
          <w:szCs w:val="24"/>
          <w:highlight w:val="none"/>
        </w:rPr>
        <w:t xml:space="preserve">投标人按照采购人或者采购代理机构的授意撤换、修改投标文件或者响应文件；</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30.5.3</w:t>
      </w:r>
      <w:r>
        <w:rPr>
          <w:rFonts w:hint="eastAsia" w:ascii="宋体" w:hAnsi="宋体" w:cs="宋体"/>
          <w:color w:val="auto"/>
          <w:sz w:val="24"/>
          <w:szCs w:val="24"/>
          <w:highlight w:val="none"/>
        </w:rPr>
        <w:t xml:space="preserve">投标人之间协商报价、技术方案等投标文件或者响应文件的实质性内容；</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30.5.4</w:t>
      </w:r>
      <w:r>
        <w:rPr>
          <w:rFonts w:hint="eastAsia" w:ascii="宋体" w:hAnsi="宋体" w:cs="宋体"/>
          <w:color w:val="auto"/>
          <w:sz w:val="24"/>
          <w:szCs w:val="24"/>
          <w:highlight w:val="none"/>
        </w:rPr>
        <w:t xml:space="preserve">属于同一集团、协会、商会等组织成员的投标人按照该组织要求协同参加政府采购活动；</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30.5.5</w:t>
      </w:r>
      <w:r>
        <w:rPr>
          <w:rFonts w:hint="eastAsia" w:ascii="宋体" w:hAnsi="宋体" w:cs="宋体"/>
          <w:color w:val="auto"/>
          <w:sz w:val="24"/>
          <w:szCs w:val="24"/>
          <w:highlight w:val="none"/>
        </w:rPr>
        <w:t xml:space="preserve">投标人之间事先约定由某一特定投标人中标、成交；</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30.5.6</w:t>
      </w:r>
      <w:r>
        <w:rPr>
          <w:rFonts w:hint="eastAsia" w:ascii="宋体" w:hAnsi="宋体" w:cs="宋体"/>
          <w:color w:val="auto"/>
          <w:sz w:val="24"/>
          <w:szCs w:val="24"/>
          <w:highlight w:val="none"/>
        </w:rPr>
        <w:t xml:space="preserve">投标人之间商定部分投标人放弃参加政府采购活动或者放弃中标、成交；</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30.5.7</w:t>
      </w:r>
      <w:r>
        <w:rPr>
          <w:rFonts w:hint="eastAsia" w:ascii="宋体" w:hAnsi="宋体" w:cs="宋体"/>
          <w:color w:val="auto"/>
          <w:sz w:val="24"/>
          <w:szCs w:val="24"/>
          <w:highlight w:val="none"/>
        </w:rPr>
        <w:t xml:space="preserve">投标人与采购人或者采购代理机构之间、投标人相互之间，为谋求特定投标人中标、成交或者排斥其他投标人的其他串通行为。</w:t>
      </w:r>
      <w:r/>
    </w:p>
    <w:p>
      <w:pPr>
        <w:pStyle w:val="790"/>
        <w:numPr>
          <w:ilvl w:val="2"/>
          <w:numId w:val="0"/>
        </w:numPr>
        <w:ind w:firstLine="480"/>
        <w:jc w:val="left"/>
        <w:spacing w:before="0" w:after="0" w:line="480" w:lineRule="exact"/>
        <w:tabs>
          <w:tab w:val="left" w:pos="720" w:leader="none"/>
          <w:tab w:val="left" w:pos="794"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31、质疑处理</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31.1参加投标人认为采购文件、采购过程和采购结果使自己的权益受到损害的，可以在知道或应知其权益受到损害之日起七个工作日内，以书面形式向采购代理机构或采购人提出质疑。上述应知其权益受到损害之日，是指：</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31.1.1</w:t>
      </w:r>
      <w:r>
        <w:rPr>
          <w:rFonts w:hint="eastAsia" w:ascii="宋体" w:hAnsi="宋体" w:cs="宋体"/>
          <w:color w:val="auto"/>
          <w:sz w:val="24"/>
          <w:szCs w:val="24"/>
          <w:highlight w:val="none"/>
        </w:rPr>
        <w:t xml:space="preserve">对可以质疑的采购文件提出质疑的，为发出采购公告之日起至采购文件公告期限届满之日；</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31.1.2</w:t>
      </w:r>
      <w:r>
        <w:rPr>
          <w:rFonts w:hint="eastAsia" w:ascii="宋体" w:hAnsi="宋体" w:cs="宋体"/>
          <w:color w:val="auto"/>
          <w:sz w:val="24"/>
          <w:szCs w:val="24"/>
          <w:highlight w:val="none"/>
        </w:rPr>
        <w:t xml:space="preserve">对采购过程提出质疑的，为各采购程序环节结束之日；</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31.1.3</w:t>
      </w:r>
      <w:r>
        <w:rPr>
          <w:rFonts w:hint="eastAsia" w:ascii="宋体" w:hAnsi="宋体" w:cs="宋体"/>
          <w:color w:val="auto"/>
          <w:sz w:val="24"/>
          <w:szCs w:val="24"/>
          <w:highlight w:val="none"/>
        </w:rPr>
        <w:t xml:space="preserve">对中标或者成交结果提出质疑的，为中标或者成交结果公告期限届满之日。</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31.2质疑必须按《政府采购</w:t>
      </w:r>
      <w:r>
        <w:rPr>
          <w:rFonts w:hint="eastAsia" w:ascii="宋体" w:hAnsi="宋体" w:cs="宋体"/>
          <w:color w:val="auto"/>
          <w:sz w:val="24"/>
          <w:szCs w:val="24"/>
          <w:highlight w:val="none"/>
        </w:rPr>
        <w:t xml:space="preserve">法》、《政府采购法实施条例》、中华人民共和国财政部令第94号令《政府采购质疑和投诉办法》的相关规定提交，未按上述要求提交的质疑函（含传真、电子邮件等）采购代理机构有权要求质疑供应商按规定予以修正。</w:t>
      </w:r>
      <w:r/>
    </w:p>
    <w:p>
      <w:pPr>
        <w:ind w:firstLine="468"/>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31.3未参加投标活动的投标人或在投标活动中自身权益未受到损害的投标人所提出的质疑不予受理。</w:t>
      </w:r>
      <w:r/>
    </w:p>
    <w:p>
      <w:pPr>
        <w:ind w:firstLine="468"/>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31.4提出质疑应当提交质疑函和必要的证明材料。质疑函应当包括下列内容：</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（一）投标人的姓名或者名称、地址、邮编、联系人及联系电话；</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（二）质疑项目的名称、编号；</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（三）具体、明确的质疑事项和与质疑事项相关的请求；</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（四）事实依据；</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（五）必要的法律依据；</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（六）提出质疑的日期。</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投标人为自然人的，应当由本人签字；投标人为法人或者其他组织的，应当由法定代表人、主要负责人，或者其授权代表签字或者盖章，并加盖公章。</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质疑人委托代理质疑的，应当向采购代理机构提交授权委托书，并载明委托代理的具体权限和事项。</w:t>
      </w:r>
      <w:r/>
    </w:p>
    <w:p>
      <w:pPr>
        <w:ind w:firstLine="468"/>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31.5采购代理机构收到质疑函后，将对质疑的形式和内容进行审查，如质疑函内容、格式不符合规定，采购代理机构可以告知质疑人进行必要的修改和补正。</w:t>
      </w:r>
      <w:r/>
    </w:p>
    <w:p>
      <w:pPr>
        <w:ind w:firstLine="468"/>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31.6质疑人应当在法定质疑期限内进行补正并重新提交质疑函。</w:t>
      </w:r>
      <w:r/>
    </w:p>
    <w:p>
      <w:pPr>
        <w:ind w:firstLine="468"/>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31.7对于内容、格式符合规定的质疑函，采购代理机构应当在收到投标人的书面质疑后七个工作日内作出答复，并告知质疑供应商具有投诉的权利。质疑答复的内容不得涉及评审情况与所获知的供应商的商业秘密。</w:t>
      </w:r>
      <w:r/>
    </w:p>
    <w:p>
      <w:pPr>
        <w:ind w:firstLine="468"/>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31.8投标人提出书面质疑必须依据事实和法律依据，不得捏造事实进行恶意或虚假质疑。</w:t>
      </w:r>
      <w:r/>
    </w:p>
    <w:p>
      <w:pPr>
        <w:pStyle w:val="790"/>
        <w:ind w:firstLine="482"/>
        <w:jc w:val="left"/>
        <w:spacing w:before="0" w:after="0" w:line="480" w:lineRule="exact"/>
        <w:tabs>
          <w:tab w:val="left" w:pos="720" w:leader="none"/>
          <w:tab w:val="left" w:pos="794"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32、中标通知书</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32.l 中标结果确定后，采购代理机构将向中标人发出中标通知书。</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32.2 中标人收到中标通知书后，须立即以书面形式回复采购代理机构，确认中标通知书已收到。若无书面回复，则公告后视同中标人已经知悉并同意接受。</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32.3中标通知书将是合同的一个组成部分。对采购人和中标人均具有法律效力。中标通知书发出后，采购人改变中标结果的，或者中标人放弃中标项目的，应当依法承担法律责任。</w:t>
      </w:r>
      <w:r/>
    </w:p>
    <w:p>
      <w:pPr>
        <w:pStyle w:val="789"/>
        <w:numPr>
          <w:ilvl w:val="0"/>
          <w:numId w:val="0"/>
        </w:numPr>
        <w:jc w:val="left"/>
        <w:spacing w:before="0" w:after="0" w:line="480" w:lineRule="exact"/>
        <w:tabs>
          <w:tab w:val="center" w:pos="4153" w:leader="none"/>
        </w:tabs>
        <w:rPr>
          <w:rFonts w:ascii="宋体" w:hAnsi="宋体" w:eastAsia="宋体" w:cs="宋体"/>
          <w:color w:val="auto"/>
          <w:sz w:val="28"/>
          <w:szCs w:val="28"/>
          <w:highlight w:val="none"/>
        </w:rPr>
      </w:pPr>
      <w:r/>
      <w:bookmarkStart w:id="22" w:name="_Toc4017"/>
      <w:r>
        <w:rPr>
          <w:rFonts w:hint="eastAsia" w:ascii="宋体" w:hAnsi="宋体" w:eastAsia="宋体" w:cs="宋体"/>
          <w:color w:val="auto"/>
          <w:sz w:val="28"/>
          <w:szCs w:val="28"/>
          <w:highlight w:val="none"/>
        </w:rPr>
        <w:t xml:space="preserve">七、授予合同</w:t>
      </w:r>
      <w:bookmarkEnd w:id="22"/>
      <w:r>
        <w:rPr>
          <w:rFonts w:hint="eastAsia" w:ascii="宋体" w:hAnsi="宋体" w:eastAsia="宋体" w:cs="宋体"/>
          <w:color w:val="auto"/>
          <w:sz w:val="28"/>
          <w:szCs w:val="28"/>
          <w:highlight w:val="none"/>
        </w:rPr>
        <w:tab/>
      </w:r>
      <w:r/>
    </w:p>
    <w:p>
      <w:pPr>
        <w:pStyle w:val="790"/>
        <w:ind w:firstLine="482"/>
        <w:jc w:val="left"/>
        <w:spacing w:before="0" w:after="0" w:line="480" w:lineRule="exact"/>
        <w:tabs>
          <w:tab w:val="left" w:pos="720" w:leader="none"/>
          <w:tab w:val="left" w:pos="794"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33、签订合同</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33.l中标人应按中标通知书规定的时间、地点,按照招标文件确定的事项与采购人签订政府采购合同，且不得迟于中标通知书发出之日起三十日内，由此给采购人造成损失的，中标人还应承担赔偿责任。</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33.2招标文件、中标人的投标文件及招标过程中有关澄清、承诺文件均应作为合同附件。</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33.3签订合同后，</w:t>
      </w:r>
      <w:r>
        <w:rPr>
          <w:rFonts w:hint="eastAsia" w:ascii="宋体" w:hAnsi="宋体" w:cs="宋体"/>
          <w:b/>
          <w:bCs/>
          <w:i/>
          <w:iCs/>
          <w:color w:val="auto"/>
          <w:sz w:val="24"/>
          <w:szCs w:val="24"/>
          <w:highlight w:val="none"/>
          <w:u w:val="single"/>
        </w:rPr>
        <w:t xml:space="preserve">中标人不得将货物及其他相关服务进行转包</w:t>
      </w:r>
      <w:r>
        <w:rPr>
          <w:rFonts w:hint="eastAsia" w:ascii="宋体" w:hAnsi="宋体" w:cs="宋体"/>
          <w:b/>
          <w:bCs/>
          <w:color w:val="auto"/>
          <w:sz w:val="24"/>
          <w:szCs w:val="24"/>
          <w:highlight w:val="none"/>
        </w:rPr>
        <w:t xml:space="preserve">。</w:t>
      </w:r>
      <w:r>
        <w:rPr>
          <w:rFonts w:hint="eastAsia" w:ascii="宋体" w:hAnsi="宋体" w:cs="宋体"/>
          <w:color w:val="auto"/>
          <w:sz w:val="24"/>
          <w:szCs w:val="24"/>
          <w:highlight w:val="none"/>
        </w:rPr>
        <w:t xml:space="preserve">未经采购人同意，中标人也不得采用分包的形式履行合同，否则采购人有权终止合同。转包或分包造成采购人损失的，中标人应承担相应赔偿责任。</w:t>
      </w:r>
      <w:r/>
    </w:p>
    <w:p>
      <w:pPr>
        <w:pStyle w:val="790"/>
        <w:ind w:firstLine="482"/>
        <w:jc w:val="left"/>
        <w:spacing w:before="0" w:after="0" w:line="480" w:lineRule="exact"/>
        <w:tabs>
          <w:tab w:val="left" w:pos="720" w:leader="none"/>
          <w:tab w:val="left" w:pos="794"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34、货物和服务的追加、减少和添购。</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34.1政府采购合同履行中，采购人需追加与合同标的相同的货物和服务的，在不改变合同其他条款的前提下，可以与中标人协商签订补充合同，但所有补充合同的采购金额不超过原合同金额10%。</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34.2采购结束后，采购人若由于各种客观原因，必须对采购项目所牵涉的货物和服务进行适当的减少时，在双方协商一致的前提下，可以按照招标采购时的价格水平做相应的调减，并据此签订补充合同。</w:t>
      </w:r>
      <w:r/>
    </w:p>
    <w:p>
      <w:pPr>
        <w:pStyle w:val="790"/>
        <w:ind w:firstLine="482"/>
        <w:jc w:val="left"/>
        <w:spacing w:before="0" w:after="0" w:line="480" w:lineRule="exact"/>
        <w:tabs>
          <w:tab w:val="left" w:pos="720" w:leader="none"/>
          <w:tab w:val="left" w:pos="794"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35、履约保证金</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35.1 由采购人根据合同收取。</w:t>
      </w:r>
      <w:r>
        <w:rPr>
          <w:rFonts w:hint="eastAsia" w:ascii="宋体" w:hAnsi="宋体" w:cs="宋体"/>
          <w:color w:val="auto"/>
          <w:sz w:val="24"/>
          <w:szCs w:val="24"/>
          <w:highlight w:val="none"/>
        </w:rPr>
        <w:br w:type="page" w:clear="all"/>
      </w:r>
      <w:bookmarkStart w:id="23" w:name="_Toc4682"/>
      <w:r/>
      <w:bookmarkStart w:id="24" w:name="_Toc22618"/>
      <w:r/>
      <w:bookmarkStart w:id="25" w:name="_Toc27221"/>
      <w:r/>
      <w:bookmarkStart w:id="26" w:name="_Toc8846"/>
      <w:r/>
      <w:bookmarkStart w:id="27" w:name="_Toc15865"/>
      <w:r/>
      <w:bookmarkEnd w:id="23"/>
      <w:r/>
    </w:p>
    <w:p>
      <w:pPr>
        <w:pStyle w:val="829"/>
        <w:spacing w:line="360" w:lineRule="auto"/>
        <w:rPr>
          <w:rFonts w:ascii="宋体" w:hAnsi="宋体" w:eastAsia="宋体" w:cs="宋体"/>
          <w:color w:val="auto"/>
          <w:sz w:val="52"/>
          <w:szCs w:val="52"/>
          <w:highlight w:val="none"/>
        </w:rPr>
      </w:pPr>
      <w:r/>
      <w:bookmarkStart w:id="28" w:name="_Toc26496"/>
      <w:r/>
      <w:bookmarkStart w:id="29" w:name="_Toc21312"/>
      <w:r/>
      <w:bookmarkStart w:id="30" w:name="_Toc32266"/>
      <w:r/>
      <w:bookmarkStart w:id="31" w:name="_Toc13526"/>
      <w:r/>
      <w:bookmarkStart w:id="32" w:name="_Toc12506"/>
      <w:r>
        <w:rPr>
          <w:rFonts w:hint="eastAsia" w:ascii="宋体" w:hAnsi="宋体" w:eastAsia="宋体" w:cs="宋体"/>
          <w:color w:val="auto"/>
          <w:highlight w:val="none"/>
        </w:rPr>
        <w:t xml:space="preserve">第三章  合同条款及格式</w:t>
      </w:r>
      <w:bookmarkEnd w:id="28"/>
      <w:r/>
      <w:r/>
    </w:p>
    <w:p>
      <w:pPr>
        <w:ind w:firstLine="420"/>
        <w:spacing w:line="360" w:lineRule="auto"/>
        <w:rPr>
          <w:rFonts w:ascii="宋体" w:hAnsi="宋体" w:cs="宋体"/>
          <w:bCs/>
          <w:color w:val="auto"/>
          <w:sz w:val="24"/>
          <w:highlight w:val="none"/>
        </w:rPr>
      </w:pPr>
      <w:r>
        <w:rPr>
          <w:rFonts w:hint="eastAsia" w:ascii="宋体" w:hAnsi="宋体" w:cs="宋体"/>
          <w:bCs/>
          <w:color w:val="auto"/>
          <w:highlight w:val="none"/>
        </w:rPr>
        <w:t xml:space="preserve">以下为中标（成交）后签订本项目合同的通用条款，中标（成交）供应商不得提出实质性的修改，关于专用条款将由采购人与中标（成交）供应商结合本项目具体情况协商后签订。</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甲方：</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乙方：</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根据《中华人民共和国政府采购法》、《中华人民共和国民法典》等法律法规的规定，甲乙双方按照招标结果签订本合同。</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第一条 合同标的 </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乙方根据甲方需求提供下列服务：       （详见乙方投标文件）。</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第二条 合同总价款 </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本合同项下人民币总价款为___________（大写）人民币。（￥       ）</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本合同总价款是完成本项目所发生的所有含税费用、支付给员工的工资和国家强制缴纳的各种社会保障资金，以及供应商认为需要的其他费用等。</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本合同执行期间合同总价款不变。</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第三条 组成本合同的有关文件 </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下列关于           （项目编号）的招标文件或与本次采购活动方式相适应的文件及有关附件是本合同不可分割的组成部分，与本合同具有同等法律效力，这些文件包括但不限于：</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（1）本项目招标文件、乙方提供的投标文件和报价表；</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（2）技术（服务）规格响应表； </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（3）投标承诺/服务承诺；</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（4）中标通知书；</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（5）甲乙双方商定的其他文件等。</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第四条 权利保证</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乙方应保证甲方在使用该服务或其任何一部分时不受第三方提出侵犯其专利权、版权、商标权或其他权利的起诉。一旦出现侵权，乙方应承担全部责任。</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第五条 质量保证</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乙方所提供的服务的技术规格应与招标文件规定的技术规格及所附的“技术条款</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要求</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偏离表”相一致；若技术性能无特殊说明，则按国家有关部门最新颁布的标准及规范为准。如合同实际履行中，国家法律法规、相应的标准规范等作出更严格的限制，乙方应根据变更后的对应要求提供检测服务，如国家法律法规、相应的标准规范作出更加宽松的变化，甲方有权利要求乙方按照本合同约定时的相关标准要求乙方提供服务。</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第六条 服务期限和验收标准</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w:t>
      </w:r>
      <w:r>
        <w:rPr>
          <w:rFonts w:hint="eastAsia" w:ascii="宋体" w:hAnsi="宋体" w:cs="宋体"/>
          <w:bCs/>
          <w:color w:val="ff0000"/>
          <w:sz w:val="24"/>
          <w:szCs w:val="24"/>
          <w:highlight w:val="none"/>
        </w:rPr>
        <w:t xml:space="preserve">服务期限：</w:t>
      </w:r>
      <w:r>
        <w:rPr>
          <w:rFonts w:hint="eastAsia" w:ascii="宋体" w:hAnsi="宋体" w:cs="微软雅黑"/>
          <w:bCs/>
          <w:sz w:val="24"/>
          <w:szCs w:val="24"/>
        </w:rPr>
        <w:t xml:space="preserve">自合同签订之日起至</w:t>
      </w:r>
      <w:r>
        <w:rPr>
          <w:rFonts w:hint="eastAsia" w:ascii="宋体" w:hAnsi="宋体" w:cs="微软雅黑"/>
          <w:bCs/>
          <w:color w:val="ff0000"/>
          <w:sz w:val="24"/>
          <w:szCs w:val="24"/>
        </w:rPr>
        <w:t xml:space="preserve">2025年12月</w:t>
      </w:r>
      <w:r>
        <w:rPr>
          <w:rFonts w:hint="eastAsia" w:ascii="宋体" w:hAnsi="宋体" w:cs="微软雅黑"/>
          <w:bCs/>
          <w:color w:val="ff0000"/>
          <w:sz w:val="24"/>
          <w:szCs w:val="24"/>
          <w:lang w:val="en-US" w:eastAsia="zh-CN"/>
        </w:rPr>
        <w:t xml:space="preserve">15日</w:t>
      </w:r>
      <w:r>
        <w:rPr>
          <w:rFonts w:hint="eastAsia" w:ascii="宋体" w:hAnsi="宋体" w:cs="宋体"/>
          <w:bCs/>
          <w:color w:val="ff0000"/>
          <w:sz w:val="24"/>
          <w:szCs w:val="24"/>
          <w:highlight w:val="none"/>
        </w:rPr>
        <w:t xml:space="preserve">。</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2、验收标准：按行业通行标准和乙方响应文件的承诺（详见合同附件载明的标准，并不低于国家相关标准）。</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第七条 履约保证金</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按照招标文件有关规定执行。</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第八条 合同款支付</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1、本合同项下所有款项均以人民币支付。</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2、本合同项下的采购资金由甲方自行支付，乙方向甲方开具发票。</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w:t>
      </w:r>
      <w:bookmarkStart w:id="33" w:name="_Hlk16758949"/>
      <w:r>
        <w:rPr>
          <w:rFonts w:hint="eastAsia" w:ascii="宋体" w:hAnsi="宋体" w:cs="宋体"/>
          <w:bCs/>
          <w:color w:val="auto"/>
          <w:sz w:val="24"/>
          <w:szCs w:val="24"/>
          <w:highlight w:val="none"/>
        </w:rPr>
        <w:t xml:space="preserve">付款方式及条件：详见招标文件。</w:t>
      </w:r>
      <w:bookmarkEnd w:id="33"/>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第九条 解除合同情形</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中标的承检机构有下列情形之一的，甲方有权终止、解除合同，收回按照合同支付的抽样检验费用，乙方还须赔偿甲方因此遭受的损失：</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1、调换样品、伪造检验数据或者出具虚假检验报告的; </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2、利用抽样检验工作之便牟取不正当利益的; </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3、违反规定事先通知被抽检食品生产经营者的; </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4、擅自发布食品安全抽样检验信息的; </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5、未按照规定的时限和程序报告不合格检验结论，造成严重后果的; </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6、超资质范围出具检验报告的；</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7、有其他违法违规行为的。</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第十条 违约责任</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１、甲方未按合同约定拒收服务、拒付服务款的，由甲方向乙方偿付合同总价的 5%违约金。</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２、甲方未按合同规定的期限向乙方支付服务款的，每逾期 1 天甲方向乙方支付欠款总额的5‰违约金，但累计金额不超过欠款总额的 5% 。</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３、如乙方不能按合同约定交付、完成服务，</w:t>
      </w:r>
      <w:r>
        <w:rPr>
          <w:rFonts w:hint="eastAsia" w:ascii="宋体" w:hAnsi="宋体" w:cs="宋体"/>
          <w:bCs/>
          <w:color w:val="ff0000"/>
          <w:sz w:val="24"/>
          <w:szCs w:val="24"/>
          <w:highlight w:val="none"/>
        </w:rPr>
        <w:t xml:space="preserve">甲方有权扣留全部履约保证金</w:t>
      </w:r>
      <w:r>
        <w:rPr>
          <w:rFonts w:hint="eastAsia" w:ascii="宋体" w:hAnsi="宋体" w:cs="宋体"/>
          <w:bCs/>
          <w:color w:val="auto"/>
          <w:sz w:val="24"/>
          <w:szCs w:val="24"/>
          <w:highlight w:val="none"/>
        </w:rPr>
        <w:t xml:space="preserve">；</w:t>
      </w:r>
      <w:r>
        <w:rPr>
          <w:rFonts w:hint="eastAsia" w:ascii="宋体" w:hAnsi="宋体" w:cs="宋体"/>
          <w:bCs/>
          <w:color w:val="ff0000"/>
          <w:sz w:val="24"/>
          <w:szCs w:val="24"/>
          <w:highlight w:val="none"/>
        </w:rPr>
        <w:t xml:space="preserve">同时</w:t>
      </w:r>
      <w:r>
        <w:rPr>
          <w:rFonts w:hint="eastAsia" w:ascii="宋体" w:hAnsi="宋体" w:cs="宋体"/>
          <w:bCs/>
          <w:color w:val="auto"/>
          <w:sz w:val="24"/>
          <w:szCs w:val="24"/>
          <w:highlight w:val="none"/>
        </w:rPr>
        <w:t xml:space="preserve">乙方应向甲方支付合同总价 5%的违约金。</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４、乙方逾期交付的，每逾期 1 天，乙方向甲方支付合同总额的 5‰的违约金。如乙方逾期交付达 10 天，甲方有权解除合同，解除合同的通知自到达乙方时生效，乙方向甲方支付合同总额的30%违约金。因此造成甲方损失的，乙方承担赔偿责任。</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５、乙方所交付的服务不符合合同规定的，甲方有权拒收。甲方拒收的，乙方应向甲方支付合同总款 5%的违约金。如甲方未拒收的，招标代理机构发现后将向有关部门反映，并责成乙方按照采购结果提供服务，同时视情给予不退还部分或全部履约保证金处理。</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６、在乙方承诺的或国家规定的质量保证期内（取两者中最长的期限），如经乙方两次整改仍不能达到合同约定的质量标准，乙方应退回全部合同价款，并按第 3 款处理，同时，乙方还须赔偿甲方因此遭受的 损失。</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7、乙方未按本合同的规定和“服务承诺”提供伴随服务/售后服务的，应按合同总价款的5 %向甲方承担违约责任。</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8、乙方在承担上述 4-7款一项或多项违约责任后，仍应继续履行合同规定的义务（甲方解除合同的除外）。甲方未能及时追究乙方的任何一项违约责任并不表明甲方放弃追究乙方该项或其他违约责任。</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9、</w:t>
      </w:r>
      <w:bookmarkStart w:id="34" w:name="_Hlk103783921"/>
      <w:r>
        <w:rPr>
          <w:rFonts w:hint="eastAsia" w:ascii="宋体" w:hAnsi="宋体" w:cs="宋体"/>
          <w:bCs/>
          <w:color w:val="auto"/>
          <w:sz w:val="24"/>
          <w:szCs w:val="24"/>
          <w:highlight w:val="none"/>
        </w:rPr>
        <w:t xml:space="preserve">乙方</w:t>
      </w:r>
      <w:bookmarkEnd w:id="34"/>
      <w:r>
        <w:rPr>
          <w:rFonts w:hint="eastAsia" w:ascii="宋体" w:hAnsi="宋体" w:cs="宋体"/>
          <w:bCs/>
          <w:color w:val="auto"/>
          <w:sz w:val="24"/>
          <w:szCs w:val="24"/>
          <w:highlight w:val="none"/>
        </w:rPr>
        <w:t xml:space="preserve">投标属虚假承诺，或经权威部门监测提供的服务不能满足招标文件要求，或是由于乙方的过错造成合同无法继续履行的，乙方履约保证金不予退还外，还应向甲方支付不少于合同总价 30%赔偿金。</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第十一条 合同的变更和终止</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1、除《政府采购法》第 50 条第二款规定的情形外，本合同一经签订，甲乙双方不得擅自变更、中止或终止合同。</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2、除发生法律规定的不能预见、不能避免并不能克服的客观情况外，甲乙双方不得放弃或拒绝履行合同。乙方放弃或拒绝履行合同，保证金不予退还。</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第十二条 合同的转让</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乙方不得擅自部分或全部转让其应履行的合同义务。因不可抗力事件影响，导致中标供应商暂时无法履约时，采购人仅对因不可抗力事件影响期间中标供应商应承担的检测任务批次同意分包给本项目其他中标供应商，并从该供应商应承担的检测任务批次数量中予以核减，履约期间不再补齐，相关费用也由采购人与承接分包检测任务的其他中标供应商直接结算。合同履约期间不可抗力事件影响消失后采购人继续正常分配检测任务。</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第十三条 争议的解决</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1、因服务的质量问题发生争议的，应当邀请国家认可的质量检测机构对服务质量进行鉴定。符合标准的，鉴定费由甲方承担；不符合质量标准的，鉴定费由乙方承担。</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2、因履行本合同引起的或与本合同有关的争议，甲、乙双方应首先通过友好协商解决，如果协商不能解决争议，则采取以下第    种方式解决争议：</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（1）向     所在地有管辖权的人民法院提起诉讼；</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（2）向南京仲裁委员会按其仲裁规则申请仲裁。</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如没有约定，默认采取第 2 种方式解决争议。</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3、在仲裁期间，本合同应继续履行。</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第十四条 诚实信用</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乙方应诚实信用，严格按照招标文件要求和投标承诺履行合同，不向甲方进行商业贿赂或者提供不正当利益。</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第十五条 合同生效及其他</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1、本合同自签订之日起生效。</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2、本合同正本一式叁份，具有同等法律效力，甲方、乙方各执壹份，采购代理机构执壹份。</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3、本合同应按照中华人民共和国的现行法律进行解释。</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甲方（采购人）：（盖章）                     乙方（供应商）：（盖章）</w:t>
      </w:r>
      <w:r/>
    </w:p>
    <w:p>
      <w:pPr>
        <w:ind w:firstLine="480"/>
        <w:spacing w:line="50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法定代表人或授权代表：                   </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法定代表人或授权代表：</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电 话：                                      电 话：</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开户银行：                                   开户银行：</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账 号：                                      账 号：</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日 期：                                      日 期：</w:t>
      </w:r>
      <w:r/>
    </w:p>
    <w:p>
      <w:pPr>
        <w:ind w:firstLine="480"/>
        <w:spacing w:line="500" w:lineRule="exact"/>
        <w:rPr>
          <w:rFonts w:ascii="宋体" w:hAnsi="宋体" w:cs="宋体"/>
          <w:bCs/>
          <w:color w:val="auto"/>
          <w:sz w:val="24"/>
          <w:szCs w:val="24"/>
          <w:highlight w:val="none"/>
        </w:rPr>
      </w:pPr>
      <w:r>
        <w:rPr>
          <w:rFonts w:ascii="宋体" w:hAnsi="宋体" w:cs="宋体"/>
          <w:bCs/>
          <w:color w:val="auto"/>
          <w:sz w:val="24"/>
          <w:szCs w:val="24"/>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sectPr>
          <w:footerReference w:type="default" r:id="rId16"/>
          <w:footnotePr/>
          <w:endnotePr/>
          <w:type w:val="nextPage"/>
          <w:pgSz w:w="11906" w:h="16838" w:orient="portrait"/>
          <w:pgMar w:top="1440" w:right="1080" w:bottom="1440" w:left="1080" w:header="851" w:footer="992" w:gutter="0"/>
          <w:pgNumType w:start="1"/>
          <w:cols w:num="1" w:sep="0" w:space="720" w:equalWidth="1"/>
          <w:docGrid w:linePitch="360"/>
        </w:sectPr>
      </w:pPr>
      <w:r>
        <w:rPr>
          <w:color w:val="auto"/>
          <w:highlight w:val="none"/>
        </w:rPr>
      </w:r>
      <w:r/>
    </w:p>
    <w:p>
      <w:pPr>
        <w:pStyle w:val="788"/>
        <w:numPr>
          <w:ilvl w:val="0"/>
          <w:numId w:val="0"/>
        </w:numPr>
        <w:spacing w:after="312"/>
        <w:rPr>
          <w:rFonts w:ascii="宋体" w:hAnsi="宋体" w:eastAsia="宋体" w:cs="宋体"/>
          <w:b/>
          <w:bCs/>
          <w:color w:val="auto"/>
          <w:sz w:val="44"/>
          <w:szCs w:val="44"/>
          <w:highlight w:val="none"/>
        </w:rPr>
      </w:pPr>
      <w:r/>
      <w:bookmarkStart w:id="35" w:name="_Toc20953"/>
      <w:r>
        <w:rPr>
          <w:rFonts w:hint="eastAsia" w:ascii="宋体" w:hAnsi="宋体" w:eastAsia="宋体" w:cs="宋体"/>
          <w:b/>
          <w:bCs/>
          <w:color w:val="auto"/>
          <w:sz w:val="44"/>
          <w:szCs w:val="44"/>
          <w:highlight w:val="none"/>
        </w:rPr>
        <w:t xml:space="preserve">第四章  项目需求</w:t>
      </w:r>
      <w:bookmarkEnd w:id="24"/>
      <w:r/>
      <w:bookmarkEnd w:id="25"/>
      <w:r/>
      <w:bookmarkEnd w:id="26"/>
      <w:r/>
      <w:bookmarkEnd w:id="27"/>
      <w:r/>
      <w:bookmarkEnd w:id="29"/>
      <w:r/>
      <w:bookmarkEnd w:id="30"/>
      <w:r/>
      <w:bookmarkEnd w:id="31"/>
      <w:r/>
      <w:bookmarkEnd w:id="32"/>
      <w:r/>
      <w:bookmarkEnd w:id="35"/>
      <w:r/>
      <w:r/>
    </w:p>
    <w:p>
      <w:pPr>
        <w:ind w:firstLine="480"/>
        <w:spacing w:line="360" w:lineRule="auto"/>
        <w:rPr>
          <w:rFonts w:hint="eastAsia" w:ascii="宋体" w:hAnsi="宋体" w:cs="宋体"/>
          <w:color w:val="auto"/>
          <w:sz w:val="24"/>
          <w:szCs w:val="24"/>
          <w:highlight w:val="none"/>
          <w:lang w:eastAsia="zh-CN"/>
        </w:rPr>
      </w:pPr>
      <w:r/>
      <w:bookmarkStart w:id="36" w:name="_Toc18248"/>
      <w:r/>
      <w:bookmarkStart w:id="37" w:name="_Toc18863"/>
      <w:r/>
      <w:bookmarkStart w:id="38" w:name="_Toc1959"/>
      <w:r/>
      <w:bookmarkStart w:id="39" w:name="_Toc427"/>
      <w:r>
        <w:rPr>
          <w:rFonts w:hint="eastAsia" w:ascii="宋体" w:hAnsi="宋体" w:cs="宋体"/>
          <w:color w:val="auto"/>
          <w:sz w:val="24"/>
          <w:szCs w:val="24"/>
          <w:highlight w:val="none"/>
        </w:rPr>
        <w:t xml:space="preserve">根据《国家林草局关于加强食用林产品质量安全监管工作的通知》（林科发〔2018〕129号）</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《国家林业和草原局办公室关于印发2026—2028年省级食用林产品质量安全监测工作计划的通知》（办科字〔202</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133</w:t>
      </w:r>
      <w:r>
        <w:rPr>
          <w:rFonts w:hint="eastAsia" w:ascii="宋体" w:hAnsi="宋体" w:cs="宋体"/>
          <w:color w:val="auto"/>
          <w:sz w:val="24"/>
          <w:szCs w:val="24"/>
          <w:highlight w:val="none"/>
        </w:rPr>
        <w:t xml:space="preserve">号）等要求</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省林业局</w:t>
      </w:r>
      <w:r>
        <w:rPr>
          <w:rFonts w:hint="eastAsia" w:ascii="宋体" w:hAnsi="宋体" w:cs="宋体"/>
          <w:color w:val="auto"/>
          <w:sz w:val="24"/>
          <w:szCs w:val="24"/>
          <w:highlight w:val="none"/>
          <w:lang w:eastAsia="zh-CN"/>
        </w:rPr>
        <w:t xml:space="preserve">拟</w:t>
      </w:r>
      <w:r>
        <w:rPr>
          <w:rFonts w:hint="eastAsia" w:ascii="宋体" w:hAnsi="宋体" w:cs="宋体"/>
          <w:color w:val="auto"/>
          <w:sz w:val="24"/>
          <w:szCs w:val="24"/>
          <w:highlight w:val="none"/>
        </w:rPr>
        <w:t xml:space="preserve">开展</w:t>
      </w:r>
      <w:r>
        <w:rPr>
          <w:rFonts w:hint="eastAsia" w:ascii="宋体" w:hAnsi="宋体" w:cs="宋体"/>
          <w:color w:val="auto"/>
          <w:sz w:val="24"/>
          <w:szCs w:val="24"/>
          <w:highlight w:val="none"/>
          <w:lang w:eastAsia="zh-CN"/>
        </w:rPr>
        <w:t xml:space="preserve">全省食用林产品质量安全监测</w:t>
      </w:r>
      <w:r>
        <w:rPr>
          <w:rFonts w:hint="eastAsia" w:ascii="宋体" w:hAnsi="宋体" w:cs="宋体"/>
          <w:color w:val="auto"/>
          <w:sz w:val="24"/>
          <w:szCs w:val="24"/>
          <w:highlight w:val="none"/>
        </w:rPr>
        <w:t xml:space="preserve">工作</w:t>
      </w:r>
      <w:r>
        <w:rPr>
          <w:rFonts w:hint="eastAsia" w:ascii="宋体" w:hAnsi="宋体" w:cs="宋体"/>
          <w:color w:val="auto"/>
          <w:sz w:val="24"/>
          <w:szCs w:val="24"/>
          <w:highlight w:val="none"/>
          <w:lang w:eastAsia="zh-CN"/>
        </w:rPr>
        <w:t xml:space="preserve">。</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监测对象主要为生产基地的食用林产品和土壤共1080批次，其中1000批次为生产基地的食用林产品和产地环境（土壤）检测，包括银杏（白果）116批次、板栗156 批次、核桃（含薄壳山核桃）367批次、竹笋130批次、蓝莓48批次，产地环境（土壤）183批次；80批次为林下种植的葛根、金银花、元胡等林源药材产品监测，包括葛根25批次、金银花45批次、元胡10批次</w:t>
      </w:r>
      <w:r>
        <w:rPr>
          <w:rFonts w:hint="eastAsia" w:ascii="宋体" w:hAnsi="宋体" w:cs="宋体"/>
          <w:color w:val="auto"/>
          <w:sz w:val="24"/>
          <w:szCs w:val="24"/>
          <w:highlight w:val="none"/>
        </w:rPr>
        <w:t xml:space="preserve">。</w:t>
      </w:r>
      <w:r/>
    </w:p>
    <w:p>
      <w:pPr>
        <w:ind w:firstLine="480"/>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分包一采购内容为</w:t>
      </w:r>
      <w:r>
        <w:rPr>
          <w:rFonts w:hint="eastAsia" w:ascii="宋体" w:hAnsi="宋体" w:cs="宋体"/>
          <w:color w:val="auto"/>
          <w:sz w:val="24"/>
          <w:szCs w:val="24"/>
          <w:highlight w:val="none"/>
        </w:rPr>
        <w:t xml:space="preserve">：银杏、板栗、竹笋与蓝莓质量安全及产地环境（土壤）监测共计564批次</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分包二采购内容为</w:t>
      </w:r>
      <w:r>
        <w:rPr>
          <w:rFonts w:hint="eastAsia" w:ascii="宋体" w:hAnsi="宋体" w:cs="宋体"/>
          <w:color w:val="auto"/>
          <w:sz w:val="24"/>
          <w:szCs w:val="24"/>
          <w:highlight w:val="none"/>
          <w:lang w:eastAsia="zh-CN"/>
        </w:rPr>
        <w:t xml:space="preserve">：核桃（含薄壳山核桃）质量安全及产地环境（土壤）监测及林源药材葛根、金银花、元胡产品监测共计516批次。</w:t>
      </w:r>
      <w:r/>
    </w:p>
    <w:p>
      <w:pPr>
        <w:ind w:firstLine="480"/>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具体服务内容如下：</w:t>
      </w:r>
      <w:r/>
    </w:p>
    <w:p>
      <w:pPr>
        <w:pStyle w:val="856"/>
        <w:numPr>
          <w:ilvl w:val="0"/>
          <w:numId w:val="0"/>
        </w:numPr>
        <w:spacing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一</w:t>
      </w: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监测品种</w:t>
      </w:r>
      <w:r/>
    </w:p>
    <w:p>
      <w:pPr>
        <w:ind w:firstLine="482"/>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分包一：全省食用林产品质量安全监测（分包一）：</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银杏</w:t>
      </w:r>
      <w:r>
        <w:rPr>
          <w:rFonts w:hint="eastAsia" w:ascii="宋体" w:hAnsi="宋体" w:cs="宋体"/>
          <w:color w:val="auto"/>
          <w:sz w:val="24"/>
          <w:szCs w:val="24"/>
          <w:highlight w:val="none"/>
          <w:lang w:val="en-US" w:eastAsia="zh-CN"/>
        </w:rPr>
        <w:t xml:space="preserve">116批次</w:t>
      </w:r>
      <w:r>
        <w:rPr>
          <w:rFonts w:hint="eastAsia" w:ascii="宋体" w:hAnsi="宋体" w:cs="宋体"/>
          <w:color w:val="auto"/>
          <w:sz w:val="24"/>
          <w:szCs w:val="24"/>
          <w:highlight w:val="none"/>
        </w:rPr>
        <w:t xml:space="preserve">、板栗</w:t>
      </w:r>
      <w:r>
        <w:rPr>
          <w:rFonts w:hint="eastAsia" w:ascii="宋体" w:hAnsi="宋体" w:cs="宋体"/>
          <w:color w:val="auto"/>
          <w:sz w:val="24"/>
          <w:szCs w:val="24"/>
          <w:highlight w:val="none"/>
          <w:lang w:val="en-US" w:eastAsia="zh-CN"/>
        </w:rPr>
        <w:t xml:space="preserve">156批次</w:t>
      </w:r>
      <w:r>
        <w:rPr>
          <w:rFonts w:hint="eastAsia" w:ascii="宋体" w:hAnsi="宋体" w:cs="宋体"/>
          <w:color w:val="auto"/>
          <w:sz w:val="24"/>
          <w:szCs w:val="24"/>
          <w:highlight w:val="none"/>
        </w:rPr>
        <w:t xml:space="preserve">、竹笋</w:t>
      </w:r>
      <w:r>
        <w:rPr>
          <w:rFonts w:hint="eastAsia" w:ascii="宋体" w:hAnsi="宋体" w:cs="宋体"/>
          <w:color w:val="auto"/>
          <w:sz w:val="24"/>
          <w:szCs w:val="24"/>
          <w:highlight w:val="none"/>
          <w:lang w:val="en-US" w:eastAsia="zh-CN"/>
        </w:rPr>
        <w:t xml:space="preserve">130批次</w:t>
      </w:r>
      <w:r>
        <w:rPr>
          <w:rFonts w:hint="eastAsia" w:ascii="宋体" w:hAnsi="宋体" w:cs="宋体"/>
          <w:color w:val="auto"/>
          <w:sz w:val="24"/>
          <w:szCs w:val="24"/>
          <w:highlight w:val="none"/>
        </w:rPr>
        <w:t xml:space="preserve">与蓝莓</w:t>
      </w:r>
      <w:r>
        <w:rPr>
          <w:rFonts w:hint="eastAsia" w:ascii="宋体" w:hAnsi="宋体" w:cs="宋体"/>
          <w:color w:val="auto"/>
          <w:sz w:val="24"/>
          <w:szCs w:val="24"/>
          <w:highlight w:val="none"/>
          <w:lang w:val="en-US" w:eastAsia="zh-CN"/>
        </w:rPr>
        <w:t xml:space="preserve">48批次</w:t>
      </w:r>
      <w:r>
        <w:rPr>
          <w:rFonts w:hint="eastAsia" w:ascii="宋体" w:hAnsi="宋体" w:cs="宋体"/>
          <w:color w:val="auto"/>
          <w:sz w:val="24"/>
          <w:szCs w:val="24"/>
          <w:highlight w:val="none"/>
        </w:rPr>
        <w:t xml:space="preserve">及产地环境（土壤）</w:t>
      </w:r>
      <w:r>
        <w:rPr>
          <w:rFonts w:hint="eastAsia" w:ascii="宋体" w:hAnsi="宋体" w:cs="宋体"/>
          <w:color w:val="auto"/>
          <w:sz w:val="24"/>
          <w:szCs w:val="24"/>
          <w:highlight w:val="none"/>
          <w:lang w:val="en-US" w:eastAsia="zh-CN"/>
        </w:rPr>
        <w:t xml:space="preserve">114批次。</w:t>
      </w:r>
      <w:r/>
    </w:p>
    <w:p>
      <w:pPr>
        <w:ind w:firstLine="482"/>
        <w:spacing w:line="360" w:lineRule="auto"/>
        <w:rPr>
          <w:rFonts w:hint="eastAsia" w:ascii="宋体" w:hAnsi="宋体" w:cs="宋体"/>
          <w:b/>
          <w:bCs/>
          <w:color w:val="auto"/>
          <w:sz w:val="24"/>
          <w:szCs w:val="24"/>
          <w:highlight w:val="none"/>
          <w:lang w:eastAsia="zh-CN"/>
        </w:rPr>
      </w:pPr>
      <w:r>
        <w:rPr>
          <w:rFonts w:hint="eastAsia" w:ascii="宋体" w:hAnsi="宋体" w:cs="宋体"/>
          <w:b/>
          <w:bCs/>
          <w:color w:val="auto"/>
          <w:sz w:val="24"/>
          <w:szCs w:val="24"/>
          <w:highlight w:val="none"/>
          <w:lang w:val="en-US" w:eastAsia="zh-CN"/>
        </w:rPr>
        <w:t xml:space="preserve">分包二：</w:t>
      </w:r>
      <w:r>
        <w:rPr>
          <w:rFonts w:hint="eastAsia" w:ascii="宋体" w:hAnsi="宋体" w:cs="宋体"/>
          <w:b/>
          <w:bCs/>
          <w:color w:val="auto"/>
          <w:sz w:val="24"/>
          <w:szCs w:val="24"/>
          <w:highlight w:val="none"/>
          <w:lang w:eastAsia="zh-CN"/>
        </w:rPr>
        <w:t xml:space="preserve">全省食用林产品质量安全监测（分包二）：</w:t>
      </w:r>
      <w:r/>
    </w:p>
    <w:p>
      <w:pPr>
        <w:ind w:firstLine="480"/>
        <w:spacing w:line="360" w:lineRule="auto"/>
        <w:rPr>
          <w:rFonts w:hint="default" w:ascii="宋体" w:hAnsi="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核桃（含薄壳山核桃）367批次及产地环境（土壤）</w:t>
      </w:r>
      <w:r>
        <w:rPr>
          <w:rFonts w:hint="eastAsia" w:ascii="宋体" w:hAnsi="宋体" w:cs="宋体"/>
          <w:color w:val="auto"/>
          <w:sz w:val="24"/>
          <w:szCs w:val="24"/>
          <w:highlight w:val="none"/>
          <w:lang w:val="en-US" w:eastAsia="zh-CN"/>
        </w:rPr>
        <w:t xml:space="preserve">69批次</w:t>
      </w:r>
      <w:r>
        <w:rPr>
          <w:rFonts w:hint="default" w:ascii="宋体" w:hAnsi="宋体" w:eastAsia="宋体" w:cs="宋体"/>
          <w:color w:val="auto"/>
          <w:sz w:val="24"/>
          <w:szCs w:val="24"/>
          <w:highlight w:val="none"/>
          <w:lang w:val="en-US" w:eastAsia="zh-CN"/>
        </w:rPr>
        <w:t xml:space="preserve">及林源药材葛根</w:t>
      </w:r>
      <w:r>
        <w:rPr>
          <w:rFonts w:hint="eastAsia" w:ascii="宋体" w:hAnsi="宋体" w:cs="宋体"/>
          <w:color w:val="auto"/>
          <w:sz w:val="24"/>
          <w:szCs w:val="24"/>
          <w:highlight w:val="none"/>
          <w:lang w:val="en-US" w:eastAsia="zh-CN"/>
        </w:rPr>
        <w:t xml:space="preserve">25批次</w:t>
      </w:r>
      <w:r>
        <w:rPr>
          <w:rFonts w:hint="default" w:ascii="宋体" w:hAnsi="宋体" w:eastAsia="宋体" w:cs="宋体"/>
          <w:color w:val="auto"/>
          <w:sz w:val="24"/>
          <w:szCs w:val="24"/>
          <w:highlight w:val="none"/>
          <w:lang w:val="en-US" w:eastAsia="zh-CN"/>
        </w:rPr>
        <w:t xml:space="preserve">、金银花</w:t>
      </w:r>
      <w:r>
        <w:rPr>
          <w:rFonts w:hint="eastAsia" w:ascii="宋体" w:hAnsi="宋体" w:cs="宋体"/>
          <w:color w:val="auto"/>
          <w:sz w:val="24"/>
          <w:szCs w:val="24"/>
          <w:highlight w:val="none"/>
          <w:lang w:val="en-US" w:eastAsia="zh-CN"/>
        </w:rPr>
        <w:t xml:space="preserve">45批次</w:t>
      </w:r>
      <w:r>
        <w:rPr>
          <w:rFonts w:hint="default" w:ascii="宋体" w:hAnsi="宋体" w:eastAsia="宋体" w:cs="宋体"/>
          <w:color w:val="auto"/>
          <w:sz w:val="24"/>
          <w:szCs w:val="24"/>
          <w:highlight w:val="none"/>
          <w:lang w:val="en-US" w:eastAsia="zh-CN"/>
        </w:rPr>
        <w:t xml:space="preserve">、元胡产品</w:t>
      </w:r>
      <w:r>
        <w:rPr>
          <w:rFonts w:hint="eastAsia" w:ascii="宋体" w:hAnsi="宋体" w:cs="宋体"/>
          <w:color w:val="auto"/>
          <w:sz w:val="24"/>
          <w:szCs w:val="24"/>
          <w:highlight w:val="none"/>
          <w:lang w:val="en-US" w:eastAsia="zh-CN"/>
        </w:rPr>
        <w:t xml:space="preserve">10批次</w:t>
      </w:r>
      <w:r>
        <w:rPr>
          <w:rFonts w:hint="default" w:ascii="宋体" w:hAnsi="宋体" w:eastAsia="宋体" w:cs="宋体"/>
          <w:color w:val="auto"/>
          <w:sz w:val="24"/>
          <w:szCs w:val="24"/>
          <w:highlight w:val="none"/>
          <w:lang w:val="en-US" w:eastAsia="zh-CN"/>
        </w:rPr>
        <w:t xml:space="preserve">。</w:t>
      </w:r>
      <w:r/>
    </w:p>
    <w:p>
      <w:pPr>
        <w:pStyle w:val="856"/>
        <w:numPr>
          <w:ilvl w:val="0"/>
          <w:numId w:val="0"/>
        </w:numPr>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二</w:t>
      </w: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监测区域</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监测</w:t>
      </w:r>
      <w:r>
        <w:rPr>
          <w:rFonts w:hint="default" w:ascii="宋体" w:hAnsi="宋体" w:cs="宋体"/>
          <w:color w:val="auto"/>
          <w:sz w:val="24"/>
          <w:szCs w:val="24"/>
          <w:highlight w:val="none"/>
          <w:lang w:eastAsia="zh-CN"/>
        </w:rPr>
        <w:t xml:space="preserve">区域</w:t>
      </w:r>
      <w:r>
        <w:rPr>
          <w:rFonts w:hint="eastAsia" w:ascii="宋体" w:hAnsi="宋体" w:cs="宋体"/>
          <w:color w:val="auto"/>
          <w:sz w:val="24"/>
          <w:szCs w:val="24"/>
          <w:highlight w:val="none"/>
          <w:lang w:val="en-US" w:eastAsia="zh-CN"/>
        </w:rPr>
        <w:t xml:space="preserve">为</w:t>
      </w:r>
      <w:r>
        <w:rPr>
          <w:rFonts w:hint="default" w:ascii="宋体" w:hAnsi="宋体" w:cs="宋体"/>
          <w:color w:val="auto"/>
          <w:sz w:val="24"/>
          <w:szCs w:val="24"/>
          <w:highlight w:val="none"/>
          <w:lang w:eastAsia="zh-CN"/>
        </w:rPr>
        <w:t xml:space="preserve">：</w:t>
      </w:r>
      <w:r>
        <w:rPr>
          <w:rFonts w:hint="default" w:ascii="宋体" w:hAnsi="宋体" w:cs="宋体"/>
          <w:color w:val="auto"/>
          <w:sz w:val="24"/>
          <w:szCs w:val="24"/>
          <w:highlight w:val="none"/>
        </w:rPr>
        <w:t xml:space="preserve">南京、无锡、徐州、常州、苏州、南通、连云港、淮安、盐城、扬州、镇江、泰州、宿迁13个设区市的食用林产品生产县（市、区）</w:t>
      </w:r>
      <w:r>
        <w:rPr>
          <w:rFonts w:hint="default" w:ascii="宋体" w:hAnsi="宋体" w:cs="宋体"/>
          <w:color w:val="auto"/>
          <w:sz w:val="24"/>
          <w:szCs w:val="24"/>
          <w:highlight w:val="none"/>
          <w:lang w:val="en-US" w:eastAsia="zh-CN"/>
        </w:rPr>
        <w:t xml:space="preserve">，各市、县（市、区）监测品种和批次详见附表。</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各设区市、县（市）应根据当地实际，在省级监测基础上实行联动监测，建立省、市、县三级协同分级抽检制度</w:t>
      </w:r>
      <w:r>
        <w:rPr>
          <w:rFonts w:hint="eastAsia" w:ascii="宋体" w:hAnsi="宋体" w:cs="宋体"/>
          <w:color w:val="auto"/>
          <w:sz w:val="24"/>
          <w:szCs w:val="24"/>
          <w:highlight w:val="none"/>
        </w:rPr>
        <w:t xml:space="preserve">。</w:t>
      </w:r>
      <w:r/>
    </w:p>
    <w:p>
      <w:pPr>
        <w:pStyle w:val="856"/>
        <w:numPr>
          <w:ilvl w:val="0"/>
          <w:numId w:val="0"/>
        </w:numPr>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三</w:t>
      </w: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抽样地点</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抽样地点为</w:t>
      </w:r>
      <w:r>
        <w:rPr>
          <w:rFonts w:hint="default" w:ascii="宋体" w:hAnsi="宋体" w:cs="宋体"/>
          <w:color w:val="auto"/>
          <w:sz w:val="24"/>
          <w:szCs w:val="24"/>
          <w:highlight w:val="none"/>
        </w:rPr>
        <w:t xml:space="preserve">食用林产品生产基地。由被</w:t>
      </w:r>
      <w:r>
        <w:rPr>
          <w:rFonts w:hint="default" w:ascii="宋体" w:hAnsi="宋体" w:cs="宋体"/>
          <w:color w:val="auto"/>
          <w:sz w:val="24"/>
          <w:szCs w:val="24"/>
          <w:highlight w:val="none"/>
          <w:lang w:eastAsia="zh-CN"/>
        </w:rPr>
        <w:t xml:space="preserve">监测</w:t>
      </w:r>
      <w:r>
        <w:rPr>
          <w:rFonts w:hint="default" w:ascii="宋体" w:hAnsi="宋体" w:cs="宋体"/>
          <w:color w:val="auto"/>
          <w:sz w:val="24"/>
          <w:szCs w:val="24"/>
          <w:highlight w:val="none"/>
        </w:rPr>
        <w:t xml:space="preserve">市、县（市、区）林业主管部门根据当地食用林产品生产具体情况，提供有代表性的生产基地名单，承担</w:t>
      </w:r>
      <w:r>
        <w:rPr>
          <w:rFonts w:hint="default" w:ascii="宋体" w:hAnsi="宋体" w:cs="宋体"/>
          <w:color w:val="auto"/>
          <w:sz w:val="24"/>
          <w:szCs w:val="24"/>
          <w:highlight w:val="none"/>
          <w:lang w:eastAsia="zh-CN"/>
        </w:rPr>
        <w:t xml:space="preserve">监测</w:t>
      </w:r>
      <w:r>
        <w:rPr>
          <w:rFonts w:hint="default" w:ascii="宋体" w:hAnsi="宋体" w:cs="宋体"/>
          <w:color w:val="auto"/>
          <w:sz w:val="24"/>
          <w:szCs w:val="24"/>
          <w:highlight w:val="none"/>
        </w:rPr>
        <w:t xml:space="preserve">的机构从中随机抽取。抽样地点应具有代表性，能反映当地被</w:t>
      </w:r>
      <w:r>
        <w:rPr>
          <w:rFonts w:hint="default" w:ascii="宋体" w:hAnsi="宋体" w:cs="宋体"/>
          <w:color w:val="auto"/>
          <w:sz w:val="24"/>
          <w:szCs w:val="24"/>
          <w:highlight w:val="none"/>
          <w:lang w:eastAsia="zh-CN"/>
        </w:rPr>
        <w:t xml:space="preserve">监测</w:t>
      </w:r>
      <w:r>
        <w:rPr>
          <w:rFonts w:hint="default" w:ascii="宋体" w:hAnsi="宋体" w:cs="宋体"/>
          <w:color w:val="auto"/>
          <w:sz w:val="24"/>
          <w:szCs w:val="24"/>
          <w:highlight w:val="none"/>
        </w:rPr>
        <w:t xml:space="preserve">食用林产品质量安全水平。</w:t>
      </w:r>
      <w:r/>
    </w:p>
    <w:p>
      <w:pPr>
        <w:pStyle w:val="856"/>
        <w:numPr>
          <w:ilvl w:val="0"/>
          <w:numId w:val="0"/>
        </w:numPr>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四</w:t>
      </w: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抽样时间</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根据食用林产品成熟状况及上市情况安排抽样。原则上4月抽检竹笋，5-6月抽检蓝莓，</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季度抽检板栗、核桃（含薄壳山核桃）、银杏（白果）</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4-5月</w:t>
      </w:r>
      <w:r>
        <w:rPr>
          <w:rFonts w:hint="eastAsia" w:ascii="宋体" w:hAnsi="宋体" w:cs="宋体"/>
          <w:color w:val="auto"/>
          <w:sz w:val="24"/>
          <w:szCs w:val="24"/>
          <w:highlight w:val="none"/>
        </w:rPr>
        <w:t xml:space="preserve">抽检</w:t>
      </w:r>
      <w:r>
        <w:rPr>
          <w:rFonts w:hint="eastAsia" w:ascii="宋体" w:hAnsi="宋体" w:cs="宋体"/>
          <w:color w:val="auto"/>
          <w:sz w:val="24"/>
          <w:szCs w:val="24"/>
          <w:highlight w:val="none"/>
          <w:lang w:eastAsia="zh-CN"/>
        </w:rPr>
        <w:t xml:space="preserve">元胡，</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7月</w:t>
      </w:r>
      <w:r>
        <w:rPr>
          <w:rFonts w:hint="eastAsia" w:ascii="宋体" w:hAnsi="宋体" w:cs="宋体"/>
          <w:color w:val="auto"/>
          <w:sz w:val="24"/>
          <w:szCs w:val="24"/>
          <w:highlight w:val="none"/>
        </w:rPr>
        <w:t xml:space="preserve">抽检</w:t>
      </w:r>
      <w:r>
        <w:rPr>
          <w:rFonts w:hint="eastAsia" w:ascii="宋体" w:hAnsi="宋体" w:cs="宋体"/>
          <w:color w:val="auto"/>
          <w:sz w:val="24"/>
          <w:szCs w:val="24"/>
          <w:highlight w:val="none"/>
          <w:lang w:eastAsia="zh-CN"/>
        </w:rPr>
        <w:t xml:space="preserve">金银花</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12月</w:t>
      </w:r>
      <w:r>
        <w:rPr>
          <w:rFonts w:hint="eastAsia" w:ascii="宋体" w:hAnsi="宋体" w:cs="宋体"/>
          <w:color w:val="auto"/>
          <w:sz w:val="24"/>
          <w:szCs w:val="24"/>
          <w:highlight w:val="none"/>
        </w:rPr>
        <w:t xml:space="preserve">抽检</w:t>
      </w:r>
      <w:r>
        <w:rPr>
          <w:rFonts w:hint="eastAsia" w:ascii="宋体" w:hAnsi="宋体" w:cs="宋体"/>
          <w:color w:val="auto"/>
          <w:sz w:val="24"/>
          <w:szCs w:val="24"/>
          <w:highlight w:val="none"/>
          <w:lang w:eastAsia="zh-CN"/>
        </w:rPr>
        <w:t xml:space="preserve">葛根；</w:t>
      </w:r>
      <w:r>
        <w:rPr>
          <w:rFonts w:hint="eastAsia" w:ascii="宋体" w:hAnsi="宋体" w:cs="宋体"/>
          <w:color w:val="auto"/>
          <w:sz w:val="24"/>
          <w:szCs w:val="24"/>
          <w:highlight w:val="none"/>
        </w:rPr>
        <w:t xml:space="preserve">产地环境（土壤）随产品</w:t>
      </w:r>
      <w:r>
        <w:rPr>
          <w:rFonts w:hint="eastAsia" w:ascii="宋体" w:hAnsi="宋体" w:cs="宋体"/>
          <w:color w:val="auto"/>
          <w:sz w:val="24"/>
          <w:szCs w:val="24"/>
          <w:highlight w:val="none"/>
          <w:lang w:eastAsia="zh-CN"/>
        </w:rPr>
        <w:t xml:space="preserve">监测</w:t>
      </w:r>
      <w:r>
        <w:rPr>
          <w:rFonts w:hint="eastAsia" w:ascii="宋体" w:hAnsi="宋体" w:cs="宋体"/>
          <w:color w:val="auto"/>
          <w:sz w:val="24"/>
          <w:szCs w:val="24"/>
          <w:highlight w:val="none"/>
        </w:rPr>
        <w:t xml:space="preserve">随机抽检。</w:t>
      </w:r>
      <w:r/>
    </w:p>
    <w:p>
      <w:pPr>
        <w:pStyle w:val="856"/>
        <w:numPr>
          <w:ilvl w:val="0"/>
          <w:numId w:val="0"/>
        </w:numPr>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五</w:t>
      </w: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抽样要求</w:t>
      </w:r>
      <w:r/>
    </w:p>
    <w:p>
      <w:pPr>
        <w:ind w:firstLine="480"/>
        <w:spacing w:line="360" w:lineRule="auto"/>
        <w:rPr>
          <w:rFonts w:ascii="宋体" w:hAnsi="宋体" w:cs="宋体"/>
          <w:color w:val="auto"/>
          <w:sz w:val="24"/>
          <w:szCs w:val="24"/>
          <w:highlight w:val="none"/>
        </w:rPr>
      </w:pPr>
      <w:r>
        <w:rPr>
          <w:rFonts w:hint="default" w:ascii="宋体" w:hAnsi="宋体" w:cs="宋体"/>
          <w:color w:val="auto"/>
          <w:sz w:val="24"/>
          <w:szCs w:val="24"/>
          <w:highlight w:val="none"/>
        </w:rPr>
        <w:t xml:space="preserve">省级</w:t>
      </w:r>
      <w:r>
        <w:rPr>
          <w:rFonts w:hint="default" w:ascii="宋体" w:hAnsi="宋体" w:cs="宋体"/>
          <w:color w:val="auto"/>
          <w:sz w:val="24"/>
          <w:szCs w:val="24"/>
          <w:highlight w:val="none"/>
          <w:lang w:eastAsia="zh-CN"/>
        </w:rPr>
        <w:t xml:space="preserve">监测</w:t>
      </w:r>
      <w:r>
        <w:rPr>
          <w:rFonts w:hint="default" w:ascii="宋体" w:hAnsi="宋体" w:cs="宋体"/>
          <w:color w:val="auto"/>
          <w:sz w:val="24"/>
          <w:szCs w:val="24"/>
          <w:highlight w:val="none"/>
        </w:rPr>
        <w:t xml:space="preserve">抽样由承担</w:t>
      </w:r>
      <w:r>
        <w:rPr>
          <w:rFonts w:hint="default" w:ascii="宋体" w:hAnsi="宋体" w:cs="宋体"/>
          <w:color w:val="auto"/>
          <w:sz w:val="24"/>
          <w:szCs w:val="24"/>
          <w:highlight w:val="none"/>
          <w:lang w:eastAsia="zh-CN"/>
        </w:rPr>
        <w:t xml:space="preserve">监测</w:t>
      </w:r>
      <w:r>
        <w:rPr>
          <w:rFonts w:hint="default" w:ascii="宋体" w:hAnsi="宋体" w:cs="宋体"/>
          <w:color w:val="auto"/>
          <w:sz w:val="24"/>
          <w:szCs w:val="24"/>
          <w:highlight w:val="none"/>
        </w:rPr>
        <w:t xml:space="preserve">的机构与被</w:t>
      </w:r>
      <w:r>
        <w:rPr>
          <w:rFonts w:hint="default" w:ascii="宋体" w:hAnsi="宋体" w:cs="宋体"/>
          <w:color w:val="auto"/>
          <w:sz w:val="24"/>
          <w:szCs w:val="24"/>
          <w:highlight w:val="none"/>
          <w:lang w:eastAsia="zh-CN"/>
        </w:rPr>
        <w:t xml:space="preserve">监测</w:t>
      </w:r>
      <w:r>
        <w:rPr>
          <w:rFonts w:hint="default" w:ascii="宋体" w:hAnsi="宋体" w:cs="宋体"/>
          <w:color w:val="auto"/>
          <w:sz w:val="24"/>
          <w:szCs w:val="24"/>
          <w:highlight w:val="none"/>
        </w:rPr>
        <w:t xml:space="preserve">市、县（市、区）林业主管部门共同完成。被抽取的样品应明确产地。抽取当地生产的样品，不得抽取来源不详的样品，做到样品可追溯。抽样原则上参照《经济林产品质量安全</w:t>
      </w:r>
      <w:r>
        <w:rPr>
          <w:rFonts w:hint="eastAsia" w:ascii="宋体" w:hAnsi="宋体" w:cs="宋体"/>
          <w:color w:val="auto"/>
          <w:sz w:val="24"/>
          <w:szCs w:val="24"/>
          <w:highlight w:val="none"/>
          <w:lang w:eastAsia="zh-CN"/>
        </w:rPr>
        <w:t xml:space="preserve">监</w:t>
      </w:r>
      <w:r>
        <w:rPr>
          <w:rFonts w:hint="default" w:ascii="宋体" w:hAnsi="宋体" w:cs="宋体"/>
          <w:color w:val="auto"/>
          <w:sz w:val="24"/>
          <w:szCs w:val="24"/>
          <w:highlight w:val="none"/>
        </w:rPr>
        <w:t xml:space="preserve">测技术规程》（LY/T 2800）规定执行，抽检的每个食用林产品应分为初检样品和复检样品2份，包装后的食用林产品用封条进行封样，抽样人员与被检测基地代表在封条上签字。土壤抽样原则上参照《土壤环境</w:t>
      </w:r>
      <w:r>
        <w:rPr>
          <w:rFonts w:hint="eastAsia" w:ascii="宋体" w:hAnsi="宋体" w:cs="宋体"/>
          <w:color w:val="auto"/>
          <w:sz w:val="24"/>
          <w:szCs w:val="24"/>
          <w:highlight w:val="none"/>
          <w:lang w:eastAsia="zh-CN"/>
        </w:rPr>
        <w:t xml:space="preserve">监</w:t>
      </w:r>
      <w:r>
        <w:rPr>
          <w:rFonts w:hint="default" w:ascii="宋体" w:hAnsi="宋体" w:cs="宋体"/>
          <w:color w:val="auto"/>
          <w:sz w:val="24"/>
          <w:szCs w:val="24"/>
          <w:highlight w:val="none"/>
        </w:rPr>
        <w:t xml:space="preserve">测技术规程》（HJ/T 166）规定执行，采集0-40cm土壤，每个采样区的土壤样品为一个混合样，混合样采集点数不少于5个，混合后的土壤样品重量不少于1KG，采用干净无污染 的容器或塑料袋装样，多个样点土样充分混匀后包装，用封条进行封样，抽检人员与被检测基地代表在封条上签字。并记录抽样地点所在的地理坐标信息。</w:t>
      </w:r>
      <w:r/>
    </w:p>
    <w:p>
      <w:pPr>
        <w:spacing w:line="360" w:lineRule="auto"/>
        <w:rPr>
          <w:rFonts w:ascii="宋体" w:hAnsi="宋体" w:cs="宋体"/>
          <w:color w:val="auto"/>
          <w:sz w:val="24"/>
          <w:szCs w:val="24"/>
          <w:highlight w:val="none"/>
        </w:rPr>
      </w:pPr>
      <w:r>
        <w:rPr>
          <w:rFonts w:hint="eastAsia" w:ascii="宋体" w:hAnsi="宋体" w:cs="宋体"/>
          <w:b/>
          <w:bCs/>
          <w:color w:val="auto"/>
          <w:sz w:val="28"/>
          <w:szCs w:val="28"/>
          <w:highlight w:val="none"/>
          <w:lang w:val="en-US" w:eastAsia="zh-CN" w:bidi="ar-SA"/>
        </w:rPr>
        <w:t xml:space="preserve">六、</w:t>
      </w:r>
      <w:r>
        <w:rPr>
          <w:rFonts w:hint="default" w:ascii="宋体" w:hAnsi="宋体" w:eastAsia="宋体" w:cs="宋体"/>
          <w:b/>
          <w:bCs/>
          <w:color w:val="auto"/>
          <w:sz w:val="28"/>
          <w:szCs w:val="28"/>
          <w:highlight w:val="none"/>
          <w:lang w:val="en-US" w:eastAsia="zh-CN" w:bidi="ar-SA"/>
        </w:rPr>
        <w:t xml:space="preserve">判定依据和原则</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 GB 2763-2021、GB 2763.1-2022 标准中涉及食用林产品农药残留指标，有残留限量值但无指定检测方法的，暂不列入监测指标表；GB 2763-2021、GB 2763.1-2022 标准中涉及食用林产品中农药残留指标的检测方法单独是指定用进出口/出口（SN和SN/T系列）的，暂不列入监测指标表。新实施的食品安全国家标准（GB 23200）同样适用于相应参数的检测。</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2.重金属和类金属砷均按元素总量计；六六六的含量为α-六六六、β-六六六、γ-六六六、δ-六六六四种同分异构体的含量总和；滴滴涕的含量为pp’-滴滴伊、pp’-滴滴滴、op’-滴滴涕、p p’-滴滴涕四种衍生物的含量总和。</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3.监测的食用林产品的检测项目依据《食品安全国家标准食品中农药最大残留限量》（GB 2763-2021、GB 2763.1-2021）、《食品安全国家标准 食品中污染物限量》（GB 2762-2022）、《关于党参等9种新增按照传统既是食品又是中药材的物质公告》（2023年第9号）、《关于地黄等4种按照传统既是食品又是中药材的物质公告》（2024年第4号）和《土壤环境质量 农用地土壤污染风险管控标准（试行）》（GB 15618）限量值进行判定。</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根据有关标准判定，所</w:t>
      </w:r>
      <w:r>
        <w:rPr>
          <w:rFonts w:hint="eastAsia" w:ascii="宋体" w:hAnsi="宋体" w:cs="宋体"/>
          <w:color w:val="auto"/>
          <w:sz w:val="24"/>
          <w:szCs w:val="24"/>
          <w:highlight w:val="none"/>
          <w:lang w:eastAsia="zh-CN"/>
        </w:rPr>
        <w:t xml:space="preserve">监测</w:t>
      </w:r>
      <w:r>
        <w:rPr>
          <w:rFonts w:hint="eastAsia" w:ascii="宋体" w:hAnsi="宋体" w:cs="宋体"/>
          <w:color w:val="auto"/>
          <w:sz w:val="24"/>
          <w:szCs w:val="24"/>
          <w:highlight w:val="none"/>
        </w:rPr>
        <w:t xml:space="preserve">项目全部合格者，判定为产品合格；有一项指标不合格者，并按标准中规定的复检要求对该项进行复检后仍不符合判定依据规定的，即判为产品不合格。</w:t>
      </w:r>
      <w:r/>
    </w:p>
    <w:p>
      <w:pPr>
        <w:pStyle w:val="856"/>
        <w:numPr>
          <w:ilvl w:val="0"/>
          <w:numId w:val="0"/>
        </w:numPr>
        <w:spacing w:line="360" w:lineRule="auto"/>
        <w:rPr>
          <w:rFonts w:ascii="宋体" w:hAnsi="宋体" w:cs="宋体"/>
          <w:color w:val="auto"/>
          <w:highlight w:val="none"/>
        </w:rPr>
      </w:pPr>
      <w:r>
        <w:rPr>
          <w:rFonts w:hint="eastAsia" w:ascii="宋体" w:hAnsi="宋体" w:cs="宋体"/>
          <w:color w:val="auto"/>
          <w:highlight w:val="none"/>
        </w:rPr>
        <w:t xml:space="preserve">七、</w:t>
      </w:r>
      <w:r>
        <w:rPr>
          <w:rFonts w:hint="eastAsia" w:ascii="宋体" w:hAnsi="宋体" w:cs="宋体"/>
          <w:color w:val="auto"/>
          <w:highlight w:val="none"/>
          <w:lang w:eastAsia="zh-CN"/>
        </w:rPr>
        <w:t xml:space="preserve">监测</w:t>
      </w:r>
      <w:r>
        <w:rPr>
          <w:rFonts w:hint="eastAsia" w:ascii="宋体" w:hAnsi="宋体" w:cs="宋体"/>
          <w:color w:val="auto"/>
          <w:highlight w:val="none"/>
        </w:rPr>
        <w:t xml:space="preserve">结果及总结分析报告</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各监测品种的监测结果总结分析报告（含对应土壤）应分别出具，</w:t>
      </w:r>
      <w:r>
        <w:rPr>
          <w:rFonts w:hint="eastAsia" w:ascii="宋体" w:hAnsi="宋体" w:cs="宋体"/>
          <w:color w:val="auto"/>
          <w:sz w:val="24"/>
          <w:szCs w:val="24"/>
          <w:highlight w:val="none"/>
        </w:rPr>
        <w:t xml:space="preserve">包括以下内容：1.</w:t>
      </w:r>
      <w:r>
        <w:rPr>
          <w:rFonts w:hint="eastAsia" w:ascii="宋体" w:hAnsi="宋体" w:cs="宋体"/>
          <w:color w:val="auto"/>
          <w:sz w:val="24"/>
          <w:szCs w:val="24"/>
          <w:highlight w:val="none"/>
          <w:lang w:eastAsia="zh-CN"/>
        </w:rPr>
        <w:t xml:space="preserve">监测</w:t>
      </w:r>
      <w:r>
        <w:rPr>
          <w:rFonts w:hint="eastAsia" w:ascii="宋体" w:hAnsi="宋体" w:cs="宋体"/>
          <w:color w:val="auto"/>
          <w:sz w:val="24"/>
          <w:szCs w:val="24"/>
          <w:highlight w:val="none"/>
        </w:rPr>
        <w:t xml:space="preserve">结果总体概况；2.</w:t>
      </w:r>
      <w:r>
        <w:rPr>
          <w:rFonts w:hint="eastAsia" w:ascii="宋体" w:hAnsi="宋体" w:cs="宋体"/>
          <w:color w:val="auto"/>
          <w:sz w:val="24"/>
          <w:szCs w:val="24"/>
          <w:highlight w:val="none"/>
          <w:lang w:eastAsia="zh-CN"/>
        </w:rPr>
        <w:t xml:space="preserve">监测</w:t>
      </w:r>
      <w:r>
        <w:rPr>
          <w:rFonts w:hint="eastAsia" w:ascii="宋体" w:hAnsi="宋体" w:cs="宋体"/>
          <w:color w:val="auto"/>
          <w:sz w:val="24"/>
          <w:szCs w:val="24"/>
          <w:highlight w:val="none"/>
        </w:rPr>
        <w:t xml:space="preserve">基本情况。包括</w:t>
      </w:r>
      <w:r>
        <w:rPr>
          <w:rFonts w:hint="eastAsia" w:ascii="宋体" w:hAnsi="宋体" w:cs="宋体"/>
          <w:color w:val="auto"/>
          <w:sz w:val="24"/>
          <w:szCs w:val="24"/>
          <w:highlight w:val="none"/>
          <w:lang w:eastAsia="zh-CN"/>
        </w:rPr>
        <w:t xml:space="preserve">监测</w:t>
      </w:r>
      <w:r>
        <w:rPr>
          <w:rFonts w:hint="eastAsia" w:ascii="宋体" w:hAnsi="宋体" w:cs="宋体"/>
          <w:color w:val="auto"/>
          <w:sz w:val="24"/>
          <w:szCs w:val="24"/>
          <w:highlight w:val="none"/>
        </w:rPr>
        <w:t xml:space="preserve">地点、</w:t>
      </w:r>
      <w:r>
        <w:rPr>
          <w:rFonts w:hint="eastAsia" w:ascii="宋体" w:hAnsi="宋体" w:cs="宋体"/>
          <w:color w:val="auto"/>
          <w:sz w:val="24"/>
          <w:szCs w:val="24"/>
          <w:highlight w:val="none"/>
          <w:lang w:eastAsia="zh-CN"/>
        </w:rPr>
        <w:t xml:space="preserve">监测</w:t>
      </w:r>
      <w:r>
        <w:rPr>
          <w:rFonts w:hint="eastAsia" w:ascii="宋体" w:hAnsi="宋体" w:cs="宋体"/>
          <w:color w:val="auto"/>
          <w:sz w:val="24"/>
          <w:szCs w:val="24"/>
          <w:highlight w:val="none"/>
        </w:rPr>
        <w:t xml:space="preserve">环节、</w:t>
      </w:r>
      <w:r>
        <w:rPr>
          <w:rFonts w:hint="eastAsia" w:ascii="宋体" w:hAnsi="宋体" w:cs="宋体"/>
          <w:color w:val="auto"/>
          <w:sz w:val="24"/>
          <w:szCs w:val="24"/>
          <w:highlight w:val="none"/>
          <w:lang w:eastAsia="zh-CN"/>
        </w:rPr>
        <w:t xml:space="preserve">监测</w:t>
      </w:r>
      <w:r>
        <w:rPr>
          <w:rFonts w:hint="eastAsia" w:ascii="宋体" w:hAnsi="宋体" w:cs="宋体"/>
          <w:color w:val="auto"/>
          <w:sz w:val="24"/>
          <w:szCs w:val="24"/>
          <w:highlight w:val="none"/>
        </w:rPr>
        <w:t xml:space="preserve">种类、抽样数量、</w:t>
      </w:r>
      <w:r>
        <w:rPr>
          <w:rFonts w:hint="eastAsia" w:ascii="宋体" w:hAnsi="宋体" w:cs="宋体"/>
          <w:color w:val="auto"/>
          <w:sz w:val="24"/>
          <w:szCs w:val="24"/>
          <w:highlight w:val="none"/>
          <w:lang w:eastAsia="zh-CN"/>
        </w:rPr>
        <w:t xml:space="preserve">监测</w:t>
      </w:r>
      <w:r>
        <w:rPr>
          <w:rFonts w:hint="eastAsia" w:ascii="宋体" w:hAnsi="宋体" w:cs="宋体"/>
          <w:color w:val="auto"/>
          <w:sz w:val="24"/>
          <w:szCs w:val="24"/>
          <w:highlight w:val="none"/>
        </w:rPr>
        <w:t xml:space="preserve">参数等；3.</w:t>
      </w:r>
      <w:r>
        <w:rPr>
          <w:rFonts w:hint="eastAsia" w:ascii="宋体" w:hAnsi="宋体" w:cs="宋体"/>
          <w:color w:val="auto"/>
          <w:sz w:val="24"/>
          <w:szCs w:val="24"/>
          <w:highlight w:val="none"/>
          <w:lang w:eastAsia="zh-CN"/>
        </w:rPr>
        <w:t xml:space="preserve">监测</w:t>
      </w:r>
      <w:r>
        <w:rPr>
          <w:rFonts w:hint="eastAsia" w:ascii="宋体" w:hAnsi="宋体" w:cs="宋体"/>
          <w:color w:val="auto"/>
          <w:sz w:val="24"/>
          <w:szCs w:val="24"/>
          <w:highlight w:val="none"/>
        </w:rPr>
        <w:t xml:space="preserve">结果分析；4.对策措施与建议。</w:t>
      </w:r>
      <w:r/>
    </w:p>
    <w:p>
      <w:pPr>
        <w:pStyle w:val="856"/>
        <w:numPr>
          <w:ilvl w:val="0"/>
          <w:numId w:val="0"/>
        </w:numPr>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 xml:space="preserve">八、</w:t>
      </w:r>
      <w:r>
        <w:rPr>
          <w:rFonts w:hint="eastAsia" w:ascii="宋体" w:hAnsi="宋体" w:cs="宋体"/>
          <w:color w:val="auto"/>
          <w:highlight w:val="none"/>
          <w:lang w:val="en-US" w:eastAsia="zh-CN"/>
        </w:rPr>
        <w:t xml:space="preserve">注意事项</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eastAsia="zh-CN"/>
        </w:rPr>
        <w:t xml:space="preserve">监测</w:t>
      </w:r>
      <w:r>
        <w:rPr>
          <w:rFonts w:hint="eastAsia" w:ascii="宋体" w:hAnsi="宋体" w:cs="宋体"/>
          <w:color w:val="auto"/>
          <w:sz w:val="24"/>
          <w:szCs w:val="24"/>
          <w:highlight w:val="none"/>
        </w:rPr>
        <w:t xml:space="preserve">工作应按照《食用林产品质量安全检测工作规范（2020年版）》进行。</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eastAsia="zh-CN"/>
        </w:rPr>
        <w:t xml:space="preserve">监测</w:t>
      </w:r>
      <w:r>
        <w:rPr>
          <w:rFonts w:hint="eastAsia" w:ascii="宋体" w:hAnsi="宋体" w:cs="宋体"/>
          <w:color w:val="auto"/>
          <w:sz w:val="24"/>
          <w:szCs w:val="24"/>
          <w:highlight w:val="none"/>
        </w:rPr>
        <w:t xml:space="preserve">工作应保证</w:t>
      </w:r>
      <w:r>
        <w:rPr>
          <w:rFonts w:hint="eastAsia" w:ascii="宋体" w:hAnsi="宋体" w:cs="宋体"/>
          <w:color w:val="auto"/>
          <w:sz w:val="24"/>
          <w:szCs w:val="24"/>
          <w:highlight w:val="none"/>
          <w:lang w:eastAsia="zh-CN"/>
        </w:rPr>
        <w:t xml:space="preserve">监测</w:t>
      </w:r>
      <w:r>
        <w:rPr>
          <w:rFonts w:hint="eastAsia" w:ascii="宋体" w:hAnsi="宋体" w:cs="宋体"/>
          <w:color w:val="auto"/>
          <w:sz w:val="24"/>
          <w:szCs w:val="24"/>
          <w:highlight w:val="none"/>
        </w:rPr>
        <w:t xml:space="preserve">结果的真实性、科学性和代表性。</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3.承担</w:t>
      </w:r>
      <w:r>
        <w:rPr>
          <w:rFonts w:hint="eastAsia" w:ascii="宋体" w:hAnsi="宋体" w:cs="宋体"/>
          <w:color w:val="auto"/>
          <w:sz w:val="24"/>
          <w:szCs w:val="24"/>
          <w:highlight w:val="none"/>
          <w:lang w:eastAsia="zh-CN"/>
        </w:rPr>
        <w:t xml:space="preserve">监测</w:t>
      </w:r>
      <w:r>
        <w:rPr>
          <w:rFonts w:hint="eastAsia" w:ascii="宋体" w:hAnsi="宋体" w:cs="宋体"/>
          <w:color w:val="auto"/>
          <w:sz w:val="24"/>
          <w:szCs w:val="24"/>
          <w:highlight w:val="none"/>
        </w:rPr>
        <w:t xml:space="preserve">的机构应按本方案规定做好</w:t>
      </w:r>
      <w:r>
        <w:rPr>
          <w:rFonts w:hint="eastAsia" w:ascii="宋体" w:hAnsi="宋体" w:cs="宋体"/>
          <w:color w:val="auto"/>
          <w:sz w:val="24"/>
          <w:szCs w:val="24"/>
          <w:highlight w:val="none"/>
          <w:lang w:eastAsia="zh-CN"/>
        </w:rPr>
        <w:t xml:space="preserve">监测</w:t>
      </w:r>
      <w:r>
        <w:rPr>
          <w:rFonts w:hint="eastAsia" w:ascii="宋体" w:hAnsi="宋体" w:cs="宋体"/>
          <w:color w:val="auto"/>
          <w:sz w:val="24"/>
          <w:szCs w:val="24"/>
          <w:highlight w:val="none"/>
        </w:rPr>
        <w:t xml:space="preserve">工作，保质按时上报</w:t>
      </w:r>
      <w:r>
        <w:rPr>
          <w:rFonts w:hint="eastAsia" w:ascii="宋体" w:hAnsi="宋体" w:cs="宋体"/>
          <w:color w:val="auto"/>
          <w:sz w:val="24"/>
          <w:szCs w:val="24"/>
          <w:highlight w:val="none"/>
          <w:lang w:eastAsia="zh-CN"/>
        </w:rPr>
        <w:t xml:space="preserve">监测</w:t>
      </w:r>
      <w:r>
        <w:rPr>
          <w:rFonts w:hint="eastAsia" w:ascii="宋体" w:hAnsi="宋体" w:cs="宋体"/>
          <w:color w:val="auto"/>
          <w:sz w:val="24"/>
          <w:szCs w:val="24"/>
          <w:highlight w:val="none"/>
        </w:rPr>
        <w:t xml:space="preserve">结果及总结分析报告等材料。</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4.未经省林业局同意，任何单位和个人不得公布和引用</w:t>
      </w:r>
      <w:r>
        <w:rPr>
          <w:rFonts w:hint="eastAsia" w:ascii="宋体" w:hAnsi="宋体" w:cs="宋体"/>
          <w:color w:val="auto"/>
          <w:sz w:val="24"/>
          <w:szCs w:val="24"/>
          <w:highlight w:val="none"/>
          <w:lang w:eastAsia="zh-CN"/>
        </w:rPr>
        <w:t xml:space="preserve">监测</w:t>
      </w:r>
      <w:r>
        <w:rPr>
          <w:rFonts w:hint="eastAsia" w:ascii="宋体" w:hAnsi="宋体" w:cs="宋体"/>
          <w:color w:val="auto"/>
          <w:sz w:val="24"/>
          <w:szCs w:val="24"/>
          <w:highlight w:val="none"/>
        </w:rPr>
        <w:t xml:space="preserve">结果。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监测批次、</w:t>
      </w:r>
      <w:r>
        <w:rPr>
          <w:rFonts w:hint="eastAsia" w:ascii="宋体" w:hAnsi="宋体" w:cs="宋体"/>
          <w:color w:val="auto"/>
          <w:sz w:val="24"/>
          <w:szCs w:val="24"/>
          <w:highlight w:val="none"/>
        </w:rPr>
        <w:t xml:space="preserve">品种</w:t>
      </w:r>
      <w:r>
        <w:rPr>
          <w:rFonts w:hint="eastAsia" w:ascii="宋体" w:hAnsi="宋体" w:cs="宋体"/>
          <w:color w:val="auto"/>
          <w:sz w:val="24"/>
          <w:szCs w:val="24"/>
          <w:highlight w:val="none"/>
          <w:lang w:eastAsia="zh-CN"/>
        </w:rPr>
        <w:t xml:space="preserve">和</w:t>
      </w:r>
      <w:r>
        <w:rPr>
          <w:rFonts w:hint="eastAsia" w:ascii="宋体" w:hAnsi="宋体" w:cs="宋体"/>
          <w:color w:val="auto"/>
          <w:sz w:val="24"/>
          <w:szCs w:val="24"/>
          <w:highlight w:val="none"/>
        </w:rPr>
        <w:t xml:space="preserve">区域</w:t>
      </w:r>
      <w:r>
        <w:rPr>
          <w:rFonts w:hint="eastAsia" w:ascii="宋体" w:hAnsi="宋体" w:cs="宋体"/>
          <w:color w:val="auto"/>
          <w:sz w:val="24"/>
          <w:szCs w:val="24"/>
          <w:highlight w:val="none"/>
          <w:lang w:eastAsia="zh-CN"/>
        </w:rPr>
        <w:t xml:space="preserve">，以及监测</w:t>
      </w:r>
      <w:r>
        <w:rPr>
          <w:rFonts w:hint="eastAsia" w:ascii="宋体" w:hAnsi="宋体" w:cs="宋体"/>
          <w:color w:val="auto"/>
          <w:sz w:val="24"/>
          <w:szCs w:val="24"/>
          <w:highlight w:val="none"/>
        </w:rPr>
        <w:t xml:space="preserve">指标</w:t>
      </w:r>
      <w:r>
        <w:rPr>
          <w:rFonts w:hint="eastAsia" w:ascii="宋体" w:hAnsi="宋体" w:cs="宋体"/>
          <w:color w:val="auto"/>
          <w:sz w:val="24"/>
          <w:szCs w:val="24"/>
          <w:highlight w:val="none"/>
          <w:lang w:eastAsia="zh-CN"/>
        </w:rPr>
        <w:t xml:space="preserve">详见附表</w:t>
      </w:r>
      <w:r>
        <w:rPr>
          <w:rFonts w:hint="eastAsia" w:ascii="宋体" w:hAnsi="宋体" w:cs="宋体"/>
          <w:color w:val="auto"/>
          <w:sz w:val="24"/>
          <w:szCs w:val="24"/>
          <w:highlight w:val="none"/>
        </w:rPr>
        <w:t xml:space="preserve">。</w:t>
      </w:r>
      <w:r/>
    </w:p>
    <w:p>
      <w:pPr>
        <w:pStyle w:val="856"/>
        <w:numPr>
          <w:ilvl w:val="0"/>
          <w:numId w:val="0"/>
        </w:numPr>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九、监测服务要求</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1.监测工作应按照《食用林产品质量安全监测工作规范(2020年版)》进行。</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2.监测工作应保证监测结果的真实性、科学性和代表性。</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3.承担检测的机构应按本方案规定做好监测工作，保质按时上报监测结果及总结分析报告等材料。</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4.未经江苏省林业局同意，任何单位和个人不得公布和引用监测结果。</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5.配合江苏省林业局，开展科学种植的相关科学研究。</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6.配合江苏省林业局，在抽样监测的同时开展科学种植科普宣贯活动。</w:t>
      </w:r>
      <w:r/>
    </w:p>
    <w:p>
      <w:pPr>
        <w:pStyle w:val="856"/>
        <w:numPr>
          <w:ilvl w:val="0"/>
          <w:numId w:val="0"/>
        </w:numPr>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十、服务期限、验收和付款方式</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1、服务时间：</w:t>
      </w:r>
      <w:r>
        <w:rPr>
          <w:rFonts w:hint="eastAsia" w:ascii="宋体" w:hAnsi="宋体" w:cs="宋体"/>
          <w:color w:val="auto"/>
          <w:sz w:val="24"/>
          <w:szCs w:val="24"/>
          <w:highlight w:val="none"/>
          <w:lang w:val="zh-TW" w:eastAsia="zh-CN"/>
        </w:rPr>
        <w:t xml:space="preserve">自合同签订之日起至</w:t>
      </w:r>
      <w:r>
        <w:rPr>
          <w:rFonts w:hint="eastAsia" w:ascii="宋体" w:hAnsi="宋体" w:cs="宋体"/>
          <w:color w:val="auto"/>
          <w:sz w:val="24"/>
          <w:szCs w:val="24"/>
          <w:highlight w:val="none"/>
          <w:lang w:val="en-US" w:eastAsia="zh-CN"/>
        </w:rPr>
        <w:t xml:space="preserve">2026年12月15日</w:t>
      </w:r>
      <w:r>
        <w:rPr>
          <w:rFonts w:hint="eastAsia" w:ascii="宋体" w:hAnsi="宋体" w:cs="宋体"/>
          <w:color w:val="auto"/>
          <w:sz w:val="24"/>
          <w:szCs w:val="24"/>
          <w:highlight w:val="none"/>
          <w:lang w:val="zh-TW" w:eastAsia="zh-CN"/>
        </w:rPr>
        <w:t xml:space="preserve">。</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2、验收方式：承担任务的检测机构在规定时间内完成当年度任务后，提交所检测产品的总结分析报告，报告格式内容符合采购方要求。</w:t>
      </w:r>
      <w:r/>
    </w:p>
    <w:p>
      <w:pPr>
        <w:ind w:firstLine="480"/>
        <w:spacing w:line="360" w:lineRule="auto"/>
        <w:rPr>
          <w:rFonts w:hint="eastAsia" w:ascii="宋体" w:hAnsi="宋体" w:cs="宋体"/>
          <w:color w:val="auto"/>
          <w:highlight w:val="none"/>
          <w:lang w:val="en-US" w:eastAsia="zh-CN"/>
        </w:rPr>
      </w:pPr>
      <w:r>
        <w:rPr>
          <w:rFonts w:hint="eastAsia" w:ascii="宋体" w:hAnsi="宋体" w:cs="宋体"/>
          <w:color w:val="auto"/>
          <w:sz w:val="24"/>
          <w:szCs w:val="24"/>
          <w:highlight w:val="none"/>
          <w:lang w:val="en-US" w:eastAsia="zh-CN"/>
        </w:rPr>
        <w:t xml:space="preserve">3、付款方式：在与中标单位签订合同之日起，分两次支付合同款项，签订合同一个月内支付总价款的80%，任务结束，</w:t>
      </w:r>
      <w:r>
        <w:rPr>
          <w:rFonts w:hint="eastAsia" w:ascii="宋体" w:hAnsi="宋体" w:cs="宋体"/>
          <w:b/>
          <w:bCs/>
          <w:color w:val="auto"/>
          <w:sz w:val="24"/>
          <w:szCs w:val="24"/>
          <w:highlight w:val="none"/>
          <w:lang w:val="en-US" w:eastAsia="zh-CN"/>
        </w:rPr>
        <w:t xml:space="preserve">经采购人验收</w:t>
      </w:r>
      <w:r>
        <w:rPr>
          <w:rFonts w:hint="eastAsia" w:ascii="宋体" w:hAnsi="宋体" w:cs="宋体"/>
          <w:color w:val="auto"/>
          <w:sz w:val="24"/>
          <w:szCs w:val="24"/>
          <w:highlight w:val="none"/>
          <w:lang w:val="en-US" w:eastAsia="zh-CN"/>
        </w:rPr>
        <w:t xml:space="preserve">后支付剩余20%。</w:t>
      </w:r>
      <w:r/>
    </w:p>
    <w:p>
      <w:pPr>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spacing w:line="360" w:lineRule="auto"/>
        <w:rPr>
          <w:rFonts w:hint="eastAsia" w:ascii="宋体" w:hAnsi="宋体" w:cs="宋体"/>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附表：</w:t>
      </w:r>
      <w:r>
        <w:rPr>
          <w:rFonts w:hint="eastAsia" w:ascii="宋体" w:hAnsi="宋体" w:cs="宋体"/>
          <w:color w:val="auto"/>
          <w:sz w:val="24"/>
          <w:szCs w:val="24"/>
          <w:highlight w:val="none"/>
          <w:lang w:val="en-US" w:eastAsia="zh-CN"/>
        </w:rPr>
        <w:t xml:space="preserve">1.全省食用林产品质量安全监测计划 </w:t>
      </w:r>
      <w:r/>
    </w:p>
    <w:p>
      <w:pPr>
        <w:ind w:firstLine="720"/>
        <w:spacing w:line="360" w:lineRule="auto"/>
        <w:rPr>
          <w:rFonts w:hint="eastAsia" w:ascii="宋体" w:hAnsi="宋体" w:cs="宋体"/>
          <w:color w:val="auto"/>
          <w:sz w:val="24"/>
          <w:szCs w:val="24"/>
          <w:highlight w:val="none"/>
          <w:lang w:val="en-US" w:eastAsia="zh-CN"/>
        </w:rPr>
        <w:sectPr>
          <w:headerReference w:type="default" r:id="rId12"/>
          <w:footerReference w:type="default" r:id="rId17"/>
          <w:footnotePr/>
          <w:endnotePr/>
          <w:type w:val="nextPage"/>
          <w:pgSz w:w="11906" w:h="16838" w:orient="portrait"/>
          <w:pgMar w:top="1440" w:right="1179" w:bottom="1440" w:left="1179" w:header="1020" w:footer="992" w:gutter="0"/>
          <w:cols w:num="1" w:sep="0" w:space="720" w:equalWidth="1"/>
          <w:docGrid w:linePitch="360"/>
        </w:sectPr>
      </w:pPr>
      <w:r>
        <w:rPr>
          <w:rFonts w:hint="eastAsia" w:ascii="宋体" w:hAnsi="宋体" w:cs="宋体"/>
          <w:color w:val="auto"/>
          <w:sz w:val="24"/>
          <w:szCs w:val="24"/>
          <w:highlight w:val="none"/>
          <w:lang w:val="en-US" w:eastAsia="zh-CN"/>
        </w:rPr>
        <w:t xml:space="preserve">2.全省食用林产品质量安全监测批次分布</w:t>
      </w:r>
      <w:r/>
    </w:p>
    <w:p>
      <w:pPr>
        <w:rPr>
          <w:rFonts w:hint="eastAsia" w:ascii="宋体" w:hAnsi="宋体" w:eastAsia="宋体" w:cs="宋体"/>
          <w:sz w:val="32"/>
          <w:szCs w:val="32"/>
          <w:lang w:val="en-US" w:eastAsia="zh-CN"/>
        </w:rPr>
        <w:outlineLvl w:val="1"/>
      </w:pPr>
      <w:r>
        <w:rPr>
          <w:rFonts w:hint="eastAsia" w:ascii="宋体" w:hAnsi="宋体" w:eastAsia="宋体" w:cs="宋体"/>
          <w:sz w:val="32"/>
          <w:szCs w:val="32"/>
          <w:lang w:eastAsia="zh-CN"/>
        </w:rPr>
        <w:t xml:space="preserve">附表</w:t>
      </w:r>
      <w:r>
        <w:rPr>
          <w:rFonts w:hint="eastAsia" w:ascii="宋体" w:hAnsi="宋体" w:eastAsia="宋体" w:cs="宋体"/>
          <w:sz w:val="32"/>
          <w:szCs w:val="32"/>
          <w:lang w:val="en-US" w:eastAsia="zh-CN"/>
        </w:rPr>
        <w:t xml:space="preserve">1</w:t>
      </w:r>
      <w:r/>
    </w:p>
    <w:p>
      <w:pPr>
        <w:jc w:val="center"/>
        <w:keepLines w:val="0"/>
        <w:keepNext w:val="0"/>
        <w:pageBreakBefore w:val="0"/>
        <w:spacing w:after="0" w:line="560" w:lineRule="exact"/>
        <w:widowControl w:val="off"/>
        <w:rPr>
          <w:rFonts w:hint="eastAsia" w:ascii="宋体" w:hAnsi="宋体" w:eastAsia="宋体" w:cs="宋体"/>
          <w:sz w:val="44"/>
          <w:szCs w:val="44"/>
          <w:lang w:val="en-US" w:eastAsia="zh-CN"/>
        </w:rPr>
      </w:pPr>
      <w:r>
        <w:rPr>
          <w:rFonts w:hint="eastAsia" w:ascii="宋体" w:hAnsi="宋体" w:cs="宋体"/>
          <w:sz w:val="44"/>
          <w:szCs w:val="44"/>
          <w:lang w:val="en-US" w:eastAsia="zh-CN"/>
        </w:rPr>
        <w:t xml:space="preserve">全省食用林产品质量安全监测</w:t>
      </w:r>
      <w:r>
        <w:rPr>
          <w:rFonts w:hint="eastAsia" w:ascii="宋体" w:hAnsi="宋体" w:eastAsia="宋体" w:cs="宋体"/>
          <w:sz w:val="44"/>
          <w:szCs w:val="44"/>
          <w:lang w:val="en-US" w:eastAsia="zh-CN"/>
        </w:rPr>
        <w:t xml:space="preserve">计划</w:t>
      </w:r>
      <w:r/>
    </w:p>
    <w:tbl>
      <w:tblPr>
        <w:tblStyle w:val="8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9"/>
        <w:gridCol w:w="1361"/>
        <w:gridCol w:w="1788"/>
        <w:gridCol w:w="807"/>
        <w:gridCol w:w="2860"/>
        <w:gridCol w:w="6449"/>
      </w:tblGrid>
      <w:tr>
        <w:trPr>
          <w:trHeight w:val="90"/>
        </w:trPr>
        <w:tc>
          <w:tcPr>
            <w:tcW w:w="909" w:type="dxa"/>
            <w:vAlign w:val="center"/>
            <w:textDirection w:val="lrTb"/>
            <w:noWrap w:val="false"/>
          </w:tcPr>
          <w:p>
            <w:pPr>
              <w:pStyle w:val="797"/>
              <w:ind w:left="0" w:firstLine="0"/>
              <w:jc w:val="center"/>
              <w:keepLines w:val="0"/>
              <w:keepNext w:val="0"/>
              <w:pageBreakBefore w:val="0"/>
              <w:spacing w:line="36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序号</w:t>
            </w:r>
            <w:r/>
          </w:p>
        </w:tc>
        <w:tc>
          <w:tcPr>
            <w:tcW w:w="1361" w:type="dxa"/>
            <w:vAlign w:val="center"/>
            <w:textDirection w:val="lrTb"/>
            <w:noWrap w:val="false"/>
          </w:tcPr>
          <w:p>
            <w:pPr>
              <w:pStyle w:val="797"/>
              <w:ind w:left="0" w:firstLine="0"/>
              <w:jc w:val="center"/>
              <w:keepLines w:val="0"/>
              <w:keepNext w:val="0"/>
              <w:pageBreakBefore w:val="0"/>
              <w:spacing w:line="36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b w:val="0"/>
                <w:color w:val="000000"/>
                <w:sz w:val="28"/>
                <w:szCs w:val="28"/>
                <w:lang w:eastAsia="zh-CN"/>
              </w:rPr>
              <w:t xml:space="preserve">监</w:t>
            </w:r>
            <w:r>
              <w:rPr>
                <w:rFonts w:hint="eastAsia" w:ascii="宋体" w:hAnsi="宋体" w:eastAsia="宋体" w:cs="宋体"/>
                <w:b w:val="0"/>
                <w:color w:val="000000"/>
                <w:sz w:val="28"/>
                <w:szCs w:val="28"/>
              </w:rPr>
              <w:t xml:space="preserve">测品种</w:t>
            </w:r>
            <w:r/>
          </w:p>
        </w:tc>
        <w:tc>
          <w:tcPr>
            <w:tcW w:w="1788" w:type="dxa"/>
            <w:vAlign w:val="center"/>
            <w:textDirection w:val="lrTb"/>
            <w:noWrap w:val="false"/>
          </w:tcPr>
          <w:p>
            <w:pPr>
              <w:pStyle w:val="797"/>
              <w:ind w:left="0" w:firstLine="0"/>
              <w:jc w:val="center"/>
              <w:keepLines w:val="0"/>
              <w:keepNext w:val="0"/>
              <w:pageBreakBefore w:val="0"/>
              <w:spacing w:line="36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b w:val="0"/>
                <w:color w:val="000000"/>
                <w:sz w:val="28"/>
                <w:szCs w:val="28"/>
              </w:rPr>
              <w:t xml:space="preserve">抽检时间</w:t>
            </w:r>
            <w:r/>
          </w:p>
        </w:tc>
        <w:tc>
          <w:tcPr>
            <w:tcW w:w="807" w:type="dxa"/>
            <w:vAlign w:val="center"/>
            <w:textDirection w:val="lrTb"/>
            <w:noWrap w:val="false"/>
          </w:tcPr>
          <w:p>
            <w:pPr>
              <w:pStyle w:val="797"/>
              <w:ind w:left="0" w:firstLine="0"/>
              <w:jc w:val="center"/>
              <w:keepLines w:val="0"/>
              <w:keepNext w:val="0"/>
              <w:pageBreakBefore w:val="0"/>
              <w:spacing w:line="36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b w:val="0"/>
                <w:color w:val="000000"/>
                <w:sz w:val="28"/>
                <w:szCs w:val="28"/>
                <w:lang w:eastAsia="zh-CN"/>
              </w:rPr>
              <w:t xml:space="preserve">监测</w:t>
            </w:r>
            <w:r>
              <w:rPr>
                <w:rFonts w:hint="eastAsia" w:ascii="宋体" w:hAnsi="宋体" w:eastAsia="宋体" w:cs="宋体"/>
                <w:b w:val="0"/>
                <w:color w:val="000000"/>
                <w:sz w:val="28"/>
                <w:szCs w:val="28"/>
              </w:rPr>
              <w:t xml:space="preserve">批次</w:t>
            </w:r>
            <w:r/>
          </w:p>
        </w:tc>
        <w:tc>
          <w:tcPr>
            <w:tcW w:w="2860" w:type="dxa"/>
            <w:vAlign w:val="center"/>
            <w:textDirection w:val="lrTb"/>
            <w:noWrap w:val="false"/>
          </w:tcPr>
          <w:p>
            <w:pPr>
              <w:pStyle w:val="797"/>
              <w:ind w:left="0" w:firstLine="0"/>
              <w:jc w:val="center"/>
              <w:keepLines w:val="0"/>
              <w:keepNext w:val="0"/>
              <w:pageBreakBefore w:val="0"/>
              <w:spacing w:line="36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b w:val="0"/>
                <w:color w:val="000000"/>
                <w:sz w:val="28"/>
                <w:szCs w:val="28"/>
                <w:lang w:eastAsia="zh-CN"/>
              </w:rPr>
              <w:t xml:space="preserve">监测地区</w:t>
            </w:r>
            <w:r/>
          </w:p>
        </w:tc>
        <w:tc>
          <w:tcPr>
            <w:tcW w:w="6449" w:type="dxa"/>
            <w:vAlign w:val="center"/>
            <w:textDirection w:val="lrTb"/>
            <w:noWrap w:val="false"/>
          </w:tcPr>
          <w:p>
            <w:pPr>
              <w:pStyle w:val="797"/>
              <w:ind w:left="0" w:firstLine="0"/>
              <w:jc w:val="center"/>
              <w:keepLines w:val="0"/>
              <w:keepNext w:val="0"/>
              <w:pageBreakBefore w:val="0"/>
              <w:spacing w:line="36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b w:val="0"/>
                <w:color w:val="000000"/>
                <w:sz w:val="28"/>
                <w:szCs w:val="28"/>
                <w:lang w:eastAsia="zh-CN"/>
              </w:rPr>
              <w:t xml:space="preserve">监测指标</w:t>
            </w:r>
            <w:r/>
          </w:p>
        </w:tc>
      </w:tr>
      <w:tr>
        <w:trPr/>
        <w:tc>
          <w:tcPr>
            <w:tcW w:w="909" w:type="dxa"/>
            <w:vAlign w:val="center"/>
            <w:textDirection w:val="lrTb"/>
            <w:noWrap w:val="false"/>
          </w:tcPr>
          <w:p>
            <w:pPr>
              <w:pStyle w:val="797"/>
              <w:ind w:left="0" w:firstLine="0"/>
              <w:jc w:val="center"/>
              <w:keepLines w:val="0"/>
              <w:keepNext w:val="0"/>
              <w:pageBreakBefore w:val="0"/>
              <w:spacing w:line="36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1-1</w:t>
            </w:r>
            <w:r/>
          </w:p>
        </w:tc>
        <w:tc>
          <w:tcPr>
            <w:tcW w:w="1361" w:type="dxa"/>
            <w:vAlign w:val="center"/>
            <w:textDirection w:val="lrTb"/>
            <w:noWrap w:val="false"/>
          </w:tcPr>
          <w:p>
            <w:pPr>
              <w:pStyle w:val="797"/>
              <w:ind w:left="0" w:firstLine="0"/>
              <w:jc w:val="center"/>
              <w:keepLines w:val="0"/>
              <w:keepNext w:val="0"/>
              <w:pageBreakBefore w:val="0"/>
              <w:spacing w:line="360" w:lineRule="exact"/>
              <w:widowControl w:val="off"/>
              <w:rPr>
                <w:rFonts w:hint="eastAsia" w:ascii="宋体" w:hAnsi="宋体" w:eastAsia="宋体" w:cs="宋体"/>
                <w:b w:val="0"/>
                <w:bCs/>
                <w:i w:val="0"/>
                <w:color w:val="000000"/>
                <w:sz w:val="24"/>
                <w:szCs w:val="24"/>
                <w:u w:val="none"/>
                <w:lang w:val="en-US" w:eastAsia="zh-CN" w:bidi="ar"/>
              </w:rPr>
            </w:pPr>
            <w:r>
              <w:rPr>
                <w:rFonts w:hint="eastAsia" w:ascii="宋体" w:hAnsi="宋体" w:eastAsia="宋体" w:cs="宋体"/>
                <w:b w:val="0"/>
                <w:bCs/>
                <w:i w:val="0"/>
                <w:color w:val="000000"/>
                <w:sz w:val="24"/>
                <w:szCs w:val="24"/>
                <w:u w:val="none"/>
                <w:lang w:val="en-US" w:eastAsia="zh-CN" w:bidi="ar"/>
              </w:rPr>
              <w:t xml:space="preserve">银杏（白果）</w:t>
            </w:r>
            <w:r/>
          </w:p>
        </w:tc>
        <w:tc>
          <w:tcPr>
            <w:tcW w:w="1788" w:type="dxa"/>
            <w:vAlign w:val="center"/>
            <w:textDirection w:val="lrTb"/>
            <w:noWrap w:val="false"/>
          </w:tcPr>
          <w:p>
            <w:pPr>
              <w:pStyle w:val="797"/>
              <w:ind w:left="0" w:firstLine="0"/>
              <w:jc w:val="center"/>
              <w:keepLines w:val="0"/>
              <w:keepNext w:val="0"/>
              <w:pageBreakBefore w:val="0"/>
              <w:spacing w:line="360" w:lineRule="exact"/>
              <w:widowControl w:val="off"/>
              <w:rPr>
                <w:rFonts w:hint="eastAsia" w:ascii="宋体" w:hAnsi="宋体" w:eastAsia="宋体" w:cs="宋体"/>
                <w:b w:val="0"/>
                <w:bCs/>
                <w:i w:val="0"/>
                <w:color w:val="000000"/>
                <w:sz w:val="24"/>
                <w:szCs w:val="24"/>
                <w:u w:val="none"/>
                <w:lang w:val="en-US" w:eastAsia="zh-CN" w:bidi="ar"/>
              </w:rPr>
            </w:pPr>
            <w:r>
              <w:rPr>
                <w:rFonts w:hint="eastAsia" w:ascii="宋体" w:hAnsi="宋体" w:eastAsia="宋体" w:cs="宋体"/>
                <w:b w:val="0"/>
                <w:bCs/>
                <w:i w:val="0"/>
                <w:color w:val="000000"/>
                <w:sz w:val="24"/>
                <w:szCs w:val="24"/>
                <w:u w:val="none"/>
                <w:lang w:val="en-US" w:eastAsia="zh-CN" w:bidi="ar"/>
              </w:rPr>
              <w:t xml:space="preserve">11月30日前</w:t>
            </w:r>
            <w:r/>
          </w:p>
        </w:tc>
        <w:tc>
          <w:tcPr>
            <w:tcW w:w="807" w:type="dxa"/>
            <w:vAlign w:val="center"/>
            <w:textDirection w:val="lrTb"/>
            <w:noWrap w:val="false"/>
          </w:tcPr>
          <w:p>
            <w:pPr>
              <w:pStyle w:val="797"/>
              <w:ind w:left="0" w:firstLine="0"/>
              <w:jc w:val="center"/>
              <w:keepLines w:val="0"/>
              <w:keepNext w:val="0"/>
              <w:pageBreakBefore w:val="0"/>
              <w:spacing w:line="360" w:lineRule="exact"/>
              <w:widowControl w:val="off"/>
              <w:rPr>
                <w:rFonts w:hint="eastAsia" w:ascii="宋体" w:hAnsi="宋体" w:eastAsia="宋体" w:cs="宋体"/>
                <w:b w:val="0"/>
                <w:bCs/>
                <w:i w:val="0"/>
                <w:color w:val="000000"/>
                <w:sz w:val="24"/>
                <w:szCs w:val="24"/>
                <w:u w:val="none"/>
                <w:lang w:val="en-US" w:eastAsia="zh-CN" w:bidi="ar"/>
              </w:rPr>
            </w:pPr>
            <w:r>
              <w:rPr>
                <w:rFonts w:hint="eastAsia" w:ascii="宋体" w:hAnsi="宋体" w:eastAsia="宋体" w:cs="宋体"/>
                <w:b w:val="0"/>
                <w:bCs/>
                <w:i w:val="0"/>
                <w:color w:val="000000"/>
                <w:sz w:val="24"/>
                <w:szCs w:val="24"/>
                <w:u w:val="none"/>
                <w:lang w:val="en-US" w:eastAsia="zh-CN" w:bidi="ar"/>
              </w:rPr>
              <w:t xml:space="preserve">116</w:t>
            </w:r>
            <w:r/>
          </w:p>
        </w:tc>
        <w:tc>
          <w:tcPr>
            <w:tcW w:w="286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color w:val="000000"/>
                <w:sz w:val="24"/>
                <w:szCs w:val="24"/>
                <w:u w:val="none"/>
                <w:lang w:val="en-US" w:eastAsia="zh-CN" w:bidi="ar-SA"/>
              </w:rPr>
              <w:suppressLineNumbers w:val="0"/>
            </w:pPr>
            <w:r>
              <w:rPr>
                <w:rFonts w:hint="eastAsia" w:ascii="宋体" w:hAnsi="宋体" w:eastAsia="宋体" w:cs="宋体"/>
                <w:i w:val="0"/>
                <w:color w:val="000000"/>
                <w:sz w:val="24"/>
                <w:szCs w:val="24"/>
                <w:u w:val="none"/>
                <w:lang w:val="en-US" w:eastAsia="zh-CN" w:bidi="ar"/>
              </w:rPr>
              <w:t xml:space="preserve">邳州市、新沂市、睢宁县、吴中区、海安市、海州区、射阳县、滨海县、东台市、海陵区、高港区、姜堰区、泰兴市、兴化市、靖江市</w:t>
            </w:r>
            <w:r/>
          </w:p>
        </w:tc>
        <w:tc>
          <w:tcPr>
            <w:tcW w:w="6449" w:type="dxa"/>
            <w:vAlign w:val="top"/>
            <w:textDirection w:val="lrTb"/>
            <w:noWrap w:val="false"/>
          </w:tcPr>
          <w:p>
            <w:pPr>
              <w:pStyle w:val="797"/>
              <w:ind w:left="0" w:firstLine="0"/>
              <w:keepLines w:val="0"/>
              <w:keepNext w:val="0"/>
              <w:pageBreakBefore w:val="0"/>
              <w:spacing w:line="360" w:lineRule="exact"/>
              <w:widowControl w:val="off"/>
              <w:rPr>
                <w:rFonts w:hint="eastAsia" w:ascii="宋体" w:hAnsi="宋体" w:eastAsia="宋体" w:cs="宋体"/>
                <w:b w:val="0"/>
                <w:color w:val="000000"/>
                <w:sz w:val="24"/>
                <w:szCs w:val="24"/>
                <w:lang w:val="en-US" w:eastAsia="zh-CN"/>
              </w:rPr>
            </w:pPr>
            <w:r>
              <w:rPr>
                <w:rFonts w:hint="eastAsia" w:ascii="宋体" w:hAnsi="宋体" w:eastAsia="宋体" w:cs="宋体"/>
                <w:b/>
                <w:bCs/>
                <w:color w:val="000000"/>
                <w:sz w:val="24"/>
                <w:szCs w:val="24"/>
                <w:lang w:eastAsia="zh-CN"/>
              </w:rPr>
              <w:t xml:space="preserve">农药残留指标</w:t>
            </w:r>
            <w:r>
              <w:rPr>
                <w:rFonts w:hint="eastAsia" w:ascii="宋体" w:hAnsi="宋体" w:eastAsia="宋体" w:cs="宋体"/>
                <w:b/>
                <w:bCs/>
                <w:color w:val="000000"/>
                <w:sz w:val="24"/>
                <w:szCs w:val="24"/>
              </w:rPr>
              <w:t xml:space="preserve">13项</w:t>
            </w:r>
            <w:r>
              <w:rPr>
                <w:rFonts w:hint="eastAsia" w:ascii="宋体" w:hAnsi="宋体" w:eastAsia="宋体" w:cs="宋体"/>
                <w:b/>
                <w:bCs/>
                <w:color w:val="000000"/>
                <w:sz w:val="24"/>
                <w:szCs w:val="24"/>
                <w:lang w:eastAsia="zh-CN"/>
              </w:rPr>
              <w:t xml:space="preserve">：</w:t>
            </w:r>
            <w:r>
              <w:rPr>
                <w:rFonts w:hint="eastAsia" w:ascii="宋体" w:hAnsi="宋体" w:eastAsia="宋体" w:cs="宋体"/>
                <w:b w:val="0"/>
                <w:color w:val="000000"/>
                <w:sz w:val="24"/>
                <w:szCs w:val="24"/>
              </w:rPr>
              <w:t xml:space="preserve">甲拌磷、甲基异柳磷、甲氧滴滴涕、克百威、乐果、硫丹、氯苯甲醚、三氯杀螨醇、杀虫畏、杀扑磷、速灭磷、乙酰甲胺磷、乙酯杀螨醇</w:t>
            </w:r>
            <w:r>
              <w:rPr>
                <w:rFonts w:hint="eastAsia" w:ascii="宋体" w:hAnsi="宋体" w:eastAsia="宋体" w:cs="宋体"/>
                <w:b w:val="0"/>
                <w:color w:val="000000"/>
                <w:sz w:val="24"/>
                <w:szCs w:val="24"/>
                <w:lang w:eastAsia="zh-CN"/>
              </w:rPr>
              <w:t xml:space="preserve">。</w:t>
            </w:r>
            <w:r/>
          </w:p>
        </w:tc>
      </w:tr>
      <w:tr>
        <w:trPr/>
        <w:tc>
          <w:tcPr>
            <w:tcW w:w="909" w:type="dxa"/>
            <w:vAlign w:val="center"/>
            <w:textDirection w:val="lrTb"/>
            <w:noWrap w:val="false"/>
          </w:tcPr>
          <w:p>
            <w:pPr>
              <w:pStyle w:val="797"/>
              <w:ind w:left="0" w:firstLine="0"/>
              <w:jc w:val="center"/>
              <w:keepLines w:val="0"/>
              <w:keepNext w:val="0"/>
              <w:pageBreakBefore w:val="0"/>
              <w:spacing w:line="36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1-2</w:t>
            </w:r>
            <w:r/>
          </w:p>
        </w:tc>
        <w:tc>
          <w:tcPr>
            <w:tcW w:w="1361" w:type="dxa"/>
            <w:vAlign w:val="center"/>
            <w:textDirection w:val="lrTb"/>
            <w:noWrap w:val="false"/>
          </w:tcPr>
          <w:p>
            <w:pPr>
              <w:pStyle w:val="797"/>
              <w:ind w:left="0" w:firstLine="0"/>
              <w:jc w:val="center"/>
              <w:keepLines w:val="0"/>
              <w:keepNext w:val="0"/>
              <w:pageBreakBefore w:val="0"/>
              <w:spacing w:line="360" w:lineRule="exact"/>
              <w:widowControl w:val="off"/>
              <w:rPr>
                <w:rFonts w:hint="eastAsia" w:ascii="宋体" w:hAnsi="宋体" w:eastAsia="宋体" w:cs="宋体"/>
                <w:b w:val="0"/>
                <w:bCs/>
                <w:i w:val="0"/>
                <w:color w:val="000000"/>
                <w:sz w:val="24"/>
                <w:szCs w:val="24"/>
                <w:u w:val="none"/>
                <w:lang w:val="en-US" w:eastAsia="zh-CN" w:bidi="ar"/>
              </w:rPr>
            </w:pPr>
            <w:r>
              <w:rPr>
                <w:rFonts w:hint="eastAsia" w:ascii="宋体" w:hAnsi="宋体" w:eastAsia="宋体" w:cs="宋体"/>
                <w:b w:val="0"/>
                <w:bCs/>
                <w:i w:val="0"/>
                <w:color w:val="000000"/>
                <w:sz w:val="24"/>
                <w:szCs w:val="24"/>
                <w:u w:val="none"/>
                <w:lang w:val="en-US" w:eastAsia="zh-CN" w:bidi="ar"/>
              </w:rPr>
              <w:t xml:space="preserve">板栗</w:t>
            </w:r>
            <w:r/>
          </w:p>
        </w:tc>
        <w:tc>
          <w:tcPr>
            <w:tcW w:w="1788" w:type="dxa"/>
            <w:vAlign w:val="center"/>
            <w:textDirection w:val="lrTb"/>
            <w:noWrap w:val="false"/>
          </w:tcPr>
          <w:p>
            <w:pPr>
              <w:pStyle w:val="797"/>
              <w:ind w:left="0" w:firstLine="0"/>
              <w:jc w:val="center"/>
              <w:keepLines w:val="0"/>
              <w:keepNext w:val="0"/>
              <w:pageBreakBefore w:val="0"/>
              <w:spacing w:line="360" w:lineRule="exact"/>
              <w:widowControl w:val="off"/>
              <w:rPr>
                <w:rFonts w:hint="eastAsia" w:ascii="宋体" w:hAnsi="宋体" w:eastAsia="宋体" w:cs="宋体"/>
                <w:b w:val="0"/>
                <w:bCs/>
                <w:i w:val="0"/>
                <w:color w:val="000000"/>
                <w:sz w:val="24"/>
                <w:szCs w:val="24"/>
                <w:u w:val="none"/>
                <w:lang w:val="en-US" w:eastAsia="zh-CN" w:bidi="ar"/>
              </w:rPr>
            </w:pPr>
            <w:r>
              <w:rPr>
                <w:rFonts w:hint="eastAsia" w:ascii="宋体" w:hAnsi="宋体" w:eastAsia="宋体" w:cs="宋体"/>
                <w:b w:val="0"/>
                <w:bCs/>
                <w:i w:val="0"/>
                <w:color w:val="000000"/>
                <w:sz w:val="24"/>
                <w:szCs w:val="24"/>
                <w:u w:val="none"/>
                <w:lang w:val="en-US" w:eastAsia="zh-CN" w:bidi="ar"/>
              </w:rPr>
              <w:t xml:space="preserve">11月30日前</w:t>
            </w:r>
            <w:r/>
          </w:p>
        </w:tc>
        <w:tc>
          <w:tcPr>
            <w:tcW w:w="807" w:type="dxa"/>
            <w:vAlign w:val="center"/>
            <w:textDirection w:val="lrTb"/>
            <w:noWrap w:val="false"/>
          </w:tcPr>
          <w:p>
            <w:pPr>
              <w:pStyle w:val="797"/>
              <w:ind w:left="0" w:firstLine="0"/>
              <w:jc w:val="center"/>
              <w:keepLines w:val="0"/>
              <w:keepNext w:val="0"/>
              <w:pageBreakBefore w:val="0"/>
              <w:spacing w:line="360" w:lineRule="exact"/>
              <w:widowControl w:val="off"/>
              <w:rPr>
                <w:rFonts w:hint="eastAsia" w:ascii="宋体" w:hAnsi="宋体" w:eastAsia="宋体" w:cs="宋体"/>
                <w:b w:val="0"/>
                <w:bCs/>
                <w:i w:val="0"/>
                <w:color w:val="000000"/>
                <w:sz w:val="24"/>
                <w:szCs w:val="24"/>
                <w:u w:val="none"/>
                <w:lang w:val="en-US" w:eastAsia="zh-CN" w:bidi="ar"/>
              </w:rPr>
            </w:pPr>
            <w:r>
              <w:rPr>
                <w:rFonts w:hint="eastAsia" w:ascii="宋体" w:hAnsi="宋体" w:eastAsia="宋体" w:cs="宋体"/>
                <w:b w:val="0"/>
                <w:bCs/>
                <w:i w:val="0"/>
                <w:color w:val="000000"/>
                <w:sz w:val="24"/>
                <w:szCs w:val="24"/>
                <w:u w:val="none"/>
                <w:lang w:val="en-US" w:eastAsia="zh-CN" w:bidi="ar"/>
              </w:rPr>
              <w:t xml:space="preserve">156</w:t>
            </w:r>
            <w:r/>
          </w:p>
        </w:tc>
        <w:tc>
          <w:tcPr>
            <w:tcW w:w="286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color w:val="000000"/>
                <w:sz w:val="24"/>
                <w:szCs w:val="24"/>
                <w:u w:val="none"/>
                <w:lang w:val="en-US" w:eastAsia="zh-CN" w:bidi="ar-SA"/>
              </w:rPr>
              <w:suppressLineNumbers w:val="0"/>
            </w:pPr>
            <w:r>
              <w:rPr>
                <w:rFonts w:hint="eastAsia" w:ascii="宋体" w:hAnsi="宋体" w:eastAsia="宋体" w:cs="宋体"/>
                <w:i w:val="0"/>
                <w:color w:val="000000"/>
                <w:sz w:val="24"/>
                <w:szCs w:val="24"/>
                <w:u w:val="none"/>
                <w:lang w:val="en-US" w:eastAsia="zh-CN" w:bidi="ar-SA"/>
              </w:rPr>
              <w:t xml:space="preserve">六合区、溧水区、宜兴市、新沂市、溧阳市、吴中区、赣榆区、盱眙县、句容市、沭阳县</w:t>
            </w:r>
            <w:r/>
          </w:p>
        </w:tc>
        <w:tc>
          <w:tcPr>
            <w:tcW w:w="6449" w:type="dxa"/>
            <w:vAlign w:val="top"/>
            <w:textDirection w:val="lrTb"/>
            <w:noWrap w:val="false"/>
          </w:tcPr>
          <w:p>
            <w:pPr>
              <w:pStyle w:val="797"/>
              <w:ind w:left="0" w:firstLine="0"/>
              <w:keepLines w:val="0"/>
              <w:keepNext w:val="0"/>
              <w:pageBreakBefore w:val="0"/>
              <w:spacing w:line="360" w:lineRule="exact"/>
              <w:widowControl w:val="off"/>
              <w:rPr>
                <w:rFonts w:hint="eastAsia" w:ascii="宋体" w:hAnsi="宋体" w:eastAsia="宋体" w:cs="宋体"/>
                <w:b w:val="0"/>
                <w:color w:val="000000"/>
                <w:sz w:val="24"/>
                <w:szCs w:val="24"/>
                <w:lang w:eastAsia="zh-CN"/>
              </w:rPr>
            </w:pPr>
            <w:r>
              <w:rPr>
                <w:rFonts w:hint="eastAsia" w:ascii="宋体" w:hAnsi="宋体" w:eastAsia="宋体" w:cs="宋体"/>
                <w:b/>
                <w:bCs/>
                <w:color w:val="000000"/>
                <w:sz w:val="24"/>
                <w:szCs w:val="24"/>
                <w:lang w:eastAsia="zh-CN"/>
              </w:rPr>
              <w:t xml:space="preserve">农药残留指标32项：</w:t>
            </w:r>
            <w:r>
              <w:rPr>
                <w:rFonts w:hint="eastAsia" w:ascii="宋体" w:hAnsi="宋体" w:eastAsia="宋体" w:cs="宋体"/>
                <w:b w:val="0"/>
                <w:color w:val="000000"/>
                <w:sz w:val="24"/>
                <w:szCs w:val="24"/>
              </w:rPr>
              <w:t xml:space="preserve">苯醚甲环唑、吡虫啉、吡唑醚菌酯、除虫脲、啶虫脒、啶酰菌胺、多菌灵、二甲戊灵、甲氰菊酯、甲氧虫酰肼、甲氧滴滴涕、腈苯唑、联苯菊酯、硫丹、螺螨酯、氯苯甲醚、氯氟氰菊酯和高效氯氟氰菊酯、氯氰菊酯和高效氯氰菊酯、嘧菌酯、噻虫啉、噻螨酮、三氯杀螨醇、杀虫畏、杀扑磷、四螨嗪、速灭磷、肟菌酯、戊唑醇、亚胺硫磷、乙螨唑、乙酯杀螨醇、唑螨酯</w:t>
            </w:r>
            <w:r>
              <w:rPr>
                <w:rFonts w:hint="eastAsia" w:ascii="宋体" w:hAnsi="宋体" w:eastAsia="宋体" w:cs="宋体"/>
                <w:b w:val="0"/>
                <w:color w:val="000000"/>
                <w:sz w:val="24"/>
                <w:szCs w:val="24"/>
                <w:lang w:eastAsia="zh-CN"/>
              </w:rPr>
              <w:t xml:space="preserve">。</w:t>
            </w:r>
            <w:r/>
          </w:p>
          <w:p>
            <w:pPr>
              <w:pStyle w:val="797"/>
              <w:ind w:left="0" w:firstLine="0"/>
              <w:keepLines w:val="0"/>
              <w:keepNext w:val="0"/>
              <w:pageBreakBefore w:val="0"/>
              <w:spacing w:line="360" w:lineRule="exact"/>
              <w:widowControl w:val="off"/>
              <w:rPr>
                <w:rFonts w:hint="eastAsia" w:ascii="宋体" w:hAnsi="宋体" w:eastAsia="宋体" w:cs="宋体"/>
                <w:b w:val="0"/>
                <w:color w:val="000000"/>
                <w:sz w:val="24"/>
                <w:szCs w:val="24"/>
                <w:lang w:val="en-US" w:eastAsia="zh-CN"/>
              </w:rPr>
            </w:pPr>
            <w:r>
              <w:rPr>
                <w:rFonts w:hint="eastAsia" w:ascii="宋体" w:hAnsi="宋体" w:eastAsia="宋体" w:cs="宋体"/>
                <w:b/>
                <w:bCs/>
                <w:color w:val="000000"/>
                <w:sz w:val="24"/>
                <w:szCs w:val="24"/>
                <w:lang w:eastAsia="zh-CN"/>
              </w:rPr>
              <w:t xml:space="preserve">重金属1项：</w:t>
            </w:r>
            <w:r>
              <w:rPr>
                <w:rFonts w:hint="eastAsia" w:ascii="宋体" w:hAnsi="宋体" w:eastAsia="宋体" w:cs="宋体"/>
                <w:b w:val="0"/>
                <w:bCs w:val="0"/>
                <w:color w:val="000000"/>
                <w:sz w:val="24"/>
                <w:szCs w:val="24"/>
                <w:lang w:eastAsia="zh-CN"/>
              </w:rPr>
              <w:t xml:space="preserve">铅。</w:t>
            </w:r>
            <w:r/>
          </w:p>
        </w:tc>
      </w:tr>
      <w:tr>
        <w:trPr/>
        <w:tc>
          <w:tcPr>
            <w:tcW w:w="909" w:type="dxa"/>
            <w:vAlign w:val="center"/>
            <w:textDirection w:val="lrTb"/>
            <w:noWrap w:val="false"/>
          </w:tcPr>
          <w:p>
            <w:pPr>
              <w:pStyle w:val="797"/>
              <w:ind w:left="0" w:firstLine="0"/>
              <w:jc w:val="center"/>
              <w:keepLines w:val="0"/>
              <w:keepNext w:val="0"/>
              <w:pageBreakBefore w:val="0"/>
              <w:spacing w:line="36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1-3</w:t>
            </w:r>
            <w:r/>
          </w:p>
        </w:tc>
        <w:tc>
          <w:tcPr>
            <w:tcW w:w="1361" w:type="dxa"/>
            <w:vAlign w:val="center"/>
            <w:textDirection w:val="lrTb"/>
            <w:noWrap w:val="false"/>
          </w:tcPr>
          <w:p>
            <w:pPr>
              <w:pStyle w:val="797"/>
              <w:ind w:left="0" w:firstLine="0"/>
              <w:jc w:val="center"/>
              <w:keepLines w:val="0"/>
              <w:keepNext w:val="0"/>
              <w:pageBreakBefore w:val="0"/>
              <w:spacing w:line="360" w:lineRule="exact"/>
              <w:widowControl w:val="off"/>
              <w:rPr>
                <w:rFonts w:hint="eastAsia" w:ascii="宋体" w:hAnsi="宋体" w:eastAsia="宋体" w:cs="宋体"/>
                <w:b w:val="0"/>
                <w:bCs/>
                <w:i w:val="0"/>
                <w:color w:val="000000"/>
                <w:sz w:val="24"/>
                <w:szCs w:val="24"/>
                <w:u w:val="none"/>
                <w:lang w:val="en-US" w:eastAsia="zh-CN" w:bidi="ar"/>
              </w:rPr>
            </w:pPr>
            <w:r>
              <w:rPr>
                <w:rFonts w:hint="eastAsia" w:ascii="宋体" w:hAnsi="宋体" w:eastAsia="宋体" w:cs="宋体"/>
                <w:b w:val="0"/>
                <w:bCs/>
                <w:i w:val="0"/>
                <w:color w:val="000000"/>
                <w:sz w:val="24"/>
                <w:szCs w:val="24"/>
                <w:u w:val="none"/>
                <w:lang w:val="en-US" w:eastAsia="zh-CN" w:bidi="ar"/>
              </w:rPr>
              <w:t xml:space="preserve">核桃（含薄壳山核桃）</w:t>
            </w:r>
            <w:r/>
          </w:p>
        </w:tc>
        <w:tc>
          <w:tcPr>
            <w:tcW w:w="1788" w:type="dxa"/>
            <w:vAlign w:val="center"/>
            <w:textDirection w:val="lrTb"/>
            <w:noWrap w:val="false"/>
          </w:tcPr>
          <w:p>
            <w:pPr>
              <w:pStyle w:val="797"/>
              <w:ind w:left="0" w:firstLine="0"/>
              <w:jc w:val="center"/>
              <w:keepLines w:val="0"/>
              <w:keepNext w:val="0"/>
              <w:pageBreakBefore w:val="0"/>
              <w:spacing w:line="360" w:lineRule="exact"/>
              <w:widowControl w:val="off"/>
              <w:rPr>
                <w:rFonts w:hint="eastAsia" w:ascii="宋体" w:hAnsi="宋体" w:eastAsia="宋体" w:cs="宋体"/>
                <w:b w:val="0"/>
                <w:bCs/>
                <w:i w:val="0"/>
                <w:color w:val="000000"/>
                <w:sz w:val="24"/>
                <w:szCs w:val="24"/>
                <w:u w:val="none"/>
                <w:lang w:val="en-US" w:eastAsia="zh-CN" w:bidi="ar"/>
              </w:rPr>
            </w:pPr>
            <w:r>
              <w:rPr>
                <w:rFonts w:hint="eastAsia" w:ascii="宋体" w:hAnsi="宋体" w:eastAsia="宋体" w:cs="宋体"/>
                <w:b w:val="0"/>
                <w:bCs/>
                <w:i w:val="0"/>
                <w:color w:val="000000"/>
                <w:sz w:val="24"/>
                <w:szCs w:val="24"/>
                <w:u w:val="none"/>
                <w:lang w:val="en-US" w:eastAsia="zh-CN" w:bidi="ar"/>
              </w:rPr>
              <w:t xml:space="preserve">11月30日前</w:t>
            </w:r>
            <w:r/>
          </w:p>
        </w:tc>
        <w:tc>
          <w:tcPr>
            <w:tcW w:w="807" w:type="dxa"/>
            <w:vAlign w:val="center"/>
            <w:textDirection w:val="lrTb"/>
            <w:noWrap w:val="false"/>
          </w:tcPr>
          <w:p>
            <w:pPr>
              <w:pStyle w:val="797"/>
              <w:ind w:left="0" w:firstLine="0"/>
              <w:jc w:val="center"/>
              <w:keepLines w:val="0"/>
              <w:keepNext w:val="0"/>
              <w:pageBreakBefore w:val="0"/>
              <w:spacing w:line="360" w:lineRule="exact"/>
              <w:widowControl w:val="off"/>
              <w:rPr>
                <w:rFonts w:hint="eastAsia" w:ascii="宋体" w:hAnsi="宋体" w:eastAsia="宋体" w:cs="宋体"/>
                <w:b w:val="0"/>
                <w:bCs/>
                <w:i w:val="0"/>
                <w:color w:val="000000"/>
                <w:sz w:val="24"/>
                <w:szCs w:val="24"/>
                <w:u w:val="none"/>
                <w:lang w:val="en-US" w:eastAsia="zh-CN" w:bidi="ar"/>
              </w:rPr>
            </w:pPr>
            <w:r>
              <w:rPr>
                <w:rFonts w:hint="eastAsia" w:ascii="宋体" w:hAnsi="宋体" w:eastAsia="宋体" w:cs="宋体"/>
                <w:b w:val="0"/>
                <w:bCs/>
                <w:i w:val="0"/>
                <w:color w:val="000000"/>
                <w:sz w:val="24"/>
                <w:szCs w:val="24"/>
                <w:u w:val="none"/>
                <w:lang w:val="en-US" w:eastAsia="zh-CN" w:bidi="ar"/>
              </w:rPr>
              <w:t xml:space="preserve">367</w:t>
            </w:r>
            <w:r/>
          </w:p>
        </w:tc>
        <w:tc>
          <w:tcPr>
            <w:tcW w:w="286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color w:val="000000"/>
                <w:sz w:val="24"/>
                <w:szCs w:val="24"/>
                <w:u w:val="none"/>
                <w:lang w:val="en-US" w:eastAsia="zh-CN" w:bidi="ar-SA"/>
              </w:rPr>
              <w:suppressLineNumbers w:val="0"/>
            </w:pPr>
            <w:r>
              <w:rPr>
                <w:rFonts w:hint="eastAsia" w:ascii="宋体" w:hAnsi="宋体" w:eastAsia="宋体" w:cs="宋体"/>
                <w:i w:val="0"/>
                <w:color w:val="000000"/>
                <w:sz w:val="24"/>
                <w:szCs w:val="24"/>
                <w:u w:val="none"/>
                <w:lang w:val="en-US" w:eastAsia="zh-CN" w:bidi="ar-SA"/>
              </w:rPr>
              <w:t xml:space="preserve">六合区、宜兴市、铜山区、徐州经开区、邳州市、新沂市、睢宁县、丰县、金坛区、常州高新区、赣榆区、东海县、淮阴区、盱眙县、响水县、东台市、高邮市、句容市、</w:t>
            </w:r>
            <w:r>
              <w:rPr>
                <w:rFonts w:hint="eastAsia" w:ascii="宋体" w:hAnsi="宋体" w:eastAsia="宋体" w:cs="宋体"/>
                <w:i w:val="0"/>
                <w:color w:val="000000"/>
                <w:sz w:val="24"/>
                <w:szCs w:val="24"/>
                <w:u w:val="none"/>
                <w:lang w:val="en-US" w:eastAsia="zh-CN" w:bidi="ar"/>
              </w:rPr>
              <w:t xml:space="preserve">海陵区、高港区、姜堰区、兴化市、泗洪县</w:t>
            </w:r>
            <w:r/>
          </w:p>
        </w:tc>
        <w:tc>
          <w:tcPr>
            <w:tcW w:w="6449" w:type="dxa"/>
            <w:vAlign w:val="top"/>
            <w:textDirection w:val="lrTb"/>
            <w:noWrap w:val="false"/>
          </w:tcPr>
          <w:p>
            <w:pPr>
              <w:pStyle w:val="797"/>
              <w:ind w:left="0" w:firstLine="0"/>
              <w:keepLines w:val="0"/>
              <w:keepNext w:val="0"/>
              <w:pageBreakBefore w:val="0"/>
              <w:spacing w:line="360" w:lineRule="exact"/>
              <w:widowControl w:val="off"/>
              <w:rPr>
                <w:rFonts w:hint="eastAsia" w:ascii="宋体" w:hAnsi="宋体" w:eastAsia="宋体" w:cs="宋体"/>
                <w:b w:val="0"/>
                <w:color w:val="000000"/>
                <w:sz w:val="24"/>
                <w:szCs w:val="24"/>
              </w:rPr>
            </w:pPr>
            <w:r>
              <w:rPr>
                <w:rFonts w:hint="eastAsia" w:ascii="宋体" w:hAnsi="宋体" w:eastAsia="宋体" w:cs="宋体"/>
                <w:b/>
                <w:bCs/>
                <w:color w:val="000000"/>
                <w:sz w:val="24"/>
                <w:szCs w:val="24"/>
                <w:lang w:eastAsia="zh-CN"/>
              </w:rPr>
              <w:t xml:space="preserve">农药残留指标32项：</w:t>
            </w:r>
            <w:r>
              <w:rPr>
                <w:rFonts w:hint="eastAsia" w:ascii="宋体" w:hAnsi="宋体" w:eastAsia="宋体" w:cs="宋体"/>
                <w:b w:val="0"/>
                <w:color w:val="000000"/>
                <w:sz w:val="24"/>
                <w:szCs w:val="24"/>
              </w:rPr>
              <w:t xml:space="preserve">苯醚甲环唑、吡虫啉、吡唑醚菌酯、除虫脲、啶虫脒、啶酰菌胺、多菌灵、二甲戊灵、甲氰菊酯、甲氧虫酰肼、甲氧滴滴涕、腈苯唑、联苯菊酯、硫丹、螺螨酯、氯苯甲醚、氯氟氰菊酯和高效氯氟氰菊酯、氯氰菊酯和高效氯氰菊酯、嘧菌酯、噻虫啉、噻螨酮、三氯杀螨醇、杀虫畏、杀扑磷、四螨嗪、速灭磷、肟菌酯、戊唑醇、亚胺硫磷、乙螨唑、乙酯杀螨醇、唑螨酯。</w:t>
            </w:r>
            <w:r/>
          </w:p>
          <w:p>
            <w:pPr>
              <w:pStyle w:val="797"/>
              <w:ind w:left="0" w:firstLine="0"/>
              <w:keepLines w:val="0"/>
              <w:keepNext w:val="0"/>
              <w:pageBreakBefore w:val="0"/>
              <w:spacing w:line="360" w:lineRule="exact"/>
              <w:widowControl w:val="off"/>
              <w:rPr>
                <w:rFonts w:hint="eastAsia" w:ascii="宋体" w:hAnsi="宋体" w:eastAsia="宋体" w:cs="宋体"/>
                <w:b w:val="0"/>
                <w:color w:val="000000"/>
                <w:sz w:val="24"/>
                <w:szCs w:val="24"/>
              </w:rPr>
            </w:pPr>
            <w:r>
              <w:rPr>
                <w:rFonts w:hint="eastAsia" w:ascii="宋体" w:hAnsi="宋体" w:eastAsia="宋体" w:cs="宋体"/>
                <w:b/>
                <w:bCs/>
                <w:color w:val="000000"/>
                <w:sz w:val="24"/>
                <w:szCs w:val="24"/>
              </w:rPr>
              <w:t xml:space="preserve">核桃（加测6项，共38 项）：</w:t>
            </w:r>
            <w:r>
              <w:rPr>
                <w:rFonts w:hint="eastAsia" w:ascii="宋体" w:hAnsi="宋体" w:eastAsia="宋体" w:cs="宋体"/>
                <w:b w:val="0"/>
                <w:color w:val="000000"/>
                <w:sz w:val="24"/>
                <w:szCs w:val="24"/>
              </w:rPr>
              <w:t xml:space="preserve">阿维菌素、虫酰肼、毒死蜱、二嗪磷、伏杀硫磷、溴氰菊酯。</w:t>
            </w:r>
            <w:r/>
          </w:p>
          <w:p>
            <w:pPr>
              <w:pStyle w:val="797"/>
              <w:ind w:left="0" w:firstLine="0"/>
              <w:keepLines w:val="0"/>
              <w:keepNext w:val="0"/>
              <w:pageBreakBefore w:val="0"/>
              <w:spacing w:line="360" w:lineRule="exact"/>
              <w:widowControl w:val="off"/>
              <w:rPr>
                <w:rFonts w:hint="eastAsia" w:ascii="宋体" w:hAnsi="宋体" w:eastAsia="宋体" w:cs="宋体"/>
                <w:b w:val="0"/>
                <w:color w:val="000000"/>
                <w:sz w:val="24"/>
                <w:szCs w:val="24"/>
              </w:rPr>
            </w:pPr>
            <w:r>
              <w:rPr>
                <w:rFonts w:hint="eastAsia" w:ascii="宋体" w:hAnsi="宋体" w:eastAsia="宋体" w:cs="宋体"/>
                <w:b/>
                <w:bCs/>
                <w:color w:val="000000"/>
                <w:sz w:val="24"/>
                <w:szCs w:val="24"/>
                <w:lang w:val="en-US" w:eastAsia="zh-CN"/>
              </w:rPr>
              <w:t xml:space="preserve">薄壳</w:t>
            </w:r>
            <w:r>
              <w:rPr>
                <w:rFonts w:hint="eastAsia" w:ascii="宋体" w:hAnsi="宋体" w:eastAsia="宋体" w:cs="宋体"/>
                <w:b/>
                <w:bCs/>
                <w:color w:val="000000"/>
                <w:sz w:val="24"/>
                <w:szCs w:val="24"/>
              </w:rPr>
              <w:t xml:space="preserve">山核桃（加测7项，共39项）：</w:t>
            </w:r>
            <w:r>
              <w:rPr>
                <w:rFonts w:hint="eastAsia" w:ascii="宋体" w:hAnsi="宋体" w:eastAsia="宋体" w:cs="宋体"/>
                <w:b w:val="0"/>
                <w:color w:val="000000"/>
                <w:sz w:val="24"/>
                <w:szCs w:val="24"/>
              </w:rPr>
              <w:t xml:space="preserve">丙环唑、虫酰肼、毒死蜱、氟啶虫酰胺、氯苯嘧啶醇、噻虫胺、噻虫嗪。</w:t>
            </w:r>
            <w:r/>
          </w:p>
          <w:p>
            <w:pPr>
              <w:pStyle w:val="797"/>
              <w:ind w:left="0" w:firstLine="0"/>
              <w:keepLines w:val="0"/>
              <w:keepNext w:val="0"/>
              <w:pageBreakBefore w:val="0"/>
              <w:spacing w:line="360" w:lineRule="exact"/>
              <w:widowControl w:val="off"/>
              <w:rPr>
                <w:rFonts w:hint="eastAsia" w:ascii="宋体" w:hAnsi="宋体" w:eastAsia="宋体" w:cs="宋体"/>
                <w:b w:val="0"/>
                <w:bCs w:val="0"/>
                <w:color w:val="000000"/>
                <w:sz w:val="24"/>
                <w:szCs w:val="24"/>
                <w:lang w:eastAsia="zh-CN"/>
              </w:rPr>
            </w:pPr>
            <w:r>
              <w:rPr>
                <w:rFonts w:hint="eastAsia" w:ascii="宋体" w:hAnsi="宋体" w:eastAsia="宋体" w:cs="宋体"/>
                <w:b/>
                <w:bCs/>
                <w:color w:val="000000"/>
                <w:sz w:val="24"/>
                <w:szCs w:val="24"/>
                <w:lang w:eastAsia="zh-CN"/>
              </w:rPr>
              <w:t xml:space="preserve">重金属1项：</w:t>
            </w:r>
            <w:r>
              <w:rPr>
                <w:rFonts w:hint="eastAsia" w:ascii="宋体" w:hAnsi="宋体" w:eastAsia="宋体" w:cs="宋体"/>
                <w:b w:val="0"/>
                <w:bCs w:val="0"/>
                <w:color w:val="000000"/>
                <w:sz w:val="24"/>
                <w:szCs w:val="24"/>
                <w:lang w:eastAsia="zh-CN"/>
              </w:rPr>
              <w:t xml:space="preserve">铅。</w:t>
            </w:r>
            <w:r/>
          </w:p>
          <w:p>
            <w:pPr>
              <w:pStyle w:val="797"/>
              <w:ind w:left="0" w:firstLine="0"/>
              <w:keepLines w:val="0"/>
              <w:keepNext w:val="0"/>
              <w:pageBreakBefore w:val="0"/>
              <w:spacing w:line="36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bCs/>
                <w:color w:val="000000"/>
                <w:sz w:val="24"/>
                <w:szCs w:val="24"/>
                <w:lang w:val="en-US" w:eastAsia="zh-CN"/>
              </w:rPr>
              <w:t xml:space="preserve">营养元素2项：</w:t>
            </w:r>
            <w:r>
              <w:rPr>
                <w:rFonts w:hint="eastAsia" w:ascii="宋体" w:hAnsi="宋体" w:eastAsia="宋体" w:cs="宋体"/>
                <w:b w:val="0"/>
                <w:color w:val="000000"/>
                <w:sz w:val="24"/>
                <w:szCs w:val="24"/>
                <w:lang w:val="en-US" w:eastAsia="zh-CN"/>
              </w:rPr>
              <w:t xml:space="preserve">硒、</w:t>
            </w:r>
            <w:r>
              <w:rPr>
                <w:rFonts w:hint="eastAsia" w:ascii="宋体" w:hAnsi="宋体" w:eastAsia="宋体" w:cs="宋体"/>
                <w:b w:val="0"/>
                <w:color w:val="auto"/>
                <w:sz w:val="24"/>
                <w:szCs w:val="24"/>
                <w:lang w:val="en-US" w:eastAsia="zh-CN"/>
              </w:rPr>
              <w:t xml:space="preserve">碘</w:t>
            </w:r>
            <w:r>
              <w:rPr>
                <w:rFonts w:hint="eastAsia" w:ascii="宋体" w:hAnsi="宋体" w:eastAsia="宋体" w:cs="宋体"/>
                <w:b w:val="0"/>
                <w:color w:val="000000"/>
                <w:sz w:val="24"/>
                <w:szCs w:val="24"/>
                <w:lang w:val="en-US" w:eastAsia="zh-CN"/>
              </w:rPr>
              <w:t xml:space="preserve">。</w:t>
            </w:r>
            <w:r/>
          </w:p>
        </w:tc>
      </w:tr>
      <w:tr>
        <w:trPr/>
        <w:tc>
          <w:tcPr>
            <w:tcW w:w="909" w:type="dxa"/>
            <w:vAlign w:val="center"/>
            <w:textDirection w:val="lrTb"/>
            <w:noWrap w:val="false"/>
          </w:tcPr>
          <w:p>
            <w:pPr>
              <w:pStyle w:val="797"/>
              <w:ind w:left="0" w:firstLine="0"/>
              <w:jc w:val="center"/>
              <w:keepLines w:val="0"/>
              <w:keepNext w:val="0"/>
              <w:pageBreakBefore w:val="0"/>
              <w:spacing w:line="36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1-4</w:t>
            </w:r>
            <w:r/>
          </w:p>
        </w:tc>
        <w:tc>
          <w:tcPr>
            <w:tcW w:w="1361" w:type="dxa"/>
            <w:vAlign w:val="center"/>
            <w:textDirection w:val="lrTb"/>
            <w:noWrap w:val="false"/>
          </w:tcPr>
          <w:p>
            <w:pPr>
              <w:pStyle w:val="797"/>
              <w:ind w:left="0" w:firstLine="0"/>
              <w:jc w:val="center"/>
              <w:keepLines w:val="0"/>
              <w:keepNext w:val="0"/>
              <w:pageBreakBefore w:val="0"/>
              <w:spacing w:line="360" w:lineRule="exact"/>
              <w:widowControl w:val="off"/>
              <w:rPr>
                <w:rFonts w:hint="eastAsia" w:ascii="宋体" w:hAnsi="宋体" w:eastAsia="宋体" w:cs="宋体"/>
                <w:b w:val="0"/>
                <w:bCs/>
                <w:i w:val="0"/>
                <w:color w:val="000000"/>
                <w:sz w:val="24"/>
                <w:szCs w:val="24"/>
                <w:u w:val="none"/>
                <w:lang w:val="en-US" w:eastAsia="zh-CN" w:bidi="ar"/>
              </w:rPr>
            </w:pPr>
            <w:r>
              <w:rPr>
                <w:rFonts w:hint="eastAsia" w:ascii="宋体" w:hAnsi="宋体" w:eastAsia="宋体" w:cs="宋体"/>
                <w:b w:val="0"/>
                <w:bCs/>
                <w:i w:val="0"/>
                <w:color w:val="000000"/>
                <w:sz w:val="24"/>
                <w:szCs w:val="24"/>
                <w:u w:val="none"/>
                <w:lang w:val="en-US" w:eastAsia="zh-CN" w:bidi="ar"/>
              </w:rPr>
              <w:t xml:space="preserve">竹笋</w:t>
            </w:r>
            <w:r/>
          </w:p>
        </w:tc>
        <w:tc>
          <w:tcPr>
            <w:tcW w:w="1788" w:type="dxa"/>
            <w:vAlign w:val="center"/>
            <w:textDirection w:val="lrTb"/>
            <w:noWrap w:val="false"/>
          </w:tcPr>
          <w:p>
            <w:pPr>
              <w:pStyle w:val="797"/>
              <w:ind w:left="0" w:firstLine="0"/>
              <w:jc w:val="center"/>
              <w:keepLines w:val="0"/>
              <w:keepNext w:val="0"/>
              <w:pageBreakBefore w:val="0"/>
              <w:spacing w:line="360" w:lineRule="exact"/>
              <w:widowControl w:val="off"/>
              <w:rPr>
                <w:rFonts w:hint="eastAsia" w:ascii="宋体" w:hAnsi="宋体" w:eastAsia="宋体" w:cs="宋体"/>
                <w:b w:val="0"/>
                <w:bCs/>
                <w:i w:val="0"/>
                <w:color w:val="000000"/>
                <w:sz w:val="24"/>
                <w:szCs w:val="24"/>
                <w:u w:val="none"/>
                <w:lang w:val="en-US" w:eastAsia="zh-CN" w:bidi="ar"/>
              </w:rPr>
            </w:pPr>
            <w:r>
              <w:rPr>
                <w:rFonts w:hint="eastAsia" w:ascii="宋体" w:hAnsi="宋体" w:eastAsia="宋体" w:cs="宋体"/>
                <w:b w:val="0"/>
                <w:bCs/>
                <w:i w:val="0"/>
                <w:color w:val="000000"/>
                <w:sz w:val="24"/>
                <w:szCs w:val="24"/>
                <w:u w:val="none"/>
                <w:lang w:val="en-US" w:eastAsia="zh-CN" w:bidi="ar"/>
              </w:rPr>
              <w:t xml:space="preserve">4月</w:t>
            </w:r>
            <w:r/>
          </w:p>
        </w:tc>
        <w:tc>
          <w:tcPr>
            <w:tcW w:w="807" w:type="dxa"/>
            <w:vAlign w:val="center"/>
            <w:textDirection w:val="lrTb"/>
            <w:noWrap w:val="false"/>
          </w:tcPr>
          <w:p>
            <w:pPr>
              <w:pStyle w:val="797"/>
              <w:ind w:left="0" w:firstLine="0"/>
              <w:jc w:val="center"/>
              <w:keepLines w:val="0"/>
              <w:keepNext w:val="0"/>
              <w:pageBreakBefore w:val="0"/>
              <w:spacing w:line="360" w:lineRule="exact"/>
              <w:widowControl w:val="off"/>
              <w:rPr>
                <w:rFonts w:hint="eastAsia" w:ascii="宋体" w:hAnsi="宋体" w:eastAsia="宋体" w:cs="宋体"/>
                <w:vertAlign w:val="baseline"/>
                <w:lang w:val="en-US" w:eastAsia="zh-CN"/>
              </w:rPr>
            </w:pPr>
            <w:r>
              <w:rPr>
                <w:rFonts w:hint="eastAsia" w:ascii="宋体" w:hAnsi="宋体" w:eastAsia="宋体" w:cs="宋体"/>
                <w:b w:val="0"/>
                <w:bCs/>
                <w:i w:val="0"/>
                <w:color w:val="000000"/>
                <w:sz w:val="24"/>
                <w:szCs w:val="24"/>
                <w:u w:val="none"/>
                <w:lang w:val="en-US" w:eastAsia="zh-CN" w:bidi="ar"/>
              </w:rPr>
              <w:t xml:space="preserve">130</w:t>
            </w:r>
            <w:r/>
          </w:p>
        </w:tc>
        <w:tc>
          <w:tcPr>
            <w:tcW w:w="286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color w:val="000000"/>
                <w:sz w:val="24"/>
                <w:szCs w:val="24"/>
                <w:u w:val="none"/>
                <w:lang w:val="en-US" w:eastAsia="zh-CN" w:bidi="ar-SA"/>
              </w:rPr>
              <w:suppressLineNumbers w:val="0"/>
            </w:pPr>
            <w:r>
              <w:rPr>
                <w:rFonts w:hint="eastAsia" w:ascii="宋体" w:hAnsi="宋体" w:eastAsia="宋体" w:cs="宋体"/>
                <w:i w:val="0"/>
                <w:color w:val="000000"/>
                <w:sz w:val="24"/>
                <w:szCs w:val="24"/>
                <w:u w:val="none"/>
                <w:lang w:val="en-US" w:eastAsia="zh-CN" w:bidi="ar-SA"/>
              </w:rPr>
              <w:t xml:space="preserve">溧水区、高淳区、宜兴市、金坛区、溧阳市、丹徒区</w:t>
            </w:r>
            <w:r/>
          </w:p>
        </w:tc>
        <w:tc>
          <w:tcPr>
            <w:tcW w:w="6449" w:type="dxa"/>
            <w:vAlign w:val="top"/>
            <w:textDirection w:val="lrTb"/>
            <w:noWrap w:val="false"/>
          </w:tcPr>
          <w:p>
            <w:pPr>
              <w:pStyle w:val="797"/>
              <w:ind w:left="0" w:firstLine="0"/>
              <w:keepLines w:val="0"/>
              <w:keepNext w:val="0"/>
              <w:pageBreakBefore w:val="0"/>
              <w:spacing w:line="360" w:lineRule="exact"/>
              <w:widowControl w:val="off"/>
              <w:rPr>
                <w:rFonts w:hint="eastAsia" w:ascii="宋体" w:hAnsi="宋体" w:eastAsia="宋体" w:cs="宋体"/>
                <w:b w:val="0"/>
                <w:color w:val="000000"/>
                <w:sz w:val="24"/>
                <w:szCs w:val="24"/>
              </w:rPr>
            </w:pPr>
            <w:r>
              <w:rPr>
                <w:rFonts w:hint="eastAsia" w:ascii="宋体" w:hAnsi="宋体" w:eastAsia="宋体" w:cs="宋体"/>
                <w:b/>
                <w:bCs/>
                <w:color w:val="000000"/>
                <w:sz w:val="24"/>
                <w:szCs w:val="24"/>
              </w:rPr>
              <w:t xml:space="preserve">农药残留指标4</w:t>
            </w:r>
            <w:r>
              <w:rPr>
                <w:rFonts w:hint="eastAsia" w:ascii="宋体" w:hAnsi="宋体" w:eastAsia="宋体" w:cs="宋体"/>
                <w:b/>
                <w:bCs/>
                <w:color w:val="000000"/>
                <w:sz w:val="24"/>
                <w:szCs w:val="24"/>
                <w:lang w:val="en-US" w:eastAsia="zh-CN"/>
              </w:rPr>
              <w:t xml:space="preserve">3</w:t>
            </w:r>
            <w:r>
              <w:rPr>
                <w:rFonts w:hint="eastAsia" w:ascii="宋体" w:hAnsi="宋体" w:eastAsia="宋体" w:cs="宋体"/>
                <w:b/>
                <w:bCs/>
                <w:color w:val="000000"/>
                <w:sz w:val="24"/>
                <w:szCs w:val="24"/>
              </w:rPr>
              <w:t xml:space="preserve">项：</w:t>
            </w:r>
            <w:r>
              <w:rPr>
                <w:rFonts w:hint="eastAsia" w:ascii="宋体" w:hAnsi="宋体" w:eastAsia="宋体" w:cs="宋体"/>
                <w:b w:val="0"/>
                <w:color w:val="000000"/>
                <w:sz w:val="24"/>
                <w:szCs w:val="24"/>
                <w:lang w:eastAsia="zh-CN"/>
              </w:rPr>
              <w:t xml:space="preserve">倍</w:t>
            </w:r>
            <w:r>
              <w:rPr>
                <w:rFonts w:hint="eastAsia" w:ascii="宋体" w:hAnsi="宋体" w:eastAsia="宋体" w:cs="宋体"/>
                <w:b w:val="0"/>
                <w:color w:val="000000"/>
                <w:sz w:val="24"/>
                <w:szCs w:val="24"/>
              </w:rPr>
              <w:t xml:space="preserve">硫磷、苯线磷、敌百虫、敌敌畏、地虫硫磷、毒死蜱、对硫磷、甲胺磷、甲拌磷、甲基对硫磷、甲氧滴滴涕、久效磷、克百威、乐果、硫丹、硫环磷、硫线磷、氯苯甲醚、氯唑磷、灭多威、灭线磷、内吸磷、三氯杀螨醇、三唑磷、杀虫脒、杀虫畏、杀螟硫磷、杀扑磷、水胺硫磷、速灭磷、涕灭威、辛硫磷、氧乐果、乙酰甲胺磷、乙酯杀螨醇、蝇毒磷、治螟磷、艾氏剂、滴滴涕、狄氏剂、六六六、异狄氏剂</w:t>
            </w:r>
            <w:r>
              <w:rPr>
                <w:rFonts w:hint="eastAsia" w:ascii="宋体" w:hAnsi="宋体" w:eastAsia="宋体" w:cs="宋体"/>
                <w:b w:val="0"/>
                <w:color w:val="000000"/>
                <w:sz w:val="24"/>
                <w:szCs w:val="24"/>
                <w:lang w:eastAsia="zh-CN"/>
              </w:rPr>
              <w:t xml:space="preserve">、</w:t>
            </w:r>
            <w:r>
              <w:rPr>
                <w:rFonts w:hint="eastAsia" w:ascii="宋体" w:hAnsi="宋体" w:eastAsia="宋体" w:cs="宋体"/>
                <w:b w:val="0"/>
                <w:color w:val="000000"/>
                <w:sz w:val="24"/>
                <w:szCs w:val="24"/>
              </w:rPr>
              <w:t xml:space="preserve">吡虫啉。 </w:t>
            </w:r>
            <w:r/>
          </w:p>
          <w:p>
            <w:pPr>
              <w:pStyle w:val="797"/>
              <w:ind w:left="0" w:firstLine="0"/>
              <w:keepLines w:val="0"/>
              <w:keepNext w:val="0"/>
              <w:pageBreakBefore w:val="0"/>
              <w:spacing w:line="360" w:lineRule="exact"/>
              <w:widowControl w:val="off"/>
              <w:rPr>
                <w:rFonts w:hint="eastAsia" w:ascii="宋体" w:hAnsi="宋体" w:eastAsia="宋体" w:cs="宋体"/>
                <w:vertAlign w:val="baseline"/>
                <w:lang w:val="en-US" w:eastAsia="zh-CN"/>
              </w:rPr>
            </w:pPr>
            <w:r>
              <w:rPr>
                <w:rFonts w:hint="eastAsia" w:ascii="宋体" w:hAnsi="宋体" w:eastAsia="宋体" w:cs="宋体"/>
                <w:b/>
                <w:bCs/>
                <w:color w:val="000000"/>
                <w:sz w:val="24"/>
                <w:szCs w:val="24"/>
              </w:rPr>
              <w:t xml:space="preserve">重金属5项：</w:t>
            </w:r>
            <w:r>
              <w:rPr>
                <w:rFonts w:hint="eastAsia" w:ascii="宋体" w:hAnsi="宋体" w:eastAsia="宋体" w:cs="宋体"/>
                <w:b w:val="0"/>
                <w:color w:val="000000"/>
                <w:sz w:val="24"/>
                <w:szCs w:val="24"/>
              </w:rPr>
              <w:t xml:space="preserve">铅、镉、总汞、总砷、铬。</w:t>
            </w:r>
            <w:r/>
          </w:p>
        </w:tc>
      </w:tr>
      <w:tr>
        <w:trPr/>
        <w:tc>
          <w:tcPr>
            <w:tcW w:w="909" w:type="dxa"/>
            <w:vAlign w:val="center"/>
            <w:textDirection w:val="lrTb"/>
            <w:noWrap w:val="false"/>
          </w:tcPr>
          <w:p>
            <w:pPr>
              <w:pStyle w:val="797"/>
              <w:ind w:left="0" w:firstLine="0"/>
              <w:jc w:val="center"/>
              <w:keepLines w:val="0"/>
              <w:keepNext w:val="0"/>
              <w:pageBreakBefore w:val="0"/>
              <w:spacing w:line="36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1-5</w:t>
            </w:r>
            <w:r/>
          </w:p>
        </w:tc>
        <w:tc>
          <w:tcPr>
            <w:tcW w:w="1361" w:type="dxa"/>
            <w:vAlign w:val="center"/>
            <w:textDirection w:val="lrTb"/>
            <w:noWrap w:val="false"/>
          </w:tcPr>
          <w:p>
            <w:pPr>
              <w:pStyle w:val="797"/>
              <w:ind w:left="0" w:firstLine="0"/>
              <w:jc w:val="center"/>
              <w:keepLines w:val="0"/>
              <w:keepNext w:val="0"/>
              <w:pageBreakBefore w:val="0"/>
              <w:spacing w:line="360" w:lineRule="exact"/>
              <w:widowControl w:val="off"/>
              <w:rPr>
                <w:rFonts w:hint="eastAsia" w:ascii="宋体" w:hAnsi="宋体" w:eastAsia="宋体" w:cs="宋体"/>
                <w:b w:val="0"/>
                <w:bCs/>
                <w:i w:val="0"/>
                <w:color w:val="000000"/>
                <w:sz w:val="24"/>
                <w:szCs w:val="24"/>
                <w:u w:val="none"/>
                <w:lang w:val="en-US" w:eastAsia="zh-CN" w:bidi="ar"/>
              </w:rPr>
            </w:pPr>
            <w:r>
              <w:rPr>
                <w:rFonts w:hint="eastAsia" w:ascii="宋体" w:hAnsi="宋体" w:eastAsia="宋体" w:cs="宋体"/>
                <w:b w:val="0"/>
                <w:bCs/>
                <w:i w:val="0"/>
                <w:color w:val="000000"/>
                <w:sz w:val="24"/>
                <w:szCs w:val="24"/>
                <w:u w:val="none"/>
                <w:lang w:val="en-US" w:eastAsia="zh-CN" w:bidi="ar"/>
              </w:rPr>
              <w:t xml:space="preserve">蓝莓</w:t>
            </w:r>
            <w:r/>
          </w:p>
        </w:tc>
        <w:tc>
          <w:tcPr>
            <w:tcW w:w="1788" w:type="dxa"/>
            <w:vAlign w:val="center"/>
            <w:textDirection w:val="lrTb"/>
            <w:noWrap w:val="false"/>
          </w:tcPr>
          <w:p>
            <w:pPr>
              <w:pStyle w:val="797"/>
              <w:ind w:left="0" w:firstLine="0"/>
              <w:jc w:val="center"/>
              <w:keepLines w:val="0"/>
              <w:keepNext w:val="0"/>
              <w:pageBreakBefore w:val="0"/>
              <w:spacing w:line="360" w:lineRule="exact"/>
              <w:widowControl w:val="off"/>
              <w:rPr>
                <w:rFonts w:hint="eastAsia" w:ascii="宋体" w:hAnsi="宋体" w:eastAsia="宋体" w:cs="宋体"/>
                <w:b w:val="0"/>
                <w:bCs/>
                <w:i w:val="0"/>
                <w:color w:val="000000"/>
                <w:sz w:val="24"/>
                <w:szCs w:val="24"/>
                <w:u w:val="none"/>
                <w:lang w:val="en-US" w:eastAsia="zh-CN" w:bidi="ar"/>
              </w:rPr>
            </w:pPr>
            <w:r>
              <w:rPr>
                <w:rFonts w:hint="eastAsia" w:ascii="宋体" w:hAnsi="宋体" w:eastAsia="宋体" w:cs="宋体"/>
                <w:b w:val="0"/>
                <w:bCs/>
                <w:i w:val="0"/>
                <w:color w:val="000000"/>
                <w:sz w:val="24"/>
                <w:szCs w:val="24"/>
                <w:u w:val="none"/>
                <w:lang w:val="en-US" w:eastAsia="zh-CN" w:bidi="ar"/>
              </w:rPr>
              <w:t xml:space="preserve">5-6月</w:t>
            </w:r>
            <w:r/>
          </w:p>
        </w:tc>
        <w:tc>
          <w:tcPr>
            <w:tcW w:w="807" w:type="dxa"/>
            <w:vAlign w:val="center"/>
            <w:textDirection w:val="lrTb"/>
            <w:noWrap w:val="false"/>
          </w:tcPr>
          <w:p>
            <w:pPr>
              <w:pStyle w:val="797"/>
              <w:ind w:left="0" w:firstLine="0"/>
              <w:jc w:val="center"/>
              <w:keepLines w:val="0"/>
              <w:keepNext w:val="0"/>
              <w:pageBreakBefore w:val="0"/>
              <w:spacing w:line="360" w:lineRule="exact"/>
              <w:widowControl w:val="off"/>
              <w:rPr>
                <w:rFonts w:hint="eastAsia" w:ascii="宋体" w:hAnsi="宋体" w:eastAsia="宋体" w:cs="宋体"/>
                <w:b w:val="0"/>
                <w:bCs/>
                <w:i w:val="0"/>
                <w:color w:val="000000"/>
                <w:sz w:val="24"/>
                <w:szCs w:val="24"/>
                <w:u w:val="none"/>
                <w:lang w:val="en-US" w:eastAsia="zh-CN" w:bidi="ar"/>
              </w:rPr>
            </w:pPr>
            <w:r>
              <w:rPr>
                <w:rFonts w:hint="eastAsia" w:ascii="宋体" w:hAnsi="宋体" w:eastAsia="宋体" w:cs="宋体"/>
                <w:b w:val="0"/>
                <w:bCs/>
                <w:i w:val="0"/>
                <w:color w:val="000000"/>
                <w:sz w:val="24"/>
                <w:szCs w:val="24"/>
                <w:u w:val="none"/>
                <w:lang w:val="en-US" w:eastAsia="zh-CN" w:bidi="ar"/>
              </w:rPr>
              <w:t xml:space="preserve">48</w:t>
            </w:r>
            <w:r/>
          </w:p>
        </w:tc>
        <w:tc>
          <w:tcPr>
            <w:tcW w:w="2860" w:type="dxa"/>
            <w:vAlign w:val="center"/>
            <w:textDirection w:val="lrTb"/>
            <w:noWrap w:val="false"/>
          </w:tcPr>
          <w:p>
            <w:pPr>
              <w:pStyle w:val="797"/>
              <w:ind w:left="0" w:firstLine="0"/>
              <w:jc w:val="left"/>
              <w:keepLines w:val="0"/>
              <w:keepNext w:val="0"/>
              <w:pageBreakBefore w:val="0"/>
              <w:spacing w:line="360" w:lineRule="exact"/>
              <w:widowControl w:val="off"/>
              <w:rPr>
                <w:rFonts w:hint="eastAsia" w:ascii="宋体" w:hAnsi="宋体" w:eastAsia="宋体" w:cs="宋体"/>
                <w:b w:val="0"/>
                <w:bCs/>
                <w:i w:val="0"/>
                <w:color w:val="000000"/>
                <w:sz w:val="24"/>
                <w:szCs w:val="24"/>
                <w:u w:val="none"/>
                <w:lang w:val="en-US" w:eastAsia="zh-CN" w:bidi="ar"/>
              </w:rPr>
            </w:pPr>
            <w:r>
              <w:rPr>
                <w:rFonts w:hint="eastAsia" w:ascii="宋体" w:hAnsi="宋体" w:eastAsia="宋体" w:cs="宋体"/>
                <w:b w:val="0"/>
                <w:bCs/>
                <w:i w:val="0"/>
                <w:color w:val="000000"/>
                <w:sz w:val="24"/>
                <w:szCs w:val="24"/>
                <w:u w:val="none"/>
                <w:lang w:val="en-US" w:eastAsia="zh-CN" w:bidi="ar"/>
              </w:rPr>
              <w:t xml:space="preserve">浦口区、溧水区、如皋市、赣榆区、东海县、句容市</w:t>
            </w:r>
            <w:r/>
          </w:p>
        </w:tc>
        <w:tc>
          <w:tcPr>
            <w:tcW w:w="6449" w:type="dxa"/>
            <w:vAlign w:val="top"/>
            <w:textDirection w:val="lrTb"/>
            <w:noWrap w:val="false"/>
          </w:tcPr>
          <w:p>
            <w:pPr>
              <w:pStyle w:val="797"/>
              <w:ind w:left="0" w:firstLine="0"/>
              <w:keepLines w:val="0"/>
              <w:keepNext w:val="0"/>
              <w:pageBreakBefore w:val="0"/>
              <w:spacing w:line="360" w:lineRule="exact"/>
              <w:widowControl w:val="off"/>
              <w:rPr>
                <w:rFonts w:hint="eastAsia" w:ascii="宋体" w:hAnsi="宋体" w:eastAsia="宋体" w:cs="宋体"/>
                <w:b w:val="0"/>
                <w:color w:val="000000"/>
                <w:sz w:val="24"/>
                <w:szCs w:val="24"/>
              </w:rPr>
            </w:pPr>
            <w:r>
              <w:rPr>
                <w:rFonts w:hint="eastAsia" w:ascii="宋体" w:hAnsi="宋体" w:eastAsia="宋体" w:cs="宋体"/>
                <w:b/>
                <w:bCs/>
                <w:color w:val="000000"/>
                <w:sz w:val="24"/>
                <w:szCs w:val="24"/>
              </w:rPr>
              <w:t xml:space="preserve">农药残留指标38项：</w:t>
            </w:r>
            <w:r>
              <w:rPr>
                <w:rFonts w:hint="eastAsia" w:ascii="宋体" w:hAnsi="宋体" w:eastAsia="宋体" w:cs="宋体"/>
                <w:b w:val="0"/>
                <w:color w:val="000000"/>
                <w:sz w:val="24"/>
                <w:szCs w:val="24"/>
              </w:rPr>
              <w:t xml:space="preserve">倍硫磷、苯线磷、敌百虫、敌敌畏、地虫硫磷、对硫磷、甲胺磷、甲拌磷、甲基对硫磷、甲氧滴滴涕、久效磷、克百威、乐果、硫丹、硫环磷、硫线磷、氯苯甲醚、氯唑磷、灭线磷、内吸磷、氰戊菊酯和 S-氰戊菊酯、三氯杀螨醇、杀虫畏、杀螟硫磷、杀扑磷、水胺硫磷、速灭磷、辛硫磷、氧乐果、乙酰甲胺磷、乙酯杀螨醇、蝇毒磷、治螟磷、艾氏剂、滴滴涕、狄氏剂、六六六、异狄氏剂。</w:t>
            </w:r>
            <w:r/>
          </w:p>
          <w:p>
            <w:pPr>
              <w:pStyle w:val="797"/>
              <w:ind w:left="0" w:firstLine="0"/>
              <w:keepLines w:val="0"/>
              <w:keepNext w:val="0"/>
              <w:pageBreakBefore w:val="0"/>
              <w:spacing w:line="360" w:lineRule="exact"/>
              <w:widowControl w:val="off"/>
              <w:rPr>
                <w:rFonts w:hint="eastAsia" w:ascii="宋体" w:hAnsi="宋体" w:eastAsia="宋体" w:cs="宋体"/>
                <w:b w:val="0"/>
                <w:color w:val="000000"/>
                <w:sz w:val="24"/>
                <w:szCs w:val="24"/>
                <w:lang w:val="en-US" w:eastAsia="zh-CN"/>
              </w:rPr>
            </w:pPr>
            <w:r>
              <w:rPr>
                <w:rFonts w:hint="eastAsia" w:ascii="宋体" w:hAnsi="宋体" w:eastAsia="宋体" w:cs="宋体"/>
                <w:b/>
                <w:bCs/>
                <w:color w:val="000000"/>
                <w:sz w:val="24"/>
                <w:szCs w:val="24"/>
              </w:rPr>
              <w:t xml:space="preserve">重金属2项</w:t>
            </w:r>
            <w:r>
              <w:rPr>
                <w:rFonts w:hint="eastAsia" w:ascii="宋体" w:hAnsi="宋体" w:eastAsia="宋体" w:cs="宋体"/>
                <w:b/>
                <w:color w:val="000000"/>
                <w:sz w:val="20"/>
                <w:szCs w:val="20"/>
              </w:rPr>
              <w:t xml:space="preserve">：</w:t>
            </w:r>
            <w:r>
              <w:rPr>
                <w:rFonts w:hint="eastAsia" w:ascii="宋体" w:hAnsi="宋体" w:eastAsia="宋体" w:cs="宋体"/>
                <w:b w:val="0"/>
                <w:color w:val="000000"/>
                <w:sz w:val="24"/>
                <w:szCs w:val="24"/>
              </w:rPr>
              <w:t xml:space="preserve">铅、镉</w:t>
            </w:r>
            <w:r>
              <w:rPr>
                <w:rFonts w:hint="eastAsia" w:ascii="宋体" w:hAnsi="宋体" w:eastAsia="宋体" w:cs="宋体"/>
                <w:b w:val="0"/>
                <w:color w:val="000000"/>
                <w:sz w:val="24"/>
                <w:szCs w:val="24"/>
                <w:lang w:eastAsia="zh-CN"/>
              </w:rPr>
              <w:t xml:space="preserve">。</w:t>
            </w:r>
            <w:r/>
          </w:p>
        </w:tc>
      </w:tr>
      <w:tr>
        <w:trPr>
          <w:trHeight w:val="762"/>
        </w:trPr>
        <w:tc>
          <w:tcPr>
            <w:tcW w:w="909" w:type="dxa"/>
            <w:vAlign w:val="center"/>
            <w:textDirection w:val="lrTb"/>
            <w:noWrap w:val="false"/>
          </w:tcPr>
          <w:p>
            <w:pPr>
              <w:pStyle w:val="797"/>
              <w:ind w:left="0" w:firstLine="0"/>
              <w:jc w:val="center"/>
              <w:keepLines w:val="0"/>
              <w:keepNext w:val="0"/>
              <w:pageBreakBefore w:val="0"/>
              <w:spacing w:line="360" w:lineRule="exact"/>
              <w:widowControl w:val="off"/>
              <w:rPr>
                <w:rFonts w:hint="eastAsia" w:ascii="宋体" w:hAnsi="宋体" w:eastAsia="宋体" w:cs="宋体"/>
                <w:vertAlign w:val="baseline"/>
                <w:lang w:val="en-US" w:eastAsia="zh-CN"/>
              </w:rPr>
            </w:pPr>
            <w:r>
              <w:rPr>
                <w:rFonts w:hint="eastAsia" w:ascii="宋体" w:hAnsi="宋体" w:eastAsia="宋体" w:cs="宋体"/>
                <w:sz w:val="24"/>
                <w:szCs w:val="24"/>
                <w:vertAlign w:val="baseline"/>
                <w:lang w:val="en-US" w:eastAsia="zh-CN"/>
              </w:rPr>
              <w:t xml:space="preserve">1-6</w:t>
            </w:r>
            <w:r/>
          </w:p>
        </w:tc>
        <w:tc>
          <w:tcPr>
            <w:tcW w:w="1361" w:type="dxa"/>
            <w:vAlign w:val="center"/>
            <w:textDirection w:val="lrTb"/>
            <w:noWrap w:val="false"/>
          </w:tcPr>
          <w:p>
            <w:pPr>
              <w:pStyle w:val="797"/>
              <w:ind w:left="0" w:firstLine="0"/>
              <w:jc w:val="center"/>
              <w:keepLines w:val="0"/>
              <w:keepNext w:val="0"/>
              <w:pageBreakBefore w:val="0"/>
              <w:spacing w:line="360" w:lineRule="exact"/>
              <w:widowControl w:val="off"/>
              <w:rPr>
                <w:rFonts w:hint="eastAsia" w:ascii="宋体" w:hAnsi="宋体" w:eastAsia="宋体" w:cs="宋体"/>
                <w:b w:val="0"/>
                <w:bCs/>
                <w:i w:val="0"/>
                <w:color w:val="000000"/>
                <w:sz w:val="24"/>
                <w:szCs w:val="24"/>
                <w:u w:val="none"/>
                <w:lang w:val="en-US" w:eastAsia="zh-CN" w:bidi="ar"/>
              </w:rPr>
            </w:pPr>
            <w:r>
              <w:rPr>
                <w:rFonts w:hint="eastAsia" w:ascii="宋体" w:hAnsi="宋体" w:eastAsia="宋体" w:cs="宋体"/>
                <w:b w:val="0"/>
                <w:bCs/>
                <w:i w:val="0"/>
                <w:color w:val="000000"/>
                <w:sz w:val="24"/>
                <w:szCs w:val="24"/>
                <w:u w:val="none"/>
                <w:lang w:val="en-US" w:eastAsia="zh-CN" w:bidi="ar"/>
              </w:rPr>
              <w:t xml:space="preserve">产地土壤</w:t>
            </w:r>
            <w:r/>
          </w:p>
        </w:tc>
        <w:tc>
          <w:tcPr>
            <w:tcW w:w="1788" w:type="dxa"/>
            <w:vAlign w:val="center"/>
            <w:textDirection w:val="lrTb"/>
            <w:noWrap w:val="false"/>
          </w:tcPr>
          <w:p>
            <w:pPr>
              <w:pStyle w:val="797"/>
              <w:ind w:left="0" w:firstLine="0"/>
              <w:jc w:val="center"/>
              <w:keepLines w:val="0"/>
              <w:keepNext w:val="0"/>
              <w:pageBreakBefore w:val="0"/>
              <w:spacing w:line="360" w:lineRule="exact"/>
              <w:widowControl w:val="off"/>
              <w:rPr>
                <w:rFonts w:hint="eastAsia" w:ascii="宋体" w:hAnsi="宋体" w:eastAsia="宋体" w:cs="宋体"/>
                <w:b w:val="0"/>
                <w:bCs/>
                <w:i w:val="0"/>
                <w:color w:val="000000"/>
                <w:sz w:val="24"/>
                <w:szCs w:val="24"/>
                <w:u w:val="none"/>
                <w:lang w:val="en-US" w:eastAsia="zh-CN" w:bidi="ar"/>
              </w:rPr>
            </w:pPr>
            <w:r>
              <w:rPr>
                <w:rFonts w:hint="eastAsia" w:ascii="宋体" w:hAnsi="宋体" w:eastAsia="宋体" w:cs="宋体"/>
                <w:b w:val="0"/>
                <w:bCs/>
                <w:i w:val="0"/>
                <w:color w:val="000000"/>
                <w:sz w:val="24"/>
                <w:szCs w:val="24"/>
                <w:u w:val="none"/>
                <w:lang w:val="en-US" w:eastAsia="zh-CN" w:bidi="ar"/>
              </w:rPr>
              <w:t xml:space="preserve">/</w:t>
            </w:r>
            <w:r/>
          </w:p>
        </w:tc>
        <w:tc>
          <w:tcPr>
            <w:tcW w:w="807" w:type="dxa"/>
            <w:vAlign w:val="center"/>
            <w:textDirection w:val="lrTb"/>
            <w:noWrap w:val="false"/>
          </w:tcPr>
          <w:p>
            <w:pPr>
              <w:pStyle w:val="797"/>
              <w:ind w:left="0" w:firstLine="0"/>
              <w:jc w:val="center"/>
              <w:keepLines w:val="0"/>
              <w:keepNext w:val="0"/>
              <w:pageBreakBefore w:val="0"/>
              <w:spacing w:line="360" w:lineRule="exact"/>
              <w:widowControl w:val="off"/>
              <w:rPr>
                <w:rFonts w:hint="eastAsia" w:ascii="宋体" w:hAnsi="宋体" w:eastAsia="宋体" w:cs="宋体"/>
                <w:b w:val="0"/>
                <w:bCs/>
                <w:i w:val="0"/>
                <w:color w:val="000000"/>
                <w:sz w:val="24"/>
                <w:szCs w:val="24"/>
                <w:u w:val="none"/>
                <w:lang w:val="en-US" w:eastAsia="zh-CN" w:bidi="ar"/>
              </w:rPr>
            </w:pPr>
            <w:r>
              <w:rPr>
                <w:rFonts w:hint="eastAsia" w:ascii="宋体" w:hAnsi="宋体" w:eastAsia="宋体" w:cs="宋体"/>
                <w:b w:val="0"/>
                <w:bCs/>
                <w:i w:val="0"/>
                <w:color w:val="000000"/>
                <w:sz w:val="24"/>
                <w:szCs w:val="24"/>
                <w:u w:val="none"/>
                <w:lang w:val="en-US" w:eastAsia="zh-CN" w:bidi="ar"/>
              </w:rPr>
              <w:t xml:space="preserve">183</w:t>
            </w:r>
            <w:r/>
          </w:p>
        </w:tc>
        <w:tc>
          <w:tcPr>
            <w:tcW w:w="2860" w:type="dxa"/>
            <w:vAlign w:val="center"/>
            <w:textDirection w:val="lrTb"/>
            <w:noWrap w:val="false"/>
          </w:tcPr>
          <w:p>
            <w:pPr>
              <w:pStyle w:val="797"/>
              <w:ind w:left="0" w:firstLine="0"/>
              <w:jc w:val="center"/>
              <w:keepLines w:val="0"/>
              <w:keepNext w:val="0"/>
              <w:pageBreakBefore w:val="0"/>
              <w:spacing w:line="360" w:lineRule="exact"/>
              <w:widowControl w:val="off"/>
              <w:rPr>
                <w:rFonts w:hint="eastAsia" w:ascii="宋体" w:hAnsi="宋体" w:eastAsia="宋体" w:cs="宋体"/>
                <w:b w:val="0"/>
                <w:bCs/>
                <w:i w:val="0"/>
                <w:color w:val="000000"/>
                <w:sz w:val="24"/>
                <w:szCs w:val="24"/>
                <w:u w:val="none"/>
                <w:lang w:val="en-US" w:eastAsia="zh-CN" w:bidi="ar"/>
              </w:rPr>
            </w:pPr>
            <w:r>
              <w:rPr>
                <w:rFonts w:hint="eastAsia" w:ascii="宋体" w:hAnsi="宋体" w:eastAsia="宋体" w:cs="宋体"/>
                <w:b w:val="0"/>
                <w:color w:val="000000"/>
                <w:sz w:val="24"/>
                <w:szCs w:val="24"/>
              </w:rPr>
              <w:t xml:space="preserve">随产品检测地区</w:t>
            </w:r>
            <w:r/>
          </w:p>
        </w:tc>
        <w:tc>
          <w:tcPr>
            <w:tcW w:w="6449" w:type="dxa"/>
            <w:vAlign w:val="top"/>
            <w:textDirection w:val="lrTb"/>
            <w:noWrap w:val="false"/>
          </w:tcPr>
          <w:p>
            <w:pPr>
              <w:pStyle w:val="797"/>
              <w:ind w:left="0" w:firstLine="0"/>
              <w:jc w:val="both"/>
              <w:keepLines w:val="0"/>
              <w:keepNext w:val="0"/>
              <w:pageBreakBefore w:val="0"/>
              <w:spacing w:line="360" w:lineRule="exact"/>
              <w:widowControl w:val="off"/>
              <w:rPr>
                <w:rFonts w:hint="eastAsia" w:ascii="宋体" w:hAnsi="宋体" w:eastAsia="宋体" w:cs="宋体"/>
                <w:b w:val="0"/>
                <w:color w:val="000000"/>
                <w:sz w:val="24"/>
                <w:szCs w:val="24"/>
              </w:rPr>
            </w:pPr>
            <w:r>
              <w:rPr>
                <w:rFonts w:hint="eastAsia" w:ascii="宋体" w:hAnsi="宋体" w:eastAsia="宋体" w:cs="宋体"/>
                <w:b/>
                <w:bCs/>
                <w:color w:val="000000"/>
                <w:sz w:val="24"/>
                <w:szCs w:val="24"/>
              </w:rPr>
              <w:t xml:space="preserve">重金属8项：</w:t>
            </w:r>
            <w:r>
              <w:rPr>
                <w:rFonts w:hint="eastAsia" w:ascii="宋体" w:hAnsi="宋体" w:eastAsia="宋体" w:cs="宋体"/>
                <w:b w:val="0"/>
                <w:color w:val="000000"/>
                <w:sz w:val="24"/>
                <w:szCs w:val="24"/>
              </w:rPr>
              <w:t xml:space="preserve">镉、汞、砷、铅、铬、铜、镍、锌</w:t>
            </w:r>
            <w:r>
              <w:rPr>
                <w:rFonts w:hint="eastAsia" w:ascii="宋体" w:hAnsi="宋体" w:eastAsia="宋体" w:cs="宋体"/>
                <w:b w:val="0"/>
                <w:color w:val="000000"/>
                <w:sz w:val="24"/>
                <w:szCs w:val="24"/>
                <w:lang w:eastAsia="zh-CN"/>
              </w:rPr>
              <w:t xml:space="preserve">。</w:t>
            </w:r>
            <w:r>
              <w:rPr>
                <w:rFonts w:hint="eastAsia" w:ascii="宋体" w:hAnsi="宋体" w:eastAsia="宋体" w:cs="宋体"/>
                <w:b w:val="0"/>
                <w:color w:val="000000"/>
                <w:sz w:val="24"/>
                <w:szCs w:val="24"/>
              </w:rPr>
              <w:t xml:space="preserve"> </w:t>
            </w:r>
            <w:r/>
          </w:p>
          <w:p>
            <w:pPr>
              <w:pStyle w:val="797"/>
              <w:ind w:left="0" w:firstLine="0"/>
              <w:jc w:val="left"/>
              <w:keepLines w:val="0"/>
              <w:keepNext w:val="0"/>
              <w:pageBreakBefore w:val="0"/>
              <w:spacing w:line="360" w:lineRule="exact"/>
              <w:widowControl w:val="off"/>
              <w:rPr>
                <w:rFonts w:hint="eastAsia" w:ascii="宋体" w:hAnsi="宋体" w:eastAsia="宋体" w:cs="宋体"/>
                <w:b w:val="0"/>
                <w:bCs/>
                <w:i w:val="0"/>
                <w:color w:val="000000"/>
                <w:sz w:val="24"/>
                <w:szCs w:val="24"/>
                <w:u w:val="none"/>
                <w:lang w:val="en-US" w:eastAsia="zh-CN" w:bidi="ar"/>
              </w:rPr>
            </w:pPr>
            <w:r>
              <w:rPr>
                <w:rFonts w:hint="eastAsia" w:ascii="宋体" w:hAnsi="宋体" w:eastAsia="宋体" w:cs="宋体"/>
                <w:b/>
                <w:bCs/>
                <w:color w:val="000000"/>
                <w:sz w:val="24"/>
                <w:szCs w:val="24"/>
              </w:rPr>
              <w:t xml:space="preserve">持久性污染物3项</w:t>
            </w:r>
            <w:r>
              <w:rPr>
                <w:rFonts w:hint="eastAsia" w:ascii="宋体" w:hAnsi="宋体" w:eastAsia="宋体" w:cs="宋体"/>
                <w:b w:val="0"/>
                <w:color w:val="000000"/>
                <w:sz w:val="24"/>
                <w:szCs w:val="24"/>
              </w:rPr>
              <w:t xml:space="preserve">：六六六总量、滴滴涕总量、苯并[a]芘</w:t>
            </w:r>
            <w:r>
              <w:rPr>
                <w:rFonts w:hint="eastAsia" w:ascii="宋体" w:hAnsi="宋体" w:eastAsia="宋体" w:cs="宋体"/>
                <w:b w:val="0"/>
                <w:color w:val="000000"/>
                <w:sz w:val="24"/>
                <w:szCs w:val="24"/>
                <w:lang w:eastAsia="zh-CN"/>
              </w:rPr>
              <w:t xml:space="preserve">。</w:t>
            </w:r>
            <w:r/>
          </w:p>
        </w:tc>
      </w:tr>
      <w:tr>
        <w:trPr>
          <w:trHeight w:val="1436"/>
        </w:trPr>
        <w:tc>
          <w:tcPr>
            <w:tcW w:w="909" w:type="dxa"/>
            <w:vAlign w:val="center"/>
            <w:textDirection w:val="lrTb"/>
            <w:noWrap w:val="false"/>
          </w:tcPr>
          <w:p>
            <w:pPr>
              <w:pStyle w:val="797"/>
              <w:ind w:left="0" w:firstLine="0"/>
              <w:jc w:val="center"/>
              <w:keepLines w:val="0"/>
              <w:keepNext w:val="0"/>
              <w:pageBreakBefore w:val="0"/>
              <w:spacing w:line="36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b w:val="0"/>
                <w:bCs/>
                <w:i w:val="0"/>
                <w:color w:val="000000"/>
                <w:sz w:val="24"/>
                <w:szCs w:val="24"/>
                <w:u w:val="none"/>
                <w:lang w:val="en-US" w:eastAsia="zh-CN" w:bidi="ar"/>
              </w:rPr>
              <w:t xml:space="preserve">2-1</w:t>
            </w:r>
            <w:r/>
          </w:p>
        </w:tc>
        <w:tc>
          <w:tcPr>
            <w:tcW w:w="1361" w:type="dxa"/>
            <w:vAlign w:val="center"/>
            <w:textDirection w:val="lrTb"/>
            <w:noWrap w:val="false"/>
          </w:tcPr>
          <w:p>
            <w:pPr>
              <w:pStyle w:val="797"/>
              <w:ind w:left="0" w:firstLine="0"/>
              <w:jc w:val="center"/>
              <w:keepLines w:val="0"/>
              <w:keepNext w:val="0"/>
              <w:pageBreakBefore w:val="0"/>
              <w:spacing w:line="360" w:lineRule="exact"/>
              <w:widowControl w:val="off"/>
              <w:rPr>
                <w:rFonts w:hint="eastAsia" w:ascii="宋体" w:hAnsi="宋体" w:eastAsia="宋体" w:cs="宋体"/>
                <w:b w:val="0"/>
                <w:bCs/>
                <w:i w:val="0"/>
                <w:color w:val="000000"/>
                <w:sz w:val="24"/>
                <w:szCs w:val="24"/>
                <w:u w:val="none"/>
                <w:lang w:val="en-US" w:eastAsia="zh-CN" w:bidi="ar"/>
              </w:rPr>
            </w:pPr>
            <w:r>
              <w:rPr>
                <w:rFonts w:hint="eastAsia" w:ascii="宋体" w:hAnsi="宋体" w:eastAsia="宋体" w:cs="宋体"/>
                <w:b w:val="0"/>
                <w:bCs/>
                <w:i w:val="0"/>
                <w:color w:val="000000"/>
                <w:sz w:val="24"/>
                <w:szCs w:val="24"/>
                <w:u w:val="none"/>
                <w:lang w:val="en-US" w:eastAsia="zh-CN" w:bidi="ar"/>
              </w:rPr>
              <w:t xml:space="preserve">葛根</w:t>
            </w:r>
            <w:r/>
          </w:p>
        </w:tc>
        <w:tc>
          <w:tcPr>
            <w:tcW w:w="1788" w:type="dxa"/>
            <w:vAlign w:val="center"/>
            <w:textDirection w:val="lrTb"/>
            <w:noWrap w:val="false"/>
          </w:tcPr>
          <w:p>
            <w:pPr>
              <w:pStyle w:val="797"/>
              <w:ind w:left="0" w:firstLine="0"/>
              <w:jc w:val="center"/>
              <w:keepLines w:val="0"/>
              <w:keepNext w:val="0"/>
              <w:pageBreakBefore w:val="0"/>
              <w:spacing w:line="360" w:lineRule="exact"/>
              <w:widowControl w:val="off"/>
              <w:rPr>
                <w:rFonts w:hint="eastAsia" w:ascii="宋体" w:hAnsi="宋体" w:eastAsia="宋体" w:cs="宋体"/>
                <w:b w:val="0"/>
                <w:bCs/>
                <w:i w:val="0"/>
                <w:color w:val="000000"/>
                <w:sz w:val="24"/>
                <w:szCs w:val="24"/>
                <w:u w:val="none"/>
                <w:lang w:val="en-US" w:eastAsia="zh-CN" w:bidi="ar"/>
              </w:rPr>
            </w:pPr>
            <w:r>
              <w:rPr>
                <w:rFonts w:hint="eastAsia" w:ascii="宋体" w:hAnsi="宋体" w:eastAsia="宋体" w:cs="宋体"/>
                <w:b w:val="0"/>
                <w:bCs/>
                <w:i w:val="0"/>
                <w:color w:val="000000"/>
                <w:sz w:val="24"/>
                <w:szCs w:val="24"/>
                <w:u w:val="none"/>
                <w:lang w:val="en-US" w:eastAsia="zh-CN" w:bidi="ar"/>
              </w:rPr>
              <w:t xml:space="preserve">12月30日前</w:t>
            </w:r>
            <w:r/>
          </w:p>
        </w:tc>
        <w:tc>
          <w:tcPr>
            <w:tcW w:w="807" w:type="dxa"/>
            <w:vAlign w:val="center"/>
            <w:textDirection w:val="lrTb"/>
            <w:noWrap w:val="false"/>
          </w:tcPr>
          <w:p>
            <w:pPr>
              <w:pStyle w:val="797"/>
              <w:ind w:left="0" w:firstLine="0"/>
              <w:jc w:val="center"/>
              <w:keepLines w:val="0"/>
              <w:keepNext w:val="0"/>
              <w:pageBreakBefore w:val="0"/>
              <w:spacing w:line="360" w:lineRule="exact"/>
              <w:widowControl w:val="off"/>
              <w:rPr>
                <w:rFonts w:hint="eastAsia" w:ascii="宋体" w:hAnsi="宋体" w:eastAsia="宋体" w:cs="宋体"/>
                <w:b w:val="0"/>
                <w:bCs/>
                <w:i w:val="0"/>
                <w:color w:val="000000"/>
                <w:sz w:val="24"/>
                <w:szCs w:val="24"/>
                <w:u w:val="none"/>
                <w:lang w:val="en-US" w:eastAsia="zh-CN" w:bidi="ar"/>
              </w:rPr>
            </w:pPr>
            <w:r>
              <w:rPr>
                <w:rFonts w:hint="eastAsia" w:ascii="宋体" w:hAnsi="宋体" w:eastAsia="宋体" w:cs="宋体"/>
                <w:b w:val="0"/>
                <w:bCs/>
                <w:i w:val="0"/>
                <w:color w:val="000000"/>
                <w:sz w:val="24"/>
                <w:szCs w:val="24"/>
                <w:u w:val="none"/>
                <w:lang w:val="en-US" w:eastAsia="zh-CN" w:bidi="ar"/>
              </w:rPr>
              <w:t xml:space="preserve">25</w:t>
            </w:r>
            <w:r/>
          </w:p>
        </w:tc>
        <w:tc>
          <w:tcPr>
            <w:tcW w:w="2860" w:type="dxa"/>
            <w:vAlign w:val="center"/>
            <w:textDirection w:val="lrTb"/>
            <w:noWrap w:val="false"/>
          </w:tcPr>
          <w:p>
            <w:pPr>
              <w:pStyle w:val="797"/>
              <w:ind w:left="0" w:firstLine="0"/>
              <w:jc w:val="center"/>
              <w:keepLines w:val="0"/>
              <w:keepNext w:val="0"/>
              <w:pageBreakBefore w:val="0"/>
              <w:spacing w:line="360" w:lineRule="exact"/>
              <w:widowControl w:val="off"/>
              <w:rPr>
                <w:rFonts w:hint="eastAsia" w:ascii="宋体" w:hAnsi="宋体" w:eastAsia="宋体" w:cs="宋体"/>
                <w:b w:val="0"/>
                <w:color w:val="000000"/>
                <w:sz w:val="24"/>
                <w:szCs w:val="24"/>
                <w:lang w:eastAsia="zh-CN"/>
              </w:rPr>
            </w:pPr>
            <w:r>
              <w:rPr>
                <w:rFonts w:hint="eastAsia" w:ascii="宋体" w:hAnsi="宋体" w:eastAsia="宋体" w:cs="宋体"/>
                <w:b w:val="0"/>
                <w:color w:val="000000"/>
                <w:sz w:val="24"/>
                <w:szCs w:val="24"/>
                <w:lang w:eastAsia="zh-CN"/>
              </w:rPr>
              <w:t xml:space="preserve">海州区、连云区、句容市</w:t>
            </w:r>
            <w:r/>
          </w:p>
        </w:tc>
        <w:tc>
          <w:tcPr>
            <w:tcW w:w="6449" w:type="dxa"/>
            <w:vAlign w:val="top"/>
            <w:textDirection w:val="lrTb"/>
            <w:noWrap w:val="false"/>
          </w:tcPr>
          <w:p>
            <w:pPr>
              <w:pStyle w:val="797"/>
              <w:ind w:left="0" w:firstLine="0"/>
              <w:jc w:val="left"/>
              <w:keepLines w:val="0"/>
              <w:keepNext w:val="0"/>
              <w:pageBreakBefore w:val="0"/>
              <w:spacing w:line="360" w:lineRule="exact"/>
              <w:widowControl w:val="off"/>
              <w:rPr>
                <w:rFonts w:hint="eastAsia" w:ascii="宋体" w:hAnsi="宋体" w:eastAsia="宋体" w:cs="宋体"/>
                <w:b w:val="0"/>
                <w:color w:val="000000"/>
                <w:sz w:val="24"/>
                <w:szCs w:val="24"/>
              </w:rPr>
            </w:pPr>
            <w:r>
              <w:rPr>
                <w:rFonts w:hint="eastAsia" w:ascii="宋体" w:hAnsi="宋体" w:eastAsia="宋体" w:cs="宋体"/>
                <w:b/>
                <w:bCs/>
                <w:color w:val="000000"/>
                <w:sz w:val="24"/>
                <w:szCs w:val="24"/>
              </w:rPr>
              <w:t xml:space="preserve">农药残留指标1</w:t>
            </w:r>
            <w:r>
              <w:rPr>
                <w:rFonts w:hint="eastAsia" w:ascii="宋体" w:hAnsi="宋体" w:eastAsia="宋体" w:cs="宋体"/>
                <w:b/>
                <w:bCs/>
                <w:color w:val="000000"/>
                <w:sz w:val="24"/>
                <w:szCs w:val="24"/>
                <w:lang w:val="en-US" w:eastAsia="zh-CN"/>
              </w:rPr>
              <w:t xml:space="preserve">3</w:t>
            </w:r>
            <w:r>
              <w:rPr>
                <w:rFonts w:hint="eastAsia" w:ascii="宋体" w:hAnsi="宋体" w:eastAsia="宋体" w:cs="宋体"/>
                <w:b/>
                <w:bCs/>
                <w:color w:val="000000"/>
                <w:sz w:val="24"/>
                <w:szCs w:val="24"/>
              </w:rPr>
              <w:t xml:space="preserve">项：</w:t>
            </w:r>
            <w:r>
              <w:rPr>
                <w:rFonts w:hint="eastAsia" w:ascii="宋体" w:hAnsi="宋体" w:eastAsia="宋体" w:cs="宋体"/>
                <w:b w:val="0"/>
                <w:color w:val="000000"/>
                <w:sz w:val="24"/>
                <w:szCs w:val="24"/>
              </w:rPr>
              <w:t xml:space="preserve">甲拌磷、甲基异柳磷、甲氧滴滴涕、克百威、乐果、硫丹、氯苯甲醚、三氯杀螨醇、杀虫畏、杀扑磷、速灭磷、乙酰甲胺磷、乙酯杀螨醇</w:t>
            </w:r>
            <w:r>
              <w:rPr>
                <w:rFonts w:hint="eastAsia" w:ascii="宋体" w:hAnsi="宋体" w:eastAsia="宋体" w:cs="宋体"/>
                <w:b w:val="0"/>
                <w:color w:val="000000"/>
                <w:sz w:val="24"/>
                <w:szCs w:val="24"/>
                <w:lang w:eastAsia="zh-CN"/>
              </w:rPr>
              <w:t xml:space="preserve">。</w:t>
            </w:r>
            <w:r/>
          </w:p>
          <w:p>
            <w:pPr>
              <w:pStyle w:val="797"/>
              <w:ind w:left="0" w:firstLine="0"/>
              <w:jc w:val="left"/>
              <w:keepLines w:val="0"/>
              <w:keepNext w:val="0"/>
              <w:pageBreakBefore w:val="0"/>
              <w:spacing w:line="360" w:lineRule="exact"/>
              <w:widowControl w:val="off"/>
              <w:rPr>
                <w:rFonts w:hint="eastAsia" w:ascii="宋体" w:hAnsi="宋体" w:eastAsia="宋体" w:cs="宋体"/>
                <w:b w:val="0"/>
                <w:color w:val="000000"/>
                <w:sz w:val="24"/>
                <w:szCs w:val="24"/>
                <w:lang w:val="en-US" w:eastAsia="zh-CN"/>
              </w:rPr>
            </w:pPr>
            <w:r>
              <w:rPr>
                <w:rFonts w:hint="eastAsia" w:ascii="宋体" w:hAnsi="宋体" w:eastAsia="宋体" w:cs="宋体"/>
                <w:b/>
                <w:bCs/>
                <w:color w:val="000000"/>
                <w:sz w:val="24"/>
                <w:szCs w:val="24"/>
                <w:lang w:val="en-US" w:eastAsia="zh-CN"/>
              </w:rPr>
              <w:t xml:space="preserve">营养元素2项：</w:t>
            </w:r>
            <w:r>
              <w:rPr>
                <w:rFonts w:hint="eastAsia" w:ascii="宋体" w:hAnsi="宋体" w:eastAsia="宋体" w:cs="宋体"/>
                <w:b w:val="0"/>
                <w:color w:val="000000"/>
                <w:sz w:val="24"/>
                <w:szCs w:val="24"/>
                <w:lang w:val="en-US" w:eastAsia="zh-CN"/>
              </w:rPr>
              <w:t xml:space="preserve">硒、碘。</w:t>
            </w:r>
            <w:r/>
          </w:p>
        </w:tc>
      </w:tr>
      <w:tr>
        <w:trPr>
          <w:trHeight w:val="1756"/>
        </w:trPr>
        <w:tc>
          <w:tcPr>
            <w:tcW w:w="909" w:type="dxa"/>
            <w:vAlign w:val="center"/>
            <w:textDirection w:val="lrTb"/>
            <w:noWrap w:val="false"/>
          </w:tcPr>
          <w:p>
            <w:pPr>
              <w:pStyle w:val="797"/>
              <w:ind w:left="0" w:firstLine="0"/>
              <w:jc w:val="center"/>
              <w:keepLines w:val="0"/>
              <w:keepNext w:val="0"/>
              <w:pageBreakBefore w:val="0"/>
              <w:spacing w:line="360" w:lineRule="exact"/>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b w:val="0"/>
                <w:bCs/>
                <w:i w:val="0"/>
                <w:color w:val="000000"/>
                <w:sz w:val="24"/>
                <w:szCs w:val="24"/>
                <w:u w:val="none"/>
                <w:lang w:val="en-US" w:eastAsia="zh-CN" w:bidi="ar"/>
              </w:rPr>
              <w:t xml:space="preserve">2-2</w:t>
            </w:r>
            <w:r/>
          </w:p>
        </w:tc>
        <w:tc>
          <w:tcPr>
            <w:tcW w:w="1361" w:type="dxa"/>
            <w:vAlign w:val="center"/>
            <w:textDirection w:val="lrTb"/>
            <w:noWrap w:val="false"/>
          </w:tcPr>
          <w:p>
            <w:pPr>
              <w:pStyle w:val="797"/>
              <w:ind w:left="0" w:firstLine="0"/>
              <w:jc w:val="center"/>
              <w:keepLines w:val="0"/>
              <w:keepNext w:val="0"/>
              <w:pageBreakBefore w:val="0"/>
              <w:spacing w:line="360" w:lineRule="exact"/>
              <w:widowControl w:val="off"/>
              <w:rPr>
                <w:rFonts w:hint="eastAsia" w:ascii="宋体" w:hAnsi="宋体" w:eastAsia="宋体" w:cs="宋体"/>
                <w:b w:val="0"/>
                <w:bCs/>
                <w:i w:val="0"/>
                <w:color w:val="000000"/>
                <w:sz w:val="24"/>
                <w:szCs w:val="24"/>
                <w:u w:val="none"/>
                <w:lang w:val="en-US" w:eastAsia="zh-CN" w:bidi="ar"/>
              </w:rPr>
            </w:pPr>
            <w:r>
              <w:rPr>
                <w:rFonts w:hint="eastAsia" w:ascii="宋体" w:hAnsi="宋体" w:eastAsia="宋体" w:cs="宋体"/>
                <w:b w:val="0"/>
                <w:bCs/>
                <w:i w:val="0"/>
                <w:color w:val="000000"/>
                <w:sz w:val="24"/>
                <w:szCs w:val="24"/>
                <w:u w:val="none"/>
                <w:lang w:val="en-US" w:eastAsia="zh-CN" w:bidi="ar"/>
              </w:rPr>
              <w:t xml:space="preserve">金银花</w:t>
            </w:r>
            <w:r/>
          </w:p>
        </w:tc>
        <w:tc>
          <w:tcPr>
            <w:tcW w:w="1788" w:type="dxa"/>
            <w:vAlign w:val="center"/>
            <w:textDirection w:val="lrTb"/>
            <w:noWrap w:val="false"/>
          </w:tcPr>
          <w:p>
            <w:pPr>
              <w:pStyle w:val="797"/>
              <w:ind w:left="0" w:firstLine="0"/>
              <w:jc w:val="center"/>
              <w:keepLines w:val="0"/>
              <w:keepNext w:val="0"/>
              <w:pageBreakBefore w:val="0"/>
              <w:spacing w:line="360" w:lineRule="exact"/>
              <w:widowControl w:val="off"/>
              <w:rPr>
                <w:rFonts w:hint="eastAsia" w:ascii="宋体" w:hAnsi="宋体" w:eastAsia="宋体" w:cs="宋体"/>
                <w:b w:val="0"/>
                <w:bCs/>
                <w:i w:val="0"/>
                <w:color w:val="000000"/>
                <w:sz w:val="24"/>
                <w:szCs w:val="24"/>
                <w:u w:val="none"/>
                <w:lang w:val="en-US" w:eastAsia="zh-CN" w:bidi="ar"/>
              </w:rPr>
            </w:pPr>
            <w:r>
              <w:rPr>
                <w:rFonts w:hint="eastAsia" w:ascii="宋体" w:hAnsi="宋体" w:eastAsia="宋体" w:cs="宋体"/>
                <w:b w:val="0"/>
                <w:bCs/>
                <w:i w:val="0"/>
                <w:color w:val="000000"/>
                <w:sz w:val="24"/>
                <w:szCs w:val="24"/>
                <w:u w:val="none"/>
                <w:lang w:val="en-US" w:eastAsia="zh-CN" w:bidi="ar"/>
              </w:rPr>
              <w:t xml:space="preserve">5-10月</w:t>
            </w:r>
            <w:r/>
          </w:p>
        </w:tc>
        <w:tc>
          <w:tcPr>
            <w:tcW w:w="807" w:type="dxa"/>
            <w:vAlign w:val="center"/>
            <w:textDirection w:val="lrTb"/>
            <w:noWrap w:val="false"/>
          </w:tcPr>
          <w:p>
            <w:pPr>
              <w:pStyle w:val="797"/>
              <w:ind w:left="0" w:firstLine="0"/>
              <w:jc w:val="center"/>
              <w:keepLines w:val="0"/>
              <w:keepNext w:val="0"/>
              <w:pageBreakBefore w:val="0"/>
              <w:spacing w:line="360" w:lineRule="exact"/>
              <w:widowControl w:val="off"/>
              <w:rPr>
                <w:rFonts w:hint="eastAsia" w:ascii="宋体" w:hAnsi="宋体" w:eastAsia="宋体" w:cs="宋体"/>
                <w:b w:val="0"/>
                <w:bCs/>
                <w:i w:val="0"/>
                <w:color w:val="000000"/>
                <w:sz w:val="24"/>
                <w:szCs w:val="24"/>
                <w:u w:val="none"/>
                <w:lang w:val="en-US" w:eastAsia="zh-CN" w:bidi="ar"/>
              </w:rPr>
            </w:pPr>
            <w:r>
              <w:rPr>
                <w:rFonts w:hint="eastAsia" w:ascii="宋体" w:hAnsi="宋体" w:eastAsia="宋体" w:cs="宋体"/>
                <w:b w:val="0"/>
                <w:bCs/>
                <w:i w:val="0"/>
                <w:color w:val="000000"/>
                <w:sz w:val="24"/>
                <w:szCs w:val="24"/>
                <w:u w:val="none"/>
                <w:lang w:val="en-US" w:eastAsia="zh-CN" w:bidi="ar"/>
              </w:rPr>
              <w:t xml:space="preserve">45</w:t>
            </w:r>
            <w:r/>
          </w:p>
        </w:tc>
        <w:tc>
          <w:tcPr>
            <w:tcW w:w="2860" w:type="dxa"/>
            <w:vAlign w:val="center"/>
            <w:textDirection w:val="lrTb"/>
            <w:noWrap w:val="false"/>
          </w:tcPr>
          <w:p>
            <w:pPr>
              <w:pStyle w:val="797"/>
              <w:ind w:left="0" w:firstLine="0"/>
              <w:jc w:val="center"/>
              <w:keepLines w:val="0"/>
              <w:keepNext w:val="0"/>
              <w:pageBreakBefore w:val="0"/>
              <w:spacing w:line="360" w:lineRule="exact"/>
              <w:widowControl w:val="off"/>
              <w:rPr>
                <w:rFonts w:hint="eastAsia" w:ascii="宋体" w:hAnsi="宋体" w:eastAsia="宋体" w:cs="宋体"/>
                <w:b w:val="0"/>
                <w:color w:val="000000"/>
                <w:sz w:val="24"/>
                <w:szCs w:val="24"/>
                <w:lang w:eastAsia="zh-CN"/>
              </w:rPr>
            </w:pPr>
            <w:r>
              <w:rPr>
                <w:rFonts w:hint="eastAsia" w:ascii="宋体" w:hAnsi="宋体" w:eastAsia="宋体" w:cs="宋体"/>
                <w:b w:val="0"/>
                <w:color w:val="000000"/>
                <w:sz w:val="24"/>
                <w:szCs w:val="24"/>
                <w:lang w:eastAsia="zh-CN"/>
              </w:rPr>
              <w:t xml:space="preserve">铜山区、东海县</w:t>
            </w:r>
            <w:r/>
          </w:p>
        </w:tc>
        <w:tc>
          <w:tcPr>
            <w:tcW w:w="6449" w:type="dxa"/>
            <w:vAlign w:val="top"/>
            <w:textDirection w:val="lrTb"/>
            <w:noWrap w:val="false"/>
          </w:tcPr>
          <w:p>
            <w:pPr>
              <w:pStyle w:val="797"/>
              <w:ind w:left="0" w:firstLine="0"/>
              <w:jc w:val="left"/>
              <w:keepLines w:val="0"/>
              <w:keepNext w:val="0"/>
              <w:pageBreakBefore w:val="0"/>
              <w:spacing w:line="360" w:lineRule="exact"/>
              <w:widowControl w:val="off"/>
              <w:rPr>
                <w:rFonts w:hint="eastAsia" w:ascii="宋体" w:hAnsi="宋体" w:eastAsia="宋体" w:cs="宋体"/>
                <w:b w:val="0"/>
                <w:color w:val="000000"/>
                <w:sz w:val="24"/>
                <w:szCs w:val="24"/>
              </w:rPr>
            </w:pPr>
            <w:r>
              <w:rPr>
                <w:rFonts w:hint="eastAsia" w:ascii="宋体" w:hAnsi="宋体" w:eastAsia="宋体" w:cs="宋体"/>
                <w:b/>
                <w:bCs/>
                <w:color w:val="000000"/>
                <w:sz w:val="24"/>
                <w:szCs w:val="24"/>
              </w:rPr>
              <w:t xml:space="preserve">农药残留指标1</w:t>
            </w:r>
            <w:r>
              <w:rPr>
                <w:rFonts w:hint="eastAsia" w:ascii="宋体" w:hAnsi="宋体" w:eastAsia="宋体" w:cs="宋体"/>
                <w:b/>
                <w:bCs/>
                <w:color w:val="000000"/>
                <w:sz w:val="24"/>
                <w:szCs w:val="24"/>
                <w:lang w:val="en-US" w:eastAsia="zh-CN"/>
              </w:rPr>
              <w:t xml:space="preserve">7</w:t>
            </w:r>
            <w:r>
              <w:rPr>
                <w:rFonts w:hint="eastAsia" w:ascii="宋体" w:hAnsi="宋体" w:eastAsia="宋体" w:cs="宋体"/>
                <w:b/>
                <w:bCs/>
                <w:color w:val="000000"/>
                <w:sz w:val="24"/>
                <w:szCs w:val="24"/>
              </w:rPr>
              <w:t xml:space="preserve">项：</w:t>
            </w:r>
            <w:r>
              <w:rPr>
                <w:rFonts w:hint="eastAsia" w:ascii="宋体" w:hAnsi="宋体" w:eastAsia="宋体" w:cs="宋体"/>
                <w:b w:val="0"/>
                <w:color w:val="000000"/>
                <w:sz w:val="24"/>
                <w:szCs w:val="24"/>
              </w:rPr>
              <w:t xml:space="preserve">甲拌磷、甲基异柳磷、甲氧滴滴涕、克百威、乐果、硫丹、氯苯甲醚、三氯杀螨醇、杀虫畏、杀扑磷、速灭磷、乙酰甲胺磷、乙酯杀螨醇</w:t>
            </w:r>
            <w:r>
              <w:rPr>
                <w:rFonts w:hint="eastAsia" w:ascii="宋体" w:hAnsi="宋体" w:eastAsia="宋体" w:cs="宋体"/>
                <w:b w:val="0"/>
                <w:color w:val="000000"/>
                <w:sz w:val="24"/>
                <w:szCs w:val="24"/>
                <w:lang w:eastAsia="zh-CN"/>
              </w:rPr>
              <w:t xml:space="preserve">、</w:t>
            </w:r>
            <w:r>
              <w:rPr>
                <w:rFonts w:hint="eastAsia" w:ascii="宋体" w:hAnsi="宋体" w:eastAsia="宋体" w:cs="宋体"/>
                <w:b w:val="0"/>
                <w:color w:val="000000"/>
                <w:sz w:val="24"/>
                <w:szCs w:val="24"/>
              </w:rPr>
              <w:t xml:space="preserve">阿维菌素、吡虫啉、啶虫脒、联苯菊酯。</w:t>
            </w:r>
            <w:r/>
          </w:p>
          <w:p>
            <w:pPr>
              <w:pStyle w:val="797"/>
              <w:ind w:left="0" w:firstLine="0"/>
              <w:jc w:val="left"/>
              <w:keepLines w:val="0"/>
              <w:keepNext w:val="0"/>
              <w:pageBreakBefore w:val="0"/>
              <w:spacing w:line="360" w:lineRule="exact"/>
              <w:widowControl w:val="off"/>
              <w:rPr>
                <w:rFonts w:hint="eastAsia" w:ascii="宋体" w:hAnsi="宋体" w:eastAsia="宋体" w:cs="宋体"/>
                <w:b w:val="0"/>
                <w:color w:val="000000"/>
                <w:sz w:val="24"/>
                <w:szCs w:val="24"/>
              </w:rPr>
            </w:pPr>
            <w:r>
              <w:rPr>
                <w:rFonts w:hint="eastAsia" w:ascii="宋体" w:hAnsi="宋体" w:eastAsia="宋体" w:cs="宋体"/>
                <w:b/>
                <w:bCs/>
                <w:color w:val="000000"/>
                <w:sz w:val="24"/>
                <w:szCs w:val="24"/>
                <w:lang w:val="en-US" w:eastAsia="zh-CN"/>
              </w:rPr>
              <w:t xml:space="preserve">营养元素2项：</w:t>
            </w:r>
            <w:r>
              <w:rPr>
                <w:rFonts w:hint="eastAsia" w:ascii="宋体" w:hAnsi="宋体" w:eastAsia="宋体" w:cs="宋体"/>
                <w:b w:val="0"/>
                <w:color w:val="000000"/>
                <w:sz w:val="24"/>
                <w:szCs w:val="24"/>
                <w:lang w:val="en-US" w:eastAsia="zh-CN"/>
              </w:rPr>
              <w:t xml:space="preserve">硒、碘。</w:t>
            </w:r>
            <w:r/>
          </w:p>
        </w:tc>
      </w:tr>
      <w:tr>
        <w:trPr/>
        <w:tc>
          <w:tcPr>
            <w:tcW w:w="909" w:type="dxa"/>
            <w:vAlign w:val="center"/>
            <w:textDirection w:val="lrTb"/>
            <w:noWrap w:val="false"/>
          </w:tcPr>
          <w:p>
            <w:pPr>
              <w:pStyle w:val="797"/>
              <w:ind w:left="0" w:firstLine="0"/>
              <w:jc w:val="center"/>
              <w:keepLines w:val="0"/>
              <w:keepNext w:val="0"/>
              <w:pageBreakBefore w:val="0"/>
              <w:spacing w:line="360" w:lineRule="exact"/>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b w:val="0"/>
                <w:bCs/>
                <w:i w:val="0"/>
                <w:color w:val="000000"/>
                <w:sz w:val="24"/>
                <w:szCs w:val="24"/>
                <w:u w:val="none"/>
                <w:lang w:val="en-US" w:eastAsia="zh-CN" w:bidi="ar"/>
              </w:rPr>
              <w:t xml:space="preserve">2-3</w:t>
            </w:r>
            <w:r/>
          </w:p>
        </w:tc>
        <w:tc>
          <w:tcPr>
            <w:tcW w:w="1361" w:type="dxa"/>
            <w:vAlign w:val="center"/>
            <w:textDirection w:val="lrTb"/>
            <w:noWrap w:val="false"/>
          </w:tcPr>
          <w:p>
            <w:pPr>
              <w:pStyle w:val="797"/>
              <w:ind w:left="0" w:firstLine="0"/>
              <w:jc w:val="center"/>
              <w:keepLines w:val="0"/>
              <w:keepNext w:val="0"/>
              <w:pageBreakBefore w:val="0"/>
              <w:spacing w:line="360" w:lineRule="exact"/>
              <w:widowControl w:val="off"/>
              <w:rPr>
                <w:rFonts w:hint="eastAsia" w:ascii="宋体" w:hAnsi="宋体" w:eastAsia="宋体" w:cs="宋体"/>
                <w:b w:val="0"/>
                <w:bCs/>
                <w:i w:val="0"/>
                <w:color w:val="000000"/>
                <w:sz w:val="24"/>
                <w:szCs w:val="24"/>
                <w:u w:val="none"/>
                <w:lang w:val="en-US" w:eastAsia="zh-CN" w:bidi="ar"/>
              </w:rPr>
            </w:pPr>
            <w:r>
              <w:rPr>
                <w:rFonts w:hint="eastAsia" w:ascii="宋体" w:hAnsi="宋体" w:eastAsia="宋体" w:cs="宋体"/>
                <w:b w:val="0"/>
                <w:bCs/>
                <w:i w:val="0"/>
                <w:color w:val="000000"/>
                <w:sz w:val="24"/>
                <w:szCs w:val="24"/>
                <w:u w:val="none"/>
                <w:lang w:val="en-US" w:eastAsia="zh-CN" w:bidi="ar"/>
              </w:rPr>
              <w:t xml:space="preserve">元胡</w:t>
            </w:r>
            <w:r/>
          </w:p>
        </w:tc>
        <w:tc>
          <w:tcPr>
            <w:tcW w:w="1788" w:type="dxa"/>
            <w:vAlign w:val="center"/>
            <w:textDirection w:val="lrTb"/>
            <w:noWrap w:val="false"/>
          </w:tcPr>
          <w:p>
            <w:pPr>
              <w:pStyle w:val="797"/>
              <w:ind w:left="0" w:firstLine="0"/>
              <w:jc w:val="center"/>
              <w:keepLines w:val="0"/>
              <w:keepNext w:val="0"/>
              <w:pageBreakBefore w:val="0"/>
              <w:spacing w:line="360" w:lineRule="exact"/>
              <w:widowControl w:val="off"/>
              <w:rPr>
                <w:rFonts w:hint="eastAsia" w:ascii="宋体" w:hAnsi="宋体" w:eastAsia="宋体" w:cs="宋体"/>
                <w:b w:val="0"/>
                <w:bCs/>
                <w:i w:val="0"/>
                <w:color w:val="000000"/>
                <w:sz w:val="24"/>
                <w:szCs w:val="24"/>
                <w:u w:val="none"/>
                <w:lang w:val="en-US" w:eastAsia="zh-CN" w:bidi="ar"/>
              </w:rPr>
            </w:pPr>
            <w:r>
              <w:rPr>
                <w:rFonts w:hint="eastAsia" w:ascii="宋体" w:hAnsi="宋体" w:eastAsia="宋体" w:cs="宋体"/>
                <w:b w:val="0"/>
                <w:bCs/>
                <w:i w:val="0"/>
                <w:color w:val="000000"/>
                <w:sz w:val="24"/>
                <w:szCs w:val="24"/>
                <w:u w:val="none"/>
                <w:lang w:val="en-US" w:eastAsia="zh-CN" w:bidi="ar"/>
              </w:rPr>
              <w:t xml:space="preserve">5-6月</w:t>
            </w:r>
            <w:r/>
          </w:p>
        </w:tc>
        <w:tc>
          <w:tcPr>
            <w:tcW w:w="807" w:type="dxa"/>
            <w:vAlign w:val="center"/>
            <w:textDirection w:val="lrTb"/>
            <w:noWrap w:val="false"/>
          </w:tcPr>
          <w:p>
            <w:pPr>
              <w:pStyle w:val="797"/>
              <w:ind w:left="0" w:firstLine="0"/>
              <w:jc w:val="center"/>
              <w:keepLines w:val="0"/>
              <w:keepNext w:val="0"/>
              <w:pageBreakBefore w:val="0"/>
              <w:spacing w:line="360" w:lineRule="exact"/>
              <w:widowControl w:val="off"/>
              <w:rPr>
                <w:rFonts w:hint="eastAsia" w:ascii="宋体" w:hAnsi="宋体" w:eastAsia="宋体" w:cs="宋体"/>
                <w:b w:val="0"/>
                <w:bCs/>
                <w:i w:val="0"/>
                <w:color w:val="000000"/>
                <w:sz w:val="24"/>
                <w:szCs w:val="24"/>
                <w:u w:val="none"/>
                <w:lang w:val="en-US" w:eastAsia="zh-CN" w:bidi="ar"/>
              </w:rPr>
            </w:pPr>
            <w:r>
              <w:rPr>
                <w:rFonts w:hint="eastAsia" w:ascii="宋体" w:hAnsi="宋体" w:eastAsia="宋体" w:cs="宋体"/>
                <w:b w:val="0"/>
                <w:bCs/>
                <w:i w:val="0"/>
                <w:color w:val="000000"/>
                <w:sz w:val="24"/>
                <w:szCs w:val="24"/>
                <w:u w:val="none"/>
                <w:lang w:val="en-US" w:eastAsia="zh-CN" w:bidi="ar"/>
              </w:rPr>
              <w:t xml:space="preserve">10</w:t>
            </w:r>
            <w:r/>
          </w:p>
        </w:tc>
        <w:tc>
          <w:tcPr>
            <w:tcW w:w="2860" w:type="dxa"/>
            <w:vAlign w:val="center"/>
            <w:textDirection w:val="lrTb"/>
            <w:noWrap w:val="false"/>
          </w:tcPr>
          <w:p>
            <w:pPr>
              <w:pStyle w:val="797"/>
              <w:ind w:left="0" w:firstLine="0"/>
              <w:jc w:val="center"/>
              <w:keepLines w:val="0"/>
              <w:keepNext w:val="0"/>
              <w:pageBreakBefore w:val="0"/>
              <w:spacing w:line="360" w:lineRule="exact"/>
              <w:widowControl w:val="off"/>
              <w:rPr>
                <w:rFonts w:hint="eastAsia" w:ascii="宋体" w:hAnsi="宋体" w:eastAsia="宋体" w:cs="宋体"/>
                <w:b w:val="0"/>
                <w:color w:val="000000"/>
                <w:sz w:val="24"/>
                <w:szCs w:val="24"/>
                <w:lang w:eastAsia="zh-CN"/>
              </w:rPr>
            </w:pPr>
            <w:r>
              <w:rPr>
                <w:rFonts w:hint="eastAsia" w:ascii="宋体" w:hAnsi="宋体" w:eastAsia="宋体" w:cs="宋体"/>
                <w:b w:val="0"/>
                <w:color w:val="000000"/>
                <w:sz w:val="24"/>
                <w:szCs w:val="24"/>
                <w:lang w:eastAsia="zh-CN"/>
              </w:rPr>
              <w:t xml:space="preserve">锡山区、大丰区</w:t>
            </w:r>
            <w:r/>
          </w:p>
        </w:tc>
        <w:tc>
          <w:tcPr>
            <w:tcW w:w="6449" w:type="dxa"/>
            <w:vAlign w:val="top"/>
            <w:textDirection w:val="lrTb"/>
            <w:noWrap w:val="false"/>
          </w:tcPr>
          <w:p>
            <w:pPr>
              <w:pStyle w:val="797"/>
              <w:ind w:left="0" w:firstLine="0"/>
              <w:jc w:val="left"/>
              <w:keepLines w:val="0"/>
              <w:keepNext w:val="0"/>
              <w:pageBreakBefore w:val="0"/>
              <w:spacing w:line="360" w:lineRule="exact"/>
              <w:widowControl w:val="off"/>
              <w:rPr>
                <w:rFonts w:hint="eastAsia" w:ascii="宋体" w:hAnsi="宋体" w:eastAsia="宋体" w:cs="宋体"/>
                <w:b w:val="0"/>
                <w:color w:val="000000"/>
                <w:sz w:val="24"/>
                <w:szCs w:val="24"/>
              </w:rPr>
            </w:pPr>
            <w:r>
              <w:rPr>
                <w:rFonts w:hint="eastAsia" w:ascii="宋体" w:hAnsi="宋体" w:eastAsia="宋体" w:cs="宋体"/>
                <w:b/>
                <w:bCs/>
                <w:color w:val="000000"/>
                <w:sz w:val="24"/>
                <w:szCs w:val="24"/>
              </w:rPr>
              <w:t xml:space="preserve">农药残留指标1</w:t>
            </w:r>
            <w:r>
              <w:rPr>
                <w:rFonts w:hint="eastAsia" w:ascii="宋体" w:hAnsi="宋体" w:eastAsia="宋体" w:cs="宋体"/>
                <w:b/>
                <w:bCs/>
                <w:color w:val="000000"/>
                <w:sz w:val="24"/>
                <w:szCs w:val="24"/>
                <w:lang w:val="en-US" w:eastAsia="zh-CN"/>
              </w:rPr>
              <w:t xml:space="preserve">3</w:t>
            </w:r>
            <w:r>
              <w:rPr>
                <w:rFonts w:hint="eastAsia" w:ascii="宋体" w:hAnsi="宋体" w:eastAsia="宋体" w:cs="宋体"/>
                <w:b/>
                <w:bCs/>
                <w:color w:val="000000"/>
                <w:sz w:val="24"/>
                <w:szCs w:val="24"/>
              </w:rPr>
              <w:t xml:space="preserve">项：</w:t>
            </w:r>
            <w:r>
              <w:rPr>
                <w:rFonts w:hint="eastAsia" w:ascii="宋体" w:hAnsi="宋体" w:eastAsia="宋体" w:cs="宋体"/>
                <w:b w:val="0"/>
                <w:color w:val="000000"/>
                <w:sz w:val="24"/>
                <w:szCs w:val="24"/>
              </w:rPr>
              <w:t xml:space="preserve">甲拌磷、甲基异柳磷、甲氧滴滴涕、克百威、乐果、硫丹、氯苯甲醚、三氯杀螨醇、杀虫畏、杀扑磷、速灭磷、乙酰甲胺磷、乙酯杀螨醇</w:t>
            </w:r>
            <w:r>
              <w:rPr>
                <w:rFonts w:hint="eastAsia" w:ascii="宋体" w:hAnsi="宋体" w:eastAsia="宋体" w:cs="宋体"/>
                <w:b w:val="0"/>
                <w:color w:val="000000"/>
                <w:sz w:val="24"/>
                <w:szCs w:val="24"/>
                <w:lang w:eastAsia="zh-CN"/>
              </w:rPr>
              <w:t xml:space="preserve">。</w:t>
            </w:r>
            <w:r/>
          </w:p>
          <w:p>
            <w:pPr>
              <w:pStyle w:val="797"/>
              <w:ind w:left="0" w:firstLine="0"/>
              <w:jc w:val="left"/>
              <w:keepLines w:val="0"/>
              <w:keepNext w:val="0"/>
              <w:pageBreakBefore w:val="0"/>
              <w:spacing w:line="360" w:lineRule="exact"/>
              <w:widowControl w:val="off"/>
              <w:rPr>
                <w:rFonts w:hint="eastAsia" w:ascii="宋体" w:hAnsi="宋体" w:eastAsia="宋体" w:cs="宋体"/>
                <w:b w:val="0"/>
                <w:color w:val="000000"/>
                <w:sz w:val="24"/>
                <w:szCs w:val="24"/>
                <w:lang w:eastAsia="zh-CN"/>
              </w:rPr>
            </w:pPr>
            <w:r>
              <w:rPr>
                <w:rFonts w:hint="eastAsia" w:ascii="宋体" w:hAnsi="宋体" w:eastAsia="宋体" w:cs="宋体"/>
                <w:b/>
                <w:bCs/>
                <w:color w:val="000000"/>
                <w:sz w:val="24"/>
                <w:szCs w:val="24"/>
                <w:lang w:val="en-US" w:eastAsia="zh-CN"/>
              </w:rPr>
              <w:t xml:space="preserve">营养元素2项：</w:t>
            </w:r>
            <w:r>
              <w:rPr>
                <w:rFonts w:hint="eastAsia" w:ascii="宋体" w:hAnsi="宋体" w:eastAsia="宋体" w:cs="宋体"/>
                <w:b w:val="0"/>
                <w:color w:val="000000"/>
                <w:sz w:val="24"/>
                <w:szCs w:val="24"/>
                <w:lang w:val="en-US" w:eastAsia="zh-CN"/>
              </w:rPr>
              <w:t xml:space="preserve">硒、碘。</w:t>
            </w:r>
            <w:r/>
          </w:p>
        </w:tc>
      </w:tr>
    </w:tbl>
    <w:p>
      <w:pPr>
        <w:rPr>
          <w:rFonts w:hint="eastAsia" w:ascii="宋体" w:hAnsi="宋体" w:eastAsia="宋体" w:cs="宋体"/>
          <w:sz w:val="32"/>
          <w:szCs w:val="32"/>
          <w:lang w:eastAsia="zh-CN"/>
        </w:rPr>
      </w:pPr>
      <w:r>
        <w:rPr>
          <w:rFonts w:hint="eastAsia" w:ascii="宋体" w:hAnsi="宋体" w:eastAsia="宋体" w:cs="宋体"/>
          <w:sz w:val="32"/>
          <w:szCs w:val="32"/>
          <w:lang w:eastAsia="zh-CN"/>
        </w:rPr>
      </w:r>
      <w:r/>
    </w:p>
    <w:p>
      <w:pPr>
        <w:rPr>
          <w:rFonts w:hint="eastAsia" w:ascii="宋体" w:hAnsi="宋体" w:eastAsia="宋体" w:cs="宋体"/>
          <w:sz w:val="32"/>
          <w:szCs w:val="32"/>
          <w:lang w:eastAsia="zh-CN"/>
        </w:rPr>
      </w:pPr>
      <w:r>
        <w:rPr>
          <w:rFonts w:hint="eastAsia" w:ascii="宋体" w:hAnsi="宋体" w:eastAsia="宋体" w:cs="宋体"/>
          <w:sz w:val="32"/>
          <w:szCs w:val="32"/>
          <w:lang w:eastAsia="zh-CN"/>
        </w:rPr>
      </w:r>
      <w:r/>
    </w:p>
    <w:p>
      <w:pPr>
        <w:rPr>
          <w:rFonts w:hint="eastAsia" w:ascii="宋体" w:hAnsi="宋体" w:eastAsia="宋体" w:cs="宋体"/>
          <w:sz w:val="32"/>
          <w:szCs w:val="32"/>
          <w:lang w:eastAsia="zh-CN"/>
        </w:rPr>
        <w:sectPr>
          <w:footnotePr/>
          <w:endnotePr/>
          <w:type w:val="nextPage"/>
          <w:pgSz w:w="16838" w:h="11906" w:orient="landscape"/>
          <w:pgMar w:top="1179" w:right="1440" w:bottom="1179" w:left="1440" w:header="1020" w:footer="992" w:gutter="0"/>
          <w:cols w:num="1" w:sep="0" w:space="720" w:equalWidth="1"/>
          <w:docGrid w:linePitch="360"/>
        </w:sectPr>
      </w:pPr>
      <w:r>
        <w:rPr>
          <w:rFonts w:hint="eastAsia" w:ascii="宋体" w:hAnsi="宋体" w:eastAsia="宋体" w:cs="宋体"/>
          <w:sz w:val="32"/>
          <w:szCs w:val="32"/>
          <w:lang w:eastAsia="zh-CN"/>
        </w:rPr>
      </w:r>
      <w:r/>
    </w:p>
    <w:p>
      <w:pPr>
        <w:rPr>
          <w:rFonts w:hint="eastAsia" w:ascii="宋体" w:hAnsi="宋体" w:eastAsia="宋体" w:cs="宋体"/>
          <w:sz w:val="32"/>
          <w:szCs w:val="32"/>
          <w:lang w:val="en-US" w:eastAsia="zh-CN"/>
        </w:rPr>
        <w:outlineLvl w:val="1"/>
      </w:pPr>
      <w:r>
        <w:rPr>
          <w:rFonts w:hint="eastAsia" w:ascii="宋体" w:hAnsi="宋体" w:eastAsia="宋体" w:cs="宋体"/>
          <w:sz w:val="32"/>
          <w:szCs w:val="32"/>
          <w:lang w:eastAsia="zh-CN"/>
        </w:rPr>
        <w:t xml:space="preserve">附表</w:t>
      </w:r>
      <w:r>
        <w:rPr>
          <w:rFonts w:hint="eastAsia" w:ascii="宋体" w:hAnsi="宋体" w:eastAsia="宋体" w:cs="宋体"/>
          <w:sz w:val="32"/>
          <w:szCs w:val="32"/>
          <w:lang w:val="en-US" w:eastAsia="zh-CN"/>
        </w:rPr>
        <w:t xml:space="preserve">2</w:t>
      </w:r>
      <w:r/>
    </w:p>
    <w:p>
      <w:pPr>
        <w:jc w:val="center"/>
        <w:rPr>
          <w:rFonts w:hint="eastAsia" w:ascii="宋体" w:hAnsi="宋体" w:eastAsia="宋体" w:cs="宋体"/>
          <w:sz w:val="44"/>
          <w:szCs w:val="44"/>
          <w:lang w:val="en-US" w:eastAsia="zh-CN"/>
        </w:rPr>
      </w:pPr>
      <w:r>
        <w:rPr>
          <w:rFonts w:hint="eastAsia" w:ascii="宋体" w:hAnsi="宋体" w:cs="宋体"/>
          <w:sz w:val="44"/>
          <w:szCs w:val="44"/>
          <w:lang w:val="en-US" w:eastAsia="zh-CN"/>
        </w:rPr>
        <w:t xml:space="preserve">全省食用林产品质量安全监测</w:t>
      </w:r>
      <w:r>
        <w:rPr>
          <w:rFonts w:hint="eastAsia" w:ascii="宋体" w:hAnsi="宋体" w:eastAsia="宋体" w:cs="宋体"/>
          <w:sz w:val="44"/>
          <w:szCs w:val="44"/>
          <w:lang w:val="en-US" w:eastAsia="zh-CN"/>
        </w:rPr>
        <w:t xml:space="preserve">批次分布</w:t>
      </w:r>
      <w:r/>
    </w:p>
    <w:tbl>
      <w:tblPr>
        <w:tblStyle w:val="794"/>
        <w:tblW w:w="138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92"/>
        <w:gridCol w:w="1399"/>
        <w:gridCol w:w="822"/>
        <w:gridCol w:w="822"/>
        <w:gridCol w:w="814"/>
        <w:gridCol w:w="814"/>
        <w:gridCol w:w="1306"/>
        <w:gridCol w:w="1176"/>
        <w:gridCol w:w="918"/>
        <w:gridCol w:w="795"/>
        <w:gridCol w:w="839"/>
        <w:gridCol w:w="840"/>
        <w:gridCol w:w="806"/>
        <w:gridCol w:w="1097"/>
        <w:gridCol w:w="750"/>
      </w:tblGrid>
      <w:tr>
        <w:trPr>
          <w:trHeight w:val="90"/>
        </w:trPr>
        <w:tc>
          <w:tcPr>
            <w:gridSpan w:val="2"/>
            <w:tcBorders>
              <w:top w:val="single" w:color="000000" w:sz="8" w:space="0"/>
              <w:left w:val="single" w:color="000000" w:sz="8" w:space="0"/>
              <w:bottom w:val="single" w:color="000000" w:sz="8" w:space="0"/>
              <w:right w:val="single" w:color="000000" w:sz="8" w:space="0"/>
            </w:tcBorders>
            <w:tcMar>
              <w:left w:w="15" w:type="dxa"/>
              <w:top w:w="15" w:type="dxa"/>
              <w:right w:w="15" w:type="dxa"/>
            </w:tcMar>
            <w:tcW w:w="2091" w:type="dxa"/>
            <w:vAlign w:val="center"/>
            <w:vMerge w:val="restart"/>
            <w:textDirection w:val="lrTb"/>
            <w:noWrap w:val="false"/>
          </w:tcPr>
          <w:p>
            <w:pPr>
              <w:jc w:val="center"/>
              <w:keepLines w:val="0"/>
              <w:keepNext w:val="0"/>
              <w:widowControl/>
              <w:rPr>
                <w:rFonts w:hint="eastAsia" w:ascii="宋体" w:hAnsi="宋体" w:eastAsia="宋体" w:cs="宋体"/>
                <w:b/>
                <w:i w:val="0"/>
                <w:color w:val="000000"/>
                <w:sz w:val="24"/>
                <w:szCs w:val="24"/>
                <w:u w:val="none"/>
              </w:rPr>
              <w:suppressLineNumbers w:val="0"/>
            </w:pPr>
            <w:r>
              <w:rPr>
                <w:rStyle w:val="878"/>
                <w:rFonts w:hint="eastAsia" w:ascii="宋体" w:hAnsi="宋体" w:eastAsia="宋体" w:cs="宋体"/>
                <w:lang w:val="en-US" w:eastAsia="zh-CN" w:bidi="ar"/>
              </w:rPr>
              <w:t xml:space="preserve">市县</w:t>
            </w:r>
            <w:r>
              <w:rPr>
                <w:rStyle w:val="826"/>
                <w:rFonts w:hint="eastAsia" w:ascii="宋体" w:hAnsi="宋体" w:eastAsia="宋体" w:cs="宋体"/>
                <w:lang w:val="en-US" w:eastAsia="zh-CN" w:bidi="ar"/>
              </w:rPr>
              <w:t xml:space="preserve"> </w:t>
            </w:r>
            <w:r/>
          </w:p>
        </w:tc>
        <w:tc>
          <w:tcPr>
            <w:gridSpan w:val="10"/>
            <w:tcBorders>
              <w:top w:val="single" w:color="000000" w:sz="8" w:space="0"/>
              <w:left w:val="single" w:color="000000" w:sz="8" w:space="0"/>
              <w:bottom w:val="single" w:color="000000" w:sz="8" w:space="0"/>
              <w:right w:val="single" w:color="000000" w:sz="8" w:space="0"/>
            </w:tcBorders>
            <w:tcMar>
              <w:left w:w="15" w:type="dxa"/>
              <w:top w:w="15" w:type="dxa"/>
              <w:right w:w="15" w:type="dxa"/>
            </w:tcMar>
            <w:tcW w:w="9146"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lang w:val="en-US" w:eastAsia="zh-CN"/>
              </w:rPr>
              <w:suppressLineNumbers w:val="0"/>
            </w:pPr>
            <w:r>
              <w:rPr>
                <w:rFonts w:hint="eastAsia" w:ascii="宋体" w:hAnsi="宋体" w:eastAsia="宋体" w:cs="宋体"/>
                <w:b/>
                <w:i w:val="0"/>
                <w:color w:val="000000"/>
                <w:sz w:val="24"/>
                <w:szCs w:val="24"/>
                <w:u w:val="none"/>
                <w:lang w:val="en-US" w:eastAsia="zh-CN"/>
              </w:rPr>
              <w:t xml:space="preserve">食用林产品</w:t>
            </w:r>
            <w:r/>
          </w:p>
        </w:tc>
        <w:tc>
          <w:tcPr>
            <w:gridSpan w:val="3"/>
            <w:tcBorders>
              <w:top w:val="single" w:color="000000" w:sz="8" w:space="0"/>
              <w:left w:val="single" w:color="000000" w:sz="8" w:space="0"/>
              <w:bottom w:val="single" w:color="000000" w:sz="8" w:space="0"/>
              <w:right w:val="single" w:color="auto" w:sz="4" w:space="0"/>
            </w:tcBorders>
            <w:tcMar>
              <w:left w:w="15" w:type="dxa"/>
              <w:top w:w="15" w:type="dxa"/>
              <w:right w:w="15" w:type="dxa"/>
            </w:tcMar>
            <w:tcW w:w="2653"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lang w:val="en-US" w:eastAsia="zh-CN"/>
              </w:rPr>
              <w:suppressLineNumbers w:val="0"/>
            </w:pPr>
            <w:r>
              <w:rPr>
                <w:rFonts w:hint="eastAsia" w:ascii="宋体" w:hAnsi="宋体" w:eastAsia="宋体" w:cs="宋体"/>
                <w:b/>
                <w:i w:val="0"/>
                <w:color w:val="000000"/>
                <w:sz w:val="24"/>
                <w:szCs w:val="24"/>
                <w:u w:val="none"/>
                <w:lang w:val="en-US" w:eastAsia="zh-CN"/>
              </w:rPr>
              <w:t xml:space="preserve">林源药材</w:t>
            </w:r>
            <w:r/>
          </w:p>
        </w:tc>
      </w:tr>
      <w:tr>
        <w:trPr>
          <w:trHeight w:val="295"/>
        </w:trPr>
        <w:tc>
          <w:tcPr>
            <w:gridSpan w:val="2"/>
            <w:tcBorders>
              <w:left w:val="single" w:color="000000" w:sz="8" w:space="0"/>
              <w:right w:val="single" w:color="000000" w:sz="8" w:space="0"/>
            </w:tcBorders>
            <w:tcMar>
              <w:left w:w="15" w:type="dxa"/>
              <w:top w:w="15" w:type="dxa"/>
              <w:right w:w="15" w:type="dxa"/>
            </w:tcMar>
            <w:tcW w:w="2091" w:type="dxa"/>
            <w:vAlign w:val="center"/>
            <w:vMerge w:val="continue"/>
            <w:textDirection w:val="lrTb"/>
            <w:noWrap w:val="false"/>
          </w:tcPr>
          <w:p>
            <w:pPr>
              <w:jc w:val="center"/>
              <w:keepLines w:val="0"/>
              <w:keepNext w:val="0"/>
              <w:widowControl/>
              <w:rPr>
                <w:rStyle w:val="878"/>
                <w:rFonts w:hint="eastAsia" w:ascii="宋体" w:hAnsi="宋体" w:eastAsia="宋体" w:cs="宋体"/>
                <w:lang w:val="en-US" w:eastAsia="zh-CN" w:bidi="ar"/>
              </w:rPr>
              <w:suppressLineNumbers w:val="0"/>
            </w:pPr>
            <w:r>
              <w:rPr>
                <w:rFonts w:hint="eastAsia" w:ascii="宋体" w:hAnsi="宋体" w:eastAsia="宋体" w:cs="宋体"/>
                <w:lang w:val="en-US" w:eastAsia="zh-CN" w:bidi="ar"/>
              </w:rPr>
            </w:r>
            <w:r/>
          </w:p>
        </w:tc>
        <w:tc>
          <w:tcPr>
            <w:gridSpan w:val="2"/>
            <w:tcBorders>
              <w:top w:val="single" w:color="000000" w:sz="8" w:space="0"/>
              <w:left w:val="single" w:color="000000" w:sz="8" w:space="0"/>
              <w:bottom w:val="single" w:color="000000" w:sz="8" w:space="0"/>
              <w:right w:val="single" w:color="000000" w:sz="8" w:space="0"/>
            </w:tcBorders>
            <w:tcMar>
              <w:left w:w="15" w:type="dxa"/>
              <w:top w:w="15" w:type="dxa"/>
              <w:right w:w="15" w:type="dxa"/>
            </w:tcMar>
            <w:tcW w:w="1644"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lang w:val="en-US" w:eastAsia="zh-CN" w:bidi="ar-SA"/>
              </w:rPr>
              <w:suppressLineNumbers w:val="0"/>
            </w:pPr>
            <w:r>
              <w:rPr>
                <w:rFonts w:hint="eastAsia" w:ascii="宋体" w:hAnsi="宋体" w:eastAsia="宋体" w:cs="宋体"/>
                <w:b/>
                <w:i w:val="0"/>
                <w:color w:val="000000"/>
                <w:sz w:val="24"/>
                <w:szCs w:val="24"/>
                <w:u w:val="none"/>
                <w:lang w:val="en-US" w:eastAsia="zh-CN" w:bidi="ar"/>
              </w:rPr>
              <w:t xml:space="preserve">银杏（白果）</w:t>
            </w:r>
            <w:r/>
          </w:p>
        </w:tc>
        <w:tc>
          <w:tcPr>
            <w:gridSpan w:val="2"/>
            <w:tcBorders>
              <w:top w:val="single" w:color="000000" w:sz="8" w:space="0"/>
              <w:left w:val="single" w:color="000000" w:sz="8" w:space="0"/>
              <w:bottom w:val="single" w:color="000000" w:sz="8" w:space="0"/>
              <w:right w:val="single" w:color="000000" w:sz="8" w:space="0"/>
            </w:tcBorders>
            <w:tcMar>
              <w:left w:w="15" w:type="dxa"/>
              <w:top w:w="15" w:type="dxa"/>
              <w:right w:w="15" w:type="dxa"/>
            </w:tcMar>
            <w:tcW w:w="1628"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lang w:val="en-US" w:eastAsia="zh-CN" w:bidi="ar-SA"/>
              </w:rPr>
              <w:suppressLineNumbers w:val="0"/>
            </w:pPr>
            <w:r>
              <w:rPr>
                <w:rFonts w:hint="eastAsia" w:ascii="宋体" w:hAnsi="宋体" w:eastAsia="宋体" w:cs="宋体"/>
                <w:b/>
                <w:i w:val="0"/>
                <w:color w:val="000000"/>
                <w:sz w:val="24"/>
                <w:szCs w:val="24"/>
                <w:u w:val="none"/>
                <w:lang w:val="en-US" w:eastAsia="zh-CN" w:bidi="ar"/>
              </w:rPr>
              <w:t xml:space="preserve">板栗</w:t>
            </w:r>
            <w:r/>
          </w:p>
        </w:tc>
        <w:tc>
          <w:tcPr>
            <w:gridSpan w:val="2"/>
            <w:tcBorders>
              <w:top w:val="single" w:color="000000" w:sz="8" w:space="0"/>
              <w:left w:val="single" w:color="000000" w:sz="8" w:space="0"/>
              <w:bottom w:val="single" w:color="000000" w:sz="8" w:space="0"/>
              <w:right w:val="single" w:color="000000" w:sz="8" w:space="0"/>
            </w:tcBorders>
            <w:tcMar>
              <w:left w:w="15" w:type="dxa"/>
              <w:top w:w="15" w:type="dxa"/>
              <w:right w:w="15" w:type="dxa"/>
            </w:tcMar>
            <w:tcW w:w="2482"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lang w:val="en-US" w:eastAsia="zh-CN" w:bidi="ar-SA"/>
              </w:rPr>
              <w:suppressLineNumbers w:val="0"/>
            </w:pPr>
            <w:r>
              <w:rPr>
                <w:rFonts w:hint="eastAsia" w:ascii="宋体" w:hAnsi="宋体" w:eastAsia="宋体" w:cs="宋体"/>
                <w:b/>
                <w:i w:val="0"/>
                <w:color w:val="000000"/>
                <w:sz w:val="24"/>
                <w:szCs w:val="24"/>
                <w:u w:val="none"/>
                <w:lang w:val="en-US" w:eastAsia="zh-CN" w:bidi="ar"/>
              </w:rPr>
              <w:t xml:space="preserve">核桃（含薄壳山核桃）</w:t>
            </w:r>
            <w:r/>
          </w:p>
        </w:tc>
        <w:tc>
          <w:tcPr>
            <w:gridSpan w:val="2"/>
            <w:tcBorders>
              <w:top w:val="single" w:color="000000" w:sz="8" w:space="0"/>
              <w:left w:val="single" w:color="000000" w:sz="8" w:space="0"/>
              <w:bottom w:val="single" w:color="000000" w:sz="8" w:space="0"/>
              <w:right w:val="single" w:color="000000" w:sz="8" w:space="0"/>
            </w:tcBorders>
            <w:tcMar>
              <w:left w:w="15" w:type="dxa"/>
              <w:top w:w="15" w:type="dxa"/>
              <w:right w:w="15" w:type="dxa"/>
            </w:tcMar>
            <w:tcW w:w="1713"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lang w:val="en-US" w:eastAsia="zh-CN" w:bidi="ar-SA"/>
              </w:rPr>
              <w:suppressLineNumbers w:val="0"/>
            </w:pPr>
            <w:r>
              <w:rPr>
                <w:rFonts w:hint="eastAsia" w:ascii="宋体" w:hAnsi="宋体" w:eastAsia="宋体" w:cs="宋体"/>
                <w:b/>
                <w:i w:val="0"/>
                <w:color w:val="000000"/>
                <w:sz w:val="24"/>
                <w:szCs w:val="24"/>
                <w:u w:val="none"/>
                <w:lang w:val="en-US" w:eastAsia="zh-CN" w:bidi="ar"/>
              </w:rPr>
              <w:t xml:space="preserve">竹笋</w:t>
            </w:r>
            <w:r/>
          </w:p>
        </w:tc>
        <w:tc>
          <w:tcPr>
            <w:gridSpan w:val="2"/>
            <w:tcBorders>
              <w:top w:val="single" w:color="000000" w:sz="8" w:space="0"/>
              <w:left w:val="single" w:color="000000" w:sz="8" w:space="0"/>
              <w:bottom w:val="single" w:color="000000" w:sz="8" w:space="0"/>
              <w:right w:val="single" w:color="000000" w:sz="8" w:space="0"/>
            </w:tcBorders>
            <w:tcMar>
              <w:left w:w="15" w:type="dxa"/>
              <w:top w:w="15" w:type="dxa"/>
              <w:right w:w="15" w:type="dxa"/>
            </w:tcMar>
            <w:tcW w:w="1679"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lang w:val="en-US" w:eastAsia="zh-CN" w:bidi="ar-SA"/>
              </w:rPr>
              <w:suppressLineNumbers w:val="0"/>
            </w:pPr>
            <w:r>
              <w:rPr>
                <w:rFonts w:hint="eastAsia" w:ascii="宋体" w:hAnsi="宋体" w:eastAsia="宋体" w:cs="宋体"/>
                <w:b/>
                <w:i w:val="0"/>
                <w:color w:val="000000"/>
                <w:sz w:val="24"/>
                <w:szCs w:val="24"/>
                <w:u w:val="none"/>
                <w:lang w:val="en-US" w:eastAsia="zh-CN" w:bidi="ar"/>
              </w:rPr>
              <w:t xml:space="preserve">蓝莓</w:t>
            </w:r>
            <w:r/>
          </w:p>
        </w:tc>
        <w:tc>
          <w:tcPr>
            <w:tcBorders>
              <w:top w:val="single" w:color="000000" w:sz="8" w:space="0"/>
              <w:left w:val="single" w:color="000000" w:sz="8" w:space="0"/>
              <w:bottom w:val="single" w:color="000000" w:sz="8" w:space="0"/>
              <w:right w:val="none" w:color="000000" w:sz="4" w:space="0"/>
            </w:tcBorders>
            <w:tcMar>
              <w:left w:w="15" w:type="dxa"/>
              <w:top w:w="15" w:type="dxa"/>
              <w:right w:w="15" w:type="dxa"/>
            </w:tcMar>
            <w:tcW w:w="806"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lang w:val="en-US" w:eastAsia="zh-CN" w:bidi="ar-SA"/>
              </w:rPr>
              <w:suppressLineNumbers w:val="0"/>
            </w:pPr>
            <w:r>
              <w:rPr>
                <w:rFonts w:hint="eastAsia" w:ascii="宋体" w:hAnsi="宋体" w:eastAsia="宋体" w:cs="宋体"/>
                <w:b/>
                <w:i w:val="0"/>
                <w:color w:val="000000"/>
                <w:sz w:val="24"/>
                <w:szCs w:val="24"/>
                <w:u w:val="none"/>
                <w:lang w:val="en-US" w:eastAsia="zh-CN" w:bidi="ar"/>
              </w:rPr>
              <w:t xml:space="preserve">葛根</w:t>
            </w:r>
            <w:r/>
          </w:p>
        </w:tc>
        <w:tc>
          <w:tcPr>
            <w:tcBorders>
              <w:top w:val="single" w:color="000000" w:sz="8" w:space="0"/>
              <w:left w:val="single" w:color="000000" w:sz="8" w:space="0"/>
              <w:bottom w:val="single" w:color="000000" w:sz="8" w:space="0"/>
              <w:right w:val="none" w:color="000000" w:sz="4" w:space="0"/>
            </w:tcBorders>
            <w:tcMar>
              <w:left w:w="15" w:type="dxa"/>
              <w:top w:w="15" w:type="dxa"/>
              <w:right w:w="15" w:type="dxa"/>
            </w:tcMar>
            <w:tcW w:w="1097"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lang w:val="en-US" w:eastAsia="zh-CN" w:bidi="ar-SA"/>
              </w:rPr>
              <w:suppressLineNumbers w:val="0"/>
            </w:pPr>
            <w:r>
              <w:rPr>
                <w:rFonts w:hint="eastAsia" w:ascii="宋体" w:hAnsi="宋体" w:eastAsia="宋体" w:cs="宋体"/>
                <w:b/>
                <w:i w:val="0"/>
                <w:color w:val="000000"/>
                <w:sz w:val="24"/>
                <w:szCs w:val="24"/>
                <w:u w:val="none"/>
                <w:lang w:val="en-US" w:eastAsia="zh-CN" w:bidi="ar"/>
              </w:rPr>
              <w:t xml:space="preserve">金银花</w:t>
            </w:r>
            <w:r/>
          </w:p>
        </w:tc>
        <w:tc>
          <w:tcPr>
            <w:tcBorders>
              <w:top w:val="single" w:color="000000" w:sz="8" w:space="0"/>
              <w:left w:val="single" w:color="000000" w:sz="8" w:space="0"/>
              <w:bottom w:val="single" w:color="000000" w:sz="8" w:space="0"/>
              <w:right w:val="single" w:color="auto" w:sz="4" w:space="0"/>
            </w:tcBorders>
            <w:tcMar>
              <w:left w:w="15" w:type="dxa"/>
              <w:top w:w="15" w:type="dxa"/>
              <w:right w:w="15" w:type="dxa"/>
            </w:tcMar>
            <w:tcW w:w="750"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lang w:val="en-US" w:eastAsia="zh-CN" w:bidi="ar-SA"/>
              </w:rPr>
              <w:suppressLineNumbers w:val="0"/>
            </w:pPr>
            <w:r>
              <w:rPr>
                <w:rFonts w:hint="eastAsia" w:ascii="宋体" w:hAnsi="宋体" w:eastAsia="宋体" w:cs="宋体"/>
                <w:b/>
                <w:i w:val="0"/>
                <w:color w:val="000000"/>
                <w:sz w:val="24"/>
                <w:szCs w:val="24"/>
                <w:u w:val="none"/>
                <w:lang w:val="en-US" w:eastAsia="zh-CN" w:bidi="ar"/>
              </w:rPr>
              <w:t xml:space="preserve">元胡</w:t>
            </w:r>
            <w:r/>
          </w:p>
        </w:tc>
      </w:tr>
      <w:tr>
        <w:trPr>
          <w:trHeight w:val="656"/>
        </w:trPr>
        <w:tc>
          <w:tcPr>
            <w:gridSpan w:val="2"/>
            <w:tcBorders>
              <w:top w:val="single" w:color="000000" w:sz="8" w:space="0"/>
              <w:left w:val="single" w:color="000000" w:sz="8" w:space="0"/>
              <w:bottom w:val="single" w:color="000000" w:sz="8" w:space="0"/>
              <w:right w:val="single" w:color="000000" w:sz="8" w:space="0"/>
            </w:tcBorders>
            <w:tcMar>
              <w:left w:w="15" w:type="dxa"/>
              <w:top w:w="15" w:type="dxa"/>
              <w:right w:w="15" w:type="dxa"/>
            </w:tcMar>
            <w:tcW w:w="2091" w:type="dxa"/>
            <w:vAlign w:val="center"/>
            <w:vMerge w:val="continue"/>
            <w:textDirection w:val="lrTb"/>
            <w:noWrap w:val="false"/>
          </w:tcPr>
          <w:p>
            <w:pPr>
              <w:jc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sz w:val="24"/>
                <w:szCs w:val="24"/>
                <w:u w:val="none"/>
              </w:rPr>
            </w:r>
            <w:r/>
          </w:p>
        </w:tc>
        <w:tc>
          <w:tcPr>
            <w:tcBorders>
              <w:top w:val="single" w:color="000000" w:sz="8" w:space="0"/>
              <w:left w:val="single" w:color="000000" w:sz="8" w:space="0"/>
              <w:bottom w:val="single" w:color="000000" w:sz="4" w:space="0"/>
              <w:right w:val="single" w:color="000000" w:sz="8" w:space="0"/>
            </w:tcBorders>
            <w:tcMar>
              <w:left w:w="15" w:type="dxa"/>
              <w:top w:w="15" w:type="dxa"/>
              <w:right w:w="15" w:type="dxa"/>
            </w:tcMar>
            <w:tcW w:w="822"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lang w:val="en-US" w:eastAsia="zh-CN" w:bidi="ar"/>
              </w:rPr>
              <w:suppressLineNumbers w:val="0"/>
            </w:pPr>
            <w:r>
              <w:rPr>
                <w:rFonts w:hint="eastAsia" w:ascii="宋体" w:hAnsi="宋体" w:eastAsia="宋体" w:cs="宋体"/>
                <w:b/>
                <w:i w:val="0"/>
                <w:color w:val="000000"/>
                <w:sz w:val="24"/>
                <w:szCs w:val="24"/>
                <w:u w:val="none"/>
                <w:lang w:val="en-US" w:eastAsia="zh-CN" w:bidi="ar"/>
              </w:rPr>
              <w:t xml:space="preserve">产品</w:t>
            </w:r>
            <w:r/>
          </w:p>
          <w:p>
            <w:pPr>
              <w:jc w:val="center"/>
              <w:keepLines w:val="0"/>
              <w:keepNext w:val="0"/>
              <w:widowControl/>
              <w:rPr>
                <w:rFonts w:hint="eastAsia" w:ascii="宋体" w:hAnsi="宋体" w:eastAsia="宋体" w:cs="宋体"/>
                <w:b/>
                <w:i w:val="0"/>
                <w:color w:val="000000"/>
                <w:sz w:val="24"/>
                <w:szCs w:val="24"/>
                <w:u w:val="none"/>
              </w:rPr>
              <w:suppressLineNumbers w:val="0"/>
            </w:pPr>
            <w:r>
              <w:rPr>
                <w:rFonts w:hint="eastAsia" w:ascii="宋体" w:hAnsi="宋体" w:eastAsia="宋体" w:cs="宋体"/>
                <w:b/>
                <w:i w:val="0"/>
                <w:color w:val="000000"/>
                <w:sz w:val="24"/>
                <w:szCs w:val="24"/>
                <w:u w:val="none"/>
                <w:lang w:val="en-US" w:eastAsia="zh-CN" w:bidi="ar"/>
              </w:rPr>
              <w:t xml:space="preserve">监测</w:t>
            </w:r>
            <w:r/>
          </w:p>
        </w:tc>
        <w:tc>
          <w:tcPr>
            <w:tcBorders>
              <w:top w:val="single" w:color="000000" w:sz="8" w:space="0"/>
              <w:left w:val="none" w:color="000000" w:sz="4" w:space="0"/>
              <w:bottom w:val="single" w:color="000000" w:sz="4" w:space="0"/>
              <w:right w:val="single" w:color="000000" w:sz="8" w:space="0"/>
            </w:tcBorders>
            <w:tcMar>
              <w:left w:w="15" w:type="dxa"/>
              <w:top w:w="15" w:type="dxa"/>
              <w:right w:w="15" w:type="dxa"/>
            </w:tcMar>
            <w:tcW w:w="822"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lang w:val="en-US" w:eastAsia="zh-CN" w:bidi="ar"/>
              </w:rPr>
              <w:suppressLineNumbers w:val="0"/>
            </w:pPr>
            <w:r>
              <w:rPr>
                <w:rFonts w:hint="eastAsia" w:ascii="宋体" w:hAnsi="宋体" w:eastAsia="宋体" w:cs="宋体"/>
                <w:b/>
                <w:i w:val="0"/>
                <w:color w:val="000000"/>
                <w:sz w:val="24"/>
                <w:szCs w:val="24"/>
                <w:u w:val="none"/>
                <w:lang w:val="en-US" w:eastAsia="zh-CN" w:bidi="ar"/>
              </w:rPr>
              <w:t xml:space="preserve">对应</w:t>
            </w:r>
            <w:r/>
          </w:p>
          <w:p>
            <w:pPr>
              <w:jc w:val="center"/>
              <w:keepLines w:val="0"/>
              <w:keepNext w:val="0"/>
              <w:widowControl/>
              <w:rPr>
                <w:rFonts w:hint="eastAsia" w:ascii="宋体" w:hAnsi="宋体" w:eastAsia="宋体" w:cs="宋体"/>
                <w:b/>
                <w:i w:val="0"/>
                <w:color w:val="000000"/>
                <w:sz w:val="24"/>
                <w:szCs w:val="24"/>
                <w:u w:val="none"/>
              </w:rPr>
              <w:suppressLineNumbers w:val="0"/>
            </w:pPr>
            <w:r>
              <w:rPr>
                <w:rFonts w:hint="eastAsia" w:ascii="宋体" w:hAnsi="宋体" w:eastAsia="宋体" w:cs="宋体"/>
                <w:b/>
                <w:i w:val="0"/>
                <w:color w:val="000000"/>
                <w:sz w:val="24"/>
                <w:szCs w:val="24"/>
                <w:u w:val="none"/>
                <w:lang w:val="en-US" w:eastAsia="zh-CN" w:bidi="ar"/>
              </w:rPr>
              <w:t xml:space="preserve">土壤</w:t>
            </w:r>
            <w:r/>
          </w:p>
        </w:tc>
        <w:tc>
          <w:tcPr>
            <w:tcBorders>
              <w:top w:val="single" w:color="000000" w:sz="8" w:space="0"/>
              <w:left w:val="none" w:color="000000" w:sz="4" w:space="0"/>
              <w:bottom w:val="single" w:color="000000" w:sz="4" w:space="0"/>
              <w:right w:val="single" w:color="000000" w:sz="8" w:space="0"/>
            </w:tcBorders>
            <w:tcMar>
              <w:left w:w="15" w:type="dxa"/>
              <w:top w:w="15" w:type="dxa"/>
              <w:right w:w="15" w:type="dxa"/>
            </w:tcMar>
            <w:tcW w:w="814"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lang w:val="en-US" w:eastAsia="zh-CN" w:bidi="ar"/>
              </w:rPr>
              <w:suppressLineNumbers w:val="0"/>
            </w:pPr>
            <w:r>
              <w:rPr>
                <w:rFonts w:hint="eastAsia" w:ascii="宋体" w:hAnsi="宋体" w:eastAsia="宋体" w:cs="宋体"/>
                <w:b/>
                <w:i w:val="0"/>
                <w:color w:val="000000"/>
                <w:sz w:val="24"/>
                <w:szCs w:val="24"/>
                <w:u w:val="none"/>
                <w:lang w:val="en-US" w:eastAsia="zh-CN" w:bidi="ar"/>
              </w:rPr>
              <w:t xml:space="preserve">产品</w:t>
            </w:r>
            <w:r/>
          </w:p>
          <w:p>
            <w:pPr>
              <w:jc w:val="center"/>
              <w:keepLines w:val="0"/>
              <w:keepNext w:val="0"/>
              <w:widowControl/>
              <w:rPr>
                <w:rFonts w:hint="eastAsia" w:ascii="宋体" w:hAnsi="宋体" w:eastAsia="宋体" w:cs="宋体"/>
                <w:b/>
                <w:i w:val="0"/>
                <w:color w:val="000000"/>
                <w:sz w:val="24"/>
                <w:szCs w:val="24"/>
                <w:u w:val="none"/>
              </w:rPr>
              <w:suppressLineNumbers w:val="0"/>
            </w:pPr>
            <w:r>
              <w:rPr>
                <w:rFonts w:hint="eastAsia" w:ascii="宋体" w:hAnsi="宋体" w:eastAsia="宋体" w:cs="宋体"/>
                <w:b/>
                <w:i w:val="0"/>
                <w:color w:val="000000"/>
                <w:sz w:val="24"/>
                <w:szCs w:val="24"/>
                <w:u w:val="none"/>
                <w:lang w:val="en-US" w:eastAsia="zh-CN" w:bidi="ar"/>
              </w:rPr>
              <w:t xml:space="preserve">监测</w:t>
            </w:r>
            <w:r/>
          </w:p>
        </w:tc>
        <w:tc>
          <w:tcPr>
            <w:tcBorders>
              <w:top w:val="single" w:color="000000" w:sz="8" w:space="0"/>
              <w:left w:val="none" w:color="000000" w:sz="4" w:space="0"/>
              <w:bottom w:val="single" w:color="000000" w:sz="4" w:space="0"/>
              <w:right w:val="single" w:color="000000" w:sz="8" w:space="0"/>
            </w:tcBorders>
            <w:tcMar>
              <w:left w:w="15" w:type="dxa"/>
              <w:top w:w="15" w:type="dxa"/>
              <w:right w:w="15" w:type="dxa"/>
            </w:tcMar>
            <w:tcW w:w="814"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lang w:val="en-US" w:eastAsia="zh-CN" w:bidi="ar"/>
              </w:rPr>
              <w:suppressLineNumbers w:val="0"/>
            </w:pPr>
            <w:r>
              <w:rPr>
                <w:rFonts w:hint="eastAsia" w:ascii="宋体" w:hAnsi="宋体" w:eastAsia="宋体" w:cs="宋体"/>
                <w:b/>
                <w:i w:val="0"/>
                <w:color w:val="000000"/>
                <w:sz w:val="24"/>
                <w:szCs w:val="24"/>
                <w:u w:val="none"/>
                <w:lang w:val="en-US" w:eastAsia="zh-CN" w:bidi="ar"/>
              </w:rPr>
              <w:t xml:space="preserve">对应</w:t>
            </w:r>
            <w:r/>
          </w:p>
          <w:p>
            <w:pPr>
              <w:jc w:val="center"/>
              <w:keepLines w:val="0"/>
              <w:keepNext w:val="0"/>
              <w:widowControl/>
              <w:rPr>
                <w:rFonts w:hint="eastAsia" w:ascii="宋体" w:hAnsi="宋体" w:eastAsia="宋体" w:cs="宋体"/>
                <w:b/>
                <w:i w:val="0"/>
                <w:color w:val="000000"/>
                <w:sz w:val="24"/>
                <w:szCs w:val="24"/>
                <w:u w:val="none"/>
              </w:rPr>
              <w:suppressLineNumbers w:val="0"/>
            </w:pPr>
            <w:r>
              <w:rPr>
                <w:rFonts w:hint="eastAsia" w:ascii="宋体" w:hAnsi="宋体" w:eastAsia="宋体" w:cs="宋体"/>
                <w:b/>
                <w:i w:val="0"/>
                <w:color w:val="000000"/>
                <w:sz w:val="24"/>
                <w:szCs w:val="24"/>
                <w:u w:val="none"/>
                <w:lang w:val="en-US" w:eastAsia="zh-CN" w:bidi="ar"/>
              </w:rPr>
              <w:t xml:space="preserve">土壤</w:t>
            </w:r>
            <w:r/>
          </w:p>
        </w:tc>
        <w:tc>
          <w:tcPr>
            <w:tcBorders>
              <w:top w:val="single" w:color="000000" w:sz="8" w:space="0"/>
              <w:left w:val="none" w:color="000000" w:sz="4" w:space="0"/>
              <w:bottom w:val="single" w:color="000000" w:sz="4" w:space="0"/>
              <w:right w:val="single" w:color="000000" w:sz="8" w:space="0"/>
            </w:tcBorders>
            <w:tcMar>
              <w:left w:w="15" w:type="dxa"/>
              <w:top w:w="15" w:type="dxa"/>
              <w:right w:w="15" w:type="dxa"/>
            </w:tcMar>
            <w:tcW w:w="1306"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rPr>
              <w:suppressLineNumbers w:val="0"/>
            </w:pPr>
            <w:r>
              <w:rPr>
                <w:rFonts w:hint="eastAsia" w:ascii="宋体" w:hAnsi="宋体" w:eastAsia="宋体" w:cs="宋体"/>
                <w:b/>
                <w:i w:val="0"/>
                <w:color w:val="000000"/>
                <w:sz w:val="24"/>
                <w:szCs w:val="24"/>
                <w:u w:val="none"/>
                <w:lang w:val="en-US" w:eastAsia="zh-CN" w:bidi="ar"/>
              </w:rPr>
              <w:t xml:space="preserve">产品监测</w:t>
            </w:r>
            <w:r/>
          </w:p>
        </w:tc>
        <w:tc>
          <w:tcPr>
            <w:tcBorders>
              <w:top w:val="single" w:color="000000" w:sz="8" w:space="0"/>
              <w:left w:val="none" w:color="000000" w:sz="4" w:space="0"/>
              <w:bottom w:val="single" w:color="000000" w:sz="4" w:space="0"/>
              <w:right w:val="single" w:color="000000" w:sz="8" w:space="0"/>
            </w:tcBorders>
            <w:tcMar>
              <w:left w:w="15" w:type="dxa"/>
              <w:top w:w="15" w:type="dxa"/>
              <w:right w:w="15" w:type="dxa"/>
            </w:tcMar>
            <w:tcW w:w="1176"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rPr>
              <w:suppressLineNumbers w:val="0"/>
            </w:pPr>
            <w:r>
              <w:rPr>
                <w:rFonts w:hint="eastAsia" w:ascii="宋体" w:hAnsi="宋体" w:eastAsia="宋体" w:cs="宋体"/>
                <w:b/>
                <w:i w:val="0"/>
                <w:color w:val="000000"/>
                <w:sz w:val="24"/>
                <w:szCs w:val="24"/>
                <w:u w:val="none"/>
                <w:lang w:val="en-US" w:eastAsia="zh-CN" w:bidi="ar"/>
              </w:rPr>
              <w:t xml:space="preserve">对应土壤</w:t>
            </w:r>
            <w:r/>
          </w:p>
        </w:tc>
        <w:tc>
          <w:tcPr>
            <w:tcBorders>
              <w:top w:val="single" w:color="000000" w:sz="8" w:space="0"/>
              <w:left w:val="none" w:color="000000" w:sz="4" w:space="0"/>
              <w:bottom w:val="single" w:color="000000" w:sz="4" w:space="0"/>
              <w:right w:val="single" w:color="000000" w:sz="8" w:space="0"/>
            </w:tcBorders>
            <w:tcMar>
              <w:left w:w="15" w:type="dxa"/>
              <w:top w:w="15" w:type="dxa"/>
              <w:right w:w="15" w:type="dxa"/>
            </w:tcMar>
            <w:tcW w:w="918"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lang w:val="en-US" w:eastAsia="zh-CN" w:bidi="ar"/>
              </w:rPr>
              <w:suppressLineNumbers w:val="0"/>
            </w:pPr>
            <w:r>
              <w:rPr>
                <w:rFonts w:hint="eastAsia" w:ascii="宋体" w:hAnsi="宋体" w:eastAsia="宋体" w:cs="宋体"/>
                <w:b/>
                <w:i w:val="0"/>
                <w:color w:val="000000"/>
                <w:sz w:val="24"/>
                <w:szCs w:val="24"/>
                <w:u w:val="none"/>
                <w:lang w:val="en-US" w:eastAsia="zh-CN" w:bidi="ar"/>
              </w:rPr>
              <w:t xml:space="preserve">产品</w:t>
            </w:r>
            <w:r/>
          </w:p>
          <w:p>
            <w:pPr>
              <w:jc w:val="center"/>
              <w:keepLines w:val="0"/>
              <w:keepNext w:val="0"/>
              <w:widowControl/>
              <w:rPr>
                <w:rFonts w:hint="eastAsia" w:ascii="宋体" w:hAnsi="宋体" w:eastAsia="宋体" w:cs="宋体"/>
                <w:b/>
                <w:i w:val="0"/>
                <w:color w:val="000000"/>
                <w:sz w:val="24"/>
                <w:szCs w:val="24"/>
                <w:u w:val="none"/>
              </w:rPr>
              <w:suppressLineNumbers w:val="0"/>
            </w:pPr>
            <w:r>
              <w:rPr>
                <w:rFonts w:hint="eastAsia" w:ascii="宋体" w:hAnsi="宋体" w:eastAsia="宋体" w:cs="宋体"/>
                <w:b/>
                <w:i w:val="0"/>
                <w:color w:val="000000"/>
                <w:sz w:val="24"/>
                <w:szCs w:val="24"/>
                <w:u w:val="none"/>
                <w:lang w:val="en-US" w:eastAsia="zh-CN" w:bidi="ar"/>
              </w:rPr>
              <w:t xml:space="preserve">监测</w:t>
            </w:r>
            <w:r/>
          </w:p>
        </w:tc>
        <w:tc>
          <w:tcPr>
            <w:tcBorders>
              <w:top w:val="single" w:color="000000" w:sz="8" w:space="0"/>
              <w:left w:val="none" w:color="000000" w:sz="4" w:space="0"/>
              <w:bottom w:val="single" w:color="000000" w:sz="4" w:space="0"/>
              <w:right w:val="single" w:color="000000" w:sz="8" w:space="0"/>
            </w:tcBorders>
            <w:tcMar>
              <w:left w:w="15" w:type="dxa"/>
              <w:top w:w="15" w:type="dxa"/>
              <w:right w:w="15" w:type="dxa"/>
            </w:tcMar>
            <w:tcW w:w="795"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lang w:val="en-US" w:eastAsia="zh-CN" w:bidi="ar"/>
              </w:rPr>
              <w:suppressLineNumbers w:val="0"/>
            </w:pPr>
            <w:r>
              <w:rPr>
                <w:rFonts w:hint="eastAsia" w:ascii="宋体" w:hAnsi="宋体" w:eastAsia="宋体" w:cs="宋体"/>
                <w:b/>
                <w:i w:val="0"/>
                <w:color w:val="000000"/>
                <w:sz w:val="24"/>
                <w:szCs w:val="24"/>
                <w:u w:val="none"/>
                <w:lang w:val="en-US" w:eastAsia="zh-CN" w:bidi="ar"/>
              </w:rPr>
              <w:t xml:space="preserve">对应</w:t>
            </w:r>
            <w:r/>
          </w:p>
          <w:p>
            <w:pPr>
              <w:jc w:val="center"/>
              <w:keepLines w:val="0"/>
              <w:keepNext w:val="0"/>
              <w:widowControl/>
              <w:rPr>
                <w:rFonts w:hint="eastAsia" w:ascii="宋体" w:hAnsi="宋体" w:eastAsia="宋体" w:cs="宋体"/>
                <w:b/>
                <w:i w:val="0"/>
                <w:color w:val="000000"/>
                <w:sz w:val="24"/>
                <w:szCs w:val="24"/>
                <w:u w:val="none"/>
              </w:rPr>
              <w:suppressLineNumbers w:val="0"/>
            </w:pPr>
            <w:r>
              <w:rPr>
                <w:rFonts w:hint="eastAsia" w:ascii="宋体" w:hAnsi="宋体" w:eastAsia="宋体" w:cs="宋体"/>
                <w:b/>
                <w:i w:val="0"/>
                <w:color w:val="000000"/>
                <w:sz w:val="24"/>
                <w:szCs w:val="24"/>
                <w:u w:val="none"/>
                <w:lang w:val="en-US" w:eastAsia="zh-CN" w:bidi="ar"/>
              </w:rPr>
              <w:t xml:space="preserve">土壤</w:t>
            </w:r>
            <w:r/>
          </w:p>
        </w:tc>
        <w:tc>
          <w:tcPr>
            <w:tcBorders>
              <w:top w:val="single" w:color="000000" w:sz="8" w:space="0"/>
              <w:left w:val="none" w:color="000000" w:sz="4" w:space="0"/>
              <w:bottom w:val="single" w:color="000000" w:sz="4" w:space="0"/>
              <w:right w:val="single" w:color="000000" w:sz="8" w:space="0"/>
            </w:tcBorders>
            <w:tcMar>
              <w:left w:w="15" w:type="dxa"/>
              <w:top w:w="15" w:type="dxa"/>
              <w:right w:w="15" w:type="dxa"/>
            </w:tcMar>
            <w:tcW w:w="839"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lang w:val="en-US" w:eastAsia="zh-CN" w:bidi="ar"/>
              </w:rPr>
              <w:suppressLineNumbers w:val="0"/>
            </w:pPr>
            <w:r>
              <w:rPr>
                <w:rFonts w:hint="eastAsia" w:ascii="宋体" w:hAnsi="宋体" w:eastAsia="宋体" w:cs="宋体"/>
                <w:b/>
                <w:i w:val="0"/>
                <w:color w:val="000000"/>
                <w:sz w:val="24"/>
                <w:szCs w:val="24"/>
                <w:u w:val="none"/>
                <w:lang w:val="en-US" w:eastAsia="zh-CN" w:bidi="ar"/>
              </w:rPr>
              <w:t xml:space="preserve">产品</w:t>
            </w:r>
            <w:r/>
          </w:p>
          <w:p>
            <w:pPr>
              <w:jc w:val="center"/>
              <w:keepLines w:val="0"/>
              <w:keepNext w:val="0"/>
              <w:widowControl/>
              <w:rPr>
                <w:rFonts w:hint="eastAsia" w:ascii="宋体" w:hAnsi="宋体" w:eastAsia="宋体" w:cs="宋体"/>
                <w:b/>
                <w:i w:val="0"/>
                <w:color w:val="000000"/>
                <w:sz w:val="24"/>
                <w:szCs w:val="24"/>
                <w:u w:val="none"/>
              </w:rPr>
              <w:suppressLineNumbers w:val="0"/>
            </w:pPr>
            <w:r>
              <w:rPr>
                <w:rFonts w:hint="eastAsia" w:ascii="宋体" w:hAnsi="宋体" w:eastAsia="宋体" w:cs="宋体"/>
                <w:b/>
                <w:i w:val="0"/>
                <w:color w:val="000000"/>
                <w:sz w:val="24"/>
                <w:szCs w:val="24"/>
                <w:u w:val="none"/>
                <w:lang w:val="en-US" w:eastAsia="zh-CN" w:bidi="ar"/>
              </w:rPr>
              <w:t xml:space="preserve">监测</w:t>
            </w:r>
            <w:r/>
          </w:p>
        </w:tc>
        <w:tc>
          <w:tcPr>
            <w:tcBorders>
              <w:top w:val="single" w:color="000000" w:sz="8" w:space="0"/>
              <w:left w:val="none" w:color="000000" w:sz="4" w:space="0"/>
              <w:bottom w:val="single" w:color="000000" w:sz="4" w:space="0"/>
              <w:right w:val="single" w:color="000000" w:sz="8" w:space="0"/>
            </w:tcBorders>
            <w:tcMar>
              <w:left w:w="15" w:type="dxa"/>
              <w:top w:w="15" w:type="dxa"/>
              <w:right w:w="15" w:type="dxa"/>
            </w:tcMar>
            <w:tcW w:w="840"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lang w:val="en-US" w:eastAsia="zh-CN" w:bidi="ar"/>
              </w:rPr>
              <w:suppressLineNumbers w:val="0"/>
            </w:pPr>
            <w:r>
              <w:rPr>
                <w:rFonts w:hint="eastAsia" w:ascii="宋体" w:hAnsi="宋体" w:eastAsia="宋体" w:cs="宋体"/>
                <w:b/>
                <w:i w:val="0"/>
                <w:color w:val="000000"/>
                <w:sz w:val="24"/>
                <w:szCs w:val="24"/>
                <w:u w:val="none"/>
                <w:lang w:val="en-US" w:eastAsia="zh-CN" w:bidi="ar"/>
              </w:rPr>
              <w:t xml:space="preserve">对应</w:t>
            </w:r>
            <w:r/>
          </w:p>
          <w:p>
            <w:pPr>
              <w:jc w:val="center"/>
              <w:keepLines w:val="0"/>
              <w:keepNext w:val="0"/>
              <w:widowControl/>
              <w:rPr>
                <w:rFonts w:hint="eastAsia" w:ascii="宋体" w:hAnsi="宋体" w:eastAsia="宋体" w:cs="宋体"/>
                <w:b/>
                <w:i w:val="0"/>
                <w:color w:val="000000"/>
                <w:sz w:val="24"/>
                <w:szCs w:val="24"/>
                <w:u w:val="none"/>
              </w:rPr>
              <w:suppressLineNumbers w:val="0"/>
            </w:pPr>
            <w:r>
              <w:rPr>
                <w:rFonts w:hint="eastAsia" w:ascii="宋体" w:hAnsi="宋体" w:eastAsia="宋体" w:cs="宋体"/>
                <w:b/>
                <w:i w:val="0"/>
                <w:color w:val="000000"/>
                <w:sz w:val="24"/>
                <w:szCs w:val="24"/>
                <w:u w:val="none"/>
                <w:lang w:val="en-US" w:eastAsia="zh-CN" w:bidi="ar"/>
              </w:rPr>
              <w:t xml:space="preserve">土壤</w:t>
            </w:r>
            <w:r/>
          </w:p>
        </w:tc>
        <w:tc>
          <w:tcPr>
            <w:tcBorders>
              <w:top w:val="single" w:color="000000" w:sz="8" w:space="0"/>
              <w:left w:val="none" w:color="000000" w:sz="4" w:space="0"/>
              <w:bottom w:val="single" w:color="000000" w:sz="4" w:space="0"/>
              <w:right w:val="single" w:color="000000" w:sz="8" w:space="0"/>
            </w:tcBorders>
            <w:tcMar>
              <w:left w:w="15" w:type="dxa"/>
              <w:top w:w="15" w:type="dxa"/>
              <w:right w:w="15" w:type="dxa"/>
            </w:tcMar>
            <w:tcW w:w="806"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lang w:val="en-US" w:eastAsia="zh-CN" w:bidi="ar"/>
              </w:rPr>
              <w:suppressLineNumbers w:val="0"/>
            </w:pPr>
            <w:r>
              <w:rPr>
                <w:rFonts w:hint="eastAsia" w:ascii="宋体" w:hAnsi="宋体" w:eastAsia="宋体" w:cs="宋体"/>
                <w:b/>
                <w:i w:val="0"/>
                <w:color w:val="000000"/>
                <w:sz w:val="24"/>
                <w:szCs w:val="24"/>
                <w:u w:val="none"/>
                <w:lang w:val="en-US" w:eastAsia="zh-CN" w:bidi="ar"/>
              </w:rPr>
              <w:t xml:space="preserve">产品</w:t>
            </w:r>
            <w:r/>
          </w:p>
          <w:p>
            <w:pPr>
              <w:jc w:val="center"/>
              <w:keepLines w:val="0"/>
              <w:keepNext w:val="0"/>
              <w:widowControl/>
              <w:rPr>
                <w:rFonts w:hint="eastAsia" w:ascii="宋体" w:hAnsi="宋体" w:eastAsia="宋体" w:cs="宋体"/>
                <w:b/>
                <w:i w:val="0"/>
                <w:color w:val="000000"/>
                <w:sz w:val="24"/>
                <w:szCs w:val="24"/>
                <w:u w:val="none"/>
              </w:rPr>
              <w:suppressLineNumbers w:val="0"/>
            </w:pPr>
            <w:r>
              <w:rPr>
                <w:rFonts w:hint="eastAsia" w:ascii="宋体" w:hAnsi="宋体" w:eastAsia="宋体" w:cs="宋体"/>
                <w:b/>
                <w:i w:val="0"/>
                <w:color w:val="000000"/>
                <w:sz w:val="24"/>
                <w:szCs w:val="24"/>
                <w:u w:val="none"/>
                <w:lang w:val="en-US" w:eastAsia="zh-CN" w:bidi="ar"/>
              </w:rPr>
              <w:t xml:space="preserve">监测</w:t>
            </w:r>
            <w:r/>
          </w:p>
        </w:tc>
        <w:tc>
          <w:tcPr>
            <w:tcBorders>
              <w:top w:val="single" w:color="000000" w:sz="8" w:space="0"/>
              <w:left w:val="none" w:color="000000" w:sz="4" w:space="0"/>
              <w:bottom w:val="single" w:color="000000" w:sz="4" w:space="0"/>
              <w:right w:val="single" w:color="000000" w:sz="8" w:space="0"/>
            </w:tcBorders>
            <w:tcMar>
              <w:left w:w="15" w:type="dxa"/>
              <w:top w:w="15" w:type="dxa"/>
              <w:right w:w="15" w:type="dxa"/>
            </w:tcMar>
            <w:tcW w:w="1097"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rPr>
              <w:suppressLineNumbers w:val="0"/>
            </w:pPr>
            <w:r>
              <w:rPr>
                <w:rFonts w:hint="eastAsia" w:ascii="宋体" w:hAnsi="宋体" w:eastAsia="宋体" w:cs="宋体"/>
                <w:b/>
                <w:i w:val="0"/>
                <w:color w:val="000000"/>
                <w:sz w:val="24"/>
                <w:szCs w:val="24"/>
                <w:u w:val="none"/>
                <w:lang w:val="en-US" w:eastAsia="zh-CN" w:bidi="ar"/>
              </w:rPr>
              <w:t xml:space="preserve">产品监测</w:t>
            </w:r>
            <w:r/>
          </w:p>
        </w:tc>
        <w:tc>
          <w:tcPr>
            <w:tcBorders>
              <w:top w:val="single" w:color="000000" w:sz="8" w:space="0"/>
              <w:left w:val="none" w:color="000000" w:sz="4" w:space="0"/>
              <w:bottom w:val="single" w:color="000000" w:sz="4" w:space="0"/>
              <w:right w:val="single" w:color="000000" w:sz="8" w:space="0"/>
            </w:tcBorders>
            <w:tcMar>
              <w:left w:w="15" w:type="dxa"/>
              <w:top w:w="15" w:type="dxa"/>
              <w:right w:w="15" w:type="dxa"/>
            </w:tcMar>
            <w:tcW w:w="750"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rPr>
              <w:suppressLineNumbers w:val="0"/>
            </w:pPr>
            <w:r>
              <w:rPr>
                <w:rFonts w:hint="eastAsia" w:ascii="宋体" w:hAnsi="宋体" w:eastAsia="宋体" w:cs="宋体"/>
                <w:b/>
                <w:i w:val="0"/>
                <w:color w:val="000000"/>
                <w:sz w:val="24"/>
                <w:szCs w:val="24"/>
                <w:u w:val="none"/>
                <w:lang w:val="en-US" w:eastAsia="zh-CN" w:bidi="ar"/>
              </w:rPr>
              <w:t xml:space="preserve">产品监测</w:t>
            </w:r>
            <w:r/>
          </w:p>
        </w:tc>
      </w:tr>
      <w:tr>
        <w:trPr>
          <w:trHeight w:val="300"/>
        </w:trPr>
        <w:tc>
          <w:tcPr>
            <w:gridSpan w:val="2"/>
            <w:tcBorders>
              <w:top w:val="single" w:color="000000" w:sz="8" w:space="0"/>
              <w:left w:val="single" w:color="000000" w:sz="8" w:space="0"/>
              <w:bottom w:val="single" w:color="000000" w:sz="8" w:space="0"/>
              <w:right w:val="single" w:color="000000" w:sz="8" w:space="0"/>
            </w:tcBorders>
            <w:tcMar>
              <w:left w:w="15" w:type="dxa"/>
              <w:top w:w="15" w:type="dxa"/>
              <w:right w:w="15" w:type="dxa"/>
            </w:tcMar>
            <w:tcW w:w="2091" w:type="dxa"/>
            <w:vAlign w:val="center"/>
            <w:vMerge w:val="continue"/>
            <w:textDirection w:val="lrTb"/>
            <w:noWrap w:val="false"/>
          </w:tcPr>
          <w:p>
            <w:pPr>
              <w:jc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sz w:val="24"/>
                <w:szCs w:val="24"/>
                <w:u w:val="none"/>
              </w:rPr>
            </w:r>
            <w:r/>
          </w:p>
        </w:tc>
        <w:tc>
          <w:tcPr>
            <w:tcBorders>
              <w:top w:val="none" w:color="000000" w:sz="4" w:space="0"/>
              <w:left w:val="none" w:color="000000" w:sz="4" w:space="0"/>
              <w:bottom w:val="none" w:color="000000" w:sz="4" w:space="0"/>
              <w:right w:val="single" w:color="000000" w:sz="8" w:space="0"/>
            </w:tcBorders>
            <w:tcMar>
              <w:left w:w="15" w:type="dxa"/>
              <w:top w:w="15" w:type="dxa"/>
              <w:right w:w="15" w:type="dxa"/>
            </w:tcMar>
            <w:tcW w:w="822"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rPr>
              <w:suppressLineNumbers w:val="0"/>
            </w:pPr>
            <w:r>
              <w:rPr>
                <w:rFonts w:hint="eastAsia" w:ascii="宋体" w:hAnsi="宋体" w:eastAsia="宋体" w:cs="宋体"/>
                <w:b/>
                <w:i w:val="0"/>
                <w:color w:val="000000"/>
                <w:sz w:val="24"/>
                <w:szCs w:val="24"/>
                <w:u w:val="none"/>
                <w:lang w:val="en-US" w:eastAsia="zh-CN" w:bidi="ar"/>
              </w:rPr>
              <w:t xml:space="preserve">批次</w:t>
            </w:r>
            <w:r/>
          </w:p>
        </w:tc>
        <w:tc>
          <w:tcPr>
            <w:tcBorders>
              <w:top w:val="none" w:color="000000" w:sz="4" w:space="0"/>
              <w:left w:val="none" w:color="000000" w:sz="4" w:space="0"/>
              <w:bottom w:val="none" w:color="000000" w:sz="4" w:space="0"/>
              <w:right w:val="single" w:color="000000" w:sz="8" w:space="0"/>
            </w:tcBorders>
            <w:tcMar>
              <w:left w:w="15" w:type="dxa"/>
              <w:top w:w="15" w:type="dxa"/>
              <w:right w:w="15" w:type="dxa"/>
            </w:tcMar>
            <w:tcW w:w="822"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rPr>
              <w:suppressLineNumbers w:val="0"/>
            </w:pPr>
            <w:r>
              <w:rPr>
                <w:rFonts w:hint="eastAsia" w:ascii="宋体" w:hAnsi="宋体" w:eastAsia="宋体" w:cs="宋体"/>
                <w:b/>
                <w:i w:val="0"/>
                <w:color w:val="000000"/>
                <w:sz w:val="24"/>
                <w:szCs w:val="24"/>
                <w:u w:val="none"/>
                <w:lang w:val="en-US" w:eastAsia="zh-CN" w:bidi="ar"/>
              </w:rPr>
              <w:t xml:space="preserve">批次</w:t>
            </w:r>
            <w:r/>
          </w:p>
        </w:tc>
        <w:tc>
          <w:tcPr>
            <w:tcBorders>
              <w:top w:val="none" w:color="000000" w:sz="4" w:space="0"/>
              <w:left w:val="none" w:color="000000" w:sz="4" w:space="0"/>
              <w:bottom w:val="none" w:color="000000" w:sz="4" w:space="0"/>
              <w:right w:val="single" w:color="000000" w:sz="8" w:space="0"/>
            </w:tcBorders>
            <w:tcMar>
              <w:left w:w="15" w:type="dxa"/>
              <w:top w:w="15" w:type="dxa"/>
              <w:right w:w="15" w:type="dxa"/>
            </w:tcMar>
            <w:tcW w:w="814"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rPr>
              <w:suppressLineNumbers w:val="0"/>
            </w:pPr>
            <w:r>
              <w:rPr>
                <w:rFonts w:hint="eastAsia" w:ascii="宋体" w:hAnsi="宋体" w:eastAsia="宋体" w:cs="宋体"/>
                <w:b/>
                <w:i w:val="0"/>
                <w:color w:val="000000"/>
                <w:sz w:val="24"/>
                <w:szCs w:val="24"/>
                <w:u w:val="none"/>
                <w:lang w:val="en-US" w:eastAsia="zh-CN" w:bidi="ar"/>
              </w:rPr>
              <w:t xml:space="preserve">批次</w:t>
            </w:r>
            <w:r/>
          </w:p>
        </w:tc>
        <w:tc>
          <w:tcPr>
            <w:tcBorders>
              <w:top w:val="none" w:color="000000" w:sz="4" w:space="0"/>
              <w:left w:val="none" w:color="000000" w:sz="4" w:space="0"/>
              <w:bottom w:val="none" w:color="000000" w:sz="4" w:space="0"/>
              <w:right w:val="single" w:color="000000" w:sz="8" w:space="0"/>
            </w:tcBorders>
            <w:tcMar>
              <w:left w:w="15" w:type="dxa"/>
              <w:top w:w="15" w:type="dxa"/>
              <w:right w:w="15" w:type="dxa"/>
            </w:tcMar>
            <w:tcW w:w="814"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rPr>
              <w:suppressLineNumbers w:val="0"/>
            </w:pPr>
            <w:r>
              <w:rPr>
                <w:rFonts w:hint="eastAsia" w:ascii="宋体" w:hAnsi="宋体" w:eastAsia="宋体" w:cs="宋体"/>
                <w:b/>
                <w:i w:val="0"/>
                <w:color w:val="000000"/>
                <w:sz w:val="24"/>
                <w:szCs w:val="24"/>
                <w:u w:val="none"/>
                <w:lang w:val="en-US" w:eastAsia="zh-CN" w:bidi="ar"/>
              </w:rPr>
              <w:t xml:space="preserve">批次</w:t>
            </w:r>
            <w:r/>
          </w:p>
        </w:tc>
        <w:tc>
          <w:tcPr>
            <w:tcBorders>
              <w:top w:val="none" w:color="000000" w:sz="4" w:space="0"/>
              <w:left w:val="none" w:color="000000" w:sz="4" w:space="0"/>
              <w:bottom w:val="none" w:color="000000" w:sz="4" w:space="0"/>
              <w:right w:val="single" w:color="000000" w:sz="8" w:space="0"/>
            </w:tcBorders>
            <w:tcMar>
              <w:left w:w="15" w:type="dxa"/>
              <w:top w:w="15" w:type="dxa"/>
              <w:right w:w="15" w:type="dxa"/>
            </w:tcMar>
            <w:tcW w:w="1306"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rPr>
              <w:suppressLineNumbers w:val="0"/>
            </w:pPr>
            <w:r>
              <w:rPr>
                <w:rFonts w:hint="eastAsia" w:ascii="宋体" w:hAnsi="宋体" w:eastAsia="宋体" w:cs="宋体"/>
                <w:b/>
                <w:i w:val="0"/>
                <w:color w:val="000000"/>
                <w:sz w:val="24"/>
                <w:szCs w:val="24"/>
                <w:u w:val="none"/>
                <w:lang w:val="en-US" w:eastAsia="zh-CN" w:bidi="ar"/>
              </w:rPr>
              <w:t xml:space="preserve">批次</w:t>
            </w:r>
            <w:r/>
          </w:p>
        </w:tc>
        <w:tc>
          <w:tcPr>
            <w:tcBorders>
              <w:top w:val="none" w:color="000000" w:sz="4" w:space="0"/>
              <w:left w:val="none" w:color="000000" w:sz="4" w:space="0"/>
              <w:bottom w:val="none" w:color="000000" w:sz="4" w:space="0"/>
              <w:right w:val="single" w:color="000000" w:sz="8" w:space="0"/>
            </w:tcBorders>
            <w:tcMar>
              <w:left w:w="15" w:type="dxa"/>
              <w:top w:w="15" w:type="dxa"/>
              <w:right w:w="15" w:type="dxa"/>
            </w:tcMar>
            <w:tcW w:w="1176"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rPr>
              <w:suppressLineNumbers w:val="0"/>
            </w:pPr>
            <w:r>
              <w:rPr>
                <w:rFonts w:hint="eastAsia" w:ascii="宋体" w:hAnsi="宋体" w:eastAsia="宋体" w:cs="宋体"/>
                <w:b/>
                <w:i w:val="0"/>
                <w:color w:val="000000"/>
                <w:sz w:val="24"/>
                <w:szCs w:val="24"/>
                <w:u w:val="none"/>
                <w:lang w:val="en-US" w:eastAsia="zh-CN" w:bidi="ar"/>
              </w:rPr>
              <w:t xml:space="preserve">批次</w:t>
            </w:r>
            <w:r/>
          </w:p>
        </w:tc>
        <w:tc>
          <w:tcPr>
            <w:tcBorders>
              <w:top w:val="none" w:color="000000" w:sz="4" w:space="0"/>
              <w:left w:val="none" w:color="000000" w:sz="4" w:space="0"/>
              <w:bottom w:val="none" w:color="000000" w:sz="4" w:space="0"/>
              <w:right w:val="single" w:color="000000" w:sz="8" w:space="0"/>
            </w:tcBorders>
            <w:tcMar>
              <w:left w:w="15" w:type="dxa"/>
              <w:top w:w="15" w:type="dxa"/>
              <w:right w:w="15" w:type="dxa"/>
            </w:tcMar>
            <w:tcW w:w="918"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rPr>
              <w:suppressLineNumbers w:val="0"/>
            </w:pPr>
            <w:r>
              <w:rPr>
                <w:rFonts w:hint="eastAsia" w:ascii="宋体" w:hAnsi="宋体" w:eastAsia="宋体" w:cs="宋体"/>
                <w:b/>
                <w:i w:val="0"/>
                <w:color w:val="000000"/>
                <w:sz w:val="24"/>
                <w:szCs w:val="24"/>
                <w:u w:val="none"/>
                <w:lang w:val="en-US" w:eastAsia="zh-CN" w:bidi="ar"/>
              </w:rPr>
              <w:t xml:space="preserve">批次</w:t>
            </w:r>
            <w:r/>
          </w:p>
        </w:tc>
        <w:tc>
          <w:tcPr>
            <w:tcBorders>
              <w:top w:val="none" w:color="000000" w:sz="4" w:space="0"/>
              <w:left w:val="none" w:color="000000" w:sz="4" w:space="0"/>
              <w:bottom w:val="none" w:color="000000" w:sz="4" w:space="0"/>
              <w:right w:val="single" w:color="000000" w:sz="8" w:space="0"/>
            </w:tcBorders>
            <w:tcMar>
              <w:left w:w="15" w:type="dxa"/>
              <w:top w:w="15" w:type="dxa"/>
              <w:right w:w="15" w:type="dxa"/>
            </w:tcMar>
            <w:tcW w:w="795"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rPr>
              <w:suppressLineNumbers w:val="0"/>
            </w:pPr>
            <w:r>
              <w:rPr>
                <w:rFonts w:hint="eastAsia" w:ascii="宋体" w:hAnsi="宋体" w:eastAsia="宋体" w:cs="宋体"/>
                <w:b/>
                <w:i w:val="0"/>
                <w:color w:val="000000"/>
                <w:sz w:val="24"/>
                <w:szCs w:val="24"/>
                <w:u w:val="none"/>
                <w:lang w:val="en-US" w:eastAsia="zh-CN" w:bidi="ar"/>
              </w:rPr>
              <w:t xml:space="preserve">批次</w:t>
            </w:r>
            <w:r/>
          </w:p>
        </w:tc>
        <w:tc>
          <w:tcPr>
            <w:tcBorders>
              <w:top w:val="none" w:color="000000" w:sz="4" w:space="0"/>
              <w:left w:val="none" w:color="000000" w:sz="4" w:space="0"/>
              <w:bottom w:val="none" w:color="000000" w:sz="4" w:space="0"/>
              <w:right w:val="single" w:color="000000" w:sz="8" w:space="0"/>
            </w:tcBorders>
            <w:tcMar>
              <w:left w:w="15" w:type="dxa"/>
              <w:top w:w="15" w:type="dxa"/>
              <w:right w:w="15" w:type="dxa"/>
            </w:tcMar>
            <w:tcW w:w="839"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rPr>
              <w:suppressLineNumbers w:val="0"/>
            </w:pPr>
            <w:r>
              <w:rPr>
                <w:rFonts w:hint="eastAsia" w:ascii="宋体" w:hAnsi="宋体" w:eastAsia="宋体" w:cs="宋体"/>
                <w:b/>
                <w:i w:val="0"/>
                <w:color w:val="000000"/>
                <w:sz w:val="24"/>
                <w:szCs w:val="24"/>
                <w:u w:val="none"/>
                <w:lang w:val="en-US" w:eastAsia="zh-CN" w:bidi="ar"/>
              </w:rPr>
              <w:t xml:space="preserve">批次</w:t>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840"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rPr>
              <w:suppressLineNumbers w:val="0"/>
            </w:pPr>
            <w:r>
              <w:rPr>
                <w:rFonts w:hint="eastAsia" w:ascii="宋体" w:hAnsi="宋体" w:eastAsia="宋体" w:cs="宋体"/>
                <w:b/>
                <w:i w:val="0"/>
                <w:color w:val="000000"/>
                <w:sz w:val="24"/>
                <w:szCs w:val="24"/>
                <w:u w:val="none"/>
                <w:lang w:val="en-US" w:eastAsia="zh-CN" w:bidi="ar"/>
              </w:rPr>
              <w:t xml:space="preserve">批次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6"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rPr>
              <w:suppressLineNumbers w:val="0"/>
            </w:pPr>
            <w:r>
              <w:rPr>
                <w:rFonts w:hint="eastAsia" w:ascii="宋体" w:hAnsi="宋体" w:eastAsia="宋体" w:cs="宋体"/>
                <w:b/>
                <w:i w:val="0"/>
                <w:color w:val="000000"/>
                <w:sz w:val="24"/>
                <w:szCs w:val="24"/>
                <w:u w:val="none"/>
                <w:lang w:val="en-US" w:eastAsia="zh-CN" w:bidi="ar"/>
              </w:rPr>
              <w:t xml:space="preserve">批次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7"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rPr>
              <w:suppressLineNumbers w:val="0"/>
            </w:pPr>
            <w:r>
              <w:rPr>
                <w:rFonts w:hint="eastAsia" w:ascii="宋体" w:hAnsi="宋体" w:eastAsia="宋体" w:cs="宋体"/>
                <w:b/>
                <w:i w:val="0"/>
                <w:color w:val="000000"/>
                <w:sz w:val="24"/>
                <w:szCs w:val="24"/>
                <w:u w:val="none"/>
                <w:lang w:val="en-US" w:eastAsia="zh-CN" w:bidi="ar"/>
              </w:rPr>
              <w:t xml:space="preserve">批次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rPr>
              <w:suppressLineNumbers w:val="0"/>
            </w:pPr>
            <w:r>
              <w:rPr>
                <w:rFonts w:hint="eastAsia" w:ascii="宋体" w:hAnsi="宋体" w:eastAsia="宋体" w:cs="宋体"/>
                <w:b/>
                <w:i w:val="0"/>
                <w:color w:val="000000"/>
                <w:sz w:val="24"/>
                <w:szCs w:val="24"/>
                <w:u w:val="none"/>
                <w:lang w:val="en-US" w:eastAsia="zh-CN" w:bidi="ar"/>
              </w:rPr>
              <w:t xml:space="preserve">批次</w:t>
            </w:r>
            <w:r/>
          </w:p>
        </w:tc>
      </w:tr>
      <w:tr>
        <w:trPr>
          <w:trHeight w:val="312"/>
        </w:trPr>
        <w:tc>
          <w:tcPr>
            <w:gridSpan w:val="2"/>
            <w:tcBorders>
              <w:top w:val="single" w:color="000000" w:sz="8" w:space="0"/>
              <w:left w:val="single" w:color="000000" w:sz="8" w:space="0"/>
              <w:bottom w:val="single" w:color="000000" w:sz="8" w:space="0"/>
              <w:right w:val="single" w:color="000000" w:sz="8" w:space="0"/>
            </w:tcBorders>
            <w:tcMar>
              <w:left w:w="15" w:type="dxa"/>
              <w:top w:w="15" w:type="dxa"/>
              <w:right w:w="15" w:type="dxa"/>
            </w:tcMar>
            <w:tcW w:w="2091"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rPr>
              <w:suppressLineNumbers w:val="0"/>
            </w:pPr>
            <w:r>
              <w:rPr>
                <w:rFonts w:hint="eastAsia" w:ascii="宋体" w:hAnsi="宋体" w:eastAsia="宋体" w:cs="宋体"/>
                <w:b/>
                <w:i w:val="0"/>
                <w:color w:val="000000"/>
                <w:sz w:val="24"/>
                <w:szCs w:val="24"/>
                <w:u w:val="none"/>
                <w:lang w:val="en-US" w:eastAsia="zh-CN" w:bidi="ar"/>
              </w:rPr>
              <w:t xml:space="preserve">全省总计</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22"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rPr>
              <w:suppressLineNumbers w:val="0"/>
            </w:pPr>
            <w:r>
              <w:rPr>
                <w:rFonts w:hint="eastAsia" w:ascii="宋体" w:hAnsi="宋体" w:eastAsia="宋体" w:cs="宋体"/>
                <w:b/>
                <w:i w:val="0"/>
                <w:color w:val="000000"/>
                <w:sz w:val="24"/>
                <w:szCs w:val="24"/>
                <w:u w:val="none"/>
                <w:lang w:val="en-US" w:eastAsia="zh-CN" w:bidi="ar"/>
              </w:rPr>
              <w:t xml:space="preserve">116</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22"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rPr>
              <w:suppressLineNumbers w:val="0"/>
            </w:pPr>
            <w:r>
              <w:rPr>
                <w:rFonts w:hint="eastAsia" w:ascii="宋体" w:hAnsi="宋体" w:eastAsia="宋体" w:cs="宋体"/>
                <w:b/>
                <w:i w:val="0"/>
                <w:color w:val="000000"/>
                <w:sz w:val="24"/>
                <w:szCs w:val="24"/>
                <w:u w:val="none"/>
                <w:lang w:val="en-US" w:eastAsia="zh-CN" w:bidi="ar"/>
              </w:rPr>
              <w:t xml:space="preserve">30</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14"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rPr>
              <w:suppressLineNumbers w:val="0"/>
            </w:pPr>
            <w:r>
              <w:rPr>
                <w:rFonts w:hint="eastAsia" w:ascii="宋体" w:hAnsi="宋体" w:eastAsia="宋体" w:cs="宋体"/>
                <w:b/>
                <w:i w:val="0"/>
                <w:color w:val="000000"/>
                <w:sz w:val="24"/>
                <w:szCs w:val="24"/>
                <w:u w:val="none"/>
                <w:lang w:val="en-US" w:eastAsia="zh-CN" w:bidi="ar"/>
              </w:rPr>
              <w:t xml:space="preserve">156</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14"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rPr>
              <w:suppressLineNumbers w:val="0"/>
            </w:pPr>
            <w:r>
              <w:rPr>
                <w:rFonts w:hint="eastAsia" w:ascii="宋体" w:hAnsi="宋体" w:eastAsia="宋体" w:cs="宋体"/>
                <w:b/>
                <w:i w:val="0"/>
                <w:color w:val="000000"/>
                <w:sz w:val="24"/>
                <w:szCs w:val="24"/>
                <w:u w:val="none"/>
                <w:lang w:val="en-US" w:eastAsia="zh-CN" w:bidi="ar"/>
              </w:rPr>
              <w:t xml:space="preserve">27</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306"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rPr>
              <w:suppressLineNumbers w:val="0"/>
            </w:pPr>
            <w:r>
              <w:rPr>
                <w:rFonts w:hint="eastAsia" w:ascii="宋体" w:hAnsi="宋体" w:eastAsia="宋体" w:cs="宋体"/>
                <w:b/>
                <w:i w:val="0"/>
                <w:color w:val="000000"/>
                <w:sz w:val="24"/>
                <w:szCs w:val="24"/>
                <w:u w:val="none"/>
                <w:lang w:val="en-US" w:eastAsia="zh-CN" w:bidi="ar"/>
              </w:rPr>
              <w:t xml:space="preserve">367</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76"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rPr>
              <w:suppressLineNumbers w:val="0"/>
            </w:pPr>
            <w:r>
              <w:rPr>
                <w:rFonts w:hint="eastAsia" w:ascii="宋体" w:hAnsi="宋体" w:eastAsia="宋体" w:cs="宋体"/>
                <w:b/>
                <w:i w:val="0"/>
                <w:color w:val="000000"/>
                <w:sz w:val="24"/>
                <w:szCs w:val="24"/>
                <w:u w:val="none"/>
                <w:lang w:val="en-US" w:eastAsia="zh-CN" w:bidi="ar"/>
              </w:rPr>
              <w:t xml:space="preserve">69</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18"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rPr>
              <w:suppressLineNumbers w:val="0"/>
            </w:pPr>
            <w:r>
              <w:rPr>
                <w:rFonts w:hint="eastAsia" w:ascii="宋体" w:hAnsi="宋体" w:eastAsia="宋体" w:cs="宋体"/>
                <w:b/>
                <w:i w:val="0"/>
                <w:color w:val="000000"/>
                <w:sz w:val="24"/>
                <w:szCs w:val="24"/>
                <w:u w:val="none"/>
                <w:lang w:val="en-US" w:eastAsia="zh-CN" w:bidi="ar"/>
              </w:rPr>
              <w:t xml:space="preserve">130</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95"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rPr>
              <w:suppressLineNumbers w:val="0"/>
            </w:pPr>
            <w:r>
              <w:rPr>
                <w:rFonts w:hint="eastAsia" w:ascii="宋体" w:hAnsi="宋体" w:eastAsia="宋体" w:cs="宋体"/>
                <w:b/>
                <w:i w:val="0"/>
                <w:color w:val="000000"/>
                <w:sz w:val="24"/>
                <w:szCs w:val="24"/>
                <w:u w:val="none"/>
                <w:lang w:val="en-US" w:eastAsia="zh-CN" w:bidi="ar"/>
              </w:rPr>
              <w:t xml:space="preserve">36</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39"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rPr>
              <w:suppressLineNumbers w:val="0"/>
            </w:pPr>
            <w:r>
              <w:rPr>
                <w:rFonts w:hint="eastAsia" w:ascii="宋体" w:hAnsi="宋体" w:eastAsia="宋体" w:cs="宋体"/>
                <w:b/>
                <w:i w:val="0"/>
                <w:color w:val="000000"/>
                <w:sz w:val="24"/>
                <w:szCs w:val="24"/>
                <w:u w:val="none"/>
                <w:lang w:val="en-US" w:eastAsia="zh-CN" w:bidi="ar"/>
              </w:rPr>
              <w:t xml:space="preserve">48</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rPr>
              <w:suppressLineNumbers w:val="0"/>
            </w:pPr>
            <w:r>
              <w:rPr>
                <w:rFonts w:hint="eastAsia" w:ascii="宋体" w:hAnsi="宋体" w:eastAsia="宋体" w:cs="宋体"/>
                <w:b/>
                <w:i w:val="0"/>
                <w:color w:val="000000"/>
                <w:sz w:val="24"/>
                <w:szCs w:val="24"/>
                <w:u w:val="none"/>
                <w:lang w:val="en-US" w:eastAsia="zh-CN" w:bidi="ar"/>
              </w:rPr>
              <w:t xml:space="preserve">21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06" w:type="dxa"/>
            <w:vAlign w:val="center"/>
            <w:textDirection w:val="lrTb"/>
            <w:noWrap w:val="false"/>
          </w:tcPr>
          <w:p>
            <w:pPr>
              <w:jc w:val="center"/>
              <w:keepLines w:val="0"/>
              <w:keepNext w:val="0"/>
              <w:widowControl/>
              <w:rPr>
                <w:rFonts w:hint="eastAsia" w:ascii="宋体" w:hAnsi="宋体" w:eastAsia="宋体" w:cs="宋体"/>
                <w:b/>
                <w:i w:val="0"/>
                <w:color w:val="ff0000"/>
                <w:sz w:val="24"/>
                <w:szCs w:val="24"/>
                <w:u w:val="none"/>
                <w:lang w:val="en-US"/>
              </w:rPr>
              <w:suppressLineNumbers w:val="0"/>
            </w:pPr>
            <w:r>
              <w:rPr>
                <w:rFonts w:hint="eastAsia" w:ascii="宋体" w:hAnsi="宋体" w:eastAsia="宋体" w:cs="宋体"/>
                <w:b/>
                <w:i w:val="0"/>
                <w:color w:val="auto"/>
                <w:sz w:val="24"/>
                <w:szCs w:val="24"/>
                <w:u w:val="none"/>
                <w:lang w:val="en-US" w:eastAsia="zh-CN" w:bidi="ar"/>
              </w:rPr>
              <w:t xml:space="preserve">25</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97" w:type="dxa"/>
            <w:vAlign w:val="center"/>
            <w:textDirection w:val="lrTb"/>
            <w:noWrap w:val="false"/>
          </w:tcPr>
          <w:p>
            <w:pPr>
              <w:jc w:val="center"/>
              <w:keepLines w:val="0"/>
              <w:keepNext w:val="0"/>
              <w:widowControl/>
              <w:rPr>
                <w:rFonts w:hint="eastAsia" w:ascii="宋体" w:hAnsi="宋体" w:eastAsia="宋体" w:cs="宋体"/>
                <w:b/>
                <w:i w:val="0"/>
                <w:color w:val="ff0000"/>
                <w:sz w:val="24"/>
                <w:szCs w:val="24"/>
                <w:u w:val="none"/>
                <w:lang w:val="en-US" w:eastAsia="zh-CN"/>
              </w:rPr>
              <w:suppressLineNumbers w:val="0"/>
            </w:pPr>
            <w:r>
              <w:rPr>
                <w:rFonts w:hint="eastAsia" w:ascii="宋体" w:hAnsi="宋体" w:eastAsia="宋体" w:cs="宋体"/>
                <w:b/>
                <w:bCs w:val="0"/>
                <w:i w:val="0"/>
                <w:color w:val="auto"/>
                <w:sz w:val="24"/>
                <w:szCs w:val="24"/>
                <w:u w:val="none"/>
                <w:lang w:val="en-US" w:eastAsia="zh-CN"/>
              </w:rPr>
              <w:t xml:space="preserve">45</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50" w:type="dxa"/>
            <w:vAlign w:val="center"/>
            <w:textDirection w:val="lrTb"/>
            <w:noWrap w:val="false"/>
          </w:tcPr>
          <w:p>
            <w:pPr>
              <w:jc w:val="center"/>
              <w:keepLines w:val="0"/>
              <w:keepNext w:val="0"/>
              <w:widowControl/>
              <w:rPr>
                <w:rFonts w:hint="eastAsia" w:ascii="宋体" w:hAnsi="宋体" w:eastAsia="宋体" w:cs="宋体"/>
                <w:b/>
                <w:i w:val="0"/>
                <w:color w:val="ff0000"/>
                <w:sz w:val="24"/>
                <w:szCs w:val="24"/>
                <w:u w:val="none"/>
              </w:rPr>
              <w:suppressLineNumbers w:val="0"/>
            </w:pPr>
            <w:r>
              <w:rPr>
                <w:rFonts w:hint="eastAsia" w:ascii="宋体" w:hAnsi="宋体" w:eastAsia="宋体" w:cs="宋体"/>
                <w:b/>
                <w:i w:val="0"/>
                <w:color w:val="000000"/>
                <w:sz w:val="24"/>
                <w:szCs w:val="24"/>
                <w:u w:val="none"/>
                <w:lang w:val="en-US" w:eastAsia="zh-CN" w:bidi="ar"/>
              </w:rPr>
              <w:t xml:space="preserve">10</w:t>
            </w:r>
            <w:r/>
          </w:p>
        </w:tc>
      </w:tr>
      <w:tr>
        <w:trPr>
          <w:trHeight w:val="90"/>
        </w:trPr>
        <w:tc>
          <w:tcPr>
            <w:gridSpan w:val="2"/>
            <w:tcBorders>
              <w:top w:val="single" w:color="000000" w:sz="8" w:space="0"/>
              <w:left w:val="single" w:color="000000" w:sz="8" w:space="0"/>
              <w:bottom w:val="single" w:color="000000" w:sz="8" w:space="0"/>
              <w:right w:val="single" w:color="000000" w:sz="8" w:space="0"/>
            </w:tcBorders>
            <w:tcMar>
              <w:left w:w="15" w:type="dxa"/>
              <w:top w:w="15" w:type="dxa"/>
              <w:right w:w="15" w:type="dxa"/>
            </w:tcMar>
            <w:tcW w:w="2091"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rPr>
              <w:suppressLineNumbers w:val="0"/>
            </w:pPr>
            <w:r>
              <w:rPr>
                <w:rFonts w:hint="eastAsia" w:ascii="宋体" w:hAnsi="宋体" w:eastAsia="宋体" w:cs="宋体"/>
                <w:b/>
                <w:i w:val="0"/>
                <w:color w:val="000000"/>
                <w:sz w:val="24"/>
                <w:szCs w:val="24"/>
                <w:u w:val="none"/>
                <w:lang w:val="en-US" w:eastAsia="zh-CN" w:bidi="ar"/>
              </w:rPr>
              <w:t xml:space="preserve">南京市小计</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22" w:type="dxa"/>
            <w:vAlign w:val="center"/>
            <w:textDirection w:val="lrTb"/>
            <w:noWrap w:val="false"/>
          </w:tcPr>
          <w:p>
            <w:pPr>
              <w:jc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22" w:type="dxa"/>
            <w:vAlign w:val="center"/>
            <w:textDirection w:val="lrTb"/>
            <w:noWrap w:val="false"/>
          </w:tcPr>
          <w:p>
            <w:pPr>
              <w:jc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14"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rPr>
              <w:suppressLineNumbers w:val="0"/>
            </w:pPr>
            <w:r>
              <w:rPr>
                <w:rFonts w:hint="eastAsia" w:ascii="宋体" w:hAnsi="宋体" w:eastAsia="宋体" w:cs="宋体"/>
                <w:b/>
                <w:i w:val="0"/>
                <w:color w:val="000000"/>
                <w:sz w:val="24"/>
                <w:szCs w:val="24"/>
                <w:u w:val="none"/>
                <w:lang w:val="en-US" w:eastAsia="zh-CN" w:bidi="ar"/>
              </w:rPr>
              <w:t xml:space="preserve">38</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14"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rPr>
              <w:suppressLineNumbers w:val="0"/>
            </w:pPr>
            <w:r>
              <w:rPr>
                <w:rFonts w:hint="eastAsia" w:ascii="宋体" w:hAnsi="宋体" w:eastAsia="宋体" w:cs="宋体"/>
                <w:b/>
                <w:i w:val="0"/>
                <w:color w:val="000000"/>
                <w:sz w:val="24"/>
                <w:szCs w:val="24"/>
                <w:u w:val="none"/>
                <w:lang w:val="en-US" w:eastAsia="zh-CN" w:bidi="ar"/>
              </w:rPr>
              <w:t xml:space="preserve">4</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306"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rPr>
              <w:suppressLineNumbers w:val="0"/>
            </w:pPr>
            <w:r>
              <w:rPr>
                <w:rFonts w:hint="eastAsia" w:ascii="宋体" w:hAnsi="宋体" w:eastAsia="宋体" w:cs="宋体"/>
                <w:b/>
                <w:i w:val="0"/>
                <w:color w:val="000000"/>
                <w:sz w:val="24"/>
                <w:szCs w:val="24"/>
                <w:u w:val="none"/>
                <w:lang w:val="en-US" w:eastAsia="zh-CN" w:bidi="ar"/>
              </w:rPr>
              <w:t xml:space="preserve">24</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76"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18"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rPr>
              <w:suppressLineNumbers w:val="0"/>
            </w:pPr>
            <w:r>
              <w:rPr>
                <w:rFonts w:hint="eastAsia" w:ascii="宋体" w:hAnsi="宋体" w:eastAsia="宋体" w:cs="宋体"/>
                <w:b/>
                <w:i w:val="0"/>
                <w:color w:val="000000"/>
                <w:sz w:val="24"/>
                <w:szCs w:val="24"/>
                <w:u w:val="none"/>
                <w:lang w:val="en-US" w:eastAsia="zh-CN" w:bidi="ar"/>
              </w:rPr>
              <w:t xml:space="preserve">22</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95"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rPr>
              <w:suppressLineNumbers w:val="0"/>
            </w:pPr>
            <w:r>
              <w:rPr>
                <w:rFonts w:hint="eastAsia" w:ascii="宋体" w:hAnsi="宋体" w:eastAsia="宋体" w:cs="宋体"/>
                <w:b/>
                <w:i w:val="0"/>
                <w:color w:val="000000"/>
                <w:sz w:val="24"/>
                <w:szCs w:val="24"/>
                <w:u w:val="none"/>
                <w:lang w:val="en-US" w:eastAsia="zh-CN" w:bidi="ar"/>
              </w:rPr>
              <w:t xml:space="preserve">4</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39"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rPr>
              <w:suppressLineNumbers w:val="0"/>
            </w:pPr>
            <w:r>
              <w:rPr>
                <w:rFonts w:hint="eastAsia" w:ascii="宋体" w:hAnsi="宋体" w:eastAsia="宋体" w:cs="宋体"/>
                <w:b/>
                <w:i w:val="0"/>
                <w:color w:val="000000"/>
                <w:sz w:val="24"/>
                <w:szCs w:val="24"/>
                <w:u w:val="none"/>
                <w:lang w:val="en-US" w:eastAsia="zh-CN" w:bidi="ar"/>
              </w:rPr>
              <w:t xml:space="preserve">17</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rPr>
              <w:suppressLineNumbers w:val="0"/>
            </w:pPr>
            <w:r>
              <w:rPr>
                <w:rFonts w:hint="eastAsia" w:ascii="宋体" w:hAnsi="宋体" w:eastAsia="宋体" w:cs="宋体"/>
                <w:b/>
                <w:i w:val="0"/>
                <w:color w:val="000000"/>
                <w:sz w:val="24"/>
                <w:szCs w:val="24"/>
                <w:u w:val="none"/>
                <w:lang w:val="en-US" w:eastAsia="zh-CN" w:bidi="ar"/>
              </w:rPr>
              <w:t xml:space="preserve">9</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06"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97"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50" w:type="dxa"/>
            <w:vAlign w:val="center"/>
            <w:textDirection w:val="lrTb"/>
            <w:noWrap w:val="false"/>
          </w:tcPr>
          <w:p>
            <w:pPr>
              <w:jc w:val="center"/>
              <w:keepLines w:val="0"/>
              <w:keepNext w:val="0"/>
              <w:widowControl/>
              <w:rPr>
                <w:rFonts w:hint="eastAsia" w:ascii="宋体" w:hAnsi="宋体" w:eastAsia="宋体" w:cs="宋体"/>
                <w:b/>
                <w:i w:val="0"/>
                <w:color w:val="ff0000"/>
                <w:sz w:val="24"/>
                <w:szCs w:val="24"/>
                <w:u w:val="none"/>
                <w:lang w:val="en-US" w:eastAsia="zh-CN" w:bidi="ar"/>
              </w:rPr>
              <w:suppressLineNumbers w:val="0"/>
            </w:pPr>
            <w:r>
              <w:rPr>
                <w:rFonts w:hint="eastAsia" w:ascii="宋体" w:hAnsi="宋体" w:eastAsia="宋体" w:cs="宋体"/>
                <w:b/>
                <w:i w:val="0"/>
                <w:color w:val="ff0000"/>
                <w:sz w:val="24"/>
                <w:szCs w:val="24"/>
                <w:u w:val="none"/>
                <w:lang w:val="en-US" w:eastAsia="zh-CN" w:bidi="ar"/>
              </w:rPr>
            </w:r>
            <w:r/>
          </w:p>
        </w:tc>
      </w:tr>
      <w:tr>
        <w:trPr>
          <w:trHeight w:val="312"/>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692" w:type="dxa"/>
            <w:vAlign w:val="center"/>
            <w:textDirection w:val="lrTb"/>
            <w:noWrap w:val="false"/>
          </w:tcPr>
          <w:p>
            <w:pPr>
              <w:jc w:val="left"/>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399"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浦口区</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22"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22"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1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1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306"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76"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18"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95"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3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06"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97"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50" w:type="dxa"/>
            <w:vAlign w:val="center"/>
            <w:textDirection w:val="lrTb"/>
            <w:noWrap w:val="false"/>
          </w:tcPr>
          <w:p>
            <w:pPr>
              <w:jc w:val="center"/>
              <w:keepLines w:val="0"/>
              <w:keepNext w:val="0"/>
              <w:widowControl/>
              <w:rPr>
                <w:rFonts w:hint="eastAsia" w:ascii="宋体" w:hAnsi="宋体" w:eastAsia="宋体" w:cs="宋体"/>
                <w:b/>
                <w:i w:val="0"/>
                <w:color w:val="ff0000"/>
                <w:sz w:val="24"/>
                <w:szCs w:val="24"/>
                <w:u w:val="none"/>
                <w:lang w:val="en-US" w:eastAsia="zh-CN" w:bidi="ar"/>
              </w:rPr>
              <w:suppressLineNumbers w:val="0"/>
            </w:pPr>
            <w:r>
              <w:rPr>
                <w:rFonts w:hint="eastAsia" w:ascii="宋体" w:hAnsi="宋体" w:eastAsia="宋体" w:cs="宋体"/>
                <w:b/>
                <w:i w:val="0"/>
                <w:color w:val="ff0000"/>
                <w:sz w:val="24"/>
                <w:szCs w:val="24"/>
                <w:u w:val="none"/>
                <w:lang w:val="en-US" w:eastAsia="zh-CN" w:bidi="ar"/>
              </w:rPr>
            </w:r>
            <w:r/>
          </w:p>
        </w:tc>
      </w:tr>
      <w:tr>
        <w:trPr>
          <w:trHeight w:val="312"/>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692" w:type="dxa"/>
            <w:vAlign w:val="center"/>
            <w:textDirection w:val="lrTb"/>
            <w:noWrap w:val="false"/>
          </w:tcPr>
          <w:p>
            <w:pPr>
              <w:jc w:val="left"/>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399"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六合区</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22"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22"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1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18</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14"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306"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24</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76"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18"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95"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39"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06"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97"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50" w:type="dxa"/>
            <w:vAlign w:val="center"/>
            <w:textDirection w:val="lrTb"/>
            <w:noWrap w:val="false"/>
          </w:tcPr>
          <w:p>
            <w:pPr>
              <w:jc w:val="center"/>
              <w:keepLines w:val="0"/>
              <w:keepNext w:val="0"/>
              <w:widowControl/>
              <w:rPr>
                <w:rFonts w:hint="eastAsia" w:ascii="宋体" w:hAnsi="宋体" w:eastAsia="宋体" w:cs="宋体"/>
                <w:b/>
                <w:i w:val="0"/>
                <w:color w:val="ff0000"/>
                <w:sz w:val="24"/>
                <w:szCs w:val="24"/>
                <w:u w:val="none"/>
                <w:lang w:val="en-US" w:eastAsia="zh-CN" w:bidi="ar"/>
              </w:rPr>
              <w:suppressLineNumbers w:val="0"/>
            </w:pPr>
            <w:r>
              <w:rPr>
                <w:rFonts w:hint="eastAsia" w:ascii="宋体" w:hAnsi="宋体" w:eastAsia="宋体" w:cs="宋体"/>
                <w:b/>
                <w:i w:val="0"/>
                <w:color w:val="ff0000"/>
                <w:sz w:val="24"/>
                <w:szCs w:val="24"/>
                <w:u w:val="none"/>
                <w:lang w:val="en-US" w:eastAsia="zh-CN" w:bidi="ar"/>
              </w:rPr>
            </w:r>
            <w:r/>
          </w:p>
        </w:tc>
      </w:tr>
      <w:tr>
        <w:trPr>
          <w:trHeight w:val="312"/>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692" w:type="dxa"/>
            <w:vAlign w:val="center"/>
            <w:textDirection w:val="lrTb"/>
            <w:noWrap w:val="false"/>
          </w:tcPr>
          <w:p>
            <w:pPr>
              <w:jc w:val="left"/>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399"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溧水区</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22"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22"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1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rPr>
              <w:suppressLineNumbers w:val="0"/>
            </w:pPr>
            <w:r>
              <w:rPr>
                <w:rFonts w:hint="eastAsia" w:ascii="宋体" w:hAnsi="宋体" w:eastAsia="宋体" w:cs="宋体"/>
                <w:i w:val="0"/>
                <w:color w:val="000000"/>
                <w:sz w:val="24"/>
                <w:szCs w:val="24"/>
                <w:u w:val="none"/>
                <w:lang w:val="en-US" w:eastAsia="zh-CN" w:bidi="ar"/>
              </w:rPr>
              <w:t xml:space="preserve">20</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1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4</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306"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76"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18"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6</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95"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3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16</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8</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06"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97"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50" w:type="dxa"/>
            <w:vAlign w:val="center"/>
            <w:textDirection w:val="lrTb"/>
            <w:noWrap w:val="false"/>
          </w:tcPr>
          <w:p>
            <w:pPr>
              <w:jc w:val="center"/>
              <w:keepLines w:val="0"/>
              <w:keepNext w:val="0"/>
              <w:widowControl/>
              <w:rPr>
                <w:rFonts w:hint="eastAsia" w:ascii="宋体" w:hAnsi="宋体" w:eastAsia="宋体" w:cs="宋体"/>
                <w:b/>
                <w:i w:val="0"/>
                <w:color w:val="ff0000"/>
                <w:sz w:val="24"/>
                <w:szCs w:val="24"/>
                <w:u w:val="none"/>
                <w:lang w:val="en-US" w:eastAsia="zh-CN" w:bidi="ar"/>
              </w:rPr>
              <w:suppressLineNumbers w:val="0"/>
            </w:pPr>
            <w:r>
              <w:rPr>
                <w:rFonts w:hint="eastAsia" w:ascii="宋体" w:hAnsi="宋体" w:eastAsia="宋体" w:cs="宋体"/>
                <w:b/>
                <w:i w:val="0"/>
                <w:color w:val="ff0000"/>
                <w:sz w:val="24"/>
                <w:szCs w:val="24"/>
                <w:u w:val="none"/>
                <w:lang w:val="en-US" w:eastAsia="zh-CN" w:bidi="ar"/>
              </w:rPr>
            </w:r>
            <w:r/>
          </w:p>
        </w:tc>
      </w:tr>
      <w:tr>
        <w:trPr>
          <w:trHeight w:val="312"/>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692" w:type="dxa"/>
            <w:vAlign w:val="center"/>
            <w:textDirection w:val="lrTb"/>
            <w:noWrap w:val="false"/>
          </w:tcPr>
          <w:p>
            <w:pPr>
              <w:jc w:val="left"/>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399"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高淳区</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22"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22"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14"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14"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306"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76"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18"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rPr>
              <w:suppressLineNumbers w:val="0"/>
            </w:pPr>
            <w:r>
              <w:rPr>
                <w:rFonts w:hint="eastAsia" w:ascii="宋体" w:hAnsi="宋体" w:eastAsia="宋体" w:cs="宋体"/>
                <w:i w:val="0"/>
                <w:color w:val="000000"/>
                <w:sz w:val="24"/>
                <w:szCs w:val="24"/>
                <w:u w:val="none"/>
                <w:lang w:val="en-US" w:eastAsia="zh-CN" w:bidi="ar"/>
              </w:rPr>
              <w:t xml:space="preserve">16</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95"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3</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39"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06"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97"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50"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r>
      <w:tr>
        <w:trPr>
          <w:trHeight w:val="312"/>
        </w:trPr>
        <w:tc>
          <w:tcPr>
            <w:gridSpan w:val="2"/>
            <w:tcBorders>
              <w:top w:val="single" w:color="000000" w:sz="8" w:space="0"/>
              <w:left w:val="single" w:color="000000" w:sz="8" w:space="0"/>
              <w:bottom w:val="single" w:color="000000" w:sz="8" w:space="0"/>
              <w:right w:val="single" w:color="000000" w:sz="8" w:space="0"/>
            </w:tcBorders>
            <w:tcMar>
              <w:left w:w="15" w:type="dxa"/>
              <w:top w:w="15" w:type="dxa"/>
              <w:right w:w="15" w:type="dxa"/>
            </w:tcMar>
            <w:tcW w:w="2091"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rPr>
              <w:suppressLineNumbers w:val="0"/>
            </w:pPr>
            <w:r>
              <w:rPr>
                <w:rFonts w:hint="eastAsia" w:ascii="宋体" w:hAnsi="宋体" w:eastAsia="宋体" w:cs="宋体"/>
                <w:b/>
                <w:i w:val="0"/>
                <w:color w:val="000000"/>
                <w:sz w:val="24"/>
                <w:szCs w:val="24"/>
                <w:u w:val="none"/>
                <w:lang w:val="en-US" w:eastAsia="zh-CN" w:bidi="ar"/>
              </w:rPr>
              <w:t xml:space="preserve">无锡市小计</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22" w:type="dxa"/>
            <w:vAlign w:val="bottom"/>
            <w:textDirection w:val="lrTb"/>
            <w:noWrap/>
          </w:tcPr>
          <w:p>
            <w:pPr>
              <w:rPr>
                <w:rFonts w:hint="eastAsia" w:ascii="宋体" w:hAnsi="宋体" w:eastAsia="宋体" w:cs="宋体"/>
                <w:i w:val="0"/>
                <w:color w:val="000000"/>
                <w:sz w:val="22"/>
                <w:szCs w:val="22"/>
                <w:u w:val="none"/>
              </w:rPr>
            </w:pPr>
            <w:r>
              <w:rPr>
                <w:rFonts w:hint="eastAsia" w:ascii="宋体" w:hAnsi="宋体" w:eastAsia="宋体" w:cs="宋体"/>
                <w:i w:val="0"/>
                <w:color w:val="000000"/>
                <w:sz w:val="22"/>
                <w:szCs w:val="22"/>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22" w:type="dxa"/>
            <w:vAlign w:val="bottom"/>
            <w:textDirection w:val="lrTb"/>
            <w:noWrap/>
          </w:tcPr>
          <w:p>
            <w:pPr>
              <w:rPr>
                <w:rFonts w:hint="eastAsia" w:ascii="宋体" w:hAnsi="宋体" w:eastAsia="宋体" w:cs="宋体"/>
                <w:i w:val="0"/>
                <w:color w:val="000000"/>
                <w:sz w:val="22"/>
                <w:szCs w:val="22"/>
                <w:u w:val="none"/>
              </w:rPr>
            </w:pPr>
            <w:r>
              <w:rPr>
                <w:rFonts w:hint="eastAsia" w:ascii="宋体" w:hAnsi="宋体" w:eastAsia="宋体" w:cs="宋体"/>
                <w:i w:val="0"/>
                <w:color w:val="000000"/>
                <w:sz w:val="22"/>
                <w:szCs w:val="22"/>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14"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rPr>
              <w:suppressLineNumbers w:val="0"/>
            </w:pPr>
            <w:r>
              <w:rPr>
                <w:rFonts w:hint="eastAsia" w:ascii="宋体" w:hAnsi="宋体" w:eastAsia="宋体" w:cs="宋体"/>
                <w:b/>
                <w:i w:val="0"/>
                <w:color w:val="000000"/>
                <w:sz w:val="24"/>
                <w:szCs w:val="24"/>
                <w:u w:val="none"/>
                <w:lang w:val="en-US" w:eastAsia="zh-CN" w:bidi="ar"/>
              </w:rPr>
              <w:t xml:space="preserve">25</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14"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rPr>
              <w:suppressLineNumbers w:val="0"/>
            </w:pPr>
            <w:r>
              <w:rPr>
                <w:rFonts w:hint="eastAsia" w:ascii="宋体" w:hAnsi="宋体" w:eastAsia="宋体" w:cs="宋体"/>
                <w:b/>
                <w:i w:val="0"/>
                <w:color w:val="000000"/>
                <w:sz w:val="24"/>
                <w:szCs w:val="24"/>
                <w:u w:val="none"/>
                <w:lang w:val="en-US" w:eastAsia="zh-CN" w:bidi="ar"/>
              </w:rPr>
              <w:t xml:space="preserve">5</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306"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rPr>
              <w:suppressLineNumbers w:val="0"/>
            </w:pPr>
            <w:r>
              <w:rPr>
                <w:rFonts w:hint="eastAsia" w:ascii="宋体" w:hAnsi="宋体" w:eastAsia="宋体" w:cs="宋体"/>
                <w:b/>
                <w:i w:val="0"/>
                <w:color w:val="000000"/>
                <w:sz w:val="24"/>
                <w:szCs w:val="24"/>
                <w:u w:val="none"/>
                <w:lang w:val="en-US" w:eastAsia="zh-CN" w:bidi="ar"/>
              </w:rPr>
              <w:t xml:space="preserve">20</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76"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rPr>
              <w:suppressLineNumbers w:val="0"/>
            </w:pPr>
            <w:r>
              <w:rPr>
                <w:rFonts w:hint="eastAsia" w:ascii="宋体" w:hAnsi="宋体" w:eastAsia="宋体" w:cs="宋体"/>
                <w:b/>
                <w:i w:val="0"/>
                <w:color w:val="000000"/>
                <w:sz w:val="24"/>
                <w:szCs w:val="24"/>
                <w:u w:val="none"/>
                <w:lang w:val="en-US" w:eastAsia="zh-CN" w:bidi="ar"/>
              </w:rPr>
              <w:t xml:space="preserve">4</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18"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rPr>
              <w:suppressLineNumbers w:val="0"/>
            </w:pPr>
            <w:r>
              <w:rPr>
                <w:rFonts w:hint="eastAsia" w:ascii="宋体" w:hAnsi="宋体" w:eastAsia="宋体" w:cs="宋体"/>
                <w:b/>
                <w:i w:val="0"/>
                <w:color w:val="000000"/>
                <w:sz w:val="24"/>
                <w:szCs w:val="24"/>
                <w:u w:val="none"/>
                <w:lang w:val="en-US" w:eastAsia="zh-CN" w:bidi="ar"/>
              </w:rPr>
              <w:t xml:space="preserve">60</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95"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rPr>
              <w:suppressLineNumbers w:val="0"/>
            </w:pPr>
            <w:r>
              <w:rPr>
                <w:rFonts w:hint="eastAsia" w:ascii="宋体" w:hAnsi="宋体" w:eastAsia="宋体" w:cs="宋体"/>
                <w:b/>
                <w:i w:val="0"/>
                <w:color w:val="000000"/>
                <w:sz w:val="24"/>
                <w:szCs w:val="24"/>
                <w:u w:val="none"/>
                <w:lang w:val="en-US" w:eastAsia="zh-CN" w:bidi="ar"/>
              </w:rPr>
              <w:t xml:space="preserve">20</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39"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06"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97"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50" w:type="dxa"/>
            <w:vAlign w:val="center"/>
            <w:textDirection w:val="lrTb"/>
            <w:noWrap w:val="false"/>
          </w:tcPr>
          <w:p>
            <w:pPr>
              <w:jc w:val="center"/>
              <w:rPr>
                <w:rFonts w:hint="eastAsia" w:ascii="宋体" w:hAnsi="宋体" w:eastAsia="宋体" w:cs="宋体"/>
                <w:i w:val="0"/>
                <w:color w:val="000000"/>
                <w:sz w:val="24"/>
                <w:szCs w:val="24"/>
                <w:u w:val="none"/>
                <w:lang w:val="en-US" w:eastAsia="zh-CN"/>
              </w:rPr>
            </w:pPr>
            <w:r>
              <w:rPr>
                <w:rFonts w:hint="eastAsia" w:ascii="宋体" w:hAnsi="宋体" w:eastAsia="宋体" w:cs="宋体"/>
                <w:b/>
                <w:bCs/>
                <w:i w:val="0"/>
                <w:color w:val="auto"/>
                <w:sz w:val="24"/>
                <w:szCs w:val="24"/>
                <w:u w:val="none"/>
                <w:lang w:val="en-US" w:eastAsia="zh-CN"/>
              </w:rPr>
              <w:t xml:space="preserve">3</w:t>
            </w:r>
            <w:r/>
          </w:p>
        </w:tc>
      </w:tr>
      <w:tr>
        <w:trPr>
          <w:trHeight w:val="312"/>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692" w:type="dxa"/>
            <w:vAlign w:val="center"/>
            <w:textDirection w:val="lrTb"/>
            <w:noWrap w:val="false"/>
          </w:tcPr>
          <w:p>
            <w:pPr>
              <w:jc w:val="left"/>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399"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宜兴市</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22"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22"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1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25</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1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5</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306"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20</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76"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4</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18"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60</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95"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20</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39"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06"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97"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50"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r>
      <w:tr>
        <w:trPr>
          <w:trHeight w:val="312"/>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692"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lang w:val="en-US" w:eastAsia="zh-CN" w:bidi="ar"/>
              </w:rPr>
              <w:suppressLineNumbers w:val="0"/>
            </w:pPr>
            <w:r>
              <w:rPr>
                <w:rFonts w:hint="eastAsia" w:ascii="宋体" w:hAnsi="宋体" w:eastAsia="宋体" w:cs="宋体"/>
                <w:b/>
                <w:i w:val="0"/>
                <w:color w:val="000000"/>
                <w:sz w:val="24"/>
                <w:szCs w:val="24"/>
                <w:u w:val="none"/>
                <w:lang w:val="en-US" w:eastAsia="zh-CN" w:bidi="ar"/>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399" w:type="dxa"/>
            <w:vAlign w:val="center"/>
            <w:textDirection w:val="lrTb"/>
            <w:noWrap w:val="false"/>
          </w:tcPr>
          <w:p>
            <w:pPr>
              <w:jc w:val="both"/>
              <w:keepLines w:val="0"/>
              <w:keepNext w:val="0"/>
              <w:widowControl/>
              <w:rPr>
                <w:rFonts w:hint="eastAsia" w:ascii="宋体" w:hAnsi="宋体" w:eastAsia="宋体" w:cs="宋体"/>
                <w:b/>
                <w:i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t xml:space="preserve">锡山区</w:t>
            </w:r>
            <w:r/>
          </w:p>
        </w:tc>
        <w:tc>
          <w:tcPr>
            <w:tcBorders>
              <w:top w:val="single" w:color="000000" w:sz="8" w:space="0"/>
              <w:left w:val="single" w:color="000000" w:sz="8" w:space="0"/>
              <w:bottom w:val="single" w:color="000000" w:sz="8" w:space="0"/>
              <w:right w:val="single" w:color="auto" w:sz="4" w:space="0"/>
            </w:tcBorders>
            <w:tcMar>
              <w:left w:w="15" w:type="dxa"/>
              <w:top w:w="15" w:type="dxa"/>
              <w:right w:w="15" w:type="dxa"/>
            </w:tcMar>
            <w:tcW w:w="822"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lang w:val="en-US" w:eastAsia="zh-CN" w:bidi="ar"/>
              </w:rPr>
              <w:suppressLineNumbers w:val="0"/>
            </w:pPr>
            <w:r>
              <w:rPr>
                <w:rFonts w:hint="eastAsia" w:ascii="宋体" w:hAnsi="宋体" w:eastAsia="宋体" w:cs="宋体"/>
                <w:b/>
                <w:i w:val="0"/>
                <w:color w:val="000000"/>
                <w:sz w:val="24"/>
                <w:szCs w:val="24"/>
                <w:u w:val="none"/>
                <w:lang w:val="en-US" w:eastAsia="zh-CN" w:bidi="ar"/>
              </w:rPr>
            </w:r>
            <w:r/>
          </w:p>
        </w:tc>
        <w:tc>
          <w:tcPr>
            <w:tcBorders>
              <w:top w:val="single" w:color="000000" w:sz="8" w:space="0"/>
              <w:left w:val="single" w:color="auto" w:sz="4" w:space="0"/>
              <w:bottom w:val="single" w:color="000000" w:sz="8" w:space="0"/>
              <w:right w:val="single" w:color="000000" w:sz="8" w:space="0"/>
            </w:tcBorders>
            <w:tcMar>
              <w:left w:w="15" w:type="dxa"/>
              <w:top w:w="15" w:type="dxa"/>
              <w:right w:w="15" w:type="dxa"/>
            </w:tcMar>
            <w:tcW w:w="822"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lang w:val="en-US" w:eastAsia="zh-CN" w:bidi="ar"/>
              </w:rPr>
              <w:suppressLineNumbers w:val="0"/>
            </w:pPr>
            <w:r>
              <w:rPr>
                <w:rFonts w:hint="eastAsia" w:ascii="宋体" w:hAnsi="宋体" w:eastAsia="宋体" w:cs="宋体"/>
                <w:b/>
                <w:i w:val="0"/>
                <w:color w:val="000000"/>
                <w:sz w:val="24"/>
                <w:szCs w:val="24"/>
                <w:u w:val="none"/>
                <w:lang w:val="en-US" w:eastAsia="zh-CN" w:bidi="ar"/>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14"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lang w:val="en-US" w:eastAsia="zh-CN" w:bidi="ar"/>
              </w:rPr>
              <w:suppressLineNumbers w:val="0"/>
            </w:pPr>
            <w:r>
              <w:rPr>
                <w:rFonts w:hint="eastAsia" w:ascii="宋体" w:hAnsi="宋体" w:eastAsia="宋体" w:cs="宋体"/>
                <w:b/>
                <w:i w:val="0"/>
                <w:color w:val="000000"/>
                <w:sz w:val="24"/>
                <w:szCs w:val="24"/>
                <w:u w:val="none"/>
                <w:lang w:val="en-US" w:eastAsia="zh-CN" w:bidi="ar"/>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14"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lang w:val="en-US" w:eastAsia="zh-CN" w:bidi="ar"/>
              </w:rPr>
              <w:suppressLineNumbers w:val="0"/>
            </w:pPr>
            <w:r>
              <w:rPr>
                <w:rFonts w:hint="eastAsia" w:ascii="宋体" w:hAnsi="宋体" w:eastAsia="宋体" w:cs="宋体"/>
                <w:b/>
                <w:i w:val="0"/>
                <w:color w:val="000000"/>
                <w:sz w:val="24"/>
                <w:szCs w:val="24"/>
                <w:u w:val="none"/>
                <w:lang w:val="en-US" w:eastAsia="zh-CN" w:bidi="ar"/>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306"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lang w:val="en-US" w:eastAsia="zh-CN" w:bidi="ar"/>
              </w:rPr>
              <w:suppressLineNumbers w:val="0"/>
            </w:pPr>
            <w:r>
              <w:rPr>
                <w:rFonts w:hint="eastAsia" w:ascii="宋体" w:hAnsi="宋体" w:eastAsia="宋体" w:cs="宋体"/>
                <w:b/>
                <w:i w:val="0"/>
                <w:color w:val="000000"/>
                <w:sz w:val="24"/>
                <w:szCs w:val="24"/>
                <w:u w:val="none"/>
                <w:lang w:val="en-US" w:eastAsia="zh-CN" w:bidi="ar"/>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76"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lang w:val="en-US" w:eastAsia="zh-CN" w:bidi="ar"/>
              </w:rPr>
              <w:suppressLineNumbers w:val="0"/>
            </w:pPr>
            <w:r>
              <w:rPr>
                <w:rFonts w:hint="eastAsia" w:ascii="宋体" w:hAnsi="宋体" w:eastAsia="宋体" w:cs="宋体"/>
                <w:b/>
                <w:i w:val="0"/>
                <w:color w:val="000000"/>
                <w:sz w:val="24"/>
                <w:szCs w:val="24"/>
                <w:u w:val="none"/>
                <w:lang w:val="en-US" w:eastAsia="zh-CN" w:bidi="ar"/>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18"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95"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39"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06"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97"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lang w:val="en-US" w:eastAsia="zh-CN" w:bidi="ar"/>
              </w:rPr>
              <w:suppressLineNumbers w:val="0"/>
            </w:pPr>
            <w:r>
              <w:rPr>
                <w:rFonts w:hint="eastAsia" w:ascii="宋体" w:hAnsi="宋体" w:eastAsia="宋体" w:cs="宋体"/>
                <w:b/>
                <w:i w:val="0"/>
                <w:color w:val="000000"/>
                <w:sz w:val="24"/>
                <w:szCs w:val="24"/>
                <w:u w:val="none"/>
                <w:lang w:val="en-US" w:eastAsia="zh-CN" w:bidi="ar"/>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50" w:type="dxa"/>
            <w:vAlign w:val="center"/>
            <w:textDirection w:val="lrTb"/>
            <w:noWrap w:val="false"/>
          </w:tcPr>
          <w:p>
            <w:pPr>
              <w:jc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 xml:space="preserve">3</w:t>
            </w:r>
            <w:r/>
          </w:p>
        </w:tc>
      </w:tr>
      <w:tr>
        <w:trPr>
          <w:trHeight w:val="312"/>
        </w:trPr>
        <w:tc>
          <w:tcPr>
            <w:gridSpan w:val="2"/>
            <w:tcBorders>
              <w:top w:val="single" w:color="000000" w:sz="8" w:space="0"/>
              <w:left w:val="single" w:color="000000" w:sz="8" w:space="0"/>
              <w:bottom w:val="single" w:color="000000" w:sz="8" w:space="0"/>
              <w:right w:val="single" w:color="000000" w:sz="8" w:space="0"/>
            </w:tcBorders>
            <w:tcMar>
              <w:left w:w="15" w:type="dxa"/>
              <w:top w:w="15" w:type="dxa"/>
              <w:right w:w="15" w:type="dxa"/>
            </w:tcMar>
            <w:tcW w:w="2091"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rPr>
              <w:suppressLineNumbers w:val="0"/>
            </w:pPr>
            <w:r>
              <w:rPr>
                <w:rFonts w:hint="eastAsia" w:ascii="宋体" w:hAnsi="宋体" w:eastAsia="宋体" w:cs="宋体"/>
                <w:b/>
                <w:i w:val="0"/>
                <w:color w:val="000000"/>
                <w:sz w:val="24"/>
                <w:szCs w:val="24"/>
                <w:u w:val="none"/>
                <w:lang w:val="en-US" w:eastAsia="zh-CN" w:bidi="ar"/>
              </w:rPr>
              <w:t xml:space="preserve">徐州市小计</w:t>
            </w:r>
            <w:r/>
          </w:p>
        </w:tc>
        <w:tc>
          <w:tcPr>
            <w:tcBorders>
              <w:top w:val="single" w:color="000000" w:sz="8" w:space="0"/>
              <w:left w:val="single" w:color="000000" w:sz="8" w:space="0"/>
              <w:bottom w:val="single" w:color="000000" w:sz="8" w:space="0"/>
              <w:right w:val="single" w:color="auto" w:sz="4" w:space="0"/>
            </w:tcBorders>
            <w:tcMar>
              <w:left w:w="15" w:type="dxa"/>
              <w:top w:w="15" w:type="dxa"/>
              <w:right w:w="15" w:type="dxa"/>
            </w:tcMar>
            <w:tcW w:w="822"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rPr>
              <w:suppressLineNumbers w:val="0"/>
            </w:pPr>
            <w:r>
              <w:rPr>
                <w:rFonts w:hint="eastAsia" w:ascii="宋体" w:hAnsi="宋体" w:eastAsia="宋体" w:cs="宋体"/>
                <w:b/>
                <w:i w:val="0"/>
                <w:color w:val="000000"/>
                <w:sz w:val="24"/>
                <w:szCs w:val="24"/>
                <w:u w:val="none"/>
                <w:lang w:val="en-US" w:eastAsia="zh-CN" w:bidi="ar"/>
              </w:rPr>
              <w:t xml:space="preserve">40</w:t>
            </w:r>
            <w:r/>
          </w:p>
        </w:tc>
        <w:tc>
          <w:tcPr>
            <w:tcBorders>
              <w:top w:val="single" w:color="000000" w:sz="8" w:space="0"/>
              <w:left w:val="single" w:color="auto" w:sz="4" w:space="0"/>
              <w:bottom w:val="single" w:color="000000" w:sz="8" w:space="0"/>
              <w:right w:val="single" w:color="000000" w:sz="8" w:space="0"/>
            </w:tcBorders>
            <w:tcMar>
              <w:left w:w="15" w:type="dxa"/>
              <w:top w:w="15" w:type="dxa"/>
              <w:right w:w="15" w:type="dxa"/>
            </w:tcMar>
            <w:tcW w:w="822"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rPr>
              <w:suppressLineNumbers w:val="0"/>
            </w:pPr>
            <w:r>
              <w:rPr>
                <w:rFonts w:hint="eastAsia" w:ascii="宋体" w:hAnsi="宋体" w:eastAsia="宋体" w:cs="宋体"/>
                <w:b/>
                <w:i w:val="0"/>
                <w:color w:val="000000"/>
                <w:sz w:val="24"/>
                <w:szCs w:val="24"/>
                <w:u w:val="none"/>
                <w:lang w:val="en-US" w:eastAsia="zh-CN" w:bidi="ar"/>
              </w:rPr>
              <w:t xml:space="preserve">10</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14"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rPr>
              <w:suppressLineNumbers w:val="0"/>
            </w:pPr>
            <w:r>
              <w:rPr>
                <w:rFonts w:hint="eastAsia" w:ascii="宋体" w:hAnsi="宋体" w:eastAsia="宋体" w:cs="宋体"/>
                <w:b/>
                <w:i w:val="0"/>
                <w:color w:val="000000"/>
                <w:sz w:val="24"/>
                <w:szCs w:val="24"/>
                <w:u w:val="none"/>
                <w:lang w:val="en-US" w:eastAsia="zh-CN" w:bidi="ar"/>
              </w:rPr>
              <w:t xml:space="preserve">15</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14"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rPr>
              <w:suppressLineNumbers w:val="0"/>
            </w:pPr>
            <w:r>
              <w:rPr>
                <w:rFonts w:hint="eastAsia" w:ascii="宋体" w:hAnsi="宋体" w:eastAsia="宋体" w:cs="宋体"/>
                <w:b/>
                <w:i w:val="0"/>
                <w:color w:val="000000"/>
                <w:sz w:val="24"/>
                <w:szCs w:val="24"/>
                <w:u w:val="none"/>
                <w:lang w:val="en-US" w:eastAsia="zh-CN" w:bidi="ar"/>
              </w:rPr>
              <w:t xml:space="preserve">3</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306"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rPr>
              <w:suppressLineNumbers w:val="0"/>
            </w:pPr>
            <w:r>
              <w:rPr>
                <w:rFonts w:hint="eastAsia" w:ascii="宋体" w:hAnsi="宋体" w:eastAsia="宋体" w:cs="宋体"/>
                <w:b/>
                <w:i w:val="0"/>
                <w:color w:val="000000"/>
                <w:sz w:val="24"/>
                <w:szCs w:val="24"/>
                <w:u w:val="none"/>
                <w:lang w:val="en-US" w:eastAsia="zh-CN" w:bidi="ar"/>
              </w:rPr>
              <w:t xml:space="preserve">102</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76"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rPr>
              <w:suppressLineNumbers w:val="0"/>
            </w:pPr>
            <w:r>
              <w:rPr>
                <w:rFonts w:hint="eastAsia" w:ascii="宋体" w:hAnsi="宋体" w:eastAsia="宋体" w:cs="宋体"/>
                <w:b/>
                <w:i w:val="0"/>
                <w:color w:val="000000"/>
                <w:sz w:val="24"/>
                <w:szCs w:val="24"/>
                <w:u w:val="none"/>
                <w:lang w:val="en-US" w:eastAsia="zh-CN" w:bidi="ar"/>
              </w:rPr>
              <w:t xml:space="preserve">22</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18"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95"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39"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06"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97"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rPr>
              <w:suppressLineNumbers w:val="0"/>
            </w:pPr>
            <w:r>
              <w:rPr>
                <w:rFonts w:hint="eastAsia" w:ascii="宋体" w:hAnsi="宋体" w:eastAsia="宋体" w:cs="宋体"/>
                <w:b/>
                <w:i w:val="0"/>
                <w:color w:val="000000"/>
                <w:sz w:val="24"/>
                <w:szCs w:val="24"/>
                <w:u w:val="none"/>
                <w:lang w:val="en-US" w:eastAsia="zh-CN" w:bidi="ar"/>
              </w:rPr>
              <w:t xml:space="preserve">6</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50"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r>
      <w:tr>
        <w:trPr>
          <w:trHeight w:val="312"/>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692" w:type="dxa"/>
            <w:vAlign w:val="center"/>
            <w:textDirection w:val="lrTb"/>
            <w:noWrap w:val="false"/>
          </w:tcPr>
          <w:p>
            <w:pPr>
              <w:jc w:val="left"/>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399"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铜山区</w:t>
            </w:r>
            <w:r/>
          </w:p>
        </w:tc>
        <w:tc>
          <w:tcPr>
            <w:tcBorders>
              <w:top w:val="single" w:color="000000" w:sz="8" w:space="0"/>
              <w:left w:val="single" w:color="000000" w:sz="8" w:space="0"/>
              <w:bottom w:val="single" w:color="auto" w:sz="4" w:space="0"/>
              <w:right w:val="single" w:color="auto" w:sz="4" w:space="0"/>
            </w:tcBorders>
            <w:tcMar>
              <w:left w:w="15" w:type="dxa"/>
              <w:top w:w="15" w:type="dxa"/>
              <w:right w:w="15" w:type="dxa"/>
            </w:tcMar>
            <w:tcW w:w="822" w:type="dxa"/>
            <w:vAlign w:val="center"/>
            <w:textDirection w:val="lrTb"/>
            <w:noWrap/>
          </w:tcPr>
          <w:p>
            <w:pP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auto" w:sz="4" w:space="0"/>
              <w:bottom w:val="single" w:color="auto" w:sz="4" w:space="0"/>
              <w:right w:val="single" w:color="000000" w:sz="8" w:space="0"/>
            </w:tcBorders>
            <w:tcMar>
              <w:left w:w="15" w:type="dxa"/>
              <w:top w:w="15" w:type="dxa"/>
              <w:right w:w="15" w:type="dxa"/>
            </w:tcMar>
            <w:tcW w:w="822" w:type="dxa"/>
            <w:vAlign w:val="center"/>
            <w:textDirection w:val="lrTb"/>
            <w:noWrap/>
          </w:tcPr>
          <w:p>
            <w:pP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14"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14"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306"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5</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76"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18"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95"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39"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 </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06"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97"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6</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50"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r>
      <w:tr>
        <w:trPr>
          <w:trHeight w:val="312"/>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692" w:type="dxa"/>
            <w:vAlign w:val="center"/>
            <w:textDirection w:val="lrTb"/>
            <w:noWrap w:val="false"/>
          </w:tcPr>
          <w:p>
            <w:pPr>
              <w:jc w:val="left"/>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399"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徐州经开区</w:t>
            </w:r>
            <w:r/>
          </w:p>
        </w:tc>
        <w:tc>
          <w:tcPr>
            <w:tcBorders>
              <w:top w:val="single" w:color="auto" w:sz="4" w:space="0"/>
              <w:left w:val="single" w:color="000000" w:sz="8" w:space="0"/>
              <w:bottom w:val="single" w:color="000000" w:sz="8" w:space="0"/>
              <w:right w:val="single" w:color="000000" w:sz="8" w:space="0"/>
            </w:tcBorders>
            <w:tcMar>
              <w:left w:w="15" w:type="dxa"/>
              <w:top w:w="15" w:type="dxa"/>
              <w:right w:w="15" w:type="dxa"/>
            </w:tcMar>
            <w:tcW w:w="822"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auto" w:sz="4" w:space="0"/>
              <w:left w:val="single" w:color="000000" w:sz="8" w:space="0"/>
              <w:bottom w:val="single" w:color="000000" w:sz="8" w:space="0"/>
              <w:right w:val="single" w:color="000000" w:sz="8" w:space="0"/>
            </w:tcBorders>
            <w:tcMar>
              <w:left w:w="15" w:type="dxa"/>
              <w:top w:w="15" w:type="dxa"/>
              <w:right w:w="15" w:type="dxa"/>
            </w:tcMar>
            <w:tcW w:w="822"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14"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14"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306"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76"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18"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95"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39"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06"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97"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50"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r>
      <w:tr>
        <w:trPr>
          <w:trHeight w:val="312"/>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692" w:type="dxa"/>
            <w:vAlign w:val="center"/>
            <w:textDirection w:val="lrTb"/>
            <w:noWrap w:val="false"/>
          </w:tcPr>
          <w:p>
            <w:pPr>
              <w:jc w:val="left"/>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399"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邳州市</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22"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32</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22"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8</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14"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14"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306"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45</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76"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9</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18"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95"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3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  </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06"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97"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50"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r>
      <w:tr>
        <w:trPr>
          <w:trHeight w:val="312"/>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692" w:type="dxa"/>
            <w:vAlign w:val="center"/>
            <w:textDirection w:val="lrTb"/>
            <w:noWrap w:val="false"/>
          </w:tcPr>
          <w:p>
            <w:pPr>
              <w:jc w:val="left"/>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399"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新沂市</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22"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4</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22"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1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15</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1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3</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306"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76"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18"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95"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39"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06"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97"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50"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r>
      <w:tr>
        <w:trPr>
          <w:trHeight w:val="312"/>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692" w:type="dxa"/>
            <w:vAlign w:val="center"/>
            <w:textDirection w:val="lrTb"/>
            <w:noWrap w:val="false"/>
          </w:tcPr>
          <w:p>
            <w:pPr>
              <w:jc w:val="left"/>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tcMar>
            <w:tcW w:w="1399"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睢宁县</w:t>
            </w:r>
            <w:r/>
          </w:p>
        </w:tc>
        <w:tc>
          <w:tcPr>
            <w:tcBorders>
              <w:top w:val="single" w:color="000000" w:sz="8" w:space="0"/>
              <w:left w:val="single" w:color="000000" w:sz="8" w:space="0"/>
              <w:bottom w:val="single" w:color="000000" w:sz="8" w:space="0"/>
              <w:right w:val="single" w:color="auto" w:sz="4" w:space="0"/>
            </w:tcBorders>
            <w:tcMar>
              <w:left w:w="15" w:type="dxa"/>
              <w:top w:w="15" w:type="dxa"/>
              <w:right w:w="15" w:type="dxa"/>
            </w:tcMar>
            <w:tcW w:w="822"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4</w:t>
            </w:r>
            <w:r/>
          </w:p>
        </w:tc>
        <w:tc>
          <w:tcPr>
            <w:tcBorders>
              <w:top w:val="single" w:color="000000" w:sz="8" w:space="0"/>
              <w:left w:val="single" w:color="auto" w:sz="4" w:space="0"/>
              <w:bottom w:val="single" w:color="000000" w:sz="8" w:space="0"/>
              <w:right w:val="single" w:color="000000" w:sz="8" w:space="0"/>
            </w:tcBorders>
            <w:tcMar>
              <w:left w:w="15" w:type="dxa"/>
              <w:top w:w="15" w:type="dxa"/>
              <w:right w:w="15" w:type="dxa"/>
            </w:tcMar>
            <w:tcW w:w="822"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14"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14"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306"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20</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76"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4</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18"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95"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39"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06"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97"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50"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r>
      <w:tr>
        <w:trPr>
          <w:trHeight w:val="312"/>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692" w:type="dxa"/>
            <w:vAlign w:val="center"/>
            <w:textDirection w:val="lrTb"/>
            <w:noWrap w:val="false"/>
          </w:tcPr>
          <w:p>
            <w:pPr>
              <w:jc w:val="left"/>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399"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Style w:val="879"/>
                <w:rFonts w:hint="eastAsia" w:ascii="宋体" w:hAnsi="宋体" w:eastAsia="宋体" w:cs="宋体"/>
                <w:lang w:val="en-US" w:eastAsia="zh-CN" w:bidi="ar"/>
              </w:rPr>
              <w:t xml:space="preserve">丰</w:t>
            </w:r>
            <w:r>
              <w:rPr>
                <w:rStyle w:val="880"/>
                <w:rFonts w:hint="eastAsia" w:ascii="宋体" w:hAnsi="宋体" w:eastAsia="宋体" w:cs="宋体"/>
                <w:lang w:val="en-US" w:eastAsia="zh-CN" w:bidi="ar"/>
              </w:rPr>
              <w:t xml:space="preserve">  </w:t>
            </w:r>
            <w:r>
              <w:rPr>
                <w:rStyle w:val="879"/>
                <w:rFonts w:hint="eastAsia" w:ascii="宋体" w:hAnsi="宋体" w:eastAsia="宋体" w:cs="宋体"/>
                <w:lang w:val="en-US" w:eastAsia="zh-CN" w:bidi="ar"/>
              </w:rPr>
              <w:t xml:space="preserve">县</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822" w:type="dxa"/>
            <w:vAlign w:val="center"/>
            <w:textDirection w:val="lrTb"/>
            <w:noWrap/>
          </w:tcPr>
          <w:p>
            <w:pP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none" w:color="000000" w:sz="4" w:space="0"/>
              <w:left w:val="single" w:color="auto" w:sz="4" w:space="0"/>
              <w:bottom w:val="single" w:color="auto" w:sz="4" w:space="0"/>
              <w:right w:val="none" w:color="000000" w:sz="4" w:space="0"/>
            </w:tcBorders>
            <w:tcMar>
              <w:left w:w="15" w:type="dxa"/>
              <w:top w:w="15" w:type="dxa"/>
              <w:right w:w="15" w:type="dxa"/>
            </w:tcMar>
            <w:tcW w:w="822" w:type="dxa"/>
            <w:vAlign w:val="center"/>
            <w:textDirection w:val="lrTb"/>
            <w:noWrap/>
          </w:tcPr>
          <w:p>
            <w:pP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14"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14"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306"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30</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76"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6</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18"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95"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39"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06"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97"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50"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r>
      <w:tr>
        <w:trPr>
          <w:trHeight w:val="312"/>
        </w:trPr>
        <w:tc>
          <w:tcPr>
            <w:gridSpan w:val="2"/>
            <w:tcBorders>
              <w:top w:val="single" w:color="000000" w:sz="8" w:space="0"/>
              <w:left w:val="single" w:color="000000" w:sz="8" w:space="0"/>
              <w:bottom w:val="single" w:color="000000" w:sz="8" w:space="0"/>
              <w:right w:val="single" w:color="000000" w:sz="8" w:space="0"/>
            </w:tcBorders>
            <w:tcMar>
              <w:left w:w="15" w:type="dxa"/>
              <w:top w:w="15" w:type="dxa"/>
              <w:right w:w="15" w:type="dxa"/>
            </w:tcMar>
            <w:tcW w:w="2091"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rPr>
              <w:suppressLineNumbers w:val="0"/>
            </w:pPr>
            <w:r>
              <w:rPr>
                <w:rFonts w:hint="eastAsia" w:ascii="宋体" w:hAnsi="宋体" w:eastAsia="宋体" w:cs="宋体"/>
                <w:b/>
                <w:i w:val="0"/>
                <w:color w:val="000000"/>
                <w:sz w:val="24"/>
                <w:szCs w:val="24"/>
                <w:u w:val="none"/>
                <w:lang w:val="en-US" w:eastAsia="zh-CN" w:bidi="ar"/>
              </w:rPr>
              <w:t xml:space="preserve">常州市小计</w:t>
            </w:r>
            <w:r/>
          </w:p>
        </w:tc>
        <w:tc>
          <w:tcPr>
            <w:tcBorders>
              <w:top w:val="single" w:color="auto" w:sz="4" w:space="0"/>
              <w:left w:val="single" w:color="000000" w:sz="8" w:space="0"/>
              <w:bottom w:val="single" w:color="000000" w:sz="8" w:space="0"/>
              <w:right w:val="single" w:color="000000" w:sz="8" w:space="0"/>
            </w:tcBorders>
            <w:tcMar>
              <w:left w:w="15" w:type="dxa"/>
              <w:top w:w="15" w:type="dxa"/>
              <w:right w:w="15" w:type="dxa"/>
            </w:tcMar>
            <w:tcW w:w="822"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auto" w:sz="4" w:space="0"/>
              <w:left w:val="single" w:color="000000" w:sz="8" w:space="0"/>
              <w:bottom w:val="single" w:color="000000" w:sz="8" w:space="0"/>
              <w:right w:val="single" w:color="000000" w:sz="8" w:space="0"/>
            </w:tcBorders>
            <w:tcMar>
              <w:left w:w="15" w:type="dxa"/>
              <w:top w:w="15" w:type="dxa"/>
              <w:right w:w="15" w:type="dxa"/>
            </w:tcMar>
            <w:tcW w:w="822"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14"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rPr>
              <w:suppressLineNumbers w:val="0"/>
            </w:pPr>
            <w:r>
              <w:rPr>
                <w:rFonts w:hint="eastAsia" w:ascii="宋体" w:hAnsi="宋体" w:eastAsia="宋体" w:cs="宋体"/>
                <w:b/>
                <w:i w:val="0"/>
                <w:color w:val="000000"/>
                <w:sz w:val="24"/>
                <w:szCs w:val="24"/>
                <w:u w:val="none"/>
                <w:lang w:val="en-US" w:eastAsia="zh-CN" w:bidi="ar"/>
              </w:rPr>
              <w:t xml:space="preserve">28</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14"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rPr>
              <w:suppressLineNumbers w:val="0"/>
            </w:pPr>
            <w:r>
              <w:rPr>
                <w:rFonts w:hint="eastAsia" w:ascii="宋体" w:hAnsi="宋体" w:eastAsia="宋体" w:cs="宋体"/>
                <w:b/>
                <w:i w:val="0"/>
                <w:color w:val="000000"/>
                <w:sz w:val="24"/>
                <w:szCs w:val="24"/>
                <w:u w:val="none"/>
                <w:lang w:val="en-US" w:eastAsia="zh-CN" w:bidi="ar"/>
              </w:rPr>
              <w:t xml:space="preserve">4</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306"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rPr>
              <w:suppressLineNumbers w:val="0"/>
            </w:pPr>
            <w:r>
              <w:rPr>
                <w:rFonts w:hint="eastAsia" w:ascii="宋体" w:hAnsi="宋体" w:eastAsia="宋体" w:cs="宋体"/>
                <w:b/>
                <w:i w:val="0"/>
                <w:color w:val="000000"/>
                <w:sz w:val="24"/>
                <w:szCs w:val="24"/>
                <w:u w:val="none"/>
                <w:lang w:val="en-US" w:eastAsia="zh-CN" w:bidi="ar"/>
              </w:rPr>
              <w:t xml:space="preserve">12</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76"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rPr>
              <w:suppressLineNumbers w:val="0"/>
            </w:pPr>
            <w:r>
              <w:rPr>
                <w:rFonts w:hint="eastAsia" w:ascii="宋体" w:hAnsi="宋体" w:eastAsia="宋体" w:cs="宋体"/>
                <w:b/>
                <w:i w:val="0"/>
                <w:color w:val="000000"/>
                <w:sz w:val="24"/>
                <w:szCs w:val="24"/>
                <w:u w:val="none"/>
                <w:lang w:val="en-US" w:eastAsia="zh-CN" w:bidi="ar"/>
              </w:rPr>
              <w:t xml:space="preserve">3</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18"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rPr>
              <w:suppressLineNumbers w:val="0"/>
            </w:pPr>
            <w:r>
              <w:rPr>
                <w:rFonts w:hint="eastAsia" w:ascii="宋体" w:hAnsi="宋体" w:eastAsia="宋体" w:cs="宋体"/>
                <w:b/>
                <w:i w:val="0"/>
                <w:color w:val="000000"/>
                <w:sz w:val="24"/>
                <w:szCs w:val="24"/>
                <w:u w:val="none"/>
                <w:lang w:val="en-US" w:eastAsia="zh-CN" w:bidi="ar"/>
              </w:rPr>
              <w:t xml:space="preserve">44</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95"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rPr>
              <w:suppressLineNumbers w:val="0"/>
            </w:pPr>
            <w:r>
              <w:rPr>
                <w:rFonts w:hint="eastAsia" w:ascii="宋体" w:hAnsi="宋体" w:eastAsia="宋体" w:cs="宋体"/>
                <w:b/>
                <w:i w:val="0"/>
                <w:color w:val="000000"/>
                <w:sz w:val="24"/>
                <w:szCs w:val="24"/>
                <w:u w:val="none"/>
                <w:lang w:val="en-US" w:eastAsia="zh-CN" w:bidi="ar"/>
              </w:rPr>
              <w:t xml:space="preserve">11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39"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06"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97"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50"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r>
      <w:tr>
        <w:trPr>
          <w:trHeight w:val="312"/>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692" w:type="dxa"/>
            <w:vAlign w:val="center"/>
            <w:textDirection w:val="lrTb"/>
            <w:noWrap w:val="false"/>
          </w:tcPr>
          <w:p>
            <w:pPr>
              <w:jc w:val="left"/>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399"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金坛区</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22" w:type="dxa"/>
            <w:vAlign w:val="center"/>
            <w:textDirection w:val="lrTb"/>
            <w:noWrap w:val="false"/>
          </w:tcPr>
          <w:p>
            <w:pPr>
              <w:jc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22" w:type="dxa"/>
            <w:vAlign w:val="center"/>
            <w:textDirection w:val="lrTb"/>
            <w:noWrap w:val="false"/>
          </w:tcPr>
          <w:p>
            <w:pPr>
              <w:jc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14"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14"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306"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8</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76"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2</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18"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4</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95"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39"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06"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97"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50"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r>
      <w:tr>
        <w:trPr>
          <w:trHeight w:val="312"/>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692" w:type="dxa"/>
            <w:vAlign w:val="center"/>
            <w:textDirection w:val="lrTb"/>
            <w:noWrap w:val="false"/>
          </w:tcPr>
          <w:p>
            <w:pPr>
              <w:jc w:val="left"/>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399"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常州高新区</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22"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22"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14"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14"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306"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4</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76"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18"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95"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39"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06"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97"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50"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r>
      <w:tr>
        <w:trPr>
          <w:trHeight w:val="312"/>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692" w:type="dxa"/>
            <w:vAlign w:val="center"/>
            <w:textDirection w:val="lrTb"/>
            <w:noWrap w:val="false"/>
          </w:tcPr>
          <w:p>
            <w:pPr>
              <w:jc w:val="left"/>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399"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溧阳市</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22"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22"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1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28</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1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4</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306"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76"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18"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40</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95"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10</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39"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06"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97"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50"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r>
      <w:tr>
        <w:trPr>
          <w:trHeight w:val="312"/>
        </w:trPr>
        <w:tc>
          <w:tcPr>
            <w:gridSpan w:val="2"/>
            <w:tcBorders>
              <w:top w:val="single" w:color="000000" w:sz="8" w:space="0"/>
              <w:left w:val="single" w:color="000000" w:sz="8" w:space="0"/>
              <w:bottom w:val="single" w:color="000000" w:sz="8" w:space="0"/>
              <w:right w:val="single" w:color="000000" w:sz="8" w:space="0"/>
            </w:tcBorders>
            <w:tcMar>
              <w:left w:w="15" w:type="dxa"/>
              <w:top w:w="15" w:type="dxa"/>
              <w:right w:w="15" w:type="dxa"/>
            </w:tcMar>
            <w:tcW w:w="2091" w:type="dxa"/>
            <w:vAlign w:val="center"/>
            <w:textDirection w:val="lrTb"/>
            <w:noWrap w:val="false"/>
          </w:tcPr>
          <w:p>
            <w:pPr>
              <w:jc w:val="left"/>
              <w:keepLines w:val="0"/>
              <w:keepNext w:val="0"/>
              <w:widowControl/>
              <w:rPr>
                <w:rFonts w:hint="eastAsia" w:ascii="宋体" w:hAnsi="宋体" w:eastAsia="宋体" w:cs="宋体"/>
                <w:b/>
                <w:i w:val="0"/>
                <w:color w:val="000000"/>
                <w:sz w:val="24"/>
                <w:szCs w:val="24"/>
                <w:u w:val="none"/>
              </w:rPr>
              <w:suppressLineNumbers w:val="0"/>
            </w:pPr>
            <w:r>
              <w:rPr>
                <w:rStyle w:val="826"/>
                <w:rFonts w:hint="eastAsia" w:ascii="宋体" w:hAnsi="宋体" w:eastAsia="宋体" w:cs="宋体"/>
                <w:lang w:val="en-US" w:eastAsia="zh-CN" w:bidi="ar"/>
              </w:rPr>
              <w:t xml:space="preserve">  </w:t>
            </w:r>
            <w:r>
              <w:rPr>
                <w:rStyle w:val="878"/>
                <w:rFonts w:hint="eastAsia" w:ascii="宋体" w:hAnsi="宋体" w:eastAsia="宋体" w:cs="宋体"/>
                <w:lang w:val="en-US" w:eastAsia="zh-CN" w:bidi="ar"/>
              </w:rPr>
              <w:t xml:space="preserve">苏州市小计</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22"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rPr>
              <w:suppressLineNumbers w:val="0"/>
            </w:pPr>
            <w:r>
              <w:rPr>
                <w:rFonts w:hint="eastAsia" w:ascii="宋体" w:hAnsi="宋体" w:eastAsia="宋体" w:cs="宋体"/>
                <w:b/>
                <w:i w:val="0"/>
                <w:color w:val="000000"/>
                <w:sz w:val="24"/>
                <w:szCs w:val="24"/>
                <w:u w:val="none"/>
                <w:lang w:val="en-US" w:eastAsia="zh-CN" w:bidi="ar"/>
              </w:rPr>
              <w:t xml:space="preserve">4</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22"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rPr>
              <w:suppressLineNumbers w:val="0"/>
            </w:pPr>
            <w:r>
              <w:rPr>
                <w:rFonts w:hint="eastAsia" w:ascii="宋体" w:hAnsi="宋体" w:eastAsia="宋体" w:cs="宋体"/>
                <w:b/>
                <w:i w:val="0"/>
                <w:color w:val="000000"/>
                <w:sz w:val="24"/>
                <w:szCs w:val="24"/>
                <w:u w:val="none"/>
                <w:lang w:val="en-US" w:eastAsia="zh-CN" w:bidi="ar"/>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14"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rPr>
              <w:suppressLineNumbers w:val="0"/>
            </w:pPr>
            <w:r>
              <w:rPr>
                <w:rFonts w:hint="eastAsia" w:ascii="宋体" w:hAnsi="宋体" w:eastAsia="宋体" w:cs="宋体"/>
                <w:b/>
                <w:i w:val="0"/>
                <w:color w:val="000000"/>
                <w:sz w:val="24"/>
                <w:szCs w:val="24"/>
                <w:u w:val="none"/>
                <w:lang w:val="en-US" w:eastAsia="zh-CN" w:bidi="ar"/>
              </w:rPr>
              <w:t xml:space="preserve">4</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14"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rPr>
              <w:suppressLineNumbers w:val="0"/>
            </w:pPr>
            <w:r>
              <w:rPr>
                <w:rFonts w:hint="eastAsia" w:ascii="宋体" w:hAnsi="宋体" w:eastAsia="宋体" w:cs="宋体"/>
                <w:b/>
                <w:i w:val="0"/>
                <w:color w:val="000000"/>
                <w:sz w:val="24"/>
                <w:szCs w:val="24"/>
                <w:u w:val="none"/>
                <w:lang w:val="en-US" w:eastAsia="zh-CN" w:bidi="ar"/>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306"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76"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18"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95"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39"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06"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97"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50"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r>
      <w:tr>
        <w:trPr>
          <w:trHeight w:val="312"/>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692" w:type="dxa"/>
            <w:vAlign w:val="center"/>
            <w:textDirection w:val="lrTb"/>
            <w:noWrap w:val="false"/>
          </w:tcPr>
          <w:p>
            <w:pPr>
              <w:jc w:val="left"/>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399"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吴中区</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22"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4</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22"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1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4</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1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306"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76"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18"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95"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39" w:type="dxa"/>
            <w:vAlign w:val="center"/>
            <w:textDirection w:val="lrTb"/>
            <w:noWrap w:val="false"/>
          </w:tcPr>
          <w:p>
            <w:pPr>
              <w:jc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06"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97"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50"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r>
      <w:tr>
        <w:trPr>
          <w:trHeight w:val="312"/>
        </w:trPr>
        <w:tc>
          <w:tcPr>
            <w:gridSpan w:val="2"/>
            <w:tcBorders>
              <w:top w:val="single" w:color="000000" w:sz="8" w:space="0"/>
              <w:left w:val="single" w:color="000000" w:sz="8" w:space="0"/>
              <w:bottom w:val="single" w:color="000000" w:sz="8" w:space="0"/>
              <w:right w:val="single" w:color="000000" w:sz="8" w:space="0"/>
            </w:tcBorders>
            <w:tcMar>
              <w:left w:w="15" w:type="dxa"/>
              <w:top w:w="15" w:type="dxa"/>
              <w:right w:w="15" w:type="dxa"/>
            </w:tcMar>
            <w:tcW w:w="2091"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rPr>
              <w:suppressLineNumbers w:val="0"/>
            </w:pPr>
            <w:r>
              <w:rPr>
                <w:rFonts w:hint="eastAsia" w:ascii="宋体" w:hAnsi="宋体" w:eastAsia="宋体" w:cs="宋体"/>
                <w:b/>
                <w:i w:val="0"/>
                <w:color w:val="000000"/>
                <w:sz w:val="24"/>
                <w:szCs w:val="24"/>
                <w:u w:val="none"/>
                <w:lang w:val="en-US" w:eastAsia="zh-CN" w:bidi="ar"/>
              </w:rPr>
              <w:t xml:space="preserve">南通市小计</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22"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rPr>
              <w:suppressLineNumbers w:val="0"/>
            </w:pPr>
            <w:r>
              <w:rPr>
                <w:rFonts w:hint="eastAsia" w:ascii="宋体" w:hAnsi="宋体" w:eastAsia="宋体" w:cs="宋体"/>
                <w:b/>
                <w:i w:val="0"/>
                <w:color w:val="000000"/>
                <w:sz w:val="24"/>
                <w:szCs w:val="24"/>
                <w:u w:val="none"/>
                <w:lang w:val="en-US" w:eastAsia="zh-CN" w:bidi="ar"/>
              </w:rPr>
              <w:t xml:space="preserve">4</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22"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rPr>
              <w:suppressLineNumbers w:val="0"/>
            </w:pPr>
            <w:r>
              <w:rPr>
                <w:rFonts w:hint="eastAsia" w:ascii="宋体" w:hAnsi="宋体" w:eastAsia="宋体" w:cs="宋体"/>
                <w:b/>
                <w:i w:val="0"/>
                <w:color w:val="000000"/>
                <w:sz w:val="24"/>
                <w:szCs w:val="24"/>
                <w:u w:val="none"/>
                <w:lang w:val="en-US" w:eastAsia="zh-CN" w:bidi="ar"/>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14"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14"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306" w:type="dxa"/>
            <w:vAlign w:val="center"/>
            <w:textDirection w:val="lrTb"/>
            <w:noWrap w:val="false"/>
          </w:tcPr>
          <w:p>
            <w:pPr>
              <w:jc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76" w:type="dxa"/>
            <w:vAlign w:val="center"/>
            <w:textDirection w:val="lrTb"/>
            <w:noWrap w:val="false"/>
          </w:tcPr>
          <w:p>
            <w:pPr>
              <w:jc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18"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95"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39"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lang w:val="en-US" w:eastAsia="zh-CN" w:bidi="ar-SA"/>
              </w:rPr>
              <w:suppressLineNumbers w:val="0"/>
            </w:pPr>
            <w:r>
              <w:rPr>
                <w:rFonts w:hint="eastAsia" w:ascii="宋体" w:hAnsi="宋体" w:eastAsia="宋体" w:cs="宋体"/>
                <w:b/>
                <w:i w:val="0"/>
                <w:color w:val="000000"/>
                <w:sz w:val="24"/>
                <w:szCs w:val="24"/>
                <w:u w:val="none"/>
                <w:lang w:val="en-US" w:eastAsia="zh-CN" w:bidi="ar"/>
              </w:rPr>
              <w:t xml:space="preserve">5</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lang w:val="en-US" w:eastAsia="zh-CN" w:bidi="ar-SA"/>
              </w:rPr>
              <w:suppressLineNumbers w:val="0"/>
            </w:pPr>
            <w:r>
              <w:rPr>
                <w:rFonts w:hint="eastAsia" w:ascii="宋体" w:hAnsi="宋体" w:eastAsia="宋体" w:cs="宋体"/>
                <w:b/>
                <w:i w:val="0"/>
                <w:color w:val="000000"/>
                <w:sz w:val="24"/>
                <w:szCs w:val="24"/>
                <w:u w:val="none"/>
                <w:lang w:val="en-US" w:eastAsia="zh-CN" w:bidi="ar"/>
              </w:rPr>
              <w:t xml:space="preserve">3</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06"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97"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50"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r>
      <w:tr>
        <w:trPr>
          <w:trHeight w:val="312"/>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692" w:type="dxa"/>
            <w:vAlign w:val="center"/>
            <w:textDirection w:val="lrTb"/>
            <w:noWrap w:val="false"/>
          </w:tcPr>
          <w:p>
            <w:pPr>
              <w:jc w:val="left"/>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399"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海安市</w:t>
            </w:r>
            <w:r/>
          </w:p>
        </w:tc>
        <w:tc>
          <w:tcPr>
            <w:tcBorders>
              <w:top w:val="single" w:color="000000" w:sz="8" w:space="0"/>
              <w:left w:val="single" w:color="000000" w:sz="8" w:space="0"/>
              <w:bottom w:val="single" w:color="000000" w:sz="8" w:space="0"/>
              <w:right w:val="single" w:color="auto" w:sz="4" w:space="0"/>
            </w:tcBorders>
            <w:tcMar>
              <w:left w:w="15" w:type="dxa"/>
              <w:top w:w="15" w:type="dxa"/>
              <w:right w:w="15" w:type="dxa"/>
            </w:tcMar>
            <w:tcW w:w="822"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4</w:t>
            </w:r>
            <w:r/>
          </w:p>
        </w:tc>
        <w:tc>
          <w:tcPr>
            <w:tcBorders>
              <w:top w:val="single" w:color="000000" w:sz="8" w:space="0"/>
              <w:left w:val="single" w:color="auto" w:sz="4" w:space="0"/>
              <w:bottom w:val="single" w:color="000000" w:sz="8" w:space="0"/>
              <w:right w:val="single" w:color="000000" w:sz="8" w:space="0"/>
            </w:tcBorders>
            <w:tcMar>
              <w:left w:w="15" w:type="dxa"/>
              <w:top w:w="15" w:type="dxa"/>
              <w:right w:w="15" w:type="dxa"/>
            </w:tcMar>
            <w:tcW w:w="822"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14"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14"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306"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76"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18"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95"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39"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rPr>
              <w:suppressLineNumbers w:val="0"/>
            </w:pPr>
            <w:r>
              <w:rPr>
                <w:rFonts w:hint="eastAsia" w:ascii="宋体" w:hAnsi="宋体" w:eastAsia="宋体" w:cs="宋体"/>
                <w:b/>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rPr>
              <w:suppressLineNumbers w:val="0"/>
            </w:pPr>
            <w:r>
              <w:rPr>
                <w:rFonts w:hint="eastAsia" w:ascii="宋体" w:hAnsi="宋体" w:eastAsia="宋体" w:cs="宋体"/>
                <w:b/>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06"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97"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50"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r>
      <w:tr>
        <w:trPr>
          <w:trHeight w:val="312"/>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692" w:type="dxa"/>
            <w:vAlign w:val="center"/>
            <w:textDirection w:val="lrTb"/>
            <w:noWrap w:val="false"/>
          </w:tcPr>
          <w:p>
            <w:pPr>
              <w:jc w:val="left"/>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399"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如皋市</w:t>
            </w:r>
            <w:r/>
          </w:p>
        </w:tc>
        <w:tc>
          <w:tcPr>
            <w:tcBorders>
              <w:top w:val="none" w:color="000000" w:sz="4" w:space="0"/>
              <w:left w:val="none" w:color="000000" w:sz="4" w:space="0"/>
              <w:bottom w:val="none" w:color="000000" w:sz="4" w:space="0"/>
              <w:right w:val="single" w:color="auto" w:sz="4" w:space="0"/>
            </w:tcBorders>
            <w:tcMar>
              <w:left w:w="15" w:type="dxa"/>
              <w:top w:w="15" w:type="dxa"/>
              <w:right w:w="15" w:type="dxa"/>
            </w:tcMar>
            <w:tcW w:w="822" w:type="dxa"/>
            <w:vAlign w:val="center"/>
            <w:textDirection w:val="lrTb"/>
            <w:noWrap/>
          </w:tcPr>
          <w:p>
            <w:pP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none" w:color="000000" w:sz="4" w:space="0"/>
              <w:left w:val="single" w:color="auto" w:sz="4" w:space="0"/>
              <w:bottom w:val="none" w:color="000000" w:sz="4" w:space="0"/>
              <w:right w:val="none" w:color="000000" w:sz="4" w:space="0"/>
            </w:tcBorders>
            <w:tcMar>
              <w:left w:w="15" w:type="dxa"/>
              <w:top w:w="15" w:type="dxa"/>
              <w:right w:w="15" w:type="dxa"/>
            </w:tcMar>
            <w:tcW w:w="822" w:type="dxa"/>
            <w:vAlign w:val="center"/>
            <w:textDirection w:val="lrTb"/>
            <w:noWrap/>
          </w:tcPr>
          <w:p>
            <w:pP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14"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14"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306"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76"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18"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95"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3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bidi="ar-SA"/>
              </w:rPr>
              <w:suppressLineNumbers w:val="0"/>
            </w:pPr>
            <w:r>
              <w:rPr>
                <w:rFonts w:hint="eastAsia" w:ascii="宋体" w:hAnsi="宋体" w:eastAsia="宋体" w:cs="宋体"/>
                <w:i w:val="0"/>
                <w:color w:val="000000"/>
                <w:sz w:val="24"/>
                <w:szCs w:val="24"/>
                <w:u w:val="none"/>
                <w:lang w:val="en-US" w:eastAsia="zh-CN" w:bidi="ar"/>
              </w:rPr>
              <w:t xml:space="preserve">5</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bidi="ar-SA"/>
              </w:rPr>
              <w:suppressLineNumbers w:val="0"/>
            </w:pPr>
            <w:r>
              <w:rPr>
                <w:rFonts w:hint="eastAsia" w:ascii="宋体" w:hAnsi="宋体" w:eastAsia="宋体" w:cs="宋体"/>
                <w:i w:val="0"/>
                <w:color w:val="000000"/>
                <w:sz w:val="24"/>
                <w:szCs w:val="24"/>
                <w:u w:val="none"/>
                <w:lang w:val="en-US" w:eastAsia="zh-CN" w:bidi="ar"/>
              </w:rPr>
              <w:t xml:space="preserve">3</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06"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97"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50"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r>
      <w:tr>
        <w:trPr>
          <w:trHeight w:val="312"/>
        </w:trPr>
        <w:tc>
          <w:tcPr>
            <w:gridSpan w:val="2"/>
            <w:tcBorders>
              <w:top w:val="single" w:color="000000" w:sz="8" w:space="0"/>
              <w:left w:val="single" w:color="000000" w:sz="8" w:space="0"/>
              <w:bottom w:val="single" w:color="000000" w:sz="8" w:space="0"/>
              <w:right w:val="single" w:color="000000" w:sz="8" w:space="0"/>
            </w:tcBorders>
            <w:tcMar>
              <w:left w:w="15" w:type="dxa"/>
              <w:top w:w="15" w:type="dxa"/>
              <w:right w:w="15" w:type="dxa"/>
            </w:tcMar>
            <w:tcW w:w="2091"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lang w:val="en-US" w:eastAsia="zh-CN" w:bidi="ar"/>
              </w:rPr>
              <w:suppressLineNumbers w:val="0"/>
            </w:pPr>
            <w:r>
              <w:rPr>
                <w:rFonts w:hint="eastAsia" w:ascii="宋体" w:hAnsi="宋体" w:eastAsia="宋体" w:cs="宋体"/>
                <w:b/>
                <w:i w:val="0"/>
                <w:color w:val="000000"/>
                <w:sz w:val="24"/>
                <w:szCs w:val="24"/>
                <w:u w:val="none"/>
                <w:lang w:val="en-US" w:eastAsia="zh-CN" w:bidi="ar"/>
              </w:rPr>
              <w:t xml:space="preserve">连云港市小计</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22"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lang w:val="en-US" w:eastAsia="zh-CN" w:bidi="ar"/>
              </w:rPr>
              <w:suppressLineNumbers w:val="0"/>
            </w:pPr>
            <w:r>
              <w:rPr>
                <w:rFonts w:hint="eastAsia" w:ascii="宋体" w:hAnsi="宋体" w:eastAsia="宋体" w:cs="宋体"/>
                <w:b/>
                <w:i w:val="0"/>
                <w:color w:val="000000"/>
                <w:sz w:val="24"/>
                <w:szCs w:val="24"/>
                <w:u w:val="none"/>
                <w:lang w:val="en-US" w:eastAsia="zh-CN" w:bidi="ar"/>
              </w:rPr>
              <w:t xml:space="preserve">4</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22"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lang w:val="en-US" w:eastAsia="zh-CN" w:bidi="ar"/>
              </w:rPr>
              <w:suppressLineNumbers w:val="0"/>
            </w:pPr>
            <w:r>
              <w:rPr>
                <w:rFonts w:hint="eastAsia" w:ascii="宋体" w:hAnsi="宋体" w:eastAsia="宋体" w:cs="宋体"/>
                <w:b/>
                <w:i w:val="0"/>
                <w:color w:val="000000"/>
                <w:sz w:val="24"/>
                <w:szCs w:val="24"/>
                <w:u w:val="none"/>
                <w:lang w:val="en-US" w:eastAsia="zh-CN" w:bidi="ar"/>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14"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lang w:val="en-US" w:eastAsia="zh-CN" w:bidi="ar"/>
              </w:rPr>
              <w:suppressLineNumbers w:val="0"/>
            </w:pPr>
            <w:r>
              <w:rPr>
                <w:rFonts w:hint="eastAsia" w:ascii="宋体" w:hAnsi="宋体" w:eastAsia="宋体" w:cs="宋体"/>
                <w:b/>
                <w:i w:val="0"/>
                <w:color w:val="000000"/>
                <w:sz w:val="24"/>
                <w:szCs w:val="24"/>
                <w:u w:val="none"/>
                <w:lang w:val="en-US" w:eastAsia="zh-CN" w:bidi="ar"/>
              </w:rPr>
              <w:t xml:space="preserve">15</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14"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lang w:val="en-US" w:eastAsia="zh-CN" w:bidi="ar"/>
              </w:rPr>
              <w:suppressLineNumbers w:val="0"/>
            </w:pPr>
            <w:r>
              <w:rPr>
                <w:rFonts w:hint="eastAsia" w:ascii="宋体" w:hAnsi="宋体" w:eastAsia="宋体" w:cs="宋体"/>
                <w:b/>
                <w:i w:val="0"/>
                <w:color w:val="000000"/>
                <w:sz w:val="24"/>
                <w:szCs w:val="24"/>
                <w:u w:val="none"/>
                <w:lang w:val="en-US" w:eastAsia="zh-CN" w:bidi="ar"/>
              </w:rPr>
              <w:t xml:space="preserve">3</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306"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lang w:val="en-US" w:eastAsia="zh-CN" w:bidi="ar"/>
              </w:rPr>
              <w:suppressLineNumbers w:val="0"/>
            </w:pPr>
            <w:r>
              <w:rPr>
                <w:rFonts w:hint="eastAsia" w:ascii="宋体" w:hAnsi="宋体" w:eastAsia="宋体" w:cs="宋体"/>
                <w:b/>
                <w:i w:val="0"/>
                <w:color w:val="000000"/>
                <w:sz w:val="24"/>
                <w:szCs w:val="24"/>
                <w:u w:val="none"/>
                <w:lang w:val="en-US" w:eastAsia="zh-CN" w:bidi="ar"/>
              </w:rPr>
              <w:t xml:space="preserve">12</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76"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lang w:val="en-US" w:eastAsia="zh-CN" w:bidi="ar"/>
              </w:rPr>
              <w:suppressLineNumbers w:val="0"/>
            </w:pPr>
            <w:r>
              <w:rPr>
                <w:rFonts w:hint="eastAsia" w:ascii="宋体" w:hAnsi="宋体" w:eastAsia="宋体" w:cs="宋体"/>
                <w:b/>
                <w:i w:val="0"/>
                <w:color w:val="000000"/>
                <w:sz w:val="24"/>
                <w:szCs w:val="24"/>
                <w:u w:val="none"/>
                <w:lang w:val="en-US" w:eastAsia="zh-CN" w:bidi="ar"/>
              </w:rPr>
              <w:t xml:space="preserve">3</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18"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lang w:val="en-US" w:eastAsia="zh-CN" w:bidi="ar"/>
              </w:rPr>
              <w:suppressLineNumbers w:val="0"/>
            </w:pPr>
            <w:r>
              <w:rPr>
                <w:rFonts w:hint="eastAsia" w:ascii="宋体" w:hAnsi="宋体" w:eastAsia="宋体" w:cs="宋体"/>
                <w:b/>
                <w:i w:val="0"/>
                <w:color w:val="000000"/>
                <w:sz w:val="24"/>
                <w:szCs w:val="24"/>
                <w:u w:val="none"/>
                <w:lang w:val="en-US" w:eastAsia="zh-CN" w:bidi="ar"/>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95"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lang w:val="en-US" w:eastAsia="zh-CN" w:bidi="ar"/>
              </w:rPr>
              <w:suppressLineNumbers w:val="0"/>
            </w:pPr>
            <w:r>
              <w:rPr>
                <w:rFonts w:hint="eastAsia" w:ascii="宋体" w:hAnsi="宋体" w:eastAsia="宋体" w:cs="宋体"/>
                <w:b/>
                <w:i w:val="0"/>
                <w:color w:val="000000"/>
                <w:sz w:val="24"/>
                <w:szCs w:val="24"/>
                <w:u w:val="none"/>
                <w:lang w:val="en-US" w:eastAsia="zh-CN" w:bidi="ar"/>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39"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lang w:val="en-US" w:eastAsia="zh-CN" w:bidi="ar"/>
              </w:rPr>
              <w:suppressLineNumbers w:val="0"/>
            </w:pPr>
            <w:r>
              <w:rPr>
                <w:rFonts w:hint="eastAsia" w:ascii="宋体" w:hAnsi="宋体" w:eastAsia="宋体" w:cs="宋体"/>
                <w:b/>
                <w:i w:val="0"/>
                <w:color w:val="000000"/>
                <w:sz w:val="24"/>
                <w:szCs w:val="24"/>
                <w:u w:val="none"/>
                <w:lang w:val="en-US" w:eastAsia="zh-CN" w:bidi="ar"/>
              </w:rPr>
              <w:t xml:space="preserve">24</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lang w:val="en-US" w:eastAsia="zh-CN" w:bidi="ar"/>
              </w:rPr>
              <w:suppressLineNumbers w:val="0"/>
            </w:pPr>
            <w:r>
              <w:rPr>
                <w:rFonts w:hint="eastAsia" w:ascii="宋体" w:hAnsi="宋体" w:eastAsia="宋体" w:cs="宋体"/>
                <w:b/>
                <w:i w:val="0"/>
                <w:color w:val="000000"/>
                <w:sz w:val="24"/>
                <w:szCs w:val="24"/>
                <w:u w:val="none"/>
                <w:lang w:val="en-US" w:eastAsia="zh-CN" w:bidi="ar"/>
              </w:rPr>
              <w:t xml:space="preserve">8</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06"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lang w:val="en-US" w:eastAsia="zh-CN" w:bidi="ar"/>
              </w:rPr>
              <w:suppressLineNumbers w:val="0"/>
            </w:pPr>
            <w:r>
              <w:rPr>
                <w:rFonts w:hint="eastAsia" w:ascii="宋体" w:hAnsi="宋体" w:eastAsia="宋体" w:cs="宋体"/>
                <w:b/>
                <w:i w:val="0"/>
                <w:color w:val="000000"/>
                <w:sz w:val="24"/>
                <w:szCs w:val="24"/>
                <w:u w:val="none"/>
                <w:lang w:val="en-US" w:eastAsia="zh-CN" w:bidi="ar"/>
              </w:rPr>
              <w:t xml:space="preserve">22</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97" w:type="dxa"/>
            <w:vAlign w:val="center"/>
            <w:textDirection w:val="lrTb"/>
            <w:noWrap w:val="false"/>
          </w:tcPr>
          <w:p>
            <w:pPr>
              <w:jc w:val="center"/>
              <w:keepLines w:val="0"/>
              <w:keepNext w:val="0"/>
              <w:widowControl/>
              <w:rPr>
                <w:rFonts w:hint="eastAsia" w:ascii="宋体" w:hAnsi="宋体" w:eastAsia="宋体" w:cs="宋体"/>
                <w:b/>
                <w:i w:val="0"/>
                <w:color w:val="auto"/>
                <w:sz w:val="24"/>
                <w:szCs w:val="24"/>
                <w:u w:val="none"/>
                <w:lang w:val="en-US" w:eastAsia="zh-CN" w:bidi="ar"/>
              </w:rPr>
              <w:suppressLineNumbers w:val="0"/>
            </w:pPr>
            <w:r>
              <w:rPr>
                <w:rFonts w:hint="eastAsia" w:ascii="宋体" w:hAnsi="宋体" w:eastAsia="宋体" w:cs="宋体"/>
                <w:b/>
                <w:i w:val="0"/>
                <w:color w:val="auto"/>
                <w:sz w:val="24"/>
                <w:szCs w:val="24"/>
                <w:u w:val="none"/>
                <w:lang w:val="en-US" w:eastAsia="zh-CN" w:bidi="ar"/>
              </w:rPr>
              <w:t xml:space="preserve">39</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50"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lang w:val="en-US" w:eastAsia="zh-CN" w:bidi="ar"/>
              </w:rPr>
              <w:suppressLineNumbers w:val="0"/>
            </w:pPr>
            <w:r>
              <w:rPr>
                <w:rFonts w:hint="eastAsia" w:ascii="宋体" w:hAnsi="宋体" w:eastAsia="宋体" w:cs="宋体"/>
                <w:b/>
                <w:i w:val="0"/>
                <w:color w:val="000000"/>
                <w:sz w:val="24"/>
                <w:szCs w:val="24"/>
                <w:u w:val="none"/>
                <w:lang w:val="en-US" w:eastAsia="zh-CN" w:bidi="ar"/>
              </w:rPr>
            </w:r>
            <w:r/>
          </w:p>
        </w:tc>
      </w:tr>
      <w:tr>
        <w:trPr>
          <w:trHeight w:val="312"/>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692" w:type="dxa"/>
            <w:vAlign w:val="center"/>
            <w:textDirection w:val="lrTb"/>
            <w:noWrap w:val="false"/>
          </w:tcPr>
          <w:p>
            <w:pPr>
              <w:jc w:val="left"/>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399"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赣榆区</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22"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22"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1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15</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1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3</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306"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2</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76"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18"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95"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3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15</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5</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06"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97" w:type="dxa"/>
            <w:vAlign w:val="center"/>
            <w:textDirection w:val="lrTb"/>
            <w:noWrap w:val="false"/>
          </w:tcPr>
          <w:p>
            <w:pPr>
              <w:jc w:val="center"/>
              <w:rPr>
                <w:rFonts w:hint="eastAsia" w:ascii="宋体" w:hAnsi="宋体" w:eastAsia="宋体" w:cs="宋体"/>
                <w:i w:val="0"/>
                <w:color w:val="auto"/>
                <w:sz w:val="24"/>
                <w:szCs w:val="24"/>
                <w:u w:val="none"/>
              </w:rPr>
            </w:pPr>
            <w:r>
              <w:rPr>
                <w:rFonts w:hint="eastAsia" w:ascii="宋体" w:hAnsi="宋体" w:eastAsia="宋体" w:cs="宋体"/>
                <w:i w:val="0"/>
                <w:color w:val="auto"/>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50"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r>
      <w:tr>
        <w:trPr>
          <w:trHeight w:val="312"/>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692" w:type="dxa"/>
            <w:vAlign w:val="center"/>
            <w:textDirection w:val="lrTb"/>
            <w:noWrap w:val="false"/>
          </w:tcPr>
          <w:p>
            <w:pPr>
              <w:jc w:val="left"/>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399"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东海县</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22"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22"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14"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14"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306"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10</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76"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2</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18"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95"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none" w:color="000000" w:sz="4" w:space="0"/>
              <w:right w:val="single" w:color="000000" w:sz="8" w:space="0"/>
            </w:tcBorders>
            <w:tcMar>
              <w:left w:w="15" w:type="dxa"/>
              <w:top w:w="15" w:type="dxa"/>
              <w:right w:w="15" w:type="dxa"/>
            </w:tcMar>
            <w:tcW w:w="83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9</w:t>
            </w:r>
            <w:r/>
          </w:p>
        </w:tc>
        <w:tc>
          <w:tcPr>
            <w:tcBorders>
              <w:top w:val="single" w:color="000000" w:sz="8" w:space="0"/>
              <w:left w:val="single" w:color="000000" w:sz="8" w:space="0"/>
              <w:bottom w:val="none" w:color="000000" w:sz="4" w:space="0"/>
              <w:right w:val="single" w:color="000000" w:sz="8" w:space="0"/>
            </w:tcBorders>
            <w:tcMar>
              <w:left w:w="15" w:type="dxa"/>
              <w:top w:w="15" w:type="dxa"/>
              <w:right w:w="15" w:type="dxa"/>
            </w:tcMar>
            <w:tcW w:w="840"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3</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06"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97" w:type="dxa"/>
            <w:vAlign w:val="center"/>
            <w:textDirection w:val="lrTb"/>
            <w:noWrap w:val="false"/>
          </w:tcPr>
          <w:p>
            <w:pPr>
              <w:jc w:val="center"/>
              <w:keepLines w:val="0"/>
              <w:keepNext w:val="0"/>
              <w:widowControl/>
              <w:rPr>
                <w:rFonts w:hint="eastAsia" w:ascii="宋体" w:hAnsi="宋体" w:eastAsia="宋体" w:cs="宋体"/>
                <w:i w:val="0"/>
                <w:color w:val="auto"/>
                <w:sz w:val="24"/>
                <w:szCs w:val="24"/>
                <w:u w:val="none"/>
                <w:lang w:val="en-US" w:eastAsia="zh-CN"/>
              </w:rPr>
              <w:suppressLineNumbers w:val="0"/>
            </w:pPr>
            <w:r>
              <w:rPr>
                <w:rFonts w:hint="eastAsia" w:ascii="宋体" w:hAnsi="宋体" w:eastAsia="宋体" w:cs="宋体"/>
                <w:i w:val="0"/>
                <w:color w:val="auto"/>
                <w:sz w:val="24"/>
                <w:szCs w:val="24"/>
                <w:u w:val="none"/>
                <w:lang w:val="en-US" w:eastAsia="zh-CN"/>
              </w:rPr>
              <w:t xml:space="preserve">39</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50"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r>
      <w:tr>
        <w:trPr>
          <w:trHeight w:val="312"/>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692" w:type="dxa"/>
            <w:vAlign w:val="center"/>
            <w:textDirection w:val="lrTb"/>
            <w:noWrap w:val="false"/>
          </w:tcPr>
          <w:p>
            <w:pPr>
              <w:jc w:val="left"/>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399"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海州区</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22"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4</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22"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14"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14"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306"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76"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18"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none" w:color="000000" w:sz="4" w:space="0"/>
            </w:tcBorders>
            <w:tcMar>
              <w:left w:w="15" w:type="dxa"/>
              <w:top w:w="15" w:type="dxa"/>
              <w:right w:w="15" w:type="dxa"/>
            </w:tcMar>
            <w:tcW w:w="795"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39"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06" w:type="dxa"/>
            <w:vAlign w:val="center"/>
            <w:textDirection w:val="lrTb"/>
            <w:noWrap w:val="false"/>
          </w:tcPr>
          <w:p>
            <w:pPr>
              <w:jc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 xml:space="preserve">12</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97"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50"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r>
      <w:tr>
        <w:trPr>
          <w:trHeight w:val="312"/>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692" w:type="dxa"/>
            <w:vAlign w:val="center"/>
            <w:textDirection w:val="lrTb"/>
            <w:noWrap w:val="false"/>
          </w:tcPr>
          <w:p>
            <w:pPr>
              <w:jc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399"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连云区</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22"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22"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14"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14" w:type="dxa"/>
            <w:vAlign w:val="center"/>
            <w:textDirection w:val="lrTb"/>
            <w:noWrap w:val="false"/>
          </w:tcPr>
          <w:p>
            <w:pPr>
              <w:jc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306" w:type="dxa"/>
            <w:vAlign w:val="center"/>
            <w:textDirection w:val="lrTb"/>
            <w:noWrap w:val="false"/>
          </w:tcPr>
          <w:p>
            <w:pPr>
              <w:jc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76" w:type="dxa"/>
            <w:vAlign w:val="center"/>
            <w:textDirection w:val="lrTb"/>
            <w:noWrap w:val="false"/>
          </w:tcPr>
          <w:p>
            <w:pPr>
              <w:jc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18"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none" w:color="000000" w:sz="4" w:space="0"/>
            </w:tcBorders>
            <w:tcMar>
              <w:left w:w="15" w:type="dxa"/>
              <w:top w:w="15" w:type="dxa"/>
              <w:right w:w="15" w:type="dxa"/>
            </w:tcMar>
            <w:tcW w:w="795"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39"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06"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rPr>
              <w:suppressLineNumbers w:val="0"/>
            </w:pPr>
            <w:r>
              <w:rPr>
                <w:rFonts w:hint="eastAsia" w:ascii="宋体" w:hAnsi="宋体" w:eastAsia="宋体" w:cs="宋体"/>
                <w:i w:val="0"/>
                <w:color w:val="000000"/>
                <w:sz w:val="24"/>
                <w:szCs w:val="24"/>
                <w:u w:val="none"/>
                <w:lang w:val="en-US" w:eastAsia="zh-CN" w:bidi="ar"/>
              </w:rPr>
              <w:t xml:space="preserve">10</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97"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50"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r>
      <w:tr>
        <w:trPr>
          <w:trHeight w:val="312"/>
        </w:trPr>
        <w:tc>
          <w:tcPr>
            <w:gridSpan w:val="2"/>
            <w:tcBorders>
              <w:top w:val="single" w:color="000000" w:sz="8" w:space="0"/>
              <w:left w:val="single" w:color="000000" w:sz="8" w:space="0"/>
              <w:bottom w:val="single" w:color="000000" w:sz="8" w:space="0"/>
              <w:right w:val="none" w:color="000000" w:sz="4" w:space="0"/>
            </w:tcBorders>
            <w:tcMar>
              <w:left w:w="15" w:type="dxa"/>
              <w:top w:w="15" w:type="dxa"/>
              <w:right w:w="15" w:type="dxa"/>
            </w:tcMar>
            <w:tcW w:w="2091"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rPr>
              <w:suppressLineNumbers w:val="0"/>
            </w:pPr>
            <w:r>
              <w:rPr>
                <w:rFonts w:hint="eastAsia" w:ascii="宋体" w:hAnsi="宋体" w:eastAsia="宋体" w:cs="宋体"/>
                <w:b/>
                <w:i w:val="0"/>
                <w:color w:val="000000"/>
                <w:sz w:val="24"/>
                <w:szCs w:val="24"/>
                <w:u w:val="none"/>
                <w:lang w:val="en-US" w:eastAsia="zh-CN" w:bidi="ar"/>
              </w:rPr>
              <w:t xml:space="preserve">淮安市小计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2" w:type="dxa"/>
            <w:vAlign w:val="center"/>
            <w:textDirection w:val="lrTb"/>
            <w:noWrap/>
          </w:tcPr>
          <w:p>
            <w:pP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2" w:type="dxa"/>
            <w:vAlign w:val="center"/>
            <w:textDirection w:val="lrTb"/>
            <w:noWrap/>
          </w:tcPr>
          <w:p>
            <w:pP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tcMar>
            <w:tcW w:w="814"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rPr>
              <w:suppressLineNumbers w:val="0"/>
            </w:pPr>
            <w:r>
              <w:rPr>
                <w:rFonts w:hint="eastAsia" w:ascii="宋体" w:hAnsi="宋体" w:eastAsia="宋体" w:cs="宋体"/>
                <w:b/>
                <w:i w:val="0"/>
                <w:color w:val="000000"/>
                <w:sz w:val="24"/>
                <w:szCs w:val="24"/>
                <w:u w:val="none"/>
                <w:lang w:val="en-US" w:eastAsia="zh-CN" w:bidi="ar"/>
              </w:rPr>
              <w:t xml:space="preserve">8</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14"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rPr>
              <w:suppressLineNumbers w:val="0"/>
            </w:pPr>
            <w:r>
              <w:rPr>
                <w:rFonts w:hint="eastAsia" w:ascii="宋体" w:hAnsi="宋体" w:eastAsia="宋体" w:cs="宋体"/>
                <w:b/>
                <w:i w:val="0"/>
                <w:color w:val="000000"/>
                <w:sz w:val="24"/>
                <w:szCs w:val="24"/>
                <w:u w:val="none"/>
                <w:lang w:val="en-US" w:eastAsia="zh-CN" w:bidi="ar"/>
              </w:rPr>
              <w:t xml:space="preserve">2</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306"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rPr>
              <w:suppressLineNumbers w:val="0"/>
            </w:pPr>
            <w:r>
              <w:rPr>
                <w:rFonts w:hint="eastAsia" w:ascii="宋体" w:hAnsi="宋体" w:eastAsia="宋体" w:cs="宋体"/>
                <w:b/>
                <w:i w:val="0"/>
                <w:color w:val="000000"/>
                <w:sz w:val="24"/>
                <w:szCs w:val="24"/>
                <w:u w:val="none"/>
                <w:lang w:val="en-US" w:eastAsia="zh-CN" w:bidi="ar"/>
              </w:rPr>
              <w:t xml:space="preserve">25</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76"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rPr>
              <w:suppressLineNumbers w:val="0"/>
            </w:pPr>
            <w:r>
              <w:rPr>
                <w:rFonts w:hint="eastAsia" w:ascii="宋体" w:hAnsi="宋体" w:eastAsia="宋体" w:cs="宋体"/>
                <w:b/>
                <w:i w:val="0"/>
                <w:color w:val="000000"/>
                <w:sz w:val="24"/>
                <w:szCs w:val="24"/>
                <w:u w:val="none"/>
                <w:lang w:val="en-US" w:eastAsia="zh-CN" w:bidi="ar"/>
              </w:rPr>
              <w:t xml:space="preserve">5</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18"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95"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839"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06"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97" w:type="dxa"/>
            <w:vAlign w:val="center"/>
            <w:textDirection w:val="lrTb"/>
            <w:noWrap w:val="false"/>
          </w:tcPr>
          <w:p>
            <w:pPr>
              <w:jc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50"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r>
      <w:tr>
        <w:trPr>
          <w:trHeight w:val="312"/>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692" w:type="dxa"/>
            <w:vAlign w:val="center"/>
            <w:textDirection w:val="lrTb"/>
            <w:noWrap w:val="false"/>
          </w:tcPr>
          <w:p>
            <w:pPr>
              <w:jc w:val="left"/>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399"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淮阴区</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822" w:type="dxa"/>
            <w:vAlign w:val="center"/>
            <w:textDirection w:val="lrTb"/>
            <w:noWrap w:val="false"/>
          </w:tcPr>
          <w:p>
            <w:pPr>
              <w:jc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sz w:val="24"/>
                <w:szCs w:val="24"/>
                <w:u w:val="none"/>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822" w:type="dxa"/>
            <w:vAlign w:val="center"/>
            <w:textDirection w:val="lrTb"/>
            <w:noWrap w:val="false"/>
          </w:tcPr>
          <w:p>
            <w:pPr>
              <w:jc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14"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14"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306"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20</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76"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4</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18"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95"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39" w:type="dxa"/>
            <w:vAlign w:val="center"/>
            <w:textDirection w:val="lrTb"/>
            <w:noWrap w:val="false"/>
          </w:tcPr>
          <w:p>
            <w:pPr>
              <w:jc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06"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97"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50"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r>
      <w:tr>
        <w:trPr>
          <w:trHeight w:val="312"/>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692" w:type="dxa"/>
            <w:vAlign w:val="center"/>
            <w:textDirection w:val="lrTb"/>
            <w:noWrap w:val="false"/>
          </w:tcPr>
          <w:p>
            <w:pPr>
              <w:jc w:val="left"/>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399"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盱眙县</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22"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22"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1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8</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1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2</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306"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5</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76"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18"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95"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39"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06"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97" w:type="dxa"/>
            <w:vAlign w:val="center"/>
            <w:textDirection w:val="lrTb"/>
            <w:noWrap w:val="false"/>
          </w:tcPr>
          <w:p>
            <w:pPr>
              <w:jc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50"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r>
      <w:tr>
        <w:trPr>
          <w:trHeight w:val="312"/>
        </w:trPr>
        <w:tc>
          <w:tcPr>
            <w:gridSpan w:val="2"/>
            <w:tcBorders>
              <w:top w:val="single" w:color="000000" w:sz="8" w:space="0"/>
              <w:left w:val="single" w:color="000000" w:sz="8" w:space="0"/>
              <w:bottom w:val="single" w:color="000000" w:sz="8" w:space="0"/>
              <w:right w:val="single" w:color="000000" w:sz="8" w:space="0"/>
            </w:tcBorders>
            <w:tcMar>
              <w:left w:w="15" w:type="dxa"/>
              <w:top w:w="15" w:type="dxa"/>
              <w:right w:w="15" w:type="dxa"/>
            </w:tcMar>
            <w:tcW w:w="2091"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rPr>
              <w:suppressLineNumbers w:val="0"/>
            </w:pPr>
            <w:r>
              <w:rPr>
                <w:rFonts w:hint="eastAsia" w:ascii="宋体" w:hAnsi="宋体" w:eastAsia="宋体" w:cs="宋体"/>
                <w:b/>
                <w:i w:val="0"/>
                <w:color w:val="000000"/>
                <w:sz w:val="24"/>
                <w:szCs w:val="24"/>
                <w:u w:val="none"/>
                <w:lang w:val="en-US" w:eastAsia="zh-CN" w:bidi="ar"/>
              </w:rPr>
              <w:t xml:space="preserve">盐城市小计</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22"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rPr>
              <w:suppressLineNumbers w:val="0"/>
            </w:pPr>
            <w:r>
              <w:rPr>
                <w:rFonts w:hint="eastAsia" w:ascii="宋体" w:hAnsi="宋体" w:eastAsia="宋体" w:cs="宋体"/>
                <w:b/>
                <w:i w:val="0"/>
                <w:color w:val="000000"/>
                <w:sz w:val="24"/>
                <w:szCs w:val="24"/>
                <w:u w:val="none"/>
                <w:lang w:val="en-US" w:eastAsia="zh-CN" w:bidi="ar"/>
              </w:rPr>
              <w:t xml:space="preserve">16</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22"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rPr>
              <w:suppressLineNumbers w:val="0"/>
            </w:pPr>
            <w:r>
              <w:rPr>
                <w:rFonts w:hint="eastAsia" w:ascii="宋体" w:hAnsi="宋体" w:eastAsia="宋体" w:cs="宋体"/>
                <w:b/>
                <w:i w:val="0"/>
                <w:color w:val="000000"/>
                <w:sz w:val="24"/>
                <w:szCs w:val="24"/>
                <w:u w:val="none"/>
                <w:lang w:val="en-US" w:eastAsia="zh-CN" w:bidi="ar"/>
              </w:rPr>
              <w:t xml:space="preserve">4</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14"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14"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306"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rPr>
              <w:suppressLineNumbers w:val="0"/>
            </w:pPr>
            <w:r>
              <w:rPr>
                <w:rFonts w:hint="eastAsia" w:ascii="宋体" w:hAnsi="宋体" w:eastAsia="宋体" w:cs="宋体"/>
                <w:b/>
                <w:i w:val="0"/>
                <w:color w:val="000000"/>
                <w:sz w:val="24"/>
                <w:szCs w:val="24"/>
                <w:u w:val="none"/>
                <w:lang w:val="en-US" w:eastAsia="zh-CN" w:bidi="ar"/>
              </w:rPr>
              <w:t xml:space="preserve">84</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76"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rPr>
              <w:suppressLineNumbers w:val="0"/>
            </w:pPr>
            <w:r>
              <w:rPr>
                <w:rFonts w:hint="eastAsia" w:ascii="宋体" w:hAnsi="宋体" w:eastAsia="宋体" w:cs="宋体"/>
                <w:b/>
                <w:i w:val="0"/>
                <w:color w:val="000000"/>
                <w:sz w:val="24"/>
                <w:szCs w:val="24"/>
                <w:u w:val="none"/>
                <w:lang w:val="en-US" w:eastAsia="zh-CN" w:bidi="ar"/>
              </w:rPr>
              <w:t xml:space="preserve">12</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18"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95"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39"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06"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97"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50" w:type="dxa"/>
            <w:vAlign w:val="center"/>
            <w:textDirection w:val="lrTb"/>
            <w:noWrap w:val="false"/>
          </w:tcPr>
          <w:p>
            <w:pPr>
              <w:jc w:val="center"/>
              <w:rPr>
                <w:rFonts w:hint="eastAsia" w:ascii="宋体" w:hAnsi="宋体" w:eastAsia="宋体" w:cs="宋体"/>
                <w:i w:val="0"/>
                <w:color w:val="000000"/>
                <w:sz w:val="24"/>
                <w:szCs w:val="24"/>
                <w:u w:val="none"/>
                <w:lang w:val="en-US" w:eastAsia="zh-CN"/>
              </w:rPr>
            </w:pPr>
            <w:r>
              <w:rPr>
                <w:rFonts w:hint="eastAsia" w:ascii="宋体" w:hAnsi="宋体" w:eastAsia="宋体" w:cs="宋体"/>
                <w:b/>
                <w:bCs/>
                <w:i w:val="0"/>
                <w:color w:val="000000"/>
                <w:sz w:val="24"/>
                <w:szCs w:val="24"/>
                <w:u w:val="none"/>
                <w:lang w:val="en-US" w:eastAsia="zh-CN"/>
              </w:rPr>
              <w:t xml:space="preserve">7</w:t>
            </w:r>
            <w:r/>
          </w:p>
        </w:tc>
      </w:tr>
      <w:tr>
        <w:trPr>
          <w:trHeight w:val="29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692" w:type="dxa"/>
            <w:vAlign w:val="center"/>
            <w:textDirection w:val="lrTb"/>
            <w:noWrap w:val="false"/>
          </w:tcPr>
          <w:p>
            <w:pPr>
              <w:jc w:val="left"/>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399"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射阳县</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22"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4</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22"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14"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14"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306"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76"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18"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95"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39"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06"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97"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50"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r>
      <w:tr>
        <w:trPr>
          <w:trHeight w:val="312"/>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692" w:type="dxa"/>
            <w:vAlign w:val="center"/>
            <w:textDirection w:val="lrTb"/>
            <w:noWrap w:val="false"/>
          </w:tcPr>
          <w:p>
            <w:pPr>
              <w:jc w:val="left"/>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399"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响水县</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22"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22"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14"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14"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306"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80</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76"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10</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18"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95"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39"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 </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06"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97"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50"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r>
      <w:tr>
        <w:trPr>
          <w:trHeight w:val="312"/>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692" w:type="dxa"/>
            <w:vAlign w:val="center"/>
            <w:textDirection w:val="lrTb"/>
            <w:noWrap w:val="false"/>
          </w:tcPr>
          <w:p>
            <w:pPr>
              <w:jc w:val="left"/>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399"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滨海县</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22"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4</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22"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14"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14"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306"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76"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18"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95"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39"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06"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97"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50"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r>
      <w:tr>
        <w:trPr>
          <w:trHeight w:val="312"/>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692" w:type="dxa"/>
            <w:vAlign w:val="center"/>
            <w:textDirection w:val="lrTb"/>
            <w:noWrap w:val="false"/>
          </w:tcPr>
          <w:p>
            <w:pPr>
              <w:jc w:val="left"/>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399"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东台市</w:t>
            </w:r>
            <w:r/>
          </w:p>
        </w:tc>
        <w:tc>
          <w:tcPr>
            <w:tcBorders>
              <w:top w:val="single" w:color="000000" w:sz="8" w:space="0"/>
              <w:left w:val="single" w:color="000000" w:sz="8" w:space="0"/>
              <w:bottom w:val="single" w:color="000000" w:sz="8" w:space="0"/>
              <w:right w:val="single" w:color="auto" w:sz="4" w:space="0"/>
            </w:tcBorders>
            <w:tcMar>
              <w:left w:w="15" w:type="dxa"/>
              <w:top w:w="15" w:type="dxa"/>
              <w:right w:w="15" w:type="dxa"/>
            </w:tcMar>
            <w:tcW w:w="822"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8</w:t>
            </w:r>
            <w:r/>
          </w:p>
        </w:tc>
        <w:tc>
          <w:tcPr>
            <w:tcBorders>
              <w:top w:val="single" w:color="000000" w:sz="8" w:space="0"/>
              <w:left w:val="single" w:color="auto" w:sz="4" w:space="0"/>
              <w:bottom w:val="single" w:color="000000" w:sz="8" w:space="0"/>
              <w:right w:val="single" w:color="000000" w:sz="8" w:space="0"/>
            </w:tcBorders>
            <w:tcMar>
              <w:left w:w="15" w:type="dxa"/>
              <w:top w:w="15" w:type="dxa"/>
              <w:right w:w="15" w:type="dxa"/>
            </w:tcMar>
            <w:tcW w:w="822"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2</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14"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14"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306"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4</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76"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2</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18"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95"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39"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06"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97"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50"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r>
      <w:tr>
        <w:trPr>
          <w:trHeight w:val="312"/>
        </w:trPr>
        <w:tc>
          <w:tcPr>
            <w:tcBorders>
              <w:top w:val="single" w:color="000000" w:sz="8" w:space="0"/>
              <w:left w:val="single" w:color="000000" w:sz="8" w:space="0"/>
              <w:bottom w:val="single" w:color="auto" w:sz="4" w:space="0"/>
              <w:right w:val="single" w:color="000000" w:sz="8" w:space="0"/>
            </w:tcBorders>
            <w:tcMar>
              <w:left w:w="15" w:type="dxa"/>
              <w:top w:w="15" w:type="dxa"/>
              <w:right w:w="15" w:type="dxa"/>
            </w:tcMar>
            <w:tcW w:w="692"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lang w:val="en-US" w:eastAsia="zh-CN" w:bidi="ar"/>
              </w:rPr>
              <w:suppressLineNumbers w:val="0"/>
            </w:pPr>
            <w:r>
              <w:rPr>
                <w:rFonts w:hint="eastAsia" w:ascii="宋体" w:hAnsi="宋体" w:eastAsia="宋体" w:cs="宋体"/>
                <w:b/>
                <w:i w:val="0"/>
                <w:color w:val="000000"/>
                <w:sz w:val="24"/>
                <w:szCs w:val="24"/>
                <w:u w:val="none"/>
                <w:lang w:val="en-US" w:eastAsia="zh-CN" w:bidi="ar"/>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399" w:type="dxa"/>
            <w:vAlign w:val="center"/>
            <w:textDirection w:val="lrTb"/>
            <w:noWrap w:val="false"/>
          </w:tcPr>
          <w:p>
            <w:pPr>
              <w:jc w:val="both"/>
              <w:keepLines w:val="0"/>
              <w:keepNext w:val="0"/>
              <w:widowControl/>
              <w:rPr>
                <w:rFonts w:hint="eastAsia" w:ascii="宋体" w:hAnsi="宋体" w:eastAsia="宋体" w:cs="宋体"/>
                <w:b/>
                <w:i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t xml:space="preserve">大丰区</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822" w:type="dxa"/>
            <w:vAlign w:val="center"/>
            <w:textDirection w:val="lrTb"/>
            <w:noWrap/>
          </w:tcPr>
          <w:p>
            <w:pP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none" w:color="000000" w:sz="4" w:space="0"/>
              <w:left w:val="single" w:color="auto" w:sz="4" w:space="0"/>
              <w:bottom w:val="single" w:color="auto" w:sz="4" w:space="0"/>
              <w:right w:val="none" w:color="000000" w:sz="4" w:space="0"/>
            </w:tcBorders>
            <w:tcMar>
              <w:left w:w="15" w:type="dxa"/>
              <w:top w:w="15" w:type="dxa"/>
              <w:right w:w="15" w:type="dxa"/>
            </w:tcMar>
            <w:tcW w:w="822" w:type="dxa"/>
            <w:vAlign w:val="center"/>
            <w:textDirection w:val="lrTb"/>
            <w:noWrap/>
          </w:tcPr>
          <w:p>
            <w:pP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14"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14"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306"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lang w:val="en-US" w:eastAsia="zh-CN" w:bidi="ar"/>
              </w:rPr>
              <w:suppressLineNumbers w:val="0"/>
            </w:pPr>
            <w:r>
              <w:rPr>
                <w:rFonts w:hint="eastAsia" w:ascii="宋体" w:hAnsi="宋体" w:eastAsia="宋体" w:cs="宋体"/>
                <w:b/>
                <w:i w:val="0"/>
                <w:color w:val="000000"/>
                <w:sz w:val="24"/>
                <w:szCs w:val="24"/>
                <w:u w:val="none"/>
                <w:lang w:val="en-US" w:eastAsia="zh-CN" w:bidi="ar"/>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76"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lang w:val="en-US" w:eastAsia="zh-CN" w:bidi="ar"/>
              </w:rPr>
              <w:suppressLineNumbers w:val="0"/>
            </w:pPr>
            <w:r>
              <w:rPr>
                <w:rFonts w:hint="eastAsia" w:ascii="宋体" w:hAnsi="宋体" w:eastAsia="宋体" w:cs="宋体"/>
                <w:b/>
                <w:i w:val="0"/>
                <w:color w:val="000000"/>
                <w:sz w:val="24"/>
                <w:szCs w:val="24"/>
                <w:u w:val="none"/>
                <w:lang w:val="en-US" w:eastAsia="zh-CN" w:bidi="ar"/>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18"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95"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39"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06"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97"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50" w:type="dxa"/>
            <w:vAlign w:val="center"/>
            <w:textDirection w:val="lrTb"/>
            <w:noWrap w:val="false"/>
          </w:tcPr>
          <w:p>
            <w:pPr>
              <w:jc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 xml:space="preserve">7</w:t>
            </w:r>
            <w:r/>
          </w:p>
        </w:tc>
      </w:tr>
      <w:tr>
        <w:trPr>
          <w:trHeight w:val="312"/>
        </w:trPr>
        <w:tc>
          <w:tcPr>
            <w:gridSpan w:val="2"/>
            <w:tcBorders>
              <w:top w:val="single" w:color="000000" w:sz="8" w:space="0"/>
              <w:left w:val="single" w:color="000000" w:sz="8" w:space="0"/>
              <w:bottom w:val="single" w:color="auto" w:sz="4" w:space="0"/>
              <w:right w:val="single" w:color="000000" w:sz="8" w:space="0"/>
            </w:tcBorders>
            <w:tcMar>
              <w:left w:w="15" w:type="dxa"/>
              <w:top w:w="15" w:type="dxa"/>
              <w:right w:w="15" w:type="dxa"/>
            </w:tcMar>
            <w:tcW w:w="2091"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rPr>
              <w:suppressLineNumbers w:val="0"/>
            </w:pPr>
            <w:r>
              <w:rPr>
                <w:rFonts w:hint="eastAsia" w:ascii="宋体" w:hAnsi="宋体" w:eastAsia="宋体" w:cs="宋体"/>
                <w:b/>
                <w:i w:val="0"/>
                <w:color w:val="000000"/>
                <w:sz w:val="24"/>
                <w:szCs w:val="24"/>
                <w:u w:val="none"/>
                <w:lang w:val="en-US" w:eastAsia="zh-CN" w:bidi="ar"/>
              </w:rPr>
              <w:t xml:space="preserve">扬州市小计</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822" w:type="dxa"/>
            <w:vAlign w:val="center"/>
            <w:textDirection w:val="lrTb"/>
            <w:noWrap/>
          </w:tcPr>
          <w:p>
            <w:pP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none" w:color="000000" w:sz="4" w:space="0"/>
              <w:left w:val="single" w:color="auto" w:sz="4" w:space="0"/>
              <w:bottom w:val="single" w:color="auto" w:sz="4" w:space="0"/>
              <w:right w:val="none" w:color="000000" w:sz="4" w:space="0"/>
            </w:tcBorders>
            <w:tcMar>
              <w:left w:w="15" w:type="dxa"/>
              <w:top w:w="15" w:type="dxa"/>
              <w:right w:w="15" w:type="dxa"/>
            </w:tcMar>
            <w:tcW w:w="822" w:type="dxa"/>
            <w:vAlign w:val="center"/>
            <w:textDirection w:val="lrTb"/>
            <w:noWrap/>
          </w:tcPr>
          <w:p>
            <w:pP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14"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14"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306"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rPr>
              <w:suppressLineNumbers w:val="0"/>
            </w:pPr>
            <w:r>
              <w:rPr>
                <w:rFonts w:hint="eastAsia" w:ascii="宋体" w:hAnsi="宋体" w:eastAsia="宋体" w:cs="宋体"/>
                <w:b/>
                <w:i w:val="0"/>
                <w:color w:val="000000"/>
                <w:sz w:val="24"/>
                <w:szCs w:val="24"/>
                <w:u w:val="none"/>
                <w:lang w:val="en-US" w:eastAsia="zh-CN" w:bidi="ar"/>
              </w:rPr>
              <w:t xml:space="preserve">2</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76"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rPr>
              <w:suppressLineNumbers w:val="0"/>
            </w:pPr>
            <w:r>
              <w:rPr>
                <w:rFonts w:hint="eastAsia" w:ascii="宋体" w:hAnsi="宋体" w:eastAsia="宋体" w:cs="宋体"/>
                <w:b/>
                <w:i w:val="0"/>
                <w:color w:val="000000"/>
                <w:sz w:val="24"/>
                <w:szCs w:val="24"/>
                <w:u w:val="none"/>
                <w:lang w:val="en-US" w:eastAsia="zh-CN" w:bidi="ar"/>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18"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95"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39"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06"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97"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50"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r>
      <w:tr>
        <w:trPr>
          <w:trHeight w:val="312"/>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692" w:type="dxa"/>
            <w:vAlign w:val="center"/>
            <w:textDirection w:val="lrTb"/>
            <w:noWrap w:val="false"/>
          </w:tcPr>
          <w:p>
            <w:pPr>
              <w:jc w:val="left"/>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399"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高邮市</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22"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22"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14"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14"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306"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2</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76"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18"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95"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39"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06"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97"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50"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r>
      <w:tr>
        <w:trPr>
          <w:trHeight w:val="295"/>
        </w:trPr>
        <w:tc>
          <w:tcPr>
            <w:gridSpan w:val="2"/>
            <w:tcBorders>
              <w:top w:val="single" w:color="000000" w:sz="8" w:space="0"/>
              <w:left w:val="single" w:color="000000" w:sz="8" w:space="0"/>
              <w:bottom w:val="single" w:color="000000" w:sz="8" w:space="0"/>
              <w:right w:val="single" w:color="000000" w:sz="8" w:space="0"/>
            </w:tcBorders>
            <w:tcMar>
              <w:left w:w="15" w:type="dxa"/>
              <w:top w:w="15" w:type="dxa"/>
              <w:right w:w="15" w:type="dxa"/>
            </w:tcMar>
            <w:tcW w:w="2091"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rPr>
              <w:suppressLineNumbers w:val="0"/>
            </w:pPr>
            <w:r>
              <w:rPr>
                <w:rFonts w:hint="eastAsia" w:ascii="宋体" w:hAnsi="宋体" w:eastAsia="宋体" w:cs="宋体"/>
                <w:b/>
                <w:i w:val="0"/>
                <w:color w:val="000000"/>
                <w:sz w:val="24"/>
                <w:szCs w:val="24"/>
                <w:u w:val="none"/>
                <w:lang w:val="en-US" w:eastAsia="zh-CN" w:bidi="ar"/>
              </w:rPr>
              <w:t xml:space="preserve">镇江市小计</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22"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22"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14"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rPr>
              <w:suppressLineNumbers w:val="0"/>
            </w:pPr>
            <w:r>
              <w:rPr>
                <w:rFonts w:hint="eastAsia" w:ascii="宋体" w:hAnsi="宋体" w:eastAsia="宋体" w:cs="宋体"/>
                <w:b/>
                <w:i w:val="0"/>
                <w:color w:val="000000"/>
                <w:sz w:val="24"/>
                <w:szCs w:val="24"/>
                <w:u w:val="none"/>
                <w:lang w:val="en-US" w:eastAsia="zh-CN" w:bidi="ar"/>
              </w:rPr>
              <w:t xml:space="preserve">15</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14"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rPr>
              <w:suppressLineNumbers w:val="0"/>
            </w:pPr>
            <w:r>
              <w:rPr>
                <w:rFonts w:hint="eastAsia" w:ascii="宋体" w:hAnsi="宋体" w:eastAsia="宋体" w:cs="宋体"/>
                <w:b/>
                <w:i w:val="0"/>
                <w:color w:val="000000"/>
                <w:sz w:val="24"/>
                <w:szCs w:val="24"/>
                <w:u w:val="none"/>
                <w:lang w:val="en-US" w:eastAsia="zh-CN" w:bidi="ar"/>
              </w:rPr>
              <w:t xml:space="preserve">3</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306"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rPr>
              <w:suppressLineNumbers w:val="0"/>
            </w:pPr>
            <w:r>
              <w:rPr>
                <w:rFonts w:hint="eastAsia" w:ascii="宋体" w:hAnsi="宋体" w:eastAsia="宋体" w:cs="宋体"/>
                <w:b/>
                <w:i w:val="0"/>
                <w:color w:val="000000"/>
                <w:sz w:val="24"/>
                <w:szCs w:val="24"/>
                <w:u w:val="none"/>
                <w:lang w:val="en-US" w:eastAsia="zh-CN" w:bidi="ar"/>
              </w:rPr>
              <w:t xml:space="preserve">4</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76"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rPr>
              <w:suppressLineNumbers w:val="0"/>
            </w:pPr>
            <w:r>
              <w:rPr>
                <w:rFonts w:hint="eastAsia" w:ascii="宋体" w:hAnsi="宋体" w:eastAsia="宋体" w:cs="宋体"/>
                <w:b/>
                <w:i w:val="0"/>
                <w:color w:val="000000"/>
                <w:sz w:val="24"/>
                <w:szCs w:val="24"/>
                <w:u w:val="none"/>
                <w:lang w:val="en-US" w:eastAsia="zh-CN" w:bidi="ar"/>
              </w:rPr>
              <w:t xml:space="preserve">2</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18"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rPr>
              <w:suppressLineNumbers w:val="0"/>
            </w:pPr>
            <w:r>
              <w:rPr>
                <w:rFonts w:hint="eastAsia" w:ascii="宋体" w:hAnsi="宋体" w:eastAsia="宋体" w:cs="宋体"/>
                <w:b/>
                <w:i w:val="0"/>
                <w:color w:val="000000"/>
                <w:sz w:val="24"/>
                <w:szCs w:val="24"/>
                <w:u w:val="none"/>
                <w:lang w:val="en-US" w:eastAsia="zh-CN" w:bidi="ar"/>
              </w:rPr>
              <w:t xml:space="preserve">4</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95"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rPr>
              <w:suppressLineNumbers w:val="0"/>
            </w:pPr>
            <w:r>
              <w:rPr>
                <w:rFonts w:hint="eastAsia" w:ascii="宋体" w:hAnsi="宋体" w:eastAsia="宋体" w:cs="宋体"/>
                <w:b/>
                <w:i w:val="0"/>
                <w:color w:val="000000"/>
                <w:sz w:val="24"/>
                <w:szCs w:val="24"/>
                <w:u w:val="none"/>
                <w:lang w:val="en-US" w:eastAsia="zh-CN" w:bidi="ar"/>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39"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b/>
                <w:i w:val="0"/>
                <w:color w:val="000000"/>
                <w:sz w:val="24"/>
                <w:szCs w:val="24"/>
                <w:u w:val="none"/>
                <w:lang w:val="en-US" w:eastAsia="zh-CN" w:bidi="ar"/>
              </w:rPr>
              <w:t xml:space="preserve">2</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b/>
                <w:i w:val="0"/>
                <w:color w:val="000000"/>
                <w:sz w:val="24"/>
                <w:szCs w:val="24"/>
                <w:u w:val="none"/>
                <w:lang w:val="en-US" w:eastAsia="zh-CN" w:bidi="ar"/>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06"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b/>
                <w:bCs/>
                <w:i w:val="0"/>
                <w:color w:val="000000"/>
                <w:sz w:val="24"/>
                <w:szCs w:val="24"/>
                <w:u w:val="none"/>
                <w:lang w:val="en-US" w:eastAsia="zh-CN"/>
              </w:rPr>
              <w:t xml:space="preserve">3</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97"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50"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r>
      <w:tr>
        <w:trPr>
          <w:trHeight w:val="312"/>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692" w:type="dxa"/>
            <w:vAlign w:val="center"/>
            <w:textDirection w:val="lrTb"/>
            <w:noWrap w:val="false"/>
          </w:tcPr>
          <w:p>
            <w:pPr>
              <w:jc w:val="left"/>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399"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丹徒区</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22" w:type="dxa"/>
            <w:vAlign w:val="center"/>
            <w:textDirection w:val="lrTb"/>
            <w:noWrap w:val="false"/>
          </w:tcPr>
          <w:p>
            <w:pPr>
              <w:jc w:val="center"/>
              <w:rPr>
                <w:rFonts w:hint="eastAsia" w:ascii="宋体" w:hAnsi="宋体" w:eastAsia="宋体" w:cs="宋体"/>
                <w:b/>
                <w:i w:val="0"/>
                <w:color w:val="ffff00"/>
                <w:sz w:val="24"/>
                <w:szCs w:val="24"/>
                <w:u w:val="none"/>
              </w:rPr>
            </w:pPr>
            <w:r>
              <w:rPr>
                <w:rFonts w:hint="eastAsia" w:ascii="宋体" w:hAnsi="宋体" w:eastAsia="宋体" w:cs="宋体"/>
                <w:b/>
                <w:i w:val="0"/>
                <w:color w:val="ffff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22" w:type="dxa"/>
            <w:vAlign w:val="center"/>
            <w:textDirection w:val="lrTb"/>
            <w:noWrap w:val="false"/>
          </w:tcPr>
          <w:p>
            <w:pPr>
              <w:jc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14"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14"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306"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76"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18"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bidi="ar-SA"/>
              </w:rPr>
              <w:suppressLineNumbers w:val="0"/>
            </w:pPr>
            <w:r>
              <w:rPr>
                <w:rFonts w:hint="eastAsia" w:ascii="宋体" w:hAnsi="宋体" w:eastAsia="宋体" w:cs="宋体"/>
                <w:i w:val="0"/>
                <w:color w:val="000000"/>
                <w:sz w:val="24"/>
                <w:szCs w:val="24"/>
                <w:u w:val="none"/>
                <w:lang w:val="en-US" w:eastAsia="zh-CN" w:bidi="ar"/>
              </w:rPr>
              <w:t xml:space="preserve">4</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95"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bidi="ar-SA"/>
              </w:rPr>
              <w:suppressLineNumbers w:val="0"/>
            </w:pPr>
            <w:r>
              <w:rPr>
                <w:rFonts w:hint="eastAsia" w:ascii="宋体" w:hAnsi="宋体" w:eastAsia="宋体" w:cs="宋体"/>
                <w:i w:val="0"/>
                <w:color w:val="000000"/>
                <w:sz w:val="24"/>
                <w:szCs w:val="24"/>
                <w:u w:val="none"/>
                <w:lang w:val="en-US" w:eastAsia="zh-CN" w:bidi="ar"/>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39"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rPr>
              <w:suppressLineNumbers w:val="0"/>
            </w:pPr>
            <w:r>
              <w:rPr>
                <w:rFonts w:hint="eastAsia" w:ascii="宋体" w:hAnsi="宋体" w:eastAsia="宋体" w:cs="宋体"/>
                <w:b/>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rPr>
              <w:suppressLineNumbers w:val="0"/>
            </w:pPr>
            <w:r>
              <w:rPr>
                <w:rFonts w:hint="eastAsia" w:ascii="宋体" w:hAnsi="宋体" w:eastAsia="宋体" w:cs="宋体"/>
                <w:b/>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06" w:type="dxa"/>
            <w:vAlign w:val="center"/>
            <w:textDirection w:val="lrTb"/>
            <w:noWrap w:val="false"/>
          </w:tcPr>
          <w:p>
            <w:pPr>
              <w:jc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97"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50"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r>
      <w:tr>
        <w:trPr>
          <w:trHeight w:val="312"/>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69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399"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句容市</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22"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22"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1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15</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1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3</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306"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4</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76"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2</w:t>
            </w:r>
            <w:r/>
          </w:p>
        </w:tc>
        <w:tc>
          <w:tcPr>
            <w:tcBorders>
              <w:top w:val="none" w:color="000000" w:sz="4" w:space="0"/>
              <w:left w:val="none" w:color="000000" w:sz="4" w:space="0"/>
              <w:bottom w:val="none" w:color="000000" w:sz="4" w:space="0"/>
              <w:right w:val="single" w:color="auto" w:sz="4" w:space="0"/>
            </w:tcBorders>
            <w:tcMar>
              <w:left w:w="15" w:type="dxa"/>
              <w:top w:w="15" w:type="dxa"/>
              <w:right w:w="15" w:type="dxa"/>
            </w:tcMar>
            <w:tcW w:w="918" w:type="dxa"/>
            <w:vAlign w:val="center"/>
            <w:textDirection w:val="lrTb"/>
            <w:noWrap/>
          </w:tcPr>
          <w:p>
            <w:pP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none" w:color="000000" w:sz="4" w:space="0"/>
              <w:left w:val="single" w:color="auto" w:sz="4" w:space="0"/>
              <w:bottom w:val="none" w:color="000000" w:sz="4" w:space="0"/>
              <w:right w:val="none" w:color="000000" w:sz="4" w:space="0"/>
            </w:tcBorders>
            <w:tcMar>
              <w:left w:w="15" w:type="dxa"/>
              <w:top w:w="15" w:type="dxa"/>
              <w:right w:w="15" w:type="dxa"/>
            </w:tcMar>
            <w:tcW w:w="795" w:type="dxa"/>
            <w:vAlign w:val="center"/>
            <w:textDirection w:val="lrTb"/>
            <w:noWrap/>
          </w:tcPr>
          <w:p>
            <w:pP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39"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lang w:val="en-US" w:eastAsia="zh-CN" w:bidi="ar"/>
              </w:rPr>
              <w:t xml:space="preserve">2</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lang w:val="en-US" w:eastAsia="zh-CN" w:bidi="ar"/>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06" w:type="dxa"/>
            <w:vAlign w:val="center"/>
            <w:textDirection w:val="lrTb"/>
            <w:noWrap w:val="false"/>
          </w:tcPr>
          <w:p>
            <w:pPr>
              <w:jc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 xml:space="preserve">3</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97"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50"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r>
      <w:tr>
        <w:trPr>
          <w:trHeight w:val="312"/>
        </w:trPr>
        <w:tc>
          <w:tcPr>
            <w:gridSpan w:val="2"/>
            <w:tcBorders>
              <w:top w:val="single" w:color="000000" w:sz="8" w:space="0"/>
              <w:left w:val="single" w:color="000000" w:sz="8" w:space="0"/>
              <w:bottom w:val="single" w:color="000000" w:sz="8" w:space="0"/>
              <w:right w:val="single" w:color="000000" w:sz="8" w:space="0"/>
            </w:tcBorders>
            <w:tcMar>
              <w:left w:w="15" w:type="dxa"/>
              <w:top w:w="15" w:type="dxa"/>
              <w:right w:w="15" w:type="dxa"/>
            </w:tcMar>
            <w:tcW w:w="2091"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rPr>
              <w:suppressLineNumbers w:val="0"/>
            </w:pPr>
            <w:r>
              <w:rPr>
                <w:rFonts w:hint="eastAsia" w:ascii="宋体" w:hAnsi="宋体" w:eastAsia="宋体" w:cs="宋体"/>
                <w:b/>
                <w:i w:val="0"/>
                <w:color w:val="000000"/>
                <w:sz w:val="24"/>
                <w:szCs w:val="24"/>
                <w:u w:val="none"/>
                <w:lang w:val="en-US" w:eastAsia="zh-CN" w:bidi="ar"/>
              </w:rPr>
              <w:t xml:space="preserve">泰州市小计</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22"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rPr>
              <w:suppressLineNumbers w:val="0"/>
            </w:pPr>
            <w:r>
              <w:rPr>
                <w:rFonts w:hint="eastAsia" w:ascii="宋体" w:hAnsi="宋体" w:eastAsia="宋体" w:cs="宋体"/>
                <w:b/>
                <w:i w:val="0"/>
                <w:color w:val="000000"/>
                <w:sz w:val="24"/>
                <w:szCs w:val="24"/>
                <w:u w:val="none"/>
                <w:lang w:val="en-US" w:eastAsia="zh-CN" w:bidi="ar"/>
              </w:rPr>
              <w:t xml:space="preserve">48</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22"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rPr>
              <w:suppressLineNumbers w:val="0"/>
            </w:pPr>
            <w:r>
              <w:rPr>
                <w:rFonts w:hint="eastAsia" w:ascii="宋体" w:hAnsi="宋体" w:eastAsia="宋体" w:cs="宋体"/>
                <w:b/>
                <w:i w:val="0"/>
                <w:color w:val="000000"/>
                <w:sz w:val="24"/>
                <w:szCs w:val="24"/>
                <w:u w:val="none"/>
                <w:lang w:val="en-US" w:eastAsia="zh-CN" w:bidi="ar"/>
              </w:rPr>
              <w:t xml:space="preserve">13</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14"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14"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306"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rPr>
              <w:suppressLineNumbers w:val="0"/>
            </w:pPr>
            <w:r>
              <w:rPr>
                <w:rFonts w:hint="eastAsia" w:ascii="宋体" w:hAnsi="宋体" w:eastAsia="宋体" w:cs="宋体"/>
                <w:b/>
                <w:i w:val="0"/>
                <w:color w:val="000000"/>
                <w:sz w:val="24"/>
                <w:szCs w:val="24"/>
                <w:u w:val="none"/>
                <w:lang w:val="en-US" w:eastAsia="zh-CN" w:bidi="ar"/>
              </w:rPr>
              <w:t xml:space="preserve">26</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76"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rPr>
              <w:suppressLineNumbers w:val="0"/>
            </w:pPr>
            <w:r>
              <w:rPr>
                <w:rFonts w:hint="eastAsia" w:ascii="宋体" w:hAnsi="宋体" w:eastAsia="宋体" w:cs="宋体"/>
                <w:b/>
                <w:i w:val="0"/>
                <w:color w:val="000000"/>
                <w:sz w:val="24"/>
                <w:szCs w:val="24"/>
                <w:u w:val="none"/>
                <w:lang w:val="en-US" w:eastAsia="zh-CN" w:bidi="ar"/>
              </w:rPr>
              <w:t xml:space="preserve">5</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18"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95"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3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06"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97"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50"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r>
      <w:tr>
        <w:trPr>
          <w:trHeight w:val="312"/>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692" w:type="dxa"/>
            <w:vAlign w:val="center"/>
            <w:textDirection w:val="lrTb"/>
            <w:noWrap w:val="false"/>
          </w:tcPr>
          <w:p>
            <w:pPr>
              <w:jc w:val="left"/>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399"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海陵区</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22"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2</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22"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14"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14"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306"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13</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76"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18"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95"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39" w:type="dxa"/>
            <w:vAlign w:val="center"/>
            <w:textDirection w:val="lrTb"/>
            <w:noWrap w:val="false"/>
          </w:tcPr>
          <w:p>
            <w:pPr>
              <w:jc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06"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97"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50"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r>
      <w:tr>
        <w:trPr>
          <w:trHeight w:val="312"/>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692" w:type="dxa"/>
            <w:vAlign w:val="center"/>
            <w:textDirection w:val="lrTb"/>
            <w:noWrap w:val="false"/>
          </w:tcPr>
          <w:p>
            <w:pPr>
              <w:jc w:val="left"/>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399"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高港区</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22"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8</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22"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2</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14"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14"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306"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76"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18"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95"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39"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06"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97"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50"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r>
      <w:tr>
        <w:trPr>
          <w:trHeight w:val="283"/>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692" w:type="dxa"/>
            <w:vAlign w:val="center"/>
            <w:textDirection w:val="lrTb"/>
            <w:noWrap w:val="false"/>
          </w:tcPr>
          <w:p>
            <w:pPr>
              <w:jc w:val="left"/>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399"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姜堰区</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22"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8</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22"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2</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14"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14"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306"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2</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76"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18"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95"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39"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06"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97"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50"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r>
      <w:tr>
        <w:trPr>
          <w:trHeight w:val="312"/>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692" w:type="dxa"/>
            <w:vAlign w:val="center"/>
            <w:textDirection w:val="lrTb"/>
            <w:noWrap w:val="false"/>
          </w:tcPr>
          <w:p>
            <w:pPr>
              <w:jc w:val="left"/>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399"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泰兴市</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22"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24</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22"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6</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14"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14"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306"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76"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18"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95"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39"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06"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97"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50"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r>
      <w:tr>
        <w:trPr>
          <w:trHeight w:val="312"/>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692" w:type="dxa"/>
            <w:vAlign w:val="center"/>
            <w:textDirection w:val="lrTb"/>
            <w:noWrap w:val="false"/>
          </w:tcPr>
          <w:p>
            <w:pPr>
              <w:jc w:val="left"/>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399"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兴化市</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22"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2</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22"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14"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14"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306"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10</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76"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2</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18"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95"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39"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06"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97"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50"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r>
      <w:tr>
        <w:trPr>
          <w:trHeight w:val="312"/>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692" w:type="dxa"/>
            <w:vAlign w:val="center"/>
            <w:textDirection w:val="lrTb"/>
            <w:noWrap w:val="false"/>
          </w:tcPr>
          <w:p>
            <w:pPr>
              <w:jc w:val="left"/>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399"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靖江市</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22"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4</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22"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14"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14"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306"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76"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18"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95"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39"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06"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97"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50"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r>
      <w:tr>
        <w:trPr>
          <w:trHeight w:val="312"/>
        </w:trPr>
        <w:tc>
          <w:tcPr>
            <w:gridSpan w:val="2"/>
            <w:tcBorders>
              <w:top w:val="single" w:color="000000" w:sz="8" w:space="0"/>
              <w:left w:val="single" w:color="000000" w:sz="8" w:space="0"/>
              <w:bottom w:val="single" w:color="000000" w:sz="8" w:space="0"/>
              <w:right w:val="single" w:color="000000" w:sz="8" w:space="0"/>
            </w:tcBorders>
            <w:tcMar>
              <w:left w:w="15" w:type="dxa"/>
              <w:top w:w="15" w:type="dxa"/>
              <w:right w:w="15" w:type="dxa"/>
            </w:tcMar>
            <w:tcW w:w="2091"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rPr>
              <w:suppressLineNumbers w:val="0"/>
            </w:pPr>
            <w:r>
              <w:rPr>
                <w:rFonts w:hint="eastAsia" w:ascii="宋体" w:hAnsi="宋体" w:eastAsia="宋体" w:cs="宋体"/>
                <w:b/>
                <w:i w:val="0"/>
                <w:color w:val="000000"/>
                <w:sz w:val="24"/>
                <w:szCs w:val="24"/>
                <w:u w:val="none"/>
                <w:lang w:val="en-US" w:eastAsia="zh-CN" w:bidi="ar"/>
              </w:rPr>
              <w:t xml:space="preserve">宿迁市小计</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22"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22"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14"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rPr>
              <w:suppressLineNumbers w:val="0"/>
            </w:pPr>
            <w:r>
              <w:rPr>
                <w:rFonts w:hint="eastAsia" w:ascii="宋体" w:hAnsi="宋体" w:eastAsia="宋体" w:cs="宋体"/>
                <w:b/>
                <w:i w:val="0"/>
                <w:color w:val="000000"/>
                <w:sz w:val="24"/>
                <w:szCs w:val="24"/>
                <w:u w:val="none"/>
                <w:lang w:val="en-US" w:eastAsia="zh-CN" w:bidi="ar"/>
              </w:rPr>
              <w:t xml:space="preserve">8</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14"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rPr>
              <w:suppressLineNumbers w:val="0"/>
            </w:pPr>
            <w:r>
              <w:rPr>
                <w:rFonts w:hint="eastAsia" w:ascii="宋体" w:hAnsi="宋体" w:eastAsia="宋体" w:cs="宋体"/>
                <w:b/>
                <w:i w:val="0"/>
                <w:color w:val="000000"/>
                <w:sz w:val="24"/>
                <w:szCs w:val="24"/>
                <w:u w:val="none"/>
                <w:lang w:val="en-US" w:eastAsia="zh-CN" w:bidi="ar"/>
              </w:rPr>
              <w:t xml:space="preserve">2</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306"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rPr>
              <w:suppressLineNumbers w:val="0"/>
            </w:pPr>
            <w:r>
              <w:rPr>
                <w:rFonts w:hint="eastAsia" w:ascii="宋体" w:hAnsi="宋体" w:eastAsia="宋体" w:cs="宋体"/>
                <w:b/>
                <w:i w:val="0"/>
                <w:color w:val="000000"/>
                <w:sz w:val="24"/>
                <w:szCs w:val="24"/>
                <w:u w:val="none"/>
                <w:lang w:val="en-US" w:eastAsia="zh-CN" w:bidi="ar"/>
              </w:rPr>
              <w:t xml:space="preserve">56</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76"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rPr>
              <w:suppressLineNumbers w:val="0"/>
            </w:pPr>
            <w:r>
              <w:rPr>
                <w:rFonts w:hint="eastAsia" w:ascii="宋体" w:hAnsi="宋体" w:eastAsia="宋体" w:cs="宋体"/>
                <w:b/>
                <w:i w:val="0"/>
                <w:color w:val="000000"/>
                <w:sz w:val="24"/>
                <w:szCs w:val="24"/>
                <w:u w:val="none"/>
                <w:lang w:val="en-US" w:eastAsia="zh-CN" w:bidi="ar"/>
              </w:rPr>
              <w:t xml:space="preserve">12</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18"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95"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39"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06"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97"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50"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rPr>
              <w:suppressLineNumbers w:val="0"/>
            </w:pPr>
            <w:r>
              <w:rPr>
                <w:rFonts w:hint="eastAsia" w:ascii="宋体" w:hAnsi="宋体" w:eastAsia="宋体" w:cs="宋体"/>
                <w:b/>
                <w:i w:val="0"/>
                <w:color w:val="000000"/>
                <w:sz w:val="24"/>
                <w:szCs w:val="24"/>
                <w:u w:val="none"/>
              </w:rPr>
            </w:r>
            <w:r/>
          </w:p>
        </w:tc>
      </w:tr>
      <w:tr>
        <w:trPr>
          <w:trHeight w:val="312"/>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692" w:type="dxa"/>
            <w:vAlign w:val="center"/>
            <w:textDirection w:val="lrTb"/>
            <w:noWrap w:val="false"/>
          </w:tcPr>
          <w:p>
            <w:pPr>
              <w:jc w:val="left"/>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399"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沭阳县</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22" w:type="dxa"/>
            <w:vAlign w:val="center"/>
            <w:textDirection w:val="lrTb"/>
            <w:noWrap w:val="false"/>
          </w:tcPr>
          <w:p>
            <w:pPr>
              <w:jc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22" w:type="dxa"/>
            <w:vAlign w:val="center"/>
            <w:textDirection w:val="lrTb"/>
            <w:noWrap w:val="false"/>
          </w:tcPr>
          <w:p>
            <w:pPr>
              <w:jc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1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8</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1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2</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306"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76"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18"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95"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39" w:type="dxa"/>
            <w:vAlign w:val="center"/>
            <w:textDirection w:val="lrTb"/>
            <w:noWrap w:val="false"/>
          </w:tcPr>
          <w:p>
            <w:pPr>
              <w:jc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06"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97"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50"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r>
      <w:tr>
        <w:trPr>
          <w:trHeight w:val="312"/>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692" w:type="dxa"/>
            <w:vAlign w:val="center"/>
            <w:textDirection w:val="lrTb"/>
            <w:noWrap w:val="false"/>
          </w:tcPr>
          <w:p>
            <w:pPr>
              <w:jc w:val="left"/>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tcMar>
            <w:tcW w:w="1399"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泗洪县</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22"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22"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14"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14"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306"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56</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76"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12</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18"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95"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39"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806"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97" w:type="dxa"/>
            <w:vAlign w:val="center"/>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50"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rPr>
            </w:r>
            <w:r/>
          </w:p>
        </w:tc>
      </w:tr>
    </w:tbl>
    <w:p>
      <w:pPr>
        <w:rPr>
          <w:rFonts w:hint="eastAsia" w:ascii="宋体" w:hAnsi="宋体" w:eastAsia="宋体" w:cs="宋体"/>
        </w:rPr>
      </w:pPr>
      <w:r>
        <w:rPr>
          <w:rFonts w:hint="eastAsia" w:ascii="宋体" w:hAnsi="宋体" w:eastAsia="宋体" w:cs="宋体"/>
        </w:rPr>
      </w:r>
      <w:r/>
    </w:p>
    <w:p>
      <w:pPr>
        <w:pStyle w:val="797"/>
        <w:ind w:firstLine="562"/>
        <w:keepLines w:val="0"/>
        <w:keepNext w:val="0"/>
        <w:pageBreakBefore w:val="0"/>
        <w:spacing w:line="460" w:lineRule="exact"/>
        <w:widowControl w:val="off"/>
        <w:rPr>
          <w:rFonts w:hint="eastAsia" w:ascii="宋体" w:hAnsi="宋体" w:eastAsia="宋体" w:cs="宋体"/>
          <w:sz w:val="28"/>
          <w:szCs w:val="28"/>
          <w:lang w:eastAsia="zh-CN"/>
        </w:rPr>
      </w:pPr>
      <w:r>
        <w:rPr>
          <w:rFonts w:hint="eastAsia" w:ascii="宋体" w:hAnsi="宋体" w:eastAsia="宋体" w:cs="宋体"/>
          <w:b/>
          <w:bCs/>
          <w:sz w:val="28"/>
          <w:szCs w:val="28"/>
          <w:lang w:eastAsia="zh-CN"/>
        </w:rPr>
        <w:t xml:space="preserve">注</w:t>
      </w:r>
      <w:r>
        <w:rPr>
          <w:rFonts w:hint="eastAsia" w:ascii="宋体" w:hAnsi="宋体" w:eastAsia="宋体" w:cs="宋体"/>
          <w:sz w:val="28"/>
          <w:szCs w:val="28"/>
          <w:lang w:eastAsia="zh-CN"/>
        </w:rPr>
        <w:t xml:space="preserve">：表中食用林产品监测批次为省级监测批次数的最低要求，监测批次数为食用林产品及其产地土壤、投入品监测批次总和。</w:t>
      </w:r>
      <w:r/>
    </w:p>
    <w:p>
      <w:pPr>
        <w:pStyle w:val="813"/>
        <w:rPr>
          <w:rFonts w:hint="eastAsia" w:ascii="宋体" w:hAnsi="宋体" w:eastAsia="宋体" w:cs="宋体"/>
          <w:lang w:val="en-US" w:eastAsia="zh-CN"/>
        </w:rPr>
        <w:sectPr>
          <w:footnotePr/>
          <w:endnotePr/>
          <w:type w:val="nextPage"/>
          <w:pgSz w:w="16838" w:h="11906" w:orient="landscape"/>
          <w:pgMar w:top="1179" w:right="1440" w:bottom="1179" w:left="1440" w:header="1020" w:footer="992" w:gutter="0"/>
          <w:cols w:num="1" w:sep="0" w:space="720" w:equalWidth="1"/>
          <w:docGrid w:linePitch="360"/>
        </w:sectPr>
      </w:pPr>
      <w:r>
        <w:rPr>
          <w:rFonts w:hint="eastAsia" w:ascii="宋体" w:hAnsi="宋体" w:eastAsia="宋体" w:cs="宋体"/>
          <w:lang w:val="en-US" w:eastAsia="zh-CN"/>
        </w:rPr>
      </w:r>
      <w:bookmarkEnd w:id="36"/>
      <w:bookmarkEnd w:id="37"/>
      <w:bookmarkEnd w:id="38"/>
      <w:r/>
    </w:p>
    <w:p>
      <w:pPr>
        <w:pStyle w:val="829"/>
        <w:pageBreakBefore/>
        <w:spacing w:after="319"/>
        <w:widowControl w:val="off"/>
        <w:rPr>
          <w:rStyle w:val="854"/>
          <w:rFonts w:ascii="宋体" w:hAnsi="宋体" w:eastAsia="宋体" w:cs="宋体"/>
          <w:b/>
          <w:bCs/>
          <w:color w:val="auto"/>
          <w:sz w:val="40"/>
          <w:szCs w:val="40"/>
          <w:highlight w:val="none"/>
        </w:rPr>
      </w:pPr>
      <w:r/>
      <w:bookmarkStart w:id="40" w:name="_Toc30075"/>
      <w:r/>
      <w:bookmarkStart w:id="41" w:name="_Toc1549"/>
      <w:r/>
      <w:bookmarkStart w:id="42" w:name="_Toc25270"/>
      <w:r/>
      <w:bookmarkStart w:id="43" w:name="_Toc6317"/>
      <w:r/>
      <w:bookmarkStart w:id="44" w:name="_Toc797"/>
      <w:r/>
      <w:bookmarkStart w:id="45" w:name="_Toc11323"/>
      <w:r/>
      <w:bookmarkStart w:id="46" w:name="_Toc25596"/>
      <w:r/>
      <w:bookmarkStart w:id="47" w:name="_Toc10365"/>
      <w:r>
        <w:rPr>
          <w:rStyle w:val="854"/>
          <w:rFonts w:hint="eastAsia" w:ascii="宋体" w:hAnsi="宋体" w:eastAsia="宋体" w:cs="宋体"/>
          <w:b/>
          <w:bCs/>
          <w:color w:val="auto"/>
          <w:sz w:val="40"/>
          <w:szCs w:val="40"/>
          <w:highlight w:val="none"/>
        </w:rPr>
        <w:t xml:space="preserve">第五章  评标方法与评标标准</w:t>
      </w:r>
      <w:bookmarkEnd w:id="39"/>
      <w:r/>
      <w:bookmarkEnd w:id="40"/>
      <w:r/>
      <w:bookmarkEnd w:id="41"/>
      <w:r/>
      <w:bookmarkEnd w:id="42"/>
      <w:r/>
      <w:bookmarkEnd w:id="43"/>
      <w:r/>
      <w:bookmarkEnd w:id="44"/>
      <w:r/>
      <w:bookmarkEnd w:id="45"/>
      <w:r/>
      <w:bookmarkEnd w:id="46"/>
      <w:r/>
      <w:bookmarkEnd w:id="47"/>
      <w:r/>
      <w:r/>
    </w:p>
    <w:p>
      <w:pPr>
        <w:pStyle w:val="856"/>
        <w:numPr>
          <w:ilvl w:val="0"/>
          <w:numId w:val="0"/>
        </w:numPr>
        <w:ind w:firstLine="562"/>
        <w:rPr>
          <w:rFonts w:ascii="宋体" w:hAnsi="宋体" w:cs="宋体"/>
          <w:color w:val="auto"/>
          <w:highlight w:val="none"/>
        </w:rPr>
      </w:pPr>
      <w:r/>
      <w:bookmarkStart w:id="48" w:name="_Toc13127"/>
      <w:r>
        <w:rPr>
          <w:rFonts w:hint="eastAsia" w:ascii="宋体" w:hAnsi="宋体" w:cs="宋体"/>
          <w:color w:val="auto"/>
          <w:highlight w:val="none"/>
        </w:rPr>
        <w:t xml:space="preserve">一、评标方法与定标原则</w:t>
      </w:r>
      <w:bookmarkEnd w:id="48"/>
      <w:r/>
      <w:r/>
    </w:p>
    <w:p>
      <w:pPr>
        <w:ind w:firstLine="480"/>
        <w:spacing w:line="360" w:lineRule="auto"/>
        <w:rPr>
          <w:rFonts w:hint="eastAsia" w:ascii="宋体" w:hAnsi="宋体" w:cs="宋体"/>
          <w:b w:val="0"/>
          <w:color w:val="auto"/>
          <w:sz w:val="24"/>
          <w:szCs w:val="21"/>
          <w:highlight w:val="none"/>
        </w:rPr>
      </w:pPr>
      <w:r/>
      <w:bookmarkStart w:id="49" w:name="_Toc2329"/>
      <w:r>
        <w:rPr>
          <w:rFonts w:hint="eastAsia" w:ascii="宋体" w:hAnsi="宋体" w:cs="宋体"/>
          <w:b w:val="0"/>
          <w:color w:val="auto"/>
          <w:sz w:val="24"/>
          <w:szCs w:val="21"/>
          <w:highlight w:val="none"/>
        </w:rPr>
        <w:t xml:space="preserve">评委会将对确定为实质性响应招标文件要求的投标文件进行评价和比较，评标采用综合评分法，总分为100分，按评审后得分由高到低顺序排列，得分相同的，按投标报价由低到高顺序排列，得分且投标报价相同的，按服务方案优劣顺序排列，由评标委员会推荐三名中标候选人，采购人确定一名中标人。</w:t>
      </w:r>
      <w:r/>
    </w:p>
    <w:p>
      <w:pPr>
        <w:ind w:firstLine="480"/>
        <w:spacing w:line="360" w:lineRule="auto"/>
        <w:rPr>
          <w:rFonts w:ascii="宋体" w:hAnsi="宋体" w:cs="宋体"/>
          <w:b w:val="0"/>
          <w:color w:val="auto"/>
          <w:sz w:val="24"/>
          <w:szCs w:val="21"/>
          <w:highlight w:val="none"/>
        </w:rPr>
      </w:pPr>
      <w:r>
        <w:rPr>
          <w:rFonts w:hint="eastAsia" w:ascii="宋体" w:hAnsi="宋体" w:cs="宋体"/>
          <w:color w:val="auto"/>
          <w:sz w:val="24"/>
          <w:szCs w:val="24"/>
          <w:highlight w:val="none"/>
          <w:lang w:eastAsia="zh-CN"/>
        </w:rPr>
        <w:t xml:space="preserve">每个</w:t>
      </w:r>
      <w:r>
        <w:rPr>
          <w:rFonts w:hint="eastAsia" w:ascii="宋体" w:hAnsi="宋体" w:cs="宋体"/>
          <w:color w:val="auto"/>
          <w:sz w:val="24"/>
          <w:szCs w:val="24"/>
          <w:highlight w:val="none"/>
          <w:lang w:val="en-US" w:eastAsia="zh-CN"/>
        </w:rPr>
        <w:t xml:space="preserve">分包</w:t>
      </w:r>
      <w:r>
        <w:rPr>
          <w:rFonts w:hint="eastAsia" w:ascii="宋体" w:hAnsi="宋体" w:cs="宋体"/>
          <w:color w:val="auto"/>
          <w:sz w:val="24"/>
          <w:szCs w:val="24"/>
          <w:highlight w:val="none"/>
          <w:lang w:eastAsia="zh-CN"/>
        </w:rPr>
        <w:t xml:space="preserve">各推荐3名中标候选人，同一供应商允许兼投，但不得兼中；若各</w:t>
      </w:r>
      <w:r>
        <w:rPr>
          <w:rFonts w:hint="eastAsia" w:ascii="宋体" w:hAnsi="宋体" w:cs="宋体"/>
          <w:color w:val="auto"/>
          <w:sz w:val="24"/>
          <w:szCs w:val="24"/>
          <w:highlight w:val="none"/>
          <w:lang w:val="en-US" w:eastAsia="zh-CN"/>
        </w:rPr>
        <w:t xml:space="preserve">分包</w:t>
      </w:r>
      <w:r>
        <w:rPr>
          <w:rFonts w:hint="eastAsia" w:ascii="宋体" w:hAnsi="宋体" w:cs="宋体"/>
          <w:color w:val="auto"/>
          <w:sz w:val="24"/>
          <w:szCs w:val="24"/>
          <w:highlight w:val="none"/>
          <w:lang w:eastAsia="zh-CN"/>
        </w:rPr>
        <w:t xml:space="preserve">综合排名为第一的供应商为同一个候选人，则以预算金额最高的</w:t>
      </w:r>
      <w:r>
        <w:rPr>
          <w:rFonts w:hint="eastAsia" w:ascii="宋体" w:hAnsi="宋体" w:cs="宋体"/>
          <w:color w:val="auto"/>
          <w:sz w:val="24"/>
          <w:szCs w:val="24"/>
          <w:highlight w:val="none"/>
          <w:lang w:val="en-US" w:eastAsia="zh-CN"/>
        </w:rPr>
        <w:t xml:space="preserve">分包</w:t>
      </w:r>
      <w:r>
        <w:rPr>
          <w:rFonts w:hint="eastAsia" w:ascii="宋体" w:hAnsi="宋体" w:cs="宋体"/>
          <w:color w:val="auto"/>
          <w:sz w:val="24"/>
          <w:szCs w:val="24"/>
          <w:highlight w:val="none"/>
          <w:lang w:eastAsia="zh-CN"/>
        </w:rPr>
        <w:t xml:space="preserve">为中标候选人。</w:t>
      </w:r>
      <w:r/>
    </w:p>
    <w:p>
      <w:pPr>
        <w:pStyle w:val="856"/>
        <w:numPr>
          <w:ilvl w:val="0"/>
          <w:numId w:val="0"/>
        </w:numPr>
        <w:ind w:firstLine="562"/>
        <w:rPr>
          <w:rFonts w:ascii="宋体" w:hAnsi="宋体" w:cs="宋体"/>
          <w:color w:val="auto"/>
          <w:highlight w:val="none"/>
        </w:rPr>
      </w:pPr>
      <w:r>
        <w:rPr>
          <w:rFonts w:hint="eastAsia" w:ascii="宋体" w:hAnsi="宋体" w:cs="宋体"/>
          <w:color w:val="auto"/>
          <w:highlight w:val="none"/>
        </w:rPr>
        <w:t xml:space="preserve">二、评标标准</w:t>
      </w:r>
      <w:bookmarkEnd w:id="49"/>
      <w:r/>
      <w:r/>
    </w:p>
    <w:tbl>
      <w:tblPr>
        <w:tblStyle w:val="79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94"/>
        <w:gridCol w:w="1275"/>
        <w:gridCol w:w="6702"/>
        <w:gridCol w:w="791"/>
      </w:tblGrid>
      <w:tr>
        <w:trPr>
          <w:jc w:val="center"/>
          <w:trHeight w:val="875"/>
        </w:trPr>
        <w:tc>
          <w:tcPr>
            <w:tcW w:w="594" w:type="dxa"/>
            <w:vAlign w:val="center"/>
            <w:textDirection w:val="lrTb"/>
            <w:noWrap w:val="false"/>
          </w:tcPr>
          <w:p>
            <w:pPr>
              <w:jc w:val="center"/>
              <w:rPr>
                <w:rFonts w:ascii="宋体" w:hAnsi="宋体" w:cs="宋体"/>
                <w:bCs/>
                <w:color w:val="auto"/>
                <w:sz w:val="24"/>
                <w:szCs w:val="24"/>
                <w:highlight w:val="none"/>
              </w:rPr>
            </w:pPr>
            <w:r/>
            <w:bookmarkStart w:id="50" w:name="_Hlk106727412"/>
            <w:r>
              <w:rPr>
                <w:rFonts w:hint="eastAsia" w:ascii="宋体" w:hAnsi="宋体" w:cs="宋体"/>
                <w:b/>
                <w:color w:val="auto"/>
                <w:sz w:val="24"/>
                <w:szCs w:val="24"/>
                <w:highlight w:val="none"/>
              </w:rPr>
              <w:t xml:space="preserve">序号</w:t>
            </w:r>
            <w:r/>
          </w:p>
        </w:tc>
        <w:tc>
          <w:tcPr>
            <w:tcW w:w="1275" w:type="dxa"/>
            <w:vAlign w:val="center"/>
            <w:textDirection w:val="lrTb"/>
            <w:noWrap w:val="false"/>
          </w:tcPr>
          <w:p>
            <w:pPr>
              <w:jc w:val="center"/>
              <w:rPr>
                <w:rFonts w:ascii="宋体" w:hAnsi="宋体" w:cs="宋体"/>
                <w:bCs/>
                <w:color w:val="auto"/>
                <w:sz w:val="24"/>
                <w:szCs w:val="24"/>
                <w:highlight w:val="none"/>
              </w:rPr>
            </w:pPr>
            <w:r>
              <w:rPr>
                <w:rFonts w:hint="eastAsia" w:ascii="宋体" w:hAnsi="宋体" w:cs="宋体"/>
                <w:b/>
                <w:color w:val="auto"/>
                <w:sz w:val="24"/>
                <w:szCs w:val="24"/>
                <w:highlight w:val="none"/>
              </w:rPr>
              <w:t xml:space="preserve">评分因素</w:t>
            </w:r>
            <w:r/>
          </w:p>
        </w:tc>
        <w:tc>
          <w:tcPr>
            <w:tcW w:w="6702" w:type="dxa"/>
            <w:vAlign w:val="center"/>
            <w:textDirection w:val="lrTb"/>
            <w:noWrap w:val="false"/>
          </w:tcPr>
          <w:p>
            <w:pPr>
              <w:jc w:val="center"/>
              <w:rPr>
                <w:rFonts w:ascii="宋体" w:hAnsi="宋体" w:cs="宋体"/>
                <w:bCs/>
                <w:color w:val="auto"/>
                <w:sz w:val="24"/>
                <w:szCs w:val="24"/>
                <w:highlight w:val="none"/>
              </w:rPr>
            </w:pPr>
            <w:r>
              <w:rPr>
                <w:rFonts w:hint="eastAsia" w:ascii="宋体" w:hAnsi="宋体" w:cs="宋体"/>
                <w:b/>
                <w:color w:val="auto"/>
                <w:sz w:val="24"/>
                <w:szCs w:val="24"/>
                <w:highlight w:val="none"/>
              </w:rPr>
              <w:t xml:space="preserve">评  分  细  则</w:t>
            </w:r>
            <w:r/>
          </w:p>
        </w:tc>
        <w:tc>
          <w:tcPr>
            <w:tcW w:w="791" w:type="dxa"/>
            <w:vAlign w:val="center"/>
            <w:textDirection w:val="lrTb"/>
            <w:noWrap w:val="false"/>
          </w:tcPr>
          <w:p>
            <w:pPr>
              <w:jc w:val="center"/>
              <w:rPr>
                <w:rFonts w:ascii="宋体" w:hAnsi="宋体" w:cs="宋体"/>
                <w:bCs/>
                <w:color w:val="auto"/>
                <w:sz w:val="24"/>
                <w:szCs w:val="24"/>
                <w:highlight w:val="none"/>
              </w:rPr>
            </w:pPr>
            <w:r>
              <w:rPr>
                <w:rFonts w:hint="eastAsia" w:ascii="宋体" w:hAnsi="宋体" w:cs="宋体"/>
                <w:b/>
                <w:color w:val="auto"/>
                <w:sz w:val="24"/>
                <w:szCs w:val="24"/>
                <w:highlight w:val="none"/>
              </w:rPr>
              <w:t xml:space="preserve">分值</w:t>
            </w:r>
            <w:r/>
          </w:p>
        </w:tc>
      </w:tr>
      <w:tr>
        <w:trPr>
          <w:jc w:val="center"/>
          <w:trHeight w:val="3630"/>
        </w:trPr>
        <w:tc>
          <w:tcPr>
            <w:tcW w:w="594"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275"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价格</w:t>
            </w:r>
            <w:r/>
          </w:p>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10分</w:t>
            </w:r>
            <w:r>
              <w:rPr>
                <w:rFonts w:hint="eastAsia" w:ascii="宋体" w:hAnsi="宋体" w:cs="宋体"/>
                <w:color w:val="auto"/>
                <w:sz w:val="24"/>
                <w:szCs w:val="24"/>
                <w:highlight w:val="none"/>
                <w:lang w:eastAsia="zh-CN"/>
              </w:rPr>
              <w:t xml:space="preserve">）</w:t>
            </w:r>
            <w:r/>
          </w:p>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c>
          <w:tcPr>
            <w:tcW w:w="6702" w:type="dxa"/>
            <w:vAlign w:val="center"/>
            <w:textDirection w:val="lrTb"/>
            <w:noWrap w:val="false"/>
          </w:tcPr>
          <w:p>
            <w:pPr>
              <w:rPr>
                <w:rFonts w:ascii="宋体" w:hAnsi="宋体" w:cs="宋体"/>
                <w:color w:val="auto"/>
                <w:sz w:val="24"/>
                <w:szCs w:val="24"/>
                <w:highlight w:val="none"/>
              </w:rPr>
            </w:pPr>
            <w:r/>
            <w:bookmarkStart w:id="51" w:name="OLE_LINK15"/>
            <w:r/>
            <w:bookmarkStart w:id="52" w:name="OLE_LINK14"/>
            <w:r>
              <w:rPr>
                <w:rFonts w:hint="eastAsia" w:ascii="宋体" w:hAnsi="宋体" w:cs="宋体"/>
                <w:color w:val="auto"/>
                <w:sz w:val="24"/>
                <w:szCs w:val="24"/>
                <w:highlight w:val="none"/>
              </w:rPr>
              <w:t xml:space="preserve">满足招标文件要求且投标报价最低的为评标基准价，其价格分为满分1</w:t>
            </w:r>
            <w:r>
              <w:rPr>
                <w:rFonts w:hint="eastAsia" w:ascii="宋体" w:hAnsi="宋体" w:cs="宋体"/>
                <w:color w:val="auto"/>
                <w:sz w:val="24"/>
                <w:szCs w:val="24"/>
                <w:highlight w:val="none"/>
                <w:lang w:val="en-US" w:eastAsia="zh-CN"/>
              </w:rPr>
              <w:t xml:space="preserve">0</w:t>
            </w:r>
            <w:r>
              <w:rPr>
                <w:rFonts w:hint="eastAsia" w:ascii="宋体" w:hAnsi="宋体" w:cs="宋体"/>
                <w:color w:val="auto"/>
                <w:sz w:val="24"/>
                <w:szCs w:val="24"/>
                <w:highlight w:val="none"/>
              </w:rPr>
              <w:t xml:space="preserve">分，其他投标单位的价格分按照下列公式计算：投标报价得分=（评标基准价/投标报价）×1</w:t>
            </w:r>
            <w:r>
              <w:rPr>
                <w:rFonts w:hint="eastAsia" w:ascii="宋体" w:hAnsi="宋体" w:cs="宋体"/>
                <w:color w:val="auto"/>
                <w:sz w:val="24"/>
                <w:szCs w:val="24"/>
                <w:highlight w:val="none"/>
                <w:lang w:val="en-US" w:eastAsia="zh-CN"/>
              </w:rPr>
              <w:t xml:space="preserve">0</w:t>
            </w:r>
            <w:r>
              <w:rPr>
                <w:rFonts w:hint="eastAsia" w:ascii="宋体" w:hAnsi="宋体" w:cs="宋体"/>
                <w:color w:val="auto"/>
                <w:sz w:val="24"/>
                <w:szCs w:val="24"/>
                <w:highlight w:val="none"/>
              </w:rPr>
              <w:t xml:space="preserve">，四舍五入保留两位小数。</w:t>
            </w:r>
            <w:bookmarkEnd w:id="51"/>
            <w:r/>
            <w:bookmarkEnd w:id="52"/>
            <w:r/>
            <w:r/>
          </w:p>
          <w:p>
            <w:pPr>
              <w:rPr>
                <w:rFonts w:ascii="宋体" w:hAnsi="宋体" w:cs="宋体"/>
                <w:color w:val="auto"/>
                <w:sz w:val="24"/>
                <w:szCs w:val="24"/>
                <w:highlight w:val="none"/>
              </w:rPr>
            </w:pPr>
            <w:r>
              <w:rPr>
                <w:rFonts w:hint="eastAsia" w:ascii="宋体" w:hAnsi="宋体" w:cs="宋体"/>
                <w:color w:val="auto"/>
                <w:highlight w:val="none"/>
              </w:rPr>
              <w:t xml:space="preserve">注：评审过程中出现下列情形之一的，评标小组应当启动异常低价投标审查程序:a.报价低于采购项目预算50%的，即报价&lt;采购项目预算x50%；b.报价低于采购项目最高限价45%的，即报价&lt;采购项目最高限价x45%；c.评标小组认定的供应商报价过低、有可能影响产品质量或者不能诚信履约的其他情形。针对异常低价，投标（响应）供应商不提供书面说明、证明材料，或者提供的书面说明、证明材料不能证明其报价合理性的，评标小组应当将其作为无效投标（响应）处理。</w:t>
            </w:r>
            <w:r/>
          </w:p>
        </w:tc>
        <w:tc>
          <w:tcPr>
            <w:tcW w:w="791" w:type="dxa"/>
            <w:vAlign w:val="center"/>
            <w:textDirection w:val="lrTb"/>
            <w:noWrap w:val="false"/>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w:t>
            </w:r>
            <w:r>
              <w:rPr>
                <w:rFonts w:hint="eastAsia" w:ascii="宋体" w:hAnsi="宋体" w:cs="宋体"/>
                <w:bCs/>
                <w:color w:val="auto"/>
                <w:sz w:val="24"/>
                <w:szCs w:val="24"/>
                <w:highlight w:val="none"/>
                <w:lang w:val="en-US" w:eastAsia="zh-CN"/>
              </w:rPr>
              <w:t xml:space="preserve">0</w:t>
            </w:r>
            <w:r>
              <w:rPr>
                <w:rFonts w:hint="eastAsia" w:ascii="宋体" w:hAnsi="宋体" w:cs="宋体"/>
                <w:bCs/>
                <w:color w:val="auto"/>
                <w:sz w:val="24"/>
                <w:szCs w:val="24"/>
                <w:highlight w:val="none"/>
              </w:rPr>
              <w:t xml:space="preserve">分</w:t>
            </w:r>
            <w:r/>
          </w:p>
        </w:tc>
      </w:tr>
      <w:tr>
        <w:trPr>
          <w:jc w:val="center"/>
          <w:trHeight w:val="2592"/>
        </w:trPr>
        <w:tc>
          <w:tcPr>
            <w:tcW w:w="594" w:type="dxa"/>
            <w:vAlign w:val="center"/>
            <w:vMerge w:val="restart"/>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275" w:type="dxa"/>
            <w:vAlign w:val="center"/>
            <w:vMerge w:val="restart"/>
            <w:textDirection w:val="lrTb"/>
            <w:noWrap w:val="false"/>
          </w:tcPr>
          <w:p>
            <w:pPr>
              <w:jc w:val="cente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项目团队</w:t>
            </w:r>
            <w:r/>
          </w:p>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（21分）</w:t>
            </w:r>
            <w:r/>
          </w:p>
        </w:tc>
        <w:tc>
          <w:tcPr>
            <w:tcW w:w="6702" w:type="dxa"/>
            <w:textDirection w:val="lrTb"/>
            <w:noWrap w:val="false"/>
          </w:tcPr>
          <w:p>
            <w:pPr>
              <w:rPr>
                <w:rFonts w:hint="eastAsia" w:ascii="宋体" w:hAnsi="宋体" w:cs="宋体"/>
                <w:bCs/>
                <w:color w:val="auto"/>
                <w:sz w:val="24"/>
                <w:szCs w:val="24"/>
                <w:highlight w:val="none"/>
                <w:lang w:eastAsia="zh-CN"/>
              </w:rPr>
            </w:pP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1</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项目技术负责人学历与专业</w:t>
            </w:r>
            <w:r>
              <w:rPr>
                <w:rFonts w:hint="eastAsia" w:ascii="宋体" w:hAnsi="宋体" w:cs="宋体"/>
                <w:bCs/>
                <w:color w:val="auto"/>
                <w:sz w:val="24"/>
                <w:szCs w:val="24"/>
                <w:highlight w:val="none"/>
                <w:lang w:eastAsia="zh-CN"/>
              </w:rPr>
              <w:t xml:space="preserve">：</w:t>
            </w:r>
            <w:r/>
          </w:p>
          <w:p>
            <w:pPr>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投标人</w:t>
            </w:r>
            <w:r>
              <w:rPr>
                <w:rFonts w:hint="eastAsia" w:ascii="宋体" w:hAnsi="宋体" w:cs="宋体"/>
                <w:bCs/>
                <w:color w:val="auto"/>
                <w:sz w:val="24"/>
                <w:szCs w:val="24"/>
                <w:highlight w:val="none"/>
              </w:rPr>
              <w:t xml:space="preserve">拟为本项目配备专职的项目技术负责人具有食品或化学或生物或</w:t>
            </w:r>
            <w:r>
              <w:rPr>
                <w:rFonts w:hint="eastAsia" w:ascii="宋体" w:hAnsi="宋体" w:cs="宋体"/>
                <w:bCs/>
                <w:color w:val="auto"/>
                <w:sz w:val="24"/>
                <w:szCs w:val="24"/>
                <w:highlight w:val="none"/>
                <w:lang w:eastAsia="zh-CN"/>
              </w:rPr>
              <w:t xml:space="preserve">农林</w:t>
            </w:r>
            <w:r>
              <w:rPr>
                <w:rFonts w:hint="eastAsia" w:ascii="宋体" w:hAnsi="宋体" w:cs="宋体"/>
                <w:bCs/>
                <w:color w:val="auto"/>
                <w:sz w:val="24"/>
                <w:szCs w:val="24"/>
                <w:highlight w:val="none"/>
              </w:rPr>
              <w:t xml:space="preserve">相关专业硕士研究生（含）以上学历学位，满足得2分。</w:t>
            </w:r>
            <w:r/>
          </w:p>
          <w:p>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注：同时提供技术负责人学历学位证书复印件、</w:t>
            </w:r>
            <w:r>
              <w:rPr>
                <w:rFonts w:hint="eastAsia" w:ascii="宋体" w:hAnsi="宋体" w:cs="宋体"/>
                <w:bCs/>
                <w:color w:val="auto"/>
                <w:sz w:val="24"/>
                <w:szCs w:val="24"/>
                <w:highlight w:val="none"/>
                <w:lang w:val="en-US" w:eastAsia="zh-CN"/>
              </w:rPr>
              <w:t xml:space="preserve">投标人参加投标前</w:t>
            </w:r>
            <w:r>
              <w:rPr>
                <w:rFonts w:hint="eastAsia" w:ascii="宋体" w:hAnsi="宋体" w:cs="宋体"/>
                <w:bCs/>
                <w:color w:val="auto"/>
                <w:sz w:val="24"/>
                <w:szCs w:val="24"/>
                <w:highlight w:val="none"/>
              </w:rPr>
              <w:t xml:space="preserve">任意一个月为其缴纳的社保记录的证明材料，以上内容需加盖投标人公章。以上证明材料未提供或提供不全或不清晰不明确或不符合要求不得分。</w:t>
            </w:r>
            <w:r/>
          </w:p>
        </w:tc>
        <w:tc>
          <w:tcPr>
            <w:tcW w:w="791" w:type="dxa"/>
            <w:vAlign w:val="center"/>
            <w:textDirection w:val="lrTb"/>
            <w:noWrap w:val="false"/>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rPr>
              <w:t xml:space="preserve">分</w:t>
            </w:r>
            <w:r/>
          </w:p>
        </w:tc>
      </w:tr>
      <w:tr>
        <w:trPr>
          <w:jc w:val="center"/>
          <w:trHeight w:val="2630"/>
        </w:trPr>
        <w:tc>
          <w:tcPr>
            <w:tcW w:w="594" w:type="dxa"/>
            <w:vAlign w:val="center"/>
            <w:vMerge w:val="continue"/>
            <w:textDirection w:val="lrTb"/>
            <w:noWrap w:val="false"/>
          </w:tcPr>
          <w:p>
            <w:pPr>
              <w:jc w:val="center"/>
            </w:pPr>
            <w:r/>
            <w:r/>
          </w:p>
        </w:tc>
        <w:tc>
          <w:tcPr>
            <w:tcW w:w="1275" w:type="dxa"/>
            <w:vAlign w:val="center"/>
            <w:vMerge w:val="continue"/>
            <w:textDirection w:val="lrTb"/>
            <w:noWrap w:val="false"/>
          </w:tcPr>
          <w:p>
            <w:pPr>
              <w:jc w:val="center"/>
            </w:pPr>
            <w:r/>
            <w:r/>
          </w:p>
        </w:tc>
        <w:tc>
          <w:tcPr>
            <w:tcW w:w="6702" w:type="dxa"/>
            <w:textDirection w:val="lrTb"/>
            <w:noWrap w:val="false"/>
          </w:tcPr>
          <w:p>
            <w:pPr>
              <w:rPr>
                <w:rFonts w:hint="eastAsia" w:ascii="宋体" w:hAnsi="宋体" w:cs="宋体"/>
                <w:bCs/>
                <w:color w:val="auto"/>
                <w:sz w:val="24"/>
                <w:szCs w:val="24"/>
                <w:highlight w:val="none"/>
                <w:lang w:eastAsia="zh-CN"/>
              </w:rPr>
            </w:pP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项目技术负责人从业案例</w:t>
            </w:r>
            <w:r>
              <w:rPr>
                <w:rFonts w:hint="eastAsia" w:ascii="宋体" w:hAnsi="宋体" w:cs="宋体"/>
                <w:bCs/>
                <w:color w:val="auto"/>
                <w:sz w:val="24"/>
                <w:szCs w:val="24"/>
                <w:highlight w:val="none"/>
                <w:lang w:eastAsia="zh-CN"/>
              </w:rPr>
              <w:t xml:space="preserve">：</w:t>
            </w:r>
            <w:r/>
          </w:p>
          <w:p>
            <w:pPr>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投标人</w:t>
            </w:r>
            <w:r>
              <w:rPr>
                <w:rFonts w:hint="eastAsia" w:ascii="宋体" w:hAnsi="宋体" w:cs="宋体"/>
                <w:bCs/>
                <w:color w:val="auto"/>
                <w:sz w:val="24"/>
                <w:szCs w:val="24"/>
                <w:highlight w:val="none"/>
              </w:rPr>
              <w:t xml:space="preserve">拟为本项目配备专职的项目技术负责人自202</w:t>
            </w: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rPr>
              <w:t xml:space="preserve">年</w:t>
            </w: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rPr>
              <w:t xml:space="preserve">月1日以来（以合同签订时间为准）承担过类似食用农（林）产品质量安全监管项目案例的，每提供一例得2分，最多得4分。注：提供合同复印件及技术负责人参与此项目的证明材料并加盖投标人公章，合同需能反映相关类似项目信息。</w:t>
            </w:r>
            <w:r/>
          </w:p>
          <w:p>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以上证明材料未提供或提供不全或不清晰不明确或不符合要求不得分。</w:t>
            </w:r>
            <w:r/>
          </w:p>
        </w:tc>
        <w:tc>
          <w:tcPr>
            <w:tcW w:w="791"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4分</w:t>
            </w:r>
            <w:r/>
          </w:p>
        </w:tc>
      </w:tr>
      <w:tr>
        <w:trPr>
          <w:jc w:val="center"/>
          <w:trHeight w:val="2344"/>
        </w:trPr>
        <w:tc>
          <w:tcPr>
            <w:tcW w:w="594"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75"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6702" w:type="dxa"/>
            <w:textDirection w:val="lrTb"/>
            <w:noWrap w:val="false"/>
          </w:tcPr>
          <w:p>
            <w:pPr>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项目团队检验人员数量：</w:t>
            </w:r>
            <w:r/>
          </w:p>
          <w:p>
            <w:pPr>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投标人</w:t>
            </w:r>
            <w:r>
              <w:rPr>
                <w:rFonts w:hint="eastAsia" w:ascii="宋体" w:hAnsi="宋体" w:cs="宋体"/>
                <w:bCs/>
                <w:color w:val="auto"/>
                <w:sz w:val="24"/>
                <w:szCs w:val="24"/>
                <w:highlight w:val="none"/>
              </w:rPr>
              <w:t xml:space="preserve">拟为本项目配备的项目团队检验人员中具有专职农（林）产品</w:t>
            </w:r>
            <w:r>
              <w:rPr>
                <w:rFonts w:hint="eastAsia" w:ascii="宋体" w:hAnsi="宋体" w:cs="宋体"/>
                <w:bCs/>
                <w:color w:val="auto"/>
                <w:sz w:val="24"/>
                <w:szCs w:val="24"/>
                <w:highlight w:val="none"/>
                <w:lang w:eastAsia="zh-CN"/>
              </w:rPr>
              <w:t xml:space="preserve">、食品</w:t>
            </w:r>
            <w:r>
              <w:rPr>
                <w:rFonts w:hint="eastAsia" w:ascii="宋体" w:hAnsi="宋体" w:cs="宋体"/>
                <w:bCs/>
                <w:color w:val="auto"/>
                <w:sz w:val="24"/>
                <w:szCs w:val="24"/>
                <w:highlight w:val="none"/>
              </w:rPr>
              <w:t xml:space="preserve">质量安全检验人员的数量：</w:t>
            </w:r>
            <w:r>
              <w:rPr>
                <w:rFonts w:hint="eastAsia" w:ascii="宋体" w:hAnsi="宋体" w:cs="宋体"/>
                <w:bCs/>
                <w:color w:val="auto"/>
                <w:sz w:val="24"/>
                <w:szCs w:val="24"/>
                <w:highlight w:val="none"/>
                <w:lang w:val="en-US" w:eastAsia="zh-CN"/>
              </w:rPr>
              <w:t xml:space="preserve">8</w:t>
            </w:r>
            <w:r>
              <w:rPr>
                <w:rFonts w:hint="eastAsia" w:ascii="宋体" w:hAnsi="宋体" w:cs="宋体"/>
                <w:bCs/>
                <w:color w:val="auto"/>
                <w:sz w:val="24"/>
                <w:szCs w:val="24"/>
                <w:highlight w:val="none"/>
              </w:rPr>
              <w:t xml:space="preserve">人（含）以下不得分，</w:t>
            </w:r>
            <w:r>
              <w:rPr>
                <w:rFonts w:hint="eastAsia" w:ascii="宋体" w:hAnsi="宋体" w:cs="宋体"/>
                <w:bCs/>
                <w:color w:val="auto"/>
                <w:sz w:val="24"/>
                <w:szCs w:val="24"/>
                <w:highlight w:val="none"/>
                <w:lang w:eastAsia="zh-CN"/>
              </w:rPr>
              <w:t xml:space="preserve">每增加</w:t>
            </w:r>
            <w:r>
              <w:rPr>
                <w:rFonts w:hint="eastAsia" w:ascii="宋体" w:hAnsi="宋体" w:cs="宋体"/>
                <w:bCs/>
                <w:color w:val="auto"/>
                <w:sz w:val="24"/>
                <w:szCs w:val="24"/>
                <w:highlight w:val="none"/>
                <w:lang w:val="en-US" w:eastAsia="zh-CN"/>
              </w:rPr>
              <w:t xml:space="preserve">1</w:t>
            </w:r>
            <w:r>
              <w:rPr>
                <w:rFonts w:hint="eastAsia" w:ascii="宋体" w:hAnsi="宋体" w:cs="宋体"/>
                <w:bCs/>
                <w:color w:val="auto"/>
                <w:sz w:val="24"/>
                <w:szCs w:val="24"/>
                <w:highlight w:val="none"/>
                <w:lang w:eastAsia="zh-CN"/>
              </w:rPr>
              <w:t xml:space="preserve">人得</w:t>
            </w:r>
            <w:r>
              <w:rPr>
                <w:rFonts w:hint="eastAsia" w:ascii="宋体" w:hAnsi="宋体" w:cs="宋体"/>
                <w:bCs/>
                <w:color w:val="auto"/>
                <w:sz w:val="24"/>
                <w:szCs w:val="24"/>
                <w:highlight w:val="none"/>
                <w:lang w:val="en-US" w:eastAsia="zh-CN"/>
              </w:rPr>
              <w:t xml:space="preserve">1分</w:t>
            </w:r>
            <w:r>
              <w:rPr>
                <w:rFonts w:hint="eastAsia" w:ascii="宋体" w:hAnsi="宋体" w:cs="宋体"/>
                <w:bCs/>
                <w:color w:val="auto"/>
                <w:sz w:val="24"/>
                <w:szCs w:val="24"/>
                <w:highlight w:val="none"/>
              </w:rPr>
              <w:t xml:space="preserve">，满分</w:t>
            </w:r>
            <w:r>
              <w:rPr>
                <w:rFonts w:hint="eastAsia" w:ascii="宋体" w:hAnsi="宋体" w:cs="宋体"/>
                <w:bCs/>
                <w:color w:val="auto"/>
                <w:sz w:val="24"/>
                <w:szCs w:val="24"/>
                <w:highlight w:val="none"/>
                <w:lang w:val="en-US" w:eastAsia="zh-CN"/>
              </w:rPr>
              <w:t xml:space="preserve">10</w:t>
            </w:r>
            <w:r>
              <w:rPr>
                <w:rFonts w:hint="eastAsia" w:ascii="宋体" w:hAnsi="宋体" w:cs="宋体"/>
                <w:bCs/>
                <w:color w:val="auto"/>
                <w:sz w:val="24"/>
                <w:szCs w:val="24"/>
                <w:highlight w:val="none"/>
              </w:rPr>
              <w:t xml:space="preserve">分。</w:t>
            </w:r>
            <w:r/>
          </w:p>
          <w:p>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注：提供</w:t>
            </w:r>
            <w:r>
              <w:rPr>
                <w:rFonts w:hint="eastAsia" w:ascii="宋体" w:hAnsi="宋体" w:cs="宋体"/>
                <w:bCs/>
                <w:color w:val="auto"/>
                <w:sz w:val="24"/>
                <w:szCs w:val="24"/>
                <w:highlight w:val="none"/>
                <w:lang w:val="en-US" w:eastAsia="zh-CN"/>
              </w:rPr>
              <w:t xml:space="preserve">投标人参加投标前</w:t>
            </w:r>
            <w:r>
              <w:rPr>
                <w:rFonts w:hint="eastAsia" w:ascii="宋体" w:hAnsi="宋体" w:cs="宋体"/>
                <w:bCs/>
                <w:color w:val="auto"/>
                <w:sz w:val="24"/>
                <w:szCs w:val="24"/>
                <w:highlight w:val="none"/>
              </w:rPr>
              <w:t xml:space="preserve">任意一个月为其缴纳的社保记录的证明材料，以上内容需加盖投标人公章。以上证明材料未提供或提供不全或不清晰不明确或不符合要求不得分。</w:t>
            </w:r>
            <w:r/>
          </w:p>
        </w:tc>
        <w:tc>
          <w:tcPr>
            <w:tcW w:w="791"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10分</w:t>
            </w:r>
            <w:r/>
          </w:p>
        </w:tc>
      </w:tr>
      <w:tr>
        <w:trPr>
          <w:jc w:val="center"/>
          <w:trHeight w:val="2986"/>
        </w:trPr>
        <w:tc>
          <w:tcPr>
            <w:tcW w:w="594"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75"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6702" w:type="dxa"/>
            <w:textDirection w:val="lrTb"/>
            <w:noWrap w:val="false"/>
          </w:tcPr>
          <w:p>
            <w:pPr>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项目团队检验人员职称数量：</w:t>
            </w:r>
            <w:r/>
          </w:p>
          <w:p>
            <w:pPr>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投标人</w:t>
            </w:r>
            <w:r>
              <w:rPr>
                <w:rFonts w:hint="eastAsia" w:ascii="宋体" w:hAnsi="宋体" w:cs="宋体"/>
                <w:bCs/>
                <w:color w:val="auto"/>
                <w:sz w:val="24"/>
                <w:szCs w:val="24"/>
                <w:highlight w:val="none"/>
              </w:rPr>
              <w:t xml:space="preserve">拟为本项目配备的项目团队检验人员中从事农（林）产品</w:t>
            </w:r>
            <w:r>
              <w:rPr>
                <w:rFonts w:hint="eastAsia" w:ascii="宋体" w:hAnsi="宋体" w:cs="宋体"/>
                <w:bCs/>
                <w:color w:val="auto"/>
                <w:sz w:val="24"/>
                <w:szCs w:val="24"/>
                <w:highlight w:val="none"/>
                <w:lang w:eastAsia="zh-CN"/>
              </w:rPr>
              <w:t xml:space="preserve">、食品</w:t>
            </w:r>
            <w:r>
              <w:rPr>
                <w:rFonts w:hint="eastAsia" w:ascii="宋体" w:hAnsi="宋体" w:cs="宋体"/>
                <w:bCs/>
                <w:color w:val="auto"/>
                <w:sz w:val="24"/>
                <w:szCs w:val="24"/>
                <w:highlight w:val="none"/>
              </w:rPr>
              <w:t xml:space="preserve">质量安全检验工作的</w:t>
            </w:r>
            <w:r>
              <w:rPr>
                <w:rFonts w:hint="eastAsia" w:ascii="宋体" w:hAnsi="宋体" w:cs="宋体"/>
                <w:bCs/>
                <w:color w:val="auto"/>
                <w:sz w:val="24"/>
                <w:szCs w:val="24"/>
                <w:highlight w:val="none"/>
                <w:lang w:eastAsia="zh-CN"/>
              </w:rPr>
              <w:t xml:space="preserve">正</w:t>
            </w:r>
            <w:r>
              <w:rPr>
                <w:rFonts w:hint="eastAsia" w:ascii="宋体" w:hAnsi="宋体" w:cs="宋体"/>
                <w:bCs/>
                <w:color w:val="auto"/>
                <w:sz w:val="24"/>
                <w:szCs w:val="24"/>
                <w:highlight w:val="none"/>
              </w:rPr>
              <w:t xml:space="preserve">高级专业技术职称人员数量：每有1人得1分，满分5分。同一人只取其职称最高级，不重复计算。</w:t>
            </w:r>
            <w:r/>
          </w:p>
          <w:p>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注：同时提供一一对应的专业技术职称证明材料、</w:t>
            </w:r>
            <w:r>
              <w:rPr>
                <w:rFonts w:hint="eastAsia" w:ascii="宋体" w:hAnsi="宋体" w:cs="宋体"/>
                <w:bCs/>
                <w:color w:val="auto"/>
                <w:sz w:val="24"/>
                <w:szCs w:val="24"/>
                <w:highlight w:val="none"/>
                <w:lang w:val="en-US" w:eastAsia="zh-CN"/>
              </w:rPr>
              <w:t xml:space="preserve">投标人参加投标前</w:t>
            </w:r>
            <w:r>
              <w:rPr>
                <w:rFonts w:hint="eastAsia" w:ascii="宋体" w:hAnsi="宋体" w:cs="宋体"/>
                <w:bCs/>
                <w:color w:val="auto"/>
                <w:sz w:val="24"/>
                <w:szCs w:val="24"/>
                <w:highlight w:val="none"/>
              </w:rPr>
              <w:t xml:space="preserve">任意一个月为其缴纳的社保记录的证明材料，以上内容需加盖投标人公章。以上证明材料未提供或提供不全或不清晰不明确或不符合要求不得分。</w:t>
            </w:r>
            <w:r/>
          </w:p>
        </w:tc>
        <w:tc>
          <w:tcPr>
            <w:tcW w:w="791"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5分</w:t>
            </w:r>
            <w:r/>
          </w:p>
        </w:tc>
      </w:tr>
      <w:tr>
        <w:trPr>
          <w:jc w:val="center"/>
          <w:trHeight w:val="2017"/>
        </w:trPr>
        <w:tc>
          <w:tcPr>
            <w:tcW w:w="594" w:type="dxa"/>
            <w:vAlign w:val="center"/>
            <w:vMerge w:val="restart"/>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1275" w:type="dxa"/>
            <w:vAlign w:val="center"/>
            <w:vMerge w:val="restart"/>
            <w:textDirection w:val="lrTb"/>
            <w:noWrap w:val="false"/>
          </w:tcPr>
          <w:p>
            <w:pPr>
              <w:jc w:val="cente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履约能力</w:t>
            </w:r>
            <w:r/>
          </w:p>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（19分）</w:t>
            </w:r>
            <w:r/>
          </w:p>
        </w:tc>
        <w:tc>
          <w:tcPr>
            <w:tcW w:w="6702" w:type="dxa"/>
            <w:textDirection w:val="lrTb"/>
            <w:noWrap w:val="false"/>
          </w:tcPr>
          <w:p>
            <w:pPr>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实验场所</w:t>
            </w:r>
            <w:r>
              <w:rPr>
                <w:rFonts w:hint="eastAsia" w:ascii="宋体" w:hAnsi="宋体" w:cs="宋体"/>
                <w:color w:val="auto"/>
                <w:sz w:val="24"/>
                <w:szCs w:val="24"/>
                <w:highlight w:val="none"/>
                <w:lang w:eastAsia="zh-CN"/>
              </w:rPr>
              <w:t xml:space="preserve">条件：</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根据投标人提供的与本投标文件相适应的实验场所配备情况进行评分：</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实验室（不含办公室）应配备①样品冷藏冷冻室②前处理室③仪器检测室，每配备一类得1分，满分3分。（须提供实验室平面布局图及产权或租赁证明复印件并加盖投标人公章）</w:t>
            </w:r>
            <w:r/>
          </w:p>
        </w:tc>
        <w:tc>
          <w:tcPr>
            <w:tcW w:w="791"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w:t>
            </w:r>
            <w:r/>
          </w:p>
        </w:tc>
      </w:tr>
      <w:tr>
        <w:trPr>
          <w:jc w:val="center"/>
          <w:trHeight w:val="3918"/>
        </w:trPr>
        <w:tc>
          <w:tcPr>
            <w:tcW w:w="594" w:type="dxa"/>
            <w:vAlign w:val="center"/>
            <w:vMerge w:val="continue"/>
            <w:textDirection w:val="lrTb"/>
            <w:noWrap w:val="false"/>
          </w:tcPr>
          <w:p>
            <w:pPr>
              <w:jc w:val="center"/>
            </w:pPr>
            <w:r/>
            <w:r/>
          </w:p>
        </w:tc>
        <w:tc>
          <w:tcPr>
            <w:tcW w:w="1275" w:type="dxa"/>
            <w:vAlign w:val="center"/>
            <w:vMerge w:val="continue"/>
            <w:textDirection w:val="lrTb"/>
            <w:noWrap w:val="false"/>
          </w:tcPr>
          <w:p>
            <w:pPr>
              <w:jc w:val="center"/>
            </w:pPr>
            <w:r/>
            <w:r/>
          </w:p>
        </w:tc>
        <w:tc>
          <w:tcPr>
            <w:tcW w:w="6702" w:type="dxa"/>
            <w:textDirection w:val="lrTb"/>
            <w:noWrap w:val="false"/>
          </w:tcPr>
          <w:p>
            <w:pPr>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实验设备</w:t>
            </w:r>
            <w:r>
              <w:rPr>
                <w:rFonts w:hint="eastAsia" w:ascii="宋体" w:hAnsi="宋体" w:cs="宋体"/>
                <w:color w:val="auto"/>
                <w:sz w:val="24"/>
                <w:szCs w:val="24"/>
                <w:highlight w:val="none"/>
                <w:lang w:eastAsia="zh-CN"/>
              </w:rPr>
              <w:t xml:space="preserve">条件：</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根据投标人提供的满足本项目要求的检验检测仪器设备的情况进行评分。实验室应配备：</w:t>
            </w:r>
            <w:r/>
          </w:p>
          <w:p>
            <w:pP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具有</w:t>
            </w:r>
            <w:r>
              <w:rPr>
                <w:rFonts w:hint="eastAsia" w:ascii="宋体" w:hAnsi="宋体" w:cs="宋体"/>
                <w:color w:val="auto"/>
                <w:sz w:val="24"/>
                <w:szCs w:val="24"/>
                <w:highlight w:val="none"/>
              </w:rPr>
              <w:t xml:space="preserve">气相色谱</w:t>
            </w:r>
            <w:r>
              <w:rPr>
                <w:rFonts w:hint="eastAsia" w:ascii="宋体" w:hAnsi="宋体" w:cs="宋体"/>
                <w:color w:val="auto"/>
                <w:sz w:val="24"/>
                <w:szCs w:val="24"/>
                <w:highlight w:val="none"/>
                <w:lang w:eastAsia="zh-CN"/>
              </w:rPr>
              <w:t xml:space="preserve">串联质谱仪的</w:t>
            </w:r>
            <w:r>
              <w:rPr>
                <w:rFonts w:hint="eastAsia" w:ascii="宋体" w:hAnsi="宋体" w:cs="宋体"/>
                <w:color w:val="auto"/>
                <w:sz w:val="24"/>
                <w:szCs w:val="24"/>
                <w:highlight w:val="none"/>
              </w:rPr>
              <w:t xml:space="preserve">每配备1台得1分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最高得2分</w:t>
            </w:r>
            <w:r>
              <w:rPr>
                <w:rFonts w:hint="eastAsia" w:ascii="宋体" w:hAnsi="宋体" w:cs="宋体"/>
                <w:color w:val="auto"/>
                <w:sz w:val="24"/>
                <w:szCs w:val="24"/>
                <w:highlight w:val="none"/>
              </w:rPr>
              <w:t xml:space="preserve">；</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具有</w:t>
            </w:r>
            <w:r>
              <w:rPr>
                <w:rFonts w:hint="eastAsia" w:ascii="宋体" w:hAnsi="宋体" w:cs="宋体"/>
                <w:color w:val="auto"/>
                <w:sz w:val="24"/>
                <w:szCs w:val="24"/>
                <w:highlight w:val="none"/>
              </w:rPr>
              <w:t xml:space="preserve">液相色谱串联质谱仪</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电感耦合等离子体质谱仪</w:t>
            </w:r>
            <w:r>
              <w:rPr>
                <w:rFonts w:hint="eastAsia" w:ascii="宋体" w:hAnsi="宋体" w:cs="宋体"/>
                <w:color w:val="auto"/>
                <w:sz w:val="24"/>
                <w:szCs w:val="24"/>
                <w:highlight w:val="none"/>
                <w:lang w:val="en-US" w:eastAsia="zh-CN"/>
              </w:rPr>
              <w:t xml:space="preserve">的</w:t>
            </w:r>
            <w:r>
              <w:rPr>
                <w:rFonts w:hint="eastAsia" w:ascii="宋体" w:hAnsi="宋体" w:cs="宋体"/>
                <w:color w:val="auto"/>
                <w:sz w:val="24"/>
                <w:szCs w:val="24"/>
                <w:highlight w:val="none"/>
              </w:rPr>
              <w:t xml:space="preserve">每配备1台得1分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最高得2分</w:t>
            </w:r>
            <w:r>
              <w:rPr>
                <w:rFonts w:hint="eastAsia" w:ascii="宋体" w:hAnsi="宋体" w:cs="宋体"/>
                <w:color w:val="auto"/>
                <w:sz w:val="24"/>
                <w:szCs w:val="24"/>
                <w:highlight w:val="none"/>
              </w:rPr>
              <w:t xml:space="preserve">；</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具有</w:t>
            </w:r>
            <w:r>
              <w:rPr>
                <w:rFonts w:hint="eastAsia" w:ascii="宋体" w:hAnsi="宋体" w:cs="宋体"/>
                <w:color w:val="auto"/>
                <w:sz w:val="24"/>
                <w:szCs w:val="24"/>
                <w:highlight w:val="none"/>
              </w:rPr>
              <w:t xml:space="preserve">原子吸收光谱仪</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原子吸收分光光度计</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原子荧光光度计</w:t>
            </w:r>
            <w:r>
              <w:rPr>
                <w:rFonts w:hint="eastAsia" w:ascii="宋体" w:hAnsi="宋体" w:cs="宋体"/>
                <w:color w:val="auto"/>
                <w:sz w:val="24"/>
                <w:szCs w:val="24"/>
                <w:highlight w:val="none"/>
                <w:lang w:eastAsia="zh-CN"/>
              </w:rPr>
              <w:t xml:space="preserve">的</w:t>
            </w:r>
            <w:r>
              <w:rPr>
                <w:rFonts w:hint="eastAsia" w:ascii="宋体" w:hAnsi="宋体" w:cs="宋体"/>
                <w:color w:val="auto"/>
                <w:sz w:val="24"/>
                <w:szCs w:val="24"/>
                <w:highlight w:val="none"/>
              </w:rPr>
              <w:t xml:space="preserve">每配备1台得1分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最高得2分</w:t>
            </w:r>
            <w:r>
              <w:rPr>
                <w:rFonts w:hint="eastAsia" w:ascii="宋体" w:hAnsi="宋体" w:cs="宋体"/>
                <w:color w:val="auto"/>
                <w:sz w:val="24"/>
                <w:szCs w:val="24"/>
                <w:highlight w:val="none"/>
              </w:rPr>
              <w:t xml:space="preserve">；</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具有</w:t>
            </w:r>
            <w:r>
              <w:rPr>
                <w:rFonts w:hint="eastAsia" w:ascii="宋体" w:hAnsi="宋体" w:cs="宋体"/>
                <w:color w:val="auto"/>
                <w:sz w:val="24"/>
                <w:szCs w:val="24"/>
                <w:highlight w:val="none"/>
                <w:lang w:eastAsia="zh-CN"/>
              </w:rPr>
              <w:t xml:space="preserve">高分辨质谱仪</w:t>
            </w:r>
            <w:r>
              <w:rPr>
                <w:rFonts w:hint="eastAsia" w:ascii="宋体" w:hAnsi="宋体" w:cs="宋体"/>
                <w:color w:val="auto"/>
                <w:sz w:val="24"/>
                <w:szCs w:val="24"/>
                <w:highlight w:val="none"/>
              </w:rPr>
              <w:t xml:space="preserve">，每配备1台得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最高得2分</w:t>
            </w:r>
            <w:r>
              <w:rPr>
                <w:rFonts w:hint="eastAsia" w:ascii="宋体" w:hAnsi="宋体" w:cs="宋体"/>
                <w:color w:val="auto"/>
                <w:sz w:val="24"/>
                <w:szCs w:val="24"/>
                <w:highlight w:val="none"/>
              </w:rPr>
              <w:t xml:space="preserve">；</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注：提供</w:t>
            </w:r>
            <w:r>
              <w:rPr>
                <w:rFonts w:hint="eastAsia" w:ascii="宋体" w:hAnsi="宋体" w:cs="宋体"/>
                <w:color w:val="auto"/>
                <w:sz w:val="24"/>
                <w:szCs w:val="24"/>
                <w:highlight w:val="none"/>
                <w:lang w:val="en-US" w:eastAsia="zh-CN"/>
              </w:rPr>
              <w:t xml:space="preserve">仪器设备清单（须提供</w:t>
            </w:r>
            <w:r>
              <w:rPr>
                <w:rFonts w:hint="eastAsia" w:ascii="宋体" w:hAnsi="宋体" w:cs="宋体"/>
                <w:color w:val="auto"/>
                <w:sz w:val="24"/>
                <w:szCs w:val="24"/>
                <w:highlight w:val="none"/>
              </w:rPr>
              <w:t xml:space="preserve">设备购置发票</w:t>
            </w:r>
            <w:r>
              <w:rPr>
                <w:rFonts w:hint="eastAsia" w:ascii="宋体" w:hAnsi="宋体" w:cs="宋体"/>
                <w:color w:val="auto"/>
                <w:sz w:val="24"/>
                <w:szCs w:val="24"/>
                <w:highlight w:val="none"/>
                <w:lang w:eastAsia="zh-CN"/>
              </w:rPr>
              <w:t xml:space="preserve">（与投标供应商名称一致）</w:t>
            </w:r>
            <w:r>
              <w:rPr>
                <w:rFonts w:hint="eastAsia" w:ascii="宋体" w:hAnsi="宋体" w:cs="宋体"/>
                <w:color w:val="auto"/>
                <w:sz w:val="24"/>
                <w:szCs w:val="24"/>
                <w:highlight w:val="none"/>
              </w:rPr>
              <w:t xml:space="preserve">复印件并加盖公章</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提供资料不全或未提供不得分。</w:t>
            </w:r>
            <w:r>
              <w:rPr>
                <w:rFonts w:hint="eastAsia" w:ascii="宋体" w:hAnsi="宋体" w:cs="宋体"/>
                <w:color w:val="auto"/>
                <w:sz w:val="24"/>
                <w:szCs w:val="24"/>
                <w:highlight w:val="none"/>
                <w:lang w:val="en-US" w:eastAsia="zh-CN"/>
              </w:rPr>
              <w:t xml:space="preserve">）</w:t>
            </w:r>
            <w:r/>
          </w:p>
        </w:tc>
        <w:tc>
          <w:tcPr>
            <w:tcW w:w="791"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8分</w:t>
            </w:r>
            <w:r/>
          </w:p>
        </w:tc>
      </w:tr>
      <w:tr>
        <w:trPr>
          <w:jc w:val="center"/>
          <w:trHeight w:val="2318"/>
        </w:trPr>
        <w:tc>
          <w:tcPr>
            <w:tcW w:w="594"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75"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6702" w:type="dxa"/>
            <w:textDirection w:val="lrTb"/>
            <w:noWrap w:val="false"/>
          </w:tcPr>
          <w:p>
            <w:pPr>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响应时效</w:t>
            </w:r>
            <w:r>
              <w:rPr>
                <w:rFonts w:hint="eastAsia" w:ascii="宋体" w:hAnsi="宋体" w:cs="宋体"/>
                <w:color w:val="auto"/>
                <w:sz w:val="24"/>
                <w:szCs w:val="24"/>
                <w:highlight w:val="none"/>
                <w:lang w:eastAsia="zh-CN"/>
              </w:rPr>
              <w:t xml:space="preserve">：</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若采购人遇到紧急监测任务、技术问题时，</w:t>
            </w:r>
            <w:r>
              <w:rPr>
                <w:rFonts w:hint="eastAsia" w:ascii="宋体" w:hAnsi="宋体" w:cs="宋体"/>
                <w:color w:val="auto"/>
                <w:sz w:val="24"/>
                <w:szCs w:val="24"/>
                <w:highlight w:val="none"/>
                <w:lang w:val="en-US" w:eastAsia="zh-CN"/>
              </w:rPr>
              <w:t xml:space="preserve">投标人</w:t>
            </w:r>
            <w:r>
              <w:rPr>
                <w:rFonts w:hint="eastAsia" w:ascii="宋体" w:hAnsi="宋体" w:cs="宋体"/>
                <w:color w:val="auto"/>
                <w:sz w:val="24"/>
                <w:szCs w:val="24"/>
                <w:highlight w:val="none"/>
              </w:rPr>
              <w:t xml:space="preserve">应立刻响应，承诺技术人员60（含60）分钟内到达采购人办公现场的得2分；大于60分钟响应不得分。</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注：须提供响应时效承诺函加盖投标人公章。提供资料不全或未提供或不符合要求不得分。</w:t>
            </w:r>
            <w:r/>
          </w:p>
        </w:tc>
        <w:tc>
          <w:tcPr>
            <w:tcW w:w="791"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2分</w:t>
            </w:r>
            <w:r/>
          </w:p>
        </w:tc>
      </w:tr>
      <w:tr>
        <w:trPr>
          <w:jc w:val="center"/>
          <w:trHeight w:val="253"/>
        </w:trPr>
        <w:tc>
          <w:tcPr>
            <w:tcW w:w="594"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75"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6702" w:type="dxa"/>
            <w:textDirection w:val="lrTb"/>
            <w:noWrap w:val="false"/>
          </w:tcPr>
          <w:p>
            <w:pPr>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能力验证</w:t>
            </w:r>
            <w:r>
              <w:rPr>
                <w:rFonts w:hint="eastAsia" w:ascii="宋体" w:hAnsi="宋体" w:cs="宋体"/>
                <w:color w:val="auto"/>
                <w:sz w:val="24"/>
                <w:szCs w:val="24"/>
                <w:highlight w:val="none"/>
                <w:lang w:eastAsia="zh-CN"/>
              </w:rPr>
              <w:t xml:space="preserve">：</w:t>
            </w:r>
            <w:r/>
          </w:p>
          <w:p>
            <w:pPr>
              <w:rPr>
                <w:rFonts w:hint="eastAsia" w:ascii="宋体" w:hAnsi="宋体" w:cs="宋体"/>
                <w:color w:val="ff0000"/>
                <w:sz w:val="24"/>
                <w:szCs w:val="24"/>
                <w:highlight w:val="none"/>
              </w:rPr>
            </w:pPr>
            <w:r>
              <w:rPr>
                <w:rFonts w:hint="eastAsia" w:ascii="宋体" w:hAnsi="宋体" w:cs="宋体"/>
                <w:color w:val="auto"/>
                <w:sz w:val="24"/>
                <w:szCs w:val="24"/>
                <w:highlight w:val="none"/>
              </w:rPr>
              <w:t xml:space="preserve">投标人自202</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月1日（含）以来参加过国家市场监管总局</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行业</w:t>
            </w:r>
            <w:r>
              <w:rPr>
                <w:rFonts w:hint="eastAsia" w:ascii="宋体" w:hAnsi="宋体" w:cs="宋体"/>
                <w:color w:val="auto"/>
                <w:sz w:val="24"/>
                <w:szCs w:val="24"/>
                <w:highlight w:val="none"/>
                <w:lang w:eastAsia="zh-CN"/>
              </w:rPr>
              <w:t xml:space="preserve">主管部门委托的</w:t>
            </w:r>
            <w:r>
              <w:rPr>
                <w:rFonts w:hint="eastAsia" w:ascii="宋体" w:hAnsi="宋体" w:cs="宋体"/>
                <w:color w:val="auto"/>
                <w:sz w:val="24"/>
                <w:szCs w:val="24"/>
                <w:highlight w:val="none"/>
              </w:rPr>
              <w:t xml:space="preserve">相关机构组织的食品检测项目的实验室能力验证，需包含农药残留、重金属两个领域且结果为满意的，每一</w:t>
            </w:r>
            <w:r>
              <w:rPr>
                <w:rFonts w:hint="eastAsia" w:ascii="宋体" w:hAnsi="宋体" w:cs="宋体"/>
                <w:color w:val="auto"/>
                <w:sz w:val="24"/>
                <w:szCs w:val="24"/>
                <w:highlight w:val="none"/>
                <w:lang w:eastAsia="zh-CN"/>
              </w:rPr>
              <w:t xml:space="preserve">个</w:t>
            </w:r>
            <w:r>
              <w:rPr>
                <w:rFonts w:hint="eastAsia" w:ascii="宋体" w:hAnsi="宋体" w:cs="宋体"/>
                <w:color w:val="auto"/>
                <w:sz w:val="24"/>
                <w:szCs w:val="24"/>
                <w:highlight w:val="none"/>
              </w:rPr>
              <w:t xml:space="preserve">领域每次</w:t>
            </w:r>
            <w:r>
              <w:rPr>
                <w:rFonts w:hint="eastAsia" w:ascii="宋体" w:hAnsi="宋体" w:cs="宋体"/>
                <w:color w:val="auto"/>
                <w:sz w:val="24"/>
                <w:szCs w:val="24"/>
                <w:highlight w:val="none"/>
                <w:lang w:val="en-US" w:eastAsia="zh-CN"/>
              </w:rPr>
              <w:t xml:space="preserve">满意</w:t>
            </w:r>
            <w:r>
              <w:rPr>
                <w:rFonts w:hint="eastAsia" w:ascii="宋体" w:hAnsi="宋体" w:cs="宋体"/>
                <w:color w:val="auto"/>
                <w:sz w:val="24"/>
                <w:szCs w:val="24"/>
                <w:highlight w:val="none"/>
              </w:rPr>
              <w:t xml:space="preserve">结果得2分，本项最高得</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分。同一领域参加多次的，按一次计算，不重复计分。</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需提供能力验证报告及证明结果满意的证书复印件并加盖投标人公章，证明材料信息与投标人一致，信息不一致或获得不满意结果的或未提供有效证明文件或证明文件不清晰、不明确、不符合要求的均不得分。</w:t>
            </w:r>
            <w:r/>
          </w:p>
        </w:tc>
        <w:tc>
          <w:tcPr>
            <w:tcW w:w="791" w:type="dxa"/>
            <w:vAlign w:val="center"/>
            <w:textDirection w:val="lrTb"/>
            <w:noWrap w:val="false"/>
          </w:tcPr>
          <w:p>
            <w:pPr>
              <w:jc w:val="center"/>
              <w:rPr>
                <w:rFonts w:hint="default"/>
                <w:lang w:val="en-US" w:eastAsia="zh-CN"/>
              </w:rPr>
            </w:pPr>
            <w:r>
              <w:rPr>
                <w:rFonts w:hint="eastAsia" w:ascii="宋体" w:hAnsi="宋体" w:cs="宋体"/>
                <w:color w:val="auto"/>
                <w:sz w:val="24"/>
                <w:szCs w:val="24"/>
                <w:highlight w:val="none"/>
                <w:lang w:val="en-US" w:eastAsia="zh-CN"/>
              </w:rPr>
              <w:t xml:space="preserve">6分</w:t>
            </w:r>
            <w:r/>
          </w:p>
        </w:tc>
      </w:tr>
      <w:tr>
        <w:trPr>
          <w:jc w:val="center"/>
          <w:trHeight w:val="1067"/>
        </w:trPr>
        <w:tc>
          <w:tcPr>
            <w:tcW w:w="594"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4</w:t>
            </w:r>
            <w:r/>
          </w:p>
        </w:tc>
        <w:tc>
          <w:tcPr>
            <w:tcW w:w="1275" w:type="dxa"/>
            <w:vAlign w:val="center"/>
            <w:textDirection w:val="lrTb"/>
            <w:noWrap w:val="false"/>
          </w:tcPr>
          <w:p>
            <w:pPr>
              <w:jc w:val="cente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业绩</w:t>
            </w:r>
            <w:r/>
          </w:p>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（10分）</w:t>
            </w:r>
            <w:r/>
          </w:p>
        </w:tc>
        <w:tc>
          <w:tcPr>
            <w:tcW w:w="6702" w:type="dxa"/>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自202</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月1日（以合同签订时间为准）以来，</w:t>
            </w:r>
            <w:r>
              <w:rPr>
                <w:rFonts w:hint="eastAsia" w:ascii="宋体" w:hAnsi="宋体" w:cs="宋体"/>
                <w:color w:val="auto"/>
                <w:sz w:val="24"/>
                <w:szCs w:val="24"/>
                <w:highlight w:val="none"/>
                <w:lang w:val="en-US" w:eastAsia="zh-CN"/>
              </w:rPr>
              <w:t xml:space="preserve">投标人</w:t>
            </w:r>
            <w:r>
              <w:rPr>
                <w:rFonts w:hint="eastAsia" w:ascii="宋体" w:hAnsi="宋体" w:cs="宋体"/>
                <w:color w:val="auto"/>
                <w:sz w:val="24"/>
                <w:szCs w:val="24"/>
                <w:highlight w:val="none"/>
              </w:rPr>
              <w:t xml:space="preserve">承担过与本项目类似的农（林）产品</w:t>
            </w:r>
            <w:r>
              <w:rPr>
                <w:rFonts w:hint="eastAsia" w:ascii="宋体" w:hAnsi="宋体" w:cs="宋体"/>
                <w:color w:val="auto"/>
                <w:sz w:val="24"/>
                <w:szCs w:val="24"/>
                <w:highlight w:val="none"/>
                <w:lang w:eastAsia="zh-CN"/>
              </w:rPr>
              <w:t xml:space="preserve">、食品</w:t>
            </w:r>
            <w:r>
              <w:rPr>
                <w:rFonts w:hint="eastAsia" w:ascii="宋体" w:hAnsi="宋体" w:cs="宋体"/>
                <w:color w:val="auto"/>
                <w:sz w:val="24"/>
                <w:szCs w:val="24"/>
                <w:highlight w:val="none"/>
              </w:rPr>
              <w:t xml:space="preserve">质量安全监测</w:t>
            </w:r>
            <w:r>
              <w:rPr>
                <w:rFonts w:hint="eastAsia" w:ascii="宋体" w:hAnsi="宋体" w:cs="宋体"/>
                <w:color w:val="auto"/>
                <w:sz w:val="24"/>
                <w:szCs w:val="24"/>
                <w:highlight w:val="none"/>
                <w:lang w:eastAsia="zh-CN"/>
              </w:rPr>
              <w:t xml:space="preserve">检测</w:t>
            </w:r>
            <w:r>
              <w:rPr>
                <w:rFonts w:hint="eastAsia" w:ascii="宋体" w:hAnsi="宋体" w:cs="宋体"/>
                <w:color w:val="auto"/>
                <w:sz w:val="24"/>
                <w:szCs w:val="24"/>
                <w:highlight w:val="none"/>
              </w:rPr>
              <w:t xml:space="preserve">任务，每提供一个合同得2分，最多得10分。</w:t>
            </w:r>
            <w:r/>
          </w:p>
          <w:p>
            <w:pPr>
              <w:rPr>
                <w:rFonts w:ascii="宋体" w:hAnsi="宋体" w:cs="宋体"/>
                <w:color w:val="auto"/>
                <w:sz w:val="24"/>
                <w:szCs w:val="24"/>
                <w:highlight w:val="none"/>
              </w:rPr>
            </w:pPr>
            <w:r>
              <w:rPr>
                <w:rFonts w:hint="eastAsia" w:ascii="宋体" w:hAnsi="宋体" w:cs="宋体"/>
                <w:color w:val="auto"/>
                <w:sz w:val="24"/>
                <w:szCs w:val="24"/>
                <w:highlight w:val="none"/>
              </w:rPr>
              <w:t xml:space="preserve">注：需同时提供中标通知书</w:t>
            </w:r>
            <w:r>
              <w:rPr>
                <w:rFonts w:hint="eastAsia" w:ascii="宋体" w:hAnsi="宋体" w:cs="宋体"/>
                <w:color w:val="auto"/>
                <w:sz w:val="24"/>
                <w:szCs w:val="24"/>
                <w:highlight w:val="none"/>
                <w:lang w:eastAsia="zh-CN"/>
              </w:rPr>
              <w:t xml:space="preserve">或</w:t>
            </w:r>
            <w:r>
              <w:rPr>
                <w:rFonts w:hint="eastAsia" w:ascii="宋体" w:hAnsi="宋体" w:cs="宋体"/>
                <w:color w:val="auto"/>
                <w:sz w:val="24"/>
                <w:szCs w:val="24"/>
                <w:highlight w:val="none"/>
              </w:rPr>
              <w:t xml:space="preserve">合同复印件并加盖公章，合同应能反映相关信息证明与本项目类似的主要内容。此业绩与</w:t>
            </w:r>
            <w:r>
              <w:rPr>
                <w:rFonts w:hint="eastAsia" w:ascii="宋体" w:hAnsi="宋体" w:cs="宋体"/>
                <w:color w:val="auto"/>
                <w:sz w:val="24"/>
                <w:szCs w:val="24"/>
                <w:highlight w:val="none"/>
                <w:lang w:val="en-US" w:eastAsia="zh-CN"/>
              </w:rPr>
              <w:t xml:space="preserve">此前</w:t>
            </w:r>
            <w:r>
              <w:rPr>
                <w:rFonts w:hint="eastAsia" w:ascii="宋体" w:hAnsi="宋体" w:cs="宋体"/>
                <w:color w:val="auto"/>
                <w:sz w:val="24"/>
                <w:szCs w:val="24"/>
                <w:highlight w:val="none"/>
              </w:rPr>
              <w:t xml:space="preserve">技术负责人业绩可兼得。证明材料未提供或提供不全或不清晰不明确或不符合要求不得分。</w:t>
            </w:r>
            <w:r/>
          </w:p>
        </w:tc>
        <w:tc>
          <w:tcPr>
            <w:tcW w:w="791"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分</w:t>
            </w:r>
            <w:r/>
          </w:p>
        </w:tc>
      </w:tr>
      <w:tr>
        <w:trPr>
          <w:jc w:val="center"/>
          <w:trHeight w:val="3330"/>
        </w:trPr>
        <w:tc>
          <w:tcPr>
            <w:tcW w:w="594" w:type="dxa"/>
            <w:vAlign w:val="center"/>
            <w:vMerge w:val="restart"/>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5</w:t>
            </w:r>
            <w:r/>
          </w:p>
        </w:tc>
        <w:tc>
          <w:tcPr>
            <w:tcW w:w="1275" w:type="dxa"/>
            <w:vAlign w:val="center"/>
            <w:vMerge w:val="restart"/>
            <w:textDirection w:val="lrTb"/>
            <w:noWrap w:val="false"/>
          </w:tcPr>
          <w:p>
            <w:pPr>
              <w:jc w:val="cente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项目实施方案</w:t>
            </w:r>
            <w:r/>
          </w:p>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（40分）</w:t>
            </w:r>
            <w:r/>
          </w:p>
        </w:tc>
        <w:tc>
          <w:tcPr>
            <w:tcW w:w="6702" w:type="dxa"/>
            <w:textDirection w:val="lrTb"/>
            <w:noWrap w:val="false"/>
          </w:tcPr>
          <w:p>
            <w:pPr>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现场调查方案：</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投标人</w:t>
            </w:r>
            <w:r>
              <w:rPr>
                <w:rFonts w:hint="eastAsia" w:ascii="宋体" w:hAnsi="宋体" w:cs="宋体"/>
                <w:color w:val="auto"/>
                <w:sz w:val="24"/>
                <w:szCs w:val="24"/>
                <w:highlight w:val="none"/>
              </w:rPr>
              <w:t xml:space="preserve">需遵循采购人的工作思路，结合本项目采购需求，提供现场调查方案，根据投标人提供的现场调查方案内容</w:t>
            </w:r>
            <w:r>
              <w:rPr>
                <w:rFonts w:hint="eastAsia" w:ascii="宋体" w:hAnsi="宋体" w:cs="宋体"/>
                <w:color w:val="auto"/>
                <w:sz w:val="24"/>
                <w:szCs w:val="24"/>
                <w:highlight w:val="none"/>
                <w:lang w:val="en-US" w:eastAsia="zh-CN"/>
              </w:rPr>
              <w:t xml:space="preserve">进行</w:t>
            </w:r>
            <w:r>
              <w:rPr>
                <w:rFonts w:hint="eastAsia" w:ascii="宋体" w:hAnsi="宋体" w:cs="宋体"/>
                <w:color w:val="auto"/>
                <w:sz w:val="24"/>
                <w:szCs w:val="24"/>
                <w:highlight w:val="none"/>
              </w:rPr>
              <w:t xml:space="preserve">评审：</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（1）方案全面完整，步骤细化明确、科学合理，可操作性强，对顺利实施有保障，得</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分；</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（2）方案较全但有欠缺，步骤较清晰但有不明确之处，可操作性方面有瑕疵，得</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（3）方案不全面，有缺漏，步骤较混乱，可操作性不强，得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w:t>
            </w:r>
            <w:r/>
          </w:p>
          <w:p>
            <w:pPr>
              <w:rPr>
                <w:rFonts w:ascii="宋体" w:hAnsi="宋体" w:cs="宋体"/>
                <w:color w:val="auto"/>
                <w:sz w:val="24"/>
                <w:szCs w:val="24"/>
                <w:highlight w:val="none"/>
              </w:rPr>
            </w:pPr>
            <w:r>
              <w:rPr>
                <w:rFonts w:hint="eastAsia" w:ascii="宋体" w:hAnsi="宋体" w:cs="宋体"/>
                <w:color w:val="auto"/>
                <w:sz w:val="24"/>
                <w:szCs w:val="24"/>
                <w:highlight w:val="none"/>
              </w:rPr>
              <w:t xml:space="preserve">（4）其他不得分。</w:t>
            </w:r>
            <w:r/>
          </w:p>
        </w:tc>
        <w:tc>
          <w:tcPr>
            <w:tcW w:w="791"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分</w:t>
            </w:r>
            <w:r/>
          </w:p>
        </w:tc>
      </w:tr>
      <w:tr>
        <w:trPr>
          <w:jc w:val="center"/>
          <w:trHeight w:val="3579"/>
        </w:trPr>
        <w:tc>
          <w:tcPr>
            <w:tcW w:w="594" w:type="dxa"/>
            <w:vAlign w:val="center"/>
            <w:vMerge w:val="continue"/>
            <w:textDirection w:val="lrTb"/>
            <w:noWrap w:val="false"/>
          </w:tcPr>
          <w:p>
            <w:pPr>
              <w:jc w:val="center"/>
            </w:pPr>
            <w:r/>
            <w:r/>
          </w:p>
        </w:tc>
        <w:tc>
          <w:tcPr>
            <w:tcW w:w="1275" w:type="dxa"/>
            <w:vAlign w:val="center"/>
            <w:vMerge w:val="continue"/>
            <w:textDirection w:val="lrTb"/>
            <w:noWrap w:val="false"/>
          </w:tcPr>
          <w:p>
            <w:pPr>
              <w:jc w:val="center"/>
            </w:pPr>
            <w:r/>
            <w:r/>
          </w:p>
        </w:tc>
        <w:tc>
          <w:tcPr>
            <w:tcW w:w="6702" w:type="dxa"/>
            <w:textDirection w:val="lrTb"/>
            <w:noWrap w:val="false"/>
          </w:tcPr>
          <w:p>
            <w:pPr>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采样方案</w:t>
            </w:r>
            <w:r>
              <w:rPr>
                <w:rFonts w:hint="eastAsia" w:ascii="宋体" w:hAnsi="宋体" w:cs="宋体"/>
                <w:color w:val="auto"/>
                <w:sz w:val="24"/>
                <w:szCs w:val="24"/>
                <w:highlight w:val="none"/>
                <w:lang w:eastAsia="zh-CN"/>
              </w:rPr>
              <w:t xml:space="preserve">：</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投标人</w:t>
            </w:r>
            <w:r>
              <w:rPr>
                <w:rFonts w:hint="eastAsia" w:ascii="宋体" w:hAnsi="宋体" w:cs="宋体"/>
                <w:color w:val="auto"/>
                <w:sz w:val="24"/>
                <w:szCs w:val="24"/>
                <w:highlight w:val="none"/>
              </w:rPr>
              <w:t xml:space="preserve">应根据本项目的监测品种和区域特点，结合采购人明确的监测时间，提供采样方案，根据投标人提供的采样方案内容</w:t>
            </w:r>
            <w:r>
              <w:rPr>
                <w:rFonts w:hint="eastAsia" w:ascii="宋体" w:hAnsi="宋体" w:cs="宋体"/>
                <w:color w:val="auto"/>
                <w:sz w:val="24"/>
                <w:szCs w:val="24"/>
                <w:highlight w:val="none"/>
                <w:lang w:val="en-US" w:eastAsia="zh-CN"/>
              </w:rPr>
              <w:t xml:space="preserve">进行</w:t>
            </w:r>
            <w:r>
              <w:rPr>
                <w:rFonts w:hint="eastAsia" w:ascii="宋体" w:hAnsi="宋体" w:cs="宋体"/>
                <w:color w:val="auto"/>
                <w:sz w:val="24"/>
                <w:szCs w:val="24"/>
                <w:highlight w:val="none"/>
              </w:rPr>
              <w:t xml:space="preserve">评审：</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（1）方案内容全面完整，实施步骤细化明确、科学合理，可操作性强，对顺利实施有保障，得</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分；</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（2）方案较全但有欠缺，步骤较清晰但有不明确之处，可操作性方面有瑕疵，得</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（3）方案不全面，有缺漏，步骤较混乱，可操作性不强，得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（4）其他不得分。</w:t>
            </w:r>
            <w:r/>
          </w:p>
        </w:tc>
        <w:tc>
          <w:tcPr>
            <w:tcW w:w="791"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10分</w:t>
            </w:r>
            <w:r/>
          </w:p>
        </w:tc>
      </w:tr>
      <w:tr>
        <w:trPr>
          <w:jc w:val="center"/>
          <w:trHeight w:val="316"/>
        </w:trPr>
        <w:tc>
          <w:tcPr>
            <w:tcW w:w="594"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75"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6702" w:type="dxa"/>
            <w:textDirection w:val="lrTb"/>
            <w:noWrap w:val="false"/>
          </w:tcPr>
          <w:p>
            <w:pPr>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检测方案</w:t>
            </w:r>
            <w:r>
              <w:rPr>
                <w:rFonts w:hint="eastAsia" w:ascii="宋体" w:hAnsi="宋体" w:cs="宋体"/>
                <w:color w:val="auto"/>
                <w:sz w:val="24"/>
                <w:szCs w:val="24"/>
                <w:highlight w:val="none"/>
                <w:lang w:eastAsia="zh-CN"/>
              </w:rPr>
              <w:t xml:space="preserve">：</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投标人</w:t>
            </w:r>
            <w:r>
              <w:rPr>
                <w:rFonts w:hint="eastAsia" w:ascii="宋体" w:hAnsi="宋体" w:cs="宋体"/>
                <w:color w:val="auto"/>
                <w:sz w:val="24"/>
                <w:szCs w:val="24"/>
                <w:highlight w:val="none"/>
              </w:rPr>
              <w:t xml:space="preserve">应根据监测品种和监测项目、指标，结合采购人要求，提供检测方案，根据投标人提供的检测方案内容</w:t>
            </w:r>
            <w:r>
              <w:rPr>
                <w:rFonts w:hint="eastAsia" w:ascii="宋体" w:hAnsi="宋体" w:cs="宋体"/>
                <w:color w:val="auto"/>
                <w:sz w:val="24"/>
                <w:szCs w:val="24"/>
                <w:highlight w:val="none"/>
                <w:lang w:val="en-US" w:eastAsia="zh-CN"/>
              </w:rPr>
              <w:t xml:space="preserve">进行</w:t>
            </w:r>
            <w:r>
              <w:rPr>
                <w:rFonts w:hint="eastAsia" w:ascii="宋体" w:hAnsi="宋体" w:cs="宋体"/>
                <w:color w:val="auto"/>
                <w:sz w:val="24"/>
                <w:szCs w:val="24"/>
                <w:highlight w:val="none"/>
              </w:rPr>
              <w:t xml:space="preserve">评审：</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（1）方案内容全面完整，实施步骤细化明确、科学合理，可操作性强，对顺利实施有保障，得</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分。</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（2）方案较全但有欠缺，步骤较清晰但有不明确之处，可操作性方面有瑕疵，得</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（3）方案不全面，有缺漏，步骤较混乱，可操作性不强，得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（4）其他不得分。</w:t>
            </w:r>
            <w:r/>
          </w:p>
        </w:tc>
        <w:tc>
          <w:tcPr>
            <w:tcW w:w="791"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10分</w:t>
            </w:r>
            <w:r/>
          </w:p>
        </w:tc>
      </w:tr>
      <w:tr>
        <w:trPr>
          <w:jc w:val="center"/>
          <w:trHeight w:val="316"/>
        </w:trPr>
        <w:tc>
          <w:tcPr>
            <w:tcW w:w="594"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75"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6702" w:type="dxa"/>
            <w:textDirection w:val="lrTb"/>
            <w:noWrap w:val="false"/>
          </w:tcPr>
          <w:p>
            <w:pPr>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质量控制措施：</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投标人</w:t>
            </w:r>
            <w:r>
              <w:rPr>
                <w:rFonts w:hint="eastAsia" w:ascii="宋体" w:hAnsi="宋体" w:cs="宋体"/>
                <w:color w:val="auto"/>
                <w:sz w:val="24"/>
                <w:szCs w:val="24"/>
                <w:highlight w:val="none"/>
              </w:rPr>
              <w:t xml:space="preserve">应根据本项目服务内容的特点，结合采购人要求，提供全过程的质量控制措施，根据投标人提供的质量控制措施内容</w:t>
            </w:r>
            <w:r>
              <w:rPr>
                <w:rFonts w:hint="eastAsia" w:ascii="宋体" w:hAnsi="宋体" w:cs="宋体"/>
                <w:color w:val="auto"/>
                <w:sz w:val="24"/>
                <w:szCs w:val="24"/>
                <w:highlight w:val="none"/>
                <w:lang w:val="en-US" w:eastAsia="zh-CN"/>
              </w:rPr>
              <w:t xml:space="preserve">进行</w:t>
            </w:r>
            <w:r>
              <w:rPr>
                <w:rFonts w:hint="eastAsia" w:ascii="宋体" w:hAnsi="宋体" w:cs="宋体"/>
                <w:color w:val="auto"/>
                <w:sz w:val="24"/>
                <w:szCs w:val="24"/>
                <w:highlight w:val="none"/>
              </w:rPr>
              <w:t xml:space="preserve">评审：</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（1）控制措施内容全面完整，细化明确、科学合理，可操作性强，对质量控制有保障，得</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分；</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（2）控制措施内容较全但有欠缺，科学合理性和可操作性有欠缺，得</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（3）控制措施不完整，需重新梳理并补充完善，可操作性不足，得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（4）其他不得分。</w:t>
            </w:r>
            <w:r/>
          </w:p>
        </w:tc>
        <w:tc>
          <w:tcPr>
            <w:tcW w:w="791"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10分</w:t>
            </w:r>
            <w:r/>
          </w:p>
        </w:tc>
      </w:tr>
      <w:tr>
        <w:trPr>
          <w:jc w:val="center"/>
          <w:trHeight w:val="521"/>
        </w:trPr>
        <w:tc>
          <w:tcPr>
            <w:gridSpan w:val="4"/>
            <w:tcBorders>
              <w:top w:val="single" w:color="auto" w:sz="4" w:space="0"/>
              <w:left w:val="single" w:color="auto" w:sz="4" w:space="0"/>
              <w:bottom w:val="single" w:color="auto" w:sz="4" w:space="0"/>
              <w:right w:val="single" w:color="auto" w:sz="4" w:space="0"/>
            </w:tcBorders>
            <w:tcW w:w="9362" w:type="dxa"/>
            <w:vAlign w:val="center"/>
            <w:textDirection w:val="lrTb"/>
            <w:noWrap w:val="false"/>
          </w:tcPr>
          <w:p>
            <w:pPr>
              <w:jc w:val="center"/>
              <w:spacing w:before="63" w:after="4"/>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合计：100分</w:t>
            </w:r>
            <w:r/>
          </w:p>
        </w:tc>
      </w:tr>
    </w:tbl>
    <w:p>
      <w:pPr>
        <w:ind w:firstLine="632"/>
        <w:spacing w:line="360" w:lineRule="auto"/>
        <w:rPr>
          <w:rFonts w:ascii="宋体" w:hAnsi="宋体" w:cs="宋体"/>
          <w:b/>
          <w:color w:val="auto"/>
          <w:szCs w:val="28"/>
          <w:highlight w:val="none"/>
        </w:rPr>
      </w:pPr>
      <w:r/>
      <w:bookmarkStart w:id="53" w:name="_Toc324237157"/>
      <w:r/>
      <w:bookmarkStart w:id="54" w:name="_Toc273"/>
      <w:r/>
      <w:bookmarkStart w:id="55" w:name="_Toc5635"/>
      <w:r/>
      <w:bookmarkStart w:id="56" w:name="_Toc8457"/>
      <w:r>
        <w:rPr>
          <w:rFonts w:hint="eastAsia" w:ascii="宋体" w:hAnsi="宋体" w:cs="宋体"/>
          <w:b/>
          <w:color w:val="auto"/>
          <w:szCs w:val="28"/>
          <w:highlight w:val="none"/>
        </w:rPr>
        <w:t xml:space="preserve">注：所有认证、证明和业绩均以有效清晰的证明文件的复印件为依据，原件备查。</w:t>
      </w:r>
      <w:bookmarkEnd w:id="50"/>
      <w:bookmarkEnd w:id="53"/>
      <w:bookmarkEnd w:id="54"/>
      <w:bookmarkEnd w:id="55"/>
      <w:bookmarkEnd w:id="56"/>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说明：</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（1）对于专门面向中小企业或小型、微型企业的项目，只面向中小企业或小型、微型企业采购。对于非专门面向中小企业的项目，对小型和微型企业产品的价格给予10%的扣除，用扣除后的价格参与评审。</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供应商提供的货物、工程或者服务符合下列情形的，享受本办法规定的中小企业扶持政策：</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（一）在货物采购项目中，货物由中小企业制造，即货物由中小企业生产且使用该中小企业商号或者注册商标；</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（二）在工程采购项目中，工程由中小企业承建，即工程施工单位为中小企业；</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（三）在服务采购项目中，服务由中小企业承接，即提供服务的人员为中小企业依照《中华人民共和国劳动合同法》订立劳动合同的从业人员。</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在货物采购项目中，供应商提供的货物既有中小企业制造货物，也有大型企业制造货物的，不享受本办法规定的中小企业扶持政策。</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以联合体形式参加政府采购活动，联合体各方均为中小企业的，联合体视同中小企业。其中，联合体各方均为小微企业的，联合体视同小微企业。</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（2）参加政府采购活动的中小企业应当提供《中小企业声明函》、由省级以上监狱管理局戒毒管理局(含新疆生产建设兵团)出具的属于监狱企业的证明文件或《残疾人福利性单位声明函》。</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（3）根据46号文第九条，接受大中型企业与小微企业组成联合体或者允许大中型企业向一家或者多家小微企业分包的采购项目，对于联合协议或者分包意向协议约定小微企业的合同份额占到合同总金额 30%以上的，给予联合体2%的价格扣除，用扣除后的价格参加评审。</w:t>
      </w:r>
      <w:bookmarkStart w:id="57" w:name="_Toc32487"/>
      <w:r/>
      <w:r/>
    </w:p>
    <w:p>
      <w:pPr>
        <w:ind w:firstLine="420"/>
        <w:spacing w:line="360" w:lineRule="auto"/>
        <w:rPr>
          <w:rFonts w:ascii="宋体" w:hAnsi="宋体" w:cs="宋体"/>
          <w:color w:val="auto"/>
          <w:sz w:val="40"/>
          <w:szCs w:val="40"/>
          <w:highlight w:val="none"/>
        </w:rPr>
      </w:pPr>
      <w:r>
        <w:rPr>
          <w:rFonts w:hint="eastAsia" w:ascii="宋体" w:hAnsi="宋体" w:cs="宋体"/>
          <w:bCs/>
          <w:color w:val="auto"/>
          <w:highlight w:val="none"/>
        </w:rPr>
        <w:t xml:space="preserve">(4)为保障项目顺利实施，采购方将在开标活动后查询拟成交（中标）单位所有佐证材料原件，并要求软件功能演示。如发现材料作假，立即取消中标资格。</w:t>
      </w:r>
      <w:r/>
    </w:p>
    <w:p>
      <w:pPr>
        <w:pStyle w:val="829"/>
        <w:pageBreakBefore/>
        <w:spacing w:after="319"/>
        <w:widowControl w:val="off"/>
        <w:rPr>
          <w:rFonts w:ascii="宋体" w:hAnsi="宋体" w:eastAsia="宋体" w:cs="宋体"/>
          <w:color w:val="auto"/>
          <w:sz w:val="40"/>
          <w:szCs w:val="40"/>
          <w:highlight w:val="none"/>
        </w:rPr>
      </w:pPr>
      <w:r/>
      <w:bookmarkStart w:id="58" w:name="_Toc17689"/>
      <w:r/>
      <w:bookmarkStart w:id="59" w:name="_Toc2670"/>
      <w:r/>
      <w:bookmarkStart w:id="60" w:name="_Toc4162"/>
      <w:r/>
      <w:bookmarkStart w:id="61" w:name="_Toc30847"/>
      <w:r/>
      <w:bookmarkStart w:id="62" w:name="_Toc22895"/>
      <w:r/>
      <w:bookmarkStart w:id="63" w:name="_Toc3075"/>
      <w:r/>
      <w:bookmarkStart w:id="64" w:name="_Toc23386"/>
      <w:r/>
      <w:bookmarkStart w:id="65" w:name="_Toc7926"/>
      <w:r>
        <w:rPr>
          <w:rStyle w:val="854"/>
          <w:rFonts w:hint="eastAsia" w:ascii="宋体" w:hAnsi="宋体" w:eastAsia="宋体" w:cs="宋体"/>
          <w:b/>
          <w:bCs/>
          <w:color w:val="auto"/>
          <w:sz w:val="40"/>
          <w:szCs w:val="40"/>
          <w:highlight w:val="none"/>
        </w:rPr>
        <w:t xml:space="preserve">第六章  投标文件格式</w:t>
      </w:r>
      <w:bookmarkEnd w:id="57"/>
      <w:r/>
      <w:bookmarkEnd w:id="58"/>
      <w:r/>
      <w:bookmarkEnd w:id="59"/>
      <w:r/>
      <w:bookmarkEnd w:id="60"/>
      <w:r/>
      <w:bookmarkEnd w:id="61"/>
      <w:r/>
      <w:bookmarkEnd w:id="62"/>
      <w:r/>
      <w:bookmarkEnd w:id="63"/>
      <w:r/>
      <w:bookmarkEnd w:id="64"/>
      <w:r/>
      <w:bookmarkEnd w:id="65"/>
      <w:r/>
      <w:r/>
    </w:p>
    <w:p>
      <w:pPr>
        <w:ind w:firstLine="1928"/>
        <w:jc w:val="center"/>
        <w:rPr>
          <w:rFonts w:ascii="宋体" w:hAnsi="宋体" w:cs="宋体"/>
          <w:b/>
          <w:bCs/>
          <w:color w:val="auto"/>
          <w:sz w:val="96"/>
          <w:szCs w:val="96"/>
          <w:highlight w:val="none"/>
        </w:rPr>
      </w:pPr>
      <w:r>
        <w:rPr>
          <w:rFonts w:ascii="宋体" w:hAnsi="宋体" w:cs="宋体"/>
          <w:b/>
          <w:bCs/>
          <w:color w:val="auto"/>
          <w:sz w:val="96"/>
          <w:szCs w:val="96"/>
          <w:highlight w:val="none"/>
        </w:rPr>
      </w:r>
      <w:r/>
    </w:p>
    <w:p>
      <w:pPr>
        <w:jc w:val="center"/>
        <w:rPr>
          <w:rFonts w:ascii="宋体" w:hAnsi="宋体" w:cs="宋体"/>
          <w:b/>
          <w:bCs/>
          <w:color w:val="auto"/>
          <w:sz w:val="96"/>
          <w:szCs w:val="96"/>
          <w:highlight w:val="none"/>
        </w:rPr>
      </w:pPr>
      <w:r>
        <w:rPr>
          <w:rFonts w:hint="eastAsia" w:ascii="宋体" w:hAnsi="宋体" w:cs="宋体"/>
          <w:b/>
          <w:bCs/>
          <w:color w:val="auto"/>
          <w:sz w:val="96"/>
          <w:szCs w:val="96"/>
          <w:highlight w:val="none"/>
        </w:rPr>
        <w:t xml:space="preserve">投 标 文 件</w:t>
      </w:r>
      <w:r/>
    </w:p>
    <w:p>
      <w:pPr>
        <w:jc w:val="center"/>
        <w:rPr>
          <w:rFonts w:ascii="宋体" w:hAnsi="宋体" w:cs="宋体"/>
          <w:b/>
          <w:bCs/>
          <w:color w:val="auto"/>
          <w:sz w:val="52"/>
          <w:szCs w:val="52"/>
          <w:highlight w:val="none"/>
        </w:rPr>
      </w:pPr>
      <w:r/>
      <w:bookmarkStart w:id="66" w:name="_Toc19627"/>
      <w:r/>
      <w:bookmarkStart w:id="67" w:name="_Toc11103"/>
      <w:r/>
      <w:bookmarkStart w:id="68" w:name="_Toc1351"/>
      <w:r>
        <w:rPr>
          <w:rFonts w:hint="eastAsia" w:ascii="宋体" w:hAnsi="宋体" w:cs="宋体"/>
          <w:b/>
          <w:bCs/>
          <w:color w:val="auto"/>
          <w:sz w:val="52"/>
          <w:szCs w:val="52"/>
          <w:highlight w:val="none"/>
        </w:rPr>
        <w:t xml:space="preserve">（正本/副本）</w:t>
      </w:r>
      <w:bookmarkEnd w:id="66"/>
      <w:r/>
      <w:bookmarkEnd w:id="67"/>
      <w:r/>
      <w:bookmarkEnd w:id="68"/>
      <w:r/>
      <w:r/>
    </w:p>
    <w:p>
      <w:pPr>
        <w:ind w:firstLine="1446"/>
        <w:rPr>
          <w:rFonts w:ascii="宋体" w:hAnsi="宋体" w:cs="宋体"/>
          <w:b/>
          <w:bCs/>
          <w:color w:val="auto"/>
          <w:sz w:val="72"/>
          <w:szCs w:val="72"/>
          <w:highlight w:val="none"/>
        </w:rPr>
      </w:pPr>
      <w:r>
        <w:rPr>
          <w:rFonts w:ascii="宋体" w:hAnsi="宋体" w:cs="宋体"/>
          <w:b/>
          <w:bCs/>
          <w:color w:val="auto"/>
          <w:sz w:val="72"/>
          <w:szCs w:val="72"/>
          <w:highlight w:val="none"/>
        </w:rPr>
      </w:r>
      <w:r/>
    </w:p>
    <w:p>
      <w:pPr>
        <w:ind w:firstLine="723"/>
        <w:jc w:val="center"/>
        <w:rPr>
          <w:rFonts w:ascii="宋体" w:hAnsi="宋体" w:cs="宋体"/>
          <w:b/>
          <w:bCs/>
          <w:color w:val="auto"/>
          <w:sz w:val="36"/>
          <w:szCs w:val="36"/>
          <w:highlight w:val="none"/>
        </w:rPr>
      </w:pPr>
      <w:r>
        <w:rPr>
          <w:rFonts w:ascii="宋体" w:hAnsi="宋体" w:cs="宋体"/>
          <w:b/>
          <w:bCs/>
          <w:color w:val="auto"/>
          <w:sz w:val="36"/>
          <w:szCs w:val="36"/>
          <w:highlight w:val="none"/>
        </w:rPr>
      </w:r>
      <w:r/>
    </w:p>
    <w:p>
      <w:pPr>
        <w:pStyle w:val="820"/>
        <w:ind w:firstLine="420"/>
        <w:rPr>
          <w:rFonts w:ascii="宋体" w:hAnsi="宋体" w:cs="宋体"/>
          <w:color w:val="auto"/>
          <w:highlight w:val="none"/>
        </w:rPr>
      </w:pPr>
      <w:r>
        <w:rPr>
          <w:rFonts w:ascii="宋体" w:hAnsi="宋体" w:cs="宋体"/>
          <w:color w:val="auto"/>
          <w:highlight w:val="none"/>
        </w:rPr>
      </w:r>
      <w:r/>
    </w:p>
    <w:p>
      <w:pPr>
        <w:jc w:val="center"/>
        <w:rPr>
          <w:rFonts w:hint="default" w:ascii="宋体" w:hAnsi="宋体" w:cs="宋体"/>
          <w:b/>
          <w:bCs/>
          <w:color w:val="auto"/>
          <w:sz w:val="36"/>
          <w:szCs w:val="36"/>
          <w:highlight w:val="none"/>
          <w:lang w:val="en-US" w:eastAsia="zh-CN"/>
        </w:rPr>
      </w:pPr>
      <w:r/>
      <w:bookmarkStart w:id="69" w:name="_Toc23382"/>
      <w:r/>
      <w:bookmarkStart w:id="70" w:name="_Toc742"/>
      <w:r/>
      <w:bookmarkStart w:id="71" w:name="_Toc614"/>
      <w:r>
        <w:rPr>
          <w:rFonts w:hint="eastAsia" w:ascii="宋体" w:hAnsi="宋体" w:cs="宋体"/>
          <w:b/>
          <w:bCs/>
          <w:color w:val="auto"/>
          <w:sz w:val="36"/>
          <w:szCs w:val="36"/>
          <w:highlight w:val="none"/>
        </w:rPr>
        <w:t xml:space="preserve">项目名称：</w:t>
      </w:r>
      <w:bookmarkEnd w:id="69"/>
      <w:r/>
      <w:bookmarkEnd w:id="70"/>
      <w:r/>
      <w:bookmarkEnd w:id="71"/>
      <w:r>
        <w:rPr>
          <w:rFonts w:hint="eastAsia" w:ascii="宋体" w:hAnsi="宋体" w:cs="宋体"/>
          <w:b/>
          <w:bCs/>
          <w:color w:val="auto"/>
          <w:sz w:val="36"/>
          <w:szCs w:val="36"/>
          <w:highlight w:val="none"/>
          <w:lang w:eastAsia="zh-CN"/>
        </w:rPr>
        <w:t xml:space="preserve">全省食用林产品质量安全监测</w:t>
      </w:r>
      <w:r>
        <w:rPr>
          <w:rFonts w:hint="eastAsia" w:ascii="宋体" w:hAnsi="宋体" w:cs="宋体"/>
          <w:b/>
          <w:bCs/>
          <w:color w:val="auto"/>
          <w:sz w:val="36"/>
          <w:szCs w:val="36"/>
          <w:highlight w:val="none"/>
          <w:lang w:val="en-US" w:eastAsia="zh-CN"/>
        </w:rPr>
        <w:t xml:space="preserve"> 分包：_____</w:t>
      </w:r>
      <w:r/>
    </w:p>
    <w:p>
      <w:pPr>
        <w:jc w:val="center"/>
        <w:rPr>
          <w:rFonts w:ascii="宋体" w:hAnsi="宋体" w:cs="宋体"/>
          <w:b/>
          <w:bCs/>
          <w:color w:val="auto"/>
          <w:sz w:val="36"/>
          <w:szCs w:val="36"/>
          <w:highlight w:val="none"/>
        </w:rPr>
      </w:pPr>
      <w:r>
        <w:rPr>
          <w:rFonts w:ascii="宋体" w:hAnsi="宋体" w:cs="宋体"/>
          <w:b/>
          <w:bCs/>
          <w:color w:val="auto"/>
          <w:sz w:val="36"/>
          <w:szCs w:val="36"/>
          <w:highlight w:val="none"/>
        </w:rPr>
      </w:r>
      <w:r/>
    </w:p>
    <w:p>
      <w:pPr>
        <w:pStyle w:val="800"/>
        <w:ind w:left="1260" w:firstLine="720"/>
        <w:jc w:val="center"/>
        <w:rPr>
          <w:rFonts w:ascii="宋体" w:hAnsi="宋体" w:cs="宋体"/>
          <w:color w:val="auto"/>
          <w:sz w:val="36"/>
          <w:szCs w:val="36"/>
          <w:highlight w:val="none"/>
        </w:rPr>
      </w:pPr>
      <w:r>
        <w:rPr>
          <w:rFonts w:ascii="宋体" w:hAnsi="宋体" w:cs="宋体"/>
          <w:color w:val="auto"/>
          <w:sz w:val="36"/>
          <w:szCs w:val="36"/>
          <w:highlight w:val="none"/>
        </w:rPr>
      </w:r>
      <w:r/>
    </w:p>
    <w:p>
      <w:pPr>
        <w:jc w:val="center"/>
        <w:rPr>
          <w:rFonts w:hint="eastAsia" w:ascii="宋体" w:hAnsi="宋体" w:cs="宋体"/>
          <w:b/>
          <w:bCs/>
          <w:color w:val="auto"/>
          <w:sz w:val="36"/>
          <w:szCs w:val="36"/>
          <w:highlight w:val="none"/>
          <w:lang w:eastAsia="zh-CN"/>
        </w:rPr>
      </w:pPr>
      <w:r/>
      <w:bookmarkStart w:id="72" w:name="_Toc10240"/>
      <w:r/>
      <w:bookmarkStart w:id="73" w:name="_Toc7421"/>
      <w:r/>
      <w:bookmarkStart w:id="74" w:name="_Toc3842"/>
      <w:r>
        <w:rPr>
          <w:rFonts w:hint="eastAsia" w:ascii="宋体" w:hAnsi="宋体" w:cs="宋体"/>
          <w:b/>
          <w:bCs/>
          <w:color w:val="auto"/>
          <w:sz w:val="36"/>
          <w:szCs w:val="36"/>
          <w:highlight w:val="none"/>
        </w:rPr>
        <w:t xml:space="preserve">项目编号：</w:t>
      </w:r>
      <w:bookmarkEnd w:id="72"/>
      <w:r/>
      <w:bookmarkEnd w:id="73"/>
      <w:r/>
      <w:bookmarkEnd w:id="74"/>
      <w:r>
        <w:rPr>
          <w:rFonts w:hint="eastAsia" w:ascii="宋体" w:hAnsi="宋体" w:cs="宋体"/>
          <w:b/>
          <w:bCs/>
          <w:color w:val="auto"/>
          <w:sz w:val="36"/>
          <w:szCs w:val="36"/>
          <w:highlight w:val="none"/>
          <w:lang w:eastAsia="zh-CN"/>
        </w:rPr>
        <w:t xml:space="preserve">JSZC-320000-SDCX-G2026-0001</w:t>
      </w:r>
      <w:r/>
    </w:p>
    <w:p>
      <w:pPr>
        <w:jc w:val="center"/>
        <w:rPr>
          <w:rFonts w:hint="eastAsia" w:ascii="宋体" w:hAnsi="宋体" w:cs="宋体"/>
          <w:b/>
          <w:bCs/>
          <w:color w:val="auto"/>
          <w:sz w:val="36"/>
          <w:szCs w:val="36"/>
          <w:highlight w:val="none"/>
          <w:lang w:val="en-US" w:eastAsia="zh-CN"/>
        </w:rPr>
      </w:pPr>
      <w:r>
        <w:rPr>
          <w:rFonts w:hint="eastAsia" w:ascii="宋体" w:hAnsi="宋体" w:cs="宋体"/>
          <w:b/>
          <w:bCs/>
          <w:color w:val="auto"/>
          <w:sz w:val="36"/>
          <w:szCs w:val="36"/>
          <w:highlight w:val="none"/>
          <w:lang w:val="en-US" w:eastAsia="zh-CN"/>
        </w:rPr>
      </w:r>
      <w:r/>
    </w:p>
    <w:p>
      <w:pPr>
        <w:ind w:firstLine="643"/>
        <w:rPr>
          <w:rFonts w:ascii="宋体" w:hAnsi="宋体" w:cs="宋体"/>
          <w:b/>
          <w:bCs/>
          <w:color w:val="auto"/>
          <w:sz w:val="32"/>
          <w:szCs w:val="36"/>
          <w:highlight w:val="none"/>
        </w:rPr>
      </w:pPr>
      <w:r>
        <w:rPr>
          <w:rFonts w:ascii="宋体" w:hAnsi="宋体" w:cs="宋体"/>
          <w:b/>
          <w:bCs/>
          <w:color w:val="auto"/>
          <w:sz w:val="32"/>
          <w:szCs w:val="36"/>
          <w:highlight w:val="none"/>
        </w:rPr>
      </w:r>
      <w:r/>
    </w:p>
    <w:p>
      <w:pPr>
        <w:rPr>
          <w:rFonts w:ascii="宋体" w:hAnsi="宋体" w:cs="宋体"/>
          <w:b/>
          <w:bCs/>
          <w:color w:val="auto"/>
          <w:sz w:val="36"/>
          <w:szCs w:val="36"/>
          <w:highlight w:val="none"/>
        </w:rPr>
      </w:pPr>
      <w:r>
        <w:rPr>
          <w:rFonts w:ascii="宋体" w:hAnsi="宋体" w:cs="宋体"/>
          <w:b/>
          <w:bCs/>
          <w:color w:val="auto"/>
          <w:sz w:val="36"/>
          <w:szCs w:val="36"/>
          <w:highlight w:val="none"/>
        </w:rPr>
      </w:r>
      <w:r/>
    </w:p>
    <w:p>
      <w:pPr>
        <w:pStyle w:val="820"/>
        <w:ind w:firstLine="420"/>
        <w:rPr>
          <w:rFonts w:ascii="宋体" w:hAnsi="宋体" w:cs="宋体"/>
          <w:color w:val="auto"/>
          <w:highlight w:val="none"/>
        </w:rPr>
      </w:pPr>
      <w:r>
        <w:rPr>
          <w:rFonts w:ascii="宋体" w:hAnsi="宋体" w:cs="宋体"/>
          <w:color w:val="auto"/>
          <w:highlight w:val="none"/>
        </w:rPr>
      </w:r>
      <w:r/>
    </w:p>
    <w:p>
      <w:pPr>
        <w:ind w:firstLine="1251"/>
        <w:spacing w:line="0" w:lineRule="atLeast"/>
        <w:rPr>
          <w:rFonts w:ascii="宋体" w:hAnsi="宋体" w:cs="宋体"/>
          <w:b/>
          <w:bCs/>
          <w:color w:val="auto"/>
          <w:sz w:val="28"/>
          <w:szCs w:val="28"/>
          <w:highlight w:val="none"/>
          <w:u w:val="single"/>
        </w:rPr>
      </w:pPr>
      <w:r>
        <w:rPr>
          <w:rFonts w:hint="eastAsia" w:ascii="宋体" w:hAnsi="宋体" w:cs="宋体"/>
          <w:b/>
          <w:bCs/>
          <w:color w:val="auto"/>
          <w:sz w:val="28"/>
          <w:szCs w:val="28"/>
          <w:highlight w:val="none"/>
        </w:rPr>
        <w:t xml:space="preserve">投标人名称 ：</w:t>
      </w:r>
      <w:r/>
    </w:p>
    <w:p>
      <w:pPr>
        <w:ind w:firstLine="562"/>
        <w:spacing w:line="0" w:lineRule="atLeast"/>
        <w:rPr>
          <w:rFonts w:ascii="宋体" w:hAnsi="宋体" w:cs="宋体"/>
          <w:b/>
          <w:bCs/>
          <w:color w:val="auto"/>
          <w:sz w:val="28"/>
          <w:szCs w:val="28"/>
          <w:highlight w:val="none"/>
        </w:rPr>
      </w:pPr>
      <w:r>
        <w:rPr>
          <w:rFonts w:ascii="宋体" w:hAnsi="宋体" w:cs="宋体"/>
          <w:b/>
          <w:bCs/>
          <w:color w:val="auto"/>
          <w:sz w:val="28"/>
          <w:szCs w:val="28"/>
          <w:highlight w:val="none"/>
        </w:rPr>
      </w:r>
      <w:r/>
    </w:p>
    <w:p>
      <w:pPr>
        <w:ind w:firstLine="1251"/>
        <w:spacing w:line="0" w:lineRule="atLeast"/>
        <w:rPr>
          <w:rFonts w:ascii="宋体" w:hAnsi="宋体" w:cs="宋体"/>
          <w:b/>
          <w:bCs/>
          <w:color w:val="auto"/>
          <w:sz w:val="28"/>
          <w:szCs w:val="28"/>
          <w:highlight w:val="none"/>
          <w:u w:val="single"/>
        </w:rPr>
      </w:pPr>
      <w:r>
        <w:rPr>
          <w:rFonts w:hint="eastAsia" w:ascii="宋体" w:hAnsi="宋体" w:cs="宋体"/>
          <w:b/>
          <w:bCs/>
          <w:color w:val="auto"/>
          <w:sz w:val="28"/>
          <w:szCs w:val="28"/>
          <w:highlight w:val="none"/>
        </w:rPr>
        <w:t xml:space="preserve">授权代表   ：</w:t>
      </w:r>
      <w:r/>
    </w:p>
    <w:p>
      <w:pPr>
        <w:ind w:firstLine="562"/>
        <w:spacing w:line="0" w:lineRule="atLeast"/>
        <w:rPr>
          <w:rFonts w:ascii="宋体" w:hAnsi="宋体" w:cs="宋体"/>
          <w:b/>
          <w:bCs/>
          <w:color w:val="auto"/>
          <w:sz w:val="28"/>
          <w:szCs w:val="28"/>
          <w:highlight w:val="none"/>
        </w:rPr>
      </w:pPr>
      <w:r>
        <w:rPr>
          <w:rFonts w:ascii="宋体" w:hAnsi="宋体" w:cs="宋体"/>
          <w:b/>
          <w:bCs/>
          <w:color w:val="auto"/>
          <w:sz w:val="28"/>
          <w:szCs w:val="28"/>
          <w:highlight w:val="none"/>
        </w:rPr>
      </w:r>
      <w:r/>
    </w:p>
    <w:p>
      <w:pPr>
        <w:ind w:firstLine="1251"/>
        <w:spacing w:line="0" w:lineRule="atLeast"/>
        <w:rPr>
          <w:rFonts w:ascii="宋体" w:hAnsi="宋体" w:cs="宋体"/>
          <w:b/>
          <w:bCs/>
          <w:color w:val="auto"/>
          <w:sz w:val="28"/>
          <w:szCs w:val="28"/>
          <w:highlight w:val="none"/>
          <w:u w:val="single"/>
        </w:rPr>
      </w:pPr>
      <w:r>
        <w:rPr>
          <w:rFonts w:hint="eastAsia" w:ascii="宋体" w:hAnsi="宋体" w:cs="宋体"/>
          <w:b/>
          <w:bCs/>
          <w:color w:val="auto"/>
          <w:sz w:val="28"/>
          <w:szCs w:val="28"/>
          <w:highlight w:val="none"/>
        </w:rPr>
        <w:t xml:space="preserve">日期 ：</w:t>
      </w:r>
      <w:r/>
    </w:p>
    <w:p>
      <w:pPr>
        <w:jc w:val="center"/>
        <w:rPr>
          <w:rFonts w:ascii="宋体" w:hAnsi="宋体" w:cs="宋体"/>
          <w:b/>
          <w:bCs/>
          <w:color w:val="auto"/>
          <w:szCs w:val="28"/>
          <w:highlight w:val="none"/>
        </w:rPr>
        <w:outlineLvl w:val="0"/>
      </w:pPr>
      <w:r>
        <w:rPr>
          <w:rFonts w:hint="eastAsia" w:ascii="宋体" w:hAnsi="宋体" w:cs="宋体"/>
          <w:b/>
          <w:bCs/>
          <w:color w:val="auto"/>
          <w:szCs w:val="36"/>
          <w:highlight w:val="none"/>
          <w:u w:val="single"/>
        </w:rPr>
        <w:br w:type="page" w:clear="all"/>
      </w:r>
      <w:bookmarkStart w:id="75" w:name="_Toc20614"/>
      <w:r/>
      <w:bookmarkStart w:id="76" w:name="_Toc325"/>
      <w:r/>
      <w:bookmarkStart w:id="77" w:name="_Toc10236"/>
      <w:r/>
      <w:bookmarkStart w:id="78" w:name="_Toc19645"/>
      <w:r/>
      <w:bookmarkStart w:id="79" w:name="_Toc624"/>
      <w:r/>
      <w:bookmarkStart w:id="80" w:name="_Toc23997"/>
      <w:r/>
      <w:bookmarkStart w:id="81" w:name="_Toc24811"/>
      <w:r/>
      <w:bookmarkStart w:id="82" w:name="_Toc9076"/>
      <w:r/>
      <w:bookmarkStart w:id="83" w:name="_Toc19311"/>
      <w:r/>
      <w:bookmarkStart w:id="84" w:name="_Toc3128"/>
      <w:r/>
      <w:bookmarkStart w:id="85" w:name="_Toc8204"/>
      <w:r/>
      <w:bookmarkStart w:id="86" w:name="_Toc16841"/>
      <w:r/>
      <w:bookmarkStart w:id="87" w:name="_Toc13790"/>
      <w:r/>
      <w:bookmarkStart w:id="88" w:name="_Toc16802"/>
      <w:r/>
      <w:bookmarkStart w:id="89" w:name="_Toc31709"/>
      <w:r/>
      <w:bookmarkStart w:id="90" w:name="_Toc18257"/>
      <w:r/>
      <w:bookmarkStart w:id="91" w:name="_Toc30261"/>
      <w:r/>
      <w:bookmarkStart w:id="92" w:name="_Toc15260"/>
      <w:r/>
      <w:bookmarkStart w:id="93" w:name="_Toc7141"/>
      <w:r/>
      <w:bookmarkStart w:id="94" w:name="_Toc24255"/>
      <w:r/>
      <w:bookmarkStart w:id="95" w:name="_Toc9946"/>
      <w:r/>
      <w:bookmarkStart w:id="96" w:name="_Toc27980"/>
      <w:r/>
      <w:bookmarkStart w:id="97" w:name="_Toc16181"/>
      <w:r/>
      <w:bookmarkStart w:id="98" w:name="_Toc19377"/>
      <w:r/>
      <w:bookmarkStart w:id="99" w:name="_Toc24970"/>
      <w:r/>
      <w:bookmarkStart w:id="100" w:name="_Toc10117"/>
      <w:r/>
      <w:bookmarkStart w:id="101" w:name="_Toc27729"/>
      <w:r>
        <w:rPr>
          <w:rFonts w:hint="eastAsia" w:ascii="宋体" w:hAnsi="宋体" w:cs="宋体"/>
          <w:b/>
          <w:bCs/>
          <w:color w:val="auto"/>
          <w:sz w:val="36"/>
          <w:szCs w:val="36"/>
          <w:highlight w:val="none"/>
        </w:rPr>
        <w:t xml:space="preserve">评分索引表</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r/>
    </w:p>
    <w:tbl>
      <w:tblPr>
        <w:tblStyle w:val="79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91"/>
        <w:gridCol w:w="3269"/>
      </w:tblGrid>
      <w:tr>
        <w:trPr>
          <w:jc w:val="center"/>
          <w:trHeight w:val="530"/>
        </w:trPr>
        <w:tc>
          <w:tcPr>
            <w:tcW w:w="5191" w:type="dxa"/>
            <w:vAlign w:val="center"/>
            <w:textDirection w:val="lrTb"/>
            <w:noWrap w:val="false"/>
          </w:tcPr>
          <w:p>
            <w:pPr>
              <w:ind w:firstLine="422"/>
              <w:jc w:val="center"/>
              <w:rPr>
                <w:rFonts w:ascii="宋体" w:hAnsi="宋体" w:cs="宋体"/>
                <w:b/>
                <w:bCs/>
                <w:color w:val="auto"/>
                <w:highlight w:val="none"/>
              </w:rPr>
            </w:pPr>
            <w:r>
              <w:rPr>
                <w:rFonts w:hint="eastAsia" w:ascii="宋体" w:hAnsi="宋体" w:cs="宋体"/>
                <w:b/>
                <w:bCs/>
                <w:color w:val="auto"/>
                <w:highlight w:val="none"/>
              </w:rPr>
              <w:t xml:space="preserve">评分项目</w:t>
            </w:r>
            <w:r/>
          </w:p>
        </w:tc>
        <w:tc>
          <w:tcPr>
            <w:tcW w:w="3269" w:type="dxa"/>
            <w:vAlign w:val="center"/>
            <w:textDirection w:val="lrTb"/>
            <w:noWrap w:val="false"/>
          </w:tcPr>
          <w:p>
            <w:pPr>
              <w:ind w:firstLine="422"/>
              <w:jc w:val="center"/>
              <w:rPr>
                <w:rFonts w:ascii="宋体" w:hAnsi="宋体" w:cs="宋体"/>
                <w:b/>
                <w:bCs/>
                <w:color w:val="auto"/>
                <w:highlight w:val="none"/>
              </w:rPr>
            </w:pPr>
            <w:r>
              <w:rPr>
                <w:rFonts w:hint="eastAsia" w:ascii="宋体" w:hAnsi="宋体" w:cs="宋体"/>
                <w:b/>
                <w:bCs/>
                <w:color w:val="auto"/>
                <w:highlight w:val="none"/>
              </w:rPr>
              <w:t xml:space="preserve">在投标文件中的页码位置</w:t>
            </w:r>
            <w:r/>
          </w:p>
        </w:tc>
      </w:tr>
      <w:tr>
        <w:trPr>
          <w:jc w:val="center"/>
          <w:trHeight w:val="515"/>
        </w:trPr>
        <w:tc>
          <w:tcPr>
            <w:tcW w:w="5191" w:type="dxa"/>
            <w:vAlign w:val="center"/>
            <w:textDirection w:val="lrTb"/>
            <w:noWrap w:val="false"/>
          </w:tcPr>
          <w:p>
            <w:pPr>
              <w:ind w:firstLine="422"/>
              <w:jc w:val="center"/>
              <w:rPr>
                <w:rFonts w:ascii="宋体" w:hAnsi="宋体" w:cs="宋体"/>
                <w:b/>
                <w:bCs/>
                <w:color w:val="auto"/>
                <w:highlight w:val="none"/>
              </w:rPr>
            </w:pPr>
            <w:r>
              <w:rPr>
                <w:rFonts w:ascii="宋体" w:hAnsi="宋体" w:cs="宋体"/>
                <w:b/>
                <w:bCs/>
                <w:color w:val="auto"/>
                <w:highlight w:val="none"/>
              </w:rPr>
            </w:r>
            <w:r/>
          </w:p>
        </w:tc>
        <w:tc>
          <w:tcPr>
            <w:tcW w:w="3269" w:type="dxa"/>
            <w:vAlign w:val="center"/>
            <w:textDirection w:val="lrTb"/>
            <w:noWrap w:val="false"/>
          </w:tcPr>
          <w:p>
            <w:pPr>
              <w:ind w:firstLine="422"/>
              <w:jc w:val="center"/>
              <w:rPr>
                <w:rFonts w:ascii="宋体" w:hAnsi="宋体" w:cs="宋体"/>
                <w:b/>
                <w:bCs/>
                <w:color w:val="auto"/>
                <w:highlight w:val="none"/>
              </w:rPr>
            </w:pPr>
            <w:r>
              <w:rPr>
                <w:rFonts w:ascii="宋体" w:hAnsi="宋体" w:cs="宋体"/>
                <w:b/>
                <w:bCs/>
                <w:color w:val="auto"/>
                <w:highlight w:val="none"/>
              </w:rPr>
            </w:r>
            <w:r/>
          </w:p>
        </w:tc>
      </w:tr>
      <w:tr>
        <w:trPr>
          <w:jc w:val="center"/>
          <w:trHeight w:val="366"/>
        </w:trPr>
        <w:tc>
          <w:tcPr>
            <w:gridSpan w:val="2"/>
            <w:tcW w:w="8460" w:type="dxa"/>
            <w:vAlign w:val="center"/>
            <w:textDirection w:val="lrTb"/>
            <w:noWrap w:val="false"/>
          </w:tcPr>
          <w:p>
            <w:pPr>
              <w:ind w:firstLine="422"/>
              <w:jc w:val="center"/>
              <w:rPr>
                <w:rFonts w:ascii="宋体" w:hAnsi="宋体" w:cs="宋体"/>
                <w:b/>
                <w:bCs/>
                <w:color w:val="auto"/>
                <w:highlight w:val="none"/>
              </w:rPr>
            </w:pPr>
            <w:r>
              <w:rPr>
                <w:rFonts w:ascii="宋体" w:hAnsi="宋体" w:cs="宋体"/>
                <w:b/>
                <w:bCs/>
                <w:color w:val="auto"/>
                <w:highlight w:val="none"/>
              </w:rPr>
            </w:r>
            <w:r/>
          </w:p>
        </w:tc>
      </w:tr>
      <w:tr>
        <w:trPr>
          <w:jc w:val="center"/>
          <w:trHeight w:val="375"/>
        </w:trPr>
        <w:tc>
          <w:tcPr>
            <w:tcW w:w="5191" w:type="dxa"/>
            <w:vAlign w:val="center"/>
            <w:textDirection w:val="lrTb"/>
            <w:noWrap w:val="false"/>
          </w:tcPr>
          <w:p>
            <w:pPr>
              <w:ind w:firstLine="422"/>
              <w:jc w:val="center"/>
              <w:rPr>
                <w:rFonts w:ascii="宋体" w:hAnsi="宋体" w:cs="宋体"/>
                <w:b/>
                <w:bCs/>
                <w:color w:val="auto"/>
                <w:highlight w:val="none"/>
              </w:rPr>
            </w:pPr>
            <w:r>
              <w:rPr>
                <w:rFonts w:ascii="宋体" w:hAnsi="宋体" w:cs="宋体"/>
                <w:b/>
                <w:bCs/>
                <w:color w:val="auto"/>
                <w:highlight w:val="none"/>
              </w:rPr>
            </w:r>
            <w:r/>
          </w:p>
        </w:tc>
        <w:tc>
          <w:tcPr>
            <w:tcW w:w="3269" w:type="dxa"/>
            <w:vAlign w:val="center"/>
            <w:textDirection w:val="lrTb"/>
            <w:noWrap w:val="false"/>
          </w:tcPr>
          <w:p>
            <w:pPr>
              <w:ind w:firstLine="422"/>
              <w:jc w:val="center"/>
              <w:rPr>
                <w:rFonts w:ascii="宋体" w:hAnsi="宋体" w:cs="宋体"/>
                <w:b/>
                <w:bCs/>
                <w:color w:val="auto"/>
                <w:highlight w:val="none"/>
              </w:rPr>
            </w:pPr>
            <w:r>
              <w:rPr>
                <w:rFonts w:ascii="宋体" w:hAnsi="宋体" w:cs="宋体"/>
                <w:b/>
                <w:bCs/>
                <w:color w:val="auto"/>
                <w:highlight w:val="none"/>
              </w:rPr>
            </w:r>
            <w:r/>
          </w:p>
        </w:tc>
      </w:tr>
      <w:tr>
        <w:trPr>
          <w:jc w:val="center"/>
          <w:trHeight w:val="366"/>
        </w:trPr>
        <w:tc>
          <w:tcPr>
            <w:tcW w:w="5191" w:type="dxa"/>
            <w:vAlign w:val="center"/>
            <w:textDirection w:val="lrTb"/>
            <w:noWrap w:val="false"/>
          </w:tcPr>
          <w:p>
            <w:pPr>
              <w:ind w:firstLine="422"/>
              <w:jc w:val="center"/>
              <w:rPr>
                <w:rFonts w:ascii="宋体" w:hAnsi="宋体" w:cs="宋体"/>
                <w:b/>
                <w:bCs/>
                <w:color w:val="auto"/>
                <w:highlight w:val="none"/>
              </w:rPr>
            </w:pPr>
            <w:r>
              <w:rPr>
                <w:rFonts w:ascii="宋体" w:hAnsi="宋体" w:cs="宋体"/>
                <w:b/>
                <w:bCs/>
                <w:color w:val="auto"/>
                <w:highlight w:val="none"/>
              </w:rPr>
            </w:r>
            <w:r/>
          </w:p>
        </w:tc>
        <w:tc>
          <w:tcPr>
            <w:tcW w:w="3269" w:type="dxa"/>
            <w:vAlign w:val="center"/>
            <w:textDirection w:val="lrTb"/>
            <w:noWrap w:val="false"/>
          </w:tcPr>
          <w:p>
            <w:pPr>
              <w:ind w:firstLine="422"/>
              <w:jc w:val="center"/>
              <w:rPr>
                <w:rFonts w:ascii="宋体" w:hAnsi="宋体" w:cs="宋体"/>
                <w:b/>
                <w:bCs/>
                <w:color w:val="auto"/>
                <w:highlight w:val="none"/>
              </w:rPr>
            </w:pPr>
            <w:r>
              <w:rPr>
                <w:rFonts w:ascii="宋体" w:hAnsi="宋体" w:cs="宋体"/>
                <w:b/>
                <w:bCs/>
                <w:color w:val="auto"/>
                <w:highlight w:val="none"/>
              </w:rPr>
            </w:r>
            <w:r/>
          </w:p>
        </w:tc>
      </w:tr>
      <w:tr>
        <w:trPr>
          <w:jc w:val="center"/>
          <w:trHeight w:val="530"/>
        </w:trPr>
        <w:tc>
          <w:tcPr>
            <w:tcW w:w="5191" w:type="dxa"/>
            <w:vAlign w:val="center"/>
            <w:textDirection w:val="lrTb"/>
            <w:noWrap w:val="false"/>
          </w:tcPr>
          <w:p>
            <w:pPr>
              <w:ind w:firstLine="422"/>
              <w:jc w:val="center"/>
              <w:rPr>
                <w:rFonts w:ascii="宋体" w:hAnsi="宋体" w:cs="宋体"/>
                <w:b/>
                <w:bCs/>
                <w:color w:val="auto"/>
                <w:highlight w:val="none"/>
              </w:rPr>
            </w:pPr>
            <w:r>
              <w:rPr>
                <w:rFonts w:ascii="宋体" w:hAnsi="宋体" w:cs="宋体"/>
                <w:b/>
                <w:bCs/>
                <w:color w:val="auto"/>
                <w:highlight w:val="none"/>
              </w:rPr>
            </w:r>
            <w:r/>
          </w:p>
        </w:tc>
        <w:tc>
          <w:tcPr>
            <w:tcW w:w="3269" w:type="dxa"/>
            <w:vAlign w:val="center"/>
            <w:textDirection w:val="lrTb"/>
            <w:noWrap w:val="false"/>
          </w:tcPr>
          <w:p>
            <w:pPr>
              <w:ind w:firstLine="422"/>
              <w:jc w:val="center"/>
              <w:rPr>
                <w:rFonts w:ascii="宋体" w:hAnsi="宋体" w:cs="宋体"/>
                <w:b/>
                <w:bCs/>
                <w:color w:val="auto"/>
                <w:highlight w:val="none"/>
              </w:rPr>
            </w:pPr>
            <w:r>
              <w:rPr>
                <w:rFonts w:ascii="宋体" w:hAnsi="宋体" w:cs="宋体"/>
                <w:b/>
                <w:bCs/>
                <w:color w:val="auto"/>
                <w:highlight w:val="none"/>
              </w:rPr>
            </w:r>
            <w:r/>
          </w:p>
        </w:tc>
      </w:tr>
      <w:tr>
        <w:trPr>
          <w:jc w:val="center"/>
          <w:trHeight w:val="530"/>
        </w:trPr>
        <w:tc>
          <w:tcPr>
            <w:tcW w:w="5191" w:type="dxa"/>
            <w:vAlign w:val="center"/>
            <w:textDirection w:val="lrTb"/>
            <w:noWrap w:val="false"/>
          </w:tcPr>
          <w:p>
            <w:pPr>
              <w:ind w:firstLine="422"/>
              <w:jc w:val="center"/>
              <w:rPr>
                <w:rFonts w:ascii="宋体" w:hAnsi="宋体" w:cs="宋体"/>
                <w:b/>
                <w:bCs/>
                <w:color w:val="auto"/>
                <w:highlight w:val="none"/>
              </w:rPr>
            </w:pPr>
            <w:r>
              <w:rPr>
                <w:rFonts w:ascii="宋体" w:hAnsi="宋体" w:cs="宋体"/>
                <w:b/>
                <w:bCs/>
                <w:color w:val="auto"/>
                <w:highlight w:val="none"/>
              </w:rPr>
            </w:r>
            <w:r/>
          </w:p>
        </w:tc>
        <w:tc>
          <w:tcPr>
            <w:tcW w:w="3269" w:type="dxa"/>
            <w:vAlign w:val="center"/>
            <w:textDirection w:val="lrTb"/>
            <w:noWrap w:val="false"/>
          </w:tcPr>
          <w:p>
            <w:pPr>
              <w:ind w:firstLine="422"/>
              <w:jc w:val="center"/>
              <w:rPr>
                <w:rFonts w:ascii="宋体" w:hAnsi="宋体" w:cs="宋体"/>
                <w:b/>
                <w:bCs/>
                <w:color w:val="auto"/>
                <w:highlight w:val="none"/>
              </w:rPr>
            </w:pPr>
            <w:r>
              <w:rPr>
                <w:rFonts w:ascii="宋体" w:hAnsi="宋体" w:cs="宋体"/>
                <w:b/>
                <w:bCs/>
                <w:color w:val="auto"/>
                <w:highlight w:val="none"/>
              </w:rPr>
            </w:r>
            <w:r/>
          </w:p>
        </w:tc>
      </w:tr>
      <w:tr>
        <w:trPr>
          <w:jc w:val="center"/>
          <w:trHeight w:val="366"/>
        </w:trPr>
        <w:tc>
          <w:tcPr>
            <w:tcW w:w="5191" w:type="dxa"/>
            <w:vAlign w:val="center"/>
            <w:textDirection w:val="lrTb"/>
            <w:noWrap w:val="false"/>
          </w:tcPr>
          <w:p>
            <w:pPr>
              <w:ind w:firstLine="422"/>
              <w:jc w:val="center"/>
              <w:rPr>
                <w:rFonts w:ascii="宋体" w:hAnsi="宋体" w:cs="宋体"/>
                <w:b/>
                <w:bCs/>
                <w:color w:val="auto"/>
                <w:highlight w:val="none"/>
              </w:rPr>
            </w:pPr>
            <w:r>
              <w:rPr>
                <w:rFonts w:ascii="宋体" w:hAnsi="宋体" w:cs="宋体"/>
                <w:b/>
                <w:bCs/>
                <w:color w:val="auto"/>
                <w:highlight w:val="none"/>
              </w:rPr>
            </w:r>
            <w:r/>
          </w:p>
        </w:tc>
        <w:tc>
          <w:tcPr>
            <w:tcW w:w="3269" w:type="dxa"/>
            <w:vAlign w:val="center"/>
            <w:textDirection w:val="lrTb"/>
            <w:noWrap w:val="false"/>
          </w:tcPr>
          <w:p>
            <w:pPr>
              <w:ind w:firstLine="422"/>
              <w:jc w:val="center"/>
              <w:rPr>
                <w:rFonts w:ascii="宋体" w:hAnsi="宋体" w:cs="宋体"/>
                <w:b/>
                <w:bCs/>
                <w:color w:val="auto"/>
                <w:highlight w:val="none"/>
              </w:rPr>
            </w:pPr>
            <w:r>
              <w:rPr>
                <w:rFonts w:ascii="宋体" w:hAnsi="宋体" w:cs="宋体"/>
                <w:b/>
                <w:bCs/>
                <w:color w:val="auto"/>
                <w:highlight w:val="none"/>
              </w:rPr>
            </w:r>
            <w:r/>
          </w:p>
        </w:tc>
      </w:tr>
      <w:tr>
        <w:trPr>
          <w:jc w:val="center"/>
          <w:trHeight w:val="452"/>
        </w:trPr>
        <w:tc>
          <w:tcPr>
            <w:gridSpan w:val="2"/>
            <w:tcW w:w="8460" w:type="dxa"/>
            <w:vAlign w:val="center"/>
            <w:textDirection w:val="lrTb"/>
            <w:noWrap w:val="false"/>
          </w:tcPr>
          <w:p>
            <w:pPr>
              <w:ind w:firstLine="422"/>
              <w:jc w:val="center"/>
              <w:rPr>
                <w:rFonts w:ascii="宋体" w:hAnsi="宋体" w:cs="宋体"/>
                <w:b/>
                <w:bCs/>
                <w:color w:val="auto"/>
                <w:highlight w:val="none"/>
              </w:rPr>
            </w:pPr>
            <w:r>
              <w:rPr>
                <w:rFonts w:ascii="宋体" w:hAnsi="宋体" w:cs="宋体"/>
                <w:b/>
                <w:bCs/>
                <w:color w:val="auto"/>
                <w:highlight w:val="none"/>
              </w:rPr>
            </w:r>
            <w:r/>
          </w:p>
        </w:tc>
      </w:tr>
      <w:tr>
        <w:trPr>
          <w:jc w:val="center"/>
          <w:trHeight w:val="686"/>
        </w:trPr>
        <w:tc>
          <w:tcPr>
            <w:tcW w:w="5191" w:type="dxa"/>
            <w:vAlign w:val="center"/>
            <w:textDirection w:val="lrTb"/>
            <w:noWrap w:val="false"/>
          </w:tcPr>
          <w:p>
            <w:pPr>
              <w:ind w:firstLine="422"/>
              <w:jc w:val="center"/>
              <w:rPr>
                <w:rFonts w:ascii="宋体" w:hAnsi="宋体" w:cs="宋体"/>
                <w:b/>
                <w:bCs/>
                <w:color w:val="auto"/>
                <w:highlight w:val="none"/>
              </w:rPr>
            </w:pPr>
            <w:r>
              <w:rPr>
                <w:rFonts w:ascii="宋体" w:hAnsi="宋体" w:cs="宋体"/>
                <w:b/>
                <w:bCs/>
                <w:color w:val="auto"/>
                <w:highlight w:val="none"/>
              </w:rPr>
            </w:r>
            <w:r/>
          </w:p>
        </w:tc>
        <w:tc>
          <w:tcPr>
            <w:tcW w:w="3269" w:type="dxa"/>
            <w:vAlign w:val="center"/>
            <w:textDirection w:val="lrTb"/>
            <w:noWrap w:val="false"/>
          </w:tcPr>
          <w:p>
            <w:pPr>
              <w:ind w:firstLine="422"/>
              <w:jc w:val="center"/>
              <w:rPr>
                <w:rFonts w:ascii="宋体" w:hAnsi="宋体" w:cs="宋体"/>
                <w:b/>
                <w:bCs/>
                <w:color w:val="auto"/>
                <w:highlight w:val="none"/>
              </w:rPr>
            </w:pPr>
            <w:r>
              <w:rPr>
                <w:rFonts w:ascii="宋体" w:hAnsi="宋体" w:cs="宋体"/>
                <w:b/>
                <w:bCs/>
                <w:color w:val="auto"/>
                <w:highlight w:val="none"/>
              </w:rPr>
            </w:r>
            <w:r/>
          </w:p>
        </w:tc>
      </w:tr>
      <w:tr>
        <w:trPr>
          <w:jc w:val="center"/>
          <w:trHeight w:val="366"/>
        </w:trPr>
        <w:tc>
          <w:tcPr>
            <w:tcW w:w="5191" w:type="dxa"/>
            <w:vAlign w:val="center"/>
            <w:textDirection w:val="lrTb"/>
            <w:noWrap w:val="false"/>
          </w:tcPr>
          <w:p>
            <w:pPr>
              <w:ind w:firstLine="422"/>
              <w:jc w:val="center"/>
              <w:rPr>
                <w:rFonts w:ascii="宋体" w:hAnsi="宋体" w:cs="宋体"/>
                <w:b/>
                <w:bCs/>
                <w:color w:val="auto"/>
                <w:highlight w:val="none"/>
              </w:rPr>
            </w:pPr>
            <w:r>
              <w:rPr>
                <w:rFonts w:ascii="宋体" w:hAnsi="宋体" w:cs="宋体"/>
                <w:b/>
                <w:bCs/>
                <w:color w:val="auto"/>
                <w:highlight w:val="none"/>
              </w:rPr>
            </w:r>
            <w:r/>
          </w:p>
        </w:tc>
        <w:tc>
          <w:tcPr>
            <w:tcW w:w="3269" w:type="dxa"/>
            <w:vAlign w:val="center"/>
            <w:textDirection w:val="lrTb"/>
            <w:noWrap w:val="false"/>
          </w:tcPr>
          <w:p>
            <w:pPr>
              <w:ind w:firstLine="422"/>
              <w:jc w:val="center"/>
              <w:rPr>
                <w:rFonts w:ascii="宋体" w:hAnsi="宋体" w:cs="宋体"/>
                <w:b/>
                <w:bCs/>
                <w:color w:val="auto"/>
                <w:highlight w:val="none"/>
              </w:rPr>
            </w:pPr>
            <w:r>
              <w:rPr>
                <w:rFonts w:ascii="宋体" w:hAnsi="宋体" w:cs="宋体"/>
                <w:b/>
                <w:bCs/>
                <w:color w:val="auto"/>
                <w:highlight w:val="none"/>
              </w:rPr>
            </w:r>
            <w:r/>
          </w:p>
        </w:tc>
      </w:tr>
      <w:tr>
        <w:trPr>
          <w:jc w:val="center"/>
          <w:trHeight w:val="366"/>
        </w:trPr>
        <w:tc>
          <w:tcPr>
            <w:tcW w:w="5191" w:type="dxa"/>
            <w:vAlign w:val="center"/>
            <w:textDirection w:val="lrTb"/>
            <w:noWrap w:val="false"/>
          </w:tcPr>
          <w:p>
            <w:pPr>
              <w:ind w:firstLine="422"/>
              <w:jc w:val="center"/>
              <w:rPr>
                <w:rFonts w:ascii="宋体" w:hAnsi="宋体" w:cs="宋体"/>
                <w:b/>
                <w:bCs/>
                <w:color w:val="auto"/>
                <w:highlight w:val="none"/>
              </w:rPr>
            </w:pPr>
            <w:r>
              <w:rPr>
                <w:rFonts w:ascii="宋体" w:hAnsi="宋体" w:cs="宋体"/>
                <w:b/>
                <w:bCs/>
                <w:color w:val="auto"/>
                <w:highlight w:val="none"/>
              </w:rPr>
            </w:r>
            <w:r/>
          </w:p>
        </w:tc>
        <w:tc>
          <w:tcPr>
            <w:tcW w:w="3269" w:type="dxa"/>
            <w:vAlign w:val="center"/>
            <w:textDirection w:val="lrTb"/>
            <w:noWrap w:val="false"/>
          </w:tcPr>
          <w:p>
            <w:pPr>
              <w:ind w:firstLine="422"/>
              <w:jc w:val="center"/>
              <w:rPr>
                <w:rFonts w:ascii="宋体" w:hAnsi="宋体" w:cs="宋体"/>
                <w:b/>
                <w:bCs/>
                <w:color w:val="auto"/>
                <w:highlight w:val="none"/>
              </w:rPr>
            </w:pPr>
            <w:r>
              <w:rPr>
                <w:rFonts w:ascii="宋体" w:hAnsi="宋体" w:cs="宋体"/>
                <w:b/>
                <w:bCs/>
                <w:color w:val="auto"/>
                <w:highlight w:val="none"/>
              </w:rPr>
            </w:r>
            <w:r/>
          </w:p>
        </w:tc>
      </w:tr>
      <w:tr>
        <w:trPr>
          <w:jc w:val="center"/>
          <w:trHeight w:val="366"/>
        </w:trPr>
        <w:tc>
          <w:tcPr>
            <w:tcW w:w="5191" w:type="dxa"/>
            <w:vAlign w:val="center"/>
            <w:textDirection w:val="lrTb"/>
            <w:noWrap w:val="false"/>
          </w:tcPr>
          <w:p>
            <w:pPr>
              <w:ind w:firstLine="422"/>
              <w:jc w:val="center"/>
              <w:rPr>
                <w:rFonts w:ascii="宋体" w:hAnsi="宋体" w:cs="宋体"/>
                <w:b/>
                <w:bCs/>
                <w:color w:val="auto"/>
                <w:highlight w:val="none"/>
              </w:rPr>
            </w:pPr>
            <w:r>
              <w:rPr>
                <w:rFonts w:ascii="宋体" w:hAnsi="宋体" w:cs="宋体"/>
                <w:b/>
                <w:bCs/>
                <w:color w:val="auto"/>
                <w:highlight w:val="none"/>
              </w:rPr>
            </w:r>
            <w:r/>
          </w:p>
        </w:tc>
        <w:tc>
          <w:tcPr>
            <w:tcW w:w="3269" w:type="dxa"/>
            <w:vAlign w:val="center"/>
            <w:textDirection w:val="lrTb"/>
            <w:noWrap w:val="false"/>
          </w:tcPr>
          <w:p>
            <w:pPr>
              <w:ind w:firstLine="422"/>
              <w:jc w:val="center"/>
              <w:rPr>
                <w:rFonts w:ascii="宋体" w:hAnsi="宋体" w:cs="宋体"/>
                <w:b/>
                <w:bCs/>
                <w:color w:val="auto"/>
                <w:highlight w:val="none"/>
              </w:rPr>
            </w:pPr>
            <w:r>
              <w:rPr>
                <w:rFonts w:ascii="宋体" w:hAnsi="宋体" w:cs="宋体"/>
                <w:b/>
                <w:bCs/>
                <w:color w:val="auto"/>
                <w:highlight w:val="none"/>
              </w:rPr>
            </w:r>
            <w:r/>
          </w:p>
        </w:tc>
      </w:tr>
      <w:tr>
        <w:trPr>
          <w:jc w:val="center"/>
          <w:trHeight w:val="366"/>
        </w:trPr>
        <w:tc>
          <w:tcPr>
            <w:tcW w:w="5191" w:type="dxa"/>
            <w:vAlign w:val="center"/>
            <w:textDirection w:val="lrTb"/>
            <w:noWrap w:val="false"/>
          </w:tcPr>
          <w:p>
            <w:pPr>
              <w:ind w:firstLine="422"/>
              <w:jc w:val="center"/>
              <w:rPr>
                <w:rFonts w:ascii="宋体" w:hAnsi="宋体" w:cs="宋体"/>
                <w:b/>
                <w:bCs/>
                <w:color w:val="auto"/>
                <w:highlight w:val="none"/>
              </w:rPr>
            </w:pPr>
            <w:r>
              <w:rPr>
                <w:rFonts w:ascii="宋体" w:hAnsi="宋体" w:cs="宋体"/>
                <w:b/>
                <w:bCs/>
                <w:color w:val="auto"/>
                <w:highlight w:val="none"/>
              </w:rPr>
            </w:r>
            <w:r/>
          </w:p>
        </w:tc>
        <w:tc>
          <w:tcPr>
            <w:tcW w:w="3269" w:type="dxa"/>
            <w:vAlign w:val="center"/>
            <w:textDirection w:val="lrTb"/>
            <w:noWrap w:val="false"/>
          </w:tcPr>
          <w:p>
            <w:pPr>
              <w:ind w:firstLine="422"/>
              <w:jc w:val="center"/>
              <w:rPr>
                <w:rFonts w:ascii="宋体" w:hAnsi="宋体" w:cs="宋体"/>
                <w:b/>
                <w:bCs/>
                <w:color w:val="auto"/>
                <w:highlight w:val="none"/>
              </w:rPr>
            </w:pPr>
            <w:r>
              <w:rPr>
                <w:rFonts w:ascii="宋体" w:hAnsi="宋体" w:cs="宋体"/>
                <w:b/>
                <w:bCs/>
                <w:color w:val="auto"/>
                <w:highlight w:val="none"/>
              </w:rPr>
            </w:r>
            <w:r/>
          </w:p>
        </w:tc>
      </w:tr>
      <w:tr>
        <w:trPr>
          <w:jc w:val="center"/>
          <w:trHeight w:val="530"/>
        </w:trPr>
        <w:tc>
          <w:tcPr>
            <w:gridSpan w:val="2"/>
            <w:tcW w:w="8460" w:type="dxa"/>
            <w:vAlign w:val="center"/>
            <w:textDirection w:val="lrTb"/>
            <w:noWrap w:val="false"/>
          </w:tcPr>
          <w:p>
            <w:pPr>
              <w:ind w:firstLine="422"/>
              <w:jc w:val="center"/>
              <w:rPr>
                <w:rFonts w:ascii="宋体" w:hAnsi="宋体" w:cs="宋体"/>
                <w:b/>
                <w:bCs/>
                <w:color w:val="auto"/>
                <w:highlight w:val="none"/>
              </w:rPr>
            </w:pPr>
            <w:r>
              <w:rPr>
                <w:rFonts w:ascii="宋体" w:hAnsi="宋体" w:cs="宋体"/>
                <w:b/>
                <w:bCs/>
                <w:color w:val="auto"/>
                <w:highlight w:val="none"/>
              </w:rPr>
            </w:r>
            <w:r/>
          </w:p>
        </w:tc>
      </w:tr>
      <w:tr>
        <w:trPr>
          <w:jc w:val="center"/>
          <w:trHeight w:val="375"/>
        </w:trPr>
        <w:tc>
          <w:tcPr>
            <w:tcW w:w="5191" w:type="dxa"/>
            <w:vAlign w:val="center"/>
            <w:textDirection w:val="lrTb"/>
            <w:noWrap w:val="false"/>
          </w:tcPr>
          <w:p>
            <w:pPr>
              <w:ind w:firstLine="422"/>
              <w:jc w:val="center"/>
              <w:rPr>
                <w:rFonts w:ascii="宋体" w:hAnsi="宋体" w:cs="宋体"/>
                <w:b/>
                <w:bCs/>
                <w:color w:val="auto"/>
                <w:highlight w:val="none"/>
              </w:rPr>
            </w:pPr>
            <w:r>
              <w:rPr>
                <w:rFonts w:ascii="宋体" w:hAnsi="宋体" w:cs="宋体"/>
                <w:b/>
                <w:bCs/>
                <w:color w:val="auto"/>
                <w:highlight w:val="none"/>
              </w:rPr>
            </w:r>
            <w:r/>
          </w:p>
        </w:tc>
        <w:tc>
          <w:tcPr>
            <w:tcW w:w="3269" w:type="dxa"/>
            <w:vAlign w:val="center"/>
            <w:textDirection w:val="lrTb"/>
            <w:noWrap w:val="false"/>
          </w:tcPr>
          <w:p>
            <w:pPr>
              <w:ind w:firstLine="422"/>
              <w:jc w:val="center"/>
              <w:rPr>
                <w:rFonts w:ascii="宋体" w:hAnsi="宋体" w:cs="宋体"/>
                <w:b/>
                <w:bCs/>
                <w:color w:val="auto"/>
                <w:highlight w:val="none"/>
              </w:rPr>
            </w:pPr>
            <w:r>
              <w:rPr>
                <w:rFonts w:ascii="宋体" w:hAnsi="宋体" w:cs="宋体"/>
                <w:b/>
                <w:bCs/>
                <w:color w:val="auto"/>
                <w:highlight w:val="none"/>
              </w:rPr>
            </w:r>
            <w:r/>
          </w:p>
        </w:tc>
      </w:tr>
      <w:tr>
        <w:trPr>
          <w:jc w:val="center"/>
          <w:trHeight w:val="366"/>
        </w:trPr>
        <w:tc>
          <w:tcPr>
            <w:tcW w:w="5191" w:type="dxa"/>
            <w:vAlign w:val="center"/>
            <w:textDirection w:val="lrTb"/>
            <w:noWrap w:val="false"/>
          </w:tcPr>
          <w:p>
            <w:pPr>
              <w:ind w:firstLine="422"/>
              <w:jc w:val="center"/>
              <w:rPr>
                <w:rFonts w:ascii="宋体" w:hAnsi="宋体" w:cs="宋体"/>
                <w:b/>
                <w:bCs/>
                <w:color w:val="auto"/>
                <w:highlight w:val="none"/>
              </w:rPr>
            </w:pPr>
            <w:r>
              <w:rPr>
                <w:rFonts w:ascii="宋体" w:hAnsi="宋体" w:cs="宋体"/>
                <w:b/>
                <w:bCs/>
                <w:color w:val="auto"/>
                <w:highlight w:val="none"/>
              </w:rPr>
            </w:r>
            <w:r/>
          </w:p>
        </w:tc>
        <w:tc>
          <w:tcPr>
            <w:tcW w:w="3269" w:type="dxa"/>
            <w:vAlign w:val="center"/>
            <w:textDirection w:val="lrTb"/>
            <w:noWrap w:val="false"/>
          </w:tcPr>
          <w:p>
            <w:pPr>
              <w:ind w:firstLine="422"/>
              <w:jc w:val="center"/>
              <w:rPr>
                <w:rFonts w:ascii="宋体" w:hAnsi="宋体" w:cs="宋体"/>
                <w:b/>
                <w:bCs/>
                <w:color w:val="auto"/>
                <w:highlight w:val="none"/>
              </w:rPr>
            </w:pPr>
            <w:r>
              <w:rPr>
                <w:rFonts w:ascii="宋体" w:hAnsi="宋体" w:cs="宋体"/>
                <w:b/>
                <w:bCs/>
                <w:color w:val="auto"/>
                <w:highlight w:val="none"/>
              </w:rPr>
            </w:r>
            <w:r/>
          </w:p>
        </w:tc>
      </w:tr>
      <w:tr>
        <w:trPr>
          <w:jc w:val="center"/>
          <w:trHeight w:val="375"/>
        </w:trPr>
        <w:tc>
          <w:tcPr>
            <w:tcW w:w="5191" w:type="dxa"/>
            <w:vAlign w:val="center"/>
            <w:textDirection w:val="lrTb"/>
            <w:noWrap w:val="false"/>
          </w:tcPr>
          <w:p>
            <w:pPr>
              <w:ind w:firstLine="422"/>
              <w:jc w:val="center"/>
              <w:rPr>
                <w:rFonts w:ascii="宋体" w:hAnsi="宋体" w:cs="宋体"/>
                <w:b/>
                <w:bCs/>
                <w:color w:val="auto"/>
                <w:highlight w:val="none"/>
              </w:rPr>
            </w:pPr>
            <w:r>
              <w:rPr>
                <w:rFonts w:ascii="宋体" w:hAnsi="宋体" w:cs="宋体"/>
                <w:b/>
                <w:bCs/>
                <w:color w:val="auto"/>
                <w:highlight w:val="none"/>
              </w:rPr>
            </w:r>
            <w:r/>
          </w:p>
        </w:tc>
        <w:tc>
          <w:tcPr>
            <w:tcW w:w="3269" w:type="dxa"/>
            <w:vAlign w:val="center"/>
            <w:textDirection w:val="lrTb"/>
            <w:noWrap w:val="false"/>
          </w:tcPr>
          <w:p>
            <w:pPr>
              <w:ind w:firstLine="422"/>
              <w:jc w:val="center"/>
              <w:rPr>
                <w:rFonts w:ascii="宋体" w:hAnsi="宋体" w:cs="宋体"/>
                <w:b/>
                <w:bCs/>
                <w:color w:val="auto"/>
                <w:highlight w:val="none"/>
              </w:rPr>
            </w:pPr>
            <w:r>
              <w:rPr>
                <w:rFonts w:ascii="宋体" w:hAnsi="宋体" w:cs="宋体"/>
                <w:b/>
                <w:bCs/>
                <w:color w:val="auto"/>
                <w:highlight w:val="none"/>
              </w:rPr>
            </w:r>
            <w:r/>
          </w:p>
        </w:tc>
      </w:tr>
      <w:tr>
        <w:trPr>
          <w:jc w:val="center"/>
          <w:trHeight w:val="366"/>
        </w:trPr>
        <w:tc>
          <w:tcPr>
            <w:gridSpan w:val="2"/>
            <w:tcW w:w="8460" w:type="dxa"/>
            <w:vAlign w:val="center"/>
            <w:textDirection w:val="lrTb"/>
            <w:noWrap w:val="false"/>
          </w:tcPr>
          <w:p>
            <w:pPr>
              <w:ind w:firstLine="422"/>
              <w:jc w:val="center"/>
              <w:rPr>
                <w:rFonts w:ascii="宋体" w:hAnsi="宋体" w:cs="宋体"/>
                <w:b/>
                <w:bCs/>
                <w:color w:val="auto"/>
                <w:highlight w:val="none"/>
              </w:rPr>
            </w:pPr>
            <w:r>
              <w:rPr>
                <w:rFonts w:ascii="宋体" w:hAnsi="宋体" w:cs="宋体"/>
                <w:b/>
                <w:bCs/>
                <w:color w:val="auto"/>
                <w:highlight w:val="none"/>
              </w:rPr>
            </w:r>
            <w:r/>
          </w:p>
        </w:tc>
      </w:tr>
      <w:tr>
        <w:trPr>
          <w:jc w:val="center"/>
          <w:trHeight w:val="575"/>
        </w:trPr>
        <w:tc>
          <w:tcPr>
            <w:tcW w:w="5191" w:type="dxa"/>
            <w:vAlign w:val="center"/>
            <w:textDirection w:val="lrTb"/>
            <w:noWrap w:val="false"/>
          </w:tcPr>
          <w:p>
            <w:pPr>
              <w:ind w:firstLine="422"/>
              <w:jc w:val="center"/>
              <w:rPr>
                <w:rFonts w:ascii="宋体" w:hAnsi="宋体" w:cs="宋体"/>
                <w:b/>
                <w:bCs/>
                <w:color w:val="auto"/>
                <w:highlight w:val="none"/>
              </w:rPr>
            </w:pPr>
            <w:r>
              <w:rPr>
                <w:rFonts w:ascii="宋体" w:hAnsi="宋体" w:cs="宋体"/>
                <w:b/>
                <w:bCs/>
                <w:color w:val="auto"/>
                <w:highlight w:val="none"/>
              </w:rPr>
            </w:r>
            <w:r/>
          </w:p>
        </w:tc>
        <w:tc>
          <w:tcPr>
            <w:tcW w:w="3269" w:type="dxa"/>
            <w:vAlign w:val="center"/>
            <w:textDirection w:val="lrTb"/>
            <w:noWrap w:val="false"/>
          </w:tcPr>
          <w:p>
            <w:pPr>
              <w:ind w:firstLine="422"/>
              <w:jc w:val="center"/>
              <w:rPr>
                <w:rFonts w:ascii="宋体" w:hAnsi="宋体" w:cs="宋体"/>
                <w:b/>
                <w:bCs/>
                <w:color w:val="auto"/>
                <w:highlight w:val="none"/>
              </w:rPr>
            </w:pPr>
            <w:r>
              <w:rPr>
                <w:rFonts w:ascii="宋体" w:hAnsi="宋体" w:cs="宋体"/>
                <w:b/>
                <w:bCs/>
                <w:color w:val="auto"/>
                <w:highlight w:val="none"/>
              </w:rPr>
            </w:r>
            <w:r/>
          </w:p>
        </w:tc>
      </w:tr>
      <w:tr>
        <w:trPr>
          <w:jc w:val="center"/>
          <w:trHeight w:val="529"/>
        </w:trPr>
        <w:tc>
          <w:tcPr>
            <w:tcW w:w="5191" w:type="dxa"/>
            <w:vAlign w:val="center"/>
            <w:textDirection w:val="lrTb"/>
            <w:noWrap w:val="false"/>
          </w:tcPr>
          <w:p>
            <w:pPr>
              <w:ind w:firstLine="422"/>
              <w:jc w:val="center"/>
              <w:rPr>
                <w:rFonts w:ascii="宋体" w:hAnsi="宋体" w:cs="宋体"/>
                <w:b/>
                <w:bCs/>
                <w:color w:val="auto"/>
                <w:highlight w:val="none"/>
              </w:rPr>
            </w:pPr>
            <w:r>
              <w:rPr>
                <w:rFonts w:ascii="宋体" w:hAnsi="宋体" w:cs="宋体"/>
                <w:b/>
                <w:bCs/>
                <w:color w:val="auto"/>
                <w:highlight w:val="none"/>
              </w:rPr>
            </w:r>
            <w:r/>
          </w:p>
        </w:tc>
        <w:tc>
          <w:tcPr>
            <w:tcW w:w="3269" w:type="dxa"/>
            <w:vAlign w:val="center"/>
            <w:textDirection w:val="lrTb"/>
            <w:noWrap w:val="false"/>
          </w:tcPr>
          <w:p>
            <w:pPr>
              <w:ind w:firstLine="422"/>
              <w:jc w:val="center"/>
              <w:rPr>
                <w:rFonts w:ascii="宋体" w:hAnsi="宋体" w:cs="宋体"/>
                <w:b/>
                <w:bCs/>
                <w:color w:val="auto"/>
                <w:highlight w:val="none"/>
              </w:rPr>
            </w:pPr>
            <w:r>
              <w:rPr>
                <w:rFonts w:ascii="宋体" w:hAnsi="宋体" w:cs="宋体"/>
                <w:b/>
                <w:bCs/>
                <w:color w:val="auto"/>
                <w:highlight w:val="none"/>
              </w:rPr>
            </w:r>
            <w:r/>
          </w:p>
        </w:tc>
      </w:tr>
    </w:tbl>
    <w:p>
      <w:pPr>
        <w:ind w:firstLine="422"/>
        <w:jc w:val="center"/>
        <w:rPr>
          <w:rFonts w:ascii="宋体" w:hAnsi="宋体" w:cs="宋体"/>
          <w:b/>
          <w:bCs/>
          <w:color w:val="auto"/>
          <w:highlight w:val="none"/>
        </w:rPr>
      </w:pPr>
      <w:r>
        <w:rPr>
          <w:rFonts w:ascii="宋体" w:hAnsi="宋体" w:cs="宋体"/>
          <w:b/>
          <w:bCs/>
          <w:color w:val="auto"/>
          <w:highlight w:val="none"/>
        </w:rPr>
      </w:r>
      <w:r/>
    </w:p>
    <w:p>
      <w:pPr>
        <w:jc w:val="center"/>
        <w:rPr>
          <w:rFonts w:ascii="宋体" w:hAnsi="宋体" w:cs="宋体"/>
          <w:b/>
          <w:bCs/>
          <w:color w:val="auto"/>
          <w:sz w:val="36"/>
          <w:szCs w:val="36"/>
          <w:highlight w:val="none"/>
        </w:rPr>
        <w:outlineLvl w:val="0"/>
      </w:pPr>
      <w:r>
        <w:rPr>
          <w:rFonts w:hint="eastAsia" w:ascii="宋体" w:hAnsi="宋体" w:cs="宋体"/>
          <w:color w:val="auto"/>
          <w:highlight w:val="none"/>
        </w:rPr>
        <w:br w:type="page" w:clear="all"/>
      </w:r>
      <w:bookmarkStart w:id="102" w:name="_Toc18214"/>
      <w:r/>
      <w:bookmarkStart w:id="103" w:name="_Toc21"/>
      <w:r/>
      <w:bookmarkStart w:id="104" w:name="_Toc31044"/>
      <w:r/>
      <w:bookmarkStart w:id="105" w:name="_Toc25720"/>
      <w:r/>
      <w:bookmarkStart w:id="106" w:name="_Toc19349"/>
      <w:r/>
      <w:bookmarkStart w:id="107" w:name="_Toc4476"/>
      <w:r/>
      <w:bookmarkStart w:id="108" w:name="_Toc19257"/>
      <w:r/>
      <w:bookmarkStart w:id="109" w:name="_Toc28617"/>
      <w:r/>
      <w:bookmarkStart w:id="110" w:name="_Toc31655"/>
      <w:r/>
      <w:bookmarkStart w:id="111" w:name="_Toc4528"/>
      <w:r/>
      <w:bookmarkStart w:id="112" w:name="_Toc4805"/>
      <w:r/>
      <w:bookmarkStart w:id="113" w:name="_Toc5300"/>
      <w:r/>
      <w:bookmarkStart w:id="114" w:name="_Toc18787"/>
      <w:r/>
      <w:bookmarkStart w:id="115" w:name="_Toc12371"/>
      <w:r/>
      <w:bookmarkStart w:id="116" w:name="_Toc29706"/>
      <w:r/>
      <w:bookmarkStart w:id="117" w:name="_Toc1085"/>
      <w:r/>
      <w:bookmarkStart w:id="118" w:name="_Toc18937"/>
      <w:r/>
      <w:bookmarkStart w:id="119" w:name="_Toc8325"/>
      <w:r/>
      <w:bookmarkStart w:id="120" w:name="_Toc18922"/>
      <w:r/>
      <w:bookmarkStart w:id="121" w:name="_Toc18327"/>
      <w:r/>
      <w:bookmarkStart w:id="122" w:name="_Toc28550"/>
      <w:r/>
      <w:bookmarkStart w:id="123" w:name="_Toc1897"/>
      <w:r/>
      <w:bookmarkStart w:id="124" w:name="_Toc26286"/>
      <w:r/>
      <w:bookmarkStart w:id="125" w:name="_Toc9409"/>
      <w:r/>
      <w:bookmarkStart w:id="126" w:name="_Toc11472"/>
      <w:r/>
      <w:bookmarkStart w:id="127" w:name="_Toc6466"/>
      <w:r/>
      <w:bookmarkStart w:id="128" w:name="_Toc29756"/>
      <w:r>
        <w:rPr>
          <w:rFonts w:hint="eastAsia" w:ascii="宋体" w:hAnsi="宋体" w:cs="宋体"/>
          <w:b/>
          <w:bCs/>
          <w:color w:val="auto"/>
          <w:sz w:val="36"/>
          <w:szCs w:val="36"/>
          <w:highlight w:val="none"/>
        </w:rPr>
        <w:t xml:space="preserve">资格性和符合性检查响应对照表</w:t>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r/>
    </w:p>
    <w:tbl>
      <w:tblPr>
        <w:tblStyle w:val="79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5752"/>
        <w:gridCol w:w="1388"/>
        <w:gridCol w:w="1453"/>
      </w:tblGrid>
      <w:tr>
        <w:trPr>
          <w:jc w:val="center"/>
          <w:trHeight w:val="803"/>
        </w:trPr>
        <w:tc>
          <w:tcPr>
            <w:tcW w:w="750" w:type="dxa"/>
            <w:vAlign w:val="center"/>
            <w:textDirection w:val="lrTb"/>
            <w:noWrap w:val="false"/>
          </w:tcPr>
          <w:p>
            <w:pPr>
              <w:spacing w:line="240" w:lineRule="atLeas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5752" w:type="dxa"/>
            <w:vAlign w:val="center"/>
            <w:textDirection w:val="lrTb"/>
            <w:noWrap w:val="false"/>
          </w:tcPr>
          <w:p>
            <w:pPr>
              <w:ind w:firstLine="482"/>
              <w:jc w:val="center"/>
              <w:spacing w:line="240" w:lineRule="atLeas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资格和符合性检查响应内容</w:t>
            </w:r>
            <w:r/>
          </w:p>
        </w:tc>
        <w:tc>
          <w:tcPr>
            <w:tcW w:w="1388" w:type="dxa"/>
            <w:vAlign w:val="center"/>
            <w:textDirection w:val="lrTb"/>
            <w:noWrap w:val="false"/>
          </w:tcPr>
          <w:p>
            <w:pPr>
              <w:spacing w:line="240" w:lineRule="atLeas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是否响应</w:t>
            </w:r>
            <w:r/>
          </w:p>
          <w:p>
            <w:pPr>
              <w:spacing w:line="240" w:lineRule="atLeas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（填是或者否）</w:t>
            </w:r>
            <w:r/>
          </w:p>
        </w:tc>
        <w:tc>
          <w:tcPr>
            <w:tcW w:w="1453" w:type="dxa"/>
            <w:vAlign w:val="center"/>
            <w:textDirection w:val="lrTb"/>
            <w:noWrap w:val="false"/>
          </w:tcPr>
          <w:p>
            <w:pPr>
              <w:spacing w:line="240" w:lineRule="atLeas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在投标文件中的页码位置</w:t>
            </w:r>
            <w:r/>
          </w:p>
        </w:tc>
      </w:tr>
      <w:tr>
        <w:trPr>
          <w:jc w:val="center"/>
          <w:trHeight w:val="320"/>
        </w:trPr>
        <w:tc>
          <w:tcPr>
            <w:gridSpan w:val="4"/>
            <w:tcW w:w="9343" w:type="dxa"/>
            <w:vAlign w:val="center"/>
            <w:textDirection w:val="lrTb"/>
            <w:noWrap w:val="false"/>
          </w:tcPr>
          <w:p>
            <w:pPr>
              <w:ind w:firstLine="482"/>
              <w:jc w:val="center"/>
              <w:rPr>
                <w:rFonts w:ascii="宋体" w:hAnsi="宋体" w:cs="宋体"/>
                <w:color w:val="auto"/>
                <w:sz w:val="24"/>
                <w:szCs w:val="24"/>
                <w:highlight w:val="none"/>
              </w:rPr>
            </w:pPr>
            <w:r>
              <w:rPr>
                <w:rFonts w:hint="eastAsia" w:ascii="宋体" w:hAnsi="宋体" w:cs="宋体"/>
                <w:b/>
                <w:bCs/>
                <w:color w:val="auto"/>
                <w:sz w:val="24"/>
                <w:szCs w:val="24"/>
                <w:highlight w:val="none"/>
              </w:rPr>
              <w:t xml:space="preserve">资格性检查</w:t>
            </w:r>
            <w:r/>
          </w:p>
        </w:tc>
      </w:tr>
      <w:tr>
        <w:trPr>
          <w:jc w:val="center"/>
          <w:trHeight w:val="585"/>
        </w:trPr>
        <w:tc>
          <w:tcPr>
            <w:tcW w:w="750" w:type="dxa"/>
            <w:vAlign w:val="center"/>
            <w:textDirection w:val="lrTb"/>
            <w:noWrap w:val="false"/>
          </w:tcPr>
          <w:p>
            <w:pPr>
              <w:ind w:firstLine="240"/>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5752" w:type="dxa"/>
            <w:vAlign w:val="center"/>
            <w:textDirection w:val="lrTb"/>
            <w:noWrap w:val="false"/>
          </w:tcPr>
          <w:p>
            <w:pPr>
              <w:ind w:firstLine="482"/>
              <w:rPr>
                <w:rFonts w:ascii="宋体" w:hAnsi="宋体" w:cs="宋体"/>
                <w:b/>
                <w:bCs/>
                <w:i/>
                <w:color w:val="auto"/>
                <w:sz w:val="24"/>
                <w:szCs w:val="24"/>
                <w:highlight w:val="none"/>
                <w:u w:val="single"/>
              </w:rPr>
            </w:pPr>
            <w:r>
              <w:rPr>
                <w:rFonts w:hint="eastAsia" w:ascii="宋体" w:hAnsi="宋体" w:cs="宋体"/>
                <w:b/>
                <w:bCs/>
                <w:i/>
                <w:color w:val="auto"/>
                <w:sz w:val="24"/>
                <w:szCs w:val="24"/>
                <w:highlight w:val="none"/>
                <w:u w:val="single"/>
              </w:rPr>
              <w:t xml:space="preserve">具有独立承担民事责任的能力（提供法人或者其他组织的营业执照复印件并加盖公章，或者自然人的身份证明）；</w:t>
            </w:r>
            <w:r/>
          </w:p>
        </w:tc>
        <w:tc>
          <w:tcPr>
            <w:tcW w:w="1388" w:type="dxa"/>
            <w:vAlign w:val="center"/>
            <w:textDirection w:val="lrTb"/>
            <w:noWrap w:val="false"/>
          </w:tcPr>
          <w:p>
            <w:pPr>
              <w:ind w:firstLine="480"/>
              <w:rPr>
                <w:rFonts w:ascii="宋体" w:hAnsi="宋体" w:cs="宋体"/>
                <w:color w:val="auto"/>
                <w:sz w:val="24"/>
                <w:szCs w:val="24"/>
                <w:highlight w:val="none"/>
              </w:rPr>
            </w:pPr>
            <w:r>
              <w:rPr>
                <w:rFonts w:ascii="宋体" w:hAnsi="宋体" w:cs="宋体"/>
                <w:color w:val="auto"/>
                <w:sz w:val="24"/>
                <w:szCs w:val="24"/>
                <w:highlight w:val="none"/>
              </w:rPr>
            </w:r>
            <w:r/>
          </w:p>
        </w:tc>
        <w:tc>
          <w:tcPr>
            <w:tcW w:w="1453" w:type="dxa"/>
            <w:vAlign w:val="center"/>
            <w:textDirection w:val="lrTb"/>
            <w:noWrap w:val="false"/>
          </w:tcPr>
          <w:p>
            <w:pPr>
              <w:ind w:firstLine="480"/>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85"/>
        </w:trPr>
        <w:tc>
          <w:tcPr>
            <w:tcW w:w="750" w:type="dxa"/>
            <w:vAlign w:val="center"/>
            <w:textDirection w:val="lrTb"/>
            <w:noWrap w:val="false"/>
          </w:tcPr>
          <w:p>
            <w:pPr>
              <w:ind w:firstLine="240"/>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5752" w:type="dxa"/>
            <w:vAlign w:val="center"/>
            <w:textDirection w:val="lrTb"/>
            <w:noWrap w:val="false"/>
          </w:tcPr>
          <w:p>
            <w:pPr>
              <w:ind w:firstLine="482"/>
              <w:rPr>
                <w:rFonts w:ascii="宋体" w:hAnsi="宋体" w:cs="宋体"/>
                <w:b/>
                <w:bCs/>
                <w:i/>
                <w:color w:val="auto"/>
                <w:sz w:val="24"/>
                <w:szCs w:val="24"/>
                <w:highlight w:val="none"/>
                <w:u w:val="single"/>
              </w:rPr>
            </w:pPr>
            <w:r>
              <w:rPr>
                <w:rFonts w:hint="eastAsia" w:ascii="宋体" w:hAnsi="宋体" w:cs="宋体"/>
                <w:b/>
                <w:bCs/>
                <w:i/>
                <w:color w:val="auto"/>
                <w:sz w:val="24"/>
                <w:szCs w:val="24"/>
                <w:highlight w:val="none"/>
                <w:u w:val="single"/>
              </w:rPr>
              <w:t xml:space="preserve">具有良好的商业信誉和健全的财务会计制度（提供202</w:t>
            </w:r>
            <w:r>
              <w:rPr>
                <w:rFonts w:hint="eastAsia" w:ascii="宋体" w:hAnsi="宋体" w:cs="宋体"/>
                <w:b/>
                <w:bCs/>
                <w:i/>
                <w:color w:val="auto"/>
                <w:sz w:val="24"/>
                <w:szCs w:val="24"/>
                <w:highlight w:val="none"/>
                <w:u w:val="single"/>
                <w:lang w:val="en-US" w:eastAsia="zh-CN"/>
              </w:rPr>
              <w:t xml:space="preserve">5</w:t>
            </w:r>
            <w:r>
              <w:rPr>
                <w:rFonts w:hint="eastAsia" w:ascii="宋体" w:hAnsi="宋体" w:cs="宋体"/>
                <w:b/>
                <w:bCs/>
                <w:i/>
                <w:color w:val="auto"/>
                <w:sz w:val="24"/>
                <w:szCs w:val="24"/>
                <w:highlight w:val="none"/>
                <w:u w:val="single"/>
              </w:rPr>
              <w:t xml:space="preserve">年度</w:t>
            </w:r>
            <w:r>
              <w:rPr>
                <w:rFonts w:hint="eastAsia" w:ascii="宋体" w:hAnsi="宋体" w:cs="宋体"/>
                <w:b/>
                <w:bCs/>
                <w:i/>
                <w:color w:val="auto"/>
                <w:sz w:val="24"/>
                <w:szCs w:val="24"/>
                <w:highlight w:val="none"/>
                <w:u w:val="single"/>
                <w:lang w:eastAsia="zh-CN"/>
              </w:rPr>
              <w:t xml:space="preserve">（</w:t>
            </w:r>
            <w:r>
              <w:rPr>
                <w:rFonts w:hint="eastAsia" w:ascii="宋体" w:hAnsi="宋体" w:cs="宋体"/>
                <w:b/>
                <w:bCs/>
                <w:i/>
                <w:color w:val="auto"/>
                <w:sz w:val="24"/>
                <w:szCs w:val="24"/>
                <w:highlight w:val="none"/>
                <w:u w:val="single"/>
                <w:lang w:val="en-US" w:eastAsia="zh-CN"/>
              </w:rPr>
              <w:t xml:space="preserve">或2024年度</w:t>
            </w:r>
            <w:r>
              <w:rPr>
                <w:rFonts w:hint="eastAsia" w:ascii="宋体" w:hAnsi="宋体" w:cs="宋体"/>
                <w:b/>
                <w:bCs/>
                <w:i/>
                <w:color w:val="auto"/>
                <w:sz w:val="24"/>
                <w:szCs w:val="24"/>
                <w:highlight w:val="none"/>
                <w:u w:val="single"/>
                <w:lang w:eastAsia="zh-CN"/>
              </w:rPr>
              <w:t xml:space="preserve">）</w:t>
            </w:r>
            <w:r>
              <w:rPr>
                <w:rFonts w:hint="eastAsia" w:ascii="宋体" w:hAnsi="宋体" w:cs="宋体"/>
                <w:b/>
                <w:bCs/>
                <w:i/>
                <w:color w:val="auto"/>
                <w:sz w:val="24"/>
                <w:szCs w:val="24"/>
                <w:highlight w:val="none"/>
                <w:u w:val="single"/>
              </w:rPr>
              <w:t xml:space="preserve">的财务报告或银行出具的企业资信证明，法人或者其他组织成立未满一年的可提供近半年内任一月的资产负债和利润表）；</w:t>
            </w:r>
            <w:r/>
          </w:p>
        </w:tc>
        <w:tc>
          <w:tcPr>
            <w:tcW w:w="1388" w:type="dxa"/>
            <w:vAlign w:val="center"/>
            <w:textDirection w:val="lrTb"/>
            <w:noWrap w:val="false"/>
          </w:tcPr>
          <w:p>
            <w:pPr>
              <w:ind w:firstLine="480"/>
              <w:rPr>
                <w:rFonts w:ascii="宋体" w:hAnsi="宋体" w:cs="宋体"/>
                <w:color w:val="auto"/>
                <w:sz w:val="24"/>
                <w:szCs w:val="24"/>
                <w:highlight w:val="none"/>
              </w:rPr>
            </w:pPr>
            <w:r>
              <w:rPr>
                <w:rFonts w:ascii="宋体" w:hAnsi="宋体" w:cs="宋体"/>
                <w:color w:val="auto"/>
                <w:sz w:val="24"/>
                <w:szCs w:val="24"/>
                <w:highlight w:val="none"/>
              </w:rPr>
            </w:r>
            <w:r/>
          </w:p>
        </w:tc>
        <w:tc>
          <w:tcPr>
            <w:tcW w:w="1453" w:type="dxa"/>
            <w:vAlign w:val="center"/>
            <w:textDirection w:val="lrTb"/>
            <w:noWrap w:val="false"/>
          </w:tcPr>
          <w:p>
            <w:pPr>
              <w:ind w:firstLine="480"/>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85"/>
        </w:trPr>
        <w:tc>
          <w:tcPr>
            <w:tcW w:w="750" w:type="dxa"/>
            <w:vAlign w:val="center"/>
            <w:textDirection w:val="lrTb"/>
            <w:noWrap w:val="false"/>
          </w:tcPr>
          <w:p>
            <w:pPr>
              <w:ind w:firstLine="240"/>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5752" w:type="dxa"/>
            <w:vAlign w:val="center"/>
            <w:textDirection w:val="lrTb"/>
            <w:noWrap w:val="false"/>
          </w:tcPr>
          <w:p>
            <w:pPr>
              <w:ind w:firstLine="482"/>
              <w:rPr>
                <w:rFonts w:ascii="宋体" w:hAnsi="宋体" w:cs="宋体"/>
                <w:b/>
                <w:i/>
                <w:color w:val="auto"/>
                <w:sz w:val="24"/>
                <w:szCs w:val="24"/>
                <w:highlight w:val="none"/>
                <w:u w:val="single"/>
              </w:rPr>
            </w:pPr>
            <w:r>
              <w:rPr>
                <w:rFonts w:hint="eastAsia" w:ascii="宋体" w:hAnsi="宋体" w:cs="宋体"/>
                <w:b/>
                <w:bCs/>
                <w:i/>
                <w:color w:val="auto"/>
                <w:sz w:val="24"/>
                <w:szCs w:val="24"/>
                <w:highlight w:val="none"/>
                <w:u w:val="single"/>
              </w:rPr>
              <w:t xml:space="preserve">具有履行合同所必需的设备和专业技术能力（根据项目需求提供履行合同所必需的设备和专业技术能力的证明材料或声明函）；</w:t>
            </w:r>
            <w:r/>
          </w:p>
        </w:tc>
        <w:tc>
          <w:tcPr>
            <w:tcW w:w="1388" w:type="dxa"/>
            <w:vAlign w:val="center"/>
            <w:textDirection w:val="lrTb"/>
            <w:noWrap w:val="false"/>
          </w:tcPr>
          <w:p>
            <w:pPr>
              <w:ind w:firstLine="480"/>
              <w:rPr>
                <w:rFonts w:ascii="宋体" w:hAnsi="宋体" w:cs="宋体"/>
                <w:color w:val="auto"/>
                <w:sz w:val="24"/>
                <w:szCs w:val="24"/>
                <w:highlight w:val="none"/>
              </w:rPr>
            </w:pPr>
            <w:r>
              <w:rPr>
                <w:rFonts w:ascii="宋体" w:hAnsi="宋体" w:cs="宋体"/>
                <w:color w:val="auto"/>
                <w:sz w:val="24"/>
                <w:szCs w:val="24"/>
                <w:highlight w:val="none"/>
              </w:rPr>
            </w:r>
            <w:r/>
          </w:p>
        </w:tc>
        <w:tc>
          <w:tcPr>
            <w:tcW w:w="1453" w:type="dxa"/>
            <w:vAlign w:val="center"/>
            <w:textDirection w:val="lrTb"/>
            <w:noWrap w:val="false"/>
          </w:tcPr>
          <w:p>
            <w:pPr>
              <w:ind w:firstLine="480"/>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1025"/>
        </w:trPr>
        <w:tc>
          <w:tcPr>
            <w:tcW w:w="750" w:type="dxa"/>
            <w:vAlign w:val="center"/>
            <w:textDirection w:val="lrTb"/>
            <w:noWrap w:val="false"/>
          </w:tcPr>
          <w:p>
            <w:pPr>
              <w:ind w:firstLine="240"/>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5752" w:type="dxa"/>
            <w:vAlign w:val="center"/>
            <w:textDirection w:val="lrTb"/>
            <w:noWrap w:val="false"/>
          </w:tcPr>
          <w:p>
            <w:pPr>
              <w:ind w:firstLine="482"/>
              <w:jc w:val="left"/>
              <w:spacing w:before="50" w:after="159"/>
              <w:rPr>
                <w:rFonts w:ascii="宋体" w:hAnsi="宋体" w:cs="宋体"/>
                <w:b/>
                <w:bCs/>
                <w:i/>
                <w:color w:val="auto"/>
                <w:sz w:val="24"/>
                <w:szCs w:val="24"/>
                <w:highlight w:val="none"/>
                <w:u w:val="single"/>
              </w:rPr>
            </w:pPr>
            <w:r>
              <w:rPr>
                <w:rFonts w:hint="eastAsia" w:ascii="宋体" w:hAnsi="宋体" w:cs="宋体"/>
                <w:b/>
                <w:i/>
                <w:color w:val="auto"/>
                <w:sz w:val="24"/>
                <w:szCs w:val="24"/>
                <w:highlight w:val="none"/>
                <w:u w:val="single"/>
              </w:rPr>
              <w:t xml:space="preserve">有依法缴纳税收和社会保障资金的良好记录（提供参加本次采购活动前依法缴纳税收及社会保险的凭据。依法免缴、迟缴的应提供相应文件证明）；</w:t>
            </w:r>
            <w:r/>
          </w:p>
        </w:tc>
        <w:tc>
          <w:tcPr>
            <w:tcW w:w="1388" w:type="dxa"/>
            <w:vAlign w:val="center"/>
            <w:textDirection w:val="lrTb"/>
            <w:noWrap w:val="false"/>
          </w:tcPr>
          <w:p>
            <w:pPr>
              <w:ind w:firstLine="480"/>
              <w:rPr>
                <w:rFonts w:ascii="宋体" w:hAnsi="宋体" w:cs="宋体"/>
                <w:color w:val="auto"/>
                <w:sz w:val="24"/>
                <w:szCs w:val="24"/>
                <w:highlight w:val="none"/>
              </w:rPr>
            </w:pPr>
            <w:r>
              <w:rPr>
                <w:rFonts w:ascii="宋体" w:hAnsi="宋体" w:cs="宋体"/>
                <w:color w:val="auto"/>
                <w:sz w:val="24"/>
                <w:szCs w:val="24"/>
                <w:highlight w:val="none"/>
              </w:rPr>
            </w:r>
            <w:r/>
          </w:p>
        </w:tc>
        <w:tc>
          <w:tcPr>
            <w:tcW w:w="1453" w:type="dxa"/>
            <w:vAlign w:val="center"/>
            <w:textDirection w:val="lrTb"/>
            <w:noWrap w:val="false"/>
          </w:tcPr>
          <w:p>
            <w:pPr>
              <w:ind w:firstLine="480"/>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301"/>
        </w:trPr>
        <w:tc>
          <w:tcPr>
            <w:tcW w:w="750" w:type="dxa"/>
            <w:vAlign w:val="center"/>
            <w:textDirection w:val="lrTb"/>
            <w:noWrap w:val="false"/>
          </w:tcPr>
          <w:p>
            <w:pPr>
              <w:ind w:firstLine="240"/>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5752" w:type="dxa"/>
            <w:vAlign w:val="center"/>
            <w:textDirection w:val="lrTb"/>
            <w:noWrap w:val="false"/>
          </w:tcPr>
          <w:p>
            <w:pPr>
              <w:ind w:firstLine="482"/>
              <w:rPr>
                <w:rFonts w:ascii="宋体" w:hAnsi="宋体" w:cs="宋体"/>
                <w:b/>
                <w:bCs/>
                <w:i/>
                <w:color w:val="auto"/>
                <w:sz w:val="24"/>
                <w:szCs w:val="24"/>
                <w:highlight w:val="none"/>
                <w:u w:val="single"/>
              </w:rPr>
            </w:pPr>
            <w:r>
              <w:rPr>
                <w:rFonts w:hint="eastAsia" w:ascii="宋体" w:hAnsi="宋体" w:cs="宋体"/>
                <w:b/>
                <w:bCs/>
                <w:i/>
                <w:color w:val="auto"/>
                <w:sz w:val="24"/>
                <w:szCs w:val="24"/>
                <w:highlight w:val="none"/>
                <w:u w:val="single"/>
              </w:rPr>
              <w:t xml:space="preserve">参加本次采购活动前3年内在经营活动中没有重大违法记录（提供参加本次采购活动前3年内在经营活动中没有重大违法记录的书面声明）；</w:t>
            </w:r>
            <w:r/>
          </w:p>
        </w:tc>
        <w:tc>
          <w:tcPr>
            <w:tcW w:w="1388" w:type="dxa"/>
            <w:vAlign w:val="center"/>
            <w:textDirection w:val="lrTb"/>
            <w:noWrap w:val="false"/>
          </w:tcPr>
          <w:p>
            <w:pPr>
              <w:ind w:firstLine="480"/>
              <w:rPr>
                <w:rFonts w:ascii="宋体" w:hAnsi="宋体" w:cs="宋体"/>
                <w:color w:val="auto"/>
                <w:sz w:val="24"/>
                <w:szCs w:val="24"/>
                <w:highlight w:val="none"/>
              </w:rPr>
            </w:pPr>
            <w:r>
              <w:rPr>
                <w:rFonts w:ascii="宋体" w:hAnsi="宋体" w:cs="宋体"/>
                <w:color w:val="auto"/>
                <w:sz w:val="24"/>
                <w:szCs w:val="24"/>
                <w:highlight w:val="none"/>
              </w:rPr>
            </w:r>
            <w:r/>
          </w:p>
        </w:tc>
        <w:tc>
          <w:tcPr>
            <w:tcW w:w="1453" w:type="dxa"/>
            <w:vAlign w:val="center"/>
            <w:textDirection w:val="lrTb"/>
            <w:noWrap w:val="false"/>
          </w:tcPr>
          <w:p>
            <w:pPr>
              <w:ind w:firstLine="480"/>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90"/>
        </w:trPr>
        <w:tc>
          <w:tcPr>
            <w:tcW w:w="750" w:type="dxa"/>
            <w:vAlign w:val="center"/>
            <w:textDirection w:val="lrTb"/>
            <w:noWrap w:val="false"/>
          </w:tcPr>
          <w:p>
            <w:pPr>
              <w:ind w:firstLine="240"/>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5752" w:type="dxa"/>
            <w:vAlign w:val="center"/>
            <w:textDirection w:val="lrTb"/>
            <w:noWrap w:val="false"/>
          </w:tcPr>
          <w:p>
            <w:pPr>
              <w:ind w:firstLine="482"/>
              <w:rPr>
                <w:rFonts w:ascii="宋体" w:hAnsi="宋体" w:cs="宋体"/>
                <w:b/>
                <w:i/>
                <w:color w:val="auto"/>
                <w:sz w:val="24"/>
                <w:szCs w:val="24"/>
                <w:highlight w:val="none"/>
                <w:u w:val="single"/>
              </w:rPr>
            </w:pPr>
            <w:r>
              <w:rPr>
                <w:rFonts w:hint="eastAsia" w:ascii="宋体" w:hAnsi="宋体" w:cs="宋体"/>
                <w:b/>
                <w:i/>
                <w:color w:val="auto"/>
                <w:sz w:val="24"/>
                <w:szCs w:val="24"/>
                <w:highlight w:val="none"/>
                <w:u w:val="single"/>
              </w:rPr>
              <w:t xml:space="preserve">供应商未被“信用中国”网站（www.creditchina.gov.cn）、“中国政府采购网”(www.ccgp.gov.cn)列入失信被执行人、重大税收违法案件当事人名单、政府采购严重违法失信行为记录名单（提供网页截图）；</w:t>
            </w:r>
            <w:r/>
          </w:p>
        </w:tc>
        <w:tc>
          <w:tcPr>
            <w:tcW w:w="1388" w:type="dxa"/>
            <w:vAlign w:val="center"/>
            <w:textDirection w:val="lrTb"/>
            <w:noWrap w:val="false"/>
          </w:tcPr>
          <w:p>
            <w:pPr>
              <w:ind w:firstLine="480"/>
              <w:rPr>
                <w:rFonts w:ascii="宋体" w:hAnsi="宋体" w:cs="宋体"/>
                <w:color w:val="auto"/>
                <w:sz w:val="24"/>
                <w:szCs w:val="24"/>
                <w:highlight w:val="none"/>
              </w:rPr>
            </w:pPr>
            <w:r>
              <w:rPr>
                <w:rFonts w:ascii="宋体" w:hAnsi="宋体" w:cs="宋体"/>
                <w:color w:val="auto"/>
                <w:sz w:val="24"/>
                <w:szCs w:val="24"/>
                <w:highlight w:val="none"/>
              </w:rPr>
            </w:r>
            <w:r/>
          </w:p>
        </w:tc>
        <w:tc>
          <w:tcPr>
            <w:tcW w:w="1453" w:type="dxa"/>
            <w:vAlign w:val="center"/>
            <w:textDirection w:val="lrTb"/>
            <w:noWrap w:val="false"/>
          </w:tcPr>
          <w:p>
            <w:pPr>
              <w:ind w:firstLine="480"/>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414"/>
        </w:trPr>
        <w:tc>
          <w:tcPr>
            <w:tcW w:w="750" w:type="dxa"/>
            <w:vAlign w:val="center"/>
            <w:textDirection w:val="lrTb"/>
            <w:noWrap w:val="false"/>
          </w:tcPr>
          <w:p>
            <w:pPr>
              <w:ind w:firstLine="240"/>
              <w:rPr>
                <w:rFonts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W w:w="5752" w:type="dxa"/>
            <w:vAlign w:val="center"/>
            <w:textDirection w:val="lrTb"/>
            <w:noWrap w:val="false"/>
          </w:tcPr>
          <w:p>
            <w:pPr>
              <w:ind w:firstLine="482"/>
              <w:rPr>
                <w:rFonts w:ascii="宋体" w:hAnsi="宋体" w:cs="宋体"/>
                <w:color w:val="auto"/>
                <w:sz w:val="24"/>
                <w:szCs w:val="24"/>
                <w:highlight w:val="none"/>
              </w:rPr>
            </w:pPr>
            <w:r>
              <w:rPr>
                <w:rFonts w:hint="eastAsia" w:ascii="宋体" w:hAnsi="宋体" w:cs="宋体"/>
                <w:b/>
                <w:bCs/>
                <w:i/>
                <w:iCs/>
                <w:color w:val="auto"/>
                <w:sz w:val="24"/>
                <w:szCs w:val="24"/>
                <w:highlight w:val="none"/>
                <w:u w:val="single"/>
              </w:rPr>
              <w:t xml:space="preserve">具备在有效期内的检验检测机构资质认定证书（CMA）、省级以上农业农村部门颁发的农产品质量安全检验检测机构考核证书（CATL）</w:t>
            </w:r>
            <w:r>
              <w:rPr>
                <w:rFonts w:hint="eastAsia" w:ascii="宋体" w:hAnsi="宋体" w:cs="宋体"/>
                <w:b/>
                <w:bCs/>
                <w:i/>
                <w:iCs/>
                <w:color w:val="auto"/>
                <w:sz w:val="24"/>
                <w:szCs w:val="24"/>
                <w:highlight w:val="none"/>
                <w:u w:val="single"/>
                <w:lang w:eastAsia="zh-CN"/>
              </w:rPr>
              <w:t xml:space="preserve">。</w:t>
            </w:r>
            <w:r/>
          </w:p>
        </w:tc>
        <w:tc>
          <w:tcPr>
            <w:tcW w:w="1388" w:type="dxa"/>
            <w:vAlign w:val="center"/>
            <w:textDirection w:val="lrTb"/>
            <w:noWrap w:val="false"/>
          </w:tcPr>
          <w:p>
            <w:pPr>
              <w:ind w:firstLine="480"/>
              <w:rPr>
                <w:rFonts w:ascii="宋体" w:hAnsi="宋体" w:cs="宋体"/>
                <w:color w:val="auto"/>
                <w:sz w:val="24"/>
                <w:szCs w:val="24"/>
                <w:highlight w:val="none"/>
              </w:rPr>
            </w:pPr>
            <w:r>
              <w:rPr>
                <w:rFonts w:ascii="宋体" w:hAnsi="宋体" w:cs="宋体"/>
                <w:color w:val="auto"/>
                <w:sz w:val="24"/>
                <w:szCs w:val="24"/>
                <w:highlight w:val="none"/>
              </w:rPr>
            </w:r>
            <w:r/>
          </w:p>
        </w:tc>
        <w:tc>
          <w:tcPr>
            <w:tcW w:w="1453" w:type="dxa"/>
            <w:vAlign w:val="center"/>
            <w:textDirection w:val="lrTb"/>
            <w:noWrap w:val="false"/>
          </w:tcPr>
          <w:p>
            <w:pPr>
              <w:ind w:firstLine="480"/>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414"/>
        </w:trPr>
        <w:tc>
          <w:tcPr>
            <w:tcW w:w="750" w:type="dxa"/>
            <w:vAlign w:val="center"/>
            <w:textDirection w:val="lrTb"/>
            <w:noWrap w:val="false"/>
          </w:tcPr>
          <w:p>
            <w:pPr>
              <w:ind w:firstLine="24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w:t>
            </w:r>
            <w:r/>
          </w:p>
        </w:tc>
        <w:tc>
          <w:tcPr>
            <w:tcW w:w="5752" w:type="dxa"/>
            <w:vAlign w:val="center"/>
            <w:textDirection w:val="lrTb"/>
            <w:noWrap w:val="false"/>
          </w:tcPr>
          <w:p>
            <w:pPr>
              <w:ind w:firstLine="482"/>
              <w:rPr>
                <w:rFonts w:hint="eastAsia" w:ascii="宋体" w:hAnsi="宋体" w:eastAsia="宋体" w:cs="宋体"/>
                <w:b/>
                <w:bCs/>
                <w:i/>
                <w:iCs/>
                <w:color w:val="auto"/>
                <w:sz w:val="24"/>
                <w:szCs w:val="24"/>
                <w:highlight w:val="none"/>
                <w:u w:val="single"/>
                <w:lang w:val="en-US" w:eastAsia="zh-CN"/>
              </w:rPr>
            </w:pPr>
            <w:r/>
            <w:bookmarkStart w:id="453" w:name="_GoBack"/>
            <w:r/>
            <w:bookmarkEnd w:id="453"/>
            <w:r>
              <w:rPr>
                <w:rFonts w:hint="eastAsia" w:ascii="宋体" w:hAnsi="宋体" w:cs="宋体"/>
                <w:b/>
                <w:bCs/>
                <w:i/>
                <w:iCs/>
                <w:color w:val="auto"/>
                <w:sz w:val="24"/>
                <w:szCs w:val="24"/>
                <w:highlight w:val="none"/>
                <w:u w:val="single"/>
                <w:lang w:val="en-US" w:eastAsia="zh-CN"/>
              </w:rPr>
              <w:t xml:space="preserve">联合体协议书（如有）</w:t>
            </w:r>
            <w:r/>
          </w:p>
        </w:tc>
        <w:tc>
          <w:tcPr>
            <w:tcW w:w="1388" w:type="dxa"/>
            <w:vAlign w:val="center"/>
            <w:textDirection w:val="lrTb"/>
            <w:noWrap w:val="false"/>
          </w:tcPr>
          <w:p>
            <w:pPr>
              <w:ind w:firstLine="480"/>
              <w:rPr>
                <w:rFonts w:ascii="宋体" w:hAnsi="宋体" w:cs="宋体"/>
                <w:color w:val="auto"/>
                <w:sz w:val="24"/>
                <w:szCs w:val="24"/>
                <w:highlight w:val="none"/>
              </w:rPr>
            </w:pPr>
            <w:r>
              <w:rPr>
                <w:rFonts w:ascii="宋体" w:hAnsi="宋体" w:cs="宋体"/>
                <w:color w:val="auto"/>
                <w:sz w:val="24"/>
                <w:szCs w:val="24"/>
                <w:highlight w:val="none"/>
              </w:rPr>
            </w:r>
            <w:r/>
          </w:p>
        </w:tc>
        <w:tc>
          <w:tcPr>
            <w:tcW w:w="1453" w:type="dxa"/>
            <w:vAlign w:val="center"/>
            <w:textDirection w:val="lrTb"/>
            <w:noWrap w:val="false"/>
          </w:tcPr>
          <w:p>
            <w:pPr>
              <w:ind w:firstLine="480"/>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372"/>
        </w:trPr>
        <w:tc>
          <w:tcPr>
            <w:gridSpan w:val="4"/>
            <w:tcW w:w="9343" w:type="dxa"/>
            <w:vAlign w:val="center"/>
            <w:textDirection w:val="lrTb"/>
            <w:noWrap w:val="false"/>
          </w:tcPr>
          <w:p>
            <w:pPr>
              <w:ind w:firstLine="480"/>
              <w:jc w:val="center"/>
              <w:tabs>
                <w:tab w:val="left" w:pos="4002" w:leader="none"/>
              </w:tabs>
              <w:rPr>
                <w:rFonts w:ascii="宋体" w:hAnsi="宋体" w:cs="宋体"/>
                <w:color w:val="auto"/>
                <w:sz w:val="24"/>
                <w:szCs w:val="24"/>
                <w:highlight w:val="none"/>
              </w:rPr>
            </w:pPr>
            <w:r>
              <w:rPr>
                <w:rFonts w:hint="eastAsia" w:ascii="宋体" w:hAnsi="宋体" w:cs="宋体"/>
                <w:b/>
                <w:bCs/>
                <w:color w:val="auto"/>
                <w:sz w:val="24"/>
                <w:szCs w:val="24"/>
                <w:highlight w:val="none"/>
              </w:rPr>
              <w:t xml:space="preserve">符合性检查</w:t>
            </w:r>
            <w:r/>
          </w:p>
        </w:tc>
      </w:tr>
      <w:tr>
        <w:trPr>
          <w:jc w:val="center"/>
          <w:trHeight w:val="357"/>
        </w:trPr>
        <w:tc>
          <w:tcPr>
            <w:tcW w:w="750" w:type="dxa"/>
            <w:vAlign w:val="center"/>
            <w:textDirection w:val="lrTb"/>
            <w:noWrap w:val="false"/>
          </w:tcPr>
          <w:p>
            <w:pPr>
              <w:ind w:firstLine="240"/>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5752" w:type="dxa"/>
            <w:vAlign w:val="center"/>
            <w:textDirection w:val="lrTb"/>
            <w:noWrap w:val="false"/>
          </w:tcPr>
          <w:p>
            <w:pPr>
              <w:ind w:firstLine="482"/>
              <w:rPr>
                <w:rFonts w:ascii="宋体" w:hAnsi="宋体" w:cs="宋体"/>
                <w:b/>
                <w:i/>
                <w:color w:val="auto"/>
                <w:sz w:val="24"/>
                <w:szCs w:val="24"/>
                <w:highlight w:val="none"/>
                <w:u w:val="single"/>
              </w:rPr>
            </w:pPr>
            <w:r>
              <w:rPr>
                <w:rFonts w:hint="eastAsia" w:ascii="宋体" w:hAnsi="宋体" w:cs="宋体"/>
                <w:b/>
                <w:i/>
                <w:color w:val="auto"/>
                <w:sz w:val="24"/>
                <w:szCs w:val="24"/>
                <w:highlight w:val="none"/>
                <w:u w:val="single"/>
              </w:rPr>
              <w:t xml:space="preserve">投标函、法人授权委托书</w:t>
            </w:r>
            <w:r/>
          </w:p>
        </w:tc>
        <w:tc>
          <w:tcPr>
            <w:tcW w:w="1388" w:type="dxa"/>
            <w:vAlign w:val="center"/>
            <w:textDirection w:val="lrTb"/>
            <w:noWrap w:val="false"/>
          </w:tcPr>
          <w:p>
            <w:pPr>
              <w:ind w:firstLine="480"/>
              <w:rPr>
                <w:rFonts w:ascii="宋体" w:hAnsi="宋体" w:cs="宋体"/>
                <w:color w:val="auto"/>
                <w:sz w:val="24"/>
                <w:szCs w:val="24"/>
                <w:highlight w:val="none"/>
              </w:rPr>
            </w:pPr>
            <w:r>
              <w:rPr>
                <w:rFonts w:ascii="宋体" w:hAnsi="宋体" w:cs="宋体"/>
                <w:color w:val="auto"/>
                <w:sz w:val="24"/>
                <w:szCs w:val="24"/>
                <w:highlight w:val="none"/>
              </w:rPr>
            </w:r>
            <w:r/>
          </w:p>
        </w:tc>
        <w:tc>
          <w:tcPr>
            <w:tcW w:w="1453" w:type="dxa"/>
            <w:vAlign w:val="center"/>
            <w:textDirection w:val="lrTb"/>
            <w:noWrap w:val="false"/>
          </w:tcPr>
          <w:p>
            <w:pPr>
              <w:ind w:firstLine="480"/>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357"/>
        </w:trPr>
        <w:tc>
          <w:tcPr>
            <w:tcW w:w="750" w:type="dxa"/>
            <w:vAlign w:val="center"/>
            <w:textDirection w:val="lrTb"/>
            <w:noWrap w:val="false"/>
          </w:tcPr>
          <w:p>
            <w:pPr>
              <w:ind w:firstLine="240"/>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5752" w:type="dxa"/>
            <w:vAlign w:val="center"/>
            <w:textDirection w:val="lrTb"/>
            <w:noWrap w:val="false"/>
          </w:tcPr>
          <w:p>
            <w:pPr>
              <w:ind w:firstLine="482"/>
              <w:jc w:val="left"/>
              <w:spacing w:line="0" w:lineRule="atLeast"/>
              <w:rPr>
                <w:rFonts w:ascii="宋体" w:hAnsi="宋体" w:cs="宋体"/>
                <w:b/>
                <w:i/>
                <w:color w:val="auto"/>
                <w:sz w:val="24"/>
                <w:szCs w:val="24"/>
                <w:highlight w:val="none"/>
                <w:u w:val="single"/>
              </w:rPr>
            </w:pPr>
            <w:r>
              <w:rPr>
                <w:rFonts w:hint="eastAsia" w:ascii="宋体" w:hAnsi="宋体" w:cs="宋体"/>
                <w:b/>
                <w:i/>
                <w:color w:val="auto"/>
                <w:sz w:val="24"/>
                <w:szCs w:val="24"/>
                <w:highlight w:val="none"/>
                <w:u w:val="single"/>
                <w:lang w:val="en-US" w:eastAsia="zh-CN"/>
              </w:rPr>
              <w:t xml:space="preserve">服务要求</w:t>
            </w:r>
            <w:r>
              <w:rPr>
                <w:rFonts w:hint="eastAsia" w:ascii="宋体" w:hAnsi="宋体" w:cs="宋体"/>
                <w:b/>
                <w:i/>
                <w:color w:val="auto"/>
                <w:sz w:val="24"/>
                <w:szCs w:val="24"/>
                <w:highlight w:val="none"/>
                <w:u w:val="single"/>
              </w:rPr>
              <w:t xml:space="preserve">响应表</w:t>
            </w:r>
            <w:r/>
          </w:p>
        </w:tc>
        <w:tc>
          <w:tcPr>
            <w:tcW w:w="1388" w:type="dxa"/>
            <w:vAlign w:val="center"/>
            <w:textDirection w:val="lrTb"/>
            <w:noWrap w:val="false"/>
          </w:tcPr>
          <w:p>
            <w:pPr>
              <w:ind w:firstLine="480"/>
              <w:rPr>
                <w:rFonts w:ascii="宋体" w:hAnsi="宋体" w:cs="宋体"/>
                <w:color w:val="auto"/>
                <w:sz w:val="24"/>
                <w:szCs w:val="24"/>
                <w:highlight w:val="none"/>
              </w:rPr>
            </w:pPr>
            <w:r>
              <w:rPr>
                <w:rFonts w:ascii="宋体" w:hAnsi="宋体" w:cs="宋体"/>
                <w:color w:val="auto"/>
                <w:sz w:val="24"/>
                <w:szCs w:val="24"/>
                <w:highlight w:val="none"/>
              </w:rPr>
            </w:r>
            <w:r/>
          </w:p>
        </w:tc>
        <w:tc>
          <w:tcPr>
            <w:tcW w:w="1453" w:type="dxa"/>
            <w:vAlign w:val="center"/>
            <w:textDirection w:val="lrTb"/>
            <w:noWrap w:val="false"/>
          </w:tcPr>
          <w:p>
            <w:pPr>
              <w:ind w:firstLine="480"/>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312"/>
        </w:trPr>
        <w:tc>
          <w:tcPr>
            <w:tcW w:w="750" w:type="dxa"/>
            <w:vAlign w:val="center"/>
            <w:textDirection w:val="lrTb"/>
            <w:noWrap w:val="false"/>
          </w:tcPr>
          <w:p>
            <w:pPr>
              <w:ind w:firstLine="240"/>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5752" w:type="dxa"/>
            <w:vAlign w:val="center"/>
            <w:textDirection w:val="lrTb"/>
            <w:noWrap w:val="false"/>
          </w:tcPr>
          <w:p>
            <w:pPr>
              <w:ind w:firstLine="482"/>
              <w:jc w:val="left"/>
              <w:spacing w:line="0" w:lineRule="atLeast"/>
              <w:rPr>
                <w:rFonts w:ascii="宋体" w:hAnsi="宋体" w:cs="宋体"/>
                <w:b/>
                <w:i/>
                <w:color w:val="auto"/>
                <w:sz w:val="24"/>
                <w:szCs w:val="24"/>
                <w:highlight w:val="none"/>
                <w:u w:val="single"/>
              </w:rPr>
            </w:pPr>
            <w:r>
              <w:rPr>
                <w:rFonts w:hint="eastAsia" w:ascii="宋体" w:hAnsi="宋体" w:cs="宋体"/>
                <w:b/>
                <w:i/>
                <w:color w:val="auto"/>
                <w:sz w:val="24"/>
                <w:szCs w:val="24"/>
                <w:highlight w:val="none"/>
                <w:u w:val="single"/>
              </w:rPr>
              <w:t xml:space="preserve">商务</w:t>
            </w:r>
            <w:r>
              <w:rPr>
                <w:rFonts w:hint="eastAsia" w:ascii="宋体" w:hAnsi="宋体" w:cs="宋体"/>
                <w:b/>
                <w:i/>
                <w:color w:val="auto"/>
                <w:sz w:val="24"/>
                <w:szCs w:val="24"/>
                <w:highlight w:val="none"/>
                <w:u w:val="single"/>
                <w:lang w:val="en-US" w:eastAsia="zh-CN"/>
              </w:rPr>
              <w:t xml:space="preserve">要求</w:t>
            </w:r>
            <w:r>
              <w:rPr>
                <w:rFonts w:hint="eastAsia" w:ascii="宋体" w:hAnsi="宋体" w:cs="宋体"/>
                <w:b/>
                <w:i/>
                <w:color w:val="auto"/>
                <w:sz w:val="24"/>
                <w:szCs w:val="24"/>
                <w:highlight w:val="none"/>
                <w:u w:val="single"/>
              </w:rPr>
              <w:t xml:space="preserve">响应表</w:t>
            </w:r>
            <w:r/>
          </w:p>
        </w:tc>
        <w:tc>
          <w:tcPr>
            <w:tcW w:w="1388" w:type="dxa"/>
            <w:vAlign w:val="center"/>
            <w:textDirection w:val="lrTb"/>
            <w:noWrap w:val="false"/>
          </w:tcPr>
          <w:p>
            <w:pPr>
              <w:ind w:firstLine="480"/>
              <w:rPr>
                <w:rFonts w:ascii="宋体" w:hAnsi="宋体" w:cs="宋体"/>
                <w:color w:val="auto"/>
                <w:sz w:val="24"/>
                <w:szCs w:val="24"/>
                <w:highlight w:val="none"/>
              </w:rPr>
            </w:pPr>
            <w:r>
              <w:rPr>
                <w:rFonts w:ascii="宋体" w:hAnsi="宋体" w:cs="宋体"/>
                <w:color w:val="auto"/>
                <w:sz w:val="24"/>
                <w:szCs w:val="24"/>
                <w:highlight w:val="none"/>
              </w:rPr>
            </w:r>
            <w:r/>
          </w:p>
        </w:tc>
        <w:tc>
          <w:tcPr>
            <w:tcW w:w="1453" w:type="dxa"/>
            <w:vAlign w:val="center"/>
            <w:textDirection w:val="lrTb"/>
            <w:noWrap w:val="false"/>
          </w:tcPr>
          <w:p>
            <w:pPr>
              <w:ind w:firstLine="480"/>
              <w:rPr>
                <w:rFonts w:ascii="宋体" w:hAnsi="宋体" w:cs="宋体"/>
                <w:color w:val="auto"/>
                <w:sz w:val="24"/>
                <w:szCs w:val="24"/>
                <w:highlight w:val="none"/>
              </w:rPr>
            </w:pPr>
            <w:r>
              <w:rPr>
                <w:rFonts w:ascii="宋体" w:hAnsi="宋体" w:cs="宋体"/>
                <w:color w:val="auto"/>
                <w:sz w:val="24"/>
                <w:szCs w:val="24"/>
                <w:highlight w:val="none"/>
              </w:rPr>
            </w:r>
            <w:r/>
          </w:p>
        </w:tc>
      </w:tr>
    </w:tbl>
    <w:p>
      <w:pPr>
        <w:ind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说明：上述所列资格证明文件为必须提供内容，未提供或未提供有效材料的，将不能通过符合性审查。</w:t>
      </w:r>
      <w:r/>
    </w:p>
    <w:p>
      <w:pPr>
        <w:jc w:val="center"/>
        <w:rPr>
          <w:rFonts w:ascii="宋体" w:hAnsi="宋体" w:cs="宋体"/>
          <w:color w:val="auto"/>
          <w:highlight w:val="none"/>
        </w:rPr>
        <w:outlineLvl w:val="0"/>
      </w:pPr>
      <w:r>
        <w:rPr>
          <w:rFonts w:hint="eastAsia" w:ascii="宋体" w:hAnsi="宋体" w:cs="宋体"/>
          <w:color w:val="auto"/>
          <w:highlight w:val="none"/>
        </w:rPr>
        <w:br w:type="page" w:clear="all"/>
      </w:r>
      <w:bookmarkStart w:id="129" w:name="_Toc30516"/>
      <w:r/>
      <w:bookmarkStart w:id="130" w:name="_Toc5318"/>
      <w:r/>
      <w:bookmarkStart w:id="131" w:name="_Toc23550"/>
      <w:r/>
      <w:bookmarkStart w:id="132" w:name="_Toc26576"/>
      <w:r/>
      <w:bookmarkStart w:id="133" w:name="_Toc10836"/>
      <w:r/>
      <w:bookmarkStart w:id="134" w:name="_Toc12476"/>
      <w:r/>
      <w:bookmarkStart w:id="135" w:name="_Toc20105"/>
      <w:r/>
      <w:bookmarkStart w:id="136" w:name="_Toc27149"/>
      <w:r/>
      <w:bookmarkStart w:id="137" w:name="_Toc426"/>
      <w:r/>
      <w:bookmarkStart w:id="138" w:name="_Toc15792"/>
      <w:r/>
      <w:bookmarkStart w:id="139" w:name="_Toc3835"/>
      <w:r/>
      <w:bookmarkStart w:id="140" w:name="_Toc31427"/>
      <w:r/>
      <w:bookmarkStart w:id="141" w:name="_Toc30656"/>
      <w:r/>
      <w:bookmarkStart w:id="142" w:name="_Toc1712"/>
      <w:r/>
      <w:bookmarkStart w:id="143" w:name="_Toc13812"/>
      <w:r/>
      <w:bookmarkStart w:id="144" w:name="_Toc2048"/>
      <w:r/>
      <w:bookmarkStart w:id="145" w:name="_Toc10861"/>
      <w:r/>
      <w:bookmarkStart w:id="146" w:name="_Toc13182"/>
      <w:r/>
      <w:bookmarkStart w:id="147" w:name="_Toc31715"/>
      <w:r/>
      <w:bookmarkStart w:id="148" w:name="_Toc2439"/>
      <w:r/>
      <w:bookmarkStart w:id="149" w:name="_Toc10078"/>
      <w:r/>
      <w:bookmarkStart w:id="150" w:name="_Toc24962"/>
      <w:r/>
      <w:bookmarkStart w:id="151" w:name="_Toc14472"/>
      <w:r/>
      <w:bookmarkStart w:id="152" w:name="_Toc24293"/>
      <w:r/>
      <w:bookmarkStart w:id="153" w:name="_Toc19580"/>
      <w:r/>
      <w:bookmarkStart w:id="154" w:name="_Toc15825"/>
      <w:r/>
      <w:bookmarkStart w:id="155" w:name="_Toc24609"/>
      <w:r>
        <w:rPr>
          <w:rFonts w:hint="eastAsia" w:ascii="宋体" w:hAnsi="宋体" w:cs="宋体"/>
          <w:b/>
          <w:bCs/>
          <w:color w:val="auto"/>
          <w:sz w:val="36"/>
          <w:szCs w:val="36"/>
          <w:highlight w:val="none"/>
        </w:rPr>
        <w:t xml:space="preserve">投标主要文件目录</w:t>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r/>
    </w:p>
    <w:p>
      <w:pPr>
        <w:ind w:firstLine="140"/>
        <w:rPr>
          <w:rFonts w:ascii="宋体" w:hAnsi="宋体" w:cs="宋体"/>
          <w:color w:val="auto"/>
          <w:sz w:val="28"/>
          <w:szCs w:val="28"/>
          <w:highlight w:val="none"/>
        </w:rPr>
      </w:pPr>
      <w:r>
        <w:rPr>
          <w:rFonts w:hint="eastAsia" w:ascii="宋体" w:hAnsi="宋体" w:cs="宋体"/>
          <w:color w:val="auto"/>
          <w:sz w:val="28"/>
          <w:szCs w:val="28"/>
          <w:highlight w:val="none"/>
        </w:rPr>
        <w:t xml:space="preserve">请投标单位编制目录及页码，否则可能将影响对投标文件的评价。</w:t>
      </w:r>
      <w:r/>
    </w:p>
    <w:p>
      <w:pPr>
        <w:ind w:left="480" w:firstLine="480"/>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highlight w:val="none"/>
        </w:rPr>
      </w:pPr>
      <w:r>
        <w:rPr>
          <w:rFonts w:ascii="宋体" w:hAnsi="宋体" w:cs="宋体"/>
          <w:color w:val="auto"/>
          <w:highlight w:val="none"/>
        </w:rPr>
      </w:r>
      <w:r/>
    </w:p>
    <w:p>
      <w:pPr>
        <w:jc w:val="center"/>
        <w:rPr>
          <w:rFonts w:ascii="宋体" w:hAnsi="宋体" w:cs="宋体"/>
          <w:b/>
          <w:bCs/>
          <w:color w:val="auto"/>
          <w:sz w:val="36"/>
          <w:szCs w:val="36"/>
          <w:highlight w:val="none"/>
        </w:rPr>
        <w:outlineLvl w:val="0"/>
      </w:pPr>
      <w:r>
        <w:rPr>
          <w:rFonts w:hint="eastAsia" w:ascii="宋体" w:hAnsi="宋体" w:cs="宋体"/>
          <w:color w:val="auto"/>
          <w:highlight w:val="none"/>
        </w:rPr>
        <w:br w:type="page" w:clear="all"/>
      </w:r>
      <w:bookmarkStart w:id="156" w:name="_Toc7831"/>
      <w:r/>
      <w:bookmarkStart w:id="157" w:name="_Toc20350"/>
      <w:r/>
      <w:bookmarkStart w:id="158" w:name="_Toc22113"/>
      <w:r/>
      <w:bookmarkStart w:id="159" w:name="_Toc30011"/>
      <w:r/>
      <w:bookmarkStart w:id="160" w:name="_Toc25851"/>
      <w:r/>
      <w:bookmarkStart w:id="161" w:name="_Toc11416"/>
      <w:r/>
      <w:bookmarkStart w:id="162" w:name="_Toc21025"/>
      <w:r/>
      <w:bookmarkStart w:id="163" w:name="_Toc13021"/>
      <w:r/>
      <w:bookmarkStart w:id="164" w:name="_Toc18438"/>
      <w:r/>
      <w:bookmarkStart w:id="165" w:name="_Toc21876"/>
      <w:r/>
      <w:bookmarkStart w:id="166" w:name="_Toc647"/>
      <w:r/>
      <w:bookmarkStart w:id="167" w:name="_Toc25377"/>
      <w:r/>
      <w:bookmarkStart w:id="168" w:name="_Toc5004"/>
      <w:r/>
      <w:bookmarkStart w:id="169" w:name="_Toc29984"/>
      <w:r/>
      <w:bookmarkStart w:id="170" w:name="_Toc914"/>
      <w:r/>
      <w:bookmarkStart w:id="171" w:name="_Toc8210"/>
      <w:r/>
      <w:bookmarkStart w:id="172" w:name="_Toc25077"/>
      <w:r/>
      <w:bookmarkStart w:id="173" w:name="_Toc9629"/>
      <w:r/>
      <w:bookmarkStart w:id="174" w:name="_Toc28812"/>
      <w:r/>
      <w:bookmarkStart w:id="175" w:name="_Toc17975"/>
      <w:r/>
      <w:bookmarkStart w:id="176" w:name="_Toc18353"/>
      <w:r/>
      <w:bookmarkStart w:id="177" w:name="_Toc24550"/>
      <w:r/>
      <w:bookmarkStart w:id="178" w:name="_Toc7406"/>
      <w:r/>
      <w:bookmarkStart w:id="179" w:name="_Toc21364"/>
      <w:r/>
      <w:bookmarkStart w:id="180" w:name="_Toc23097"/>
      <w:r/>
      <w:bookmarkStart w:id="181" w:name="_Toc28732"/>
      <w:r/>
      <w:bookmarkStart w:id="182" w:name="_Toc27490"/>
      <w:r/>
      <w:bookmarkStart w:id="183" w:name="_Toc9834"/>
      <w:r>
        <w:rPr>
          <w:rFonts w:hint="eastAsia" w:ascii="宋体" w:hAnsi="宋体" w:cs="宋体"/>
          <w:b/>
          <w:bCs/>
          <w:color w:val="auto"/>
          <w:sz w:val="36"/>
          <w:szCs w:val="36"/>
          <w:highlight w:val="none"/>
        </w:rPr>
        <w:t xml:space="preserve">一、投标函</w:t>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r/>
    </w:p>
    <w:p>
      <w:pPr>
        <w:spacing w:before="19" w:line="500" w:lineRule="exact"/>
        <w:widowControl/>
        <w:rPr>
          <w:rFonts w:ascii="宋体" w:hAnsi="宋体" w:cs="宋体"/>
          <w:b/>
          <w:bCs/>
          <w:color w:val="auto"/>
          <w:sz w:val="24"/>
          <w:szCs w:val="24"/>
          <w:highlight w:val="none"/>
        </w:rPr>
      </w:pPr>
      <w:r>
        <w:rPr>
          <w:rFonts w:hint="eastAsia" w:ascii="宋体" w:hAnsi="宋体" w:cs="宋体"/>
          <w:b/>
          <w:bCs/>
          <w:color w:val="auto"/>
          <w:sz w:val="24"/>
          <w:szCs w:val="24"/>
          <w:highlight w:val="none"/>
          <w:lang w:eastAsia="zh-CN"/>
        </w:rPr>
        <w:t xml:space="preserve">江苏达琛鑫项目管理有限公司</w:t>
      </w:r>
      <w:r>
        <w:rPr>
          <w:rFonts w:hint="eastAsia" w:ascii="宋体" w:hAnsi="宋体" w:cs="宋体"/>
          <w:b/>
          <w:bCs/>
          <w:color w:val="auto"/>
          <w:sz w:val="24"/>
          <w:szCs w:val="24"/>
          <w:highlight w:val="none"/>
        </w:rPr>
        <w:t xml:space="preserve">：</w:t>
      </w:r>
      <w:r/>
    </w:p>
    <w:p>
      <w:pPr>
        <w:ind w:firstLine="480"/>
        <w:spacing w:before="19" w:line="500" w:lineRule="exact"/>
        <w:widowControl/>
        <w:rPr>
          <w:rFonts w:ascii="宋体" w:hAnsi="宋体" w:cs="宋体"/>
          <w:b/>
          <w:bCs/>
          <w:color w:val="auto"/>
          <w:sz w:val="24"/>
          <w:szCs w:val="24"/>
          <w:highlight w:val="none"/>
        </w:rPr>
      </w:pP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全省食用林产品质量安全监测</w:t>
      </w:r>
      <w:r>
        <w:rPr>
          <w:rFonts w:hint="eastAsia" w:ascii="宋体" w:hAnsi="宋体" w:cs="宋体"/>
          <w:color w:val="auto"/>
          <w:sz w:val="24"/>
          <w:szCs w:val="24"/>
          <w:highlight w:val="none"/>
        </w:rPr>
        <w:t xml:space="preserve">（采购编号为：</w:t>
      </w:r>
      <w:r>
        <w:rPr>
          <w:rFonts w:hint="eastAsia" w:ascii="宋体" w:hAnsi="宋体" w:cs="宋体"/>
          <w:color w:val="auto"/>
          <w:sz w:val="24"/>
          <w:szCs w:val="24"/>
          <w:highlight w:val="none"/>
          <w:lang w:eastAsia="zh-CN"/>
        </w:rPr>
        <w:t xml:space="preserve">JSZC-320000-SDCX-G2026-0001</w:t>
      </w:r>
      <w:r>
        <w:rPr>
          <w:rFonts w:hint="eastAsia" w:ascii="宋体" w:hAnsi="宋体" w:cs="宋体"/>
          <w:color w:val="auto"/>
          <w:sz w:val="24"/>
          <w:szCs w:val="24"/>
          <w:highlight w:val="none"/>
        </w:rPr>
        <w:t xml:space="preserve">）招标文件（包括更正公告，如果有的话）收悉，我们经详细审阅和研究，现决定参加投标。</w:t>
      </w:r>
      <w:r/>
    </w:p>
    <w:p>
      <w:pPr>
        <w:numPr>
          <w:ilvl w:val="0"/>
          <w:numId w:val="5"/>
        </w:numPr>
        <w:ind w:firstLine="480"/>
        <w:spacing w:before="19" w:line="5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我们郑重承诺：我们是符合《政府采购法》第22条规定的供应商，并严格遵守《政府采购法》第77条的规定，本投标文件中提供的所有材料均是真实有效的。</w:t>
      </w:r>
      <w:r/>
    </w:p>
    <w:p>
      <w:pPr>
        <w:numPr>
          <w:ilvl w:val="0"/>
          <w:numId w:val="5"/>
        </w:numPr>
        <w:ind w:firstLine="480"/>
        <w:spacing w:before="19" w:line="5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我们接受招标文件的所有的条款和规定。</w:t>
      </w:r>
      <w:r/>
    </w:p>
    <w:p>
      <w:pPr>
        <w:numPr>
          <w:ilvl w:val="0"/>
          <w:numId w:val="5"/>
        </w:numPr>
        <w:ind w:firstLine="480"/>
        <w:spacing w:before="19" w:line="5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我们同意按照本招标文件第二章“投标人须知”的规定，本投标文件的有效期为投标文件接收截止时间起</w:t>
      </w:r>
      <w:r>
        <w:rPr>
          <w:rFonts w:hint="eastAsia" w:ascii="宋体" w:hAnsi="宋体" w:cs="宋体"/>
          <w:b/>
          <w:bCs/>
          <w:color w:val="auto"/>
          <w:sz w:val="24"/>
          <w:szCs w:val="24"/>
          <w:highlight w:val="none"/>
        </w:rPr>
        <w:t xml:space="preserve">九十天</w:t>
      </w:r>
      <w:r>
        <w:rPr>
          <w:rFonts w:hint="eastAsia" w:ascii="宋体" w:hAnsi="宋体" w:cs="宋体"/>
          <w:color w:val="auto"/>
          <w:sz w:val="24"/>
          <w:szCs w:val="24"/>
          <w:highlight w:val="none"/>
        </w:rPr>
        <w:t xml:space="preserve">，在此期间，本投标文件将始终对我们具有约束力，并可随时被接受。如果我们中标，本投标文件在此期间之后将继续保持有效。</w:t>
      </w:r>
      <w:r/>
    </w:p>
    <w:p>
      <w:pPr>
        <w:numPr>
          <w:ilvl w:val="0"/>
          <w:numId w:val="5"/>
        </w:numPr>
        <w:ind w:firstLine="480"/>
        <w:spacing w:before="19" w:line="5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我们同意提供招标代理机构要求的有关本次采购的所有资料。</w:t>
      </w:r>
      <w:r/>
    </w:p>
    <w:p>
      <w:pPr>
        <w:numPr>
          <w:ilvl w:val="0"/>
          <w:numId w:val="5"/>
        </w:numPr>
        <w:ind w:firstLine="480"/>
        <w:spacing w:before="19" w:line="5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我们理解，你们无义务必须接受投标报价最低的投标，并有权拒绝所有的投标。同时也理解你们不承担我们本次投标的费用。</w:t>
      </w:r>
      <w:r/>
    </w:p>
    <w:p>
      <w:pPr>
        <w:numPr>
          <w:ilvl w:val="0"/>
          <w:numId w:val="5"/>
        </w:numPr>
        <w:ind w:firstLine="480"/>
        <w:spacing w:before="19" w:line="5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、如果我们中标，为执行合同，我们将按投标人须知有关要求提供必要的履约保证。</w:t>
      </w:r>
      <w:r/>
    </w:p>
    <w:p>
      <w:pPr>
        <w:ind w:firstLine="480"/>
        <w:spacing w:before="19" w:line="500" w:lineRule="exact"/>
        <w:widowControl/>
        <w:rPr>
          <w:rFonts w:ascii="宋体" w:hAnsi="宋体" w:cs="宋体"/>
          <w:color w:val="auto"/>
          <w:sz w:val="24"/>
          <w:szCs w:val="24"/>
          <w:highlight w:val="none"/>
        </w:rPr>
      </w:pPr>
      <w:r>
        <w:rPr>
          <w:rFonts w:ascii="宋体" w:hAnsi="宋体" w:cs="宋体"/>
          <w:color w:val="auto"/>
          <w:sz w:val="24"/>
          <w:szCs w:val="24"/>
          <w:highlight w:val="none"/>
        </w:rPr>
      </w:r>
      <w:r/>
    </w:p>
    <w:p>
      <w:pPr>
        <w:ind w:firstLine="480"/>
        <w:spacing w:before="19" w:line="5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投标人名称：（公章）</w:t>
      </w:r>
      <w:r/>
    </w:p>
    <w:p>
      <w:pPr>
        <w:ind w:firstLine="480"/>
        <w:spacing w:before="19" w:line="5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地址：                          邮编：</w:t>
      </w:r>
      <w:r/>
    </w:p>
    <w:p>
      <w:pPr>
        <w:ind w:firstLine="480"/>
        <w:spacing w:before="19" w:line="5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电话：                          传真：          </w:t>
      </w:r>
      <w:r/>
    </w:p>
    <w:p>
      <w:pPr>
        <w:ind w:firstLine="480"/>
        <w:spacing w:before="19" w:line="5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法定代表人（授权代表）（签字或盖章）：                   </w:t>
      </w:r>
      <w:r/>
    </w:p>
    <w:p>
      <w:pPr>
        <w:ind w:firstLine="480"/>
        <w:spacing w:before="19" w:line="5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职务：                  </w:t>
      </w:r>
      <w:r/>
    </w:p>
    <w:p>
      <w:pPr>
        <w:ind w:firstLine="480"/>
        <w:spacing w:before="19" w:line="5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日期：                  </w:t>
      </w:r>
      <w:r/>
    </w:p>
    <w:p>
      <w:pPr>
        <w:ind w:firstLine="480"/>
        <w:jc w:val="center"/>
        <w:spacing w:before="19" w:line="500" w:lineRule="exact"/>
        <w:widowControl/>
        <w:rPr>
          <w:rFonts w:ascii="宋体" w:hAnsi="宋体" w:cs="宋体"/>
          <w:b/>
          <w:bCs/>
          <w:color w:val="auto"/>
          <w:sz w:val="36"/>
          <w:szCs w:val="36"/>
          <w:highlight w:val="none"/>
        </w:rPr>
        <w:outlineLvl w:val="0"/>
      </w:pPr>
      <w:r>
        <w:rPr>
          <w:rFonts w:hint="eastAsia" w:ascii="宋体" w:hAnsi="宋体" w:cs="宋体"/>
          <w:color w:val="auto"/>
          <w:sz w:val="24"/>
          <w:szCs w:val="24"/>
          <w:highlight w:val="none"/>
        </w:rPr>
        <w:br w:type="page" w:clear="all"/>
      </w:r>
      <w:bookmarkStart w:id="184" w:name="_Toc15525"/>
      <w:r>
        <w:rPr>
          <w:rFonts w:hint="eastAsia" w:ascii="宋体" w:hAnsi="宋体" w:cs="宋体"/>
          <w:b/>
          <w:bCs/>
          <w:color w:val="auto"/>
          <w:sz w:val="36"/>
          <w:szCs w:val="36"/>
          <w:highlight w:val="none"/>
        </w:rPr>
        <w:t xml:space="preserve">二、报价一览表</w:t>
      </w:r>
      <w:bookmarkEnd w:id="184"/>
      <w:r/>
      <w:r/>
    </w:p>
    <w:p>
      <w:pPr>
        <w:pStyle w:val="864"/>
        <w:spacing w:line="360" w:lineRule="auto"/>
        <w:rPr>
          <w:rFonts w:ascii="宋体" w:hAnsi="宋体" w:cs="宋体"/>
          <w:color w:val="auto"/>
          <w:highlight w:val="none"/>
        </w:rPr>
      </w:pPr>
      <w:r>
        <w:rPr>
          <w:rFonts w:hint="eastAsia" w:ascii="宋体" w:hAnsi="宋体" w:cs="宋体"/>
          <w:color w:val="auto"/>
          <w:highlight w:val="none"/>
        </w:rPr>
        <w:t xml:space="preserve">窗体顶端</w:t>
      </w:r>
      <w:r/>
    </w:p>
    <w:tbl>
      <w:tblPr>
        <w:tblStyle w:val="794"/>
        <w:tblpPr w:horzAnchor="text" w:tblpXSpec="center" w:vertAnchor="text" w:tblpY="1" w:leftFromText="45" w:topFromText="0" w:rightFromText="45" w:bottomFromText="0"/>
        <w:tblW w:w="0" w:type="auto"/>
        <w:jc w:val="center"/>
        <w:tblCellSpacing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3334"/>
        <w:gridCol w:w="6389"/>
      </w:tblGrid>
      <w:tr>
        <w:trPr>
          <w:jc w:val="center"/>
          <w:tblCellSpacing w:w="0" w:type="dxa"/>
          <w:trHeight w:val="1338"/>
        </w:trPr>
        <w:tc>
          <w:tcPr>
            <w:tcBorders>
              <w:top w:val="single" w:color="auto" w:sz="4" w:space="0"/>
              <w:left w:val="single" w:color="000000" w:sz="6" w:space="0"/>
              <w:bottom w:val="single" w:color="auto" w:sz="4" w:space="0"/>
              <w:right w:val="single" w:color="auto" w:sz="4" w:space="0"/>
            </w:tcBorders>
            <w:tcW w:w="3334" w:type="dxa"/>
            <w:vAlign w:val="center"/>
            <w:textDirection w:val="lrTb"/>
            <w:noWrap w:val="false"/>
          </w:tcPr>
          <w:p>
            <w:pPr>
              <w:jc w:val="center"/>
              <w:rPr>
                <w:rFonts w:ascii="宋体" w:hAnsi="宋体" w:cs="宋体"/>
                <w:b/>
                <w:bCs/>
                <w:color w:val="auto"/>
                <w:sz w:val="24"/>
                <w:szCs w:val="24"/>
                <w:highlight w:val="none"/>
              </w:rPr>
            </w:pPr>
            <w:r>
              <w:rPr>
                <w:rFonts w:hint="eastAsia" w:ascii="宋体" w:hAnsi="宋体" w:cs="宋体"/>
                <w:b w:val="0"/>
                <w:bCs w:val="0"/>
                <w:color w:val="auto"/>
                <w:sz w:val="24"/>
                <w:szCs w:val="24"/>
                <w:highlight w:val="none"/>
              </w:rPr>
              <w:t xml:space="preserve">项目名称</w:t>
            </w:r>
            <w:r/>
          </w:p>
        </w:tc>
        <w:tc>
          <w:tcPr>
            <w:tcBorders>
              <w:top w:val="single" w:color="auto" w:sz="4" w:space="0"/>
              <w:left w:val="single" w:color="auto" w:sz="4" w:space="0"/>
              <w:bottom w:val="single" w:color="auto" w:sz="4" w:space="0"/>
              <w:right w:val="single" w:color="auto" w:sz="4" w:space="0"/>
            </w:tcBorders>
            <w:tcW w:w="6389" w:type="dxa"/>
            <w:vAlign w:val="center"/>
            <w:textDirection w:val="lrTb"/>
            <w:noWrap w:val="false"/>
          </w:tcPr>
          <w:p>
            <w:pPr>
              <w:jc w:val="center"/>
              <w:rPr>
                <w:rFonts w:hint="default" w:ascii="宋体" w:hAnsi="宋体" w:eastAsia="宋体" w:cs="宋体"/>
                <w:b/>
                <w:bCs/>
                <w:color w:val="auto"/>
                <w:sz w:val="24"/>
                <w:szCs w:val="24"/>
                <w:highlight w:val="none"/>
                <w:lang w:val="en-US" w:eastAsia="zh-CN"/>
              </w:rPr>
            </w:pPr>
            <w:r>
              <w:rPr>
                <w:rFonts w:hint="eastAsia" w:ascii="宋体" w:hAnsi="宋体" w:cs="宋体"/>
                <w:color w:val="auto"/>
                <w:sz w:val="24"/>
                <w:szCs w:val="24"/>
                <w:highlight w:val="none"/>
                <w:lang w:eastAsia="zh-CN"/>
              </w:rPr>
              <w:t xml:space="preserve">全省食用林产品质量安全监测</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分包___</w:t>
            </w:r>
            <w:r/>
          </w:p>
        </w:tc>
      </w:tr>
      <w:tr>
        <w:trPr>
          <w:jc w:val="center"/>
          <w:tblCellSpacing w:w="0" w:type="dxa"/>
          <w:trHeight w:val="1066"/>
        </w:trPr>
        <w:tc>
          <w:tcPr>
            <w:tcBorders>
              <w:top w:val="single" w:color="auto" w:sz="4" w:space="0"/>
              <w:left w:val="single" w:color="auto" w:sz="4" w:space="0"/>
              <w:bottom w:val="single" w:color="auto" w:sz="4" w:space="0"/>
              <w:right w:val="single" w:color="auto" w:sz="4" w:space="0"/>
            </w:tcBorders>
            <w:tcW w:w="3334"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项目编号</w:t>
            </w:r>
            <w:r/>
          </w:p>
        </w:tc>
        <w:tc>
          <w:tcPr>
            <w:tcBorders>
              <w:top w:val="single" w:color="auto" w:sz="4" w:space="0"/>
              <w:left w:val="single" w:color="auto" w:sz="4" w:space="0"/>
              <w:bottom w:val="single" w:color="auto" w:sz="4" w:space="0"/>
              <w:right w:val="single" w:color="auto" w:sz="4" w:space="0"/>
            </w:tcBorders>
            <w:tcW w:w="6389"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JSZC-320000-SDCX-G2026-0001</w:t>
            </w:r>
            <w:r/>
          </w:p>
        </w:tc>
      </w:tr>
      <w:tr>
        <w:trPr>
          <w:jc w:val="center"/>
          <w:tblCellSpacing w:w="0" w:type="dxa"/>
          <w:trHeight w:val="1090"/>
        </w:trPr>
        <w:tc>
          <w:tcPr>
            <w:tcBorders>
              <w:top w:val="single" w:color="auto" w:sz="4" w:space="0"/>
              <w:left w:val="single" w:color="auto" w:sz="4" w:space="0"/>
              <w:bottom w:val="single" w:color="auto" w:sz="4" w:space="0"/>
              <w:right w:val="single" w:color="auto" w:sz="4" w:space="0"/>
            </w:tcBorders>
            <w:tcW w:w="3334"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投标</w:t>
            </w:r>
            <w:r>
              <w:rPr>
                <w:rFonts w:hint="eastAsia" w:ascii="宋体" w:hAnsi="宋体" w:cs="宋体"/>
                <w:color w:val="auto"/>
                <w:sz w:val="24"/>
                <w:szCs w:val="24"/>
                <w:highlight w:val="none"/>
                <w:lang w:val="en-US" w:eastAsia="zh-CN"/>
              </w:rPr>
              <w:t xml:space="preserve">报</w:t>
            </w:r>
            <w:r>
              <w:rPr>
                <w:rFonts w:hint="eastAsia" w:ascii="宋体" w:hAnsi="宋体" w:cs="宋体"/>
                <w:color w:val="auto"/>
                <w:sz w:val="24"/>
                <w:szCs w:val="24"/>
                <w:highlight w:val="none"/>
              </w:rPr>
              <w:t xml:space="preserve">价</w:t>
            </w:r>
            <w:r/>
          </w:p>
        </w:tc>
        <w:tc>
          <w:tcPr>
            <w:tcBorders>
              <w:top w:val="single" w:color="auto" w:sz="4" w:space="0"/>
              <w:left w:val="single" w:color="auto" w:sz="4" w:space="0"/>
              <w:bottom w:val="single" w:color="auto" w:sz="4" w:space="0"/>
              <w:right w:val="single" w:color="auto" w:sz="4" w:space="0"/>
            </w:tcBorders>
            <w:tcW w:w="6389" w:type="dxa"/>
            <w:vAlign w:val="center"/>
            <w:textDirection w:val="lrTb"/>
            <w:noWrap w:val="false"/>
          </w:tcPr>
          <w:p>
            <w:pPr>
              <w:pStyle w:val="811"/>
              <w:jc w:val="center"/>
              <w:rPr>
                <w:rFonts w:hint="eastAsia"/>
                <w:color w:val="auto"/>
                <w:highlight w:val="none"/>
                <w:lang w:val="en-US" w:eastAsia="zh-CN"/>
              </w:rPr>
            </w:pPr>
            <w:r>
              <w:rPr>
                <w:rFonts w:hint="eastAsia"/>
                <w:color w:val="auto"/>
                <w:highlight w:val="none"/>
                <w:lang w:val="en-US" w:eastAsia="zh-CN"/>
              </w:rPr>
            </w:r>
            <w:r/>
          </w:p>
          <w:p>
            <w:pPr>
              <w:pStyle w:val="811"/>
              <w:jc w:val="center"/>
              <w:rPr>
                <w:color w:val="auto"/>
                <w:highlight w:val="none"/>
              </w:rPr>
            </w:pPr>
            <w:r>
              <w:rPr>
                <w:rFonts w:hint="eastAsia"/>
                <w:color w:val="auto"/>
                <w:highlight w:val="none"/>
              </w:rPr>
              <w:t xml:space="preserve">￥</w:t>
            </w:r>
            <w:r>
              <w:rPr>
                <w:rFonts w:hint="eastAsia"/>
                <w:color w:val="auto"/>
                <w:highlight w:val="none"/>
                <w:u w:val="single"/>
              </w:rPr>
              <w:t xml:space="preserve">          </w:t>
            </w:r>
            <w:r>
              <w:rPr>
                <w:rFonts w:hint="eastAsia"/>
                <w:color w:val="auto"/>
                <w:highlight w:val="none"/>
              </w:rPr>
              <w:t xml:space="preserve">元整</w:t>
            </w:r>
            <w:r/>
          </w:p>
          <w:p>
            <w:pPr>
              <w:pStyle w:val="811"/>
              <w:jc w:val="center"/>
              <w:rPr>
                <w:color w:val="auto"/>
                <w:highlight w:val="none"/>
              </w:rPr>
            </w:pPr>
            <w:r>
              <w:rPr>
                <w:color w:val="auto"/>
                <w:highlight w:val="none"/>
              </w:rPr>
            </w:r>
            <w:r/>
          </w:p>
          <w:p>
            <w:pPr>
              <w:pStyle w:val="811"/>
              <w:ind w:firstLine="960"/>
              <w:rPr>
                <w:color w:val="auto"/>
                <w:highlight w:val="none"/>
                <w:u w:val="single"/>
              </w:rPr>
            </w:pPr>
            <w:r>
              <w:rPr>
                <w:rFonts w:hint="eastAsia"/>
                <w:color w:val="auto"/>
                <w:highlight w:val="none"/>
              </w:rPr>
              <w:t xml:space="preserve">人民币(大写)</w:t>
            </w:r>
            <w:r>
              <w:rPr>
                <w:rFonts w:hint="eastAsia"/>
                <w:color w:val="auto"/>
                <w:highlight w:val="none"/>
                <w:u w:val="single"/>
              </w:rPr>
              <w:t xml:space="preserve">                  </w:t>
            </w:r>
            <w:r/>
          </w:p>
          <w:p>
            <w:pPr>
              <w:pStyle w:val="811"/>
              <w:ind w:firstLine="960"/>
              <w:rPr>
                <w:color w:val="auto"/>
                <w:highlight w:val="none"/>
                <w:u w:val="single"/>
              </w:rPr>
            </w:pPr>
            <w:r>
              <w:rPr>
                <w:color w:val="auto"/>
                <w:highlight w:val="none"/>
                <w:u w:val="single"/>
              </w:rPr>
            </w:r>
            <w:r/>
          </w:p>
        </w:tc>
      </w:tr>
      <w:tr>
        <w:trPr>
          <w:jc w:val="center"/>
          <w:tblCellSpacing w:w="0" w:type="dxa"/>
          <w:trHeight w:val="1090"/>
        </w:trPr>
        <w:tc>
          <w:tcPr>
            <w:tcBorders>
              <w:top w:val="single" w:color="auto" w:sz="4" w:space="0"/>
              <w:left w:val="single" w:color="auto" w:sz="4" w:space="0"/>
              <w:bottom w:val="single" w:color="auto" w:sz="4" w:space="0"/>
              <w:right w:val="single" w:color="auto" w:sz="4" w:space="0"/>
            </w:tcBorders>
            <w:tcW w:w="3334"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服务</w:t>
            </w:r>
            <w:r>
              <w:rPr>
                <w:rFonts w:hint="eastAsia" w:ascii="宋体" w:hAnsi="宋体" w:cs="宋体"/>
                <w:color w:val="auto"/>
                <w:sz w:val="24"/>
                <w:szCs w:val="24"/>
                <w:highlight w:val="none"/>
                <w:lang w:val="en-US" w:eastAsia="zh-CN"/>
              </w:rPr>
              <w:t xml:space="preserve">时间</w:t>
            </w:r>
            <w:r/>
          </w:p>
        </w:tc>
        <w:tc>
          <w:tcPr>
            <w:tcBorders>
              <w:top w:val="single" w:color="auto" w:sz="4" w:space="0"/>
              <w:left w:val="single" w:color="auto" w:sz="4" w:space="0"/>
              <w:bottom w:val="single" w:color="auto" w:sz="4" w:space="0"/>
              <w:right w:val="single" w:color="auto" w:sz="4" w:space="0"/>
            </w:tcBorders>
            <w:tcW w:w="6389" w:type="dxa"/>
            <w:vAlign w:val="center"/>
            <w:textDirection w:val="lrTb"/>
            <w:noWrap w:val="false"/>
          </w:tcPr>
          <w:p>
            <w:pPr>
              <w:pStyle w:val="811"/>
              <w:jc w:val="center"/>
              <w:rPr>
                <w:color w:val="auto"/>
                <w:highlight w:val="none"/>
                <w:u w:val="single"/>
              </w:rPr>
            </w:pPr>
            <w:r>
              <w:rPr>
                <w:color w:val="auto"/>
                <w:highlight w:val="none"/>
                <w:u w:val="single"/>
              </w:rPr>
            </w:r>
            <w:r/>
          </w:p>
        </w:tc>
      </w:tr>
    </w:tbl>
    <w:p>
      <w:pPr>
        <w:pStyle w:val="811"/>
        <w:spacing w:before="0" w:beforeAutospacing="0" w:after="0" w:afterAutospacing="0" w:line="360" w:lineRule="auto"/>
        <w:rPr>
          <w:color w:val="auto"/>
          <w:highlight w:val="none"/>
        </w:rPr>
      </w:pPr>
      <w:r>
        <w:rPr>
          <w:color w:val="auto"/>
          <w:highlight w:val="none"/>
        </w:rPr>
      </w:r>
      <w:r/>
    </w:p>
    <w:p>
      <w:pPr>
        <w:pStyle w:val="811"/>
        <w:spacing w:before="0" w:beforeAutospacing="0" w:after="0" w:afterAutospacing="0" w:line="360" w:lineRule="auto"/>
        <w:rPr>
          <w:color w:val="auto"/>
          <w:highlight w:val="none"/>
        </w:rPr>
      </w:pPr>
      <w:r>
        <w:rPr>
          <w:rFonts w:hint="eastAsia"/>
          <w:color w:val="auto"/>
          <w:highlight w:val="none"/>
        </w:rPr>
        <w:t xml:space="preserve">投标供应商全称（公章）：  </w:t>
      </w:r>
      <w:r/>
    </w:p>
    <w:p>
      <w:pPr>
        <w:pStyle w:val="811"/>
        <w:spacing w:before="0" w:beforeAutospacing="0" w:after="0" w:afterAutospacing="0" w:line="360" w:lineRule="auto"/>
        <w:rPr>
          <w:color w:val="auto"/>
          <w:highlight w:val="none"/>
          <w:u w:val="single"/>
        </w:rPr>
      </w:pPr>
      <w:r>
        <w:rPr>
          <w:rFonts w:hint="eastAsia"/>
          <w:color w:val="auto"/>
          <w:highlight w:val="none"/>
        </w:rPr>
        <w:t xml:space="preserve">法定代表人（授权代表）（签字或盖章）： </w:t>
      </w:r>
      <w:r>
        <w:rPr>
          <w:rFonts w:hint="eastAsia"/>
          <w:color w:val="auto"/>
          <w:highlight w:val="none"/>
          <w:u w:val="single"/>
        </w:rPr>
        <w:t xml:space="preserve">       </w:t>
      </w:r>
      <w:r/>
    </w:p>
    <w:p>
      <w:pPr>
        <w:pStyle w:val="833"/>
        <w:ind w:firstLine="0"/>
        <w:rPr>
          <w:rFonts w:ascii="宋体" w:hAnsi="宋体" w:cs="宋体"/>
          <w:color w:val="auto"/>
          <w:sz w:val="24"/>
          <w:highlight w:val="none"/>
        </w:rPr>
      </w:pPr>
      <w:r/>
      <w:bookmarkStart w:id="185" w:name="_Toc14915"/>
      <w:r/>
      <w:bookmarkStart w:id="186" w:name="_Toc12470"/>
      <w:r>
        <w:rPr>
          <w:rFonts w:hint="eastAsia" w:ascii="宋体" w:hAnsi="宋体" w:cs="宋体"/>
          <w:color w:val="auto"/>
          <w:sz w:val="24"/>
          <w:highlight w:val="none"/>
        </w:rPr>
        <w:t xml:space="preserve">日期：</w:t>
      </w:r>
      <w:r/>
    </w:p>
    <w:p>
      <w:pPr>
        <w:pStyle w:val="833"/>
        <w:ind w:firstLine="0"/>
        <w:rPr>
          <w:rFonts w:ascii="宋体" w:hAnsi="宋体" w:cs="宋体"/>
          <w:color w:val="auto"/>
          <w:sz w:val="24"/>
          <w:highlight w:val="none"/>
        </w:rPr>
      </w:pPr>
      <w:r>
        <w:rPr>
          <w:rFonts w:ascii="宋体" w:hAnsi="宋体" w:cs="宋体"/>
          <w:color w:val="auto"/>
          <w:sz w:val="24"/>
          <w:highlight w:val="none"/>
        </w:rPr>
      </w:r>
      <w:r/>
    </w:p>
    <w:p>
      <w:pPr>
        <w:pStyle w:val="833"/>
        <w:ind w:firstLine="0"/>
        <w:rPr>
          <w:rFonts w:ascii="宋体" w:hAnsi="宋体" w:cs="宋体"/>
          <w:color w:val="auto"/>
          <w:sz w:val="24"/>
          <w:highlight w:val="none"/>
        </w:rPr>
      </w:pPr>
      <w:r>
        <w:rPr>
          <w:rFonts w:ascii="宋体" w:hAnsi="宋体" w:cs="宋体"/>
          <w:color w:val="auto"/>
          <w:sz w:val="24"/>
          <w:highlight w:val="none"/>
        </w:rPr>
      </w:r>
      <w:r/>
    </w:p>
    <w:p>
      <w:pPr>
        <w:pStyle w:val="833"/>
        <w:ind w:firstLine="0"/>
        <w:rPr>
          <w:rFonts w:ascii="宋体" w:hAnsi="宋体" w:cs="宋体"/>
          <w:b/>
          <w:bCs/>
          <w:color w:val="auto"/>
          <w:highlight w:val="none"/>
        </w:rPr>
      </w:pPr>
      <w:r>
        <w:rPr>
          <w:rFonts w:hint="eastAsia" w:ascii="宋体" w:hAnsi="宋体" w:cs="宋体"/>
          <w:b/>
          <w:bCs/>
          <w:color w:val="auto"/>
          <w:highlight w:val="none"/>
        </w:rPr>
        <w:t xml:space="preserve">注:</w:t>
      </w:r>
      <w:r/>
    </w:p>
    <w:p>
      <w:pPr>
        <w:pStyle w:val="833"/>
        <w:rPr>
          <w:rFonts w:ascii="宋体" w:hAnsi="宋体" w:cs="宋体"/>
          <w:color w:val="auto"/>
          <w:sz w:val="24"/>
          <w:highlight w:val="none"/>
        </w:rPr>
      </w:pPr>
      <w:r>
        <w:rPr>
          <w:rFonts w:hint="eastAsia" w:ascii="宋体" w:hAnsi="宋体" w:cs="宋体"/>
          <w:color w:val="auto"/>
          <w:sz w:val="24"/>
          <w:highlight w:val="none"/>
        </w:rPr>
        <w:t xml:space="preserve">1、采用人民币报价。</w:t>
      </w:r>
      <w:r/>
    </w:p>
    <w:p>
      <w:pPr>
        <w:pStyle w:val="833"/>
        <w:rPr>
          <w:rFonts w:ascii="宋体" w:hAnsi="宋体" w:cs="宋体"/>
          <w:color w:val="auto"/>
          <w:sz w:val="24"/>
          <w:highlight w:val="none"/>
        </w:rPr>
      </w:pPr>
      <w:r>
        <w:rPr>
          <w:rFonts w:hint="eastAsia" w:ascii="宋体" w:hAnsi="宋体" w:cs="宋体"/>
          <w:color w:val="auto"/>
          <w:sz w:val="24"/>
          <w:highlight w:val="none"/>
        </w:rPr>
        <w:t xml:space="preserve">2、投标报价应包括招标文件所规定的采购范围的全部内容。</w:t>
      </w:r>
      <w:r/>
    </w:p>
    <w:p>
      <w:pPr>
        <w:pStyle w:val="833"/>
        <w:rPr>
          <w:rFonts w:ascii="宋体" w:hAnsi="宋体" w:cs="宋体"/>
          <w:color w:val="auto"/>
          <w:sz w:val="24"/>
          <w:highlight w:val="none"/>
        </w:rPr>
      </w:pPr>
      <w:r>
        <w:rPr>
          <w:rFonts w:hint="eastAsia" w:ascii="宋体" w:hAnsi="宋体" w:cs="宋体"/>
          <w:color w:val="auto"/>
          <w:sz w:val="24"/>
          <w:highlight w:val="none"/>
        </w:rPr>
        <w:t xml:space="preserve">3、供应商不得实质性改动报价一览表格式及内容。</w:t>
      </w:r>
      <w:r/>
    </w:p>
    <w:p>
      <w:pPr>
        <w:jc w:val="center"/>
        <w:spacing w:line="360" w:lineRule="auto"/>
        <w:tabs>
          <w:tab w:val="left" w:pos="142" w:leader="none"/>
        </w:tabs>
        <w:rPr>
          <w:rFonts w:ascii="宋体" w:hAnsi="宋体" w:cs="宋体"/>
          <w:b/>
          <w:bCs/>
          <w:color w:val="auto"/>
          <w:sz w:val="36"/>
          <w:szCs w:val="36"/>
          <w:highlight w:val="none"/>
        </w:rPr>
        <w:outlineLvl w:val="0"/>
      </w:pPr>
      <w:r>
        <w:rPr>
          <w:rFonts w:hint="eastAsia" w:ascii="宋体" w:hAnsi="宋体" w:cs="宋体"/>
          <w:color w:val="auto"/>
          <w:highlight w:val="none"/>
        </w:rPr>
        <w:br w:type="page" w:clear="all"/>
      </w:r>
      <w:bookmarkEnd w:id="185"/>
      <w:r/>
      <w:bookmarkEnd w:id="186"/>
      <w:r/>
      <w:bookmarkStart w:id="187" w:name="_Toc10529"/>
      <w:r/>
      <w:bookmarkStart w:id="188" w:name="_Toc12014"/>
      <w:r>
        <w:rPr>
          <w:rFonts w:hint="eastAsia" w:ascii="宋体" w:hAnsi="宋体" w:cs="宋体"/>
          <w:b/>
          <w:bCs/>
          <w:color w:val="auto"/>
          <w:sz w:val="36"/>
          <w:szCs w:val="36"/>
          <w:highlight w:val="none"/>
        </w:rPr>
        <w:t xml:space="preserve">三、分项报价明细表</w:t>
      </w:r>
      <w:bookmarkEnd w:id="187"/>
      <w:r/>
      <w:bookmarkEnd w:id="188"/>
      <w:r/>
      <w:r/>
    </w:p>
    <w:p>
      <w:pPr>
        <w:pStyle w:val="802"/>
        <w:ind w:firstLine="480"/>
        <w:rPr>
          <w:rFonts w:hint="default" w:ascii="宋体" w:hAnsi="宋体" w:eastAsia="宋体" w:cs="宋体"/>
          <w:color w:val="auto"/>
          <w:highlight w:val="none"/>
          <w:lang w:val="en-US"/>
        </w:rPr>
      </w:pPr>
      <w:r>
        <w:rPr>
          <w:rFonts w:hint="eastAsia" w:ascii="宋体" w:hAnsi="宋体" w:eastAsia="宋体" w:cs="宋体"/>
          <w:color w:val="auto"/>
          <w:highlight w:val="none"/>
        </w:rPr>
        <w:t xml:space="preserve">项目名称：</w:t>
      </w:r>
      <w:r>
        <w:rPr>
          <w:rFonts w:hint="eastAsia" w:ascii="宋体" w:hAnsi="宋体" w:cs="宋体"/>
          <w:color w:val="auto"/>
          <w:sz w:val="24"/>
          <w:szCs w:val="24"/>
          <w:highlight w:val="none"/>
          <w:lang w:eastAsia="zh-CN"/>
        </w:rPr>
        <w:t xml:space="preserve">全省食用林产品质量安全监测</w:t>
      </w:r>
      <w:r>
        <w:rPr>
          <w:rFonts w:hint="eastAsia" w:ascii="宋体" w:hAnsi="宋体" w:cs="宋体"/>
          <w:color w:val="auto"/>
          <w:sz w:val="24"/>
          <w:szCs w:val="24"/>
          <w:highlight w:val="none"/>
          <w:lang w:val="en-US" w:eastAsia="zh-CN"/>
        </w:rPr>
        <w:t xml:space="preserve"> 分包___</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项目编号：                                  </w:t>
      </w:r>
      <w:r/>
    </w:p>
    <w:tbl>
      <w:tblPr>
        <w:tblStyle w:val="79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28"/>
        <w:gridCol w:w="2813"/>
        <w:gridCol w:w="1412"/>
        <w:gridCol w:w="1475"/>
        <w:gridCol w:w="2566"/>
      </w:tblGrid>
      <w:tr>
        <w:trPr>
          <w:cantSplit/>
          <w:jc w:val="center"/>
          <w:trHeight w:val="923"/>
        </w:trPr>
        <w:tc>
          <w:tcPr>
            <w:tcW w:w="1128" w:type="dxa"/>
            <w:vAlign w:val="center"/>
            <w:textDirection w:val="lrTb"/>
            <w:noWrap w:val="false"/>
          </w:tcPr>
          <w:p>
            <w:pPr>
              <w:jc w:val="center"/>
              <w:spacing w:line="0" w:lineRule="atLeast"/>
              <w:rPr>
                <w:rFonts w:hint="eastAsia" w:ascii="宋体" w:hAnsi="宋体" w:eastAsia="宋体" w:cs="宋体"/>
                <w:sz w:val="24"/>
              </w:rPr>
            </w:pPr>
            <w:r>
              <w:rPr>
                <w:rFonts w:hint="eastAsia" w:ascii="宋体" w:hAnsi="宋体" w:eastAsia="宋体" w:cs="宋体"/>
                <w:sz w:val="24"/>
              </w:rPr>
              <w:t xml:space="preserve">序号</w:t>
            </w:r>
            <w:r/>
          </w:p>
        </w:tc>
        <w:tc>
          <w:tcPr>
            <w:tcW w:w="2813" w:type="dxa"/>
            <w:vAlign w:val="center"/>
            <w:textDirection w:val="lrTb"/>
            <w:noWrap w:val="false"/>
          </w:tcPr>
          <w:p>
            <w:pPr>
              <w:jc w:val="center"/>
              <w:spacing w:line="0" w:lineRule="atLeast"/>
              <w:rPr>
                <w:rFonts w:hint="eastAsia" w:ascii="宋体" w:hAnsi="宋体" w:eastAsia="宋体" w:cs="宋体"/>
                <w:sz w:val="24"/>
              </w:rPr>
            </w:pPr>
            <w:r>
              <w:rPr>
                <w:rFonts w:hint="eastAsia" w:ascii="宋体" w:hAnsi="宋体" w:eastAsia="宋体" w:cs="宋体"/>
                <w:sz w:val="24"/>
              </w:rPr>
              <w:t xml:space="preserve">产品/服务名称</w:t>
            </w:r>
            <w:r/>
          </w:p>
        </w:tc>
        <w:tc>
          <w:tcPr>
            <w:tcW w:w="1412" w:type="dxa"/>
            <w:vAlign w:val="center"/>
            <w:textDirection w:val="lrTb"/>
            <w:noWrap w:val="false"/>
          </w:tcPr>
          <w:p>
            <w:pPr>
              <w:jc w:val="center"/>
              <w:spacing w:line="0" w:lineRule="atLeast"/>
              <w:rPr>
                <w:rFonts w:hint="eastAsia" w:ascii="宋体" w:hAnsi="宋体" w:eastAsia="宋体" w:cs="宋体"/>
                <w:sz w:val="24"/>
              </w:rPr>
            </w:pPr>
            <w:r>
              <w:rPr>
                <w:rFonts w:hint="eastAsia" w:ascii="宋体" w:hAnsi="宋体" w:eastAsia="宋体" w:cs="宋体"/>
                <w:sz w:val="24"/>
              </w:rPr>
              <w:t xml:space="preserve">分项单位</w:t>
            </w:r>
            <w:r/>
          </w:p>
        </w:tc>
        <w:tc>
          <w:tcPr>
            <w:tcW w:w="1475" w:type="dxa"/>
            <w:vAlign w:val="center"/>
            <w:textDirection w:val="lrTb"/>
            <w:noWrap w:val="false"/>
          </w:tcPr>
          <w:p>
            <w:pPr>
              <w:jc w:val="center"/>
              <w:spacing w:line="0" w:lineRule="atLeast"/>
              <w:rPr>
                <w:rFonts w:hint="eastAsia" w:ascii="宋体" w:hAnsi="宋体" w:eastAsia="宋体" w:cs="宋体"/>
                <w:sz w:val="24"/>
              </w:rPr>
            </w:pPr>
            <w:r>
              <w:rPr>
                <w:rFonts w:hint="eastAsia" w:ascii="宋体" w:hAnsi="宋体" w:eastAsia="宋体" w:cs="宋体"/>
                <w:sz w:val="24"/>
              </w:rPr>
              <w:t xml:space="preserve">数量</w:t>
            </w:r>
            <w:r/>
          </w:p>
        </w:tc>
        <w:tc>
          <w:tcPr>
            <w:tcW w:w="2566" w:type="dxa"/>
            <w:vAlign w:val="center"/>
            <w:textDirection w:val="lrTb"/>
            <w:noWrap w:val="false"/>
          </w:tcPr>
          <w:p>
            <w:pPr>
              <w:jc w:val="center"/>
              <w:spacing w:line="0" w:lineRule="atLeast"/>
              <w:rPr>
                <w:rFonts w:hint="eastAsia" w:ascii="宋体" w:hAnsi="宋体" w:eastAsia="宋体" w:cs="宋体"/>
                <w:sz w:val="24"/>
              </w:rPr>
            </w:pPr>
            <w:r>
              <w:rPr>
                <w:rFonts w:hint="eastAsia" w:ascii="宋体" w:hAnsi="宋体" w:eastAsia="宋体" w:cs="宋体"/>
                <w:sz w:val="24"/>
              </w:rPr>
              <w:t xml:space="preserve">金额（人民币元）</w:t>
            </w:r>
            <w:r/>
          </w:p>
        </w:tc>
      </w:tr>
      <w:tr>
        <w:trPr>
          <w:cantSplit/>
          <w:jc w:val="center"/>
          <w:trHeight w:val="454"/>
        </w:trPr>
        <w:tc>
          <w:tcPr>
            <w:tcW w:w="1128" w:type="dxa"/>
            <w:vAlign w:val="center"/>
            <w:textDirection w:val="lrTb"/>
            <w:noWrap w:val="false"/>
          </w:tcPr>
          <w:p>
            <w:pPr>
              <w:jc w:val="center"/>
              <w:spacing w:line="0" w:lineRule="atLeast"/>
              <w:rPr>
                <w:rFonts w:hint="eastAsia" w:ascii="宋体" w:hAnsi="宋体" w:eastAsia="宋体" w:cs="宋体"/>
                <w:sz w:val="24"/>
              </w:rPr>
            </w:pPr>
            <w:r>
              <w:rPr>
                <w:rFonts w:hint="eastAsia" w:ascii="宋体" w:hAnsi="宋体" w:eastAsia="宋体" w:cs="宋体"/>
                <w:sz w:val="24"/>
              </w:rPr>
            </w:r>
            <w:r/>
          </w:p>
        </w:tc>
        <w:tc>
          <w:tcPr>
            <w:tcW w:w="2813" w:type="dxa"/>
            <w:vAlign w:val="center"/>
            <w:textDirection w:val="lrTb"/>
            <w:noWrap w:val="false"/>
          </w:tcPr>
          <w:p>
            <w:pPr>
              <w:jc w:val="center"/>
              <w:spacing w:line="0" w:lineRule="atLeast"/>
              <w:rPr>
                <w:rFonts w:hint="eastAsia" w:ascii="宋体" w:hAnsi="宋体" w:eastAsia="宋体" w:cs="宋体"/>
                <w:sz w:val="24"/>
              </w:rPr>
            </w:pPr>
            <w:r>
              <w:rPr>
                <w:rFonts w:hint="eastAsia" w:ascii="宋体" w:hAnsi="宋体" w:eastAsia="宋体" w:cs="宋体"/>
                <w:sz w:val="24"/>
              </w:rPr>
            </w:r>
            <w:r/>
          </w:p>
        </w:tc>
        <w:tc>
          <w:tcPr>
            <w:tcW w:w="1412" w:type="dxa"/>
            <w:vAlign w:val="center"/>
            <w:textDirection w:val="lrTb"/>
            <w:noWrap w:val="false"/>
          </w:tcPr>
          <w:p>
            <w:pPr>
              <w:jc w:val="center"/>
              <w:spacing w:line="0" w:lineRule="atLeast"/>
              <w:rPr>
                <w:rFonts w:hint="eastAsia" w:ascii="宋体" w:hAnsi="宋体" w:eastAsia="宋体" w:cs="宋体"/>
                <w:sz w:val="24"/>
              </w:rPr>
            </w:pPr>
            <w:r>
              <w:rPr>
                <w:rFonts w:hint="eastAsia" w:ascii="宋体" w:hAnsi="宋体" w:eastAsia="宋体" w:cs="宋体"/>
                <w:sz w:val="24"/>
              </w:rPr>
            </w:r>
            <w:r/>
          </w:p>
        </w:tc>
        <w:tc>
          <w:tcPr>
            <w:tcW w:w="1475" w:type="dxa"/>
            <w:vAlign w:val="center"/>
            <w:textDirection w:val="lrTb"/>
            <w:noWrap w:val="false"/>
          </w:tcPr>
          <w:p>
            <w:pPr>
              <w:jc w:val="center"/>
              <w:spacing w:line="0" w:lineRule="atLeast"/>
              <w:rPr>
                <w:rFonts w:hint="eastAsia" w:ascii="宋体" w:hAnsi="宋体" w:eastAsia="宋体" w:cs="宋体"/>
                <w:sz w:val="24"/>
              </w:rPr>
            </w:pPr>
            <w:r>
              <w:rPr>
                <w:rFonts w:hint="eastAsia" w:ascii="宋体" w:hAnsi="宋体" w:eastAsia="宋体" w:cs="宋体"/>
                <w:sz w:val="24"/>
              </w:rPr>
            </w:r>
            <w:r/>
          </w:p>
        </w:tc>
        <w:tc>
          <w:tcPr>
            <w:tcW w:w="2566" w:type="dxa"/>
            <w:vAlign w:val="center"/>
            <w:textDirection w:val="lrTb"/>
            <w:noWrap w:val="false"/>
          </w:tcPr>
          <w:p>
            <w:pPr>
              <w:jc w:val="center"/>
              <w:spacing w:line="0" w:lineRule="atLeast"/>
              <w:rPr>
                <w:rFonts w:hint="eastAsia" w:ascii="宋体" w:hAnsi="宋体" w:eastAsia="宋体" w:cs="宋体"/>
                <w:sz w:val="24"/>
              </w:rPr>
            </w:pPr>
            <w:r>
              <w:rPr>
                <w:rFonts w:hint="eastAsia" w:ascii="宋体" w:hAnsi="宋体" w:eastAsia="宋体" w:cs="宋体"/>
                <w:sz w:val="24"/>
              </w:rPr>
            </w:r>
            <w:r/>
          </w:p>
        </w:tc>
      </w:tr>
      <w:tr>
        <w:trPr>
          <w:cantSplit/>
          <w:jc w:val="center"/>
          <w:trHeight w:val="454"/>
        </w:trPr>
        <w:tc>
          <w:tcPr>
            <w:tcW w:w="1128" w:type="dxa"/>
            <w:vAlign w:val="center"/>
            <w:textDirection w:val="lrTb"/>
            <w:noWrap w:val="false"/>
          </w:tcPr>
          <w:p>
            <w:pPr>
              <w:jc w:val="center"/>
              <w:spacing w:line="0" w:lineRule="atLeast"/>
              <w:rPr>
                <w:rFonts w:hint="eastAsia" w:ascii="宋体" w:hAnsi="宋体" w:eastAsia="宋体" w:cs="宋体"/>
                <w:sz w:val="24"/>
              </w:rPr>
            </w:pPr>
            <w:r>
              <w:rPr>
                <w:rFonts w:hint="eastAsia" w:ascii="宋体" w:hAnsi="宋体" w:eastAsia="宋体" w:cs="宋体"/>
                <w:sz w:val="24"/>
              </w:rPr>
            </w:r>
            <w:r/>
          </w:p>
        </w:tc>
        <w:tc>
          <w:tcPr>
            <w:tcW w:w="2813" w:type="dxa"/>
            <w:vAlign w:val="center"/>
            <w:textDirection w:val="lrTb"/>
            <w:noWrap w:val="false"/>
          </w:tcPr>
          <w:p>
            <w:pPr>
              <w:jc w:val="center"/>
              <w:spacing w:line="0" w:lineRule="atLeast"/>
              <w:rPr>
                <w:rFonts w:hint="eastAsia" w:ascii="宋体" w:hAnsi="宋体" w:eastAsia="宋体" w:cs="宋体"/>
                <w:sz w:val="24"/>
              </w:rPr>
            </w:pPr>
            <w:r>
              <w:rPr>
                <w:rFonts w:hint="eastAsia" w:ascii="宋体" w:hAnsi="宋体" w:eastAsia="宋体" w:cs="宋体"/>
                <w:sz w:val="24"/>
              </w:rPr>
            </w:r>
            <w:r/>
          </w:p>
        </w:tc>
        <w:tc>
          <w:tcPr>
            <w:tcW w:w="1412" w:type="dxa"/>
            <w:vAlign w:val="center"/>
            <w:textDirection w:val="lrTb"/>
            <w:noWrap w:val="false"/>
          </w:tcPr>
          <w:p>
            <w:pPr>
              <w:jc w:val="center"/>
              <w:spacing w:line="0" w:lineRule="atLeast"/>
              <w:rPr>
                <w:rFonts w:hint="eastAsia" w:ascii="宋体" w:hAnsi="宋体" w:eastAsia="宋体" w:cs="宋体"/>
                <w:sz w:val="24"/>
              </w:rPr>
            </w:pPr>
            <w:r>
              <w:rPr>
                <w:rFonts w:hint="eastAsia" w:ascii="宋体" w:hAnsi="宋体" w:eastAsia="宋体" w:cs="宋体"/>
                <w:sz w:val="24"/>
              </w:rPr>
            </w:r>
            <w:r/>
          </w:p>
        </w:tc>
        <w:tc>
          <w:tcPr>
            <w:tcW w:w="1475" w:type="dxa"/>
            <w:vAlign w:val="center"/>
            <w:textDirection w:val="lrTb"/>
            <w:noWrap w:val="false"/>
          </w:tcPr>
          <w:p>
            <w:pPr>
              <w:jc w:val="center"/>
              <w:spacing w:line="0" w:lineRule="atLeast"/>
              <w:rPr>
                <w:rFonts w:hint="eastAsia" w:ascii="宋体" w:hAnsi="宋体" w:eastAsia="宋体" w:cs="宋体"/>
                <w:sz w:val="24"/>
              </w:rPr>
            </w:pPr>
            <w:r>
              <w:rPr>
                <w:rFonts w:hint="eastAsia" w:ascii="宋体" w:hAnsi="宋体" w:eastAsia="宋体" w:cs="宋体"/>
                <w:sz w:val="24"/>
              </w:rPr>
            </w:r>
            <w:r/>
          </w:p>
        </w:tc>
        <w:tc>
          <w:tcPr>
            <w:tcW w:w="2566" w:type="dxa"/>
            <w:vAlign w:val="center"/>
            <w:textDirection w:val="lrTb"/>
            <w:noWrap w:val="false"/>
          </w:tcPr>
          <w:p>
            <w:pPr>
              <w:jc w:val="center"/>
              <w:spacing w:line="0" w:lineRule="atLeast"/>
              <w:rPr>
                <w:rFonts w:hint="eastAsia" w:ascii="宋体" w:hAnsi="宋体" w:eastAsia="宋体" w:cs="宋体"/>
                <w:sz w:val="24"/>
              </w:rPr>
            </w:pPr>
            <w:r>
              <w:rPr>
                <w:rFonts w:hint="eastAsia" w:ascii="宋体" w:hAnsi="宋体" w:eastAsia="宋体" w:cs="宋体"/>
                <w:sz w:val="24"/>
              </w:rPr>
            </w:r>
            <w:r/>
          </w:p>
        </w:tc>
      </w:tr>
      <w:tr>
        <w:trPr>
          <w:cantSplit/>
          <w:jc w:val="center"/>
          <w:trHeight w:val="454"/>
        </w:trPr>
        <w:tc>
          <w:tcPr>
            <w:tcW w:w="1128" w:type="dxa"/>
            <w:vAlign w:val="center"/>
            <w:textDirection w:val="lrTb"/>
            <w:noWrap w:val="false"/>
          </w:tcPr>
          <w:p>
            <w:pPr>
              <w:jc w:val="center"/>
              <w:spacing w:line="0" w:lineRule="atLeast"/>
              <w:rPr>
                <w:rFonts w:hint="eastAsia" w:ascii="宋体" w:hAnsi="宋体" w:eastAsia="宋体" w:cs="宋体"/>
                <w:sz w:val="24"/>
              </w:rPr>
            </w:pPr>
            <w:r>
              <w:rPr>
                <w:rFonts w:hint="eastAsia" w:ascii="宋体" w:hAnsi="宋体" w:eastAsia="宋体" w:cs="宋体"/>
                <w:sz w:val="24"/>
              </w:rPr>
            </w:r>
            <w:r/>
          </w:p>
        </w:tc>
        <w:tc>
          <w:tcPr>
            <w:tcW w:w="2813" w:type="dxa"/>
            <w:vAlign w:val="center"/>
            <w:textDirection w:val="lrTb"/>
            <w:noWrap w:val="false"/>
          </w:tcPr>
          <w:p>
            <w:pPr>
              <w:jc w:val="center"/>
              <w:spacing w:line="0" w:lineRule="atLeast"/>
              <w:rPr>
                <w:rFonts w:hint="eastAsia" w:ascii="宋体" w:hAnsi="宋体" w:eastAsia="宋体" w:cs="宋体"/>
                <w:sz w:val="24"/>
              </w:rPr>
            </w:pPr>
            <w:r>
              <w:rPr>
                <w:rFonts w:hint="eastAsia" w:ascii="宋体" w:hAnsi="宋体" w:eastAsia="宋体" w:cs="宋体"/>
                <w:sz w:val="24"/>
              </w:rPr>
            </w:r>
            <w:r/>
          </w:p>
        </w:tc>
        <w:tc>
          <w:tcPr>
            <w:tcW w:w="1412" w:type="dxa"/>
            <w:vAlign w:val="center"/>
            <w:textDirection w:val="lrTb"/>
            <w:noWrap w:val="false"/>
          </w:tcPr>
          <w:p>
            <w:pPr>
              <w:jc w:val="center"/>
              <w:spacing w:line="0" w:lineRule="atLeast"/>
              <w:rPr>
                <w:rFonts w:hint="eastAsia" w:ascii="宋体" w:hAnsi="宋体" w:eastAsia="宋体" w:cs="宋体"/>
                <w:sz w:val="24"/>
              </w:rPr>
            </w:pPr>
            <w:r>
              <w:rPr>
                <w:rFonts w:hint="eastAsia" w:ascii="宋体" w:hAnsi="宋体" w:eastAsia="宋体" w:cs="宋体"/>
                <w:sz w:val="24"/>
              </w:rPr>
            </w:r>
            <w:r/>
          </w:p>
        </w:tc>
        <w:tc>
          <w:tcPr>
            <w:tcW w:w="1475" w:type="dxa"/>
            <w:vAlign w:val="center"/>
            <w:textDirection w:val="lrTb"/>
            <w:noWrap w:val="false"/>
          </w:tcPr>
          <w:p>
            <w:pPr>
              <w:jc w:val="center"/>
              <w:spacing w:line="0" w:lineRule="atLeast"/>
              <w:rPr>
                <w:rFonts w:hint="eastAsia" w:ascii="宋体" w:hAnsi="宋体" w:eastAsia="宋体" w:cs="宋体"/>
                <w:sz w:val="24"/>
              </w:rPr>
            </w:pPr>
            <w:r>
              <w:rPr>
                <w:rFonts w:hint="eastAsia" w:ascii="宋体" w:hAnsi="宋体" w:eastAsia="宋体" w:cs="宋体"/>
                <w:sz w:val="24"/>
              </w:rPr>
            </w:r>
            <w:r/>
          </w:p>
        </w:tc>
        <w:tc>
          <w:tcPr>
            <w:tcW w:w="2566" w:type="dxa"/>
            <w:vAlign w:val="center"/>
            <w:textDirection w:val="lrTb"/>
            <w:noWrap w:val="false"/>
          </w:tcPr>
          <w:p>
            <w:pPr>
              <w:jc w:val="center"/>
              <w:spacing w:line="0" w:lineRule="atLeast"/>
              <w:rPr>
                <w:rFonts w:hint="eastAsia" w:ascii="宋体" w:hAnsi="宋体" w:eastAsia="宋体" w:cs="宋体"/>
                <w:sz w:val="24"/>
              </w:rPr>
            </w:pPr>
            <w:r>
              <w:rPr>
                <w:rFonts w:hint="eastAsia" w:ascii="宋体" w:hAnsi="宋体" w:eastAsia="宋体" w:cs="宋体"/>
                <w:sz w:val="24"/>
              </w:rPr>
            </w:r>
            <w:r/>
          </w:p>
        </w:tc>
      </w:tr>
      <w:tr>
        <w:trPr>
          <w:cantSplit/>
          <w:jc w:val="center"/>
          <w:trHeight w:val="454"/>
        </w:trPr>
        <w:tc>
          <w:tcPr>
            <w:tcW w:w="1128" w:type="dxa"/>
            <w:vAlign w:val="center"/>
            <w:textDirection w:val="lrTb"/>
            <w:noWrap w:val="false"/>
          </w:tcPr>
          <w:p>
            <w:pPr>
              <w:jc w:val="center"/>
              <w:spacing w:line="0" w:lineRule="atLeast"/>
              <w:rPr>
                <w:rFonts w:hint="eastAsia" w:ascii="宋体" w:hAnsi="宋体" w:eastAsia="宋体" w:cs="宋体"/>
                <w:sz w:val="24"/>
              </w:rPr>
            </w:pPr>
            <w:r>
              <w:rPr>
                <w:rFonts w:hint="eastAsia" w:ascii="宋体" w:hAnsi="宋体" w:eastAsia="宋体" w:cs="宋体"/>
                <w:sz w:val="24"/>
              </w:rPr>
            </w:r>
            <w:r/>
          </w:p>
        </w:tc>
        <w:tc>
          <w:tcPr>
            <w:tcW w:w="2813" w:type="dxa"/>
            <w:vAlign w:val="center"/>
            <w:textDirection w:val="lrTb"/>
            <w:noWrap w:val="false"/>
          </w:tcPr>
          <w:p>
            <w:pPr>
              <w:jc w:val="center"/>
              <w:spacing w:line="0" w:lineRule="atLeast"/>
              <w:rPr>
                <w:rFonts w:hint="eastAsia" w:ascii="宋体" w:hAnsi="宋体" w:eastAsia="宋体" w:cs="宋体"/>
                <w:sz w:val="24"/>
              </w:rPr>
            </w:pPr>
            <w:r>
              <w:rPr>
                <w:rFonts w:hint="eastAsia" w:ascii="宋体" w:hAnsi="宋体" w:eastAsia="宋体" w:cs="宋体"/>
                <w:sz w:val="24"/>
              </w:rPr>
            </w:r>
            <w:r/>
          </w:p>
        </w:tc>
        <w:tc>
          <w:tcPr>
            <w:tcW w:w="1412" w:type="dxa"/>
            <w:vAlign w:val="center"/>
            <w:textDirection w:val="lrTb"/>
            <w:noWrap w:val="false"/>
          </w:tcPr>
          <w:p>
            <w:pPr>
              <w:jc w:val="center"/>
              <w:spacing w:line="0" w:lineRule="atLeast"/>
              <w:rPr>
                <w:rFonts w:hint="eastAsia" w:ascii="宋体" w:hAnsi="宋体" w:eastAsia="宋体" w:cs="宋体"/>
                <w:sz w:val="24"/>
              </w:rPr>
            </w:pPr>
            <w:r>
              <w:rPr>
                <w:rFonts w:hint="eastAsia" w:ascii="宋体" w:hAnsi="宋体" w:eastAsia="宋体" w:cs="宋体"/>
                <w:sz w:val="24"/>
              </w:rPr>
            </w:r>
            <w:r/>
          </w:p>
        </w:tc>
        <w:tc>
          <w:tcPr>
            <w:tcW w:w="1475" w:type="dxa"/>
            <w:vAlign w:val="center"/>
            <w:textDirection w:val="lrTb"/>
            <w:noWrap w:val="false"/>
          </w:tcPr>
          <w:p>
            <w:pPr>
              <w:jc w:val="center"/>
              <w:spacing w:line="0" w:lineRule="atLeast"/>
              <w:rPr>
                <w:rFonts w:hint="eastAsia" w:ascii="宋体" w:hAnsi="宋体" w:eastAsia="宋体" w:cs="宋体"/>
                <w:sz w:val="24"/>
              </w:rPr>
            </w:pPr>
            <w:r>
              <w:rPr>
                <w:rFonts w:hint="eastAsia" w:ascii="宋体" w:hAnsi="宋体" w:eastAsia="宋体" w:cs="宋体"/>
                <w:sz w:val="24"/>
              </w:rPr>
            </w:r>
            <w:r/>
          </w:p>
        </w:tc>
        <w:tc>
          <w:tcPr>
            <w:tcW w:w="2566" w:type="dxa"/>
            <w:vAlign w:val="center"/>
            <w:textDirection w:val="lrTb"/>
            <w:noWrap w:val="false"/>
          </w:tcPr>
          <w:p>
            <w:pPr>
              <w:jc w:val="center"/>
              <w:spacing w:line="0" w:lineRule="atLeast"/>
              <w:rPr>
                <w:rFonts w:hint="eastAsia" w:ascii="宋体" w:hAnsi="宋体" w:eastAsia="宋体" w:cs="宋体"/>
                <w:sz w:val="24"/>
              </w:rPr>
            </w:pPr>
            <w:r>
              <w:rPr>
                <w:rFonts w:hint="eastAsia" w:ascii="宋体" w:hAnsi="宋体" w:eastAsia="宋体" w:cs="宋体"/>
                <w:sz w:val="24"/>
              </w:rPr>
            </w:r>
            <w:r/>
          </w:p>
        </w:tc>
      </w:tr>
      <w:tr>
        <w:trPr>
          <w:cantSplit/>
          <w:jc w:val="center"/>
          <w:trHeight w:val="454"/>
        </w:trPr>
        <w:tc>
          <w:tcPr>
            <w:tcW w:w="1128" w:type="dxa"/>
            <w:vAlign w:val="center"/>
            <w:textDirection w:val="lrTb"/>
            <w:noWrap w:val="false"/>
          </w:tcPr>
          <w:p>
            <w:pPr>
              <w:jc w:val="center"/>
              <w:spacing w:line="0" w:lineRule="atLeast"/>
              <w:rPr>
                <w:rFonts w:hint="eastAsia" w:ascii="宋体" w:hAnsi="宋体" w:eastAsia="宋体" w:cs="宋体"/>
                <w:sz w:val="24"/>
              </w:rPr>
            </w:pPr>
            <w:r>
              <w:rPr>
                <w:rFonts w:hint="eastAsia" w:ascii="宋体" w:hAnsi="宋体" w:eastAsia="宋体" w:cs="宋体"/>
                <w:sz w:val="24"/>
              </w:rPr>
            </w:r>
            <w:r/>
          </w:p>
        </w:tc>
        <w:tc>
          <w:tcPr>
            <w:tcW w:w="2813" w:type="dxa"/>
            <w:vAlign w:val="center"/>
            <w:textDirection w:val="lrTb"/>
            <w:noWrap w:val="false"/>
          </w:tcPr>
          <w:p>
            <w:pPr>
              <w:jc w:val="center"/>
              <w:spacing w:line="0" w:lineRule="atLeast"/>
              <w:rPr>
                <w:rFonts w:hint="eastAsia" w:ascii="宋体" w:hAnsi="宋体" w:eastAsia="宋体" w:cs="宋体"/>
                <w:sz w:val="24"/>
              </w:rPr>
            </w:pPr>
            <w:r>
              <w:rPr>
                <w:rFonts w:hint="eastAsia" w:ascii="宋体" w:hAnsi="宋体" w:eastAsia="宋体" w:cs="宋体"/>
                <w:sz w:val="24"/>
              </w:rPr>
            </w:r>
            <w:r/>
          </w:p>
        </w:tc>
        <w:tc>
          <w:tcPr>
            <w:tcW w:w="1412" w:type="dxa"/>
            <w:vAlign w:val="center"/>
            <w:textDirection w:val="lrTb"/>
            <w:noWrap w:val="false"/>
          </w:tcPr>
          <w:p>
            <w:pPr>
              <w:jc w:val="center"/>
              <w:spacing w:line="0" w:lineRule="atLeast"/>
              <w:rPr>
                <w:rFonts w:hint="eastAsia" w:ascii="宋体" w:hAnsi="宋体" w:eastAsia="宋体" w:cs="宋体"/>
                <w:sz w:val="24"/>
              </w:rPr>
            </w:pPr>
            <w:r>
              <w:rPr>
                <w:rFonts w:hint="eastAsia" w:ascii="宋体" w:hAnsi="宋体" w:eastAsia="宋体" w:cs="宋体"/>
                <w:sz w:val="24"/>
              </w:rPr>
            </w:r>
            <w:r/>
          </w:p>
        </w:tc>
        <w:tc>
          <w:tcPr>
            <w:tcW w:w="1475" w:type="dxa"/>
            <w:vAlign w:val="center"/>
            <w:textDirection w:val="lrTb"/>
            <w:noWrap w:val="false"/>
          </w:tcPr>
          <w:p>
            <w:pPr>
              <w:jc w:val="center"/>
              <w:spacing w:line="0" w:lineRule="atLeast"/>
              <w:rPr>
                <w:rFonts w:hint="eastAsia" w:ascii="宋体" w:hAnsi="宋体" w:eastAsia="宋体" w:cs="宋体"/>
                <w:sz w:val="24"/>
              </w:rPr>
            </w:pPr>
            <w:r>
              <w:rPr>
                <w:rFonts w:hint="eastAsia" w:ascii="宋体" w:hAnsi="宋体" w:eastAsia="宋体" w:cs="宋体"/>
                <w:sz w:val="24"/>
              </w:rPr>
            </w:r>
            <w:r/>
          </w:p>
        </w:tc>
        <w:tc>
          <w:tcPr>
            <w:tcW w:w="2566" w:type="dxa"/>
            <w:vAlign w:val="center"/>
            <w:textDirection w:val="lrTb"/>
            <w:noWrap w:val="false"/>
          </w:tcPr>
          <w:p>
            <w:pPr>
              <w:jc w:val="center"/>
              <w:spacing w:line="0" w:lineRule="atLeast"/>
              <w:rPr>
                <w:rFonts w:hint="eastAsia" w:ascii="宋体" w:hAnsi="宋体" w:eastAsia="宋体" w:cs="宋体"/>
                <w:sz w:val="24"/>
              </w:rPr>
            </w:pPr>
            <w:r>
              <w:rPr>
                <w:rFonts w:hint="eastAsia" w:ascii="宋体" w:hAnsi="宋体" w:eastAsia="宋体" w:cs="宋体"/>
                <w:sz w:val="24"/>
              </w:rPr>
            </w:r>
            <w:r/>
          </w:p>
        </w:tc>
      </w:tr>
      <w:tr>
        <w:trPr>
          <w:cantSplit/>
          <w:jc w:val="center"/>
          <w:trHeight w:val="454"/>
        </w:trPr>
        <w:tc>
          <w:tcPr>
            <w:tcW w:w="1128" w:type="dxa"/>
            <w:vAlign w:val="center"/>
            <w:textDirection w:val="lrTb"/>
            <w:noWrap w:val="false"/>
          </w:tcPr>
          <w:p>
            <w:pPr>
              <w:jc w:val="center"/>
              <w:spacing w:line="0" w:lineRule="atLeast"/>
              <w:rPr>
                <w:rFonts w:hint="eastAsia" w:ascii="宋体" w:hAnsi="宋体" w:eastAsia="宋体" w:cs="宋体"/>
                <w:sz w:val="24"/>
              </w:rPr>
            </w:pPr>
            <w:r>
              <w:rPr>
                <w:rFonts w:hint="eastAsia" w:ascii="宋体" w:hAnsi="宋体" w:eastAsia="宋体" w:cs="宋体"/>
                <w:sz w:val="24"/>
              </w:rPr>
            </w:r>
            <w:r/>
          </w:p>
        </w:tc>
        <w:tc>
          <w:tcPr>
            <w:tcW w:w="2813" w:type="dxa"/>
            <w:vAlign w:val="center"/>
            <w:textDirection w:val="lrTb"/>
            <w:noWrap w:val="false"/>
          </w:tcPr>
          <w:p>
            <w:pPr>
              <w:jc w:val="center"/>
              <w:spacing w:line="0" w:lineRule="atLeast"/>
              <w:rPr>
                <w:rFonts w:hint="eastAsia" w:ascii="宋体" w:hAnsi="宋体" w:eastAsia="宋体" w:cs="宋体"/>
                <w:sz w:val="24"/>
              </w:rPr>
            </w:pPr>
            <w:r>
              <w:rPr>
                <w:rFonts w:hint="eastAsia" w:ascii="宋体" w:hAnsi="宋体" w:eastAsia="宋体" w:cs="宋体"/>
                <w:sz w:val="24"/>
              </w:rPr>
            </w:r>
            <w:r/>
          </w:p>
        </w:tc>
        <w:tc>
          <w:tcPr>
            <w:tcW w:w="1412" w:type="dxa"/>
            <w:vAlign w:val="center"/>
            <w:textDirection w:val="lrTb"/>
            <w:noWrap w:val="false"/>
          </w:tcPr>
          <w:p>
            <w:pPr>
              <w:jc w:val="center"/>
              <w:spacing w:line="0" w:lineRule="atLeast"/>
              <w:rPr>
                <w:rFonts w:hint="eastAsia" w:ascii="宋体" w:hAnsi="宋体" w:eastAsia="宋体" w:cs="宋体"/>
                <w:sz w:val="24"/>
              </w:rPr>
            </w:pPr>
            <w:r>
              <w:rPr>
                <w:rFonts w:hint="eastAsia" w:ascii="宋体" w:hAnsi="宋体" w:eastAsia="宋体" w:cs="宋体"/>
                <w:sz w:val="24"/>
              </w:rPr>
            </w:r>
            <w:r/>
          </w:p>
        </w:tc>
        <w:tc>
          <w:tcPr>
            <w:tcW w:w="1475" w:type="dxa"/>
            <w:vAlign w:val="center"/>
            <w:textDirection w:val="lrTb"/>
            <w:noWrap w:val="false"/>
          </w:tcPr>
          <w:p>
            <w:pPr>
              <w:jc w:val="center"/>
              <w:spacing w:line="0" w:lineRule="atLeast"/>
              <w:rPr>
                <w:rFonts w:hint="eastAsia" w:ascii="宋体" w:hAnsi="宋体" w:eastAsia="宋体" w:cs="宋体"/>
                <w:sz w:val="24"/>
              </w:rPr>
            </w:pPr>
            <w:r>
              <w:rPr>
                <w:rFonts w:hint="eastAsia" w:ascii="宋体" w:hAnsi="宋体" w:eastAsia="宋体" w:cs="宋体"/>
                <w:sz w:val="24"/>
              </w:rPr>
            </w:r>
            <w:r/>
          </w:p>
        </w:tc>
        <w:tc>
          <w:tcPr>
            <w:tcW w:w="2566" w:type="dxa"/>
            <w:vAlign w:val="center"/>
            <w:textDirection w:val="lrTb"/>
            <w:noWrap w:val="false"/>
          </w:tcPr>
          <w:p>
            <w:pPr>
              <w:jc w:val="center"/>
              <w:spacing w:line="0" w:lineRule="atLeast"/>
              <w:rPr>
                <w:rFonts w:hint="eastAsia" w:ascii="宋体" w:hAnsi="宋体" w:eastAsia="宋体" w:cs="宋体"/>
                <w:sz w:val="24"/>
              </w:rPr>
            </w:pPr>
            <w:r>
              <w:rPr>
                <w:rFonts w:hint="eastAsia" w:ascii="宋体" w:hAnsi="宋体" w:eastAsia="宋体" w:cs="宋体"/>
                <w:sz w:val="24"/>
              </w:rPr>
            </w:r>
            <w:r/>
          </w:p>
        </w:tc>
      </w:tr>
      <w:tr>
        <w:trPr>
          <w:cantSplit/>
          <w:jc w:val="center"/>
          <w:trHeight w:val="454"/>
        </w:trPr>
        <w:tc>
          <w:tcPr>
            <w:gridSpan w:val="4"/>
            <w:tcW w:w="6828" w:type="dxa"/>
            <w:vAlign w:val="center"/>
            <w:textDirection w:val="lrTb"/>
            <w:noWrap w:val="false"/>
          </w:tcPr>
          <w:p>
            <w:pPr>
              <w:jc w:val="center"/>
              <w:spacing w:line="0" w:lineRule="atLeast"/>
              <w:rPr>
                <w:rFonts w:hint="eastAsia" w:ascii="宋体" w:hAnsi="宋体" w:eastAsia="宋体" w:cs="宋体"/>
                <w:sz w:val="24"/>
              </w:rPr>
            </w:pPr>
            <w:r>
              <w:rPr>
                <w:rFonts w:hint="eastAsia" w:ascii="宋体" w:hAnsi="宋体" w:eastAsia="宋体" w:cs="宋体"/>
                <w:sz w:val="24"/>
              </w:rPr>
              <w:t xml:space="preserve">投标报价总计</w:t>
            </w:r>
            <w:r/>
          </w:p>
        </w:tc>
        <w:tc>
          <w:tcPr>
            <w:tcW w:w="2566" w:type="dxa"/>
            <w:vAlign w:val="center"/>
            <w:textDirection w:val="lrTb"/>
            <w:noWrap w:val="false"/>
          </w:tcPr>
          <w:p>
            <w:pPr>
              <w:jc w:val="center"/>
              <w:spacing w:line="0" w:lineRule="atLeast"/>
              <w:rPr>
                <w:rFonts w:hint="eastAsia" w:ascii="宋体" w:hAnsi="宋体" w:eastAsia="宋体" w:cs="宋体"/>
                <w:sz w:val="24"/>
              </w:rPr>
            </w:pPr>
            <w:r>
              <w:rPr>
                <w:rFonts w:hint="eastAsia" w:ascii="宋体" w:hAnsi="宋体" w:eastAsia="宋体" w:cs="宋体"/>
                <w:sz w:val="24"/>
              </w:rPr>
            </w:r>
            <w:r/>
          </w:p>
        </w:tc>
      </w:tr>
    </w:tbl>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811"/>
        <w:spacing w:before="0" w:beforeAutospacing="0" w:after="0" w:afterAutospacing="0" w:line="360" w:lineRule="auto"/>
        <w:rPr>
          <w:rFonts w:hint="eastAsia"/>
          <w:color w:val="auto"/>
          <w:highlight w:val="none"/>
        </w:rPr>
      </w:pPr>
      <w:r/>
      <w:bookmarkStart w:id="189" w:name="_Toc29471"/>
      <w:r/>
      <w:bookmarkStart w:id="190" w:name="_Toc16586"/>
      <w:r/>
      <w:bookmarkStart w:id="191" w:name="_Toc18950"/>
      <w:r/>
      <w:bookmarkStart w:id="192" w:name="_Toc27547"/>
      <w:r/>
      <w:bookmarkStart w:id="193" w:name="_Toc20573"/>
      <w:r/>
      <w:bookmarkStart w:id="194" w:name="_Toc20877"/>
      <w:r/>
      <w:bookmarkStart w:id="195" w:name="_Toc29693"/>
      <w:r/>
      <w:bookmarkStart w:id="196" w:name="_Toc11182"/>
      <w:r/>
      <w:bookmarkStart w:id="197" w:name="_Toc9729"/>
      <w:r/>
      <w:bookmarkStart w:id="198" w:name="_Toc4822"/>
      <w:r/>
      <w:bookmarkStart w:id="199" w:name="_Toc18134"/>
      <w:r/>
      <w:bookmarkStart w:id="200" w:name="_Toc21929"/>
      <w:r/>
      <w:bookmarkStart w:id="201" w:name="_Toc25489"/>
      <w:r/>
      <w:bookmarkStart w:id="202" w:name="_Toc22913"/>
      <w:r/>
      <w:bookmarkStart w:id="203" w:name="_Toc31192"/>
      <w:r/>
      <w:bookmarkStart w:id="204" w:name="_Toc3110"/>
      <w:r/>
      <w:bookmarkStart w:id="205" w:name="_Toc29497"/>
      <w:r/>
      <w:bookmarkStart w:id="206" w:name="_Toc24612"/>
      <w:r/>
      <w:bookmarkStart w:id="207" w:name="_Toc14062"/>
      <w:r/>
      <w:bookmarkStart w:id="208" w:name="_Toc27979"/>
      <w:r/>
      <w:bookmarkStart w:id="209" w:name="_Toc7667"/>
      <w:r/>
      <w:bookmarkStart w:id="210" w:name="_Toc31952"/>
      <w:r/>
      <w:bookmarkStart w:id="211" w:name="_Toc15513"/>
      <w:r/>
      <w:bookmarkStart w:id="212" w:name="_Toc1963"/>
      <w:r/>
      <w:bookmarkStart w:id="213" w:name="_Toc1201"/>
      <w:r/>
      <w:bookmarkStart w:id="214" w:name="_Toc28895"/>
      <w:r/>
      <w:bookmarkStart w:id="215" w:name="_Toc27988"/>
      <w:r/>
      <w:bookmarkStart w:id="216" w:name="_Toc29673"/>
      <w:r>
        <w:rPr>
          <w:rFonts w:hint="eastAsia"/>
          <w:color w:val="auto"/>
          <w:highlight w:val="none"/>
        </w:rPr>
        <w:t xml:space="preserve">投标人全称（盖章）：                         </w:t>
      </w:r>
      <w:r/>
    </w:p>
    <w:p>
      <w:pPr>
        <w:pStyle w:val="811"/>
        <w:spacing w:before="0" w:beforeAutospacing="0" w:after="0" w:afterAutospacing="0" w:line="360" w:lineRule="auto"/>
        <w:rPr>
          <w:rFonts w:hint="eastAsia"/>
          <w:color w:val="auto"/>
          <w:highlight w:val="none"/>
        </w:rPr>
      </w:pPr>
      <w:r>
        <w:rPr>
          <w:rFonts w:hint="eastAsia"/>
          <w:color w:val="auto"/>
          <w:highlight w:val="none"/>
        </w:rPr>
        <w:t xml:space="preserve">法定代表人或者授权代表（签字或盖章）：        </w:t>
      </w:r>
      <w:r/>
    </w:p>
    <w:p>
      <w:pPr>
        <w:pStyle w:val="811"/>
        <w:jc w:val="right"/>
        <w:spacing w:before="0" w:beforeAutospacing="0" w:after="0" w:afterAutospacing="0" w:line="360" w:lineRule="auto"/>
        <w:rPr>
          <w:rFonts w:hint="eastAsia"/>
          <w:color w:val="auto"/>
          <w:highlight w:val="none"/>
        </w:rPr>
      </w:pPr>
      <w:r>
        <w:rPr>
          <w:rFonts w:hint="eastAsia"/>
          <w:color w:val="auto"/>
          <w:highlight w:val="none"/>
        </w:rPr>
        <w:t xml:space="preserve">日期：    年   月    日</w:t>
      </w:r>
      <w:r/>
    </w:p>
    <w:p>
      <w:pPr>
        <w:pStyle w:val="833"/>
        <w:ind w:firstLine="0"/>
        <w:rPr>
          <w:rFonts w:hint="eastAsia" w:ascii="宋体" w:hAnsi="宋体" w:cs="宋体"/>
          <w:b/>
          <w:bCs/>
          <w:color w:val="auto"/>
          <w:highlight w:val="none"/>
        </w:rPr>
      </w:pPr>
      <w:r>
        <w:rPr>
          <w:rFonts w:hint="eastAsia" w:ascii="宋体" w:hAnsi="宋体" w:cs="宋体"/>
          <w:b/>
          <w:bCs/>
          <w:color w:val="auto"/>
          <w:highlight w:val="none"/>
        </w:rPr>
        <w:t xml:space="preserve">填写说明：</w:t>
      </w:r>
      <w:r/>
    </w:p>
    <w:p>
      <w:pPr>
        <w:pStyle w:val="833"/>
        <w:rPr>
          <w:rFonts w:hint="eastAsia" w:ascii="宋体" w:hAnsi="宋体" w:cs="宋体"/>
          <w:color w:val="auto"/>
          <w:sz w:val="24"/>
          <w:highlight w:val="none"/>
        </w:rPr>
      </w:pPr>
      <w:r>
        <w:rPr>
          <w:rFonts w:hint="eastAsia" w:ascii="宋体" w:hAnsi="宋体" w:cs="宋体"/>
          <w:color w:val="auto"/>
          <w:sz w:val="24"/>
          <w:highlight w:val="none"/>
        </w:rPr>
        <w:t xml:space="preserve">1、此表为表样，行数可自行添加，但表式不变；</w:t>
      </w:r>
      <w:r/>
    </w:p>
    <w:p>
      <w:pPr>
        <w:pStyle w:val="833"/>
        <w:rPr>
          <w:rFonts w:hint="eastAsia" w:ascii="宋体" w:hAnsi="宋体" w:cs="宋体"/>
          <w:color w:val="auto"/>
          <w:sz w:val="24"/>
          <w:highlight w:val="none"/>
        </w:rPr>
      </w:pPr>
      <w:r>
        <w:rPr>
          <w:rFonts w:hint="eastAsia" w:ascii="宋体" w:hAnsi="宋体" w:cs="宋体"/>
          <w:color w:val="auto"/>
          <w:sz w:val="24"/>
          <w:highlight w:val="none"/>
        </w:rPr>
        <w:t xml:space="preserve">2、投标人应将完成本项目所投入的有关费用分类别依次填报在上述表格中，相关食宿、差旅及其他所有费用由投标人自行计算填列；</w:t>
      </w:r>
      <w:r/>
    </w:p>
    <w:p>
      <w:pPr>
        <w:pStyle w:val="833"/>
        <w:rPr>
          <w:rFonts w:hint="eastAsia" w:ascii="宋体" w:hAnsi="宋体" w:cs="宋体"/>
          <w:color w:val="auto"/>
          <w:sz w:val="24"/>
          <w:highlight w:val="none"/>
        </w:rPr>
      </w:pPr>
      <w:r>
        <w:rPr>
          <w:rFonts w:hint="eastAsia" w:ascii="宋体" w:hAnsi="宋体" w:cs="宋体"/>
          <w:color w:val="auto"/>
          <w:sz w:val="24"/>
          <w:highlight w:val="none"/>
        </w:rPr>
        <w:t xml:space="preserve">3、上表中的“投标报价总计”应当等于“开标一览表”中“项目总报价”。</w:t>
      </w:r>
      <w:r/>
    </w:p>
    <w:p>
      <w:pPr>
        <w:pStyle w:val="833"/>
        <w:rPr>
          <w:rFonts w:hint="eastAsia" w:ascii="宋体" w:hAnsi="宋体" w:cs="宋体"/>
          <w:color w:val="auto"/>
          <w:sz w:val="24"/>
          <w:highlight w:val="none"/>
        </w:rPr>
      </w:pPr>
      <w:r>
        <w:rPr>
          <w:rFonts w:hint="eastAsia" w:ascii="宋体" w:hAnsi="宋体" w:cs="宋体"/>
          <w:color w:val="auto"/>
          <w:sz w:val="24"/>
          <w:highlight w:val="none"/>
        </w:rPr>
        <w:t xml:space="preserve">4、如有需要说明的事项，请在备注中列明。</w:t>
      </w:r>
      <w:r/>
    </w:p>
    <w:p>
      <w:pPr>
        <w:pStyle w:val="833"/>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5、投标人须将所投标段填列完整，如未填列完整，由此造成无效投标的风险由投标人承担。</w:t>
      </w:r>
      <w:r/>
    </w:p>
    <w:p>
      <w:pPr>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br w:type="page" w:clear="all"/>
      </w:r>
      <w:r/>
    </w:p>
    <w:p>
      <w:pPr>
        <w:jc w:val="center"/>
        <w:rPr>
          <w:rFonts w:ascii="宋体" w:hAnsi="宋体" w:cs="宋体"/>
          <w:color w:val="auto"/>
          <w:highlight w:val="none"/>
        </w:rPr>
        <w:outlineLvl w:val="0"/>
      </w:pPr>
      <w:r>
        <w:rPr>
          <w:rFonts w:hint="eastAsia" w:ascii="宋体" w:hAnsi="宋体" w:cs="宋体"/>
          <w:b/>
          <w:bCs/>
          <w:color w:val="auto"/>
          <w:sz w:val="36"/>
          <w:szCs w:val="36"/>
          <w:highlight w:val="none"/>
        </w:rPr>
        <w:t xml:space="preserve">四、</w:t>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rPr>
          <w:rFonts w:hint="eastAsia" w:ascii="宋体" w:hAnsi="宋体" w:cs="宋体"/>
          <w:b/>
          <w:bCs/>
          <w:color w:val="auto"/>
          <w:sz w:val="36"/>
          <w:szCs w:val="36"/>
          <w:highlight w:val="none"/>
        </w:rPr>
        <w:t xml:space="preserve">服务</w:t>
      </w:r>
      <w:r>
        <w:rPr>
          <w:rFonts w:hint="eastAsia" w:ascii="宋体" w:hAnsi="宋体" w:cs="宋体"/>
          <w:b/>
          <w:bCs/>
          <w:color w:val="auto"/>
          <w:sz w:val="36"/>
          <w:szCs w:val="36"/>
          <w:highlight w:val="none"/>
          <w:lang w:val="en-US" w:eastAsia="zh-CN"/>
        </w:rPr>
        <w:t xml:space="preserve">要求</w:t>
      </w:r>
      <w:r>
        <w:rPr>
          <w:rFonts w:hint="eastAsia" w:ascii="宋体" w:hAnsi="宋体" w:cs="宋体"/>
          <w:b/>
          <w:bCs/>
          <w:color w:val="auto"/>
          <w:sz w:val="36"/>
          <w:szCs w:val="36"/>
          <w:highlight w:val="none"/>
        </w:rPr>
        <w:t xml:space="preserve">响应表</w:t>
      </w:r>
      <w:bookmarkEnd w:id="206"/>
      <w:r/>
      <w:bookmarkEnd w:id="207"/>
      <w:r/>
      <w:bookmarkEnd w:id="208"/>
      <w:r/>
      <w:bookmarkEnd w:id="209"/>
      <w:r/>
      <w:bookmarkEnd w:id="210"/>
      <w:r/>
      <w:bookmarkEnd w:id="211"/>
      <w:r/>
      <w:bookmarkEnd w:id="212"/>
      <w:r/>
      <w:bookmarkEnd w:id="213"/>
      <w:r/>
      <w:bookmarkEnd w:id="214"/>
      <w:r/>
      <w:bookmarkEnd w:id="215"/>
      <w:r/>
      <w:bookmarkEnd w:id="216"/>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填写说明：本表应包含“第四章　项目需求”中的各项技术/服务要求。</w:t>
      </w:r>
      <w:r/>
    </w:p>
    <w:tbl>
      <w:tblPr>
        <w:tblStyle w:val="794"/>
        <w:tblW w:w="0" w:type="auto"/>
        <w:jc w:val="center"/>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2"/>
        <w:gridCol w:w="1726"/>
        <w:gridCol w:w="1778"/>
        <w:gridCol w:w="2163"/>
        <w:gridCol w:w="1666"/>
        <w:gridCol w:w="1218"/>
      </w:tblGrid>
      <w:tr>
        <w:trPr>
          <w:jc w:val="center"/>
          <w:trHeight w:val="643"/>
        </w:trPr>
        <w:tc>
          <w:tcPr>
            <w:tcBorders>
              <w:top w:val="single" w:color="auto" w:sz="4" w:space="0"/>
              <w:left w:val="single" w:color="auto" w:sz="4" w:space="0"/>
              <w:bottom w:val="single" w:color="auto" w:sz="4" w:space="0"/>
              <w:right w:val="single" w:color="auto" w:sz="4" w:space="0"/>
            </w:tcBorders>
            <w:tcW w:w="822"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726"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服务</w:t>
            </w:r>
            <w:r>
              <w:rPr>
                <w:rFonts w:hint="eastAsia" w:ascii="宋体" w:hAnsi="宋体" w:cs="宋体"/>
                <w:color w:val="auto"/>
                <w:sz w:val="24"/>
                <w:szCs w:val="24"/>
                <w:highlight w:val="none"/>
              </w:rPr>
              <w:t xml:space="preserve">要求条目</w:t>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招标文件中的</w:t>
            </w:r>
            <w:r/>
          </w:p>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技术/服务要求</w:t>
            </w:r>
            <w:r/>
          </w:p>
        </w:tc>
        <w:tc>
          <w:tcPr>
            <w:tcBorders>
              <w:top w:val="single" w:color="auto" w:sz="4" w:space="0"/>
              <w:left w:val="single" w:color="auto" w:sz="4" w:space="0"/>
              <w:bottom w:val="single" w:color="auto" w:sz="4" w:space="0"/>
              <w:right w:val="single" w:color="auto" w:sz="4" w:space="0"/>
            </w:tcBorders>
            <w:tcW w:w="2163"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投标人</w:t>
            </w:r>
            <w:r/>
          </w:p>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的承诺或说明</w:t>
            </w:r>
            <w:r/>
          </w:p>
        </w:tc>
        <w:tc>
          <w:tcPr>
            <w:tcBorders>
              <w:top w:val="single" w:color="auto" w:sz="4" w:space="0"/>
              <w:left w:val="single" w:color="auto" w:sz="4" w:space="0"/>
              <w:bottom w:val="single" w:color="auto" w:sz="4" w:space="0"/>
              <w:right w:val="single" w:color="auto" w:sz="4" w:space="0"/>
            </w:tcBorders>
            <w:tcW w:w="1666"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偏离情况</w:t>
            </w:r>
            <w:r/>
          </w:p>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1218"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页码</w:t>
            </w:r>
            <w:r/>
          </w:p>
        </w:tc>
      </w:tr>
      <w:tr>
        <w:trPr>
          <w:jc w:val="center"/>
          <w:trHeight w:val="537"/>
        </w:trPr>
        <w:tc>
          <w:tcPr>
            <w:tcBorders>
              <w:top w:val="single" w:color="auto" w:sz="4" w:space="0"/>
              <w:left w:val="single" w:color="auto" w:sz="4" w:space="0"/>
              <w:bottom w:val="single" w:color="auto" w:sz="4" w:space="0"/>
              <w:right w:val="single" w:color="auto" w:sz="4" w:space="0"/>
            </w:tcBorders>
            <w:tcW w:w="822"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1</w:t>
            </w:r>
            <w:r/>
          </w:p>
        </w:tc>
        <w:tc>
          <w:tcPr>
            <w:tcBorders>
              <w:top w:val="single" w:color="auto" w:sz="4" w:space="0"/>
              <w:left w:val="single" w:color="auto" w:sz="4" w:space="0"/>
              <w:bottom w:val="single" w:color="auto" w:sz="4" w:space="0"/>
              <w:right w:val="single" w:color="auto" w:sz="4" w:space="0"/>
            </w:tcBorders>
            <w:tcW w:w="1726"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2163"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1666"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1218"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r>
      <w:tr>
        <w:trPr>
          <w:jc w:val="center"/>
          <w:trHeight w:val="512"/>
        </w:trPr>
        <w:tc>
          <w:tcPr>
            <w:tcBorders>
              <w:top w:val="single" w:color="auto" w:sz="4" w:space="0"/>
              <w:left w:val="single" w:color="auto" w:sz="4" w:space="0"/>
              <w:bottom w:val="single" w:color="auto" w:sz="4" w:space="0"/>
              <w:right w:val="single" w:color="auto" w:sz="4" w:space="0"/>
            </w:tcBorders>
            <w:tcW w:w="822"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2</w:t>
            </w:r>
            <w:r/>
          </w:p>
        </w:tc>
        <w:tc>
          <w:tcPr>
            <w:tcBorders>
              <w:top w:val="single" w:color="auto" w:sz="4" w:space="0"/>
              <w:left w:val="single" w:color="auto" w:sz="4" w:space="0"/>
              <w:bottom w:val="single" w:color="auto" w:sz="4" w:space="0"/>
              <w:right w:val="single" w:color="auto" w:sz="4" w:space="0"/>
            </w:tcBorders>
            <w:tcW w:w="1726"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2163"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1666"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1218"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r>
      <w:tr>
        <w:trPr>
          <w:jc w:val="center"/>
          <w:trHeight w:val="541"/>
        </w:trPr>
        <w:tc>
          <w:tcPr>
            <w:tcBorders>
              <w:top w:val="single" w:color="auto" w:sz="4" w:space="0"/>
              <w:left w:val="single" w:color="auto" w:sz="4" w:space="0"/>
              <w:bottom w:val="single" w:color="auto" w:sz="4" w:space="0"/>
              <w:right w:val="single" w:color="auto" w:sz="4" w:space="0"/>
            </w:tcBorders>
            <w:tcW w:w="822"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3</w:t>
            </w:r>
            <w:r/>
          </w:p>
        </w:tc>
        <w:tc>
          <w:tcPr>
            <w:tcBorders>
              <w:top w:val="single" w:color="auto" w:sz="4" w:space="0"/>
              <w:left w:val="single" w:color="auto" w:sz="4" w:space="0"/>
              <w:bottom w:val="single" w:color="auto" w:sz="4" w:space="0"/>
              <w:right w:val="single" w:color="auto" w:sz="4" w:space="0"/>
            </w:tcBorders>
            <w:tcW w:w="1726"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2163"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1666"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1218"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r>
      <w:tr>
        <w:trPr>
          <w:jc w:val="center"/>
          <w:trHeight w:val="441"/>
        </w:trPr>
        <w:tc>
          <w:tcPr>
            <w:tcBorders>
              <w:top w:val="single" w:color="auto" w:sz="4" w:space="0"/>
              <w:left w:val="single" w:color="auto" w:sz="4" w:space="0"/>
              <w:bottom w:val="single" w:color="auto" w:sz="4" w:space="0"/>
              <w:right w:val="single" w:color="auto" w:sz="4" w:space="0"/>
            </w:tcBorders>
            <w:tcW w:w="822"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4</w:t>
            </w:r>
            <w:r/>
          </w:p>
        </w:tc>
        <w:tc>
          <w:tcPr>
            <w:tcBorders>
              <w:top w:val="single" w:color="auto" w:sz="4" w:space="0"/>
              <w:left w:val="single" w:color="auto" w:sz="4" w:space="0"/>
              <w:bottom w:val="single" w:color="auto" w:sz="4" w:space="0"/>
              <w:right w:val="single" w:color="auto" w:sz="4" w:space="0"/>
            </w:tcBorders>
            <w:tcW w:w="1726"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2163"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1666"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1218"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r>
      <w:tr>
        <w:trPr>
          <w:jc w:val="center"/>
          <w:trHeight w:val="576"/>
        </w:trPr>
        <w:tc>
          <w:tcPr>
            <w:tcBorders>
              <w:top w:val="single" w:color="auto" w:sz="4" w:space="0"/>
              <w:left w:val="single" w:color="auto" w:sz="4" w:space="0"/>
              <w:bottom w:val="single" w:color="auto" w:sz="4" w:space="0"/>
              <w:right w:val="single" w:color="auto" w:sz="4" w:space="0"/>
            </w:tcBorders>
            <w:tcW w:w="822"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5</w:t>
            </w:r>
            <w:r/>
          </w:p>
        </w:tc>
        <w:tc>
          <w:tcPr>
            <w:tcBorders>
              <w:top w:val="single" w:color="auto" w:sz="4" w:space="0"/>
              <w:left w:val="single" w:color="auto" w:sz="4" w:space="0"/>
              <w:bottom w:val="single" w:color="auto" w:sz="4" w:space="0"/>
              <w:right w:val="single" w:color="auto" w:sz="4" w:space="0"/>
            </w:tcBorders>
            <w:tcW w:w="1726"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2163"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1666"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1218"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r>
      <w:tr>
        <w:trPr>
          <w:jc w:val="center"/>
          <w:trHeight w:val="401"/>
        </w:trPr>
        <w:tc>
          <w:tcPr>
            <w:tcBorders>
              <w:top w:val="single" w:color="auto" w:sz="4" w:space="0"/>
              <w:left w:val="single" w:color="auto" w:sz="4" w:space="0"/>
              <w:bottom w:val="single" w:color="auto" w:sz="4" w:space="0"/>
              <w:right w:val="single" w:color="auto" w:sz="4" w:space="0"/>
            </w:tcBorders>
            <w:tcW w:w="822"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6</w:t>
            </w:r>
            <w:r/>
          </w:p>
        </w:tc>
        <w:tc>
          <w:tcPr>
            <w:tcBorders>
              <w:top w:val="single" w:color="auto" w:sz="4" w:space="0"/>
              <w:left w:val="single" w:color="auto" w:sz="4" w:space="0"/>
              <w:bottom w:val="single" w:color="auto" w:sz="4" w:space="0"/>
              <w:right w:val="single" w:color="auto" w:sz="4" w:space="0"/>
            </w:tcBorders>
            <w:tcW w:w="1726"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2163"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1666"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1218"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r>
      <w:tr>
        <w:trPr>
          <w:jc w:val="center"/>
          <w:trHeight w:val="461"/>
        </w:trPr>
        <w:tc>
          <w:tcPr>
            <w:tcBorders>
              <w:top w:val="single" w:color="auto" w:sz="4" w:space="0"/>
              <w:left w:val="single" w:color="auto" w:sz="4" w:space="0"/>
              <w:bottom w:val="single" w:color="auto" w:sz="4" w:space="0"/>
              <w:right w:val="single" w:color="auto" w:sz="4" w:space="0"/>
            </w:tcBorders>
            <w:tcW w:w="822"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7</w:t>
            </w:r>
            <w:r/>
          </w:p>
        </w:tc>
        <w:tc>
          <w:tcPr>
            <w:tcBorders>
              <w:top w:val="single" w:color="auto" w:sz="4" w:space="0"/>
              <w:left w:val="single" w:color="auto" w:sz="4" w:space="0"/>
              <w:bottom w:val="single" w:color="auto" w:sz="4" w:space="0"/>
              <w:right w:val="single" w:color="auto" w:sz="4" w:space="0"/>
            </w:tcBorders>
            <w:tcW w:w="1726"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2163"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1666"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1218"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r>
      <w:tr>
        <w:trPr>
          <w:jc w:val="center"/>
          <w:trHeight w:val="461"/>
        </w:trPr>
        <w:tc>
          <w:tcPr>
            <w:tcBorders>
              <w:top w:val="single" w:color="auto" w:sz="4" w:space="0"/>
              <w:left w:val="single" w:color="auto" w:sz="4" w:space="0"/>
              <w:bottom w:val="single" w:color="auto" w:sz="4" w:space="0"/>
              <w:right w:val="single" w:color="auto" w:sz="4" w:space="0"/>
            </w:tcBorders>
            <w:tcW w:w="822"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8</w:t>
            </w:r>
            <w:r/>
          </w:p>
        </w:tc>
        <w:tc>
          <w:tcPr>
            <w:tcBorders>
              <w:top w:val="single" w:color="auto" w:sz="4" w:space="0"/>
              <w:left w:val="single" w:color="auto" w:sz="4" w:space="0"/>
              <w:bottom w:val="single" w:color="auto" w:sz="4" w:space="0"/>
              <w:right w:val="single" w:color="auto" w:sz="4" w:space="0"/>
            </w:tcBorders>
            <w:tcW w:w="1726"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2163"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1666"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1218"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r>
      <w:tr>
        <w:trPr>
          <w:jc w:val="center"/>
          <w:trHeight w:val="461"/>
        </w:trPr>
        <w:tc>
          <w:tcPr>
            <w:tcBorders>
              <w:top w:val="single" w:color="auto" w:sz="4" w:space="0"/>
              <w:left w:val="single" w:color="auto" w:sz="4" w:space="0"/>
              <w:bottom w:val="single" w:color="auto" w:sz="4" w:space="0"/>
              <w:right w:val="single" w:color="auto" w:sz="4" w:space="0"/>
            </w:tcBorders>
            <w:tcW w:w="822"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1726"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（本表可根据需要自行添加行）</w:t>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2163"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1666"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1218"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r>
    </w:tbl>
    <w:p>
      <w:pPr>
        <w:ind w:firstLine="480"/>
        <w:jc w:val="left"/>
        <w:spacing w:line="500" w:lineRule="exact"/>
        <w:tabs>
          <w:tab w:val="left" w:pos="142" w:leader="none"/>
        </w:tabs>
        <w:rPr>
          <w:rFonts w:ascii="宋体" w:hAnsi="宋体" w:cs="宋体"/>
          <w:color w:val="auto"/>
          <w:sz w:val="24"/>
          <w:szCs w:val="24"/>
          <w:highlight w:val="none"/>
        </w:rPr>
      </w:pPr>
      <w:r>
        <w:rPr>
          <w:rFonts w:ascii="宋体" w:hAnsi="宋体" w:cs="宋体"/>
          <w:color w:val="auto"/>
          <w:sz w:val="24"/>
          <w:szCs w:val="24"/>
          <w:highlight w:val="none"/>
        </w:rPr>
      </w:r>
      <w:r/>
    </w:p>
    <w:p>
      <w:pPr>
        <w:ind w:firstLine="480"/>
        <w:jc w:val="left"/>
        <w:spacing w:line="500" w:lineRule="exact"/>
        <w:tabs>
          <w:tab w:val="left" w:pos="142"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投标人名称（加盖公章）：</w:t>
      </w:r>
      <w:r/>
    </w:p>
    <w:p>
      <w:pPr>
        <w:ind w:firstLine="480"/>
        <w:jc w:val="left"/>
        <w:spacing w:line="500" w:lineRule="exact"/>
        <w:tabs>
          <w:tab w:val="left" w:pos="142"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法定代表人（授权代表）签字或盖章：</w:t>
      </w:r>
      <w:r/>
    </w:p>
    <w:p>
      <w:pPr>
        <w:ind w:firstLine="480"/>
        <w:jc w:val="left"/>
        <w:spacing w:line="500" w:lineRule="exact"/>
        <w:tabs>
          <w:tab w:val="left" w:pos="142"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日期：</w:t>
      </w:r>
      <w:r/>
    </w:p>
    <w:p>
      <w:pPr>
        <w:ind w:firstLine="480"/>
        <w:jc w:val="left"/>
        <w:spacing w:line="500" w:lineRule="exact"/>
        <w:tabs>
          <w:tab w:val="left" w:pos="142" w:leader="none"/>
        </w:tabs>
        <w:rPr>
          <w:rFonts w:ascii="宋体" w:hAnsi="宋体" w:cs="宋体"/>
          <w:color w:val="auto"/>
          <w:sz w:val="24"/>
          <w:szCs w:val="24"/>
          <w:highlight w:val="none"/>
        </w:rPr>
      </w:pPr>
      <w:r>
        <w:rPr>
          <w:rFonts w:ascii="宋体" w:hAnsi="宋体" w:cs="宋体"/>
          <w:color w:val="auto"/>
          <w:sz w:val="24"/>
          <w:szCs w:val="24"/>
          <w:highlight w:val="none"/>
        </w:rPr>
      </w:r>
      <w:r/>
    </w:p>
    <w:p>
      <w:pPr>
        <w:ind w:firstLine="480"/>
        <w:jc w:val="left"/>
        <w:spacing w:line="500" w:lineRule="exact"/>
        <w:tabs>
          <w:tab w:val="left" w:pos="142" w:leader="none"/>
        </w:tabs>
        <w:rPr>
          <w:rFonts w:ascii="宋体" w:hAnsi="宋体" w:cs="宋体"/>
          <w:color w:val="auto"/>
          <w:sz w:val="24"/>
          <w:szCs w:val="24"/>
          <w:highlight w:val="none"/>
        </w:rPr>
      </w:pPr>
      <w:r>
        <w:rPr>
          <w:rFonts w:ascii="宋体" w:hAnsi="宋体" w:cs="宋体"/>
          <w:color w:val="auto"/>
          <w:sz w:val="24"/>
          <w:szCs w:val="24"/>
          <w:highlight w:val="none"/>
        </w:rPr>
      </w:r>
      <w:r/>
    </w:p>
    <w:p>
      <w:pPr>
        <w:ind w:firstLine="480"/>
        <w:jc w:val="left"/>
        <w:spacing w:line="500" w:lineRule="exact"/>
        <w:tabs>
          <w:tab w:val="left" w:pos="142" w:leader="none"/>
        </w:tabs>
        <w:rPr>
          <w:rFonts w:ascii="宋体" w:hAnsi="宋体" w:cs="宋体"/>
          <w:color w:val="auto"/>
          <w:sz w:val="24"/>
          <w:szCs w:val="24"/>
          <w:highlight w:val="none"/>
        </w:rPr>
      </w:pPr>
      <w:r>
        <w:rPr>
          <w:rFonts w:ascii="宋体" w:hAnsi="宋体" w:cs="宋体"/>
          <w:color w:val="auto"/>
          <w:sz w:val="24"/>
          <w:szCs w:val="24"/>
          <w:highlight w:val="none"/>
        </w:rPr>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填写说明：</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①此表为表样，行数可自行添加，但表式不变。</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②是否偏离用符号“+、-”分别表示正偏离、负偏离。</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③供应商必须仔细阅读本采购文件中所有技术或服务要求，并列入上表。</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④若响应文件中出现与此表表述不一致的，以此表为准。</w:t>
      </w:r>
      <w:r/>
    </w:p>
    <w:p>
      <w:pPr>
        <w:pStyle w:val="856"/>
        <w:numPr>
          <w:ilvl w:val="0"/>
          <w:numId w:val="0"/>
        </w:numPr>
        <w:jc w:val="center"/>
        <w:rPr>
          <w:rFonts w:ascii="宋体" w:hAnsi="宋体" w:cs="宋体"/>
          <w:color w:val="auto"/>
          <w:sz w:val="24"/>
          <w:highlight w:val="none"/>
        </w:rPr>
        <w:outlineLvl w:val="9"/>
      </w:pPr>
      <w:r>
        <w:rPr>
          <w:rFonts w:ascii="宋体" w:hAnsi="宋体" w:cs="宋体"/>
          <w:color w:val="auto"/>
          <w:sz w:val="24"/>
          <w:highlight w:val="none"/>
        </w:rPr>
      </w:r>
      <w:r/>
    </w:p>
    <w:p>
      <w:pPr>
        <w:pStyle w:val="856"/>
        <w:numPr>
          <w:ilvl w:val="0"/>
          <w:numId w:val="0"/>
        </w:numPr>
        <w:jc w:val="center"/>
        <w:rPr>
          <w:rFonts w:ascii="宋体" w:hAnsi="宋体" w:cs="宋体"/>
          <w:color w:val="auto"/>
          <w:sz w:val="24"/>
          <w:highlight w:val="none"/>
        </w:rPr>
        <w:outlineLvl w:val="9"/>
      </w:pPr>
      <w:r>
        <w:rPr>
          <w:rFonts w:ascii="宋体" w:hAnsi="宋体" w:cs="宋体"/>
          <w:color w:val="auto"/>
          <w:sz w:val="24"/>
          <w:highlight w:val="none"/>
        </w:rPr>
      </w:r>
      <w:r/>
    </w:p>
    <w:p>
      <w:pPr>
        <w:jc w:val="center"/>
        <w:rPr>
          <w:rFonts w:ascii="宋体" w:hAnsi="宋体" w:cs="宋体"/>
          <w:b/>
          <w:bCs/>
          <w:color w:val="auto"/>
          <w:sz w:val="36"/>
          <w:szCs w:val="36"/>
          <w:highlight w:val="none"/>
        </w:rPr>
        <w:outlineLvl w:val="0"/>
      </w:pPr>
      <w:r/>
      <w:bookmarkStart w:id="217" w:name="_Toc5017"/>
      <w:r/>
      <w:bookmarkStart w:id="218" w:name="_Toc17478"/>
      <w:r/>
      <w:bookmarkStart w:id="219" w:name="_Toc19249"/>
      <w:r/>
      <w:bookmarkStart w:id="220" w:name="_Toc4418"/>
      <w:r/>
      <w:bookmarkStart w:id="221" w:name="_Toc6844"/>
      <w:r/>
      <w:bookmarkStart w:id="222" w:name="_Toc29902"/>
      <w:r/>
      <w:bookmarkStart w:id="223" w:name="_Toc802"/>
      <w:r/>
      <w:bookmarkStart w:id="224" w:name="_Toc1900"/>
      <w:r/>
      <w:bookmarkStart w:id="225" w:name="_Toc27464"/>
      <w:r/>
      <w:bookmarkStart w:id="226" w:name="_Toc16336"/>
      <w:r/>
      <w:bookmarkStart w:id="227" w:name="_Toc29688"/>
      <w:r/>
      <w:bookmarkStart w:id="228" w:name="_Toc1348"/>
      <w:r/>
      <w:bookmarkStart w:id="229" w:name="_Toc22358"/>
      <w:r/>
      <w:bookmarkStart w:id="230" w:name="_Toc10847"/>
      <w:r/>
      <w:bookmarkStart w:id="231" w:name="_Toc26093"/>
      <w:r/>
      <w:bookmarkStart w:id="232" w:name="_Toc24533"/>
      <w:r/>
      <w:bookmarkStart w:id="233" w:name="_Toc12008"/>
      <w:r/>
      <w:bookmarkStart w:id="234" w:name="_Toc12090"/>
      <w:r/>
      <w:bookmarkStart w:id="235" w:name="_Toc20083"/>
      <w:r/>
      <w:bookmarkStart w:id="236" w:name="_Toc12902"/>
      <w:r/>
      <w:bookmarkStart w:id="237" w:name="_Toc26233"/>
      <w:r/>
      <w:bookmarkStart w:id="238" w:name="_Toc18166"/>
      <w:r/>
      <w:bookmarkStart w:id="239" w:name="_Toc3857"/>
      <w:r/>
      <w:bookmarkStart w:id="240" w:name="_Toc25213"/>
      <w:r/>
      <w:bookmarkStart w:id="241" w:name="_Toc10006"/>
      <w:r/>
      <w:bookmarkStart w:id="242" w:name="_Toc26633"/>
      <w:r/>
      <w:bookmarkStart w:id="243" w:name="_Toc9191"/>
      <w:r/>
      <w:bookmarkStart w:id="244" w:name="_Toc8869"/>
      <w:r>
        <w:rPr>
          <w:rFonts w:hint="eastAsia" w:ascii="宋体" w:hAnsi="宋体" w:cs="宋体"/>
          <w:b/>
          <w:bCs/>
          <w:color w:val="auto"/>
          <w:sz w:val="36"/>
          <w:szCs w:val="36"/>
          <w:highlight w:val="none"/>
        </w:rPr>
        <w:br w:type="page" w:clear="all"/>
      </w:r>
      <w:r>
        <w:rPr>
          <w:rFonts w:hint="eastAsia" w:ascii="宋体" w:hAnsi="宋体" w:cs="宋体"/>
          <w:b/>
          <w:bCs/>
          <w:color w:val="auto"/>
          <w:sz w:val="36"/>
          <w:szCs w:val="36"/>
          <w:highlight w:val="none"/>
        </w:rPr>
        <w:t xml:space="preserve">五、商务</w:t>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rPr>
          <w:rFonts w:hint="eastAsia" w:ascii="宋体" w:hAnsi="宋体" w:cs="宋体"/>
          <w:b/>
          <w:bCs/>
          <w:color w:val="auto"/>
          <w:sz w:val="36"/>
          <w:szCs w:val="36"/>
          <w:highlight w:val="none"/>
          <w:lang w:val="en-US" w:eastAsia="zh-CN"/>
        </w:rPr>
        <w:t xml:space="preserve">要求</w:t>
      </w:r>
      <w:r>
        <w:rPr>
          <w:rFonts w:hint="eastAsia" w:ascii="宋体" w:hAnsi="宋体" w:cs="宋体"/>
          <w:b/>
          <w:bCs/>
          <w:color w:val="auto"/>
          <w:sz w:val="36"/>
          <w:szCs w:val="36"/>
          <w:highlight w:val="none"/>
        </w:rPr>
        <w:t xml:space="preserve">响应表</w:t>
      </w:r>
      <w:bookmarkEnd w:id="234"/>
      <w:r/>
      <w:bookmarkEnd w:id="235"/>
      <w:r/>
      <w:bookmarkEnd w:id="236"/>
      <w:r/>
      <w:bookmarkEnd w:id="237"/>
      <w:r/>
      <w:bookmarkEnd w:id="238"/>
      <w:r/>
      <w:bookmarkEnd w:id="239"/>
      <w:r/>
      <w:bookmarkEnd w:id="240"/>
      <w:r/>
      <w:bookmarkEnd w:id="241"/>
      <w:r/>
      <w:bookmarkEnd w:id="242"/>
      <w:r/>
      <w:bookmarkEnd w:id="243"/>
      <w:r/>
      <w:bookmarkEnd w:id="244"/>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填写说明：本表应包含招标文件中的各项商务类要求。</w:t>
      </w:r>
      <w:r/>
    </w:p>
    <w:tbl>
      <w:tblPr>
        <w:tblStyle w:val="794"/>
        <w:tblW w:w="10277" w:type="dxa"/>
        <w:jc w:val="center"/>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66"/>
        <w:gridCol w:w="2136"/>
        <w:gridCol w:w="2551"/>
        <w:gridCol w:w="1985"/>
        <w:gridCol w:w="1680"/>
        <w:gridCol w:w="1259"/>
      </w:tblGrid>
      <w:tr>
        <w:trPr>
          <w:jc w:val="center"/>
          <w:trHeight w:val="6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序号</w:t>
            </w:r>
            <w:r/>
          </w:p>
        </w:tc>
        <w:tc>
          <w:tcPr>
            <w:tcBorders>
              <w:top w:val="single" w:color="auto" w:sz="4" w:space="0"/>
              <w:left w:val="single" w:color="auto" w:sz="4" w:space="0"/>
              <w:bottom w:val="single" w:color="auto" w:sz="4" w:space="0"/>
              <w:right w:val="single" w:color="auto" w:sz="4" w:space="0"/>
            </w:tcBorders>
            <w:tcW w:w="2136"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商务要求条目</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招标文件中的</w:t>
            </w:r>
            <w:r/>
          </w:p>
          <w:p>
            <w:pPr>
              <w:jc w:val="center"/>
              <w:rPr>
                <w:rFonts w:ascii="宋体" w:hAnsi="宋体" w:cs="宋体"/>
                <w:color w:val="auto"/>
                <w:highlight w:val="none"/>
              </w:rPr>
            </w:pPr>
            <w:r>
              <w:rPr>
                <w:rFonts w:hint="eastAsia" w:ascii="宋体" w:hAnsi="宋体" w:cs="宋体"/>
                <w:color w:val="auto"/>
                <w:highlight w:val="none"/>
              </w:rPr>
              <w:t xml:space="preserve">商务要求</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投标人的承诺或说明</w:t>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偏离情况</w:t>
            </w:r>
            <w:r/>
          </w:p>
          <w:p>
            <w:pPr>
              <w:jc w:val="center"/>
              <w:rPr>
                <w:rFonts w:ascii="宋体" w:hAnsi="宋体" w:cs="宋体"/>
                <w:color w:val="auto"/>
                <w:highlight w:val="none"/>
              </w:rPr>
            </w:pPr>
            <w:r>
              <w:rPr>
                <w:rFonts w:hint="eastAsia" w:ascii="宋体" w:hAnsi="宋体" w:cs="宋体"/>
                <w:color w:val="auto"/>
                <w:highlight w:val="none"/>
              </w:rPr>
              <w:t xml:space="preserve">（+/-/=）</w:t>
            </w:r>
            <w:r/>
          </w:p>
        </w:tc>
        <w:tc>
          <w:tcPr>
            <w:tcBorders>
              <w:top w:val="single" w:color="auto" w:sz="4" w:space="0"/>
              <w:left w:val="single" w:color="auto" w:sz="4" w:space="0"/>
              <w:bottom w:val="single" w:color="auto" w:sz="4" w:space="0"/>
              <w:right w:val="single" w:color="auto" w:sz="4" w:space="0"/>
            </w:tcBorders>
            <w:tcW w:w="1259"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页码</w:t>
            </w:r>
            <w:r/>
          </w:p>
        </w:tc>
      </w:tr>
      <w:tr>
        <w:trPr>
          <w:jc w:val="center"/>
          <w:trHeight w:val="44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1</w:t>
            </w:r>
            <w:r/>
          </w:p>
        </w:tc>
        <w:tc>
          <w:tcPr>
            <w:tcBorders>
              <w:top w:val="single" w:color="auto" w:sz="4" w:space="0"/>
              <w:left w:val="single" w:color="auto" w:sz="4" w:space="0"/>
              <w:bottom w:val="single" w:color="auto" w:sz="4" w:space="0"/>
              <w:right w:val="single" w:color="auto" w:sz="4" w:space="0"/>
            </w:tcBorders>
            <w:tcW w:w="2136" w:type="dxa"/>
            <w:vAlign w:val="center"/>
            <w:textDirection w:val="lrTb"/>
            <w:noWrap w:val="false"/>
          </w:tcPr>
          <w:p>
            <w:pPr>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1259" w:type="dxa"/>
            <w:vAlign w:val="center"/>
            <w:textDirection w:val="lrTb"/>
            <w:noWrap w:val="false"/>
          </w:tcPr>
          <w:p>
            <w:pPr>
              <w:rPr>
                <w:rFonts w:ascii="宋体" w:hAnsi="宋体" w:cs="宋体"/>
                <w:color w:val="auto"/>
                <w:highlight w:val="none"/>
              </w:rPr>
            </w:pPr>
            <w:r>
              <w:rPr>
                <w:rFonts w:ascii="宋体" w:hAnsi="宋体" w:cs="宋体"/>
                <w:color w:val="auto"/>
                <w:highlight w:val="none"/>
              </w:rPr>
            </w:r>
            <w:r/>
          </w:p>
        </w:tc>
      </w:tr>
      <w:tr>
        <w:trPr>
          <w:jc w:val="center"/>
          <w:trHeight w:val="512"/>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2</w:t>
            </w:r>
            <w:r/>
          </w:p>
        </w:tc>
        <w:tc>
          <w:tcPr>
            <w:tcBorders>
              <w:top w:val="single" w:color="auto" w:sz="4" w:space="0"/>
              <w:left w:val="single" w:color="auto" w:sz="4" w:space="0"/>
              <w:bottom w:val="single" w:color="auto" w:sz="4" w:space="0"/>
              <w:right w:val="single" w:color="auto" w:sz="4" w:space="0"/>
            </w:tcBorders>
            <w:tcW w:w="2136" w:type="dxa"/>
            <w:vAlign w:val="center"/>
            <w:textDirection w:val="lrTb"/>
            <w:noWrap w:val="false"/>
          </w:tcPr>
          <w:p>
            <w:pPr>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1259" w:type="dxa"/>
            <w:vAlign w:val="center"/>
            <w:textDirection w:val="lrTb"/>
            <w:noWrap w:val="false"/>
          </w:tcPr>
          <w:p>
            <w:pPr>
              <w:rPr>
                <w:rFonts w:ascii="宋体" w:hAnsi="宋体" w:cs="宋体"/>
                <w:color w:val="auto"/>
                <w:highlight w:val="none"/>
              </w:rPr>
            </w:pPr>
            <w:r>
              <w:rPr>
                <w:rFonts w:ascii="宋体" w:hAnsi="宋体" w:cs="宋体"/>
                <w:color w:val="auto"/>
                <w:highlight w:val="none"/>
              </w:rPr>
            </w:r>
            <w:r/>
          </w:p>
        </w:tc>
      </w:tr>
      <w:tr>
        <w:trPr>
          <w:jc w:val="center"/>
          <w:trHeight w:val="541"/>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3</w:t>
            </w:r>
            <w:r/>
          </w:p>
        </w:tc>
        <w:tc>
          <w:tcPr>
            <w:tcBorders>
              <w:top w:val="single" w:color="auto" w:sz="4" w:space="0"/>
              <w:left w:val="single" w:color="auto" w:sz="4" w:space="0"/>
              <w:bottom w:val="single" w:color="auto" w:sz="4" w:space="0"/>
              <w:right w:val="single" w:color="auto" w:sz="4" w:space="0"/>
            </w:tcBorders>
            <w:tcW w:w="2136" w:type="dxa"/>
            <w:vAlign w:val="center"/>
            <w:textDirection w:val="lrTb"/>
            <w:noWrap w:val="false"/>
          </w:tcPr>
          <w:p>
            <w:pPr>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1259" w:type="dxa"/>
            <w:vAlign w:val="center"/>
            <w:textDirection w:val="lrTb"/>
            <w:noWrap w:val="false"/>
          </w:tcPr>
          <w:p>
            <w:pPr>
              <w:rPr>
                <w:rFonts w:ascii="宋体" w:hAnsi="宋体" w:cs="宋体"/>
                <w:color w:val="auto"/>
                <w:highlight w:val="none"/>
              </w:rPr>
            </w:pPr>
            <w:r>
              <w:rPr>
                <w:rFonts w:ascii="宋体" w:hAnsi="宋体" w:cs="宋体"/>
                <w:color w:val="auto"/>
                <w:highlight w:val="none"/>
              </w:rPr>
            </w:r>
            <w:r/>
          </w:p>
        </w:tc>
      </w:tr>
      <w:tr>
        <w:trPr>
          <w:jc w:val="center"/>
          <w:trHeight w:val="441"/>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4</w:t>
            </w:r>
            <w:r/>
          </w:p>
        </w:tc>
        <w:tc>
          <w:tcPr>
            <w:tcBorders>
              <w:top w:val="single" w:color="auto" w:sz="4" w:space="0"/>
              <w:left w:val="single" w:color="auto" w:sz="4" w:space="0"/>
              <w:bottom w:val="single" w:color="auto" w:sz="4" w:space="0"/>
              <w:right w:val="single" w:color="auto" w:sz="4" w:space="0"/>
            </w:tcBorders>
            <w:tcW w:w="2136" w:type="dxa"/>
            <w:vAlign w:val="center"/>
            <w:textDirection w:val="lrTb"/>
            <w:noWrap w:val="false"/>
          </w:tcPr>
          <w:p>
            <w:pPr>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1259" w:type="dxa"/>
            <w:vAlign w:val="center"/>
            <w:textDirection w:val="lrTb"/>
            <w:noWrap w:val="false"/>
          </w:tcPr>
          <w:p>
            <w:pPr>
              <w:rPr>
                <w:rFonts w:ascii="宋体" w:hAnsi="宋体" w:cs="宋体"/>
                <w:color w:val="auto"/>
                <w:highlight w:val="none"/>
              </w:rPr>
            </w:pPr>
            <w:r>
              <w:rPr>
                <w:rFonts w:ascii="宋体" w:hAnsi="宋体" w:cs="宋体"/>
                <w:color w:val="auto"/>
                <w:highlight w:val="none"/>
              </w:rPr>
            </w:r>
            <w:r/>
          </w:p>
        </w:tc>
      </w:tr>
      <w:tr>
        <w:trPr>
          <w:jc w:val="center"/>
          <w:trHeight w:val="576"/>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5</w:t>
            </w:r>
            <w:r/>
          </w:p>
        </w:tc>
        <w:tc>
          <w:tcPr>
            <w:tcBorders>
              <w:top w:val="single" w:color="auto" w:sz="4" w:space="0"/>
              <w:left w:val="single" w:color="auto" w:sz="4" w:space="0"/>
              <w:bottom w:val="single" w:color="auto" w:sz="4" w:space="0"/>
              <w:right w:val="single" w:color="auto" w:sz="4" w:space="0"/>
            </w:tcBorders>
            <w:tcW w:w="2136" w:type="dxa"/>
            <w:vAlign w:val="center"/>
            <w:textDirection w:val="lrTb"/>
            <w:noWrap w:val="false"/>
          </w:tcPr>
          <w:p>
            <w:pPr>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1259" w:type="dxa"/>
            <w:vAlign w:val="center"/>
            <w:textDirection w:val="lrTb"/>
            <w:noWrap w:val="false"/>
          </w:tcPr>
          <w:p>
            <w:pPr>
              <w:rPr>
                <w:rFonts w:ascii="宋体" w:hAnsi="宋体" w:cs="宋体"/>
                <w:color w:val="auto"/>
                <w:highlight w:val="none"/>
              </w:rPr>
            </w:pPr>
            <w:r>
              <w:rPr>
                <w:rFonts w:ascii="宋体" w:hAnsi="宋体" w:cs="宋体"/>
                <w:color w:val="auto"/>
                <w:highlight w:val="none"/>
              </w:rPr>
            </w:r>
            <w:r/>
          </w:p>
        </w:tc>
      </w:tr>
      <w:tr>
        <w:trPr>
          <w:jc w:val="center"/>
          <w:trHeight w:val="401"/>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6</w:t>
            </w:r>
            <w:r/>
          </w:p>
        </w:tc>
        <w:tc>
          <w:tcPr>
            <w:tcBorders>
              <w:top w:val="single" w:color="auto" w:sz="4" w:space="0"/>
              <w:left w:val="single" w:color="auto" w:sz="4" w:space="0"/>
              <w:bottom w:val="single" w:color="auto" w:sz="4" w:space="0"/>
              <w:right w:val="single" w:color="auto" w:sz="4" w:space="0"/>
            </w:tcBorders>
            <w:tcW w:w="2136" w:type="dxa"/>
            <w:vAlign w:val="center"/>
            <w:textDirection w:val="lrTb"/>
            <w:noWrap w:val="false"/>
          </w:tcPr>
          <w:p>
            <w:pPr>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1259" w:type="dxa"/>
            <w:vAlign w:val="center"/>
            <w:textDirection w:val="lrTb"/>
            <w:noWrap w:val="false"/>
          </w:tcPr>
          <w:p>
            <w:pPr>
              <w:rPr>
                <w:rFonts w:ascii="宋体" w:hAnsi="宋体" w:cs="宋体"/>
                <w:color w:val="auto"/>
                <w:highlight w:val="none"/>
              </w:rPr>
            </w:pPr>
            <w:r>
              <w:rPr>
                <w:rFonts w:ascii="宋体" w:hAnsi="宋体" w:cs="宋体"/>
                <w:color w:val="auto"/>
                <w:highlight w:val="none"/>
              </w:rPr>
            </w:r>
            <w:r/>
          </w:p>
        </w:tc>
      </w:tr>
      <w:tr>
        <w:trPr>
          <w:jc w:val="center"/>
          <w:trHeight w:val="461"/>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7</w:t>
            </w:r>
            <w:r/>
          </w:p>
        </w:tc>
        <w:tc>
          <w:tcPr>
            <w:tcBorders>
              <w:top w:val="single" w:color="auto" w:sz="4" w:space="0"/>
              <w:left w:val="single" w:color="auto" w:sz="4" w:space="0"/>
              <w:bottom w:val="single" w:color="auto" w:sz="4" w:space="0"/>
              <w:right w:val="single" w:color="auto" w:sz="4" w:space="0"/>
            </w:tcBorders>
            <w:tcW w:w="2136" w:type="dxa"/>
            <w:vAlign w:val="center"/>
            <w:textDirection w:val="lrTb"/>
            <w:noWrap w:val="false"/>
          </w:tcPr>
          <w:p>
            <w:pPr>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1259" w:type="dxa"/>
            <w:vAlign w:val="center"/>
            <w:textDirection w:val="lrTb"/>
            <w:noWrap w:val="false"/>
          </w:tcPr>
          <w:p>
            <w:pPr>
              <w:rPr>
                <w:rFonts w:ascii="宋体" w:hAnsi="宋体" w:cs="宋体"/>
                <w:color w:val="auto"/>
                <w:highlight w:val="none"/>
              </w:rPr>
            </w:pPr>
            <w:r>
              <w:rPr>
                <w:rFonts w:ascii="宋体" w:hAnsi="宋体" w:cs="宋体"/>
                <w:color w:val="auto"/>
                <w:highlight w:val="none"/>
              </w:rPr>
            </w:r>
            <w:r/>
          </w:p>
        </w:tc>
      </w:tr>
      <w:tr>
        <w:trPr>
          <w:jc w:val="center"/>
          <w:trHeight w:val="461"/>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8</w:t>
            </w:r>
            <w:r/>
          </w:p>
        </w:tc>
        <w:tc>
          <w:tcPr>
            <w:tcBorders>
              <w:top w:val="single" w:color="auto" w:sz="4" w:space="0"/>
              <w:left w:val="single" w:color="auto" w:sz="4" w:space="0"/>
              <w:bottom w:val="single" w:color="auto" w:sz="4" w:space="0"/>
              <w:right w:val="single" w:color="auto" w:sz="4" w:space="0"/>
            </w:tcBorders>
            <w:tcW w:w="2136" w:type="dxa"/>
            <w:vAlign w:val="center"/>
            <w:textDirection w:val="lrTb"/>
            <w:noWrap w:val="false"/>
          </w:tcPr>
          <w:p>
            <w:pPr>
              <w:rPr>
                <w:rFonts w:ascii="宋体" w:hAnsi="宋体" w:cs="宋体"/>
                <w:color w:val="auto"/>
                <w:highlight w:val="none"/>
              </w:rPr>
            </w:pPr>
            <w:r>
              <w:rPr>
                <w:rFonts w:hint="eastAsia" w:ascii="宋体" w:hAnsi="宋体" w:cs="宋体"/>
                <w:color w:val="auto"/>
                <w:highlight w:val="none"/>
              </w:rPr>
              <w:t xml:space="preserve">（本表可根据需要自行添加行）</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1259" w:type="dxa"/>
            <w:vAlign w:val="center"/>
            <w:textDirection w:val="lrTb"/>
            <w:noWrap w:val="false"/>
          </w:tcPr>
          <w:p>
            <w:pPr>
              <w:rPr>
                <w:rFonts w:ascii="宋体" w:hAnsi="宋体" w:cs="宋体"/>
                <w:color w:val="auto"/>
                <w:highlight w:val="none"/>
              </w:rPr>
            </w:pPr>
            <w:r>
              <w:rPr>
                <w:rFonts w:ascii="宋体" w:hAnsi="宋体" w:cs="宋体"/>
                <w:color w:val="auto"/>
                <w:highlight w:val="none"/>
              </w:rPr>
            </w:r>
            <w:r/>
          </w:p>
        </w:tc>
      </w:tr>
    </w:tbl>
    <w:p>
      <w:pPr>
        <w:ind w:firstLine="480"/>
        <w:jc w:val="left"/>
        <w:spacing w:line="500" w:lineRule="exact"/>
        <w:tabs>
          <w:tab w:val="left" w:pos="142"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投标人名称（加盖公章）：</w:t>
      </w:r>
      <w:r/>
    </w:p>
    <w:p>
      <w:pPr>
        <w:ind w:firstLine="480"/>
        <w:jc w:val="left"/>
        <w:spacing w:line="500" w:lineRule="exact"/>
        <w:tabs>
          <w:tab w:val="left" w:pos="142"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法定代表人（授权代表）签字或盖章：</w:t>
      </w:r>
      <w:r/>
    </w:p>
    <w:p>
      <w:pPr>
        <w:ind w:firstLine="480"/>
        <w:jc w:val="left"/>
        <w:spacing w:line="500" w:lineRule="exact"/>
        <w:tabs>
          <w:tab w:val="left" w:pos="142"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日期：</w:t>
      </w:r>
      <w:r/>
    </w:p>
    <w:p>
      <w:pPr>
        <w:pStyle w:val="849"/>
        <w:ind w:firstLine="0"/>
        <w:rPr>
          <w:rFonts w:ascii="宋体" w:hAnsi="宋体" w:cs="宋体"/>
          <w:color w:val="auto"/>
          <w:highlight w:val="none"/>
        </w:rPr>
      </w:pPr>
      <w:r>
        <w:rPr>
          <w:rFonts w:ascii="宋体" w:hAnsi="宋体" w:cs="宋体"/>
          <w:color w:val="auto"/>
          <w:highlight w:val="none"/>
        </w:rPr>
      </w:r>
      <w:r/>
    </w:p>
    <w:p>
      <w:pPr>
        <w:ind w:firstLine="480"/>
        <w:spacing w:line="400" w:lineRule="exact"/>
        <w:rPr>
          <w:rFonts w:ascii="宋体" w:hAnsi="宋体" w:cs="宋体"/>
          <w:color w:val="auto"/>
          <w:sz w:val="24"/>
          <w:highlight w:val="none"/>
        </w:rPr>
      </w:pPr>
      <w:r>
        <w:rPr>
          <w:rFonts w:ascii="宋体" w:hAnsi="宋体" w:cs="宋体"/>
          <w:color w:val="auto"/>
          <w:sz w:val="24"/>
          <w:highlight w:val="none"/>
        </w:rPr>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填写说明：</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①此表为表样，行数可自行添加，但表式不变。</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②是否偏离用符号“+、-”分别表示正偏离、负偏离。</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③供应商必须仔细阅读本采购文件中所有商务要求，并列入上表。</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④若响应文件中出现与此表表述不一致的，以此表为准。</w:t>
      </w:r>
      <w:r/>
    </w:p>
    <w:p>
      <w:pPr>
        <w:pStyle w:val="856"/>
        <w:numPr>
          <w:ilvl w:val="0"/>
          <w:numId w:val="0"/>
        </w:numPr>
        <w:jc w:val="center"/>
        <w:rPr>
          <w:rFonts w:ascii="宋体" w:hAnsi="宋体" w:cs="宋体"/>
          <w:color w:val="auto"/>
          <w:sz w:val="24"/>
          <w:highlight w:val="none"/>
        </w:rPr>
        <w:outlineLvl w:val="9"/>
      </w:pPr>
      <w:r>
        <w:rPr>
          <w:rFonts w:ascii="宋体" w:hAnsi="宋体" w:cs="宋体"/>
          <w:color w:val="auto"/>
          <w:sz w:val="24"/>
          <w:highlight w:val="none"/>
        </w:rPr>
      </w:r>
      <w:r/>
    </w:p>
    <w:p>
      <w:pPr>
        <w:pStyle w:val="856"/>
        <w:numPr>
          <w:ilvl w:val="0"/>
          <w:numId w:val="0"/>
        </w:numPr>
        <w:jc w:val="center"/>
        <w:rPr>
          <w:rFonts w:ascii="宋体" w:hAnsi="宋体" w:cs="宋体"/>
          <w:color w:val="auto"/>
          <w:sz w:val="24"/>
          <w:highlight w:val="none"/>
        </w:rPr>
        <w:outlineLvl w:val="9"/>
      </w:pPr>
      <w:r>
        <w:rPr>
          <w:rFonts w:ascii="宋体" w:hAnsi="宋体" w:cs="宋体"/>
          <w:color w:val="auto"/>
          <w:sz w:val="24"/>
          <w:highlight w:val="none"/>
        </w:rPr>
      </w:r>
      <w:r/>
    </w:p>
    <w:p>
      <w:pPr>
        <w:pStyle w:val="856"/>
        <w:numPr>
          <w:ilvl w:val="0"/>
          <w:numId w:val="0"/>
        </w:numPr>
        <w:jc w:val="center"/>
        <w:rPr>
          <w:rFonts w:ascii="宋体" w:hAnsi="宋体" w:cs="宋体"/>
          <w:color w:val="auto"/>
          <w:sz w:val="24"/>
          <w:highlight w:val="none"/>
        </w:rPr>
        <w:outlineLvl w:val="9"/>
      </w:pPr>
      <w:r>
        <w:rPr>
          <w:rFonts w:ascii="宋体" w:hAnsi="宋体" w:cs="宋体"/>
          <w:color w:val="auto"/>
          <w:sz w:val="24"/>
          <w:highlight w:val="none"/>
        </w:rPr>
      </w:r>
      <w:r/>
    </w:p>
    <w:p>
      <w:pPr>
        <w:jc w:val="center"/>
        <w:rPr>
          <w:rFonts w:ascii="宋体" w:hAnsi="宋体" w:cs="宋体"/>
          <w:b/>
          <w:bCs/>
          <w:color w:val="auto"/>
          <w:sz w:val="36"/>
          <w:szCs w:val="36"/>
          <w:highlight w:val="none"/>
        </w:rPr>
        <w:outlineLvl w:val="0"/>
      </w:pPr>
      <w:r/>
      <w:bookmarkStart w:id="245" w:name="_Toc8050"/>
      <w:r/>
      <w:bookmarkStart w:id="246" w:name="_Toc24804"/>
      <w:r/>
      <w:bookmarkStart w:id="247" w:name="_Toc2752"/>
      <w:r/>
      <w:bookmarkStart w:id="248" w:name="_Toc10298"/>
      <w:r/>
      <w:bookmarkStart w:id="249" w:name="_Toc27678"/>
      <w:r/>
      <w:bookmarkStart w:id="250" w:name="_Toc2074"/>
      <w:r/>
      <w:bookmarkStart w:id="251" w:name="_Toc6316"/>
      <w:r/>
      <w:bookmarkStart w:id="252" w:name="_Toc22888"/>
      <w:r/>
      <w:bookmarkStart w:id="253" w:name="_Toc3268"/>
      <w:r/>
      <w:bookmarkStart w:id="254" w:name="_Toc6890"/>
      <w:r/>
      <w:bookmarkStart w:id="255" w:name="_Toc28068"/>
      <w:r/>
      <w:bookmarkStart w:id="256" w:name="_Toc11909"/>
      <w:r/>
      <w:bookmarkStart w:id="257" w:name="_Toc16578"/>
      <w:r/>
      <w:bookmarkStart w:id="258" w:name="_Toc600"/>
      <w:r/>
      <w:bookmarkStart w:id="259" w:name="_Toc19959"/>
      <w:r/>
      <w:bookmarkStart w:id="260" w:name="_Toc14214"/>
      <w:r/>
      <w:bookmarkStart w:id="261" w:name="_Toc32529"/>
      <w:r/>
      <w:bookmarkStart w:id="262" w:name="_Toc27531"/>
      <w:r/>
      <w:bookmarkStart w:id="263" w:name="_Toc29480"/>
      <w:r/>
      <w:bookmarkStart w:id="264" w:name="_Toc15526"/>
      <w:r/>
      <w:bookmarkStart w:id="265" w:name="_Toc19683"/>
      <w:r/>
      <w:bookmarkStart w:id="266" w:name="_Toc24277"/>
      <w:r/>
      <w:bookmarkStart w:id="267" w:name="_Toc11241"/>
      <w:r/>
      <w:bookmarkStart w:id="268" w:name="_Toc24254"/>
      <w:r/>
      <w:bookmarkStart w:id="269" w:name="_Toc21089"/>
      <w:r/>
      <w:bookmarkStart w:id="270" w:name="_Toc12755"/>
      <w:r/>
      <w:bookmarkStart w:id="271" w:name="_Toc12732"/>
      <w:r/>
      <w:bookmarkStart w:id="272" w:name="_Toc22590"/>
      <w:r>
        <w:rPr>
          <w:rFonts w:hint="eastAsia" w:ascii="宋体" w:hAnsi="宋体" w:cs="宋体"/>
          <w:b/>
          <w:bCs/>
          <w:color w:val="auto"/>
          <w:sz w:val="36"/>
          <w:szCs w:val="36"/>
          <w:highlight w:val="none"/>
        </w:rPr>
        <w:br w:type="page" w:clear="all"/>
      </w:r>
      <w:r>
        <w:rPr>
          <w:rFonts w:hint="eastAsia" w:ascii="宋体" w:hAnsi="宋体" w:cs="宋体"/>
          <w:b/>
          <w:bCs/>
          <w:color w:val="auto"/>
          <w:sz w:val="36"/>
          <w:szCs w:val="36"/>
          <w:highlight w:val="none"/>
        </w:rPr>
        <w:t xml:space="preserve">六、</w:t>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rPr>
          <w:rFonts w:hint="eastAsia" w:ascii="宋体" w:hAnsi="宋体" w:cs="宋体"/>
          <w:b/>
          <w:bCs/>
          <w:color w:val="auto"/>
          <w:sz w:val="36"/>
          <w:szCs w:val="36"/>
          <w:highlight w:val="none"/>
        </w:rPr>
        <w:t xml:space="preserve">方案</w:t>
      </w:r>
      <w:bookmarkEnd w:id="262"/>
      <w:r/>
      <w:bookmarkEnd w:id="263"/>
      <w:r/>
      <w:bookmarkEnd w:id="264"/>
      <w:r/>
      <w:bookmarkEnd w:id="265"/>
      <w:r/>
      <w:bookmarkEnd w:id="266"/>
      <w:r/>
      <w:bookmarkEnd w:id="267"/>
      <w:r/>
      <w:bookmarkEnd w:id="268"/>
      <w:r>
        <w:rPr>
          <w:rFonts w:hint="eastAsia" w:ascii="宋体" w:hAnsi="宋体" w:cs="宋体"/>
          <w:b/>
          <w:bCs/>
          <w:color w:val="auto"/>
          <w:sz w:val="36"/>
          <w:szCs w:val="36"/>
          <w:highlight w:val="none"/>
        </w:rPr>
        <w:t xml:space="preserve">与承诺(格式自拟）</w:t>
      </w:r>
      <w:bookmarkEnd w:id="269"/>
      <w:r/>
      <w:bookmarkEnd w:id="270"/>
      <w:r/>
      <w:bookmarkEnd w:id="271"/>
      <w:r/>
      <w:bookmarkEnd w:id="272"/>
      <w:r/>
      <w:r/>
    </w:p>
    <w:p>
      <w:pPr>
        <w:jc w:val="center"/>
        <w:rPr>
          <w:rFonts w:ascii="宋体" w:hAnsi="宋体" w:cs="宋体"/>
          <w:b/>
          <w:bCs/>
          <w:color w:val="auto"/>
          <w:sz w:val="36"/>
          <w:szCs w:val="36"/>
          <w:highlight w:val="none"/>
        </w:rPr>
        <w:outlineLvl w:val="0"/>
      </w:pPr>
      <w:r/>
      <w:bookmarkStart w:id="273" w:name="_Toc27847"/>
      <w:r/>
      <w:bookmarkStart w:id="274" w:name="_Toc26642"/>
      <w:r/>
      <w:bookmarkStart w:id="275" w:name="_Toc18293"/>
      <w:r/>
      <w:bookmarkStart w:id="276" w:name="_Toc4182"/>
      <w:r/>
      <w:bookmarkStart w:id="277" w:name="_Toc14035"/>
      <w:r/>
      <w:bookmarkStart w:id="278" w:name="_Toc26508"/>
      <w:r/>
      <w:bookmarkStart w:id="279" w:name="_Toc2285"/>
      <w:r/>
      <w:bookmarkStart w:id="280" w:name="_Toc4194"/>
      <w:r/>
      <w:bookmarkStart w:id="281" w:name="_Toc29656"/>
      <w:r/>
      <w:bookmarkStart w:id="282" w:name="_Toc28082"/>
      <w:r/>
      <w:bookmarkStart w:id="283" w:name="_Toc15545"/>
      <w:r/>
      <w:bookmarkStart w:id="284" w:name="_Toc10848"/>
      <w:r/>
      <w:bookmarkStart w:id="285" w:name="_Toc31588"/>
      <w:r/>
      <w:bookmarkStart w:id="286" w:name="_Toc8340"/>
      <w:r/>
      <w:bookmarkStart w:id="287" w:name="_Toc1823"/>
      <w:r/>
      <w:bookmarkStart w:id="288" w:name="_Toc6970"/>
      <w:r/>
      <w:bookmarkStart w:id="289" w:name="_Toc4657"/>
      <w:r/>
      <w:bookmarkStart w:id="290" w:name="_Toc14885"/>
      <w:r/>
      <w:bookmarkStart w:id="291" w:name="_Toc14366"/>
      <w:r/>
      <w:bookmarkStart w:id="292" w:name="_Toc13284"/>
      <w:r/>
      <w:bookmarkStart w:id="293" w:name="_Toc17516"/>
      <w:r/>
      <w:bookmarkStart w:id="294" w:name="_Toc24063"/>
      <w:r/>
      <w:bookmarkStart w:id="295" w:name="_Toc18052"/>
      <w:r/>
      <w:bookmarkStart w:id="296" w:name="_Toc30437"/>
      <w:r/>
      <w:bookmarkStart w:id="297" w:name="_Toc10398"/>
      <w:r/>
      <w:bookmarkStart w:id="298" w:name="_Toc24334"/>
      <w:r/>
      <w:bookmarkStart w:id="299" w:name="_Toc3538"/>
      <w:r/>
      <w:bookmarkStart w:id="300" w:name="_Toc26523"/>
      <w:r>
        <w:rPr>
          <w:rFonts w:hint="eastAsia" w:ascii="宋体" w:hAnsi="宋体" w:cs="宋体"/>
          <w:b/>
          <w:bCs/>
          <w:color w:val="auto"/>
          <w:sz w:val="36"/>
          <w:szCs w:val="36"/>
          <w:highlight w:val="none"/>
        </w:rPr>
        <w:t xml:space="preserve">七、</w:t>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Start w:id="301" w:name="_Toc4587"/>
      <w:r/>
      <w:bookmarkStart w:id="302" w:name="_Toc18604"/>
      <w:r/>
      <w:bookmarkStart w:id="303" w:name="_Toc7628"/>
      <w:r>
        <w:rPr>
          <w:rFonts w:hint="eastAsia" w:ascii="宋体" w:hAnsi="宋体" w:cs="宋体"/>
          <w:b/>
          <w:bCs/>
          <w:color w:val="auto"/>
          <w:sz w:val="36"/>
          <w:szCs w:val="36"/>
          <w:highlight w:val="none"/>
        </w:rPr>
        <w:t xml:space="preserve">拟投入项目人员一览表</w:t>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r/>
    </w:p>
    <w:tbl>
      <w:tblPr>
        <w:tblStyle w:val="79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1000"/>
        <w:gridCol w:w="999"/>
        <w:gridCol w:w="775"/>
        <w:gridCol w:w="2237"/>
        <w:gridCol w:w="1207"/>
        <w:gridCol w:w="1215"/>
        <w:gridCol w:w="1246"/>
      </w:tblGrid>
      <w:tr>
        <w:trPr>
          <w:jc w:val="center"/>
          <w:trHeight w:val="553"/>
        </w:trPr>
        <w:tc>
          <w:tcPr>
            <w:tcW w:w="819"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序号</w:t>
            </w:r>
            <w:r/>
          </w:p>
        </w:tc>
        <w:tc>
          <w:tcPr>
            <w:tcW w:w="1000"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姓名</w:t>
            </w:r>
            <w:r/>
          </w:p>
        </w:tc>
        <w:tc>
          <w:tcPr>
            <w:tcW w:w="999"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lang w:val="zh-CN"/>
              </w:rPr>
              <w:t xml:space="preserve">在本项目中担任的职务</w:t>
            </w:r>
            <w:r/>
          </w:p>
        </w:tc>
        <w:tc>
          <w:tcPr>
            <w:tcW w:w="775"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职称</w:t>
            </w:r>
            <w:r/>
          </w:p>
        </w:tc>
        <w:tc>
          <w:tcPr>
            <w:tcW w:w="2237"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lang w:val="zh-CN"/>
              </w:rPr>
              <w:t xml:space="preserve">身份证号码</w:t>
            </w:r>
            <w:r/>
          </w:p>
        </w:tc>
        <w:tc>
          <w:tcPr>
            <w:tcBorders>
              <w:right w:val="single" w:color="000000" w:sz="4" w:space="0"/>
            </w:tcBorders>
            <w:tcW w:w="1207"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拥有过的证书</w:t>
            </w:r>
            <w:r/>
          </w:p>
        </w:tc>
        <w:tc>
          <w:tcPr>
            <w:tcBorders>
              <w:left w:val="single" w:color="000000" w:sz="4" w:space="0"/>
              <w:right w:val="single" w:color="000000" w:sz="4" w:space="0"/>
            </w:tcBorders>
            <w:tcW w:w="1215"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lang w:val="zh-CN"/>
              </w:rPr>
              <w:t xml:space="preserve">曾参与过的同类项目及职责</w:t>
            </w:r>
            <w:r/>
          </w:p>
        </w:tc>
        <w:tc>
          <w:tcPr>
            <w:tcBorders>
              <w:left w:val="single" w:color="000000" w:sz="4" w:space="0"/>
            </w:tcBorders>
            <w:tcW w:w="1246"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是否缴纳</w:t>
            </w:r>
            <w:r/>
          </w:p>
          <w:p>
            <w:pPr>
              <w:jc w:val="center"/>
              <w:rPr>
                <w:rFonts w:ascii="宋体" w:hAnsi="宋体" w:cs="宋体"/>
                <w:color w:val="auto"/>
                <w:highlight w:val="none"/>
              </w:rPr>
            </w:pPr>
            <w:r>
              <w:rPr>
                <w:rFonts w:hint="eastAsia" w:ascii="宋体" w:hAnsi="宋体" w:cs="宋体"/>
                <w:color w:val="auto"/>
                <w:highlight w:val="none"/>
              </w:rPr>
              <w:t xml:space="preserve">社保</w:t>
            </w:r>
            <w:r/>
          </w:p>
        </w:tc>
      </w:tr>
      <w:tr>
        <w:trPr>
          <w:jc w:val="center"/>
          <w:trHeight w:val="553"/>
        </w:trPr>
        <w:tc>
          <w:tcPr>
            <w:tcW w:w="819"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1</w:t>
            </w:r>
            <w:r/>
          </w:p>
        </w:tc>
        <w:tc>
          <w:tcPr>
            <w:tcW w:w="1000" w:type="dxa"/>
            <w:vAlign w:val="center"/>
            <w:textDirection w:val="lrTb"/>
            <w:noWrap w:val="false"/>
          </w:tcPr>
          <w:p>
            <w:pPr>
              <w:rPr>
                <w:rFonts w:ascii="宋体" w:hAnsi="宋体" w:cs="宋体"/>
                <w:color w:val="auto"/>
                <w:highlight w:val="none"/>
              </w:rPr>
            </w:pPr>
            <w:r>
              <w:rPr>
                <w:rFonts w:ascii="宋体" w:hAnsi="宋体" w:cs="宋体"/>
                <w:color w:val="auto"/>
                <w:highlight w:val="none"/>
              </w:rPr>
            </w:r>
            <w:r/>
          </w:p>
        </w:tc>
        <w:tc>
          <w:tcPr>
            <w:tcW w:w="999" w:type="dxa"/>
            <w:vAlign w:val="center"/>
            <w:textDirection w:val="lrTb"/>
            <w:noWrap w:val="false"/>
          </w:tcPr>
          <w:p>
            <w:pPr>
              <w:rPr>
                <w:rFonts w:ascii="宋体" w:hAnsi="宋体" w:cs="宋体"/>
                <w:color w:val="auto"/>
                <w:highlight w:val="none"/>
              </w:rPr>
            </w:pPr>
            <w:r>
              <w:rPr>
                <w:rFonts w:ascii="宋体" w:hAnsi="宋体" w:cs="宋体"/>
                <w:color w:val="auto"/>
                <w:highlight w:val="none"/>
              </w:rPr>
            </w:r>
            <w:r/>
          </w:p>
        </w:tc>
        <w:tc>
          <w:tcPr>
            <w:tcW w:w="775" w:type="dxa"/>
            <w:vAlign w:val="center"/>
            <w:textDirection w:val="lrTb"/>
            <w:noWrap w:val="false"/>
          </w:tcPr>
          <w:p>
            <w:pPr>
              <w:rPr>
                <w:rFonts w:ascii="宋体" w:hAnsi="宋体" w:cs="宋体"/>
                <w:color w:val="auto"/>
                <w:highlight w:val="none"/>
              </w:rPr>
            </w:pPr>
            <w:r>
              <w:rPr>
                <w:rFonts w:ascii="宋体" w:hAnsi="宋体" w:cs="宋体"/>
                <w:color w:val="auto"/>
                <w:highlight w:val="none"/>
              </w:rPr>
            </w:r>
            <w:r/>
          </w:p>
        </w:tc>
        <w:tc>
          <w:tcPr>
            <w:tcW w:w="2237" w:type="dxa"/>
            <w:vAlign w:val="center"/>
            <w:textDirection w:val="lrTb"/>
            <w:noWrap w:val="false"/>
          </w:tcPr>
          <w:p>
            <w:pPr>
              <w:rPr>
                <w:rFonts w:ascii="宋体" w:hAnsi="宋体" w:cs="宋体"/>
                <w:color w:val="auto"/>
                <w:highlight w:val="none"/>
              </w:rPr>
            </w:pPr>
            <w:r>
              <w:rPr>
                <w:rFonts w:ascii="宋体" w:hAnsi="宋体" w:cs="宋体"/>
                <w:color w:val="auto"/>
                <w:highlight w:val="none"/>
              </w:rPr>
            </w:r>
            <w:r/>
          </w:p>
        </w:tc>
        <w:tc>
          <w:tcPr>
            <w:tcBorders>
              <w:right w:val="single" w:color="000000" w:sz="4" w:space="0"/>
            </w:tcBorders>
            <w:tcW w:w="1207" w:type="dxa"/>
            <w:vAlign w:val="center"/>
            <w:textDirection w:val="lrTb"/>
            <w:noWrap w:val="false"/>
          </w:tcPr>
          <w:p>
            <w:pPr>
              <w:rPr>
                <w:rFonts w:ascii="宋体" w:hAnsi="宋体" w:cs="宋体"/>
                <w:color w:val="auto"/>
                <w:highlight w:val="none"/>
              </w:rPr>
            </w:pPr>
            <w:r>
              <w:rPr>
                <w:rFonts w:ascii="宋体" w:hAnsi="宋体" w:cs="宋体"/>
                <w:color w:val="auto"/>
                <w:highlight w:val="none"/>
              </w:rPr>
            </w:r>
            <w:r/>
          </w:p>
        </w:tc>
        <w:tc>
          <w:tcPr>
            <w:tcBorders>
              <w:left w:val="single" w:color="000000" w:sz="4" w:space="0"/>
              <w:right w:val="single" w:color="000000" w:sz="4" w:space="0"/>
            </w:tcBorders>
            <w:tcW w:w="1215" w:type="dxa"/>
            <w:vAlign w:val="center"/>
            <w:textDirection w:val="lrTb"/>
            <w:noWrap w:val="false"/>
          </w:tcPr>
          <w:p>
            <w:pPr>
              <w:rPr>
                <w:rFonts w:ascii="宋体" w:hAnsi="宋体" w:cs="宋体"/>
                <w:color w:val="auto"/>
                <w:highlight w:val="none"/>
              </w:rPr>
            </w:pPr>
            <w:r>
              <w:rPr>
                <w:rFonts w:ascii="宋体" w:hAnsi="宋体" w:cs="宋体"/>
                <w:color w:val="auto"/>
                <w:highlight w:val="none"/>
              </w:rPr>
            </w:r>
            <w:r/>
          </w:p>
        </w:tc>
        <w:tc>
          <w:tcPr>
            <w:tcBorders>
              <w:left w:val="single" w:color="000000" w:sz="4" w:space="0"/>
            </w:tcBorders>
            <w:tcW w:w="1246" w:type="dxa"/>
            <w:vAlign w:val="center"/>
            <w:textDirection w:val="lrTb"/>
            <w:noWrap w:val="false"/>
          </w:tcPr>
          <w:p>
            <w:pPr>
              <w:rPr>
                <w:rFonts w:ascii="宋体" w:hAnsi="宋体" w:cs="宋体"/>
                <w:color w:val="auto"/>
                <w:highlight w:val="none"/>
              </w:rPr>
            </w:pPr>
            <w:r>
              <w:rPr>
                <w:rFonts w:ascii="宋体" w:hAnsi="宋体" w:cs="宋体"/>
                <w:color w:val="auto"/>
                <w:highlight w:val="none"/>
              </w:rPr>
            </w:r>
            <w:r/>
          </w:p>
        </w:tc>
      </w:tr>
      <w:tr>
        <w:trPr>
          <w:jc w:val="center"/>
          <w:trHeight w:val="553"/>
        </w:trPr>
        <w:tc>
          <w:tcPr>
            <w:tcW w:w="819"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2</w:t>
            </w:r>
            <w:r/>
          </w:p>
        </w:tc>
        <w:tc>
          <w:tcPr>
            <w:tcW w:w="1000" w:type="dxa"/>
            <w:vAlign w:val="center"/>
            <w:textDirection w:val="lrTb"/>
            <w:noWrap w:val="false"/>
          </w:tcPr>
          <w:p>
            <w:pPr>
              <w:rPr>
                <w:rFonts w:ascii="宋体" w:hAnsi="宋体" w:cs="宋体"/>
                <w:color w:val="auto"/>
                <w:highlight w:val="none"/>
              </w:rPr>
            </w:pPr>
            <w:r>
              <w:rPr>
                <w:rFonts w:ascii="宋体" w:hAnsi="宋体" w:cs="宋体"/>
                <w:color w:val="auto"/>
                <w:highlight w:val="none"/>
              </w:rPr>
            </w:r>
            <w:r/>
          </w:p>
        </w:tc>
        <w:tc>
          <w:tcPr>
            <w:tcW w:w="999" w:type="dxa"/>
            <w:vAlign w:val="center"/>
            <w:textDirection w:val="lrTb"/>
            <w:noWrap w:val="false"/>
          </w:tcPr>
          <w:p>
            <w:pPr>
              <w:rPr>
                <w:rFonts w:ascii="宋体" w:hAnsi="宋体" w:cs="宋体"/>
                <w:color w:val="auto"/>
                <w:highlight w:val="none"/>
              </w:rPr>
            </w:pPr>
            <w:r>
              <w:rPr>
                <w:rFonts w:ascii="宋体" w:hAnsi="宋体" w:cs="宋体"/>
                <w:color w:val="auto"/>
                <w:highlight w:val="none"/>
              </w:rPr>
            </w:r>
            <w:r/>
          </w:p>
        </w:tc>
        <w:tc>
          <w:tcPr>
            <w:tcW w:w="775" w:type="dxa"/>
            <w:vAlign w:val="center"/>
            <w:textDirection w:val="lrTb"/>
            <w:noWrap w:val="false"/>
          </w:tcPr>
          <w:p>
            <w:pPr>
              <w:rPr>
                <w:rFonts w:ascii="宋体" w:hAnsi="宋体" w:cs="宋体"/>
                <w:color w:val="auto"/>
                <w:highlight w:val="none"/>
              </w:rPr>
            </w:pPr>
            <w:r>
              <w:rPr>
                <w:rFonts w:ascii="宋体" w:hAnsi="宋体" w:cs="宋体"/>
                <w:color w:val="auto"/>
                <w:highlight w:val="none"/>
              </w:rPr>
            </w:r>
            <w:r/>
          </w:p>
        </w:tc>
        <w:tc>
          <w:tcPr>
            <w:tcW w:w="2237" w:type="dxa"/>
            <w:vAlign w:val="center"/>
            <w:textDirection w:val="lrTb"/>
            <w:noWrap w:val="false"/>
          </w:tcPr>
          <w:p>
            <w:pPr>
              <w:rPr>
                <w:rFonts w:ascii="宋体" w:hAnsi="宋体" w:cs="宋体"/>
                <w:color w:val="auto"/>
                <w:highlight w:val="none"/>
              </w:rPr>
            </w:pPr>
            <w:r>
              <w:rPr>
                <w:rFonts w:ascii="宋体" w:hAnsi="宋体" w:cs="宋体"/>
                <w:color w:val="auto"/>
                <w:highlight w:val="none"/>
              </w:rPr>
            </w:r>
            <w:r/>
          </w:p>
        </w:tc>
        <w:tc>
          <w:tcPr>
            <w:tcBorders>
              <w:right w:val="single" w:color="000000" w:sz="4" w:space="0"/>
            </w:tcBorders>
            <w:tcW w:w="1207" w:type="dxa"/>
            <w:vAlign w:val="center"/>
            <w:textDirection w:val="lrTb"/>
            <w:noWrap w:val="false"/>
          </w:tcPr>
          <w:p>
            <w:pPr>
              <w:rPr>
                <w:rFonts w:ascii="宋体" w:hAnsi="宋体" w:cs="宋体"/>
                <w:color w:val="auto"/>
                <w:highlight w:val="none"/>
              </w:rPr>
            </w:pPr>
            <w:r>
              <w:rPr>
                <w:rFonts w:ascii="宋体" w:hAnsi="宋体" w:cs="宋体"/>
                <w:color w:val="auto"/>
                <w:highlight w:val="none"/>
              </w:rPr>
            </w:r>
            <w:r/>
          </w:p>
        </w:tc>
        <w:tc>
          <w:tcPr>
            <w:tcBorders>
              <w:left w:val="single" w:color="000000" w:sz="4" w:space="0"/>
              <w:right w:val="single" w:color="000000" w:sz="4" w:space="0"/>
            </w:tcBorders>
            <w:tcW w:w="1215" w:type="dxa"/>
            <w:vAlign w:val="center"/>
            <w:textDirection w:val="lrTb"/>
            <w:noWrap w:val="false"/>
          </w:tcPr>
          <w:p>
            <w:pPr>
              <w:rPr>
                <w:rFonts w:ascii="宋体" w:hAnsi="宋体" w:cs="宋体"/>
                <w:color w:val="auto"/>
                <w:highlight w:val="none"/>
              </w:rPr>
            </w:pPr>
            <w:r>
              <w:rPr>
                <w:rFonts w:ascii="宋体" w:hAnsi="宋体" w:cs="宋体"/>
                <w:color w:val="auto"/>
                <w:highlight w:val="none"/>
              </w:rPr>
            </w:r>
            <w:r/>
          </w:p>
        </w:tc>
        <w:tc>
          <w:tcPr>
            <w:tcBorders>
              <w:left w:val="single" w:color="000000" w:sz="4" w:space="0"/>
            </w:tcBorders>
            <w:tcW w:w="1246" w:type="dxa"/>
            <w:vAlign w:val="center"/>
            <w:textDirection w:val="lrTb"/>
            <w:noWrap w:val="false"/>
          </w:tcPr>
          <w:p>
            <w:pPr>
              <w:rPr>
                <w:rFonts w:ascii="宋体" w:hAnsi="宋体" w:cs="宋体"/>
                <w:color w:val="auto"/>
                <w:highlight w:val="none"/>
              </w:rPr>
            </w:pPr>
            <w:r>
              <w:rPr>
                <w:rFonts w:ascii="宋体" w:hAnsi="宋体" w:cs="宋体"/>
                <w:color w:val="auto"/>
                <w:highlight w:val="none"/>
              </w:rPr>
            </w:r>
            <w:r/>
          </w:p>
        </w:tc>
      </w:tr>
      <w:tr>
        <w:trPr>
          <w:jc w:val="center"/>
          <w:trHeight w:val="553"/>
        </w:trPr>
        <w:tc>
          <w:tcPr>
            <w:tcW w:w="819"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3</w:t>
            </w:r>
            <w:r/>
          </w:p>
        </w:tc>
        <w:tc>
          <w:tcPr>
            <w:tcW w:w="1000" w:type="dxa"/>
            <w:vAlign w:val="center"/>
            <w:textDirection w:val="lrTb"/>
            <w:noWrap w:val="false"/>
          </w:tcPr>
          <w:p>
            <w:pPr>
              <w:rPr>
                <w:rFonts w:ascii="宋体" w:hAnsi="宋体" w:cs="宋体"/>
                <w:color w:val="auto"/>
                <w:highlight w:val="none"/>
              </w:rPr>
            </w:pPr>
            <w:r>
              <w:rPr>
                <w:rFonts w:ascii="宋体" w:hAnsi="宋体" w:cs="宋体"/>
                <w:color w:val="auto"/>
                <w:highlight w:val="none"/>
              </w:rPr>
            </w:r>
            <w:r/>
          </w:p>
        </w:tc>
        <w:tc>
          <w:tcPr>
            <w:tcW w:w="999" w:type="dxa"/>
            <w:vAlign w:val="center"/>
            <w:textDirection w:val="lrTb"/>
            <w:noWrap w:val="false"/>
          </w:tcPr>
          <w:p>
            <w:pPr>
              <w:rPr>
                <w:rFonts w:ascii="宋体" w:hAnsi="宋体" w:cs="宋体"/>
                <w:color w:val="auto"/>
                <w:highlight w:val="none"/>
              </w:rPr>
            </w:pPr>
            <w:r>
              <w:rPr>
                <w:rFonts w:ascii="宋体" w:hAnsi="宋体" w:cs="宋体"/>
                <w:color w:val="auto"/>
                <w:highlight w:val="none"/>
              </w:rPr>
            </w:r>
            <w:r/>
          </w:p>
        </w:tc>
        <w:tc>
          <w:tcPr>
            <w:tcW w:w="775" w:type="dxa"/>
            <w:vAlign w:val="center"/>
            <w:textDirection w:val="lrTb"/>
            <w:noWrap w:val="false"/>
          </w:tcPr>
          <w:p>
            <w:pPr>
              <w:rPr>
                <w:rFonts w:ascii="宋体" w:hAnsi="宋体" w:cs="宋体"/>
                <w:color w:val="auto"/>
                <w:highlight w:val="none"/>
              </w:rPr>
            </w:pPr>
            <w:r>
              <w:rPr>
                <w:rFonts w:ascii="宋体" w:hAnsi="宋体" w:cs="宋体"/>
                <w:color w:val="auto"/>
                <w:highlight w:val="none"/>
              </w:rPr>
            </w:r>
            <w:r/>
          </w:p>
        </w:tc>
        <w:tc>
          <w:tcPr>
            <w:tcW w:w="2237" w:type="dxa"/>
            <w:vAlign w:val="center"/>
            <w:textDirection w:val="lrTb"/>
            <w:noWrap w:val="false"/>
          </w:tcPr>
          <w:p>
            <w:pPr>
              <w:rPr>
                <w:rFonts w:ascii="宋体" w:hAnsi="宋体" w:cs="宋体"/>
                <w:color w:val="auto"/>
                <w:highlight w:val="none"/>
              </w:rPr>
            </w:pPr>
            <w:r>
              <w:rPr>
                <w:rFonts w:ascii="宋体" w:hAnsi="宋体" w:cs="宋体"/>
                <w:color w:val="auto"/>
                <w:highlight w:val="none"/>
              </w:rPr>
            </w:r>
            <w:r/>
          </w:p>
        </w:tc>
        <w:tc>
          <w:tcPr>
            <w:tcBorders>
              <w:right w:val="single" w:color="000000" w:sz="4" w:space="0"/>
            </w:tcBorders>
            <w:tcW w:w="1207" w:type="dxa"/>
            <w:vAlign w:val="center"/>
            <w:textDirection w:val="lrTb"/>
            <w:noWrap w:val="false"/>
          </w:tcPr>
          <w:p>
            <w:pPr>
              <w:rPr>
                <w:rFonts w:ascii="宋体" w:hAnsi="宋体" w:cs="宋体"/>
                <w:color w:val="auto"/>
                <w:highlight w:val="none"/>
              </w:rPr>
            </w:pPr>
            <w:r>
              <w:rPr>
                <w:rFonts w:ascii="宋体" w:hAnsi="宋体" w:cs="宋体"/>
                <w:color w:val="auto"/>
                <w:highlight w:val="none"/>
              </w:rPr>
            </w:r>
            <w:r/>
          </w:p>
        </w:tc>
        <w:tc>
          <w:tcPr>
            <w:tcBorders>
              <w:left w:val="single" w:color="000000" w:sz="4" w:space="0"/>
              <w:right w:val="single" w:color="000000" w:sz="4" w:space="0"/>
            </w:tcBorders>
            <w:tcW w:w="1215" w:type="dxa"/>
            <w:vAlign w:val="center"/>
            <w:textDirection w:val="lrTb"/>
            <w:noWrap w:val="false"/>
          </w:tcPr>
          <w:p>
            <w:pPr>
              <w:rPr>
                <w:rFonts w:ascii="宋体" w:hAnsi="宋体" w:cs="宋体"/>
                <w:color w:val="auto"/>
                <w:highlight w:val="none"/>
              </w:rPr>
            </w:pPr>
            <w:r>
              <w:rPr>
                <w:rFonts w:ascii="宋体" w:hAnsi="宋体" w:cs="宋体"/>
                <w:color w:val="auto"/>
                <w:highlight w:val="none"/>
              </w:rPr>
            </w:r>
            <w:r/>
          </w:p>
        </w:tc>
        <w:tc>
          <w:tcPr>
            <w:tcBorders>
              <w:left w:val="single" w:color="000000" w:sz="4" w:space="0"/>
            </w:tcBorders>
            <w:tcW w:w="1246" w:type="dxa"/>
            <w:vAlign w:val="center"/>
            <w:textDirection w:val="lrTb"/>
            <w:noWrap w:val="false"/>
          </w:tcPr>
          <w:p>
            <w:pPr>
              <w:rPr>
                <w:rFonts w:ascii="宋体" w:hAnsi="宋体" w:cs="宋体"/>
                <w:color w:val="auto"/>
                <w:highlight w:val="none"/>
              </w:rPr>
            </w:pPr>
            <w:r>
              <w:rPr>
                <w:rFonts w:ascii="宋体" w:hAnsi="宋体" w:cs="宋体"/>
                <w:color w:val="auto"/>
                <w:highlight w:val="none"/>
              </w:rPr>
            </w:r>
            <w:r/>
          </w:p>
        </w:tc>
      </w:tr>
      <w:tr>
        <w:trPr>
          <w:jc w:val="center"/>
          <w:trHeight w:val="553"/>
        </w:trPr>
        <w:tc>
          <w:tcPr>
            <w:tcW w:w="819"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4</w:t>
            </w:r>
            <w:r/>
          </w:p>
        </w:tc>
        <w:tc>
          <w:tcPr>
            <w:tcW w:w="1000" w:type="dxa"/>
            <w:vAlign w:val="center"/>
            <w:textDirection w:val="lrTb"/>
            <w:noWrap w:val="false"/>
          </w:tcPr>
          <w:p>
            <w:pPr>
              <w:rPr>
                <w:rFonts w:ascii="宋体" w:hAnsi="宋体" w:cs="宋体"/>
                <w:color w:val="auto"/>
                <w:highlight w:val="none"/>
              </w:rPr>
            </w:pPr>
            <w:r>
              <w:rPr>
                <w:rFonts w:ascii="宋体" w:hAnsi="宋体" w:cs="宋体"/>
                <w:color w:val="auto"/>
                <w:highlight w:val="none"/>
              </w:rPr>
            </w:r>
            <w:r/>
          </w:p>
        </w:tc>
        <w:tc>
          <w:tcPr>
            <w:tcW w:w="999" w:type="dxa"/>
            <w:vAlign w:val="center"/>
            <w:textDirection w:val="lrTb"/>
            <w:noWrap w:val="false"/>
          </w:tcPr>
          <w:p>
            <w:pPr>
              <w:rPr>
                <w:rFonts w:ascii="宋体" w:hAnsi="宋体" w:cs="宋体"/>
                <w:color w:val="auto"/>
                <w:highlight w:val="none"/>
              </w:rPr>
            </w:pPr>
            <w:r>
              <w:rPr>
                <w:rFonts w:ascii="宋体" w:hAnsi="宋体" w:cs="宋体"/>
                <w:color w:val="auto"/>
                <w:highlight w:val="none"/>
              </w:rPr>
            </w:r>
            <w:r/>
          </w:p>
        </w:tc>
        <w:tc>
          <w:tcPr>
            <w:tcW w:w="775" w:type="dxa"/>
            <w:vAlign w:val="center"/>
            <w:textDirection w:val="lrTb"/>
            <w:noWrap w:val="false"/>
          </w:tcPr>
          <w:p>
            <w:pPr>
              <w:rPr>
                <w:rFonts w:ascii="宋体" w:hAnsi="宋体" w:cs="宋体"/>
                <w:color w:val="auto"/>
                <w:highlight w:val="none"/>
              </w:rPr>
            </w:pPr>
            <w:r>
              <w:rPr>
                <w:rFonts w:ascii="宋体" w:hAnsi="宋体" w:cs="宋体"/>
                <w:color w:val="auto"/>
                <w:highlight w:val="none"/>
              </w:rPr>
            </w:r>
            <w:r/>
          </w:p>
        </w:tc>
        <w:tc>
          <w:tcPr>
            <w:tcW w:w="2237" w:type="dxa"/>
            <w:vAlign w:val="center"/>
            <w:textDirection w:val="lrTb"/>
            <w:noWrap w:val="false"/>
          </w:tcPr>
          <w:p>
            <w:pPr>
              <w:rPr>
                <w:rFonts w:ascii="宋体" w:hAnsi="宋体" w:cs="宋体"/>
                <w:color w:val="auto"/>
                <w:highlight w:val="none"/>
              </w:rPr>
            </w:pPr>
            <w:r>
              <w:rPr>
                <w:rFonts w:ascii="宋体" w:hAnsi="宋体" w:cs="宋体"/>
                <w:color w:val="auto"/>
                <w:highlight w:val="none"/>
              </w:rPr>
            </w:r>
            <w:r/>
          </w:p>
        </w:tc>
        <w:tc>
          <w:tcPr>
            <w:tcBorders>
              <w:right w:val="single" w:color="000000" w:sz="4" w:space="0"/>
            </w:tcBorders>
            <w:tcW w:w="1207" w:type="dxa"/>
            <w:vAlign w:val="center"/>
            <w:textDirection w:val="lrTb"/>
            <w:noWrap w:val="false"/>
          </w:tcPr>
          <w:p>
            <w:pPr>
              <w:rPr>
                <w:rFonts w:ascii="宋体" w:hAnsi="宋体" w:cs="宋体"/>
                <w:color w:val="auto"/>
                <w:highlight w:val="none"/>
              </w:rPr>
            </w:pPr>
            <w:r>
              <w:rPr>
                <w:rFonts w:ascii="宋体" w:hAnsi="宋体" w:cs="宋体"/>
                <w:color w:val="auto"/>
                <w:highlight w:val="none"/>
              </w:rPr>
            </w:r>
            <w:r/>
          </w:p>
        </w:tc>
        <w:tc>
          <w:tcPr>
            <w:tcBorders>
              <w:left w:val="single" w:color="000000" w:sz="4" w:space="0"/>
              <w:right w:val="single" w:color="000000" w:sz="4" w:space="0"/>
            </w:tcBorders>
            <w:tcW w:w="1215" w:type="dxa"/>
            <w:vAlign w:val="center"/>
            <w:textDirection w:val="lrTb"/>
            <w:noWrap w:val="false"/>
          </w:tcPr>
          <w:p>
            <w:pPr>
              <w:rPr>
                <w:rFonts w:ascii="宋体" w:hAnsi="宋体" w:cs="宋体"/>
                <w:color w:val="auto"/>
                <w:highlight w:val="none"/>
              </w:rPr>
            </w:pPr>
            <w:r>
              <w:rPr>
                <w:rFonts w:ascii="宋体" w:hAnsi="宋体" w:cs="宋体"/>
                <w:color w:val="auto"/>
                <w:highlight w:val="none"/>
              </w:rPr>
            </w:r>
            <w:r/>
          </w:p>
        </w:tc>
        <w:tc>
          <w:tcPr>
            <w:tcBorders>
              <w:left w:val="single" w:color="000000" w:sz="4" w:space="0"/>
            </w:tcBorders>
            <w:tcW w:w="1246" w:type="dxa"/>
            <w:vAlign w:val="center"/>
            <w:textDirection w:val="lrTb"/>
            <w:noWrap w:val="false"/>
          </w:tcPr>
          <w:p>
            <w:pPr>
              <w:rPr>
                <w:rFonts w:ascii="宋体" w:hAnsi="宋体" w:cs="宋体"/>
                <w:color w:val="auto"/>
                <w:highlight w:val="none"/>
              </w:rPr>
            </w:pPr>
            <w:r>
              <w:rPr>
                <w:rFonts w:ascii="宋体" w:hAnsi="宋体" w:cs="宋体"/>
                <w:color w:val="auto"/>
                <w:highlight w:val="none"/>
              </w:rPr>
            </w:r>
            <w:r/>
          </w:p>
        </w:tc>
      </w:tr>
      <w:tr>
        <w:trPr>
          <w:jc w:val="center"/>
          <w:trHeight w:val="553"/>
        </w:trPr>
        <w:tc>
          <w:tcPr>
            <w:tcW w:w="819"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5</w:t>
            </w:r>
            <w:r/>
          </w:p>
        </w:tc>
        <w:tc>
          <w:tcPr>
            <w:tcW w:w="1000" w:type="dxa"/>
            <w:vAlign w:val="center"/>
            <w:textDirection w:val="lrTb"/>
            <w:noWrap w:val="false"/>
          </w:tcPr>
          <w:p>
            <w:pPr>
              <w:rPr>
                <w:rFonts w:ascii="宋体" w:hAnsi="宋体" w:cs="宋体"/>
                <w:color w:val="auto"/>
                <w:highlight w:val="none"/>
              </w:rPr>
            </w:pPr>
            <w:r>
              <w:rPr>
                <w:rFonts w:ascii="宋体" w:hAnsi="宋体" w:cs="宋体"/>
                <w:color w:val="auto"/>
                <w:highlight w:val="none"/>
              </w:rPr>
            </w:r>
            <w:r/>
          </w:p>
        </w:tc>
        <w:tc>
          <w:tcPr>
            <w:tcW w:w="999" w:type="dxa"/>
            <w:vAlign w:val="center"/>
            <w:textDirection w:val="lrTb"/>
            <w:noWrap w:val="false"/>
          </w:tcPr>
          <w:p>
            <w:pPr>
              <w:rPr>
                <w:rFonts w:ascii="宋体" w:hAnsi="宋体" w:cs="宋体"/>
                <w:color w:val="auto"/>
                <w:highlight w:val="none"/>
              </w:rPr>
            </w:pPr>
            <w:r>
              <w:rPr>
                <w:rFonts w:ascii="宋体" w:hAnsi="宋体" w:cs="宋体"/>
                <w:color w:val="auto"/>
                <w:highlight w:val="none"/>
              </w:rPr>
            </w:r>
            <w:r/>
          </w:p>
        </w:tc>
        <w:tc>
          <w:tcPr>
            <w:tcW w:w="775" w:type="dxa"/>
            <w:vAlign w:val="center"/>
            <w:textDirection w:val="lrTb"/>
            <w:noWrap w:val="false"/>
          </w:tcPr>
          <w:p>
            <w:pPr>
              <w:rPr>
                <w:rFonts w:ascii="宋体" w:hAnsi="宋体" w:cs="宋体"/>
                <w:color w:val="auto"/>
                <w:highlight w:val="none"/>
              </w:rPr>
            </w:pPr>
            <w:r>
              <w:rPr>
                <w:rFonts w:ascii="宋体" w:hAnsi="宋体" w:cs="宋体"/>
                <w:color w:val="auto"/>
                <w:highlight w:val="none"/>
              </w:rPr>
            </w:r>
            <w:r/>
          </w:p>
        </w:tc>
        <w:tc>
          <w:tcPr>
            <w:tcW w:w="2237" w:type="dxa"/>
            <w:vAlign w:val="center"/>
            <w:textDirection w:val="lrTb"/>
            <w:noWrap w:val="false"/>
          </w:tcPr>
          <w:p>
            <w:pPr>
              <w:rPr>
                <w:rFonts w:ascii="宋体" w:hAnsi="宋体" w:cs="宋体"/>
                <w:color w:val="auto"/>
                <w:highlight w:val="none"/>
              </w:rPr>
            </w:pPr>
            <w:r>
              <w:rPr>
                <w:rFonts w:ascii="宋体" w:hAnsi="宋体" w:cs="宋体"/>
                <w:color w:val="auto"/>
                <w:highlight w:val="none"/>
              </w:rPr>
            </w:r>
            <w:r/>
          </w:p>
        </w:tc>
        <w:tc>
          <w:tcPr>
            <w:tcBorders>
              <w:right w:val="single" w:color="000000" w:sz="4" w:space="0"/>
            </w:tcBorders>
            <w:tcW w:w="1207" w:type="dxa"/>
            <w:vAlign w:val="center"/>
            <w:textDirection w:val="lrTb"/>
            <w:noWrap w:val="false"/>
          </w:tcPr>
          <w:p>
            <w:pPr>
              <w:rPr>
                <w:rFonts w:ascii="宋体" w:hAnsi="宋体" w:cs="宋体"/>
                <w:color w:val="auto"/>
                <w:highlight w:val="none"/>
              </w:rPr>
            </w:pPr>
            <w:r>
              <w:rPr>
                <w:rFonts w:ascii="宋体" w:hAnsi="宋体" w:cs="宋体"/>
                <w:color w:val="auto"/>
                <w:highlight w:val="none"/>
              </w:rPr>
            </w:r>
            <w:r/>
          </w:p>
        </w:tc>
        <w:tc>
          <w:tcPr>
            <w:tcBorders>
              <w:left w:val="single" w:color="000000" w:sz="4" w:space="0"/>
              <w:right w:val="single" w:color="000000" w:sz="4" w:space="0"/>
            </w:tcBorders>
            <w:tcW w:w="1215" w:type="dxa"/>
            <w:vAlign w:val="center"/>
            <w:textDirection w:val="lrTb"/>
            <w:noWrap w:val="false"/>
          </w:tcPr>
          <w:p>
            <w:pPr>
              <w:rPr>
                <w:rFonts w:ascii="宋体" w:hAnsi="宋体" w:cs="宋体"/>
                <w:color w:val="auto"/>
                <w:highlight w:val="none"/>
              </w:rPr>
            </w:pPr>
            <w:r>
              <w:rPr>
                <w:rFonts w:ascii="宋体" w:hAnsi="宋体" w:cs="宋体"/>
                <w:color w:val="auto"/>
                <w:highlight w:val="none"/>
              </w:rPr>
            </w:r>
            <w:r/>
          </w:p>
        </w:tc>
        <w:tc>
          <w:tcPr>
            <w:tcBorders>
              <w:left w:val="single" w:color="000000" w:sz="4" w:space="0"/>
            </w:tcBorders>
            <w:tcW w:w="1246" w:type="dxa"/>
            <w:vAlign w:val="center"/>
            <w:textDirection w:val="lrTb"/>
            <w:noWrap w:val="false"/>
          </w:tcPr>
          <w:p>
            <w:pPr>
              <w:rPr>
                <w:rFonts w:ascii="宋体" w:hAnsi="宋体" w:cs="宋体"/>
                <w:color w:val="auto"/>
                <w:highlight w:val="none"/>
              </w:rPr>
            </w:pPr>
            <w:r>
              <w:rPr>
                <w:rFonts w:ascii="宋体" w:hAnsi="宋体" w:cs="宋体"/>
                <w:color w:val="auto"/>
                <w:highlight w:val="none"/>
              </w:rPr>
            </w:r>
            <w:r/>
          </w:p>
        </w:tc>
      </w:tr>
      <w:tr>
        <w:trPr>
          <w:jc w:val="center"/>
          <w:trHeight w:val="553"/>
        </w:trPr>
        <w:tc>
          <w:tcPr>
            <w:tcW w:w="819"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6</w:t>
            </w:r>
            <w:r/>
          </w:p>
        </w:tc>
        <w:tc>
          <w:tcPr>
            <w:tcW w:w="1000" w:type="dxa"/>
            <w:vAlign w:val="center"/>
            <w:textDirection w:val="lrTb"/>
            <w:noWrap w:val="false"/>
          </w:tcPr>
          <w:p>
            <w:pPr>
              <w:rPr>
                <w:rFonts w:ascii="宋体" w:hAnsi="宋体" w:cs="宋体"/>
                <w:color w:val="auto"/>
                <w:highlight w:val="none"/>
              </w:rPr>
            </w:pPr>
            <w:r>
              <w:rPr>
                <w:rFonts w:ascii="宋体" w:hAnsi="宋体" w:cs="宋体"/>
                <w:color w:val="auto"/>
                <w:highlight w:val="none"/>
              </w:rPr>
            </w:r>
            <w:r/>
          </w:p>
        </w:tc>
        <w:tc>
          <w:tcPr>
            <w:tcW w:w="999" w:type="dxa"/>
            <w:vAlign w:val="center"/>
            <w:textDirection w:val="lrTb"/>
            <w:noWrap w:val="false"/>
          </w:tcPr>
          <w:p>
            <w:pPr>
              <w:rPr>
                <w:rFonts w:ascii="宋体" w:hAnsi="宋体" w:cs="宋体"/>
                <w:color w:val="auto"/>
                <w:highlight w:val="none"/>
              </w:rPr>
            </w:pPr>
            <w:r>
              <w:rPr>
                <w:rFonts w:ascii="宋体" w:hAnsi="宋体" w:cs="宋体"/>
                <w:color w:val="auto"/>
                <w:highlight w:val="none"/>
              </w:rPr>
            </w:r>
            <w:r/>
          </w:p>
        </w:tc>
        <w:tc>
          <w:tcPr>
            <w:tcW w:w="775" w:type="dxa"/>
            <w:vAlign w:val="center"/>
            <w:textDirection w:val="lrTb"/>
            <w:noWrap w:val="false"/>
          </w:tcPr>
          <w:p>
            <w:pPr>
              <w:rPr>
                <w:rFonts w:ascii="宋体" w:hAnsi="宋体" w:cs="宋体"/>
                <w:color w:val="auto"/>
                <w:highlight w:val="none"/>
              </w:rPr>
            </w:pPr>
            <w:r>
              <w:rPr>
                <w:rFonts w:ascii="宋体" w:hAnsi="宋体" w:cs="宋体"/>
                <w:color w:val="auto"/>
                <w:highlight w:val="none"/>
              </w:rPr>
            </w:r>
            <w:r/>
          </w:p>
        </w:tc>
        <w:tc>
          <w:tcPr>
            <w:tcW w:w="2237" w:type="dxa"/>
            <w:vAlign w:val="center"/>
            <w:textDirection w:val="lrTb"/>
            <w:noWrap w:val="false"/>
          </w:tcPr>
          <w:p>
            <w:pPr>
              <w:rPr>
                <w:rFonts w:ascii="宋体" w:hAnsi="宋体" w:cs="宋体"/>
                <w:color w:val="auto"/>
                <w:highlight w:val="none"/>
              </w:rPr>
            </w:pPr>
            <w:r>
              <w:rPr>
                <w:rFonts w:ascii="宋体" w:hAnsi="宋体" w:cs="宋体"/>
                <w:color w:val="auto"/>
                <w:highlight w:val="none"/>
              </w:rPr>
            </w:r>
            <w:r/>
          </w:p>
        </w:tc>
        <w:tc>
          <w:tcPr>
            <w:tcBorders>
              <w:right w:val="single" w:color="000000" w:sz="4" w:space="0"/>
            </w:tcBorders>
            <w:tcW w:w="1207" w:type="dxa"/>
            <w:vAlign w:val="center"/>
            <w:textDirection w:val="lrTb"/>
            <w:noWrap w:val="false"/>
          </w:tcPr>
          <w:p>
            <w:pPr>
              <w:rPr>
                <w:rFonts w:ascii="宋体" w:hAnsi="宋体" w:cs="宋体"/>
                <w:color w:val="auto"/>
                <w:highlight w:val="none"/>
              </w:rPr>
            </w:pPr>
            <w:r>
              <w:rPr>
                <w:rFonts w:ascii="宋体" w:hAnsi="宋体" w:cs="宋体"/>
                <w:color w:val="auto"/>
                <w:highlight w:val="none"/>
              </w:rPr>
            </w:r>
            <w:r/>
          </w:p>
        </w:tc>
        <w:tc>
          <w:tcPr>
            <w:tcBorders>
              <w:left w:val="single" w:color="000000" w:sz="4" w:space="0"/>
              <w:right w:val="single" w:color="000000" w:sz="4" w:space="0"/>
            </w:tcBorders>
            <w:tcW w:w="1215" w:type="dxa"/>
            <w:vAlign w:val="center"/>
            <w:textDirection w:val="lrTb"/>
            <w:noWrap w:val="false"/>
          </w:tcPr>
          <w:p>
            <w:pPr>
              <w:rPr>
                <w:rFonts w:ascii="宋体" w:hAnsi="宋体" w:cs="宋体"/>
                <w:color w:val="auto"/>
                <w:highlight w:val="none"/>
              </w:rPr>
            </w:pPr>
            <w:r>
              <w:rPr>
                <w:rFonts w:ascii="宋体" w:hAnsi="宋体" w:cs="宋体"/>
                <w:color w:val="auto"/>
                <w:highlight w:val="none"/>
              </w:rPr>
            </w:r>
            <w:r/>
          </w:p>
        </w:tc>
        <w:tc>
          <w:tcPr>
            <w:tcBorders>
              <w:left w:val="single" w:color="000000" w:sz="4" w:space="0"/>
            </w:tcBorders>
            <w:tcW w:w="1246" w:type="dxa"/>
            <w:vAlign w:val="center"/>
            <w:textDirection w:val="lrTb"/>
            <w:noWrap w:val="false"/>
          </w:tcPr>
          <w:p>
            <w:pPr>
              <w:rPr>
                <w:rFonts w:ascii="宋体" w:hAnsi="宋体" w:cs="宋体"/>
                <w:color w:val="auto"/>
                <w:highlight w:val="none"/>
              </w:rPr>
            </w:pPr>
            <w:r>
              <w:rPr>
                <w:rFonts w:ascii="宋体" w:hAnsi="宋体" w:cs="宋体"/>
                <w:color w:val="auto"/>
                <w:highlight w:val="none"/>
              </w:rPr>
            </w:r>
            <w:r/>
          </w:p>
        </w:tc>
      </w:tr>
      <w:tr>
        <w:trPr>
          <w:jc w:val="center"/>
          <w:trHeight w:val="553"/>
        </w:trPr>
        <w:tc>
          <w:tcPr>
            <w:tcW w:w="819"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7</w:t>
            </w:r>
            <w:r/>
          </w:p>
        </w:tc>
        <w:tc>
          <w:tcPr>
            <w:tcW w:w="1000" w:type="dxa"/>
            <w:vAlign w:val="center"/>
            <w:textDirection w:val="lrTb"/>
            <w:noWrap w:val="false"/>
          </w:tcPr>
          <w:p>
            <w:pPr>
              <w:rPr>
                <w:rFonts w:ascii="宋体" w:hAnsi="宋体" w:cs="宋体"/>
                <w:color w:val="auto"/>
                <w:highlight w:val="none"/>
              </w:rPr>
            </w:pPr>
            <w:r>
              <w:rPr>
                <w:rFonts w:ascii="宋体" w:hAnsi="宋体" w:cs="宋体"/>
                <w:color w:val="auto"/>
                <w:highlight w:val="none"/>
              </w:rPr>
            </w:r>
            <w:r/>
          </w:p>
        </w:tc>
        <w:tc>
          <w:tcPr>
            <w:tcW w:w="999" w:type="dxa"/>
            <w:vAlign w:val="center"/>
            <w:textDirection w:val="lrTb"/>
            <w:noWrap w:val="false"/>
          </w:tcPr>
          <w:p>
            <w:pPr>
              <w:rPr>
                <w:rFonts w:ascii="宋体" w:hAnsi="宋体" w:cs="宋体"/>
                <w:color w:val="auto"/>
                <w:highlight w:val="none"/>
              </w:rPr>
            </w:pPr>
            <w:r>
              <w:rPr>
                <w:rFonts w:ascii="宋体" w:hAnsi="宋体" w:cs="宋体"/>
                <w:color w:val="auto"/>
                <w:highlight w:val="none"/>
              </w:rPr>
            </w:r>
            <w:r/>
          </w:p>
        </w:tc>
        <w:tc>
          <w:tcPr>
            <w:tcW w:w="775" w:type="dxa"/>
            <w:vAlign w:val="center"/>
            <w:textDirection w:val="lrTb"/>
            <w:noWrap w:val="false"/>
          </w:tcPr>
          <w:p>
            <w:pPr>
              <w:rPr>
                <w:rFonts w:ascii="宋体" w:hAnsi="宋体" w:cs="宋体"/>
                <w:color w:val="auto"/>
                <w:highlight w:val="none"/>
              </w:rPr>
            </w:pPr>
            <w:r>
              <w:rPr>
                <w:rFonts w:ascii="宋体" w:hAnsi="宋体" w:cs="宋体"/>
                <w:color w:val="auto"/>
                <w:highlight w:val="none"/>
              </w:rPr>
            </w:r>
            <w:r/>
          </w:p>
        </w:tc>
        <w:tc>
          <w:tcPr>
            <w:tcW w:w="2237" w:type="dxa"/>
            <w:vAlign w:val="center"/>
            <w:textDirection w:val="lrTb"/>
            <w:noWrap w:val="false"/>
          </w:tcPr>
          <w:p>
            <w:pPr>
              <w:rPr>
                <w:rFonts w:ascii="宋体" w:hAnsi="宋体" w:cs="宋体"/>
                <w:color w:val="auto"/>
                <w:highlight w:val="none"/>
              </w:rPr>
            </w:pPr>
            <w:r>
              <w:rPr>
                <w:rFonts w:ascii="宋体" w:hAnsi="宋体" w:cs="宋体"/>
                <w:color w:val="auto"/>
                <w:highlight w:val="none"/>
              </w:rPr>
            </w:r>
            <w:r/>
          </w:p>
        </w:tc>
        <w:tc>
          <w:tcPr>
            <w:tcBorders>
              <w:right w:val="single" w:color="000000" w:sz="4" w:space="0"/>
            </w:tcBorders>
            <w:tcW w:w="1207" w:type="dxa"/>
            <w:vAlign w:val="center"/>
            <w:textDirection w:val="lrTb"/>
            <w:noWrap w:val="false"/>
          </w:tcPr>
          <w:p>
            <w:pPr>
              <w:rPr>
                <w:rFonts w:ascii="宋体" w:hAnsi="宋体" w:cs="宋体"/>
                <w:color w:val="auto"/>
                <w:highlight w:val="none"/>
              </w:rPr>
            </w:pPr>
            <w:r>
              <w:rPr>
                <w:rFonts w:ascii="宋体" w:hAnsi="宋体" w:cs="宋体"/>
                <w:color w:val="auto"/>
                <w:highlight w:val="none"/>
              </w:rPr>
            </w:r>
            <w:r/>
          </w:p>
        </w:tc>
        <w:tc>
          <w:tcPr>
            <w:tcBorders>
              <w:left w:val="single" w:color="000000" w:sz="4" w:space="0"/>
              <w:right w:val="single" w:color="000000" w:sz="4" w:space="0"/>
            </w:tcBorders>
            <w:tcW w:w="1215" w:type="dxa"/>
            <w:vAlign w:val="center"/>
            <w:textDirection w:val="lrTb"/>
            <w:noWrap w:val="false"/>
          </w:tcPr>
          <w:p>
            <w:pPr>
              <w:rPr>
                <w:rFonts w:ascii="宋体" w:hAnsi="宋体" w:cs="宋体"/>
                <w:color w:val="auto"/>
                <w:highlight w:val="none"/>
              </w:rPr>
            </w:pPr>
            <w:r>
              <w:rPr>
                <w:rFonts w:ascii="宋体" w:hAnsi="宋体" w:cs="宋体"/>
                <w:color w:val="auto"/>
                <w:highlight w:val="none"/>
              </w:rPr>
            </w:r>
            <w:r/>
          </w:p>
        </w:tc>
        <w:tc>
          <w:tcPr>
            <w:tcBorders>
              <w:left w:val="single" w:color="000000" w:sz="4" w:space="0"/>
            </w:tcBorders>
            <w:tcW w:w="1246" w:type="dxa"/>
            <w:vAlign w:val="center"/>
            <w:textDirection w:val="lrTb"/>
            <w:noWrap w:val="false"/>
          </w:tcPr>
          <w:p>
            <w:pPr>
              <w:rPr>
                <w:rFonts w:ascii="宋体" w:hAnsi="宋体" w:cs="宋体"/>
                <w:color w:val="auto"/>
                <w:highlight w:val="none"/>
              </w:rPr>
            </w:pPr>
            <w:r>
              <w:rPr>
                <w:rFonts w:ascii="宋体" w:hAnsi="宋体" w:cs="宋体"/>
                <w:color w:val="auto"/>
                <w:highlight w:val="none"/>
              </w:rPr>
            </w:r>
            <w:r/>
          </w:p>
        </w:tc>
      </w:tr>
      <w:tr>
        <w:trPr>
          <w:jc w:val="center"/>
          <w:trHeight w:val="553"/>
        </w:trPr>
        <w:tc>
          <w:tcPr>
            <w:tcW w:w="819"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8</w:t>
            </w:r>
            <w:r/>
          </w:p>
        </w:tc>
        <w:tc>
          <w:tcPr>
            <w:tcW w:w="1000" w:type="dxa"/>
            <w:vAlign w:val="center"/>
            <w:textDirection w:val="lrTb"/>
            <w:noWrap w:val="false"/>
          </w:tcPr>
          <w:p>
            <w:pPr>
              <w:rPr>
                <w:rFonts w:ascii="宋体" w:hAnsi="宋体" w:cs="宋体"/>
                <w:color w:val="auto"/>
                <w:highlight w:val="none"/>
              </w:rPr>
            </w:pPr>
            <w:r>
              <w:rPr>
                <w:rFonts w:ascii="宋体" w:hAnsi="宋体" w:cs="宋体"/>
                <w:color w:val="auto"/>
                <w:highlight w:val="none"/>
              </w:rPr>
            </w:r>
            <w:r/>
          </w:p>
        </w:tc>
        <w:tc>
          <w:tcPr>
            <w:tcW w:w="999" w:type="dxa"/>
            <w:vAlign w:val="center"/>
            <w:textDirection w:val="lrTb"/>
            <w:noWrap w:val="false"/>
          </w:tcPr>
          <w:p>
            <w:pPr>
              <w:rPr>
                <w:rFonts w:ascii="宋体" w:hAnsi="宋体" w:cs="宋体"/>
                <w:color w:val="auto"/>
                <w:highlight w:val="none"/>
              </w:rPr>
            </w:pPr>
            <w:r>
              <w:rPr>
                <w:rFonts w:ascii="宋体" w:hAnsi="宋体" w:cs="宋体"/>
                <w:color w:val="auto"/>
                <w:highlight w:val="none"/>
              </w:rPr>
            </w:r>
            <w:r/>
          </w:p>
        </w:tc>
        <w:tc>
          <w:tcPr>
            <w:tcW w:w="775" w:type="dxa"/>
            <w:vAlign w:val="center"/>
            <w:textDirection w:val="lrTb"/>
            <w:noWrap w:val="false"/>
          </w:tcPr>
          <w:p>
            <w:pPr>
              <w:rPr>
                <w:rFonts w:ascii="宋体" w:hAnsi="宋体" w:cs="宋体"/>
                <w:color w:val="auto"/>
                <w:highlight w:val="none"/>
              </w:rPr>
            </w:pPr>
            <w:r>
              <w:rPr>
                <w:rFonts w:ascii="宋体" w:hAnsi="宋体" w:cs="宋体"/>
                <w:color w:val="auto"/>
                <w:highlight w:val="none"/>
              </w:rPr>
            </w:r>
            <w:r/>
          </w:p>
        </w:tc>
        <w:tc>
          <w:tcPr>
            <w:tcW w:w="2237" w:type="dxa"/>
            <w:vAlign w:val="center"/>
            <w:textDirection w:val="lrTb"/>
            <w:noWrap w:val="false"/>
          </w:tcPr>
          <w:p>
            <w:pPr>
              <w:rPr>
                <w:rFonts w:ascii="宋体" w:hAnsi="宋体" w:cs="宋体"/>
                <w:color w:val="auto"/>
                <w:highlight w:val="none"/>
              </w:rPr>
            </w:pPr>
            <w:r>
              <w:rPr>
                <w:rFonts w:ascii="宋体" w:hAnsi="宋体" w:cs="宋体"/>
                <w:color w:val="auto"/>
                <w:highlight w:val="none"/>
              </w:rPr>
            </w:r>
            <w:r/>
          </w:p>
        </w:tc>
        <w:tc>
          <w:tcPr>
            <w:tcBorders>
              <w:right w:val="single" w:color="000000" w:sz="4" w:space="0"/>
            </w:tcBorders>
            <w:tcW w:w="1207" w:type="dxa"/>
            <w:vAlign w:val="center"/>
            <w:textDirection w:val="lrTb"/>
            <w:noWrap w:val="false"/>
          </w:tcPr>
          <w:p>
            <w:pPr>
              <w:rPr>
                <w:rFonts w:ascii="宋体" w:hAnsi="宋体" w:cs="宋体"/>
                <w:color w:val="auto"/>
                <w:highlight w:val="none"/>
              </w:rPr>
            </w:pPr>
            <w:r>
              <w:rPr>
                <w:rFonts w:ascii="宋体" w:hAnsi="宋体" w:cs="宋体"/>
                <w:color w:val="auto"/>
                <w:highlight w:val="none"/>
              </w:rPr>
            </w:r>
            <w:r/>
          </w:p>
        </w:tc>
        <w:tc>
          <w:tcPr>
            <w:tcBorders>
              <w:left w:val="single" w:color="000000" w:sz="4" w:space="0"/>
              <w:right w:val="single" w:color="000000" w:sz="4" w:space="0"/>
            </w:tcBorders>
            <w:tcW w:w="1215" w:type="dxa"/>
            <w:vAlign w:val="center"/>
            <w:textDirection w:val="lrTb"/>
            <w:noWrap w:val="false"/>
          </w:tcPr>
          <w:p>
            <w:pPr>
              <w:rPr>
                <w:rFonts w:ascii="宋体" w:hAnsi="宋体" w:cs="宋体"/>
                <w:color w:val="auto"/>
                <w:highlight w:val="none"/>
              </w:rPr>
            </w:pPr>
            <w:r>
              <w:rPr>
                <w:rFonts w:ascii="宋体" w:hAnsi="宋体" w:cs="宋体"/>
                <w:color w:val="auto"/>
                <w:highlight w:val="none"/>
              </w:rPr>
            </w:r>
            <w:r/>
          </w:p>
        </w:tc>
        <w:tc>
          <w:tcPr>
            <w:tcBorders>
              <w:left w:val="single" w:color="000000" w:sz="4" w:space="0"/>
            </w:tcBorders>
            <w:tcW w:w="1246" w:type="dxa"/>
            <w:vAlign w:val="center"/>
            <w:textDirection w:val="lrTb"/>
            <w:noWrap w:val="false"/>
          </w:tcPr>
          <w:p>
            <w:pPr>
              <w:rPr>
                <w:rFonts w:ascii="宋体" w:hAnsi="宋体" w:cs="宋体"/>
                <w:color w:val="auto"/>
                <w:highlight w:val="none"/>
              </w:rPr>
            </w:pPr>
            <w:r>
              <w:rPr>
                <w:rFonts w:ascii="宋体" w:hAnsi="宋体" w:cs="宋体"/>
                <w:color w:val="auto"/>
                <w:highlight w:val="none"/>
              </w:rPr>
            </w:r>
            <w:r/>
          </w:p>
        </w:tc>
      </w:tr>
      <w:tr>
        <w:trPr>
          <w:jc w:val="center"/>
          <w:trHeight w:val="571"/>
        </w:trPr>
        <w:tc>
          <w:tcPr>
            <w:tcW w:w="819" w:type="dxa"/>
            <w:vAlign w:val="center"/>
            <w:textDirection w:val="lrTb"/>
            <w:noWrap w:val="false"/>
          </w:tcPr>
          <w:p>
            <w:pPr>
              <w:rPr>
                <w:rFonts w:ascii="宋体" w:hAnsi="宋体" w:cs="宋体"/>
                <w:color w:val="auto"/>
                <w:highlight w:val="none"/>
              </w:rPr>
            </w:pPr>
            <w:r>
              <w:rPr>
                <w:rFonts w:hint="eastAsia" w:ascii="宋体" w:hAnsi="宋体" w:cs="宋体"/>
                <w:color w:val="auto"/>
                <w:highlight w:val="none"/>
              </w:rPr>
              <w:t xml:space="preserve">...</w:t>
            </w:r>
            <w:r/>
          </w:p>
        </w:tc>
        <w:tc>
          <w:tcPr>
            <w:tcW w:w="1000" w:type="dxa"/>
            <w:vAlign w:val="center"/>
            <w:textDirection w:val="lrTb"/>
            <w:noWrap w:val="false"/>
          </w:tcPr>
          <w:p>
            <w:pPr>
              <w:rPr>
                <w:rFonts w:ascii="宋体" w:hAnsi="宋体" w:cs="宋体"/>
                <w:color w:val="auto"/>
                <w:highlight w:val="none"/>
              </w:rPr>
            </w:pPr>
            <w:r>
              <w:rPr>
                <w:rFonts w:ascii="宋体" w:hAnsi="宋体" w:cs="宋体"/>
                <w:color w:val="auto"/>
                <w:highlight w:val="none"/>
              </w:rPr>
            </w:r>
            <w:r/>
          </w:p>
        </w:tc>
        <w:tc>
          <w:tcPr>
            <w:tcW w:w="999" w:type="dxa"/>
            <w:vAlign w:val="center"/>
            <w:textDirection w:val="lrTb"/>
            <w:noWrap w:val="false"/>
          </w:tcPr>
          <w:p>
            <w:pPr>
              <w:rPr>
                <w:rFonts w:ascii="宋体" w:hAnsi="宋体" w:cs="宋体"/>
                <w:color w:val="auto"/>
                <w:highlight w:val="none"/>
              </w:rPr>
            </w:pPr>
            <w:r>
              <w:rPr>
                <w:rFonts w:ascii="宋体" w:hAnsi="宋体" w:cs="宋体"/>
                <w:color w:val="auto"/>
                <w:highlight w:val="none"/>
              </w:rPr>
            </w:r>
            <w:r/>
          </w:p>
        </w:tc>
        <w:tc>
          <w:tcPr>
            <w:tcW w:w="775" w:type="dxa"/>
            <w:vAlign w:val="center"/>
            <w:textDirection w:val="lrTb"/>
            <w:noWrap w:val="false"/>
          </w:tcPr>
          <w:p>
            <w:pPr>
              <w:rPr>
                <w:rFonts w:ascii="宋体" w:hAnsi="宋体" w:cs="宋体"/>
                <w:color w:val="auto"/>
                <w:highlight w:val="none"/>
              </w:rPr>
            </w:pPr>
            <w:r>
              <w:rPr>
                <w:rFonts w:ascii="宋体" w:hAnsi="宋体" w:cs="宋体"/>
                <w:color w:val="auto"/>
                <w:highlight w:val="none"/>
              </w:rPr>
            </w:r>
            <w:r/>
          </w:p>
        </w:tc>
        <w:tc>
          <w:tcPr>
            <w:tcW w:w="2237" w:type="dxa"/>
            <w:vAlign w:val="center"/>
            <w:textDirection w:val="lrTb"/>
            <w:noWrap w:val="false"/>
          </w:tcPr>
          <w:p>
            <w:pPr>
              <w:rPr>
                <w:rFonts w:ascii="宋体" w:hAnsi="宋体" w:cs="宋体"/>
                <w:color w:val="auto"/>
                <w:highlight w:val="none"/>
              </w:rPr>
            </w:pPr>
            <w:r>
              <w:rPr>
                <w:rFonts w:ascii="宋体" w:hAnsi="宋体" w:cs="宋体"/>
                <w:color w:val="auto"/>
                <w:highlight w:val="none"/>
              </w:rPr>
            </w:r>
            <w:r/>
          </w:p>
        </w:tc>
        <w:tc>
          <w:tcPr>
            <w:tcBorders>
              <w:right w:val="single" w:color="000000" w:sz="4" w:space="0"/>
            </w:tcBorders>
            <w:tcW w:w="1207" w:type="dxa"/>
            <w:vAlign w:val="center"/>
            <w:textDirection w:val="lrTb"/>
            <w:noWrap w:val="false"/>
          </w:tcPr>
          <w:p>
            <w:pPr>
              <w:rPr>
                <w:rFonts w:ascii="宋体" w:hAnsi="宋体" w:cs="宋体"/>
                <w:color w:val="auto"/>
                <w:highlight w:val="none"/>
              </w:rPr>
            </w:pPr>
            <w:r>
              <w:rPr>
                <w:rFonts w:ascii="宋体" w:hAnsi="宋体" w:cs="宋体"/>
                <w:color w:val="auto"/>
                <w:highlight w:val="none"/>
              </w:rPr>
            </w:r>
            <w:r/>
          </w:p>
        </w:tc>
        <w:tc>
          <w:tcPr>
            <w:tcBorders>
              <w:left w:val="single" w:color="000000" w:sz="4" w:space="0"/>
              <w:right w:val="single" w:color="000000" w:sz="4" w:space="0"/>
            </w:tcBorders>
            <w:tcW w:w="1215" w:type="dxa"/>
            <w:vAlign w:val="center"/>
            <w:textDirection w:val="lrTb"/>
            <w:noWrap w:val="false"/>
          </w:tcPr>
          <w:p>
            <w:pPr>
              <w:rPr>
                <w:rFonts w:ascii="宋体" w:hAnsi="宋体" w:cs="宋体"/>
                <w:color w:val="auto"/>
                <w:highlight w:val="none"/>
              </w:rPr>
            </w:pPr>
            <w:r>
              <w:rPr>
                <w:rFonts w:ascii="宋体" w:hAnsi="宋体" w:cs="宋体"/>
                <w:color w:val="auto"/>
                <w:highlight w:val="none"/>
              </w:rPr>
            </w:r>
            <w:r/>
          </w:p>
        </w:tc>
        <w:tc>
          <w:tcPr>
            <w:tcBorders>
              <w:left w:val="single" w:color="000000" w:sz="4" w:space="0"/>
            </w:tcBorders>
            <w:tcW w:w="1246" w:type="dxa"/>
            <w:vAlign w:val="center"/>
            <w:textDirection w:val="lrTb"/>
            <w:noWrap w:val="false"/>
          </w:tcPr>
          <w:p>
            <w:pPr>
              <w:rPr>
                <w:rFonts w:ascii="宋体" w:hAnsi="宋体" w:cs="宋体"/>
                <w:color w:val="auto"/>
                <w:highlight w:val="none"/>
              </w:rPr>
            </w:pPr>
            <w:r>
              <w:rPr>
                <w:rFonts w:ascii="宋体" w:hAnsi="宋体" w:cs="宋体"/>
                <w:color w:val="auto"/>
                <w:highlight w:val="none"/>
              </w:rPr>
            </w:r>
            <w:r/>
          </w:p>
        </w:tc>
      </w:tr>
    </w:tbl>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投标人名称（公章):</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法定代表人（授权代表）签字或盖章：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日期：</w:t>
      </w:r>
      <w:r/>
    </w:p>
    <w:p>
      <w:pPr>
        <w:jc w:val="center"/>
        <w:rPr>
          <w:rFonts w:ascii="宋体" w:hAnsi="宋体" w:cs="宋体"/>
          <w:color w:val="auto"/>
          <w:sz w:val="44"/>
          <w:szCs w:val="44"/>
          <w:highlight w:val="none"/>
        </w:rPr>
        <w:outlineLvl w:val="0"/>
      </w:pPr>
      <w:r>
        <w:rPr>
          <w:rFonts w:hint="eastAsia" w:ascii="宋体" w:hAnsi="宋体" w:cs="宋体"/>
          <w:color w:val="auto"/>
          <w:highlight w:val="none"/>
        </w:rPr>
        <w:br w:type="page" w:clear="all"/>
      </w:r>
      <w:bookmarkStart w:id="304" w:name="_Toc24829"/>
      <w:r/>
      <w:bookmarkStart w:id="305" w:name="_Toc14790"/>
      <w:r/>
      <w:bookmarkStart w:id="306" w:name="_Toc18822"/>
      <w:r/>
      <w:bookmarkStart w:id="307" w:name="_Toc5831"/>
      <w:r/>
      <w:bookmarkStart w:id="308" w:name="_Toc21857"/>
      <w:r/>
      <w:bookmarkStart w:id="309" w:name="_Toc30275"/>
      <w:r/>
      <w:bookmarkStart w:id="310" w:name="_Toc23917"/>
      <w:r/>
      <w:bookmarkStart w:id="311" w:name="_Toc5449"/>
      <w:r/>
      <w:bookmarkStart w:id="312" w:name="_Toc640"/>
      <w:r/>
      <w:bookmarkStart w:id="313" w:name="_Toc22748"/>
      <w:r/>
      <w:bookmarkStart w:id="314" w:name="_Toc11876"/>
      <w:r/>
      <w:bookmarkStart w:id="315" w:name="_Toc11986"/>
      <w:r/>
      <w:bookmarkStart w:id="316" w:name="_Toc633"/>
      <w:r/>
      <w:bookmarkStart w:id="317" w:name="_Toc28880"/>
      <w:r/>
      <w:bookmarkStart w:id="318" w:name="_Toc943"/>
      <w:r/>
      <w:bookmarkStart w:id="319" w:name="_Toc9097"/>
      <w:r/>
      <w:bookmarkStart w:id="320" w:name="_Toc31460"/>
      <w:r/>
      <w:bookmarkStart w:id="321" w:name="_Toc32016"/>
      <w:r/>
      <w:bookmarkStart w:id="322" w:name="_Toc16884"/>
      <w:r/>
      <w:bookmarkStart w:id="323" w:name="_Toc12538"/>
      <w:r/>
      <w:bookmarkStart w:id="324" w:name="_Toc32597"/>
      <w:r/>
      <w:bookmarkStart w:id="325" w:name="_Toc680"/>
      <w:r/>
      <w:bookmarkStart w:id="326" w:name="_Toc4616"/>
      <w:r/>
      <w:bookmarkStart w:id="327" w:name="_Toc5133"/>
      <w:r/>
      <w:bookmarkStart w:id="328" w:name="_Toc11253"/>
      <w:r/>
      <w:bookmarkStart w:id="329" w:name="_Toc17860"/>
      <w:r/>
      <w:bookmarkStart w:id="330" w:name="_Toc12073"/>
      <w:r/>
      <w:bookmarkStart w:id="331" w:name="_Toc18594"/>
      <w:r>
        <w:rPr>
          <w:rFonts w:hint="eastAsia" w:ascii="宋体" w:hAnsi="宋体" w:cs="宋体"/>
          <w:b/>
          <w:bCs/>
          <w:color w:val="auto"/>
          <w:sz w:val="36"/>
          <w:szCs w:val="36"/>
          <w:highlight w:val="none"/>
        </w:rPr>
        <w:t xml:space="preserve">八、相关附表格式</w:t>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r/>
    </w:p>
    <w:p>
      <w:pPr>
        <w:jc w:val="center"/>
        <w:rPr>
          <w:rFonts w:ascii="宋体" w:hAnsi="宋体" w:cs="宋体"/>
          <w:b/>
          <w:bCs/>
          <w:color w:val="auto"/>
          <w:sz w:val="32"/>
          <w:szCs w:val="32"/>
          <w:highlight w:val="none"/>
        </w:rPr>
        <w:outlineLvl w:val="1"/>
      </w:pPr>
      <w:r/>
      <w:bookmarkStart w:id="332" w:name="_Toc20929"/>
      <w:r/>
      <w:bookmarkStart w:id="333" w:name="_Toc5526"/>
      <w:r/>
      <w:bookmarkStart w:id="334" w:name="_Toc22191"/>
      <w:r/>
      <w:bookmarkStart w:id="335" w:name="_Toc22400"/>
      <w:r/>
      <w:bookmarkStart w:id="336" w:name="_Toc372"/>
      <w:r/>
      <w:bookmarkStart w:id="337" w:name="_Toc7749"/>
      <w:r/>
      <w:bookmarkStart w:id="338" w:name="_Toc3522"/>
      <w:r/>
      <w:bookmarkStart w:id="339" w:name="_Toc31537"/>
      <w:r/>
      <w:bookmarkStart w:id="340" w:name="_Toc9168"/>
      <w:r/>
      <w:bookmarkStart w:id="341" w:name="_Toc279"/>
      <w:r/>
      <w:bookmarkStart w:id="342" w:name="_Toc13770"/>
      <w:r/>
      <w:bookmarkStart w:id="343" w:name="_Toc20528"/>
      <w:r/>
      <w:bookmarkStart w:id="344" w:name="_Toc20289"/>
      <w:r/>
      <w:bookmarkStart w:id="345" w:name="_Toc13980"/>
      <w:r/>
      <w:bookmarkStart w:id="346" w:name="_Toc16522"/>
      <w:r/>
      <w:bookmarkStart w:id="347" w:name="_Toc8614"/>
      <w:r/>
      <w:bookmarkStart w:id="348" w:name="_Toc17684"/>
      <w:r/>
      <w:bookmarkStart w:id="349" w:name="_Toc16433"/>
      <w:r/>
      <w:bookmarkStart w:id="350" w:name="_Toc29561"/>
      <w:r/>
      <w:bookmarkStart w:id="351" w:name="_Toc30690"/>
      <w:r/>
      <w:bookmarkStart w:id="352" w:name="_Toc25699"/>
      <w:r/>
      <w:bookmarkStart w:id="353" w:name="_Toc15146"/>
      <w:r/>
      <w:bookmarkStart w:id="354" w:name="_Toc22749"/>
      <w:r/>
      <w:bookmarkStart w:id="355" w:name="_Toc9559"/>
      <w:r/>
      <w:bookmarkStart w:id="356" w:name="_Toc24101"/>
      <w:r/>
      <w:bookmarkStart w:id="357" w:name="_Toc8494"/>
      <w:r/>
      <w:bookmarkStart w:id="358" w:name="_Toc32094"/>
      <w:r/>
      <w:bookmarkStart w:id="359" w:name="_Toc18821"/>
      <w:r>
        <w:rPr>
          <w:rFonts w:hint="eastAsia" w:ascii="宋体" w:hAnsi="宋体" w:cs="宋体"/>
          <w:b/>
          <w:bCs/>
          <w:color w:val="auto"/>
          <w:sz w:val="32"/>
          <w:szCs w:val="32"/>
          <w:highlight w:val="none"/>
        </w:rPr>
        <w:t xml:space="preserve">附 件1：法人授权委托书</w:t>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江苏达琛鑫项目管理有限公司</w:t>
      </w:r>
      <w:r>
        <w:rPr>
          <w:rFonts w:hint="eastAsia" w:ascii="宋体" w:hAnsi="宋体" w:cs="宋体"/>
          <w:color w:val="auto"/>
          <w:sz w:val="24"/>
          <w:szCs w:val="24"/>
          <w:highlight w:val="none"/>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本授权书宣告：</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委托单位：                         地 址：</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法定代表人：                       受托人：</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出生日期：   年  月  日</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所在单位：                          职 务：</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身 份 证：                          联系方式: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兹委托受托人合法地代表我单位参加</w:t>
      </w:r>
      <w:r>
        <w:rPr>
          <w:rFonts w:hint="eastAsia" w:ascii="宋体" w:hAnsi="宋体" w:cs="宋体"/>
          <w:color w:val="auto"/>
          <w:sz w:val="24"/>
          <w:szCs w:val="24"/>
          <w:highlight w:val="none"/>
          <w:lang w:eastAsia="zh-CN"/>
        </w:rPr>
        <w:t xml:space="preserve">江苏达琛鑫项目管理有限公司</w:t>
      </w:r>
      <w:r>
        <w:rPr>
          <w:rFonts w:hint="eastAsia" w:ascii="宋体" w:hAnsi="宋体" w:cs="宋体"/>
          <w:color w:val="auto"/>
          <w:sz w:val="24"/>
          <w:szCs w:val="24"/>
          <w:highlight w:val="none"/>
        </w:rPr>
        <w:t xml:space="preserve">组织的（采购编号：</w:t>
      </w:r>
      <w:r>
        <w:rPr>
          <w:rFonts w:hint="eastAsia" w:ascii="宋体" w:hAnsi="宋体" w:cs="宋体"/>
          <w:color w:val="auto"/>
          <w:sz w:val="24"/>
          <w:szCs w:val="24"/>
          <w:highlight w:val="none"/>
          <w:lang w:eastAsia="zh-CN"/>
        </w:rPr>
        <w:t xml:space="preserve">JSZC-320000-SDCX-G2026-0001</w:t>
      </w: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全省食用林产品质量安全监测</w:t>
      </w:r>
      <w:r>
        <w:rPr>
          <w:rFonts w:hint="eastAsia" w:ascii="宋体" w:hAnsi="宋体" w:cs="宋体"/>
          <w:color w:val="auto"/>
          <w:sz w:val="24"/>
          <w:szCs w:val="24"/>
          <w:highlight w:val="none"/>
        </w:rPr>
        <w:t xml:space="preserve">的采购活动，受托人有权在该投标活动中，以我单位的名义签署投标书和投标文件，与招标代理机构协商、澄清、解释，质疑，签订合同书并执行一切与此有关的事项。</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受托人在办理上述事宜过程中以其自己的名义所签署的所有文件我均予以承认。受托人无转委托权。</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委托期限：至上述事宜处理完毕止。</w:t>
      </w:r>
      <w:r/>
    </w:p>
    <w:p>
      <w:pPr>
        <w:ind w:firstLine="480"/>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80"/>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委托单位   （公章）</w:t>
      </w:r>
      <w:r/>
    </w:p>
    <w:p>
      <w:pPr>
        <w:ind w:left="4080" w:hanging="4080"/>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法定代表人（签字或盖章）</w:t>
      </w:r>
      <w:r/>
    </w:p>
    <w:p>
      <w:pPr>
        <w:ind w:left="4080" w:hanging="4080"/>
        <w:jc w:val="right"/>
        <w:spacing w:line="360" w:lineRule="auto"/>
        <w:rPr>
          <w:rFonts w:ascii="宋体" w:hAnsi="宋体" w:cs="宋体"/>
          <w:color w:val="auto"/>
          <w:sz w:val="28"/>
          <w:szCs w:val="28"/>
          <w:highlight w:val="none"/>
        </w:rPr>
      </w:pPr>
      <w:r>
        <w:rPr>
          <w:rFonts w:hint="eastAsia" w:ascii="宋体" w:hAnsi="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年  月  日</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备注：</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1、投标人授权代表须在投标截止时间前持授权书原件及授权代表身份证件办理签名报到。（投标文件中须附授权代表及法人的身份证复印件）</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2、非授权代表办理上述事宜，招标代理机构将拒绝。</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3、投标人法定代表人直接参加投标的，无须提供法人授权委托书，但须持本人身份证件及营业执照复印件办理相关手续。</w:t>
      </w:r>
      <w:r/>
    </w:p>
    <w:p>
      <w:pPr>
        <w:ind w:firstLine="560"/>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rPr>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rPr>
          <w:rFonts w:ascii="宋体" w:hAnsi="宋体" w:cs="宋体"/>
          <w:b/>
          <w:bCs/>
          <w:color w:val="auto"/>
          <w:sz w:val="32"/>
          <w:szCs w:val="32"/>
          <w:highlight w:val="none"/>
        </w:rPr>
        <w:outlineLvl w:val="1"/>
      </w:pPr>
      <w:r>
        <w:rPr>
          <w:highlight w:val="none"/>
        </w:rPr>
      </w:r>
      <w:r>
        <w:rPr>
          <w:highlight w:val="none"/>
        </w:rPr>
      </w:r>
    </w:p>
    <w:p>
      <w:pPr>
        <w:jc w:val="center"/>
        <w:rPr>
          <w:highlight w:val="none"/>
        </w:rPr>
        <w:outlineLvl w:val="1"/>
      </w:pPr>
      <w:r>
        <w:rPr>
          <w:highlight w:val="none"/>
        </w:rPr>
      </w:r>
      <w:r>
        <w:rPr>
          <w:highlight w:val="none"/>
        </w:rPr>
      </w:r>
    </w:p>
    <w:p>
      <w:pPr>
        <w:jc w:val="center"/>
        <w:rPr>
          <w:highlight w:val="none"/>
        </w:rPr>
        <w:outlineLvl w:val="1"/>
      </w:pPr>
      <w:r/>
      <w:bookmarkStart w:id="360" w:name="_Toc17712"/>
      <w:r/>
      <w:bookmarkStart w:id="361" w:name="_Toc9860"/>
      <w:r/>
      <w:bookmarkStart w:id="362" w:name="_Toc7071"/>
      <w:r/>
      <w:bookmarkStart w:id="363" w:name="_Toc23548"/>
      <w:r/>
      <w:bookmarkStart w:id="364" w:name="_Toc6497"/>
      <w:r/>
      <w:bookmarkStart w:id="365" w:name="_Toc28066"/>
      <w:r/>
      <w:bookmarkStart w:id="366" w:name="_Toc3763"/>
      <w:r/>
      <w:bookmarkStart w:id="367" w:name="_Toc5516"/>
      <w:r/>
      <w:bookmarkStart w:id="368" w:name="_Toc27454"/>
      <w:r/>
      <w:bookmarkStart w:id="369" w:name="_Toc12487"/>
      <w:r/>
      <w:bookmarkStart w:id="370" w:name="_Toc19723"/>
      <w:r/>
      <w:bookmarkStart w:id="371" w:name="_Toc17585"/>
      <w:r/>
      <w:bookmarkStart w:id="372" w:name="_Toc25385"/>
      <w:r/>
      <w:bookmarkStart w:id="373" w:name="_Toc7411"/>
      <w:r/>
      <w:bookmarkStart w:id="374" w:name="_Toc2998"/>
      <w:r/>
      <w:bookmarkStart w:id="375" w:name="_Toc9828"/>
      <w:r/>
      <w:bookmarkStart w:id="376" w:name="_Toc6320"/>
      <w:r/>
      <w:bookmarkStart w:id="377" w:name="_Toc21462"/>
      <w:r/>
      <w:bookmarkStart w:id="378" w:name="_Toc2210"/>
      <w:r/>
      <w:bookmarkStart w:id="379" w:name="_Toc10064"/>
      <w:r/>
      <w:bookmarkStart w:id="380" w:name="_Toc896"/>
      <w:r/>
      <w:bookmarkStart w:id="381" w:name="_Toc859"/>
      <w:r/>
      <w:bookmarkStart w:id="382" w:name="_Toc29624"/>
      <w:r/>
      <w:bookmarkStart w:id="383" w:name="_Toc697"/>
      <w:r/>
      <w:bookmarkStart w:id="384" w:name="_Toc24832"/>
      <w:r/>
      <w:bookmarkStart w:id="385" w:name="_Toc8414"/>
      <w:r/>
      <w:bookmarkStart w:id="386" w:name="_Toc216"/>
      <w:r/>
      <w:bookmarkStart w:id="387" w:name="_Toc1071"/>
      <w:r>
        <w:rPr>
          <w:rFonts w:hint="eastAsia" w:ascii="宋体" w:hAnsi="宋体" w:cs="宋体"/>
          <w:b/>
          <w:bCs/>
          <w:color w:val="auto"/>
          <w:sz w:val="32"/>
          <w:szCs w:val="32"/>
          <w:highlight w:val="none"/>
        </w:rPr>
        <w:t xml:space="preserve">附 件2：具备履行合同所必需的设备和专业技术能力的书面声明</w:t>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r/>
    </w:p>
    <w:p>
      <w:pPr>
        <w:ind w:firstLine="480"/>
        <w:spacing w:line="460" w:lineRule="exact"/>
        <w:rPr>
          <w:rFonts w:ascii="宋体" w:hAnsi="宋体" w:cs="宋体"/>
          <w:color w:val="auto"/>
          <w:sz w:val="24"/>
          <w:szCs w:val="24"/>
          <w:highlight w:val="none"/>
        </w:rPr>
      </w:pPr>
      <w:r>
        <w:rPr>
          <w:rFonts w:ascii="宋体" w:hAnsi="宋体" w:cs="宋体"/>
          <w:color w:val="auto"/>
          <w:sz w:val="24"/>
          <w:szCs w:val="24"/>
          <w:highlight w:val="none"/>
        </w:rPr>
      </w:r>
      <w:r/>
    </w:p>
    <w:p>
      <w:pPr>
        <w:ind w:firstLine="480"/>
        <w:spacing w:line="4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我公司郑重声明：我公司具备履行本项采购合同所必需的设备和专业技术能力，为履行本项采购合同我公司具备如下主要设备和主要专业技术能力：</w:t>
      </w:r>
      <w:r/>
    </w:p>
    <w:p>
      <w:pPr>
        <w:ind w:firstLine="480"/>
        <w:spacing w:line="4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主要设备有：  。</w:t>
      </w:r>
      <w:r/>
    </w:p>
    <w:p>
      <w:pPr>
        <w:ind w:firstLine="480"/>
        <w:spacing w:line="4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主要专业技术能力有：   。</w:t>
      </w:r>
      <w:r/>
    </w:p>
    <w:p>
      <w:pPr>
        <w:ind w:firstLine="480"/>
        <w:spacing w:line="460" w:lineRule="exact"/>
        <w:rPr>
          <w:rFonts w:ascii="宋体" w:hAnsi="宋体" w:cs="宋体"/>
          <w:color w:val="auto"/>
          <w:sz w:val="24"/>
          <w:szCs w:val="24"/>
          <w:highlight w:val="none"/>
        </w:rPr>
      </w:pPr>
      <w:r>
        <w:rPr>
          <w:rFonts w:ascii="宋体" w:hAnsi="宋体" w:cs="宋体"/>
          <w:color w:val="auto"/>
          <w:sz w:val="24"/>
          <w:szCs w:val="24"/>
          <w:highlight w:val="none"/>
        </w:rPr>
      </w:r>
      <w:r/>
    </w:p>
    <w:p>
      <w:pPr>
        <w:ind w:firstLine="480"/>
        <w:spacing w:line="460" w:lineRule="exact"/>
        <w:rPr>
          <w:rFonts w:ascii="宋体" w:hAnsi="宋体" w:cs="宋体"/>
          <w:color w:val="auto"/>
          <w:sz w:val="24"/>
          <w:szCs w:val="24"/>
          <w:highlight w:val="none"/>
        </w:rPr>
      </w:pPr>
      <w:r>
        <w:rPr>
          <w:rFonts w:ascii="宋体" w:hAnsi="宋体" w:cs="宋体"/>
          <w:color w:val="auto"/>
          <w:sz w:val="24"/>
          <w:szCs w:val="24"/>
          <w:highlight w:val="none"/>
        </w:rPr>
      </w:r>
      <w:r/>
    </w:p>
    <w:p>
      <w:pPr>
        <w:ind w:firstLine="480"/>
        <w:spacing w:line="4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                                    投标人名称（公章）：</w:t>
      </w:r>
      <w:r/>
    </w:p>
    <w:p>
      <w:pPr>
        <w:ind w:firstLine="4800"/>
        <w:spacing w:line="4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法定代表人或授权代表签字：</w:t>
      </w:r>
      <w:r/>
    </w:p>
    <w:p>
      <w:pPr>
        <w:ind w:firstLine="4800"/>
        <w:spacing w:line="4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日期：   年  月  日</w:t>
      </w:r>
      <w:r/>
    </w:p>
    <w:p>
      <w:pPr>
        <w:jc w:val="center"/>
        <w:rPr>
          <w:rFonts w:ascii="宋体" w:hAnsi="宋体" w:cs="宋体"/>
          <w:b/>
          <w:bCs/>
          <w:color w:val="auto"/>
          <w:sz w:val="32"/>
          <w:szCs w:val="32"/>
          <w:highlight w:val="none"/>
        </w:rPr>
        <w:outlineLvl w:val="1"/>
      </w:pPr>
      <w:r>
        <w:rPr>
          <w:rFonts w:hint="eastAsia" w:ascii="宋体" w:hAnsi="宋体" w:cs="宋体"/>
          <w:color w:val="auto"/>
          <w:highlight w:val="none"/>
        </w:rPr>
        <w:br w:type="page" w:clear="all"/>
      </w:r>
      <w:bookmarkStart w:id="388" w:name="_Toc31354"/>
      <w:r/>
      <w:bookmarkStart w:id="389" w:name="_Toc22543"/>
      <w:r/>
      <w:bookmarkStart w:id="390" w:name="_Toc19363"/>
      <w:r/>
      <w:bookmarkStart w:id="391" w:name="_Toc1962"/>
      <w:r/>
      <w:bookmarkStart w:id="392" w:name="_Toc5409"/>
      <w:r/>
      <w:bookmarkStart w:id="393" w:name="_Toc28993"/>
      <w:r/>
      <w:bookmarkStart w:id="394" w:name="_Toc6360"/>
      <w:r/>
      <w:bookmarkStart w:id="395" w:name="_Toc31415"/>
      <w:r/>
      <w:bookmarkStart w:id="396" w:name="_Toc17259"/>
      <w:r/>
      <w:bookmarkStart w:id="397" w:name="_Toc1294"/>
      <w:r/>
      <w:bookmarkStart w:id="398" w:name="_Toc4958"/>
      <w:r/>
      <w:bookmarkStart w:id="399" w:name="_Toc7800"/>
      <w:r/>
      <w:bookmarkStart w:id="400" w:name="_Toc24111"/>
      <w:r/>
      <w:bookmarkStart w:id="401" w:name="_Toc4019"/>
      <w:r/>
      <w:bookmarkStart w:id="402" w:name="_Toc4778"/>
      <w:r/>
      <w:bookmarkStart w:id="403" w:name="_Toc21695"/>
      <w:r/>
      <w:bookmarkStart w:id="404" w:name="_Toc14059"/>
      <w:r/>
      <w:bookmarkStart w:id="405" w:name="_Toc13789"/>
      <w:r/>
      <w:bookmarkStart w:id="406" w:name="_Toc31892"/>
      <w:r/>
      <w:bookmarkStart w:id="407" w:name="_Toc17634"/>
      <w:r/>
      <w:bookmarkStart w:id="408" w:name="_Toc14403"/>
      <w:r/>
      <w:bookmarkStart w:id="409" w:name="_Toc3898"/>
      <w:r/>
      <w:bookmarkStart w:id="410" w:name="_Toc17875"/>
      <w:r/>
      <w:bookmarkStart w:id="411" w:name="_Toc20744"/>
      <w:r/>
      <w:bookmarkStart w:id="412" w:name="_Toc26796"/>
      <w:r/>
      <w:bookmarkStart w:id="413" w:name="_Toc1616"/>
      <w:r/>
      <w:bookmarkStart w:id="414" w:name="_Toc5789"/>
      <w:r/>
      <w:bookmarkStart w:id="415" w:name="_Toc6571"/>
      <w:r>
        <w:rPr>
          <w:rFonts w:hint="eastAsia" w:ascii="宋体" w:hAnsi="宋体" w:cs="宋体"/>
          <w:b/>
          <w:bCs/>
          <w:color w:val="auto"/>
          <w:sz w:val="32"/>
          <w:szCs w:val="32"/>
          <w:highlight w:val="none"/>
        </w:rPr>
        <w:t xml:space="preserve">附 件3：三年内无重大违纪声明</w:t>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r/>
    </w:p>
    <w:p>
      <w:pPr>
        <w:ind w:firstLine="723"/>
        <w:jc w:val="center"/>
        <w:spacing w:line="360" w:lineRule="auto"/>
        <w:rPr>
          <w:rFonts w:ascii="宋体" w:hAnsi="宋体" w:cs="宋体"/>
          <w:color w:val="auto"/>
          <w:sz w:val="36"/>
          <w:szCs w:val="36"/>
          <w:highlight w:val="none"/>
        </w:rPr>
      </w:pPr>
      <w:r>
        <w:rPr>
          <w:rFonts w:hint="eastAsia" w:ascii="宋体" w:hAnsi="宋体" w:cs="宋体"/>
          <w:b/>
          <w:bCs/>
          <w:color w:val="auto"/>
          <w:sz w:val="36"/>
          <w:szCs w:val="36"/>
          <w:highlight w:val="none"/>
        </w:rPr>
        <w:t xml:space="preserve">声  明</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我公司郑重声明：参加本次采购活动前3年内，我公司在经营活动中没有因违法经营受到刑事处罚或者责令停产停业、吊销许可证或者执照、较大数额违约金等行政处罚。若招标采购单位在本项目采购过程中发现我公司近三年内在经营活动中有重大违法记录，我公司将无条件地退出本项目的招标采购，并承担因此引起的一切后果。</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投标人名称（公章）：</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法定代表人（授权代表）签字或盖章：</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日期：</w:t>
      </w:r>
      <w:r/>
    </w:p>
    <w:p>
      <w:pPr>
        <w:ind w:firstLine="480"/>
        <w:rPr>
          <w:rFonts w:ascii="宋体" w:hAnsi="宋体" w:cs="宋体"/>
          <w:color w:val="auto"/>
          <w:sz w:val="24"/>
          <w:szCs w:val="24"/>
          <w:highlight w:val="none"/>
        </w:rPr>
      </w:pPr>
      <w:r>
        <w:rPr>
          <w:rFonts w:ascii="宋体" w:hAnsi="宋体" w:cs="宋体"/>
          <w:color w:val="auto"/>
          <w:sz w:val="24"/>
          <w:szCs w:val="24"/>
          <w:highlight w:val="none"/>
        </w:rPr>
      </w:r>
      <w:r/>
    </w:p>
    <w:p>
      <w:pPr>
        <w:jc w:val="center"/>
        <w:rPr>
          <w:rFonts w:ascii="宋体" w:hAnsi="宋体" w:cs="宋体"/>
          <w:b/>
          <w:bCs/>
          <w:color w:val="auto"/>
          <w:sz w:val="32"/>
          <w:szCs w:val="32"/>
          <w:highlight w:val="none"/>
        </w:rPr>
        <w:outlineLvl w:val="1"/>
      </w:pPr>
      <w:r>
        <w:rPr>
          <w:rFonts w:hint="eastAsia" w:ascii="宋体" w:hAnsi="宋体" w:cs="宋体"/>
          <w:b/>
          <w:bCs/>
          <w:color w:val="auto"/>
          <w:sz w:val="24"/>
          <w:szCs w:val="24"/>
          <w:highlight w:val="none"/>
        </w:rPr>
        <w:br w:type="page" w:clear="all"/>
      </w:r>
      <w:bookmarkStart w:id="416" w:name="_Toc2697"/>
      <w:r/>
      <w:bookmarkStart w:id="417" w:name="_Toc4338"/>
      <w:r/>
      <w:bookmarkStart w:id="418" w:name="_Toc26218"/>
      <w:r/>
      <w:bookmarkStart w:id="419" w:name="_Toc11098"/>
      <w:r/>
      <w:bookmarkStart w:id="420" w:name="_Toc14712"/>
      <w:r/>
      <w:bookmarkStart w:id="421" w:name="_Toc16486"/>
      <w:r/>
      <w:bookmarkStart w:id="422" w:name="_Toc8074"/>
      <w:r/>
      <w:bookmarkStart w:id="423" w:name="_Toc5149"/>
      <w:r/>
      <w:bookmarkStart w:id="424" w:name="_Toc25170494"/>
      <w:r>
        <w:rPr>
          <w:rFonts w:hint="eastAsia" w:ascii="宋体" w:hAnsi="宋体" w:cs="宋体"/>
          <w:b/>
          <w:bCs/>
          <w:color w:val="auto"/>
          <w:sz w:val="32"/>
          <w:szCs w:val="32"/>
          <w:highlight w:val="none"/>
        </w:rPr>
        <w:t xml:space="preserve">附 件4：中小企业声明函格式</w:t>
      </w:r>
      <w:bookmarkEnd w:id="416"/>
      <w:r/>
      <w:bookmarkEnd w:id="417"/>
      <w:r/>
      <w:bookmarkEnd w:id="418"/>
      <w:r/>
      <w:bookmarkEnd w:id="419"/>
      <w:r/>
      <w:bookmarkEnd w:id="420"/>
      <w:r/>
      <w:bookmarkEnd w:id="421"/>
      <w:r/>
      <w:bookmarkEnd w:id="422"/>
      <w:r/>
      <w:bookmarkEnd w:id="423"/>
      <w:r/>
      <w:bookmarkEnd w:id="424"/>
      <w:r>
        <w:rPr>
          <w:rFonts w:hint="eastAsia" w:ascii="宋体" w:hAnsi="宋体" w:cs="宋体"/>
          <w:b/>
          <w:bCs/>
          <w:color w:val="auto"/>
          <w:sz w:val="36"/>
          <w:szCs w:val="36"/>
          <w:highlight w:val="none"/>
        </w:rPr>
        <w:t xml:space="preserve">(如有)</w:t>
      </w:r>
      <w:r/>
    </w:p>
    <w:p>
      <w:pPr>
        <w:ind w:firstLine="723"/>
        <w:jc w:val="center"/>
        <w:spacing w:line="360" w:lineRule="auto"/>
        <w:rPr>
          <w:rFonts w:ascii="宋体" w:hAnsi="宋体" w:cs="宋体"/>
          <w:b/>
          <w:bCs/>
          <w:color w:val="auto"/>
          <w:sz w:val="36"/>
          <w:szCs w:val="36"/>
          <w:highlight w:val="none"/>
        </w:rPr>
      </w:pPr>
      <w:r>
        <w:rPr>
          <w:rFonts w:hint="eastAsia" w:ascii="宋体" w:hAnsi="宋体" w:cs="宋体"/>
          <w:b/>
          <w:bCs/>
          <w:color w:val="auto"/>
          <w:sz w:val="36"/>
          <w:szCs w:val="36"/>
          <w:highlight w:val="none"/>
        </w:rPr>
        <w:t xml:space="preserve">中小企业声明函</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 服务全部由符合政策要求的中小企业承接）。相关企业（含联合体中的中小企业、签订分包意向协议的中小企业）的具体情况如下∶</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1.（标的名称），属于（采购文件中明确的所属行业）;承建（承接）企业为（企业名称），从业人员___人，营业收入为____万元，资产总额为___万元，属于（中型企业、小型企业、微型企业）;</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2.（标的名称），属于（采购文件中明确的所属行业）;承建（承接）企业为（企业名称），从业人员____人，营业收入为___万元，资产总额为___万元，属于（中型企业、小型企业、微型企业）;</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以上企业，不属于大企业的分支机构，不存在控股股东为大企业的情形，也不存在与大企业的负责人为同一人的情形。</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本企业对上述声明内容的真实性负责。如有虚假，将依法承担相应责任。</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供应商全称（公章）：</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日期：</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说明：</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微型”或“小型”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宋体" w:hAnsi="宋体" w:cs="宋体"/>
          <w:b/>
          <w:bCs/>
          <w:color w:val="auto"/>
          <w:sz w:val="32"/>
          <w:szCs w:val="32"/>
          <w:highlight w:val="none"/>
        </w:rPr>
        <w:outlineLvl w:val="1"/>
      </w:pPr>
      <w:r>
        <w:rPr>
          <w:rFonts w:hint="eastAsia" w:ascii="宋体" w:hAnsi="宋体" w:cs="宋体"/>
          <w:color w:val="auto"/>
          <w:sz w:val="24"/>
          <w:szCs w:val="24"/>
          <w:highlight w:val="none"/>
        </w:rPr>
        <w:br w:type="page" w:clear="all"/>
      </w:r>
      <w:bookmarkStart w:id="425" w:name="_Toc21307"/>
      <w:r/>
      <w:bookmarkStart w:id="426" w:name="_Toc31390"/>
      <w:r/>
      <w:bookmarkStart w:id="427" w:name="_Toc15139"/>
      <w:r/>
      <w:bookmarkStart w:id="428" w:name="_Toc5439"/>
      <w:r/>
      <w:bookmarkStart w:id="429" w:name="_Toc27138"/>
      <w:r/>
      <w:bookmarkStart w:id="430" w:name="_Toc14872"/>
      <w:r/>
      <w:bookmarkStart w:id="431" w:name="_Toc31326"/>
      <w:r/>
      <w:bookmarkStart w:id="432" w:name="_Toc30909"/>
      <w:r/>
      <w:bookmarkStart w:id="433" w:name="_Toc16905"/>
      <w:r/>
      <w:bookmarkStart w:id="434" w:name="_Toc19516"/>
      <w:r/>
      <w:bookmarkStart w:id="435" w:name="_Toc22636"/>
      <w:r/>
      <w:bookmarkStart w:id="436" w:name="_Toc21769"/>
      <w:r/>
      <w:bookmarkStart w:id="437" w:name="_Toc10368"/>
      <w:r/>
      <w:bookmarkStart w:id="438" w:name="_Toc31779"/>
      <w:r/>
      <w:bookmarkStart w:id="439" w:name="_Toc12150"/>
      <w:r/>
      <w:bookmarkStart w:id="440" w:name="_Toc12490"/>
      <w:r/>
      <w:bookmarkStart w:id="441" w:name="_Toc28904"/>
      <w:r/>
      <w:bookmarkStart w:id="442" w:name="_Toc26175"/>
      <w:r/>
      <w:bookmarkStart w:id="443" w:name="_Toc21070"/>
      <w:r/>
      <w:bookmarkStart w:id="444" w:name="_Toc17717"/>
      <w:r/>
      <w:bookmarkStart w:id="445" w:name="_Toc11291"/>
      <w:r/>
      <w:bookmarkStart w:id="446" w:name="_Toc12001"/>
      <w:r/>
      <w:bookmarkStart w:id="447" w:name="_Toc27726"/>
      <w:r/>
      <w:bookmarkStart w:id="448" w:name="_Toc1562"/>
      <w:r/>
      <w:bookmarkStart w:id="449" w:name="_Toc20532"/>
      <w:r/>
      <w:bookmarkStart w:id="450" w:name="_Toc17032"/>
      <w:r/>
      <w:bookmarkStart w:id="451" w:name="_Toc1390"/>
      <w:r/>
      <w:bookmarkStart w:id="452" w:name="_Toc28553"/>
      <w:r>
        <w:rPr>
          <w:rFonts w:hint="eastAsia" w:ascii="宋体" w:hAnsi="宋体" w:cs="宋体"/>
          <w:b/>
          <w:bCs/>
          <w:color w:val="auto"/>
          <w:sz w:val="32"/>
          <w:szCs w:val="32"/>
          <w:highlight w:val="none"/>
        </w:rPr>
        <w:t xml:space="preserve">附 件5：残疾人福利性单位声明函</w:t>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r/>
    </w:p>
    <w:p>
      <w:pPr>
        <w:ind w:firstLine="624"/>
        <w:spacing w:line="588" w:lineRule="exact"/>
        <w:rPr>
          <w:rFonts w:ascii="宋体" w:hAnsi="宋体" w:cs="宋体"/>
          <w:color w:val="auto"/>
          <w:spacing w:val="6"/>
          <w:sz w:val="30"/>
          <w:szCs w:val="30"/>
          <w:highlight w:val="none"/>
        </w:rPr>
      </w:pPr>
      <w:r>
        <w:rPr>
          <w:rFonts w:hint="eastAsia" w:ascii="宋体" w:hAnsi="宋体" w:cs="宋体"/>
          <w:color w:val="auto"/>
          <w:spacing w:val="6"/>
          <w:sz w:val="30"/>
          <w:szCs w:val="30"/>
          <w:highlight w:val="none"/>
          <w:lang w:bidi="ar"/>
        </w:rPr>
        <w:t xml:space="preserve"> </w:t>
      </w:r>
      <w:r/>
    </w:p>
    <w:p>
      <w:pPr>
        <w:ind w:firstLine="480"/>
        <w:spacing w:line="588" w:lineRule="exact"/>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588" w:lineRule="exact"/>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本单位对上述声明的真实性负责。如有虚假，将依法承担相应责任。</w:t>
      </w:r>
      <w:r/>
    </w:p>
    <w:p>
      <w:pPr>
        <w:ind w:firstLine="480"/>
        <w:spacing w:line="588" w:lineRule="exact"/>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 </w:t>
      </w:r>
      <w:r/>
    </w:p>
    <w:p>
      <w:pPr>
        <w:ind w:firstLine="480"/>
        <w:spacing w:line="588" w:lineRule="exact"/>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（备注：1、供应商如不提供此声明函，价格将不做相应扣除。2、中标供应商为残疾人福利单位的，此声明函将随中标结果同时公告，接受社会监督）</w:t>
      </w:r>
      <w:r/>
    </w:p>
    <w:p>
      <w:pPr>
        <w:ind w:firstLine="624"/>
        <w:spacing w:line="588" w:lineRule="exact"/>
        <w:rPr>
          <w:rFonts w:ascii="宋体" w:hAnsi="宋体" w:cs="宋体"/>
          <w:color w:val="auto"/>
          <w:spacing w:val="6"/>
          <w:sz w:val="30"/>
          <w:szCs w:val="30"/>
          <w:highlight w:val="none"/>
        </w:rPr>
      </w:pPr>
      <w:r>
        <w:rPr>
          <w:rFonts w:hint="eastAsia" w:ascii="宋体" w:hAnsi="宋体" w:cs="宋体"/>
          <w:color w:val="auto"/>
          <w:spacing w:val="6"/>
          <w:sz w:val="30"/>
          <w:szCs w:val="30"/>
          <w:highlight w:val="none"/>
          <w:lang w:bidi="ar"/>
        </w:rPr>
        <w:t xml:space="preserve"> </w:t>
      </w:r>
      <w:r/>
    </w:p>
    <w:p>
      <w:pPr>
        <w:ind w:right="1560" w:firstLine="624"/>
        <w:jc w:val="center"/>
        <w:spacing w:line="588" w:lineRule="exact"/>
        <w:rPr>
          <w:rFonts w:ascii="宋体" w:hAnsi="宋体" w:cs="宋体"/>
          <w:color w:val="auto"/>
          <w:sz w:val="24"/>
          <w:szCs w:val="24"/>
          <w:highlight w:val="none"/>
        </w:rPr>
      </w:pPr>
      <w:r>
        <w:rPr>
          <w:rFonts w:hint="eastAsia" w:ascii="宋体" w:hAnsi="宋体" w:cs="宋体"/>
          <w:color w:val="auto"/>
          <w:spacing w:val="6"/>
          <w:sz w:val="30"/>
          <w:szCs w:val="30"/>
          <w:highlight w:val="none"/>
          <w:lang w:bidi="ar"/>
        </w:rPr>
        <w:t xml:space="preserve">             </w:t>
      </w:r>
      <w:r>
        <w:rPr>
          <w:rFonts w:hint="eastAsia" w:ascii="宋体" w:hAnsi="宋体" w:cs="宋体"/>
          <w:color w:val="auto"/>
          <w:sz w:val="24"/>
          <w:szCs w:val="24"/>
          <w:highlight w:val="none"/>
          <w:lang w:bidi="ar"/>
        </w:rPr>
        <w:t xml:space="preserve">          投标人名称（加盖公章）：</w:t>
      </w:r>
      <w:r/>
    </w:p>
    <w:p>
      <w:pPr>
        <w:ind w:right="1560" w:firstLine="480"/>
        <w:jc w:val="center"/>
        <w:spacing w:line="588" w:lineRule="exact"/>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            日  期：</w:t>
      </w:r>
      <w:r/>
    </w:p>
    <w:p>
      <w:pPr>
        <w:ind w:right="1560" w:firstLine="480"/>
        <w:jc w:val="center"/>
        <w:spacing w:line="588" w:lineRule="exact"/>
        <w:rPr>
          <w:rFonts w:ascii="宋体" w:hAnsi="宋体" w:cs="宋体"/>
          <w:color w:val="auto"/>
          <w:sz w:val="24"/>
          <w:szCs w:val="24"/>
          <w:highlight w:val="none"/>
          <w:lang w:bidi="ar"/>
        </w:rPr>
      </w:pPr>
      <w:r>
        <w:rPr>
          <w:rFonts w:ascii="宋体" w:hAnsi="宋体" w:cs="宋体"/>
          <w:color w:val="auto"/>
          <w:sz w:val="24"/>
          <w:szCs w:val="24"/>
          <w:highlight w:val="none"/>
          <w:lang w:bidi="ar"/>
        </w:rPr>
      </w:r>
      <w:r/>
    </w:p>
    <w:p>
      <w:pPr>
        <w:ind w:right="1560" w:firstLine="480"/>
        <w:jc w:val="center"/>
        <w:spacing w:line="588" w:lineRule="exact"/>
        <w:rPr>
          <w:rFonts w:ascii="宋体" w:hAnsi="宋体" w:cs="宋体"/>
          <w:color w:val="auto"/>
          <w:sz w:val="24"/>
          <w:szCs w:val="24"/>
          <w:highlight w:val="none"/>
          <w:lang w:bidi="ar"/>
        </w:rPr>
      </w:pPr>
      <w:r>
        <w:rPr>
          <w:rFonts w:ascii="宋体" w:hAnsi="宋体" w:cs="宋体"/>
          <w:color w:val="auto"/>
          <w:sz w:val="24"/>
          <w:szCs w:val="24"/>
          <w:highlight w:val="none"/>
          <w:lang w:bidi="ar"/>
        </w:rPr>
      </w:r>
      <w:r/>
    </w:p>
    <w:p>
      <w:pPr>
        <w:ind w:right="1560" w:firstLine="480"/>
        <w:jc w:val="center"/>
        <w:spacing w:line="588" w:lineRule="exact"/>
        <w:rPr>
          <w:rFonts w:ascii="宋体" w:hAnsi="宋体" w:cs="宋体"/>
          <w:color w:val="auto"/>
          <w:sz w:val="24"/>
          <w:szCs w:val="24"/>
          <w:highlight w:val="none"/>
          <w:lang w:bidi="ar"/>
        </w:rPr>
      </w:pPr>
      <w:r>
        <w:rPr>
          <w:rFonts w:ascii="宋体" w:hAnsi="宋体" w:cs="宋体"/>
          <w:color w:val="auto"/>
          <w:sz w:val="24"/>
          <w:szCs w:val="24"/>
          <w:highlight w:val="none"/>
          <w:lang w:bidi="ar"/>
        </w:rPr>
      </w:r>
      <w:r/>
    </w:p>
    <w:p>
      <w:pPr>
        <w:ind w:right="1560" w:firstLine="480"/>
        <w:jc w:val="center"/>
        <w:spacing w:line="588" w:lineRule="exact"/>
        <w:rPr>
          <w:rFonts w:ascii="宋体" w:hAnsi="宋体" w:cs="宋体"/>
          <w:color w:val="auto"/>
          <w:sz w:val="24"/>
          <w:szCs w:val="24"/>
          <w:highlight w:val="none"/>
          <w:lang w:bidi="ar"/>
        </w:rPr>
      </w:pPr>
      <w:r>
        <w:rPr>
          <w:rFonts w:ascii="宋体" w:hAnsi="宋体" w:cs="宋体"/>
          <w:color w:val="auto"/>
          <w:sz w:val="24"/>
          <w:szCs w:val="24"/>
          <w:highlight w:val="none"/>
          <w:lang w:bidi="ar"/>
        </w:rPr>
      </w:r>
      <w:r/>
    </w:p>
    <w:p>
      <w:pPr>
        <w:ind w:right="1560" w:firstLine="480"/>
        <w:jc w:val="center"/>
        <w:spacing w:line="588" w:lineRule="exact"/>
        <w:rPr>
          <w:rFonts w:ascii="宋体" w:hAnsi="宋体" w:cs="宋体"/>
          <w:color w:val="auto"/>
          <w:sz w:val="24"/>
          <w:szCs w:val="24"/>
          <w:highlight w:val="none"/>
          <w:lang w:bidi="ar"/>
        </w:rPr>
      </w:pPr>
      <w:r>
        <w:rPr>
          <w:rFonts w:ascii="宋体" w:hAnsi="宋体" w:cs="宋体"/>
          <w:color w:val="auto"/>
          <w:sz w:val="24"/>
          <w:szCs w:val="24"/>
          <w:highlight w:val="none"/>
          <w:lang w:bidi="ar"/>
        </w:rPr>
      </w:r>
      <w:r/>
    </w:p>
    <w:p>
      <w:pPr>
        <w:ind w:right="1560" w:firstLine="480"/>
        <w:jc w:val="center"/>
        <w:spacing w:line="588" w:lineRule="exact"/>
        <w:rPr>
          <w:rFonts w:ascii="宋体" w:hAnsi="宋体" w:cs="宋体"/>
          <w:color w:val="auto"/>
          <w:sz w:val="24"/>
          <w:szCs w:val="24"/>
          <w:highlight w:val="none"/>
          <w:lang w:bidi="ar"/>
        </w:rPr>
      </w:pPr>
      <w:r>
        <w:rPr>
          <w:rFonts w:ascii="宋体" w:hAnsi="宋体" w:cs="宋体"/>
          <w:color w:val="auto"/>
          <w:sz w:val="24"/>
          <w:szCs w:val="24"/>
          <w:highlight w:val="none"/>
          <w:lang w:bidi="ar"/>
        </w:rPr>
      </w:r>
      <w:r/>
    </w:p>
    <w:p>
      <w:pPr>
        <w:ind w:right="1560" w:firstLine="480"/>
        <w:jc w:val="center"/>
        <w:spacing w:line="588" w:lineRule="exact"/>
        <w:rPr>
          <w:rFonts w:ascii="宋体" w:hAnsi="宋体" w:cs="宋体"/>
          <w:color w:val="auto"/>
          <w:sz w:val="24"/>
          <w:szCs w:val="24"/>
          <w:highlight w:val="none"/>
          <w:lang w:bidi="ar"/>
        </w:rPr>
      </w:pPr>
      <w:r>
        <w:rPr>
          <w:rFonts w:ascii="宋体" w:hAnsi="宋体" w:cs="宋体"/>
          <w:color w:val="auto"/>
          <w:sz w:val="24"/>
          <w:szCs w:val="24"/>
          <w:highlight w:val="none"/>
          <w:lang w:bidi="ar"/>
        </w:rPr>
      </w:r>
      <w:r/>
    </w:p>
    <w:p>
      <w:pPr>
        <w:ind w:right="1560" w:firstLine="480"/>
        <w:jc w:val="center"/>
        <w:spacing w:line="588" w:lineRule="exact"/>
        <w:rPr>
          <w:rFonts w:ascii="宋体" w:hAnsi="宋体" w:cs="宋体"/>
          <w:color w:val="auto"/>
          <w:sz w:val="24"/>
          <w:szCs w:val="24"/>
          <w:highlight w:val="none"/>
          <w:lang w:bidi="ar"/>
        </w:rPr>
      </w:pPr>
      <w:r>
        <w:rPr>
          <w:rFonts w:ascii="宋体" w:hAnsi="宋体" w:cs="宋体"/>
          <w:color w:val="auto"/>
          <w:sz w:val="24"/>
          <w:szCs w:val="24"/>
          <w:highlight w:val="none"/>
          <w:lang w:bidi="ar"/>
        </w:rPr>
      </w:r>
      <w:r/>
    </w:p>
    <w:p>
      <w:pPr>
        <w:pStyle w:val="856"/>
        <w:numPr>
          <w:ilvl w:val="0"/>
          <w:numId w:val="0"/>
        </w:numPr>
        <w:ind w:left="-535" w:firstLine="482"/>
        <w:spacing w:line="276" w:lineRule="auto"/>
        <w:rPr>
          <w:rFonts w:ascii="宋体" w:hAnsi="宋体" w:cs="宋体"/>
          <w:color w:val="auto"/>
          <w:sz w:val="24"/>
          <w:szCs w:val="24"/>
          <w:highlight w:val="none"/>
        </w:rPr>
        <w:sectPr>
          <w:footerReference w:type="default" r:id="rId18"/>
          <w:footnotePr/>
          <w:endnotePr/>
          <w:type w:val="nextPage"/>
          <w:pgSz w:w="11906" w:h="16838" w:orient="portrait"/>
          <w:pgMar w:top="1440" w:right="1080" w:bottom="1440" w:left="1080" w:header="851" w:footer="992" w:gutter="0"/>
          <w:cols w:num="1" w:sep="0" w:space="720" w:equalWidth="1"/>
          <w:docGrid w:linePitch="360"/>
        </w:sectPr>
      </w:pPr>
      <w:r>
        <w:rPr>
          <w:rFonts w:ascii="宋体" w:hAnsi="宋体" w:cs="宋体"/>
          <w:color w:val="auto"/>
          <w:sz w:val="24"/>
          <w:szCs w:val="24"/>
          <w:highlight w:val="none"/>
        </w:rPr>
      </w:r>
      <w:r/>
    </w:p>
    <w:p>
      <w:pPr>
        <w:jc w:val="center"/>
        <w:spacing w:line="360" w:lineRule="auto"/>
        <w:rPr>
          <w:rFonts w:hint="eastAsia" w:ascii="宋体" w:hAnsi="宋体" w:cs="宋体"/>
          <w:b/>
          <w:bCs/>
          <w:color w:val="auto"/>
          <w:sz w:val="32"/>
          <w:szCs w:val="32"/>
          <w:highlight w:val="none"/>
        </w:rPr>
        <w:outlineLvl w:val="1"/>
      </w:pPr>
      <w:r>
        <w:rPr>
          <w:rFonts w:hint="eastAsia" w:ascii="宋体" w:hAnsi="宋体" w:cs="宋体"/>
          <w:b/>
          <w:bCs/>
          <w:color w:val="auto"/>
          <w:sz w:val="32"/>
          <w:szCs w:val="32"/>
          <w:highlight w:val="none"/>
        </w:rPr>
        <w:t xml:space="preserve">附</w:t>
      </w:r>
      <w:r>
        <w:rPr>
          <w:rFonts w:hint="eastAsia" w:ascii="宋体" w:hAnsi="宋体" w:cs="宋体"/>
          <w:b/>
          <w:bCs/>
          <w:color w:val="auto"/>
          <w:sz w:val="32"/>
          <w:szCs w:val="32"/>
          <w:highlight w:val="none"/>
          <w:lang w:val="en-US" w:eastAsia="zh-CN"/>
        </w:rPr>
        <w:t xml:space="preserve"> </w:t>
      </w:r>
      <w:r>
        <w:rPr>
          <w:rFonts w:hint="eastAsia" w:ascii="宋体" w:hAnsi="宋体" w:cs="宋体"/>
          <w:b/>
          <w:bCs/>
          <w:color w:val="auto"/>
          <w:sz w:val="32"/>
          <w:szCs w:val="32"/>
          <w:highlight w:val="none"/>
        </w:rPr>
        <w:t xml:space="preserve">件6：联合体协议（参考格式）</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（联合体中各投标人全称）在此达成以下协议：</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1、我们</w:t>
      </w:r>
      <w:r>
        <w:rPr>
          <w:rFonts w:hint="eastAsia" w:ascii="宋体" w:hAnsi="宋体" w:eastAsia="宋体" w:cs="宋体"/>
          <w:sz w:val="24"/>
          <w:szCs w:val="24"/>
          <w:u w:val="single"/>
          <w:lang w:bidi="ar"/>
        </w:rPr>
        <w:t xml:space="preserve"> （投标人1），（投标人2） ，……</w:t>
      </w:r>
      <w:r>
        <w:rPr>
          <w:rFonts w:hint="eastAsia" w:ascii="宋体" w:hAnsi="宋体" w:eastAsia="宋体" w:cs="宋体"/>
          <w:sz w:val="24"/>
          <w:szCs w:val="24"/>
          <w:lang w:bidi="ar"/>
        </w:rPr>
        <w:t xml:space="preserve">自愿组成联合体，参加南京达琛鑫工程咨询有限公司组织的采购编号为</w:t>
      </w:r>
      <w:r>
        <w:rPr>
          <w:rFonts w:hint="eastAsia" w:ascii="宋体" w:hAnsi="宋体" w:eastAsia="宋体" w:cs="宋体"/>
          <w:sz w:val="24"/>
          <w:szCs w:val="24"/>
          <w:u w:val="single"/>
          <w:lang w:bidi="ar"/>
        </w:rPr>
        <w:t xml:space="preserve">（编号全称），（项目全称）</w:t>
      </w:r>
      <w:r>
        <w:rPr>
          <w:rFonts w:hint="eastAsia" w:ascii="宋体" w:hAnsi="宋体" w:eastAsia="宋体" w:cs="宋体"/>
          <w:sz w:val="24"/>
          <w:szCs w:val="24"/>
          <w:lang w:bidi="ar"/>
        </w:rPr>
        <w:t xml:space="preserve">项目的政府采购活动，我联合体指定</w:t>
      </w:r>
      <w:r>
        <w:rPr>
          <w:rFonts w:hint="eastAsia" w:ascii="宋体" w:hAnsi="宋体" w:eastAsia="宋体" w:cs="宋体"/>
          <w:sz w:val="24"/>
          <w:szCs w:val="24"/>
          <w:u w:val="single"/>
          <w:lang w:bidi="ar"/>
        </w:rPr>
        <w:t xml:space="preserve">（投标人*）</w:t>
      </w:r>
      <w:r>
        <w:rPr>
          <w:rFonts w:hint="eastAsia" w:ascii="宋体" w:hAnsi="宋体" w:eastAsia="宋体" w:cs="宋体"/>
          <w:sz w:val="24"/>
          <w:szCs w:val="24"/>
          <w:lang w:bidi="ar"/>
        </w:rPr>
        <w:t xml:space="preserve">为牵头单位（牵头单位必须为联合体成员）。</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2、若我们联合中标、成交，（投标人单位1全称）实施项目中（工作内容）部分工作，并承担相应的责任。（投标人单位2全称）实施项目中（工作内容）部分工作，并承担相应的责任……。（注：联合体中各投标人都应明示所承担的工作和相应的责任）。</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3、其中</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 xml:space="preserve">（小型、微型企业/残疾人福利性单位/监狱企业全称）为</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 xml:space="preserve">（小型、微型企业/残疾人福利性单位/监狱企业）企业，且我们约定该公司/单位所承担的合同金额将占本项目合同总金额的</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 xml:space="preserve"> %。</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 </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备注：本招标文件中要求加盖公章的地方，仅需加盖牵头单位的公章。</w:t>
      </w:r>
      <w:r/>
    </w:p>
    <w:p>
      <w:pPr>
        <w:ind w:firstLine="480"/>
        <w:spacing w:line="560" w:lineRule="exact"/>
        <w:rPr>
          <w:rFonts w:hint="eastAsia" w:ascii="宋体" w:hAnsi="宋体" w:eastAsia="宋体" w:cs="宋体"/>
          <w:sz w:val="24"/>
          <w:szCs w:val="24"/>
          <w:lang w:bidi="ar"/>
        </w:rPr>
      </w:pPr>
      <w:r>
        <w:rPr>
          <w:rFonts w:hint="eastAsia" w:ascii="宋体" w:hAnsi="宋体" w:eastAsia="宋体" w:cs="宋体"/>
          <w:sz w:val="24"/>
          <w:szCs w:val="24"/>
          <w:lang w:bidi="ar"/>
        </w:rPr>
        <w:t xml:space="preserve">                                          </w:t>
      </w:r>
      <w:r/>
    </w:p>
    <w:p>
      <w:pPr>
        <w:pStyle w:val="833"/>
        <w:rPr>
          <w:rFonts w:hint="eastAsia" w:ascii="宋体" w:hAnsi="宋体" w:eastAsia="宋体" w:cs="宋体"/>
        </w:rPr>
      </w:pPr>
      <w:r>
        <w:rPr>
          <w:rFonts w:hint="eastAsia" w:ascii="宋体" w:hAnsi="宋体" w:eastAsia="宋体" w:cs="宋体"/>
        </w:rPr>
      </w:r>
      <w:r/>
    </w:p>
    <w:p>
      <w:pPr>
        <w:ind w:firstLine="480"/>
        <w:jc w:val="right"/>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联合体中各投标人全称（公章）：     </w:t>
      </w:r>
      <w:r/>
    </w:p>
    <w:p>
      <w:pPr>
        <w:ind w:firstLine="480"/>
        <w:spacing w:line="560" w:lineRule="exact"/>
        <w:rPr>
          <w:rFonts w:hint="eastAsia" w:ascii="宋体" w:hAnsi="宋体" w:eastAsia="宋体" w:cs="宋体"/>
          <w:b/>
          <w:sz w:val="32"/>
          <w:szCs w:val="32"/>
        </w:rPr>
      </w:pPr>
      <w:r>
        <w:rPr>
          <w:rFonts w:hint="eastAsia" w:ascii="宋体" w:hAnsi="宋体" w:eastAsia="宋体" w:cs="宋体"/>
          <w:sz w:val="24"/>
          <w:szCs w:val="24"/>
          <w:lang w:bidi="ar"/>
        </w:rPr>
        <w:t xml:space="preserve">                                                日  期：</w:t>
      </w:r>
      <w:r>
        <w:rPr>
          <w:rFonts w:hint="eastAsia" w:ascii="宋体" w:hAnsi="宋体" w:eastAsia="宋体" w:cs="宋体"/>
          <w:b/>
          <w:sz w:val="32"/>
          <w:szCs w:val="32"/>
          <w:lang w:bidi="ar"/>
        </w:rPr>
        <w:t xml:space="preserve"> </w:t>
      </w:r>
      <w:r/>
    </w:p>
    <w:p>
      <w:pPr>
        <w:ind w:firstLine="643"/>
        <w:jc w:val="center"/>
        <w:spacing w:line="560" w:lineRule="exact"/>
        <w:rPr>
          <w:rFonts w:hint="eastAsia" w:ascii="宋体" w:hAnsi="宋体" w:eastAsia="宋体" w:cs="宋体"/>
          <w:b/>
          <w:sz w:val="32"/>
          <w:szCs w:val="32"/>
        </w:rPr>
      </w:pPr>
      <w:r>
        <w:rPr>
          <w:rFonts w:hint="eastAsia" w:ascii="宋体" w:hAnsi="宋体" w:eastAsia="宋体" w:cs="宋体"/>
          <w:b/>
          <w:sz w:val="32"/>
          <w:szCs w:val="32"/>
          <w:lang w:bidi="ar"/>
        </w:rPr>
        <w:t xml:space="preserve"> </w:t>
      </w:r>
      <w:r/>
    </w:p>
    <w:p>
      <w:pPr>
        <w:ind w:firstLine="643"/>
        <w:jc w:val="center"/>
        <w:spacing w:line="560" w:lineRule="exact"/>
        <w:rPr>
          <w:rFonts w:hint="eastAsia" w:ascii="仿宋" w:hAnsi="仿宋" w:eastAsia="仿宋" w:cs="仿宋"/>
          <w:b/>
          <w:sz w:val="32"/>
          <w:szCs w:val="32"/>
        </w:rPr>
      </w:pPr>
      <w:r>
        <w:rPr>
          <w:rFonts w:hint="eastAsia" w:ascii="仿宋" w:hAnsi="仿宋" w:eastAsia="仿宋" w:cs="仿宋"/>
          <w:b/>
          <w:sz w:val="32"/>
          <w:szCs w:val="32"/>
          <w:lang w:bidi="ar"/>
        </w:rPr>
        <w:t xml:space="preserve"> </w:t>
      </w:r>
      <w:r/>
    </w:p>
    <w:p>
      <w:pPr>
        <w:ind w:firstLine="643"/>
        <w:jc w:val="center"/>
        <w:spacing w:line="560" w:lineRule="exact"/>
        <w:rPr>
          <w:rFonts w:hint="eastAsia" w:ascii="仿宋" w:hAnsi="仿宋" w:eastAsia="仿宋" w:cs="仿宋"/>
          <w:b/>
          <w:sz w:val="32"/>
          <w:szCs w:val="32"/>
        </w:rPr>
      </w:pPr>
      <w:r>
        <w:rPr>
          <w:rFonts w:hint="eastAsia" w:ascii="仿宋" w:hAnsi="仿宋" w:eastAsia="仿宋" w:cs="仿宋"/>
          <w:b/>
          <w:sz w:val="32"/>
          <w:szCs w:val="32"/>
          <w:lang w:bidi="ar"/>
        </w:rPr>
        <w:t xml:space="preserve"> </w:t>
      </w:r>
      <w:r/>
    </w:p>
    <w:p>
      <w:pPr>
        <w:ind w:firstLine="643"/>
        <w:jc w:val="center"/>
        <w:spacing w:line="560" w:lineRule="exact"/>
        <w:rPr>
          <w:rFonts w:hint="eastAsia" w:ascii="仿宋" w:hAnsi="仿宋" w:eastAsia="仿宋" w:cs="仿宋"/>
          <w:b/>
          <w:sz w:val="32"/>
          <w:szCs w:val="32"/>
        </w:rPr>
      </w:pPr>
      <w:r>
        <w:rPr>
          <w:rFonts w:hint="eastAsia" w:ascii="仿宋" w:hAnsi="仿宋" w:eastAsia="仿宋" w:cs="仿宋"/>
          <w:b/>
          <w:sz w:val="32"/>
          <w:szCs w:val="32"/>
          <w:lang w:bidi="ar"/>
        </w:rPr>
        <w:t xml:space="preserve"> </w:t>
      </w:r>
      <w:r/>
    </w:p>
    <w:p>
      <w:pPr>
        <w:ind w:firstLine="643"/>
        <w:jc w:val="center"/>
        <w:spacing w:line="560" w:lineRule="exact"/>
        <w:rPr>
          <w:rFonts w:hint="eastAsia" w:ascii="仿宋" w:hAnsi="仿宋" w:eastAsia="仿宋" w:cs="仿宋"/>
          <w:b/>
          <w:sz w:val="32"/>
          <w:szCs w:val="32"/>
        </w:rPr>
      </w:pPr>
      <w:r>
        <w:rPr>
          <w:rFonts w:hint="eastAsia" w:ascii="仿宋" w:hAnsi="仿宋" w:eastAsia="仿宋" w:cs="仿宋"/>
          <w:b/>
          <w:sz w:val="32"/>
          <w:szCs w:val="32"/>
          <w:lang w:bidi="ar"/>
        </w:rPr>
        <w:t xml:space="preserve"> </w:t>
      </w:r>
      <w:r/>
    </w:p>
    <w:p>
      <w:pPr>
        <w:ind w:firstLine="643"/>
        <w:jc w:val="center"/>
        <w:spacing w:line="560" w:lineRule="exact"/>
        <w:rPr>
          <w:rFonts w:hint="eastAsia" w:ascii="仿宋" w:hAnsi="仿宋" w:eastAsia="仿宋" w:cs="仿宋"/>
          <w:b/>
          <w:sz w:val="32"/>
          <w:szCs w:val="32"/>
        </w:rPr>
      </w:pPr>
      <w:r>
        <w:rPr>
          <w:rFonts w:hint="eastAsia" w:ascii="仿宋" w:hAnsi="仿宋" w:eastAsia="仿宋" w:cs="仿宋"/>
          <w:b/>
          <w:sz w:val="32"/>
          <w:szCs w:val="32"/>
          <w:lang w:bidi="ar"/>
        </w:rPr>
        <w:t xml:space="preserve"> </w:t>
      </w:r>
      <w:r/>
    </w:p>
    <w:p>
      <w:pPr>
        <w:rPr>
          <w:color w:val="auto"/>
          <w:highlight w:val="none"/>
        </w:rPr>
        <w:outlineLvl w:val="9"/>
      </w:pPr>
      <w:r>
        <w:rPr>
          <w:color w:val="auto"/>
          <w:highlight w:val="none"/>
        </w:rPr>
      </w:r>
      <w:r/>
    </w:p>
    <w:sectPr>
      <w:footnotePr/>
      <w:endnotePr/>
      <w:type w:val="nextPage"/>
      <w:pgSz w:w="11906" w:h="16838" w:orient="portrait"/>
      <w:pgMar w:top="1440" w:right="1080" w:bottom="1440" w:left="108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Symbol">
    <w:panose1 w:val="05050102010706020507"/>
  </w:font>
  <w:font w:name="Wingdings">
    <w:panose1 w:val="05000000000000000000"/>
  </w:font>
  <w:font w:name="Tahoma">
    <w:panose1 w:val="020B0604030504040204"/>
  </w:font>
  <w:font w:name="仿宋">
    <w:panose1 w:val="02010609060101010101"/>
  </w:font>
  <w:font w:name="Cambria">
    <w:panose1 w:val="02040503050406030204"/>
  </w:font>
  <w:font w:name="Courier New">
    <w:panose1 w:val="02070309020205020404"/>
  </w:font>
  <w:font w:name="黑体">
    <w:panose1 w:val="02010609060101010101"/>
  </w:font>
  <w:font w:name="Verdana">
    <w:panose1 w:val="020B0604030504040204"/>
  </w:font>
  <w:font w:name="仿宋_GB2312">
    <w:panose1 w:val="02010609060101010101"/>
  </w:font>
  <w:font w:name="Calibri Light">
    <w:panose1 w:val="020F0302020204030204"/>
  </w:font>
  <w:font w:name="楷体">
    <w:panose1 w:val="02010609060101010101"/>
  </w:font>
  <w:font w:name="楷体_GB2312">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ind w:firstLine="360"/>
      <w:tabs>
        <w:tab w:val="clear" w:pos="4153" w:leader="none"/>
        <w:tab w:val="clear"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ind w:firstLine="360"/>
      <w:tabs>
        <w:tab w:val="clear" w:pos="4153" w:leader="none"/>
        <w:tab w:val="clear"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ind w:firstLine="360"/>
      <w:tabs>
        <w:tab w:val="clear" w:pos="4153" w:leader="none"/>
        <w:tab w:val="clear"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ind w:firstLine="360"/>
      <w:tabs>
        <w:tab w:val="clear" w:pos="4153" w:leader="none"/>
        <w:tab w:val="clear"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4"/>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4"/>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ind w:firstLine="360"/>
      <w:tabs>
        <w:tab w:val="clear" w:pos="4153" w:leader="none"/>
        <w:tab w:val="clear"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4"/>
                          </w:pPr>
                          <w:r>
                            <w:fldChar w:fldCharType="begin"/>
                          </w:r>
                          <w:r>
                            <w:instrText xml:space="preserve"> PAGE  \* MERGEFORMAT </w:instrText>
                          </w:r>
                          <w:r>
                            <w:fldChar w:fldCharType="separate"/>
                          </w:r>
                          <w:r>
                            <w:t xml:space="preserve">51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4"/>
                    </w:pPr>
                    <w:r>
                      <w:fldChar w:fldCharType="begin"/>
                    </w:r>
                    <w:r>
                      <w:instrText xml:space="preserve"> PAGE  \* MERGEFORMAT </w:instrText>
                    </w:r>
                    <w:r>
                      <w:fldChar w:fldCharType="separate"/>
                    </w:r>
                    <w:r>
                      <w:t xml:space="preserve">51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ind w:firstLine="360"/>
      <w:tabs>
        <w:tab w:val="clear" w:pos="4153" w:leader="none"/>
        <w:tab w:val="clear"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4"/>
                          </w:pPr>
                          <w:r>
                            <w:fldChar w:fldCharType="begin"/>
                          </w:r>
                          <w:r>
                            <w:instrText xml:space="preserve"> PAGE  \* MERGEFORMAT </w:instrText>
                          </w:r>
                          <w:r>
                            <w:fldChar w:fldCharType="separate"/>
                          </w:r>
                          <w:r>
                            <w:t xml:space="preserve">74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4"/>
                    </w:pPr>
                    <w:r>
                      <w:fldChar w:fldCharType="begin"/>
                    </w:r>
                    <w:r>
                      <w:instrText xml:space="preserve"> PAGE  \* MERGEFORMAT </w:instrText>
                    </w:r>
                    <w:r>
                      <w:fldChar w:fldCharType="separate"/>
                    </w:r>
                    <w:r>
                      <w:t xml:space="preserve">74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ind w:firstLine="0"/>
      <w:spacing w:line="240" w:lineRule="auto"/>
      <w:tabs>
        <w:tab w:val="clear" w:pos="4153" w:leader="none"/>
        <w:tab w:val="clear" w:pos="8306" w:leader="none"/>
      </w:tabs>
      <w:rPr>
        <w:rFonts w:hint="eastAsia" w:ascii="仿宋" w:hAnsi="仿宋" w:eastAsia="仿宋" w:cs="仿宋"/>
        <w:lang w:eastAsia="zh-CN"/>
      </w:rPr>
      <w:pBdr>
        <w:bottom w:val="single" w:color="000000" w:sz="4" w:space="1"/>
      </w:pBdr>
    </w:pPr>
    <w:r>
      <w:rPr>
        <w:rFonts w:hint="eastAsia" w:ascii="仿宋" w:hAnsi="仿宋" w:eastAsia="仿宋" w:cs="仿宋"/>
        <w:lang w:eastAsia="zh-CN"/>
      </w:rPr>
      <w:t xml:space="preserve">JSZC-320000-SDCX-G2026-0001</w:t>
    </w:r>
    <w:r>
      <w:rPr>
        <w:rFonts w:hint="eastAsia" w:ascii="仿宋" w:hAnsi="仿宋" w:eastAsia="仿宋" w:cs="仿宋"/>
      </w:rPr>
      <w:t xml:space="preserve">                                                </w:t>
    </w:r>
    <w:r>
      <w:rPr>
        <w:rFonts w:hint="eastAsia" w:ascii="仿宋" w:hAnsi="仿宋" w:eastAsia="仿宋" w:cs="仿宋"/>
        <w:lang w:eastAsia="zh-CN"/>
      </w:rPr>
      <w:t xml:space="preserve">江苏达琛鑫项目管理有限公司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ind w:firstLine="360"/>
      <w:tabs>
        <w:tab w:val="clear" w:pos="4153" w:leader="none"/>
        <w:tab w:val="clear"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ind w:firstLine="360"/>
      <w:tabs>
        <w:tab w:val="clear" w:pos="4153" w:leader="none"/>
        <w:tab w:val="clear"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ind w:firstLine="0"/>
      <w:spacing w:line="240" w:lineRule="auto"/>
      <w:tabs>
        <w:tab w:val="clear" w:pos="4153" w:leader="none"/>
        <w:tab w:val="clear" w:pos="8306" w:leader="none"/>
      </w:tabs>
      <w:rPr>
        <w:rFonts w:hint="eastAsia" w:ascii="楷体" w:hAnsi="楷体" w:eastAsia="仿宋"/>
        <w:lang w:eastAsia="zh-CN"/>
      </w:rPr>
      <w:pBdr>
        <w:bottom w:val="single" w:color="000000" w:sz="4" w:space="1"/>
      </w:pBdr>
    </w:pPr>
    <w:r>
      <w:rPr>
        <w:rFonts w:hint="eastAsia" w:ascii="仿宋" w:hAnsi="仿宋" w:eastAsia="仿宋" w:cs="仿宋"/>
        <w:lang w:eastAsia="zh-CN"/>
      </w:rPr>
      <w:t xml:space="preserve">JSZC-320000-SDCX-G2026-0001</w:t>
    </w:r>
    <w:r>
      <w:rPr>
        <w:rFonts w:hint="eastAsia" w:ascii="仿宋" w:hAnsi="仿宋" w:eastAsia="仿宋" w:cs="仿宋"/>
      </w:rPr>
      <w:t xml:space="preserve">                                               </w:t>
    </w:r>
    <w:r>
      <w:rPr>
        <w:rFonts w:hint="eastAsia" w:ascii="仿宋" w:hAnsi="仿宋" w:eastAsia="仿宋" w:cs="仿宋"/>
        <w:lang w:eastAsia="zh-CN"/>
      </w:rPr>
      <w:t xml:space="preserve">江苏达琛鑫项目管理有限公司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788"/>
      <w:isLgl w:val="false"/>
      <w:suff w:val="nothing"/>
      <w:lvlText w:val="第 %1 部分 "/>
      <w:lvlJc w:val="left"/>
      <w:pPr/>
      <w:rPr>
        <w:rFonts w:hint="eastAsia" w:ascii="黑体" w:hAnsi="宋体" w:eastAsia="黑体"/>
        <w:b/>
        <w:bCs/>
        <w:i w:val="0"/>
        <w:iCs w:val="0"/>
        <w:caps w:val="0"/>
        <w:smallCaps w:val="0"/>
        <w:vanish w:val="0"/>
        <w:spacing w:val="0"/>
        <w:position w:val="0"/>
        <w:u w:val="none"/>
        <w:vertAlign w:val="baseline"/>
      </w:rPr>
    </w:lvl>
    <w:lvl w:ilvl="1">
      <w:start w:val="1"/>
      <w:numFmt w:val="decimal"/>
      <w:pStyle w:val="789"/>
      <w:isLgl w:val="false"/>
      <w:suff w:val="nothing"/>
      <w:lvlText w:val="%1.%2 "/>
      <w:lvlJc w:val="left"/>
      <w:pPr/>
      <w:rPr>
        <w:rFonts w:hint="eastAsia"/>
      </w:rPr>
    </w:lvl>
    <w:lvl w:ilvl="2">
      <w:start w:val="1"/>
      <w:numFmt w:val="decimal"/>
      <w:pStyle w:val="790"/>
      <w:isLgl w:val="false"/>
      <w:suff w:val="nothing"/>
      <w:lvlText w:val=""/>
      <w:lvlJc w:val="left"/>
      <w:pPr/>
      <w:rPr>
        <w:rFonts w:hint="eastAsia" w:ascii="Arial Unicode MS" w:hAnsi="Arial Unicode MS" w:eastAsia="Arial Unicode MS"/>
        <w:sz w:val="24"/>
        <w:szCs w:val="24"/>
      </w:rPr>
    </w:lvl>
    <w:lvl w:ilvl="3">
      <w:start w:val="1"/>
      <w:numFmt w:val="decimal"/>
      <w:isLgl w:val="false"/>
      <w:suff w:val="nothing"/>
      <w:lvlText w:val=""/>
      <w:lvlJc w:val="left"/>
      <w:pPr/>
      <w:rPr>
        <w:rFonts w:hint="eastAsia"/>
      </w:rPr>
    </w:lvl>
    <w:lvl w:ilvl="4">
      <w:start w:val="1"/>
      <w:numFmt w:val="decimal"/>
      <w:isLgl w:val="false"/>
      <w:suff w:val="nothing"/>
      <w:lvlText w:val="%1.%2.%3.%4.%5 "/>
      <w:lvlJc w:val="left"/>
      <w:pPr/>
      <w:rPr>
        <w:rFonts w:hint="eastAsia"/>
        <w:sz w:val="28"/>
        <w:szCs w:val="28"/>
      </w:rPr>
    </w:lvl>
    <w:lvl w:ilvl="5">
      <w:start w:val="1"/>
      <w:numFmt w:val="decimal"/>
      <w:isLgl w:val="false"/>
      <w:suff w:val="nothing"/>
      <w:lvlText w:val=""/>
      <w:lvlJc w:val="left"/>
      <w:pPr/>
      <w:rPr>
        <w:rFonts w:hint="eastAsia"/>
      </w:rPr>
    </w:lvl>
    <w:lvl w:ilvl="6">
      <w:start w:val="1"/>
      <w:numFmt w:val="decimal"/>
      <w:isLgl w:val="false"/>
      <w:suff w:val="nothing"/>
      <w:lvlText w:val=""/>
      <w:lvlJc w:val="left"/>
      <w:pPr/>
      <w:rPr>
        <w:rFonts w:hint="eastAsia"/>
      </w:rPr>
    </w:lvl>
    <w:lvl w:ilvl="7">
      <w:start w:val="1"/>
      <w:numFmt w:val="decimal"/>
      <w:isLgl w:val="false"/>
      <w:suff w:val="nothing"/>
      <w:lvlText w:val=""/>
      <w:lvlJc w:val="left"/>
      <w:pPr/>
      <w:rPr>
        <w:rFonts w:hint="eastAsia"/>
      </w:rPr>
    </w:lvl>
    <w:lvl w:ilvl="8">
      <w:start w:val="1"/>
      <w:numFmt w:val="decimal"/>
      <w:isLgl w:val="false"/>
      <w:suff w:val="nothing"/>
      <w:lvlText w:val=""/>
      <w:lvlJc w:val="left"/>
      <w:pPr/>
      <w:rPr>
        <w:rFonts w:hint="eastAsia"/>
      </w:rPr>
    </w:lvl>
  </w:abstractNum>
  <w:abstractNum w:abstractNumId="3">
    <w:multiLevelType w:val="hybridMultilevel"/>
    <w:lvl w:ilvl="0">
      <w:start w:val="1"/>
      <w:numFmt w:val="japaneseCounting"/>
      <w:pStyle w:val="856"/>
      <w:isLgl w:val="false"/>
      <w:suff w:val="tab"/>
      <w:lvlText w:val="%1、"/>
      <w:lvlJc w:val="left"/>
      <w:pPr>
        <w:ind w:left="720" w:hanging="720"/>
        <w:tabs>
          <w:tab w:val="left" w:pos="720" w:leader="none"/>
        </w:tabs>
      </w:pPr>
      <w:rPr>
        <w:rFonts w:hint="eastAsia"/>
      </w:rPr>
    </w:lvl>
    <w:lvl w:ilvl="1">
      <w:start w:val="1"/>
      <w:numFmt w:val="chineseCountingThousand"/>
      <w:isLgl w:val="false"/>
      <w:suff w:val="tab"/>
      <w:lvlText w:val="（%2）"/>
      <w:lvlJc w:val="left"/>
      <w:pPr>
        <w:ind w:left="780" w:hanging="78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4">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93"/>
    <w:link w:val="788"/>
    <w:uiPriority w:val="9"/>
    <w:rPr>
      <w:rFonts w:ascii="Arial" w:hAnsi="Arial" w:eastAsia="Arial" w:cs="Arial"/>
      <w:sz w:val="40"/>
      <w:szCs w:val="40"/>
    </w:rPr>
  </w:style>
  <w:style w:type="character" w:styleId="15">
    <w:name w:val="Heading 2 Char"/>
    <w:basedOn w:val="793"/>
    <w:link w:val="789"/>
    <w:uiPriority w:val="9"/>
    <w:rPr>
      <w:rFonts w:ascii="Arial" w:hAnsi="Arial" w:eastAsia="Arial" w:cs="Arial"/>
      <w:sz w:val="34"/>
    </w:rPr>
  </w:style>
  <w:style w:type="character" w:styleId="17">
    <w:name w:val="Heading 3 Char"/>
    <w:basedOn w:val="793"/>
    <w:link w:val="790"/>
    <w:uiPriority w:val="9"/>
    <w:rPr>
      <w:rFonts w:ascii="Arial" w:hAnsi="Arial" w:eastAsia="Arial" w:cs="Arial"/>
      <w:sz w:val="30"/>
      <w:szCs w:val="30"/>
    </w:rPr>
  </w:style>
  <w:style w:type="character" w:styleId="19">
    <w:name w:val="Heading 4 Char"/>
    <w:basedOn w:val="793"/>
    <w:link w:val="791"/>
    <w:uiPriority w:val="9"/>
    <w:rPr>
      <w:rFonts w:ascii="Arial" w:hAnsi="Arial" w:eastAsia="Arial" w:cs="Arial"/>
      <w:b/>
      <w:bCs/>
      <w:sz w:val="26"/>
      <w:szCs w:val="26"/>
    </w:rPr>
  </w:style>
  <w:style w:type="character" w:styleId="21">
    <w:name w:val="Heading 5 Char"/>
    <w:basedOn w:val="793"/>
    <w:link w:val="792"/>
    <w:uiPriority w:val="9"/>
    <w:rPr>
      <w:rFonts w:ascii="Arial" w:hAnsi="Arial" w:eastAsia="Arial" w:cs="Arial"/>
      <w:b/>
      <w:bCs/>
      <w:sz w:val="24"/>
      <w:szCs w:val="24"/>
    </w:rPr>
  </w:style>
  <w:style w:type="paragraph" w:styleId="22">
    <w:name w:val="Heading 6"/>
    <w:basedOn w:val="787"/>
    <w:next w:val="78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93"/>
    <w:link w:val="22"/>
    <w:uiPriority w:val="9"/>
    <w:rPr>
      <w:rFonts w:ascii="Arial" w:hAnsi="Arial" w:eastAsia="Arial" w:cs="Arial"/>
      <w:b/>
      <w:bCs/>
      <w:sz w:val="22"/>
      <w:szCs w:val="22"/>
    </w:rPr>
  </w:style>
  <w:style w:type="paragraph" w:styleId="24">
    <w:name w:val="Heading 7"/>
    <w:basedOn w:val="787"/>
    <w:next w:val="78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93"/>
    <w:link w:val="24"/>
    <w:uiPriority w:val="9"/>
    <w:rPr>
      <w:rFonts w:ascii="Arial" w:hAnsi="Arial" w:eastAsia="Arial" w:cs="Arial"/>
      <w:b/>
      <w:bCs/>
      <w:i/>
      <w:iCs/>
      <w:sz w:val="22"/>
      <w:szCs w:val="22"/>
    </w:rPr>
  </w:style>
  <w:style w:type="paragraph" w:styleId="26">
    <w:name w:val="Heading 8"/>
    <w:basedOn w:val="787"/>
    <w:next w:val="78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93"/>
    <w:link w:val="26"/>
    <w:uiPriority w:val="9"/>
    <w:rPr>
      <w:rFonts w:ascii="Arial" w:hAnsi="Arial" w:eastAsia="Arial" w:cs="Arial"/>
      <w:i/>
      <w:iCs/>
      <w:sz w:val="22"/>
      <w:szCs w:val="22"/>
    </w:rPr>
  </w:style>
  <w:style w:type="paragraph" w:styleId="28">
    <w:name w:val="Heading 9"/>
    <w:basedOn w:val="787"/>
    <w:next w:val="78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93"/>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87"/>
    <w:next w:val="787"/>
    <w:link w:val="34"/>
    <w:uiPriority w:val="10"/>
    <w:qFormat/>
    <w:pPr>
      <w:contextualSpacing/>
      <w:spacing w:before="300" w:after="200"/>
    </w:pPr>
    <w:rPr>
      <w:sz w:val="48"/>
      <w:szCs w:val="48"/>
    </w:rPr>
  </w:style>
  <w:style w:type="character" w:styleId="34">
    <w:name w:val="Title Char"/>
    <w:basedOn w:val="793"/>
    <w:link w:val="33"/>
    <w:uiPriority w:val="10"/>
    <w:rPr>
      <w:sz w:val="48"/>
      <w:szCs w:val="48"/>
    </w:rPr>
  </w:style>
  <w:style w:type="character" w:styleId="36">
    <w:name w:val="Subtitle Char"/>
    <w:basedOn w:val="793"/>
    <w:link w:val="807"/>
    <w:uiPriority w:val="11"/>
    <w:rPr>
      <w:sz w:val="24"/>
      <w:szCs w:val="24"/>
    </w:rPr>
  </w:style>
  <w:style w:type="paragraph" w:styleId="37">
    <w:name w:val="Quote"/>
    <w:basedOn w:val="787"/>
    <w:next w:val="787"/>
    <w:link w:val="38"/>
    <w:uiPriority w:val="29"/>
    <w:qFormat/>
    <w:pPr>
      <w:ind w:left="720" w:right="720"/>
    </w:pPr>
    <w:rPr>
      <w:i/>
    </w:rPr>
  </w:style>
  <w:style w:type="character" w:styleId="38">
    <w:name w:val="Quote Char"/>
    <w:link w:val="37"/>
    <w:uiPriority w:val="29"/>
    <w:rPr>
      <w:i/>
    </w:rPr>
  </w:style>
  <w:style w:type="paragraph" w:styleId="39">
    <w:name w:val="Intense Quote"/>
    <w:basedOn w:val="787"/>
    <w:next w:val="78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93"/>
    <w:link w:val="805"/>
    <w:uiPriority w:val="99"/>
  </w:style>
  <w:style w:type="character" w:styleId="44">
    <w:name w:val="Footer Char"/>
    <w:basedOn w:val="793"/>
    <w:link w:val="804"/>
    <w:uiPriority w:val="99"/>
  </w:style>
  <w:style w:type="paragraph" w:styleId="45">
    <w:name w:val="Caption"/>
    <w:basedOn w:val="787"/>
    <w:next w:val="787"/>
    <w:uiPriority w:val="35"/>
    <w:semiHidden/>
    <w:unhideWhenUsed/>
    <w:qFormat/>
    <w:pPr>
      <w:spacing w:line="276" w:lineRule="auto"/>
    </w:pPr>
    <w:rPr>
      <w:b/>
      <w:bCs/>
      <w:color w:val="4f81bd" w:themeColor="accent1"/>
      <w:sz w:val="18"/>
      <w:szCs w:val="18"/>
    </w:rPr>
  </w:style>
  <w:style w:type="character" w:styleId="46">
    <w:name w:val="Caption Char"/>
    <w:basedOn w:val="45"/>
    <w:link w:val="804"/>
    <w:uiPriority w:val="99"/>
  </w:style>
  <w:style w:type="table" w:styleId="48">
    <w:name w:val="Table Grid Light"/>
    <w:basedOn w:val="79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9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9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9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9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9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9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9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9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9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9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9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9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9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9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9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9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9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9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9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9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9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9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9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9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9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9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9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9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9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9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9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9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9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9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9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9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9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9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9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9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9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9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9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9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9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9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9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9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9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9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9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9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9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9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9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9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9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9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9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9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9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9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9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9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9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9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9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9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9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9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9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9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9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9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9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9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9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9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9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9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9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9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9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9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9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9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9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9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9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9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9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9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9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9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9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9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9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9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9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9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9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9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9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8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93"/>
    <w:uiPriority w:val="99"/>
    <w:unhideWhenUsed/>
    <w:rPr>
      <w:vertAlign w:val="superscript"/>
    </w:rPr>
  </w:style>
  <w:style w:type="paragraph" w:styleId="177">
    <w:name w:val="endnote text"/>
    <w:basedOn w:val="78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93"/>
    <w:uiPriority w:val="99"/>
    <w:semiHidden/>
    <w:unhideWhenUsed/>
    <w:rPr>
      <w:vertAlign w:val="superscript"/>
    </w:rPr>
  </w:style>
  <w:style w:type="paragraph" w:styleId="182">
    <w:name w:val="toc 3"/>
    <w:basedOn w:val="787"/>
    <w:next w:val="787"/>
    <w:uiPriority w:val="39"/>
    <w:unhideWhenUsed/>
    <w:pPr>
      <w:ind w:left="567" w:right="0" w:firstLine="0"/>
      <w:spacing w:after="57"/>
    </w:pPr>
  </w:style>
  <w:style w:type="paragraph" w:styleId="183">
    <w:name w:val="toc 4"/>
    <w:basedOn w:val="787"/>
    <w:next w:val="787"/>
    <w:uiPriority w:val="39"/>
    <w:unhideWhenUsed/>
    <w:pPr>
      <w:ind w:left="850" w:right="0" w:firstLine="0"/>
      <w:spacing w:after="57"/>
    </w:pPr>
  </w:style>
  <w:style w:type="paragraph" w:styleId="184">
    <w:name w:val="toc 5"/>
    <w:basedOn w:val="787"/>
    <w:next w:val="787"/>
    <w:uiPriority w:val="39"/>
    <w:unhideWhenUsed/>
    <w:pPr>
      <w:ind w:left="1134" w:right="0" w:firstLine="0"/>
      <w:spacing w:after="57"/>
    </w:pPr>
  </w:style>
  <w:style w:type="paragraph" w:styleId="185">
    <w:name w:val="toc 6"/>
    <w:basedOn w:val="787"/>
    <w:next w:val="787"/>
    <w:uiPriority w:val="39"/>
    <w:unhideWhenUsed/>
    <w:pPr>
      <w:ind w:left="1417" w:right="0" w:firstLine="0"/>
      <w:spacing w:after="57"/>
    </w:pPr>
  </w:style>
  <w:style w:type="paragraph" w:styleId="186">
    <w:name w:val="toc 7"/>
    <w:basedOn w:val="787"/>
    <w:next w:val="787"/>
    <w:uiPriority w:val="39"/>
    <w:unhideWhenUsed/>
    <w:pPr>
      <w:ind w:left="1701" w:right="0" w:firstLine="0"/>
      <w:spacing w:after="57"/>
    </w:pPr>
  </w:style>
  <w:style w:type="paragraph" w:styleId="187">
    <w:name w:val="toc 8"/>
    <w:basedOn w:val="787"/>
    <w:next w:val="787"/>
    <w:uiPriority w:val="39"/>
    <w:unhideWhenUsed/>
    <w:pPr>
      <w:ind w:left="1984" w:right="0" w:firstLine="0"/>
      <w:spacing w:after="57"/>
    </w:pPr>
  </w:style>
  <w:style w:type="paragraph" w:styleId="188">
    <w:name w:val="toc 9"/>
    <w:basedOn w:val="787"/>
    <w:next w:val="787"/>
    <w:uiPriority w:val="39"/>
    <w:unhideWhenUsed/>
    <w:pPr>
      <w:ind w:left="2268" w:right="0" w:firstLine="0"/>
      <w:spacing w:after="57"/>
    </w:pPr>
  </w:style>
  <w:style w:type="paragraph" w:styleId="189">
    <w:name w:val="TOC Heading"/>
    <w:uiPriority w:val="39"/>
    <w:unhideWhenUsed/>
  </w:style>
  <w:style w:type="paragraph" w:styleId="190">
    <w:name w:val="table of figures"/>
    <w:basedOn w:val="787"/>
    <w:next w:val="787"/>
    <w:uiPriority w:val="99"/>
    <w:unhideWhenUsed/>
    <w:pPr>
      <w:spacing w:after="0" w:afterAutospacing="0"/>
    </w:pPr>
  </w:style>
  <w:style w:type="paragraph" w:styleId="787" w:default="1">
    <w:name w:val="Normal"/>
    <w:uiPriority w:val="0"/>
    <w:qFormat/>
    <w:pPr>
      <w:jc w:val="both"/>
      <w:widowControl w:val="off"/>
    </w:pPr>
    <w:rPr>
      <w:rFonts w:ascii="Calibri" w:hAnsi="Calibri" w:eastAsia="宋体" w:cs="Calibri"/>
      <w:sz w:val="21"/>
      <w:szCs w:val="21"/>
      <w:lang w:val="en-US" w:eastAsia="zh-CN" w:bidi="ar-SA"/>
    </w:rPr>
  </w:style>
  <w:style w:type="paragraph" w:styleId="788">
    <w:name w:val="Heading 1"/>
    <w:basedOn w:val="787"/>
    <w:next w:val="787"/>
    <w:link w:val="855"/>
    <w:uiPriority w:val="99"/>
    <w:qFormat/>
    <w:pPr>
      <w:numPr>
        <w:ilvl w:val="0"/>
        <w:numId w:val="1"/>
      </w:numPr>
      <w:ind w:firstLine="200"/>
      <w:jc w:val="center"/>
      <w:keepNext/>
      <w:spacing w:line="360" w:lineRule="auto"/>
      <w:outlineLvl w:val="0"/>
    </w:pPr>
    <w:rPr>
      <w:rFonts w:ascii="楷体_GB2312" w:eastAsia="楷体_GB2312" w:cs="楷体_GB2312"/>
      <w:sz w:val="28"/>
      <w:szCs w:val="28"/>
    </w:rPr>
  </w:style>
  <w:style w:type="paragraph" w:styleId="789">
    <w:name w:val="Heading 2"/>
    <w:basedOn w:val="787"/>
    <w:next w:val="787"/>
    <w:link w:val="858"/>
    <w:uiPriority w:val="99"/>
    <w:qFormat/>
    <w:pPr>
      <w:numPr>
        <w:ilvl w:val="1"/>
        <w:numId w:val="1"/>
      </w:numPr>
      <w:jc w:val="center"/>
      <w:keepLines/>
      <w:keepNext/>
      <w:spacing w:before="260" w:after="260" w:line="415" w:lineRule="auto"/>
      <w:outlineLvl w:val="1"/>
    </w:pPr>
    <w:rPr>
      <w:rFonts w:ascii="Arial" w:hAnsi="Arial" w:eastAsia="楷体" w:cs="Arial"/>
      <w:b/>
      <w:bCs/>
      <w:sz w:val="72"/>
      <w:szCs w:val="44"/>
    </w:rPr>
  </w:style>
  <w:style w:type="paragraph" w:styleId="790">
    <w:name w:val="Heading 3"/>
    <w:basedOn w:val="787"/>
    <w:next w:val="787"/>
    <w:link w:val="825"/>
    <w:uiPriority w:val="99"/>
    <w:qFormat/>
    <w:pPr>
      <w:numPr>
        <w:ilvl w:val="2"/>
        <w:numId w:val="1"/>
      </w:numPr>
      <w:keepLines/>
      <w:keepNext/>
      <w:spacing w:before="260" w:after="260" w:line="415" w:lineRule="auto"/>
      <w:outlineLvl w:val="2"/>
    </w:pPr>
    <w:rPr>
      <w:b/>
      <w:bCs/>
      <w:sz w:val="32"/>
      <w:szCs w:val="32"/>
    </w:rPr>
  </w:style>
  <w:style w:type="paragraph" w:styleId="791">
    <w:name w:val="Heading 4"/>
    <w:basedOn w:val="787"/>
    <w:next w:val="787"/>
    <w:link w:val="840"/>
    <w:uiPriority w:val="99"/>
    <w:qFormat/>
    <w:pPr>
      <w:keepLines/>
      <w:keepNext/>
      <w:spacing w:before="280" w:after="290" w:line="376" w:lineRule="auto"/>
      <w:outlineLvl w:val="3"/>
    </w:pPr>
    <w:rPr>
      <w:rFonts w:ascii="Calibri Light" w:hAnsi="Calibri Light" w:cs="Calibri Light"/>
      <w:b/>
      <w:bCs/>
      <w:sz w:val="28"/>
      <w:szCs w:val="28"/>
    </w:rPr>
  </w:style>
  <w:style w:type="paragraph" w:styleId="792">
    <w:name w:val="Heading 5"/>
    <w:basedOn w:val="787"/>
    <w:next w:val="787"/>
    <w:link w:val="838"/>
    <w:uiPriority w:val="0"/>
    <w:qFormat/>
    <w:pPr>
      <w:keepLines/>
      <w:keepNext/>
      <w:spacing w:before="280" w:after="290" w:line="376" w:lineRule="auto"/>
      <w:outlineLvl w:val="4"/>
    </w:pPr>
    <w:rPr>
      <w:b/>
      <w:bCs/>
      <w:sz w:val="28"/>
      <w:szCs w:val="28"/>
    </w:rPr>
  </w:style>
  <w:style w:type="character" w:styleId="793" w:default="1">
    <w:name w:val="Default Paragraph Font"/>
    <w:uiPriority w:val="1"/>
    <w:semiHidden/>
    <w:unhideWhenUsed/>
    <w:qFormat/>
  </w:style>
  <w:style w:type="table" w:styleId="794" w:default="1">
    <w:name w:val="Normal Table"/>
    <w:uiPriority w:val="99"/>
    <w:semiHidden/>
    <w:unhideWhenUsed/>
    <w:qFormat/>
    <w:tblPr>
      <w:tblCellMar>
        <w:left w:w="108" w:type="dxa"/>
        <w:top w:w="0" w:type="dxa"/>
        <w:right w:w="108" w:type="dxa"/>
        <w:bottom w:w="0" w:type="dxa"/>
      </w:tblCellMar>
    </w:tblPr>
  </w:style>
  <w:style w:type="paragraph" w:styleId="795">
    <w:name w:val="Normal Indent"/>
    <w:basedOn w:val="787"/>
    <w:uiPriority w:val="0"/>
    <w:qFormat/>
    <w:pPr>
      <w:ind w:firstLine="420"/>
      <w:spacing w:line="360" w:lineRule="auto"/>
    </w:pPr>
    <w:rPr>
      <w:rFonts w:ascii="Times New Roman" w:hAnsi="Times New Roman" w:cs="Times New Roman"/>
      <w:sz w:val="24"/>
      <w:szCs w:val="24"/>
    </w:rPr>
  </w:style>
  <w:style w:type="paragraph" w:styleId="796">
    <w:name w:val="annotation text"/>
    <w:basedOn w:val="787"/>
    <w:link w:val="874"/>
    <w:uiPriority w:val="0"/>
    <w:unhideWhenUsed/>
    <w:qFormat/>
    <w:pPr>
      <w:jc w:val="left"/>
    </w:pPr>
  </w:style>
  <w:style w:type="paragraph" w:styleId="797">
    <w:name w:val="Body Text"/>
    <w:basedOn w:val="787"/>
    <w:link w:val="872"/>
    <w:uiPriority w:val="99"/>
    <w:qFormat/>
    <w:pPr>
      <w:ind w:firstLine="200"/>
      <w:spacing w:line="360" w:lineRule="auto"/>
    </w:pPr>
    <w:rPr>
      <w:rFonts w:ascii="楷体_GB2312" w:hAnsi="Arial" w:eastAsia="楷体_GB2312" w:cs="楷体_GB2312"/>
      <w:sz w:val="28"/>
      <w:szCs w:val="28"/>
    </w:rPr>
  </w:style>
  <w:style w:type="paragraph" w:styleId="798">
    <w:name w:val="Body Text Indent"/>
    <w:basedOn w:val="787"/>
    <w:next w:val="799"/>
    <w:uiPriority w:val="99"/>
    <w:qFormat/>
    <w:pPr>
      <w:ind w:firstLine="403"/>
      <w:spacing w:line="440" w:lineRule="exact"/>
    </w:pPr>
    <w:rPr>
      <w:rFonts w:ascii="宋体" w:hAnsi="宋体" w:cs="宋体"/>
    </w:rPr>
  </w:style>
  <w:style w:type="paragraph" w:styleId="799">
    <w:name w:val="envelope return"/>
    <w:basedOn w:val="787"/>
    <w:uiPriority w:val="0"/>
    <w:qFormat/>
    <w:rPr>
      <w:rFonts w:ascii="Arial" w:hAnsi="Arial"/>
    </w:rPr>
  </w:style>
  <w:style w:type="paragraph" w:styleId="800">
    <w:name w:val="index 4"/>
    <w:basedOn w:val="787"/>
    <w:next w:val="787"/>
    <w:uiPriority w:val="99"/>
    <w:qFormat/>
    <w:pPr>
      <w:ind w:left="600"/>
    </w:pPr>
    <w:rPr>
      <w:rFonts w:ascii="Verdana" w:hAnsi="Verdana"/>
      <w:szCs w:val="20"/>
    </w:rPr>
  </w:style>
  <w:style w:type="paragraph" w:styleId="801">
    <w:name w:val="Plain Text"/>
    <w:basedOn w:val="787"/>
    <w:link w:val="842"/>
    <w:uiPriority w:val="99"/>
    <w:qFormat/>
    <w:pPr>
      <w:ind w:firstLine="200"/>
      <w:spacing w:line="360" w:lineRule="auto"/>
    </w:pPr>
    <w:rPr>
      <w:rFonts w:ascii="宋体" w:hAnsi="Courier New" w:cs="宋体"/>
      <w:sz w:val="24"/>
      <w:szCs w:val="24"/>
    </w:rPr>
  </w:style>
  <w:style w:type="paragraph" w:styleId="802">
    <w:name w:val="Date"/>
    <w:basedOn w:val="787"/>
    <w:next w:val="787"/>
    <w:link w:val="875"/>
    <w:uiPriority w:val="99"/>
    <w:qFormat/>
    <w:pPr>
      <w:ind w:firstLine="200"/>
      <w:spacing w:line="360" w:lineRule="auto"/>
    </w:pPr>
    <w:rPr>
      <w:rFonts w:ascii="Times New Roman" w:hAnsi="Times New Roman" w:cs="Times New Roman"/>
      <w:sz w:val="24"/>
      <w:szCs w:val="24"/>
    </w:rPr>
  </w:style>
  <w:style w:type="paragraph" w:styleId="803">
    <w:name w:val="Balloon Text"/>
    <w:basedOn w:val="787"/>
    <w:link w:val="853"/>
    <w:uiPriority w:val="0"/>
    <w:qFormat/>
    <w:rPr>
      <w:sz w:val="18"/>
      <w:szCs w:val="18"/>
    </w:rPr>
  </w:style>
  <w:style w:type="paragraph" w:styleId="804">
    <w:name w:val="Footer"/>
    <w:basedOn w:val="787"/>
    <w:link w:val="865"/>
    <w:uiPriority w:val="99"/>
    <w:qFormat/>
    <w:pPr>
      <w:ind w:firstLine="200"/>
      <w:jc w:val="left"/>
      <w:spacing w:line="360" w:lineRule="auto"/>
      <w:tabs>
        <w:tab w:val="center" w:pos="4153" w:leader="none"/>
        <w:tab w:val="right" w:pos="8306" w:leader="none"/>
      </w:tabs>
    </w:pPr>
    <w:rPr>
      <w:rFonts w:ascii="Times New Roman" w:hAnsi="Times New Roman" w:cs="Times New Roman"/>
      <w:sz w:val="18"/>
      <w:szCs w:val="18"/>
    </w:rPr>
  </w:style>
  <w:style w:type="paragraph" w:styleId="805">
    <w:name w:val="Header"/>
    <w:basedOn w:val="787"/>
    <w:link w:val="837"/>
    <w:uiPriority w:val="99"/>
    <w:qFormat/>
    <w:pPr>
      <w:ind w:firstLine="200"/>
      <w:jc w:val="center"/>
      <w:spacing w:line="360" w:lineRule="auto"/>
      <w:tabs>
        <w:tab w:val="center" w:pos="4153" w:leader="none"/>
        <w:tab w:val="right" w:pos="8306" w:leader="none"/>
      </w:tabs>
      <w:pBdr>
        <w:bottom w:val="single" w:color="000000" w:sz="6" w:space="1"/>
      </w:pBdr>
    </w:pPr>
    <w:rPr>
      <w:rFonts w:ascii="Times New Roman" w:hAnsi="Times New Roman" w:cs="Times New Roman"/>
      <w:sz w:val="18"/>
      <w:szCs w:val="18"/>
    </w:rPr>
  </w:style>
  <w:style w:type="paragraph" w:styleId="806">
    <w:name w:val="toc 1"/>
    <w:basedOn w:val="787"/>
    <w:next w:val="787"/>
    <w:uiPriority w:val="39"/>
    <w:qFormat/>
    <w:pPr>
      <w:ind w:firstLine="200"/>
      <w:jc w:val="left"/>
      <w:spacing w:before="120" w:after="120" w:line="400" w:lineRule="exact"/>
      <w:tabs>
        <w:tab w:val="right" w:pos="8720" w:leader="dot"/>
      </w:tabs>
    </w:pPr>
    <w:rPr>
      <w:rFonts w:ascii="宋体" w:hAnsi="宋体" w:cs="宋体"/>
      <w:caps/>
      <w:sz w:val="24"/>
      <w:szCs w:val="24"/>
    </w:rPr>
  </w:style>
  <w:style w:type="paragraph" w:styleId="807">
    <w:name w:val="Subtitle"/>
    <w:basedOn w:val="787"/>
    <w:next w:val="787"/>
    <w:link w:val="854"/>
    <w:uiPriority w:val="0"/>
    <w:qFormat/>
    <w:pPr>
      <w:jc w:val="center"/>
      <w:spacing w:before="240" w:after="60" w:line="312" w:lineRule="auto"/>
      <w:outlineLvl w:val="1"/>
    </w:pPr>
    <w:rPr>
      <w:rFonts w:ascii="Cambria" w:hAnsi="Cambria" w:cs="Times New Roman"/>
      <w:b/>
      <w:bCs/>
      <w:sz w:val="32"/>
      <w:szCs w:val="32"/>
    </w:rPr>
  </w:style>
  <w:style w:type="paragraph" w:styleId="808">
    <w:name w:val="toc 2"/>
    <w:basedOn w:val="787"/>
    <w:next w:val="787"/>
    <w:uiPriority w:val="39"/>
    <w:qFormat/>
    <w:pPr>
      <w:ind w:left="420"/>
    </w:pPr>
  </w:style>
  <w:style w:type="paragraph" w:styleId="809">
    <w:name w:val="Body Text 2"/>
    <w:basedOn w:val="787"/>
    <w:uiPriority w:val="99"/>
    <w:unhideWhenUsed/>
    <w:qFormat/>
    <w:pPr>
      <w:spacing w:after="120" w:line="480" w:lineRule="auto"/>
    </w:pPr>
  </w:style>
  <w:style w:type="paragraph" w:styleId="810">
    <w:name w:val="HTML Preformatted"/>
    <w:basedOn w:val="787"/>
    <w:uiPriority w:val="0"/>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cs="Times New Roman"/>
      <w:sz w:val="24"/>
      <w:szCs w:val="24"/>
    </w:rPr>
  </w:style>
  <w:style w:type="paragraph" w:styleId="811">
    <w:name w:val="Normal (Web)"/>
    <w:basedOn w:val="787"/>
    <w:uiPriority w:val="0"/>
    <w:qFormat/>
    <w:pPr>
      <w:jc w:val="left"/>
      <w:spacing w:before="100" w:beforeAutospacing="1" w:after="100" w:afterAutospacing="1"/>
      <w:widowControl/>
    </w:pPr>
    <w:rPr>
      <w:rFonts w:ascii="宋体" w:hAnsi="宋体" w:cs="宋体"/>
      <w:sz w:val="24"/>
      <w:szCs w:val="24"/>
    </w:rPr>
  </w:style>
  <w:style w:type="paragraph" w:styleId="812">
    <w:name w:val="annotation subject"/>
    <w:basedOn w:val="796"/>
    <w:next w:val="796"/>
    <w:link w:val="848"/>
    <w:uiPriority w:val="0"/>
    <w:unhideWhenUsed/>
    <w:qFormat/>
    <w:rPr>
      <w:b/>
      <w:bCs/>
    </w:rPr>
  </w:style>
  <w:style w:type="paragraph" w:styleId="813">
    <w:name w:val="Body Text First Indent 2"/>
    <w:basedOn w:val="787"/>
    <w:next w:val="787"/>
    <w:uiPriority w:val="99"/>
    <w:qFormat/>
    <w:pPr>
      <w:ind w:firstLine="420"/>
    </w:pPr>
  </w:style>
  <w:style w:type="table" w:styleId="814">
    <w:name w:val="Table Grid"/>
    <w:basedOn w:val="794"/>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5">
    <w:name w:val="Strong"/>
    <w:uiPriority w:val="99"/>
    <w:qFormat/>
    <w:rPr>
      <w:b/>
      <w:bCs/>
    </w:rPr>
  </w:style>
  <w:style w:type="character" w:styleId="816">
    <w:name w:val="page number"/>
    <w:uiPriority w:val="99"/>
    <w:qFormat/>
    <w:rPr>
      <w:rFonts w:ascii="Times New Roman" w:hAnsi="Times New Roman" w:eastAsia="宋体" w:cs="Times New Roman"/>
    </w:rPr>
  </w:style>
  <w:style w:type="character" w:styleId="817">
    <w:name w:val="Emphasis"/>
    <w:uiPriority w:val="0"/>
    <w:qFormat/>
    <w:rPr>
      <w:i/>
    </w:rPr>
  </w:style>
  <w:style w:type="character" w:styleId="818">
    <w:name w:val="Hyperlink"/>
    <w:uiPriority w:val="99"/>
    <w:qFormat/>
    <w:rPr>
      <w:color w:val="0000ff"/>
      <w:u w:val="single"/>
    </w:rPr>
  </w:style>
  <w:style w:type="character" w:styleId="819">
    <w:name w:val="annotation reference"/>
    <w:uiPriority w:val="0"/>
    <w:qFormat/>
    <w:rPr>
      <w:sz w:val="21"/>
      <w:szCs w:val="21"/>
    </w:rPr>
  </w:style>
  <w:style w:type="paragraph" w:styleId="820" w:customStyle="1">
    <w:name w:val="报告正文"/>
    <w:basedOn w:val="787"/>
    <w:uiPriority w:val="0"/>
    <w:qFormat/>
    <w:pPr>
      <w:ind w:firstLine="560"/>
    </w:pPr>
    <w:rPr>
      <w:szCs w:val="20"/>
      <w:lang w:val="zh-CN"/>
    </w:rPr>
  </w:style>
  <w:style w:type="paragraph" w:styleId="821" w:customStyle="1">
    <w:name w:val="表内文字"/>
    <w:basedOn w:val="787"/>
    <w:uiPriority w:val="99"/>
    <w:qFormat/>
    <w:rPr>
      <w:rFonts w:ascii="仿宋_GB2312"/>
    </w:rPr>
  </w:style>
  <w:style w:type="paragraph" w:styleId="822" w:customStyle="1">
    <w:name w:val="Char"/>
    <w:basedOn w:val="787"/>
    <w:uiPriority w:val="99"/>
    <w:qFormat/>
    <w:pPr>
      <w:ind w:firstLine="200"/>
      <w:spacing w:line="360" w:lineRule="auto"/>
      <w:tabs>
        <w:tab w:val="left" w:pos="360" w:leader="none"/>
      </w:tabs>
    </w:pPr>
    <w:rPr>
      <w:rFonts w:ascii="Times New Roman" w:hAnsi="Times New Roman" w:cs="Times New Roman"/>
      <w:sz w:val="24"/>
      <w:szCs w:val="24"/>
    </w:rPr>
  </w:style>
  <w:style w:type="paragraph" w:styleId="823" w:customStyle="1">
    <w:name w:val="列出段落1"/>
    <w:basedOn w:val="787"/>
    <w:uiPriority w:val="99"/>
    <w:qFormat/>
    <w:pPr>
      <w:ind w:firstLine="420"/>
    </w:pPr>
  </w:style>
  <w:style w:type="paragraph" w:styleId="824" w:customStyle="1">
    <w:name w:val="列出段落2"/>
    <w:basedOn w:val="787"/>
    <w:uiPriority w:val="34"/>
    <w:qFormat/>
    <w:pPr>
      <w:ind w:firstLine="420"/>
    </w:pPr>
  </w:style>
  <w:style w:type="character" w:styleId="825" w:customStyle="1">
    <w:name w:val="标题 3 Char1"/>
    <w:link w:val="790"/>
    <w:uiPriority w:val="0"/>
    <w:qFormat/>
    <w:rPr>
      <w:b/>
      <w:bCs/>
      <w:sz w:val="32"/>
      <w:szCs w:val="32"/>
    </w:rPr>
  </w:style>
  <w:style w:type="character" w:styleId="826" w:customStyle="1">
    <w:name w:val="font61"/>
    <w:basedOn w:val="793"/>
    <w:uiPriority w:val="0"/>
    <w:qFormat/>
    <w:rPr>
      <w:rFonts w:hint="eastAsia" w:ascii="宋体" w:hAnsi="宋体" w:eastAsia="宋体" w:cs="宋体"/>
      <w:color w:val="000000"/>
      <w:sz w:val="17"/>
      <w:szCs w:val="17"/>
      <w:u w:val="none"/>
    </w:rPr>
  </w:style>
  <w:style w:type="character" w:styleId="827" w:customStyle="1">
    <w:name w:val="font71"/>
    <w:uiPriority w:val="0"/>
    <w:qFormat/>
    <w:rPr>
      <w:rFonts w:hint="eastAsia" w:ascii="微软雅黑" w:hAnsi="微软雅黑" w:eastAsia="微软雅黑" w:cs="微软雅黑"/>
      <w:color w:val="ff0000"/>
      <w:sz w:val="28"/>
      <w:szCs w:val="28"/>
      <w:u w:val="none"/>
    </w:rPr>
  </w:style>
  <w:style w:type="character" w:styleId="828" w:customStyle="1">
    <w:name w:val="一级目录 Char"/>
    <w:link w:val="829"/>
    <w:uiPriority w:val="99"/>
    <w:qFormat/>
    <w:rPr>
      <w:rFonts w:ascii="黑体" w:eastAsia="黑体"/>
      <w:b/>
      <w:bCs/>
      <w:sz w:val="44"/>
      <w:szCs w:val="44"/>
      <w:lang w:val="en-US" w:eastAsia="zh-CN" w:bidi="ar-SA"/>
    </w:rPr>
  </w:style>
  <w:style w:type="paragraph" w:styleId="829" w:customStyle="1">
    <w:name w:val="一级目录"/>
    <w:next w:val="787"/>
    <w:link w:val="828"/>
    <w:uiPriority w:val="99"/>
    <w:qFormat/>
    <w:pPr>
      <w:jc w:val="center"/>
      <w:outlineLvl w:val="0"/>
    </w:pPr>
    <w:rPr>
      <w:rFonts w:ascii="黑体" w:hAnsi="Times New Roman" w:eastAsia="黑体" w:cs="Times New Roman"/>
      <w:b/>
      <w:bCs/>
      <w:sz w:val="44"/>
      <w:szCs w:val="44"/>
      <w:lang w:val="en-US" w:eastAsia="zh-CN" w:bidi="ar-SA"/>
    </w:rPr>
  </w:style>
  <w:style w:type="paragraph" w:styleId="830" w:customStyle="1">
    <w:name w:val="样式 样式 首行缩进:  2 字符 + 行距: 1.5 倍行距"/>
    <w:basedOn w:val="787"/>
    <w:uiPriority w:val="0"/>
    <w:qFormat/>
    <w:pPr>
      <w:ind w:firstLine="470"/>
      <w:spacing w:line="360" w:lineRule="auto"/>
    </w:pPr>
    <w:rPr>
      <w:rFonts w:eastAsia="Calibri" w:cs="宋体"/>
      <w:sz w:val="24"/>
      <w:szCs w:val="20"/>
      <w:lang w:val="zh-CN"/>
    </w:rPr>
  </w:style>
  <w:style w:type="paragraph" w:styleId="831" w:customStyle="1">
    <w:name w:val="Default"/>
    <w:uiPriority w:val="99"/>
    <w:qFormat/>
    <w:pPr>
      <w:widowControl w:val="off"/>
    </w:pPr>
    <w:rPr>
      <w:rFonts w:ascii="仿宋" w:hAnsi="仿宋" w:eastAsia="仿宋" w:cs="仿宋"/>
      <w:color w:val="000000"/>
      <w:sz w:val="24"/>
      <w:szCs w:val="24"/>
      <w:lang w:val="en-US" w:eastAsia="zh-CN" w:bidi="ar-SA"/>
    </w:rPr>
  </w:style>
  <w:style w:type="paragraph" w:styleId="832" w:customStyle="1">
    <w:name w:val="Char1"/>
    <w:basedOn w:val="787"/>
    <w:uiPriority w:val="99"/>
    <w:qFormat/>
    <w:rPr>
      <w:rFonts w:ascii="Tahoma" w:hAnsi="Tahoma" w:cs="Tahoma"/>
      <w:sz w:val="24"/>
      <w:szCs w:val="24"/>
    </w:rPr>
  </w:style>
  <w:style w:type="paragraph" w:styleId="833" w:customStyle="1">
    <w:name w:val="DAS正文"/>
    <w:uiPriority w:val="0"/>
    <w:qFormat/>
    <w:pPr>
      <w:ind w:right="181" w:firstLine="480"/>
      <w:jc w:val="both"/>
      <w:spacing w:line="360" w:lineRule="auto"/>
      <w:widowControl w:val="off"/>
    </w:pPr>
    <w:rPr>
      <w:rFonts w:ascii="Verdana" w:hAnsi="Verdana" w:eastAsia="宋体" w:cs="Times New Roman"/>
      <w:sz w:val="21"/>
      <w:szCs w:val="24"/>
      <w:lang w:val="en-US" w:eastAsia="zh-CN" w:bidi="ar-SA"/>
    </w:rPr>
  </w:style>
  <w:style w:type="paragraph" w:styleId="834" w:customStyle="1">
    <w:name w:val="_Style 1"/>
    <w:basedOn w:val="787"/>
    <w:uiPriority w:val="0"/>
    <w:qFormat/>
    <w:pPr>
      <w:ind w:firstLine="420"/>
    </w:pPr>
    <w:rPr>
      <w:sz w:val="20"/>
    </w:rPr>
  </w:style>
  <w:style w:type="paragraph" w:styleId="835" w:customStyle="1">
    <w:name w:val="WPSOffice手动目录 1"/>
    <w:uiPriority w:val="0"/>
    <w:qFormat/>
    <w:rPr>
      <w:rFonts w:ascii="Times New Roman" w:hAnsi="Times New Roman" w:eastAsia="宋体" w:cs="Times New Roman"/>
      <w:lang w:val="en-US" w:eastAsia="zh-CN" w:bidi="ar-SA"/>
    </w:rPr>
  </w:style>
  <w:style w:type="paragraph" w:styleId="836" w:customStyle="1">
    <w:name w:val="表中文字"/>
    <w:basedOn w:val="787"/>
    <w:uiPriority w:val="0"/>
    <w:qFormat/>
    <w:rPr>
      <w:rFonts w:ascii="Times New Roman" w:hAnsi="Times New Roman" w:cs="Times New Roman"/>
      <w:sz w:val="24"/>
      <w:szCs w:val="24"/>
    </w:rPr>
  </w:style>
  <w:style w:type="character" w:styleId="837" w:customStyle="1">
    <w:name w:val="页眉 Char"/>
    <w:link w:val="805"/>
    <w:uiPriority w:val="99"/>
    <w:qFormat/>
    <w:rPr>
      <w:rFonts w:ascii="Calibri" w:hAnsi="Calibri" w:cs="Calibri"/>
      <w:sz w:val="18"/>
      <w:szCs w:val="18"/>
    </w:rPr>
  </w:style>
  <w:style w:type="character" w:styleId="838" w:customStyle="1">
    <w:name w:val="标题 5 Char"/>
    <w:link w:val="792"/>
    <w:uiPriority w:val="0"/>
    <w:qFormat/>
    <w:rPr>
      <w:rFonts w:ascii="Calibri" w:hAnsi="Calibri" w:cs="Calibri"/>
      <w:b/>
      <w:bCs/>
      <w:sz w:val="28"/>
      <w:szCs w:val="28"/>
    </w:rPr>
  </w:style>
  <w:style w:type="paragraph" w:styleId="839" w:customStyle="1">
    <w:name w:val="招标"/>
    <w:basedOn w:val="787"/>
    <w:uiPriority w:val="0"/>
    <w:qFormat/>
    <w:pPr>
      <w:ind w:firstLine="420"/>
      <w:jc w:val="left"/>
      <w:spacing w:line="400" w:lineRule="exact"/>
    </w:pPr>
    <w:rPr>
      <w:rFonts w:ascii="宋体" w:hAnsi="宋体"/>
    </w:rPr>
  </w:style>
  <w:style w:type="character" w:styleId="840" w:customStyle="1">
    <w:name w:val="标题 4 Char"/>
    <w:link w:val="791"/>
    <w:uiPriority w:val="9"/>
    <w:qFormat/>
    <w:rPr>
      <w:rFonts w:ascii="Cambria" w:hAnsi="Cambria" w:eastAsia="宋体" w:cs="Times New Roman"/>
      <w:b/>
      <w:bCs/>
      <w:sz w:val="28"/>
      <w:szCs w:val="28"/>
    </w:rPr>
  </w:style>
  <w:style w:type="character" w:styleId="841" w:customStyle="1">
    <w:name w:val="font11"/>
    <w:uiPriority w:val="0"/>
    <w:qFormat/>
    <w:rPr>
      <w:rFonts w:hint="eastAsia" w:ascii="微软雅黑" w:hAnsi="微软雅黑" w:eastAsia="微软雅黑" w:cs="微软雅黑"/>
      <w:color w:val="000000"/>
      <w:sz w:val="28"/>
      <w:szCs w:val="28"/>
      <w:u w:val="none"/>
    </w:rPr>
  </w:style>
  <w:style w:type="character" w:styleId="842" w:customStyle="1">
    <w:name w:val="纯文本 Char"/>
    <w:link w:val="801"/>
    <w:uiPriority w:val="99"/>
    <w:qFormat/>
    <w:rPr>
      <w:rFonts w:ascii="宋体" w:hAnsi="Courier New" w:cs="Courier New"/>
      <w:szCs w:val="21"/>
    </w:rPr>
  </w:style>
  <w:style w:type="paragraph" w:styleId="843" w:customStyle="1">
    <w:name w:val="p0"/>
    <w:basedOn w:val="787"/>
    <w:uiPriority w:val="99"/>
    <w:qFormat/>
    <w:pPr>
      <w:widowControl/>
    </w:pPr>
    <w:rPr>
      <w:rFonts w:ascii="Times New Roman" w:hAnsi="Times New Roman" w:cs="Times New Roman"/>
    </w:rPr>
  </w:style>
  <w:style w:type="character" w:styleId="844" w:customStyle="1">
    <w:name w:val="方案文档 Char Char"/>
    <w:link w:val="845"/>
    <w:uiPriority w:val="0"/>
    <w:qFormat/>
    <w:rPr>
      <w:rFonts w:ascii="Arial" w:hAnsi="Arial"/>
      <w:color w:val="ff00ff"/>
      <w:sz w:val="24"/>
      <w:lang w:val="zh-CN"/>
    </w:rPr>
  </w:style>
  <w:style w:type="paragraph" w:styleId="845" w:customStyle="1">
    <w:name w:val="方案文档"/>
    <w:basedOn w:val="787"/>
    <w:link w:val="844"/>
    <w:uiPriority w:val="0"/>
    <w:qFormat/>
    <w:pPr>
      <w:ind w:right="32"/>
      <w:spacing w:before="120" w:after="120" w:line="360" w:lineRule="auto"/>
    </w:pPr>
    <w:rPr>
      <w:rFonts w:ascii="Arial" w:hAnsi="Arial" w:cs="Times New Roman"/>
      <w:color w:val="ff00ff"/>
      <w:sz w:val="24"/>
      <w:szCs w:val="20"/>
      <w:lang w:val="zh-CN"/>
    </w:rPr>
  </w:style>
  <w:style w:type="paragraph" w:styleId="846" w:customStyle="1">
    <w:name w:val="标准文件_标准正文"/>
    <w:basedOn w:val="787"/>
    <w:uiPriority w:val="99"/>
    <w:qFormat/>
    <w:pPr>
      <w:ind w:firstLine="560"/>
      <w:jc w:val="left"/>
      <w:spacing w:line="300" w:lineRule="auto"/>
      <w:widowControl/>
    </w:pPr>
    <w:rPr>
      <w:rFonts w:ascii="宋体" w:hAnsi="宋体"/>
      <w:bCs/>
      <w:color w:val="000000"/>
      <w:sz w:val="28"/>
      <w:szCs w:val="28"/>
    </w:rPr>
  </w:style>
  <w:style w:type="paragraph" w:styleId="847" w:customStyle="1">
    <w:name w:val="项目编号A"/>
    <w:basedOn w:val="787"/>
    <w:link w:val="862"/>
    <w:uiPriority w:val="0"/>
    <w:qFormat/>
    <w:pPr>
      <w:ind w:left="720" w:hanging="720"/>
      <w:spacing w:line="360" w:lineRule="auto"/>
      <w:tabs>
        <w:tab w:val="left" w:pos="634" w:leader="none"/>
        <w:tab w:val="left" w:pos="720" w:leader="none"/>
      </w:tabs>
    </w:pPr>
    <w:rPr>
      <w:rFonts w:ascii="Arial" w:hAnsi="Arial" w:cs="Times New Roman"/>
      <w:sz w:val="24"/>
      <w:szCs w:val="24"/>
    </w:rPr>
  </w:style>
  <w:style w:type="character" w:styleId="848" w:customStyle="1">
    <w:name w:val="批注主题 Char"/>
    <w:link w:val="812"/>
    <w:uiPriority w:val="0"/>
    <w:semiHidden/>
    <w:qFormat/>
    <w:rPr>
      <w:rFonts w:ascii="Calibri" w:hAnsi="Calibri" w:cs="Calibri"/>
      <w:b/>
      <w:bCs/>
      <w:sz w:val="21"/>
      <w:szCs w:val="21"/>
    </w:rPr>
  </w:style>
  <w:style w:type="paragraph" w:styleId="849" w:customStyle="1">
    <w:name w:val="普通正文"/>
    <w:basedOn w:val="787"/>
    <w:link w:val="861"/>
    <w:uiPriority w:val="99"/>
    <w:qFormat/>
    <w:pPr>
      <w:ind w:firstLine="480"/>
      <w:jc w:val="left"/>
      <w:spacing w:before="120" w:after="120" w:line="360" w:lineRule="auto"/>
    </w:pPr>
    <w:rPr>
      <w:rFonts w:ascii="Arial" w:hAnsi="Arial" w:cs="Arial"/>
      <w:sz w:val="24"/>
      <w:szCs w:val="24"/>
    </w:rPr>
  </w:style>
  <w:style w:type="paragraph" w:styleId="850" w:customStyle="1">
    <w:name w:val="_Style 2"/>
    <w:basedOn w:val="787"/>
    <w:uiPriority w:val="34"/>
    <w:qFormat/>
    <w:pPr>
      <w:contextualSpacing/>
      <w:ind w:left="720"/>
      <w:jc w:val="left"/>
      <w:widowControl/>
    </w:pPr>
    <w:rPr>
      <w:sz w:val="24"/>
      <w:szCs w:val="24"/>
      <w:lang w:eastAsia="en-US" w:bidi="en-US"/>
    </w:rPr>
  </w:style>
  <w:style w:type="paragraph" w:styleId="851" w:customStyle="1">
    <w:name w:val="列出段落3"/>
    <w:basedOn w:val="787"/>
    <w:uiPriority w:val="34"/>
    <w:qFormat/>
    <w:pPr>
      <w:ind w:left="720"/>
      <w:jc w:val="left"/>
      <w:widowControl/>
    </w:pPr>
    <w:rPr>
      <w:sz w:val="24"/>
      <w:szCs w:val="24"/>
      <w:lang w:eastAsia="en-US" w:bidi="en-US"/>
    </w:rPr>
  </w:style>
  <w:style w:type="character" w:styleId="852" w:customStyle="1">
    <w:name w:val="标题 3 Char"/>
    <w:uiPriority w:val="9"/>
    <w:qFormat/>
    <w:rPr>
      <w:rFonts w:ascii="Calibri" w:hAnsi="Calibri" w:cs="Calibri"/>
      <w:b/>
      <w:bCs/>
      <w:sz w:val="32"/>
      <w:szCs w:val="32"/>
    </w:rPr>
  </w:style>
  <w:style w:type="character" w:styleId="853" w:customStyle="1">
    <w:name w:val="批注框文本 Char"/>
    <w:link w:val="803"/>
    <w:uiPriority w:val="0"/>
    <w:qFormat/>
    <w:rPr>
      <w:rFonts w:ascii="Calibri" w:hAnsi="Calibri" w:cs="Calibri"/>
      <w:sz w:val="18"/>
      <w:szCs w:val="18"/>
    </w:rPr>
  </w:style>
  <w:style w:type="character" w:styleId="854" w:customStyle="1">
    <w:name w:val="副标题 Char"/>
    <w:link w:val="807"/>
    <w:uiPriority w:val="0"/>
    <w:qFormat/>
    <w:rPr>
      <w:rFonts w:ascii="Cambria" w:hAnsi="Cambria" w:cs="Times New Roman"/>
      <w:b/>
      <w:bCs/>
      <w:sz w:val="32"/>
      <w:szCs w:val="32"/>
    </w:rPr>
  </w:style>
  <w:style w:type="character" w:styleId="855" w:customStyle="1">
    <w:name w:val="标题 1 Char"/>
    <w:link w:val="788"/>
    <w:uiPriority w:val="9"/>
    <w:qFormat/>
    <w:rPr>
      <w:rFonts w:ascii="Calibri" w:hAnsi="Calibri" w:cs="Calibri"/>
      <w:b/>
      <w:bCs/>
      <w:sz w:val="44"/>
      <w:szCs w:val="44"/>
    </w:rPr>
  </w:style>
  <w:style w:type="paragraph" w:styleId="856" w:customStyle="1">
    <w:name w:val="二级目录"/>
    <w:next w:val="787"/>
    <w:link w:val="857"/>
    <w:uiPriority w:val="99"/>
    <w:qFormat/>
    <w:pPr>
      <w:numPr>
        <w:ilvl w:val="0"/>
        <w:numId w:val="2"/>
      </w:numPr>
      <w:tabs>
        <w:tab w:val="clear" w:pos="720" w:leader="none"/>
      </w:tabs>
      <w:outlineLvl w:val="1"/>
    </w:pPr>
    <w:rPr>
      <w:rFonts w:ascii="Calibri" w:hAnsi="Calibri" w:eastAsia="宋体" w:cs="Times New Roman"/>
      <w:b/>
      <w:bCs/>
      <w:sz w:val="28"/>
      <w:szCs w:val="28"/>
      <w:lang w:val="en-US" w:eastAsia="zh-CN" w:bidi="ar-SA"/>
    </w:rPr>
  </w:style>
  <w:style w:type="character" w:styleId="857" w:customStyle="1">
    <w:name w:val="二级目录 Char"/>
    <w:link w:val="856"/>
    <w:uiPriority w:val="99"/>
    <w:qFormat/>
    <w:rPr>
      <w:rFonts w:ascii="Calibri" w:hAnsi="Calibri"/>
      <w:b/>
      <w:bCs/>
      <w:sz w:val="28"/>
      <w:szCs w:val="28"/>
      <w:lang w:val="en-US" w:eastAsia="zh-CN" w:bidi="ar-SA"/>
    </w:rPr>
  </w:style>
  <w:style w:type="character" w:styleId="858" w:customStyle="1">
    <w:name w:val="标题 2 Char"/>
    <w:link w:val="789"/>
    <w:uiPriority w:val="9"/>
    <w:qFormat/>
    <w:rPr>
      <w:rFonts w:ascii="Arial" w:hAnsi="Arial" w:eastAsia="楷体" w:cs="Times New Roman"/>
      <w:b/>
      <w:bCs/>
      <w:sz w:val="72"/>
      <w:szCs w:val="32"/>
    </w:rPr>
  </w:style>
  <w:style w:type="paragraph" w:styleId="859" w:customStyle="1">
    <w:name w:val="_Style 8"/>
    <w:basedOn w:val="787"/>
    <w:next w:val="787"/>
    <w:uiPriority w:val="99"/>
    <w:qFormat/>
    <w:pPr>
      <w:jc w:val="center"/>
      <w:widowControl/>
      <w:pBdr>
        <w:top w:val="single" w:color="000000" w:sz="6" w:space="1"/>
      </w:pBdr>
    </w:pPr>
    <w:rPr>
      <w:rFonts w:ascii="Arial" w:hAnsi="Arial" w:cs="Arial"/>
      <w:vanish/>
      <w:sz w:val="16"/>
      <w:szCs w:val="16"/>
    </w:rPr>
  </w:style>
  <w:style w:type="paragraph" w:styleId="860" w:customStyle="1">
    <w:name w:val="修订1"/>
    <w:uiPriority w:val="99"/>
    <w:unhideWhenUsed/>
    <w:qFormat/>
    <w:rPr>
      <w:rFonts w:ascii="Calibri" w:hAnsi="Calibri" w:eastAsia="宋体" w:cs="Calibri"/>
      <w:sz w:val="21"/>
      <w:szCs w:val="21"/>
      <w:lang w:val="en-US" w:eastAsia="zh-CN" w:bidi="ar-SA"/>
    </w:rPr>
  </w:style>
  <w:style w:type="character" w:styleId="861" w:customStyle="1">
    <w:name w:val="普通正文 Char"/>
    <w:link w:val="849"/>
    <w:uiPriority w:val="99"/>
    <w:qFormat/>
    <w:rPr>
      <w:rFonts w:ascii="Arial" w:hAnsi="Arial" w:cs="Arial"/>
      <w:sz w:val="24"/>
      <w:szCs w:val="24"/>
    </w:rPr>
  </w:style>
  <w:style w:type="character" w:styleId="862" w:customStyle="1">
    <w:name w:val="项目编号A Char Char"/>
    <w:link w:val="847"/>
    <w:uiPriority w:val="0"/>
    <w:qFormat/>
    <w:rPr>
      <w:rFonts w:ascii="Arial" w:hAnsi="Arial"/>
      <w:sz w:val="24"/>
      <w:szCs w:val="24"/>
    </w:rPr>
  </w:style>
  <w:style w:type="paragraph" w:styleId="863" w:customStyle="1">
    <w:name w:val="标准文本"/>
    <w:basedOn w:val="787"/>
    <w:uiPriority w:val="0"/>
    <w:qFormat/>
    <w:pPr>
      <w:ind w:firstLine="480"/>
      <w:spacing w:line="360" w:lineRule="auto"/>
    </w:pPr>
    <w:rPr>
      <w:rFonts w:cs="宋体"/>
      <w:sz w:val="24"/>
      <w:szCs w:val="20"/>
    </w:rPr>
  </w:style>
  <w:style w:type="paragraph" w:styleId="864" w:customStyle="1">
    <w:name w:val="_Style 3"/>
    <w:basedOn w:val="787"/>
    <w:next w:val="787"/>
    <w:uiPriority w:val="99"/>
    <w:qFormat/>
    <w:pPr>
      <w:jc w:val="center"/>
      <w:widowControl/>
      <w:pBdr>
        <w:bottom w:val="single" w:color="000000" w:sz="6" w:space="1"/>
      </w:pBdr>
    </w:pPr>
    <w:rPr>
      <w:rFonts w:ascii="Arial" w:hAnsi="Arial" w:cs="Arial"/>
      <w:vanish/>
      <w:sz w:val="16"/>
      <w:szCs w:val="16"/>
    </w:rPr>
  </w:style>
  <w:style w:type="character" w:styleId="865" w:customStyle="1">
    <w:name w:val="页脚 Char"/>
    <w:link w:val="804"/>
    <w:uiPriority w:val="99"/>
    <w:qFormat/>
    <w:rPr>
      <w:rFonts w:ascii="Calibri" w:hAnsi="Calibri" w:cs="Calibri"/>
      <w:sz w:val="18"/>
      <w:szCs w:val="18"/>
    </w:rPr>
  </w:style>
  <w:style w:type="paragraph" w:styleId="866" w:customStyle="1">
    <w:name w:val="_Style 5"/>
    <w:basedOn w:val="787"/>
    <w:next w:val="787"/>
    <w:uiPriority w:val="99"/>
    <w:qFormat/>
    <w:pPr>
      <w:jc w:val="center"/>
      <w:widowControl/>
      <w:pBdr>
        <w:bottom w:val="single" w:color="000000" w:sz="6" w:space="1"/>
      </w:pBdr>
    </w:pPr>
    <w:rPr>
      <w:rFonts w:ascii="Arial" w:hAnsi="Arial" w:cs="Arial"/>
      <w:vanish/>
      <w:sz w:val="16"/>
      <w:szCs w:val="16"/>
    </w:rPr>
  </w:style>
  <w:style w:type="paragraph" w:styleId="867" w:customStyle="1">
    <w:name w:val="列出段落4"/>
    <w:basedOn w:val="787"/>
    <w:uiPriority w:val="34"/>
    <w:qFormat/>
    <w:pPr>
      <w:ind w:firstLine="420"/>
    </w:pPr>
  </w:style>
  <w:style w:type="paragraph" w:styleId="868" w:customStyle="1">
    <w:name w:val="首行缩进"/>
    <w:basedOn w:val="787"/>
    <w:uiPriority w:val="0"/>
    <w:qFormat/>
    <w:pPr>
      <w:ind w:firstLine="480"/>
    </w:pPr>
    <w:rPr>
      <w:rFonts w:cs="宋体"/>
      <w:sz w:val="20"/>
      <w:szCs w:val="20"/>
    </w:rPr>
  </w:style>
  <w:style w:type="character" w:styleId="869" w:customStyle="1">
    <w:name w:val="15"/>
    <w:uiPriority w:val="0"/>
    <w:qFormat/>
    <w:rPr>
      <w:rFonts w:ascii="Times New Roman" w:hAnsi="Times New Roman" w:cs="Times New Roman"/>
    </w:rPr>
  </w:style>
  <w:style w:type="character" w:styleId="870" w:customStyle="1">
    <w:name w:val="font81"/>
    <w:uiPriority w:val="0"/>
    <w:qFormat/>
    <w:rPr>
      <w:rFonts w:hint="eastAsia" w:ascii="宋体" w:hAnsi="宋体" w:eastAsia="宋体" w:cs="宋体"/>
      <w:color w:val="000000"/>
      <w:sz w:val="17"/>
      <w:szCs w:val="17"/>
      <w:u w:val="none"/>
    </w:rPr>
  </w:style>
  <w:style w:type="paragraph" w:styleId="871" w:customStyle="1">
    <w:name w:val="修订2"/>
    <w:uiPriority w:val="99"/>
    <w:unhideWhenUsed/>
    <w:qFormat/>
    <w:rPr>
      <w:rFonts w:ascii="Calibri" w:hAnsi="Calibri" w:eastAsia="宋体" w:cs="Calibri"/>
      <w:sz w:val="21"/>
      <w:szCs w:val="21"/>
      <w:lang w:val="en-US" w:eastAsia="zh-CN" w:bidi="ar-SA"/>
    </w:rPr>
  </w:style>
  <w:style w:type="character" w:styleId="872" w:customStyle="1">
    <w:name w:val="正文文本 Char"/>
    <w:link w:val="797"/>
    <w:uiPriority w:val="99"/>
    <w:qFormat/>
    <w:rPr>
      <w:rFonts w:ascii="Calibri" w:hAnsi="Calibri" w:cs="Calibri"/>
      <w:szCs w:val="21"/>
    </w:rPr>
  </w:style>
  <w:style w:type="paragraph" w:styleId="873" w:customStyle="1">
    <w:name w:val="☆ 正文"/>
    <w:basedOn w:val="787"/>
    <w:uiPriority w:val="99"/>
    <w:qFormat/>
  </w:style>
  <w:style w:type="character" w:styleId="874" w:customStyle="1">
    <w:name w:val="批注文字 Char"/>
    <w:link w:val="796"/>
    <w:uiPriority w:val="0"/>
    <w:qFormat/>
    <w:rPr>
      <w:rFonts w:ascii="Calibri" w:hAnsi="Calibri" w:cs="Calibri"/>
      <w:sz w:val="21"/>
      <w:szCs w:val="21"/>
    </w:rPr>
  </w:style>
  <w:style w:type="character" w:styleId="875" w:customStyle="1">
    <w:name w:val="日期 Char"/>
    <w:link w:val="802"/>
    <w:uiPriority w:val="99"/>
    <w:qFormat/>
    <w:rPr>
      <w:rFonts w:ascii="Calibri" w:hAnsi="Calibri" w:cs="Calibri"/>
      <w:szCs w:val="21"/>
    </w:rPr>
  </w:style>
  <w:style w:type="paragraph" w:styleId="876" w:customStyle="1">
    <w:name w:val="标题二级"/>
    <w:basedOn w:val="787"/>
    <w:uiPriority w:val="0"/>
    <w:qFormat/>
    <w:rPr>
      <w:rFonts w:ascii="宋体" w:hAnsi="宋体"/>
    </w:rPr>
  </w:style>
  <w:style w:type="paragraph" w:styleId="877" w:customStyle="1">
    <w:name w:val="正文1"/>
    <w:uiPriority w:val="99"/>
    <w:qFormat/>
    <w:rPr>
      <w:rFonts w:ascii="Calibri" w:hAnsi="Calibri" w:eastAsia="宋体" w:cs="Calibri"/>
      <w:sz w:val="24"/>
      <w:szCs w:val="24"/>
      <w:lang w:val="en-US" w:eastAsia="zh-CN" w:bidi="ar-SA"/>
    </w:rPr>
  </w:style>
  <w:style w:type="character" w:styleId="878" w:customStyle="1">
    <w:name w:val="font51"/>
    <w:basedOn w:val="793"/>
    <w:uiPriority w:val="0"/>
    <w:qFormat/>
    <w:rPr>
      <w:rFonts w:hint="eastAsia" w:ascii="仿宋" w:hAnsi="仿宋" w:eastAsia="仿宋" w:cs="仿宋"/>
      <w:b/>
      <w:color w:val="000000"/>
      <w:sz w:val="24"/>
      <w:szCs w:val="24"/>
      <w:u w:val="none"/>
    </w:rPr>
  </w:style>
  <w:style w:type="character" w:styleId="879" w:customStyle="1">
    <w:name w:val="font31"/>
    <w:basedOn w:val="793"/>
    <w:uiPriority w:val="0"/>
    <w:qFormat/>
    <w:rPr>
      <w:rFonts w:hint="eastAsia" w:ascii="仿宋" w:hAnsi="仿宋" w:eastAsia="仿宋" w:cs="仿宋"/>
      <w:color w:val="000000"/>
      <w:sz w:val="24"/>
      <w:szCs w:val="24"/>
      <w:u w:val="none"/>
    </w:rPr>
  </w:style>
  <w:style w:type="character" w:styleId="880" w:customStyle="1">
    <w:name w:val="font21"/>
    <w:basedOn w:val="793"/>
    <w:uiPriority w:val="0"/>
    <w:qFormat/>
    <w:rPr>
      <w:rFonts w:hint="default" w:ascii="Times New Roman" w:hAnsi="Times New Roman" w:cs="Times New Roman"/>
      <w:color w:val="000000"/>
      <w:sz w:val="24"/>
      <w:szCs w:val="24"/>
      <w:u w:val="none"/>
    </w:rPr>
  </w:style>
  <w:style w:type="paragraph" w:styleId="881">
    <w:name w:val="List Paragraph"/>
    <w:basedOn w:val="787"/>
    <w:uiPriority w:val="34"/>
    <w:qFormat/>
    <w:pPr>
      <w:ind w:firstLine="420"/>
    </w:pPr>
  </w:style>
  <w:style w:type="numbering" w:styleId="206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1A040028-D574-47DF-9E17-9C12A7867E8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张鑫梅</cp:lastModifiedBy>
  <cp:revision>113</cp:revision>
  <dcterms:created xsi:type="dcterms:W3CDTF">2025-11-11T09:31:00Z</dcterms:created>
  <dcterms:modified xsi:type="dcterms:W3CDTF">2026-03-26T02:50:20Z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eyJoZGlkIjoiZjY5NTBmYTkxZWIxMmIwMGNjMWY5NmJkYmQ4OWI1Y2EiLCJ1c2VySWQiOiIyNzEyMzYwNjQifQ==</vt:lpwstr>
  </property>
  <property fmtid="{D5CDD505-2E9C-101B-9397-08002B2CF9AE}" pid="3" name="KSOProductBuildVer">
    <vt:lpwstr>2052-12.1.0.25225</vt:lpwstr>
  </property>
  <property fmtid="{D5CDD505-2E9C-101B-9397-08002B2CF9AE}" pid="4" name="ICV">
    <vt:lpwstr>CA4187D7445B4981A66B418CA8EE3469_13</vt:lpwstr>
  </property>
</Properties>
</file>